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2" w:firstLineChars="100"/>
        <w:rPr>
          <w:rFonts w:hint="eastAsia" w:ascii="黑体" w:hAnsi="黑体" w:eastAsia="黑体" w:cs="黑体"/>
          <w:b/>
          <w:bCs/>
          <w:sz w:val="44"/>
          <w:szCs w:val="44"/>
        </w:rPr>
      </w:pPr>
      <w:r>
        <w:rPr>
          <w:rFonts w:hint="eastAsia" w:ascii="黑体" w:hAnsi="黑体" w:eastAsia="黑体" w:cs="黑体"/>
          <w:b/>
          <w:bCs/>
          <w:sz w:val="44"/>
          <w:szCs w:val="44"/>
        </w:rPr>
        <w:t>禹州市职工幼儿园教学设备采购项目</w:t>
      </w:r>
    </w:p>
    <w:p>
      <w:pPr>
        <w:rPr>
          <w:rFonts w:ascii="微软简隶书" w:eastAsia="微软简隶书"/>
        </w:rPr>
      </w:pPr>
    </w:p>
    <w:p>
      <w:pPr>
        <w:rPr>
          <w:rFonts w:ascii="微软简隶书" w:eastAsia="微软简隶书"/>
        </w:rPr>
      </w:pPr>
    </w:p>
    <w:p>
      <w:pPr>
        <w:jc w:val="center"/>
        <w:rPr>
          <w:rFonts w:hint="eastAsia" w:ascii="华文隶书" w:eastAsia="华文隶书"/>
          <w:bCs/>
          <w:w w:val="90"/>
          <w:sz w:val="44"/>
          <w:szCs w:val="44"/>
          <w:lang w:eastAsia="zh-CN"/>
        </w:rPr>
      </w:pPr>
    </w:p>
    <w:p>
      <w:pPr>
        <w:jc w:val="center"/>
        <w:rPr>
          <w:rFonts w:hint="eastAsia" w:ascii="华文隶书" w:eastAsia="华文隶书"/>
          <w:b/>
          <w:bCs w:val="0"/>
          <w:w w:val="90"/>
          <w:sz w:val="48"/>
          <w:szCs w:val="48"/>
          <w:lang w:eastAsia="zh-CN"/>
        </w:rPr>
      </w:pPr>
    </w:p>
    <w:p>
      <w:pPr>
        <w:jc w:val="center"/>
        <w:rPr>
          <w:rFonts w:ascii="华文隶书" w:eastAsia="华文隶书"/>
          <w:b/>
          <w:bCs w:val="0"/>
          <w:w w:val="90"/>
          <w:sz w:val="48"/>
          <w:szCs w:val="48"/>
        </w:rPr>
      </w:pPr>
      <w:r>
        <w:rPr>
          <w:rFonts w:hint="eastAsia" w:ascii="华文隶书" w:eastAsia="华文隶书"/>
          <w:b/>
          <w:bCs w:val="0"/>
          <w:w w:val="90"/>
          <w:sz w:val="48"/>
          <w:szCs w:val="48"/>
          <w:lang w:eastAsia="zh-CN"/>
        </w:rPr>
        <w:t>竞争性谈判</w:t>
      </w:r>
      <w:r>
        <w:rPr>
          <w:rFonts w:hint="eastAsia" w:ascii="华文隶书" w:eastAsia="华文隶书"/>
          <w:b/>
          <w:bCs w:val="0"/>
          <w:w w:val="90"/>
          <w:sz w:val="48"/>
          <w:szCs w:val="48"/>
        </w:rPr>
        <w:t>文件</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hint="default" w:asciiTheme="majorEastAsia" w:hAnsiTheme="majorEastAsia" w:eastAsiaTheme="majorEastAsia" w:cstheme="majorEastAsia"/>
          <w:b w:val="0"/>
          <w:bCs w:val="0"/>
          <w:sz w:val="36"/>
          <w:szCs w:val="36"/>
          <w:lang w:val="en-US" w:eastAsia="zh-CN"/>
        </w:rPr>
      </w:pPr>
      <w:r>
        <w:rPr>
          <w:rFonts w:hint="eastAsia" w:asciiTheme="majorEastAsia" w:hAnsiTheme="majorEastAsia" w:eastAsiaTheme="majorEastAsia" w:cstheme="majorEastAsia"/>
          <w:b/>
          <w:bCs/>
          <w:sz w:val="36"/>
          <w:szCs w:val="36"/>
        </w:rPr>
        <w:t xml:space="preserve">     </w:t>
      </w:r>
      <w:r>
        <w:rPr>
          <w:rFonts w:hint="eastAsia" w:asciiTheme="majorEastAsia" w:hAnsiTheme="majorEastAsia" w:eastAsiaTheme="majorEastAsia" w:cstheme="majorEastAsia"/>
          <w:b w:val="0"/>
          <w:bCs w:val="0"/>
          <w:sz w:val="36"/>
          <w:szCs w:val="36"/>
        </w:rPr>
        <w:t xml:space="preserve"> 项目编号：</w:t>
      </w:r>
      <w:r>
        <w:rPr>
          <w:rFonts w:hint="eastAsia" w:asciiTheme="majorEastAsia" w:hAnsiTheme="majorEastAsia" w:eastAsiaTheme="majorEastAsia" w:cstheme="majorEastAsia"/>
          <w:b w:val="0"/>
          <w:bCs w:val="0"/>
          <w:sz w:val="36"/>
          <w:szCs w:val="36"/>
          <w:lang w:val="en-US" w:eastAsia="zh-CN"/>
        </w:rPr>
        <w:t>YZCG-T2019184</w:t>
      </w:r>
    </w:p>
    <w:p>
      <w:pPr>
        <w:ind w:firstLine="1080" w:firstLineChars="300"/>
        <w:rPr>
          <w:rFonts w:hint="eastAsia" w:asciiTheme="majorEastAsia" w:hAnsiTheme="majorEastAsia" w:eastAsiaTheme="majorEastAsia" w:cstheme="majorEastAsia"/>
          <w:b w:val="0"/>
          <w:bCs w:val="0"/>
          <w:sz w:val="36"/>
          <w:szCs w:val="36"/>
          <w:lang w:eastAsia="zh-CN"/>
        </w:rPr>
      </w:pPr>
      <w:r>
        <w:rPr>
          <w:rFonts w:hint="eastAsia" w:asciiTheme="majorEastAsia" w:hAnsiTheme="majorEastAsia" w:eastAsiaTheme="majorEastAsia" w:cstheme="majorEastAsia"/>
          <w:b w:val="0"/>
          <w:bCs w:val="0"/>
          <w:sz w:val="36"/>
          <w:szCs w:val="36"/>
        </w:rPr>
        <w:t>采购单位：禹州市</w:t>
      </w:r>
      <w:r>
        <w:rPr>
          <w:rFonts w:hint="eastAsia" w:asciiTheme="majorEastAsia" w:hAnsiTheme="majorEastAsia" w:eastAsiaTheme="majorEastAsia" w:cstheme="majorEastAsia"/>
          <w:b w:val="0"/>
          <w:bCs w:val="0"/>
          <w:sz w:val="36"/>
          <w:szCs w:val="36"/>
          <w:lang w:eastAsia="zh-CN"/>
        </w:rPr>
        <w:t>教育体育局</w:t>
      </w:r>
    </w:p>
    <w:p>
      <w:pPr>
        <w:ind w:firstLine="1080" w:firstLineChars="300"/>
        <w:rPr>
          <w:rFonts w:asciiTheme="majorEastAsia" w:hAnsiTheme="majorEastAsia" w:eastAsiaTheme="majorEastAsia" w:cstheme="majorEastAsia"/>
          <w:b w:val="0"/>
          <w:bCs w:val="0"/>
          <w:sz w:val="36"/>
          <w:szCs w:val="36"/>
        </w:rPr>
      </w:pPr>
      <w:r>
        <w:rPr>
          <w:rFonts w:hint="eastAsia" w:asciiTheme="majorEastAsia" w:hAnsiTheme="majorEastAsia" w:eastAsiaTheme="majorEastAsia" w:cstheme="majorEastAsia"/>
          <w:b w:val="0"/>
          <w:bCs w:val="0"/>
          <w:sz w:val="36"/>
          <w:szCs w:val="36"/>
        </w:rPr>
        <w:t>代理机构：</w:t>
      </w:r>
      <w:r>
        <w:rPr>
          <w:rFonts w:hint="eastAsia" w:asciiTheme="majorEastAsia" w:hAnsiTheme="majorEastAsia" w:eastAsiaTheme="majorEastAsia" w:cstheme="majorEastAsia"/>
          <w:b w:val="0"/>
          <w:bCs w:val="0"/>
          <w:sz w:val="36"/>
          <w:szCs w:val="36"/>
          <w:lang w:eastAsia="zh-CN"/>
        </w:rPr>
        <w:t>禹州</w:t>
      </w:r>
      <w:r>
        <w:rPr>
          <w:rFonts w:hint="eastAsia" w:asciiTheme="majorEastAsia" w:hAnsiTheme="majorEastAsia" w:eastAsiaTheme="majorEastAsia" w:cstheme="majorEastAsia"/>
          <w:b w:val="0"/>
          <w:bCs w:val="0"/>
          <w:sz w:val="36"/>
          <w:szCs w:val="36"/>
        </w:rPr>
        <w:t>市政府采购中心</w:t>
      </w:r>
    </w:p>
    <w:p>
      <w:pPr>
        <w:rPr>
          <w:rFonts w:asciiTheme="majorEastAsia" w:hAnsiTheme="majorEastAsia" w:eastAsiaTheme="majorEastAsia" w:cstheme="majorEastAsia"/>
          <w:b/>
          <w:bCs/>
          <w:sz w:val="36"/>
          <w:szCs w:val="36"/>
        </w:rPr>
      </w:pPr>
    </w:p>
    <w:p>
      <w:pPr>
        <w:jc w:val="center"/>
        <w:rPr>
          <w:rFonts w:hint="eastAsia"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二〇一九年</w:t>
      </w:r>
      <w:r>
        <w:rPr>
          <w:rFonts w:hint="eastAsia" w:asciiTheme="majorEastAsia" w:hAnsiTheme="majorEastAsia" w:eastAsiaTheme="majorEastAsia" w:cstheme="majorEastAsia"/>
          <w:b/>
          <w:bCs/>
          <w:sz w:val="36"/>
          <w:szCs w:val="36"/>
          <w:lang w:eastAsia="zh-CN"/>
        </w:rPr>
        <w:t>八</w:t>
      </w:r>
      <w:r>
        <w:rPr>
          <w:rFonts w:hint="eastAsia" w:asciiTheme="majorEastAsia" w:hAnsiTheme="majorEastAsia" w:eastAsiaTheme="majorEastAsia" w:cstheme="majorEastAsia"/>
          <w:b/>
          <w:bCs/>
          <w:sz w:val="36"/>
          <w:szCs w:val="36"/>
        </w:rPr>
        <w:t>月</w:t>
      </w:r>
    </w:p>
    <w:p>
      <w:pPr>
        <w:rPr>
          <w:rFonts w:asciiTheme="majorEastAsia" w:hAnsiTheme="majorEastAsia" w:eastAsiaTheme="majorEastAsia" w:cstheme="majorEastAsia"/>
          <w:b/>
          <w:bCs/>
          <w:sz w:val="36"/>
          <w:szCs w:val="36"/>
        </w:rPr>
      </w:pPr>
    </w:p>
    <w:p>
      <w:pPr>
        <w:widowControl/>
        <w:jc w:val="left"/>
        <w:rPr>
          <w:rFonts w:cs="黑体" w:asciiTheme="minorEastAsia" w:hAnsiTheme="minorEastAsia"/>
          <w:b/>
          <w:bCs/>
          <w:sz w:val="44"/>
          <w:szCs w:val="44"/>
          <w:lang w:val="zh-CN"/>
        </w:rPr>
      </w:pPr>
      <w:r>
        <w:rPr>
          <w:rFonts w:cs="黑体" w:asciiTheme="minorEastAsia" w:hAnsiTheme="minorEastAsia"/>
          <w:b/>
          <w:bCs/>
          <w:sz w:val="44"/>
          <w:szCs w:val="44"/>
          <w:lang w:val="zh-CN"/>
        </w:rPr>
        <w:br w:type="page"/>
      </w:r>
    </w:p>
    <w:p>
      <w:pPr>
        <w:autoSpaceDE w:val="0"/>
        <w:autoSpaceDN w:val="0"/>
        <w:adjustRightInd w:val="0"/>
        <w:spacing w:line="700" w:lineRule="exact"/>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谈判邀请</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五、谈判和评审</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资格审查与评审</w:t>
      </w:r>
    </w:p>
    <w:p>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0"/>
          <w:szCs w:val="30"/>
        </w:rPr>
        <w:t>合同书格式及合同条款</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pPr>
        <w:numPr>
          <w:ilvl w:val="0"/>
          <w:numId w:val="4"/>
        </w:numPr>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谈判邀请</w:t>
      </w:r>
    </w:p>
    <w:p>
      <w:pPr>
        <w:numPr>
          <w:ilvl w:val="0"/>
          <w:numId w:val="0"/>
        </w:numPr>
        <w:jc w:val="both"/>
        <w:rPr>
          <w:rFonts w:hint="eastAsia" w:cs="宋体" w:asciiTheme="majorEastAsia" w:hAnsiTheme="majorEastAsia" w:eastAsiaTheme="majorEastAsia"/>
          <w:b/>
          <w:kern w:val="0"/>
          <w:sz w:val="32"/>
          <w:szCs w:val="32"/>
        </w:rPr>
      </w:pPr>
    </w:p>
    <w:p>
      <w:pPr>
        <w:spacing w:line="600" w:lineRule="exact"/>
        <w:jc w:val="center"/>
        <w:rPr>
          <w:rFonts w:hint="eastAsia"/>
          <w:b/>
          <w:bCs/>
          <w:sz w:val="36"/>
          <w:szCs w:val="36"/>
          <w:lang w:eastAsia="zh-CN"/>
        </w:rPr>
      </w:pPr>
      <w:r>
        <w:rPr>
          <w:rFonts w:hint="eastAsia"/>
          <w:b/>
          <w:bCs/>
          <w:sz w:val="36"/>
          <w:szCs w:val="36"/>
          <w:lang w:eastAsia="zh-CN"/>
        </w:rPr>
        <w:t>禹州市职工幼儿园教学设备采购项目</w:t>
      </w:r>
    </w:p>
    <w:p>
      <w:pPr>
        <w:spacing w:line="600" w:lineRule="exact"/>
        <w:jc w:val="center"/>
        <w:rPr>
          <w:rFonts w:hint="eastAsia"/>
          <w:b/>
          <w:bCs/>
          <w:sz w:val="36"/>
          <w:szCs w:val="36"/>
          <w:lang w:eastAsia="zh-CN"/>
        </w:rPr>
      </w:pPr>
      <w:r>
        <w:rPr>
          <w:rFonts w:hint="eastAsia"/>
          <w:b/>
          <w:bCs/>
          <w:sz w:val="36"/>
          <w:szCs w:val="36"/>
          <w:lang w:eastAsia="zh-CN"/>
        </w:rPr>
        <w:t>谈判邀请函</w:t>
      </w:r>
    </w:p>
    <w:p>
      <w:pPr>
        <w:pStyle w:val="2"/>
        <w:rPr>
          <w:rFonts w:hint="eastAsia"/>
          <w:lang w:eastAsia="zh-CN"/>
        </w:rPr>
      </w:pPr>
    </w:p>
    <w:p>
      <w:pPr>
        <w:keepNext w:val="0"/>
        <w:keepLines w:val="0"/>
        <w:pageBreakBefore w:val="0"/>
        <w:kinsoku/>
        <w:overflowPunct/>
        <w:bidi w:val="0"/>
        <w:spacing w:line="440" w:lineRule="exact"/>
        <w:ind w:firstLine="480" w:firstLineChars="200"/>
        <w:jc w:val="left"/>
        <w:textAlignment w:val="auto"/>
        <w:rPr>
          <w:rFonts w:hint="eastAsia" w:ascii="新宋体" w:hAnsi="新宋体" w:eastAsia="新宋体" w:cs="新宋体"/>
          <w:sz w:val="24"/>
          <w:szCs w:val="24"/>
        </w:rPr>
      </w:pPr>
      <w:r>
        <w:rPr>
          <w:rFonts w:hint="eastAsia" w:ascii="新宋体" w:hAnsi="新宋体" w:eastAsia="新宋体" w:cs="新宋体"/>
          <w:sz w:val="24"/>
          <w:szCs w:val="24"/>
        </w:rPr>
        <w:t>禹州市政府采购中心受禹州市</w:t>
      </w:r>
      <w:r>
        <w:rPr>
          <w:rFonts w:hint="eastAsia" w:ascii="新宋体" w:hAnsi="新宋体" w:eastAsia="新宋体" w:cs="新宋体"/>
          <w:sz w:val="24"/>
          <w:szCs w:val="24"/>
          <w:lang w:eastAsia="zh-CN"/>
        </w:rPr>
        <w:t>教育体育局</w:t>
      </w:r>
      <w:r>
        <w:rPr>
          <w:rFonts w:hint="eastAsia" w:ascii="新宋体" w:hAnsi="新宋体" w:eastAsia="新宋体" w:cs="新宋体"/>
          <w:sz w:val="24"/>
          <w:szCs w:val="24"/>
        </w:rPr>
        <w:t>的委托，就“禹州市职工幼儿园教学设备采购项目”进行竞争性谈判，欢迎合格的投标人前来投标。</w:t>
      </w:r>
    </w:p>
    <w:p>
      <w:pPr>
        <w:keepNext w:val="0"/>
        <w:keepLines w:val="0"/>
        <w:pageBreakBefore w:val="0"/>
        <w:widowControl/>
        <w:numPr>
          <w:ilvl w:val="0"/>
          <w:numId w:val="5"/>
        </w:numPr>
        <w:shd w:val="clear" w:color="auto" w:fill="FFFFFF"/>
        <w:kinsoku/>
        <w:overflowPunct/>
        <w:bidi w:val="0"/>
        <w:spacing w:line="440" w:lineRule="exact"/>
        <w:ind w:firstLine="482"/>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项目基本情况</w:t>
      </w:r>
    </w:p>
    <w:p>
      <w:pPr>
        <w:keepNext w:val="0"/>
        <w:keepLines w:val="0"/>
        <w:pageBreakBefore w:val="0"/>
        <w:widowControl/>
        <w:shd w:val="clear" w:color="auto" w:fill="FFFFFF"/>
        <w:kinsoku/>
        <w:overflowPunct/>
        <w:bidi w:val="0"/>
        <w:spacing w:line="440" w:lineRule="exact"/>
        <w:jc w:val="left"/>
        <w:textAlignment w:val="auto"/>
        <w:rPr>
          <w:rFonts w:hint="eastAsia" w:ascii="新宋体" w:hAnsi="新宋体" w:eastAsia="新宋体" w:cs="新宋体"/>
          <w:sz w:val="24"/>
          <w:szCs w:val="24"/>
        </w:rPr>
      </w:pPr>
      <w:r>
        <w:rPr>
          <w:rFonts w:hint="eastAsia" w:ascii="新宋体" w:hAnsi="新宋体" w:eastAsia="新宋体" w:cs="新宋体"/>
          <w:b/>
          <w:color w:val="000000"/>
          <w:kern w:val="0"/>
          <w:sz w:val="24"/>
          <w:szCs w:val="24"/>
        </w:rPr>
        <w:t xml:space="preserve">  </w:t>
      </w:r>
      <w:r>
        <w:rPr>
          <w:rFonts w:hint="eastAsia" w:ascii="新宋体" w:hAnsi="新宋体" w:eastAsia="新宋体" w:cs="新宋体"/>
          <w:sz w:val="24"/>
          <w:szCs w:val="24"/>
        </w:rPr>
        <w:t xml:space="preserve"> 1、采购人：禹州市教育体育局</w:t>
      </w:r>
    </w:p>
    <w:p>
      <w:pPr>
        <w:keepNext w:val="0"/>
        <w:keepLines w:val="0"/>
        <w:pageBreakBefore w:val="0"/>
        <w:widowControl/>
        <w:shd w:val="clear" w:color="auto" w:fill="FFFFFF"/>
        <w:kinsoku/>
        <w:overflowPunct/>
        <w:bidi w:val="0"/>
        <w:spacing w:line="440" w:lineRule="exact"/>
        <w:ind w:firstLine="360" w:firstLineChars="15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2、项目名称：禹州市市职工幼儿园教学设备采购项目</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sz w:val="24"/>
          <w:szCs w:val="24"/>
          <w:lang w:val="en-US" w:eastAsia="zh-CN"/>
        </w:rPr>
      </w:pPr>
      <w:r>
        <w:rPr>
          <w:rFonts w:hint="eastAsia" w:ascii="新宋体" w:hAnsi="新宋体" w:eastAsia="新宋体" w:cs="新宋体"/>
          <w:color w:val="000000"/>
          <w:kern w:val="0"/>
          <w:sz w:val="24"/>
          <w:szCs w:val="24"/>
        </w:rPr>
        <w:t>3、采购编号：</w:t>
      </w:r>
      <w:r>
        <w:rPr>
          <w:rFonts w:hint="eastAsia" w:ascii="新宋体" w:hAnsi="新宋体" w:eastAsia="新宋体" w:cs="新宋体"/>
          <w:sz w:val="24"/>
          <w:szCs w:val="24"/>
        </w:rPr>
        <w:t>YZCG-T2019</w:t>
      </w:r>
      <w:r>
        <w:rPr>
          <w:rFonts w:hint="eastAsia" w:ascii="新宋体" w:hAnsi="新宋体" w:eastAsia="新宋体" w:cs="新宋体"/>
          <w:sz w:val="24"/>
          <w:szCs w:val="24"/>
          <w:lang w:val="en-US" w:eastAsia="zh-CN"/>
        </w:rPr>
        <w:t>184</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sz w:val="24"/>
          <w:szCs w:val="24"/>
        </w:rPr>
      </w:pPr>
      <w:r>
        <w:rPr>
          <w:rFonts w:hint="eastAsia" w:ascii="新宋体" w:hAnsi="新宋体" w:eastAsia="新宋体" w:cs="新宋体"/>
          <w:color w:val="000000"/>
          <w:kern w:val="0"/>
          <w:sz w:val="24"/>
          <w:szCs w:val="24"/>
        </w:rPr>
        <w:t>4、项目需求：</w:t>
      </w:r>
      <w:r>
        <w:rPr>
          <w:rFonts w:hint="eastAsia" w:ascii="新宋体" w:hAnsi="新宋体" w:eastAsia="新宋体" w:cs="新宋体"/>
          <w:color w:val="000000"/>
          <w:kern w:val="0"/>
          <w:sz w:val="24"/>
          <w:szCs w:val="24"/>
          <w:lang w:eastAsia="zh-CN"/>
        </w:rPr>
        <w:t>教学设备一批</w:t>
      </w:r>
      <w:r>
        <w:rPr>
          <w:rFonts w:hint="eastAsia" w:ascii="新宋体" w:hAnsi="新宋体" w:eastAsia="新宋体" w:cs="新宋体"/>
          <w:sz w:val="24"/>
          <w:szCs w:val="24"/>
        </w:rPr>
        <w:t>（详见谈判文件）</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sz w:val="24"/>
          <w:szCs w:val="24"/>
        </w:rPr>
      </w:pPr>
      <w:r>
        <w:rPr>
          <w:rFonts w:hint="eastAsia" w:ascii="新宋体" w:hAnsi="新宋体" w:eastAsia="新宋体" w:cs="新宋体"/>
          <w:sz w:val="24"/>
          <w:szCs w:val="24"/>
        </w:rPr>
        <w:t>5、采购预算：</w:t>
      </w:r>
      <w:r>
        <w:rPr>
          <w:rFonts w:hint="eastAsia" w:ascii="新宋体" w:hAnsi="新宋体" w:eastAsia="新宋体" w:cs="新宋体"/>
          <w:sz w:val="24"/>
          <w:szCs w:val="24"/>
          <w:lang w:val="en-US" w:eastAsia="zh-CN"/>
        </w:rPr>
        <w:t>48.2</w:t>
      </w:r>
      <w:r>
        <w:rPr>
          <w:rFonts w:hint="eastAsia" w:ascii="新宋体" w:hAnsi="新宋体" w:eastAsia="新宋体" w:cs="新宋体"/>
          <w:sz w:val="24"/>
          <w:szCs w:val="24"/>
        </w:rPr>
        <w:t>万元</w:t>
      </w:r>
    </w:p>
    <w:p>
      <w:pPr>
        <w:keepNext w:val="0"/>
        <w:keepLines w:val="0"/>
        <w:pageBreakBefore w:val="0"/>
        <w:widowControl/>
        <w:shd w:val="clear" w:color="auto" w:fill="FFFFFF"/>
        <w:kinsoku/>
        <w:overflowPunct/>
        <w:bidi w:val="0"/>
        <w:spacing w:line="440" w:lineRule="exact"/>
        <w:ind w:firstLine="354" w:firstLineChars="147"/>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二、需要落实的政府采购政策</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本项目落实节约能源、保护环境、扶持不发达地区和少数民族地区、促进中小企业、监狱企业发展等政府采购政策。（详见谈判文件）</w:t>
      </w:r>
    </w:p>
    <w:p>
      <w:pPr>
        <w:keepNext w:val="0"/>
        <w:keepLines w:val="0"/>
        <w:pageBreakBefore w:val="0"/>
        <w:widowControl/>
        <w:numPr>
          <w:ilvl w:val="0"/>
          <w:numId w:val="0"/>
        </w:numPr>
        <w:shd w:val="clear" w:color="auto" w:fill="FFFFFF"/>
        <w:kinsoku/>
        <w:overflowPunct/>
        <w:bidi w:val="0"/>
        <w:spacing w:line="440" w:lineRule="exact"/>
        <w:ind w:left="482" w:leftChars="0"/>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lang w:eastAsia="zh-CN"/>
        </w:rPr>
        <w:t>三、</w:t>
      </w:r>
      <w:r>
        <w:rPr>
          <w:rFonts w:hint="eastAsia" w:ascii="新宋体" w:hAnsi="新宋体" w:eastAsia="新宋体" w:cs="新宋体"/>
          <w:b/>
          <w:color w:val="000000"/>
          <w:kern w:val="0"/>
          <w:sz w:val="24"/>
          <w:szCs w:val="24"/>
        </w:rPr>
        <w:t>供应商资格要求</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1、符合《政府采购法》第二十二条之规定，具有独立法人资格及相应的经营范围（</w:t>
      </w:r>
      <w:r>
        <w:rPr>
          <w:rFonts w:hint="eastAsia" w:ascii="新宋体" w:hAnsi="新宋体" w:eastAsia="新宋体" w:cs="新宋体"/>
          <w:color w:val="000000"/>
          <w:kern w:val="0"/>
          <w:sz w:val="24"/>
          <w:szCs w:val="24"/>
          <w:lang w:eastAsia="zh-CN"/>
        </w:rPr>
        <w:t>以营业执照为准</w:t>
      </w:r>
      <w:r>
        <w:rPr>
          <w:rFonts w:hint="eastAsia" w:ascii="新宋体" w:hAnsi="新宋体" w:eastAsia="新宋体" w:cs="新宋体"/>
          <w:color w:val="000000"/>
          <w:kern w:val="0"/>
          <w:sz w:val="24"/>
          <w:szCs w:val="24"/>
        </w:rPr>
        <w:t>）；</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2、被委托人是须是本单位职工，须提供公司为本人缴纳社会保险证明；</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3、本项目不接受联合体投标。</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四、获取谈判文件的方式、时间、地点</w:t>
      </w:r>
    </w:p>
    <w:p>
      <w:pPr>
        <w:keepNext w:val="0"/>
        <w:keepLines w:val="0"/>
        <w:pageBreakBefore w:val="0"/>
        <w:kinsoku/>
        <w:wordWrap w:val="0"/>
        <w:overflowPunct/>
        <w:topLinePunct/>
        <w:bidi w:val="0"/>
        <w:snapToGrid w:val="0"/>
        <w:spacing w:line="440" w:lineRule="exact"/>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1、持CA数字认证证书，登录</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"http://221.14.6.70:8088/ggzy/eps/public/RegistAllJcxx.html"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zh-CN"/>
        </w:rPr>
        <w:t>http://221.14.6.70:8088/ggzy/eps/public/RegistAllJcxx.html</w:t>
      </w:r>
      <w:r>
        <w:rPr>
          <w:rFonts w:hint="eastAsia" w:ascii="新宋体" w:hAnsi="新宋体" w:eastAsia="新宋体" w:cs="新宋体"/>
          <w:sz w:val="24"/>
          <w:szCs w:val="24"/>
          <w:lang w:val="zh-CN"/>
        </w:rPr>
        <w:fldChar w:fldCharType="end"/>
      </w:r>
      <w:r>
        <w:rPr>
          <w:rFonts w:hint="eastAsia" w:ascii="新宋体" w:hAnsi="新宋体" w:eastAsia="新宋体" w:cs="新宋体"/>
          <w:sz w:val="24"/>
          <w:szCs w:val="24"/>
          <w:lang w:val="zh-CN"/>
        </w:rPr>
        <w:t>进行免费注册登记（详见全国公共资源交易平台（河南省·许昌市）“常见问题解答-诚信库网上注册相关资料下载”）；</w:t>
      </w:r>
    </w:p>
    <w:p>
      <w:pPr>
        <w:keepNext w:val="0"/>
        <w:keepLines w:val="0"/>
        <w:pageBreakBefore w:val="0"/>
        <w:kinsoku/>
        <w:wordWrap w:val="0"/>
        <w:overflowPunct/>
        <w:topLinePunct/>
        <w:autoSpaceDE w:val="0"/>
        <w:autoSpaceDN w:val="0"/>
        <w:bidi w:val="0"/>
        <w:adjustRightInd w:val="0"/>
        <w:snapToGrid w:val="0"/>
        <w:spacing w:line="440" w:lineRule="exact"/>
        <w:ind w:firstLine="482"/>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　2、在投标截止时间前登录</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"http://221.14.6.70:8088/ggzy/"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zh-CN"/>
        </w:rPr>
        <w:t>http://</w:t>
      </w:r>
      <w:r>
        <w:rPr>
          <w:rFonts w:hint="eastAsia" w:ascii="新宋体" w:hAnsi="新宋体" w:eastAsia="新宋体" w:cs="新宋体"/>
          <w:sz w:val="24"/>
          <w:szCs w:val="24"/>
          <w:lang w:val="en-US" w:eastAsia="zh-CN"/>
        </w:rPr>
        <w:t>ggzy.xuchang.gov.cn</w:t>
      </w:r>
      <w:r>
        <w:rPr>
          <w:rFonts w:hint="eastAsia" w:ascii="新宋体" w:hAnsi="新宋体" w:eastAsia="新宋体" w:cs="新宋体"/>
          <w:sz w:val="24"/>
          <w:szCs w:val="24"/>
          <w:lang w:val="zh-CN"/>
        </w:rPr>
        <w:t>/</w:t>
      </w:r>
      <w:r>
        <w:rPr>
          <w:rFonts w:hint="eastAsia" w:ascii="新宋体" w:hAnsi="新宋体" w:eastAsia="新宋体" w:cs="新宋体"/>
          <w:sz w:val="24"/>
          <w:szCs w:val="24"/>
          <w:lang w:val="zh-CN"/>
        </w:rPr>
        <w:fldChar w:fldCharType="end"/>
      </w:r>
      <w:r>
        <w:rPr>
          <w:rFonts w:hint="eastAsia" w:ascii="新宋体" w:hAnsi="新宋体" w:eastAsia="新宋体" w:cs="新宋体"/>
          <w:sz w:val="24"/>
          <w:szCs w:val="24"/>
          <w:lang w:val="zh-CN"/>
        </w:rPr>
        <w:t>，自行下载</w:t>
      </w:r>
      <w:r>
        <w:rPr>
          <w:rFonts w:hint="eastAsia" w:ascii="新宋体" w:hAnsi="新宋体" w:eastAsia="新宋体" w:cs="新宋体"/>
          <w:sz w:val="24"/>
          <w:szCs w:val="24"/>
          <w:lang w:val="zh-CN" w:eastAsia="zh-CN"/>
        </w:rPr>
        <w:t>谈判</w:t>
      </w:r>
      <w:r>
        <w:rPr>
          <w:rFonts w:hint="eastAsia" w:ascii="新宋体" w:hAnsi="新宋体" w:eastAsia="新宋体" w:cs="新宋体"/>
          <w:sz w:val="24"/>
          <w:szCs w:val="24"/>
          <w:lang w:val="zh-CN"/>
        </w:rPr>
        <w:t>文件（详见全国公共资源交易平台（河南省·许昌市）“常见问题解答-交易系统操作手册”）。</w:t>
      </w:r>
    </w:p>
    <w:p>
      <w:pPr>
        <w:keepNext w:val="0"/>
        <w:keepLines w:val="0"/>
        <w:pageBreakBefore w:val="0"/>
        <w:kinsoku/>
        <w:overflowPunct/>
        <w:bidi w:val="0"/>
        <w:spacing w:line="440" w:lineRule="exact"/>
        <w:textAlignment w:val="auto"/>
        <w:rPr>
          <w:rFonts w:hint="eastAsia" w:ascii="新宋体" w:hAnsi="新宋体" w:eastAsia="新宋体" w:cs="新宋体"/>
          <w:sz w:val="24"/>
          <w:szCs w:val="24"/>
        </w:rPr>
      </w:pPr>
      <w:r>
        <w:rPr>
          <w:rFonts w:hint="eastAsia" w:ascii="新宋体" w:hAnsi="新宋体" w:eastAsia="新宋体" w:cs="新宋体"/>
          <w:sz w:val="24"/>
          <w:szCs w:val="24"/>
        </w:rPr>
        <w:t>　　3、未通过全国公共资源交易平台（河南省·许昌市）下载招标文件的投标企业，拒收其递交的投标文件。</w:t>
      </w:r>
    </w:p>
    <w:p>
      <w:pPr>
        <w:keepNext w:val="0"/>
        <w:keepLines w:val="0"/>
        <w:pageBreakBefore w:val="0"/>
        <w:kinsoku/>
        <w:overflowPunct/>
        <w:bidi w:val="0"/>
        <w:spacing w:line="440" w:lineRule="exact"/>
        <w:ind w:firstLine="640"/>
        <w:textAlignment w:val="auto"/>
        <w:rPr>
          <w:rFonts w:hint="eastAsia" w:ascii="新宋体" w:hAnsi="新宋体" w:eastAsia="新宋体" w:cs="新宋体"/>
          <w:sz w:val="24"/>
          <w:szCs w:val="24"/>
        </w:rPr>
      </w:pPr>
      <w:r>
        <w:rPr>
          <w:rFonts w:hint="eastAsia" w:ascii="新宋体" w:hAnsi="新宋体" w:eastAsia="新宋体" w:cs="新宋体"/>
          <w:sz w:val="24"/>
          <w:szCs w:val="24"/>
        </w:rPr>
        <w:t>4、谈判文件每份售价人民币300元</w:t>
      </w:r>
      <w:r>
        <w:rPr>
          <w:rFonts w:hint="eastAsia" w:ascii="新宋体" w:hAnsi="新宋体" w:eastAsia="新宋体" w:cs="新宋体"/>
          <w:sz w:val="24"/>
          <w:szCs w:val="24"/>
          <w:lang w:eastAsia="zh-CN"/>
        </w:rPr>
        <w:t>（谈判现场现金收取）</w:t>
      </w:r>
      <w:r>
        <w:rPr>
          <w:rFonts w:hint="eastAsia" w:ascii="新宋体" w:hAnsi="新宋体" w:eastAsia="新宋体" w:cs="新宋体"/>
          <w:sz w:val="24"/>
          <w:szCs w:val="24"/>
        </w:rPr>
        <w:t>，于递交投标文件时缴纳给采购代理机构，售后不退。</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五、谈判截止时间、谈判时间及地点：</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1、谈判截止及谈判时间：2019年</w:t>
      </w:r>
      <w:r>
        <w:rPr>
          <w:rFonts w:hint="eastAsia" w:ascii="新宋体" w:hAnsi="新宋体" w:eastAsia="新宋体" w:cs="新宋体"/>
          <w:color w:val="000000"/>
          <w:kern w:val="0"/>
          <w:sz w:val="24"/>
          <w:szCs w:val="24"/>
          <w:lang w:val="en-US" w:eastAsia="zh-CN"/>
        </w:rPr>
        <w:t>8</w:t>
      </w:r>
      <w:r>
        <w:rPr>
          <w:rFonts w:hint="eastAsia" w:ascii="新宋体" w:hAnsi="新宋体" w:eastAsia="新宋体" w:cs="新宋体"/>
          <w:color w:val="000000"/>
          <w:kern w:val="0"/>
          <w:sz w:val="24"/>
          <w:szCs w:val="24"/>
        </w:rPr>
        <w:t>月</w:t>
      </w:r>
      <w:r>
        <w:rPr>
          <w:rFonts w:hint="eastAsia" w:ascii="新宋体" w:hAnsi="新宋体" w:eastAsia="新宋体" w:cs="新宋体"/>
          <w:color w:val="000000"/>
          <w:kern w:val="0"/>
          <w:sz w:val="24"/>
          <w:szCs w:val="24"/>
          <w:lang w:val="en-US" w:eastAsia="zh-CN"/>
        </w:rPr>
        <w:t>16</w:t>
      </w:r>
      <w:r>
        <w:rPr>
          <w:rFonts w:hint="eastAsia" w:ascii="新宋体" w:hAnsi="新宋体" w:eastAsia="新宋体" w:cs="新宋体"/>
          <w:color w:val="000000"/>
          <w:kern w:val="0"/>
          <w:sz w:val="24"/>
          <w:szCs w:val="24"/>
        </w:rPr>
        <w:t>日</w:t>
      </w:r>
      <w:r>
        <w:rPr>
          <w:rFonts w:hint="eastAsia" w:ascii="新宋体" w:hAnsi="新宋体" w:eastAsia="新宋体" w:cs="新宋体"/>
          <w:color w:val="000000"/>
          <w:kern w:val="0"/>
          <w:sz w:val="24"/>
          <w:szCs w:val="24"/>
          <w:lang w:val="en-US" w:eastAsia="zh-CN"/>
        </w:rPr>
        <w:t xml:space="preserve"> 9：00 </w:t>
      </w:r>
      <w:r>
        <w:rPr>
          <w:rFonts w:hint="eastAsia" w:ascii="新宋体" w:hAnsi="新宋体" w:eastAsia="新宋体" w:cs="新宋体"/>
          <w:color w:val="000000"/>
          <w:kern w:val="0"/>
          <w:sz w:val="24"/>
          <w:szCs w:val="24"/>
        </w:rPr>
        <w:t>（北京时间），逾期送达或不符合规定的投标文件不予接受。</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2、谈判地点：</w:t>
      </w:r>
      <w:r>
        <w:rPr>
          <w:rFonts w:hint="eastAsia" w:ascii="新宋体" w:hAnsi="新宋体" w:eastAsia="新宋体" w:cs="新宋体"/>
          <w:sz w:val="24"/>
          <w:szCs w:val="24"/>
        </w:rPr>
        <w:t>禹州市公共资源交易中心第二开标室（禹州市</w:t>
      </w:r>
      <w:r>
        <w:rPr>
          <w:rFonts w:hint="eastAsia" w:ascii="新宋体" w:hAnsi="新宋体" w:eastAsia="新宋体" w:cs="新宋体"/>
          <w:color w:val="000000"/>
          <w:kern w:val="0"/>
          <w:sz w:val="24"/>
          <w:szCs w:val="24"/>
        </w:rPr>
        <w:t xml:space="preserve">行政服务中心楼9楼） </w:t>
      </w:r>
    </w:p>
    <w:p>
      <w:pPr>
        <w:keepNext w:val="0"/>
        <w:keepLines w:val="0"/>
        <w:pageBreakBefore w:val="0"/>
        <w:kinsoku/>
        <w:overflowPunct/>
        <w:bidi w:val="0"/>
        <w:spacing w:line="440" w:lineRule="exact"/>
        <w:ind w:firstLine="480" w:firstLineChars="200"/>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3、本项目为全流程电子化交易项目，投标人须提交电子投标文件和纸质投标文件。</w:t>
      </w:r>
    </w:p>
    <w:p>
      <w:pPr>
        <w:keepNext w:val="0"/>
        <w:keepLines w:val="0"/>
        <w:pageBreakBefore w:val="0"/>
        <w:kinsoku/>
        <w:overflowPunct/>
        <w:bidi w:val="0"/>
        <w:spacing w:line="440" w:lineRule="exact"/>
        <w:ind w:firstLine="480" w:firstLineChars="200"/>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（1）加密电子投标文件（.file格式）须在投标截止时间（开标时间）前通过《全国公共资源交易平台(河南省▪许昌市)》公共资源交易系统成功上传。</w:t>
      </w:r>
    </w:p>
    <w:p>
      <w:pPr>
        <w:keepNext w:val="0"/>
        <w:keepLines w:val="0"/>
        <w:pageBreakBefore w:val="0"/>
        <w:kinsoku/>
        <w:overflowPunct/>
        <w:bidi w:val="0"/>
        <w:spacing w:line="440" w:lineRule="exact"/>
        <w:ind w:firstLine="480" w:firstLineChars="200"/>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（2）纸质投标文件（正本1份、副本1份）和备份文件1份（使用电子介质存储）在投标截止时间（开标时间）前递交至本项目开标地点。</w:t>
      </w:r>
    </w:p>
    <w:p>
      <w:pPr>
        <w:keepNext w:val="0"/>
        <w:keepLines w:val="0"/>
        <w:pageBreakBefore w:val="0"/>
        <w:widowControl/>
        <w:shd w:val="clear" w:color="auto" w:fill="FFFFFF"/>
        <w:kinsoku/>
        <w:overflowPunct/>
        <w:bidi w:val="0"/>
        <w:spacing w:line="440" w:lineRule="exact"/>
        <w:ind w:firstLine="482"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b/>
          <w:bCs/>
          <w:color w:val="000000"/>
          <w:kern w:val="0"/>
          <w:sz w:val="24"/>
          <w:szCs w:val="24"/>
          <w:lang w:eastAsia="zh-CN"/>
        </w:rPr>
        <w:t>六</w:t>
      </w:r>
      <w:r>
        <w:rPr>
          <w:rFonts w:hint="eastAsia" w:ascii="新宋体" w:hAnsi="新宋体" w:eastAsia="新宋体" w:cs="新宋体"/>
          <w:color w:val="000000"/>
          <w:kern w:val="0"/>
          <w:sz w:val="24"/>
          <w:szCs w:val="24"/>
        </w:rPr>
        <w:t>、本次招标公告同时在《中国政府采购网》、《河南省政府采购网》、《全国公共资源交易平台（河南省·许昌市）》发布等。</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lang w:eastAsia="zh-CN"/>
        </w:rPr>
        <w:t>七</w:t>
      </w:r>
      <w:r>
        <w:rPr>
          <w:rFonts w:hint="eastAsia" w:ascii="新宋体" w:hAnsi="新宋体" w:eastAsia="新宋体" w:cs="新宋体"/>
          <w:color w:val="000000"/>
          <w:kern w:val="0"/>
          <w:sz w:val="24"/>
          <w:szCs w:val="24"/>
        </w:rPr>
        <w:t>、代理机构及采购单位地址、联系人、联系电话</w:t>
      </w:r>
    </w:p>
    <w:p>
      <w:pPr>
        <w:keepNext w:val="0"/>
        <w:keepLines w:val="0"/>
        <w:pageBreakBefore w:val="0"/>
        <w:widowControl/>
        <w:shd w:val="clear" w:color="auto" w:fill="FFFFFF"/>
        <w:kinsoku/>
        <w:overflowPunct/>
        <w:bidi w:val="0"/>
        <w:spacing w:line="440" w:lineRule="exact"/>
        <w:ind w:firstLine="641"/>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（一）代理机构：禹州市政府采购中心</w:t>
      </w:r>
    </w:p>
    <w:p>
      <w:pPr>
        <w:keepNext w:val="0"/>
        <w:keepLines w:val="0"/>
        <w:pageBreakBefore w:val="0"/>
        <w:widowControl/>
        <w:shd w:val="clear" w:color="auto" w:fill="FFFFFF"/>
        <w:kinsoku/>
        <w:overflowPunct/>
        <w:bidi w:val="0"/>
        <w:spacing w:line="440" w:lineRule="exact"/>
        <w:ind w:firstLine="641"/>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地址：</w:t>
      </w:r>
      <w:r>
        <w:rPr>
          <w:rFonts w:hint="eastAsia" w:ascii="新宋体" w:hAnsi="新宋体" w:eastAsia="新宋体" w:cs="新宋体"/>
          <w:sz w:val="24"/>
          <w:szCs w:val="24"/>
        </w:rPr>
        <w:t>禹州市行政服务中心楼917房间</w:t>
      </w:r>
    </w:p>
    <w:p>
      <w:pPr>
        <w:keepNext w:val="0"/>
        <w:keepLines w:val="0"/>
        <w:pageBreakBefore w:val="0"/>
        <w:widowControl/>
        <w:shd w:val="clear" w:color="auto" w:fill="FFFFFF"/>
        <w:kinsoku/>
        <w:overflowPunct/>
        <w:bidi w:val="0"/>
        <w:spacing w:line="440" w:lineRule="exact"/>
        <w:ind w:firstLine="641"/>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联系人：侯女士  联系电话：0374-2077111</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(二)采购单位：</w:t>
      </w:r>
      <w:r>
        <w:rPr>
          <w:rFonts w:hint="eastAsia" w:ascii="新宋体" w:hAnsi="新宋体" w:eastAsia="新宋体" w:cs="新宋体"/>
          <w:sz w:val="24"/>
          <w:szCs w:val="24"/>
        </w:rPr>
        <w:t>禹州市</w:t>
      </w:r>
      <w:r>
        <w:rPr>
          <w:rFonts w:hint="eastAsia" w:ascii="新宋体" w:hAnsi="新宋体" w:eastAsia="新宋体" w:cs="新宋体"/>
          <w:sz w:val="24"/>
          <w:szCs w:val="24"/>
          <w:lang w:eastAsia="zh-CN"/>
        </w:rPr>
        <w:t>教育体育局</w:t>
      </w:r>
    </w:p>
    <w:p>
      <w:pPr>
        <w:keepNext w:val="0"/>
        <w:keepLines w:val="0"/>
        <w:pageBreakBefore w:val="0"/>
        <w:widowControl/>
        <w:shd w:val="clear" w:color="auto" w:fill="FFFFFF"/>
        <w:kinsoku/>
        <w:overflowPunct/>
        <w:bidi w:val="0"/>
        <w:spacing w:line="440" w:lineRule="exact"/>
        <w:ind w:firstLine="720" w:firstLineChars="300"/>
        <w:jc w:val="left"/>
        <w:textAlignment w:val="auto"/>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地址：禹州市</w:t>
      </w:r>
      <w:r>
        <w:rPr>
          <w:rFonts w:hint="eastAsia" w:ascii="新宋体" w:hAnsi="新宋体" w:eastAsia="新宋体" w:cs="新宋体"/>
          <w:color w:val="000000"/>
          <w:kern w:val="0"/>
          <w:sz w:val="24"/>
          <w:szCs w:val="24"/>
          <w:lang w:eastAsia="zh-CN"/>
        </w:rPr>
        <w:t>王大道</w:t>
      </w:r>
    </w:p>
    <w:p>
      <w:pPr>
        <w:keepNext w:val="0"/>
        <w:keepLines w:val="0"/>
        <w:pageBreakBefore w:val="0"/>
        <w:widowControl/>
        <w:shd w:val="clear" w:color="auto" w:fill="FFFFFF"/>
        <w:kinsoku/>
        <w:overflowPunct/>
        <w:bidi w:val="0"/>
        <w:spacing w:line="440" w:lineRule="exact"/>
        <w:ind w:firstLine="972" w:firstLineChars="405"/>
        <w:jc w:val="left"/>
        <w:textAlignment w:val="auto"/>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联系人：</w:t>
      </w:r>
      <w:r>
        <w:rPr>
          <w:rFonts w:hint="eastAsia" w:ascii="新宋体" w:hAnsi="新宋体" w:eastAsia="新宋体" w:cs="新宋体"/>
          <w:color w:val="000000"/>
          <w:kern w:val="0"/>
          <w:sz w:val="24"/>
          <w:szCs w:val="24"/>
          <w:lang w:eastAsia="zh-CN"/>
        </w:rPr>
        <w:t>任先生</w:t>
      </w:r>
      <w:r>
        <w:rPr>
          <w:rFonts w:hint="eastAsia" w:ascii="新宋体" w:hAnsi="新宋体" w:eastAsia="新宋体" w:cs="新宋体"/>
          <w:color w:val="000000"/>
          <w:kern w:val="0"/>
          <w:sz w:val="24"/>
          <w:szCs w:val="24"/>
        </w:rPr>
        <w:t xml:space="preserve">   联系电话：</w:t>
      </w:r>
      <w:r>
        <w:rPr>
          <w:rFonts w:hint="eastAsia" w:ascii="新宋体" w:hAnsi="新宋体" w:eastAsia="新宋体" w:cs="新宋体"/>
          <w:color w:val="000000"/>
          <w:kern w:val="0"/>
          <w:sz w:val="24"/>
          <w:szCs w:val="24"/>
          <w:lang w:val="en-US" w:eastAsia="zh-CN"/>
        </w:rPr>
        <w:t>15936376268</w:t>
      </w:r>
    </w:p>
    <w:p>
      <w:pPr>
        <w:keepNext w:val="0"/>
        <w:keepLines w:val="0"/>
        <w:pageBreakBefore w:val="0"/>
        <w:widowControl/>
        <w:shd w:val="clear" w:color="auto" w:fill="FFFFFF"/>
        <w:kinsoku/>
        <w:overflowPunct/>
        <w:bidi w:val="0"/>
        <w:spacing w:line="440" w:lineRule="exact"/>
        <w:ind w:firstLine="4329" w:firstLineChars="1804"/>
        <w:jc w:val="left"/>
        <w:textAlignment w:val="auto"/>
        <w:rPr>
          <w:rFonts w:hint="eastAsia" w:ascii="新宋体" w:hAnsi="新宋体" w:eastAsia="新宋体" w:cs="新宋体"/>
          <w:sz w:val="24"/>
          <w:szCs w:val="24"/>
        </w:rPr>
      </w:pPr>
    </w:p>
    <w:p>
      <w:pPr>
        <w:keepNext w:val="0"/>
        <w:keepLines w:val="0"/>
        <w:pageBreakBefore w:val="0"/>
        <w:widowControl/>
        <w:shd w:val="clear" w:color="auto" w:fill="FFFFFF"/>
        <w:kinsoku/>
        <w:overflowPunct/>
        <w:bidi w:val="0"/>
        <w:spacing w:line="440" w:lineRule="exact"/>
        <w:ind w:firstLine="4329" w:firstLineChars="1804"/>
        <w:jc w:val="left"/>
        <w:textAlignment w:val="auto"/>
        <w:rPr>
          <w:rFonts w:hint="eastAsia" w:ascii="新宋体" w:hAnsi="新宋体" w:eastAsia="新宋体" w:cs="新宋体"/>
          <w:sz w:val="24"/>
          <w:szCs w:val="24"/>
        </w:rPr>
      </w:pPr>
    </w:p>
    <w:p>
      <w:pPr>
        <w:keepNext w:val="0"/>
        <w:keepLines w:val="0"/>
        <w:pageBreakBefore w:val="0"/>
        <w:widowControl/>
        <w:shd w:val="clear" w:color="auto" w:fill="FFFFFF"/>
        <w:kinsoku/>
        <w:overflowPunct/>
        <w:bidi w:val="0"/>
        <w:spacing w:line="440" w:lineRule="exact"/>
        <w:ind w:firstLine="4080" w:firstLineChars="1700"/>
        <w:jc w:val="left"/>
        <w:textAlignment w:val="auto"/>
        <w:rPr>
          <w:rFonts w:hint="eastAsia" w:ascii="新宋体" w:hAnsi="新宋体" w:eastAsia="新宋体" w:cs="新宋体"/>
          <w:sz w:val="24"/>
          <w:szCs w:val="24"/>
        </w:rPr>
      </w:pPr>
      <w:r>
        <w:rPr>
          <w:rFonts w:hint="eastAsia" w:ascii="新宋体" w:hAnsi="新宋体" w:eastAsia="新宋体" w:cs="新宋体"/>
          <w:sz w:val="24"/>
          <w:szCs w:val="24"/>
        </w:rPr>
        <w:t xml:space="preserve">2019年 </w:t>
      </w: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日</w:t>
      </w:r>
    </w:p>
    <w:p>
      <w:pPr>
        <w:spacing w:line="600" w:lineRule="exact"/>
        <w:jc w:val="center"/>
        <w:rPr>
          <w:rFonts w:hint="eastAsia"/>
          <w:b/>
          <w:bCs/>
          <w:sz w:val="36"/>
          <w:szCs w:val="36"/>
          <w:lang w:eastAsia="zh-CN"/>
        </w:rPr>
      </w:pPr>
    </w:p>
    <w:p>
      <w:pPr>
        <w:spacing w:line="360" w:lineRule="auto"/>
        <w:rPr>
          <w:rFonts w:hAnsi="宋体"/>
          <w:b/>
          <w:sz w:val="28"/>
          <w:szCs w:val="28"/>
        </w:rPr>
      </w:pPr>
      <w:r>
        <w:rPr>
          <w:rFonts w:hint="eastAsia" w:hAnsi="宋体"/>
          <w:b/>
          <w:sz w:val="28"/>
          <w:szCs w:val="28"/>
        </w:rPr>
        <w:t>温馨提示：</w:t>
      </w:r>
    </w:p>
    <w:p>
      <w:pPr>
        <w:spacing w:line="360" w:lineRule="auto"/>
        <w:ind w:firstLine="562" w:firstLineChars="200"/>
        <w:rPr>
          <w:rFonts w:hAnsi="宋体"/>
          <w:b/>
          <w:sz w:val="28"/>
          <w:szCs w:val="28"/>
        </w:rPr>
      </w:pPr>
      <w:r>
        <w:rPr>
          <w:rFonts w:hint="eastAsia" w:hAnsi="宋体"/>
          <w:b/>
          <w:sz w:val="28"/>
          <w:szCs w:val="28"/>
        </w:rPr>
        <w:t>本项目为全流程电子化交易项目，请认真阅读谈判文件，并注意以下事项。</w:t>
      </w:r>
    </w:p>
    <w:p>
      <w:pPr>
        <w:pStyle w:val="22"/>
        <w:ind w:firstLine="320"/>
        <w:rPr>
          <w:rFonts w:ascii="仿宋_GB2312" w:eastAsia="仿宋_GB2312"/>
          <w:b/>
          <w:sz w:val="32"/>
          <w:szCs w:val="32"/>
        </w:rPr>
      </w:pP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1.</w:t>
      </w:r>
      <w:r>
        <w:rPr>
          <w:rFonts w:hint="eastAsia" w:hAnsi="宋体"/>
          <w:b/>
          <w:color w:val="000000"/>
          <w:szCs w:val="21"/>
        </w:rPr>
        <w:t>供应商应按谈判文件规定编制、提交电子响应文件和纸质响应文件。谈判响应文件递交地点、谈判现场不接受供应商递交的备份电子响应文件和纸质响应文件以外的其他资料。</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2</w:t>
      </w:r>
      <w:r>
        <w:rPr>
          <w:rFonts w:asciiTheme="minorEastAsia" w:hAnsiTheme="minorEastAsia"/>
          <w:b/>
          <w:color w:val="000000"/>
          <w:szCs w:val="21"/>
        </w:rPr>
        <w:t>.</w:t>
      </w:r>
      <w:r>
        <w:rPr>
          <w:rFonts w:hint="eastAsia" w:hAnsi="宋体"/>
          <w:b/>
          <w:color w:val="000000"/>
          <w:szCs w:val="21"/>
        </w:rPr>
        <w:t>电子文件下载、制作、提交期间和谈判响应文件递交（</w:t>
      </w:r>
      <w:r>
        <w:rPr>
          <w:rFonts w:hint="eastAsia" w:hAnsi="宋体"/>
          <w:szCs w:val="21"/>
        </w:rPr>
        <w:t>电子响应文件的解密</w:t>
      </w:r>
      <w:r>
        <w:rPr>
          <w:rFonts w:hint="eastAsia" w:hAnsi="宋体"/>
          <w:b/>
          <w:color w:val="000000"/>
          <w:szCs w:val="21"/>
        </w:rPr>
        <w:t>）环节，供应商须使用</w:t>
      </w:r>
      <w:r>
        <w:rPr>
          <w:rFonts w:hAnsi="宋体"/>
          <w:b/>
          <w:color w:val="000000"/>
          <w:szCs w:val="21"/>
        </w:rPr>
        <w:t>CA数字证书</w:t>
      </w:r>
      <w:r>
        <w:rPr>
          <w:rFonts w:hint="eastAsia" w:hAnsi="宋体"/>
          <w:b/>
          <w:color w:val="000000"/>
          <w:szCs w:val="21"/>
        </w:rPr>
        <w:t>（证书须在有效期内）</w:t>
      </w:r>
      <w:r>
        <w:rPr>
          <w:rFonts w:hAnsi="宋体"/>
          <w:b/>
          <w:color w:val="000000"/>
          <w:szCs w:val="21"/>
        </w:rPr>
        <w:t>。</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3</w:t>
      </w:r>
      <w:r>
        <w:rPr>
          <w:rFonts w:hint="eastAsia" w:asciiTheme="minorEastAsia" w:hAnsiTheme="minorEastAsia"/>
          <w:b/>
          <w:color w:val="000000"/>
          <w:szCs w:val="21"/>
        </w:rPr>
        <w:t>.</w:t>
      </w:r>
      <w:r>
        <w:rPr>
          <w:rFonts w:hint="eastAsia" w:hAnsi="宋体"/>
          <w:b/>
          <w:color w:val="000000"/>
          <w:szCs w:val="21"/>
        </w:rPr>
        <w:t>电子响应文件的制作</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w:t>
      </w:r>
      <w:r>
        <w:rPr>
          <w:rFonts w:hint="eastAsia" w:asciiTheme="minorEastAsia" w:hAnsiTheme="minorEastAsia"/>
          <w:color w:val="000000"/>
          <w:sz w:val="24"/>
          <w:szCs w:val="24"/>
        </w:rPr>
        <w:t>.1</w:t>
      </w:r>
      <w:r>
        <w:rPr>
          <w:rFonts w:hint="eastAsia" w:hAnsi="宋体"/>
          <w:color w:val="000000"/>
          <w:sz w:val="24"/>
          <w:szCs w:val="24"/>
        </w:rPr>
        <w:t xml:space="preserve"> 供应商登录《全国公共资源交易平台</w:t>
      </w:r>
      <w:r>
        <w:rPr>
          <w:rFonts w:hint="eastAsia" w:asciiTheme="majorEastAsia" w:hAnsiTheme="majorEastAsia" w:eastAsiaTheme="majorEastAsia"/>
          <w:color w:val="000000"/>
          <w:sz w:val="24"/>
          <w:szCs w:val="24"/>
        </w:rPr>
        <w:t>(</w:t>
      </w:r>
      <w:r>
        <w:rPr>
          <w:rFonts w:hint="eastAsia" w:hAnsi="宋体"/>
          <w:color w:val="000000"/>
          <w:sz w:val="24"/>
          <w:szCs w:val="24"/>
        </w:rPr>
        <w:t>河南省</w:t>
      </w:r>
      <w:r>
        <w:rPr>
          <w:rFonts w:hint="eastAsia" w:ascii="MS Mincho" w:hAnsi="MS Mincho" w:eastAsia="MS Mincho" w:cs="MS Mincho"/>
          <w:color w:val="000000"/>
          <w:sz w:val="24"/>
          <w:szCs w:val="24"/>
        </w:rPr>
        <w:t>▪</w:t>
      </w:r>
      <w:r>
        <w:rPr>
          <w:rFonts w:hint="eastAsia" w:ascii="宋体" w:hAnsi="宋体" w:eastAsia="宋体" w:cs="宋体"/>
          <w:color w:val="000000"/>
          <w:sz w:val="24"/>
          <w:szCs w:val="24"/>
        </w:rPr>
        <w:t>许昌市</w:t>
      </w:r>
      <w:r>
        <w:rPr>
          <w:rFonts w:hint="eastAsia" w:asciiTheme="minorEastAsia" w:hAnsiTheme="minorEastAsia"/>
          <w:color w:val="000000"/>
          <w:sz w:val="24"/>
          <w:szCs w:val="24"/>
        </w:rPr>
        <w:t>)</w:t>
      </w:r>
      <w:r>
        <w:rPr>
          <w:rFonts w:hint="eastAsia" w:hAnsi="宋体"/>
          <w:color w:val="000000"/>
          <w:sz w:val="24"/>
          <w:szCs w:val="24"/>
        </w:rPr>
        <w:t>》公共资源交易系统（</w:t>
      </w:r>
      <w:r>
        <w:rPr>
          <w:sz w:val="24"/>
          <w:szCs w:val="24"/>
        </w:rPr>
        <w:fldChar w:fldCharType="begin"/>
      </w:r>
      <w:r>
        <w:rPr>
          <w:sz w:val="24"/>
          <w:szCs w:val="24"/>
        </w:rPr>
        <w:instrText xml:space="preserve"> HYPERLINK "http://221.14.6.70:8088/ggzy/" </w:instrText>
      </w:r>
      <w:r>
        <w:rPr>
          <w:sz w:val="24"/>
          <w:szCs w:val="24"/>
        </w:rPr>
        <w:fldChar w:fldCharType="separate"/>
      </w:r>
      <w:r>
        <w:rPr>
          <w:rStyle w:val="29"/>
          <w:rFonts w:hAnsi="宋体"/>
          <w:sz w:val="24"/>
          <w:szCs w:val="24"/>
        </w:rPr>
        <w:t>http://221.14.6.70:8088/ggzy/</w:t>
      </w:r>
      <w:r>
        <w:rPr>
          <w:rStyle w:val="29"/>
          <w:rFonts w:hAnsi="宋体"/>
          <w:sz w:val="24"/>
          <w:szCs w:val="24"/>
        </w:rPr>
        <w:fldChar w:fldCharType="end"/>
      </w:r>
      <w:r>
        <w:rPr>
          <w:rFonts w:hint="eastAsia" w:hAnsi="宋体"/>
          <w:color w:val="000000"/>
          <w:sz w:val="24"/>
          <w:szCs w:val="24"/>
        </w:rPr>
        <w:t>）下载“许昌投标文件制作系统SEARUN 最新版本”，按谈判文件要求制作电子响应文件。</w:t>
      </w:r>
    </w:p>
    <w:p>
      <w:pPr>
        <w:tabs>
          <w:tab w:val="left" w:pos="7095"/>
        </w:tabs>
        <w:spacing w:line="360" w:lineRule="auto"/>
        <w:ind w:firstLine="480" w:firstLineChars="200"/>
        <w:contextualSpacing/>
        <w:rPr>
          <w:rFonts w:hAnsi="宋体"/>
          <w:color w:val="000000"/>
          <w:sz w:val="24"/>
          <w:szCs w:val="24"/>
        </w:rPr>
      </w:pPr>
      <w:r>
        <w:rPr>
          <w:rFonts w:hint="eastAsia" w:hAnsi="宋体"/>
          <w:color w:val="000000"/>
          <w:sz w:val="24"/>
          <w:szCs w:val="24"/>
        </w:rPr>
        <w:t>电子响应文件的制作，参考《全国公共资源交易平台</w:t>
      </w:r>
      <w:r>
        <w:rPr>
          <w:rFonts w:hint="eastAsia" w:asciiTheme="minorEastAsia" w:hAnsiTheme="minorEastAsia"/>
          <w:color w:val="000000"/>
          <w:sz w:val="24"/>
          <w:szCs w:val="24"/>
        </w:rPr>
        <w:t>(</w:t>
      </w:r>
      <w:r>
        <w:rPr>
          <w:rFonts w:hint="eastAsia" w:hAnsi="宋体"/>
          <w:color w:val="000000"/>
          <w:sz w:val="24"/>
          <w:szCs w:val="24"/>
        </w:rPr>
        <w:t>河南省</w:t>
      </w:r>
      <w:r>
        <w:rPr>
          <w:rFonts w:hint="eastAsia" w:ascii="MS Mincho" w:hAnsi="MS Mincho" w:eastAsia="MS Mincho" w:cs="MS Mincho"/>
          <w:color w:val="000000"/>
          <w:sz w:val="24"/>
          <w:szCs w:val="24"/>
        </w:rPr>
        <w:t>▪</w:t>
      </w:r>
      <w:r>
        <w:rPr>
          <w:rFonts w:hint="eastAsia" w:ascii="宋体" w:hAnsi="宋体" w:eastAsia="宋体" w:cs="宋体"/>
          <w:color w:val="000000"/>
          <w:sz w:val="24"/>
          <w:szCs w:val="24"/>
        </w:rPr>
        <w:t>许昌市</w:t>
      </w:r>
      <w:r>
        <w:rPr>
          <w:rFonts w:hint="eastAsia" w:asciiTheme="minorEastAsia" w:hAnsiTheme="minorEastAsia"/>
          <w:color w:val="000000"/>
          <w:sz w:val="24"/>
          <w:szCs w:val="24"/>
        </w:rPr>
        <w:t>)</w:t>
      </w:r>
      <w:r>
        <w:rPr>
          <w:rFonts w:hint="eastAsia" w:hAnsi="宋体"/>
          <w:color w:val="000000"/>
          <w:sz w:val="24"/>
          <w:szCs w:val="24"/>
        </w:rPr>
        <w:t>》公共资源交易系统——组件下载——交易系统操作手册（投标人、供应商）。</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w:t>
      </w:r>
      <w:r>
        <w:rPr>
          <w:rFonts w:hint="eastAsia" w:asciiTheme="minorEastAsia" w:hAnsiTheme="minorEastAsia"/>
          <w:color w:val="000000"/>
          <w:sz w:val="24"/>
          <w:szCs w:val="24"/>
        </w:rPr>
        <w:t>.</w:t>
      </w:r>
      <w:r>
        <w:rPr>
          <w:rFonts w:asciiTheme="minorEastAsia" w:hAnsiTheme="minorEastAsia"/>
          <w:color w:val="000000"/>
          <w:sz w:val="24"/>
          <w:szCs w:val="24"/>
        </w:rPr>
        <w:t>2</w:t>
      </w:r>
      <w:r>
        <w:rPr>
          <w:rFonts w:hint="eastAsia" w:hAnsi="宋体"/>
          <w:color w:val="000000"/>
          <w:sz w:val="24"/>
          <w:szCs w:val="24"/>
        </w:rPr>
        <w:t xml:space="preserve"> 供应商须将谈判文件要求的资质、业绩、荣誉及相关人员证明材料等资料原件扫描件（或图片）制作到所提交的电子响应文件中。</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3.3</w:t>
      </w:r>
      <w:r>
        <w:rPr>
          <w:rFonts w:hint="eastAsia" w:hAnsi="宋体"/>
          <w:color w:val="000000"/>
          <w:sz w:val="24"/>
          <w:szCs w:val="24"/>
        </w:rPr>
        <w:t>供应商对同一项目多个标段进行报价的，应分别下载所响应标段的谈判文件，按标段制作电子响应文件，并</w:t>
      </w:r>
      <w:r>
        <w:rPr>
          <w:rFonts w:hAnsi="宋体"/>
          <w:color w:val="000000"/>
          <w:sz w:val="24"/>
          <w:szCs w:val="24"/>
        </w:rPr>
        <w:t>按</w:t>
      </w:r>
      <w:r>
        <w:rPr>
          <w:rFonts w:hint="eastAsia" w:hAnsi="宋体"/>
          <w:color w:val="000000"/>
          <w:sz w:val="24"/>
          <w:szCs w:val="24"/>
        </w:rPr>
        <w:t>谈判</w:t>
      </w:r>
      <w:r>
        <w:rPr>
          <w:rFonts w:hAnsi="宋体"/>
          <w:color w:val="000000"/>
          <w:sz w:val="24"/>
          <w:szCs w:val="24"/>
        </w:rPr>
        <w:t>文件要求在相应位置加盖</w:t>
      </w:r>
      <w:r>
        <w:rPr>
          <w:rFonts w:hint="eastAsia" w:hAnsi="宋体"/>
          <w:color w:val="000000"/>
          <w:sz w:val="24"/>
          <w:szCs w:val="24"/>
        </w:rPr>
        <w:t>供应商</w:t>
      </w:r>
      <w:r>
        <w:rPr>
          <w:rFonts w:hAnsi="宋体"/>
          <w:color w:val="000000"/>
          <w:sz w:val="24"/>
          <w:szCs w:val="24"/>
        </w:rPr>
        <w:t>电子印章</w:t>
      </w:r>
      <w:r>
        <w:rPr>
          <w:rFonts w:hint="eastAsia" w:hAnsi="宋体"/>
          <w:color w:val="000000"/>
          <w:sz w:val="24"/>
          <w:szCs w:val="24"/>
        </w:rPr>
        <w:t>和法人电子印章。</w:t>
      </w:r>
    </w:p>
    <w:p>
      <w:pPr>
        <w:tabs>
          <w:tab w:val="left" w:pos="7095"/>
        </w:tabs>
        <w:spacing w:line="360" w:lineRule="auto"/>
        <w:ind w:left="105" w:leftChars="50" w:firstLine="360" w:firstLineChars="150"/>
        <w:contextualSpacing/>
        <w:rPr>
          <w:rFonts w:hAnsi="宋体"/>
          <w:color w:val="000000"/>
          <w:sz w:val="24"/>
          <w:szCs w:val="24"/>
        </w:rPr>
      </w:pPr>
      <w:r>
        <w:rPr>
          <w:rFonts w:hint="eastAsia" w:hAnsi="宋体"/>
          <w:color w:val="000000"/>
          <w:sz w:val="24"/>
          <w:szCs w:val="24"/>
        </w:rPr>
        <w:t>一个标段对应生成一个文件夹（xxxx项目xx标段）, 其中包含2个文件和1个文件夹。后缀名为“</w:t>
      </w:r>
      <w:r>
        <w:rPr>
          <w:rFonts w:hAnsi="宋体"/>
          <w:color w:val="000000"/>
          <w:sz w:val="24"/>
          <w:szCs w:val="24"/>
        </w:rPr>
        <w:t>.file</w:t>
      </w:r>
      <w:r>
        <w:rPr>
          <w:rFonts w:hint="eastAsia" w:hAnsi="宋体"/>
          <w:color w:val="000000"/>
          <w:sz w:val="24"/>
          <w:szCs w:val="24"/>
        </w:rPr>
        <w:t>”的文件用于电子响应使用，后缀名为“.PDF”的文件用于打印纸质响应文件，名称为“备份”的文件夹使用电子介质存储，供谈判响应文件递交现场备用。</w:t>
      </w:r>
    </w:p>
    <w:p>
      <w:pPr>
        <w:tabs>
          <w:tab w:val="left" w:pos="7095"/>
        </w:tabs>
        <w:spacing w:line="360" w:lineRule="auto"/>
        <w:ind w:firstLine="482" w:firstLineChars="200"/>
        <w:contextualSpacing/>
        <w:rPr>
          <w:rFonts w:hAnsi="宋体"/>
          <w:b/>
          <w:color w:val="000000"/>
          <w:sz w:val="24"/>
          <w:szCs w:val="24"/>
        </w:rPr>
      </w:pPr>
      <w:r>
        <w:rPr>
          <w:rFonts w:asciiTheme="minorEastAsia" w:hAnsiTheme="minorEastAsia"/>
          <w:b/>
          <w:color w:val="000000"/>
          <w:sz w:val="24"/>
          <w:szCs w:val="24"/>
        </w:rPr>
        <w:t>4</w:t>
      </w:r>
      <w:r>
        <w:rPr>
          <w:rFonts w:hint="eastAsia" w:asciiTheme="minorEastAsia" w:hAnsiTheme="minorEastAsia"/>
          <w:b/>
          <w:color w:val="000000"/>
          <w:sz w:val="24"/>
          <w:szCs w:val="24"/>
        </w:rPr>
        <w:t>.加密</w:t>
      </w:r>
      <w:r>
        <w:rPr>
          <w:rFonts w:hint="eastAsia" w:hAnsi="宋体"/>
          <w:b/>
          <w:color w:val="000000"/>
          <w:sz w:val="24"/>
          <w:szCs w:val="24"/>
        </w:rPr>
        <w:t>电子响应文件的提交</w:t>
      </w:r>
    </w:p>
    <w:p>
      <w:pPr>
        <w:tabs>
          <w:tab w:val="left" w:pos="7095"/>
        </w:tabs>
        <w:spacing w:line="360" w:lineRule="auto"/>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.1加密</w:t>
      </w:r>
      <w:r>
        <w:rPr>
          <w:rFonts w:hint="eastAsia" w:hAnsi="宋体"/>
          <w:color w:val="000000"/>
          <w:sz w:val="24"/>
          <w:szCs w:val="24"/>
        </w:rPr>
        <w:t>电子响应文件应在谈判文件规定的谈判响应截止时间（谈判时间）之前成功提交至《全国公共资源交易平台(河南省</w:t>
      </w:r>
      <w:r>
        <w:rPr>
          <w:rFonts w:hint="eastAsia" w:ascii="MS Mincho" w:hAnsi="MS Mincho" w:eastAsia="MS Mincho" w:cs="MS Mincho"/>
          <w:color w:val="000000"/>
          <w:sz w:val="24"/>
          <w:szCs w:val="24"/>
        </w:rPr>
        <w:t>▪</w:t>
      </w:r>
      <w:r>
        <w:rPr>
          <w:rFonts w:hint="eastAsia" w:ascii="宋体" w:hAnsi="宋体" w:eastAsia="宋体" w:cs="宋体"/>
          <w:color w:val="000000"/>
          <w:sz w:val="24"/>
          <w:szCs w:val="24"/>
        </w:rPr>
        <w:t>许昌市</w:t>
      </w:r>
      <w:r>
        <w:rPr>
          <w:rFonts w:hint="eastAsia" w:hAnsi="宋体"/>
          <w:color w:val="000000"/>
          <w:sz w:val="24"/>
          <w:szCs w:val="24"/>
        </w:rPr>
        <w:t>)》公共资源交易系统（</w:t>
      </w:r>
      <w:r>
        <w:rPr>
          <w:sz w:val="24"/>
          <w:szCs w:val="24"/>
        </w:rPr>
        <w:fldChar w:fldCharType="begin"/>
      </w:r>
      <w:r>
        <w:rPr>
          <w:sz w:val="24"/>
          <w:szCs w:val="24"/>
        </w:rPr>
        <w:instrText xml:space="preserve"> HYPERLINK "http://221.14.6.70:8088/ggzy/" </w:instrText>
      </w:r>
      <w:r>
        <w:rPr>
          <w:sz w:val="24"/>
          <w:szCs w:val="24"/>
        </w:rPr>
        <w:fldChar w:fldCharType="separate"/>
      </w:r>
      <w:r>
        <w:rPr>
          <w:rStyle w:val="29"/>
          <w:rFonts w:hAnsi="宋体"/>
          <w:sz w:val="24"/>
          <w:szCs w:val="24"/>
        </w:rPr>
        <w:t>http://221.14.6.70:8088/ggzy/</w:t>
      </w:r>
      <w:r>
        <w:rPr>
          <w:rStyle w:val="29"/>
          <w:rFonts w:hAnsi="宋体"/>
          <w:sz w:val="24"/>
          <w:szCs w:val="24"/>
        </w:rPr>
        <w:fldChar w:fldCharType="end"/>
      </w:r>
      <w:r>
        <w:rPr>
          <w:rFonts w:hint="eastAsia" w:hAnsi="宋体"/>
          <w:color w:val="000000"/>
          <w:sz w:val="24"/>
          <w:szCs w:val="24"/>
        </w:rPr>
        <w:t>）。</w:t>
      </w:r>
    </w:p>
    <w:p>
      <w:pPr>
        <w:tabs>
          <w:tab w:val="left" w:pos="7095"/>
        </w:tabs>
        <w:spacing w:line="360" w:lineRule="auto"/>
        <w:ind w:firstLine="480" w:firstLineChars="200"/>
        <w:contextualSpacing/>
        <w:rPr>
          <w:rFonts w:hAnsi="宋体"/>
          <w:color w:val="000000"/>
          <w:sz w:val="24"/>
          <w:szCs w:val="24"/>
        </w:rPr>
      </w:pPr>
      <w:r>
        <w:rPr>
          <w:rFonts w:hint="eastAsia" w:hAnsi="宋体"/>
          <w:color w:val="000000"/>
          <w:sz w:val="24"/>
          <w:szCs w:val="24"/>
        </w:rPr>
        <w:t>供应商应充分考虑并预留技术处理和上传数据所需时间。</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 xml:space="preserve">2 </w:t>
      </w:r>
      <w:r>
        <w:rPr>
          <w:rFonts w:hint="eastAsia" w:hAnsi="宋体"/>
          <w:color w:val="000000"/>
          <w:sz w:val="24"/>
          <w:szCs w:val="24"/>
        </w:rPr>
        <w:t>供应商对同一项目多个标段进行报价的，加密电子响应文件应按标段分别提交。</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w:t>
      </w:r>
      <w:r>
        <w:rPr>
          <w:rFonts w:asciiTheme="minorEastAsia" w:hAnsiTheme="minorEastAsia"/>
          <w:color w:val="000000"/>
          <w:sz w:val="24"/>
          <w:szCs w:val="24"/>
        </w:rPr>
        <w:t>3</w:t>
      </w:r>
      <w:r>
        <w:rPr>
          <w:rFonts w:hint="eastAsia" w:asciiTheme="minorEastAsia" w:hAnsiTheme="minorEastAsia"/>
          <w:color w:val="000000"/>
          <w:sz w:val="24"/>
          <w:szCs w:val="24"/>
        </w:rPr>
        <w:t xml:space="preserve"> 加密</w:t>
      </w:r>
      <w:r>
        <w:rPr>
          <w:rFonts w:hint="eastAsia" w:hAnsi="宋体"/>
          <w:color w:val="000000"/>
          <w:sz w:val="24"/>
          <w:szCs w:val="24"/>
        </w:rPr>
        <w:t>电子响应文件成功提交后，供应商应打印“投标文件提交回执单”供谈判响应文件递交现场备查。</w:t>
      </w:r>
    </w:p>
    <w:p>
      <w:pPr>
        <w:tabs>
          <w:tab w:val="left" w:pos="7095"/>
        </w:tabs>
        <w:spacing w:line="360" w:lineRule="auto"/>
        <w:ind w:firstLine="482" w:firstLineChars="200"/>
        <w:contextualSpacing/>
        <w:rPr>
          <w:rFonts w:hAnsi="宋体"/>
          <w:b/>
          <w:color w:val="000000"/>
          <w:sz w:val="24"/>
          <w:szCs w:val="24"/>
        </w:rPr>
      </w:pPr>
      <w:r>
        <w:rPr>
          <w:rFonts w:asciiTheme="minorEastAsia" w:hAnsiTheme="minorEastAsia"/>
          <w:b/>
          <w:color w:val="000000"/>
          <w:sz w:val="24"/>
          <w:szCs w:val="24"/>
        </w:rPr>
        <w:t>5</w:t>
      </w:r>
      <w:r>
        <w:rPr>
          <w:rFonts w:hint="eastAsia" w:asciiTheme="minorEastAsia" w:hAnsiTheme="minorEastAsia"/>
          <w:b/>
          <w:color w:val="000000"/>
          <w:sz w:val="24"/>
          <w:szCs w:val="24"/>
        </w:rPr>
        <w:t>.</w:t>
      </w:r>
      <w:r>
        <w:rPr>
          <w:rFonts w:hint="eastAsia" w:hAnsi="宋体"/>
          <w:b/>
          <w:color w:val="000000"/>
          <w:sz w:val="24"/>
          <w:szCs w:val="24"/>
        </w:rPr>
        <w:t>评审依据</w:t>
      </w:r>
    </w:p>
    <w:p>
      <w:pPr>
        <w:tabs>
          <w:tab w:val="left" w:pos="7095"/>
        </w:tabs>
        <w:spacing w:line="360" w:lineRule="auto"/>
        <w:ind w:firstLine="480" w:firstLineChars="200"/>
        <w:contextualSpacing/>
        <w:rPr>
          <w:rFonts w:hAnsi="宋体"/>
          <w:color w:val="000000"/>
          <w:sz w:val="24"/>
          <w:szCs w:val="24"/>
        </w:rPr>
      </w:pPr>
      <w:r>
        <w:rPr>
          <w:rFonts w:hint="eastAsia" w:asciiTheme="minorEastAsia" w:hAnsiTheme="minorEastAsia"/>
          <w:color w:val="000000"/>
          <w:sz w:val="24"/>
          <w:szCs w:val="24"/>
        </w:rPr>
        <w:t>5.1</w:t>
      </w:r>
      <w:r>
        <w:rPr>
          <w:rFonts w:hint="eastAsia" w:hAnsi="宋体"/>
          <w:color w:val="000000"/>
          <w:sz w:val="24"/>
          <w:szCs w:val="24"/>
        </w:rPr>
        <w:t>采用全流程电子化交易评审时，谈判小组以电子响应文件为依据评审。</w:t>
      </w:r>
    </w:p>
    <w:p>
      <w:pPr>
        <w:tabs>
          <w:tab w:val="left" w:pos="7095"/>
        </w:tabs>
        <w:spacing w:line="360" w:lineRule="auto"/>
        <w:ind w:firstLine="480" w:firstLineChars="200"/>
        <w:contextualSpacing/>
        <w:rPr>
          <w:rFonts w:hAnsi="宋体"/>
          <w:color w:val="000000"/>
          <w:sz w:val="24"/>
          <w:szCs w:val="24"/>
        </w:rPr>
      </w:pPr>
      <w:r>
        <w:rPr>
          <w:rFonts w:hint="eastAsia" w:asciiTheme="minorEastAsia" w:hAnsiTheme="minorEastAsia"/>
          <w:color w:val="000000"/>
          <w:sz w:val="24"/>
          <w:szCs w:val="24"/>
        </w:rPr>
        <w:t>5.2</w:t>
      </w:r>
      <w:r>
        <w:rPr>
          <w:rFonts w:hint="eastAsia" w:hAnsi="宋体"/>
          <w:color w:val="000000"/>
          <w:sz w:val="24"/>
          <w:szCs w:val="24"/>
        </w:rPr>
        <w:t>全流程电子化交易如因系统异常情况无法完成，将以人工方式进行。谈判小组以纸质响应文件为依据评审。</w:t>
      </w: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jc w:val="center"/>
        <w:rPr>
          <w:rFonts w:cs="宋体" w:asciiTheme="majorEastAsia" w:hAnsiTheme="majorEastAsia" w:eastAsiaTheme="majorEastAsia"/>
          <w:b/>
          <w:kern w:val="0"/>
          <w:sz w:val="24"/>
          <w:szCs w:val="24"/>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both"/>
        <w:rPr>
          <w:rFonts w:hint="eastAsia" w:cs="宋体" w:asciiTheme="majorEastAsia" w:hAnsiTheme="majorEastAsia" w:eastAsiaTheme="majorEastAsia"/>
          <w:b/>
          <w:kern w:val="0"/>
          <w:sz w:val="32"/>
          <w:szCs w:val="32"/>
        </w:rPr>
      </w:pPr>
    </w:p>
    <w:p>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 采购需求</w:t>
      </w:r>
    </w:p>
    <w:p>
      <w:pPr>
        <w:rPr>
          <w:rFonts w:cs="宋体" w:asciiTheme="majorEastAsia" w:hAnsiTheme="majorEastAsia" w:eastAsiaTheme="majorEastAsia"/>
          <w:b/>
          <w:kern w:val="0"/>
          <w:sz w:val="32"/>
          <w:szCs w:val="32"/>
        </w:rPr>
      </w:pPr>
    </w:p>
    <w:p>
      <w:pPr>
        <w:widowControl/>
        <w:numPr>
          <w:ilvl w:val="0"/>
          <w:numId w:val="6"/>
        </w:numPr>
        <w:shd w:val="clear" w:color="auto" w:fill="FFFFFF"/>
        <w:spacing w:line="360" w:lineRule="auto"/>
        <w:ind w:firstLine="482" w:firstLineChars="200"/>
        <w:contextualSpacing/>
        <w:jc w:val="left"/>
        <w:rPr>
          <w:rFonts w:cs="黑体" w:asciiTheme="minorEastAsia" w:hAnsiTheme="minorEastAsia"/>
          <w:b/>
          <w:bCs/>
          <w:color w:val="000000"/>
          <w:sz w:val="24"/>
          <w:szCs w:val="24"/>
          <w:shd w:val="clear" w:color="auto" w:fill="FFFFFF"/>
        </w:rPr>
      </w:pPr>
      <w:r>
        <w:rPr>
          <w:rFonts w:hint="eastAsia" w:cs="黑体" w:asciiTheme="minorEastAsia" w:hAnsiTheme="minorEastAsia"/>
          <w:b/>
          <w:bCs/>
          <w:color w:val="000000"/>
          <w:sz w:val="24"/>
          <w:szCs w:val="24"/>
          <w:shd w:val="clear" w:color="auto" w:fill="FFFFFF"/>
        </w:rPr>
        <w:t>本项目需实现的功能或者目标</w:t>
      </w:r>
    </w:p>
    <w:p>
      <w:pPr>
        <w:pStyle w:val="2"/>
        <w:keepNext/>
        <w:keepLines/>
        <w:pageBreakBefore w:val="0"/>
        <w:widowControl w:val="0"/>
        <w:kinsoku/>
        <w:wordWrap/>
        <w:overflowPunct/>
        <w:topLinePunct w:val="0"/>
        <w:autoSpaceDE/>
        <w:autoSpaceDN/>
        <w:bidi w:val="0"/>
        <w:adjustRightInd/>
        <w:snapToGrid/>
        <w:textAlignment w:val="auto"/>
      </w:pPr>
      <w:r>
        <w:rPr>
          <w:rFonts w:hint="eastAsia"/>
        </w:rPr>
        <w:t>幼儿园设施设备应符合国家安全和卫生标准,适应不同年龄儿童的生活能力、学习方式差异和行为反应水平,充分体现儿童积极探索、自主构建的主体地位,满足保育教育需要和儿童主动活动的需求,克服小学化、成人化倾向。</w:t>
      </w:r>
    </w:p>
    <w:p>
      <w:pPr>
        <w:widowControl/>
        <w:numPr>
          <w:ilvl w:val="0"/>
          <w:numId w:val="6"/>
        </w:numPr>
        <w:shd w:val="clear" w:color="auto" w:fill="FFFFFF"/>
        <w:spacing w:line="360" w:lineRule="auto"/>
        <w:ind w:left="0" w:leftChars="0" w:firstLine="482" w:firstLineChars="200"/>
        <w:contextualSpacing/>
        <w:jc w:val="left"/>
        <w:rPr>
          <w:rFonts w:hint="eastAsia" w:cs="黑体" w:asciiTheme="minorEastAsia" w:hAnsiTheme="minorEastAsia"/>
          <w:b/>
          <w:bCs/>
          <w:color w:val="000000"/>
          <w:sz w:val="24"/>
          <w:szCs w:val="24"/>
          <w:shd w:val="clear" w:color="auto" w:fill="FFFFFF"/>
          <w:lang w:eastAsia="zh-CN"/>
        </w:rPr>
      </w:pPr>
      <w:r>
        <w:rPr>
          <w:rFonts w:hint="eastAsia" w:cs="黑体" w:asciiTheme="minorEastAsia" w:hAnsiTheme="minorEastAsia"/>
          <w:b/>
          <w:bCs/>
          <w:color w:val="000000"/>
          <w:sz w:val="24"/>
          <w:szCs w:val="24"/>
          <w:shd w:val="clear" w:color="auto" w:fill="FFFFFF"/>
          <w:lang w:eastAsia="zh-CN"/>
        </w:rPr>
        <w:t>采购清单</w:t>
      </w:r>
    </w:p>
    <w:tbl>
      <w:tblPr>
        <w:tblStyle w:val="24"/>
        <w:tblW w:w="9357" w:type="dxa"/>
        <w:tblInd w:w="0" w:type="dxa"/>
        <w:shd w:val="clear" w:color="auto" w:fill="auto"/>
        <w:tblLayout w:type="fixed"/>
        <w:tblCellMar>
          <w:top w:w="0" w:type="dxa"/>
          <w:left w:w="0" w:type="dxa"/>
          <w:bottom w:w="0" w:type="dxa"/>
          <w:right w:w="0" w:type="dxa"/>
        </w:tblCellMar>
      </w:tblPr>
      <w:tblGrid>
        <w:gridCol w:w="677"/>
        <w:gridCol w:w="998"/>
        <w:gridCol w:w="3010"/>
        <w:gridCol w:w="567"/>
        <w:gridCol w:w="883"/>
        <w:gridCol w:w="3222"/>
      </w:tblGrid>
      <w:tr>
        <w:tblPrEx>
          <w:shd w:val="clear" w:color="auto" w:fill="auto"/>
          <w:tblLayout w:type="fixed"/>
          <w:tblCellMar>
            <w:top w:w="0" w:type="dxa"/>
            <w:left w:w="0" w:type="dxa"/>
            <w:bottom w:w="0" w:type="dxa"/>
            <w:right w:w="0" w:type="dxa"/>
          </w:tblCellMar>
        </w:tblPrEx>
        <w:trPr>
          <w:trHeight w:val="270" w:hRule="atLeast"/>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序号</w:t>
            </w:r>
          </w:p>
        </w:tc>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项目名称</w:t>
            </w:r>
          </w:p>
        </w:tc>
        <w:tc>
          <w:tcPr>
            <w:tcW w:w="30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项目内容及规格</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单位</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职工园幼儿园</w:t>
            </w:r>
          </w:p>
        </w:tc>
        <w:tc>
          <w:tcPr>
            <w:tcW w:w="32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备注</w:t>
            </w:r>
          </w:p>
        </w:tc>
      </w:tr>
      <w:tr>
        <w:tblPrEx>
          <w:tblLayout w:type="fixed"/>
          <w:tblCellMar>
            <w:top w:w="0" w:type="dxa"/>
            <w:left w:w="0" w:type="dxa"/>
            <w:bottom w:w="0" w:type="dxa"/>
            <w:right w:w="0" w:type="dxa"/>
          </w:tblCellMar>
        </w:tblPrEx>
        <w:trPr>
          <w:trHeight w:val="270" w:hRule="atLeast"/>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3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数量</w:t>
            </w:r>
          </w:p>
        </w:tc>
        <w:tc>
          <w:tcPr>
            <w:tcW w:w="32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r>
      <w:tr>
        <w:tblPrEx>
          <w:tblLayout w:type="fixed"/>
          <w:tblCellMar>
            <w:top w:w="0" w:type="dxa"/>
            <w:left w:w="0" w:type="dxa"/>
            <w:bottom w:w="0" w:type="dxa"/>
            <w:right w:w="0" w:type="dxa"/>
          </w:tblCellMar>
        </w:tblPrEx>
        <w:trPr>
          <w:trHeight w:val="14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幼儿课桌2</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材质：全塑桌面，规格：120*60*50CM，误差不能超过1厘米，厚4CM，双层中空，下用2*2CM厚1.5MM方管三横二竖固定框；桌腿用直径6CM，厚2.0MM，桌面与桌腿固定式连接，桌面采用PE环保材料，桌脚自由调节高度。     </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120</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266065</wp:posOffset>
                  </wp:positionH>
                  <wp:positionV relativeFrom="paragraph">
                    <wp:posOffset>116205</wp:posOffset>
                  </wp:positionV>
                  <wp:extent cx="943610" cy="702945"/>
                  <wp:effectExtent l="0" t="0" r="8890" b="1905"/>
                  <wp:wrapNone/>
                  <wp:docPr id="54" name="图片_41"/>
                  <wp:cNvGraphicFramePr/>
                  <a:graphic xmlns:a="http://schemas.openxmlformats.org/drawingml/2006/main">
                    <a:graphicData uri="http://schemas.openxmlformats.org/drawingml/2006/picture">
                      <pic:pic xmlns:pic="http://schemas.openxmlformats.org/drawingml/2006/picture">
                        <pic:nvPicPr>
                          <pic:cNvPr id="54" name="图片_41"/>
                          <pic:cNvPicPr/>
                        </pic:nvPicPr>
                        <pic:blipFill>
                          <a:blip r:embed="rId5"/>
                          <a:stretch>
                            <a:fillRect/>
                          </a:stretch>
                        </pic:blipFill>
                        <pic:spPr>
                          <a:xfrm>
                            <a:off x="0" y="0"/>
                            <a:ext cx="943610" cy="7029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6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幼儿课桌</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材质：环保塑料；规格：155*85*50cm ,误差不能超过1厘米，无毒无味，色彩丰富，耐可升降，桌腿材质：铁。      </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352425</wp:posOffset>
                  </wp:positionH>
                  <wp:positionV relativeFrom="paragraph">
                    <wp:posOffset>114300</wp:posOffset>
                  </wp:positionV>
                  <wp:extent cx="1189990" cy="951230"/>
                  <wp:effectExtent l="0" t="0" r="10160" b="1270"/>
                  <wp:wrapNone/>
                  <wp:docPr id="56" name="Picture_1249"/>
                  <wp:cNvGraphicFramePr/>
                  <a:graphic xmlns:a="http://schemas.openxmlformats.org/drawingml/2006/main">
                    <a:graphicData uri="http://schemas.openxmlformats.org/drawingml/2006/picture">
                      <pic:pic xmlns:pic="http://schemas.openxmlformats.org/drawingml/2006/picture">
                        <pic:nvPicPr>
                          <pic:cNvPr id="56" name="Picture_1249"/>
                          <pic:cNvPicPr/>
                        </pic:nvPicPr>
                        <pic:blipFill>
                          <a:blip r:embed="rId6"/>
                          <a:stretch>
                            <a:fillRect/>
                          </a:stretch>
                        </pic:blipFill>
                        <pic:spPr>
                          <a:xfrm>
                            <a:off x="0" y="0"/>
                            <a:ext cx="1189990" cy="9512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幼儿凳子2</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材质；全塑优质PP塑料；规格：椅背高52CM，弹性靠背及坐垫，带椭圆圆孔提手，座高28CM，椅面30*26CM，腿厚2.0*4CM，经久耐用，鲜艳，不易褪色、不变型、成品内外平整，无毒、无味、环保。重量轻、可重叠放置。</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520</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513715</wp:posOffset>
                  </wp:positionH>
                  <wp:positionV relativeFrom="paragraph">
                    <wp:posOffset>239395</wp:posOffset>
                  </wp:positionV>
                  <wp:extent cx="924560" cy="585470"/>
                  <wp:effectExtent l="0" t="0" r="8890" b="5080"/>
                  <wp:wrapNone/>
                  <wp:docPr id="76" name="图片_40"/>
                  <wp:cNvGraphicFramePr/>
                  <a:graphic xmlns:a="http://schemas.openxmlformats.org/drawingml/2006/main">
                    <a:graphicData uri="http://schemas.openxmlformats.org/drawingml/2006/picture">
                      <pic:pic xmlns:pic="http://schemas.openxmlformats.org/drawingml/2006/picture">
                        <pic:nvPicPr>
                          <pic:cNvPr id="76" name="图片_40"/>
                          <pic:cNvPicPr/>
                        </pic:nvPicPr>
                        <pic:blipFill>
                          <a:blip r:embed="rId7"/>
                          <a:stretch>
                            <a:fillRect/>
                          </a:stretch>
                        </pic:blipFill>
                        <pic:spPr>
                          <a:xfrm>
                            <a:off x="0" y="0"/>
                            <a:ext cx="924560" cy="5854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幼儿床</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材质:松木；尺寸:138*55*20CM,误差不能超过1厘米，表面砂光后喷环保聚酯清漆,衔接自然,实木制作,健康环保。                       </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450</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619125</wp:posOffset>
                  </wp:positionH>
                  <wp:positionV relativeFrom="paragraph">
                    <wp:posOffset>209550</wp:posOffset>
                  </wp:positionV>
                  <wp:extent cx="942975" cy="676275"/>
                  <wp:effectExtent l="0" t="0" r="9525" b="9525"/>
                  <wp:wrapNone/>
                  <wp:docPr id="55" name="图片_35"/>
                  <wp:cNvGraphicFramePr/>
                  <a:graphic xmlns:a="http://schemas.openxmlformats.org/drawingml/2006/main">
                    <a:graphicData uri="http://schemas.openxmlformats.org/drawingml/2006/picture">
                      <pic:pic xmlns:pic="http://schemas.openxmlformats.org/drawingml/2006/picture">
                        <pic:nvPicPr>
                          <pic:cNvPr id="55" name="图片_35"/>
                          <pic:cNvPicPr/>
                        </pic:nvPicPr>
                        <pic:blipFill>
                          <a:blip r:embed="rId8"/>
                          <a:stretch>
                            <a:fillRect/>
                          </a:stretch>
                        </pic:blipFill>
                        <pic:spPr>
                          <a:xfrm>
                            <a:off x="0" y="0"/>
                            <a:ext cx="942975" cy="6762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毛巾水杯架一体柜架</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材质：樟子松。规格：长宽高120*12*120cm带挂钩，3层36人。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104775</wp:posOffset>
                  </wp:positionH>
                  <wp:positionV relativeFrom="paragraph">
                    <wp:posOffset>314325</wp:posOffset>
                  </wp:positionV>
                  <wp:extent cx="1314450" cy="467995"/>
                  <wp:effectExtent l="0" t="0" r="0" b="8255"/>
                  <wp:wrapNone/>
                  <wp:docPr id="57" name="图片_34"/>
                  <wp:cNvGraphicFramePr/>
                  <a:graphic xmlns:a="http://schemas.openxmlformats.org/drawingml/2006/main">
                    <a:graphicData uri="http://schemas.openxmlformats.org/drawingml/2006/picture">
                      <pic:pic xmlns:pic="http://schemas.openxmlformats.org/drawingml/2006/picture">
                        <pic:nvPicPr>
                          <pic:cNvPr id="57" name="图片_34"/>
                          <pic:cNvPicPr/>
                        </pic:nvPicPr>
                        <pic:blipFill>
                          <a:blip r:embed="rId9"/>
                          <a:stretch>
                            <a:fillRect/>
                          </a:stretch>
                        </pic:blipFill>
                        <pic:spPr>
                          <a:xfrm>
                            <a:off x="0" y="0"/>
                            <a:ext cx="1314450" cy="4679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多功能玩具柜1</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材质：樟子松；规格：80*30*120CM，上面三格，下面两个柜子。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30</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619125</wp:posOffset>
                  </wp:positionH>
                  <wp:positionV relativeFrom="paragraph">
                    <wp:posOffset>104775</wp:posOffset>
                  </wp:positionV>
                  <wp:extent cx="755015" cy="695325"/>
                  <wp:effectExtent l="0" t="0" r="6985" b="9525"/>
                  <wp:wrapNone/>
                  <wp:docPr id="58" name="图片_1"/>
                  <wp:cNvGraphicFramePr/>
                  <a:graphic xmlns:a="http://schemas.openxmlformats.org/drawingml/2006/main">
                    <a:graphicData uri="http://schemas.openxmlformats.org/drawingml/2006/picture">
                      <pic:pic xmlns:pic="http://schemas.openxmlformats.org/drawingml/2006/picture">
                        <pic:nvPicPr>
                          <pic:cNvPr id="58" name="图片_1"/>
                          <pic:cNvPicPr/>
                        </pic:nvPicPr>
                        <pic:blipFill>
                          <a:blip r:embed="rId10"/>
                          <a:stretch>
                            <a:fillRect/>
                          </a:stretch>
                        </pic:blipFill>
                        <pic:spPr>
                          <a:xfrm>
                            <a:off x="0" y="0"/>
                            <a:ext cx="755015" cy="6953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7</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多功能玩具柜2</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材质：樟子松；规格：120*30*80CM。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30</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304800</wp:posOffset>
                  </wp:positionH>
                  <wp:positionV relativeFrom="paragraph">
                    <wp:posOffset>38100</wp:posOffset>
                  </wp:positionV>
                  <wp:extent cx="1085850" cy="880110"/>
                  <wp:effectExtent l="0" t="0" r="0" b="15240"/>
                  <wp:wrapNone/>
                  <wp:docPr id="90" name="图片_36"/>
                  <wp:cNvGraphicFramePr/>
                  <a:graphic xmlns:a="http://schemas.openxmlformats.org/drawingml/2006/main">
                    <a:graphicData uri="http://schemas.openxmlformats.org/drawingml/2006/picture">
                      <pic:pic xmlns:pic="http://schemas.openxmlformats.org/drawingml/2006/picture">
                        <pic:nvPicPr>
                          <pic:cNvPr id="90" name="图片_36"/>
                          <pic:cNvPicPr/>
                        </pic:nvPicPr>
                        <pic:blipFill>
                          <a:blip r:embed="rId11"/>
                          <a:stretch>
                            <a:fillRect/>
                          </a:stretch>
                        </pic:blipFill>
                        <pic:spPr>
                          <a:xfrm>
                            <a:off x="0" y="0"/>
                            <a:ext cx="1085850" cy="8801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幼儿鞋柜</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材质：樟子松，规格：120*22*35cm；环保清漆.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142875</wp:posOffset>
                  </wp:positionV>
                  <wp:extent cx="1323975" cy="869315"/>
                  <wp:effectExtent l="0" t="0" r="9525" b="6985"/>
                  <wp:wrapNone/>
                  <wp:docPr id="77" name="图片_38"/>
                  <wp:cNvGraphicFramePr/>
                  <a:graphic xmlns:a="http://schemas.openxmlformats.org/drawingml/2006/main">
                    <a:graphicData uri="http://schemas.openxmlformats.org/drawingml/2006/picture">
                      <pic:pic xmlns:pic="http://schemas.openxmlformats.org/drawingml/2006/picture">
                        <pic:nvPicPr>
                          <pic:cNvPr id="77" name="图片_38"/>
                          <pic:cNvPicPr/>
                        </pic:nvPicPr>
                        <pic:blipFill>
                          <a:blip r:embed="rId12"/>
                          <a:stretch>
                            <a:fillRect/>
                          </a:stretch>
                        </pic:blipFill>
                        <pic:spPr>
                          <a:xfrm>
                            <a:off x="0" y="0"/>
                            <a:ext cx="1323975" cy="86931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衣帽柜</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  规格：120*40*120cm，12格带门柜。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36</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209550</wp:posOffset>
                  </wp:positionH>
                  <wp:positionV relativeFrom="paragraph">
                    <wp:posOffset>180975</wp:posOffset>
                  </wp:positionV>
                  <wp:extent cx="1057275" cy="760095"/>
                  <wp:effectExtent l="0" t="0" r="9525" b="1905"/>
                  <wp:wrapNone/>
                  <wp:docPr id="78" name="图片_39"/>
                  <wp:cNvGraphicFramePr/>
                  <a:graphic xmlns:a="http://schemas.openxmlformats.org/drawingml/2006/main">
                    <a:graphicData uri="http://schemas.openxmlformats.org/drawingml/2006/picture">
                      <pic:pic xmlns:pic="http://schemas.openxmlformats.org/drawingml/2006/picture">
                        <pic:nvPicPr>
                          <pic:cNvPr id="78" name="图片_39"/>
                          <pic:cNvPicPr/>
                        </pic:nvPicPr>
                        <pic:blipFill>
                          <a:blip r:embed="rId13"/>
                          <a:stretch>
                            <a:fillRect/>
                          </a:stretch>
                        </pic:blipFill>
                        <pic:spPr>
                          <a:xfrm>
                            <a:off x="0" y="0"/>
                            <a:ext cx="1057275" cy="7600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斜坡书柜</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材质：樟子松；规格：120*30*120cm。环保清漆，带柜。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381000</wp:posOffset>
                  </wp:positionH>
                  <wp:positionV relativeFrom="paragraph">
                    <wp:posOffset>180975</wp:posOffset>
                  </wp:positionV>
                  <wp:extent cx="1085850" cy="814705"/>
                  <wp:effectExtent l="0" t="0" r="0" b="4445"/>
                  <wp:wrapNone/>
                  <wp:docPr id="69" name="图片_37"/>
                  <wp:cNvGraphicFramePr/>
                  <a:graphic xmlns:a="http://schemas.openxmlformats.org/drawingml/2006/main">
                    <a:graphicData uri="http://schemas.openxmlformats.org/drawingml/2006/picture">
                      <pic:pic xmlns:pic="http://schemas.openxmlformats.org/drawingml/2006/picture">
                        <pic:nvPicPr>
                          <pic:cNvPr id="69" name="图片_37"/>
                          <pic:cNvPicPr/>
                        </pic:nvPicPr>
                        <pic:blipFill>
                          <a:blip r:embed="rId14"/>
                          <a:stretch>
                            <a:fillRect/>
                          </a:stretch>
                        </pic:blipFill>
                        <pic:spPr>
                          <a:xfrm>
                            <a:off x="0" y="0"/>
                            <a:ext cx="1085850" cy="8147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7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11</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移动小黑板</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移动双面翻转磁性黑板，外形尺寸：125*75，单面绿板、单面白板；可自由升降；四个轱辘可自由活动。      </w:t>
            </w:r>
            <w:r>
              <w:rPr>
                <w:rFonts w:hint="eastAsia" w:ascii="新宋体" w:hAnsi="新宋体" w:eastAsia="新宋体" w:cs="新宋体"/>
                <w:b/>
                <w:i w:val="0"/>
                <w:color w:val="000000"/>
                <w:kern w:val="0"/>
                <w:sz w:val="24"/>
                <w:szCs w:val="24"/>
                <w:u w:val="none"/>
                <w:lang w:val="en-US" w:eastAsia="zh-CN" w:bidi="ar"/>
              </w:rPr>
              <w:t xml:space="preserve">提供黑板检验报告复印件。符合WS99-1998黑板安全卫生要求。  </w:t>
            </w:r>
            <w:r>
              <w:rPr>
                <w:rFonts w:hint="eastAsia" w:ascii="新宋体" w:hAnsi="新宋体" w:eastAsia="新宋体" w:cs="新宋体"/>
                <w:i w:val="0"/>
                <w:color w:val="000000"/>
                <w:kern w:val="0"/>
                <w:sz w:val="24"/>
                <w:szCs w:val="24"/>
                <w:u w:val="none"/>
                <w:lang w:val="en-US" w:eastAsia="zh-CN" w:bidi="ar"/>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599440</wp:posOffset>
                  </wp:positionH>
                  <wp:positionV relativeFrom="paragraph">
                    <wp:posOffset>199390</wp:posOffset>
                  </wp:positionV>
                  <wp:extent cx="791210" cy="722630"/>
                  <wp:effectExtent l="0" t="0" r="8890" b="1270"/>
                  <wp:wrapNone/>
                  <wp:docPr id="80" name="图片_12"/>
                  <wp:cNvGraphicFramePr/>
                  <a:graphic xmlns:a="http://schemas.openxmlformats.org/drawingml/2006/main">
                    <a:graphicData uri="http://schemas.openxmlformats.org/drawingml/2006/picture">
                      <pic:pic xmlns:pic="http://schemas.openxmlformats.org/drawingml/2006/picture">
                        <pic:nvPicPr>
                          <pic:cNvPr id="80" name="图片_12"/>
                          <pic:cNvPicPr/>
                        </pic:nvPicPr>
                        <pic:blipFill>
                          <a:blip r:embed="rId15"/>
                          <a:stretch>
                            <a:fillRect/>
                          </a:stretch>
                        </pic:blipFill>
                        <pic:spPr>
                          <a:xfrm>
                            <a:off x="0" y="0"/>
                            <a:ext cx="791210" cy="7226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12</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玩具柜</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超大造型幼儿玩具柜组合柜  材质：密度板，色彩多样，亮丽，A柜：L60*W30*H120CM，B柜：L120*W30*H90CM，C柜：L60*W30*H120CM，D柜：L120*W30*H95CM。                             </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695960</wp:posOffset>
                  </wp:positionH>
                  <wp:positionV relativeFrom="paragraph">
                    <wp:posOffset>149225</wp:posOffset>
                  </wp:positionV>
                  <wp:extent cx="866140" cy="805180"/>
                  <wp:effectExtent l="0" t="0" r="10160" b="13970"/>
                  <wp:wrapNone/>
                  <wp:docPr id="82" name="图片_1_SpCnt_1"/>
                  <wp:cNvGraphicFramePr/>
                  <a:graphic xmlns:a="http://schemas.openxmlformats.org/drawingml/2006/main">
                    <a:graphicData uri="http://schemas.openxmlformats.org/drawingml/2006/picture">
                      <pic:pic xmlns:pic="http://schemas.openxmlformats.org/drawingml/2006/picture">
                        <pic:nvPicPr>
                          <pic:cNvPr id="82" name="图片_1_SpCnt_1"/>
                          <pic:cNvPicPr/>
                        </pic:nvPicPr>
                        <pic:blipFill>
                          <a:blip r:embed="rId16"/>
                          <a:stretch>
                            <a:fillRect/>
                          </a:stretch>
                        </pic:blipFill>
                        <pic:spPr>
                          <a:xfrm>
                            <a:off x="0" y="0"/>
                            <a:ext cx="866140" cy="8051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8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13</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幼儿园玩具筐</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材质：环保塑料   规格：720*520*400cm  玩具筐（带盖）</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50</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151765</wp:posOffset>
                  </wp:positionH>
                  <wp:positionV relativeFrom="paragraph">
                    <wp:posOffset>113030</wp:posOffset>
                  </wp:positionV>
                  <wp:extent cx="1313815" cy="737235"/>
                  <wp:effectExtent l="0" t="0" r="635" b="5715"/>
                  <wp:wrapNone/>
                  <wp:docPr id="62" name="图片_45"/>
                  <wp:cNvGraphicFramePr/>
                  <a:graphic xmlns:a="http://schemas.openxmlformats.org/drawingml/2006/main">
                    <a:graphicData uri="http://schemas.openxmlformats.org/drawingml/2006/picture">
                      <pic:pic xmlns:pic="http://schemas.openxmlformats.org/drawingml/2006/picture">
                        <pic:nvPicPr>
                          <pic:cNvPr id="62" name="图片_45"/>
                          <pic:cNvPicPr/>
                        </pic:nvPicPr>
                        <pic:blipFill>
                          <a:blip r:embed="rId17"/>
                          <a:stretch>
                            <a:fillRect/>
                          </a:stretch>
                        </pic:blipFill>
                        <pic:spPr>
                          <a:xfrm>
                            <a:off x="0" y="0"/>
                            <a:ext cx="1313815" cy="7372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14</w:t>
            </w:r>
          </w:p>
        </w:tc>
        <w:tc>
          <w:tcPr>
            <w:tcW w:w="9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桌面玩具1</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大串珠积木玩具 材质:环保塑料,规格:直径3厘米左右,收纳箱尺寸：30*21*19,色彩多样,不同形状串珠带穿绳,480粒32根绳子。</w:t>
            </w:r>
            <w:r>
              <w:rPr>
                <w:rFonts w:hint="eastAsia" w:ascii="新宋体" w:hAnsi="新宋体" w:eastAsia="新宋体" w:cs="新宋体"/>
                <w:b/>
                <w:i w:val="0"/>
                <w:color w:val="000000"/>
                <w:kern w:val="0"/>
                <w:sz w:val="24"/>
                <w:szCs w:val="24"/>
                <w:u w:val="none"/>
                <w:lang w:val="en-US" w:eastAsia="zh-CN" w:bidi="ar"/>
              </w:rPr>
              <w:t>须提供中国国家强制性产品认证证书复印件。</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88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323850</wp:posOffset>
                  </wp:positionH>
                  <wp:positionV relativeFrom="paragraph">
                    <wp:posOffset>210820</wp:posOffset>
                  </wp:positionV>
                  <wp:extent cx="994410" cy="598805"/>
                  <wp:effectExtent l="0" t="0" r="15240" b="10795"/>
                  <wp:wrapNone/>
                  <wp:docPr id="59" name="图片_4"/>
                  <wp:cNvGraphicFramePr/>
                  <a:graphic xmlns:a="http://schemas.openxmlformats.org/drawingml/2006/main">
                    <a:graphicData uri="http://schemas.openxmlformats.org/drawingml/2006/picture">
                      <pic:pic xmlns:pic="http://schemas.openxmlformats.org/drawingml/2006/picture">
                        <pic:nvPicPr>
                          <pic:cNvPr id="59" name="图片_4"/>
                          <pic:cNvPicPr/>
                        </pic:nvPicPr>
                        <pic:blipFill>
                          <a:blip r:embed="rId18"/>
                          <a:stretch>
                            <a:fillRect/>
                          </a:stretch>
                        </pic:blipFill>
                        <pic:spPr>
                          <a:xfrm>
                            <a:off x="0" y="0"/>
                            <a:ext cx="994410" cy="5988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15</w:t>
            </w:r>
          </w:p>
        </w:tc>
        <w:tc>
          <w:tcPr>
            <w:tcW w:w="9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桌面玩具2</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材质:环保塑料；规格：雪花片积木：1000片/T桶，加厚宝宝益智积木拼插玩具, 色彩丰富,数字雪花片,无毒无味。</w:t>
            </w:r>
            <w:r>
              <w:rPr>
                <w:rFonts w:hint="eastAsia" w:ascii="新宋体" w:hAnsi="新宋体" w:eastAsia="新宋体" w:cs="新宋体"/>
                <w:b/>
                <w:i w:val="0"/>
                <w:color w:val="000000"/>
                <w:kern w:val="0"/>
                <w:sz w:val="24"/>
                <w:szCs w:val="24"/>
                <w:u w:val="none"/>
                <w:lang w:val="en-US" w:eastAsia="zh-CN" w:bidi="ar"/>
              </w:rPr>
              <w:t>须提供中国国家强制性产品认证证书复印件。</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88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276225</wp:posOffset>
                  </wp:positionH>
                  <wp:positionV relativeFrom="paragraph">
                    <wp:posOffset>217805</wp:posOffset>
                  </wp:positionV>
                  <wp:extent cx="953770" cy="498475"/>
                  <wp:effectExtent l="0" t="0" r="17780" b="15875"/>
                  <wp:wrapNone/>
                  <wp:docPr id="60" name="图片_1_SpCnt_2"/>
                  <wp:cNvGraphicFramePr/>
                  <a:graphic xmlns:a="http://schemas.openxmlformats.org/drawingml/2006/main">
                    <a:graphicData uri="http://schemas.openxmlformats.org/drawingml/2006/picture">
                      <pic:pic xmlns:pic="http://schemas.openxmlformats.org/drawingml/2006/picture">
                        <pic:nvPicPr>
                          <pic:cNvPr id="60" name="图片_1_SpCnt_2"/>
                          <pic:cNvPicPr/>
                        </pic:nvPicPr>
                        <pic:blipFill>
                          <a:blip r:embed="rId19"/>
                          <a:stretch>
                            <a:fillRect/>
                          </a:stretch>
                        </pic:blipFill>
                        <pic:spPr>
                          <a:xfrm>
                            <a:off x="0" y="0"/>
                            <a:ext cx="953770" cy="4984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16</w:t>
            </w:r>
          </w:p>
        </w:tc>
        <w:tc>
          <w:tcPr>
            <w:tcW w:w="9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桌面玩具3</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玩具类型:拼插积木  材质：环保塑料；规格：170粒中桶装；拼插积木，大颗粒塑料，色彩丰富，无毒无味，无毛刺，不同形状。</w:t>
            </w:r>
            <w:r>
              <w:rPr>
                <w:rFonts w:hint="eastAsia" w:ascii="新宋体" w:hAnsi="新宋体" w:eastAsia="新宋体" w:cs="新宋体"/>
                <w:b/>
                <w:i w:val="0"/>
                <w:color w:val="000000"/>
                <w:kern w:val="0"/>
                <w:sz w:val="24"/>
                <w:szCs w:val="24"/>
                <w:u w:val="none"/>
                <w:lang w:val="en-US" w:eastAsia="zh-CN" w:bidi="ar"/>
              </w:rPr>
              <w:t>须提供中国国家强制性产品认证证书复印件。</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88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124460</wp:posOffset>
                  </wp:positionH>
                  <wp:positionV relativeFrom="paragraph">
                    <wp:posOffset>219075</wp:posOffset>
                  </wp:positionV>
                  <wp:extent cx="638175" cy="428625"/>
                  <wp:effectExtent l="0" t="0" r="9525" b="9525"/>
                  <wp:wrapNone/>
                  <wp:docPr id="61" name="Picture_1247"/>
                  <wp:cNvGraphicFramePr/>
                  <a:graphic xmlns:a="http://schemas.openxmlformats.org/drawingml/2006/main">
                    <a:graphicData uri="http://schemas.openxmlformats.org/drawingml/2006/picture">
                      <pic:pic xmlns:pic="http://schemas.openxmlformats.org/drawingml/2006/picture">
                        <pic:nvPicPr>
                          <pic:cNvPr id="61" name="Picture_1247"/>
                          <pic:cNvPicPr/>
                        </pic:nvPicPr>
                        <pic:blipFill>
                          <a:blip r:embed="rId20"/>
                          <a:stretch>
                            <a:fillRect/>
                          </a:stretch>
                        </pic:blipFill>
                        <pic:spPr>
                          <a:xfrm>
                            <a:off x="0" y="0"/>
                            <a:ext cx="638175" cy="428625"/>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819150</wp:posOffset>
                  </wp:positionH>
                  <wp:positionV relativeFrom="paragraph">
                    <wp:posOffset>247650</wp:posOffset>
                  </wp:positionV>
                  <wp:extent cx="648970" cy="315595"/>
                  <wp:effectExtent l="0" t="0" r="17780" b="8255"/>
                  <wp:wrapNone/>
                  <wp:docPr id="53" name="Picture_1248"/>
                  <wp:cNvGraphicFramePr/>
                  <a:graphic xmlns:a="http://schemas.openxmlformats.org/drawingml/2006/main">
                    <a:graphicData uri="http://schemas.openxmlformats.org/drawingml/2006/picture">
                      <pic:pic xmlns:pic="http://schemas.openxmlformats.org/drawingml/2006/picture">
                        <pic:nvPicPr>
                          <pic:cNvPr id="53" name="Picture_1248"/>
                          <pic:cNvPicPr/>
                        </pic:nvPicPr>
                        <pic:blipFill>
                          <a:blip r:embed="rId21"/>
                          <a:stretch>
                            <a:fillRect/>
                          </a:stretch>
                        </pic:blipFill>
                        <pic:spPr>
                          <a:xfrm>
                            <a:off x="0" y="0"/>
                            <a:ext cx="648970" cy="3155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7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17</w:t>
            </w:r>
          </w:p>
        </w:tc>
        <w:tc>
          <w:tcPr>
            <w:tcW w:w="9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磁性小玩具</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可爱磁性小动物，材质：塑料。颜色多样，规格：12*12CM,168件/箱，12种动物</w:t>
            </w:r>
          </w:p>
        </w:tc>
        <w:tc>
          <w:tcPr>
            <w:tcW w:w="56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88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123825</wp:posOffset>
                  </wp:positionV>
                  <wp:extent cx="857250" cy="723900"/>
                  <wp:effectExtent l="0" t="0" r="0" b="0"/>
                  <wp:wrapNone/>
                  <wp:docPr id="64" name="图片_30"/>
                  <wp:cNvGraphicFramePr/>
                  <a:graphic xmlns:a="http://schemas.openxmlformats.org/drawingml/2006/main">
                    <a:graphicData uri="http://schemas.openxmlformats.org/drawingml/2006/picture">
                      <pic:pic xmlns:pic="http://schemas.openxmlformats.org/drawingml/2006/picture">
                        <pic:nvPicPr>
                          <pic:cNvPr id="64" name="图片_30"/>
                          <pic:cNvPicPr/>
                        </pic:nvPicPr>
                        <pic:blipFill>
                          <a:blip r:embed="rId22"/>
                          <a:stretch>
                            <a:fillRect/>
                          </a:stretch>
                        </pic:blipFill>
                        <pic:spPr>
                          <a:xfrm>
                            <a:off x="0" y="0"/>
                            <a:ext cx="857250" cy="7239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7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18</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校园大垃圾车</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材质：高密度聚乙烯；规格： 容量240L，商品成分：箱体，实心轮，开合方式：封闭式带盖结构。</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75" name="Picture_1253"/>
                  <wp:cNvGraphicFramePr/>
                  <a:graphic xmlns:a="http://schemas.openxmlformats.org/drawingml/2006/main">
                    <a:graphicData uri="http://schemas.openxmlformats.org/drawingml/2006/picture">
                      <pic:pic xmlns:pic="http://schemas.openxmlformats.org/drawingml/2006/picture">
                        <pic:nvPicPr>
                          <pic:cNvPr id="75" name="Picture_1253"/>
                          <pic:cNvPicPr/>
                        </pic:nvPicPr>
                        <pic:blipFill>
                          <a:blip r:embed="rId23"/>
                          <a:stretch>
                            <a:fillRect/>
                          </a:stretch>
                        </pic:blipFill>
                        <pic:spPr>
                          <a:xfrm>
                            <a:off x="0" y="0"/>
                            <a:ext cx="304800" cy="304800"/>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87" name="Picture_1252"/>
                  <wp:cNvGraphicFramePr/>
                  <a:graphic xmlns:a="http://schemas.openxmlformats.org/drawingml/2006/main">
                    <a:graphicData uri="http://schemas.openxmlformats.org/drawingml/2006/picture">
                      <pic:pic xmlns:pic="http://schemas.openxmlformats.org/drawingml/2006/picture">
                        <pic:nvPicPr>
                          <pic:cNvPr id="87" name="Picture_1252"/>
                          <pic:cNvPicPr/>
                        </pic:nvPicPr>
                        <pic:blipFill>
                          <a:blip r:embed="rId23"/>
                          <a:stretch>
                            <a:fillRect/>
                          </a:stretch>
                        </pic:blipFill>
                        <pic:spPr>
                          <a:xfrm>
                            <a:off x="0" y="0"/>
                            <a:ext cx="304800" cy="304800"/>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342265</wp:posOffset>
                  </wp:positionH>
                  <wp:positionV relativeFrom="paragraph">
                    <wp:posOffset>76200</wp:posOffset>
                  </wp:positionV>
                  <wp:extent cx="1182370" cy="859155"/>
                  <wp:effectExtent l="0" t="0" r="17780" b="17145"/>
                  <wp:wrapNone/>
                  <wp:docPr id="68" name="图片_28"/>
                  <wp:cNvGraphicFramePr/>
                  <a:graphic xmlns:a="http://schemas.openxmlformats.org/drawingml/2006/main">
                    <a:graphicData uri="http://schemas.openxmlformats.org/drawingml/2006/picture">
                      <pic:pic xmlns:pic="http://schemas.openxmlformats.org/drawingml/2006/picture">
                        <pic:nvPicPr>
                          <pic:cNvPr id="68" name="图片_28"/>
                          <pic:cNvPicPr/>
                        </pic:nvPicPr>
                        <pic:blipFill>
                          <a:blip r:embed="rId24"/>
                          <a:stretch>
                            <a:fillRect/>
                          </a:stretch>
                        </pic:blipFill>
                        <pic:spPr>
                          <a:xfrm>
                            <a:off x="0" y="0"/>
                            <a:ext cx="1182370" cy="8591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555"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19</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户外大型玩具</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规格：8.5*3.6*4.0m。城堡系列，表面处理：CO2 保护焊、经喷丸技术处理、然后经过抛光处理、室外聚酯系树脂粉体涂装高温电磁烤漆、高温固化、表面光滑、抗紫外线、抗腐蚀、色彩鲜艳、不易脱落。主立柱直径114mm，厚度2.0mm。</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平台楼梯：材质：高强度冷轧钢板，厚度2.0mm。经特殊工艺表面处理表面显微波浪状冲孔防滑板，不积水，安全美观防滑性好。</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钢管配件：材质：外径25/28/32/38/48/60，镀锌钢管。</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塑 料 件：材质：塑料粒子为优质工程塑料，并添加抗紫外线稳定剂、静电防止剂及抗老化剂，经大型正反流水线滚塑机一次性成型。表面光滑，安全环保，不易褪色。</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表面处理：模铸面、亚光处理。</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柱盖底盘：材质：铸铝合金</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表面处理：室外聚酯系树脂粉体涂装高温电磁烤漆。</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五金零件：材质：不锈钢半圆头，防滑螺帽，T型平头螺丝。</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表面处理：机械抛光。</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b/>
                <w:i w:val="0"/>
                <w:color w:val="000000"/>
                <w:kern w:val="0"/>
                <w:sz w:val="24"/>
                <w:szCs w:val="24"/>
                <w:u w:val="none"/>
                <w:lang w:val="en-US" w:eastAsia="zh-CN" w:bidi="ar"/>
              </w:rPr>
              <w:t>★提供大型玩具由国家玩具质量监督检验中心出具的(检验日期为2018年以后的)检验报告复印件。</w:t>
            </w:r>
            <w:r>
              <w:rPr>
                <w:rFonts w:hint="eastAsia" w:ascii="新宋体" w:hAnsi="新宋体" w:eastAsia="新宋体" w:cs="新宋体"/>
                <w:i w:val="0"/>
                <w:color w:val="000000"/>
                <w:kern w:val="0"/>
                <w:sz w:val="24"/>
                <w:szCs w:val="24"/>
                <w:u w:val="none"/>
                <w:lang w:val="en-US" w:eastAsia="zh-CN" w:bidi="ar"/>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391160</wp:posOffset>
                  </wp:positionH>
                  <wp:positionV relativeFrom="paragraph">
                    <wp:posOffset>984250</wp:posOffset>
                  </wp:positionV>
                  <wp:extent cx="1170940" cy="1512570"/>
                  <wp:effectExtent l="0" t="0" r="10160" b="11430"/>
                  <wp:wrapNone/>
                  <wp:docPr id="83" name="图片_29"/>
                  <wp:cNvGraphicFramePr/>
                  <a:graphic xmlns:a="http://schemas.openxmlformats.org/drawingml/2006/main">
                    <a:graphicData uri="http://schemas.openxmlformats.org/drawingml/2006/picture">
                      <pic:pic xmlns:pic="http://schemas.openxmlformats.org/drawingml/2006/picture">
                        <pic:nvPicPr>
                          <pic:cNvPr id="83" name="图片_29"/>
                          <pic:cNvPicPr/>
                        </pic:nvPicPr>
                        <pic:blipFill>
                          <a:blip r:embed="rId25"/>
                          <a:stretch>
                            <a:fillRect/>
                          </a:stretch>
                        </pic:blipFill>
                        <pic:spPr>
                          <a:xfrm>
                            <a:off x="0" y="0"/>
                            <a:ext cx="1170940" cy="15125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20</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动物蘑菇小屋</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材质:采优质塑料</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规格:126*120*150cm</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适用年龄:1.5岁上</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工艺:大型吹塑一次性成型</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一次成型，环保、安全、耐用。      </w:t>
            </w:r>
            <w:r>
              <w:rPr>
                <w:rFonts w:hint="eastAsia" w:ascii="新宋体" w:hAnsi="新宋体" w:eastAsia="新宋体" w:cs="新宋体"/>
                <w:b/>
                <w:i w:val="0"/>
                <w:color w:val="000000"/>
                <w:kern w:val="0"/>
                <w:sz w:val="24"/>
                <w:szCs w:val="24"/>
                <w:u w:val="none"/>
                <w:lang w:val="en-US" w:eastAsia="zh-CN" w:bidi="ar"/>
              </w:rPr>
              <w:t xml:space="preserve"> 须提供塑料玩具中国环境标志产品认证证书复印件</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791210</wp:posOffset>
                  </wp:positionH>
                  <wp:positionV relativeFrom="paragraph">
                    <wp:posOffset>59055</wp:posOffset>
                  </wp:positionV>
                  <wp:extent cx="914400" cy="933450"/>
                  <wp:effectExtent l="0" t="0" r="0" b="0"/>
                  <wp:wrapNone/>
                  <wp:docPr id="89" name="图片_24"/>
                  <wp:cNvGraphicFramePr/>
                  <a:graphic xmlns:a="http://schemas.openxmlformats.org/drawingml/2006/main">
                    <a:graphicData uri="http://schemas.openxmlformats.org/drawingml/2006/picture">
                      <pic:pic xmlns:pic="http://schemas.openxmlformats.org/drawingml/2006/picture">
                        <pic:nvPicPr>
                          <pic:cNvPr id="89" name="图片_24"/>
                          <pic:cNvPicPr/>
                        </pic:nvPicPr>
                        <pic:blipFill>
                          <a:blip r:embed="rId26"/>
                          <a:stretch>
                            <a:fillRect/>
                          </a:stretch>
                        </pic:blipFill>
                        <pic:spPr>
                          <a:xfrm>
                            <a:off x="0" y="0"/>
                            <a:ext cx="914400" cy="9334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366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21</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打击乐器</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基本尺寸、数量和材质要求：1、碰钟8对：L:130mm，钟：直径为40mm，把：木质本色，铜质，2个/对；2．三角铁8个：边长100mm，打棒：长120mm，银色弹簧钢，配打棒四支；3．6寸铃鼓8个：直径145mm，H:45mm，木质鼓圈，羊皮鼓面，四个电镀鼓铃，木本色；4．砂球2对：长160mm，砂球直径50mm，塑料材质，内有砂粒，2个/对；5．双响筒2个：筒长190mm，木柄长170mm，筒的直径为40mm，椿木，配打棒二支；6．手铃8对：L:210mm，直径24mm,2个/对,尼龙带,两头为尼龙搭扣，5个银色金属铃铛；7．舞板8对：直径55mm，H:25mm，2个/对，塑料材质，两色；8．木鱼1个：75*65*60mm，桦木，配打棒一只；9．响板1个：L:200mm，响板厚25mm，枣木或红木，木本色。</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419100</wp:posOffset>
                  </wp:positionH>
                  <wp:positionV relativeFrom="paragraph">
                    <wp:posOffset>624205</wp:posOffset>
                  </wp:positionV>
                  <wp:extent cx="942975" cy="833120"/>
                  <wp:effectExtent l="0" t="0" r="9525" b="5080"/>
                  <wp:wrapNone/>
                  <wp:docPr id="81" name="图片_39_SpCnt_1"/>
                  <wp:cNvGraphicFramePr/>
                  <a:graphic xmlns:a="http://schemas.openxmlformats.org/drawingml/2006/main">
                    <a:graphicData uri="http://schemas.openxmlformats.org/drawingml/2006/picture">
                      <pic:pic xmlns:pic="http://schemas.openxmlformats.org/drawingml/2006/picture">
                        <pic:nvPicPr>
                          <pic:cNvPr id="81" name="图片_39_SpCnt_1"/>
                          <pic:cNvPicPr/>
                        </pic:nvPicPr>
                        <pic:blipFill>
                          <a:blip r:embed="rId27"/>
                          <a:stretch>
                            <a:fillRect/>
                          </a:stretch>
                        </pic:blipFill>
                        <pic:spPr>
                          <a:xfrm>
                            <a:off x="0" y="0"/>
                            <a:ext cx="942975" cy="8331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8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22</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小型积木</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ABS食品级环保塑料；规格：产品由多种小人，小老虎，乌龟，长颈鹿，鳄鱼，小车，小方块，小栅栏,小窗户，小滑梯，树叶屋顶以及正方块，长方块，海洋球等25种以上配件组成。件数：153件/桶。、100%安全无毒，颜色艳丽，耐光照不褪色，抗压耐磨，光滑不伤手。包装要求：外包装为塑料整理箱，箱子两侧有凹陷处，并有磨砂防滑设计，方便小朋友搬抬抓握，箱子可提可抬。</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419100</wp:posOffset>
                  </wp:positionH>
                  <wp:positionV relativeFrom="paragraph">
                    <wp:posOffset>199390</wp:posOffset>
                  </wp:positionV>
                  <wp:extent cx="914400" cy="1021080"/>
                  <wp:effectExtent l="0" t="0" r="0" b="7620"/>
                  <wp:wrapNone/>
                  <wp:docPr id="73" name="图片_16"/>
                  <wp:cNvGraphicFramePr/>
                  <a:graphic xmlns:a="http://schemas.openxmlformats.org/drawingml/2006/main">
                    <a:graphicData uri="http://schemas.openxmlformats.org/drawingml/2006/picture">
                      <pic:pic xmlns:pic="http://schemas.openxmlformats.org/drawingml/2006/picture">
                        <pic:nvPicPr>
                          <pic:cNvPr id="73" name="图片_16"/>
                          <pic:cNvPicPr/>
                        </pic:nvPicPr>
                        <pic:blipFill>
                          <a:blip r:embed="rId28"/>
                          <a:stretch>
                            <a:fillRect/>
                          </a:stretch>
                        </pic:blipFill>
                        <pic:spPr>
                          <a:xfrm>
                            <a:off x="0" y="0"/>
                            <a:ext cx="914400" cy="10210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23</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中型积木</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材质：全塑料，采用ABS、PE材料制作，无毒，无味，不断裂。</w:t>
            </w:r>
            <w:r>
              <w:rPr>
                <w:rFonts w:hint="eastAsia" w:ascii="新宋体" w:hAnsi="新宋体" w:eastAsia="新宋体" w:cs="新宋体"/>
                <w:b/>
                <w:i w:val="0"/>
                <w:color w:val="000000"/>
                <w:kern w:val="0"/>
                <w:sz w:val="24"/>
                <w:szCs w:val="24"/>
                <w:u w:val="none"/>
                <w:lang w:val="en-US" w:eastAsia="zh-CN" w:bidi="ar"/>
              </w:rPr>
              <w:t>须提供塑料玩具中国环境标志产品认证证书复印件</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638810</wp:posOffset>
                  </wp:positionH>
                  <wp:positionV relativeFrom="paragraph">
                    <wp:posOffset>219710</wp:posOffset>
                  </wp:positionV>
                  <wp:extent cx="723265" cy="725805"/>
                  <wp:effectExtent l="0" t="0" r="635" b="17145"/>
                  <wp:wrapNone/>
                  <wp:docPr id="85" name="图片_14"/>
                  <wp:cNvGraphicFramePr/>
                  <a:graphic xmlns:a="http://schemas.openxmlformats.org/drawingml/2006/main">
                    <a:graphicData uri="http://schemas.openxmlformats.org/drawingml/2006/picture">
                      <pic:pic xmlns:pic="http://schemas.openxmlformats.org/drawingml/2006/picture">
                        <pic:nvPicPr>
                          <pic:cNvPr id="85" name="图片_14"/>
                          <pic:cNvPicPr/>
                        </pic:nvPicPr>
                        <pic:blipFill>
                          <a:blip r:embed="rId29"/>
                          <a:stretch>
                            <a:fillRect/>
                          </a:stretch>
                        </pic:blipFill>
                        <pic:spPr>
                          <a:xfrm>
                            <a:off x="0" y="0"/>
                            <a:ext cx="723265" cy="7258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0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24</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小神童俱乐部</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小型房子带滑梯，规格：300*178*170cm；材质：优质工程塑料；工艺：吹塑；产品无毒、无味、无毛刺；防脱色，韧性好，高强度，两面光滑不退色。</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723900</wp:posOffset>
                  </wp:positionH>
                  <wp:positionV relativeFrom="paragraph">
                    <wp:posOffset>142240</wp:posOffset>
                  </wp:positionV>
                  <wp:extent cx="838200" cy="600710"/>
                  <wp:effectExtent l="0" t="0" r="0" b="8890"/>
                  <wp:wrapNone/>
                  <wp:docPr id="86" name="图片_18"/>
                  <wp:cNvGraphicFramePr/>
                  <a:graphic xmlns:a="http://schemas.openxmlformats.org/drawingml/2006/main">
                    <a:graphicData uri="http://schemas.openxmlformats.org/drawingml/2006/picture">
                      <pic:pic xmlns:pic="http://schemas.openxmlformats.org/drawingml/2006/picture">
                        <pic:nvPicPr>
                          <pic:cNvPr id="86" name="图片_18"/>
                          <pic:cNvPicPr/>
                        </pic:nvPicPr>
                        <pic:blipFill>
                          <a:blip r:embed="rId30"/>
                          <a:stretch>
                            <a:fillRect/>
                          </a:stretch>
                        </pic:blipFill>
                        <pic:spPr>
                          <a:xfrm>
                            <a:off x="0" y="0"/>
                            <a:ext cx="838200" cy="6007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25</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巧克力小屋</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规格：125*135*143cm，材质：优质工程塑料；工艺：吹塑；产品无毒、无味、无毛刺；防脱色，韧性好，高强度，两面光滑不退色。</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818515</wp:posOffset>
                  </wp:positionH>
                  <wp:positionV relativeFrom="paragraph">
                    <wp:posOffset>257810</wp:posOffset>
                  </wp:positionV>
                  <wp:extent cx="743585" cy="612140"/>
                  <wp:effectExtent l="0" t="0" r="18415" b="16510"/>
                  <wp:wrapNone/>
                  <wp:docPr id="94" name="图片_19"/>
                  <wp:cNvGraphicFramePr/>
                  <a:graphic xmlns:a="http://schemas.openxmlformats.org/drawingml/2006/main">
                    <a:graphicData uri="http://schemas.openxmlformats.org/drawingml/2006/picture">
                      <pic:pic xmlns:pic="http://schemas.openxmlformats.org/drawingml/2006/picture">
                        <pic:nvPicPr>
                          <pic:cNvPr id="94" name="图片_19"/>
                          <pic:cNvPicPr/>
                        </pic:nvPicPr>
                        <pic:blipFill>
                          <a:blip r:embed="rId31"/>
                          <a:stretch>
                            <a:fillRect/>
                          </a:stretch>
                        </pic:blipFill>
                        <pic:spPr>
                          <a:xfrm>
                            <a:off x="0" y="0"/>
                            <a:ext cx="743585" cy="6121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26</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立体钻山洞</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材质：采用优质工程塑料，规格：8个/套，添加抗紫外线剂，抗氧剂，抗静电剂，经高温滚制而成，保证产品十年以内不褪色，不老化。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667385</wp:posOffset>
                  </wp:positionH>
                  <wp:positionV relativeFrom="paragraph">
                    <wp:posOffset>267970</wp:posOffset>
                  </wp:positionV>
                  <wp:extent cx="894715" cy="609600"/>
                  <wp:effectExtent l="0" t="0" r="635" b="0"/>
                  <wp:wrapNone/>
                  <wp:docPr id="74" name="图片_22"/>
                  <wp:cNvGraphicFramePr/>
                  <a:graphic xmlns:a="http://schemas.openxmlformats.org/drawingml/2006/main">
                    <a:graphicData uri="http://schemas.openxmlformats.org/drawingml/2006/picture">
                      <pic:pic xmlns:pic="http://schemas.openxmlformats.org/drawingml/2006/picture">
                        <pic:nvPicPr>
                          <pic:cNvPr id="74" name="图片_22"/>
                          <pic:cNvPicPr/>
                        </pic:nvPicPr>
                        <pic:blipFill>
                          <a:blip r:embed="rId32"/>
                          <a:stretch>
                            <a:fillRect/>
                          </a:stretch>
                        </pic:blipFill>
                        <pic:spPr>
                          <a:xfrm>
                            <a:off x="0" y="0"/>
                            <a:ext cx="894715" cy="6096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27</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跷跷板</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材质:优质食品工程塑料；规格;136×32×40cm规格塑料粒子为优质工程塑料，食品级，并添加抗紫外线稳定剂、静电防止剂及抗老化剂，表面光滑，不变形</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676275</wp:posOffset>
                  </wp:positionH>
                  <wp:positionV relativeFrom="paragraph">
                    <wp:posOffset>296545</wp:posOffset>
                  </wp:positionV>
                  <wp:extent cx="676275" cy="483870"/>
                  <wp:effectExtent l="0" t="0" r="9525" b="11430"/>
                  <wp:wrapNone/>
                  <wp:docPr id="84" name="图片_20"/>
                  <wp:cNvGraphicFramePr/>
                  <a:graphic xmlns:a="http://schemas.openxmlformats.org/drawingml/2006/main">
                    <a:graphicData uri="http://schemas.openxmlformats.org/drawingml/2006/picture">
                      <pic:pic xmlns:pic="http://schemas.openxmlformats.org/drawingml/2006/picture">
                        <pic:nvPicPr>
                          <pic:cNvPr id="84" name="图片_20"/>
                          <pic:cNvPicPr/>
                        </pic:nvPicPr>
                        <pic:blipFill>
                          <a:blip r:embed="rId33"/>
                          <a:stretch>
                            <a:fillRect/>
                          </a:stretch>
                        </pic:blipFill>
                        <pic:spPr>
                          <a:xfrm>
                            <a:off x="0" y="0"/>
                            <a:ext cx="676275" cy="4838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28</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摇摇马或琼鱼</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材质：优质食品工程塑料；规格:73×30×50cm，严格按标准渗入抗紫外线，防静电及防脱色原素，强度大，表面光滑，色彩鲜艳，安全环保，不易褪色。</w:t>
            </w:r>
            <w:r>
              <w:rPr>
                <w:rFonts w:hint="eastAsia" w:ascii="新宋体" w:hAnsi="新宋体" w:eastAsia="新宋体" w:cs="新宋体"/>
                <w:b/>
                <w:i w:val="0"/>
                <w:color w:val="000000"/>
                <w:kern w:val="0"/>
                <w:sz w:val="24"/>
                <w:szCs w:val="24"/>
                <w:u w:val="none"/>
                <w:lang w:val="en-US" w:eastAsia="zh-CN" w:bidi="ar"/>
              </w:rPr>
              <w:t>须提供塑料玩具中国环境标志产品认证证书复印件。</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36</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647065</wp:posOffset>
                  </wp:positionH>
                  <wp:positionV relativeFrom="paragraph">
                    <wp:posOffset>190500</wp:posOffset>
                  </wp:positionV>
                  <wp:extent cx="686435" cy="645795"/>
                  <wp:effectExtent l="0" t="0" r="18415" b="1905"/>
                  <wp:wrapNone/>
                  <wp:docPr id="88" name="图片_26"/>
                  <wp:cNvGraphicFramePr/>
                  <a:graphic xmlns:a="http://schemas.openxmlformats.org/drawingml/2006/main">
                    <a:graphicData uri="http://schemas.openxmlformats.org/drawingml/2006/picture">
                      <pic:pic xmlns:pic="http://schemas.openxmlformats.org/drawingml/2006/picture">
                        <pic:nvPicPr>
                          <pic:cNvPr id="88" name="图片_26"/>
                          <pic:cNvPicPr/>
                        </pic:nvPicPr>
                        <pic:blipFill>
                          <a:blip r:embed="rId34"/>
                          <a:stretch>
                            <a:fillRect/>
                          </a:stretch>
                        </pic:blipFill>
                        <pic:spPr>
                          <a:xfrm>
                            <a:off x="0" y="0"/>
                            <a:ext cx="686435" cy="6457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29</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大滚球</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材质：工程塑料；规格：直径50厘米；塑料粒子为优质工程塑料，食品级，并添加抗紫外线稳定剂、静电防止剂及抗老化剂，经大型吹塑机一次性成型。表面光滑，不变形。安全环保.</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581025</wp:posOffset>
                  </wp:positionH>
                  <wp:positionV relativeFrom="paragraph">
                    <wp:posOffset>180340</wp:posOffset>
                  </wp:positionV>
                  <wp:extent cx="704850" cy="684530"/>
                  <wp:effectExtent l="0" t="0" r="0" b="1270"/>
                  <wp:wrapNone/>
                  <wp:docPr id="91" name="图片_27"/>
                  <wp:cNvGraphicFramePr/>
                  <a:graphic xmlns:a="http://schemas.openxmlformats.org/drawingml/2006/main">
                    <a:graphicData uri="http://schemas.openxmlformats.org/drawingml/2006/picture">
                      <pic:pic xmlns:pic="http://schemas.openxmlformats.org/drawingml/2006/picture">
                        <pic:nvPicPr>
                          <pic:cNvPr id="91" name="图片_27"/>
                          <pic:cNvPicPr/>
                        </pic:nvPicPr>
                        <pic:blipFill>
                          <a:blip r:embed="rId35"/>
                          <a:stretch>
                            <a:fillRect/>
                          </a:stretch>
                        </pic:blipFill>
                        <pic:spPr>
                          <a:xfrm>
                            <a:off x="0" y="0"/>
                            <a:ext cx="704850" cy="6845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30</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卡通垃圾箱</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材质：优质优质树脂，规格：50*50*80cm左右</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10</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781050</wp:posOffset>
                  </wp:positionH>
                  <wp:positionV relativeFrom="paragraph">
                    <wp:posOffset>161925</wp:posOffset>
                  </wp:positionV>
                  <wp:extent cx="474345" cy="573405"/>
                  <wp:effectExtent l="0" t="0" r="1905" b="17145"/>
                  <wp:wrapNone/>
                  <wp:docPr id="93" name="图片_42"/>
                  <wp:cNvGraphicFramePr/>
                  <a:graphic xmlns:a="http://schemas.openxmlformats.org/drawingml/2006/main">
                    <a:graphicData uri="http://schemas.openxmlformats.org/drawingml/2006/picture">
                      <pic:pic xmlns:pic="http://schemas.openxmlformats.org/drawingml/2006/picture">
                        <pic:nvPicPr>
                          <pic:cNvPr id="93" name="图片_42"/>
                          <pic:cNvPicPr/>
                        </pic:nvPicPr>
                        <pic:blipFill>
                          <a:blip r:embed="rId36"/>
                          <a:stretch>
                            <a:fillRect/>
                          </a:stretch>
                        </pic:blipFill>
                        <pic:spPr>
                          <a:xfrm>
                            <a:off x="0" y="0"/>
                            <a:ext cx="474345" cy="5734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31</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小推车</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材质：环保PE塑料，规格：长80*宽30*高38cm。颜色：红黄蓝绿，保证产品不褪色，不老化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494665</wp:posOffset>
                  </wp:positionH>
                  <wp:positionV relativeFrom="paragraph">
                    <wp:posOffset>123825</wp:posOffset>
                  </wp:positionV>
                  <wp:extent cx="810260" cy="628650"/>
                  <wp:effectExtent l="0" t="0" r="8890" b="0"/>
                  <wp:wrapNone/>
                  <wp:docPr id="92" name="图片_29_SpCnt_1"/>
                  <wp:cNvGraphicFramePr/>
                  <a:graphic xmlns:a="http://schemas.openxmlformats.org/drawingml/2006/main">
                    <a:graphicData uri="http://schemas.openxmlformats.org/drawingml/2006/picture">
                      <pic:pic xmlns:pic="http://schemas.openxmlformats.org/drawingml/2006/picture">
                        <pic:nvPicPr>
                          <pic:cNvPr id="92" name="图片_29_SpCnt_1"/>
                          <pic:cNvPicPr/>
                        </pic:nvPicPr>
                        <pic:blipFill>
                          <a:blip r:embed="rId37"/>
                          <a:stretch>
                            <a:fillRect/>
                          </a:stretch>
                        </pic:blipFill>
                        <pic:spPr>
                          <a:xfrm>
                            <a:off x="0" y="0"/>
                            <a:ext cx="810260" cy="6286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32</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四分之一圆</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材质：优质工程塑料；工艺：滚塑；产品无毒、无味、无毛刺；</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628650</wp:posOffset>
                  </wp:positionH>
                  <wp:positionV relativeFrom="paragraph">
                    <wp:posOffset>200660</wp:posOffset>
                  </wp:positionV>
                  <wp:extent cx="647700" cy="646430"/>
                  <wp:effectExtent l="0" t="0" r="0" b="1270"/>
                  <wp:wrapNone/>
                  <wp:docPr id="70" name="Picture_14429"/>
                  <wp:cNvGraphicFramePr/>
                  <a:graphic xmlns:a="http://schemas.openxmlformats.org/drawingml/2006/main">
                    <a:graphicData uri="http://schemas.openxmlformats.org/drawingml/2006/picture">
                      <pic:pic xmlns:pic="http://schemas.openxmlformats.org/drawingml/2006/picture">
                        <pic:nvPicPr>
                          <pic:cNvPr id="70" name="Picture_14429"/>
                          <pic:cNvPicPr/>
                        </pic:nvPicPr>
                        <pic:blipFill>
                          <a:blip r:embed="rId38"/>
                          <a:stretch>
                            <a:fillRect/>
                          </a:stretch>
                        </pic:blipFill>
                        <pic:spPr>
                          <a:xfrm>
                            <a:off x="0" y="0"/>
                            <a:ext cx="647700" cy="6464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33</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体能训练组合</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16件/套，一字梯5个，平衡板5个，攀登架6个，材质：松木碳化处理），表面多道环保清漆处理，棱角圆角处理，无毒、无味、 表面光滑。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113665</wp:posOffset>
                  </wp:positionH>
                  <wp:positionV relativeFrom="paragraph">
                    <wp:posOffset>266700</wp:posOffset>
                  </wp:positionV>
                  <wp:extent cx="1269365" cy="603250"/>
                  <wp:effectExtent l="0" t="0" r="6985" b="6350"/>
                  <wp:wrapNone/>
                  <wp:docPr id="79" name="图片_40_SpCnt_1"/>
                  <wp:cNvGraphicFramePr/>
                  <a:graphic xmlns:a="http://schemas.openxmlformats.org/drawingml/2006/main">
                    <a:graphicData uri="http://schemas.openxmlformats.org/drawingml/2006/picture">
                      <pic:pic xmlns:pic="http://schemas.openxmlformats.org/drawingml/2006/picture">
                        <pic:nvPicPr>
                          <pic:cNvPr id="79" name="图片_40_SpCnt_1"/>
                          <pic:cNvPicPr/>
                        </pic:nvPicPr>
                        <pic:blipFill>
                          <a:blip r:embed="rId39"/>
                          <a:stretch>
                            <a:fillRect/>
                          </a:stretch>
                        </pic:blipFill>
                        <pic:spPr>
                          <a:xfrm>
                            <a:off x="0" y="0"/>
                            <a:ext cx="1269365" cy="6032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34</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拓展类器械</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材质：柳桉；规格：400*400*120cm,无异味，环保清漆，实物与图片相符。</w:t>
            </w:r>
            <w:r>
              <w:rPr>
                <w:rFonts w:hint="eastAsia" w:ascii="新宋体" w:hAnsi="新宋体" w:eastAsia="新宋体" w:cs="新宋体"/>
                <w:b/>
                <w:i w:val="0"/>
                <w:color w:val="000000"/>
                <w:kern w:val="0"/>
                <w:sz w:val="24"/>
                <w:szCs w:val="24"/>
                <w:u w:val="none"/>
                <w:lang w:val="en-US" w:eastAsia="zh-CN" w:bidi="ar"/>
              </w:rPr>
              <w:t>提供拓展类器械检测报告复印件(甲醛释放量小于1.5mg/L）。</w:t>
            </w:r>
            <w:r>
              <w:rPr>
                <w:rFonts w:hint="eastAsia" w:ascii="新宋体" w:hAnsi="新宋体" w:eastAsia="新宋体" w:cs="新宋体"/>
                <w:i w:val="0"/>
                <w:color w:val="000000"/>
                <w:kern w:val="0"/>
                <w:sz w:val="24"/>
                <w:szCs w:val="24"/>
                <w:u w:val="none"/>
                <w:lang w:val="en-US" w:eastAsia="zh-CN" w:bidi="ar"/>
              </w:rPr>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94615</wp:posOffset>
                  </wp:positionH>
                  <wp:positionV relativeFrom="paragraph">
                    <wp:posOffset>257175</wp:posOffset>
                  </wp:positionV>
                  <wp:extent cx="1219835" cy="715645"/>
                  <wp:effectExtent l="0" t="0" r="18415" b="8255"/>
                  <wp:wrapNone/>
                  <wp:docPr id="71" name="图片_41_SpCnt_1"/>
                  <wp:cNvGraphicFramePr/>
                  <a:graphic xmlns:a="http://schemas.openxmlformats.org/drawingml/2006/main">
                    <a:graphicData uri="http://schemas.openxmlformats.org/drawingml/2006/picture">
                      <pic:pic xmlns:pic="http://schemas.openxmlformats.org/drawingml/2006/picture">
                        <pic:nvPicPr>
                          <pic:cNvPr id="71" name="图片_41_SpCnt_1"/>
                          <pic:cNvPicPr/>
                        </pic:nvPicPr>
                        <pic:blipFill>
                          <a:blip r:embed="rId40"/>
                          <a:stretch>
                            <a:fillRect/>
                          </a:stretch>
                        </pic:blipFill>
                        <pic:spPr>
                          <a:xfrm>
                            <a:off x="0" y="0"/>
                            <a:ext cx="1219835" cy="7156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35</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自然角柜</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材质：松木，规格：100*35*120cm。</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742315</wp:posOffset>
                  </wp:positionH>
                  <wp:positionV relativeFrom="paragraph">
                    <wp:posOffset>40640</wp:posOffset>
                  </wp:positionV>
                  <wp:extent cx="819785" cy="930910"/>
                  <wp:effectExtent l="0" t="0" r="18415" b="2540"/>
                  <wp:wrapNone/>
                  <wp:docPr id="72" name="图片_29_SpCnt_2"/>
                  <wp:cNvGraphicFramePr/>
                  <a:graphic xmlns:a="http://schemas.openxmlformats.org/drawingml/2006/main">
                    <a:graphicData uri="http://schemas.openxmlformats.org/drawingml/2006/picture">
                      <pic:pic xmlns:pic="http://schemas.openxmlformats.org/drawingml/2006/picture">
                        <pic:nvPicPr>
                          <pic:cNvPr id="72" name="图片_29_SpCnt_2"/>
                          <pic:cNvPicPr/>
                        </pic:nvPicPr>
                        <pic:blipFill>
                          <a:blip r:embed="rId41"/>
                          <a:stretch>
                            <a:fillRect/>
                          </a:stretch>
                        </pic:blipFill>
                        <pic:spPr>
                          <a:xfrm>
                            <a:off x="0" y="0"/>
                            <a:ext cx="819785" cy="9309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36</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攀登架</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材质：柳桉，规格：500*150*200cm，天然、美观，不变形、不开裂、不弯曲。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476885</wp:posOffset>
                  </wp:positionH>
                  <wp:positionV relativeFrom="paragraph">
                    <wp:posOffset>93345</wp:posOffset>
                  </wp:positionV>
                  <wp:extent cx="981710" cy="977900"/>
                  <wp:effectExtent l="0" t="0" r="8890" b="12700"/>
                  <wp:wrapNone/>
                  <wp:docPr id="95" name="图片_26_SpCnt_1"/>
                  <wp:cNvGraphicFramePr/>
                  <a:graphic xmlns:a="http://schemas.openxmlformats.org/drawingml/2006/main">
                    <a:graphicData uri="http://schemas.openxmlformats.org/drawingml/2006/picture">
                      <pic:pic xmlns:pic="http://schemas.openxmlformats.org/drawingml/2006/picture">
                        <pic:nvPicPr>
                          <pic:cNvPr id="95" name="图片_26_SpCnt_1"/>
                          <pic:cNvPicPr/>
                        </pic:nvPicPr>
                        <pic:blipFill>
                          <a:blip r:embed="rId42"/>
                          <a:stretch>
                            <a:fillRect/>
                          </a:stretch>
                        </pic:blipFill>
                        <pic:spPr>
                          <a:xfrm>
                            <a:off x="0" y="0"/>
                            <a:ext cx="981710" cy="9779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2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37</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彩色轮胎</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规格：10只/组，彩色，带固定架一套。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247650</wp:posOffset>
                  </wp:positionH>
                  <wp:positionV relativeFrom="paragraph">
                    <wp:posOffset>152400</wp:posOffset>
                  </wp:positionV>
                  <wp:extent cx="1162050" cy="833755"/>
                  <wp:effectExtent l="0" t="0" r="0" b="4445"/>
                  <wp:wrapNone/>
                  <wp:docPr id="96" name="图片_43"/>
                  <wp:cNvGraphicFramePr/>
                  <a:graphic xmlns:a="http://schemas.openxmlformats.org/drawingml/2006/main">
                    <a:graphicData uri="http://schemas.openxmlformats.org/drawingml/2006/picture">
                      <pic:pic xmlns:pic="http://schemas.openxmlformats.org/drawingml/2006/picture">
                        <pic:nvPicPr>
                          <pic:cNvPr id="96" name="图片_43"/>
                          <pic:cNvPicPr/>
                        </pic:nvPicPr>
                        <pic:blipFill>
                          <a:blip r:embed="rId43"/>
                          <a:stretch>
                            <a:fillRect/>
                          </a:stretch>
                        </pic:blipFill>
                        <pic:spPr>
                          <a:xfrm>
                            <a:off x="0" y="0"/>
                            <a:ext cx="1162050" cy="8337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38</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区角厨房玩教具</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材质：实木；规格：160×79×34cm,五件套、拆装，多层夹板、环保水性漆。</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381000</wp:posOffset>
                  </wp:positionH>
                  <wp:positionV relativeFrom="paragraph">
                    <wp:posOffset>152400</wp:posOffset>
                  </wp:positionV>
                  <wp:extent cx="895350" cy="944245"/>
                  <wp:effectExtent l="0" t="0" r="0" b="8255"/>
                  <wp:wrapNone/>
                  <wp:docPr id="65" name="图片_2"/>
                  <wp:cNvGraphicFramePr/>
                  <a:graphic xmlns:a="http://schemas.openxmlformats.org/drawingml/2006/main">
                    <a:graphicData uri="http://schemas.openxmlformats.org/drawingml/2006/picture">
                      <pic:pic xmlns:pic="http://schemas.openxmlformats.org/drawingml/2006/picture">
                        <pic:nvPicPr>
                          <pic:cNvPr id="65" name="图片_2"/>
                          <pic:cNvPicPr/>
                        </pic:nvPicPr>
                        <pic:blipFill>
                          <a:blip r:embed="rId44"/>
                          <a:stretch>
                            <a:fillRect/>
                          </a:stretch>
                        </pic:blipFill>
                        <pic:spPr>
                          <a:xfrm>
                            <a:off x="0" y="0"/>
                            <a:ext cx="895350" cy="9442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39</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区角超市玩教具</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材质：实木；规格：120×149×10.5cm，超市全套、多层夹板、环保水性漆。</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361950</wp:posOffset>
                  </wp:positionH>
                  <wp:positionV relativeFrom="paragraph">
                    <wp:posOffset>76200</wp:posOffset>
                  </wp:positionV>
                  <wp:extent cx="1000125" cy="1095375"/>
                  <wp:effectExtent l="0" t="0" r="9525" b="9525"/>
                  <wp:wrapNone/>
                  <wp:docPr id="66" name="图片_1_SpCnt_3"/>
                  <wp:cNvGraphicFramePr/>
                  <a:graphic xmlns:a="http://schemas.openxmlformats.org/drawingml/2006/main">
                    <a:graphicData uri="http://schemas.openxmlformats.org/drawingml/2006/picture">
                      <pic:pic xmlns:pic="http://schemas.openxmlformats.org/drawingml/2006/picture">
                        <pic:nvPicPr>
                          <pic:cNvPr id="66" name="图片_1_SpCnt_3"/>
                          <pic:cNvPicPr/>
                        </pic:nvPicPr>
                        <pic:blipFill>
                          <a:blip r:embed="rId45"/>
                          <a:stretch>
                            <a:fillRect/>
                          </a:stretch>
                        </pic:blipFill>
                        <pic:spPr>
                          <a:xfrm>
                            <a:off x="0" y="0"/>
                            <a:ext cx="1000125" cy="10953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40</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区角医院教玩具</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规格：120*120*135CM，材质：优质密度板+烤漆工艺 （可拆装），环保无异味,安全环保。</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盒</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466725</wp:posOffset>
                  </wp:positionH>
                  <wp:positionV relativeFrom="paragraph">
                    <wp:posOffset>180975</wp:posOffset>
                  </wp:positionV>
                  <wp:extent cx="981075" cy="923925"/>
                  <wp:effectExtent l="0" t="0" r="9525" b="9525"/>
                  <wp:wrapNone/>
                  <wp:docPr id="67" name="图片_33"/>
                  <wp:cNvGraphicFramePr/>
                  <a:graphic xmlns:a="http://schemas.openxmlformats.org/drawingml/2006/main">
                    <a:graphicData uri="http://schemas.openxmlformats.org/drawingml/2006/picture">
                      <pic:pic xmlns:pic="http://schemas.openxmlformats.org/drawingml/2006/picture">
                        <pic:nvPicPr>
                          <pic:cNvPr id="67" name="图片_33"/>
                          <pic:cNvPicPr/>
                        </pic:nvPicPr>
                        <pic:blipFill>
                          <a:blip r:embed="rId46"/>
                          <a:stretch>
                            <a:fillRect/>
                          </a:stretch>
                        </pic:blipFill>
                        <pic:spPr>
                          <a:xfrm>
                            <a:off x="0" y="0"/>
                            <a:ext cx="981075" cy="9239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41</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投篮架</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材质：塑料，规格：高150cm可升降；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542290</wp:posOffset>
                  </wp:positionH>
                  <wp:positionV relativeFrom="paragraph">
                    <wp:posOffset>123825</wp:posOffset>
                  </wp:positionV>
                  <wp:extent cx="791210" cy="962025"/>
                  <wp:effectExtent l="0" t="0" r="8890" b="9525"/>
                  <wp:wrapNone/>
                  <wp:docPr id="98" name="图片_31"/>
                  <wp:cNvGraphicFramePr/>
                  <a:graphic xmlns:a="http://schemas.openxmlformats.org/drawingml/2006/main">
                    <a:graphicData uri="http://schemas.openxmlformats.org/drawingml/2006/picture">
                      <pic:pic xmlns:pic="http://schemas.openxmlformats.org/drawingml/2006/picture">
                        <pic:nvPicPr>
                          <pic:cNvPr id="98" name="图片_31"/>
                          <pic:cNvPicPr/>
                        </pic:nvPicPr>
                        <pic:blipFill>
                          <a:blip r:embed="rId47"/>
                          <a:stretch>
                            <a:fillRect/>
                          </a:stretch>
                        </pic:blipFill>
                        <pic:spPr>
                          <a:xfrm>
                            <a:off x="0" y="0"/>
                            <a:ext cx="791210" cy="9620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42</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建构积木</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材质：木质规格：200件/组  优质、环保。</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417830</wp:posOffset>
                  </wp:positionH>
                  <wp:positionV relativeFrom="paragraph">
                    <wp:posOffset>172720</wp:posOffset>
                  </wp:positionV>
                  <wp:extent cx="915670" cy="960755"/>
                  <wp:effectExtent l="0" t="0" r="17780" b="10795"/>
                  <wp:wrapNone/>
                  <wp:docPr id="97" name="图片_32"/>
                  <wp:cNvGraphicFramePr/>
                  <a:graphic xmlns:a="http://schemas.openxmlformats.org/drawingml/2006/main">
                    <a:graphicData uri="http://schemas.openxmlformats.org/drawingml/2006/picture">
                      <pic:pic xmlns:pic="http://schemas.openxmlformats.org/drawingml/2006/picture">
                        <pic:nvPicPr>
                          <pic:cNvPr id="97" name="图片_32"/>
                          <pic:cNvPicPr/>
                        </pic:nvPicPr>
                        <pic:blipFill>
                          <a:blip r:embed="rId48"/>
                          <a:stretch>
                            <a:fillRect/>
                          </a:stretch>
                        </pic:blipFill>
                        <pic:spPr>
                          <a:xfrm>
                            <a:off x="0" y="0"/>
                            <a:ext cx="915670" cy="9607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43</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货架</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规格：300*75*105cm，高强度PVC管道组合，装卸方便，积极调动儿童攀登、爬越、平衡、灵敏身体延展、协调及综合等各项功能，；配有滑轮，带刹车功能，配有防雨布。</w:t>
            </w:r>
            <w:r>
              <w:rPr>
                <w:rFonts w:hint="eastAsia" w:ascii="新宋体" w:hAnsi="新宋体" w:eastAsia="新宋体" w:cs="新宋体"/>
                <w:b/>
                <w:i w:val="0"/>
                <w:color w:val="000000"/>
                <w:kern w:val="0"/>
                <w:sz w:val="24"/>
                <w:szCs w:val="24"/>
                <w:u w:val="none"/>
                <w:lang w:val="en-US" w:eastAsia="zh-CN" w:bidi="ar"/>
              </w:rPr>
              <w:t xml:space="preserve">提供货架检验报告复印件(砷，钡，镉，铬，锑，铅，汞，硒含量不超限值）   </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381000</wp:posOffset>
                  </wp:positionH>
                  <wp:positionV relativeFrom="paragraph">
                    <wp:posOffset>200025</wp:posOffset>
                  </wp:positionV>
                  <wp:extent cx="1181100" cy="845185"/>
                  <wp:effectExtent l="0" t="0" r="0" b="12065"/>
                  <wp:wrapNone/>
                  <wp:docPr id="63" name="图片_44"/>
                  <wp:cNvGraphicFramePr/>
                  <a:graphic xmlns:a="http://schemas.openxmlformats.org/drawingml/2006/main">
                    <a:graphicData uri="http://schemas.openxmlformats.org/drawingml/2006/picture">
                      <pic:pic xmlns:pic="http://schemas.openxmlformats.org/drawingml/2006/picture">
                        <pic:nvPicPr>
                          <pic:cNvPr id="63" name="图片_44"/>
                          <pic:cNvPicPr/>
                        </pic:nvPicPr>
                        <pic:blipFill>
                          <a:blip r:embed="rId49"/>
                          <a:stretch>
                            <a:fillRect/>
                          </a:stretch>
                        </pic:blipFill>
                        <pic:spPr>
                          <a:xfrm>
                            <a:off x="0" y="0"/>
                            <a:ext cx="1181100" cy="8451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44</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单人脚踏车</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单人、黄色，橡胶轮，高碳钢车架。</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697230</wp:posOffset>
                  </wp:positionH>
                  <wp:positionV relativeFrom="paragraph">
                    <wp:posOffset>146050</wp:posOffset>
                  </wp:positionV>
                  <wp:extent cx="1080135" cy="977265"/>
                  <wp:effectExtent l="0" t="0" r="5715" b="13335"/>
                  <wp:wrapNone/>
                  <wp:docPr id="101" name="图片_45_SpCnt_1"/>
                  <wp:cNvGraphicFramePr/>
                  <a:graphic xmlns:a="http://schemas.openxmlformats.org/drawingml/2006/main">
                    <a:graphicData uri="http://schemas.openxmlformats.org/drawingml/2006/picture">
                      <pic:pic xmlns:pic="http://schemas.openxmlformats.org/drawingml/2006/picture">
                        <pic:nvPicPr>
                          <pic:cNvPr id="101" name="图片_45_SpCnt_1"/>
                          <pic:cNvPicPr/>
                        </pic:nvPicPr>
                        <pic:blipFill>
                          <a:blip r:embed="rId50"/>
                          <a:stretch>
                            <a:fillRect/>
                          </a:stretch>
                        </pic:blipFill>
                        <pic:spPr>
                          <a:xfrm>
                            <a:off x="0" y="0"/>
                            <a:ext cx="1080135" cy="97726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45</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双人脚踏车</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双人，红色，橡胶轮，高碳钢车架。</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298450</wp:posOffset>
                  </wp:positionH>
                  <wp:positionV relativeFrom="paragraph">
                    <wp:posOffset>184150</wp:posOffset>
                  </wp:positionV>
                  <wp:extent cx="1075690" cy="941705"/>
                  <wp:effectExtent l="0" t="0" r="10160" b="10795"/>
                  <wp:wrapNone/>
                  <wp:docPr id="99" name="图片_46"/>
                  <wp:cNvGraphicFramePr/>
                  <a:graphic xmlns:a="http://schemas.openxmlformats.org/drawingml/2006/main">
                    <a:graphicData uri="http://schemas.openxmlformats.org/drawingml/2006/picture">
                      <pic:pic xmlns:pic="http://schemas.openxmlformats.org/drawingml/2006/picture">
                        <pic:nvPicPr>
                          <pic:cNvPr id="99" name="图片_46"/>
                          <pic:cNvPicPr/>
                        </pic:nvPicPr>
                        <pic:blipFill>
                          <a:blip r:embed="rId51"/>
                          <a:stretch>
                            <a:fillRect/>
                          </a:stretch>
                        </pic:blipFill>
                        <pic:spPr>
                          <a:xfrm>
                            <a:off x="0" y="0"/>
                            <a:ext cx="1075690" cy="9417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lang w:val="en-US"/>
              </w:rPr>
            </w:pPr>
            <w:r>
              <w:rPr>
                <w:rFonts w:hint="eastAsia" w:ascii="新宋体" w:hAnsi="新宋体" w:eastAsia="新宋体" w:cs="新宋体"/>
                <w:i w:val="0"/>
                <w:color w:val="000000"/>
                <w:kern w:val="0"/>
                <w:sz w:val="24"/>
                <w:szCs w:val="24"/>
                <w:u w:val="none"/>
                <w:lang w:val="en-US" w:eastAsia="zh-CN" w:bidi="ar"/>
              </w:rPr>
              <w:t>46</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旋转六人脚踏车</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六人黄色，橡胶轮，高碳钢车架，</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295910</wp:posOffset>
                  </wp:positionH>
                  <wp:positionV relativeFrom="paragraph">
                    <wp:posOffset>228600</wp:posOffset>
                  </wp:positionV>
                  <wp:extent cx="770890" cy="930910"/>
                  <wp:effectExtent l="0" t="0" r="10160" b="2540"/>
                  <wp:wrapNone/>
                  <wp:docPr id="100" name="图片_34_SpCnt_1"/>
                  <wp:cNvGraphicFramePr/>
                  <a:graphic xmlns:a="http://schemas.openxmlformats.org/drawingml/2006/main">
                    <a:graphicData uri="http://schemas.openxmlformats.org/drawingml/2006/picture">
                      <pic:pic xmlns:pic="http://schemas.openxmlformats.org/drawingml/2006/picture">
                        <pic:nvPicPr>
                          <pic:cNvPr id="100" name="图片_34_SpCnt_1"/>
                          <pic:cNvPicPr/>
                        </pic:nvPicPr>
                        <pic:blipFill>
                          <a:blip r:embed="rId52"/>
                          <a:stretch>
                            <a:fillRect/>
                          </a:stretch>
                        </pic:blipFill>
                        <pic:spPr>
                          <a:xfrm>
                            <a:off x="0" y="0"/>
                            <a:ext cx="770890" cy="9309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6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47</w:t>
            </w:r>
          </w:p>
        </w:tc>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毛巾架</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材质：工程塑料；规格：107*44*80*44cm，工艺：吹塑一次成型，加厚，高低档可调节挂钩，配备挂钩40个。</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kern w:val="0"/>
                <w:sz w:val="24"/>
                <w:szCs w:val="24"/>
                <w:u w:val="none"/>
                <w:bdr w:val="single" w:color="000000" w:sz="4" w:space="0"/>
                <w:lang w:val="en-US" w:eastAsia="zh-CN" w:bidi="ar"/>
              </w:rPr>
            </w:pPr>
          </w:p>
        </w:tc>
      </w:tr>
    </w:tbl>
    <w:p>
      <w:pPr>
        <w:pStyle w:val="22"/>
        <w:numPr>
          <w:ilvl w:val="0"/>
          <w:numId w:val="0"/>
        </w:numPr>
        <w:rPr>
          <w:rFonts w:hint="eastAsia" w:ascii="新宋体" w:hAnsi="新宋体" w:eastAsia="新宋体" w:cs="新宋体"/>
          <w:sz w:val="24"/>
          <w:szCs w:val="24"/>
        </w:rPr>
      </w:pPr>
    </w:p>
    <w:p>
      <w:pPr>
        <w:spacing w:line="360" w:lineRule="auto"/>
        <w:contextualSpacing/>
        <w:rPr>
          <w:rFonts w:cs="微软雅黑" w:asciiTheme="minorEastAsia" w:hAnsiTheme="minorEastAsia"/>
          <w:b/>
          <w:color w:val="FF0000"/>
          <w:sz w:val="24"/>
          <w:szCs w:val="24"/>
        </w:rPr>
      </w:pPr>
      <w:r>
        <w:rPr>
          <w:rFonts w:hint="eastAsia" w:cs="微软雅黑" w:asciiTheme="minorEastAsia" w:hAnsiTheme="minorEastAsia"/>
          <w:b/>
          <w:color w:val="FF0000"/>
          <w:sz w:val="24"/>
          <w:szCs w:val="24"/>
          <w:lang w:eastAsia="zh-CN"/>
        </w:rPr>
        <w:t>注：</w:t>
      </w:r>
      <w:r>
        <w:rPr>
          <w:rFonts w:hint="eastAsia" w:cs="微软雅黑" w:asciiTheme="minorEastAsia" w:hAnsiTheme="minorEastAsia"/>
          <w:b/>
          <w:color w:val="FF0000"/>
          <w:sz w:val="24"/>
          <w:szCs w:val="24"/>
        </w:rPr>
        <w:t>本采购清单中所列技术规格或主要参数为最低要求，不允许负偏离，否则为无效响应文件。</w:t>
      </w:r>
    </w:p>
    <w:p>
      <w:pPr>
        <w:spacing w:line="360" w:lineRule="auto"/>
        <w:ind w:firstLine="482" w:firstLineChars="200"/>
        <w:contextualSpacing/>
        <w:rPr>
          <w:rFonts w:ascii="楷体" w:hAnsi="楷体" w:eastAsia="楷体" w:cs="宋体"/>
          <w:color w:val="000000"/>
          <w:kern w:val="0"/>
          <w:szCs w:val="21"/>
          <w:lang w:val="zh-CN"/>
        </w:rPr>
      </w:pPr>
      <w:r>
        <w:rPr>
          <w:rFonts w:hint="eastAsia" w:cs="宋体" w:asciiTheme="minorEastAsia" w:hAnsiTheme="minorEastAsia"/>
          <w:b/>
          <w:color w:val="000000"/>
          <w:kern w:val="0"/>
          <w:sz w:val="24"/>
          <w:szCs w:val="24"/>
          <w:lang w:val="zh-CN"/>
        </w:rPr>
        <w:t>（三）采购标的执行标准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1、国家标准：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cs="仿宋_GB2312" w:asciiTheme="minorEastAsia" w:hAnsiTheme="minorEastAsia"/>
          <w:sz w:val="24"/>
          <w:szCs w:val="24"/>
          <w:lang w:val="zh-CN"/>
        </w:rPr>
        <w:t>强制性产品认证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如供应商所投产品属于“中国强制性产品认证”（3C认证）范围内,则必须承诺采用</w:t>
      </w:r>
      <w:r>
        <w:rPr>
          <w:rFonts w:cs="仿宋_GB2312" w:asciiTheme="minorEastAsia" w:hAnsiTheme="minorEastAsia"/>
          <w:sz w:val="24"/>
          <w:szCs w:val="24"/>
          <w:lang w:val="zh-CN"/>
        </w:rPr>
        <w:t>《中华人民共和国实施强制性产品认证的产品目录》</w:t>
      </w:r>
      <w:r>
        <w:rPr>
          <w:rFonts w:hint="eastAsia" w:cs="仿宋_GB2312" w:asciiTheme="minorEastAsia" w:hAnsiTheme="minorEastAsia"/>
          <w:sz w:val="24"/>
          <w:szCs w:val="24"/>
          <w:lang w:val="zh-CN"/>
        </w:rPr>
        <w:t>并在有效期内的产品，应在响应文件中提供“所投产品符合国家强制性要求承诺函”并加盖投标人公章，否则将承担其响应被视为非实质性响应的风险。</w:t>
      </w:r>
    </w:p>
    <w:p>
      <w:pPr>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w:t>
      </w:r>
      <w:r>
        <w:rPr>
          <w:rFonts w:cs="宋体" w:asciiTheme="minorEastAsia" w:hAnsiTheme="minorEastAsia"/>
          <w:kern w:val="0"/>
          <w:sz w:val="24"/>
          <w:szCs w:val="24"/>
        </w:rPr>
        <w:t>信息安全产品强制性</w:t>
      </w:r>
      <w:r>
        <w:rPr>
          <w:rFonts w:hint="eastAsia" w:cs="宋体" w:asciiTheme="minorEastAsia" w:hAnsiTheme="minorEastAsia"/>
          <w:kern w:val="0"/>
          <w:sz w:val="24"/>
          <w:szCs w:val="24"/>
        </w:rPr>
        <w:t>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如供应商所投产品</w:t>
      </w:r>
      <w:r>
        <w:rPr>
          <w:rFonts w:hint="eastAsia" w:cs="宋体" w:asciiTheme="minorEastAsia" w:hAnsiTheme="minorEastAsia"/>
          <w:kern w:val="0"/>
          <w:sz w:val="24"/>
          <w:szCs w:val="24"/>
        </w:rPr>
        <w:t>被列入</w:t>
      </w:r>
      <w:r>
        <w:rPr>
          <w:rFonts w:cs="宋体" w:asciiTheme="minorEastAsia" w:hAnsiTheme="minorEastAsia"/>
          <w:kern w:val="0"/>
          <w:sz w:val="24"/>
          <w:szCs w:val="24"/>
        </w:rPr>
        <w:t>《信息安全产品强制性认证目录》，</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并须在响应文件中提供：</w:t>
      </w:r>
    </w:p>
    <w:p>
      <w:pPr>
        <w:wordWrap w:val="0"/>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rPr>
        <w:t>①</w:t>
      </w:r>
      <w:r>
        <w:rPr>
          <w:rFonts w:hint="eastAsia" w:cs="仿宋_GB2312" w:asciiTheme="minorEastAsia" w:hAnsiTheme="minorEastAsia"/>
          <w:sz w:val="24"/>
          <w:szCs w:val="24"/>
          <w:lang w:val="zh-CN"/>
        </w:rPr>
        <w:t>中国信息安全认证中心官网</w:t>
      </w:r>
      <w:r>
        <w:rPr>
          <w:rFonts w:hint="eastAsia" w:cs="仿宋_GB2312" w:asciiTheme="minorEastAsia" w:hAnsiTheme="minorEastAsia"/>
          <w:sz w:val="24"/>
          <w:szCs w:val="24"/>
        </w:rPr>
        <w:t>（</w:t>
      </w:r>
      <w:r>
        <w:rPr>
          <w:rFonts w:cs="仿宋_GB2312" w:asciiTheme="minorEastAsia" w:hAnsiTheme="minorEastAsia"/>
          <w:sz w:val="24"/>
          <w:szCs w:val="24"/>
        </w:rPr>
        <w:t>http://www.isccc.gov.cn/index.shtml</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产品查询结果截图并加盖供应商公章</w:t>
      </w:r>
      <w:r>
        <w:rPr>
          <w:rFonts w:hint="eastAsia" w:cs="仿宋_GB2312" w:asciiTheme="minorEastAsia" w:hAnsiTheme="minorEastAsia"/>
          <w:sz w:val="24"/>
          <w:szCs w:val="24"/>
        </w:rPr>
        <w:t>；</w:t>
      </w:r>
    </w:p>
    <w:p>
      <w:pPr>
        <w:wordWrap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②中国信息安全认证中心颁发的</w:t>
      </w:r>
      <w:r>
        <w:rPr>
          <w:rFonts w:cs="仿宋_GB2312" w:asciiTheme="minorEastAsia" w:hAnsiTheme="minorEastAsia"/>
          <w:sz w:val="24"/>
          <w:szCs w:val="24"/>
          <w:lang w:val="zh-CN"/>
        </w:rPr>
        <w:t>《</w:t>
      </w:r>
      <w:r>
        <w:fldChar w:fldCharType="begin"/>
      </w:r>
      <w:r>
        <w:instrText xml:space="preserve"> HYPERLINK "http://www.cnca.gov.cn/cnca/zwxx/ggxx/images/2010/07/19/A6C32D2A507AC2A38326896013A67542.doc" \t "_blank" </w:instrText>
      </w:r>
      <w:r>
        <w:fldChar w:fldCharType="separate"/>
      </w:r>
      <w:r>
        <w:rPr>
          <w:rFonts w:hint="eastAsia" w:cs="仿宋_GB2312" w:asciiTheme="minorEastAsia" w:hAnsiTheme="minorEastAsia"/>
          <w:sz w:val="24"/>
          <w:szCs w:val="24"/>
          <w:lang w:val="zh-CN"/>
        </w:rPr>
        <w:t>中国国家信息安全产品认证证书</w:t>
      </w:r>
      <w:r>
        <w:rPr>
          <w:rFonts w:hint="eastAsia" w:cs="仿宋_GB2312" w:asciiTheme="minorEastAsia" w:hAnsiTheme="minorEastAsia"/>
          <w:sz w:val="24"/>
          <w:szCs w:val="24"/>
          <w:lang w:val="zh-CN"/>
        </w:rPr>
        <w:fldChar w:fldCharType="end"/>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的原件扫描件（或图片）并加盖供应商公章。</w:t>
      </w:r>
    </w:p>
    <w:p>
      <w:pPr>
        <w:wordWrap w:val="0"/>
        <w:spacing w:line="360" w:lineRule="auto"/>
        <w:ind w:firstLine="480" w:firstLineChars="200"/>
        <w:contextualSpacing/>
        <w:rPr>
          <w:rFonts w:hint="eastAsia" w:ascii="楷体" w:hAnsi="楷体" w:eastAsia="楷体"/>
          <w:color w:val="00000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pStyle w:val="10"/>
        <w:numPr>
          <w:ilvl w:val="0"/>
          <w:numId w:val="7"/>
        </w:numPr>
        <w:rPr>
          <w:rFonts w:hint="eastAsia" w:cs="宋体" w:asciiTheme="minorEastAsia" w:hAnsiTheme="minorEastAsia"/>
          <w:kern w:val="0"/>
          <w:sz w:val="24"/>
          <w:szCs w:val="24"/>
        </w:rPr>
      </w:pPr>
      <w:r>
        <w:rPr>
          <w:rFonts w:hint="eastAsia" w:cs="宋体" w:asciiTheme="minorEastAsia" w:hAnsiTheme="minorEastAsia"/>
          <w:kern w:val="0"/>
          <w:sz w:val="24"/>
          <w:szCs w:val="24"/>
          <w:lang w:val="en-US" w:eastAsia="zh-CN"/>
        </w:rPr>
        <w:t>其他</w:t>
      </w:r>
      <w:r>
        <w:rPr>
          <w:rFonts w:hint="eastAsia" w:cs="宋体" w:asciiTheme="minorEastAsia" w:hAnsiTheme="minorEastAsia"/>
          <w:kern w:val="0"/>
          <w:sz w:val="24"/>
          <w:szCs w:val="24"/>
        </w:rPr>
        <w:t>国家标准</w:t>
      </w:r>
    </w:p>
    <w:p>
      <w:pPr>
        <w:pStyle w:val="10"/>
        <w:numPr>
          <w:ilvl w:val="0"/>
          <w:numId w:val="0"/>
        </w:numPr>
        <w:rPr>
          <w:rFonts w:hint="eastAsia" w:cs="宋体" w:asciiTheme="minorEastAsia" w:hAnsiTheme="minorEastAsia"/>
          <w:kern w:val="0"/>
          <w:sz w:val="24"/>
          <w:szCs w:val="24"/>
        </w:rPr>
      </w:pPr>
      <w:r>
        <w:rPr>
          <w:rFonts w:hint="eastAsia" w:cs="宋体" w:asciiTheme="minorEastAsia" w:hAnsiTheme="minorEastAsia"/>
          <w:kern w:val="0"/>
          <w:sz w:val="24"/>
          <w:szCs w:val="24"/>
        </w:rPr>
        <w:t>GB15629.11-2006 无线局域网媒体访问和物理层规范;</w:t>
      </w:r>
    </w:p>
    <w:p>
      <w:pPr>
        <w:pStyle w:val="10"/>
        <w:numPr>
          <w:ilvl w:val="0"/>
          <w:numId w:val="0"/>
        </w:numPr>
        <w:rPr>
          <w:rFonts w:hint="eastAsia" w:cs="宋体" w:asciiTheme="minorEastAsia" w:hAnsiTheme="minorEastAsia"/>
          <w:kern w:val="0"/>
          <w:sz w:val="24"/>
          <w:szCs w:val="24"/>
        </w:rPr>
      </w:pPr>
      <w:r>
        <w:rPr>
          <w:rFonts w:hint="eastAsia" w:cs="宋体" w:asciiTheme="minorEastAsia" w:hAnsiTheme="minorEastAsia"/>
          <w:kern w:val="0"/>
          <w:sz w:val="24"/>
          <w:szCs w:val="24"/>
        </w:rPr>
        <w:t>GB50348-2004《安全防范工程技术规范》；</w:t>
      </w:r>
    </w:p>
    <w:p>
      <w:pPr>
        <w:pStyle w:val="10"/>
        <w:numPr>
          <w:ilvl w:val="0"/>
          <w:numId w:val="0"/>
        </w:numPr>
        <w:rPr>
          <w:rFonts w:hint="eastAsia" w:cs="宋体" w:asciiTheme="minorEastAsia" w:hAnsiTheme="minorEastAsia"/>
          <w:kern w:val="0"/>
          <w:sz w:val="24"/>
          <w:szCs w:val="24"/>
        </w:rPr>
      </w:pPr>
      <w:r>
        <w:rPr>
          <w:rFonts w:hint="eastAsia" w:cs="宋体" w:asciiTheme="minorEastAsia" w:hAnsiTheme="minorEastAsia"/>
          <w:kern w:val="0"/>
          <w:sz w:val="24"/>
          <w:szCs w:val="24"/>
        </w:rPr>
        <w:t>GB50526—2010 公共广播系统工程技术规范。</w:t>
      </w:r>
    </w:p>
    <w:p>
      <w:pPr>
        <w:widowControl/>
        <w:numPr>
          <w:ilvl w:val="0"/>
          <w:numId w:val="0"/>
        </w:numPr>
        <w:shd w:val="clear" w:color="auto" w:fill="FFFFFF"/>
        <w:spacing w:line="360" w:lineRule="auto"/>
        <w:contextualSpacing/>
        <w:jc w:val="left"/>
        <w:rPr>
          <w:rFonts w:hint="eastAsia" w:cs="宋体" w:asciiTheme="minorEastAsia" w:hAnsiTheme="minorEastAsia"/>
          <w:b/>
          <w:color w:val="000000"/>
          <w:kern w:val="0"/>
          <w:sz w:val="24"/>
          <w:szCs w:val="24"/>
          <w:lang w:val="zh-CN"/>
        </w:rPr>
      </w:pPr>
      <w:r>
        <w:rPr>
          <w:rFonts w:hint="eastAsia" w:ascii="宋体" w:cs="宋体"/>
          <w:sz w:val="24"/>
          <w:lang w:val="en-US" w:eastAsia="zh-CN"/>
        </w:rPr>
        <w:t xml:space="preserve"> </w:t>
      </w:r>
      <w:r>
        <w:rPr>
          <w:rFonts w:hint="eastAsia" w:cs="宋体" w:asciiTheme="minorEastAsia" w:hAnsiTheme="minorEastAsia"/>
          <w:b/>
          <w:color w:val="000000"/>
          <w:kern w:val="0"/>
          <w:sz w:val="24"/>
          <w:szCs w:val="24"/>
          <w:lang w:val="en-US" w:eastAsia="zh-CN"/>
        </w:rPr>
        <w:t xml:space="preserve">  （四）</w:t>
      </w:r>
      <w:r>
        <w:rPr>
          <w:rFonts w:hint="eastAsia" w:cs="宋体" w:asciiTheme="minorEastAsia" w:hAnsiTheme="minorEastAsia"/>
          <w:b/>
          <w:color w:val="000000"/>
          <w:kern w:val="0"/>
          <w:sz w:val="24"/>
          <w:szCs w:val="24"/>
          <w:lang w:val="zh-CN"/>
        </w:rPr>
        <w:t>服务标准、期限、效率等要求</w:t>
      </w:r>
    </w:p>
    <w:p>
      <w:pPr>
        <w:widowControl/>
        <w:numPr>
          <w:ilvl w:val="0"/>
          <w:numId w:val="0"/>
        </w:numPr>
        <w:shd w:val="clear" w:color="auto" w:fill="FFFFFF"/>
        <w:spacing w:line="360" w:lineRule="auto"/>
        <w:contextualSpacing/>
        <w:jc w:val="left"/>
        <w:rPr>
          <w:rFonts w:hint="eastAsia" w:ascii="新宋体" w:hAnsi="新宋体" w:eastAsia="新宋体" w:cs="新宋体"/>
          <w:color w:val="000000"/>
          <w:kern w:val="0"/>
          <w:sz w:val="24"/>
          <w:szCs w:val="24"/>
          <w:lang w:val="en-US" w:eastAsia="zh-CN"/>
        </w:rPr>
      </w:pPr>
      <w:r>
        <w:rPr>
          <w:rFonts w:hint="eastAsia" w:ascii="仿宋" w:hAnsi="仿宋" w:eastAsia="仿宋" w:cs="仿宋"/>
          <w:color w:val="000000"/>
          <w:kern w:val="0"/>
          <w:sz w:val="32"/>
          <w:szCs w:val="32"/>
          <w:lang w:val="en-US" w:eastAsia="zh-CN"/>
        </w:rPr>
        <w:t xml:space="preserve">  </w:t>
      </w:r>
      <w:r>
        <w:rPr>
          <w:rFonts w:hint="eastAsia" w:ascii="新宋体" w:hAnsi="新宋体" w:eastAsia="新宋体" w:cs="新宋体"/>
          <w:color w:val="000000"/>
          <w:kern w:val="0"/>
          <w:sz w:val="24"/>
          <w:szCs w:val="24"/>
          <w:lang w:val="en-US" w:eastAsia="zh-CN"/>
        </w:rPr>
        <w:t>1、质保期要求：本项目的质量保证期不低于行业标准（自验收合格之日起算）。</w:t>
      </w:r>
    </w:p>
    <w:p>
      <w:pPr>
        <w:widowControl/>
        <w:numPr>
          <w:ilvl w:val="0"/>
          <w:numId w:val="0"/>
        </w:numPr>
        <w:shd w:val="clear" w:color="auto" w:fill="FFFFFF"/>
        <w:spacing w:line="360" w:lineRule="auto"/>
        <w:ind w:firstLine="240" w:firstLineChars="100"/>
        <w:contextualSpacing/>
        <w:jc w:val="left"/>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lang w:val="en-US" w:eastAsia="zh-CN"/>
        </w:rPr>
        <w:t>2、服务要求：质保期内，所有货物保维修服务方式均为投标人上门服务，由此产生的一切费用均由投标人承担。在质保期结束后，投标人应提供终身维修服务，发生的相关费用由采购人承担。</w:t>
      </w:r>
    </w:p>
    <w:p>
      <w:pPr>
        <w:widowControl/>
        <w:shd w:val="clear" w:color="auto" w:fill="FFFFFF"/>
        <w:spacing w:line="360" w:lineRule="auto"/>
        <w:ind w:firstLine="482" w:firstLineChars="200"/>
        <w:contextualSpacing/>
        <w:jc w:val="left"/>
        <w:rPr>
          <w:rFonts w:hint="eastAsia" w:ascii="宋体" w:cs="宋体"/>
          <w:sz w:val="24"/>
          <w:lang w:val="zh-CN"/>
        </w:rPr>
      </w:pPr>
      <w:r>
        <w:rPr>
          <w:rFonts w:hint="eastAsia" w:cs="宋体" w:asciiTheme="minorEastAsia" w:hAnsiTheme="minorEastAsia"/>
          <w:b/>
          <w:color w:val="000000"/>
          <w:kern w:val="0"/>
          <w:sz w:val="24"/>
          <w:szCs w:val="24"/>
          <w:lang w:val="zh-CN"/>
        </w:rPr>
        <w:t>（五）采购标的的其他技术、服务等要求</w:t>
      </w:r>
    </w:p>
    <w:p>
      <w:pPr>
        <w:wordWrap w:val="0"/>
        <w:topLinePunct/>
        <w:spacing w:line="360" w:lineRule="auto"/>
        <w:rPr>
          <w:rFonts w:hint="eastAsia"/>
          <w:lang w:val="zh-CN"/>
        </w:rPr>
      </w:pPr>
      <w:r>
        <w:rPr>
          <w:rFonts w:hint="eastAsia" w:ascii="宋体" w:cs="宋体"/>
          <w:sz w:val="24"/>
          <w:lang w:val="zh-CN"/>
        </w:rPr>
        <w:t>1、供应商须明确响应产品的厂家、产地、品牌、型号、详细参数，</w:t>
      </w:r>
      <w:r>
        <w:rPr>
          <w:rFonts w:hint="eastAsia" w:ascii="宋体" w:cs="宋体"/>
          <w:b/>
          <w:sz w:val="24"/>
          <w:lang w:val="zh-CN"/>
        </w:rPr>
        <w:t>否则为无效响应。</w:t>
      </w:r>
    </w:p>
    <w:p>
      <w:pPr>
        <w:wordWrap w:val="0"/>
        <w:topLinePunct/>
        <w:spacing w:line="360" w:lineRule="auto"/>
        <w:rPr>
          <w:rFonts w:hint="eastAsia" w:ascii="宋体" w:cs="宋体"/>
          <w:sz w:val="24"/>
          <w:lang w:val="zh-CN"/>
        </w:rPr>
      </w:pPr>
      <w:r>
        <w:rPr>
          <w:rFonts w:hint="eastAsia" w:ascii="宋体" w:cs="宋体"/>
          <w:sz w:val="24"/>
          <w:lang w:val="en-US" w:eastAsia="zh-CN"/>
        </w:rPr>
        <w:t>2</w:t>
      </w:r>
      <w:r>
        <w:rPr>
          <w:rFonts w:hint="eastAsia" w:ascii="宋体" w:cs="宋体"/>
          <w:sz w:val="24"/>
          <w:lang w:val="zh-CN"/>
        </w:rPr>
        <w:t>、投标人应就该项目完整投标（报价含运输费、税费等综合费用），否则为无效响应文件。</w:t>
      </w:r>
    </w:p>
    <w:p>
      <w:pPr>
        <w:pStyle w:val="10"/>
        <w:rPr>
          <w:rFonts w:hint="eastAsia" w:ascii="宋体" w:cs="宋体"/>
          <w:b/>
          <w:bCs/>
          <w:color w:val="FF0000"/>
          <w:sz w:val="24"/>
          <w:lang w:val="zh-CN"/>
        </w:rPr>
      </w:pPr>
      <w:r>
        <w:rPr>
          <w:rFonts w:hint="eastAsia" w:ascii="宋体" w:cs="宋体"/>
          <w:bCs/>
          <w:color w:val="FF0000"/>
          <w:sz w:val="24"/>
          <w:lang w:val="en-US" w:eastAsia="zh-CN"/>
        </w:rPr>
        <w:t>3.</w:t>
      </w:r>
      <w:r>
        <w:rPr>
          <w:rFonts w:hint="eastAsia" w:ascii="宋体" w:cs="宋体"/>
          <w:bCs/>
          <w:color w:val="FF0000"/>
          <w:sz w:val="24"/>
          <w:lang w:val="zh-CN"/>
        </w:rPr>
        <w:t>投标文件中须有详细的实施（技术）方案</w:t>
      </w:r>
      <w:r>
        <w:rPr>
          <w:rFonts w:hint="eastAsia" w:ascii="宋体" w:cs="宋体"/>
          <w:b/>
          <w:bCs/>
          <w:color w:val="FF0000"/>
          <w:sz w:val="24"/>
          <w:lang w:val="zh-CN"/>
        </w:rPr>
        <w:t>，否则为无效投标。</w:t>
      </w:r>
    </w:p>
    <w:p>
      <w:pPr>
        <w:pStyle w:val="10"/>
        <w:rPr>
          <w:rFonts w:hint="eastAsia" w:ascii="宋体" w:cs="宋体" w:hAnsiTheme="minorHAnsi" w:eastAsiaTheme="minorEastAsia"/>
          <w:kern w:val="2"/>
          <w:sz w:val="24"/>
          <w:szCs w:val="22"/>
          <w:lang w:val="en-US" w:eastAsia="zh-CN" w:bidi="ar-SA"/>
        </w:rPr>
      </w:pPr>
      <w:r>
        <w:rPr>
          <w:rFonts w:hint="eastAsia" w:ascii="宋体" w:cs="宋体" w:hAnsiTheme="minorHAnsi" w:eastAsiaTheme="minorEastAsia"/>
          <w:kern w:val="2"/>
          <w:sz w:val="24"/>
          <w:szCs w:val="22"/>
          <w:lang w:val="en-US" w:eastAsia="zh-CN" w:bidi="ar-SA"/>
        </w:rPr>
        <w:t>4、本项目为交钥匙工程（包括运输、安装调试、专业培训等一切费用）</w:t>
      </w:r>
      <w:r>
        <w:rPr>
          <w:rFonts w:hint="eastAsia" w:ascii="宋体" w:cs="宋体"/>
          <w:kern w:val="2"/>
          <w:sz w:val="24"/>
          <w:szCs w:val="22"/>
          <w:lang w:val="en-US" w:eastAsia="zh-CN" w:bidi="ar-SA"/>
        </w:rPr>
        <w:t>。</w:t>
      </w:r>
    </w:p>
    <w:p>
      <w:pPr>
        <w:pStyle w:val="10"/>
        <w:rPr>
          <w:rFonts w:hint="eastAsia" w:ascii="宋体" w:cs="宋体" w:hAnsiTheme="minorHAnsi" w:eastAsiaTheme="minorEastAsia"/>
          <w:kern w:val="2"/>
          <w:sz w:val="24"/>
          <w:szCs w:val="22"/>
          <w:lang w:val="en-US" w:eastAsia="zh-CN" w:bidi="ar-SA"/>
        </w:rPr>
      </w:pPr>
      <w:r>
        <w:rPr>
          <w:rFonts w:hint="eastAsia" w:ascii="宋体" w:cs="宋体" w:hAnsiTheme="minorHAnsi" w:eastAsiaTheme="minorEastAsia"/>
          <w:kern w:val="2"/>
          <w:sz w:val="24"/>
          <w:szCs w:val="22"/>
          <w:lang w:val="en-US" w:eastAsia="zh-CN" w:bidi="ar-SA"/>
        </w:rPr>
        <w:t>5、投标人须明确维修点地址、负责人、联系人和联系电话，维修点具备什么样的维修能力等详细资料。</w:t>
      </w:r>
    </w:p>
    <w:p>
      <w:pPr>
        <w:wordWrap w:val="0"/>
        <w:topLinePunct/>
        <w:spacing w:line="360" w:lineRule="auto"/>
        <w:rPr>
          <w:rFonts w:hint="eastAsia" w:ascii="宋体" w:cs="宋体"/>
          <w:sz w:val="24"/>
          <w:lang w:val="zh-CN"/>
        </w:rPr>
      </w:pPr>
      <w:r>
        <w:rPr>
          <w:rFonts w:hint="eastAsia" w:ascii="宋体" w:cs="宋体"/>
          <w:sz w:val="24"/>
          <w:lang w:val="en-US" w:eastAsia="zh-CN"/>
        </w:rPr>
        <w:t>6、</w:t>
      </w:r>
      <w:r>
        <w:rPr>
          <w:rFonts w:hint="eastAsia" w:ascii="宋体" w:cs="宋体"/>
          <w:sz w:val="24"/>
          <w:lang w:val="zh-CN"/>
        </w:rPr>
        <w:t>投标商必须由法定代表人或其授权代表参加开标会议，随时接受谈判小组询问，并予作出书面解答。</w:t>
      </w:r>
    </w:p>
    <w:p>
      <w:pPr>
        <w:widowControl/>
        <w:shd w:val="clear" w:color="auto" w:fill="FFFFFF"/>
        <w:spacing w:line="360" w:lineRule="auto"/>
        <w:ind w:firstLine="482" w:firstLineChars="200"/>
        <w:contextualSpacing/>
        <w:jc w:val="left"/>
        <w:rPr>
          <w:rFonts w:ascii="楷体" w:hAnsi="楷体" w:eastAsia="楷体" w:cs="宋体"/>
          <w:color w:val="000000"/>
          <w:kern w:val="0"/>
          <w:szCs w:val="21"/>
          <w:lang w:val="zh-CN"/>
        </w:rPr>
      </w:pPr>
      <w:r>
        <w:rPr>
          <w:rFonts w:hint="eastAsia" w:cs="宋体" w:asciiTheme="minorEastAsia" w:hAnsiTheme="minorEastAsia"/>
          <w:b/>
          <w:color w:val="000000"/>
          <w:kern w:val="0"/>
          <w:sz w:val="24"/>
          <w:szCs w:val="24"/>
          <w:lang w:val="zh-CN"/>
        </w:rPr>
        <w:t>六、验收标准</w:t>
      </w:r>
    </w:p>
    <w:p>
      <w:pPr>
        <w:wordWrap w:val="0"/>
        <w:topLinePunct/>
        <w:spacing w:line="360" w:lineRule="auto"/>
        <w:ind w:firstLine="480" w:firstLineChars="200"/>
        <w:rPr>
          <w:rFonts w:ascii="宋体" w:cs="宋体"/>
          <w:sz w:val="24"/>
          <w:lang w:val="zh-CN"/>
        </w:rPr>
      </w:pPr>
      <w:r>
        <w:rPr>
          <w:rFonts w:hint="eastAsia" w:ascii="宋体" w:cs="宋体"/>
          <w:sz w:val="24"/>
          <w:lang w:val="zh-CN"/>
        </w:rPr>
        <w:t>由采购人成立验收小组,按照采购合同的约定对成交人履约情况进行验收。验收时,按照采购合同的约定对每一项技术、服务、安全标准的履约情况进行确认。验收结束后,出具验收书,列明各项标准的验收情况及项目总体评价,由验收双方共同签署。</w:t>
      </w:r>
    </w:p>
    <w:p>
      <w:pPr>
        <w:wordWrap w:val="0"/>
        <w:topLinePunct/>
        <w:spacing w:line="360" w:lineRule="auto"/>
        <w:ind w:firstLine="480" w:firstLineChars="200"/>
        <w:rPr>
          <w:rFonts w:ascii="宋体" w:cs="宋体"/>
          <w:sz w:val="24"/>
          <w:lang w:val="zh-CN"/>
        </w:rPr>
      </w:pPr>
      <w:r>
        <w:rPr>
          <w:rFonts w:hint="eastAsia" w:ascii="宋体" w:cs="宋体"/>
          <w:sz w:val="24"/>
          <w:lang w:val="zh-CN"/>
        </w:rPr>
        <w:t>1、按照采购标的相关国家标准规范验收；</w:t>
      </w:r>
    </w:p>
    <w:p>
      <w:pPr>
        <w:wordWrap w:val="0"/>
        <w:topLinePunct/>
        <w:spacing w:line="360" w:lineRule="auto"/>
        <w:ind w:firstLine="480" w:firstLineChars="200"/>
        <w:rPr>
          <w:rFonts w:hint="eastAsia" w:ascii="宋体" w:cs="宋体"/>
          <w:sz w:val="24"/>
          <w:lang w:val="zh-CN"/>
        </w:rPr>
      </w:pPr>
      <w:r>
        <w:rPr>
          <w:rFonts w:hint="eastAsia" w:ascii="宋体" w:cs="宋体"/>
          <w:sz w:val="24"/>
          <w:lang w:val="zh-CN"/>
        </w:rPr>
        <w:t>2、按照谈判文件要求、投标文件响应和承诺验收。</w:t>
      </w:r>
    </w:p>
    <w:p>
      <w:pPr>
        <w:pStyle w:val="10"/>
        <w:ind w:firstLine="241" w:firstLineChars="100"/>
        <w:rPr>
          <w:rFonts w:hint="eastAsia" w:cs="宋体" w:asciiTheme="minorEastAsia" w:hAnsiTheme="minorEastAsia" w:eastAsiaTheme="minorEastAsia"/>
          <w:b/>
          <w:color w:val="000000"/>
          <w:kern w:val="0"/>
          <w:sz w:val="24"/>
          <w:szCs w:val="24"/>
          <w:lang w:val="zh-CN" w:eastAsia="zh-CN" w:bidi="ar-SA"/>
        </w:rPr>
      </w:pPr>
    </w:p>
    <w:p>
      <w:pPr>
        <w:pStyle w:val="10"/>
        <w:ind w:firstLine="241" w:firstLineChars="100"/>
        <w:rPr>
          <w:rFonts w:hint="default" w:cs="宋体" w:asciiTheme="minorEastAsia" w:hAnsiTheme="minorEastAsia" w:eastAsiaTheme="minorEastAsia"/>
          <w:b/>
          <w:color w:val="000000"/>
          <w:kern w:val="0"/>
          <w:sz w:val="24"/>
          <w:szCs w:val="24"/>
          <w:lang w:val="en-US" w:eastAsia="zh-CN" w:bidi="ar-SA"/>
        </w:rPr>
      </w:pPr>
      <w:r>
        <w:rPr>
          <w:rFonts w:hint="eastAsia" w:cs="宋体" w:asciiTheme="minorEastAsia" w:hAnsiTheme="minorEastAsia" w:eastAsiaTheme="minorEastAsia"/>
          <w:b/>
          <w:color w:val="000000"/>
          <w:kern w:val="0"/>
          <w:sz w:val="24"/>
          <w:szCs w:val="24"/>
          <w:lang w:val="zh-CN" w:eastAsia="zh-CN" w:bidi="ar-SA"/>
        </w:rPr>
        <w:t>七、付款方式：以签订合同为准</w:t>
      </w:r>
      <w:r>
        <w:rPr>
          <w:rFonts w:hint="eastAsia" w:cs="宋体" w:asciiTheme="minorEastAsia" w:hAnsiTheme="minorEastAsia"/>
          <w:b/>
          <w:color w:val="000000"/>
          <w:kern w:val="0"/>
          <w:sz w:val="24"/>
          <w:szCs w:val="24"/>
          <w:lang w:val="en-US" w:eastAsia="zh-CN" w:bidi="ar-SA"/>
        </w:rPr>
        <w:t>.</w:t>
      </w:r>
    </w:p>
    <w:p>
      <w:pPr>
        <w:spacing w:line="500" w:lineRule="exact"/>
        <w:jc w:val="left"/>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autoSpaceDE w:val="0"/>
        <w:autoSpaceDN w:val="0"/>
        <w:adjustRightInd w:val="0"/>
        <w:jc w:val="both"/>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numPr>
          <w:ilvl w:val="0"/>
          <w:numId w:val="4"/>
        </w:numPr>
        <w:autoSpaceDE w:val="0"/>
        <w:autoSpaceDN w:val="0"/>
        <w:adjustRightInd w:val="0"/>
        <w:ind w:left="0" w:leftChars="0" w:firstLine="0" w:firstLineChars="0"/>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供应商须知前附表</w:t>
      </w:r>
    </w:p>
    <w:p>
      <w:pPr>
        <w:numPr>
          <w:ilvl w:val="0"/>
          <w:numId w:val="0"/>
        </w:numPr>
        <w:autoSpaceDE w:val="0"/>
        <w:autoSpaceDN w:val="0"/>
        <w:adjustRightInd w:val="0"/>
        <w:ind w:leftChars="0"/>
        <w:jc w:val="both"/>
        <w:rPr>
          <w:rFonts w:hint="eastAsia" w:cs="宋体" w:asciiTheme="majorEastAsia" w:hAnsiTheme="majorEastAsia" w:eastAsiaTheme="majorEastAsia"/>
          <w:b/>
          <w:kern w:val="0"/>
          <w:sz w:val="32"/>
          <w:szCs w:val="32"/>
        </w:rPr>
      </w:pPr>
    </w:p>
    <w:p>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color w:val="FF0000"/>
          <w:szCs w:val="21"/>
        </w:rPr>
        <w:t>谈判文件中凡标有</w:t>
      </w:r>
      <w:r>
        <w:rPr>
          <w:rFonts w:hint="eastAsia" w:cs="微软雅黑" w:asciiTheme="minorEastAsia" w:hAnsiTheme="minorEastAsia"/>
          <w:b/>
          <w:color w:val="FF0000"/>
          <w:szCs w:val="21"/>
        </w:rPr>
        <w:t>★</w:t>
      </w:r>
      <w:r>
        <w:rPr>
          <w:rFonts w:hint="eastAsia" w:cs="微软雅黑"/>
          <w:b/>
          <w:color w:val="FF0000"/>
          <w:szCs w:val="21"/>
        </w:rPr>
        <w:t>条款均为实质性要求条款，响应文件须完全响应，未实质响应的，按照无效报价处理。</w:t>
      </w:r>
    </w:p>
    <w:tbl>
      <w:tblPr>
        <w:tblStyle w:val="24"/>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pPr>
              <w:autoSpaceDE w:val="0"/>
              <w:autoSpaceDN w:val="0"/>
              <w:adjustRightInd w:val="0"/>
              <w:spacing w:line="360" w:lineRule="auto"/>
              <w:jc w:val="left"/>
              <w:rPr>
                <w:rFonts w:hint="eastAsia" w:cs="仿宋_GB2312" w:asciiTheme="minorEastAsia" w:hAnsiTheme="minorEastAsia"/>
                <w:szCs w:val="21"/>
              </w:rPr>
            </w:pPr>
            <w:r>
              <w:rPr>
                <w:rFonts w:hint="eastAsia" w:cs="仿宋_GB2312" w:asciiTheme="minorEastAsia" w:hAnsiTheme="minorEastAsia"/>
                <w:szCs w:val="21"/>
              </w:rPr>
              <w:t>项目名称：禹州市职工幼儿园教学设备采购项目</w:t>
            </w:r>
          </w:p>
          <w:p>
            <w:pPr>
              <w:autoSpaceDE w:val="0"/>
              <w:autoSpaceDN w:val="0"/>
              <w:adjustRightInd w:val="0"/>
              <w:spacing w:line="360" w:lineRule="auto"/>
              <w:jc w:val="left"/>
              <w:rPr>
                <w:rFonts w:hint="default" w:cs="仿宋_GB2312" w:asciiTheme="minorEastAsia" w:hAnsiTheme="minorEastAsia"/>
                <w:szCs w:val="21"/>
                <w:lang w:val="en-US" w:eastAsia="zh-CN"/>
              </w:rPr>
            </w:pPr>
            <w:r>
              <w:rPr>
                <w:rFonts w:hint="eastAsia" w:cs="仿宋_GB2312" w:asciiTheme="minorEastAsia" w:hAnsiTheme="minorEastAsia"/>
                <w:szCs w:val="21"/>
              </w:rPr>
              <w:t>项目编号：</w:t>
            </w:r>
            <w:r>
              <w:rPr>
                <w:rFonts w:hint="eastAsia" w:cs="仿宋_GB2312" w:asciiTheme="minorEastAsia" w:hAnsiTheme="minorEastAsia"/>
                <w:szCs w:val="21"/>
                <w:lang w:val="en-US" w:eastAsia="zh-CN"/>
              </w:rPr>
              <w:t>YZCG-T2019184</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lang w:eastAsia="zh-CN"/>
              </w:rPr>
              <w:t>工期：签订合同后</w:t>
            </w:r>
            <w:r>
              <w:rPr>
                <w:rFonts w:hint="eastAsia" w:cs="仿宋_GB2312" w:asciiTheme="minorEastAsia" w:hAnsiTheme="minorEastAsia"/>
                <w:szCs w:val="21"/>
                <w:lang w:val="en-US" w:eastAsia="zh-CN"/>
              </w:rPr>
              <w:t>20天。</w:t>
            </w:r>
          </w:p>
          <w:p>
            <w:pPr>
              <w:autoSpaceDE w:val="0"/>
              <w:autoSpaceDN w:val="0"/>
              <w:adjustRightInd w:val="0"/>
              <w:spacing w:line="360" w:lineRule="auto"/>
              <w:jc w:val="left"/>
              <w:rPr>
                <w:rFonts w:hint="default" w:cs="仿宋_GB2312" w:asciiTheme="minorEastAsia" w:hAnsiTheme="minorEastAsia"/>
                <w:szCs w:val="21"/>
                <w:lang w:val="en-US"/>
              </w:rPr>
            </w:pPr>
            <w:r>
              <w:rPr>
                <w:rFonts w:hint="eastAsia" w:cs="仿宋_GB2312" w:asciiTheme="minorEastAsia" w:hAnsiTheme="minorEastAsia"/>
                <w:szCs w:val="21"/>
              </w:rPr>
              <w:t>项目地址：</w:t>
            </w:r>
            <w:r>
              <w:rPr>
                <w:rFonts w:hint="eastAsia" w:cs="仿宋_GB2312" w:asciiTheme="minorEastAsia" w:hAnsiTheme="minorEastAsia"/>
                <w:szCs w:val="21"/>
                <w:lang w:eastAsia="zh-CN"/>
              </w:rPr>
              <w:t>禹州市禹王大道东段</w:t>
            </w:r>
            <w:r>
              <w:rPr>
                <w:rFonts w:hint="eastAsia" w:cs="仿宋_GB2312" w:asciiTheme="minorEastAsia" w:hAnsiTheme="minorEastAsia"/>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pPr>
              <w:autoSpaceDE w:val="0"/>
              <w:autoSpaceDN w:val="0"/>
              <w:adjustRightInd w:val="0"/>
              <w:spacing w:line="360" w:lineRule="auto"/>
              <w:jc w:val="left"/>
              <w:rPr>
                <w:rFonts w:hint="eastAsia" w:cs="仿宋_GB2312" w:asciiTheme="minorEastAsia" w:hAnsiTheme="minorEastAsia"/>
                <w:szCs w:val="21"/>
              </w:rPr>
            </w:pPr>
            <w:r>
              <w:rPr>
                <w:rFonts w:hint="eastAsia" w:cs="仿宋_GB2312" w:asciiTheme="minorEastAsia" w:hAnsiTheme="minorEastAsia"/>
                <w:szCs w:val="21"/>
              </w:rPr>
              <w:t>名称：禹州市</w:t>
            </w:r>
            <w:r>
              <w:rPr>
                <w:rFonts w:hint="eastAsia" w:cs="仿宋_GB2312" w:asciiTheme="minorEastAsia" w:hAnsiTheme="minorEastAsia"/>
                <w:szCs w:val="21"/>
                <w:lang w:eastAsia="zh-CN"/>
              </w:rPr>
              <w:t>教育体育局</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联系人：</w:t>
            </w:r>
            <w:r>
              <w:rPr>
                <w:rFonts w:hint="eastAsia" w:cs="仿宋_GB2312" w:asciiTheme="minorEastAsia" w:hAnsiTheme="minorEastAsia"/>
                <w:szCs w:val="21"/>
                <w:lang w:eastAsia="zh-CN"/>
              </w:rPr>
              <w:t>任朝选</w:t>
            </w:r>
            <w:r>
              <w:rPr>
                <w:rFonts w:hint="eastAsia" w:cs="仿宋_GB2312" w:asciiTheme="minorEastAsia" w:hAnsiTheme="minorEastAsia"/>
                <w:szCs w:val="21"/>
              </w:rPr>
              <w:t xml:space="preserve">                 电话：</w:t>
            </w:r>
            <w:r>
              <w:rPr>
                <w:rFonts w:hint="eastAsia" w:cs="仿宋_GB2312" w:asciiTheme="minorEastAsia" w:hAnsiTheme="minorEastAsia"/>
                <w:szCs w:val="21"/>
                <w:lang w:val="en-US" w:eastAsia="zh-CN"/>
              </w:rPr>
              <w:t>15936376268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lang w:eastAsia="zh-CN"/>
              </w:rPr>
              <w:t>代理</w:t>
            </w:r>
            <w:r>
              <w:rPr>
                <w:rFonts w:hint="eastAsia" w:cs="仿宋_GB2312" w:asciiTheme="minorEastAsia" w:hAnsiTheme="minorEastAsia"/>
                <w:szCs w:val="21"/>
              </w:rPr>
              <w:t>机构</w:t>
            </w:r>
          </w:p>
        </w:tc>
        <w:tc>
          <w:tcPr>
            <w:tcW w:w="6813" w:type="dxa"/>
            <w:vAlign w:val="center"/>
          </w:tcPr>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Cs w:val="21"/>
              </w:rPr>
              <w:t>名</w:t>
            </w:r>
            <w:r>
              <w:rPr>
                <w:rFonts w:hint="eastAsia" w:cs="仿宋_GB2312" w:asciiTheme="minorEastAsia" w:hAnsiTheme="minorEastAsia"/>
                <w:sz w:val="24"/>
                <w:szCs w:val="24"/>
              </w:rPr>
              <w:t>地址：禹州市行政服务中心楼9楼</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 w:val="24"/>
                <w:szCs w:val="24"/>
              </w:rPr>
              <w:t>联系人：艾先生               电话：0374-2077111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供应商资格</w:t>
            </w:r>
          </w:p>
        </w:tc>
        <w:tc>
          <w:tcPr>
            <w:tcW w:w="6813" w:type="dxa"/>
            <w:vAlign w:val="center"/>
          </w:tcPr>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4、个体工商户营业执照。（个体工商户提供）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5、自然人身份证明。（自然人提供）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6、民办非企业单位登记证书。（民办非企业单位提供）</w:t>
            </w:r>
          </w:p>
          <w:p>
            <w:pPr>
              <w:autoSpaceDE w:val="0"/>
              <w:autoSpaceDN w:val="0"/>
              <w:adjustRightInd w:val="0"/>
              <w:spacing w:line="360" w:lineRule="auto"/>
              <w:jc w:val="left"/>
              <w:rPr>
                <w:rFonts w:hint="eastAsia" w:cs="仿宋_GB2312" w:asciiTheme="minorEastAsia" w:hAnsiTheme="minorEastAsia"/>
                <w:b/>
                <w:szCs w:val="21"/>
              </w:rPr>
            </w:pPr>
            <w:r>
              <w:rPr>
                <w:rFonts w:hint="eastAsia" w:cs="仿宋_GB2312" w:asciiTheme="minorEastAsia" w:hAnsiTheme="minorEastAsia"/>
                <w:b/>
                <w:szCs w:val="21"/>
              </w:rPr>
              <w:t>二、财务状况报告相关材料</w:t>
            </w:r>
          </w:p>
          <w:p>
            <w:pPr>
              <w:autoSpaceDE w:val="0"/>
              <w:autoSpaceDN w:val="0"/>
              <w:adjustRightInd w:val="0"/>
              <w:spacing w:line="360" w:lineRule="auto"/>
              <w:jc w:val="left"/>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autoSpaceDE w:val="0"/>
              <w:autoSpaceDN w:val="0"/>
              <w:adjustRightInd w:val="0"/>
              <w:spacing w:line="360" w:lineRule="auto"/>
              <w:ind w:right="-11"/>
              <w:rPr>
                <w:rFonts w:cs="宋体" w:asciiTheme="minorEastAsia" w:hAnsiTheme="minorEastAsia"/>
                <w:bCs/>
                <w:szCs w:val="21"/>
                <w:lang w:val="zh-CN"/>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autoSpaceDE w:val="0"/>
              <w:autoSpaceDN w:val="0"/>
              <w:adjustRightInd w:val="0"/>
              <w:spacing w:line="360" w:lineRule="auto"/>
              <w:ind w:right="-11"/>
              <w:rPr>
                <w:rFonts w:cs="宋体" w:asciiTheme="minorEastAsia" w:hAnsiTheme="minorEastAsia"/>
                <w:bCs/>
                <w:szCs w:val="21"/>
                <w:lang w:val="zh-CN"/>
              </w:rPr>
            </w:pPr>
            <w:r>
              <w:rPr>
                <w:rFonts w:hint="eastAsia" w:cs="仿宋_GB2312" w:asciiTheme="minorEastAsia" w:hAnsiTheme="minorEastAsia"/>
                <w:b/>
                <w:szCs w:val="21"/>
              </w:rPr>
              <w:t>三、依法缴纳税收相关材料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w:t>
            </w:r>
            <w:r>
              <w:rPr>
                <w:rFonts w:hint="eastAsia" w:cs="宋体" w:asciiTheme="minorEastAsia" w:hAnsiTheme="minorEastAsia"/>
                <w:bCs/>
                <w:szCs w:val="21"/>
                <w:lang w:val="zh-CN" w:eastAsia="zh-CN"/>
              </w:rPr>
              <w:t>三</w:t>
            </w:r>
            <w:r>
              <w:rPr>
                <w:rFonts w:hint="eastAsia" w:cs="宋体" w:asciiTheme="minorEastAsia" w:hAnsiTheme="minorEastAsia"/>
                <w:bCs/>
                <w:szCs w:val="21"/>
                <w:lang w:val="zh-CN"/>
              </w:rPr>
              <w:t>个月内任意一个月缴纳税收凭据。（依法免税的供应商，应提供相应文件证明依法免税）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四、依法缴纳社会保障资金的证明材料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参加本次政府采购项目谈判响应截止时间前三个月内任意一个月缴纳社会保险凭据。（依法不需要缴纳社会保障资金的供应商，应提供相应文件证明依法不需要缴纳社会保障资金）</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①相关设备的购置发票、专业技术人员职称证书、用工合同等；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autoSpaceDE w:val="0"/>
              <w:autoSpaceDN w:val="0"/>
              <w:adjustRightInd w:val="0"/>
              <w:spacing w:line="360" w:lineRule="auto"/>
              <w:ind w:right="-11"/>
              <w:rPr>
                <w:rFonts w:ascii="楷体" w:hAnsi="楷体" w:eastAsia="楷体"/>
                <w:color w:val="00000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kern w:val="0"/>
                <w:szCs w:val="21"/>
              </w:rPr>
              <w:t>六、</w:t>
            </w:r>
            <w:r>
              <w:rPr>
                <w:rFonts w:cs="宋体" w:asciiTheme="minorEastAsia" w:hAnsiTheme="minorEastAsia"/>
                <w:b/>
                <w:bCs/>
                <w:szCs w:val="21"/>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lang w:val="zh-CN"/>
              </w:rPr>
              <w:t>供应商“</w:t>
            </w:r>
            <w:r>
              <w:rPr>
                <w:rFonts w:cs="宋体" w:asciiTheme="minorEastAsia" w:hAnsiTheme="minorEastAsia"/>
                <w:bCs/>
                <w:szCs w:val="21"/>
                <w:lang w:val="zh-CN"/>
              </w:rPr>
              <w:t>参加政府采购活动前3年内在经营活动中没有重大违法记录的书面声明</w:t>
            </w:r>
            <w:r>
              <w:rPr>
                <w:rFonts w:hint="eastAsia" w:cs="宋体" w:asciiTheme="minorEastAsia" w:hAnsiTheme="minorEastAsia"/>
                <w:bCs/>
                <w:szCs w:val="21"/>
                <w:lang w:val="zh-CN"/>
              </w:rPr>
              <w:t>”。 重大违法记录，是指供应商因违法经营受到刑事处罚或者责令停产停业、吊销许可证或者执照、较大数额罚款等行政处罚。</w:t>
            </w:r>
          </w:p>
          <w:p>
            <w:pPr>
              <w:autoSpaceDE w:val="0"/>
              <w:autoSpaceDN w:val="0"/>
              <w:spacing w:line="360" w:lineRule="auto"/>
              <w:contextualSpacing/>
              <w:jc w:val="left"/>
              <w:rPr>
                <w:rFonts w:cs="宋体" w:asciiTheme="minorEastAsia" w:hAnsiTheme="minorEastAsia"/>
                <w:kern w:val="0"/>
                <w:szCs w:val="21"/>
              </w:rPr>
            </w:pPr>
            <w:r>
              <w:rPr>
                <w:rFonts w:hint="eastAsia" w:cs="宋体" w:asciiTheme="minorEastAsia" w:hAnsiTheme="minorEastAsia"/>
                <w:b/>
                <w:bCs/>
                <w:szCs w:val="21"/>
                <w:lang w:val="zh-CN"/>
              </w:rPr>
              <w:t>七、</w:t>
            </w:r>
            <w:r>
              <w:rPr>
                <w:rFonts w:cs="仿宋_GB2312" w:asciiTheme="minorEastAsia" w:hAnsiTheme="minorEastAsia"/>
                <w:b/>
                <w:color w:val="000000"/>
                <w:szCs w:val="21"/>
                <w:shd w:val="clear" w:color="auto" w:fill="FFFFFF"/>
              </w:rPr>
              <w:t>未被列入“信用中国”网站(www.creditchina.gov.cn)失信被执行人、重大税收违法案件当事人名单、政府采购严重违法失信名单的</w:t>
            </w:r>
            <w:r>
              <w:rPr>
                <w:rFonts w:hint="eastAsia" w:cs="仿宋_GB2312" w:asciiTheme="minorEastAsia" w:hAnsiTheme="minorEastAsia"/>
                <w:b/>
                <w:color w:val="000000"/>
                <w:szCs w:val="21"/>
                <w:shd w:val="clear" w:color="auto" w:fill="FFFFFF"/>
              </w:rPr>
              <w:t>供应商</w:t>
            </w:r>
            <w:r>
              <w:rPr>
                <w:rFonts w:cs="仿宋_GB2312" w:asciiTheme="minorEastAsia" w:hAnsiTheme="minorEastAsia"/>
                <w:b/>
                <w:color w:val="000000"/>
                <w:szCs w:val="21"/>
                <w:shd w:val="clear" w:color="auto" w:fill="FFFFFF"/>
              </w:rPr>
              <w:t>；</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中国政府采购网</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 xml:space="preserve"> (www.ccgp.gov.cn)政府采购严重违法失信行为记录名单的</w:t>
            </w:r>
            <w:r>
              <w:rPr>
                <w:rFonts w:hint="eastAsia" w:cs="仿宋_GB2312" w:asciiTheme="minorEastAsia" w:hAnsiTheme="minorEastAsia"/>
                <w:b/>
                <w:color w:val="000000"/>
                <w:szCs w:val="21"/>
                <w:shd w:val="clear" w:color="auto" w:fill="FFFFFF"/>
              </w:rPr>
              <w:t>供应商</w:t>
            </w:r>
            <w:r>
              <w:rPr>
                <w:rFonts w:hint="eastAsia" w:cs="宋体" w:asciiTheme="minorEastAsia" w:hAnsiTheme="minorEastAsia"/>
                <w:b/>
                <w:bCs/>
                <w:szCs w:val="21"/>
                <w:lang w:val="zh-CN"/>
              </w:rPr>
              <w:t>；</w:t>
            </w:r>
            <w:r>
              <w:rPr>
                <w:rFonts w:hint="eastAsia" w:cs="仿宋_GB2312" w:asciiTheme="minorEastAsia" w:hAnsiTheme="minorEastAsia"/>
                <w:b/>
                <w:color w:val="000000"/>
                <w:szCs w:val="21"/>
                <w:shd w:val="clear" w:color="auto" w:fill="FFFFFF"/>
              </w:rPr>
              <w:t>“国家企业信用公示系统”网站（</w:t>
            </w:r>
            <w:r>
              <w:rPr>
                <w:rFonts w:cs="仿宋_GB2312" w:asciiTheme="minorEastAsia" w:hAnsiTheme="minorEastAsia"/>
                <w:b/>
                <w:color w:val="000000"/>
                <w:szCs w:val="21"/>
                <w:shd w:val="clear" w:color="auto" w:fill="FFFFFF"/>
              </w:rPr>
              <w:t>www.gsxt.gov.cn</w:t>
            </w:r>
            <w:r>
              <w:rPr>
                <w:rFonts w:hint="eastAsia" w:cs="仿宋_GB2312" w:asciiTheme="minorEastAsia" w:hAnsiTheme="minorEastAsia"/>
                <w:b/>
                <w:color w:val="000000"/>
                <w:szCs w:val="21"/>
                <w:shd w:val="clear" w:color="auto" w:fill="FFFFFF"/>
              </w:rPr>
              <w:t>）严重违法失信企业名单（黑名单）的供应商；“中国社会组织公共服务平台”网站（</w:t>
            </w:r>
            <w:r>
              <w:rPr>
                <w:rFonts w:cs="仿宋_GB2312" w:asciiTheme="minorEastAsia" w:hAnsiTheme="minorEastAsia"/>
                <w:b/>
                <w:color w:val="000000"/>
                <w:szCs w:val="21"/>
                <w:shd w:val="clear" w:color="auto" w:fill="FFFFFF"/>
              </w:rPr>
              <w:t>www.chinanpo.gov.cn</w:t>
            </w:r>
            <w:r>
              <w:rPr>
                <w:rFonts w:hint="eastAsia" w:cs="仿宋_GB2312" w:asciiTheme="minorEastAsia" w:hAnsiTheme="minorEastAsia"/>
                <w:b/>
                <w:color w:val="000000"/>
                <w:szCs w:val="21"/>
                <w:shd w:val="clear" w:color="auto" w:fill="FFFFFF"/>
              </w:rPr>
              <w:t>）严重违法失信社会组织名单的供应商（</w:t>
            </w:r>
            <w:r>
              <w:rPr>
                <w:rFonts w:hint="eastAsia" w:cs="宋体" w:asciiTheme="minorEastAsia" w:hAnsiTheme="minorEastAsia"/>
                <w:kern w:val="0"/>
                <w:szCs w:val="21"/>
              </w:rPr>
              <w:t>联合体形式响应的，联合体成员存在不良信用记录，视同联合体存在不良信用记录）。</w:t>
            </w:r>
          </w:p>
          <w:p>
            <w:pPr>
              <w:spacing w:line="360" w:lineRule="auto"/>
              <w:rPr>
                <w:rFonts w:cs="宋体" w:asciiTheme="minorEastAsia" w:hAnsiTheme="minorEastAsia"/>
                <w:kern w:val="0"/>
                <w:szCs w:val="21"/>
              </w:rPr>
            </w:pPr>
            <w:r>
              <w:rPr>
                <w:rFonts w:hint="eastAsia" w:cs="宋体" w:asciiTheme="minorEastAsia" w:hAnsiTheme="minorEastAsia"/>
                <w:kern w:val="0"/>
                <w:szCs w:val="21"/>
              </w:rPr>
              <w:t>1、查询渠道：</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①“信用中国”网站（</w:t>
            </w:r>
            <w:r>
              <w:fldChar w:fldCharType="begin"/>
            </w:r>
            <w:r>
              <w:instrText xml:space="preserve"> HYPERLINK "http://www.creditchina.gov.cn" </w:instrText>
            </w:r>
            <w:r>
              <w:fldChar w:fldCharType="separate"/>
            </w:r>
            <w:r>
              <w:rPr>
                <w:rFonts w:hint="eastAsia" w:cs="宋体"/>
                <w:kern w:val="0"/>
              </w:rPr>
              <w:t>www.creditchina.gov.cn</w:t>
            </w:r>
            <w:r>
              <w:rPr>
                <w:rFonts w:hint="eastAsia" w:cs="宋体"/>
                <w:kern w:val="0"/>
              </w:rPr>
              <w:fldChar w:fldCharType="end"/>
            </w:r>
            <w:r>
              <w:rPr>
                <w:rFonts w:hint="eastAsia" w:cs="宋体" w:asciiTheme="minorEastAsia" w:hAnsiTheme="minorEastAsia"/>
                <w:kern w:val="0"/>
                <w:szCs w:val="21"/>
              </w:rPr>
              <w:t>）</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②“中国政府采购网”（www.ccgp.gov.cn）</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③“国家企业信用公示系统”网站（</w:t>
            </w:r>
            <w:r>
              <w:fldChar w:fldCharType="begin"/>
            </w:r>
            <w:r>
              <w:instrText xml:space="preserve"> HYPERLINK "http://www.gsxt.gov.cn" </w:instrText>
            </w:r>
            <w:r>
              <w:fldChar w:fldCharType="separate"/>
            </w:r>
            <w:r>
              <w:rPr>
                <w:rFonts w:cs="宋体"/>
                <w:kern w:val="0"/>
              </w:rPr>
              <w:t>www.gsxt.gov.cn</w:t>
            </w:r>
            <w:r>
              <w:rPr>
                <w:rFonts w:cs="宋体"/>
                <w:kern w:val="0"/>
              </w:rPr>
              <w:fldChar w:fldCharType="end"/>
            </w:r>
            <w:r>
              <w:rPr>
                <w:rFonts w:hint="eastAsia" w:cs="宋体" w:asciiTheme="minorEastAsia" w:hAnsiTheme="minorEastAsia"/>
                <w:kern w:val="0"/>
                <w:szCs w:val="21"/>
              </w:rPr>
              <w:t>）</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④“中国社会组织公共服务平台”网站（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）（仅查询社会组织）；</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2、截止时间：同谈判响应截止时间；</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3、信用信息查询记录和证据留存具体方式：经谈判小组确认的查询结果网页截图作为查询记录和证据，与其他采购文件一并保存；</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谈判小组认定的被列入失信被执行人、重大税收违法案件当事人名单、政府采购严重违法失信行为记录名单的供应商、严重违法失信企业名单（黑名单）、严重违法失信社会组织名单的供应商，将拒绝其参与本次政府采购活动。</w:t>
            </w:r>
          </w:p>
          <w:p>
            <w:pPr>
              <w:autoSpaceDE w:val="0"/>
              <w:autoSpaceDN w:val="0"/>
              <w:spacing w:line="360" w:lineRule="auto"/>
              <w:contextualSpacing/>
              <w:rPr>
                <w:rFonts w:hint="default" w:cs="宋体" w:asciiTheme="minorEastAsia" w:hAnsiTheme="minorEastAsia"/>
                <w:kern w:val="0"/>
                <w:szCs w:val="21"/>
                <w:lang w:val="en-US" w:eastAsia="zh-CN"/>
              </w:rPr>
            </w:pPr>
            <w:r>
              <w:rPr>
                <w:rFonts w:hint="eastAsia" w:cs="宋体" w:asciiTheme="minorEastAsia" w:hAnsiTheme="minor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pPr>
              <w:autoSpaceDE w:val="0"/>
              <w:autoSpaceDN w:val="0"/>
              <w:spacing w:line="360" w:lineRule="auto"/>
              <w:contextualSpacing/>
              <w:rPr>
                <w:rFonts w:cs="仿宋_GB2312" w:asciiTheme="minorEastAsia" w:hAnsiTheme="minorEastAsia"/>
                <w:szCs w:val="21"/>
              </w:rPr>
            </w:pPr>
            <w:r>
              <w:rPr>
                <w:rFonts w:hint="eastAsia" w:cs="宋体" w:asciiTheme="minorEastAsia" w:hAnsiTheme="minorEastAsia"/>
                <w:kern w:val="0"/>
                <w:szCs w:val="21"/>
                <w:lang w:eastAsia="zh-CN"/>
              </w:rPr>
              <w:t>八</w:t>
            </w:r>
            <w:r>
              <w:rPr>
                <w:rFonts w:hint="eastAsia" w:cs="宋体" w:asciiTheme="minorEastAsia" w:hAnsiTheme="minorEastAsia"/>
                <w:kern w:val="0"/>
                <w:szCs w:val="21"/>
              </w:rPr>
              <w:t>、被委托人是须是本单位职工，须提供公司为本人缴纳社会保险证明；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联合体响应</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hint="eastAsia" w:cs="宋体" w:asciiTheme="minorEastAsia" w:hAnsiTheme="minorEastAsia"/>
                <w:kern w:val="0"/>
                <w:szCs w:val="21"/>
                <w:lang w:val="en-US" w:eastAsia="zh-CN"/>
              </w:rPr>
              <w:t xml:space="preserve"> </w:t>
            </w: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预算金额</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bCs/>
                <w:szCs w:val="21"/>
                <w:lang w:val="en-US" w:eastAsia="zh-CN"/>
              </w:rPr>
              <w:t>48.2</w:t>
            </w:r>
            <w:r>
              <w:rPr>
                <w:rFonts w:hint="eastAsia" w:cs="宋体" w:asciiTheme="minorEastAsia" w:hAnsiTheme="minorEastAsia"/>
                <w:bCs/>
                <w:szCs w:val="21"/>
              </w:rPr>
              <w:t>万</w:t>
            </w:r>
            <w:r>
              <w:rPr>
                <w:rFonts w:hint="eastAsia" w:cs="宋体" w:asciiTheme="minorEastAsia" w:hAnsiTheme="minorEastAsia"/>
                <w:bCs/>
                <w:szCs w:val="21"/>
                <w:lang w:val="zh-CN"/>
              </w:rPr>
              <w:t>元，超出预算金额的响应无效。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不组织</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w:t>
            </w:r>
            <w:r>
              <w:rPr>
                <w:rFonts w:cs="宋体" w:asciiTheme="minorEastAsia" w:hAnsiTheme="minorEastAsia"/>
                <w:bCs/>
                <w:szCs w:val="21"/>
                <w:lang w:val="zh-CN"/>
              </w:rPr>
              <w:t>前答疑会</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不召开</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pPr>
              <w:autoSpaceDE w:val="0"/>
              <w:autoSpaceDN w:val="0"/>
              <w:adjustRightInd w:val="0"/>
              <w:spacing w:line="276" w:lineRule="auto"/>
              <w:rPr>
                <w:rFonts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谈判有效期</w:t>
            </w:r>
          </w:p>
        </w:tc>
        <w:tc>
          <w:tcPr>
            <w:tcW w:w="6813" w:type="dxa"/>
            <w:vAlign w:val="center"/>
          </w:tcPr>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lang w:val="en-US" w:eastAsia="zh-CN"/>
              </w:rPr>
              <w:t>6</w:t>
            </w:r>
            <w:r>
              <w:rPr>
                <w:rFonts w:hint="eastAsia" w:cs="仿宋_GB2312" w:asciiTheme="minorEastAsia" w:hAnsiTheme="minorEastAsia"/>
                <w:szCs w:val="21"/>
              </w:rPr>
              <w:t>0天（自</w:t>
            </w:r>
            <w:r>
              <w:rPr>
                <w:rFonts w:hint="eastAsia" w:cs="宋体" w:asciiTheme="minorEastAsia" w:hAnsiTheme="minorEastAsia"/>
                <w:kern w:val="0"/>
                <w:szCs w:val="21"/>
              </w:rPr>
              <w:t>提交谈判响应文件的截止之日起算</w:t>
            </w:r>
            <w:r>
              <w:rPr>
                <w:rFonts w:hint="eastAsia" w:cs="仿宋_GB2312"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pPr>
              <w:autoSpaceDE w:val="0"/>
              <w:autoSpaceDN w:val="0"/>
              <w:adjustRightInd w:val="0"/>
              <w:spacing w:line="360" w:lineRule="auto"/>
              <w:rPr>
                <w:rFonts w:cs="仿宋_GB2312" w:asciiTheme="minorEastAsia" w:hAnsiTheme="minorEastAsia"/>
                <w:szCs w:val="21"/>
              </w:rPr>
            </w:pPr>
            <w:r>
              <w:rPr>
                <w:rFonts w:hint="eastAsia" w:cs="宋体" w:asciiTheme="minorEastAsia" w:hAnsiTheme="minorEastAsia"/>
                <w:bCs/>
                <w:szCs w:val="21"/>
                <w:lang w:val="zh-CN"/>
              </w:rPr>
              <w:t>成交供应商</w:t>
            </w:r>
            <w:r>
              <w:rPr>
                <w:rFonts w:cs="宋体" w:asciiTheme="minorEastAsia" w:hAnsiTheme="minorEastAsia"/>
                <w:bCs/>
                <w:szCs w:val="21"/>
                <w:lang w:val="zh-CN"/>
              </w:rPr>
              <w:t>将本项目非主体、非关键性工作分包</w:t>
            </w:r>
          </w:p>
        </w:tc>
        <w:tc>
          <w:tcPr>
            <w:tcW w:w="6813" w:type="dxa"/>
            <w:vAlign w:val="center"/>
          </w:tcPr>
          <w:p>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pPr>
              <w:autoSpaceDE w:val="0"/>
              <w:autoSpaceDN w:val="0"/>
              <w:adjustRightInd w:val="0"/>
              <w:spacing w:line="360" w:lineRule="auto"/>
              <w:jc w:val="center"/>
              <w:rPr>
                <w:rFonts w:hint="eastAsia" w:cs="宋体" w:asciiTheme="minorEastAsia" w:hAnsiTheme="minorEastAsia"/>
                <w:bCs/>
                <w:szCs w:val="21"/>
                <w:lang w:val="zh-CN"/>
              </w:rPr>
            </w:pPr>
            <w:r>
              <w:rPr>
                <w:rFonts w:hint="eastAsia" w:cs="宋体" w:asciiTheme="minorEastAsia" w:hAnsiTheme="minorEastAsia"/>
                <w:bCs/>
                <w:szCs w:val="21"/>
                <w:lang w:val="zh-CN"/>
              </w:rPr>
              <w:t>谈判响应截止及</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谈判时间</w:t>
            </w:r>
          </w:p>
        </w:tc>
        <w:tc>
          <w:tcPr>
            <w:tcW w:w="6813" w:type="dxa"/>
            <w:vAlign w:val="center"/>
          </w:tcPr>
          <w:p>
            <w:pPr>
              <w:autoSpaceDE w:val="0"/>
              <w:autoSpaceDN w:val="0"/>
              <w:adjustRightInd w:val="0"/>
              <w:spacing w:line="360" w:lineRule="auto"/>
              <w:ind w:firstLine="210" w:firstLineChars="100"/>
              <w:rPr>
                <w:rFonts w:cs="宋体" w:asciiTheme="minorEastAsia" w:hAnsiTheme="minorEastAsia"/>
                <w:bCs/>
                <w:szCs w:val="21"/>
                <w:lang w:val="zh-CN"/>
              </w:rPr>
            </w:pPr>
            <w:r>
              <w:rPr>
                <w:rFonts w:hint="eastAsia" w:cs="宋体" w:asciiTheme="minorEastAsia" w:hAnsiTheme="minorEastAsia"/>
                <w:bCs/>
                <w:szCs w:val="21"/>
                <w:lang w:val="zh-CN"/>
              </w:rPr>
              <w:t>2019年</w:t>
            </w:r>
            <w:r>
              <w:rPr>
                <w:rFonts w:hint="eastAsia" w:cs="宋体" w:asciiTheme="minorEastAsia" w:hAnsiTheme="minorEastAsia"/>
                <w:bCs/>
                <w:szCs w:val="21"/>
                <w:lang w:val="en-US" w:eastAsia="zh-CN"/>
              </w:rPr>
              <w:t>8</w:t>
            </w:r>
            <w:r>
              <w:rPr>
                <w:rFonts w:hint="eastAsia" w:cs="宋体" w:asciiTheme="minorEastAsia" w:hAnsiTheme="minorEastAsia"/>
                <w:bCs/>
                <w:szCs w:val="21"/>
                <w:lang w:val="zh-CN"/>
              </w:rPr>
              <w:t>月</w:t>
            </w:r>
            <w:r>
              <w:rPr>
                <w:rFonts w:hint="eastAsia" w:cs="宋体" w:asciiTheme="minorEastAsia" w:hAnsiTheme="minorEastAsia"/>
                <w:bCs/>
                <w:szCs w:val="21"/>
                <w:lang w:val="en-US" w:eastAsia="zh-CN"/>
              </w:rPr>
              <w:t>16</w:t>
            </w:r>
            <w:r>
              <w:rPr>
                <w:rFonts w:hint="eastAsia" w:cs="宋体" w:asciiTheme="minorEastAsia" w:hAnsiTheme="minorEastAsia"/>
                <w:bCs/>
                <w:szCs w:val="21"/>
                <w:lang w:val="zh-CN"/>
              </w:rPr>
              <w:t>日</w:t>
            </w:r>
            <w:r>
              <w:rPr>
                <w:rFonts w:hint="eastAsia" w:cs="宋体" w:asciiTheme="minorEastAsia" w:hAnsiTheme="minorEastAsia"/>
                <w:bCs/>
                <w:szCs w:val="21"/>
                <w:lang w:val="en-US" w:eastAsia="zh-CN"/>
              </w:rPr>
              <w:t>9</w:t>
            </w:r>
            <w:r>
              <w:rPr>
                <w:rFonts w:hint="eastAsia" w:cs="宋体" w:asciiTheme="minorEastAsia" w:hAnsiTheme="minorEastAsia"/>
                <w:bCs/>
                <w:szCs w:val="21"/>
                <w:lang w:val="zh-CN"/>
              </w:rPr>
              <w:t>：</w:t>
            </w:r>
            <w:r>
              <w:rPr>
                <w:rFonts w:hint="eastAsia" w:cs="宋体" w:asciiTheme="minorEastAsia" w:hAnsiTheme="minorEastAsia"/>
                <w:bCs/>
                <w:szCs w:val="21"/>
                <w:lang w:val="en-US" w:eastAsia="zh-CN"/>
              </w:rPr>
              <w:t>00</w:t>
            </w:r>
            <w:r>
              <w:rPr>
                <w:rFonts w:hint="eastAsia" w:cs="宋体" w:asciiTheme="minorEastAsia" w:hAnsiTheme="minorEastAsia"/>
                <w:bCs/>
                <w:szCs w:val="21"/>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递交谈判响应文件</w:t>
            </w:r>
          </w:p>
        </w:tc>
        <w:tc>
          <w:tcPr>
            <w:tcW w:w="6813" w:type="dxa"/>
            <w:vAlign w:val="center"/>
          </w:tcPr>
          <w:p>
            <w:pPr>
              <w:autoSpaceDE w:val="0"/>
              <w:autoSpaceDN w:val="0"/>
              <w:adjustRightInd w:val="0"/>
              <w:spacing w:line="360" w:lineRule="auto"/>
              <w:rPr>
                <w:rFonts w:hint="eastAsia" w:cs="宋体" w:asciiTheme="minorEastAsia" w:hAnsiTheme="minorEastAsia"/>
                <w:bCs/>
                <w:szCs w:val="21"/>
                <w:lang w:val="zh-CN" w:eastAsia="zh-CN"/>
              </w:rPr>
            </w:pPr>
            <w:r>
              <w:rPr>
                <w:rFonts w:hint="eastAsia" w:cs="宋体" w:asciiTheme="minorEastAsia" w:hAnsiTheme="minorEastAsia"/>
                <w:bCs/>
                <w:szCs w:val="21"/>
                <w:lang w:val="zh-CN" w:eastAsia="zh-CN"/>
              </w:rPr>
              <w:t>禹州市公共资源交易中心开标二室（地址：禹州市行政服务中心楼九楼）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谈判保证金</w:t>
            </w:r>
          </w:p>
        </w:tc>
        <w:tc>
          <w:tcPr>
            <w:tcW w:w="6813" w:type="dxa"/>
            <w:vAlign w:val="center"/>
          </w:tcPr>
          <w:p>
            <w:pPr>
              <w:tabs>
                <w:tab w:val="left" w:pos="1260"/>
              </w:tabs>
              <w:autoSpaceDE w:val="0"/>
              <w:autoSpaceDN w:val="0"/>
              <w:spacing w:line="360" w:lineRule="auto"/>
              <w:contextualSpacing/>
              <w:rPr>
                <w:rFonts w:hint="eastAsia"/>
                <w:lang w:val="zh-CN"/>
              </w:rPr>
            </w:pPr>
            <w:r>
              <w:rPr>
                <w:rFonts w:hint="eastAsia"/>
                <w:lang w:val="zh-CN"/>
              </w:rPr>
              <w:t>不收取</w:t>
            </w:r>
          </w:p>
          <w:p>
            <w:pPr>
              <w:pStyle w:val="2"/>
              <w:ind w:left="0" w:leftChars="0" w:firstLine="0" w:firstLineChars="0"/>
              <w:rPr>
                <w:lang w:val="zh-CN"/>
              </w:rPr>
            </w:pPr>
            <w:r>
              <w:rPr>
                <w:rFonts w:hint="eastAsia" w:cs="仿宋_GB2312" w:asciiTheme="minorEastAsia" w:hAnsiTheme="minorEastAsia"/>
                <w:szCs w:val="21"/>
                <w:lang w:val="zh-CN"/>
              </w:rPr>
              <w:t>但投标人须做出承诺。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color w:val="000000"/>
                <w:szCs w:val="21"/>
              </w:rPr>
              <w:t>谈判公告、成交公告、变更（更正）公告、现场勘察答复等相关信息同时在以下网站发布：《中国政府采购网》、《河南省政府采购网》、《全国公共资源交易平台（河南省·许昌市）》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谈判文件时间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谈判响应截止时间3个工作日前（</w:t>
            </w:r>
            <w:r>
              <w:rPr>
                <w:rFonts w:hint="eastAsia" w:cs="仿宋_GB2312" w:asciiTheme="minorEastAsia" w:hAnsiTheme="minorEastAsia"/>
                <w:szCs w:val="21"/>
                <w:lang w:val="zh-CN"/>
              </w:rPr>
              <w:t>澄清内容可能影响谈判响应文件编制的）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供应商对采购文件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响应文件份数</w:t>
            </w:r>
          </w:p>
        </w:tc>
        <w:tc>
          <w:tcPr>
            <w:tcW w:w="6813" w:type="dxa"/>
            <w:vAlign w:val="center"/>
          </w:tcPr>
          <w:p>
            <w:pPr>
              <w:autoSpaceDE w:val="0"/>
              <w:autoSpaceDN w:val="0"/>
              <w:adjustRightInd w:val="0"/>
              <w:spacing w:line="360" w:lineRule="auto"/>
              <w:rPr>
                <w:rFonts w:cs="宋体" w:asciiTheme="minorEastAsia" w:hAnsiTheme="minorEastAsia"/>
                <w:color w:val="000000"/>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电子响应文件：成功上传至《全国公共资源交易平台（河南省·许昌市）》公共资源交易系统加密电子响应文件1份</w:t>
            </w:r>
            <w:r>
              <w:rPr>
                <w:rFonts w:hint="eastAsia" w:hAnsi="宋体" w:cs="宋体"/>
                <w:szCs w:val="21"/>
                <w:lang w:val="zh-CN"/>
              </w:rPr>
              <w:t>（文件格式为： XXX公司XXX项目编号.file）。</w:t>
            </w:r>
            <w:r>
              <w:rPr>
                <w:rFonts w:hint="eastAsia" w:ascii="新宋体" w:hAnsi="新宋体" w:eastAsia="新宋体"/>
                <w:szCs w:val="21"/>
              </w:rPr>
              <w:t>使用电子介质存储的备份文件1份（文件格式为：名称为“备份”的文件夹）。</w:t>
            </w:r>
          </w:p>
          <w:p>
            <w:pPr>
              <w:autoSpaceDE w:val="0"/>
              <w:autoSpaceDN w:val="0"/>
              <w:adjustRightInd w:val="0"/>
              <w:spacing w:line="360" w:lineRule="auto"/>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ascii="新宋体" w:hAnsi="新宋体" w:eastAsia="新宋体"/>
                <w:szCs w:val="21"/>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电子响应文件和纸质响应文件的内容、格式、水印码、签章应一致。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响应文件的</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电子响应文件：按谈判文件要求加盖供应商电子印章和法人电子印章。</w:t>
            </w:r>
          </w:p>
          <w:p>
            <w:pPr>
              <w:autoSpaceDE w:val="0"/>
              <w:autoSpaceDN w:val="0"/>
              <w:adjustRightInd w:val="0"/>
              <w:spacing w:line="420" w:lineRule="exact"/>
              <w:rPr>
                <w:rFonts w:cs="仿宋_GB2312" w:asciiTheme="minorEastAsia" w:hAnsiTheme="minorEastAsia"/>
                <w:szCs w:val="21"/>
                <w:highlight w:val="lightGray"/>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纸质响应文件：投标文件封面加盖供应商公章（响应文件是指供应商电子响应文件制作完成后生成的后缀名为</w:t>
            </w:r>
            <w:r>
              <w:rPr>
                <w:rFonts w:hint="eastAsia" w:hAnsi="宋体"/>
                <w:color w:val="000000"/>
                <w:szCs w:val="21"/>
              </w:rPr>
              <w:t>“.PDF”的文件</w:t>
            </w:r>
            <w:r>
              <w:rPr>
                <w:rFonts w:hint="eastAsia" w:ascii="新宋体" w:hAnsi="新宋体" w:eastAsia="新宋体"/>
                <w:szCs w:val="21"/>
              </w:rPr>
              <w:t>打印的纸质响应文件）。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谈判小组组建</w:t>
            </w:r>
          </w:p>
        </w:tc>
        <w:tc>
          <w:tcPr>
            <w:tcW w:w="6813" w:type="dxa"/>
            <w:vAlign w:val="center"/>
          </w:tcPr>
          <w:p>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由采购人代表和评审专家组成，其中评审专家的人数不少于谈判小组成员总数的三分之二。评审专家从政府采购评审专家库中随机抽取。</w:t>
            </w:r>
          </w:p>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21</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评审方法</w:t>
            </w:r>
          </w:p>
        </w:tc>
        <w:tc>
          <w:tcPr>
            <w:tcW w:w="6813" w:type="dxa"/>
            <w:vAlign w:val="center"/>
          </w:tcPr>
          <w:p>
            <w:pPr>
              <w:autoSpaceDE w:val="0"/>
              <w:autoSpaceDN w:val="0"/>
              <w:adjustRightInd w:val="0"/>
              <w:spacing w:line="360" w:lineRule="auto"/>
              <w:rPr>
                <w:rFonts w:ascii="新宋体" w:hAnsi="新宋体" w:eastAsia="新宋体"/>
                <w:szCs w:val="21"/>
              </w:rPr>
            </w:pPr>
            <w:r>
              <w:rPr>
                <w:rFonts w:hint="eastAsia"/>
                <w:color w:val="000000"/>
              </w:rPr>
              <w:t>质量和服务均能满足谈判文件实质性响应要求且最后报价最低的原则确定成交供应商</w:t>
            </w:r>
            <w:r>
              <w:rPr>
                <w:rFonts w:hint="eastAsia" w:ascii="新宋体" w:hAnsi="新宋体" w:eastAsia="新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采购单位委派代表参加谈判小组的，须向集中采购机构出具授权函。除授权代表外，采购单位委派纪检监察人员对谈判过程实施监督的须进入</w:t>
            </w:r>
            <w:r>
              <w:rPr>
                <w:rFonts w:hint="eastAsia" w:cs="仿宋_GB2312" w:asciiTheme="minorEastAsia" w:hAnsiTheme="minorEastAsia"/>
                <w:szCs w:val="21"/>
                <w:lang w:val="en-US" w:eastAsia="zh-CN"/>
              </w:rPr>
              <w:t>g禹州</w:t>
            </w:r>
            <w:r>
              <w:rPr>
                <w:rFonts w:hint="eastAsia" w:cs="仿宋_GB2312" w:asciiTheme="minorEastAsia" w:hAnsiTheme="minorEastAsia"/>
                <w:szCs w:val="21"/>
                <w:lang w:val="zh-CN"/>
              </w:rPr>
              <w:t>市公共资源交易中心九楼电子监督室，并向集中采购机构机构出具授权函，且不得超过2人。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无要求</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color w:val="333333"/>
                <w:szCs w:val="21"/>
              </w:rPr>
              <w:t>要求提交。履约保证金的数额为合同金额</w:t>
            </w:r>
            <w:r>
              <w:rPr>
                <w:rFonts w:hint="eastAsia" w:ascii="新宋体" w:hAnsi="新宋体" w:eastAsia="新宋体"/>
                <w:szCs w:val="21"/>
              </w:rPr>
              <w:t>的10%</w:t>
            </w:r>
            <w:r>
              <w:rPr>
                <w:rFonts w:hint="eastAsia" w:cs="宋体" w:asciiTheme="minorEastAsia" w:hAnsiTheme="minorEastAsia"/>
                <w:color w:val="333333"/>
                <w:szCs w:val="21"/>
              </w:rPr>
              <w:t>。成交供应商以支票、汇票、本票或者金融机构、担保机构出具的保函等非现金形式向采购人提交。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pPr>
              <w:autoSpaceDE w:val="0"/>
              <w:autoSpaceDN w:val="0"/>
              <w:adjustRightInd w:val="0"/>
              <w:spacing w:line="360" w:lineRule="auto"/>
              <w:jc w:val="center"/>
              <w:rPr>
                <w:rFonts w:hint="eastAsia" w:cs="宋体" w:asciiTheme="minorEastAsia" w:hAnsiTheme="minorEastAsia"/>
                <w:bCs/>
                <w:szCs w:val="21"/>
                <w:lang w:val="zh-CN"/>
              </w:rPr>
            </w:pPr>
            <w:r>
              <w:rPr>
                <w:rFonts w:hint="eastAsia" w:cs="宋体" w:asciiTheme="minorEastAsia" w:hAnsiTheme="minorEastAsia"/>
                <w:bCs/>
                <w:szCs w:val="21"/>
                <w:lang w:val="zh-CN"/>
              </w:rPr>
              <w:t>成交供应商</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需提交的资料</w:t>
            </w:r>
          </w:p>
        </w:tc>
        <w:tc>
          <w:tcPr>
            <w:tcW w:w="6813" w:type="dxa"/>
            <w:vAlign w:val="center"/>
          </w:tcPr>
          <w:p>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成交供应商在接到成交通知时，须</w:t>
            </w:r>
            <w:r>
              <w:rPr>
                <w:rFonts w:hint="eastAsia" w:ascii="新宋体" w:hAnsi="新宋体" w:eastAsia="新宋体"/>
                <w:szCs w:val="21"/>
              </w:rPr>
              <w:t>向</w:t>
            </w:r>
            <w:r>
              <w:rPr>
                <w:rFonts w:hint="eastAsia" w:ascii="新宋体" w:hAnsi="新宋体" w:eastAsia="新宋体"/>
                <w:szCs w:val="21"/>
                <w:lang w:eastAsia="zh-CN"/>
              </w:rPr>
              <w:t>禹州</w:t>
            </w:r>
            <w:r>
              <w:rPr>
                <w:rFonts w:hint="eastAsia" w:ascii="新宋体" w:hAnsi="新宋体" w:eastAsia="新宋体"/>
                <w:szCs w:val="21"/>
              </w:rPr>
              <w:t>市公共资源交易中心交易见证部发</w:t>
            </w:r>
            <w:r>
              <w:rPr>
                <w:rFonts w:hint="eastAsia" w:cs="宋体" w:asciiTheme="minorEastAsia" w:hAnsiTheme="minorEastAsia"/>
                <w:bCs/>
                <w:szCs w:val="21"/>
                <w:lang w:val="zh-CN"/>
              </w:rPr>
              <w:t>送响应报价及分项报价一览表（包含主要成交标的的名称、规格型号、数量、单价、服务要求等）电子文档，并同时电话告知交易见证部。</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 xml:space="preserve"> </w:t>
            </w:r>
            <w:r>
              <w:rPr>
                <w:rFonts w:hint="eastAsia" w:cs="宋体" w:asciiTheme="minorEastAsia" w:hAnsiTheme="minorEastAsia"/>
                <w:bCs/>
                <w:sz w:val="24"/>
                <w:szCs w:val="24"/>
                <w:lang w:val="zh-CN"/>
              </w:rPr>
              <w:t>联系电话：</w:t>
            </w:r>
            <w:r>
              <w:rPr>
                <w:rFonts w:hint="eastAsia" w:cs="宋体" w:asciiTheme="minorEastAsia" w:hAnsiTheme="minorEastAsia"/>
                <w:bCs/>
                <w:color w:val="FF0000"/>
                <w:sz w:val="24"/>
                <w:szCs w:val="24"/>
                <w:lang w:val="zh-CN"/>
              </w:rPr>
              <w:t>0374-</w:t>
            </w:r>
            <w:r>
              <w:rPr>
                <w:rFonts w:hint="eastAsia" w:cs="宋体" w:asciiTheme="minorEastAsia" w:hAnsiTheme="minorEastAsia"/>
                <w:bCs/>
                <w:color w:val="FF0000"/>
                <w:sz w:val="24"/>
                <w:szCs w:val="24"/>
              </w:rPr>
              <w:t>2077772</w:t>
            </w:r>
            <w:r>
              <w:rPr>
                <w:rFonts w:hint="eastAsia" w:cs="宋体" w:asciiTheme="minorEastAsia" w:hAnsiTheme="minorEastAsia"/>
                <w:bCs/>
                <w:color w:val="FF0000"/>
                <w:sz w:val="24"/>
                <w:szCs w:val="24"/>
                <w:lang w:val="zh-CN"/>
              </w:rPr>
              <w:t>，邮箱：</w:t>
            </w:r>
            <w:r>
              <w:rPr>
                <w:rFonts w:hint="eastAsia" w:cs="宋体" w:asciiTheme="minorEastAsia" w:hAnsiTheme="minorEastAsia"/>
                <w:bCs/>
                <w:color w:val="FF0000"/>
                <w:sz w:val="24"/>
                <w:szCs w:val="24"/>
              </w:rPr>
              <w:t>YCGGZY2076770</w:t>
            </w:r>
            <w:r>
              <w:rPr>
                <w:rFonts w:hint="eastAsia" w:cs="宋体" w:asciiTheme="minorEastAsia" w:hAnsiTheme="minorEastAsia"/>
                <w:bCs/>
                <w:color w:val="FF0000"/>
                <w:sz w:val="24"/>
                <w:szCs w:val="24"/>
                <w:lang w:val="zh-CN"/>
              </w:rPr>
              <w:t>@163.com。</w:t>
            </w:r>
            <w:r>
              <w:rPr>
                <w:rFonts w:hint="eastAsia" w:cs="宋体" w:asciiTheme="minorEastAsia" w:hAnsiTheme="minorEastAsia"/>
                <w:bCs/>
                <w:szCs w:val="21"/>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pPr>
              <w:autoSpaceDE w:val="0"/>
              <w:autoSpaceDN w:val="0"/>
              <w:adjustRightInd w:val="0"/>
              <w:spacing w:line="360" w:lineRule="auto"/>
              <w:contextualSpacing/>
              <w:rPr>
                <w:rFonts w:hAnsi="宋体" w:cs="宋体"/>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供应商响应时须提供加密电子响应文件、备份文件（使用电子介质存储）、纸质响应文件。供应商资质、业绩、荣誉及相关人员证明材料等资料原件谈判响应文件递交现场不再提供（本谈判文件第六章另有要求提供原件的除外）。</w:t>
            </w:r>
          </w:p>
          <w:p>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□否。供应商响应时须提供纸质响应文件。供应商资质、业绩、荣誉及相关人员证明材料等资料原件根据谈判文件要求提供。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268" w:type="dxa"/>
            <w:vAlign w:val="center"/>
          </w:tcPr>
          <w:p>
            <w:pPr>
              <w:autoSpaceDE w:val="0"/>
              <w:autoSpaceDN w:val="0"/>
              <w:adjustRightInd w:val="0"/>
              <w:spacing w:line="360" w:lineRule="auto"/>
              <w:jc w:val="center"/>
              <w:rPr>
                <w:rFonts w:cs="宋体" w:asciiTheme="minorEastAsia" w:hAnsiTheme="minorEastAsia"/>
                <w:bCs/>
                <w:color w:val="FF0000"/>
                <w:szCs w:val="21"/>
                <w:lang w:val="zh-CN"/>
              </w:rPr>
            </w:pPr>
            <w:r>
              <w:rPr>
                <w:rFonts w:hint="eastAsia" w:cs="宋体" w:asciiTheme="minorEastAsia" w:hAnsiTheme="minorEastAsia"/>
                <w:bCs/>
                <w:color w:val="FF0000"/>
                <w:szCs w:val="21"/>
                <w:lang w:val="zh-CN"/>
              </w:rPr>
              <w:t>特别提示</w:t>
            </w:r>
          </w:p>
        </w:tc>
        <w:tc>
          <w:tcPr>
            <w:tcW w:w="6813" w:type="dxa"/>
            <w:vAlign w:val="center"/>
          </w:tcPr>
          <w:p>
            <w:pPr>
              <w:autoSpaceDE w:val="0"/>
              <w:autoSpaceDN w:val="0"/>
              <w:adjustRightInd w:val="0"/>
              <w:spacing w:line="360" w:lineRule="auto"/>
              <w:contextualSpacing/>
              <w:rPr>
                <w:rFonts w:ascii="ˎ̥" w:hAnsi="ˎ̥"/>
                <w:color w:val="FF0000"/>
              </w:rPr>
            </w:pPr>
            <w:r>
              <w:rPr>
                <w:rFonts w:hint="eastAsia" w:ascii="ˎ̥" w:hAnsi="ˎ̥"/>
                <w:color w:val="FF0000"/>
              </w:rPr>
              <w:t>按照《关于推进全流程电子化交易和在线监管工作有关问题的通知》（许公管办[2019]3号）规定：</w:t>
            </w:r>
          </w:p>
          <w:p>
            <w:pPr>
              <w:autoSpaceDE w:val="0"/>
              <w:autoSpaceDN w:val="0"/>
              <w:adjustRightInd w:val="0"/>
              <w:spacing w:line="360" w:lineRule="auto"/>
              <w:contextualSpacing/>
              <w:rPr>
                <w:rFonts w:ascii="ˎ̥" w:hAnsi="ˎ̥"/>
                <w:color w:val="FF0000"/>
              </w:rPr>
            </w:pPr>
            <w:r>
              <w:rPr>
                <w:rFonts w:hint="eastAsia" w:ascii="ˎ̥" w:hAnsi="ˎ̥"/>
                <w:color w:val="FF0000"/>
              </w:rPr>
              <w:t>不同供应商电子响应文件制作硬件特征码（网卡MAC地址、CPU序号、硬盘序列号等）雷同时，视为‘</w:t>
            </w:r>
            <w:r>
              <w:rPr>
                <w:rFonts w:ascii="ˎ̥" w:hAnsi="ˎ̥"/>
                <w:color w:val="FF0000"/>
              </w:rPr>
              <w:t>不同</w:t>
            </w:r>
            <w:r>
              <w:rPr>
                <w:rFonts w:hint="eastAsia" w:ascii="ˎ̥" w:hAnsi="ˎ̥"/>
                <w:color w:val="FF0000"/>
              </w:rPr>
              <w:t>供应商</w:t>
            </w:r>
            <w:r>
              <w:rPr>
                <w:rFonts w:ascii="ˎ̥" w:hAnsi="ˎ̥"/>
                <w:color w:val="FF0000"/>
              </w:rPr>
              <w:t>的</w:t>
            </w:r>
            <w:r>
              <w:rPr>
                <w:rFonts w:hint="eastAsia" w:ascii="ˎ̥" w:hAnsi="ˎ̥"/>
                <w:color w:val="FF0000"/>
              </w:rPr>
              <w:t>响应</w:t>
            </w:r>
            <w:r>
              <w:rPr>
                <w:rFonts w:ascii="ˎ̥" w:hAnsi="ˎ̥"/>
                <w:color w:val="FF0000"/>
              </w:rPr>
              <w:t>文件由同一单位或者个人编制</w:t>
            </w:r>
            <w:r>
              <w:rPr>
                <w:rFonts w:hint="eastAsia" w:ascii="ˎ̥" w:hAnsi="ˎ̥"/>
                <w:color w:val="FF0000"/>
              </w:rPr>
              <w:t>’或‘</w:t>
            </w:r>
            <w:r>
              <w:rPr>
                <w:rFonts w:ascii="ˎ̥" w:hAnsi="ˎ̥"/>
                <w:color w:val="FF0000"/>
              </w:rPr>
              <w:t>不同</w:t>
            </w:r>
            <w:r>
              <w:rPr>
                <w:rFonts w:hint="eastAsia" w:ascii="ˎ̥" w:hAnsi="ˎ̥"/>
                <w:color w:val="FF0000"/>
              </w:rPr>
              <w:t>供应商</w:t>
            </w:r>
            <w:r>
              <w:rPr>
                <w:rFonts w:ascii="ˎ̥" w:hAnsi="ˎ̥"/>
                <w:color w:val="FF0000"/>
              </w:rPr>
              <w:t>委托同一单位或者个人办理</w:t>
            </w:r>
            <w:r>
              <w:rPr>
                <w:rFonts w:hint="eastAsia" w:ascii="ˎ̥" w:hAnsi="ˎ̥"/>
                <w:color w:val="FF0000"/>
              </w:rPr>
              <w:t>响应</w:t>
            </w:r>
            <w:r>
              <w:rPr>
                <w:rFonts w:ascii="ˎ̥" w:hAnsi="ˎ̥"/>
                <w:color w:val="FF0000"/>
              </w:rPr>
              <w:t>事宜</w:t>
            </w:r>
            <w:r>
              <w:rPr>
                <w:rFonts w:hint="eastAsia" w:ascii="ˎ̥" w:hAnsi="ˎ̥"/>
                <w:color w:val="FF0000"/>
              </w:rPr>
              <w:t>’，其谈判响应无效。</w:t>
            </w:r>
          </w:p>
          <w:p>
            <w:pPr>
              <w:autoSpaceDE w:val="0"/>
              <w:autoSpaceDN w:val="0"/>
              <w:adjustRightInd w:val="0"/>
              <w:spacing w:line="360" w:lineRule="auto"/>
              <w:contextualSpacing/>
              <w:rPr>
                <w:rFonts w:hAnsi="宋体" w:cs="宋体"/>
                <w:color w:val="FF0000"/>
                <w:szCs w:val="21"/>
                <w:lang w:val="zh-CN"/>
              </w:rPr>
            </w:pPr>
            <w:r>
              <w:rPr>
                <w:rFonts w:hint="eastAsia" w:ascii="ˎ̥" w:hAnsi="ˎ̥"/>
                <w:color w:val="FF0000"/>
              </w:rPr>
              <w:t>评审专家应严格按照要求查看“硬件特征码”相关信息并进行评审，在评审报告中显示“不同供应商电子响应文件制作硬件特征码”是否雷同的分析及判定结果。</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pStyle w:val="2"/>
        <w:rPr>
          <w:rFonts w:hint="eastAsia" w:cs="宋体" w:asciiTheme="majorEastAsia" w:hAnsiTheme="majorEastAsia" w:eastAsiaTheme="majorEastAsia"/>
          <w:b/>
          <w:kern w:val="0"/>
          <w:sz w:val="32"/>
          <w:szCs w:val="32"/>
        </w:rPr>
      </w:pPr>
    </w:p>
    <w:p>
      <w:pPr>
        <w:pStyle w:val="2"/>
        <w:rPr>
          <w:rFonts w:hint="eastAsia" w:cs="宋体" w:asciiTheme="majorEastAsia" w:hAnsiTheme="majorEastAsia" w:eastAsiaTheme="majorEastAsia"/>
          <w:b/>
          <w:kern w:val="0"/>
          <w:sz w:val="32"/>
          <w:szCs w:val="32"/>
        </w:rPr>
      </w:pPr>
    </w:p>
    <w:p>
      <w:pPr>
        <w:pStyle w:val="2"/>
        <w:rPr>
          <w:rFonts w:hint="eastAsia" w:cs="宋体" w:asciiTheme="majorEastAsia" w:hAnsiTheme="majorEastAsia" w:eastAsiaTheme="majorEastAsia"/>
          <w:b/>
          <w:kern w:val="0"/>
          <w:sz w:val="32"/>
          <w:szCs w:val="32"/>
        </w:rPr>
      </w:pPr>
    </w:p>
    <w:p>
      <w:pPr>
        <w:pStyle w:val="2"/>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pPr>
        <w:pStyle w:val="45"/>
        <w:numPr>
          <w:ilvl w:val="0"/>
          <w:numId w:val="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本谈判文件仅适用于本次“采购邀请”</w:t>
      </w:r>
      <w:r>
        <w:rPr>
          <w:rFonts w:hint="eastAsia" w:ascii="宋体" w:hAnsi="宋体"/>
          <w:szCs w:val="21"/>
        </w:rPr>
        <w:t xml:space="preserve"> 和“供应商须知前附表”中所述采购项目的采购。</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本谈判文件解释权属于“采购邀请”</w:t>
      </w:r>
      <w:r>
        <w:rPr>
          <w:rFonts w:hint="eastAsia" w:ascii="宋体" w:hAnsi="宋体"/>
          <w:szCs w:val="21"/>
        </w:rPr>
        <w:t xml:space="preserve"> 和“供应商须知前附表”</w:t>
      </w:r>
      <w:r>
        <w:rPr>
          <w:rFonts w:hint="eastAsia" w:cs="宋体" w:asciiTheme="minorEastAsia" w:hAnsiTheme="minorEastAsia"/>
          <w:kern w:val="0"/>
          <w:szCs w:val="21"/>
        </w:rPr>
        <w:t>所述的采购人、集中采购机构。</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pPr>
        <w:pStyle w:val="45"/>
        <w:numPr>
          <w:ilvl w:val="0"/>
          <w:numId w:val="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“采购项目”：</w:t>
      </w:r>
      <w:r>
        <w:rPr>
          <w:rFonts w:hint="eastAsia" w:ascii="宋体" w:hAnsi="宋体"/>
          <w:szCs w:val="21"/>
        </w:rPr>
        <w:t xml:space="preserve"> 系指</w:t>
      </w:r>
      <w:r>
        <w:rPr>
          <w:rFonts w:hint="eastAsia" w:cs="宋体" w:asciiTheme="minorEastAsia" w:hAnsiTheme="minorEastAsia"/>
          <w:kern w:val="0"/>
          <w:szCs w:val="21"/>
        </w:rPr>
        <w:t>“供应商须知前附表”中所述的采购项目。</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w:t>
      </w:r>
      <w:r>
        <w:rPr>
          <w:rFonts w:hint="eastAsia" w:ascii="宋体" w:hAnsi="宋体"/>
          <w:szCs w:val="21"/>
        </w:rPr>
        <w:t>系指“供应商须知前附表”中所述的组织本次采购的集中采购机构和采购人。</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“供应商”系指从采购人、集中采购机构处按规定获取谈判文件，并按照谈判文件向采购人、集中采购机构提交响应文件的供应商。</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“成交供应商”系指成交的供应商。</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color w:val="000000"/>
          <w:szCs w:val="21"/>
        </w:rPr>
        <w:t>“甲方”系指采购人。</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“乙方”系指成交并向采购人提供服务的供应商。</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“服务”系指磋商文件规定的供应商为完成采购项目所需承担的全部义务。</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w:t>
      </w:r>
      <w:r>
        <w:rPr>
          <w:rFonts w:cs="宋体" w:asciiTheme="minorEastAsia" w:hAnsiTheme="minorEastAsia"/>
          <w:kern w:val="0"/>
          <w:szCs w:val="21"/>
        </w:rPr>
        <w:t>关于政府采购进口产品管理有关问题的通知</w:t>
      </w:r>
      <w:r>
        <w:rPr>
          <w:rFonts w:hint="eastAsia" w:cs="宋体" w:asciiTheme="minorEastAsia" w:hAnsiTheme="minorEastAsia"/>
          <w:kern w:val="0"/>
          <w:szCs w:val="21"/>
        </w:rPr>
        <w:t>》(财库[2007]119号)、《关于政府采购进口产品管理有关问题的通知》（财办库［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pPr>
        <w:autoSpaceDE w:val="0"/>
        <w:autoSpaceDN w:val="0"/>
        <w:spacing w:line="360" w:lineRule="auto"/>
        <w:ind w:left="840" w:leftChars="400"/>
        <w:contextualSpacing/>
        <w:rPr>
          <w:rFonts w:cs="宋体" w:asciiTheme="minorEastAsia" w:hAnsiTheme="minorEastAsia"/>
          <w:kern w:val="0"/>
          <w:szCs w:val="21"/>
        </w:rPr>
      </w:pPr>
      <w:r>
        <w:rPr>
          <w:rFonts w:hint="eastAsia" w:cs="宋体" w:asciiTheme="minorEastAsia" w:hAnsiTheme="minorEastAsia"/>
          <w:kern w:val="0"/>
          <w:szCs w:val="21"/>
        </w:rPr>
        <w:t>2.8.1  谈判</w:t>
      </w:r>
      <w:r>
        <w:rPr>
          <w:rFonts w:cs="宋体" w:asciiTheme="minorEastAsia" w:hAnsiTheme="minorEastAsia"/>
          <w:kern w:val="0"/>
          <w:szCs w:val="21"/>
        </w:rPr>
        <w:t>文件列明不允许或未列明允许进口产品参加</w:t>
      </w:r>
      <w:r>
        <w:rPr>
          <w:rFonts w:hint="eastAsia" w:cs="宋体" w:asciiTheme="minorEastAsia" w:hAnsiTheme="minorEastAsia"/>
          <w:kern w:val="0"/>
          <w:szCs w:val="21"/>
        </w:rPr>
        <w:t>响应</w:t>
      </w:r>
      <w:r>
        <w:rPr>
          <w:rFonts w:cs="宋体" w:asciiTheme="minorEastAsia" w:hAnsiTheme="minorEastAsia"/>
          <w:kern w:val="0"/>
          <w:szCs w:val="21"/>
        </w:rPr>
        <w:t>的，均视为拒绝进口产品参加</w:t>
      </w:r>
      <w:r>
        <w:rPr>
          <w:rFonts w:hint="eastAsia" w:cs="宋体" w:asciiTheme="minorEastAsia" w:hAnsiTheme="minorEastAsia"/>
          <w:kern w:val="0"/>
          <w:szCs w:val="21"/>
        </w:rPr>
        <w:t>响应</w:t>
      </w:r>
      <w:r>
        <w:rPr>
          <w:rFonts w:cs="宋体" w:asciiTheme="minorEastAsia" w:hAnsiTheme="minorEastAsia"/>
          <w:kern w:val="0"/>
          <w:szCs w:val="21"/>
        </w:rPr>
        <w:t>。</w:t>
      </w:r>
    </w:p>
    <w:p>
      <w:pPr>
        <w:autoSpaceDE w:val="0"/>
        <w:autoSpaceDN w:val="0"/>
        <w:spacing w:line="360" w:lineRule="auto"/>
        <w:ind w:left="943" w:leftChars="449"/>
        <w:contextualSpacing/>
        <w:rPr>
          <w:rFonts w:cs="宋体" w:asciiTheme="minorEastAsia" w:hAnsiTheme="minorEastAsia"/>
          <w:kern w:val="0"/>
          <w:szCs w:val="21"/>
        </w:rPr>
      </w:pPr>
      <w:r>
        <w:rPr>
          <w:rFonts w:hint="eastAsia" w:cs="宋体" w:asciiTheme="minorEastAsia" w:hAnsiTheme="minorEastAsia"/>
          <w:kern w:val="0"/>
          <w:szCs w:val="21"/>
        </w:rPr>
        <w:t xml:space="preserve">2.8.2  </w:t>
      </w:r>
      <w:r>
        <w:rPr>
          <w:rFonts w:cs="宋体" w:asciiTheme="minorEastAsia" w:hAnsiTheme="minorEastAsia"/>
          <w:kern w:val="0"/>
          <w:szCs w:val="21"/>
        </w:rPr>
        <w:t>如</w:t>
      </w:r>
      <w:r>
        <w:rPr>
          <w:rFonts w:hint="eastAsia" w:cs="宋体" w:asciiTheme="minorEastAsia" w:hAnsiTheme="minorEastAsia"/>
          <w:kern w:val="0"/>
          <w:szCs w:val="21"/>
        </w:rPr>
        <w:t>响应</w:t>
      </w:r>
      <w:r>
        <w:rPr>
          <w:rFonts w:cs="宋体" w:asciiTheme="minorEastAsia" w:hAnsiTheme="minorEastAsia"/>
          <w:kern w:val="0"/>
          <w:szCs w:val="21"/>
        </w:rPr>
        <w:t>文件中已说明，经财政部门审核同意，允许部分或全部产品采购进口产品，</w:t>
      </w:r>
      <w:r>
        <w:rPr>
          <w:rFonts w:hint="eastAsia" w:cs="宋体" w:asciiTheme="minorEastAsia" w:hAnsiTheme="minorEastAsia"/>
          <w:kern w:val="0"/>
          <w:szCs w:val="21"/>
        </w:rPr>
        <w:t>供应商</w:t>
      </w:r>
      <w:r>
        <w:rPr>
          <w:rFonts w:cs="宋体" w:asciiTheme="minorEastAsia" w:hAnsiTheme="minorEastAsia"/>
          <w:kern w:val="0"/>
          <w:szCs w:val="21"/>
        </w:rPr>
        <w:t>既可提供本国产品，也可以提供进口产品。</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谈判文件中凡标有“</w:t>
      </w:r>
      <w:r>
        <w:rPr>
          <w:rFonts w:hint="eastAsia" w:cs="宋体" w:asciiTheme="minorEastAsia" w:hAnsiTheme="minorEastAsia"/>
          <w:color w:val="FF0000"/>
          <w:kern w:val="0"/>
          <w:szCs w:val="21"/>
        </w:rPr>
        <w:t>★</w:t>
      </w:r>
      <w:r>
        <w:rPr>
          <w:rFonts w:hint="eastAsia" w:cs="宋体" w:asciiTheme="minorEastAsia" w:hAnsiTheme="minorEastAsia"/>
          <w:kern w:val="0"/>
          <w:szCs w:val="21"/>
        </w:rPr>
        <w:t>”的条款均系实质性要求条款。</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合格的供应商</w:t>
      </w:r>
    </w:p>
    <w:p>
      <w:pPr>
        <w:pStyle w:val="45"/>
        <w:numPr>
          <w:ilvl w:val="0"/>
          <w:numId w:val="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在中华人民共和国境内注册，具有本项目生产、制造、供应或实施能力，符合、承认并承诺履行本磋商文件各项规定的法人、其他组织或者自然人。</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符合本项目“采购邀请”和“供应商须知前附表”中规定的合格供应商所必须具备的条件。</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政府采购活动中查询及使用响应人信用记录的具体要求为：响应人未被列入失信被执行人、重大税收违法案件当事人名单、</w:t>
      </w:r>
      <w:r>
        <w:rPr>
          <w:rFonts w:cs="宋体" w:asciiTheme="minorEastAsia" w:hAnsiTheme="minorEastAsia"/>
          <w:kern w:val="0"/>
          <w:szCs w:val="21"/>
        </w:rPr>
        <w:t>政府采购严重违法失信名单</w:t>
      </w:r>
      <w:r>
        <w:rPr>
          <w:rFonts w:hint="eastAsia" w:cs="宋体" w:asciiTheme="minorEastAsia" w:hAnsiTheme="minorEastAsia"/>
          <w:kern w:val="0"/>
          <w:szCs w:val="21"/>
        </w:rPr>
        <w:t>、政府采购严重违法失信行为记录名单、严重违法失信企业名单（黑名单）、严重违法失信社会组织名单（联合体形式响应的，联合体成员存在不良信用记录，视同联合体存在不良信用记录）。</w:t>
      </w:r>
    </w:p>
    <w:p>
      <w:pPr>
        <w:pStyle w:val="45"/>
        <w:autoSpaceDE w:val="0"/>
        <w:autoSpaceDN w:val="0"/>
        <w:spacing w:line="360" w:lineRule="auto"/>
        <w:ind w:left="991" w:leftChars="472" w:firstLine="0" w:firstLineChars="0"/>
        <w:contextualSpacing/>
        <w:rPr>
          <w:rFonts w:cs="宋体" w:asciiTheme="minorEastAsia" w:hAnsiTheme="minorEastAsia"/>
          <w:kern w:val="0"/>
          <w:szCs w:val="21"/>
        </w:rPr>
      </w:pPr>
      <w:r>
        <w:rPr>
          <w:rFonts w:hint="eastAsia" w:cs="宋体" w:asciiTheme="minorEastAsia" w:hAnsiTheme="minorEastAsia"/>
          <w:kern w:val="0"/>
          <w:szCs w:val="21"/>
        </w:rPr>
        <w:t>（1）查询渠道：“信用中国”网站（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w:t>
      </w:r>
      <w:r>
        <w:rPr>
          <w:rFonts w:hint="eastAsia" w:cs="仿宋_GB2312" w:asciiTheme="minorEastAsia" w:hAnsiTheme="minorEastAsia"/>
          <w:color w:val="000000"/>
          <w:szCs w:val="21"/>
          <w:shd w:val="clear" w:color="auto" w:fill="FFFFFF"/>
        </w:rPr>
        <w:t>“国家企业信用公示系统”网站（</w:t>
      </w:r>
      <w:r>
        <w:rPr>
          <w:rFonts w:cs="仿宋_GB2312" w:asciiTheme="minorEastAsia" w:hAnsiTheme="minorEastAsia"/>
          <w:color w:val="000000"/>
          <w:szCs w:val="21"/>
          <w:shd w:val="clear" w:color="auto" w:fill="FFFFFF"/>
        </w:rPr>
        <w:t>www.gsxt.gov.cn</w:t>
      </w:r>
      <w:r>
        <w:rPr>
          <w:rFonts w:hint="eastAsia" w:cs="仿宋_GB2312" w:asciiTheme="minorEastAsia" w:hAnsiTheme="minorEastAsia"/>
          <w:color w:val="000000"/>
          <w:szCs w:val="21"/>
          <w:shd w:val="clear" w:color="auto" w:fill="FFFFFF"/>
        </w:rPr>
        <w:t>）</w:t>
      </w:r>
      <w:r>
        <w:rPr>
          <w:rFonts w:hint="eastAsia" w:cs="宋体" w:asciiTheme="minorEastAsia" w:hAnsiTheme="minorEastAsia"/>
          <w:kern w:val="0"/>
          <w:szCs w:val="21"/>
        </w:rPr>
        <w:t>；“中国社会组织公共服务平台”网站（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w:t>
      </w:r>
    </w:p>
    <w:p>
      <w:pPr>
        <w:pStyle w:val="45"/>
        <w:autoSpaceDE w:val="0"/>
        <w:autoSpaceDN w:val="0"/>
        <w:spacing w:line="360" w:lineRule="auto"/>
        <w:ind w:left="420"/>
        <w:contextualSpacing/>
        <w:rPr>
          <w:rFonts w:cs="宋体" w:asciiTheme="minorEastAsia" w:hAnsiTheme="minorEastAsia"/>
          <w:kern w:val="0"/>
          <w:szCs w:val="21"/>
        </w:rPr>
      </w:pPr>
      <w:r>
        <w:rPr>
          <w:rFonts w:hint="eastAsia" w:cs="宋体" w:asciiTheme="minorEastAsia" w:hAnsiTheme="minorEastAsia"/>
          <w:kern w:val="0"/>
          <w:szCs w:val="21"/>
        </w:rPr>
        <w:t>（2）截止时间：同响应截止时间。</w:t>
      </w:r>
    </w:p>
    <w:p>
      <w:pPr>
        <w:pStyle w:val="45"/>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（3）信用信息查询记录和证据留存具体方式：经谈判小组确认的查询结果网页截图作为查询记录和证据，与其他采购文件一并保存。</w:t>
      </w:r>
    </w:p>
    <w:p>
      <w:pPr>
        <w:pStyle w:val="45"/>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谈判小组认定的被列入失信被执行人、重大税收违法案件当事人名单、政府采购严重违法失信行为记录名单、严重违法失信企业名单（黑名单）、严重违法失信社会组织名单的响应人，将拒绝其参与本次政府采购活动。</w:t>
      </w:r>
    </w:p>
    <w:p>
      <w:pPr>
        <w:pStyle w:val="45"/>
        <w:autoSpaceDE w:val="0"/>
        <w:autoSpaceDN w:val="0"/>
        <w:spacing w:line="360" w:lineRule="auto"/>
        <w:ind w:left="850" w:leftChars="405" w:firstLine="0" w:firstLineChars="0"/>
        <w:contextualSpacing/>
        <w:rPr>
          <w:rFonts w:cs="宋体" w:asciiTheme="minorEastAsia" w:hAnsiTheme="minorEastAsia"/>
          <w:kern w:val="0"/>
          <w:szCs w:val="21"/>
        </w:rPr>
      </w:pPr>
      <w:r>
        <w:rPr>
          <w:rFonts w:hint="eastAsia" w:cs="宋体" w:asciiTheme="minorEastAsia" w:hAnsiTheme="minor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单位负责人为同一人或者存在直接控股、管理关系的不同供应商，不得同时参加本项目报价。违反规定的，相关响应均无效。</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“采购邀请”和“供应商须知前附表”规定接受联合体响应的，除应符合本章第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3.6.1    在响应文件中向采购人提交联合体协议书，明确联合体各方承担的工作和义务；</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3.6.2    联合体中有同类资质的供应商按联合体分工承担相同工作的，应当按照资质等级较低的供应商确定资质等级；</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3.6.3    采购人根据采购项目的特殊要求规定供应商特定条件的，联合体各方中至少应当有一方符合采购规定的特定条件。</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3.6.4    联合体各方不得再单独参加或者与其他供应商另外组成联合体参加同一合同项下的政府采购活动。</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 xml:space="preserve">3.6.5    </w:t>
      </w: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cs="宋体" w:asciiTheme="minorEastAsia" w:hAnsiTheme="minorEastAsia"/>
          <w:kern w:val="0"/>
          <w:szCs w:val="21"/>
        </w:rPr>
        <w:t>。</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pPr>
        <w:pStyle w:val="45"/>
        <w:numPr>
          <w:ilvl w:val="0"/>
          <w:numId w:val="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供的货物和服务应当符合谈判文件的要求，并且其质量完全符合国家标准、行业标准或地方标准，均有标准的以高（严格）者为准。没有国家标准、行业标准和企业标准的，按照通常标准或者符合采购目的的特定标准确定。</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供应商所提供的服务应当没有侵犯任何第三方的知识产权、技术秘密等合法权利。</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如供应商所投产品被列入</w:t>
      </w:r>
      <w:r>
        <w:rPr>
          <w:rFonts w:cs="宋体" w:asciiTheme="minorEastAsia" w:hAnsiTheme="minorEastAsia"/>
          <w:kern w:val="0"/>
          <w:szCs w:val="21"/>
        </w:rPr>
        <w:t>《中华人民共和国实施强制性产品认证的产品目录》，</w:t>
      </w:r>
      <w:r>
        <w:rPr>
          <w:rFonts w:hint="eastAsia" w:cs="宋体" w:asciiTheme="minorEastAsia" w:hAnsiTheme="minorEastAsia"/>
          <w:kern w:val="0"/>
          <w:szCs w:val="21"/>
        </w:rPr>
        <w:t>则该产品应</w:t>
      </w:r>
      <w:r>
        <w:rPr>
          <w:rFonts w:cs="宋体" w:asciiTheme="minorEastAsia" w:hAnsiTheme="minorEastAsia"/>
          <w:kern w:val="0"/>
          <w:szCs w:val="21"/>
        </w:rPr>
        <w:t>具备国家认监委</w:t>
      </w:r>
      <w:r>
        <w:rPr>
          <w:rFonts w:hint="eastAsia" w:cs="宋体" w:asciiTheme="minorEastAsia" w:hAnsiTheme="minorEastAsia"/>
          <w:kern w:val="0"/>
          <w:szCs w:val="21"/>
        </w:rPr>
        <w:t>指定强制性产品认证机构</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《中国</w:t>
      </w:r>
      <w:r>
        <w:rPr>
          <w:rFonts w:hint="eastAsia" w:cs="宋体" w:asciiTheme="minorEastAsia" w:hAnsiTheme="minorEastAsia"/>
          <w:kern w:val="0"/>
          <w:szCs w:val="21"/>
        </w:rPr>
        <w:t>国家</w:t>
      </w:r>
      <w:r>
        <w:rPr>
          <w:rFonts w:cs="宋体" w:asciiTheme="minorEastAsia" w:hAnsiTheme="minorEastAsia"/>
          <w:kern w:val="0"/>
          <w:szCs w:val="21"/>
        </w:rPr>
        <w:t>强制</w:t>
      </w:r>
      <w:r>
        <w:rPr>
          <w:rFonts w:hint="eastAsia" w:cs="宋体" w:asciiTheme="minorEastAsia" w:hAnsiTheme="minorEastAsia"/>
          <w:kern w:val="0"/>
          <w:szCs w:val="21"/>
        </w:rPr>
        <w:t>性产品</w:t>
      </w:r>
      <w:r>
        <w:rPr>
          <w:rFonts w:cs="宋体" w:asciiTheme="minorEastAsia" w:hAnsiTheme="minorEastAsia"/>
          <w:kern w:val="0"/>
          <w:szCs w:val="21"/>
        </w:rPr>
        <w:t>认证</w:t>
      </w:r>
      <w:r>
        <w:rPr>
          <w:rFonts w:hint="eastAsia" w:cs="宋体" w:asciiTheme="minorEastAsia" w:hAnsiTheme="minorEastAsia"/>
          <w:kern w:val="0"/>
          <w:szCs w:val="21"/>
        </w:rPr>
        <w:t>证书</w:t>
      </w:r>
      <w:r>
        <w:rPr>
          <w:rFonts w:cs="宋体" w:asciiTheme="minorEastAsia" w:hAnsiTheme="minorEastAsia"/>
          <w:kern w:val="0"/>
          <w:szCs w:val="21"/>
        </w:rPr>
        <w:t>》（CCC 认证）。</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谈判费用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不论采购的结果如何，供应商均应自行承担所有与谈判有关的全部费用，采购人、集中采购机构在任何情况下均无义务和责任承担这些费用。</w:t>
      </w:r>
    </w:p>
    <w:p>
      <w:pPr>
        <w:autoSpaceDE w:val="0"/>
        <w:autoSpaceDN w:val="0"/>
        <w:spacing w:line="360" w:lineRule="auto"/>
        <w:ind w:left="964"/>
        <w:contextualSpacing/>
        <w:rPr>
          <w:rFonts w:cs="宋体" w:asciiTheme="minorEastAsia" w:hAnsiTheme="minorEastAsia"/>
          <w:kern w:val="0"/>
          <w:szCs w:val="21"/>
        </w:rPr>
      </w:pP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谈判公告、谈判文件澄清或修改公告、成交公告以及延长响应文件提交截止时间等与采购活动有关的通知，采购人、集中采购机构均将通过在《中国政府采购网》、《河南省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代理费用</w:t>
      </w:r>
    </w:p>
    <w:p>
      <w:pPr>
        <w:pStyle w:val="45"/>
        <w:autoSpaceDE w:val="0"/>
        <w:autoSpaceDN w:val="0"/>
        <w:spacing w:line="360" w:lineRule="auto"/>
        <w:contextualSpacing/>
        <w:rPr>
          <w:rFonts w:cs="宋体" w:asciiTheme="minorEastAsia" w:hAnsiTheme="minorEastAsia"/>
          <w:kern w:val="0"/>
          <w:szCs w:val="21"/>
        </w:rPr>
      </w:pPr>
      <w:r>
        <w:rPr>
          <w:rFonts w:hint="eastAsia" w:cs="微软雅黑"/>
          <w:color w:val="000000"/>
        </w:rPr>
        <w:t>集中采购机构</w:t>
      </w:r>
      <w:r>
        <w:rPr>
          <w:rFonts w:hint="eastAsia" w:cs="微软雅黑"/>
          <w:color w:val="000000"/>
          <w:lang w:eastAsia="zh-CN"/>
        </w:rPr>
        <w:t>除收取标书费用外</w:t>
      </w:r>
      <w:r>
        <w:rPr>
          <w:rFonts w:hint="eastAsia" w:cs="微软雅黑"/>
          <w:color w:val="000000"/>
        </w:rPr>
        <w:t>，不收取费</w:t>
      </w:r>
      <w:r>
        <w:rPr>
          <w:rFonts w:hint="eastAsia" w:cs="微软雅黑"/>
          <w:color w:val="000000"/>
          <w:lang w:eastAsia="zh-CN"/>
        </w:rPr>
        <w:t>用</w:t>
      </w:r>
      <w:r>
        <w:rPr>
          <w:rFonts w:hint="eastAsia" w:cs="宋体" w:asciiTheme="minorEastAsia" w:hAnsiTheme="minorEastAsia"/>
          <w:kern w:val="0"/>
          <w:szCs w:val="21"/>
        </w:rPr>
        <w:t>。</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pPr>
        <w:numPr>
          <w:ilvl w:val="0"/>
          <w:numId w:val="0"/>
        </w:numPr>
        <w:autoSpaceDE w:val="0"/>
        <w:autoSpaceDN w:val="0"/>
        <w:spacing w:line="360" w:lineRule="auto"/>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本“供应商须知”的条款如与“采购邀请”、“采购需求”、“供应商须知前附表”和“谈判和评审”就同一内容的表述不一致的，以“采购邀请”、“ 采购需求”、“供应商须知前附表”和“谈判和评审”中规定的内容为准。</w:t>
      </w:r>
    </w:p>
    <w:p>
      <w:pPr>
        <w:autoSpaceDE w:val="0"/>
        <w:autoSpaceDN w:val="0"/>
        <w:adjustRightInd w:val="0"/>
        <w:spacing w:line="360" w:lineRule="auto"/>
        <w:jc w:val="left"/>
        <w:rPr>
          <w:rFonts w:hint="eastAsia" w:cs="宋体" w:asciiTheme="minorEastAsia" w:hAnsiTheme="minorEastAsia"/>
          <w:kern w:val="0"/>
          <w:szCs w:val="21"/>
        </w:rPr>
      </w:pPr>
      <w:r>
        <w:rPr>
          <w:rFonts w:hint="eastAsia" w:cs="宋体" w:asciiTheme="minorEastAsia" w:hAnsiTheme="minorEastAsia"/>
          <w:kern w:val="0"/>
          <w:szCs w:val="21"/>
          <w:lang w:val="en-US" w:eastAsia="zh-CN"/>
        </w:rPr>
        <w:t>2、</w:t>
      </w:r>
      <w:r>
        <w:rPr>
          <w:rFonts w:hint="eastAsia" w:cs="宋体" w:asciiTheme="minorEastAsia" w:hAnsiTheme="minorEastAsia"/>
          <w:kern w:val="0"/>
          <w:szCs w:val="21"/>
          <w:lang w:eastAsia="zh-CN"/>
        </w:rPr>
        <w:t>如“谈判邀请函</w:t>
      </w:r>
      <w:r>
        <w:rPr>
          <w:rFonts w:hint="default" w:cs="宋体" w:asciiTheme="minorEastAsia" w:hAnsiTheme="minorEastAsia"/>
          <w:kern w:val="0"/>
          <w:szCs w:val="21"/>
          <w:lang w:val="en-US" w:eastAsia="zh-CN"/>
        </w:rPr>
        <w:t>”</w:t>
      </w:r>
      <w:r>
        <w:rPr>
          <w:rFonts w:hint="eastAsia" w:cs="宋体" w:asciiTheme="minorEastAsia" w:hAnsiTheme="minorEastAsia"/>
          <w:kern w:val="0"/>
          <w:szCs w:val="21"/>
          <w:lang w:val="en-US" w:eastAsia="zh-CN"/>
        </w:rPr>
        <w:t>中“</w:t>
      </w:r>
      <w:r>
        <w:rPr>
          <w:rFonts w:hint="eastAsia" w:cs="宋体" w:asciiTheme="minorEastAsia" w:hAnsiTheme="minorEastAsia"/>
          <w:kern w:val="0"/>
          <w:szCs w:val="21"/>
          <w:lang w:eastAsia="zh-CN"/>
        </w:rPr>
        <w:t>谈判截止时间及谈判时间”和“投标人须知前附表”中</w:t>
      </w:r>
      <w:r>
        <w:rPr>
          <w:rFonts w:hint="eastAsia" w:ascii="黑体" w:hAnsi="黑体" w:eastAsia="黑体" w:cs="Arial"/>
          <w:color w:val="000000"/>
          <w:kern w:val="0"/>
          <w:sz w:val="32"/>
          <w:szCs w:val="32"/>
          <w:lang w:eastAsia="zh-CN"/>
        </w:rPr>
        <w:t>“</w:t>
      </w:r>
      <w:r>
        <w:rPr>
          <w:rFonts w:hint="eastAsia" w:cs="宋体" w:asciiTheme="minorEastAsia" w:hAnsiTheme="minorEastAsia"/>
          <w:bCs/>
          <w:szCs w:val="21"/>
          <w:lang w:val="zh-CN"/>
        </w:rPr>
        <w:t>谈判响应截止及谈判时间”不一致的，以《河南省政府采购网》发布的“谈判响应截止及谈判时间”为准。</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二、谈判文件说明</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谈判文件构成</w:t>
      </w:r>
    </w:p>
    <w:p>
      <w:pPr>
        <w:pStyle w:val="45"/>
        <w:numPr>
          <w:ilvl w:val="0"/>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谈判文件由以下部分组成：</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（1）采购邀请（竞争性谈判公告）</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（2）采购需求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（3）供应商须知前附表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（4）供应商须知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（6）资格审查与评审</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（7）合同书格式及合同条款</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（8）响应文件有关格式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（9）本项目谈判文件的澄清、答复、修改、补充内容（如有的话）</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阅读、并充分理解谈判文件的全部内容（包括所有的补充、修改内容、重要事项、格式、条款和技术规范、参数及要求等），按谈判文件要求和规定编制响应文件，并保证所提供的全部资料的真实性，否则有可能导致响应被拒绝，其风险由供应商自行承担。</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谈判文件的澄清或修改</w:t>
      </w:r>
    </w:p>
    <w:p>
      <w:pPr>
        <w:autoSpaceDE w:val="0"/>
        <w:autoSpaceDN w:val="0"/>
        <w:spacing w:line="360" w:lineRule="auto"/>
        <w:ind w:left="991" w:leftChars="202" w:hanging="567" w:hangingChars="270"/>
        <w:contextualSpacing/>
        <w:rPr>
          <w:rFonts w:cs="宋体" w:asciiTheme="minorEastAsia" w:hAnsiTheme="minorEastAsia"/>
          <w:kern w:val="0"/>
          <w:szCs w:val="21"/>
        </w:rPr>
      </w:pPr>
      <w:r>
        <w:rPr>
          <w:rFonts w:hint="eastAsia" w:cs="宋体" w:asciiTheme="minorEastAsia" w:hAnsiTheme="minorEastAsia"/>
          <w:kern w:val="0"/>
          <w:szCs w:val="21"/>
        </w:rPr>
        <w:t>10.1 在谈判响应截止期前，无论出于何种原因，采购人可主动地或在解答供应商提出的澄清问题时对谈判文件进行修改。</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澄清或修改公告的内容为谈判文件的组成部分，并对供应商具有约束力。当谈判文件与澄清或修改公告就同一内容的表述不一致时，以最后发出的文件内容为准。</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如果澄清或者修改发出的时间距规定的谈判响应截止时间不足3个工作日的，采购人、集中采购机构将顺延提交响应文件的截止时间。</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三、响应文件的编制</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响应文件的语言及计量单位</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响应文件计量单位，谈判文件已有明确规定的，使用谈判文件规定的计量单位；谈判文件没有规定的，一律采用中华人民共和国法定计量单位。</w:t>
      </w:r>
    </w:p>
    <w:p>
      <w:pPr>
        <w:pStyle w:val="45"/>
        <w:autoSpaceDE w:val="0"/>
        <w:autoSpaceDN w:val="0"/>
        <w:spacing w:line="360" w:lineRule="auto"/>
        <w:ind w:left="964" w:firstLine="0" w:firstLineChars="0"/>
        <w:contextualSpacing/>
        <w:rPr>
          <w:rFonts w:cs="宋体" w:asciiTheme="minorEastAsia" w:hAnsiTheme="minorEastAsia"/>
          <w:kern w:val="0"/>
          <w:szCs w:val="21"/>
        </w:rPr>
      </w:pP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报价</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本次谈判项目的报价均以人民币为计算单位。</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采购人不得向供应商索要或者接受其给予的赠品、回扣或者与采购无关的其他商品、服务。</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供应商应对项目要求的全部内容进行报价，少报漏报将导致其响应为非实质性响应予以拒绝。</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供应商应当按照国家相关规定，结合自身服务水平和承受能力进行</w:t>
      </w:r>
      <w:r>
        <w:rPr>
          <w:rFonts w:hint="eastAsia" w:cs="宋体" w:asciiTheme="minorEastAsia" w:hAnsiTheme="minorEastAsia"/>
          <w:kern w:val="0"/>
          <w:szCs w:val="21"/>
          <w:lang w:eastAsia="zh-CN"/>
        </w:rPr>
        <w:t>第二次</w:t>
      </w:r>
      <w:r>
        <w:rPr>
          <w:rFonts w:hint="eastAsia" w:cs="宋体" w:asciiTheme="minorEastAsia" w:hAnsiTheme="minorEastAsia"/>
          <w:kern w:val="0"/>
          <w:szCs w:val="21"/>
        </w:rPr>
        <w:t>报价</w:t>
      </w:r>
      <w:r>
        <w:rPr>
          <w:rFonts w:hint="eastAsia" w:cs="宋体" w:asciiTheme="minorEastAsia" w:hAnsiTheme="minorEastAsia"/>
          <w:kern w:val="0"/>
          <w:szCs w:val="21"/>
          <w:lang w:eastAsia="zh-CN"/>
        </w:rPr>
        <w:t>（即最终报价）</w:t>
      </w:r>
      <w:r>
        <w:rPr>
          <w:rFonts w:hint="eastAsia" w:cs="宋体" w:asciiTheme="minorEastAsia" w:hAnsiTheme="minorEastAsia"/>
          <w:kern w:val="0"/>
          <w:szCs w:val="21"/>
        </w:rPr>
        <w:t>。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r>
        <w:rPr>
          <w:rFonts w:hint="eastAsia" w:ascii="宋体" w:hAnsi="宋体"/>
          <w:color w:val="000000"/>
          <w:szCs w:val="21"/>
        </w:rPr>
        <w:t>经通知参加</w:t>
      </w:r>
      <w:r>
        <w:rPr>
          <w:rFonts w:hint="eastAsia" w:ascii="宋体" w:hAnsi="宋体"/>
          <w:color w:val="000000"/>
          <w:szCs w:val="21"/>
          <w:lang w:eastAsia="zh-CN"/>
        </w:rPr>
        <w:t>谈判</w:t>
      </w:r>
      <w:r>
        <w:rPr>
          <w:rFonts w:hint="eastAsia" w:ascii="宋体" w:hAnsi="宋体"/>
          <w:color w:val="000000"/>
          <w:szCs w:val="21"/>
        </w:rPr>
        <w:t>的供应商，在谈判结束后还有一次最终报价的机会</w:t>
      </w:r>
      <w:r>
        <w:rPr>
          <w:rFonts w:hint="eastAsia" w:cs="宋体" w:asciiTheme="minorEastAsia" w:hAnsiTheme="minorEastAsia"/>
          <w:kern w:val="0"/>
          <w:szCs w:val="21"/>
        </w:rPr>
        <w:t>。</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本项目所涉及的运输、施工、安装、集成、调试、验收、备品和工具等费用均包含在响应报价中。</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报价不得高于本项目预算金额，且不低于成本价。供应商的响应报价高于预算金额（项目控制金额上限）的，该供应商的响应文件将被视为非实质性响应予以拒绝。</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最低报价不能做为成交的保证。</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响应文件有效期</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w:t>
      </w:r>
      <w:r>
        <w:rPr>
          <w:rFonts w:hint="eastAsia" w:cs="微软雅黑"/>
          <w:color w:val="000000"/>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cs="宋体" w:asciiTheme="minorEastAsia" w:hAnsiTheme="minorEastAsia"/>
          <w:kern w:val="0"/>
          <w:szCs w:val="21"/>
        </w:rPr>
        <w:t>。</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成交供应商的响应文件作为项目合同的附件，其有效期至成交供应商全部合同义务履行完毕为止。</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响应文件构成</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响应文件的构成应符合法律法规及谈判文件的要求。</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供应商应当按照谈判文件的要求编制响应文件。响应文件应当对谈判文件提出的要求和条件作出明确响应。</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响应文件由资格证明材料、符合性证明材料、其它材料等组成。</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供应商根据谈判文件的规定和采购项目的实际情况，拟在成交后将成交项目的非主体、非关键性工作分包的，应当在响应文件中载明分包承担主体，分包承担主体应当具备相应资质条件且不得再次分包。</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供应商登录许昌公共资源交易系统下载“许昌投标文件制作系统SEARUN 最新版本”，按谈判文件要求根据所响应标段制作电子响应文件。 一个标段对应生成一个文件夹（xxxx项目xx标段）, 其中包含2个文件和1个文件夹。后缀名为“</w:t>
      </w:r>
      <w:r>
        <w:rPr>
          <w:rFonts w:cs="宋体" w:asciiTheme="minorEastAsia" w:hAnsiTheme="minorEastAsia"/>
          <w:kern w:val="0"/>
          <w:szCs w:val="21"/>
        </w:rPr>
        <w:t>.file</w:t>
      </w:r>
      <w:r>
        <w:rPr>
          <w:rFonts w:hint="eastAsia" w:cs="宋体" w:asciiTheme="minorEastAsia" w:hAnsiTheme="minorEastAsia"/>
          <w:kern w:val="0"/>
          <w:szCs w:val="21"/>
        </w:rPr>
        <w:t>”的文件用于电子响应使用，后缀名为“.PDF”的文件用于打印纸质响应文件，名称为“备份”的文件夹使用电子介质存储，供谈判响应文件递交现场备用。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电子响应文件制作技术咨询：</w:t>
      </w:r>
      <w:r>
        <w:rPr>
          <w:rFonts w:hint="eastAsia" w:cs="宋体" w:asciiTheme="minorEastAsia" w:hAnsiTheme="minorEastAsia"/>
          <w:b/>
          <w:kern w:val="0"/>
          <w:szCs w:val="21"/>
        </w:rPr>
        <w:t>0374-2961598</w:t>
      </w:r>
      <w:r>
        <w:rPr>
          <w:rFonts w:hint="eastAsia" w:cs="宋体" w:asciiTheme="minorEastAsia" w:hAnsiTheme="minorEastAsia"/>
          <w:kern w:val="0"/>
          <w:szCs w:val="21"/>
        </w:rPr>
        <w:t>。</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响应文件格式</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应参照谈判文件第七部分（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供应商应按谈判文件提供的格式编写响应文件。谈判文件未提供标准格式的供应商可自行拟定。</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谈判保证金</w:t>
      </w:r>
    </w:p>
    <w:p>
      <w:pPr>
        <w:pStyle w:val="45"/>
        <w:numPr>
          <w:ilvl w:val="0"/>
          <w:numId w:val="0"/>
        </w:numPr>
        <w:autoSpaceDE w:val="0"/>
        <w:autoSpaceDN w:val="0"/>
        <w:spacing w:line="360" w:lineRule="auto"/>
        <w:ind w:left="420" w:leftChars="0"/>
        <w:contextualSpacing/>
        <w:rPr>
          <w:rFonts w:hint="eastAsia" w:cs="宋体" w:asciiTheme="minorEastAsia" w:hAnsiTheme="minorEastAsia"/>
          <w:b/>
          <w:kern w:val="0"/>
          <w:szCs w:val="21"/>
          <w:lang w:eastAsia="zh-CN"/>
        </w:rPr>
      </w:pPr>
      <w:r>
        <w:rPr>
          <w:rFonts w:hint="eastAsia" w:cs="宋体" w:asciiTheme="minorEastAsia" w:hAnsiTheme="minorEastAsia"/>
          <w:b/>
          <w:kern w:val="0"/>
          <w:szCs w:val="21"/>
          <w:lang w:val="en-US" w:eastAsia="zh-CN"/>
        </w:rPr>
        <w:t xml:space="preserve">16.1 </w:t>
      </w:r>
      <w:r>
        <w:rPr>
          <w:rFonts w:hint="eastAsia" w:cs="宋体" w:asciiTheme="minorEastAsia" w:hAnsiTheme="minorEastAsia"/>
          <w:b/>
          <w:kern w:val="0"/>
          <w:szCs w:val="21"/>
          <w:lang w:eastAsia="zh-CN"/>
        </w:rPr>
        <w:t>不收取</w:t>
      </w:r>
    </w:p>
    <w:p>
      <w:pPr>
        <w:pStyle w:val="45"/>
        <w:numPr>
          <w:ilvl w:val="0"/>
          <w:numId w:val="0"/>
        </w:numPr>
        <w:autoSpaceDE w:val="0"/>
        <w:autoSpaceDN w:val="0"/>
        <w:spacing w:line="360" w:lineRule="auto"/>
        <w:ind w:left="420" w:leftChars="0"/>
        <w:contextualSpacing/>
        <w:rPr>
          <w:rFonts w:hint="default" w:cs="宋体" w:asciiTheme="minorEastAsia" w:hAnsiTheme="minorEastAsia"/>
          <w:b/>
          <w:kern w:val="0"/>
          <w:szCs w:val="21"/>
          <w:lang w:val="en-US" w:eastAsia="zh-CN"/>
        </w:rPr>
      </w:pPr>
      <w:r>
        <w:rPr>
          <w:rFonts w:hint="eastAsia" w:cs="宋体" w:asciiTheme="minorEastAsia" w:hAnsiTheme="minorEastAsia"/>
          <w:b/>
          <w:kern w:val="0"/>
          <w:szCs w:val="21"/>
          <w:lang w:val="en-US" w:eastAsia="zh-CN"/>
        </w:rPr>
        <w:t>16.2 投标人须在谈判响应文件中做出承诺</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谈判文件的数量和签署盖章</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供应商应提交响应文件份数见“供应商须知前附表”。</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在谈判文件中已明示需盖章及签名之处，电子响应文件应按谈判文件要求加盖供应商电子印章和法人电子印章或授权代表电子印章。</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纸质响应文件是指供应商电子响应文件制作完成后生成的后缀名为“.PDF”的文件打印的响应文件。纸质响应文件正本和副本封面上应清楚标明</w:t>
      </w:r>
      <w:r>
        <w:rPr>
          <w:rFonts w:cs="宋体" w:asciiTheme="minorEastAsia" w:hAnsiTheme="minorEastAsia"/>
          <w:kern w:val="0"/>
          <w:szCs w:val="21"/>
        </w:rPr>
        <w:t>“</w:t>
      </w:r>
      <w:r>
        <w:rPr>
          <w:rFonts w:hint="eastAsia" w:cs="宋体" w:asciiTheme="minorEastAsia" w:hAnsiTheme="minorEastAsia"/>
          <w:kern w:val="0"/>
          <w:szCs w:val="21"/>
        </w:rPr>
        <w:t>正本</w:t>
      </w:r>
      <w:r>
        <w:rPr>
          <w:rFonts w:cs="宋体" w:asciiTheme="minorEastAsia" w:hAnsiTheme="minorEastAsia"/>
          <w:kern w:val="0"/>
          <w:szCs w:val="21"/>
        </w:rPr>
        <w:t>”</w:t>
      </w:r>
      <w:r>
        <w:rPr>
          <w:rFonts w:hint="eastAsia" w:cs="宋体" w:asciiTheme="minorEastAsia" w:hAnsiTheme="minorEastAsia"/>
          <w:kern w:val="0"/>
          <w:szCs w:val="21"/>
        </w:rPr>
        <w:t>或</w:t>
      </w:r>
      <w:r>
        <w:rPr>
          <w:rFonts w:cs="宋体" w:asciiTheme="minorEastAsia" w:hAnsiTheme="minorEastAsia"/>
          <w:kern w:val="0"/>
          <w:szCs w:val="21"/>
        </w:rPr>
        <w:t>“</w:t>
      </w:r>
      <w:r>
        <w:rPr>
          <w:rFonts w:hint="eastAsia" w:cs="宋体" w:asciiTheme="minorEastAsia" w:hAnsiTheme="minorEastAsia"/>
          <w:kern w:val="0"/>
          <w:szCs w:val="21"/>
        </w:rPr>
        <w:t>副本</w:t>
      </w:r>
      <w:r>
        <w:rPr>
          <w:rFonts w:cs="宋体" w:asciiTheme="minorEastAsia" w:hAnsiTheme="minorEastAsia"/>
          <w:kern w:val="0"/>
          <w:szCs w:val="21"/>
        </w:rPr>
        <w:t>”</w:t>
      </w:r>
      <w:r>
        <w:rPr>
          <w:rFonts w:hint="eastAsia" w:cs="宋体" w:asciiTheme="minorEastAsia" w:hAnsiTheme="minorEastAsia"/>
          <w:kern w:val="0"/>
          <w:szCs w:val="21"/>
        </w:rPr>
        <w:t>字样；一旦正本和副本内容不一致时，以正本为准。纸质响应文件的正本及所有副本的封面均须由供应商加盖供应商公章。</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纸质响应文件副本可以是纸质响应文件的正本复印而成。</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四、响应文件的递交</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响应文件的密封</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供应商应将纸质响应文件“正本”、“ 副本”密封包装。使用电子介质存储的响应文件单独密封包装，并随纸质响应文件一并提交。</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响应文件如果未按规定密封，采购人、集中采购机构将拒绝接收。</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谈判响应截止时间</w:t>
      </w:r>
    </w:p>
    <w:p>
      <w:pPr>
        <w:pStyle w:val="45"/>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供应商必须在“采购邀请”和“供应商须知前附表”中规定的谈判响应文件截止时间前，将所有响应文件送达谈判文件指定的地点。</w:t>
      </w:r>
      <w:r>
        <w:rPr>
          <w:rFonts w:hint="eastAsia" w:cs="微软雅黑"/>
          <w:color w:val="000000"/>
        </w:rPr>
        <w:t>在递交截止时间以后送达的响应文件，</w:t>
      </w:r>
      <w:r>
        <w:rPr>
          <w:rFonts w:hint="eastAsia" w:cs="宋体" w:asciiTheme="minorEastAsia" w:hAnsiTheme="minorEastAsia"/>
          <w:kern w:val="0"/>
          <w:szCs w:val="21"/>
        </w:rPr>
        <w:t>采购人、集中采购机构</w:t>
      </w:r>
      <w:r>
        <w:rPr>
          <w:rFonts w:hint="eastAsia" w:cs="微软雅黑"/>
          <w:color w:val="000000"/>
        </w:rPr>
        <w:t>将予以拒绝。</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迟交的响应文件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谈判响应文件截止时间之后送达/上传的响应文件，采购人、集中采购机构将将拒绝接收。</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响应文件的修改和撤回</w:t>
      </w:r>
    </w:p>
    <w:p>
      <w:pPr>
        <w:pStyle w:val="45"/>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供应商在谈判响应截止时间前，对所递交的纸质响应文件进行补充、修改或者撤回的，须书面通知采购人和集中采购机构。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供应商应当在谈判响应截止时间前完成电子响应文件的提交，可以补充、修改或撤回。谈判响应截止时间前未完成电子响应文件提交、取得“投标文件提交回执单”的，视为撤回响应文件。</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供应商补充、修改的内容并作为响应文件的组成部分。补充或修改应当按谈判文件要求签署、盖章、密封、递交，并应注明“修改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供应商不得在投标有效期内撤销响应文件</w:t>
      </w:r>
      <w:r>
        <w:rPr>
          <w:rFonts w:hint="eastAsia" w:cs="宋体" w:asciiTheme="minorEastAsia" w:hAnsiTheme="minorEastAsia"/>
          <w:kern w:val="0"/>
          <w:szCs w:val="21"/>
          <w:lang w:eastAsia="zh-CN"/>
        </w:rPr>
        <w:t>，</w:t>
      </w:r>
      <w:r>
        <w:rPr>
          <w:rFonts w:hint="eastAsia" w:cs="宋体" w:asciiTheme="minorEastAsia" w:hAnsiTheme="minorEastAsia"/>
          <w:kern w:val="0"/>
          <w:szCs w:val="21"/>
        </w:rPr>
        <w:t>否则招标人将不退还其谈判保证金。</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除供应商须知前附表另有规定外，供应商所提交的电子响应文件、纸质响应文件及电子介质存储的备份文件不予退还。</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五、谈判和评审</w:t>
      </w:r>
    </w:p>
    <w:p>
      <w:pPr>
        <w:pStyle w:val="45"/>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响应文件密封情况检查及解密</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仿宋_GB2312" w:asciiTheme="minorEastAsia" w:hAnsiTheme="minorEastAsia"/>
          <w:color w:val="000000"/>
          <w:szCs w:val="21"/>
        </w:rPr>
        <w:t>谈判响应截止时间</w:t>
      </w:r>
      <w:r>
        <w:rPr>
          <w:rFonts w:hint="eastAsia" w:cs="宋体" w:asciiTheme="minorEastAsia" w:hAnsiTheme="minorEastAsia"/>
          <w:kern w:val="0"/>
          <w:szCs w:val="21"/>
        </w:rPr>
        <w:t>，由供应商或者其推选的代表检查纸质谈判文件和备份文件（使用电子介质存储）的密封情况；经确认无误后进行电子谈判文件的解密。解密后宣布供应商名称、修改和撤回响应的通知（如有的话）和谈判文件规定的需要宣布的其他内容。</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（1）电子谈判文件的解密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全流程电子化交易项目电子谈判文件采用双重加密。解密需分标段进行两次解密。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供应商解密：供应商使用本单位CA数字证书远程或现场进行解密。需递交响应文件现场使用一体机进行解密的，请在集中采购机构引导下进行。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集中采购机构解密：集中采购机构</w:t>
      </w:r>
      <w:r>
        <w:rPr>
          <w:rFonts w:cs="宋体" w:asciiTheme="minorEastAsia" w:hAnsiTheme="minorEastAsia"/>
          <w:kern w:val="0"/>
          <w:szCs w:val="21"/>
        </w:rPr>
        <w:t>按</w:t>
      </w:r>
      <w:r>
        <w:rPr>
          <w:rFonts w:hint="eastAsia" w:cs="宋体" w:asciiTheme="minorEastAsia" w:hAnsiTheme="minorEastAsia"/>
          <w:kern w:val="0"/>
          <w:szCs w:val="21"/>
        </w:rPr>
        <w:t>电子响应文件到达交易系统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电子响应文件解密异常情况处理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因电子交易系统异常无法解密电子响应文件的，使用纸质响应文件以人工方式进行。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因供应商原因电子响应文件解密失败的，由交易系统技术人员协助供应商将备份文件（电子介质存储）导入系统。若备份文件（电子介质存储）无法导入系统或导入系统仍无法解密的，其响应将被拒绝。</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供应商不足3家的，本项目谈判活动终止。</w:t>
      </w: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谈判小组组成</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采购人将依法组建谈判小组，谈判小组</w:t>
      </w:r>
      <w:r>
        <w:rPr>
          <w:rFonts w:ascii="ˎ̥" w:hAnsi="ˎ̥"/>
        </w:rPr>
        <w:t>由采购人代表和评审专家共3人以上单数组成，其中评审专家人数不得少于竞争性谈判小组成员总数</w:t>
      </w:r>
      <w:r>
        <w:rPr>
          <w:rFonts w:hint="eastAsia" w:cs="宋体" w:asciiTheme="minorEastAsia" w:hAnsiTheme="minorEastAsia"/>
          <w:kern w:val="0"/>
          <w:szCs w:val="21"/>
        </w:rPr>
        <w:t>的三分之二。评审专家依法从政府采购评审专家库中随机抽取。</w:t>
      </w:r>
    </w:p>
    <w:p>
      <w:pPr>
        <w:autoSpaceDE w:val="0"/>
        <w:autoSpaceDN w:val="0"/>
        <w:spacing w:line="360" w:lineRule="auto"/>
        <w:ind w:left="2156" w:leftChars="452" w:hanging="1207" w:hangingChars="575"/>
        <w:contextualSpacing/>
        <w:rPr>
          <w:rFonts w:cs="宋体" w:asciiTheme="minorEastAsia" w:hAnsiTheme="minorEastAsia"/>
          <w:kern w:val="0"/>
          <w:szCs w:val="21"/>
        </w:rPr>
      </w:pPr>
      <w:r>
        <w:rPr>
          <w:rFonts w:hint="eastAsia" w:cs="宋体" w:asciiTheme="minorEastAsia" w:hAnsiTheme="minorEastAsia"/>
          <w:kern w:val="0"/>
          <w:szCs w:val="21"/>
        </w:rPr>
        <w:t>24.1.1     采购人将依法组建谈判小组，谈判小组由评审专家组成，成员人数应当为</w:t>
      </w:r>
      <w:r>
        <w:rPr>
          <w:rFonts w:ascii="ˎ̥" w:hAnsi="ˎ̥"/>
        </w:rPr>
        <w:t>3人以上单数组成</w:t>
      </w:r>
      <w:r>
        <w:rPr>
          <w:rFonts w:hint="eastAsia" w:cs="宋体" w:asciiTheme="minorEastAsia" w:hAnsiTheme="minorEastAsia"/>
          <w:kern w:val="0"/>
          <w:szCs w:val="21"/>
        </w:rPr>
        <w:t>。评审专家依法从政府采购评审专家库中随机抽取。</w:t>
      </w:r>
    </w:p>
    <w:p>
      <w:pPr>
        <w:autoSpaceDE w:val="0"/>
        <w:autoSpaceDN w:val="0"/>
        <w:spacing w:line="360" w:lineRule="auto"/>
        <w:ind w:left="2156" w:leftChars="473" w:hanging="1163" w:hangingChars="554"/>
        <w:contextualSpacing/>
        <w:rPr>
          <w:rFonts w:cs="宋体" w:asciiTheme="minorEastAsia" w:hAnsiTheme="minorEastAsia"/>
          <w:kern w:val="0"/>
          <w:szCs w:val="21"/>
        </w:rPr>
      </w:pPr>
      <w:r>
        <w:rPr>
          <w:rFonts w:hint="eastAsia" w:cs="宋体" w:asciiTheme="minorEastAsia" w:hAnsiTheme="minorEastAsia"/>
          <w:kern w:val="0"/>
          <w:szCs w:val="21"/>
        </w:rPr>
        <w:t xml:space="preserve">24.1.2     </w:t>
      </w:r>
      <w:r>
        <w:rPr>
          <w:rFonts w:ascii="ˎ̥" w:hAnsi="ˎ̥"/>
        </w:rPr>
        <w:t>达到公开招标数额标准的货物或者服务采购项目，或者达到招标规模标准的政府采购工程，竞争性谈判小组应当由5人以上单数组成</w:t>
      </w:r>
      <w:r>
        <w:rPr>
          <w:rFonts w:hint="eastAsia" w:ascii="ˎ̥" w:hAnsi="ˎ̥"/>
        </w:rPr>
        <w:t>。</w:t>
      </w:r>
    </w:p>
    <w:p>
      <w:pPr>
        <w:pStyle w:val="45"/>
        <w:numPr>
          <w:ilvl w:val="1"/>
          <w:numId w:val="13"/>
        </w:numPr>
        <w:autoSpaceDE w:val="0"/>
        <w:autoSpaceDN w:val="0"/>
        <w:spacing w:line="360" w:lineRule="auto"/>
        <w:ind w:firstLineChars="0"/>
        <w:contextualSpacing/>
        <w:rPr>
          <w:rFonts w:ascii="ˎ̥" w:hAnsi="ˎ̥"/>
          <w:vanish/>
        </w:rPr>
      </w:pP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ascii="ˎ̥" w:hAnsi="ˎ̥"/>
        </w:rPr>
        <w:t>采购人不得以评审专家身份参加本部门或本单位采购项目的评审</w:t>
      </w:r>
      <w:r>
        <w:rPr>
          <w:rFonts w:hint="eastAsia" w:cs="宋体" w:asciiTheme="minorEastAsia" w:hAnsiTheme="minorEastAsia"/>
          <w:kern w:val="0"/>
          <w:szCs w:val="21"/>
        </w:rPr>
        <w:t>。</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谈判小组成员与供应商存在下列利害关系之一的,应当回避:</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24.3.1     </w:t>
      </w:r>
      <w:r>
        <w:rPr>
          <w:rFonts w:hint="eastAsia" w:ascii="ˎ̥" w:hAnsi="ˎ̥"/>
        </w:rPr>
        <w:t>参加采购活动前三年内,与供应商存在劳动关系,或者担任过供应商的董事、监事,或者是供应商的控股股东或实际控制人；</w:t>
      </w:r>
    </w:p>
    <w:p>
      <w:pPr>
        <w:autoSpaceDE w:val="0"/>
        <w:autoSpaceDN w:val="0"/>
        <w:spacing w:line="360" w:lineRule="auto"/>
        <w:ind w:left="2123" w:leftChars="451" w:hanging="1176" w:hangingChars="560"/>
        <w:contextualSpacing/>
        <w:rPr>
          <w:rFonts w:ascii="ˎ̥" w:hAnsi="ˎ̥"/>
        </w:rPr>
      </w:pPr>
      <w:r>
        <w:rPr>
          <w:rFonts w:hint="eastAsia" w:cs="宋体" w:asciiTheme="minorEastAsia" w:hAnsiTheme="minorEastAsia"/>
          <w:kern w:val="0"/>
          <w:szCs w:val="21"/>
        </w:rPr>
        <w:t xml:space="preserve">24.3.2     </w:t>
      </w:r>
      <w:r>
        <w:rPr>
          <w:rFonts w:hint="eastAsia" w:ascii="ˎ̥" w:hAnsi="ˎ̥"/>
        </w:rPr>
        <w:t>与供应商的法定代表人或者负责人有夫妻、直系血亲、三代以内旁系血亲或者近姻亲关系；</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24.3.3     </w:t>
      </w:r>
      <w:r>
        <w:rPr>
          <w:rFonts w:hint="eastAsia" w:ascii="ˎ̥" w:hAnsi="ˎ̥"/>
        </w:rPr>
        <w:t>与供应商有其他可能影响政府采购活动公平、公正进行的关系。</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评审专家发现本人与参加采购活动的供应商有利害关系的,应当主动提出回避。采购人或者集中采购机构发现评审专家与参加采购活动的供应商有利害关系的,应当要求其回避。</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采购人不得担任谈判小组组长。</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谈判小组成员名单在成交结果公告前应当保密。</w:t>
      </w: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资格审查和符合性审查</w:t>
      </w:r>
    </w:p>
    <w:p>
      <w:pPr>
        <w:pStyle w:val="45"/>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资格审查：谈判小组依据有关法律法规和谈判文件的规定对供应商的资格进行审查。</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b/>
          <w:kern w:val="0"/>
          <w:szCs w:val="21"/>
        </w:rPr>
        <w:t>本项目具体资格审查详见（第六章 资格审查与评审）</w:t>
      </w:r>
      <w:r>
        <w:rPr>
          <w:rFonts w:hint="eastAsia" w:cs="宋体" w:asciiTheme="minorEastAsia" w:hAnsiTheme="minorEastAsia"/>
          <w:kern w:val="0"/>
          <w:szCs w:val="21"/>
        </w:rPr>
        <w:t>。</w:t>
      </w:r>
    </w:p>
    <w:p>
      <w:pPr>
        <w:pStyle w:val="45"/>
        <w:numPr>
          <w:ilvl w:val="0"/>
          <w:numId w:val="8"/>
        </w:numPr>
        <w:autoSpaceDE w:val="0"/>
        <w:autoSpaceDN w:val="0"/>
        <w:spacing w:line="360" w:lineRule="auto"/>
        <w:ind w:firstLineChars="0"/>
        <w:contextualSpacing/>
        <w:rPr>
          <w:rFonts w:cs="宋体" w:asciiTheme="minorEastAsia" w:hAnsiTheme="minorEastAsia"/>
          <w:vanish/>
          <w:kern w:val="0"/>
          <w:szCs w:val="21"/>
        </w:rPr>
      </w:pPr>
    </w:p>
    <w:p>
      <w:pPr>
        <w:pStyle w:val="45"/>
        <w:numPr>
          <w:ilvl w:val="0"/>
          <w:numId w:val="8"/>
        </w:numPr>
        <w:autoSpaceDE w:val="0"/>
        <w:autoSpaceDN w:val="0"/>
        <w:spacing w:line="360" w:lineRule="auto"/>
        <w:ind w:firstLineChars="0"/>
        <w:contextualSpacing/>
        <w:rPr>
          <w:rFonts w:cs="宋体" w:asciiTheme="minorEastAsia" w:hAnsiTheme="minorEastAsia"/>
          <w:vanish/>
          <w:kern w:val="0"/>
          <w:szCs w:val="21"/>
        </w:rPr>
      </w:pPr>
    </w:p>
    <w:p>
      <w:pPr>
        <w:pStyle w:val="45"/>
        <w:numPr>
          <w:ilvl w:val="1"/>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符合性审查：</w:t>
      </w:r>
      <w:r>
        <w:rPr>
          <w:rFonts w:hint="eastAsia" w:ascii="宋体" w:hAnsi="宋体" w:cs="微软雅黑"/>
          <w:szCs w:val="21"/>
        </w:rPr>
        <w:t>依据谈判文件的规定，从响应文件的有效性、完整性和对谈判文件的响应程度进行审查，以确定是否对谈判文件的全部实质性要求作出响应。</w:t>
      </w:r>
    </w:p>
    <w:p>
      <w:pPr>
        <w:pStyle w:val="45"/>
        <w:autoSpaceDE w:val="0"/>
        <w:autoSpaceDN w:val="0"/>
        <w:spacing w:line="360" w:lineRule="auto"/>
        <w:ind w:left="964" w:firstLine="0" w:firstLineChars="0"/>
        <w:contextualSpacing/>
        <w:rPr>
          <w:rFonts w:cs="宋体" w:asciiTheme="minorEastAsia" w:hAnsiTheme="minorEastAsia"/>
          <w:kern w:val="0"/>
          <w:szCs w:val="21"/>
        </w:rPr>
      </w:pP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响应文件的澄清</w:t>
      </w:r>
    </w:p>
    <w:p>
      <w:pPr>
        <w:pStyle w:val="45"/>
        <w:numPr>
          <w:ilvl w:val="0"/>
          <w:numId w:val="16"/>
        </w:numPr>
        <w:autoSpaceDE w:val="0"/>
        <w:autoSpaceDN w:val="0"/>
        <w:spacing w:line="360" w:lineRule="auto"/>
        <w:ind w:firstLineChars="0"/>
        <w:contextualSpacing/>
        <w:rPr>
          <w:rFonts w:cs="宋体" w:asciiTheme="minorEastAsia" w:hAnsiTheme="minorEastAsia"/>
          <w:kern w:val="0"/>
          <w:szCs w:val="21"/>
        </w:rPr>
      </w:pPr>
      <w:r>
        <w:rPr>
          <w:rFonts w:ascii="ˎ̥" w:hAnsi="ˎ̥"/>
        </w:rPr>
        <w:t>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Cs w:val="21"/>
        </w:rPr>
        <w:t>。</w:t>
      </w:r>
      <w:r>
        <w:rPr>
          <w:rFonts w:ascii="ˎ̥" w:hAnsi="ˎ̥"/>
        </w:rPr>
        <w:t>供应商的澄清、说明或者更正不得超出响应文件的范围或者改变响应文件的实质性内容</w:t>
      </w:r>
      <w:r>
        <w:rPr>
          <w:rFonts w:hint="eastAsia" w:ascii="ˎ̥" w:hAnsi="ˎ̥"/>
          <w:lang w:eastAsia="zh-CN"/>
        </w:rPr>
        <w:t>。</w:t>
      </w:r>
    </w:p>
    <w:p>
      <w:pPr>
        <w:pStyle w:val="45"/>
        <w:numPr>
          <w:ilvl w:val="1"/>
          <w:numId w:val="13"/>
        </w:numPr>
        <w:autoSpaceDE w:val="0"/>
        <w:autoSpaceDN w:val="0"/>
        <w:spacing w:line="360" w:lineRule="auto"/>
        <w:ind w:firstLineChars="0"/>
        <w:contextualSpacing/>
        <w:rPr>
          <w:rFonts w:cs="宋体" w:asciiTheme="minorEastAsia" w:hAnsiTheme="minorEastAsia"/>
          <w:vanish/>
          <w:kern w:val="0"/>
          <w:szCs w:val="21"/>
        </w:rPr>
      </w:pP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投标人的澄清、说明或者更正应当采用书面</w:t>
      </w:r>
      <w:r>
        <w:rPr>
          <w:rFonts w:hint="eastAsia" w:ascii="ˎ̥" w:hAnsi="ˎ̥"/>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hint="eastAsia" w:ascii="ˎ̥" w:hAnsi="ˎ̥"/>
        </w:rPr>
        <w:t>。投标人的澄清、说明或者补正不得超出</w:t>
      </w:r>
      <w:r>
        <w:rPr>
          <w:rFonts w:hint="eastAsia" w:cs="宋体" w:asciiTheme="minorEastAsia" w:hAnsiTheme="minorEastAsia"/>
          <w:kern w:val="0"/>
          <w:szCs w:val="21"/>
        </w:rPr>
        <w:t>投标文件的范围或者改变投标文件的实质性内容。</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供应商的澄清文件是其响应文件的组成部分。</w:t>
      </w:r>
    </w:p>
    <w:p>
      <w:pPr>
        <w:pStyle w:val="45"/>
        <w:autoSpaceDE w:val="0"/>
        <w:autoSpaceDN w:val="0"/>
        <w:spacing w:line="360" w:lineRule="auto"/>
        <w:ind w:left="964" w:firstLine="0" w:firstLineChars="0"/>
        <w:contextualSpacing/>
        <w:rPr>
          <w:rFonts w:cs="宋体" w:asciiTheme="minorEastAsia" w:hAnsiTheme="minorEastAsia"/>
          <w:kern w:val="0"/>
          <w:szCs w:val="21"/>
        </w:rPr>
      </w:pP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响应文件报价出现前后不一致的修正</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pPr>
        <w:autoSpaceDE w:val="0"/>
        <w:autoSpaceDN w:val="0"/>
        <w:spacing w:line="360" w:lineRule="auto"/>
        <w:ind w:left="964"/>
        <w:contextualSpacing/>
        <w:rPr>
          <w:rFonts w:cs="宋体" w:asciiTheme="minorEastAsia" w:hAnsiTheme="minorEastAsia"/>
          <w:kern w:val="0"/>
          <w:szCs w:val="21"/>
        </w:rPr>
      </w:pP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响应无效情形</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响应文件属下列情况之一的，按照无效响应处理：</w:t>
      </w: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17"/>
        </w:numPr>
        <w:autoSpaceDE w:val="0"/>
        <w:autoSpaceDN w:val="0"/>
        <w:spacing w:line="360" w:lineRule="auto"/>
        <w:ind w:firstLine="0" w:firstLineChars="0"/>
        <w:contextualSpacing/>
        <w:rPr>
          <w:rFonts w:cs="宋体" w:asciiTheme="minorEastAsia" w:hAnsiTheme="minorEastAsia"/>
          <w:kern w:val="0"/>
          <w:szCs w:val="21"/>
        </w:rPr>
      </w:pPr>
      <w:r>
        <w:rPr>
          <w:rFonts w:hint="eastAsia" w:cs="宋体" w:asciiTheme="minorEastAsia" w:hAnsiTheme="minorEastAsia"/>
          <w:kern w:val="0"/>
          <w:szCs w:val="21"/>
        </w:rPr>
        <w:t>未按照谈判文件的规定提交投标保证金的；</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28.1.2     响应文件未按招标文件要求签署、盖章的；</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28.1.3     不具备谈判文件中规定的资格要求的；</w:t>
      </w:r>
    </w:p>
    <w:p>
      <w:pPr>
        <w:pStyle w:val="45"/>
        <w:autoSpaceDE w:val="0"/>
        <w:autoSpaceDN w:val="0"/>
        <w:spacing w:line="360" w:lineRule="auto"/>
        <w:ind w:left="964" w:firstLine="0" w:firstLineChars="0"/>
        <w:contextualSpacing/>
        <w:rPr>
          <w:rFonts w:hint="eastAsia" w:cs="宋体" w:asciiTheme="minorEastAsia" w:hAnsiTheme="minorEastAsia"/>
          <w:kern w:val="0"/>
          <w:szCs w:val="21"/>
        </w:rPr>
      </w:pPr>
      <w:r>
        <w:rPr>
          <w:rFonts w:hint="eastAsia" w:cs="宋体" w:asciiTheme="minorEastAsia" w:hAnsiTheme="minorEastAsia"/>
          <w:kern w:val="0"/>
          <w:szCs w:val="21"/>
        </w:rPr>
        <w:t>28.1.4     报价超过谈判文件中规定的预算金额的；</w:t>
      </w:r>
    </w:p>
    <w:p>
      <w:pPr>
        <w:pStyle w:val="45"/>
        <w:autoSpaceDE w:val="0"/>
        <w:autoSpaceDN w:val="0"/>
        <w:spacing w:line="360" w:lineRule="auto"/>
        <w:ind w:left="964" w:firstLine="0" w:firstLineChars="0"/>
        <w:contextualSpacing/>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28.1.5    响应文件内容模糊不清，无法辨认的；</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w:t>
      </w:r>
      <w:r>
        <w:rPr>
          <w:rFonts w:hint="eastAsia" w:cs="宋体" w:asciiTheme="minorEastAsia" w:hAnsiTheme="minorEastAsia"/>
          <w:kern w:val="0"/>
          <w:szCs w:val="21"/>
          <w:lang w:val="en-US" w:eastAsia="zh-CN"/>
        </w:rPr>
        <w:t>6</w:t>
      </w:r>
      <w:r>
        <w:rPr>
          <w:rFonts w:hint="eastAsia" w:cs="宋体" w:asciiTheme="minorEastAsia" w:hAnsiTheme="minorEastAsia"/>
          <w:kern w:val="0"/>
          <w:szCs w:val="21"/>
        </w:rPr>
        <w:t xml:space="preserve">    响应</w:t>
      </w:r>
      <w:r>
        <w:rPr>
          <w:rFonts w:cs="宋体" w:asciiTheme="minorEastAsia" w:hAnsiTheme="minorEastAsia"/>
          <w:kern w:val="0"/>
          <w:szCs w:val="21"/>
        </w:rPr>
        <w:t>文件含有采购人不能接受的附加条件的</w:t>
      </w:r>
      <w:r>
        <w:rPr>
          <w:rFonts w:hint="eastAsia" w:cs="宋体" w:asciiTheme="minorEastAsia" w:hAnsiTheme="minorEastAsia"/>
          <w:kern w:val="0"/>
          <w:szCs w:val="21"/>
        </w:rPr>
        <w:t>。</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有下列情形之一的，视为供应商串通谈判，其响应无效：</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28.2.1     不同供应商的响应文件由同一单位或者个人编制；</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28.2.2     不同供应商委托同一单位或者个人办理响应事宜；</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28.2.3     不同供应商的响应文件载明的项目管理成员或者联系人员为同一人；</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28.2.4     不同供应商的响应文件异常一致或者投标报价呈规律性差异；</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28.2.5     不同供应商的响应文件相互混装；</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28.2.6     不同供应商的谈判保证金从同一单位或者个人的账户转出。</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认为供应商的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hint="eastAsia" w:ascii="ˎ̥" w:hAnsi="ˎ̥"/>
        </w:rPr>
        <w:t>按照《关于推进全流程电子化交易和在线监管工作有关问题的通知》（许公管办[2019]3号）规定，不同供应商电子响应文件制作硬件特征码（网卡MAC地址、CPU序号、硬盘序列号等）雷同时，视为‘</w:t>
      </w:r>
      <w:r>
        <w:rPr>
          <w:rFonts w:ascii="ˎ̥" w:hAnsi="ˎ̥"/>
        </w:rPr>
        <w:t>不同</w:t>
      </w:r>
      <w:r>
        <w:rPr>
          <w:rFonts w:hint="eastAsia" w:ascii="ˎ̥" w:hAnsi="ˎ̥"/>
        </w:rPr>
        <w:t>供应商</w:t>
      </w:r>
      <w:r>
        <w:rPr>
          <w:rFonts w:ascii="ˎ̥" w:hAnsi="ˎ̥"/>
        </w:rPr>
        <w:t>的</w:t>
      </w:r>
      <w:r>
        <w:rPr>
          <w:rFonts w:hint="eastAsia" w:ascii="ˎ̥" w:hAnsi="ˎ̥"/>
        </w:rPr>
        <w:t>响应</w:t>
      </w:r>
      <w:r>
        <w:rPr>
          <w:rFonts w:ascii="ˎ̥" w:hAnsi="ˎ̥"/>
        </w:rPr>
        <w:t>文件由同一单位或者个人编制</w:t>
      </w:r>
      <w:r>
        <w:rPr>
          <w:rFonts w:hint="eastAsia" w:ascii="ˎ̥" w:hAnsi="ˎ̥"/>
        </w:rPr>
        <w:t>’或‘</w:t>
      </w:r>
      <w:r>
        <w:rPr>
          <w:rFonts w:ascii="ˎ̥" w:hAnsi="ˎ̥"/>
        </w:rPr>
        <w:t>不同</w:t>
      </w:r>
      <w:r>
        <w:rPr>
          <w:rFonts w:hint="eastAsia" w:ascii="ˎ̥" w:hAnsi="ˎ̥"/>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’，其谈判响应无效。</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法律、法规和</w:t>
      </w:r>
      <w:r>
        <w:rPr>
          <w:rFonts w:hint="eastAsia" w:cs="宋体" w:asciiTheme="minorEastAsia" w:hAnsiTheme="minorEastAsia"/>
          <w:kern w:val="0"/>
          <w:szCs w:val="21"/>
        </w:rPr>
        <w:t>响应</w:t>
      </w:r>
      <w:r>
        <w:rPr>
          <w:rFonts w:cs="宋体" w:asciiTheme="minorEastAsia" w:hAnsiTheme="minorEastAsia"/>
          <w:kern w:val="0"/>
          <w:szCs w:val="21"/>
        </w:rPr>
        <w:t>文件规定的其他无效情形。</w:t>
      </w: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响应文件评审与谈判</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谈判小组应当对响应文件进行评审，并根据谈判文件规定的程序、评定成交的标准等事项与实质性响应谈判文件要求的供应商进行谈判。未实质性响应谈判文件的响应文件按无效处理，谈判小组应当告知有关供应商</w:t>
      </w:r>
      <w:r>
        <w:rPr>
          <w:rFonts w:hint="eastAsia" w:cs="宋体" w:asciiTheme="minorEastAsia" w:hAnsiTheme="minorEastAsia"/>
          <w:kern w:val="0"/>
          <w:szCs w:val="21"/>
        </w:rPr>
        <w:t>。</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ascii="ˎ̥" w:hAnsi="ˎ̥"/>
        </w:rPr>
        <w:t>谈判小组所有成员应当集中与单一供应商分别进行谈判，并给予所有参加谈判的供应商平等的谈判机会</w:t>
      </w:r>
      <w:r>
        <w:rPr>
          <w:rFonts w:hint="eastAsia" w:ascii="ˎ̥" w:hAnsi="ˎ̥"/>
        </w:rPr>
        <w:t>。</w:t>
      </w:r>
    </w:p>
    <w:p>
      <w:pPr>
        <w:pStyle w:val="51"/>
        <w:numPr>
          <w:ilvl w:val="1"/>
          <w:numId w:val="13"/>
        </w:numPr>
        <w:spacing w:line="400" w:lineRule="exact"/>
        <w:rPr>
          <w:rFonts w:cs="微软雅黑"/>
          <w:color w:val="000000"/>
        </w:rPr>
      </w:pPr>
      <w:r>
        <w:rPr>
          <w:rFonts w:hint="eastAsia" w:cs="微软雅黑"/>
          <w:color w:val="000000"/>
        </w:rPr>
        <w:t>在谈判中，谈判的任何一方不得透露与谈判有关的其他供应商的技术资料、价格和其他信息。</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ascii="ˎ̥" w:hAnsi="ˎ̥"/>
        </w:rPr>
        <w:t>在谈判过程中，谈判小组可以根据谈判文件和谈判情况实质性变动采购需求中的技术、服务要求以及合同草案条款，但不得变动谈判文件中的其他内容。实质性变动的内容，须经采购人代表确认</w:t>
      </w:r>
      <w:r>
        <w:rPr>
          <w:rFonts w:hint="eastAsia" w:ascii="ˎ̥" w:hAnsi="ˎ̥"/>
        </w:rPr>
        <w:t>。</w:t>
      </w:r>
    </w:p>
    <w:p>
      <w:pPr>
        <w:autoSpaceDE w:val="0"/>
        <w:autoSpaceDN w:val="0"/>
        <w:spacing w:line="360" w:lineRule="auto"/>
        <w:ind w:left="964"/>
        <w:contextualSpacing/>
        <w:rPr>
          <w:rFonts w:ascii="ˎ̥" w:hAnsi="ˎ̥"/>
        </w:rPr>
      </w:pPr>
      <w:r>
        <w:rPr>
          <w:rFonts w:ascii="ˎ̥" w:hAnsi="ˎ̥"/>
        </w:rPr>
        <w:t>对谈判文件作出的实质性变动是谈判文件的有效组成部分，谈判小组应当及时以书面形式同时通知所有参加谈判的供应商</w:t>
      </w:r>
      <w:r>
        <w:rPr>
          <w:rFonts w:hint="eastAsia" w:ascii="ˎ̥" w:hAnsi="ˎ̥"/>
        </w:rPr>
        <w:t>。</w:t>
      </w:r>
    </w:p>
    <w:p>
      <w:pPr>
        <w:autoSpaceDE w:val="0"/>
        <w:autoSpaceDN w:val="0"/>
        <w:spacing w:line="360" w:lineRule="auto"/>
        <w:ind w:left="964"/>
        <w:contextualSpacing/>
        <w:rPr>
          <w:rFonts w:ascii="ˎ̥" w:hAnsi="ˎ̥"/>
        </w:rPr>
      </w:pPr>
      <w:r>
        <w:rPr>
          <w:rFonts w:ascii="ˎ̥" w:hAnsi="ˎ̥"/>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hint="eastAsia" w:ascii="ˎ̥" w:hAnsi="ˎ̥"/>
        </w:rPr>
        <w:t>。</w:t>
      </w:r>
    </w:p>
    <w:p>
      <w:pPr>
        <w:pStyle w:val="45"/>
        <w:numPr>
          <w:ilvl w:val="1"/>
          <w:numId w:val="13"/>
        </w:numPr>
        <w:autoSpaceDE w:val="0"/>
        <w:autoSpaceDN w:val="0"/>
        <w:spacing w:line="360" w:lineRule="auto"/>
        <w:ind w:firstLineChars="0"/>
        <w:contextualSpacing/>
        <w:rPr>
          <w:rFonts w:ascii="ˎ̥" w:hAnsi="ˎ̥"/>
        </w:rPr>
      </w:pPr>
      <w:r>
        <w:rPr>
          <w:rFonts w:ascii="ˎ̥" w:hAnsi="ˎ̥"/>
        </w:rPr>
        <w:t>谈判文件能够详细列明采购标的的技术、服务要求的，谈判结束后，谈判小组应当要求所有继续参加谈判的供应商在规定时间内提交最后报价</w:t>
      </w:r>
      <w:r>
        <w:rPr>
          <w:rFonts w:hint="eastAsia" w:ascii="ˎ̥" w:hAnsi="ˎ̥"/>
          <w:lang w:eastAsia="zh-CN"/>
        </w:rPr>
        <w:t>（供应商最终报价不能高于第一次报价，采购人改变技术需求的除外）</w:t>
      </w:r>
      <w:r>
        <w:rPr>
          <w:rFonts w:ascii="ˎ̥" w:hAnsi="ˎ̥"/>
        </w:rPr>
        <w:t>，提交最后报价的供应商不得少于3家</w:t>
      </w:r>
      <w:r>
        <w:rPr>
          <w:rFonts w:hint="eastAsia" w:ascii="ˎ̥" w:hAnsi="ˎ̥"/>
        </w:rPr>
        <w:t>。</w:t>
      </w:r>
    </w:p>
    <w:p>
      <w:pPr>
        <w:autoSpaceDE w:val="0"/>
        <w:autoSpaceDN w:val="0"/>
        <w:spacing w:line="360" w:lineRule="auto"/>
        <w:ind w:left="964"/>
        <w:contextualSpacing/>
        <w:rPr>
          <w:rFonts w:hint="eastAsia" w:ascii="ˎ̥" w:hAnsi="ˎ̥" w:eastAsiaTheme="minorEastAsia"/>
          <w:lang w:eastAsia="zh-CN"/>
        </w:rPr>
      </w:pPr>
      <w:r>
        <w:rPr>
          <w:rFonts w:ascii="ˎ̥" w:hAnsi="ˎ̥"/>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r>
        <w:rPr>
          <w:rFonts w:hint="eastAsia" w:ascii="ˎ̥" w:hAnsi="ˎ̥"/>
        </w:rPr>
        <w:t>。</w:t>
      </w:r>
    </w:p>
    <w:p>
      <w:pPr>
        <w:pStyle w:val="45"/>
        <w:numPr>
          <w:ilvl w:val="1"/>
          <w:numId w:val="13"/>
        </w:numPr>
        <w:autoSpaceDE w:val="0"/>
        <w:autoSpaceDN w:val="0"/>
        <w:spacing w:line="360" w:lineRule="auto"/>
        <w:ind w:firstLineChars="0"/>
        <w:contextualSpacing/>
        <w:rPr>
          <w:rFonts w:ascii="ˎ̥" w:hAnsi="ˎ̥"/>
        </w:rPr>
      </w:pPr>
      <w:r>
        <w:rPr>
          <w:rFonts w:ascii="ˎ̥" w:hAnsi="ˎ̥"/>
        </w:rPr>
        <w:t>最后报价是供应商响应文件的有效组成部分。</w:t>
      </w:r>
    </w:p>
    <w:p>
      <w:pPr>
        <w:pStyle w:val="45"/>
        <w:numPr>
          <w:ilvl w:val="1"/>
          <w:numId w:val="13"/>
        </w:numPr>
        <w:autoSpaceDE w:val="0"/>
        <w:autoSpaceDN w:val="0"/>
        <w:spacing w:line="360" w:lineRule="auto"/>
        <w:ind w:firstLineChars="0"/>
        <w:contextualSpacing/>
        <w:rPr>
          <w:rFonts w:ascii="ˎ̥" w:hAnsi="ˎ̥"/>
        </w:rPr>
      </w:pPr>
      <w:r>
        <w:rPr>
          <w:rFonts w:ascii="ˎ̥" w:hAnsi="ˎ̥"/>
        </w:rPr>
        <w:t>已提交响应文件的供应商，在提交最后报价之前，可以根据谈判情况退出谈判。</w:t>
      </w:r>
    </w:p>
    <w:p>
      <w:pPr>
        <w:pStyle w:val="45"/>
        <w:numPr>
          <w:ilvl w:val="1"/>
          <w:numId w:val="13"/>
        </w:numPr>
        <w:autoSpaceDE w:val="0"/>
        <w:autoSpaceDN w:val="0"/>
        <w:spacing w:line="360" w:lineRule="auto"/>
        <w:ind w:firstLineChars="0"/>
        <w:contextualSpacing/>
        <w:rPr>
          <w:rFonts w:ascii="ˎ̥" w:hAnsi="ˎ̥"/>
        </w:rPr>
      </w:pPr>
      <w:r>
        <w:rPr>
          <w:rFonts w:hint="eastAsia" w:ascii="ˎ̥" w:hAnsi="ˎ̥"/>
        </w:rPr>
        <w:t>按照《关于推进全流程电子化交易和在线监管工作有关问题的通知》（许公管办[2019]3号）规定，评审专家应严格按照要求查看“硬件特征码相” 关信息并进行评审。</w:t>
      </w: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评审方法与提出成交候选人</w:t>
      </w:r>
    </w:p>
    <w:p>
      <w:pPr>
        <w:pStyle w:val="45"/>
        <w:autoSpaceDE w:val="0"/>
        <w:autoSpaceDN w:val="0"/>
        <w:spacing w:line="360" w:lineRule="auto"/>
        <w:ind w:left="424" w:leftChars="202" w:firstLine="0" w:firstLineChars="0"/>
        <w:contextualSpacing/>
        <w:rPr>
          <w:rFonts w:cs="宋体" w:asciiTheme="minorEastAsia" w:hAnsiTheme="minorEastAsia"/>
          <w:kern w:val="0"/>
          <w:szCs w:val="21"/>
        </w:rPr>
      </w:pPr>
      <w:r>
        <w:rPr>
          <w:rFonts w:ascii="ˎ̥" w:hAnsi="ˎ̥"/>
        </w:rPr>
        <w:t>谈判小组应当从质量和服务均能满足采购文件实质性响应要求的供应商中，按照最后报价由低到高的顺序</w:t>
      </w:r>
      <w:r>
        <w:rPr>
          <w:rFonts w:hint="eastAsia" w:ascii="ˎ̥" w:hAnsi="ˎ̥"/>
          <w:lang w:eastAsia="zh-CN"/>
        </w:rPr>
        <w:t>提出</w:t>
      </w:r>
      <w:r>
        <w:rPr>
          <w:rFonts w:hint="eastAsia" w:ascii="ˎ̥" w:hAnsi="ˎ̥"/>
          <w:lang w:val="en-US" w:eastAsia="zh-CN"/>
        </w:rPr>
        <w:t>3</w:t>
      </w:r>
      <w:r>
        <w:rPr>
          <w:rFonts w:ascii="ˎ̥" w:hAnsi="ˎ̥"/>
        </w:rPr>
        <w:t>名成交候选人，并编写评审报告。</w:t>
      </w:r>
    </w:p>
    <w:p>
      <w:pPr>
        <w:tabs>
          <w:tab w:val="left" w:pos="1260"/>
        </w:tabs>
        <w:autoSpaceDE w:val="0"/>
        <w:autoSpaceDN w:val="0"/>
        <w:spacing w:line="360" w:lineRule="auto"/>
        <w:contextualSpacing/>
        <w:jc w:val="both"/>
        <w:rPr>
          <w:rFonts w:cs="宋体" w:asciiTheme="minorEastAsia" w:hAnsiTheme="minorEastAsia"/>
          <w:b/>
          <w:kern w:val="0"/>
          <w:szCs w:val="21"/>
        </w:rPr>
      </w:pPr>
    </w:p>
    <w:p>
      <w:pPr>
        <w:numPr>
          <w:ilvl w:val="0"/>
          <w:numId w:val="18"/>
        </w:numPr>
        <w:tabs>
          <w:tab w:val="left" w:pos="1260"/>
        </w:tabs>
        <w:autoSpaceDE w:val="0"/>
        <w:autoSpaceDN w:val="0"/>
        <w:spacing w:line="360" w:lineRule="auto"/>
        <w:contextualSpacing/>
        <w:jc w:val="center"/>
        <w:rPr>
          <w:rFonts w:hint="eastAsia" w:cs="宋体" w:asciiTheme="minorEastAsia" w:hAnsiTheme="minorEastAsia"/>
          <w:b/>
          <w:kern w:val="0"/>
          <w:szCs w:val="21"/>
        </w:rPr>
      </w:pPr>
      <w:r>
        <w:rPr>
          <w:rFonts w:hint="eastAsia" w:cs="宋体" w:asciiTheme="minorEastAsia" w:hAnsiTheme="minorEastAsia"/>
          <w:b/>
          <w:kern w:val="0"/>
          <w:szCs w:val="21"/>
        </w:rPr>
        <w:t>确定成交供应商和授予合同</w:t>
      </w:r>
    </w:p>
    <w:p>
      <w:pPr>
        <w:numPr>
          <w:ilvl w:val="0"/>
          <w:numId w:val="0"/>
        </w:numPr>
        <w:tabs>
          <w:tab w:val="left" w:pos="1260"/>
        </w:tabs>
        <w:autoSpaceDE w:val="0"/>
        <w:autoSpaceDN w:val="0"/>
        <w:spacing w:line="360" w:lineRule="auto"/>
        <w:contextualSpacing/>
        <w:jc w:val="both"/>
        <w:rPr>
          <w:rFonts w:hint="eastAsia" w:cs="宋体" w:asciiTheme="minorEastAsia" w:hAnsiTheme="minorEastAsia"/>
          <w:b/>
          <w:kern w:val="0"/>
          <w:szCs w:val="21"/>
        </w:rPr>
      </w:pPr>
    </w:p>
    <w:p>
      <w:pPr>
        <w:pStyle w:val="45"/>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确定成交供应商</w:t>
      </w:r>
    </w:p>
    <w:p>
      <w:pPr>
        <w:pStyle w:val="45"/>
        <w:numPr>
          <w:ilvl w:val="0"/>
          <w:numId w:val="19"/>
        </w:numPr>
        <w:autoSpaceDE w:val="0"/>
        <w:autoSpaceDN w:val="0"/>
        <w:spacing w:line="360" w:lineRule="auto"/>
        <w:ind w:firstLineChars="0"/>
        <w:contextualSpacing/>
        <w:rPr>
          <w:rFonts w:cs="宋体" w:asciiTheme="minorEastAsia" w:hAnsiTheme="minorEastAsia"/>
          <w:kern w:val="0"/>
          <w:szCs w:val="21"/>
        </w:rPr>
      </w:pPr>
      <w:r>
        <w:rPr>
          <w:rFonts w:ascii="ˎ̥" w:hAnsi="ˎ̥"/>
        </w:rPr>
        <w:t>采购人应当在收到评审报告后5个工作日内，从评审报告提出的成交候选人中，根据质量和服务均能满足采购文件实质性响应要求且最后报价最低的原则确定成交供应商</w:t>
      </w:r>
      <w:r>
        <w:rPr>
          <w:rFonts w:hint="eastAsia" w:cs="宋体" w:asciiTheme="minorEastAsia" w:hAnsiTheme="minorEastAsia"/>
          <w:kern w:val="0"/>
          <w:szCs w:val="21"/>
        </w:rPr>
        <w:t>。</w:t>
      </w:r>
    </w:p>
    <w:p>
      <w:pPr>
        <w:pStyle w:val="45"/>
        <w:numPr>
          <w:ilvl w:val="1"/>
          <w:numId w:val="20"/>
        </w:numPr>
        <w:autoSpaceDE w:val="0"/>
        <w:autoSpaceDN w:val="0"/>
        <w:spacing w:line="360" w:lineRule="auto"/>
        <w:ind w:firstLineChars="0"/>
        <w:contextualSpacing/>
        <w:rPr>
          <w:rFonts w:cs="宋体" w:asciiTheme="minorEastAsia" w:hAnsiTheme="minorEastAsia"/>
          <w:kern w:val="0"/>
          <w:szCs w:val="21"/>
        </w:rPr>
      </w:pPr>
      <w:r>
        <w:rPr>
          <w:rFonts w:ascii="ˎ̥" w:hAnsi="ˎ̥"/>
        </w:rPr>
        <w:t>采购人逾期未确定成交供应商且不提出异议的，视为确定评审报告提出的最后报价最低的供应商为成交供应商</w:t>
      </w:r>
      <w:r>
        <w:rPr>
          <w:rFonts w:hint="eastAsia" w:ascii="ˎ̥" w:hAnsi="ˎ̥"/>
        </w:rPr>
        <w:t>。</w:t>
      </w:r>
    </w:p>
    <w:p>
      <w:pPr>
        <w:pStyle w:val="45"/>
        <w:numPr>
          <w:ilvl w:val="0"/>
          <w:numId w:val="20"/>
        </w:numPr>
        <w:autoSpaceDE w:val="0"/>
        <w:autoSpaceDN w:val="0"/>
        <w:spacing w:line="360" w:lineRule="auto"/>
        <w:ind w:firstLineChars="0"/>
        <w:contextualSpacing/>
        <w:rPr>
          <w:rFonts w:cs="宋体" w:asciiTheme="minorEastAsia" w:hAnsiTheme="minorEastAsia"/>
          <w:b/>
          <w:kern w:val="0"/>
          <w:szCs w:val="21"/>
        </w:rPr>
      </w:pPr>
      <w:r>
        <w:rPr>
          <w:rFonts w:hint="eastAsia" w:cs="微软雅黑"/>
        </w:rPr>
        <w:t>在谈判采购中，出现下列情形之一的，采购人应当终止竞争性谈判采购活动，发布项目终止公告并说明原因，重新开展采购活动：</w:t>
      </w:r>
    </w:p>
    <w:p>
      <w:pPr>
        <w:pStyle w:val="45"/>
        <w:numPr>
          <w:ilvl w:val="0"/>
          <w:numId w:val="13"/>
        </w:numPr>
        <w:autoSpaceDE w:val="0"/>
        <w:autoSpaceDN w:val="0"/>
        <w:spacing w:line="360" w:lineRule="auto"/>
        <w:ind w:firstLineChars="0"/>
        <w:contextualSpacing/>
        <w:rPr>
          <w:rFonts w:cs="宋体" w:asciiTheme="minorEastAsia" w:hAnsiTheme="minorEastAsia"/>
          <w:vanish/>
          <w:kern w:val="0"/>
          <w:szCs w:val="21"/>
        </w:rPr>
      </w:pP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因情况变化，不再符合规定的竞争性谈判采购方式适用情形的；</w:t>
      </w:r>
    </w:p>
    <w:p>
      <w:pPr>
        <w:pStyle w:val="45"/>
        <w:numPr>
          <w:ilvl w:val="1"/>
          <w:numId w:val="13"/>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出现影响采购公正的违法、违规行为的</w:t>
      </w:r>
      <w:r>
        <w:rPr>
          <w:rFonts w:hint="eastAsia" w:cs="宋体" w:asciiTheme="minorEastAsia" w:hAnsiTheme="minorEastAsia"/>
          <w:kern w:val="0"/>
          <w:szCs w:val="21"/>
        </w:rPr>
        <w:t>；</w:t>
      </w:r>
    </w:p>
    <w:p>
      <w:pPr>
        <w:pStyle w:val="45"/>
        <w:numPr>
          <w:ilvl w:val="1"/>
          <w:numId w:val="13"/>
        </w:numPr>
        <w:autoSpaceDE w:val="0"/>
        <w:autoSpaceDN w:val="0"/>
        <w:spacing w:line="360" w:lineRule="auto"/>
        <w:ind w:firstLineChars="0"/>
        <w:contextualSpacing/>
        <w:rPr>
          <w:rFonts w:ascii="ˎ̥" w:hAnsi="ˎ̥"/>
        </w:rPr>
      </w:pPr>
      <w:r>
        <w:rPr>
          <w:rFonts w:hint="eastAsia" w:ascii="ˎ̥" w:hAnsi="ˎ̥"/>
        </w:rPr>
        <w:t>在采购过程中符合竞争要求的供应商或者报价未超过采购预算的供应商不足3家的，但《政府采购非招标采购方式管理办法》第二十七条第二款规定的情形除外。</w:t>
      </w:r>
    </w:p>
    <w:p>
      <w:pPr>
        <w:pStyle w:val="45"/>
        <w:numPr>
          <w:ilvl w:val="0"/>
          <w:numId w:val="2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成交公告、发出成交通知书</w:t>
      </w:r>
    </w:p>
    <w:p>
      <w:pPr>
        <w:pStyle w:val="45"/>
        <w:numPr>
          <w:ilvl w:val="0"/>
          <w:numId w:val="2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采购人确认成交供应商后，采购人在公告成交结果的同时，向成交供应商发出成交通知书。</w:t>
      </w:r>
    </w:p>
    <w:p>
      <w:pPr>
        <w:pStyle w:val="45"/>
        <w:numPr>
          <w:ilvl w:val="1"/>
          <w:numId w:val="2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成交通知书发出后，采购人不得违法改变成交结果，成交供应商无正当理由不得放弃成交。</w:t>
      </w:r>
    </w:p>
    <w:p>
      <w:pPr>
        <w:pStyle w:val="45"/>
        <w:numPr>
          <w:ilvl w:val="1"/>
          <w:numId w:val="2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成交供应商在接到成交通知时，须向集中采购机构发送谈判报价及分项报价一览表（包含主要成交标的的名称、规格型号、数量、单价、服务要求等）电子文档，并同时电话告知集中采购机构联系人。</w:t>
      </w:r>
    </w:p>
    <w:p>
      <w:pPr>
        <w:pStyle w:val="45"/>
        <w:numPr>
          <w:ilvl w:val="0"/>
          <w:numId w:val="2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pPr>
        <w:pStyle w:val="45"/>
        <w:numPr>
          <w:ilvl w:val="0"/>
          <w:numId w:val="2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供应商认为谈判文件、采购过程和成交结果使自己的权益受到损害的，可以按照《政府采购质疑和投诉办法》（财政部令第94号）提出质疑。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p>
    <w:p>
      <w:pPr>
        <w:pStyle w:val="45"/>
        <w:numPr>
          <w:ilvl w:val="0"/>
          <w:numId w:val="22"/>
        </w:numPr>
        <w:autoSpaceDE w:val="0"/>
        <w:autoSpaceDN w:val="0"/>
        <w:spacing w:line="360" w:lineRule="auto"/>
        <w:ind w:left="2127" w:hanging="1134" w:firstLineChars="0"/>
        <w:contextualSpacing/>
        <w:rPr>
          <w:rFonts w:cs="宋体" w:asciiTheme="minorEastAsia" w:hAnsiTheme="minorEastAsia"/>
          <w:kern w:val="0"/>
          <w:szCs w:val="21"/>
        </w:rPr>
      </w:pPr>
      <w:r>
        <w:rPr>
          <w:rFonts w:hint="eastAsia" w:cs="宋体" w:asciiTheme="minorEastAsia" w:hAnsiTheme="minorEastAsia"/>
          <w:kern w:val="0"/>
          <w:szCs w:val="21"/>
        </w:rPr>
        <w:t>对谈判文件提出质疑的，供应商应</w:t>
      </w:r>
      <w:r>
        <w:rPr>
          <w:rFonts w:cs="宋体" w:asciiTheme="minorEastAsia" w:hAnsiTheme="minorEastAsia"/>
          <w:kern w:val="0"/>
          <w:szCs w:val="21"/>
        </w:rPr>
        <w:t>已依法获取</w:t>
      </w:r>
      <w:r>
        <w:rPr>
          <w:rFonts w:hint="eastAsia" w:cs="宋体" w:asciiTheme="minorEastAsia" w:hAnsiTheme="minorEastAsia"/>
          <w:kern w:val="0"/>
          <w:szCs w:val="21"/>
        </w:rPr>
        <w:t>谈判</w:t>
      </w:r>
      <w:r>
        <w:rPr>
          <w:rFonts w:cs="宋体" w:asciiTheme="minorEastAsia" w:hAnsiTheme="minorEastAsia"/>
          <w:kern w:val="0"/>
          <w:szCs w:val="21"/>
        </w:rPr>
        <w:t>文件</w:t>
      </w:r>
      <w:r>
        <w:rPr>
          <w:rFonts w:hint="eastAsia" w:cs="宋体" w:asciiTheme="minorEastAsia" w:hAnsiTheme="minorEastAsia"/>
          <w:kern w:val="0"/>
          <w:szCs w:val="21"/>
        </w:rPr>
        <w:t>，且应当在</w:t>
      </w:r>
      <w:r>
        <w:rPr>
          <w:rFonts w:cs="宋体" w:asciiTheme="minorEastAsia" w:hAnsiTheme="minorEastAsia"/>
          <w:kern w:val="0"/>
          <w:szCs w:val="21"/>
        </w:rPr>
        <w:t>获取</w:t>
      </w:r>
      <w:r>
        <w:rPr>
          <w:rFonts w:hint="eastAsia" w:cs="宋体" w:asciiTheme="minorEastAsia" w:hAnsiTheme="minorEastAsia"/>
          <w:kern w:val="0"/>
          <w:szCs w:val="21"/>
        </w:rPr>
        <w:t>谈判</w:t>
      </w:r>
      <w:r>
        <w:rPr>
          <w:rFonts w:cs="宋体" w:asciiTheme="minorEastAsia" w:hAnsiTheme="minorEastAsia"/>
          <w:kern w:val="0"/>
          <w:szCs w:val="21"/>
        </w:rPr>
        <w:t>文件或者</w:t>
      </w:r>
      <w:r>
        <w:rPr>
          <w:rFonts w:hint="eastAsia" w:cs="宋体" w:asciiTheme="minorEastAsia" w:hAnsiTheme="minorEastAsia"/>
          <w:kern w:val="0"/>
          <w:szCs w:val="21"/>
        </w:rPr>
        <w:t>谈判</w:t>
      </w:r>
      <w:r>
        <w:rPr>
          <w:rFonts w:cs="宋体" w:asciiTheme="minorEastAsia" w:hAnsiTheme="minorEastAsia"/>
          <w:kern w:val="0"/>
          <w:szCs w:val="21"/>
        </w:rPr>
        <w:t>文件公告期限届满之日起7个工作日内</w:t>
      </w:r>
      <w:r>
        <w:rPr>
          <w:rFonts w:hint="eastAsia" w:cs="宋体" w:asciiTheme="minorEastAsia" w:hAnsiTheme="minorEastAsia"/>
          <w:kern w:val="0"/>
          <w:szCs w:val="21"/>
        </w:rPr>
        <w:t>通过《全国公共资源交易平台（河南省·许昌市）》一次性提出，提出后电话联系本项目谈判公告中集采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34.1.2     对采购过程提出质疑的，为各采购程序环节结束之日起七个工作日内，以书面形式向采购人和采购代理机构一次性提出；</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34.1.3     对成交结果提出质疑的，为成交结果公告期限届满之日起七个工作日内，以书面形式向采购人和采购代理机构一次性提出。</w:t>
      </w:r>
    </w:p>
    <w:p>
      <w:pPr>
        <w:pStyle w:val="45"/>
        <w:numPr>
          <w:ilvl w:val="1"/>
          <w:numId w:val="20"/>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w:t>
      </w:r>
      <w:r>
        <w:rPr>
          <w:rFonts w:hint="eastAsia" w:cs="宋体" w:asciiTheme="minorEastAsia" w:hAnsiTheme="minorEastAsia"/>
          <w:kern w:val="0"/>
          <w:szCs w:val="21"/>
        </w:rPr>
        <w:t>成交</w:t>
      </w:r>
      <w:r>
        <w:rPr>
          <w:rFonts w:cs="宋体" w:asciiTheme="minorEastAsia" w:hAnsiTheme="minorEastAsia"/>
          <w:kern w:val="0"/>
          <w:szCs w:val="21"/>
        </w:rPr>
        <w:t>结果构成影响的，继续开展采购活动；认为供应商质疑成立且影响或者可能影响</w:t>
      </w:r>
      <w:r>
        <w:rPr>
          <w:rFonts w:hint="eastAsia" w:cs="宋体" w:asciiTheme="minorEastAsia" w:hAnsiTheme="minorEastAsia"/>
          <w:kern w:val="0"/>
          <w:szCs w:val="21"/>
        </w:rPr>
        <w:t>成交</w:t>
      </w:r>
      <w:r>
        <w:rPr>
          <w:rFonts w:cs="宋体" w:asciiTheme="minorEastAsia" w:hAnsiTheme="minorEastAsia"/>
          <w:kern w:val="0"/>
          <w:szCs w:val="21"/>
        </w:rPr>
        <w:t>结果的，按照下列情况处理：</w:t>
      </w:r>
    </w:p>
    <w:p>
      <w:pPr>
        <w:autoSpaceDE w:val="0"/>
        <w:autoSpaceDN w:val="0"/>
        <w:spacing w:line="360" w:lineRule="auto"/>
        <w:ind w:left="2125" w:leftChars="450" w:hanging="1180" w:hangingChars="562"/>
        <w:contextualSpacing/>
        <w:rPr>
          <w:rFonts w:cs="宋体" w:asciiTheme="minorEastAsia" w:hAnsiTheme="minorEastAsia"/>
          <w:kern w:val="0"/>
          <w:szCs w:val="21"/>
        </w:rPr>
      </w:pPr>
      <w:r>
        <w:rPr>
          <w:rFonts w:hint="eastAsia" w:cs="宋体" w:asciiTheme="minorEastAsia" w:hAnsiTheme="minorEastAsia"/>
          <w:kern w:val="0"/>
          <w:szCs w:val="21"/>
        </w:rPr>
        <w:t xml:space="preserve">34.2.1     </w:t>
      </w:r>
      <w:r>
        <w:rPr>
          <w:rFonts w:cs="宋体" w:asciiTheme="minorEastAsia" w:hAnsiTheme="minorEastAsia"/>
          <w:kern w:val="0"/>
          <w:szCs w:val="21"/>
        </w:rPr>
        <w:t>对</w:t>
      </w:r>
      <w:r>
        <w:rPr>
          <w:rFonts w:hint="eastAsia" w:cs="宋体" w:asciiTheme="minorEastAsia" w:hAnsiTheme="minorEastAsia"/>
          <w:kern w:val="0"/>
          <w:szCs w:val="21"/>
        </w:rPr>
        <w:t>谈判</w:t>
      </w:r>
      <w:r>
        <w:rPr>
          <w:rFonts w:cs="宋体" w:asciiTheme="minorEastAsia" w:hAnsiTheme="minorEastAsia"/>
          <w:kern w:val="0"/>
          <w:szCs w:val="21"/>
        </w:rPr>
        <w:t>文件提出的质疑，依法通过澄清或者修改可以继续开展采购活动的，澄清或者修改</w:t>
      </w:r>
      <w:r>
        <w:rPr>
          <w:rFonts w:hint="eastAsia" w:cs="宋体" w:asciiTheme="minorEastAsia" w:hAnsiTheme="minorEastAsia"/>
          <w:kern w:val="0"/>
          <w:szCs w:val="21"/>
        </w:rPr>
        <w:t>谈判</w:t>
      </w:r>
      <w:r>
        <w:rPr>
          <w:rFonts w:cs="宋体" w:asciiTheme="minorEastAsia" w:hAnsiTheme="minorEastAsia"/>
          <w:kern w:val="0"/>
          <w:szCs w:val="21"/>
        </w:rPr>
        <w:t>文件后继续开展采购活动；否则应当修改</w:t>
      </w:r>
      <w:r>
        <w:rPr>
          <w:rFonts w:hint="eastAsia" w:cs="宋体" w:asciiTheme="minorEastAsia" w:hAnsiTheme="minorEastAsia"/>
          <w:kern w:val="0"/>
          <w:szCs w:val="21"/>
        </w:rPr>
        <w:t>谈判</w:t>
      </w:r>
      <w:r>
        <w:rPr>
          <w:rFonts w:cs="宋体" w:asciiTheme="minorEastAsia" w:hAnsiTheme="minorEastAsia"/>
          <w:kern w:val="0"/>
          <w:szCs w:val="21"/>
        </w:rPr>
        <w:t>文件后重新开展采购活动。</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 xml:space="preserve">34.2.2     </w:t>
      </w:r>
      <w:r>
        <w:rPr>
          <w:rFonts w:cs="宋体" w:asciiTheme="minorEastAsia" w:hAnsiTheme="minorEastAsia"/>
          <w:kern w:val="0"/>
          <w:szCs w:val="21"/>
        </w:rPr>
        <w:t>对采购过程、</w:t>
      </w:r>
      <w:r>
        <w:rPr>
          <w:rFonts w:hint="eastAsia" w:cs="宋体" w:asciiTheme="minorEastAsia" w:hAnsiTheme="minorEastAsia"/>
          <w:kern w:val="0"/>
          <w:szCs w:val="21"/>
        </w:rPr>
        <w:t>成交</w:t>
      </w:r>
      <w:r>
        <w:rPr>
          <w:rFonts w:cs="宋体" w:asciiTheme="minorEastAsia" w:hAnsiTheme="minorEastAsia"/>
          <w:kern w:val="0"/>
          <w:szCs w:val="21"/>
        </w:rPr>
        <w:t>结果提出的质疑，合格供应商符合法定数量时，可以从合格的</w:t>
      </w:r>
      <w:r>
        <w:rPr>
          <w:rFonts w:hint="eastAsia" w:cs="宋体" w:asciiTheme="minorEastAsia" w:hAnsiTheme="minorEastAsia"/>
          <w:kern w:val="0"/>
          <w:szCs w:val="21"/>
        </w:rPr>
        <w:t>成交候选人</w:t>
      </w:r>
      <w:r>
        <w:rPr>
          <w:rFonts w:cs="宋体" w:asciiTheme="minorEastAsia" w:hAnsiTheme="minorEastAsia"/>
          <w:kern w:val="0"/>
          <w:szCs w:val="21"/>
        </w:rPr>
        <w:t>中另行确定</w:t>
      </w:r>
      <w:r>
        <w:rPr>
          <w:rFonts w:hint="eastAsia" w:cs="宋体" w:asciiTheme="minorEastAsia" w:hAnsiTheme="minorEastAsia"/>
          <w:kern w:val="0"/>
          <w:szCs w:val="21"/>
        </w:rPr>
        <w:t>成交</w:t>
      </w:r>
      <w:r>
        <w:rPr>
          <w:rFonts w:cs="宋体" w:asciiTheme="minorEastAsia" w:hAnsiTheme="minorEastAsia"/>
          <w:kern w:val="0"/>
          <w:szCs w:val="21"/>
        </w:rPr>
        <w:t>供应商的，应当依法另行确定</w:t>
      </w:r>
      <w:r>
        <w:rPr>
          <w:rFonts w:hint="eastAsia" w:cs="宋体" w:asciiTheme="minorEastAsia" w:hAnsiTheme="minorEastAsia"/>
          <w:kern w:val="0"/>
          <w:szCs w:val="21"/>
        </w:rPr>
        <w:t>成交</w:t>
      </w:r>
      <w:r>
        <w:rPr>
          <w:rFonts w:cs="宋体" w:asciiTheme="minorEastAsia" w:hAnsiTheme="minorEastAsia"/>
          <w:kern w:val="0"/>
          <w:szCs w:val="21"/>
        </w:rPr>
        <w:t>供应商；否则应当重新开展采购活动。</w:t>
      </w:r>
    </w:p>
    <w:p>
      <w:pPr>
        <w:pStyle w:val="45"/>
        <w:numPr>
          <w:ilvl w:val="0"/>
          <w:numId w:val="2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w:t>
      </w:r>
    </w:p>
    <w:p>
      <w:pPr>
        <w:pStyle w:val="45"/>
        <w:numPr>
          <w:ilvl w:val="0"/>
          <w:numId w:val="21"/>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采购人与成交供应商应当在成交通知书发出之日起30日内，按照</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文件确定的合同文本以及采购标的、规格型号、采购金额、采购数量、技术和服务要求等事项签订政府采购合同</w:t>
      </w:r>
      <w:r>
        <w:rPr>
          <w:rFonts w:hint="eastAsia" w:cs="宋体" w:asciiTheme="minorEastAsia" w:hAnsiTheme="minorEastAsia"/>
          <w:kern w:val="0"/>
          <w:szCs w:val="21"/>
        </w:rPr>
        <w:t>。</w:t>
      </w:r>
    </w:p>
    <w:p>
      <w:pPr>
        <w:pStyle w:val="45"/>
        <w:numPr>
          <w:ilvl w:val="1"/>
          <w:numId w:val="20"/>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采购人不得向成交供应商提出超出采购文件以外的任何要求作为签订合同的条件，不得与成交供应商订立背离</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文件确定的合同文本以及采购标的、规格型号、采购金额、采购数量、技术和服务要求等实质性内容的协议</w:t>
      </w:r>
      <w:r>
        <w:rPr>
          <w:rFonts w:hint="eastAsia" w:cs="宋体" w:asciiTheme="minorEastAsia" w:hAnsiTheme="minorEastAsia"/>
          <w:kern w:val="0"/>
          <w:szCs w:val="21"/>
        </w:rPr>
        <w:t>。</w:t>
      </w:r>
    </w:p>
    <w:p>
      <w:pPr>
        <w:pStyle w:val="45"/>
        <w:numPr>
          <w:ilvl w:val="0"/>
          <w:numId w:val="2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pPr>
        <w:autoSpaceDE w:val="0"/>
        <w:autoSpaceDN w:val="0"/>
        <w:spacing w:line="360" w:lineRule="auto"/>
        <w:ind w:left="964"/>
        <w:contextualSpacing/>
        <w:rPr>
          <w:rFonts w:cs="宋体" w:asciiTheme="majorEastAsia" w:hAnsiTheme="majorEastAsia" w:eastAsiaTheme="majorEastAsia"/>
          <w:b/>
          <w:kern w:val="0"/>
          <w:sz w:val="36"/>
          <w:szCs w:val="36"/>
        </w:rPr>
      </w:pPr>
      <w:r>
        <w:rPr>
          <w:rFonts w:hint="eastAsia" w:cs="宋体" w:asciiTheme="minorEastAsia" w:hAnsiTheme="minorEastAsia"/>
          <w:kern w:val="0"/>
          <w:szCs w:val="21"/>
        </w:rPr>
        <w:t>“供应商须知前附表”中规定成交供应商提交履约保证金的，成交供应商应当以支票、汇票、本票或者金融机构、担保机构出具的保函等非现金形式向采购人提交。履约保证金的数额不得超过政府采购合同金额的10%。</w:t>
      </w:r>
      <w:r>
        <w:rPr>
          <w:rFonts w:hint="eastAsia" w:ascii="宋体" w:hAnsi="宋体" w:eastAsia="宋体" w:cs="宋体"/>
          <w:color w:val="333333"/>
          <w:sz w:val="24"/>
          <w:szCs w:val="24"/>
        </w:rPr>
        <w:br w:type="textWrapping"/>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ind w:firstLine="1928" w:firstLineChars="600"/>
        <w:contextualSpacing/>
        <w:jc w:val="both"/>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 xml:space="preserve">第五章 </w:t>
      </w:r>
      <w:r>
        <w:rPr>
          <w:rFonts w:hint="eastAsia" w:cs="宋体" w:asciiTheme="majorEastAsia" w:hAnsiTheme="majorEastAsia" w:eastAsiaTheme="majorEastAsia"/>
          <w:b/>
          <w:kern w:val="0"/>
          <w:sz w:val="32"/>
          <w:szCs w:val="32"/>
          <w:lang w:val="en-US" w:eastAsia="zh-CN"/>
        </w:rPr>
        <w:t xml:space="preserve"> </w:t>
      </w:r>
      <w:r>
        <w:rPr>
          <w:rFonts w:hint="eastAsia" w:cs="宋体" w:asciiTheme="majorEastAsia" w:hAnsiTheme="majorEastAsia" w:eastAsiaTheme="majorEastAsia"/>
          <w:b/>
          <w:kern w:val="0"/>
          <w:sz w:val="32"/>
          <w:szCs w:val="32"/>
        </w:rPr>
        <w:t>政府采购政策功能</w:t>
      </w:r>
    </w:p>
    <w:p>
      <w:pPr>
        <w:jc w:val="center"/>
        <w:rPr>
          <w:rFonts w:cs="宋体" w:asciiTheme="majorEastAsia" w:hAnsiTheme="majorEastAsia" w:eastAsiaTheme="majorEastAsia"/>
          <w:b/>
          <w:kern w:val="0"/>
          <w:sz w:val="36"/>
          <w:szCs w:val="36"/>
        </w:rPr>
      </w:pP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pPr>
        <w:pStyle w:val="14"/>
        <w:spacing w:line="360" w:lineRule="auto"/>
        <w:ind w:firstLine="422" w:firstLineChars="200"/>
        <w:contextualSpacing/>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一、</w:t>
      </w:r>
      <w:r>
        <w:rPr>
          <w:rFonts w:hint="eastAsia" w:cs="仿宋_GB2312" w:asciiTheme="minorEastAsia" w:hAnsiTheme="minorEastAsia"/>
          <w:b/>
          <w:sz w:val="21"/>
          <w:szCs w:val="21"/>
          <w:lang w:val="zh-CN"/>
        </w:rPr>
        <w:t>促进中小企业发展（不含民办非企业）</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4、中小企业投标应提供《中小企业声明函》，如为联合投标的，联合体各方需分别填写《中小企业声明函》。</w:t>
      </w:r>
    </w:p>
    <w:p>
      <w:pPr>
        <w:topLinePunct/>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二、支持监狱企业发展</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三、促进残疾人就业</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color w:val="000000"/>
          <w:sz w:val="21"/>
          <w:szCs w:val="21"/>
        </w:rPr>
        <w:t>残疾人福利性单位属于小型、微型企业的，不重复享受政策。</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4"/>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3、成交人为残疾人福利性单位的，招标人应当随成交结果同时公告其《残疾人福利性单位声明函》，接受社会监督。</w:t>
      </w: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pPr>
        <w:pStyle w:val="14"/>
        <w:spacing w:line="360" w:lineRule="auto"/>
        <w:contextualSpacing/>
        <w:rPr>
          <w:rFonts w:cs="仿宋_GB2312" w:asciiTheme="minorEastAsia" w:hAnsiTheme="minorEastAsia"/>
          <w:lang w:val="zh-CN"/>
        </w:rPr>
      </w:pPr>
    </w:p>
    <w:p>
      <w:pPr>
        <w:pStyle w:val="14"/>
        <w:spacing w:line="360" w:lineRule="auto"/>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asciiTheme="minorEastAsia" w:hAnsiTheme="minorEastAsia"/>
          <w:bCs/>
          <w:szCs w:val="21"/>
        </w:rPr>
        <w:t>（一）谈判小组依法对供应商资格进行审查</w:t>
      </w:r>
      <w:r>
        <w:rPr>
          <w:rFonts w:cs="仿宋_GB2312" w:asciiTheme="minorEastAsia" w:hAnsiTheme="minorEastAsia"/>
          <w:szCs w:val="21"/>
          <w:lang w:val="zh-CN"/>
        </w:rPr>
        <w:t>。</w:t>
      </w:r>
      <w:r>
        <w:rPr>
          <w:rFonts w:hint="eastAsia" w:cs="仿宋_GB2312" w:asciiTheme="minorEastAsia" w:hAnsiTheme="minorEastAsia"/>
          <w:szCs w:val="21"/>
          <w:lang w:val="zh-CN"/>
        </w:rPr>
        <w:t>确定符合资格的供应商不少于3家，将</w:t>
      </w:r>
      <w:r>
        <w:rPr>
          <w:rFonts w:ascii="ˎ̥" w:hAnsi="ˎ̥"/>
        </w:rPr>
        <w:t>对响应文件的有效性、完整性和响应程度进行审查</w:t>
      </w:r>
      <w:r>
        <w:rPr>
          <w:rFonts w:hint="eastAsia" w:ascii="ˎ̥" w:hAnsi="ˎ̥"/>
        </w:rPr>
        <w:t>并对响应文件进行评审</w:t>
      </w:r>
      <w:r>
        <w:rPr>
          <w:rFonts w:hint="eastAsia" w:cs="仿宋_GB2312" w:asciiTheme="minorEastAsia" w:hAnsiTheme="minorEastAsia"/>
          <w:szCs w:val="21"/>
          <w:lang w:val="zh-CN"/>
        </w:rPr>
        <w:t>。</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个月内任意一个月缴纳税收凭据。（依法免税的供应商，应提供相应文件证明依法免税）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个月内任意一个月缴纳社会保险凭据。（依法不需要缴纳社会保障资金的供应商，应提供相应文件证明依法不需要缴纳社会保障资金）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①与本项目投标相关设备的购置发票、专业技术人员职称证书、用工合同等；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宋体" w:hAnsi="宋体" w:cs="微软雅黑"/>
                <w:bCs/>
                <w:szCs w:val="21"/>
              </w:rPr>
            </w:pPr>
            <w:r>
              <w:rPr>
                <w:rFonts w:hint="eastAsia" w:ascii="宋体" w:hAnsi="宋体" w:cs="微软雅黑"/>
                <w:bCs/>
                <w:szCs w:val="21"/>
              </w:rPr>
              <w:t>如无重大违法记录请按照谈判文件提供格式填写。</w:t>
            </w:r>
          </w:p>
          <w:p>
            <w:pPr>
              <w:spacing w:line="360" w:lineRule="auto"/>
              <w:jc w:val="left"/>
              <w:rPr>
                <w:rFonts w:asciiTheme="minorEastAsia" w:hAnsiTheme="minorEastAsia"/>
                <w:b/>
                <w:bCs/>
                <w:szCs w:val="21"/>
              </w:rPr>
            </w:pPr>
            <w:r>
              <w:rPr>
                <w:rFonts w:hint="eastAsia" w:asciiTheme="minorEastAsia" w:hAnsiTheme="minorEastAsia"/>
                <w:bCs/>
                <w:szCs w:val="21"/>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政府采购活动中查询及使用供应商信用记录的具体要求为：供应商未被列入</w:t>
            </w:r>
            <w:r>
              <w:rPr>
                <w:rFonts w:asciiTheme="minorEastAsia" w:hAnsiTheme="minorEastAsia"/>
                <w:bCs/>
                <w:szCs w:val="21"/>
              </w:rPr>
              <w:t>“信用中国”网站</w:t>
            </w:r>
            <w:r>
              <w:rPr>
                <w:rFonts w:hint="eastAsia" w:asciiTheme="minorEastAsia" w:hAnsiTheme="minorEastAsia"/>
                <w:bCs/>
                <w:szCs w:val="21"/>
              </w:rPr>
              <w:t>失信被执行人、重大税收违法案件当事人名单、</w:t>
            </w:r>
            <w:r>
              <w:rPr>
                <w:rFonts w:asciiTheme="minorEastAsia" w:hAnsiTheme="minorEastAsia"/>
                <w:bCs/>
                <w:szCs w:val="21"/>
              </w:rPr>
              <w:t>政府采购严重违法失信名单</w:t>
            </w:r>
            <w:r>
              <w:rPr>
                <w:rFonts w:hint="eastAsia" w:asciiTheme="minorEastAsia" w:hAnsiTheme="minorEastAsia"/>
                <w:bCs/>
                <w:szCs w:val="21"/>
              </w:rPr>
              <w:t>、“</w:t>
            </w:r>
            <w:r>
              <w:rPr>
                <w:rFonts w:asciiTheme="minorEastAsia" w:hAnsiTheme="minorEastAsia"/>
                <w:bCs/>
                <w:szCs w:val="21"/>
              </w:rPr>
              <w:t>中国政府采购网</w:t>
            </w:r>
            <w:r>
              <w:rPr>
                <w:rFonts w:hint="eastAsia" w:asciiTheme="minorEastAsia" w:hAnsiTheme="minorEastAsia"/>
                <w:bCs/>
                <w:szCs w:val="21"/>
              </w:rPr>
              <w:t>”政府采购严重违法失信行为记录名单、“国家企业信用公示系统”网站严重违法失信企业名单（黑名单）、</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）严重违法失信社会组织名单的供应商</w:t>
            </w:r>
            <w:r>
              <w:rPr>
                <w:rFonts w:hint="eastAsia" w:cs="仿宋_GB2312" w:asciiTheme="minorEastAsia" w:hAnsiTheme="minorEastAsia"/>
                <w:b/>
                <w:color w:val="000000"/>
                <w:szCs w:val="21"/>
              </w:rPr>
              <w:t>；</w:t>
            </w:r>
            <w:r>
              <w:rPr>
                <w:rFonts w:hint="eastAsia" w:asciiTheme="minorEastAsia" w:hAnsiTheme="minorEastAsia"/>
                <w:bCs/>
                <w:szCs w:val="21"/>
              </w:rPr>
              <w:t>（联合体形式投标的，联合体成员存在不良信用记录，视同联合体存在不良信用记录）。</w:t>
            </w:r>
          </w:p>
          <w:p>
            <w:pPr>
              <w:spacing w:line="360" w:lineRule="auto"/>
              <w:rPr>
                <w:rFonts w:asciiTheme="minorEastAsia" w:hAnsiTheme="minorEastAsia"/>
                <w:bCs/>
                <w:szCs w:val="21"/>
              </w:rPr>
            </w:pPr>
            <w:r>
              <w:rPr>
                <w:rFonts w:hint="eastAsia" w:asciiTheme="minorEastAsia" w:hAnsiTheme="minorEastAsia"/>
                <w:bCs/>
                <w:szCs w:val="21"/>
              </w:rPr>
              <w:t>（1）查询渠道：</w:t>
            </w:r>
          </w:p>
          <w:p>
            <w:pPr>
              <w:spacing w:line="360" w:lineRule="auto"/>
              <w:rPr>
                <w:rFonts w:asciiTheme="minorEastAsia" w:hAnsiTheme="minorEastAsia"/>
                <w:bCs/>
                <w:szCs w:val="21"/>
              </w:rPr>
            </w:pPr>
            <w:r>
              <w:rPr>
                <w:rFonts w:hint="eastAsia" w:asciiTheme="minorEastAsia" w:hAnsiTheme="minorEastAsia"/>
                <w:bCs/>
                <w:szCs w:val="21"/>
              </w:rPr>
              <w:t>①“信用中国”网站（</w:t>
            </w:r>
            <w:r>
              <w:fldChar w:fldCharType="begin"/>
            </w:r>
            <w:r>
              <w:instrText xml:space="preserve"> HYPERLINK "http://www.creditchina.gov.cn" </w:instrText>
            </w:r>
            <w:r>
              <w:fldChar w:fldCharType="separate"/>
            </w:r>
            <w:r>
              <w:rPr>
                <w:rStyle w:val="29"/>
                <w:rFonts w:hint="eastAsia" w:asciiTheme="minorEastAsia" w:hAnsiTheme="minorEastAsia"/>
                <w:szCs w:val="21"/>
              </w:rPr>
              <w:t>www.creditchina.gov.cn</w:t>
            </w:r>
            <w:r>
              <w:rPr>
                <w:rStyle w:val="29"/>
                <w:rFonts w:hint="eastAsia" w:asciiTheme="minorEastAsia" w:hAnsiTheme="minorEastAsia"/>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②“中国政府采购网”（www.ccgp.gov.cn）</w:t>
            </w:r>
          </w:p>
          <w:p>
            <w:pPr>
              <w:spacing w:line="360" w:lineRule="auto"/>
              <w:rPr>
                <w:rFonts w:asciiTheme="minorEastAsia" w:hAnsiTheme="minorEastAsia"/>
                <w:bCs/>
                <w:szCs w:val="21"/>
              </w:rPr>
            </w:pPr>
            <w:r>
              <w:rPr>
                <w:rFonts w:hint="eastAsia" w:asciiTheme="minorEastAsia" w:hAnsiTheme="minorEastAsia"/>
                <w:bCs/>
                <w:szCs w:val="21"/>
              </w:rPr>
              <w:t>③“国家企业信用公示系统”网站（</w:t>
            </w:r>
            <w:r>
              <w:fldChar w:fldCharType="begin"/>
            </w:r>
            <w:r>
              <w:instrText xml:space="preserve"> HYPERLINK "http://www.gsxt.gov.cn" </w:instrText>
            </w:r>
            <w:r>
              <w:fldChar w:fldCharType="separate"/>
            </w:r>
            <w:r>
              <w:rPr>
                <w:rStyle w:val="29"/>
                <w:rFonts w:asciiTheme="minorEastAsia" w:hAnsiTheme="minorEastAsia"/>
                <w:szCs w:val="21"/>
              </w:rPr>
              <w:t>www.gsxt.gov.cn</w:t>
            </w:r>
            <w:r>
              <w:rPr>
                <w:rStyle w:val="29"/>
                <w:rFonts w:asciiTheme="minorEastAsia" w:hAnsiTheme="minorEastAsia"/>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④</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）（仅查询社会组织）</w:t>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（2）截止时间：同</w:t>
            </w:r>
            <w:r>
              <w:rPr>
                <w:rFonts w:hint="eastAsia" w:asciiTheme="minorEastAsia" w:hAnsiTheme="minorEastAsia"/>
                <w:bCs/>
                <w:szCs w:val="21"/>
                <w:lang w:eastAsia="zh-CN"/>
              </w:rPr>
              <w:t>谈判</w:t>
            </w:r>
            <w:r>
              <w:rPr>
                <w:rFonts w:hint="eastAsia" w:asciiTheme="minorEastAsia" w:hAnsiTheme="minorEastAsia"/>
                <w:bCs/>
                <w:szCs w:val="21"/>
              </w:rPr>
              <w:t>截止时间；</w:t>
            </w:r>
          </w:p>
          <w:p>
            <w:pPr>
              <w:spacing w:line="360" w:lineRule="auto"/>
              <w:rPr>
                <w:rFonts w:asciiTheme="minorEastAsia" w:hAnsiTheme="minorEastAsia"/>
                <w:bCs/>
                <w:szCs w:val="21"/>
              </w:rPr>
            </w:pPr>
            <w:r>
              <w:rPr>
                <w:rFonts w:hint="eastAsia" w:asciiTheme="minorEastAsia" w:hAnsiTheme="minorEastAsia"/>
                <w:bCs/>
                <w:szCs w:val="21"/>
              </w:rPr>
              <w:t>（3）信用信息查询记录和证据留存具体方式：经</w:t>
            </w:r>
            <w:r>
              <w:rPr>
                <w:rFonts w:hint="eastAsia" w:cs="宋体" w:asciiTheme="minorEastAsia" w:hAnsiTheme="minorEastAsia"/>
                <w:kern w:val="0"/>
                <w:szCs w:val="21"/>
              </w:rPr>
              <w:t>谈判小组</w:t>
            </w:r>
            <w:r>
              <w:rPr>
                <w:rFonts w:hint="eastAsia" w:asciiTheme="minorEastAsia" w:hAnsiTheme="minorEastAsia"/>
                <w:bCs/>
                <w:szCs w:val="21"/>
              </w:rPr>
              <w:t>确认确认的查询结果网页截图作为查询记录和证据，与其他采购文件一并保存；</w:t>
            </w:r>
          </w:p>
          <w:p>
            <w:pPr>
              <w:spacing w:line="360" w:lineRule="auto"/>
              <w:rPr>
                <w:rFonts w:asciiTheme="minorEastAsia" w:hAnsiTheme="minorEastAsia"/>
                <w:b/>
                <w:bCs/>
                <w:szCs w:val="21"/>
              </w:rPr>
            </w:pPr>
            <w:r>
              <w:rPr>
                <w:rFonts w:hint="eastAsia" w:asciiTheme="minorEastAsia" w:hAnsiTheme="minorEastAsia"/>
                <w:bCs/>
                <w:szCs w:val="21"/>
              </w:rPr>
              <w:t>（4）信用信息的使用原则：经</w:t>
            </w:r>
            <w:r>
              <w:rPr>
                <w:rFonts w:hint="eastAsia" w:cs="宋体" w:asciiTheme="minorEastAsia" w:hAnsiTheme="minorEastAsia"/>
                <w:kern w:val="0"/>
                <w:szCs w:val="21"/>
              </w:rPr>
              <w:t>谈判小组</w:t>
            </w:r>
            <w:r>
              <w:rPr>
                <w:rFonts w:hint="eastAsia" w:asciiTheme="minorEastAsia" w:hAnsiTheme="minorEastAsia"/>
                <w:bCs/>
                <w:szCs w:val="21"/>
              </w:rPr>
              <w:t>确认认定的被列入失信被执行人、重大税收违法案件当事人名单、政府采购严重违法失信行为记录名单的供应商，严重违法失信企业名单（黑名单）、</w:t>
            </w:r>
            <w:r>
              <w:rPr>
                <w:rFonts w:hint="eastAsia" w:cs="仿宋_GB2312" w:asciiTheme="minorEastAsia" w:hAnsiTheme="minorEastAsia"/>
                <w:color w:val="000000"/>
                <w:szCs w:val="21"/>
              </w:rPr>
              <w:t>严重违法失信社会组织</w:t>
            </w:r>
            <w:r>
              <w:rPr>
                <w:rFonts w:hint="eastAsia" w:asciiTheme="minorEastAsia" w:hAnsiTheme="minorEastAsia"/>
                <w:bCs/>
                <w:szCs w:val="21"/>
              </w:rPr>
              <w:t>的供应商，将拒绝其参与本次政府采购活动。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供应商须具备的特殊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hint="eastAsia" w:asciiTheme="minorEastAsia" w:hAnsiTheme="minorEastAsia"/>
                <w:bCs/>
                <w:szCs w:val="21"/>
              </w:rPr>
            </w:pPr>
            <w:r>
              <w:rPr>
                <w:rFonts w:hint="eastAsia" w:asciiTheme="minorEastAsia" w:hAnsiTheme="minorEastAsia"/>
                <w:bCs/>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10</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谈判</w:t>
            </w:r>
            <w:r>
              <w:rPr>
                <w:rFonts w:hint="eastAsia" w:cs="仿宋_GB2312" w:asciiTheme="minorEastAsia" w:hAnsiTheme="minorEastAsia"/>
                <w:b/>
                <w:szCs w:val="21"/>
                <w:lang w:val="zh-CN"/>
              </w:rPr>
              <w:t>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投标报价是否超出谈判文件中规定的预算金额，超出预算金额的报价无效。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11</w:t>
            </w:r>
          </w:p>
        </w:tc>
        <w:tc>
          <w:tcPr>
            <w:tcW w:w="2410" w:type="dxa"/>
            <w:vAlign w:val="center"/>
          </w:tcPr>
          <w:p>
            <w:pPr>
              <w:spacing w:line="360" w:lineRule="auto"/>
              <w:rPr>
                <w:rFonts w:hint="eastAsia" w:asciiTheme="minorEastAsia" w:hAnsiTheme="minorEastAsia" w:eastAsiaTheme="minorEastAsia"/>
                <w:szCs w:val="21"/>
                <w:lang w:eastAsia="zh-CN"/>
              </w:rPr>
            </w:pPr>
            <w:r>
              <w:rPr>
                <w:rFonts w:hint="eastAsia" w:asciiTheme="minorEastAsia" w:hAnsiTheme="minorEastAsia"/>
                <w:b/>
                <w:szCs w:val="21"/>
                <w:lang w:eastAsia="zh-CN"/>
              </w:rPr>
              <w:t>投标承诺函</w:t>
            </w:r>
          </w:p>
        </w:tc>
        <w:tc>
          <w:tcPr>
            <w:tcW w:w="5954" w:type="dxa"/>
            <w:vAlign w:val="center"/>
          </w:tcPr>
          <w:p>
            <w:pPr>
              <w:spacing w:line="360" w:lineRule="auto"/>
              <w:rPr>
                <w:rFonts w:hint="eastAsia" w:asciiTheme="minorEastAsia" w:hAnsiTheme="minorEastAsia" w:eastAsiaTheme="minorEastAsia"/>
                <w:b/>
                <w:szCs w:val="21"/>
                <w:lang w:eastAsia="zh-CN"/>
              </w:rPr>
            </w:pPr>
            <w:r>
              <w:rPr>
                <w:rFonts w:hint="eastAsia" w:asciiTheme="minorEastAsia" w:hAnsiTheme="minorEastAsia"/>
                <w:szCs w:val="21"/>
                <w:lang w:eastAsia="zh-CN"/>
              </w:rPr>
              <w:t>按照谈判文件在谈判响应文件中承诺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谈判文件接受联合体投标且供应商为联合体的，供应商应提供本协议；否则无须提供。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13</w:t>
            </w:r>
          </w:p>
        </w:tc>
        <w:tc>
          <w:tcPr>
            <w:tcW w:w="2410" w:type="dxa"/>
            <w:vAlign w:val="center"/>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供应商身份证明及授权</w:t>
            </w:r>
          </w:p>
        </w:tc>
        <w:tc>
          <w:tcPr>
            <w:tcW w:w="5954" w:type="dxa"/>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（1）法定代表人身份证明或提供法定代表人授权委托书及被授权人身份证明和社保证明。（法人提供）</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（2）单位负责人身份证明或提供单位负责人授权委托书及被授权人身份证明和社保证明。（非法人提供）</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①企业（银行、保险、石油石化、电力、电信等行业除外）、事业单位和社会团体以法人身份参加谈判的，法定代表人应与实际提交的“营业执照等证明文件”载明的一致。</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②银行、保险、石油石化、电力、电信等行业：以法人身份参加谈判的，法定代表人应与实际提交的“营业执照等证明文件”载明的一致；以非法人身份参加谈判的，“单位负责人”指代表单位行使职权的主要负责人，应与实际提交的“营业执照等证明文件”载明的一致。</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③供应商为自然人的，无需填写法定代表人授权书。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供应商提供未为本项目提供整体设计、规范编制或者项目管理、监理、检测等服务承诺函（承诺函格式自拟）。</w:t>
            </w:r>
          </w:p>
          <w:p>
            <w:pPr>
              <w:spacing w:line="360" w:lineRule="auto"/>
              <w:rPr>
                <w:rFonts w:asciiTheme="minorEastAsia" w:hAnsiTheme="minorEastAsia"/>
                <w:bCs/>
                <w:szCs w:val="21"/>
              </w:rPr>
            </w:pPr>
          </w:p>
        </w:tc>
      </w:tr>
    </w:tbl>
    <w:p>
      <w:pPr>
        <w:pStyle w:val="14"/>
        <w:spacing w:line="360" w:lineRule="auto"/>
        <w:ind w:firstLine="482" w:firstLineChars="200"/>
        <w:contextualSpacing/>
        <w:rPr>
          <w:rFonts w:cs="仿宋_GB2312" w:asciiTheme="minorEastAsia" w:hAnsiTheme="minorEastAsia" w:eastAsiaTheme="minorEastAsia"/>
          <w:b/>
          <w:szCs w:val="24"/>
          <w:lang w:val="zh-CN"/>
        </w:rPr>
      </w:pPr>
    </w:p>
    <w:p>
      <w:pPr>
        <w:pStyle w:val="14"/>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二、评审</w:t>
      </w:r>
    </w:p>
    <w:p>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（一）评审方法</w:t>
      </w:r>
    </w:p>
    <w:p>
      <w:pPr>
        <w:pStyle w:val="14"/>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所有谈判和最终报价结束后，由谈判小组根据最终报价文件，对最终报价文件进行评审，从质量和服务均能满足采购文件实质性响应要求的供应商中，按照最后报价由低到高的顺序提出</w:t>
      </w:r>
      <w:r>
        <w:rPr>
          <w:rFonts w:cs="仿宋_GB2312" w:asciiTheme="minorEastAsia" w:hAnsiTheme="minorEastAsia" w:eastAsiaTheme="minorEastAsia"/>
          <w:sz w:val="21"/>
          <w:szCs w:val="21"/>
          <w:lang w:val="zh-CN"/>
        </w:rPr>
        <w:t>3</w:t>
      </w:r>
      <w:r>
        <w:rPr>
          <w:rFonts w:hint="eastAsia" w:cs="仿宋_GB2312" w:asciiTheme="minorEastAsia" w:hAnsiTheme="minorEastAsia" w:eastAsiaTheme="minorEastAsia"/>
          <w:sz w:val="21"/>
          <w:szCs w:val="21"/>
          <w:lang w:val="zh-CN"/>
        </w:rPr>
        <w:t>名成交候选人。根据规定</w:t>
      </w:r>
      <w:r>
        <w:rPr>
          <w:rFonts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lang w:val="zh-CN"/>
        </w:rPr>
        <w:t>采购人按照成交候选人排名顺序确定成交供应商。</w:t>
      </w:r>
    </w:p>
    <w:p>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（二）落实政府采购政策及强制性认证</w:t>
      </w:r>
    </w:p>
    <w:p>
      <w:pPr>
        <w:pStyle w:val="14"/>
        <w:spacing w:line="360" w:lineRule="auto"/>
        <w:ind w:firstLine="422" w:firstLineChars="200"/>
        <w:contextualSpacing/>
        <w:jc w:val="left"/>
        <w:rPr>
          <w:rFonts w:cs="仿宋_GB2312" w:asciiTheme="minorEastAsia" w:hAnsiTheme="minorEastAsia"/>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因落实政府采购政策进行价格调整的，以调整后的价格计算报价。</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6%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小型和微型企业不包含民办非企业单位。</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4"/>
        <w:spacing w:line="360" w:lineRule="auto"/>
        <w:ind w:firstLine="420" w:firstLineChars="200"/>
        <w:contextualSpacing/>
        <w:rPr>
          <w:rFonts w:asciiTheme="minorEastAsia" w:hAnsiTheme="minorEastAsia" w:eastAsiaTheme="minorEastAsia"/>
          <w:color w:val="000000"/>
          <w:sz w:val="21"/>
          <w:szCs w:val="21"/>
        </w:rPr>
      </w:pPr>
      <w:r>
        <w:rPr>
          <w:rFonts w:hint="eastAsia" w:cs="仿宋_GB2312" w:asciiTheme="minorEastAsia" w:hAnsiTheme="minorEastAsia" w:eastAsiaTheme="minor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000000"/>
          <w:sz w:val="21"/>
          <w:szCs w:val="21"/>
        </w:rPr>
        <w:t>残疾人福利性单位属于小型、微型企业的，不重复享受政策。</w:t>
      </w: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落实政府采购政策计算报价</w:t>
      </w:r>
    </w:p>
    <w:tbl>
      <w:tblPr>
        <w:tblStyle w:val="2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序号</w:t>
            </w:r>
          </w:p>
        </w:tc>
        <w:tc>
          <w:tcPr>
            <w:tcW w:w="2823" w:type="dxa"/>
            <w:vAlign w:val="center"/>
          </w:tcPr>
          <w:p>
            <w:pPr>
              <w:jc w:val="center"/>
              <w:rPr>
                <w:rFonts w:ascii="宋体" w:hAnsi="宋体"/>
                <w:b/>
                <w:color w:val="000000"/>
                <w:szCs w:val="21"/>
                <w:lang w:val="en-GB"/>
              </w:rPr>
            </w:pPr>
            <w:r>
              <w:rPr>
                <w:rFonts w:hint="eastAsia" w:ascii="宋体" w:hAnsi="宋体"/>
                <w:b/>
                <w:color w:val="000000"/>
                <w:szCs w:val="21"/>
                <w:lang w:val="en-GB"/>
              </w:rPr>
              <w:t>情形</w:t>
            </w:r>
          </w:p>
        </w:tc>
        <w:tc>
          <w:tcPr>
            <w:tcW w:w="2552" w:type="dxa"/>
            <w:vAlign w:val="center"/>
          </w:tcPr>
          <w:p>
            <w:pPr>
              <w:jc w:val="center"/>
              <w:rPr>
                <w:rFonts w:ascii="宋体" w:hAnsi="宋体"/>
                <w:b/>
                <w:color w:val="000000"/>
                <w:szCs w:val="21"/>
                <w:lang w:val="en-GB"/>
              </w:rPr>
            </w:pPr>
            <w:r>
              <w:rPr>
                <w:rFonts w:hint="eastAsia" w:ascii="宋体" w:hAnsi="宋体"/>
                <w:b/>
                <w:color w:val="000000"/>
                <w:szCs w:val="21"/>
              </w:rPr>
              <w:t>价格扣除</w:t>
            </w:r>
            <w:r>
              <w:rPr>
                <w:rFonts w:hint="eastAsia" w:ascii="宋体" w:hAnsi="宋体"/>
                <w:b/>
                <w:color w:val="000000"/>
                <w:szCs w:val="21"/>
                <w:lang w:val="en-GB"/>
              </w:rPr>
              <w:t>比例</w:t>
            </w:r>
          </w:p>
        </w:tc>
        <w:tc>
          <w:tcPr>
            <w:tcW w:w="2835" w:type="dxa"/>
            <w:vAlign w:val="center"/>
          </w:tcPr>
          <w:p>
            <w:pPr>
              <w:jc w:val="center"/>
              <w:rPr>
                <w:rFonts w:ascii="宋体" w:hAnsi="宋体"/>
                <w:b/>
                <w:color w:val="000000"/>
                <w:szCs w:val="21"/>
                <w:lang w:val="en-GB"/>
              </w:rPr>
            </w:pPr>
            <w:r>
              <w:rPr>
                <w:rFonts w:hint="eastAsia" w:ascii="宋体" w:hAnsi="宋体"/>
                <w:b/>
                <w:color w:val="000000"/>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1</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非联合体供应商</w:t>
            </w:r>
          </w:p>
        </w:tc>
        <w:tc>
          <w:tcPr>
            <w:tcW w:w="2552" w:type="dxa"/>
            <w:vAlign w:val="center"/>
          </w:tcPr>
          <w:p>
            <w:pPr>
              <w:jc w:val="center"/>
              <w:rPr>
                <w:rFonts w:ascii="宋体" w:hAnsi="宋体"/>
                <w:b/>
                <w:szCs w:val="21"/>
                <w:lang w:val="en-GB"/>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tc>
        <w:tc>
          <w:tcPr>
            <w:tcW w:w="2835" w:type="dxa"/>
            <w:vMerge w:val="restart"/>
            <w:shd w:val="clear" w:color="auto" w:fill="auto"/>
            <w:vAlign w:val="center"/>
          </w:tcPr>
          <w:p>
            <w:pPr>
              <w:jc w:val="center"/>
              <w:rPr>
                <w:color w:val="000000"/>
                <w:szCs w:val="21"/>
                <w:lang w:val="en-GB"/>
              </w:rPr>
            </w:pPr>
            <w:r>
              <w:rPr>
                <w:rFonts w:hint="eastAsia"/>
                <w:color w:val="000000"/>
                <w:szCs w:val="21"/>
                <w:lang w:val="en-GB"/>
              </w:rPr>
              <w:t>评审价格＝响应最终报价—</w:t>
            </w:r>
            <w:r>
              <w:rPr>
                <w:rFonts w:hint="eastAsia"/>
                <w:color w:val="000000"/>
                <w:szCs w:val="21"/>
              </w:rPr>
              <w:t>小型和微型企业产品的价格</w:t>
            </w:r>
            <w:r>
              <w:rPr>
                <w:rFonts w:hint="eastAsia" w:ascii="宋体" w:hAnsi="宋体"/>
                <w:color w:val="000000"/>
                <w:szCs w:val="21"/>
                <w:lang w:val="en-GB"/>
              </w:rPr>
              <w:t>×</w:t>
            </w:r>
            <w:r>
              <w:rPr>
                <w:rFonts w:hint="eastAsia"/>
                <w:color w:val="000000"/>
                <w:szCs w:val="21"/>
                <w:lang w:val="en-GB"/>
              </w:rPr>
              <w:t>6%</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2</w:t>
            </w:r>
          </w:p>
        </w:tc>
        <w:tc>
          <w:tcPr>
            <w:tcW w:w="2823" w:type="dxa"/>
            <w:vAlign w:val="center"/>
          </w:tcPr>
          <w:p>
            <w:pPr>
              <w:jc w:val="center"/>
              <w:rPr>
                <w:rFonts w:ascii="宋体" w:hAnsi="宋体"/>
                <w:b/>
                <w:color w:val="000000"/>
                <w:szCs w:val="21"/>
              </w:rPr>
            </w:pPr>
            <w:r>
              <w:rPr>
                <w:rFonts w:hint="eastAsia" w:ascii="宋体" w:hAnsi="宋体"/>
                <w:color w:val="000000"/>
                <w:szCs w:val="21"/>
                <w:lang w:val="en-GB"/>
              </w:rPr>
              <w:t>联合体各方均为小型、微型企业</w:t>
            </w:r>
          </w:p>
        </w:tc>
        <w:tc>
          <w:tcPr>
            <w:tcW w:w="2552" w:type="dxa"/>
            <w:vAlign w:val="center"/>
          </w:tcPr>
          <w:p>
            <w:pPr>
              <w:jc w:val="center"/>
              <w:rPr>
                <w:rFonts w:ascii="宋体" w:hAnsi="宋体"/>
                <w:szCs w:val="21"/>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pPr>
              <w:rPr>
                <w:rFonts w:ascii="宋体" w:hAnsi="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3</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联合体一方为小型、微型企业且小型、微型企业协议合同金额占联合体协议合同总金额30%以上的</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对联合体总金额扣除</w:t>
            </w:r>
          </w:p>
          <w:p>
            <w:pPr>
              <w:jc w:val="center"/>
              <w:rPr>
                <w:rFonts w:ascii="宋体" w:hAnsi="宋体"/>
                <w:b/>
                <w:szCs w:val="21"/>
                <w:lang w:val="en-GB"/>
              </w:rPr>
            </w:pPr>
            <w:r>
              <w:rPr>
                <w:rFonts w:ascii="宋体" w:hAnsi="宋体"/>
                <w:szCs w:val="21"/>
                <w:u w:val="single"/>
              </w:rPr>
              <w:t>2</w:t>
            </w:r>
            <w:r>
              <w:rPr>
                <w:rFonts w:hint="eastAsia" w:ascii="宋体" w:hAnsi="宋体"/>
                <w:szCs w:val="21"/>
              </w:rPr>
              <w:t>%</w:t>
            </w:r>
          </w:p>
        </w:tc>
        <w:tc>
          <w:tcPr>
            <w:tcW w:w="2835" w:type="dxa"/>
            <w:shd w:val="clear" w:color="auto" w:fill="auto"/>
            <w:vAlign w:val="center"/>
          </w:tcPr>
          <w:p>
            <w:pPr>
              <w:jc w:val="center"/>
              <w:rPr>
                <w:rFonts w:ascii="宋体" w:hAnsi="宋体"/>
                <w:color w:val="FF0000"/>
                <w:szCs w:val="21"/>
                <w:u w:val="single"/>
              </w:rPr>
            </w:pPr>
            <w:r>
              <w:rPr>
                <w:rFonts w:hint="eastAsia" w:ascii="宋体" w:hAnsi="宋体"/>
                <w:color w:val="000000"/>
                <w:szCs w:val="21"/>
                <w:lang w:val="en-GB"/>
              </w:rPr>
              <w:t>评审价格＝响应最终报价×</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u w:val="single"/>
                <w14:textFill>
                  <w14:solidFill>
                    <w14:schemeClr w14:val="tx1"/>
                  </w14:solidFill>
                </w14:textFill>
              </w:rPr>
              <w:t>2</w:t>
            </w:r>
            <w:r>
              <w:rPr>
                <w:rFonts w:hint="eastAsia" w:ascii="宋体" w:hAnsi="宋体"/>
                <w:color w:val="000000" w:themeColor="text1"/>
                <w:szCs w:val="21"/>
                <w:u w:val="single"/>
                <w14:textFill>
                  <w14:solidFill>
                    <w14:schemeClr w14:val="tx1"/>
                  </w14:solidFill>
                </w14:textFill>
              </w:rPr>
              <w:t>%)</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4</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监狱企业</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对监狱企业产品价格扣除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rFonts w:ascii="宋体" w:hAnsi="宋体"/>
                <w:color w:val="000000"/>
                <w:szCs w:val="21"/>
                <w:lang w:val="en-GB"/>
              </w:rPr>
            </w:pPr>
            <w:r>
              <w:rPr>
                <w:rFonts w:hint="eastAsia"/>
                <w:color w:val="000000"/>
                <w:szCs w:val="21"/>
                <w:lang w:val="en-GB"/>
              </w:rPr>
              <w:t>评审价格＝响应最终报价—</w:t>
            </w:r>
            <w:r>
              <w:rPr>
                <w:rFonts w:hint="eastAsia"/>
                <w:color w:val="000000"/>
                <w:szCs w:val="21"/>
              </w:rPr>
              <w:t>监狱企业产品的价格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5</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残疾人福利性单位</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对残疾人福利性单位产品价格扣除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color w:val="000000"/>
                <w:szCs w:val="21"/>
                <w:lang w:val="en-GB"/>
              </w:rPr>
            </w:pPr>
            <w:r>
              <w:rPr>
                <w:rFonts w:hint="eastAsia"/>
                <w:color w:val="000000"/>
                <w:szCs w:val="21"/>
                <w:lang w:val="en-GB"/>
              </w:rPr>
              <w:t>评审价格＝响应最终报价—</w:t>
            </w:r>
            <w:r>
              <w:rPr>
                <w:rFonts w:hint="eastAsia"/>
                <w:color w:val="000000"/>
                <w:szCs w:val="21"/>
              </w:rPr>
              <w:t>残疾人福利性单位产品的价格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2"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pPr>
              <w:adjustRightInd w:val="0"/>
              <w:spacing w:line="360" w:lineRule="auto"/>
              <w:ind w:left="-88" w:leftChars="-42" w:firstLine="449" w:firstLineChars="214"/>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w:t>
            </w:r>
            <w:r>
              <w:rPr>
                <w:rFonts w:hint="eastAsia" w:cs="仿宋_GB2312" w:asciiTheme="minorEastAsia" w:hAnsiTheme="minorEastAsia"/>
                <w:szCs w:val="21"/>
                <w:lang w:val="zh-CN"/>
              </w:rPr>
              <w:t>谈判小组审查、评价</w:t>
            </w:r>
            <w:r>
              <w:rPr>
                <w:rFonts w:cs="仿宋_GB2312" w:asciiTheme="minorEastAsia" w:hAnsiTheme="minorEastAsia"/>
                <w:szCs w:val="21"/>
                <w:lang w:val="zh-CN"/>
              </w:rPr>
              <w:t>，</w:t>
            </w:r>
            <w:r>
              <w:rPr>
                <w:rFonts w:hint="eastAsia" w:cs="仿宋_GB2312" w:asciiTheme="minorEastAsia" w:hAnsiTheme="minorEastAsia"/>
                <w:szCs w:val="21"/>
                <w:lang w:val="zh-CN"/>
              </w:rPr>
              <w:t>响应文件符合谈判</w:t>
            </w:r>
            <w:r>
              <w:rPr>
                <w:rFonts w:cs="仿宋_GB2312" w:asciiTheme="minorEastAsia" w:hAnsiTheme="minorEastAsia"/>
                <w:szCs w:val="21"/>
                <w:lang w:val="zh-CN"/>
              </w:rPr>
              <w:t>文件</w:t>
            </w:r>
            <w:r>
              <w:rPr>
                <w:rFonts w:hint="eastAsia" w:cs="仿宋_GB2312" w:asciiTheme="minorEastAsia" w:hAnsiTheme="minorEastAsia"/>
                <w:szCs w:val="21"/>
                <w:lang w:val="zh-CN"/>
              </w:rPr>
              <w:t>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评审价格由低到高的顺序提出</w:t>
            </w:r>
            <w:r>
              <w:rPr>
                <w:rFonts w:cs="仿宋_GB2312" w:asciiTheme="minorEastAsia" w:hAnsiTheme="minorEastAsia"/>
                <w:szCs w:val="21"/>
                <w:lang w:val="zh-CN"/>
              </w:rPr>
              <w:t>3</w:t>
            </w:r>
            <w:r>
              <w:rPr>
                <w:rFonts w:hint="eastAsia" w:cs="仿宋_GB2312" w:asciiTheme="minorEastAsia" w:hAnsiTheme="minorEastAsia"/>
                <w:szCs w:val="21"/>
                <w:lang w:val="zh-CN"/>
              </w:rPr>
              <w:t>名成交候选人。</w:t>
            </w:r>
          </w:p>
        </w:tc>
      </w:tr>
    </w:tbl>
    <w:p>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备注：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a、不接受联合体响应的项目，本表中第2项、第3项情形不适用。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b、小型和微型企业产品包括货物及其提供的服务与工程。</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c、中小企业、残疾人福利性单位提供其他企业制造的货物的，则该货物的制造商也必须为上述企业，否则不能享受价格优惠。</w:t>
      </w:r>
    </w:p>
    <w:p>
      <w:pPr>
        <w:tabs>
          <w:tab w:val="left" w:pos="1260"/>
        </w:tabs>
        <w:autoSpaceDE w:val="0"/>
        <w:autoSpaceDN w:val="0"/>
        <w:spacing w:line="360" w:lineRule="auto"/>
        <w:ind w:firstLine="420" w:firstLineChars="200"/>
        <w:contextualSpacing/>
        <w:rPr>
          <w:rFonts w:ascii="宋体" w:hAnsi="宋体"/>
          <w:bCs/>
          <w:color w:val="FF0000"/>
          <w:szCs w:val="21"/>
          <w:lang w:val="en-GB"/>
        </w:rPr>
      </w:pPr>
      <w:r>
        <w:rPr>
          <w:rFonts w:hint="eastAsia" w:cs="仿宋_GB2312" w:asciiTheme="minorEastAsia" w:hAnsiTheme="minorEastAsia"/>
          <w:szCs w:val="21"/>
          <w:lang w:val="zh-CN"/>
        </w:rPr>
        <w:t>d、残疾人福利性单位属于小型、微型企业的，不重复享受政策</w:t>
      </w:r>
      <w:r>
        <w:rPr>
          <w:rFonts w:hint="eastAsia" w:ascii="宋体" w:hAnsi="宋体"/>
          <w:bCs/>
          <w:color w:val="FF0000"/>
          <w:szCs w:val="21"/>
          <w:lang w:val="en-GB"/>
        </w:rPr>
        <w:t>。</w:t>
      </w:r>
    </w:p>
    <w:p>
      <w:pPr>
        <w:spacing w:line="360" w:lineRule="auto"/>
        <w:ind w:firstLine="420" w:firstLineChars="200"/>
        <w:rPr>
          <w:rFonts w:cs="仿宋_GB2312" w:asciiTheme="minorEastAsia" w:hAnsiTheme="minorEastAsia"/>
          <w:szCs w:val="21"/>
          <w:lang w:val="zh-CN"/>
        </w:rPr>
      </w:pPr>
      <w:r>
        <w:rPr>
          <w:rFonts w:cs="仿宋_GB2312" w:asciiTheme="minorEastAsia" w:hAnsiTheme="minorEastAsia"/>
          <w:szCs w:val="21"/>
          <w:lang w:val="zh-CN"/>
        </w:rPr>
        <w:t>E</w:t>
      </w:r>
      <w:r>
        <w:rPr>
          <w:rFonts w:hint="eastAsia" w:cs="仿宋_GB2312" w:asciiTheme="minorEastAsia" w:hAnsiTheme="minorEastAsia"/>
          <w:szCs w:val="21"/>
          <w:lang w:val="zh-CN"/>
        </w:rPr>
        <w:t>、小型和微型企业不包括民办非企业单位。</w:t>
      </w:r>
    </w:p>
    <w:p>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color w:val="000000"/>
          <w:sz w:val="21"/>
          <w:szCs w:val="21"/>
        </w:rPr>
        <w:t>2、</w:t>
      </w:r>
      <w:r>
        <w:rPr>
          <w:rFonts w:hint="eastAsia" w:cs="仿宋_GB2312" w:asciiTheme="minorEastAsia" w:hAnsiTheme="minorEastAsia" w:eastAsiaTheme="minorEastAsia"/>
          <w:b/>
          <w:sz w:val="21"/>
          <w:szCs w:val="21"/>
          <w:lang w:val="zh-CN"/>
        </w:rPr>
        <w:t>关于强制性产品认证</w:t>
      </w:r>
    </w:p>
    <w:p>
      <w:pPr>
        <w:spacing w:line="360" w:lineRule="auto"/>
        <w:ind w:firstLine="420" w:firstLineChars="200"/>
        <w:contextualSpacing/>
        <w:rPr>
          <w:rFonts w:cs="宋体" w:asciiTheme="minorEastAsia" w:hAnsiTheme="minorEastAsia"/>
          <w:kern w:val="0"/>
          <w:szCs w:val="21"/>
        </w:rPr>
      </w:pPr>
      <w:r>
        <w:rPr>
          <w:rFonts w:hint="eastAsia" w:cs="仿宋_GB2312" w:asciiTheme="minorEastAsia" w:hAnsiTheme="minorEastAsia"/>
          <w:szCs w:val="21"/>
          <w:lang w:val="zh-CN"/>
        </w:rPr>
        <w:t>（1）如供应商所响应产品属于“中国强制性产品认证”（3C认证）范围内,则必须承诺采用</w:t>
      </w:r>
      <w:r>
        <w:rPr>
          <w:rFonts w:cs="仿宋_GB2312" w:asciiTheme="minorEastAsia" w:hAnsiTheme="minorEastAsia"/>
          <w:szCs w:val="21"/>
          <w:lang w:val="zh-CN"/>
        </w:rPr>
        <w:t>《中华人民共和国实施强制性产品认证的产品目录》</w:t>
      </w:r>
      <w:r>
        <w:rPr>
          <w:rFonts w:hint="eastAsia" w:cs="仿宋_GB2312" w:asciiTheme="minorEastAsia" w:hAnsiTheme="minorEastAsia"/>
          <w:szCs w:val="21"/>
          <w:lang w:val="zh-CN"/>
        </w:rPr>
        <w:t>并在有效期内的产品，应在响应文件中提供“所投产品符合国家强制性要求承诺函”并加盖供应商公章，否则将承担其响应被视为非实质性响应的风险。</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（2）供应商所响应产品如被列入</w:t>
      </w:r>
      <w:r>
        <w:rPr>
          <w:rFonts w:cs="宋体" w:asciiTheme="minorEastAsia" w:hAnsiTheme="minorEastAsia"/>
          <w:kern w:val="0"/>
          <w:szCs w:val="21"/>
        </w:rPr>
        <w:t>《信息安全产品强制性认证目录》，</w:t>
      </w:r>
      <w:r>
        <w:rPr>
          <w:rFonts w:hint="eastAsia" w:cs="仿宋_GB2312" w:asciiTheme="minorEastAsia" w:hAnsiTheme="minorEastAsia"/>
          <w:szCs w:val="21"/>
          <w:lang w:val="zh-CN"/>
        </w:rPr>
        <w:t>则响应文件中应根据本项目谈判文件“第二章 采购需求”</w:t>
      </w:r>
      <w:r>
        <w:rPr>
          <w:rFonts w:cs="仿宋_GB2312" w:asciiTheme="minorEastAsia" w:hAnsiTheme="minorEastAsia"/>
          <w:szCs w:val="21"/>
          <w:lang w:val="zh-CN"/>
        </w:rPr>
        <w:t>提供</w:t>
      </w:r>
      <w:r>
        <w:rPr>
          <w:rFonts w:hint="eastAsia" w:cs="仿宋_GB2312" w:asciiTheme="minorEastAsia" w:hAnsiTheme="minorEastAsia"/>
          <w:szCs w:val="21"/>
          <w:lang w:val="zh-CN"/>
        </w:rPr>
        <w:t>：</w:t>
      </w:r>
    </w:p>
    <w:p>
      <w:pPr>
        <w:wordWrap w:val="0"/>
        <w:autoSpaceDE w:val="0"/>
        <w:autoSpaceDN w:val="0"/>
        <w:spacing w:line="360" w:lineRule="auto"/>
        <w:ind w:firstLine="420" w:firstLineChars="200"/>
        <w:contextualSpacing/>
        <w:rPr>
          <w:rFonts w:cs="宋体" w:asciiTheme="minorEastAsia" w:hAnsiTheme="minorEastAsia"/>
          <w:kern w:val="0"/>
          <w:szCs w:val="21"/>
        </w:rPr>
      </w:pPr>
      <w:r>
        <w:rPr>
          <w:rFonts w:hint="eastAsia" w:cs="宋体" w:asciiTheme="minorEastAsia" w:hAnsiTheme="minorEastAsia"/>
          <w:kern w:val="0"/>
          <w:szCs w:val="21"/>
        </w:rPr>
        <w:t>①中国信息安全认证中心官网（</w:t>
      </w:r>
      <w:r>
        <w:rPr>
          <w:rFonts w:cs="宋体" w:asciiTheme="minorEastAsia" w:hAnsiTheme="minorEastAsia"/>
          <w:kern w:val="0"/>
          <w:szCs w:val="21"/>
        </w:rPr>
        <w:t>http://www.isccc.gov.cn/index.shtml</w:t>
      </w:r>
      <w:r>
        <w:rPr>
          <w:rFonts w:hint="eastAsia" w:cs="宋体" w:asciiTheme="minorEastAsia" w:hAnsiTheme="minorEastAsia"/>
          <w:kern w:val="0"/>
          <w:szCs w:val="21"/>
        </w:rPr>
        <w:t>）产品查询结果截图并加盖供应商公章；</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②中国信息安全认证中心</w:t>
      </w:r>
      <w:r>
        <w:rPr>
          <w:rFonts w:hint="eastAsia" w:cs="仿宋_GB2312" w:asciiTheme="minorEastAsia" w:hAnsiTheme="minorEastAsia"/>
          <w:szCs w:val="21"/>
          <w:lang w:val="zh-CN"/>
        </w:rPr>
        <w:t>颁发的《中国国家信息安全产品认证证书》加盖供应商公章的原件扫描件（或图片）。</w:t>
      </w:r>
    </w:p>
    <w:p>
      <w:pPr>
        <w:wordWrap w:val="0"/>
        <w:spacing w:line="360" w:lineRule="auto"/>
        <w:ind w:firstLine="480" w:firstLineChars="200"/>
        <w:contextualSpacing/>
        <w:rPr>
          <w:rFonts w:cs="宋体" w:asciiTheme="minorEastAsia" w:hAnsiTheme="minorEastAsia"/>
          <w:kern w:val="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pStyle w:val="14"/>
        <w:numPr>
          <w:ilvl w:val="0"/>
          <w:numId w:val="23"/>
        </w:numPr>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谈判小组编写评审报告。</w:t>
      </w:r>
    </w:p>
    <w:p>
      <w:pPr>
        <w:wordWrap w:val="0"/>
        <w:spacing w:line="360" w:lineRule="auto"/>
        <w:ind w:firstLine="480" w:firstLineChars="200"/>
        <w:contextualSpacing/>
        <w:rPr>
          <w:rFonts w:ascii="楷体" w:hAnsi="楷体" w:eastAsia="楷体" w:cs="仿宋_GB2312"/>
          <w:color w:val="FF0000"/>
          <w:sz w:val="24"/>
          <w:szCs w:val="24"/>
          <w:lang w:val="zh-CN"/>
        </w:rPr>
      </w:pPr>
      <w:r>
        <w:rPr>
          <w:rFonts w:hint="eastAsia" w:ascii="楷体" w:hAnsi="楷体" w:eastAsia="楷体" w:cs="仿宋_GB2312"/>
          <w:color w:val="FF0000"/>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pPr>
        <w:pStyle w:val="14"/>
        <w:spacing w:line="360" w:lineRule="auto"/>
        <w:contextualSpacing/>
        <w:rPr>
          <w:rFonts w:cs="仿宋_GB2312" w:asciiTheme="minorEastAsia" w:hAnsiTheme="minorEastAsia" w:eastAsiaTheme="minorEastAsia"/>
          <w:b/>
          <w:sz w:val="21"/>
          <w:szCs w:val="21"/>
          <w:lang w:val="zh-CN"/>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tabs>
          <w:tab w:val="left" w:pos="1260"/>
        </w:tabs>
        <w:autoSpaceDE w:val="0"/>
        <w:autoSpaceDN w:val="0"/>
        <w:adjustRightInd w:val="0"/>
        <w:spacing w:line="360" w:lineRule="auto"/>
        <w:contextualSpacing/>
        <w:jc w:val="both"/>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pPr>
        <w:pStyle w:val="14"/>
        <w:spacing w:line="360" w:lineRule="auto"/>
        <w:contextualSpacing/>
        <w:jc w:val="center"/>
        <w:rPr>
          <w:rFonts w:cs="宋体" w:asciiTheme="majorEastAsia" w:hAnsiTheme="majorEastAsia" w:eastAsiaTheme="majorEastAsia"/>
          <w:b/>
          <w:kern w:val="0"/>
          <w:sz w:val="36"/>
          <w:szCs w:val="36"/>
        </w:rPr>
      </w:pPr>
    </w:p>
    <w:p>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（此合同仅供参考。以最终采购人与中标人签定的合同条款为准进行公示，</w:t>
      </w:r>
    </w:p>
    <w:p>
      <w:pPr>
        <w:spacing w:line="360" w:lineRule="auto"/>
        <w:jc w:val="center"/>
        <w:rPr>
          <w:rFonts w:ascii="宋体" w:hAnsi="宋体" w:cs="微软雅黑"/>
          <w:b/>
          <w:bCs/>
          <w:szCs w:val="21"/>
        </w:rPr>
      </w:pPr>
      <w:r>
        <w:rPr>
          <w:rFonts w:hint="eastAsia" w:ascii="宋体" w:hAnsi="宋体" w:cs="微软雅黑"/>
          <w:b/>
          <w:bCs/>
          <w:szCs w:val="21"/>
        </w:rPr>
        <w:t>最终签定合同的主要条款不能与招标文件有冲突）</w:t>
      </w:r>
    </w:p>
    <w:p>
      <w:pPr>
        <w:pStyle w:val="21"/>
        <w:spacing w:before="75" w:after="75" w:line="360" w:lineRule="auto"/>
        <w:rPr>
          <w:rFonts w:ascii="宋体" w:hAnsi="宋体" w:eastAsia="微软雅黑"/>
          <w:color w:val="000000"/>
          <w:u w:val="single"/>
        </w:rPr>
      </w:pPr>
    </w:p>
    <w:p>
      <w:pPr>
        <w:pStyle w:val="14"/>
        <w:spacing w:line="360" w:lineRule="auto"/>
        <w:contextualSpacing/>
        <w:jc w:val="center"/>
        <w:rPr>
          <w:rFonts w:cs="宋体" w:asciiTheme="majorEastAsia" w:hAnsiTheme="majorEastAsia" w:eastAsiaTheme="majorEastAsia"/>
          <w:b/>
          <w:kern w:val="0"/>
          <w:sz w:val="36"/>
          <w:szCs w:val="36"/>
        </w:rPr>
      </w:pPr>
    </w:p>
    <w:p>
      <w:pPr>
        <w:pStyle w:val="5"/>
        <w:spacing w:line="500" w:lineRule="exact"/>
        <w:jc w:val="center"/>
        <w:rPr>
          <w:rFonts w:hint="eastAsia" w:ascii="仿宋" w:hAnsi="仿宋" w:eastAsia="仿宋"/>
          <w:bCs w:val="0"/>
          <w:color w:val="000000"/>
          <w:sz w:val="24"/>
          <w:szCs w:val="24"/>
        </w:rPr>
      </w:pPr>
      <w:bookmarkStart w:id="0" w:name="_Toc354404029"/>
      <w:bookmarkStart w:id="1" w:name="_Toc329278149"/>
      <w:bookmarkStart w:id="2" w:name="_Toc364457259"/>
      <w:bookmarkStart w:id="3" w:name="_Toc356744034"/>
      <w:bookmarkStart w:id="4" w:name="_Toc357868214"/>
      <w:bookmarkStart w:id="5" w:name="_Toc326060505"/>
      <w:bookmarkStart w:id="6" w:name="_Toc355649942"/>
      <w:bookmarkStart w:id="7" w:name="_Toc354923119"/>
      <w:bookmarkStart w:id="8" w:name="_Toc354922980"/>
      <w:r>
        <w:rPr>
          <w:rFonts w:hint="eastAsia" w:ascii="仿宋" w:hAnsi="仿宋" w:eastAsia="仿宋"/>
          <w:bCs w:val="0"/>
          <w:color w:val="000000"/>
          <w:sz w:val="24"/>
          <w:szCs w:val="24"/>
        </w:rPr>
        <w:t>一、词语定义及合同文件</w:t>
      </w:r>
      <w:bookmarkEnd w:id="0"/>
      <w:bookmarkEnd w:id="1"/>
      <w:bookmarkEnd w:id="2"/>
      <w:bookmarkEnd w:id="3"/>
      <w:bookmarkEnd w:id="4"/>
      <w:bookmarkEnd w:id="5"/>
      <w:bookmarkEnd w:id="6"/>
      <w:bookmarkEnd w:id="7"/>
      <w:bookmarkEnd w:id="8"/>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1、合同文件及解释顺序</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合同文件组成及解释顺序:       按照通用条款执行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2、语言文字和适用法律、标准及规范</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2．1本合同除使用汉语外，还使用       无                  语言文字。</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2．2适用法律和法规</w:t>
      </w:r>
    </w:p>
    <w:p>
      <w:pPr>
        <w:spacing w:line="500" w:lineRule="exact"/>
        <w:ind w:firstLine="482"/>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需要明示的法律、行政法规:  国家及省、市的法律、法规、规章、规范性文件及协议条款约定的规章。</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2．3适用标准、规范</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适用标准、规范的名称:</w:t>
      </w:r>
    </w:p>
    <w:p>
      <w:pPr>
        <w:numPr>
          <w:ilvl w:val="1"/>
          <w:numId w:val="24"/>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工程设计要求</w:t>
      </w:r>
    </w:p>
    <w:p>
      <w:pPr>
        <w:numPr>
          <w:ilvl w:val="1"/>
          <w:numId w:val="24"/>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国家、河南省、许昌市现行有关工程的施工及验收规定、规程和标准</w:t>
      </w:r>
    </w:p>
    <w:p>
      <w:pPr>
        <w:numPr>
          <w:ilvl w:val="1"/>
          <w:numId w:val="24"/>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对不在规范验评范围内项目，执行设计院、制造厂家或发包人和承包人双方议定的补充技术标准及本标书的施工技术要求；</w:t>
      </w:r>
    </w:p>
    <w:p>
      <w:pPr>
        <w:numPr>
          <w:ilvl w:val="1"/>
          <w:numId w:val="24"/>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新材料、新工艺必须具有省级以上行业主管部门技术鉴定并须征得发包人和监理单位同意。</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发包人提供标准、规范的时间: 无。</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国内没有相应标准、规范时的约定: 由承包人提供并经发包人和设计单位认可后执行。</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3、图纸</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3．1发包人向承包人提供图纸日期和套数: 合同约定。</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 2发包人对图纸的保密要求: 施工图纸应保密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3. 3使用国外图纸的要求及费用承担:  无  </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9" w:name="_Toc354923120"/>
      <w:bookmarkStart w:id="10" w:name="_Toc357868215"/>
      <w:bookmarkStart w:id="11" w:name="_Toc329278150"/>
      <w:bookmarkStart w:id="12" w:name="_Toc326060506"/>
      <w:bookmarkStart w:id="13" w:name="_Toc355649943"/>
      <w:bookmarkStart w:id="14" w:name="_Toc356744035"/>
      <w:bookmarkStart w:id="15" w:name="_Toc354922981"/>
      <w:bookmarkStart w:id="16" w:name="_Toc354404030"/>
      <w:bookmarkStart w:id="17" w:name="_Toc364457260"/>
      <w:r>
        <w:rPr>
          <w:rFonts w:hint="eastAsia" w:cs="宋体" w:asciiTheme="minorEastAsia" w:hAnsiTheme="minorEastAsia" w:eastAsiaTheme="minorEastAsia"/>
          <w:kern w:val="0"/>
          <w:sz w:val="21"/>
          <w:szCs w:val="21"/>
          <w:lang w:val="en-US" w:eastAsia="zh-CN" w:bidi="ar-SA"/>
        </w:rPr>
        <w:t>二、双方一般权利和义务</w:t>
      </w:r>
      <w:bookmarkEnd w:id="9"/>
      <w:bookmarkEnd w:id="10"/>
      <w:bookmarkEnd w:id="11"/>
      <w:bookmarkEnd w:id="12"/>
      <w:bookmarkEnd w:id="13"/>
      <w:bookmarkEnd w:id="14"/>
      <w:bookmarkEnd w:id="15"/>
      <w:bookmarkEnd w:id="16"/>
      <w:bookmarkEnd w:id="17"/>
    </w:p>
    <w:p>
      <w:pPr>
        <w:pStyle w:val="14"/>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4．工程师</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4．1监理单位委派的工程师</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姓名：   (待定)      职务:    (待定)    </w:t>
      </w:r>
    </w:p>
    <w:p>
      <w:pPr>
        <w:pStyle w:val="60"/>
        <w:spacing w:line="500" w:lineRule="exact"/>
        <w:ind w:left="0" w:right="9"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发包人委托的职权: 按《建设工程监理规范》(GB50319-2000)执行</w:t>
      </w:r>
    </w:p>
    <w:p>
      <w:pPr>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需要取得发包人批准才能行使的职权：设计变更、发布开(停)工令、工期顺延签认、工程量及费用增减的签认、主要材料的确定、不称职技术(管理)人员撤换建议权、发包人认为须取得批准方可实施的其它重要事项等监理合同中赋予监理工程师的职权。 </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4．2发包人派驻的工程师</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姓名：  (待定)         职务:   (待定)     </w:t>
      </w:r>
    </w:p>
    <w:p>
      <w:pPr>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职权: 全权负责施工现场的管理和协调工作，并代表发包人对施工中所用材料(设备)的质量进行检验。</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4．3不实行监理的，工程师的职权: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5．项目经理(建造师)</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姓名:  (中标项目经理/建造师)      职务:  (待定)  _</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6、发包人工作</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6．1发包人应按约定的时间和要求完成以下工作:</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(1)施工场地具备施工条件的要求及完成的时间： 合同签订后7日内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(2)将施工所需的水、电、电讯线路接至施工场地的时间、地点和供应要求：施工所需的水、电、电讯线路已经具备条件，施工中所产生的费用由承包人负担。</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(3)施工场地与道路的通道开通时间和要求: 已具备。</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(4)工程地质和地下管线资料的提供时间：合同签订日。</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(5)由发包人办理的施工所需证件、批件的名称和完成时间:  合同开工日期前，由承包方负责办理进场的相关手续，发包方配合。</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(6)水准点与坐标控制点交验要求：合同开工日期前7天。</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(7)图纸会审和设计交底时间: 合同开工日期前7天。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(8)双方约定发包人应做的其他工作：      无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6．2发包人委托承包人办理的工作：       无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7．承包人工作</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招标范围，具体有招标人与中标人协商                    。</w:t>
      </w:r>
    </w:p>
    <w:p>
      <w:pPr>
        <w:pStyle w:val="14"/>
        <w:spacing w:line="500" w:lineRule="exact"/>
        <w:ind w:left="338" w:leftChars="86" w:hanging="157" w:hangingChars="7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7．1承包人应按约定时间和要求，完成以下工作:</w:t>
      </w:r>
    </w:p>
    <w:p>
      <w:pPr>
        <w:pStyle w:val="14"/>
        <w:numPr>
          <w:ilvl w:val="0"/>
          <w:numId w:val="25"/>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需自设计资质等级和业务范围允许的承包人完成的设计文件提交时间：          无      </w:t>
      </w:r>
    </w:p>
    <w:p>
      <w:pPr>
        <w:pStyle w:val="14"/>
        <w:numPr>
          <w:ilvl w:val="0"/>
          <w:numId w:val="25"/>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应提供计划、报表的名称及完成时间:</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开工前7日提交施工组织设计、总进度计划、施工机械和人员使用计划、主要材料供应计划。</w:t>
      </w:r>
    </w:p>
    <w:p>
      <w:pPr>
        <w:pStyle w:val="14"/>
        <w:numPr>
          <w:ilvl w:val="0"/>
          <w:numId w:val="25"/>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承担施工安全保卫工作及非夜间施工照明的责任和要求:设专职安全保卫人员和安全防护设施，负责施工现场安全保卫，费用自理。</w:t>
      </w:r>
    </w:p>
    <w:p>
      <w:pPr>
        <w:pStyle w:val="14"/>
        <w:numPr>
          <w:ilvl w:val="0"/>
          <w:numId w:val="25"/>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向发包人提供的办公和生活房屋及设施的要求:  无   </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需承包人办理的有关施工场地交通、住建、环卫和施工噪音管理等手续: 按照国家、省、市、县有关规定执行。</w:t>
      </w:r>
    </w:p>
    <w:p>
      <w:pPr>
        <w:pStyle w:val="14"/>
        <w:numPr>
          <w:ilvl w:val="0"/>
          <w:numId w:val="25"/>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完工工程成品保护的特殊要求及费用承担:由承包人负责。</w:t>
      </w:r>
    </w:p>
    <w:p>
      <w:pPr>
        <w:pStyle w:val="14"/>
        <w:numPr>
          <w:ilvl w:val="0"/>
          <w:numId w:val="25"/>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施工场地周围地下管线和邻近建筑物、构筑物(含文物保护建筑)、古树名木的保护要求及费用承担: 按照按照国家、省、市有关规定和投标文件的有关承诺执行。由于承包人造成的一切损失由承包人承担。</w:t>
      </w:r>
    </w:p>
    <w:p>
      <w:pPr>
        <w:pStyle w:val="14"/>
        <w:numPr>
          <w:ilvl w:val="0"/>
          <w:numId w:val="25"/>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施工现场清洁卫生的要求：按通用条款，保证每日清理，符合当地有关文明施工的规定，费用由承包方承担。</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(8)协调处理施工场地周围地下管线和邻近建筑物、构筑物(含文物保护建筑)、古树名木的保护工作: 场地周围地下管线和邻近建筑物、构筑物的保护工作由承包人负责并承担费用；文物保护建筑、古树名木的保护由施工单位负责，保护费用由承包人承担。</w:t>
      </w:r>
    </w:p>
    <w:p>
      <w:pPr>
        <w:pStyle w:val="14"/>
        <w:tabs>
          <w:tab w:val="left" w:pos="1620"/>
        </w:tabs>
        <w:spacing w:line="500" w:lineRule="exact"/>
        <w:ind w:firstLine="210" w:firstLineChars="1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(9)双方约定承包人应做的其他工作：① 投标文件中确定的项目部的成员必须坚守工作岗位，不得更换。对发包人提出的不合格的项目部工作人员，承包人必须及时更换，所更换人员的资质应不低于被更换人员。项目部组成人员的资格证书、岗位证书必须经过考核备案。② 投标人拟投入现场的施工机械设备必须满足施工要求，并保证及时到位，其主要设备应为承包人自己的设备。承包人投入现场的施工机械和设备必须经过检验或审验合格，并提交检验报告原件。③ 负责竣工资料的整理并完成向档案馆的归档工作。④ 本工程在施工过程中如存在多个单位同时作业，承包人必须顾全大局，相互协作，在人员、设备、工序、时间等方面密切配合，严格服从发包人和监理单位的协调指挥；承包人须积极协调单位工程内各分包人的施工，积极协调解决施工过程中存在的各类问题，确保工程顺利进行；承包人应处理好与相邻施工单位的施工接口关系，否则，发包人有权要求承包人整改或另行指定其他单位来完成相关配合工作，其发生的费用从承包人的工程进度款中扣除，并不需要承包人同意；承包人应始终采取各种合理的预防措施，保证正常的施工秩序，保证现场及第三人的财产和人身安全，若在施工现场发生的一切损失赔偿责任，由承包人承担。 </w:t>
      </w:r>
    </w:p>
    <w:p>
      <w:pPr>
        <w:pStyle w:val="14"/>
        <w:tabs>
          <w:tab w:val="left" w:pos="1620"/>
        </w:tabs>
        <w:spacing w:line="500" w:lineRule="exact"/>
        <w:ind w:firstLine="210" w:firstLineChars="1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(10)按计划完成施工任务。</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18" w:name="_Toc364457261"/>
      <w:bookmarkStart w:id="19" w:name="_Toc355649944"/>
      <w:bookmarkStart w:id="20" w:name="_Toc326060507"/>
      <w:bookmarkStart w:id="21" w:name="_Toc356744036"/>
      <w:bookmarkStart w:id="22" w:name="_Toc354922982"/>
      <w:bookmarkStart w:id="23" w:name="_Toc354404031"/>
      <w:bookmarkStart w:id="24" w:name="_Toc329278151"/>
      <w:bookmarkStart w:id="25" w:name="_Toc354923121"/>
      <w:bookmarkStart w:id="26" w:name="_Toc357868216"/>
      <w:r>
        <w:rPr>
          <w:rFonts w:hint="eastAsia" w:cs="宋体" w:asciiTheme="minorEastAsia" w:hAnsiTheme="minorEastAsia" w:eastAsiaTheme="minorEastAsia"/>
          <w:kern w:val="0"/>
          <w:sz w:val="21"/>
          <w:szCs w:val="21"/>
          <w:lang w:val="en-US" w:eastAsia="zh-CN" w:bidi="ar-SA"/>
        </w:rPr>
        <w:t>三、施工组织设计和工期</w:t>
      </w:r>
      <w:bookmarkEnd w:id="18"/>
      <w:bookmarkEnd w:id="19"/>
      <w:bookmarkEnd w:id="20"/>
      <w:bookmarkEnd w:id="21"/>
      <w:bookmarkEnd w:id="22"/>
      <w:bookmarkEnd w:id="23"/>
      <w:bookmarkEnd w:id="24"/>
      <w:bookmarkEnd w:id="25"/>
      <w:bookmarkEnd w:id="26"/>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8．进度计划</w:t>
      </w:r>
    </w:p>
    <w:p>
      <w:pPr>
        <w:pStyle w:val="14"/>
        <w:spacing w:line="500" w:lineRule="exact"/>
        <w:ind w:left="1012" w:leftChars="258" w:hanging="470" w:hangingChars="22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8．1承包人提供施工组织设计(施工方案)和进度计划的时间：合同开工日期前7天。工程师确认的时间：7个工作日</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8.2群体工程中有关进度计划的要求：    无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8.3如发包人需要调整施工顺序时，承包人应无条件响应，额外发生的费用视为已包含在合同价内。</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9．工期延误</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1双方约定工期顺延的其他情况:1.重大设计变更和经监理工程师及发包人代表确认的情况。2.招标人提供的地下管网，地下构筑物等资料与现场实际情况不符而增加的工期；3.由于自然及社会因素造成的不可抗力原因而影响工程施工时。</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9.2由于承包人的原因造成工期延误，每延迟一天扣除工程款的     ‰。</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27" w:name="_Toc356744037"/>
      <w:bookmarkStart w:id="28" w:name="_Toc355649945"/>
      <w:bookmarkStart w:id="29" w:name="_Toc329278152"/>
      <w:bookmarkStart w:id="30" w:name="_Toc326060508"/>
      <w:bookmarkStart w:id="31" w:name="_Toc354923122"/>
      <w:bookmarkStart w:id="32" w:name="_Toc364457262"/>
      <w:bookmarkStart w:id="33" w:name="_Toc354404032"/>
      <w:bookmarkStart w:id="34" w:name="_Toc357868217"/>
      <w:bookmarkStart w:id="35" w:name="_Toc354922983"/>
      <w:r>
        <w:rPr>
          <w:rFonts w:hint="eastAsia" w:cs="宋体" w:asciiTheme="minorEastAsia" w:hAnsiTheme="minorEastAsia" w:eastAsiaTheme="minorEastAsia"/>
          <w:kern w:val="0"/>
          <w:sz w:val="21"/>
          <w:szCs w:val="21"/>
          <w:lang w:val="en-US" w:eastAsia="zh-CN" w:bidi="ar-SA"/>
        </w:rPr>
        <w:t>四、质量与验收</w:t>
      </w:r>
      <w:bookmarkEnd w:id="27"/>
      <w:bookmarkEnd w:id="28"/>
      <w:bookmarkEnd w:id="29"/>
      <w:bookmarkEnd w:id="30"/>
      <w:bookmarkEnd w:id="31"/>
      <w:bookmarkEnd w:id="32"/>
      <w:bookmarkEnd w:id="33"/>
      <w:bookmarkEnd w:id="34"/>
      <w:bookmarkEnd w:id="35"/>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10．隐蔽工程验收和执行规范及适用范围</w:t>
      </w:r>
    </w:p>
    <w:p>
      <w:pPr>
        <w:pStyle w:val="14"/>
        <w:numPr>
          <w:ilvl w:val="1"/>
          <w:numId w:val="26"/>
        </w:numPr>
        <w:spacing w:line="500" w:lineRule="exact"/>
        <w:ind w:hanging="27"/>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双方约定隐蔽工程验收部位：按照国家施工及验收规范要求的执行。</w:t>
      </w:r>
    </w:p>
    <w:p>
      <w:p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10.2 适用范围：使用于本项目工程施工。</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36" w:name="_Toc326060509"/>
      <w:bookmarkStart w:id="37" w:name="_Toc356744038"/>
      <w:bookmarkStart w:id="38" w:name="_Toc355649946"/>
      <w:bookmarkStart w:id="39" w:name="_Toc354922984"/>
      <w:bookmarkStart w:id="40" w:name="_Toc354923123"/>
      <w:bookmarkStart w:id="41" w:name="_Toc357868218"/>
      <w:bookmarkStart w:id="42" w:name="_Toc354404033"/>
      <w:bookmarkStart w:id="43" w:name="_Toc329278153"/>
      <w:bookmarkStart w:id="44" w:name="_Toc364457263"/>
      <w:r>
        <w:rPr>
          <w:rFonts w:hint="eastAsia" w:cs="宋体" w:asciiTheme="minorEastAsia" w:hAnsiTheme="minorEastAsia" w:eastAsiaTheme="minorEastAsia"/>
          <w:kern w:val="0"/>
          <w:sz w:val="21"/>
          <w:szCs w:val="21"/>
          <w:lang w:val="en-US" w:eastAsia="zh-CN" w:bidi="ar-SA"/>
        </w:rPr>
        <w:t>五、安全施工</w:t>
      </w:r>
      <w:bookmarkEnd w:id="36"/>
      <w:bookmarkEnd w:id="37"/>
      <w:bookmarkEnd w:id="38"/>
      <w:bookmarkEnd w:id="39"/>
      <w:bookmarkEnd w:id="40"/>
      <w:bookmarkEnd w:id="41"/>
      <w:bookmarkEnd w:id="42"/>
      <w:bookmarkEnd w:id="43"/>
      <w:bookmarkEnd w:id="44"/>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按合同文本通用条款执行</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45" w:name="_Toc356744039"/>
      <w:bookmarkStart w:id="46" w:name="_Toc354922985"/>
      <w:bookmarkStart w:id="47" w:name="_Toc355649947"/>
      <w:bookmarkStart w:id="48" w:name="_Toc364457264"/>
      <w:bookmarkStart w:id="49" w:name="_Toc354923124"/>
      <w:bookmarkStart w:id="50" w:name="_Toc326060510"/>
      <w:bookmarkStart w:id="51" w:name="_Toc329278154"/>
      <w:bookmarkStart w:id="52" w:name="_Toc357868219"/>
      <w:bookmarkStart w:id="53" w:name="_Toc354404034"/>
      <w:r>
        <w:rPr>
          <w:rFonts w:hint="eastAsia" w:cs="宋体" w:asciiTheme="minorEastAsia" w:hAnsiTheme="minorEastAsia" w:eastAsiaTheme="minorEastAsia"/>
          <w:kern w:val="0"/>
          <w:sz w:val="21"/>
          <w:szCs w:val="21"/>
          <w:lang w:val="en-US" w:eastAsia="zh-CN" w:bidi="ar-SA"/>
        </w:rPr>
        <w:t>六、合同价款与支付</w:t>
      </w:r>
      <w:bookmarkEnd w:id="45"/>
      <w:bookmarkEnd w:id="46"/>
      <w:bookmarkEnd w:id="47"/>
      <w:bookmarkEnd w:id="48"/>
      <w:bookmarkEnd w:id="49"/>
      <w:bookmarkEnd w:id="50"/>
      <w:bookmarkEnd w:id="51"/>
      <w:bookmarkEnd w:id="52"/>
      <w:bookmarkEnd w:id="53"/>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11．合同价款及调整</w:t>
      </w:r>
    </w:p>
    <w:p>
      <w:pPr>
        <w:pStyle w:val="14"/>
        <w:spacing w:line="360" w:lineRule="auto"/>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11．1本合同价款采用  固定单价  方式确定。措施费用、其他费用中的总包服务费及承包人为施工便利做出的变更及洽商产生的费用不得调整。实际发生的分部分项工程的工程量与招标文件及答疑提供的相应清单工程量增减工程量清单按实核增核减。</w:t>
      </w:r>
    </w:p>
    <w:p>
      <w:pPr>
        <w:pStyle w:val="14"/>
        <w:spacing w:line="360" w:lineRule="auto"/>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当发生下列情况时，合同价可作调整：</w:t>
      </w:r>
    </w:p>
    <w:p>
      <w:pPr>
        <w:pStyle w:val="14"/>
        <w:numPr>
          <w:ilvl w:val="2"/>
          <w:numId w:val="27"/>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发包人相应部门签证后报主管领导批准后的工程变更及工程洽商；</w:t>
      </w:r>
    </w:p>
    <w:p>
      <w:pPr>
        <w:pStyle w:val="14"/>
        <w:numPr>
          <w:ilvl w:val="2"/>
          <w:numId w:val="27"/>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暂估价项目、暂估材料设备及发包人指定的产品价在实际发生前由发包人认可后，按实际发生予以调整，仅计取税金；</w:t>
      </w:r>
    </w:p>
    <w:p>
      <w:pPr>
        <w:pStyle w:val="14"/>
        <w:numPr>
          <w:ilvl w:val="2"/>
          <w:numId w:val="27"/>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发包人提供的地下管网、地下构筑物等资料与现场实际情况不符，而引起的工程处理费用增加，据实调整；</w:t>
      </w:r>
    </w:p>
    <w:p>
      <w:pPr>
        <w:pStyle w:val="14"/>
        <w:numPr>
          <w:ilvl w:val="2"/>
          <w:numId w:val="27"/>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法律、行政法规和国家有关政策变化影响合同价款。</w:t>
      </w:r>
    </w:p>
    <w:p>
      <w:pPr>
        <w:pStyle w:val="14"/>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11．2合同价款调整原则及方法：</w:t>
      </w:r>
    </w:p>
    <w:p>
      <w:pPr>
        <w:numPr>
          <w:ilvl w:val="0"/>
          <w:numId w:val="28"/>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增减工程量清单按11.1执行；</w:t>
      </w:r>
    </w:p>
    <w:p>
      <w:pPr>
        <w:numPr>
          <w:ilvl w:val="0"/>
          <w:numId w:val="28"/>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除专用合同条款应有约定外，因变更引起的价格调整按照本款约定处理：①已标价工程量清单中有适用于变更工作的子目的，采用该子目的单价；②已标价工程量清单中无适用于变更工作的子目的，但有类似子目的，可在合理范围内参照类似子目的单价，由监理人与承包人商定变更工作的单价后，报发包人审核批准(发包人批准前应由造价部门出具审核意见)；③已标价工程量清单中无适用或类似子目的单价，即新增项目，参照省定额站颁布的施工期间的定额、费用标准、价格信息，由监理人与承包人商定变更工作的单价后，报发包人审核批准(发包人批准前应由造价部门出具审核意见)。以上价格调整均应考虑承包人中标价与投标总价相比的优惠率，以及不予计取的措施费用。</w:t>
      </w:r>
    </w:p>
    <w:p>
      <w:pPr>
        <w:numPr>
          <w:ilvl w:val="0"/>
          <w:numId w:val="28"/>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材料变更时价格确定：①承包人在投标文件中价格明细表已有的材料，按承包人材料价格明细所列的材料单价计算(风险范围以外的，按(5)款确定)；②承包人材料价格明细表中没有的材料，参照许昌市造价办发布的《许昌市建设工程材料基准价格信息》在施工期间发布的材料单价计算；③许昌市造价办发布的《许昌市建设工程材料基准价格信息》没有公布的材料，由承包人提出适当的价格，经发包人确认签字后，予以认可。</w:t>
      </w:r>
    </w:p>
    <w:p>
      <w:pPr>
        <w:pStyle w:val="61"/>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11．3双方约定合同价款的其他调整因素: 双方协商解决。</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12．工程付款</w:t>
      </w:r>
    </w:p>
    <w:p>
      <w:pPr>
        <w:pStyle w:val="14"/>
        <w:spacing w:line="500" w:lineRule="exact"/>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12．1工程款的支付方式：采取银行转帐结算的形式，由项目所属单位支付；</w:t>
      </w:r>
    </w:p>
    <w:p>
      <w:pPr>
        <w:pStyle w:val="14"/>
        <w:spacing w:line="500" w:lineRule="exact"/>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12．2设计变更和现场经济签证引起的费用在拨付进度款时暂不予考虑。</w:t>
      </w:r>
    </w:p>
    <w:p>
      <w:pPr>
        <w:pStyle w:val="14"/>
        <w:spacing w:line="500" w:lineRule="exact"/>
        <w:ind w:firstLine="577" w:firstLineChars="27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12．3双方约定的工程款(进度款)支付方式： 工程竣工验收之前，可申请已完成工程量的80% ；竣工验收完成后支付至总合同价的80%，在决算报告通过审计后支付至审定金额的95%；剩余5%做为质量保证金，待质保期满后支付。</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13.工程量增减</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因发包人或设计单位提出的设计变更，导致工程内容的任何变化，承包人均须无条件先执行，其工程量增减按实计算、综合单价按本合同专用条款有关规定执行。</w:t>
      </w:r>
    </w:p>
    <w:p>
      <w:pPr>
        <w:spacing w:line="500" w:lineRule="exact"/>
        <w:ind w:firstLine="499" w:firstLineChars="238"/>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 投标报价</w:t>
      </w:r>
    </w:p>
    <w:p>
      <w:pPr>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14.1 投标报价应包括招标文件所确定的招标范围内相应图纸的全部内容，以及为完成上述内容所必须的临时工程、材料、劳务及所需的全部费用；</w:t>
      </w:r>
    </w:p>
    <w:p>
      <w:p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14.2 投标人应充分考虑施工期间政策和价格风险，以及所有根据合同或其它原因应由投标人支付的税金和其它应交纳的费用一并计入总报价，中标后不作调整；</w:t>
      </w:r>
    </w:p>
    <w:p>
      <w:pPr>
        <w:adjustRightInd w:val="0"/>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14.3 投标人只能提出一个不变价格，招标人不接受任何选择价。</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54" w:name="_Toc329278155"/>
      <w:bookmarkStart w:id="55" w:name="_Toc355649948"/>
      <w:bookmarkStart w:id="56" w:name="_Toc364457265"/>
      <w:bookmarkStart w:id="57" w:name="_Toc357868220"/>
      <w:bookmarkStart w:id="58" w:name="_Toc326060511"/>
      <w:bookmarkStart w:id="59" w:name="_Toc354923125"/>
      <w:bookmarkStart w:id="60" w:name="_Toc354922986"/>
      <w:bookmarkStart w:id="61" w:name="_Toc354404035"/>
      <w:bookmarkStart w:id="62" w:name="_Toc356744040"/>
      <w:r>
        <w:rPr>
          <w:rFonts w:hint="eastAsia" w:cs="宋体" w:asciiTheme="minorEastAsia" w:hAnsiTheme="minorEastAsia" w:eastAsiaTheme="minorEastAsia"/>
          <w:kern w:val="0"/>
          <w:sz w:val="21"/>
          <w:szCs w:val="21"/>
          <w:lang w:val="en-US" w:eastAsia="zh-CN" w:bidi="ar-SA"/>
        </w:rPr>
        <w:t>七、竣工验收与结算</w:t>
      </w:r>
      <w:bookmarkEnd w:id="54"/>
      <w:bookmarkEnd w:id="55"/>
      <w:bookmarkEnd w:id="56"/>
      <w:bookmarkEnd w:id="57"/>
      <w:bookmarkEnd w:id="58"/>
      <w:bookmarkEnd w:id="59"/>
      <w:bookmarkEnd w:id="60"/>
      <w:bookmarkEnd w:id="61"/>
      <w:bookmarkEnd w:id="62"/>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15．竣工验收</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15．1承包人提供竣工图的约定：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15．2中间交工工程的范围和竣工时间：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15．3竣工结算：审减金额超过报审金额10%时，超过部分审计费用由施工单位承担，并承担一定的违约责任。</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63" w:name="_Toc357868221"/>
      <w:bookmarkStart w:id="64" w:name="_Toc355649949"/>
      <w:bookmarkStart w:id="65" w:name="_Toc356744041"/>
      <w:bookmarkStart w:id="66" w:name="_Toc364457266"/>
      <w:bookmarkStart w:id="67" w:name="_Toc329278156"/>
      <w:bookmarkStart w:id="68" w:name="_Toc354404036"/>
      <w:bookmarkStart w:id="69" w:name="_Toc326060512"/>
      <w:bookmarkStart w:id="70" w:name="_Toc354922987"/>
      <w:bookmarkStart w:id="71" w:name="_Toc354923126"/>
      <w:r>
        <w:rPr>
          <w:rFonts w:hint="eastAsia" w:cs="宋体" w:asciiTheme="minorEastAsia" w:hAnsiTheme="minorEastAsia" w:eastAsiaTheme="minorEastAsia"/>
          <w:kern w:val="0"/>
          <w:sz w:val="21"/>
          <w:szCs w:val="21"/>
          <w:lang w:val="en-US" w:eastAsia="zh-CN" w:bidi="ar-SA"/>
        </w:rPr>
        <w:t>八、违约、索赔和争议</w:t>
      </w:r>
      <w:bookmarkEnd w:id="63"/>
      <w:bookmarkEnd w:id="64"/>
      <w:bookmarkEnd w:id="65"/>
      <w:bookmarkEnd w:id="66"/>
      <w:bookmarkEnd w:id="67"/>
      <w:bookmarkEnd w:id="68"/>
      <w:bookmarkEnd w:id="69"/>
      <w:bookmarkEnd w:id="70"/>
      <w:bookmarkEnd w:id="71"/>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16．违约</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16．1本合同中关于发包人违约的具体责任如下，</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本合同通用条款第24条约定发包人违约应承担的违约责任：甲方根据实际情况决定采取处罚措施。</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本合同通用条款第26.4款约定发包人违约应承担的违约责任: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本合同通用条款第33.3款约定发包人违约应承担的违约责任: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双方约定的发包人其他违约责任: 见补充条款。</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16．2本合同中关于承包人违约的具体责任如下:</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本合同通用条款第14.2款约定承包人违约承担的违约责任: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本合同通用条款第15.1款约定承包人违约应承担的违约责任: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双方约定的承包人其他违约责任: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17．争议</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17．1双方约定，在履行合同过程中产生争议时:</w:t>
      </w:r>
    </w:p>
    <w:p>
      <w:pPr>
        <w:pStyle w:val="14"/>
        <w:numPr>
          <w:ilvl w:val="0"/>
          <w:numId w:val="29"/>
        </w:numPr>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双方本着友好协商方式解决。</w:t>
      </w:r>
    </w:p>
    <w:p>
      <w:pPr>
        <w:pStyle w:val="14"/>
        <w:numPr>
          <w:ilvl w:val="0"/>
          <w:numId w:val="29"/>
        </w:numPr>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协商不成的，向  工程所在地  人民法院提起诉讼。</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72" w:name="_Toc364457267"/>
      <w:bookmarkStart w:id="73" w:name="_Toc357868222"/>
      <w:bookmarkStart w:id="74" w:name="_Toc354923127"/>
      <w:bookmarkStart w:id="75" w:name="_Toc354922988"/>
      <w:bookmarkStart w:id="76" w:name="_Toc356744042"/>
      <w:bookmarkStart w:id="77" w:name="_Toc355649950"/>
      <w:bookmarkStart w:id="78" w:name="_Toc354404037"/>
      <w:bookmarkStart w:id="79" w:name="_Toc326060513"/>
      <w:bookmarkStart w:id="80" w:name="_Toc329278157"/>
      <w:r>
        <w:rPr>
          <w:rFonts w:hint="eastAsia" w:cs="宋体" w:asciiTheme="minorEastAsia" w:hAnsiTheme="minorEastAsia" w:eastAsiaTheme="minorEastAsia"/>
          <w:kern w:val="0"/>
          <w:sz w:val="21"/>
          <w:szCs w:val="21"/>
          <w:lang w:val="en-US" w:eastAsia="zh-CN" w:bidi="ar-SA"/>
        </w:rPr>
        <w:t>九、其他</w:t>
      </w:r>
      <w:bookmarkEnd w:id="72"/>
      <w:bookmarkEnd w:id="73"/>
      <w:bookmarkEnd w:id="74"/>
      <w:bookmarkEnd w:id="75"/>
      <w:bookmarkEnd w:id="76"/>
      <w:bookmarkEnd w:id="77"/>
      <w:bookmarkEnd w:id="78"/>
      <w:bookmarkEnd w:id="79"/>
      <w:bookmarkEnd w:id="80"/>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18．工程分包</w:t>
      </w:r>
    </w:p>
    <w:p>
      <w:pPr>
        <w:pStyle w:val="11"/>
        <w:spacing w:line="500" w:lineRule="exact"/>
        <w:ind w:left="680"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18．1本工程主体工程不允许分包。其他配套专业若确需分包，分包商须经得发包人同意。</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19．不可抗力</w:t>
      </w:r>
    </w:p>
    <w:p>
      <w:pPr>
        <w:pStyle w:val="11"/>
        <w:spacing w:line="500" w:lineRule="exact"/>
        <w:ind w:left="680"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19．1双方关于不可抗力的约定:  所发生的工期相应顺延，但涉及的费用根据国家有关规定由双方分担。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20．保险</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20．1本工程双方约定投保内容如下:</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(l)发包人投保内容:      无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发包人委托承包人办理的保险事项:    无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(2)承包人投保内容:       无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21．担保</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21．1本工程双方约定担保事项如下:</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(l)发包人向承包人提供履约担保，担保方式为:    (待定)     担保合同作为本合同附件。</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(2)承包人向发包人提供履约担保，担保方式为:   中标人在接到中标通知书后10日内，按中标价的5%交纳履约保证金，以转账或电汇交纳至到招标人指定账户。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(3)双方约定的其他担保事项: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22．合同份数</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22．1双方约定合同副本份数:正本2份，副本4份</w:t>
      </w:r>
    </w:p>
    <w:p>
      <w:pPr>
        <w:pStyle w:val="14"/>
        <w:spacing w:line="500" w:lineRule="exact"/>
        <w:ind w:firstLine="470" w:firstLineChars="22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23．补充条款</w:t>
      </w:r>
    </w:p>
    <w:p>
      <w:pPr>
        <w:pStyle w:val="14"/>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审减金额超过报审金额10%时，超过部分审计费用由施工单位承担，并承担一定的违约责任。</w:t>
      </w:r>
    </w:p>
    <w:p>
      <w:pPr>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24．其他未尽事宜由双方协商后确定：</w:t>
      </w:r>
    </w:p>
    <w:p>
      <w:pPr>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(1)若承包方未达到双方约定的工程质量要求，承担其由此产生的一切责任。</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(2)经甲乙双方签字盖章后方可生效。</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spacing w:line="360" w:lineRule="auto"/>
        <w:jc w:val="center"/>
        <w:outlineLvl w:val="1"/>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br w:type="page"/>
      </w:r>
    </w:p>
    <w:p>
      <w:pPr>
        <w:spacing w:line="440" w:lineRule="exact"/>
        <w:ind w:firstLine="482" w:firstLineChars="200"/>
        <w:jc w:val="center"/>
        <w:rPr>
          <w:rFonts w:hint="eastAsia" w:ascii="仿宋" w:hAnsi="仿宋" w:eastAsia="仿宋"/>
          <w:b/>
          <w:sz w:val="24"/>
          <w:szCs w:val="24"/>
        </w:rPr>
      </w:pPr>
      <w:r>
        <w:rPr>
          <w:rFonts w:hint="eastAsia" w:ascii="仿宋" w:hAnsi="仿宋" w:eastAsia="仿宋"/>
          <w:b/>
          <w:sz w:val="24"/>
          <w:szCs w:val="24"/>
        </w:rPr>
        <w:t>合同协议书</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(发包人名称，以下简称“发包人” )为实施           (项目名称)，己接受                  (承包人名称，以下简称“承包人” )对该项目工程施工的投标。发包人和承包人共同达成如下协议。</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1．本协议书与下列文件一起构成合同文件：</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(l)中标通知书；</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(2)投标函及投标函附录；</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(3)专用合同条款；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(4)通用合同条款；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(5)技术标准和要求；</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 已标价的工程量清单；</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(7)图纸；</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(8)其他合同文件。</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2．上述文件互相补充和解释，如有不明确或不一致之处，以合同约定次序在先者为准。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3．签约合同价：人民币(大写)                元(￥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4．承包人项目经理(建造师)：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5．工程质量符合                     标准。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6．承包人承诺按合同约定承担工程的实施、完成及缺陷修复。</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7．发包人承诺按合同约定的条件、时间和方式向承包人支付合同价款。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8．承包人应按照监理人指示开工，工期为      日历天。</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9．本协议书一式     份，合同双方各执      份。</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10.双方签字盖章后生效。</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11．合同未尽事宜，双方另行签订补充协议。补充协议是合同的组成部分。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发包人：             (单位盖章)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法定代表人或其委托代理人：     (签字)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承包人：             (单位盖章)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法定代表人或其委托代理人：     (签字)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pStyle w:val="14"/>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黑体" w:asciiTheme="minorEastAsia" w:hAnsiTheme="minorEastAsia"/>
          <w:b/>
          <w:bCs/>
          <w:sz w:val="44"/>
          <w:szCs w:val="44"/>
          <w:lang w:val="zh-CN"/>
        </w:rPr>
      </w:pPr>
      <w:r>
        <w:rPr>
          <w:rFonts w:hint="eastAsia" w:cs="宋体" w:asciiTheme="majorEastAsia" w:hAnsiTheme="majorEastAsia" w:eastAsiaTheme="majorEastAsia"/>
          <w:b/>
          <w:kern w:val="0"/>
          <w:sz w:val="32"/>
          <w:szCs w:val="32"/>
        </w:rPr>
        <w:t>第八章 响应文件有关格式</w:t>
      </w: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pStyle w:val="55"/>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一、投标人应答索引表</w:t>
      </w:r>
    </w:p>
    <w:tbl>
      <w:tblPr>
        <w:tblStyle w:val="24"/>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284"/>
        <w:gridCol w:w="425"/>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投标人应答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kern w:val="0"/>
                <w:sz w:val="21"/>
                <w:szCs w:val="21"/>
              </w:rPr>
              <w:t>营业执照等证明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依法纳税凭据复印件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gridSpan w:val="2"/>
            <w:vMerge w:val="restart"/>
            <w:tcBorders>
              <w:left w:val="single" w:color="auto" w:sz="4" w:space="0"/>
              <w:righ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vAlign w:val="center"/>
          </w:tcPr>
          <w:p>
            <w:pPr>
              <w:snapToGrid w:val="0"/>
              <w:spacing w:line="400" w:lineRule="exact"/>
              <w:rPr>
                <w:rFonts w:ascii="宋体" w:hAnsi="宋体" w:cs="微软雅黑"/>
                <w:szCs w:val="21"/>
              </w:rPr>
            </w:pPr>
            <w:r>
              <w:rPr>
                <w:rFonts w:hint="eastAsia" w:asciiTheme="minorEastAsia" w:hAnsiTheme="minorEastAsia"/>
                <w:bCs/>
                <w:szCs w:val="21"/>
              </w:rPr>
              <w:t>依法缴纳社会保险凭据复印件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gridSpan w:val="2"/>
            <w:vMerge w:val="restart"/>
            <w:tcBorders>
              <w:left w:val="single" w:color="auto" w:sz="6" w:space="0"/>
              <w:right w:val="single" w:color="auto" w:sz="6" w:space="0"/>
            </w:tcBorders>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技术人员职称证书</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4"/>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用工合同</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4"/>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asciiTheme="minorEastAsia" w:hAnsiTheme="minorEastAsia"/>
                <w:bCs/>
                <w:sz w:val="21"/>
                <w:szCs w:val="21"/>
              </w:rPr>
              <w:t>供应商相关承诺函或声明</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没有重大违法记录的声明</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cs="微软雅黑"/>
                <w:bCs/>
                <w:kern w:val="0"/>
                <w:sz w:val="21"/>
                <w:szCs w:val="21"/>
              </w:rPr>
              <w:t>供应商须具备的特殊资质证书</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投标承诺函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14</w:t>
            </w:r>
          </w:p>
        </w:tc>
        <w:tc>
          <w:tcPr>
            <w:tcW w:w="3751" w:type="dxa"/>
            <w:gridSpan w:val="4"/>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联合体协议</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15</w:t>
            </w:r>
          </w:p>
        </w:tc>
        <w:tc>
          <w:tcPr>
            <w:tcW w:w="3751" w:type="dxa"/>
            <w:gridSpan w:val="4"/>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供应商与参加本项目投标的其他供应商之间，单位负责人不为同一人并且不存在直接控股、管理关系承诺函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16</w:t>
            </w:r>
          </w:p>
        </w:tc>
        <w:tc>
          <w:tcPr>
            <w:tcW w:w="3751" w:type="dxa"/>
            <w:gridSpan w:val="4"/>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lang w:val="zh-CN"/>
              </w:rPr>
              <w:t>供应商未为本项目提供整体设计、规范编制或者项目管理、监理、检测等服务承诺函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pPr>
              <w:jc w:val="center"/>
              <w:rPr>
                <w:szCs w:val="21"/>
              </w:rPr>
            </w:pPr>
          </w:p>
        </w:tc>
        <w:tc>
          <w:tcPr>
            <w:tcW w:w="1560" w:type="dxa"/>
            <w:tcBorders>
              <w:top w:val="double" w:color="auto" w:sz="4" w:space="0"/>
            </w:tcBorders>
            <w:vAlign w:val="center"/>
          </w:tcPr>
          <w:p>
            <w:pPr>
              <w:snapToGrid w:val="0"/>
              <w:spacing w:line="400" w:lineRule="exact"/>
              <w:rPr>
                <w:rFonts w:ascii="宋体" w:hAnsi="宋体" w:cs="微软雅黑"/>
                <w:szCs w:val="21"/>
              </w:rPr>
            </w:pPr>
          </w:p>
        </w:tc>
        <w:tc>
          <w:tcPr>
            <w:tcW w:w="2018" w:type="dxa"/>
            <w:tcBorders>
              <w:top w:val="doub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pPr>
              <w:jc w:val="center"/>
              <w:rPr>
                <w:szCs w:val="21"/>
              </w:rPr>
            </w:pPr>
          </w:p>
        </w:tc>
        <w:tc>
          <w:tcPr>
            <w:tcW w:w="1560" w:type="dxa"/>
            <w:tcBorders>
              <w:top w:val="single" w:color="auto" w:sz="4" w:space="0"/>
            </w:tcBorders>
            <w:vAlign w:val="center"/>
          </w:tcPr>
          <w:p>
            <w:pPr>
              <w:snapToGrid w:val="0"/>
              <w:spacing w:line="400" w:lineRule="exact"/>
              <w:rPr>
                <w:rFonts w:ascii="宋体" w:hAnsi="宋体" w:cs="微软雅黑"/>
                <w:szCs w:val="21"/>
              </w:rPr>
            </w:pPr>
          </w:p>
        </w:tc>
        <w:tc>
          <w:tcPr>
            <w:tcW w:w="2018" w:type="dxa"/>
            <w:tcBorders>
              <w:top w:val="sing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89"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25</w:t>
            </w:r>
          </w:p>
        </w:tc>
        <w:tc>
          <w:tcPr>
            <w:tcW w:w="1058" w:type="dxa"/>
            <w:gridSpan w:val="2"/>
            <w:tcBorders>
              <w:right w:val="single" w:color="auto" w:sz="4"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693" w:type="dxa"/>
            <w:gridSpan w:val="2"/>
            <w:tcBorders>
              <w:left w:val="single" w:color="auto" w:sz="4"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26</w:t>
            </w:r>
          </w:p>
        </w:tc>
        <w:tc>
          <w:tcPr>
            <w:tcW w:w="1058" w:type="dxa"/>
            <w:gridSpan w:val="2"/>
            <w:vMerge w:val="restart"/>
            <w:tcBorders>
              <w:right w:val="single" w:color="auto" w:sz="4" w:space="0"/>
            </w:tcBorders>
            <w:vAlign w:val="center"/>
          </w:tcPr>
          <w:p>
            <w:pPr>
              <w:pStyle w:val="14"/>
              <w:kinsoku w:val="0"/>
              <w:overflowPunct w:val="0"/>
              <w:autoSpaceDE w:val="0"/>
              <w:autoSpaceDN w:val="0"/>
              <w:spacing w:line="320" w:lineRule="exact"/>
              <w:rPr>
                <w:rFonts w:cs="宋体" w:asciiTheme="minorEastAsia" w:hAnsiTheme="minorEastAsia"/>
                <w:kern w:val="0"/>
                <w:sz w:val="21"/>
                <w:szCs w:val="21"/>
              </w:rPr>
            </w:pPr>
            <w:r>
              <w:rPr>
                <w:rFonts w:cs="宋体" w:asciiTheme="minorEastAsia" w:hAnsiTheme="minorEastAsia"/>
                <w:kern w:val="0"/>
                <w:sz w:val="21"/>
                <w:szCs w:val="21"/>
              </w:rPr>
              <w:t>信息安全产品强制性认证</w:t>
            </w:r>
          </w:p>
        </w:tc>
        <w:tc>
          <w:tcPr>
            <w:tcW w:w="2693" w:type="dxa"/>
            <w:gridSpan w:val="2"/>
            <w:tcBorders>
              <w:left w:val="single" w:color="auto" w:sz="4" w:space="0"/>
            </w:tcBorders>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认证机构颁发的认证证书</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1058" w:type="dxa"/>
            <w:gridSpan w:val="2"/>
            <w:vMerge w:val="continue"/>
            <w:tcBorders>
              <w:right w:val="single" w:color="auto" w:sz="4" w:space="0"/>
            </w:tcBorders>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p>
        </w:tc>
        <w:tc>
          <w:tcPr>
            <w:tcW w:w="2693" w:type="dxa"/>
            <w:gridSpan w:val="2"/>
            <w:tcBorders>
              <w:left w:val="single" w:color="auto" w:sz="4" w:space="0"/>
            </w:tcBorders>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中国信息安全认证中心官网产品查询结果截图</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27</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color w:val="000000"/>
          <w:sz w:val="24"/>
          <w:szCs w:val="24"/>
        </w:rPr>
      </w:pPr>
      <w:r>
        <w:rPr>
          <w:rFonts w:hint="eastAsia" w:ascii="楷体" w:hAnsi="楷体" w:eastAsia="楷体"/>
          <w:color w:val="000000"/>
          <w:sz w:val="24"/>
          <w:szCs w:val="24"/>
        </w:rPr>
        <w:t>注：①本表序号8请按照本谈判文件 “第六章资格审查与评审”资格审查表中序号3要求，根据所提供经审计财务报告、基本开户银行资信证明、银行资信证明、政府采购投标担保函情况填写其中一项即可。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②本表序号10请按照本谈判文件 “第六章资格审查与评审”资格审查表中序号6要求提供，根据所提供证明材料或承诺函（声明）情况填写其中一项即可。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③本表序号26请根据所投产品提供证书或截图情况填写其中一项即可。</w:t>
      </w:r>
    </w:p>
    <w:p>
      <w:pPr>
        <w:pStyle w:val="14"/>
        <w:spacing w:line="360" w:lineRule="auto"/>
        <w:jc w:val="center"/>
        <w:rPr>
          <w:rFonts w:hint="eastAsia" w:asciiTheme="majorEastAsia" w:hAnsiTheme="majorEastAsia" w:eastAsiaTheme="majorEastAsia"/>
          <w:b/>
          <w:snapToGrid w:val="0"/>
          <w:kern w:val="0"/>
          <w:sz w:val="28"/>
          <w:szCs w:val="28"/>
        </w:rPr>
      </w:pPr>
    </w:p>
    <w:p>
      <w:pPr>
        <w:pStyle w:val="14"/>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w:t>
      </w:r>
      <w:r>
        <w:rPr>
          <w:rFonts w:hint="eastAsia" w:asciiTheme="majorEastAsia" w:hAnsiTheme="majorEastAsia" w:eastAsiaTheme="majorEastAsia"/>
          <w:b/>
          <w:snapToGrid w:val="0"/>
          <w:kern w:val="0"/>
          <w:sz w:val="28"/>
          <w:szCs w:val="28"/>
          <w:lang w:eastAsia="zh-CN"/>
        </w:rPr>
        <w:t>第一次</w:t>
      </w:r>
      <w:r>
        <w:rPr>
          <w:rFonts w:hint="eastAsia" w:asciiTheme="majorEastAsia" w:hAnsiTheme="majorEastAsia" w:eastAsiaTheme="majorEastAsia"/>
          <w:b/>
          <w:snapToGrid w:val="0"/>
          <w:kern w:val="0"/>
          <w:sz w:val="28"/>
          <w:szCs w:val="28"/>
        </w:rPr>
        <w:t>报价一览表</w:t>
      </w:r>
    </w:p>
    <w:p>
      <w:pPr>
        <w:pStyle w:val="14"/>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pacing w:line="360" w:lineRule="auto"/>
        <w:contextualSpacing/>
        <w:rPr>
          <w:rFonts w:asciiTheme="minorEastAsia" w:hAnsiTheme="minorEastAsia"/>
          <w:color w:val="000000"/>
          <w:szCs w:val="21"/>
        </w:rPr>
      </w:pPr>
      <w:r>
        <w:rPr>
          <w:rFonts w:hint="eastAsia" w:asciiTheme="minorEastAsia" w:hAnsiTheme="minorEastAsia"/>
          <w:color w:val="000000"/>
          <w:szCs w:val="21"/>
        </w:rPr>
        <w:t xml:space="preserve">项目名称：                                                      </w:t>
      </w:r>
      <w:r>
        <w:rPr>
          <w:rFonts w:hint="eastAsia" w:cs="Arial" w:asciiTheme="minorEastAsia" w:hAnsiTheme="minorEastAsia"/>
          <w:szCs w:val="21"/>
        </w:rPr>
        <w:t>单位：元（人民币）</w:t>
      </w:r>
    </w:p>
    <w:tbl>
      <w:tblPr>
        <w:tblStyle w:val="24"/>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日期：年月日</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注：1、交付日期指完成该项目的最终时间（日历天）。</w:t>
      </w:r>
    </w:p>
    <w:p>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2、如谈判公告明确项目交付日期以年为单位，本表应填写完成该项目的年限。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三、资格审查证明材料</w:t>
      </w: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both"/>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Cs w:val="24"/>
        </w:rPr>
      </w:pPr>
    </w:p>
    <w:p>
      <w:pPr>
        <w:pStyle w:val="14"/>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投 标 函</w:t>
      </w:r>
    </w:p>
    <w:p>
      <w:pPr>
        <w:pStyle w:val="14"/>
        <w:spacing w:line="360" w:lineRule="auto"/>
        <w:jc w:val="center"/>
        <w:rPr>
          <w:rFonts w:asciiTheme="majorEastAsia" w:hAnsiTheme="majorEastAsia" w:eastAsiaTheme="majorEastAsia"/>
          <w:b/>
          <w:snapToGrid w:val="0"/>
          <w:kern w:val="0"/>
          <w:sz w:val="28"/>
          <w:szCs w:val="28"/>
        </w:rPr>
      </w:pPr>
    </w:p>
    <w:p>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w:t>
      </w:r>
      <w:r>
        <w:rPr>
          <w:rFonts w:hint="eastAsia" w:asciiTheme="minorEastAsia" w:hAnsiTheme="minorEastAsia"/>
          <w:b/>
          <w:snapToGrid w:val="0"/>
          <w:kern w:val="0"/>
          <w:szCs w:val="21"/>
        </w:rPr>
        <w:t>（采购人）</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_（项目名称、招标编号）采购的竞争性谈判公告及谈判邀请，_______（姓名和职务）被正式授权并代表供应商（供应商名称、地址）提交。</w:t>
      </w:r>
    </w:p>
    <w:p>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我方确认收到贵方提供的（项目名称、招标编号）谈判文件的全部内容。</w:t>
      </w:r>
    </w:p>
    <w:p>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Theme="minorEastAsia" w:hAnsiTheme="minorEastAsia" w:eastAsiaTheme="minorEastAsia"/>
          <w:sz w:val="21"/>
          <w:szCs w:val="21"/>
        </w:rPr>
        <w:t>已完全理解并接受谈判文件的各项规定和要求及资金支付规定，对谈判文件的合理性、合法性不再有异议。</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i/>
          <w:snapToGrid w:val="0"/>
          <w:kern w:val="0"/>
          <w:szCs w:val="21"/>
          <w:u w:val="single"/>
        </w:rPr>
        <w:t xml:space="preserve">(供应商名称)     </w:t>
      </w:r>
      <w:r>
        <w:rPr>
          <w:rFonts w:hint="eastAsia" w:asciiTheme="minorEastAsia" w:hAnsiTheme="minorEastAsia"/>
          <w:snapToGrid w:val="0"/>
          <w:kern w:val="0"/>
          <w:szCs w:val="21"/>
        </w:rPr>
        <w:t>正式授权</w:t>
      </w:r>
      <w:r>
        <w:rPr>
          <w:rFonts w:hint="eastAsia" w:asciiTheme="minorEastAsia" w:hAnsiTheme="minorEastAsia"/>
          <w:i/>
          <w:snapToGrid w:val="0"/>
          <w:kern w:val="0"/>
          <w:szCs w:val="21"/>
          <w:u w:val="single"/>
        </w:rPr>
        <w:t xml:space="preserve">(授权代表全名, 职务)       </w:t>
      </w:r>
      <w:r>
        <w:rPr>
          <w:rFonts w:hint="eastAsia" w:asciiTheme="minorEastAsia" w:hAnsiTheme="minorEastAsia"/>
          <w:snapToGrid w:val="0"/>
          <w:kern w:val="0"/>
          <w:szCs w:val="21"/>
        </w:rPr>
        <w:t>代表我方全权处理有关本项目谈判响应的一切事宜。</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rPr>
        <w:t>在此提交的响应文件，正本一份，副本一份。</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我方已完全明白谈判文件的所有条款要求，并申明如下：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一、按谈判文件提供的全部货物与相关服务的响应总价详见《报价一览表》。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本谈判文件的有效期为谈判响应截止时间起天。如成交，有效期将延至供货终止日为止。在此提交的资格证明文件均至谈判响应文件有效期截止日有效，如有在有效期内失效的，我方承诺在成交后补齐一切手续，保证所有资格证明文件能在签订采购合同时直至采购合同终止日有效。</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三、我方明白并同意，在规定的谈判响应时间截止之后，响应有效期之内撤销谈判响应的，则贵方将不予退还谈判保证金。</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四、我方同意按照贵方可能提出的要求而提供与谈判响应有关的任何其它数据、信息或资料。</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五、我方理解贵方不一定接受最低响应价或任何贵方可能收到的谈判响应。</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六、我方如果成交，将保证履行谈判文件及其澄清、修改文件（如果有）中的全部责任和义务，按质、按量、按期完成《采购需求》及《合同书》中的全部任务。</w:t>
      </w:r>
    </w:p>
    <w:p>
      <w:pPr>
        <w:pStyle w:val="21"/>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以上内容如有虚假或与事实不符的，谈判小组可将</w:t>
      </w:r>
      <w:r>
        <w:rPr>
          <w:rFonts w:hint="eastAsia" w:cs="Arial" w:asciiTheme="minorEastAsia" w:hAnsiTheme="minorEastAsia"/>
          <w:szCs w:val="21"/>
        </w:rPr>
        <w:t>我方做无效投标处理，我方愿意承担相应的法律责任。</w:t>
      </w:r>
    </w:p>
    <w:p>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我方对在本函及响应文件中所作的所有承诺承担法律责任。</w:t>
      </w:r>
    </w:p>
    <w:p>
      <w:pPr>
        <w:pStyle w:val="14"/>
        <w:adjustRightInd w:val="0"/>
        <w:snapToGrid w:val="0"/>
        <w:spacing w:line="360" w:lineRule="auto"/>
        <w:rPr>
          <w:rFonts w:asciiTheme="minorEastAsia" w:hAnsiTheme="minorEastAsia" w:eastAsiaTheme="minorEastAsia"/>
          <w:sz w:val="21"/>
          <w:szCs w:val="21"/>
        </w:rPr>
      </w:pPr>
    </w:p>
    <w:p>
      <w:pPr>
        <w:pStyle w:val="14"/>
        <w:adjustRightInd w:val="0"/>
        <w:snapToGrid w:val="0"/>
        <w:spacing w:line="360" w:lineRule="auto"/>
        <w:rPr>
          <w:rFonts w:asciiTheme="minorEastAsia" w:hAnsiTheme="minorEastAsia" w:eastAsiaTheme="minorEastAsia"/>
          <w:sz w:val="21"/>
          <w:szCs w:val="21"/>
        </w:rPr>
      </w:pPr>
    </w:p>
    <w:p>
      <w:pPr>
        <w:pStyle w:val="14"/>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所有与本项目谈判有关的一切正式往来请寄：</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地    址：.  邮政编码：.</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电    话：.  传    真：.</w:t>
      </w:r>
    </w:p>
    <w:p>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供应商代表姓名：.  职    务：.</w:t>
      </w: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供应商法定代表人（单位负责人）或法定代表人（单位负责人）授权代表签字或盖章：</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供应商名称（盖章）：</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r>
        <w:rPr>
          <w:rFonts w:hint="eastAsia" w:cs="宋体" w:asciiTheme="minorEastAsia" w:hAnsiTheme="minorEastAsia"/>
          <w:szCs w:val="21"/>
        </w:rPr>
        <w:t>日期：    年    月    日</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spacing w:line="480" w:lineRule="exact"/>
        <w:jc w:val="center"/>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3.2 法定代表人（单位负责人）</w:t>
      </w:r>
      <w:r>
        <w:rPr>
          <w:rFonts w:asciiTheme="majorEastAsia" w:hAnsiTheme="majorEastAsia" w:eastAsiaTheme="majorEastAsia"/>
          <w:b/>
          <w:bCs/>
          <w:color w:val="000000"/>
          <w:sz w:val="24"/>
          <w:szCs w:val="24"/>
        </w:rPr>
        <w:t>资</w:t>
      </w:r>
      <w:r>
        <w:rPr>
          <w:rFonts w:hint="eastAsia" w:asciiTheme="majorEastAsia" w:hAnsiTheme="majorEastAsia" w:eastAsiaTheme="majorEastAsia"/>
          <w:b/>
          <w:bCs/>
          <w:color w:val="000000"/>
          <w:sz w:val="24"/>
          <w:szCs w:val="24"/>
        </w:rPr>
        <w:t>格</w:t>
      </w:r>
      <w:r>
        <w:rPr>
          <w:rFonts w:asciiTheme="majorEastAsia" w:hAnsiTheme="majorEastAsia" w:eastAsiaTheme="majorEastAsia"/>
          <w:b/>
          <w:bCs/>
          <w:color w:val="000000"/>
          <w:sz w:val="24"/>
          <w:szCs w:val="24"/>
        </w:rPr>
        <w:t>证</w:t>
      </w:r>
      <w:r>
        <w:rPr>
          <w:rFonts w:hint="eastAsia" w:asciiTheme="majorEastAsia" w:hAnsiTheme="majorEastAsia" w:eastAsiaTheme="majorEastAsia"/>
          <w:b/>
          <w:bCs/>
          <w:color w:val="000000"/>
          <w:sz w:val="24"/>
          <w:szCs w:val="24"/>
        </w:rPr>
        <w:t>明</w:t>
      </w:r>
      <w:r>
        <w:rPr>
          <w:rFonts w:asciiTheme="majorEastAsia" w:hAnsiTheme="majorEastAsia" w:eastAsiaTheme="majorEastAsia"/>
          <w:b/>
          <w:bCs/>
          <w:color w:val="000000"/>
          <w:sz w:val="24"/>
          <w:szCs w:val="24"/>
        </w:rPr>
        <w:t>书</w:t>
      </w:r>
    </w:p>
    <w:p>
      <w:pPr>
        <w:autoSpaceDE w:val="0"/>
        <w:autoSpaceDN w:val="0"/>
        <w:adjustRightInd w:val="0"/>
        <w:spacing w:line="480" w:lineRule="auto"/>
        <w:ind w:firstLine="616" w:firstLineChars="257"/>
        <w:rPr>
          <w:rFonts w:ascii="宋体" w:hAnsi="宋体"/>
          <w:color w:val="000000"/>
          <w:sz w:val="24"/>
          <w:szCs w:val="24"/>
        </w:rPr>
      </w:pPr>
    </w:p>
    <w:p>
      <w:pPr>
        <w:pStyle w:val="47"/>
        <w:spacing w:line="480" w:lineRule="auto"/>
        <w:ind w:firstLine="472" w:firstLineChars="225"/>
        <w:jc w:val="left"/>
        <w:rPr>
          <w:rFonts w:asciiTheme="minorEastAsia" w:hAnsiTheme="minorEastAsia"/>
          <w:color w:val="000000"/>
          <w:sz w:val="21"/>
          <w:szCs w:val="21"/>
        </w:rPr>
      </w:pPr>
      <w:r>
        <w:rPr>
          <w:rFonts w:asciiTheme="minorEastAsia" w:hAnsiTheme="minorEastAsia"/>
          <w:color w:val="000000"/>
          <w:sz w:val="21"/>
          <w:szCs w:val="21"/>
        </w:rPr>
        <w:t>单</w:t>
      </w:r>
      <w:r>
        <w:rPr>
          <w:rFonts w:hint="eastAsia" w:asciiTheme="minorEastAsia" w:hAnsiTheme="minorEastAsia"/>
          <w:color w:val="000000"/>
          <w:sz w:val="21"/>
          <w:szCs w:val="21"/>
        </w:rPr>
        <w:t>位名</w:t>
      </w:r>
      <w:r>
        <w:rPr>
          <w:rFonts w:asciiTheme="minorEastAsia" w:hAnsiTheme="minorEastAsia"/>
          <w:color w:val="000000"/>
          <w:sz w:val="21"/>
          <w:szCs w:val="21"/>
        </w:rPr>
        <w:t>称</w:t>
      </w:r>
      <w:r>
        <w:rPr>
          <w:rFonts w:hint="eastAsia" w:asciiTheme="minorEastAsia" w:hAnsiTheme="minorEastAsia"/>
          <w:color w:val="000000"/>
          <w:sz w:val="21"/>
          <w:szCs w:val="21"/>
        </w:rPr>
        <w:t>：</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地址：</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姓名：       性</w:t>
      </w:r>
      <w:r>
        <w:rPr>
          <w:rFonts w:asciiTheme="minorEastAsia" w:hAnsiTheme="minorEastAsia"/>
          <w:color w:val="000000"/>
          <w:sz w:val="21"/>
          <w:szCs w:val="21"/>
        </w:rPr>
        <w:t>别</w:t>
      </w:r>
      <w:r>
        <w:rPr>
          <w:rFonts w:hint="eastAsia" w:asciiTheme="minorEastAsia" w:hAnsiTheme="minorEastAsia"/>
          <w:color w:val="000000"/>
          <w:sz w:val="21"/>
          <w:szCs w:val="21"/>
        </w:rPr>
        <w:t>：     年</w:t>
      </w:r>
      <w:r>
        <w:rPr>
          <w:rFonts w:asciiTheme="minorEastAsia" w:hAnsiTheme="minorEastAsia"/>
          <w:color w:val="000000"/>
          <w:sz w:val="21"/>
          <w:szCs w:val="21"/>
        </w:rPr>
        <w:t>龄</w:t>
      </w:r>
      <w:r>
        <w:rPr>
          <w:rFonts w:hint="eastAsia" w:asciiTheme="minorEastAsia" w:hAnsiTheme="minorEastAsia"/>
          <w:color w:val="000000"/>
          <w:sz w:val="21"/>
          <w:szCs w:val="21"/>
        </w:rPr>
        <w:t>：</w:t>
      </w:r>
      <w:r>
        <w:rPr>
          <w:rFonts w:asciiTheme="minorEastAsia" w:hAnsiTheme="minorEastAsia"/>
          <w:color w:val="000000"/>
          <w:sz w:val="21"/>
          <w:szCs w:val="21"/>
        </w:rPr>
        <w:t xml:space="preserve">     职务</w:t>
      </w:r>
      <w:r>
        <w:rPr>
          <w:rFonts w:hint="eastAsia" w:asciiTheme="minorEastAsia" w:hAnsiTheme="minorEastAsia"/>
          <w:color w:val="000000"/>
          <w:sz w:val="21"/>
          <w:szCs w:val="21"/>
        </w:rPr>
        <w:t xml:space="preserve">：        </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本人系</w:t>
      </w:r>
      <w:r>
        <w:rPr>
          <w:rFonts w:hint="eastAsia" w:asciiTheme="minorEastAsia" w:hAnsiTheme="minorEastAsia"/>
          <w:i/>
          <w:snapToGrid w:val="0"/>
          <w:sz w:val="21"/>
          <w:szCs w:val="21"/>
          <w:u w:val="single"/>
        </w:rPr>
        <w:t>供应商名</w:t>
      </w:r>
      <w:r>
        <w:rPr>
          <w:rFonts w:asciiTheme="minorEastAsia" w:hAnsiTheme="minorEastAsia"/>
          <w:i/>
          <w:snapToGrid w:val="0"/>
          <w:sz w:val="21"/>
          <w:szCs w:val="21"/>
          <w:u w:val="single"/>
        </w:rPr>
        <w:t>称</w:t>
      </w:r>
      <w:r>
        <w:rPr>
          <w:rFonts w:hint="eastAsia" w:asciiTheme="minorEastAsia" w:hAnsiTheme="minorEastAsia"/>
          <w:color w:val="000000"/>
          <w:sz w:val="21"/>
          <w:szCs w:val="21"/>
        </w:rPr>
        <w:t>的法定代表人（单位负责人）。就</w:t>
      </w:r>
      <w:r>
        <w:rPr>
          <w:rFonts w:asciiTheme="minorEastAsia" w:hAnsiTheme="minorEastAsia"/>
          <w:color w:val="000000"/>
          <w:sz w:val="21"/>
          <w:szCs w:val="21"/>
        </w:rPr>
        <w:t>参</w:t>
      </w:r>
      <w:r>
        <w:rPr>
          <w:rFonts w:hint="eastAsia" w:asciiTheme="minorEastAsia" w:hAnsiTheme="minorEastAsia"/>
          <w:color w:val="000000"/>
          <w:sz w:val="21"/>
          <w:szCs w:val="21"/>
        </w:rPr>
        <w:t>加贵方招</w:t>
      </w:r>
      <w:r>
        <w:rPr>
          <w:rFonts w:asciiTheme="minorEastAsia" w:hAnsiTheme="minorEastAsia"/>
          <w:color w:val="000000"/>
          <w:sz w:val="21"/>
          <w:szCs w:val="21"/>
        </w:rPr>
        <w:t>标编号为</w:t>
      </w:r>
      <w:r>
        <w:rPr>
          <w:rFonts w:asciiTheme="minorEastAsia" w:hAnsiTheme="minorEastAsia"/>
          <w:i/>
          <w:color w:val="000000"/>
          <w:sz w:val="21"/>
          <w:szCs w:val="21"/>
          <w:u w:val="single"/>
        </w:rPr>
        <w:t>项目编号</w:t>
      </w:r>
      <w:r>
        <w:rPr>
          <w:rFonts w:hint="eastAsia" w:asciiTheme="minorEastAsia" w:hAnsiTheme="minorEastAsia"/>
          <w:color w:val="000000"/>
          <w:sz w:val="21"/>
          <w:szCs w:val="21"/>
        </w:rPr>
        <w:t>的</w:t>
      </w:r>
      <w:r>
        <w:rPr>
          <w:rFonts w:asciiTheme="minorEastAsia" w:hAnsiTheme="minorEastAsia"/>
          <w:i/>
          <w:color w:val="000000"/>
          <w:sz w:val="21"/>
          <w:szCs w:val="21"/>
          <w:u w:val="single"/>
        </w:rPr>
        <w:t>项目</w:t>
      </w:r>
      <w:r>
        <w:rPr>
          <w:rFonts w:hint="eastAsia" w:asciiTheme="minorEastAsia" w:hAnsiTheme="minorEastAsia"/>
          <w:i/>
          <w:color w:val="000000"/>
          <w:sz w:val="21"/>
          <w:szCs w:val="21"/>
          <w:u w:val="single"/>
        </w:rPr>
        <w:t>名</w:t>
      </w:r>
      <w:r>
        <w:rPr>
          <w:rFonts w:asciiTheme="minorEastAsia" w:hAnsiTheme="minorEastAsia"/>
          <w:i/>
          <w:color w:val="000000"/>
          <w:sz w:val="21"/>
          <w:szCs w:val="21"/>
          <w:u w:val="single"/>
        </w:rPr>
        <w:t>称</w:t>
      </w:r>
      <w:r>
        <w:rPr>
          <w:rFonts w:hint="eastAsia" w:asciiTheme="minorEastAsia" w:hAnsiTheme="minorEastAsia"/>
          <w:color w:val="000000"/>
          <w:sz w:val="21"/>
          <w:szCs w:val="21"/>
        </w:rPr>
        <w:t>竞争性谈判</w:t>
      </w:r>
      <w:r>
        <w:rPr>
          <w:rFonts w:asciiTheme="minorEastAsia" w:hAnsiTheme="minorEastAsia"/>
          <w:color w:val="000000"/>
          <w:sz w:val="21"/>
          <w:szCs w:val="21"/>
        </w:rPr>
        <w:t>项目</w:t>
      </w:r>
      <w:r>
        <w:rPr>
          <w:rFonts w:hint="eastAsia" w:asciiTheme="minorEastAsia" w:hAnsiTheme="minorEastAsia"/>
          <w:color w:val="000000"/>
          <w:sz w:val="21"/>
          <w:szCs w:val="21"/>
        </w:rPr>
        <w:t>的响应</w:t>
      </w:r>
      <w:r>
        <w:rPr>
          <w:rFonts w:asciiTheme="minorEastAsia" w:hAnsiTheme="minorEastAsia"/>
          <w:color w:val="000000"/>
          <w:sz w:val="21"/>
          <w:szCs w:val="21"/>
        </w:rPr>
        <w:t>报价</w:t>
      </w:r>
      <w:r>
        <w:rPr>
          <w:rFonts w:hint="eastAsia" w:asciiTheme="minorEastAsia" w:hAnsiTheme="minorEastAsia"/>
          <w:color w:val="000000"/>
          <w:sz w:val="21"/>
          <w:szCs w:val="21"/>
        </w:rPr>
        <w:t>，</w:t>
      </w:r>
      <w:r>
        <w:rPr>
          <w:rFonts w:asciiTheme="minorEastAsia" w:hAnsiTheme="minorEastAsia"/>
          <w:color w:val="000000"/>
          <w:sz w:val="21"/>
          <w:szCs w:val="21"/>
        </w:rPr>
        <w:t>签</w:t>
      </w:r>
      <w:r>
        <w:rPr>
          <w:rFonts w:hint="eastAsia" w:asciiTheme="minorEastAsia" w:hAnsiTheme="minorEastAsia"/>
          <w:color w:val="000000"/>
          <w:sz w:val="21"/>
          <w:szCs w:val="21"/>
        </w:rPr>
        <w:t>署上</w:t>
      </w:r>
      <w:r>
        <w:rPr>
          <w:rFonts w:asciiTheme="minorEastAsia" w:hAnsiTheme="minorEastAsia"/>
          <w:color w:val="000000"/>
          <w:sz w:val="21"/>
          <w:szCs w:val="21"/>
        </w:rPr>
        <w:t>述项目</w:t>
      </w:r>
      <w:r>
        <w:rPr>
          <w:rFonts w:hint="eastAsia" w:asciiTheme="minorEastAsia" w:hAnsiTheme="minorEastAsia"/>
          <w:color w:val="000000"/>
          <w:sz w:val="21"/>
          <w:szCs w:val="21"/>
        </w:rPr>
        <w:t>的响应文件及合同的</w:t>
      </w:r>
      <w:r>
        <w:rPr>
          <w:rFonts w:asciiTheme="minorEastAsia" w:hAnsiTheme="minorEastAsia"/>
          <w:color w:val="000000"/>
          <w:sz w:val="21"/>
          <w:szCs w:val="21"/>
        </w:rPr>
        <w:t>执</w:t>
      </w:r>
      <w:r>
        <w:rPr>
          <w:rFonts w:hint="eastAsia" w:asciiTheme="minorEastAsia" w:hAnsiTheme="minorEastAsia"/>
          <w:color w:val="000000"/>
          <w:sz w:val="21"/>
          <w:szCs w:val="21"/>
        </w:rPr>
        <w:t>行、完成、服</w:t>
      </w:r>
      <w:r>
        <w:rPr>
          <w:rFonts w:asciiTheme="minorEastAsia" w:hAnsiTheme="minorEastAsia"/>
          <w:color w:val="000000"/>
          <w:sz w:val="21"/>
          <w:szCs w:val="21"/>
        </w:rPr>
        <w:t>务</w:t>
      </w:r>
      <w:r>
        <w:rPr>
          <w:rFonts w:hint="eastAsia" w:asciiTheme="minorEastAsia" w:hAnsiTheme="minorEastAsia"/>
          <w:color w:val="000000"/>
          <w:sz w:val="21"/>
          <w:szCs w:val="21"/>
        </w:rPr>
        <w:t>和保修，</w:t>
      </w:r>
      <w:r>
        <w:rPr>
          <w:rFonts w:asciiTheme="minorEastAsia" w:hAnsiTheme="minorEastAsia"/>
          <w:color w:val="000000"/>
          <w:sz w:val="21"/>
          <w:szCs w:val="21"/>
        </w:rPr>
        <w:t>签</w:t>
      </w:r>
      <w:r>
        <w:rPr>
          <w:rFonts w:hint="eastAsia" w:asciiTheme="minorEastAsia" w:hAnsiTheme="minorEastAsia"/>
          <w:color w:val="000000"/>
          <w:sz w:val="21"/>
          <w:szCs w:val="21"/>
        </w:rPr>
        <w:t>署合同和</w:t>
      </w:r>
      <w:r>
        <w:rPr>
          <w:rFonts w:asciiTheme="minorEastAsia" w:hAnsiTheme="minorEastAsia"/>
          <w:color w:val="000000"/>
          <w:sz w:val="21"/>
          <w:szCs w:val="21"/>
        </w:rPr>
        <w:t>处</w:t>
      </w:r>
      <w:r>
        <w:rPr>
          <w:rFonts w:hint="eastAsia" w:asciiTheme="minorEastAsia" w:hAnsiTheme="minorEastAsia"/>
          <w:color w:val="000000"/>
          <w:sz w:val="21"/>
          <w:szCs w:val="21"/>
        </w:rPr>
        <w:t>理与之有</w:t>
      </w:r>
      <w:r>
        <w:rPr>
          <w:rFonts w:asciiTheme="minorEastAsia" w:hAnsiTheme="minorEastAsia"/>
          <w:color w:val="000000"/>
          <w:sz w:val="21"/>
          <w:szCs w:val="21"/>
        </w:rPr>
        <w:t>关的</w:t>
      </w:r>
      <w:r>
        <w:rPr>
          <w:rFonts w:hint="eastAsia" w:asciiTheme="minorEastAsia" w:hAnsiTheme="minorEastAsia"/>
          <w:color w:val="000000"/>
          <w:sz w:val="21"/>
          <w:szCs w:val="21"/>
        </w:rPr>
        <w:t>一切事</w:t>
      </w:r>
      <w:r>
        <w:rPr>
          <w:rFonts w:asciiTheme="minorEastAsia" w:hAnsiTheme="minorEastAsia"/>
          <w:color w:val="000000"/>
          <w:sz w:val="21"/>
          <w:szCs w:val="21"/>
        </w:rPr>
        <w:t>务</w:t>
      </w:r>
      <w:r>
        <w:rPr>
          <w:rFonts w:hint="eastAsia" w:asciiTheme="minorEastAsia" w:hAnsiTheme="minorEastAsia"/>
          <w:color w:val="000000"/>
          <w:sz w:val="21"/>
          <w:szCs w:val="21"/>
        </w:rPr>
        <w:t>。</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特此</w:t>
      </w:r>
      <w:r>
        <w:rPr>
          <w:rFonts w:asciiTheme="minorEastAsia" w:hAnsiTheme="minorEastAsia"/>
          <w:color w:val="000000"/>
          <w:sz w:val="21"/>
          <w:szCs w:val="21"/>
        </w:rPr>
        <w:t>证</w:t>
      </w:r>
      <w:r>
        <w:rPr>
          <w:rFonts w:hint="eastAsia" w:asciiTheme="minorEastAsia" w:hAnsiTheme="minorEastAsia"/>
          <w:color w:val="000000"/>
          <w:sz w:val="21"/>
          <w:szCs w:val="21"/>
        </w:rPr>
        <w:t>明。</w:t>
      </w:r>
    </w:p>
    <w:p>
      <w:pPr>
        <w:pStyle w:val="47"/>
        <w:spacing w:line="480" w:lineRule="auto"/>
        <w:ind w:firstLine="472" w:firstLineChars="225"/>
        <w:jc w:val="left"/>
        <w:rPr>
          <w:rFonts w:asciiTheme="minorEastAsia" w:hAnsiTheme="minorEastAsia"/>
          <w:color w:val="000000"/>
          <w:sz w:val="21"/>
          <w:szCs w:val="21"/>
        </w:rPr>
      </w:pPr>
    </w:p>
    <w:p>
      <w:pPr>
        <w:pStyle w:val="47"/>
        <w:spacing w:line="480" w:lineRule="auto"/>
        <w:ind w:firstLine="472" w:firstLineChars="225"/>
        <w:jc w:val="left"/>
        <w:rPr>
          <w:rFonts w:asciiTheme="minorEastAsia" w:hAnsiTheme="minorEastAsia"/>
          <w:color w:val="000000"/>
          <w:sz w:val="21"/>
          <w:szCs w:val="21"/>
        </w:rPr>
      </w:pPr>
    </w:p>
    <w:p>
      <w:pPr>
        <w:pStyle w:val="47"/>
        <w:spacing w:line="480" w:lineRule="auto"/>
        <w:ind w:left="-538" w:leftChars="-256" w:firstLine="539" w:firstLineChars="257"/>
        <w:jc w:val="center"/>
        <w:rPr>
          <w:rFonts w:asciiTheme="minorEastAsia" w:hAnsiTheme="minorEastAsia"/>
          <w:bCs/>
          <w:color w:val="000000"/>
          <w:sz w:val="21"/>
          <w:szCs w:val="21"/>
        </w:rPr>
      </w:pPr>
      <w:r>
        <w:rPr>
          <w:rFonts w:hint="eastAsia" w:asciiTheme="minorEastAsia" w:hAnsiTheme="minorEastAsia"/>
          <w:bCs/>
          <w:color w:val="000000"/>
          <w:sz w:val="21"/>
          <w:szCs w:val="21"/>
        </w:rPr>
        <w:t>【此</w:t>
      </w:r>
      <w:r>
        <w:rPr>
          <w:rFonts w:asciiTheme="minorEastAsia" w:hAnsiTheme="minorEastAsia"/>
          <w:bCs/>
          <w:color w:val="000000"/>
          <w:sz w:val="21"/>
          <w:szCs w:val="21"/>
        </w:rPr>
        <w:t>处请</w:t>
      </w:r>
      <w:r>
        <w:rPr>
          <w:rFonts w:hint="eastAsia" w:asciiTheme="minorEastAsia" w:hAnsiTheme="minorEastAsia"/>
          <w:bCs/>
          <w:color w:val="000000"/>
          <w:sz w:val="21"/>
          <w:szCs w:val="21"/>
        </w:rPr>
        <w:t>粘</w:t>
      </w:r>
      <w:r>
        <w:rPr>
          <w:rFonts w:asciiTheme="minorEastAsia" w:hAnsiTheme="minorEastAsia"/>
          <w:bCs/>
          <w:color w:val="000000"/>
          <w:sz w:val="21"/>
          <w:szCs w:val="21"/>
        </w:rPr>
        <w:t>贴</w:t>
      </w:r>
      <w:r>
        <w:rPr>
          <w:rFonts w:hint="eastAsia" w:asciiTheme="minorEastAsia" w:hAnsiTheme="minorEastAsia"/>
          <w:bCs/>
          <w:color w:val="000000"/>
          <w:sz w:val="21"/>
          <w:szCs w:val="21"/>
        </w:rPr>
        <w:t>法定代表人（单位负责人）身份</w:t>
      </w:r>
      <w:r>
        <w:rPr>
          <w:rFonts w:asciiTheme="minorEastAsia" w:hAnsiTheme="minorEastAsia"/>
          <w:bCs/>
          <w:color w:val="000000"/>
          <w:sz w:val="21"/>
          <w:szCs w:val="21"/>
        </w:rPr>
        <w:t>证复</w:t>
      </w:r>
      <w:r>
        <w:rPr>
          <w:rFonts w:hint="eastAsia" w:asciiTheme="minorEastAsia" w:hAnsiTheme="minorEastAsia"/>
          <w:bCs/>
          <w:color w:val="000000"/>
          <w:sz w:val="21"/>
          <w:szCs w:val="21"/>
        </w:rPr>
        <w:t>印件，需清晰反映身份证有效期限】</w:t>
      </w:r>
    </w:p>
    <w:p>
      <w:pPr>
        <w:pStyle w:val="47"/>
        <w:spacing w:line="480" w:lineRule="auto"/>
        <w:ind w:left="-538" w:leftChars="-256" w:firstLine="539" w:firstLineChars="257"/>
        <w:jc w:val="center"/>
        <w:rPr>
          <w:rFonts w:asciiTheme="minorEastAsia" w:hAnsiTheme="minorEastAsia"/>
          <w:bCs/>
          <w:color w:val="000000"/>
          <w:sz w:val="21"/>
          <w:szCs w:val="21"/>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spacing w:line="480" w:lineRule="auto"/>
        <w:ind w:firstLine="3937" w:firstLineChars="1875"/>
        <w:rPr>
          <w:rFonts w:cs="Arial" w:asciiTheme="minorEastAsia" w:hAnsiTheme="minorEastAsia"/>
          <w:color w:val="000000"/>
          <w:szCs w:val="21"/>
          <w:u w:val="single"/>
        </w:rPr>
      </w:pPr>
      <w:r>
        <w:rPr>
          <w:rFonts w:hint="eastAsia" w:cs="Arial" w:asciiTheme="minorEastAsia" w:hAnsiTheme="minorEastAsia"/>
          <w:color w:val="000000"/>
          <w:szCs w:val="21"/>
        </w:rPr>
        <w:t>供应商名称（并加盖公章）：</w:t>
      </w:r>
    </w:p>
    <w:p>
      <w:pPr>
        <w:pStyle w:val="50"/>
        <w:spacing w:before="60" w:line="480" w:lineRule="auto"/>
        <w:ind w:firstLine="3937" w:firstLineChars="1875"/>
        <w:rPr>
          <w:rFonts w:cs="Arial" w:asciiTheme="minorEastAsia" w:hAnsiTheme="minorEastAsia" w:eastAsiaTheme="minorEastAsia"/>
          <w:color w:val="000000"/>
          <w:sz w:val="21"/>
          <w:szCs w:val="21"/>
        </w:rPr>
      </w:pPr>
      <w:r>
        <w:rPr>
          <w:rFonts w:hint="eastAsia" w:cs="Arial" w:asciiTheme="minorEastAsia" w:hAnsiTheme="minorEastAsia" w:eastAsiaTheme="minorEastAsia"/>
          <w:color w:val="000000"/>
          <w:sz w:val="21"/>
          <w:szCs w:val="21"/>
        </w:rPr>
        <w:t>签署日期：   年   月  日</w:t>
      </w:r>
    </w:p>
    <w:p>
      <w:pPr>
        <w:pStyle w:val="49"/>
        <w:spacing w:line="480" w:lineRule="auto"/>
        <w:rPr>
          <w:rFonts w:cs="Arial" w:asciiTheme="minorEastAsia" w:hAnsiTheme="minorEastAsia"/>
          <w:color w:val="000000"/>
          <w:sz w:val="21"/>
          <w:szCs w:val="21"/>
        </w:rPr>
      </w:pPr>
    </w:p>
    <w:p>
      <w:pPr>
        <w:rPr>
          <w:szCs w:val="21"/>
        </w:rPr>
      </w:pPr>
    </w:p>
    <w:p>
      <w:pPr>
        <w:spacing w:line="320" w:lineRule="exact"/>
        <w:ind w:firstLine="420" w:firstLineChars="200"/>
        <w:rPr>
          <w:rFonts w:asciiTheme="minorEastAsia" w:hAnsiTheme="minorEastAsia"/>
          <w:bCs/>
          <w:color w:val="000000"/>
          <w:kern w:val="12"/>
          <w:szCs w:val="21"/>
        </w:rPr>
      </w:pPr>
      <w:r>
        <w:rPr>
          <w:rFonts w:hint="eastAsia" w:asciiTheme="minorEastAsia" w:hAnsiTheme="minorEastAsia"/>
          <w:bCs/>
          <w:color w:val="000000"/>
          <w:kern w:val="12"/>
          <w:szCs w:val="21"/>
        </w:rPr>
        <w:t>说明：法定代表人（单位负责人）</w:t>
      </w:r>
      <w:r>
        <w:rPr>
          <w:rFonts w:asciiTheme="minorEastAsia" w:hAnsiTheme="minorEastAsia"/>
          <w:bCs/>
          <w:color w:val="000000"/>
          <w:kern w:val="12"/>
          <w:szCs w:val="21"/>
        </w:rPr>
        <w:t>参</w:t>
      </w:r>
      <w:r>
        <w:rPr>
          <w:rFonts w:hint="eastAsia" w:asciiTheme="minorEastAsia" w:hAnsiTheme="minorEastAsia"/>
          <w:bCs/>
          <w:color w:val="000000"/>
          <w:kern w:val="12"/>
          <w:szCs w:val="21"/>
        </w:rPr>
        <w:t>加本竞争性谈判</w:t>
      </w:r>
      <w:r>
        <w:rPr>
          <w:rFonts w:asciiTheme="minorEastAsia" w:hAnsiTheme="minorEastAsia"/>
          <w:bCs/>
          <w:color w:val="000000"/>
          <w:kern w:val="12"/>
          <w:szCs w:val="21"/>
        </w:rPr>
        <w:t>项目</w:t>
      </w:r>
      <w:r>
        <w:rPr>
          <w:rFonts w:hint="eastAsia" w:asciiTheme="minorEastAsia" w:hAnsiTheme="minorEastAsia"/>
          <w:bCs/>
          <w:color w:val="000000"/>
          <w:kern w:val="12"/>
          <w:szCs w:val="21"/>
        </w:rPr>
        <w:t>响应的，</w:t>
      </w:r>
      <w:r>
        <w:rPr>
          <w:rFonts w:asciiTheme="minorEastAsia" w:hAnsiTheme="minorEastAsia"/>
          <w:bCs/>
          <w:color w:val="000000"/>
          <w:kern w:val="12"/>
          <w:szCs w:val="21"/>
        </w:rPr>
        <w:t>仅须</w:t>
      </w:r>
      <w:r>
        <w:rPr>
          <w:rFonts w:hint="eastAsia" w:asciiTheme="minorEastAsia" w:hAnsiTheme="minorEastAsia"/>
          <w:bCs/>
          <w:color w:val="000000"/>
          <w:kern w:val="12"/>
          <w:szCs w:val="21"/>
        </w:rPr>
        <w:t>出具此</w:t>
      </w:r>
      <w:r>
        <w:rPr>
          <w:rFonts w:asciiTheme="minorEastAsia" w:hAnsiTheme="minorEastAsia"/>
          <w:bCs/>
          <w:color w:val="000000"/>
          <w:kern w:val="12"/>
          <w:szCs w:val="21"/>
        </w:rPr>
        <w:t>证</w:t>
      </w:r>
      <w:r>
        <w:rPr>
          <w:rFonts w:hint="eastAsia" w:asciiTheme="minorEastAsia" w:hAnsiTheme="minorEastAsia"/>
          <w:bCs/>
          <w:color w:val="000000"/>
          <w:kern w:val="12"/>
          <w:szCs w:val="21"/>
        </w:rPr>
        <w:t>明</w:t>
      </w:r>
      <w:r>
        <w:rPr>
          <w:rFonts w:asciiTheme="minorEastAsia" w:hAnsiTheme="minorEastAsia"/>
          <w:bCs/>
          <w:color w:val="000000"/>
          <w:kern w:val="12"/>
          <w:szCs w:val="21"/>
        </w:rPr>
        <w:t>书</w:t>
      </w:r>
      <w:r>
        <w:rPr>
          <w:rFonts w:hint="eastAsia" w:asciiTheme="minorEastAsia" w:hAnsiTheme="minorEastAsia"/>
          <w:bCs/>
          <w:color w:val="000000"/>
          <w:kern w:val="12"/>
          <w:szCs w:val="21"/>
        </w:rPr>
        <w:t>。</w:t>
      </w:r>
    </w:p>
    <w:p>
      <w:pPr>
        <w:spacing w:line="480" w:lineRule="exact"/>
        <w:jc w:val="center"/>
        <w:rPr>
          <w:rFonts w:ascii="宋体" w:hAnsi="宋体"/>
          <w:b/>
          <w:bCs/>
          <w:color w:val="000000"/>
          <w:sz w:val="36"/>
          <w:szCs w:val="36"/>
        </w:rPr>
      </w:pPr>
    </w:p>
    <w:p>
      <w:pPr>
        <w:spacing w:line="480" w:lineRule="exact"/>
        <w:jc w:val="center"/>
        <w:rPr>
          <w:rFonts w:ascii="宋体" w:hAnsi="宋体"/>
          <w:b/>
          <w:bCs/>
          <w:color w:val="000000"/>
          <w:sz w:val="24"/>
          <w:szCs w:val="24"/>
        </w:rPr>
      </w:pPr>
      <w:r>
        <w:rPr>
          <w:rFonts w:hint="eastAsia" w:ascii="宋体" w:hAnsi="宋体"/>
          <w:b/>
          <w:bCs/>
          <w:color w:val="000000"/>
          <w:sz w:val="24"/>
          <w:szCs w:val="24"/>
        </w:rPr>
        <w:t>3.3 法定代表人（单位负责人）授权书</w:t>
      </w:r>
    </w:p>
    <w:p>
      <w:pPr>
        <w:spacing w:line="480" w:lineRule="exact"/>
        <w:jc w:val="center"/>
        <w:rPr>
          <w:rFonts w:ascii="宋体" w:hAnsi="宋体"/>
          <w:b/>
          <w:bCs/>
          <w:color w:val="000000"/>
          <w:sz w:val="36"/>
          <w:szCs w:val="36"/>
        </w:rPr>
      </w:pP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供应商名称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以我方的名义参加贵方______________________项目的谈判响应活动，并代表我方全权办理针对上述项目的谈判、响应文件澄清、签约等一切具体事务和签署相关文件。</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pPr>
        <w:spacing w:line="480" w:lineRule="auto"/>
        <w:ind w:firstLine="420" w:firstLineChars="200"/>
        <w:rPr>
          <w:rFonts w:asciiTheme="minorEastAsia" w:hAnsiTheme="minorEastAsia"/>
          <w:szCs w:val="21"/>
        </w:rPr>
      </w:pPr>
      <w:r>
        <w:rPr>
          <w:rFonts w:hint="eastAsia" w:asciiTheme="minorEastAsia" w:hAnsiTheme="minorEastAsia"/>
          <w:szCs w:val="21"/>
        </w:rPr>
        <w:t xml:space="preserve">投标人名称： </w:t>
      </w:r>
      <w:r>
        <w:rPr>
          <w:rFonts w:hint="eastAsia" w:asciiTheme="minorEastAsia" w:hAnsiTheme="minorEastAsia"/>
          <w:szCs w:val="21"/>
          <w:u w:val="single"/>
        </w:rPr>
        <w:t xml:space="preserve">       （全称）       </w:t>
      </w:r>
      <w:r>
        <w:rPr>
          <w:rFonts w:hint="eastAsia" w:asciiTheme="minorEastAsia" w:hAnsiTheme="minorEastAsia"/>
          <w:szCs w:val="21"/>
        </w:rPr>
        <w:t xml:space="preserve"> （盖单位公章）</w:t>
      </w:r>
    </w:p>
    <w:p>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              （签字或加盖名章）</w:t>
      </w:r>
    </w:p>
    <w:p>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  （签字或加盖名章）</w:t>
      </w:r>
    </w:p>
    <w:tbl>
      <w:tblPr>
        <w:tblStyle w:val="24"/>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（正面）</w:t>
            </w:r>
          </w:p>
        </w:tc>
        <w:tc>
          <w:tcPr>
            <w:tcW w:w="4492"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（反面）</w:t>
            </w:r>
          </w:p>
        </w:tc>
      </w:tr>
    </w:tbl>
    <w:p>
      <w:pPr>
        <w:spacing w:line="320" w:lineRule="exact"/>
        <w:ind w:left="2" w:firstLine="357" w:firstLineChars="149"/>
        <w:rPr>
          <w:rFonts w:cs="Courier New" w:asciiTheme="minorEastAsia" w:hAnsiTheme="minorEastAsia"/>
          <w:sz w:val="24"/>
          <w:szCs w:val="24"/>
        </w:rPr>
      </w:pPr>
    </w:p>
    <w:p>
      <w:pPr>
        <w:widowControl/>
        <w:spacing w:before="100" w:beforeAutospacing="1" w:after="100" w:afterAutospacing="1" w:line="360" w:lineRule="auto"/>
        <w:jc w:val="center"/>
        <w:rPr>
          <w:rFonts w:ascii="宋体" w:hAnsi="宋体"/>
          <w:b/>
          <w:bCs/>
          <w:color w:val="000000"/>
          <w:sz w:val="24"/>
          <w:szCs w:val="24"/>
        </w:rPr>
      </w:pPr>
      <w:r>
        <w:rPr>
          <w:rFonts w:hint="eastAsia" w:ascii="宋体" w:hAnsi="宋体"/>
          <w:b/>
          <w:bCs/>
          <w:color w:val="000000"/>
          <w:sz w:val="24"/>
          <w:szCs w:val="24"/>
        </w:rPr>
        <w:t>3.4 没有重大违法记录的声明</w:t>
      </w:r>
    </w:p>
    <w:p>
      <w:pPr>
        <w:spacing w:beforeLines="50" w:afterLines="50"/>
        <w:jc w:val="center"/>
        <w:rPr>
          <w:rFonts w:ascii="宋体" w:hAnsi="宋体" w:cs="Arial"/>
          <w:color w:val="000000"/>
          <w:kern w:val="0"/>
          <w:sz w:val="28"/>
          <w:szCs w:val="28"/>
        </w:rPr>
      </w:pPr>
      <w:r>
        <w:rPr>
          <w:rFonts w:hint="eastAsia" w:ascii="宋体" w:hAnsi="宋体" w:cs="Arial"/>
          <w:color w:val="000000"/>
          <w:kern w:val="0"/>
          <w:sz w:val="28"/>
          <w:szCs w:val="28"/>
        </w:rPr>
        <w:t>声　   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特此声明。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lang w:val="zh-CN"/>
        </w:rPr>
      </w:pP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单位名称（盖章）：</w:t>
      </w: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 xml:space="preserve">日    期：     </w:t>
      </w:r>
      <w:r>
        <w:rPr>
          <w:rFonts w:hint="eastAsia" w:cs="宋体" w:asciiTheme="minorEastAsia" w:hAnsiTheme="minorEastAsia"/>
          <w:szCs w:val="21"/>
        </w:rPr>
        <w:t>年    月    日</w:t>
      </w:r>
    </w:p>
    <w:p>
      <w:pPr>
        <w:spacing w:beforeLines="50" w:afterLines="50" w:line="360" w:lineRule="auto"/>
        <w:ind w:right="420" w:firstLine="5486" w:firstLineChars="2286"/>
        <w:rPr>
          <w:rFonts w:cs="宋体" w:asciiTheme="minorEastAsia" w:hAnsiTheme="minorEastAsia"/>
          <w:sz w:val="24"/>
          <w:szCs w:val="24"/>
          <w:lang w:val="zh-CN"/>
        </w:rPr>
      </w:pPr>
    </w:p>
    <w:p>
      <w:pPr>
        <w:autoSpaceDE w:val="0"/>
        <w:autoSpaceDN w:val="0"/>
        <w:adjustRightInd w:val="0"/>
        <w:spacing w:line="360" w:lineRule="auto"/>
        <w:ind w:firstLine="3373" w:firstLineChars="1400"/>
        <w:jc w:val="both"/>
        <w:outlineLvl w:val="0"/>
        <w:rPr>
          <w:rFonts w:hAnsi="宋体" w:eastAsia="宋体"/>
          <w:b/>
          <w:snapToGrid w:val="0"/>
          <w:kern w:val="0"/>
          <w:sz w:val="36"/>
          <w:szCs w:val="36"/>
        </w:rPr>
      </w:pPr>
      <w:r>
        <w:rPr>
          <w:rFonts w:hint="eastAsia" w:ascii="宋体" w:hAnsi="宋体"/>
          <w:b/>
          <w:bCs/>
          <w:color w:val="000000"/>
          <w:sz w:val="24"/>
          <w:szCs w:val="24"/>
        </w:rPr>
        <w:t xml:space="preserve"> 3.5 投标承诺函</w:t>
      </w:r>
    </w:p>
    <w:p>
      <w:pPr>
        <w:autoSpaceDE w:val="0"/>
        <w:autoSpaceDN w:val="0"/>
        <w:adjustRightInd w:val="0"/>
        <w:spacing w:line="360" w:lineRule="auto"/>
        <w:jc w:val="center"/>
        <w:outlineLvl w:val="0"/>
        <w:rPr>
          <w:rFonts w:hint="eastAsia" w:ascii="宋体" w:hAnsi="宋体"/>
          <w:b/>
          <w:bCs/>
          <w:color w:val="000000"/>
          <w:sz w:val="24"/>
          <w:szCs w:val="24"/>
          <w:lang w:val="zh-CN"/>
        </w:rPr>
      </w:pPr>
    </w:p>
    <w:p>
      <w:pPr>
        <w:autoSpaceDE w:val="0"/>
        <w:autoSpaceDN w:val="0"/>
        <w:adjustRightInd w:val="0"/>
        <w:spacing w:line="360" w:lineRule="auto"/>
        <w:jc w:val="center"/>
        <w:outlineLvl w:val="0"/>
        <w:rPr>
          <w:rFonts w:ascii="宋体" w:hAnsi="宋体"/>
          <w:b/>
          <w:bCs/>
          <w:color w:val="000000"/>
          <w:sz w:val="24"/>
          <w:szCs w:val="24"/>
          <w:lang w:val="zh-CN"/>
        </w:rPr>
      </w:pPr>
      <w:r>
        <w:rPr>
          <w:rFonts w:hint="eastAsia" w:ascii="宋体" w:hAnsi="宋体"/>
          <w:b/>
          <w:bCs/>
          <w:color w:val="000000"/>
          <w:sz w:val="24"/>
          <w:szCs w:val="24"/>
          <w:lang w:val="zh-CN"/>
        </w:rPr>
        <w:t>投标承诺函</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本企业郑重承诺：</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一、将遵循公开、公平、公正和诚实信用的原则参加(</w:t>
      </w:r>
      <w:r>
        <w:rPr>
          <w:rFonts w:hint="eastAsia" w:asciiTheme="minorEastAsia" w:hAnsiTheme="minorEastAsia" w:eastAsiaTheme="minorEastAsia" w:cstheme="minorBidi"/>
          <w:color w:val="FF0000"/>
          <w:sz w:val="21"/>
          <w:szCs w:val="21"/>
        </w:rPr>
        <w:t>具体政府采购项目名称</w:t>
      </w:r>
      <w:r>
        <w:rPr>
          <w:rFonts w:hint="eastAsia" w:asciiTheme="minorEastAsia" w:hAnsiTheme="minorEastAsia" w:eastAsiaTheme="minorEastAsia" w:cstheme="minorBidi"/>
          <w:color w:val="000000"/>
          <w:sz w:val="21"/>
          <w:szCs w:val="21"/>
        </w:rPr>
        <w:t>）的投标;</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 xml:space="preserve">二、本次投标所提供的一切材料都是真实、有效、合法的; </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三、不与其他投标人相互串通投标报价，不排挤其他投标人的公平竞争，不损害采购人或其他投标人的合法权益;</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四、不与采购人或集中采购机构串通投标，不损害国家利益、社会公共利益或者他人的合法权益;</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五、不向采购人或者</w:t>
      </w:r>
      <w:r>
        <w:fldChar w:fldCharType="begin"/>
      </w:r>
      <w:r>
        <w:instrText xml:space="preserve"> HYPERLINK "http://www.cbi360.net/hyjd/1zt102.html" \t "https://www.cbi360.net/hyjd/20170619/_blank" </w:instrText>
      </w:r>
      <w:r>
        <w:fldChar w:fldCharType="separate"/>
      </w:r>
      <w:r>
        <w:rPr>
          <w:rFonts w:hint="eastAsia" w:asciiTheme="minorEastAsia" w:hAnsiTheme="minorEastAsia" w:eastAsiaTheme="minorEastAsia" w:cstheme="minorBidi"/>
          <w:color w:val="000000"/>
          <w:sz w:val="21"/>
          <w:szCs w:val="21"/>
        </w:rPr>
        <w:t>评标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委员会成员行贿以牟取</w:t>
      </w:r>
      <w:r>
        <w:fldChar w:fldCharType="begin"/>
      </w:r>
      <w:r>
        <w:instrText xml:space="preserve"> HYPERLINK "http://hhb.cbi360.net/TenderBangSoso.aspx" \t "https://www.cbi360.net/hyjd/20170619/_blank" </w:instrText>
      </w:r>
      <w:r>
        <w:fldChar w:fldCharType="separate"/>
      </w:r>
      <w:r>
        <w:rPr>
          <w:rFonts w:hint="eastAsia" w:asciiTheme="minorEastAsia" w:hAnsiTheme="minorEastAsia" w:eastAsiaTheme="minorEastAsia" w:cstheme="minorBidi"/>
          <w:color w:val="000000"/>
          <w:sz w:val="21"/>
          <w:szCs w:val="21"/>
        </w:rPr>
        <w:t>中标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六、不以他人名义投标或者以其他方式弄虚作假，骗取中标;</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七、不扰乱禹州市政府采购市场秩序;</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八、不在</w:t>
      </w:r>
      <w:r>
        <w:fldChar w:fldCharType="begin"/>
      </w:r>
      <w:r>
        <w:instrText xml:space="preserve"> HYPERLINK "http://www.cbi360.net/hyjd/1zt99.html" \t "https://www.cbi360.net/hyjd/20170619/_blank" </w:instrText>
      </w:r>
      <w:r>
        <w:fldChar w:fldCharType="separate"/>
      </w:r>
      <w:r>
        <w:rPr>
          <w:rFonts w:hint="eastAsia" w:asciiTheme="minorEastAsia" w:hAnsiTheme="minorEastAsia" w:eastAsiaTheme="minorEastAsia" w:cstheme="minorBidi"/>
          <w:color w:val="000000"/>
          <w:sz w:val="21"/>
          <w:szCs w:val="21"/>
        </w:rPr>
        <w:t>开标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后进行虚假恶意投诉;</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九、中标后不得将</w:t>
      </w:r>
      <w:r>
        <w:fldChar w:fldCharType="begin"/>
      </w:r>
      <w:r>
        <w:instrText xml:space="preserve"> HYPERLINK "http://www.cbi360.net/hyjd/1zt49.html" \t "https://www.cbi360.net/hyjd/20170619/_blank" </w:instrText>
      </w:r>
      <w:r>
        <w:fldChar w:fldCharType="separate"/>
      </w:r>
      <w:r>
        <w:rPr>
          <w:rFonts w:hint="eastAsia" w:asciiTheme="minorEastAsia" w:hAnsiTheme="minorEastAsia" w:eastAsiaTheme="minorEastAsia" w:cstheme="minorBidi"/>
          <w:color w:val="000000"/>
          <w:sz w:val="21"/>
          <w:szCs w:val="21"/>
        </w:rPr>
        <w:t>招标文件</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规定不予转包、分包的项目转包、分包于他人。</w:t>
      </w:r>
    </w:p>
    <w:p>
      <w:pPr>
        <w:pStyle w:val="21"/>
        <w:keepNext w:val="0"/>
        <w:keepLines w:val="0"/>
        <w:pageBreakBefore w:val="0"/>
        <w:widowControl/>
        <w:shd w:val="clear" w:color="auto" w:fill="FFFFFF"/>
        <w:kinsoku/>
        <w:wordWrap/>
        <w:overflowPunct/>
        <w:topLinePunct w:val="0"/>
        <w:autoSpaceDE/>
        <w:autoSpaceDN/>
        <w:bidi w:val="0"/>
        <w:adjustRightInd/>
        <w:snapToGrid/>
        <w:spacing w:after="300" w:line="360" w:lineRule="auto"/>
        <w:ind w:firstLine="420" w:firstLineChars="200"/>
        <w:textAlignment w:val="auto"/>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本公司若有违反本承诺内容的行为，愿意承担法律责任，包括：愿意接受相关行政主管部门作出的处罚，愿意接受禹州市政府采购监督管理办公室作出的罚没履约保证金或者现金处罚、限制交易和停止交易等市场准入与清出的处理。</w:t>
      </w:r>
    </w:p>
    <w:p>
      <w:pPr>
        <w:pStyle w:val="21"/>
        <w:widowControl/>
        <w:shd w:val="clear" w:color="auto" w:fill="FFFFFF"/>
        <w:spacing w:after="300" w:line="336" w:lineRule="atLeast"/>
        <w:rPr>
          <w:rFonts w:asciiTheme="minorEastAsia" w:hAnsiTheme="minorEastAsia" w:eastAsiaTheme="minorEastAsia" w:cstheme="minorBidi"/>
          <w:color w:val="000000"/>
          <w:sz w:val="21"/>
          <w:szCs w:val="21"/>
        </w:rPr>
      </w:pPr>
    </w:p>
    <w:p>
      <w:pPr>
        <w:pStyle w:val="21"/>
        <w:widowControl/>
        <w:shd w:val="clear" w:color="auto" w:fill="FFFFFF"/>
        <w:spacing w:after="300" w:line="336" w:lineRule="atLeast"/>
        <w:ind w:firstLine="3570" w:firstLineChars="17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法定代表人或者被委托人（签字盖章)：</w:t>
      </w:r>
    </w:p>
    <w:p>
      <w:pPr>
        <w:pStyle w:val="21"/>
        <w:widowControl/>
        <w:shd w:val="clear" w:color="auto" w:fill="FFFFFF"/>
        <w:spacing w:after="300" w:line="336" w:lineRule="atLeast"/>
        <w:ind w:firstLine="3570" w:firstLineChars="17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投标商名称(盖章)：</w:t>
      </w:r>
    </w:p>
    <w:p>
      <w:pPr>
        <w:pStyle w:val="21"/>
        <w:widowControl/>
        <w:shd w:val="clear" w:color="auto" w:fill="FFFFFF"/>
        <w:spacing w:after="300" w:line="336" w:lineRule="atLeast"/>
        <w:ind w:firstLine="6300" w:firstLineChars="3000"/>
        <w:rPr>
          <w:rFonts w:cs="宋体" w:asciiTheme="minorEastAsia" w:hAnsiTheme="minorEastAsia"/>
          <w:sz w:val="24"/>
          <w:szCs w:val="24"/>
          <w:lang w:val="zh-CN"/>
        </w:rPr>
      </w:pPr>
      <w:r>
        <w:rPr>
          <w:rFonts w:hint="eastAsia" w:asciiTheme="minorEastAsia" w:hAnsiTheme="minorEastAsia" w:eastAsiaTheme="minorEastAsia" w:cstheme="minorBidi"/>
          <w:color w:val="000000"/>
          <w:sz w:val="21"/>
          <w:szCs w:val="21"/>
        </w:rPr>
        <w:t>年  月  日</w:t>
      </w:r>
    </w:p>
    <w:p>
      <w:pPr>
        <w:autoSpaceDE w:val="0"/>
        <w:autoSpaceDN w:val="0"/>
        <w:adjustRightInd w:val="0"/>
        <w:spacing w:line="360" w:lineRule="auto"/>
        <w:jc w:val="both"/>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3.6 其他资格证书或材料 </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both"/>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both"/>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四、符合性审查证明材料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仿宋" w:hAnsi="仿宋" w:eastAsia="仿宋" w:cs="仿宋"/>
          <w:sz w:val="24"/>
          <w:szCs w:val="24"/>
        </w:rPr>
        <w:t xml:space="preserve">                </w:t>
      </w:r>
      <w:r>
        <w:rPr>
          <w:rFonts w:hint="eastAsia" w:ascii="宋体" w:hAnsi="宋体"/>
          <w:b/>
          <w:bCs/>
          <w:color w:val="000000"/>
          <w:sz w:val="24"/>
          <w:szCs w:val="24"/>
        </w:rPr>
        <w:t>4.1分项报价表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4"/>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产地及</w:t>
            </w:r>
          </w:p>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spacing w:line="300" w:lineRule="exact"/>
        <w:rPr>
          <w:rFonts w:asciiTheme="minorEastAsia" w:hAnsiTheme="minorEastAsia"/>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4.2 技术规格偏离表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4"/>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8"/>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招标文件</w:t>
            </w:r>
          </w:p>
          <w:p>
            <w:pPr>
              <w:pStyle w:val="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投标技术</w:t>
            </w:r>
          </w:p>
          <w:p>
            <w:pPr>
              <w:pStyle w:val="8"/>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8"/>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360" w:lineRule="auto"/>
        <w:jc w:val="center"/>
        <w:outlineLvl w:val="0"/>
        <w:rPr>
          <w:rFonts w:hint="eastAsia" w:ascii="宋体" w:hAnsi="宋体" w:eastAsiaTheme="minorEastAsia"/>
          <w:b/>
          <w:bCs/>
          <w:color w:val="000000"/>
          <w:sz w:val="24"/>
          <w:szCs w:val="24"/>
          <w:lang w:eastAsia="zh-CN"/>
        </w:rPr>
      </w:pPr>
      <w:r>
        <w:rPr>
          <w:rFonts w:hint="eastAsia" w:ascii="宋体" w:hAnsi="宋体"/>
          <w:b/>
          <w:bCs/>
          <w:color w:val="000000"/>
          <w:sz w:val="24"/>
          <w:szCs w:val="24"/>
        </w:rPr>
        <w:t>4.3 技术方案（实施方案）</w:t>
      </w: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（供应商根据谈判文件要求自行编制）</w:t>
      </w: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4.4 业绩情况表</w:t>
      </w:r>
    </w:p>
    <w:p>
      <w:pPr>
        <w:autoSpaceDE w:val="0"/>
        <w:autoSpaceDN w:val="0"/>
        <w:adjustRightInd w:val="0"/>
        <w:spacing w:line="360" w:lineRule="auto"/>
        <w:jc w:val="center"/>
        <w:outlineLvl w:val="0"/>
        <w:rPr>
          <w:rFonts w:ascii="宋体" w:hAnsi="宋体"/>
          <w:b/>
          <w:bCs/>
          <w:color w:val="00000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napToGrid w:val="0"/>
        <w:spacing w:line="360" w:lineRule="auto"/>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4"/>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712"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合同金额</w:t>
            </w:r>
          </w:p>
          <w:p>
            <w:pPr>
              <w:pStyle w:val="8"/>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4.5 售后服务方案</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（供应商根据谈判文件要求自行编制）</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4.6 中小企业声明函</w:t>
      </w:r>
    </w:p>
    <w:p>
      <w:pPr>
        <w:spacing w:line="360" w:lineRule="auto"/>
        <w:jc w:val="center"/>
        <w:rPr>
          <w:rFonts w:ascii="宋体" w:hAnsi="宋体"/>
          <w:b/>
          <w:bCs/>
          <w:color w:val="000000"/>
          <w:szCs w:val="21"/>
        </w:rPr>
      </w:pP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本公司郑重声明，根据《政府采购促进中小企业发展暂行办法》（财库[2011]181号）的规定，本公司为______（请填写：中型、小型、微型）企业。即，本公司同时满足以下条件：</w:t>
      </w:r>
      <w:r>
        <w:rPr>
          <w:rFonts w:hint="eastAsia" w:ascii="宋体" w:hAnsi="宋体" w:cs="Arial"/>
          <w:color w:val="000000"/>
          <w:kern w:val="0"/>
          <w:szCs w:val="21"/>
        </w:rPr>
        <w:br w:type="textWrapping"/>
      </w:r>
      <w:r>
        <w:rPr>
          <w:rFonts w:hint="eastAsia" w:ascii="宋体" w:hAnsi="宋体" w:cs="Arial"/>
          <w:color w:val="000000"/>
          <w:kern w:val="0"/>
          <w:szCs w:val="21"/>
        </w:rPr>
        <w:t>　　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hint="eastAsia"/>
          <w:color w:val="000000"/>
          <w:szCs w:val="21"/>
        </w:rPr>
        <w:t>，截至上一财年末，公司资产总额</w:t>
      </w:r>
      <w:r>
        <w:rPr>
          <w:color w:val="000000"/>
          <w:szCs w:val="21"/>
        </w:rPr>
        <w:t>______</w:t>
      </w:r>
      <w:r>
        <w:rPr>
          <w:rFonts w:hint="eastAsia"/>
          <w:color w:val="000000"/>
          <w:szCs w:val="21"/>
        </w:rPr>
        <w:t>万元，营业收入</w:t>
      </w:r>
      <w:r>
        <w:rPr>
          <w:color w:val="000000"/>
          <w:szCs w:val="21"/>
        </w:rPr>
        <w:t>______</w:t>
      </w:r>
      <w:r>
        <w:rPr>
          <w:rFonts w:hint="eastAsia"/>
          <w:color w:val="000000"/>
          <w:szCs w:val="21"/>
        </w:rPr>
        <w:t>万元，从业人员</w:t>
      </w:r>
      <w:r>
        <w:rPr>
          <w:color w:val="000000"/>
          <w:szCs w:val="21"/>
        </w:rPr>
        <w:t>______</w:t>
      </w:r>
      <w:r>
        <w:rPr>
          <w:rFonts w:hint="eastAsia"/>
          <w:color w:val="000000"/>
          <w:szCs w:val="21"/>
        </w:rPr>
        <w:t>人，</w:t>
      </w:r>
      <w:r>
        <w:rPr>
          <w:rFonts w:hint="eastAsia" w:ascii="宋体" w:hAnsi="宋体" w:cs="Arial"/>
          <w:color w:val="000000"/>
          <w:kern w:val="0"/>
          <w:szCs w:val="21"/>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r>
        <w:rPr>
          <w:rFonts w:hint="eastAsia" w:ascii="宋体" w:hAnsi="宋体" w:cs="Arial"/>
          <w:color w:val="000000"/>
          <w:kern w:val="0"/>
          <w:szCs w:val="21"/>
        </w:rPr>
        <w:t>企业名称（盖章）：　　　　　　　　　</w:t>
      </w:r>
      <w:r>
        <w:rPr>
          <w:rFonts w:hint="eastAsia" w:ascii="宋体" w:hAnsi="宋体" w:cs="Arial"/>
          <w:color w:val="000000"/>
          <w:kern w:val="0"/>
          <w:szCs w:val="21"/>
        </w:rPr>
        <w:br w:type="textWrapping"/>
      </w:r>
      <w:r>
        <w:rPr>
          <w:rFonts w:hint="eastAsia" w:ascii="宋体" w:hAnsi="宋体" w:cs="Arial"/>
          <w:color w:val="000000"/>
          <w:kern w:val="0"/>
          <w:szCs w:val="21"/>
        </w:rPr>
        <w:t xml:space="preserve">日　  期：      </w:t>
      </w:r>
      <w:r>
        <w:rPr>
          <w:rFonts w:hint="eastAsia" w:cs="宋体" w:asciiTheme="minorEastAsia" w:hAnsiTheme="minorEastAsia"/>
          <w:szCs w:val="21"/>
        </w:rPr>
        <w:t>年    月    日</w:t>
      </w:r>
    </w:p>
    <w:p>
      <w:pPr>
        <w:widowControl/>
        <w:spacing w:before="100" w:beforeAutospacing="1" w:after="100" w:afterAutospacing="1" w:line="360" w:lineRule="auto"/>
        <w:contextualSpacing/>
        <w:jc w:val="left"/>
        <w:rPr>
          <w:rFonts w:ascii="宋体" w:hAnsi="宋体"/>
          <w:color w:val="000000"/>
          <w:szCs w:val="21"/>
        </w:rPr>
      </w:pPr>
      <w:r>
        <w:rPr>
          <w:rFonts w:hint="eastAsia" w:ascii="宋体" w:hAnsi="宋体"/>
          <w:color w:val="000000"/>
          <w:szCs w:val="21"/>
        </w:rPr>
        <w:t>说明：</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2、如供应商为联合投标的，联合供应商需分别填写上述《中小企业声明函》。</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3、小型和微型企业不包括民办非企业。</w:t>
      </w: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4.7 残疾人福利性单位声明函</w:t>
      </w:r>
    </w:p>
    <w:p>
      <w:pPr>
        <w:spacing w:line="360" w:lineRule="auto"/>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单位名称（盖章）：</w:t>
      </w:r>
    </w:p>
    <w:p>
      <w:pPr>
        <w:spacing w:line="360" w:lineRule="auto"/>
        <w:rPr>
          <w:rFonts w:ascii="宋体" w:hAnsi="宋体"/>
          <w:szCs w:val="21"/>
        </w:rPr>
      </w:pPr>
      <w:r>
        <w:rPr>
          <w:rFonts w:hint="eastAsia" w:ascii="宋体" w:hAnsi="宋体"/>
          <w:szCs w:val="21"/>
        </w:rPr>
        <w:t xml:space="preserve">                                    日    期：      </w:t>
      </w:r>
      <w:r>
        <w:rPr>
          <w:rFonts w:hint="eastAsia" w:cs="宋体" w:asciiTheme="minorEastAsia" w:hAnsiTheme="minorEastAsia"/>
          <w:szCs w:val="21"/>
        </w:rPr>
        <w:t>年    月    日</w:t>
      </w:r>
    </w:p>
    <w:p/>
    <w:p/>
    <w:p/>
    <w:p/>
    <w:p/>
    <w:p/>
    <w:p/>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4.8 所投产品符合国家强制性要求承诺函 </w:t>
      </w:r>
    </w:p>
    <w:p>
      <w:pPr>
        <w:autoSpaceDE w:val="0"/>
        <w:autoSpaceDN w:val="0"/>
        <w:adjustRightInd w:val="0"/>
        <w:spacing w:line="360" w:lineRule="auto"/>
        <w:jc w:val="center"/>
        <w:outlineLvl w:val="0"/>
        <w:rPr>
          <w:rFonts w:ascii="宋体" w:hAnsi="宋体"/>
          <w:b/>
          <w:bCs/>
          <w:color w:val="000000"/>
          <w:sz w:val="28"/>
          <w:szCs w:val="28"/>
        </w:rPr>
      </w:pPr>
    </w:p>
    <w:p>
      <w:pPr>
        <w:spacing w:line="360" w:lineRule="auto"/>
        <w:jc w:val="center"/>
        <w:rPr>
          <w:rFonts w:ascii="宋体" w:hAnsi="宋体" w:cs="Arial"/>
          <w:color w:val="000000"/>
          <w:kern w:val="0"/>
          <w:szCs w:val="21"/>
        </w:rPr>
      </w:pPr>
      <w:r>
        <w:rPr>
          <w:rFonts w:hint="eastAsia" w:ascii="宋体" w:hAnsi="宋体" w:cs="Arial"/>
          <w:color w:val="000000"/>
          <w:kern w:val="0"/>
          <w:szCs w:val="21"/>
        </w:rPr>
        <w:t>供应商所投产品涉及国家有属强制性规定的，须承诺其所投产品符合国家强制性要求（如CCC认证，格式自拟）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color w:val="000000"/>
          <w:sz w:val="36"/>
          <w:szCs w:val="36"/>
        </w:rPr>
      </w:pPr>
    </w:p>
    <w:p>
      <w:pPr>
        <w:widowControl/>
        <w:spacing w:before="100" w:beforeAutospacing="1" w:after="100" w:afterAutospacing="1" w:line="360" w:lineRule="auto"/>
        <w:jc w:val="center"/>
        <w:rPr>
          <w:rFonts w:ascii="宋体" w:hAnsi="宋体"/>
          <w:b/>
          <w:bCs/>
          <w:color w:val="000000"/>
          <w:sz w:val="36"/>
          <w:szCs w:val="36"/>
        </w:rPr>
      </w:pPr>
    </w:p>
    <w:p/>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p/>
    <w:p/>
    <w:p>
      <w:pPr>
        <w:spacing w:line="360" w:lineRule="auto"/>
        <w:jc w:val="center"/>
        <w:rPr>
          <w:rFonts w:ascii="宋体" w:hAnsi="宋体"/>
          <w:b/>
          <w:bCs/>
          <w:color w:val="000000"/>
          <w:sz w:val="28"/>
          <w:szCs w:val="28"/>
        </w:rPr>
      </w:pPr>
      <w:r>
        <w:rPr>
          <w:rFonts w:ascii="宋体" w:hAnsi="宋体"/>
          <w:b/>
          <w:bCs/>
          <w:color w:val="000000"/>
          <w:sz w:val="28"/>
          <w:szCs w:val="28"/>
        </w:rPr>
        <w:t>除</w:t>
      </w:r>
      <w:r>
        <w:rPr>
          <w:rFonts w:hint="eastAsia" w:ascii="宋体" w:hAnsi="宋体"/>
          <w:b/>
          <w:bCs/>
          <w:color w:val="000000"/>
          <w:sz w:val="28"/>
          <w:szCs w:val="28"/>
        </w:rPr>
        <w:t>谈判</w:t>
      </w:r>
      <w:r>
        <w:rPr>
          <w:rFonts w:ascii="宋体" w:hAnsi="宋体"/>
          <w:b/>
          <w:bCs/>
          <w:color w:val="000000"/>
          <w:sz w:val="28"/>
          <w:szCs w:val="28"/>
        </w:rPr>
        <w:t>文件另有规定外，</w:t>
      </w:r>
      <w:r>
        <w:rPr>
          <w:rFonts w:hint="eastAsia" w:ascii="宋体" w:hAnsi="宋体"/>
          <w:b/>
          <w:bCs/>
          <w:color w:val="000000"/>
          <w:sz w:val="28"/>
          <w:szCs w:val="28"/>
        </w:rPr>
        <w:t>供应商</w:t>
      </w:r>
      <w:r>
        <w:rPr>
          <w:rFonts w:ascii="宋体" w:hAnsi="宋体"/>
          <w:b/>
          <w:bCs/>
          <w:color w:val="000000"/>
          <w:sz w:val="28"/>
          <w:szCs w:val="28"/>
        </w:rPr>
        <w:t>认为需要提交的其他证明材料或资料加盖</w:t>
      </w:r>
      <w:r>
        <w:rPr>
          <w:rFonts w:hint="eastAsia" w:ascii="宋体" w:hAnsi="宋体"/>
          <w:b/>
          <w:bCs/>
          <w:color w:val="000000"/>
          <w:sz w:val="28"/>
          <w:szCs w:val="28"/>
        </w:rPr>
        <w:t>供应商</w:t>
      </w:r>
      <w:r>
        <w:rPr>
          <w:rFonts w:ascii="宋体" w:hAnsi="宋体"/>
          <w:b/>
          <w:bCs/>
          <w:color w:val="000000"/>
          <w:sz w:val="28"/>
          <w:szCs w:val="28"/>
        </w:rPr>
        <w:t>公章后应在此项下提交。</w:t>
      </w:r>
    </w:p>
    <w:p>
      <w:pPr>
        <w:spacing w:line="360" w:lineRule="auto"/>
        <w:jc w:val="center"/>
        <w:rPr>
          <w:rFonts w:ascii="宋体" w:hAnsi="宋体"/>
          <w:b/>
          <w:bCs/>
          <w:color w:val="000000"/>
          <w:sz w:val="28"/>
          <w:szCs w:val="28"/>
        </w:rPr>
      </w:pPr>
      <w:r>
        <w:rPr>
          <w:rFonts w:ascii="宋体" w:hAnsi="宋体"/>
          <w:b/>
          <w:bCs/>
          <w:color w:val="000000"/>
          <w:sz w:val="28"/>
          <w:szCs w:val="28"/>
        </w:rPr>
        <w:t> </w:t>
      </w:r>
    </w:p>
    <w:p/>
    <w:p/>
    <w:p/>
    <w:p/>
    <w:p/>
    <w:p/>
    <w:p/>
    <w:p/>
    <w:p/>
    <w:p/>
    <w:p/>
    <w:p/>
    <w:p/>
    <w:sectPr>
      <w:footerReference r:id="rId3" w:type="default"/>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
    <w:altName w:val="Arial"/>
    <w:panose1 w:val="020B0604020202020204"/>
    <w:charset w:val="00"/>
    <w:family w:val="decorative"/>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微软简隶书">
    <w:altName w:val="黑体"/>
    <w:panose1 w:val="00000000000000000000"/>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DB5BC2"/>
    <w:multiLevelType w:val="singleLevel"/>
    <w:tmpl w:val="89DB5BC2"/>
    <w:lvl w:ilvl="0" w:tentative="0">
      <w:start w:val="2"/>
      <w:numFmt w:val="decimal"/>
      <w:suff w:val="nothing"/>
      <w:lvlText w:val="%1、"/>
      <w:lvlJc w:val="left"/>
    </w:lvl>
  </w:abstractNum>
  <w:abstractNum w:abstractNumId="1">
    <w:nsid w:val="99054E63"/>
    <w:multiLevelType w:val="singleLevel"/>
    <w:tmpl w:val="99054E63"/>
    <w:lvl w:ilvl="0" w:tentative="0">
      <w:start w:val="3"/>
      <w:numFmt w:val="chineseCounting"/>
      <w:suff w:val="nothing"/>
      <w:lvlText w:val="%1、"/>
      <w:lvlJc w:val="left"/>
      <w:rPr>
        <w:rFonts w:hint="eastAsia"/>
      </w:rPr>
    </w:lvl>
  </w:abstractNum>
  <w:abstractNum w:abstractNumId="2">
    <w:nsid w:val="DBD26914"/>
    <w:multiLevelType w:val="singleLevel"/>
    <w:tmpl w:val="DBD26914"/>
    <w:lvl w:ilvl="0" w:tentative="0">
      <w:start w:val="1"/>
      <w:numFmt w:val="chineseCounting"/>
      <w:suff w:val="space"/>
      <w:lvlText w:val="第%1章"/>
      <w:lvlJc w:val="left"/>
      <w:rPr>
        <w:rFonts w:hint="eastAsia"/>
      </w:rPr>
    </w:lvl>
  </w:abstractNum>
  <w:abstractNum w:abstractNumId="3">
    <w:nsid w:val="00000006"/>
    <w:multiLevelType w:val="multilevel"/>
    <w:tmpl w:val="00000006"/>
    <w:lvl w:ilvl="0" w:tentative="0">
      <w:start w:val="1"/>
      <w:numFmt w:val="chineseCountingThousand"/>
      <w:pStyle w:val="3"/>
      <w:suff w:val="nothing"/>
      <w:lvlText w:val="第%1部分"/>
      <w:lvlJc w:val="center"/>
      <w:pPr>
        <w:ind w:left="-288" w:firstLine="288"/>
      </w:pPr>
      <w:rPr>
        <w:rFonts w:hint="eastAsia"/>
        <w:sz w:val="28"/>
        <w:szCs w:val="28"/>
      </w:rPr>
    </w:lvl>
    <w:lvl w:ilvl="1" w:tentative="0">
      <w:start w:val="1"/>
      <w:numFmt w:val="chineseCountingThousand"/>
      <w:pStyle w:val="4"/>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0000000A"/>
    <w:multiLevelType w:val="singleLevel"/>
    <w:tmpl w:val="0000000A"/>
    <w:lvl w:ilvl="0" w:tentative="0">
      <w:start w:val="1"/>
      <w:numFmt w:val="decimal"/>
      <w:suff w:val="nothing"/>
      <w:lvlText w:val="（%1）"/>
      <w:lvlJc w:val="left"/>
    </w:lvl>
  </w:abstractNum>
  <w:abstractNum w:abstractNumId="5">
    <w:nsid w:val="0000000D"/>
    <w:multiLevelType w:val="multilevel"/>
    <w:tmpl w:val="0000000D"/>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
    <w:nsid w:val="0000000F"/>
    <w:multiLevelType w:val="multilevel"/>
    <w:tmpl w:val="0000000F"/>
    <w:lvl w:ilvl="0" w:tentative="0">
      <w:start w:val="1"/>
      <w:numFmt w:val="decimal"/>
      <w:lvlText w:val="%1."/>
      <w:lvlJc w:val="left"/>
      <w:pPr>
        <w:tabs>
          <w:tab w:val="left" w:pos="425"/>
        </w:tabs>
        <w:ind w:left="425" w:hanging="425"/>
      </w:pPr>
      <w:rPr>
        <w:rFonts w:hint="eastAsia"/>
      </w:rPr>
    </w:lvl>
    <w:lvl w:ilvl="1" w:tentative="0">
      <w:start w:val="1"/>
      <w:numFmt w:val="none"/>
      <w:lvlText w:val="10.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0000010"/>
    <w:multiLevelType w:val="multilevel"/>
    <w:tmpl w:val="00000010"/>
    <w:lvl w:ilvl="0" w:tentative="0">
      <w:start w:val="1"/>
      <w:numFmt w:val="decimal"/>
      <w:lvlText w:val="（%1）"/>
      <w:lvlJc w:val="left"/>
      <w:pPr>
        <w:tabs>
          <w:tab w:val="left" w:pos="1260"/>
        </w:tabs>
        <w:ind w:left="126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8">
    <w:nsid w:val="00000011"/>
    <w:multiLevelType w:val="multilevel"/>
    <w:tmpl w:val="00000011"/>
    <w:lvl w:ilvl="0" w:tentative="0">
      <w:start w:val="1"/>
      <w:numFmt w:val="decimal"/>
      <w:lvlText w:val="%1、"/>
      <w:lvlJc w:val="left"/>
      <w:pPr>
        <w:tabs>
          <w:tab w:val="left" w:pos="720"/>
        </w:tabs>
        <w:ind w:left="720" w:hanging="720"/>
      </w:pPr>
      <w:rPr>
        <w:rFonts w:hint="eastAsia"/>
      </w:rPr>
    </w:lvl>
    <w:lvl w:ilvl="1" w:tentative="0">
      <w:start w:val="1"/>
      <w:numFmt w:val="decimal"/>
      <w:lvlText w:val="%2、"/>
      <w:lvlJc w:val="left"/>
      <w:pPr>
        <w:tabs>
          <w:tab w:val="left" w:pos="720"/>
        </w:tabs>
        <w:ind w:left="720" w:hanging="720"/>
      </w:pPr>
      <w:rPr>
        <w:rFonts w:hint="eastAsia"/>
      </w:rPr>
    </w:lvl>
    <w:lvl w:ilvl="2" w:tentative="0">
      <w:start w:val="1"/>
      <w:numFmt w:val="decimal"/>
      <w:lvlText w:val="（%3）"/>
      <w:lvlJc w:val="left"/>
      <w:pPr>
        <w:tabs>
          <w:tab w:val="left" w:pos="1140"/>
        </w:tabs>
        <w:ind w:left="1140" w:hanging="720"/>
      </w:pPr>
      <w:rPr>
        <w:rFonts w:hint="eastAsia"/>
      </w:r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9">
    <w:nsid w:val="00000013"/>
    <w:multiLevelType w:val="singleLevel"/>
    <w:tmpl w:val="00000013"/>
    <w:lvl w:ilvl="0" w:tentative="0">
      <w:start w:val="17"/>
      <w:numFmt w:val="decimal"/>
      <w:suff w:val="nothing"/>
      <w:lvlText w:val="%1、"/>
      <w:lvlJc w:val="left"/>
    </w:lvl>
  </w:abstractNum>
  <w:abstractNum w:abstractNumId="10">
    <w:nsid w:val="00000014"/>
    <w:multiLevelType w:val="multilevel"/>
    <w:tmpl w:val="00000014"/>
    <w:lvl w:ilvl="0" w:tentative="0">
      <w:start w:val="1"/>
      <w:numFmt w:val="decimal"/>
      <w:pStyle w:val="5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05EFCDC2"/>
    <w:multiLevelType w:val="singleLevel"/>
    <w:tmpl w:val="05EFCDC2"/>
    <w:lvl w:ilvl="0" w:tentative="0">
      <w:start w:val="6"/>
      <w:numFmt w:val="chineseCounting"/>
      <w:suff w:val="nothing"/>
      <w:lvlText w:val="%1、"/>
      <w:lvlJc w:val="left"/>
      <w:rPr>
        <w:rFonts w:hint="eastAsia"/>
      </w:rPr>
    </w:lvl>
  </w:abstractNum>
  <w:abstractNum w:abstractNumId="12">
    <w:nsid w:val="06F5198E"/>
    <w:multiLevelType w:val="multilevel"/>
    <w:tmpl w:val="06F5198E"/>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AF92C7A"/>
    <w:multiLevelType w:val="multilevel"/>
    <w:tmpl w:val="0AF92C7A"/>
    <w:lvl w:ilvl="0" w:tentative="0">
      <w:start w:val="26"/>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2655F48"/>
    <w:multiLevelType w:val="multilevel"/>
    <w:tmpl w:val="12655F48"/>
    <w:lvl w:ilvl="0" w:tentative="0">
      <w:start w:val="3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6">
    <w:nsid w:val="14DF6468"/>
    <w:multiLevelType w:val="multilevel"/>
    <w:tmpl w:val="14DF6468"/>
    <w:lvl w:ilvl="0" w:tentative="0">
      <w:start w:val="2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E3D4831"/>
    <w:multiLevelType w:val="multilevel"/>
    <w:tmpl w:val="1E3D4831"/>
    <w:lvl w:ilvl="0" w:tentative="0">
      <w:start w:val="2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0">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1">
    <w:nsid w:val="3E114617"/>
    <w:multiLevelType w:val="multilevel"/>
    <w:tmpl w:val="3E114617"/>
    <w:lvl w:ilvl="0" w:tentative="0">
      <w:start w:val="3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9F817E8"/>
    <w:multiLevelType w:val="singleLevel"/>
    <w:tmpl w:val="59F817E8"/>
    <w:lvl w:ilvl="0" w:tentative="0">
      <w:start w:val="1"/>
      <w:numFmt w:val="chineseCounting"/>
      <w:pStyle w:val="55"/>
      <w:suff w:val="nothing"/>
      <w:lvlText w:val="%1、"/>
      <w:lvlJc w:val="left"/>
    </w:lvl>
  </w:abstractNum>
  <w:abstractNum w:abstractNumId="23">
    <w:nsid w:val="5A051E9E"/>
    <w:multiLevelType w:val="singleLevel"/>
    <w:tmpl w:val="5A051E9E"/>
    <w:lvl w:ilvl="0" w:tentative="0">
      <w:start w:val="1"/>
      <w:numFmt w:val="chineseCounting"/>
      <w:suff w:val="nothing"/>
      <w:lvlText w:val="%1、"/>
      <w:lvlJc w:val="left"/>
    </w:lvl>
  </w:abstractNum>
  <w:abstractNum w:abstractNumId="24">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4123228"/>
    <w:multiLevelType w:val="multilevel"/>
    <w:tmpl w:val="74123228"/>
    <w:lvl w:ilvl="0" w:tentative="0">
      <w:start w:val="3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54E4703"/>
    <w:multiLevelType w:val="singleLevel"/>
    <w:tmpl w:val="754E4703"/>
    <w:lvl w:ilvl="0" w:tentative="0">
      <w:start w:val="1"/>
      <w:numFmt w:val="chineseCounting"/>
      <w:suff w:val="nothing"/>
      <w:lvlText w:val="%1、"/>
      <w:lvlJc w:val="left"/>
      <w:rPr>
        <w:rFonts w:hint="eastAsia"/>
      </w:rPr>
    </w:lvl>
  </w:abstractNum>
  <w:abstractNum w:abstractNumId="28">
    <w:nsid w:val="7D5C114A"/>
    <w:multiLevelType w:val="multilevel"/>
    <w:tmpl w:val="7D5C114A"/>
    <w:lvl w:ilvl="0" w:tentative="0">
      <w:start w:val="24"/>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D767924"/>
    <w:multiLevelType w:val="multilevel"/>
    <w:tmpl w:val="7D767924"/>
    <w:lvl w:ilvl="0" w:tentative="0">
      <w:start w:val="34"/>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0"/>
  </w:num>
  <w:num w:numId="3">
    <w:abstractNumId w:val="22"/>
  </w:num>
  <w:num w:numId="4">
    <w:abstractNumId w:val="2"/>
  </w:num>
  <w:num w:numId="5">
    <w:abstractNumId w:val="23"/>
  </w:num>
  <w:num w:numId="6">
    <w:abstractNumId w:val="27"/>
  </w:num>
  <w:num w:numId="7">
    <w:abstractNumId w:val="0"/>
  </w:num>
  <w:num w:numId="8">
    <w:abstractNumId w:val="19"/>
  </w:num>
  <w:num w:numId="9">
    <w:abstractNumId w:val="24"/>
  </w:num>
  <w:num w:numId="10">
    <w:abstractNumId w:val="17"/>
  </w:num>
  <w:num w:numId="11">
    <w:abstractNumId w:val="12"/>
  </w:num>
  <w:num w:numId="12">
    <w:abstractNumId w:val="18"/>
  </w:num>
  <w:num w:numId="13">
    <w:abstractNumId w:val="20"/>
  </w:num>
  <w:num w:numId="14">
    <w:abstractNumId w:val="28"/>
  </w:num>
  <w:num w:numId="15">
    <w:abstractNumId w:val="16"/>
  </w:num>
  <w:num w:numId="16">
    <w:abstractNumId w:val="13"/>
  </w:num>
  <w:num w:numId="17">
    <w:abstractNumId w:val="25"/>
  </w:num>
  <w:num w:numId="18">
    <w:abstractNumId w:val="11"/>
  </w:num>
  <w:num w:numId="19">
    <w:abstractNumId w:val="21"/>
  </w:num>
  <w:num w:numId="20">
    <w:abstractNumId w:val="15"/>
  </w:num>
  <w:num w:numId="21">
    <w:abstractNumId w:val="26"/>
  </w:num>
  <w:num w:numId="22">
    <w:abstractNumId w:val="29"/>
  </w:num>
  <w:num w:numId="23">
    <w:abstractNumId w:val="1"/>
  </w:num>
  <w:num w:numId="24">
    <w:abstractNumId w:val="5"/>
  </w:num>
  <w:num w:numId="25">
    <w:abstractNumId w:val="9"/>
  </w:num>
  <w:num w:numId="26">
    <w:abstractNumId w:val="6"/>
  </w:num>
  <w:num w:numId="27">
    <w:abstractNumId w:val="8"/>
  </w:num>
  <w:num w:numId="28">
    <w:abstractNumId w:val="4"/>
  </w:num>
  <w:num w:numId="29">
    <w:abstractNumId w:val="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389"/>
    <w:rsid w:val="00001AAB"/>
    <w:rsid w:val="0000220B"/>
    <w:rsid w:val="000028B5"/>
    <w:rsid w:val="00003C00"/>
    <w:rsid w:val="00003D13"/>
    <w:rsid w:val="00006D15"/>
    <w:rsid w:val="00010A8E"/>
    <w:rsid w:val="00010FAB"/>
    <w:rsid w:val="000159BD"/>
    <w:rsid w:val="00015CB5"/>
    <w:rsid w:val="0001677B"/>
    <w:rsid w:val="00016ECB"/>
    <w:rsid w:val="00020755"/>
    <w:rsid w:val="00025E45"/>
    <w:rsid w:val="0003056A"/>
    <w:rsid w:val="000311FB"/>
    <w:rsid w:val="000327E2"/>
    <w:rsid w:val="000328B5"/>
    <w:rsid w:val="00032AF5"/>
    <w:rsid w:val="0003398D"/>
    <w:rsid w:val="0003470E"/>
    <w:rsid w:val="00034E53"/>
    <w:rsid w:val="0003556C"/>
    <w:rsid w:val="0003677A"/>
    <w:rsid w:val="000400E2"/>
    <w:rsid w:val="00040A19"/>
    <w:rsid w:val="00040F65"/>
    <w:rsid w:val="0004289A"/>
    <w:rsid w:val="00043FBC"/>
    <w:rsid w:val="000463C9"/>
    <w:rsid w:val="00047B44"/>
    <w:rsid w:val="00052D94"/>
    <w:rsid w:val="000530F0"/>
    <w:rsid w:val="000609FD"/>
    <w:rsid w:val="00061CC7"/>
    <w:rsid w:val="00063640"/>
    <w:rsid w:val="0007075F"/>
    <w:rsid w:val="00073DCF"/>
    <w:rsid w:val="00075875"/>
    <w:rsid w:val="000763D3"/>
    <w:rsid w:val="00077FF3"/>
    <w:rsid w:val="0008053A"/>
    <w:rsid w:val="00082C6E"/>
    <w:rsid w:val="00086DE9"/>
    <w:rsid w:val="00091C3D"/>
    <w:rsid w:val="00092652"/>
    <w:rsid w:val="00092FDB"/>
    <w:rsid w:val="000936D5"/>
    <w:rsid w:val="000939A1"/>
    <w:rsid w:val="00093BD2"/>
    <w:rsid w:val="00094806"/>
    <w:rsid w:val="00094A72"/>
    <w:rsid w:val="00097E57"/>
    <w:rsid w:val="000A2375"/>
    <w:rsid w:val="000A3042"/>
    <w:rsid w:val="000A6DB7"/>
    <w:rsid w:val="000B04D4"/>
    <w:rsid w:val="000B4684"/>
    <w:rsid w:val="000B59E9"/>
    <w:rsid w:val="000B74CC"/>
    <w:rsid w:val="000B7BA2"/>
    <w:rsid w:val="000C05E8"/>
    <w:rsid w:val="000C127F"/>
    <w:rsid w:val="000C2771"/>
    <w:rsid w:val="000C2E49"/>
    <w:rsid w:val="000C393F"/>
    <w:rsid w:val="000C5582"/>
    <w:rsid w:val="000C57C8"/>
    <w:rsid w:val="000C6651"/>
    <w:rsid w:val="000C6CC0"/>
    <w:rsid w:val="000C6E80"/>
    <w:rsid w:val="000D581B"/>
    <w:rsid w:val="000D74F9"/>
    <w:rsid w:val="000D7DD7"/>
    <w:rsid w:val="000E0A3C"/>
    <w:rsid w:val="000E263E"/>
    <w:rsid w:val="000E264F"/>
    <w:rsid w:val="000E3E48"/>
    <w:rsid w:val="000E4F3B"/>
    <w:rsid w:val="000F5266"/>
    <w:rsid w:val="000F7B6E"/>
    <w:rsid w:val="001008C2"/>
    <w:rsid w:val="00104301"/>
    <w:rsid w:val="001052E3"/>
    <w:rsid w:val="00110C26"/>
    <w:rsid w:val="00111A8C"/>
    <w:rsid w:val="00111C75"/>
    <w:rsid w:val="0011232C"/>
    <w:rsid w:val="0011325E"/>
    <w:rsid w:val="0011409A"/>
    <w:rsid w:val="00116DCD"/>
    <w:rsid w:val="00117D5D"/>
    <w:rsid w:val="001219B2"/>
    <w:rsid w:val="00122334"/>
    <w:rsid w:val="001236C4"/>
    <w:rsid w:val="00124CC1"/>
    <w:rsid w:val="001262C8"/>
    <w:rsid w:val="00126FB1"/>
    <w:rsid w:val="001276EF"/>
    <w:rsid w:val="00131FB7"/>
    <w:rsid w:val="00134C9E"/>
    <w:rsid w:val="00137DCA"/>
    <w:rsid w:val="00140426"/>
    <w:rsid w:val="00141B3F"/>
    <w:rsid w:val="00143A14"/>
    <w:rsid w:val="00147B7D"/>
    <w:rsid w:val="0015508F"/>
    <w:rsid w:val="00155287"/>
    <w:rsid w:val="001624C8"/>
    <w:rsid w:val="00163CBE"/>
    <w:rsid w:val="001645B9"/>
    <w:rsid w:val="001645C1"/>
    <w:rsid w:val="00165060"/>
    <w:rsid w:val="001650BA"/>
    <w:rsid w:val="0016721F"/>
    <w:rsid w:val="00170D72"/>
    <w:rsid w:val="00175D7E"/>
    <w:rsid w:val="00177313"/>
    <w:rsid w:val="00177750"/>
    <w:rsid w:val="001829C2"/>
    <w:rsid w:val="00183EF7"/>
    <w:rsid w:val="00184640"/>
    <w:rsid w:val="001858DD"/>
    <w:rsid w:val="00185C2F"/>
    <w:rsid w:val="00185ECD"/>
    <w:rsid w:val="00185F40"/>
    <w:rsid w:val="0018761C"/>
    <w:rsid w:val="001948F5"/>
    <w:rsid w:val="00195BD1"/>
    <w:rsid w:val="00195D1B"/>
    <w:rsid w:val="001977EA"/>
    <w:rsid w:val="001A00BA"/>
    <w:rsid w:val="001A0EDB"/>
    <w:rsid w:val="001A2150"/>
    <w:rsid w:val="001A4C92"/>
    <w:rsid w:val="001A70C2"/>
    <w:rsid w:val="001B2541"/>
    <w:rsid w:val="001B41AD"/>
    <w:rsid w:val="001B4E29"/>
    <w:rsid w:val="001B7057"/>
    <w:rsid w:val="001B7C18"/>
    <w:rsid w:val="001C0DE9"/>
    <w:rsid w:val="001C0F1B"/>
    <w:rsid w:val="001C10C9"/>
    <w:rsid w:val="001C309B"/>
    <w:rsid w:val="001C5048"/>
    <w:rsid w:val="001C6C61"/>
    <w:rsid w:val="001C73E4"/>
    <w:rsid w:val="001C7D64"/>
    <w:rsid w:val="001D0B78"/>
    <w:rsid w:val="001D357E"/>
    <w:rsid w:val="001D46FE"/>
    <w:rsid w:val="001D6E54"/>
    <w:rsid w:val="001E1B0A"/>
    <w:rsid w:val="001E407F"/>
    <w:rsid w:val="001E66A5"/>
    <w:rsid w:val="001E6C54"/>
    <w:rsid w:val="001E78EA"/>
    <w:rsid w:val="001F121D"/>
    <w:rsid w:val="001F202D"/>
    <w:rsid w:val="001F22AA"/>
    <w:rsid w:val="001F3326"/>
    <w:rsid w:val="001F375B"/>
    <w:rsid w:val="001F3AFD"/>
    <w:rsid w:val="001F4319"/>
    <w:rsid w:val="001F4B20"/>
    <w:rsid w:val="001F7E43"/>
    <w:rsid w:val="002026FE"/>
    <w:rsid w:val="00210D73"/>
    <w:rsid w:val="002121A9"/>
    <w:rsid w:val="00212788"/>
    <w:rsid w:val="00216728"/>
    <w:rsid w:val="00217EDF"/>
    <w:rsid w:val="002232E0"/>
    <w:rsid w:val="002237C7"/>
    <w:rsid w:val="00223E42"/>
    <w:rsid w:val="002274E5"/>
    <w:rsid w:val="0023037F"/>
    <w:rsid w:val="00235E0B"/>
    <w:rsid w:val="00237179"/>
    <w:rsid w:val="00237336"/>
    <w:rsid w:val="00243B01"/>
    <w:rsid w:val="00245322"/>
    <w:rsid w:val="00247570"/>
    <w:rsid w:val="00247938"/>
    <w:rsid w:val="00252EA6"/>
    <w:rsid w:val="002533E9"/>
    <w:rsid w:val="0025544A"/>
    <w:rsid w:val="002567BE"/>
    <w:rsid w:val="00257257"/>
    <w:rsid w:val="00257C33"/>
    <w:rsid w:val="00261A16"/>
    <w:rsid w:val="00263C0C"/>
    <w:rsid w:val="00264FDB"/>
    <w:rsid w:val="0026501C"/>
    <w:rsid w:val="00266A53"/>
    <w:rsid w:val="00266F38"/>
    <w:rsid w:val="002704F0"/>
    <w:rsid w:val="00272AE2"/>
    <w:rsid w:val="00273414"/>
    <w:rsid w:val="00273F1D"/>
    <w:rsid w:val="0027728C"/>
    <w:rsid w:val="002804A3"/>
    <w:rsid w:val="00281155"/>
    <w:rsid w:val="00281AD7"/>
    <w:rsid w:val="00282790"/>
    <w:rsid w:val="00285231"/>
    <w:rsid w:val="002907E6"/>
    <w:rsid w:val="00296074"/>
    <w:rsid w:val="002969B1"/>
    <w:rsid w:val="002A00B7"/>
    <w:rsid w:val="002A0347"/>
    <w:rsid w:val="002A0C31"/>
    <w:rsid w:val="002A2062"/>
    <w:rsid w:val="002A7921"/>
    <w:rsid w:val="002B2BE8"/>
    <w:rsid w:val="002B3C48"/>
    <w:rsid w:val="002B51C1"/>
    <w:rsid w:val="002B737D"/>
    <w:rsid w:val="002B75C6"/>
    <w:rsid w:val="002C12C3"/>
    <w:rsid w:val="002C3CC2"/>
    <w:rsid w:val="002C78F6"/>
    <w:rsid w:val="002D0D13"/>
    <w:rsid w:val="002D11F7"/>
    <w:rsid w:val="002D6B1C"/>
    <w:rsid w:val="002E1FAE"/>
    <w:rsid w:val="002E3055"/>
    <w:rsid w:val="002E60F6"/>
    <w:rsid w:val="002E744B"/>
    <w:rsid w:val="002F06BA"/>
    <w:rsid w:val="002F7C32"/>
    <w:rsid w:val="00302A87"/>
    <w:rsid w:val="0030425C"/>
    <w:rsid w:val="0030587D"/>
    <w:rsid w:val="003067AE"/>
    <w:rsid w:val="0031527C"/>
    <w:rsid w:val="00316537"/>
    <w:rsid w:val="00316973"/>
    <w:rsid w:val="00316D67"/>
    <w:rsid w:val="00317177"/>
    <w:rsid w:val="0032071E"/>
    <w:rsid w:val="00320855"/>
    <w:rsid w:val="00322774"/>
    <w:rsid w:val="00332254"/>
    <w:rsid w:val="00333113"/>
    <w:rsid w:val="00333AAE"/>
    <w:rsid w:val="00334874"/>
    <w:rsid w:val="00335C32"/>
    <w:rsid w:val="00336815"/>
    <w:rsid w:val="00337D9B"/>
    <w:rsid w:val="00341BE1"/>
    <w:rsid w:val="00345108"/>
    <w:rsid w:val="00345B36"/>
    <w:rsid w:val="00345E09"/>
    <w:rsid w:val="00350E1D"/>
    <w:rsid w:val="0035386D"/>
    <w:rsid w:val="00354B6F"/>
    <w:rsid w:val="00354DF6"/>
    <w:rsid w:val="00356510"/>
    <w:rsid w:val="00360DAD"/>
    <w:rsid w:val="003620CD"/>
    <w:rsid w:val="00362359"/>
    <w:rsid w:val="003650E5"/>
    <w:rsid w:val="00365286"/>
    <w:rsid w:val="00365BDD"/>
    <w:rsid w:val="00366838"/>
    <w:rsid w:val="003708B7"/>
    <w:rsid w:val="00370DFF"/>
    <w:rsid w:val="00372753"/>
    <w:rsid w:val="00373F74"/>
    <w:rsid w:val="00376F8E"/>
    <w:rsid w:val="0037723D"/>
    <w:rsid w:val="00380000"/>
    <w:rsid w:val="0038108B"/>
    <w:rsid w:val="003826A1"/>
    <w:rsid w:val="00383277"/>
    <w:rsid w:val="00383FA4"/>
    <w:rsid w:val="00383FF4"/>
    <w:rsid w:val="00390340"/>
    <w:rsid w:val="0039051F"/>
    <w:rsid w:val="00391CDE"/>
    <w:rsid w:val="00394229"/>
    <w:rsid w:val="00395FCE"/>
    <w:rsid w:val="00397761"/>
    <w:rsid w:val="003A02F1"/>
    <w:rsid w:val="003A14F9"/>
    <w:rsid w:val="003A2823"/>
    <w:rsid w:val="003A3878"/>
    <w:rsid w:val="003A4C56"/>
    <w:rsid w:val="003B5BE5"/>
    <w:rsid w:val="003B7DDB"/>
    <w:rsid w:val="003C013E"/>
    <w:rsid w:val="003C1A3D"/>
    <w:rsid w:val="003C3022"/>
    <w:rsid w:val="003C570D"/>
    <w:rsid w:val="003C669F"/>
    <w:rsid w:val="003C76DE"/>
    <w:rsid w:val="003D2326"/>
    <w:rsid w:val="003D2A39"/>
    <w:rsid w:val="003D400D"/>
    <w:rsid w:val="003D61F3"/>
    <w:rsid w:val="003D6EA0"/>
    <w:rsid w:val="003E05ED"/>
    <w:rsid w:val="003E0EF9"/>
    <w:rsid w:val="003E4CE5"/>
    <w:rsid w:val="003E5BA1"/>
    <w:rsid w:val="003E5D20"/>
    <w:rsid w:val="003E7330"/>
    <w:rsid w:val="003E7F48"/>
    <w:rsid w:val="003F0137"/>
    <w:rsid w:val="003F11AD"/>
    <w:rsid w:val="003F2076"/>
    <w:rsid w:val="003F635C"/>
    <w:rsid w:val="003F758F"/>
    <w:rsid w:val="00400336"/>
    <w:rsid w:val="00402250"/>
    <w:rsid w:val="004037DB"/>
    <w:rsid w:val="00403A82"/>
    <w:rsid w:val="004040EC"/>
    <w:rsid w:val="00405309"/>
    <w:rsid w:val="00405C0B"/>
    <w:rsid w:val="00410A25"/>
    <w:rsid w:val="004117D0"/>
    <w:rsid w:val="00411D64"/>
    <w:rsid w:val="00414D08"/>
    <w:rsid w:val="00416D0E"/>
    <w:rsid w:val="004179D8"/>
    <w:rsid w:val="00420293"/>
    <w:rsid w:val="004224AA"/>
    <w:rsid w:val="00423593"/>
    <w:rsid w:val="00427171"/>
    <w:rsid w:val="00431563"/>
    <w:rsid w:val="00431A4E"/>
    <w:rsid w:val="00431F06"/>
    <w:rsid w:val="0043314E"/>
    <w:rsid w:val="00435633"/>
    <w:rsid w:val="00436C3E"/>
    <w:rsid w:val="0043706F"/>
    <w:rsid w:val="004370BD"/>
    <w:rsid w:val="0044639D"/>
    <w:rsid w:val="004471CC"/>
    <w:rsid w:val="00447728"/>
    <w:rsid w:val="00447DB3"/>
    <w:rsid w:val="00450B7E"/>
    <w:rsid w:val="004511E4"/>
    <w:rsid w:val="00452FF0"/>
    <w:rsid w:val="00453B62"/>
    <w:rsid w:val="00454B40"/>
    <w:rsid w:val="00460FA6"/>
    <w:rsid w:val="00461772"/>
    <w:rsid w:val="0046214B"/>
    <w:rsid w:val="0046220D"/>
    <w:rsid w:val="004661DD"/>
    <w:rsid w:val="004661DE"/>
    <w:rsid w:val="00467546"/>
    <w:rsid w:val="004675C8"/>
    <w:rsid w:val="004676F5"/>
    <w:rsid w:val="004713E9"/>
    <w:rsid w:val="00472D4C"/>
    <w:rsid w:val="00475975"/>
    <w:rsid w:val="00475BC1"/>
    <w:rsid w:val="00477E2A"/>
    <w:rsid w:val="00483BBC"/>
    <w:rsid w:val="00486B9D"/>
    <w:rsid w:val="00490683"/>
    <w:rsid w:val="004931C7"/>
    <w:rsid w:val="00495F9F"/>
    <w:rsid w:val="004A1281"/>
    <w:rsid w:val="004A1CD2"/>
    <w:rsid w:val="004A2AE5"/>
    <w:rsid w:val="004A352D"/>
    <w:rsid w:val="004A35BF"/>
    <w:rsid w:val="004A3D12"/>
    <w:rsid w:val="004A57DB"/>
    <w:rsid w:val="004A65D0"/>
    <w:rsid w:val="004A69C6"/>
    <w:rsid w:val="004B0300"/>
    <w:rsid w:val="004B4A61"/>
    <w:rsid w:val="004B53B1"/>
    <w:rsid w:val="004C00FF"/>
    <w:rsid w:val="004C15CA"/>
    <w:rsid w:val="004C2A96"/>
    <w:rsid w:val="004C3610"/>
    <w:rsid w:val="004D109F"/>
    <w:rsid w:val="004D1A38"/>
    <w:rsid w:val="004D1E6E"/>
    <w:rsid w:val="004D796C"/>
    <w:rsid w:val="004D7FCC"/>
    <w:rsid w:val="004E38A8"/>
    <w:rsid w:val="004E3BC4"/>
    <w:rsid w:val="004E5A48"/>
    <w:rsid w:val="004E643B"/>
    <w:rsid w:val="004E680E"/>
    <w:rsid w:val="004F3FD7"/>
    <w:rsid w:val="004F551F"/>
    <w:rsid w:val="004F68CC"/>
    <w:rsid w:val="004F6FBD"/>
    <w:rsid w:val="004F7042"/>
    <w:rsid w:val="004F797A"/>
    <w:rsid w:val="004F7B53"/>
    <w:rsid w:val="0050133C"/>
    <w:rsid w:val="0050216B"/>
    <w:rsid w:val="005021E8"/>
    <w:rsid w:val="005034F7"/>
    <w:rsid w:val="005075CA"/>
    <w:rsid w:val="00510715"/>
    <w:rsid w:val="00510D29"/>
    <w:rsid w:val="005119C1"/>
    <w:rsid w:val="00512E1D"/>
    <w:rsid w:val="00513627"/>
    <w:rsid w:val="00515E0C"/>
    <w:rsid w:val="00520172"/>
    <w:rsid w:val="00523927"/>
    <w:rsid w:val="00523928"/>
    <w:rsid w:val="00526033"/>
    <w:rsid w:val="00527005"/>
    <w:rsid w:val="005314A3"/>
    <w:rsid w:val="0053374B"/>
    <w:rsid w:val="00533BD9"/>
    <w:rsid w:val="005366B4"/>
    <w:rsid w:val="00536ACD"/>
    <w:rsid w:val="0054064C"/>
    <w:rsid w:val="00540AEB"/>
    <w:rsid w:val="005415F6"/>
    <w:rsid w:val="00542031"/>
    <w:rsid w:val="005431B2"/>
    <w:rsid w:val="005442B8"/>
    <w:rsid w:val="00546002"/>
    <w:rsid w:val="005469B3"/>
    <w:rsid w:val="00551347"/>
    <w:rsid w:val="00552B4E"/>
    <w:rsid w:val="00553C25"/>
    <w:rsid w:val="00555840"/>
    <w:rsid w:val="00555C79"/>
    <w:rsid w:val="005601D7"/>
    <w:rsid w:val="00561BCD"/>
    <w:rsid w:val="00564009"/>
    <w:rsid w:val="005645C2"/>
    <w:rsid w:val="00570BD7"/>
    <w:rsid w:val="00572C46"/>
    <w:rsid w:val="00573136"/>
    <w:rsid w:val="005755F7"/>
    <w:rsid w:val="00576428"/>
    <w:rsid w:val="00577000"/>
    <w:rsid w:val="00581FC6"/>
    <w:rsid w:val="005828A9"/>
    <w:rsid w:val="00587160"/>
    <w:rsid w:val="005939AD"/>
    <w:rsid w:val="00594467"/>
    <w:rsid w:val="00594542"/>
    <w:rsid w:val="0059516F"/>
    <w:rsid w:val="005958C1"/>
    <w:rsid w:val="00597D5D"/>
    <w:rsid w:val="005A1288"/>
    <w:rsid w:val="005A1C0C"/>
    <w:rsid w:val="005A2D61"/>
    <w:rsid w:val="005A34CB"/>
    <w:rsid w:val="005A3987"/>
    <w:rsid w:val="005A7556"/>
    <w:rsid w:val="005B00B4"/>
    <w:rsid w:val="005B3594"/>
    <w:rsid w:val="005B439F"/>
    <w:rsid w:val="005B4519"/>
    <w:rsid w:val="005B6237"/>
    <w:rsid w:val="005B6B3A"/>
    <w:rsid w:val="005C10B0"/>
    <w:rsid w:val="005C2C3A"/>
    <w:rsid w:val="005C2DB6"/>
    <w:rsid w:val="005C36E0"/>
    <w:rsid w:val="005D272E"/>
    <w:rsid w:val="005D433F"/>
    <w:rsid w:val="005D5852"/>
    <w:rsid w:val="005D5E11"/>
    <w:rsid w:val="005D77CF"/>
    <w:rsid w:val="005E0D81"/>
    <w:rsid w:val="005E1286"/>
    <w:rsid w:val="005E4F9E"/>
    <w:rsid w:val="005E5F1F"/>
    <w:rsid w:val="005E6DCD"/>
    <w:rsid w:val="005E792E"/>
    <w:rsid w:val="005F149E"/>
    <w:rsid w:val="005F1C92"/>
    <w:rsid w:val="005F3918"/>
    <w:rsid w:val="005F403A"/>
    <w:rsid w:val="005F6298"/>
    <w:rsid w:val="005F70A3"/>
    <w:rsid w:val="005F730F"/>
    <w:rsid w:val="006010BB"/>
    <w:rsid w:val="006018A4"/>
    <w:rsid w:val="00601DC9"/>
    <w:rsid w:val="00603BB7"/>
    <w:rsid w:val="00604711"/>
    <w:rsid w:val="00605D7C"/>
    <w:rsid w:val="00606922"/>
    <w:rsid w:val="006070B9"/>
    <w:rsid w:val="006118DE"/>
    <w:rsid w:val="0061788D"/>
    <w:rsid w:val="006211BD"/>
    <w:rsid w:val="00621788"/>
    <w:rsid w:val="00622134"/>
    <w:rsid w:val="00622FF6"/>
    <w:rsid w:val="00626DBC"/>
    <w:rsid w:val="00633894"/>
    <w:rsid w:val="006341CB"/>
    <w:rsid w:val="00634E5F"/>
    <w:rsid w:val="00636AAD"/>
    <w:rsid w:val="006378BB"/>
    <w:rsid w:val="00637BD3"/>
    <w:rsid w:val="00644E97"/>
    <w:rsid w:val="00651415"/>
    <w:rsid w:val="00664B3B"/>
    <w:rsid w:val="006674B6"/>
    <w:rsid w:val="0066760C"/>
    <w:rsid w:val="00671218"/>
    <w:rsid w:val="00672CEE"/>
    <w:rsid w:val="006744B2"/>
    <w:rsid w:val="006775C1"/>
    <w:rsid w:val="00680403"/>
    <w:rsid w:val="006811AB"/>
    <w:rsid w:val="00681601"/>
    <w:rsid w:val="006822AF"/>
    <w:rsid w:val="0068441A"/>
    <w:rsid w:val="00685CAE"/>
    <w:rsid w:val="00687238"/>
    <w:rsid w:val="0069117B"/>
    <w:rsid w:val="006951C7"/>
    <w:rsid w:val="006A13FE"/>
    <w:rsid w:val="006B04B2"/>
    <w:rsid w:val="006B0B41"/>
    <w:rsid w:val="006B0DF4"/>
    <w:rsid w:val="006B3B14"/>
    <w:rsid w:val="006B6FCC"/>
    <w:rsid w:val="006C0258"/>
    <w:rsid w:val="006C2307"/>
    <w:rsid w:val="006C33F0"/>
    <w:rsid w:val="006C4D95"/>
    <w:rsid w:val="006C575E"/>
    <w:rsid w:val="006C7EC8"/>
    <w:rsid w:val="006D1C9F"/>
    <w:rsid w:val="006D24FE"/>
    <w:rsid w:val="006D3FBB"/>
    <w:rsid w:val="006D6526"/>
    <w:rsid w:val="006D77FA"/>
    <w:rsid w:val="006D7995"/>
    <w:rsid w:val="006E1073"/>
    <w:rsid w:val="006E14EB"/>
    <w:rsid w:val="006E2C2C"/>
    <w:rsid w:val="006E3CDB"/>
    <w:rsid w:val="006E42C7"/>
    <w:rsid w:val="006E49F1"/>
    <w:rsid w:val="006E5294"/>
    <w:rsid w:val="006E6699"/>
    <w:rsid w:val="006E69A9"/>
    <w:rsid w:val="006E7595"/>
    <w:rsid w:val="006E7D75"/>
    <w:rsid w:val="006F1560"/>
    <w:rsid w:val="006F3EF5"/>
    <w:rsid w:val="006F42BD"/>
    <w:rsid w:val="006F4C1F"/>
    <w:rsid w:val="006F6735"/>
    <w:rsid w:val="00702238"/>
    <w:rsid w:val="00703498"/>
    <w:rsid w:val="007106F8"/>
    <w:rsid w:val="00710BB7"/>
    <w:rsid w:val="00710DF8"/>
    <w:rsid w:val="007111C4"/>
    <w:rsid w:val="00712E6E"/>
    <w:rsid w:val="00714EA5"/>
    <w:rsid w:val="00716754"/>
    <w:rsid w:val="00717E8B"/>
    <w:rsid w:val="007232E6"/>
    <w:rsid w:val="00723ED1"/>
    <w:rsid w:val="0072488A"/>
    <w:rsid w:val="0072571C"/>
    <w:rsid w:val="00725743"/>
    <w:rsid w:val="00727688"/>
    <w:rsid w:val="00730668"/>
    <w:rsid w:val="0073118A"/>
    <w:rsid w:val="00734689"/>
    <w:rsid w:val="00734954"/>
    <w:rsid w:val="0073552F"/>
    <w:rsid w:val="0073735A"/>
    <w:rsid w:val="007373E3"/>
    <w:rsid w:val="00737B3F"/>
    <w:rsid w:val="00741C81"/>
    <w:rsid w:val="00742F47"/>
    <w:rsid w:val="00743379"/>
    <w:rsid w:val="007445B8"/>
    <w:rsid w:val="0075246E"/>
    <w:rsid w:val="007530A0"/>
    <w:rsid w:val="00754526"/>
    <w:rsid w:val="0075555D"/>
    <w:rsid w:val="00755EAC"/>
    <w:rsid w:val="00761164"/>
    <w:rsid w:val="007642BA"/>
    <w:rsid w:val="00770E07"/>
    <w:rsid w:val="00771B80"/>
    <w:rsid w:val="00772048"/>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733C"/>
    <w:rsid w:val="00792870"/>
    <w:rsid w:val="00793ADE"/>
    <w:rsid w:val="007942AC"/>
    <w:rsid w:val="007A05F2"/>
    <w:rsid w:val="007A0F7B"/>
    <w:rsid w:val="007A1777"/>
    <w:rsid w:val="007A7C77"/>
    <w:rsid w:val="007B1443"/>
    <w:rsid w:val="007B3355"/>
    <w:rsid w:val="007C0F76"/>
    <w:rsid w:val="007C23FB"/>
    <w:rsid w:val="007C2A45"/>
    <w:rsid w:val="007C325A"/>
    <w:rsid w:val="007C3465"/>
    <w:rsid w:val="007C4218"/>
    <w:rsid w:val="007C6809"/>
    <w:rsid w:val="007C7CA1"/>
    <w:rsid w:val="007D2628"/>
    <w:rsid w:val="007D2BA0"/>
    <w:rsid w:val="007D37EB"/>
    <w:rsid w:val="007D3BF6"/>
    <w:rsid w:val="007D6EF3"/>
    <w:rsid w:val="007D75B8"/>
    <w:rsid w:val="007E0167"/>
    <w:rsid w:val="007E24F9"/>
    <w:rsid w:val="007E2A0C"/>
    <w:rsid w:val="007E4337"/>
    <w:rsid w:val="007F1CC8"/>
    <w:rsid w:val="007F1D12"/>
    <w:rsid w:val="007F6309"/>
    <w:rsid w:val="007F7141"/>
    <w:rsid w:val="008048C6"/>
    <w:rsid w:val="00804FB3"/>
    <w:rsid w:val="00805456"/>
    <w:rsid w:val="00805CFD"/>
    <w:rsid w:val="008066AC"/>
    <w:rsid w:val="00810B9A"/>
    <w:rsid w:val="008123F9"/>
    <w:rsid w:val="00813462"/>
    <w:rsid w:val="008147AE"/>
    <w:rsid w:val="00814D8F"/>
    <w:rsid w:val="00815F3D"/>
    <w:rsid w:val="00815F60"/>
    <w:rsid w:val="008162F1"/>
    <w:rsid w:val="00820CAD"/>
    <w:rsid w:val="008219F4"/>
    <w:rsid w:val="00822AC8"/>
    <w:rsid w:val="00827FEC"/>
    <w:rsid w:val="00834D27"/>
    <w:rsid w:val="0083623B"/>
    <w:rsid w:val="00836566"/>
    <w:rsid w:val="008375D0"/>
    <w:rsid w:val="00837834"/>
    <w:rsid w:val="00847A1F"/>
    <w:rsid w:val="0085091C"/>
    <w:rsid w:val="008528A2"/>
    <w:rsid w:val="00856E26"/>
    <w:rsid w:val="00857412"/>
    <w:rsid w:val="008629A1"/>
    <w:rsid w:val="00865204"/>
    <w:rsid w:val="00870DCD"/>
    <w:rsid w:val="00875099"/>
    <w:rsid w:val="008824BB"/>
    <w:rsid w:val="0088488A"/>
    <w:rsid w:val="008868B3"/>
    <w:rsid w:val="00893816"/>
    <w:rsid w:val="00894121"/>
    <w:rsid w:val="0089532C"/>
    <w:rsid w:val="00895CD2"/>
    <w:rsid w:val="00896627"/>
    <w:rsid w:val="008A1317"/>
    <w:rsid w:val="008A532F"/>
    <w:rsid w:val="008A735D"/>
    <w:rsid w:val="008B1EBC"/>
    <w:rsid w:val="008B3760"/>
    <w:rsid w:val="008B3BF1"/>
    <w:rsid w:val="008B46D9"/>
    <w:rsid w:val="008B4CCA"/>
    <w:rsid w:val="008B62B1"/>
    <w:rsid w:val="008B6376"/>
    <w:rsid w:val="008B72C1"/>
    <w:rsid w:val="008C0905"/>
    <w:rsid w:val="008C380D"/>
    <w:rsid w:val="008C427B"/>
    <w:rsid w:val="008D0138"/>
    <w:rsid w:val="008D0251"/>
    <w:rsid w:val="008D25AE"/>
    <w:rsid w:val="008D37EF"/>
    <w:rsid w:val="008D4DB3"/>
    <w:rsid w:val="008E2454"/>
    <w:rsid w:val="008E7034"/>
    <w:rsid w:val="008F2CA7"/>
    <w:rsid w:val="00902012"/>
    <w:rsid w:val="009024C2"/>
    <w:rsid w:val="00903C60"/>
    <w:rsid w:val="00910FBF"/>
    <w:rsid w:val="00912E30"/>
    <w:rsid w:val="009130EC"/>
    <w:rsid w:val="00913638"/>
    <w:rsid w:val="00920741"/>
    <w:rsid w:val="00924304"/>
    <w:rsid w:val="009270F3"/>
    <w:rsid w:val="00932A01"/>
    <w:rsid w:val="00932BA0"/>
    <w:rsid w:val="009332CB"/>
    <w:rsid w:val="0093402B"/>
    <w:rsid w:val="009407DF"/>
    <w:rsid w:val="00943698"/>
    <w:rsid w:val="00944C89"/>
    <w:rsid w:val="009462A9"/>
    <w:rsid w:val="009471BE"/>
    <w:rsid w:val="00947FB1"/>
    <w:rsid w:val="00950BCD"/>
    <w:rsid w:val="0095149E"/>
    <w:rsid w:val="00951507"/>
    <w:rsid w:val="00951A0E"/>
    <w:rsid w:val="00951B79"/>
    <w:rsid w:val="00951C8E"/>
    <w:rsid w:val="0095351D"/>
    <w:rsid w:val="009574C6"/>
    <w:rsid w:val="00964173"/>
    <w:rsid w:val="009652AA"/>
    <w:rsid w:val="009653D9"/>
    <w:rsid w:val="00965E0E"/>
    <w:rsid w:val="00971754"/>
    <w:rsid w:val="009717EB"/>
    <w:rsid w:val="00971DFC"/>
    <w:rsid w:val="00973BD1"/>
    <w:rsid w:val="0097443E"/>
    <w:rsid w:val="00974710"/>
    <w:rsid w:val="00974B0A"/>
    <w:rsid w:val="00976022"/>
    <w:rsid w:val="00976944"/>
    <w:rsid w:val="00977773"/>
    <w:rsid w:val="00977ACB"/>
    <w:rsid w:val="00977CD0"/>
    <w:rsid w:val="00983891"/>
    <w:rsid w:val="00985444"/>
    <w:rsid w:val="0099196E"/>
    <w:rsid w:val="00992F1F"/>
    <w:rsid w:val="0099354B"/>
    <w:rsid w:val="00994A8A"/>
    <w:rsid w:val="00995231"/>
    <w:rsid w:val="009964B1"/>
    <w:rsid w:val="009A0AC7"/>
    <w:rsid w:val="009A1053"/>
    <w:rsid w:val="009A296B"/>
    <w:rsid w:val="009A2BC5"/>
    <w:rsid w:val="009A47E3"/>
    <w:rsid w:val="009A6F91"/>
    <w:rsid w:val="009B3ABA"/>
    <w:rsid w:val="009B3B64"/>
    <w:rsid w:val="009B4ECF"/>
    <w:rsid w:val="009B773A"/>
    <w:rsid w:val="009C12AB"/>
    <w:rsid w:val="009C35AA"/>
    <w:rsid w:val="009C46D1"/>
    <w:rsid w:val="009C5C9D"/>
    <w:rsid w:val="009D09DF"/>
    <w:rsid w:val="009D0D89"/>
    <w:rsid w:val="009D24B7"/>
    <w:rsid w:val="009D43BB"/>
    <w:rsid w:val="009D792B"/>
    <w:rsid w:val="009E037C"/>
    <w:rsid w:val="009E10B4"/>
    <w:rsid w:val="009E1FE4"/>
    <w:rsid w:val="009E2AB7"/>
    <w:rsid w:val="009E34DF"/>
    <w:rsid w:val="009E483D"/>
    <w:rsid w:val="009E4AE9"/>
    <w:rsid w:val="009E6006"/>
    <w:rsid w:val="009F55F0"/>
    <w:rsid w:val="009F6831"/>
    <w:rsid w:val="00A00CC2"/>
    <w:rsid w:val="00A0270D"/>
    <w:rsid w:val="00A03155"/>
    <w:rsid w:val="00A05160"/>
    <w:rsid w:val="00A0544A"/>
    <w:rsid w:val="00A06482"/>
    <w:rsid w:val="00A066DE"/>
    <w:rsid w:val="00A1226A"/>
    <w:rsid w:val="00A146D0"/>
    <w:rsid w:val="00A17134"/>
    <w:rsid w:val="00A244A9"/>
    <w:rsid w:val="00A2693F"/>
    <w:rsid w:val="00A26A2D"/>
    <w:rsid w:val="00A272CE"/>
    <w:rsid w:val="00A30773"/>
    <w:rsid w:val="00A323FD"/>
    <w:rsid w:val="00A34B3D"/>
    <w:rsid w:val="00A35E1D"/>
    <w:rsid w:val="00A36768"/>
    <w:rsid w:val="00A40597"/>
    <w:rsid w:val="00A409A7"/>
    <w:rsid w:val="00A44E4A"/>
    <w:rsid w:val="00A45511"/>
    <w:rsid w:val="00A45E7F"/>
    <w:rsid w:val="00A46195"/>
    <w:rsid w:val="00A502CD"/>
    <w:rsid w:val="00A5050D"/>
    <w:rsid w:val="00A51D09"/>
    <w:rsid w:val="00A53362"/>
    <w:rsid w:val="00A561F7"/>
    <w:rsid w:val="00A5620A"/>
    <w:rsid w:val="00A57099"/>
    <w:rsid w:val="00A577F4"/>
    <w:rsid w:val="00A57D69"/>
    <w:rsid w:val="00A608C5"/>
    <w:rsid w:val="00A630FF"/>
    <w:rsid w:val="00A634C2"/>
    <w:rsid w:val="00A64FE3"/>
    <w:rsid w:val="00A67F60"/>
    <w:rsid w:val="00A71479"/>
    <w:rsid w:val="00A72BD8"/>
    <w:rsid w:val="00A72EF1"/>
    <w:rsid w:val="00A73B7F"/>
    <w:rsid w:val="00A77E89"/>
    <w:rsid w:val="00A80539"/>
    <w:rsid w:val="00A82BFF"/>
    <w:rsid w:val="00A83081"/>
    <w:rsid w:val="00A85865"/>
    <w:rsid w:val="00A87546"/>
    <w:rsid w:val="00A9002A"/>
    <w:rsid w:val="00A94441"/>
    <w:rsid w:val="00A94C72"/>
    <w:rsid w:val="00A97D1D"/>
    <w:rsid w:val="00A97F1A"/>
    <w:rsid w:val="00AA0FE4"/>
    <w:rsid w:val="00AA16B6"/>
    <w:rsid w:val="00AA265E"/>
    <w:rsid w:val="00AB24BA"/>
    <w:rsid w:val="00AB2A56"/>
    <w:rsid w:val="00AB7551"/>
    <w:rsid w:val="00AC0D4D"/>
    <w:rsid w:val="00AC11DA"/>
    <w:rsid w:val="00AC1376"/>
    <w:rsid w:val="00AC4329"/>
    <w:rsid w:val="00AC5B3F"/>
    <w:rsid w:val="00AC62A0"/>
    <w:rsid w:val="00AC6B92"/>
    <w:rsid w:val="00AD1F5C"/>
    <w:rsid w:val="00AD30A0"/>
    <w:rsid w:val="00AD310A"/>
    <w:rsid w:val="00AD32B6"/>
    <w:rsid w:val="00AD43D5"/>
    <w:rsid w:val="00AD5C9F"/>
    <w:rsid w:val="00AE0428"/>
    <w:rsid w:val="00AE23CC"/>
    <w:rsid w:val="00AE36B8"/>
    <w:rsid w:val="00AE65F4"/>
    <w:rsid w:val="00AE77C7"/>
    <w:rsid w:val="00AF539A"/>
    <w:rsid w:val="00B0198A"/>
    <w:rsid w:val="00B0319F"/>
    <w:rsid w:val="00B03F40"/>
    <w:rsid w:val="00B04227"/>
    <w:rsid w:val="00B042A9"/>
    <w:rsid w:val="00B06717"/>
    <w:rsid w:val="00B06BE5"/>
    <w:rsid w:val="00B11B79"/>
    <w:rsid w:val="00B11F03"/>
    <w:rsid w:val="00B11F7A"/>
    <w:rsid w:val="00B14641"/>
    <w:rsid w:val="00B15931"/>
    <w:rsid w:val="00B16327"/>
    <w:rsid w:val="00B17370"/>
    <w:rsid w:val="00B2055A"/>
    <w:rsid w:val="00B2067D"/>
    <w:rsid w:val="00B24B86"/>
    <w:rsid w:val="00B25AF8"/>
    <w:rsid w:val="00B26A6E"/>
    <w:rsid w:val="00B3072F"/>
    <w:rsid w:val="00B30A6C"/>
    <w:rsid w:val="00B3107C"/>
    <w:rsid w:val="00B339F7"/>
    <w:rsid w:val="00B36E12"/>
    <w:rsid w:val="00B40771"/>
    <w:rsid w:val="00B40C10"/>
    <w:rsid w:val="00B40C7E"/>
    <w:rsid w:val="00B414C8"/>
    <w:rsid w:val="00B4170E"/>
    <w:rsid w:val="00B42CD4"/>
    <w:rsid w:val="00B43A28"/>
    <w:rsid w:val="00B45553"/>
    <w:rsid w:val="00B523B5"/>
    <w:rsid w:val="00B60910"/>
    <w:rsid w:val="00B61575"/>
    <w:rsid w:val="00B64EAB"/>
    <w:rsid w:val="00B65A0E"/>
    <w:rsid w:val="00B66E6E"/>
    <w:rsid w:val="00B7182E"/>
    <w:rsid w:val="00B71DD9"/>
    <w:rsid w:val="00B72742"/>
    <w:rsid w:val="00B72960"/>
    <w:rsid w:val="00B7312F"/>
    <w:rsid w:val="00B748F4"/>
    <w:rsid w:val="00B75416"/>
    <w:rsid w:val="00B80243"/>
    <w:rsid w:val="00B80297"/>
    <w:rsid w:val="00B80C52"/>
    <w:rsid w:val="00B8323E"/>
    <w:rsid w:val="00B902ED"/>
    <w:rsid w:val="00B90F7B"/>
    <w:rsid w:val="00B91885"/>
    <w:rsid w:val="00B91BF4"/>
    <w:rsid w:val="00B95A20"/>
    <w:rsid w:val="00BA6105"/>
    <w:rsid w:val="00BB0481"/>
    <w:rsid w:val="00BB17CE"/>
    <w:rsid w:val="00BB1EC0"/>
    <w:rsid w:val="00BB4D42"/>
    <w:rsid w:val="00BB4EA2"/>
    <w:rsid w:val="00BB6CC2"/>
    <w:rsid w:val="00BC01E9"/>
    <w:rsid w:val="00BC05E7"/>
    <w:rsid w:val="00BC31B0"/>
    <w:rsid w:val="00BC3FC1"/>
    <w:rsid w:val="00BC45E1"/>
    <w:rsid w:val="00BD0FE7"/>
    <w:rsid w:val="00BD2BC9"/>
    <w:rsid w:val="00BD3AFF"/>
    <w:rsid w:val="00BF1DA5"/>
    <w:rsid w:val="00BF21E1"/>
    <w:rsid w:val="00C00EB4"/>
    <w:rsid w:val="00C02C34"/>
    <w:rsid w:val="00C02DE2"/>
    <w:rsid w:val="00C06F9E"/>
    <w:rsid w:val="00C07CED"/>
    <w:rsid w:val="00C124C8"/>
    <w:rsid w:val="00C1466C"/>
    <w:rsid w:val="00C1514A"/>
    <w:rsid w:val="00C1518E"/>
    <w:rsid w:val="00C23622"/>
    <w:rsid w:val="00C23E9E"/>
    <w:rsid w:val="00C24818"/>
    <w:rsid w:val="00C30E18"/>
    <w:rsid w:val="00C3322D"/>
    <w:rsid w:val="00C36189"/>
    <w:rsid w:val="00C36302"/>
    <w:rsid w:val="00C36AF9"/>
    <w:rsid w:val="00C414AD"/>
    <w:rsid w:val="00C430C9"/>
    <w:rsid w:val="00C45EEC"/>
    <w:rsid w:val="00C46442"/>
    <w:rsid w:val="00C4751F"/>
    <w:rsid w:val="00C51319"/>
    <w:rsid w:val="00C556A9"/>
    <w:rsid w:val="00C638EC"/>
    <w:rsid w:val="00C658CC"/>
    <w:rsid w:val="00C70AB4"/>
    <w:rsid w:val="00C7189B"/>
    <w:rsid w:val="00C727B1"/>
    <w:rsid w:val="00C731CA"/>
    <w:rsid w:val="00C75A26"/>
    <w:rsid w:val="00C8587D"/>
    <w:rsid w:val="00C86AC5"/>
    <w:rsid w:val="00C87210"/>
    <w:rsid w:val="00C87865"/>
    <w:rsid w:val="00C9258B"/>
    <w:rsid w:val="00C932A1"/>
    <w:rsid w:val="00C9518E"/>
    <w:rsid w:val="00C956D7"/>
    <w:rsid w:val="00C9592D"/>
    <w:rsid w:val="00C970BB"/>
    <w:rsid w:val="00C97CAB"/>
    <w:rsid w:val="00CA0494"/>
    <w:rsid w:val="00CA2C12"/>
    <w:rsid w:val="00CB13C7"/>
    <w:rsid w:val="00CB1755"/>
    <w:rsid w:val="00CB3DB2"/>
    <w:rsid w:val="00CB5066"/>
    <w:rsid w:val="00CB5576"/>
    <w:rsid w:val="00CC43A2"/>
    <w:rsid w:val="00CC4FD6"/>
    <w:rsid w:val="00CC5DB4"/>
    <w:rsid w:val="00CD4CBE"/>
    <w:rsid w:val="00CD6E1B"/>
    <w:rsid w:val="00CD76D3"/>
    <w:rsid w:val="00CD7E6D"/>
    <w:rsid w:val="00CE0F39"/>
    <w:rsid w:val="00CE74A6"/>
    <w:rsid w:val="00CF0786"/>
    <w:rsid w:val="00CF0ADC"/>
    <w:rsid w:val="00CF4F24"/>
    <w:rsid w:val="00D00A03"/>
    <w:rsid w:val="00D03037"/>
    <w:rsid w:val="00D0553A"/>
    <w:rsid w:val="00D05D6B"/>
    <w:rsid w:val="00D10F92"/>
    <w:rsid w:val="00D11037"/>
    <w:rsid w:val="00D1649F"/>
    <w:rsid w:val="00D167E5"/>
    <w:rsid w:val="00D21019"/>
    <w:rsid w:val="00D227B2"/>
    <w:rsid w:val="00D228EB"/>
    <w:rsid w:val="00D23E27"/>
    <w:rsid w:val="00D26DDF"/>
    <w:rsid w:val="00D31F0B"/>
    <w:rsid w:val="00D33A35"/>
    <w:rsid w:val="00D35049"/>
    <w:rsid w:val="00D409E1"/>
    <w:rsid w:val="00D44821"/>
    <w:rsid w:val="00D461B1"/>
    <w:rsid w:val="00D5147A"/>
    <w:rsid w:val="00D54C29"/>
    <w:rsid w:val="00D56164"/>
    <w:rsid w:val="00D60BC1"/>
    <w:rsid w:val="00D6372E"/>
    <w:rsid w:val="00D65616"/>
    <w:rsid w:val="00D67B74"/>
    <w:rsid w:val="00D70CA0"/>
    <w:rsid w:val="00D717AC"/>
    <w:rsid w:val="00D74DC7"/>
    <w:rsid w:val="00D77D7D"/>
    <w:rsid w:val="00D8091D"/>
    <w:rsid w:val="00D80F3D"/>
    <w:rsid w:val="00D82C1F"/>
    <w:rsid w:val="00D8313B"/>
    <w:rsid w:val="00D85124"/>
    <w:rsid w:val="00D86D89"/>
    <w:rsid w:val="00D87AE5"/>
    <w:rsid w:val="00D87CA6"/>
    <w:rsid w:val="00D90604"/>
    <w:rsid w:val="00D90CE2"/>
    <w:rsid w:val="00D90F4C"/>
    <w:rsid w:val="00D932CA"/>
    <w:rsid w:val="00D95770"/>
    <w:rsid w:val="00DA3386"/>
    <w:rsid w:val="00DA3C6B"/>
    <w:rsid w:val="00DA5188"/>
    <w:rsid w:val="00DA70EB"/>
    <w:rsid w:val="00DB2AD7"/>
    <w:rsid w:val="00DB4C7C"/>
    <w:rsid w:val="00DB723C"/>
    <w:rsid w:val="00DB748A"/>
    <w:rsid w:val="00DC1CA1"/>
    <w:rsid w:val="00DC2987"/>
    <w:rsid w:val="00DC3DBB"/>
    <w:rsid w:val="00DC5A3D"/>
    <w:rsid w:val="00DD116A"/>
    <w:rsid w:val="00DD1648"/>
    <w:rsid w:val="00DD17E4"/>
    <w:rsid w:val="00DD1CF6"/>
    <w:rsid w:val="00DD1DAA"/>
    <w:rsid w:val="00DD43EB"/>
    <w:rsid w:val="00DD5441"/>
    <w:rsid w:val="00DD66CF"/>
    <w:rsid w:val="00DE0880"/>
    <w:rsid w:val="00DE35E7"/>
    <w:rsid w:val="00DE3E9A"/>
    <w:rsid w:val="00DE4F7B"/>
    <w:rsid w:val="00DE58C3"/>
    <w:rsid w:val="00DF233C"/>
    <w:rsid w:val="00DF493C"/>
    <w:rsid w:val="00DF664B"/>
    <w:rsid w:val="00E00A80"/>
    <w:rsid w:val="00E033A9"/>
    <w:rsid w:val="00E05333"/>
    <w:rsid w:val="00E07350"/>
    <w:rsid w:val="00E155B5"/>
    <w:rsid w:val="00E16A95"/>
    <w:rsid w:val="00E203D7"/>
    <w:rsid w:val="00E2286C"/>
    <w:rsid w:val="00E23924"/>
    <w:rsid w:val="00E2434C"/>
    <w:rsid w:val="00E24944"/>
    <w:rsid w:val="00E328ED"/>
    <w:rsid w:val="00E32D01"/>
    <w:rsid w:val="00E3418E"/>
    <w:rsid w:val="00E353E7"/>
    <w:rsid w:val="00E403D1"/>
    <w:rsid w:val="00E4131A"/>
    <w:rsid w:val="00E43378"/>
    <w:rsid w:val="00E52D68"/>
    <w:rsid w:val="00E544C0"/>
    <w:rsid w:val="00E60107"/>
    <w:rsid w:val="00E6072E"/>
    <w:rsid w:val="00E62376"/>
    <w:rsid w:val="00E62935"/>
    <w:rsid w:val="00E63001"/>
    <w:rsid w:val="00E63BD1"/>
    <w:rsid w:val="00E64CCF"/>
    <w:rsid w:val="00E65B96"/>
    <w:rsid w:val="00E71FE4"/>
    <w:rsid w:val="00E72B34"/>
    <w:rsid w:val="00E7506D"/>
    <w:rsid w:val="00E806C3"/>
    <w:rsid w:val="00E81BF2"/>
    <w:rsid w:val="00E85524"/>
    <w:rsid w:val="00E8670A"/>
    <w:rsid w:val="00E86D2C"/>
    <w:rsid w:val="00E8799C"/>
    <w:rsid w:val="00E87E2A"/>
    <w:rsid w:val="00E906B8"/>
    <w:rsid w:val="00E93908"/>
    <w:rsid w:val="00E956EC"/>
    <w:rsid w:val="00E95CE4"/>
    <w:rsid w:val="00E96283"/>
    <w:rsid w:val="00E97C42"/>
    <w:rsid w:val="00EA0782"/>
    <w:rsid w:val="00EA1F46"/>
    <w:rsid w:val="00EA20BB"/>
    <w:rsid w:val="00EA2CDE"/>
    <w:rsid w:val="00EB2412"/>
    <w:rsid w:val="00EB2492"/>
    <w:rsid w:val="00EB3AA0"/>
    <w:rsid w:val="00EB3D1C"/>
    <w:rsid w:val="00EB4C15"/>
    <w:rsid w:val="00EC0745"/>
    <w:rsid w:val="00EC2221"/>
    <w:rsid w:val="00EC2484"/>
    <w:rsid w:val="00EC2D14"/>
    <w:rsid w:val="00EC384C"/>
    <w:rsid w:val="00EC43BC"/>
    <w:rsid w:val="00EC6B05"/>
    <w:rsid w:val="00EC6B6D"/>
    <w:rsid w:val="00EC7F11"/>
    <w:rsid w:val="00ED1BA8"/>
    <w:rsid w:val="00ED4705"/>
    <w:rsid w:val="00ED4AF7"/>
    <w:rsid w:val="00ED5762"/>
    <w:rsid w:val="00ED6463"/>
    <w:rsid w:val="00EE20E3"/>
    <w:rsid w:val="00EE2534"/>
    <w:rsid w:val="00EE3384"/>
    <w:rsid w:val="00EE37D3"/>
    <w:rsid w:val="00EE38E4"/>
    <w:rsid w:val="00EE4B90"/>
    <w:rsid w:val="00EE51BD"/>
    <w:rsid w:val="00EF0AA9"/>
    <w:rsid w:val="00EF38CD"/>
    <w:rsid w:val="00EF43F2"/>
    <w:rsid w:val="00EF444C"/>
    <w:rsid w:val="00EF4CE3"/>
    <w:rsid w:val="00EF56E4"/>
    <w:rsid w:val="00EF5803"/>
    <w:rsid w:val="00EF684F"/>
    <w:rsid w:val="00EF69A2"/>
    <w:rsid w:val="00F011B0"/>
    <w:rsid w:val="00F01880"/>
    <w:rsid w:val="00F02578"/>
    <w:rsid w:val="00F033DE"/>
    <w:rsid w:val="00F06A23"/>
    <w:rsid w:val="00F10A3D"/>
    <w:rsid w:val="00F10A63"/>
    <w:rsid w:val="00F12CE8"/>
    <w:rsid w:val="00F13EFD"/>
    <w:rsid w:val="00F165A3"/>
    <w:rsid w:val="00F206B2"/>
    <w:rsid w:val="00F21791"/>
    <w:rsid w:val="00F21E3B"/>
    <w:rsid w:val="00F23C62"/>
    <w:rsid w:val="00F24831"/>
    <w:rsid w:val="00F30ABD"/>
    <w:rsid w:val="00F31EB3"/>
    <w:rsid w:val="00F3359B"/>
    <w:rsid w:val="00F43428"/>
    <w:rsid w:val="00F43DCE"/>
    <w:rsid w:val="00F44074"/>
    <w:rsid w:val="00F4626B"/>
    <w:rsid w:val="00F463EA"/>
    <w:rsid w:val="00F51389"/>
    <w:rsid w:val="00F51ED8"/>
    <w:rsid w:val="00F51FCE"/>
    <w:rsid w:val="00F54292"/>
    <w:rsid w:val="00F5466E"/>
    <w:rsid w:val="00F57519"/>
    <w:rsid w:val="00F602EB"/>
    <w:rsid w:val="00F61CEE"/>
    <w:rsid w:val="00F636B5"/>
    <w:rsid w:val="00F6392B"/>
    <w:rsid w:val="00F6477D"/>
    <w:rsid w:val="00F66293"/>
    <w:rsid w:val="00F66967"/>
    <w:rsid w:val="00F66D61"/>
    <w:rsid w:val="00F67F31"/>
    <w:rsid w:val="00F71411"/>
    <w:rsid w:val="00F74989"/>
    <w:rsid w:val="00F75216"/>
    <w:rsid w:val="00F82BD9"/>
    <w:rsid w:val="00F847FE"/>
    <w:rsid w:val="00F849D7"/>
    <w:rsid w:val="00F8547E"/>
    <w:rsid w:val="00F85FCF"/>
    <w:rsid w:val="00F8646D"/>
    <w:rsid w:val="00F86489"/>
    <w:rsid w:val="00F87042"/>
    <w:rsid w:val="00F8732C"/>
    <w:rsid w:val="00F908B9"/>
    <w:rsid w:val="00F90D82"/>
    <w:rsid w:val="00F92C08"/>
    <w:rsid w:val="00F95851"/>
    <w:rsid w:val="00F97918"/>
    <w:rsid w:val="00FA18CC"/>
    <w:rsid w:val="00FA1936"/>
    <w:rsid w:val="00FA2DF6"/>
    <w:rsid w:val="00FA2EC6"/>
    <w:rsid w:val="00FA3110"/>
    <w:rsid w:val="00FA5D51"/>
    <w:rsid w:val="00FA64E7"/>
    <w:rsid w:val="00FA774A"/>
    <w:rsid w:val="00FB0DF3"/>
    <w:rsid w:val="00FC0619"/>
    <w:rsid w:val="00FC0DEB"/>
    <w:rsid w:val="00FC15F1"/>
    <w:rsid w:val="00FC1902"/>
    <w:rsid w:val="00FC4909"/>
    <w:rsid w:val="00FC4962"/>
    <w:rsid w:val="00FC5ACC"/>
    <w:rsid w:val="00FD12DE"/>
    <w:rsid w:val="00FD37FE"/>
    <w:rsid w:val="00FD62FF"/>
    <w:rsid w:val="00FD676E"/>
    <w:rsid w:val="00FE2F78"/>
    <w:rsid w:val="00FE43E1"/>
    <w:rsid w:val="00FE6095"/>
    <w:rsid w:val="00FE61C6"/>
    <w:rsid w:val="00FF0578"/>
    <w:rsid w:val="00FF1858"/>
    <w:rsid w:val="00FF33EB"/>
    <w:rsid w:val="00FF3F01"/>
    <w:rsid w:val="00FF4EA4"/>
    <w:rsid w:val="00FF4F57"/>
    <w:rsid w:val="01087EB9"/>
    <w:rsid w:val="01C861C5"/>
    <w:rsid w:val="02042EF4"/>
    <w:rsid w:val="02314E41"/>
    <w:rsid w:val="02BB5D2E"/>
    <w:rsid w:val="032C493C"/>
    <w:rsid w:val="03B6440A"/>
    <w:rsid w:val="04A6236A"/>
    <w:rsid w:val="053F5432"/>
    <w:rsid w:val="05A348D4"/>
    <w:rsid w:val="064E7C45"/>
    <w:rsid w:val="07BF5E31"/>
    <w:rsid w:val="07F96DEB"/>
    <w:rsid w:val="08ED0258"/>
    <w:rsid w:val="08EF08AA"/>
    <w:rsid w:val="09097ED2"/>
    <w:rsid w:val="09611AE5"/>
    <w:rsid w:val="09B61E03"/>
    <w:rsid w:val="09C3175B"/>
    <w:rsid w:val="09F97BEC"/>
    <w:rsid w:val="0A1E34A8"/>
    <w:rsid w:val="0A962F1E"/>
    <w:rsid w:val="0AD81D4C"/>
    <w:rsid w:val="0AED524D"/>
    <w:rsid w:val="0B042130"/>
    <w:rsid w:val="0B391354"/>
    <w:rsid w:val="0BB63740"/>
    <w:rsid w:val="0CAE7D79"/>
    <w:rsid w:val="0CC81D6F"/>
    <w:rsid w:val="0CE7384B"/>
    <w:rsid w:val="0D4813F1"/>
    <w:rsid w:val="0DAC0795"/>
    <w:rsid w:val="0E1D453B"/>
    <w:rsid w:val="0EA30502"/>
    <w:rsid w:val="0F492F98"/>
    <w:rsid w:val="10060191"/>
    <w:rsid w:val="100B4F00"/>
    <w:rsid w:val="10A55091"/>
    <w:rsid w:val="10C20E4B"/>
    <w:rsid w:val="110E6C6E"/>
    <w:rsid w:val="115665C0"/>
    <w:rsid w:val="115D39B8"/>
    <w:rsid w:val="119243D7"/>
    <w:rsid w:val="122C725F"/>
    <w:rsid w:val="122E3BA3"/>
    <w:rsid w:val="12314E56"/>
    <w:rsid w:val="128E3D8E"/>
    <w:rsid w:val="12E50F51"/>
    <w:rsid w:val="13BF63D1"/>
    <w:rsid w:val="14214638"/>
    <w:rsid w:val="143F6CA5"/>
    <w:rsid w:val="149819C8"/>
    <w:rsid w:val="14D058A3"/>
    <w:rsid w:val="15E8716E"/>
    <w:rsid w:val="15EE44D7"/>
    <w:rsid w:val="16B051B6"/>
    <w:rsid w:val="175E24E1"/>
    <w:rsid w:val="17B078B6"/>
    <w:rsid w:val="18A75883"/>
    <w:rsid w:val="18C216D0"/>
    <w:rsid w:val="197B011F"/>
    <w:rsid w:val="198F1D07"/>
    <w:rsid w:val="19F01D1D"/>
    <w:rsid w:val="1B70335D"/>
    <w:rsid w:val="1BC27E34"/>
    <w:rsid w:val="1C317F37"/>
    <w:rsid w:val="1C527EEE"/>
    <w:rsid w:val="1D90357B"/>
    <w:rsid w:val="1EAC0576"/>
    <w:rsid w:val="1F457DEB"/>
    <w:rsid w:val="1F4F76D7"/>
    <w:rsid w:val="1F5E25BF"/>
    <w:rsid w:val="200E6CBC"/>
    <w:rsid w:val="204C3CC9"/>
    <w:rsid w:val="20AE585D"/>
    <w:rsid w:val="20ED0E50"/>
    <w:rsid w:val="20FF154F"/>
    <w:rsid w:val="21DF17AC"/>
    <w:rsid w:val="22B643D4"/>
    <w:rsid w:val="2301785C"/>
    <w:rsid w:val="23177121"/>
    <w:rsid w:val="24326801"/>
    <w:rsid w:val="2461458C"/>
    <w:rsid w:val="24D83346"/>
    <w:rsid w:val="253C62DA"/>
    <w:rsid w:val="25720679"/>
    <w:rsid w:val="25D2539F"/>
    <w:rsid w:val="25DF5154"/>
    <w:rsid w:val="25E973E9"/>
    <w:rsid w:val="265B42DF"/>
    <w:rsid w:val="270A70F3"/>
    <w:rsid w:val="27553E85"/>
    <w:rsid w:val="27A229B2"/>
    <w:rsid w:val="27B5253B"/>
    <w:rsid w:val="283E3CD3"/>
    <w:rsid w:val="29C666A7"/>
    <w:rsid w:val="2B0C4E3D"/>
    <w:rsid w:val="2B3F5F01"/>
    <w:rsid w:val="2C0B7CF9"/>
    <w:rsid w:val="2C2E4C48"/>
    <w:rsid w:val="2D5F028F"/>
    <w:rsid w:val="2E6419C2"/>
    <w:rsid w:val="2EC5794C"/>
    <w:rsid w:val="2F124B1C"/>
    <w:rsid w:val="2F45482D"/>
    <w:rsid w:val="2F477084"/>
    <w:rsid w:val="2FE830BB"/>
    <w:rsid w:val="2FED62DF"/>
    <w:rsid w:val="2FF24A9E"/>
    <w:rsid w:val="305F0D15"/>
    <w:rsid w:val="3076209E"/>
    <w:rsid w:val="307D673F"/>
    <w:rsid w:val="31324247"/>
    <w:rsid w:val="313D1FE0"/>
    <w:rsid w:val="320D3218"/>
    <w:rsid w:val="32985053"/>
    <w:rsid w:val="32B20743"/>
    <w:rsid w:val="32E31462"/>
    <w:rsid w:val="32E81473"/>
    <w:rsid w:val="34280373"/>
    <w:rsid w:val="3439458D"/>
    <w:rsid w:val="345D5D57"/>
    <w:rsid w:val="350A079B"/>
    <w:rsid w:val="35306958"/>
    <w:rsid w:val="35316934"/>
    <w:rsid w:val="35C15576"/>
    <w:rsid w:val="35C46C85"/>
    <w:rsid w:val="36D45DBC"/>
    <w:rsid w:val="37571F09"/>
    <w:rsid w:val="38014F46"/>
    <w:rsid w:val="38E97278"/>
    <w:rsid w:val="391E6950"/>
    <w:rsid w:val="3A1337DD"/>
    <w:rsid w:val="3A1A525E"/>
    <w:rsid w:val="3B380893"/>
    <w:rsid w:val="3BF00194"/>
    <w:rsid w:val="3C175755"/>
    <w:rsid w:val="3C725167"/>
    <w:rsid w:val="3C9839FA"/>
    <w:rsid w:val="3CB04E80"/>
    <w:rsid w:val="3CB15132"/>
    <w:rsid w:val="3CC67CD4"/>
    <w:rsid w:val="3D96637E"/>
    <w:rsid w:val="3DEC2498"/>
    <w:rsid w:val="3E4F494F"/>
    <w:rsid w:val="40A419F9"/>
    <w:rsid w:val="40BE3049"/>
    <w:rsid w:val="420665E2"/>
    <w:rsid w:val="42547D8B"/>
    <w:rsid w:val="42A75D9F"/>
    <w:rsid w:val="42F23437"/>
    <w:rsid w:val="43663E29"/>
    <w:rsid w:val="444769AF"/>
    <w:rsid w:val="44EA4606"/>
    <w:rsid w:val="458C667A"/>
    <w:rsid w:val="46366161"/>
    <w:rsid w:val="46465AAA"/>
    <w:rsid w:val="467D2F1A"/>
    <w:rsid w:val="46CE1703"/>
    <w:rsid w:val="46E35449"/>
    <w:rsid w:val="473960E8"/>
    <w:rsid w:val="47A07BC1"/>
    <w:rsid w:val="47A4555A"/>
    <w:rsid w:val="47E81A91"/>
    <w:rsid w:val="48080763"/>
    <w:rsid w:val="485128BA"/>
    <w:rsid w:val="48737219"/>
    <w:rsid w:val="48C0687E"/>
    <w:rsid w:val="48EE371C"/>
    <w:rsid w:val="49574371"/>
    <w:rsid w:val="49CF3E0F"/>
    <w:rsid w:val="49E32D62"/>
    <w:rsid w:val="4A222BB1"/>
    <w:rsid w:val="4D005CCE"/>
    <w:rsid w:val="4DE45808"/>
    <w:rsid w:val="4E053CA7"/>
    <w:rsid w:val="4E9448CD"/>
    <w:rsid w:val="4F374C6E"/>
    <w:rsid w:val="4FF65309"/>
    <w:rsid w:val="505F0174"/>
    <w:rsid w:val="50A050A3"/>
    <w:rsid w:val="51352836"/>
    <w:rsid w:val="51A13899"/>
    <w:rsid w:val="52581E68"/>
    <w:rsid w:val="528771C6"/>
    <w:rsid w:val="531600B4"/>
    <w:rsid w:val="535A1FCB"/>
    <w:rsid w:val="536561B2"/>
    <w:rsid w:val="53791B43"/>
    <w:rsid w:val="53FA012A"/>
    <w:rsid w:val="54150FD2"/>
    <w:rsid w:val="544C0545"/>
    <w:rsid w:val="55684A64"/>
    <w:rsid w:val="557F3457"/>
    <w:rsid w:val="565D0CAB"/>
    <w:rsid w:val="56626902"/>
    <w:rsid w:val="56886D20"/>
    <w:rsid w:val="57820645"/>
    <w:rsid w:val="57A16355"/>
    <w:rsid w:val="57D2139A"/>
    <w:rsid w:val="57DF4B76"/>
    <w:rsid w:val="57FF5269"/>
    <w:rsid w:val="586B1477"/>
    <w:rsid w:val="58A31F4C"/>
    <w:rsid w:val="59484EC2"/>
    <w:rsid w:val="59D8788A"/>
    <w:rsid w:val="5A85418B"/>
    <w:rsid w:val="5BAE2A99"/>
    <w:rsid w:val="5C1717D9"/>
    <w:rsid w:val="5C1A7007"/>
    <w:rsid w:val="5C20031E"/>
    <w:rsid w:val="5C8222FF"/>
    <w:rsid w:val="5CB139A0"/>
    <w:rsid w:val="5CD938B8"/>
    <w:rsid w:val="5D823D4C"/>
    <w:rsid w:val="5D912123"/>
    <w:rsid w:val="5DD54801"/>
    <w:rsid w:val="5E8E5AC1"/>
    <w:rsid w:val="5E921C4D"/>
    <w:rsid w:val="5EE83EB0"/>
    <w:rsid w:val="5EFB17CA"/>
    <w:rsid w:val="5F4A434F"/>
    <w:rsid w:val="6001186C"/>
    <w:rsid w:val="60DB3FC7"/>
    <w:rsid w:val="614E3A65"/>
    <w:rsid w:val="617D2E49"/>
    <w:rsid w:val="61BC4DC2"/>
    <w:rsid w:val="634675E2"/>
    <w:rsid w:val="638962A8"/>
    <w:rsid w:val="63BF3CCD"/>
    <w:rsid w:val="63F4509F"/>
    <w:rsid w:val="6486046D"/>
    <w:rsid w:val="64BF36B4"/>
    <w:rsid w:val="64C76A4D"/>
    <w:rsid w:val="64FE6613"/>
    <w:rsid w:val="654A4F4C"/>
    <w:rsid w:val="66980FBD"/>
    <w:rsid w:val="67341FB4"/>
    <w:rsid w:val="67F03A67"/>
    <w:rsid w:val="68D23C1D"/>
    <w:rsid w:val="69294622"/>
    <w:rsid w:val="69995CD6"/>
    <w:rsid w:val="69CA0494"/>
    <w:rsid w:val="69FB4D8B"/>
    <w:rsid w:val="6C2234CC"/>
    <w:rsid w:val="6D32159C"/>
    <w:rsid w:val="6D351CF7"/>
    <w:rsid w:val="6EB746A7"/>
    <w:rsid w:val="6F34277B"/>
    <w:rsid w:val="6F711D5F"/>
    <w:rsid w:val="6F832092"/>
    <w:rsid w:val="7039129F"/>
    <w:rsid w:val="704D75D1"/>
    <w:rsid w:val="70506DB5"/>
    <w:rsid w:val="7072440C"/>
    <w:rsid w:val="7092622D"/>
    <w:rsid w:val="71CB356E"/>
    <w:rsid w:val="71EC2A56"/>
    <w:rsid w:val="725C2063"/>
    <w:rsid w:val="737E090F"/>
    <w:rsid w:val="73E067CA"/>
    <w:rsid w:val="741756AE"/>
    <w:rsid w:val="741A563C"/>
    <w:rsid w:val="751414C1"/>
    <w:rsid w:val="755446EC"/>
    <w:rsid w:val="755815C8"/>
    <w:rsid w:val="755E1E93"/>
    <w:rsid w:val="75752706"/>
    <w:rsid w:val="75AB4839"/>
    <w:rsid w:val="76015A01"/>
    <w:rsid w:val="76721B44"/>
    <w:rsid w:val="767C5E46"/>
    <w:rsid w:val="76B625A7"/>
    <w:rsid w:val="770C5354"/>
    <w:rsid w:val="782C7615"/>
    <w:rsid w:val="78640778"/>
    <w:rsid w:val="787D7581"/>
    <w:rsid w:val="78AF68A0"/>
    <w:rsid w:val="78C37659"/>
    <w:rsid w:val="790B56C3"/>
    <w:rsid w:val="7B0155BF"/>
    <w:rsid w:val="7BC16393"/>
    <w:rsid w:val="7C1D0C87"/>
    <w:rsid w:val="7CE65B0A"/>
    <w:rsid w:val="7DAB59C8"/>
    <w:rsid w:val="7DE1586C"/>
    <w:rsid w:val="7E4C7A10"/>
    <w:rsid w:val="7E4D2297"/>
    <w:rsid w:val="7E583278"/>
    <w:rsid w:val="7EB52D4A"/>
    <w:rsid w:val="7EC43622"/>
    <w:rsid w:val="7ECA7D27"/>
    <w:rsid w:val="7EEC1A19"/>
    <w:rsid w:val="7EF735F0"/>
    <w:rsid w:val="7F0A2998"/>
    <w:rsid w:val="7F0B0D76"/>
    <w:rsid w:val="7F130E11"/>
    <w:rsid w:val="7FF93B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4">
    <w:name w:val="heading 2"/>
    <w:basedOn w:val="1"/>
    <w:next w:val="1"/>
    <w:link w:val="31"/>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2"/>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6">
    <w:name w:val="heading 4"/>
    <w:basedOn w:val="1"/>
    <w:next w:val="1"/>
    <w:link w:val="33"/>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
    <w:basedOn w:val="1"/>
    <w:qFormat/>
    <w:uiPriority w:val="0"/>
    <w:pPr>
      <w:keepNext/>
      <w:keepLines/>
      <w:spacing w:line="360" w:lineRule="auto"/>
      <w:ind w:firstLine="200" w:firstLineChars="200"/>
    </w:pPr>
    <w:rPr>
      <w:rFonts w:ascii="宋体" w:hAnsi="宋体"/>
    </w:rPr>
  </w:style>
  <w:style w:type="paragraph" w:styleId="7">
    <w:name w:val="Normal Indent"/>
    <w:basedOn w:val="1"/>
    <w:qFormat/>
    <w:uiPriority w:val="0"/>
    <w:pPr>
      <w:ind w:firstLine="425"/>
    </w:pPr>
    <w:rPr>
      <w:rFonts w:ascii="Times New Roman" w:hAnsi="Times New Roman" w:eastAsia="宋体" w:cs="Times New Roman"/>
      <w:szCs w:val="20"/>
    </w:rPr>
  </w:style>
  <w:style w:type="paragraph" w:styleId="8">
    <w:name w:val="caption"/>
    <w:basedOn w:val="1"/>
    <w:next w:val="1"/>
    <w:qFormat/>
    <w:uiPriority w:val="0"/>
    <w:rPr>
      <w:rFonts w:ascii="Arial" w:hAnsi="Arial" w:eastAsia="黑体" w:cs="Arial"/>
      <w:sz w:val="20"/>
      <w:szCs w:val="20"/>
    </w:rPr>
  </w:style>
  <w:style w:type="paragraph" w:styleId="9">
    <w:name w:val="Body Text 3"/>
    <w:basedOn w:val="1"/>
    <w:link w:val="34"/>
    <w:qFormat/>
    <w:uiPriority w:val="0"/>
    <w:rPr>
      <w:rFonts w:ascii="Times New Roman" w:hAnsi="Times New Roman" w:eastAsia="宋体" w:cs="Times New Roman"/>
      <w:color w:val="FF0000"/>
      <w:sz w:val="24"/>
      <w:szCs w:val="24"/>
    </w:rPr>
  </w:style>
  <w:style w:type="paragraph" w:styleId="10">
    <w:name w:val="Body Text"/>
    <w:basedOn w:val="1"/>
    <w:link w:val="35"/>
    <w:semiHidden/>
    <w:unhideWhenUsed/>
    <w:qFormat/>
    <w:uiPriority w:val="99"/>
    <w:pPr>
      <w:spacing w:after="120"/>
    </w:pPr>
  </w:style>
  <w:style w:type="paragraph" w:styleId="11">
    <w:name w:val="Body Text Indent"/>
    <w:basedOn w:val="1"/>
    <w:link w:val="57"/>
    <w:qFormat/>
    <w:uiPriority w:val="0"/>
    <w:pPr>
      <w:adjustRightInd w:val="0"/>
      <w:spacing w:after="120" w:line="360" w:lineRule="atLeast"/>
      <w:ind w:left="420" w:leftChars="200"/>
      <w:jc w:val="left"/>
      <w:textAlignment w:val="baseline"/>
    </w:pPr>
    <w:rPr>
      <w:kern w:val="0"/>
      <w:sz w:val="24"/>
      <w:szCs w:val="20"/>
    </w:rPr>
  </w:style>
  <w:style w:type="paragraph" w:styleId="12">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3">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4">
    <w:name w:val="Plain Text"/>
    <w:basedOn w:val="1"/>
    <w:link w:val="36"/>
    <w:qFormat/>
    <w:uiPriority w:val="0"/>
    <w:rPr>
      <w:rFonts w:eastAsia="宋体"/>
      <w:sz w:val="24"/>
    </w:rPr>
  </w:style>
  <w:style w:type="paragraph" w:styleId="15">
    <w:name w:val="Date"/>
    <w:basedOn w:val="1"/>
    <w:next w:val="1"/>
    <w:link w:val="37"/>
    <w:unhideWhenUsed/>
    <w:qFormat/>
    <w:uiPriority w:val="99"/>
    <w:pPr>
      <w:ind w:left="100" w:leftChars="2500"/>
    </w:pPr>
  </w:style>
  <w:style w:type="paragraph" w:styleId="16">
    <w:name w:val="Balloon Text"/>
    <w:basedOn w:val="1"/>
    <w:link w:val="58"/>
    <w:semiHidden/>
    <w:unhideWhenUsed/>
    <w:qFormat/>
    <w:uiPriority w:val="99"/>
    <w:rPr>
      <w:sz w:val="18"/>
      <w:szCs w:val="18"/>
    </w:rPr>
  </w:style>
  <w:style w:type="paragraph" w:styleId="17">
    <w:name w:val="footer"/>
    <w:basedOn w:val="1"/>
    <w:link w:val="38"/>
    <w:unhideWhenUsed/>
    <w:qFormat/>
    <w:uiPriority w:val="99"/>
    <w:pPr>
      <w:tabs>
        <w:tab w:val="center" w:pos="4153"/>
        <w:tab w:val="right" w:pos="8306"/>
      </w:tabs>
      <w:snapToGrid w:val="0"/>
      <w:jc w:val="left"/>
    </w:pPr>
    <w:rPr>
      <w:sz w:val="18"/>
      <w:szCs w:val="18"/>
    </w:rPr>
  </w:style>
  <w:style w:type="paragraph" w:styleId="18">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0">
    <w:name w:val="HTML Preformatted"/>
    <w:basedOn w:val="1"/>
    <w:link w:val="40"/>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1">
    <w:name w:val="Normal (Web)"/>
    <w:basedOn w:val="1"/>
    <w:qFormat/>
    <w:uiPriority w:val="99"/>
    <w:rPr>
      <w:rFonts w:ascii="Calibri" w:hAnsi="Calibri" w:eastAsia="宋体" w:cs="Times New Roman"/>
      <w:sz w:val="24"/>
      <w:szCs w:val="24"/>
    </w:rPr>
  </w:style>
  <w:style w:type="paragraph" w:styleId="22">
    <w:name w:val="Body Text First Indent"/>
    <w:basedOn w:val="10"/>
    <w:next w:val="23"/>
    <w:link w:val="41"/>
    <w:qFormat/>
    <w:uiPriority w:val="0"/>
    <w:pPr>
      <w:ind w:firstLine="420" w:firstLineChars="100"/>
    </w:pPr>
    <w:rPr>
      <w:rFonts w:ascii="宋体" w:hAnsi="Times New Roman" w:eastAsia="宋体" w:cs="Times New Roman"/>
      <w:kern w:val="0"/>
      <w:sz w:val="34"/>
      <w:szCs w:val="20"/>
    </w:rPr>
  </w:style>
  <w:style w:type="paragraph" w:styleId="23">
    <w:name w:val="Body Text First Indent 2"/>
    <w:basedOn w:val="11"/>
    <w:qFormat/>
    <w:uiPriority w:val="0"/>
    <w:pPr>
      <w:ind w:firstLine="420" w:firstLineChars="200"/>
    </w:pPr>
    <w:rPr>
      <w:szCs w:val="24"/>
    </w:rPr>
  </w:style>
  <w:style w:type="character" w:styleId="26">
    <w:name w:val="Strong"/>
    <w:basedOn w:val="25"/>
    <w:qFormat/>
    <w:uiPriority w:val="22"/>
    <w:rPr>
      <w:b/>
      <w:bCs/>
    </w:rPr>
  </w:style>
  <w:style w:type="character" w:styleId="27">
    <w:name w:val="FollowedHyperlink"/>
    <w:basedOn w:val="25"/>
    <w:semiHidden/>
    <w:unhideWhenUsed/>
    <w:qFormat/>
    <w:uiPriority w:val="99"/>
    <w:rPr>
      <w:color w:val="800080" w:themeColor="followedHyperlink"/>
      <w:u w:val="single"/>
      <w14:textFill>
        <w14:solidFill>
          <w14:schemeClr w14:val="folHlink"/>
        </w14:solidFill>
      </w14:textFill>
    </w:rPr>
  </w:style>
  <w:style w:type="character" w:styleId="28">
    <w:name w:val="Emphasis"/>
    <w:basedOn w:val="25"/>
    <w:qFormat/>
    <w:uiPriority w:val="20"/>
    <w:rPr>
      <w:i/>
      <w:iCs/>
    </w:rPr>
  </w:style>
  <w:style w:type="character" w:styleId="29">
    <w:name w:val="Hyperlink"/>
    <w:basedOn w:val="25"/>
    <w:unhideWhenUsed/>
    <w:qFormat/>
    <w:uiPriority w:val="99"/>
    <w:rPr>
      <w:color w:val="0000FF"/>
      <w:u w:val="single"/>
    </w:rPr>
  </w:style>
  <w:style w:type="character" w:customStyle="1" w:styleId="30">
    <w:name w:val="标题 1 Char"/>
    <w:basedOn w:val="25"/>
    <w:link w:val="3"/>
    <w:qFormat/>
    <w:uiPriority w:val="0"/>
    <w:rPr>
      <w:rFonts w:ascii="Calibri" w:hAnsi="Calibri" w:eastAsia="宋体" w:cs="Times New Roman"/>
      <w:b/>
      <w:bCs/>
      <w:kern w:val="44"/>
      <w:sz w:val="44"/>
      <w:szCs w:val="44"/>
    </w:rPr>
  </w:style>
  <w:style w:type="character" w:customStyle="1" w:styleId="31">
    <w:name w:val="标题 2 Char"/>
    <w:basedOn w:val="25"/>
    <w:link w:val="4"/>
    <w:qFormat/>
    <w:uiPriority w:val="0"/>
    <w:rPr>
      <w:rFonts w:ascii="Arial" w:hAnsi="Arial" w:eastAsia="黑体" w:cs="Times New Roman"/>
      <w:b/>
      <w:bCs/>
      <w:sz w:val="32"/>
      <w:szCs w:val="32"/>
    </w:rPr>
  </w:style>
  <w:style w:type="character" w:customStyle="1" w:styleId="32">
    <w:name w:val="标题 3 Char"/>
    <w:basedOn w:val="25"/>
    <w:link w:val="5"/>
    <w:qFormat/>
    <w:uiPriority w:val="0"/>
    <w:rPr>
      <w:rFonts w:ascii="宋体" w:hAnsi="宋体" w:eastAsia="宋体" w:cs="Times New Roman"/>
      <w:b/>
      <w:color w:val="000000"/>
      <w:kern w:val="0"/>
      <w:sz w:val="24"/>
      <w:szCs w:val="20"/>
      <w:lang w:val="en-GB"/>
    </w:rPr>
  </w:style>
  <w:style w:type="character" w:customStyle="1" w:styleId="33">
    <w:name w:val="标题 4 Char"/>
    <w:basedOn w:val="25"/>
    <w:link w:val="6"/>
    <w:qFormat/>
    <w:uiPriority w:val="0"/>
    <w:rPr>
      <w:rFonts w:ascii="Arial" w:hAnsi="Arial" w:eastAsia="黑体" w:cs="Times New Roman"/>
      <w:b/>
      <w:bCs/>
      <w:sz w:val="28"/>
      <w:szCs w:val="28"/>
    </w:rPr>
  </w:style>
  <w:style w:type="character" w:customStyle="1" w:styleId="34">
    <w:name w:val="正文文本 3 Char"/>
    <w:basedOn w:val="25"/>
    <w:link w:val="9"/>
    <w:qFormat/>
    <w:uiPriority w:val="0"/>
    <w:rPr>
      <w:rFonts w:ascii="Times New Roman" w:hAnsi="Times New Roman" w:eastAsia="宋体" w:cs="Times New Roman"/>
      <w:color w:val="FF0000"/>
      <w:sz w:val="24"/>
      <w:szCs w:val="24"/>
    </w:rPr>
  </w:style>
  <w:style w:type="character" w:customStyle="1" w:styleId="35">
    <w:name w:val="正文文本 Char"/>
    <w:basedOn w:val="25"/>
    <w:link w:val="10"/>
    <w:semiHidden/>
    <w:qFormat/>
    <w:uiPriority w:val="99"/>
  </w:style>
  <w:style w:type="character" w:customStyle="1" w:styleId="36">
    <w:name w:val="纯文本 Char"/>
    <w:basedOn w:val="25"/>
    <w:link w:val="14"/>
    <w:qFormat/>
    <w:uiPriority w:val="0"/>
    <w:rPr>
      <w:rFonts w:eastAsia="宋体"/>
      <w:sz w:val="24"/>
    </w:rPr>
  </w:style>
  <w:style w:type="character" w:customStyle="1" w:styleId="37">
    <w:name w:val="日期 Char"/>
    <w:basedOn w:val="25"/>
    <w:link w:val="15"/>
    <w:qFormat/>
    <w:uiPriority w:val="99"/>
  </w:style>
  <w:style w:type="character" w:customStyle="1" w:styleId="38">
    <w:name w:val="页脚 Char"/>
    <w:basedOn w:val="25"/>
    <w:link w:val="17"/>
    <w:qFormat/>
    <w:uiPriority w:val="99"/>
    <w:rPr>
      <w:sz w:val="18"/>
      <w:szCs w:val="18"/>
    </w:rPr>
  </w:style>
  <w:style w:type="character" w:customStyle="1" w:styleId="39">
    <w:name w:val="页眉 Char"/>
    <w:basedOn w:val="25"/>
    <w:link w:val="18"/>
    <w:qFormat/>
    <w:uiPriority w:val="99"/>
    <w:rPr>
      <w:sz w:val="18"/>
      <w:szCs w:val="18"/>
    </w:rPr>
  </w:style>
  <w:style w:type="character" w:customStyle="1" w:styleId="40">
    <w:name w:val="HTML 预设格式 Char"/>
    <w:basedOn w:val="25"/>
    <w:link w:val="20"/>
    <w:semiHidden/>
    <w:qFormat/>
    <w:uiPriority w:val="99"/>
    <w:rPr>
      <w:rFonts w:ascii="宋体" w:hAnsi="宋体" w:eastAsia="宋体" w:cs="宋体"/>
      <w:kern w:val="0"/>
      <w:sz w:val="24"/>
      <w:szCs w:val="24"/>
    </w:rPr>
  </w:style>
  <w:style w:type="character" w:customStyle="1" w:styleId="41">
    <w:name w:val="正文首行缩进 Char"/>
    <w:basedOn w:val="35"/>
    <w:link w:val="22"/>
    <w:qFormat/>
    <w:uiPriority w:val="0"/>
    <w:rPr>
      <w:rFonts w:ascii="宋体" w:hAnsi="Times New Roman" w:eastAsia="宋体" w:cs="Times New Roman"/>
      <w:kern w:val="0"/>
      <w:sz w:val="34"/>
      <w:szCs w:val="20"/>
    </w:rPr>
  </w:style>
  <w:style w:type="character" w:customStyle="1" w:styleId="42">
    <w:name w:val="纯文本 Char1"/>
    <w:qFormat/>
    <w:uiPriority w:val="0"/>
    <w:rPr>
      <w:rFonts w:eastAsia="宋体"/>
      <w:sz w:val="24"/>
    </w:rPr>
  </w:style>
  <w:style w:type="paragraph" w:customStyle="1" w:styleId="4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4">
    <w:name w:val="列出段落1"/>
    <w:basedOn w:val="1"/>
    <w:qFormat/>
    <w:uiPriority w:val="34"/>
    <w:pPr>
      <w:ind w:firstLine="420" w:firstLineChars="200"/>
    </w:pPr>
  </w:style>
  <w:style w:type="paragraph" w:styleId="45">
    <w:name w:val="List Paragraph"/>
    <w:basedOn w:val="1"/>
    <w:unhideWhenUsed/>
    <w:qFormat/>
    <w:uiPriority w:val="99"/>
    <w:pPr>
      <w:ind w:firstLine="420" w:firstLineChars="200"/>
    </w:pPr>
  </w:style>
  <w:style w:type="character" w:customStyle="1" w:styleId="46">
    <w:name w:val="正文文本缩进 Char Char"/>
    <w:link w:val="47"/>
    <w:qFormat/>
    <w:uiPriority w:val="0"/>
    <w:rPr>
      <w:rFonts w:ascii="宋体"/>
      <w:sz w:val="24"/>
    </w:rPr>
  </w:style>
  <w:style w:type="paragraph" w:customStyle="1" w:styleId="47">
    <w:name w:val="正文文本缩进1"/>
    <w:basedOn w:val="1"/>
    <w:link w:val="46"/>
    <w:qFormat/>
    <w:uiPriority w:val="0"/>
    <w:pPr>
      <w:spacing w:line="360" w:lineRule="auto"/>
      <w:ind w:firstLine="480" w:firstLineChars="200"/>
    </w:pPr>
    <w:rPr>
      <w:rFonts w:ascii="宋体"/>
      <w:sz w:val="24"/>
    </w:rPr>
  </w:style>
  <w:style w:type="character" w:customStyle="1" w:styleId="48">
    <w:name w:val="日期 Char Char"/>
    <w:link w:val="49"/>
    <w:qFormat/>
    <w:uiPriority w:val="0"/>
    <w:rPr>
      <w:sz w:val="24"/>
    </w:rPr>
  </w:style>
  <w:style w:type="paragraph" w:customStyle="1" w:styleId="49">
    <w:name w:val="日期1"/>
    <w:basedOn w:val="1"/>
    <w:next w:val="1"/>
    <w:link w:val="48"/>
    <w:qFormat/>
    <w:uiPriority w:val="0"/>
    <w:rPr>
      <w:sz w:val="24"/>
    </w:rPr>
  </w:style>
  <w:style w:type="paragraph" w:customStyle="1" w:styleId="50">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1">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3">
    <w:name w:val="edittexttarea"/>
    <w:basedOn w:val="25"/>
    <w:qFormat/>
    <w:uiPriority w:val="0"/>
  </w:style>
  <w:style w:type="paragraph" w:customStyle="1" w:styleId="54">
    <w:name w:val="样式 标题 1 + 四号 居中 段前: 12 磅 段后: 12 磅 行距: 单倍行距"/>
    <w:basedOn w:val="3"/>
    <w:qFormat/>
    <w:uiPriority w:val="0"/>
    <w:pPr>
      <w:spacing w:before="240" w:after="240" w:line="240" w:lineRule="auto"/>
      <w:ind w:left="-288"/>
      <w:jc w:val="center"/>
    </w:pPr>
    <w:rPr>
      <w:rFonts w:cs="宋体"/>
      <w:sz w:val="28"/>
      <w:szCs w:val="20"/>
    </w:rPr>
  </w:style>
  <w:style w:type="paragraph" w:customStyle="1" w:styleId="55">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6">
    <w:name w:val="正文文本缩进 Char"/>
    <w:link w:val="11"/>
    <w:qFormat/>
    <w:uiPriority w:val="0"/>
    <w:rPr>
      <w:sz w:val="24"/>
    </w:rPr>
  </w:style>
  <w:style w:type="character" w:customStyle="1" w:styleId="57">
    <w:name w:val="正文文本缩进 Char1"/>
    <w:basedOn w:val="25"/>
    <w:link w:val="11"/>
    <w:semiHidden/>
    <w:qFormat/>
    <w:uiPriority w:val="99"/>
    <w:rPr>
      <w:kern w:val="2"/>
      <w:sz w:val="21"/>
      <w:szCs w:val="22"/>
    </w:rPr>
  </w:style>
  <w:style w:type="character" w:customStyle="1" w:styleId="58">
    <w:name w:val="批注框文本 Char"/>
    <w:basedOn w:val="25"/>
    <w:link w:val="16"/>
    <w:semiHidden/>
    <w:qFormat/>
    <w:uiPriority w:val="99"/>
    <w:rPr>
      <w:kern w:val="2"/>
      <w:sz w:val="18"/>
      <w:szCs w:val="18"/>
    </w:rPr>
  </w:style>
  <w:style w:type="character" w:customStyle="1" w:styleId="59">
    <w:name w:val="样式 标书正文 + 下划线 Char"/>
    <w:qFormat/>
    <w:uiPriority w:val="0"/>
    <w:rPr>
      <w:rFonts w:eastAsia="Ari"/>
      <w:kern w:val="2"/>
      <w:sz w:val="28"/>
      <w:szCs w:val="28"/>
      <w:u w:val="single"/>
      <w:lang w:val="en-US" w:eastAsia="zh-CN"/>
    </w:rPr>
  </w:style>
  <w:style w:type="paragraph" w:customStyle="1" w:styleId="60">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61">
    <w:name w:val="Plain Text"/>
    <w:basedOn w:val="1"/>
    <w:qFormat/>
    <w:uiPriority w:val="0"/>
    <w:rPr>
      <w:rFonts w:ascii="宋体" w:hAnsi="Courier New"/>
      <w:kern w:val="0"/>
      <w:sz w:val="20"/>
      <w:szCs w:val="21"/>
    </w:rPr>
  </w:style>
  <w:style w:type="character" w:customStyle="1" w:styleId="62">
    <w:name w:val="font131"/>
    <w:basedOn w:val="25"/>
    <w:qFormat/>
    <w:uiPriority w:val="0"/>
    <w:rPr>
      <w:rFonts w:hint="eastAsia" w:ascii="宋体" w:hAnsi="宋体" w:eastAsia="宋体" w:cs="宋体"/>
      <w:color w:val="000000"/>
      <w:sz w:val="24"/>
      <w:szCs w:val="24"/>
      <w:u w:val="none"/>
    </w:rPr>
  </w:style>
  <w:style w:type="character" w:customStyle="1" w:styleId="63">
    <w:name w:val="font61"/>
    <w:basedOn w:val="25"/>
    <w:qFormat/>
    <w:uiPriority w:val="0"/>
    <w:rPr>
      <w:rFonts w:hint="eastAsia" w:ascii="宋体" w:hAnsi="宋体" w:eastAsia="宋体" w:cs="宋体"/>
      <w:color w:val="000000"/>
      <w:sz w:val="24"/>
      <w:szCs w:val="24"/>
      <w:u w:val="none"/>
    </w:rPr>
  </w:style>
  <w:style w:type="character" w:customStyle="1" w:styleId="64">
    <w:name w:val="font11"/>
    <w:basedOn w:val="25"/>
    <w:qFormat/>
    <w:uiPriority w:val="0"/>
    <w:rPr>
      <w:rFonts w:hint="default" w:ascii="Tahoma" w:hAnsi="Tahoma" w:eastAsia="Tahoma" w:cs="Tahoma"/>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55E6AB-26FF-4703-85F4-72F8C14235A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64</Pages>
  <Words>5181</Words>
  <Characters>29533</Characters>
  <Lines>246</Lines>
  <Paragraphs>69</Paragraphs>
  <TotalTime>21</TotalTime>
  <ScaleCrop>false</ScaleCrop>
  <LinksUpToDate>false</LinksUpToDate>
  <CharactersWithSpaces>34645</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2018-08-06T02:30:00Z</dcterms:created>
  <dc:creator>许昌市公共资源交易中心:孟莉</dc:creator>
  <cp:lastModifiedBy>禹州市公共资源交易中心:侯英红</cp:lastModifiedBy>
  <cp:lastPrinted>2018-03-20T03:26:00Z</cp:lastPrinted>
  <dcterms:modified xsi:type="dcterms:W3CDTF">2019-08-08T08:36:52Z</dcterms:modified>
  <cp:revision>539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