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color w:val="auto"/>
          <w:highlight w:val="none"/>
        </w:rPr>
        <w:id w:val="11919725"/>
        <w:docPartObj>
          <w:docPartGallery w:val="AutoText"/>
        </w:docPartObj>
      </w:sdtPr>
      <w:sdtEndPr>
        <w:rPr>
          <w:rFonts w:ascii="宋体" w:hAnsi="宋体" w:cs="宋体"/>
          <w:b/>
          <w:bCs/>
          <w:color w:val="auto"/>
          <w:sz w:val="44"/>
          <w:szCs w:val="44"/>
          <w:highlight w:val="none"/>
        </w:rPr>
      </w:sdtEndPr>
      <w:sdtContent>
        <w:p>
          <w:pPr>
            <w:ind w:firstLine="630" w:firstLineChars="300"/>
            <w:rPr>
              <w:rFonts w:ascii="宋体" w:hAnsi="宋体" w:cs="宋体"/>
              <w:b/>
              <w:bCs/>
              <w:color w:val="auto"/>
              <w:sz w:val="44"/>
              <w:szCs w:val="44"/>
              <w:highlight w:val="none"/>
            </w:rPr>
          </w:pPr>
        </w:p>
        <w:p>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许昌市东城区财政投资评审和统计中心</w:t>
          </w:r>
        </w:p>
        <w:p>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“选聘会计事务所入库”项目</w:t>
          </w:r>
        </w:p>
        <w:p>
          <w:pPr>
            <w:spacing w:line="480" w:lineRule="auto"/>
            <w:jc w:val="center"/>
            <w:rPr>
              <w:rFonts w:ascii="宋体" w:hAnsi="宋体" w:cs="宋体"/>
              <w:b/>
              <w:bCs/>
              <w:color w:val="auto"/>
              <w:szCs w:val="32"/>
              <w:highlight w:val="none"/>
            </w:rPr>
          </w:pPr>
        </w:p>
        <w:p>
          <w:pPr>
            <w:jc w:val="center"/>
            <w:rPr>
              <w:rFonts w:ascii="宋体" w:hAnsi="宋体" w:cs="宋体"/>
              <w:b/>
              <w:bCs/>
              <w:color w:val="auto"/>
              <w:szCs w:val="32"/>
              <w:highlight w:val="none"/>
            </w:rPr>
          </w:pPr>
        </w:p>
        <w:p>
          <w:pPr>
            <w:jc w:val="center"/>
            <w:rPr>
              <w:rFonts w:ascii="宋体" w:hAnsi="宋体" w:cs="宋体"/>
              <w:b/>
              <w:bCs/>
              <w:color w:val="auto"/>
              <w:szCs w:val="32"/>
              <w:highlight w:val="none"/>
            </w:rPr>
          </w:pPr>
        </w:p>
        <w:p>
          <w:pPr>
            <w:jc w:val="center"/>
            <w:rPr>
              <w:rFonts w:ascii="宋体" w:hAnsi="宋体" w:cs="宋体"/>
              <w:b/>
              <w:bCs/>
              <w:color w:val="auto"/>
              <w:szCs w:val="32"/>
              <w:highlight w:val="none"/>
            </w:rPr>
          </w:pPr>
        </w:p>
        <w:p>
          <w:pPr>
            <w:jc w:val="center"/>
            <w:rPr>
              <w:rFonts w:ascii="宋体" w:hAnsi="宋体" w:cs="宋体"/>
              <w:b/>
              <w:bCs/>
              <w:color w:val="auto"/>
              <w:szCs w:val="32"/>
              <w:highlight w:val="none"/>
            </w:rPr>
          </w:pPr>
        </w:p>
        <w:p>
          <w:pPr>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招 标 文 件</w:t>
          </w:r>
        </w:p>
        <w:p>
          <w:pPr>
            <w:jc w:val="center"/>
            <w:rPr>
              <w:rFonts w:ascii="宋体" w:hAnsi="宋体" w:cs="宋体"/>
              <w:b/>
              <w:color w:val="auto"/>
              <w:szCs w:val="32"/>
              <w:highlight w:val="none"/>
            </w:rPr>
          </w:pPr>
        </w:p>
        <w:p>
          <w:pPr>
            <w:jc w:val="center"/>
            <w:rPr>
              <w:rFonts w:ascii="宋体" w:hAnsi="宋体" w:cs="宋体"/>
              <w:b/>
              <w:color w:val="auto"/>
              <w:sz w:val="32"/>
              <w:szCs w:val="32"/>
              <w:highlight w:val="none"/>
            </w:rPr>
          </w:pPr>
          <w:r>
            <w:rPr>
              <w:rFonts w:hint="eastAsia" w:ascii="宋体" w:hAnsi="宋体" w:cs="宋体"/>
              <w:b/>
              <w:bCs/>
              <w:color w:val="auto"/>
              <w:sz w:val="32"/>
              <w:szCs w:val="32"/>
              <w:highlight w:val="none"/>
              <w:shd w:val="clear" w:color="auto" w:fill="FFFFFF"/>
            </w:rPr>
            <w:t xml:space="preserve"> 项目编号：JZFCG-G2019073号</w:t>
          </w:r>
        </w:p>
        <w:p>
          <w:pPr>
            <w:jc w:val="center"/>
            <w:rPr>
              <w:rFonts w:ascii="宋体" w:hAnsi="宋体" w:cs="宋体"/>
              <w:b/>
              <w:color w:val="auto"/>
              <w:szCs w:val="32"/>
              <w:highlight w:val="none"/>
            </w:rPr>
          </w:pPr>
        </w:p>
        <w:p>
          <w:pPr>
            <w:jc w:val="center"/>
            <w:rPr>
              <w:rFonts w:ascii="宋体" w:hAnsi="宋体" w:cs="宋体"/>
              <w:b/>
              <w:color w:val="auto"/>
              <w:szCs w:val="32"/>
              <w:highlight w:val="none"/>
            </w:rPr>
          </w:pPr>
        </w:p>
        <w:p>
          <w:pPr>
            <w:jc w:val="center"/>
            <w:rPr>
              <w:rFonts w:ascii="宋体" w:hAnsi="宋体" w:cs="宋体"/>
              <w:b/>
              <w:color w:val="auto"/>
              <w:szCs w:val="32"/>
              <w:highlight w:val="none"/>
            </w:rPr>
          </w:pPr>
        </w:p>
        <w:p>
          <w:pPr>
            <w:jc w:val="center"/>
            <w:rPr>
              <w:rFonts w:ascii="宋体" w:hAnsi="宋体" w:cs="宋体"/>
              <w:color w:val="auto"/>
              <w:sz w:val="36"/>
              <w:highlight w:val="none"/>
            </w:rPr>
          </w:pPr>
        </w:p>
        <w:p>
          <w:pPr>
            <w:rPr>
              <w:rFonts w:ascii="宋体" w:hAnsi="宋体" w:cs="宋体"/>
              <w:color w:val="auto"/>
              <w:sz w:val="36"/>
              <w:highlight w:val="none"/>
            </w:rPr>
          </w:pPr>
        </w:p>
        <w:p>
          <w:pPr>
            <w:rPr>
              <w:rFonts w:ascii="宋体" w:hAnsi="宋体" w:cs="宋体"/>
              <w:color w:val="auto"/>
              <w:sz w:val="36"/>
              <w:highlight w:val="none"/>
            </w:rPr>
          </w:pPr>
        </w:p>
        <w:p>
          <w:pPr>
            <w:rPr>
              <w:rFonts w:ascii="宋体" w:hAnsi="宋体" w:cs="宋体"/>
              <w:color w:val="auto"/>
              <w:sz w:val="36"/>
              <w:highlight w:val="none"/>
            </w:rPr>
          </w:pPr>
        </w:p>
        <w:p>
          <w:pPr>
            <w:rPr>
              <w:rFonts w:ascii="宋体" w:hAnsi="宋体" w:cs="宋体"/>
              <w:color w:val="auto"/>
              <w:sz w:val="36"/>
              <w:highlight w:val="none"/>
            </w:rPr>
          </w:pPr>
        </w:p>
        <w:p>
          <w:pPr>
            <w:jc w:val="center"/>
            <w:rPr>
              <w:rFonts w:ascii="宋体" w:hAnsi="宋体" w:cs="宋体"/>
              <w:color w:val="auto"/>
              <w:sz w:val="36"/>
              <w:highlight w:val="none"/>
            </w:rPr>
          </w:pPr>
        </w:p>
        <w:p>
          <w:pPr>
            <w:spacing w:line="360" w:lineRule="auto"/>
            <w:rPr>
              <w:rFonts w:ascii="宋体" w:hAnsi="宋体" w:cs="宋体"/>
              <w:b/>
              <w:color w:val="auto"/>
              <w:highlight w:val="none"/>
            </w:rPr>
          </w:pPr>
          <w:r>
            <w:rPr>
              <w:rFonts w:hint="eastAsia" w:ascii="宋体" w:hAnsi="宋体" w:cs="宋体"/>
              <w:b/>
              <w:color w:val="auto"/>
              <w:highlight w:val="none"/>
            </w:rPr>
            <w:t xml:space="preserve">  </w:t>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招 标 人：许昌市东城区财政投资评审和统计中心</w:t>
          </w:r>
        </w:p>
        <w:p>
          <w:pPr>
            <w:shd w:val="clear" w:color="auto" w:fill="FFFFFF"/>
            <w:spacing w:line="601" w:lineRule="atLeast"/>
            <w:jc w:val="center"/>
            <w:rPr>
              <w:rFonts w:ascii="宋体" w:hAnsi="宋体" w:cs="Arial"/>
              <w:color w:val="auto"/>
              <w:kern w:val="0"/>
              <w:sz w:val="24"/>
              <w:szCs w:val="24"/>
              <w:highlight w:val="none"/>
            </w:rPr>
          </w:pPr>
          <w:r>
            <w:rPr>
              <w:rFonts w:hint="eastAsia" w:ascii="宋体" w:hAnsi="宋体" w:cs="宋体"/>
              <w:b/>
              <w:color w:val="auto"/>
              <w:sz w:val="32"/>
              <w:szCs w:val="32"/>
              <w:highlight w:val="none"/>
            </w:rPr>
            <w:t>招标代理机构：河南省伟信招标管理咨询有限公司</w:t>
          </w:r>
        </w:p>
        <w:p>
          <w:pPr>
            <w:spacing w:line="360" w:lineRule="auto"/>
            <w:jc w:val="center"/>
            <w:rPr>
              <w:rFonts w:ascii="宋体" w:hAnsi="宋体" w:cs="宋体"/>
              <w:b/>
              <w:bCs/>
              <w:color w:val="auto"/>
              <w:sz w:val="44"/>
              <w:szCs w:val="44"/>
              <w:highlight w:val="none"/>
            </w:rPr>
          </w:pPr>
          <w:r>
            <w:rPr>
              <w:rFonts w:hint="eastAsia" w:ascii="宋体" w:hAnsi="宋体" w:cs="宋体"/>
              <w:b/>
              <w:color w:val="auto"/>
              <w:sz w:val="32"/>
              <w:szCs w:val="32"/>
              <w:highlight w:val="none"/>
            </w:rPr>
            <w:t>日    期：二0一九年八月</w:t>
          </w:r>
        </w:p>
      </w:sdtContent>
    </w:sdt>
    <w:p>
      <w:pPr>
        <w:autoSpaceDE w:val="0"/>
        <w:autoSpaceDN w:val="0"/>
        <w:adjustRightInd w:val="0"/>
        <w:spacing w:line="700" w:lineRule="exact"/>
        <w:ind w:firstLine="551"/>
        <w:jc w:val="center"/>
        <w:rPr>
          <w:rFonts w:ascii="宋体" w:hAnsi="宋体"/>
          <w:b/>
          <w:bCs/>
          <w:color w:val="auto"/>
          <w:sz w:val="44"/>
          <w:szCs w:val="44"/>
          <w:highlight w:val="none"/>
          <w:lang w:val="zh-CN"/>
        </w:rPr>
      </w:pPr>
      <w:r>
        <w:rPr>
          <w:rFonts w:hint="eastAsia" w:ascii="宋体" w:hAnsi="宋体"/>
          <w:b/>
          <w:bCs/>
          <w:color w:val="auto"/>
          <w:sz w:val="44"/>
          <w:szCs w:val="44"/>
          <w:highlight w:val="none"/>
          <w:lang w:val="zh-CN"/>
        </w:rPr>
        <w:t>招标文件目录</w:t>
      </w:r>
    </w:p>
    <w:p>
      <w:pPr>
        <w:autoSpaceDE w:val="0"/>
        <w:autoSpaceDN w:val="0"/>
        <w:adjustRightInd w:val="0"/>
        <w:spacing w:line="700" w:lineRule="exact"/>
        <w:ind w:firstLine="551"/>
        <w:rPr>
          <w:rFonts w:ascii="宋体" w:hAnsi="宋体" w:cs="宋体"/>
          <w:b/>
          <w:bCs/>
          <w:color w:val="auto"/>
          <w:sz w:val="32"/>
          <w:szCs w:val="32"/>
          <w:highlight w:val="none"/>
          <w:lang w:val="zh-CN"/>
        </w:rPr>
      </w:pPr>
    </w:p>
    <w:p>
      <w:pPr>
        <w:autoSpaceDE w:val="0"/>
        <w:autoSpaceDN w:val="0"/>
        <w:adjustRightInd w:val="0"/>
        <w:spacing w:line="700" w:lineRule="exact"/>
        <w:ind w:firstLine="551"/>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第一章 招标公告</w:t>
      </w:r>
    </w:p>
    <w:p>
      <w:pPr>
        <w:autoSpaceDE w:val="0"/>
        <w:autoSpaceDN w:val="0"/>
        <w:adjustRightInd w:val="0"/>
        <w:spacing w:line="700" w:lineRule="exact"/>
        <w:ind w:firstLine="551"/>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第二章 项目需求</w:t>
      </w:r>
      <w:bookmarkStart w:id="3" w:name="_GoBack"/>
      <w:bookmarkEnd w:id="3"/>
    </w:p>
    <w:p>
      <w:pPr>
        <w:autoSpaceDE w:val="0"/>
        <w:autoSpaceDN w:val="0"/>
        <w:adjustRightInd w:val="0"/>
        <w:spacing w:line="700" w:lineRule="exact"/>
        <w:ind w:firstLine="560"/>
        <w:rPr>
          <w:rFonts w:ascii="宋体" w:hAnsi="宋体" w:cs="宋体"/>
          <w:b/>
          <w:color w:val="auto"/>
          <w:kern w:val="0"/>
          <w:sz w:val="32"/>
          <w:szCs w:val="32"/>
          <w:highlight w:val="none"/>
        </w:rPr>
      </w:pPr>
      <w:r>
        <w:rPr>
          <w:rFonts w:hint="eastAsia" w:ascii="宋体" w:hAnsi="宋体" w:cs="宋体"/>
          <w:b/>
          <w:bCs/>
          <w:color w:val="auto"/>
          <w:sz w:val="32"/>
          <w:szCs w:val="32"/>
          <w:highlight w:val="none"/>
          <w:lang w:val="zh-CN"/>
        </w:rPr>
        <w:t xml:space="preserve">第三章 </w:t>
      </w:r>
      <w:r>
        <w:rPr>
          <w:rFonts w:hint="eastAsia" w:ascii="宋体" w:hAnsi="宋体" w:cs="宋体"/>
          <w:b/>
          <w:color w:val="auto"/>
          <w:kern w:val="0"/>
          <w:sz w:val="32"/>
          <w:szCs w:val="32"/>
          <w:highlight w:val="none"/>
        </w:rPr>
        <w:t>投标人须知前附表</w:t>
      </w:r>
    </w:p>
    <w:p>
      <w:pPr>
        <w:autoSpaceDE w:val="0"/>
        <w:autoSpaceDN w:val="0"/>
        <w:adjustRightInd w:val="0"/>
        <w:spacing w:line="700" w:lineRule="exact"/>
        <w:ind w:firstLine="560"/>
        <w:rPr>
          <w:rFonts w:ascii="宋体" w:hAnsi="宋体" w:cs="宋体"/>
          <w:b/>
          <w:color w:val="auto"/>
          <w:kern w:val="0"/>
          <w:sz w:val="32"/>
          <w:szCs w:val="32"/>
          <w:highlight w:val="none"/>
        </w:rPr>
      </w:pPr>
      <w:r>
        <w:rPr>
          <w:rFonts w:hint="eastAsia" w:ascii="宋体" w:hAnsi="宋体" w:cs="宋体"/>
          <w:b/>
          <w:bCs/>
          <w:color w:val="auto"/>
          <w:sz w:val="32"/>
          <w:szCs w:val="32"/>
          <w:highlight w:val="none"/>
          <w:lang w:val="zh-CN"/>
        </w:rPr>
        <w:t xml:space="preserve">第四章 </w:t>
      </w:r>
      <w:r>
        <w:rPr>
          <w:rFonts w:hint="eastAsia" w:ascii="宋体" w:hAnsi="宋体" w:cs="宋体"/>
          <w:b/>
          <w:color w:val="auto"/>
          <w:kern w:val="0"/>
          <w:sz w:val="32"/>
          <w:szCs w:val="32"/>
          <w:highlight w:val="none"/>
        </w:rPr>
        <w:t>投标人须知</w:t>
      </w:r>
    </w:p>
    <w:p>
      <w:pPr>
        <w:autoSpaceDE w:val="0"/>
        <w:autoSpaceDN w:val="0"/>
        <w:adjustRightInd w:val="0"/>
        <w:spacing w:line="700" w:lineRule="exact"/>
        <w:ind w:firstLine="560"/>
        <w:rPr>
          <w:rFonts w:ascii="宋体" w:hAnsi="宋体" w:cs="宋体"/>
          <w:color w:val="auto"/>
          <w:sz w:val="32"/>
          <w:szCs w:val="32"/>
          <w:highlight w:val="none"/>
          <w:lang w:val="zh-CN"/>
        </w:rPr>
      </w:pPr>
      <w:r>
        <w:rPr>
          <w:rFonts w:hint="eastAsia" w:ascii="宋体" w:hAnsi="宋体" w:cs="宋体"/>
          <w:color w:val="auto"/>
          <w:sz w:val="32"/>
          <w:szCs w:val="32"/>
          <w:highlight w:val="none"/>
          <w:lang w:val="zh-CN"/>
        </w:rPr>
        <w:t>一、概念释义</w:t>
      </w:r>
    </w:p>
    <w:p>
      <w:pPr>
        <w:autoSpaceDE w:val="0"/>
        <w:autoSpaceDN w:val="0"/>
        <w:adjustRightInd w:val="0"/>
        <w:spacing w:line="700" w:lineRule="exact"/>
        <w:ind w:firstLine="560"/>
        <w:rPr>
          <w:rFonts w:ascii="宋体" w:hAnsi="宋体" w:cs="宋体"/>
          <w:color w:val="auto"/>
          <w:sz w:val="32"/>
          <w:szCs w:val="32"/>
          <w:highlight w:val="none"/>
          <w:lang w:val="zh-CN"/>
        </w:rPr>
      </w:pPr>
      <w:r>
        <w:rPr>
          <w:rFonts w:hint="eastAsia" w:ascii="宋体" w:hAnsi="宋体" w:cs="宋体"/>
          <w:color w:val="auto"/>
          <w:sz w:val="32"/>
          <w:szCs w:val="32"/>
          <w:highlight w:val="none"/>
          <w:lang w:val="zh-CN"/>
        </w:rPr>
        <w:t>二、招标文件说明</w:t>
      </w:r>
    </w:p>
    <w:p>
      <w:pPr>
        <w:autoSpaceDE w:val="0"/>
        <w:autoSpaceDN w:val="0"/>
        <w:adjustRightInd w:val="0"/>
        <w:spacing w:line="700" w:lineRule="exact"/>
        <w:ind w:firstLine="560"/>
        <w:rPr>
          <w:rFonts w:ascii="宋体" w:hAnsi="宋体" w:cs="宋体"/>
          <w:color w:val="auto"/>
          <w:sz w:val="32"/>
          <w:szCs w:val="32"/>
          <w:highlight w:val="none"/>
          <w:lang w:val="zh-CN"/>
        </w:rPr>
      </w:pPr>
      <w:r>
        <w:rPr>
          <w:rFonts w:hint="eastAsia" w:ascii="宋体" w:hAnsi="宋体" w:cs="宋体"/>
          <w:color w:val="auto"/>
          <w:sz w:val="32"/>
          <w:szCs w:val="32"/>
          <w:highlight w:val="none"/>
          <w:lang w:val="zh-CN"/>
        </w:rPr>
        <w:t>三、投标文件的编制</w:t>
      </w:r>
    </w:p>
    <w:p>
      <w:pPr>
        <w:autoSpaceDE w:val="0"/>
        <w:autoSpaceDN w:val="0"/>
        <w:adjustRightInd w:val="0"/>
        <w:spacing w:line="700" w:lineRule="exact"/>
        <w:ind w:firstLine="560"/>
        <w:rPr>
          <w:rFonts w:ascii="宋体" w:hAnsi="宋体" w:cs="宋体"/>
          <w:color w:val="auto"/>
          <w:sz w:val="32"/>
          <w:szCs w:val="32"/>
          <w:highlight w:val="none"/>
          <w:lang w:val="zh-CN"/>
        </w:rPr>
      </w:pPr>
      <w:r>
        <w:rPr>
          <w:rFonts w:hint="eastAsia" w:ascii="宋体" w:hAnsi="宋体" w:cs="宋体"/>
          <w:color w:val="auto"/>
          <w:sz w:val="32"/>
          <w:szCs w:val="32"/>
          <w:highlight w:val="none"/>
          <w:lang w:val="zh-CN"/>
        </w:rPr>
        <w:t>四、投标文件的递交</w:t>
      </w:r>
    </w:p>
    <w:p>
      <w:pPr>
        <w:autoSpaceDE w:val="0"/>
        <w:autoSpaceDN w:val="0"/>
        <w:adjustRightInd w:val="0"/>
        <w:spacing w:line="700" w:lineRule="exact"/>
        <w:ind w:firstLine="560"/>
        <w:rPr>
          <w:rFonts w:ascii="宋体" w:hAnsi="宋体" w:cs="宋体"/>
          <w:color w:val="auto"/>
          <w:sz w:val="32"/>
          <w:szCs w:val="32"/>
          <w:highlight w:val="none"/>
          <w:lang w:val="zh-CN"/>
        </w:rPr>
      </w:pPr>
      <w:r>
        <w:rPr>
          <w:rFonts w:hint="eastAsia" w:ascii="宋体" w:hAnsi="宋体" w:cs="宋体"/>
          <w:color w:val="auto"/>
          <w:sz w:val="32"/>
          <w:szCs w:val="32"/>
          <w:highlight w:val="none"/>
          <w:lang w:val="zh-CN"/>
        </w:rPr>
        <w:t>五、开标和评标</w:t>
      </w:r>
    </w:p>
    <w:p>
      <w:pPr>
        <w:autoSpaceDE w:val="0"/>
        <w:autoSpaceDN w:val="0"/>
        <w:adjustRightInd w:val="0"/>
        <w:spacing w:line="700" w:lineRule="exact"/>
        <w:ind w:firstLine="551"/>
        <w:rPr>
          <w:rFonts w:ascii="宋体" w:hAnsi="宋体" w:cs="宋体"/>
          <w:b/>
          <w:bCs/>
          <w:color w:val="auto"/>
          <w:sz w:val="32"/>
          <w:szCs w:val="32"/>
          <w:highlight w:val="none"/>
          <w:lang w:val="zh-CN"/>
        </w:rPr>
      </w:pPr>
      <w:r>
        <w:rPr>
          <w:rFonts w:hint="eastAsia" w:ascii="宋体" w:hAnsi="宋体" w:cs="宋体"/>
          <w:color w:val="auto"/>
          <w:sz w:val="32"/>
          <w:szCs w:val="32"/>
          <w:highlight w:val="none"/>
          <w:lang w:val="zh-CN"/>
        </w:rPr>
        <w:t>六、定标和授予合同</w:t>
      </w:r>
    </w:p>
    <w:p>
      <w:pPr>
        <w:autoSpaceDE w:val="0"/>
        <w:autoSpaceDN w:val="0"/>
        <w:adjustRightInd w:val="0"/>
        <w:spacing w:line="700" w:lineRule="exact"/>
        <w:ind w:firstLine="551"/>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 xml:space="preserve">第五章 </w:t>
      </w:r>
      <w:r>
        <w:rPr>
          <w:rFonts w:hint="eastAsia" w:ascii="宋体" w:hAnsi="宋体" w:cs="宋体"/>
          <w:b/>
          <w:color w:val="auto"/>
          <w:kern w:val="0"/>
          <w:sz w:val="32"/>
          <w:szCs w:val="32"/>
          <w:highlight w:val="none"/>
        </w:rPr>
        <w:t>政府采购政策功能</w:t>
      </w:r>
    </w:p>
    <w:p>
      <w:pPr>
        <w:autoSpaceDE w:val="0"/>
        <w:autoSpaceDN w:val="0"/>
        <w:adjustRightInd w:val="0"/>
        <w:spacing w:line="700" w:lineRule="exact"/>
        <w:ind w:firstLine="551"/>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 xml:space="preserve">第六章 </w:t>
      </w:r>
      <w:r>
        <w:rPr>
          <w:rFonts w:hint="eastAsia" w:ascii="宋体" w:hAnsi="宋体" w:cs="宋体"/>
          <w:b/>
          <w:color w:val="auto"/>
          <w:kern w:val="0"/>
          <w:sz w:val="32"/>
          <w:szCs w:val="32"/>
          <w:highlight w:val="none"/>
        </w:rPr>
        <w:t>资格审查与评标</w:t>
      </w:r>
    </w:p>
    <w:p>
      <w:pPr>
        <w:autoSpaceDE w:val="0"/>
        <w:autoSpaceDN w:val="0"/>
        <w:adjustRightInd w:val="0"/>
        <w:spacing w:line="700" w:lineRule="exact"/>
        <w:ind w:firstLine="551"/>
        <w:outlineLvl w:val="0"/>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 xml:space="preserve">第七章 </w:t>
      </w:r>
      <w:r>
        <w:rPr>
          <w:rFonts w:hint="eastAsia" w:ascii="宋体" w:hAnsi="宋体" w:cs="宋体"/>
          <w:b/>
          <w:color w:val="auto"/>
          <w:kern w:val="0"/>
          <w:sz w:val="32"/>
          <w:szCs w:val="32"/>
          <w:highlight w:val="none"/>
        </w:rPr>
        <w:t>合同条款及格式</w:t>
      </w:r>
    </w:p>
    <w:p>
      <w:pPr>
        <w:autoSpaceDE w:val="0"/>
        <w:autoSpaceDN w:val="0"/>
        <w:adjustRightInd w:val="0"/>
        <w:spacing w:line="700" w:lineRule="exact"/>
        <w:ind w:firstLine="551"/>
        <w:rPr>
          <w:rFonts w:ascii="宋体" w:hAnsi="宋体" w:cs="宋体"/>
          <w:b/>
          <w:color w:val="auto"/>
          <w:kern w:val="0"/>
          <w:sz w:val="32"/>
          <w:szCs w:val="32"/>
          <w:highlight w:val="none"/>
        </w:rPr>
      </w:pPr>
      <w:r>
        <w:rPr>
          <w:rFonts w:hint="eastAsia" w:ascii="宋体" w:hAnsi="宋体" w:cs="宋体"/>
          <w:b/>
          <w:bCs/>
          <w:color w:val="auto"/>
          <w:sz w:val="32"/>
          <w:szCs w:val="32"/>
          <w:highlight w:val="none"/>
          <w:lang w:val="zh-CN"/>
        </w:rPr>
        <w:t xml:space="preserve">第八章 </w:t>
      </w:r>
      <w:r>
        <w:rPr>
          <w:rFonts w:hint="eastAsia" w:ascii="宋体" w:hAnsi="宋体" w:cs="宋体"/>
          <w:b/>
          <w:color w:val="auto"/>
          <w:kern w:val="0"/>
          <w:sz w:val="32"/>
          <w:szCs w:val="32"/>
          <w:highlight w:val="none"/>
        </w:rPr>
        <w:t>投标文件有关格式</w:t>
      </w:r>
    </w:p>
    <w:p>
      <w:pPr>
        <w:autoSpaceDE w:val="0"/>
        <w:autoSpaceDN w:val="0"/>
        <w:adjustRightInd w:val="0"/>
        <w:spacing w:line="700" w:lineRule="exact"/>
        <w:ind w:firstLine="551"/>
        <w:rPr>
          <w:rFonts w:ascii="宋体" w:hAnsi="宋体" w:cs="宋体"/>
          <w:b/>
          <w:color w:val="auto"/>
          <w:kern w:val="0"/>
          <w:sz w:val="32"/>
          <w:szCs w:val="32"/>
          <w:highlight w:val="none"/>
        </w:rPr>
      </w:pPr>
    </w:p>
    <w:p>
      <w:pPr>
        <w:widowControl/>
        <w:jc w:val="left"/>
        <w:rPr>
          <w:rFonts w:ascii="宋体" w:hAnsi="宋体" w:cs="宋体"/>
          <w:b/>
          <w:color w:val="auto"/>
          <w:sz w:val="36"/>
          <w:szCs w:val="36"/>
          <w:highlight w:val="none"/>
          <w:shd w:val="clear" w:color="auto" w:fill="FFFFFF"/>
        </w:rPr>
      </w:pPr>
      <w:r>
        <w:rPr>
          <w:rFonts w:ascii="宋体" w:hAnsi="宋体" w:cs="宋体"/>
          <w:b/>
          <w:color w:val="auto"/>
          <w:sz w:val="36"/>
          <w:szCs w:val="36"/>
          <w:highlight w:val="none"/>
          <w:shd w:val="clear" w:color="auto" w:fill="FFFFFF"/>
        </w:rPr>
        <w:br w:type="page"/>
      </w:r>
    </w:p>
    <w:p>
      <w:pPr>
        <w:pStyle w:val="16"/>
        <w:widowControl/>
        <w:shd w:val="clear" w:color="auto" w:fill="FFFFFF"/>
        <w:spacing w:line="315" w:lineRule="atLeast"/>
        <w:jc w:val="center"/>
        <w:rPr>
          <w:rFonts w:ascii="宋体" w:hAnsi="宋体" w:cs="宋体"/>
          <w:b/>
          <w:color w:val="auto"/>
          <w:sz w:val="36"/>
          <w:szCs w:val="36"/>
          <w:highlight w:val="none"/>
        </w:rPr>
      </w:pPr>
      <w:r>
        <w:rPr>
          <w:rFonts w:hint="eastAsia" w:ascii="宋体" w:hAnsi="宋体" w:cs="宋体"/>
          <w:b/>
          <w:color w:val="auto"/>
          <w:sz w:val="36"/>
          <w:szCs w:val="36"/>
          <w:highlight w:val="none"/>
          <w:shd w:val="clear" w:color="auto" w:fill="FFFFFF"/>
        </w:rPr>
        <w:t>第一章 招标公告</w:t>
      </w:r>
    </w:p>
    <w:p>
      <w:pPr>
        <w:pStyle w:val="16"/>
        <w:widowControl/>
        <w:shd w:val="clear" w:color="auto" w:fill="FFFFFF"/>
        <w:spacing w:line="360" w:lineRule="auto"/>
        <w:contextualSpacing/>
        <w:jc w:val="left"/>
        <w:rPr>
          <w:rFonts w:ascii="宋体" w:hAnsi="宋体" w:cs="黑体"/>
          <w:b/>
          <w:bCs/>
          <w:color w:val="auto"/>
          <w:highlight w:val="none"/>
        </w:rPr>
      </w:pPr>
      <w:r>
        <w:rPr>
          <w:rFonts w:hint="eastAsia" w:ascii="宋体" w:hAnsi="宋体" w:cs="黑体"/>
          <w:b/>
          <w:bCs/>
          <w:color w:val="auto"/>
          <w:highlight w:val="none"/>
          <w:shd w:val="clear" w:color="auto" w:fill="FFFFFF"/>
        </w:rPr>
        <w:t>一、项目基本情况</w:t>
      </w:r>
    </w:p>
    <w:p>
      <w:pPr>
        <w:pStyle w:val="16"/>
        <w:spacing w:line="360" w:lineRule="auto"/>
        <w:ind w:firstLine="420"/>
        <w:contextualSpacing/>
        <w:rPr>
          <w:rFonts w:ascii="宋体" w:hAnsi="宋体" w:cs="仿宋_GB2312"/>
          <w:color w:val="auto"/>
          <w:highlight w:val="none"/>
          <w:shd w:val="clear" w:color="auto" w:fill="FFFFFF"/>
        </w:rPr>
      </w:pPr>
      <w:r>
        <w:rPr>
          <w:rFonts w:hint="eastAsia" w:ascii="宋体" w:hAnsi="宋体" w:cs="仿宋_GB2312"/>
          <w:color w:val="auto"/>
          <w:highlight w:val="none"/>
          <w:shd w:val="clear" w:color="auto" w:fill="FFFFFF"/>
        </w:rPr>
        <w:t>（一）项目名称：许昌市东城区财政投资评审和统计中心选聘会计事务所入库项目</w:t>
      </w:r>
    </w:p>
    <w:p>
      <w:pPr>
        <w:pStyle w:val="16"/>
        <w:spacing w:line="360" w:lineRule="auto"/>
        <w:ind w:firstLine="420"/>
        <w:contextualSpacing/>
        <w:rPr>
          <w:rFonts w:ascii="宋体" w:hAnsi="宋体" w:cs="仿宋_GB2312"/>
          <w:color w:val="auto"/>
          <w:highlight w:val="none"/>
          <w:shd w:val="clear" w:color="auto" w:fill="FFFFFF"/>
        </w:rPr>
      </w:pPr>
      <w:r>
        <w:rPr>
          <w:rFonts w:hint="eastAsia" w:ascii="宋体" w:hAnsi="宋体" w:cs="仿宋_GB2312"/>
          <w:color w:val="auto"/>
          <w:highlight w:val="none"/>
          <w:shd w:val="clear" w:color="auto" w:fill="FFFFFF"/>
        </w:rPr>
        <w:t>（二）项目编号JZFCG-G2019</w:t>
      </w:r>
      <w:r>
        <w:rPr>
          <w:rFonts w:ascii="宋体" w:hAnsi="宋体" w:cs="仿宋_GB2312"/>
          <w:color w:val="auto"/>
          <w:highlight w:val="none"/>
          <w:shd w:val="clear" w:color="auto" w:fill="FFFFFF"/>
        </w:rPr>
        <w:t>073</w:t>
      </w:r>
      <w:r>
        <w:rPr>
          <w:rFonts w:hint="eastAsia" w:ascii="宋体" w:hAnsi="宋体" w:cs="仿宋_GB2312"/>
          <w:color w:val="auto"/>
          <w:highlight w:val="none"/>
          <w:shd w:val="clear" w:color="auto" w:fill="FFFFFF"/>
        </w:rPr>
        <w:t>号</w:t>
      </w:r>
    </w:p>
    <w:p>
      <w:pPr>
        <w:pStyle w:val="16"/>
        <w:spacing w:line="360" w:lineRule="auto"/>
        <w:ind w:firstLine="420"/>
        <w:contextualSpacing/>
        <w:rPr>
          <w:rFonts w:ascii="宋体" w:hAnsi="宋体" w:cs="仿宋_GB2312"/>
          <w:color w:val="auto"/>
          <w:highlight w:val="none"/>
          <w:shd w:val="clear" w:color="auto" w:fill="FFFFFF"/>
        </w:rPr>
      </w:pPr>
      <w:r>
        <w:rPr>
          <w:rFonts w:hint="eastAsia" w:ascii="宋体" w:hAnsi="宋体" w:cs="仿宋_GB2312"/>
          <w:color w:val="auto"/>
          <w:highlight w:val="none"/>
          <w:shd w:val="clear" w:color="auto" w:fill="FFFFFF"/>
        </w:rPr>
        <w:t>（三）采购方式：公开招标       </w:t>
      </w:r>
    </w:p>
    <w:p>
      <w:pPr>
        <w:pStyle w:val="16"/>
        <w:spacing w:line="360" w:lineRule="auto"/>
        <w:ind w:firstLine="420"/>
        <w:contextualSpacing/>
        <w:rPr>
          <w:rFonts w:ascii="宋体" w:hAnsi="宋体" w:cs="仿宋_GB2312"/>
          <w:color w:val="auto"/>
          <w:highlight w:val="none"/>
          <w:shd w:val="clear" w:color="auto" w:fill="FFFFFF"/>
        </w:rPr>
      </w:pPr>
      <w:r>
        <w:rPr>
          <w:rFonts w:hint="eastAsia" w:ascii="宋体" w:hAnsi="宋体" w:cs="仿宋_GB2312"/>
          <w:color w:val="auto"/>
          <w:highlight w:val="none"/>
          <w:shd w:val="clear" w:color="auto" w:fill="FFFFFF"/>
        </w:rPr>
        <w:t>（四）主要内容、数量及要求：</w:t>
      </w:r>
      <w:r>
        <w:rPr>
          <w:rFonts w:hint="eastAsia" w:ascii="宋体" w:hAnsi="宋体" w:cs="仿宋_GB2312"/>
          <w:bCs/>
          <w:color w:val="auto"/>
          <w:highlight w:val="none"/>
        </w:rPr>
        <w:t>择优选取20家</w:t>
      </w:r>
      <w:r>
        <w:rPr>
          <w:rFonts w:hint="eastAsia" w:ascii="宋体" w:hAnsi="宋体" w:cs="仿宋_GB2312"/>
          <w:color w:val="auto"/>
          <w:highlight w:val="none"/>
          <w:shd w:val="clear" w:color="auto" w:fill="FFFFFF"/>
        </w:rPr>
        <w:t>会计事务所</w:t>
      </w:r>
      <w:r>
        <w:rPr>
          <w:rFonts w:hint="eastAsia" w:ascii="宋体" w:hAnsi="宋体" w:cs="仿宋_GB2312"/>
          <w:bCs/>
          <w:color w:val="auto"/>
          <w:highlight w:val="none"/>
        </w:rPr>
        <w:t>纳入</w:t>
      </w:r>
      <w:r>
        <w:rPr>
          <w:rFonts w:hint="eastAsia" w:ascii="宋体" w:hAnsi="宋体" w:cs="仿宋_GB2312"/>
          <w:color w:val="auto"/>
          <w:highlight w:val="none"/>
          <w:shd w:val="clear" w:color="auto" w:fill="FFFFFF"/>
        </w:rPr>
        <w:t>许昌市东城区财政投资评审和统计中心</w:t>
      </w:r>
      <w:r>
        <w:rPr>
          <w:rFonts w:hint="eastAsia" w:ascii="宋体" w:hAnsi="宋体" w:cs="仿宋_GB2312"/>
          <w:bCs/>
          <w:color w:val="auto"/>
          <w:highlight w:val="none"/>
        </w:rPr>
        <w:t>“</w:t>
      </w:r>
      <w:r>
        <w:rPr>
          <w:rFonts w:hint="eastAsia" w:ascii="宋体" w:hAnsi="宋体" w:cs="仿宋_GB2312"/>
          <w:color w:val="auto"/>
          <w:highlight w:val="none"/>
          <w:shd w:val="clear" w:color="auto" w:fill="FFFFFF"/>
        </w:rPr>
        <w:t>会计事务所库</w:t>
      </w:r>
      <w:r>
        <w:rPr>
          <w:rFonts w:hint="eastAsia" w:ascii="宋体" w:hAnsi="宋体" w:cs="仿宋_GB2312"/>
          <w:bCs/>
          <w:color w:val="auto"/>
          <w:highlight w:val="none"/>
        </w:rPr>
        <w:t>”</w:t>
      </w:r>
      <w:r>
        <w:rPr>
          <w:rFonts w:hint="eastAsia" w:ascii="宋体" w:hAnsi="宋体" w:cs="宋体"/>
          <w:color w:val="auto"/>
          <w:kern w:val="0"/>
          <w:highlight w:val="none"/>
        </w:rPr>
        <w:t>,承担委托项目清产核资、财政（财务）审计、以合规性为导向的专项检查等工作</w:t>
      </w:r>
      <w:r>
        <w:rPr>
          <w:rFonts w:hint="eastAsia" w:ascii="宋体" w:hAnsi="宋体" w:cs="仿宋_GB2312"/>
          <w:color w:val="auto"/>
          <w:highlight w:val="none"/>
          <w:shd w:val="clear" w:color="auto" w:fill="FFFFFF"/>
        </w:rPr>
        <w:t>。</w:t>
      </w:r>
    </w:p>
    <w:p>
      <w:pPr>
        <w:pStyle w:val="16"/>
        <w:spacing w:line="360" w:lineRule="auto"/>
        <w:ind w:firstLine="420"/>
        <w:contextualSpacing/>
        <w:rPr>
          <w:rFonts w:ascii="宋体" w:hAnsi="宋体" w:cs="仿宋_GB2312"/>
          <w:color w:val="auto"/>
          <w:highlight w:val="none"/>
          <w:shd w:val="clear" w:color="auto" w:fill="FFFFFF"/>
        </w:rPr>
      </w:pPr>
      <w:r>
        <w:rPr>
          <w:rFonts w:hint="eastAsia" w:ascii="宋体" w:hAnsi="宋体" w:cs="仿宋_GB2312"/>
          <w:color w:val="auto"/>
          <w:highlight w:val="none"/>
          <w:shd w:val="clear" w:color="auto" w:fill="FFFFFF"/>
        </w:rPr>
        <w:t>（五）预算金额：</w:t>
      </w:r>
      <w:r>
        <w:rPr>
          <w:rFonts w:hint="eastAsia" w:ascii="宋体" w:hAnsi="宋体" w:cs="宋体"/>
          <w:color w:val="auto"/>
          <w:kern w:val="0"/>
          <w:highlight w:val="none"/>
        </w:rPr>
        <w:t>0元</w:t>
      </w:r>
    </w:p>
    <w:p>
      <w:pPr>
        <w:pStyle w:val="16"/>
        <w:spacing w:line="360" w:lineRule="auto"/>
        <w:ind w:firstLine="420"/>
        <w:contextualSpacing/>
        <w:rPr>
          <w:rFonts w:ascii="宋体" w:hAnsi="宋体" w:cs="仿宋_GB2312"/>
          <w:color w:val="auto"/>
          <w:highlight w:val="none"/>
          <w:shd w:val="clear" w:color="auto" w:fill="FFFFFF"/>
        </w:rPr>
      </w:pPr>
      <w:r>
        <w:rPr>
          <w:rFonts w:hint="eastAsia" w:ascii="宋体" w:hAnsi="宋体" w:cs="仿宋_GB2312"/>
          <w:color w:val="auto"/>
          <w:highlight w:val="none"/>
          <w:shd w:val="clear" w:color="auto" w:fill="FFFFFF"/>
        </w:rPr>
        <w:t>（六）服务时间：</w:t>
      </w:r>
      <w:r>
        <w:rPr>
          <w:rFonts w:hint="eastAsia" w:ascii="宋体" w:hAnsi="宋体"/>
          <w:color w:val="auto"/>
          <w:highlight w:val="none"/>
        </w:rPr>
        <w:t>二</w:t>
      </w:r>
      <w:r>
        <w:rPr>
          <w:rFonts w:hint="eastAsia" w:ascii="宋体" w:hAnsi="宋体" w:cs="仿宋_GB2312"/>
          <w:color w:val="auto"/>
          <w:highlight w:val="none"/>
          <w:shd w:val="clear" w:color="auto" w:fill="FFFFFF"/>
        </w:rPr>
        <w:t>年</w:t>
      </w:r>
    </w:p>
    <w:p>
      <w:pPr>
        <w:pStyle w:val="16"/>
        <w:spacing w:line="360" w:lineRule="auto"/>
        <w:ind w:firstLine="420"/>
        <w:contextualSpacing/>
        <w:rPr>
          <w:rFonts w:ascii="宋体" w:hAnsi="宋体" w:cs="仿宋_GB2312"/>
          <w:color w:val="auto"/>
          <w:highlight w:val="none"/>
          <w:shd w:val="clear" w:color="auto" w:fill="FFFFFF"/>
        </w:rPr>
      </w:pPr>
      <w:r>
        <w:rPr>
          <w:rFonts w:hint="eastAsia" w:ascii="宋体" w:hAnsi="宋体" w:cs="仿宋_GB2312"/>
          <w:color w:val="auto"/>
          <w:highlight w:val="none"/>
          <w:shd w:val="clear" w:color="auto" w:fill="FFFFFF"/>
        </w:rPr>
        <w:t>（七）服务地点：许昌市东城区</w:t>
      </w:r>
    </w:p>
    <w:p>
      <w:pPr>
        <w:pStyle w:val="16"/>
        <w:spacing w:line="360" w:lineRule="auto"/>
        <w:ind w:firstLine="420"/>
        <w:contextualSpacing/>
        <w:rPr>
          <w:rFonts w:ascii="宋体" w:hAnsi="宋体" w:cs="仿宋_GB2312"/>
          <w:color w:val="auto"/>
          <w:highlight w:val="none"/>
          <w:shd w:val="clear" w:color="auto" w:fill="FFFFFF"/>
        </w:rPr>
      </w:pPr>
      <w:r>
        <w:rPr>
          <w:rFonts w:hint="eastAsia" w:ascii="宋体" w:hAnsi="宋体" w:cs="仿宋_GB2312"/>
          <w:color w:val="auto"/>
          <w:highlight w:val="none"/>
          <w:shd w:val="clear" w:color="auto" w:fill="FFFFFF"/>
        </w:rPr>
        <w:t>（八）进口产品：不允许</w:t>
      </w:r>
    </w:p>
    <w:p>
      <w:pPr>
        <w:pStyle w:val="16"/>
        <w:spacing w:line="360" w:lineRule="auto"/>
        <w:ind w:firstLine="420"/>
        <w:contextualSpacing/>
        <w:rPr>
          <w:rFonts w:ascii="宋体" w:hAnsi="宋体" w:cs="仿宋_GB2312"/>
          <w:color w:val="auto"/>
          <w:highlight w:val="none"/>
          <w:shd w:val="clear" w:color="auto" w:fill="FFFFFF"/>
        </w:rPr>
      </w:pPr>
      <w:r>
        <w:rPr>
          <w:rFonts w:hint="eastAsia" w:ascii="宋体" w:hAnsi="宋体" w:cs="仿宋_GB2312"/>
          <w:color w:val="auto"/>
          <w:highlight w:val="none"/>
          <w:shd w:val="clear" w:color="auto" w:fill="FFFFFF"/>
        </w:rPr>
        <w:t>（九）分包：不允许</w:t>
      </w:r>
    </w:p>
    <w:p>
      <w:pPr>
        <w:pStyle w:val="16"/>
        <w:widowControl/>
        <w:shd w:val="clear" w:color="auto" w:fill="FFFFFF"/>
        <w:spacing w:line="360" w:lineRule="auto"/>
        <w:ind w:firstLine="420"/>
        <w:contextualSpacing/>
        <w:jc w:val="left"/>
        <w:rPr>
          <w:rFonts w:ascii="宋体" w:hAnsi="宋体" w:cs="黑体"/>
          <w:b/>
          <w:bCs/>
          <w:color w:val="auto"/>
          <w:highlight w:val="none"/>
          <w:shd w:val="clear" w:color="auto" w:fill="FFFFFF"/>
        </w:rPr>
      </w:pPr>
      <w:r>
        <w:rPr>
          <w:rFonts w:hint="eastAsia" w:ascii="宋体" w:hAnsi="宋体" w:cs="黑体"/>
          <w:b/>
          <w:bCs/>
          <w:color w:val="auto"/>
          <w:highlight w:val="none"/>
          <w:shd w:val="clear" w:color="auto" w:fill="FFFFFF"/>
        </w:rPr>
        <w:t>二、需要落实的政府采购政策</w:t>
      </w:r>
    </w:p>
    <w:p>
      <w:pPr>
        <w:pStyle w:val="16"/>
        <w:widowControl/>
        <w:shd w:val="clear" w:color="auto" w:fill="FFFFFF"/>
        <w:spacing w:line="360" w:lineRule="auto"/>
        <w:ind w:firstLine="420"/>
        <w:contextualSpacing/>
        <w:jc w:val="left"/>
        <w:rPr>
          <w:rFonts w:ascii="宋体" w:hAnsi="宋体" w:cs="仿宋_GB2312"/>
          <w:color w:val="auto"/>
          <w:highlight w:val="none"/>
          <w:shd w:val="clear" w:color="auto" w:fill="FFFFFF"/>
        </w:rPr>
      </w:pPr>
      <w:r>
        <w:rPr>
          <w:rFonts w:hint="eastAsia" w:ascii="宋体" w:hAnsi="宋体" w:cs="仿宋_GB2312"/>
          <w:color w:val="auto"/>
          <w:highlight w:val="none"/>
          <w:shd w:val="clear" w:color="auto" w:fill="FFFFFF"/>
        </w:rPr>
        <w:t>本项目落实中小微型企业扶持等相关政府采购政策。</w:t>
      </w:r>
    </w:p>
    <w:p>
      <w:pPr>
        <w:pStyle w:val="16"/>
        <w:widowControl/>
        <w:shd w:val="clear" w:color="auto" w:fill="FFFFFF"/>
        <w:spacing w:line="360" w:lineRule="auto"/>
        <w:ind w:firstLine="420"/>
        <w:contextualSpacing/>
        <w:jc w:val="left"/>
        <w:rPr>
          <w:rFonts w:ascii="宋体" w:hAnsi="宋体" w:cs="黑体"/>
          <w:b/>
          <w:bCs/>
          <w:color w:val="auto"/>
          <w:highlight w:val="none"/>
          <w:shd w:val="clear" w:color="auto" w:fill="FFFFFF"/>
        </w:rPr>
      </w:pPr>
      <w:r>
        <w:rPr>
          <w:rFonts w:hint="eastAsia" w:ascii="宋体" w:hAnsi="宋体" w:cs="黑体"/>
          <w:b/>
          <w:bCs/>
          <w:color w:val="auto"/>
          <w:highlight w:val="none"/>
          <w:shd w:val="clear" w:color="auto" w:fill="FFFFFF"/>
        </w:rPr>
        <w:t>三、投标人资格要求</w:t>
      </w:r>
    </w:p>
    <w:p>
      <w:pPr>
        <w:pStyle w:val="16"/>
        <w:spacing w:line="360" w:lineRule="auto"/>
        <w:ind w:firstLine="420"/>
        <w:contextualSpacing/>
        <w:rPr>
          <w:rFonts w:ascii="宋体" w:hAnsi="宋体" w:cs="仿宋_GB2312"/>
          <w:color w:val="auto"/>
          <w:highlight w:val="none"/>
          <w:shd w:val="clear" w:color="auto" w:fill="FFFFFF"/>
        </w:rPr>
      </w:pPr>
      <w:r>
        <w:rPr>
          <w:rFonts w:hint="eastAsia" w:ascii="宋体" w:hAnsi="宋体" w:cs="仿宋_GB2312"/>
          <w:color w:val="auto"/>
          <w:highlight w:val="none"/>
          <w:shd w:val="clear" w:color="auto" w:fill="FFFFFF"/>
        </w:rPr>
        <w:t>（一）具备《政府采购法》第二十二条第一款规定条件并提供相关材料。</w:t>
      </w:r>
    </w:p>
    <w:p>
      <w:pPr>
        <w:pStyle w:val="16"/>
        <w:spacing w:line="360" w:lineRule="auto"/>
        <w:ind w:firstLine="420"/>
        <w:contextualSpacing/>
        <w:rPr>
          <w:rFonts w:ascii="宋体" w:hAnsi="宋体" w:cs="仿宋_GB2312"/>
          <w:color w:val="auto"/>
          <w:highlight w:val="none"/>
          <w:shd w:val="clear" w:color="auto" w:fill="FFFFFF"/>
        </w:rPr>
      </w:pPr>
      <w:r>
        <w:rPr>
          <w:rFonts w:hint="eastAsia" w:ascii="宋体" w:hAnsi="宋体" w:cs="仿宋_GB2312"/>
          <w:color w:val="auto"/>
          <w:highlight w:val="none"/>
          <w:shd w:val="clear" w:color="auto" w:fill="FFFFFF"/>
        </w:rPr>
        <w:t>（二）未被列入“信用中国”网站(www.creditchina.gov.cn)失信被执行人、重大税收违法案件当事人名单、政府采购严重违法失信名单的投标人；“中国政府采购网”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pPr>
        <w:pStyle w:val="16"/>
        <w:spacing w:line="360" w:lineRule="auto"/>
        <w:ind w:firstLine="420"/>
        <w:contextualSpacing/>
        <w:rPr>
          <w:rFonts w:ascii="宋体" w:hAnsi="宋体" w:cs="仿宋_GB2312"/>
          <w:color w:val="auto"/>
          <w:highlight w:val="none"/>
          <w:shd w:val="clear" w:color="auto" w:fill="FFFFFF"/>
        </w:rPr>
      </w:pPr>
      <w:r>
        <w:rPr>
          <w:rFonts w:hint="eastAsia" w:ascii="宋体" w:hAnsi="宋体" w:cs="仿宋_GB2312"/>
          <w:color w:val="auto"/>
          <w:highlight w:val="none"/>
          <w:shd w:val="clear" w:color="auto" w:fill="FFFFFF"/>
        </w:rPr>
        <w:t>（三）本次招标不接受联合体投标。</w:t>
      </w:r>
    </w:p>
    <w:p>
      <w:pPr>
        <w:pStyle w:val="16"/>
        <w:spacing w:line="360" w:lineRule="auto"/>
        <w:ind w:firstLine="420"/>
        <w:contextualSpacing/>
        <w:rPr>
          <w:rFonts w:ascii="宋体" w:hAnsi="宋体" w:cs="仿宋_GB2312"/>
          <w:color w:val="auto"/>
          <w:highlight w:val="none"/>
          <w:shd w:val="clear" w:color="auto" w:fill="FFFFFF"/>
        </w:rPr>
      </w:pPr>
      <w:r>
        <w:rPr>
          <w:rFonts w:hint="eastAsia" w:ascii="宋体" w:hAnsi="宋体" w:cs="仿宋_GB2312"/>
          <w:color w:val="auto"/>
          <w:highlight w:val="none"/>
          <w:shd w:val="clear" w:color="auto" w:fill="FFFFFF"/>
        </w:rPr>
        <w:t>（四）属于河南省注册会计师协会</w:t>
      </w:r>
      <w:r>
        <w:rPr>
          <w:rFonts w:hint="eastAsia" w:ascii="宋体" w:hAnsi="宋体" w:cs="宋体"/>
          <w:color w:val="auto"/>
          <w:szCs w:val="21"/>
          <w:highlight w:val="none"/>
        </w:rPr>
        <w:t>2019年的</w:t>
      </w:r>
      <w:r>
        <w:rPr>
          <w:rFonts w:hint="eastAsia" w:ascii="宋体" w:hAnsi="宋体" w:cs="仿宋_GB2312"/>
          <w:color w:val="auto"/>
          <w:highlight w:val="none"/>
          <w:shd w:val="clear" w:color="auto" w:fill="FFFFFF"/>
        </w:rPr>
        <w:t>分类评价认定的B类及以上事务所；或中华人民共和国其它省注册会计师协会2019年公布的分类评价中，排在第二类及以上的会计师事务所（或相当于河南省注册会计师协会2019年分类评价认定的B类及以上事务所）。</w:t>
      </w:r>
    </w:p>
    <w:p>
      <w:pPr>
        <w:pStyle w:val="16"/>
        <w:widowControl/>
        <w:shd w:val="clear" w:color="auto" w:fill="FFFFFF"/>
        <w:spacing w:line="360" w:lineRule="auto"/>
        <w:ind w:firstLine="420"/>
        <w:contextualSpacing/>
        <w:jc w:val="left"/>
        <w:rPr>
          <w:rFonts w:ascii="宋体" w:hAnsi="宋体" w:cs="黑体"/>
          <w:b/>
          <w:bCs/>
          <w:color w:val="auto"/>
          <w:highlight w:val="none"/>
          <w:shd w:val="clear" w:color="auto" w:fill="FFFFFF"/>
        </w:rPr>
      </w:pPr>
      <w:r>
        <w:rPr>
          <w:rFonts w:hint="eastAsia" w:ascii="宋体" w:hAnsi="宋体" w:cs="黑体"/>
          <w:b/>
          <w:bCs/>
          <w:color w:val="auto"/>
          <w:highlight w:val="none"/>
          <w:shd w:val="clear" w:color="auto" w:fill="FFFFFF"/>
        </w:rPr>
        <w:t>四、招标文件的获取</w:t>
      </w:r>
    </w:p>
    <w:p>
      <w:pPr>
        <w:pStyle w:val="16"/>
        <w:widowControl/>
        <w:shd w:val="clear" w:color="auto" w:fill="FFFFFF"/>
        <w:spacing w:line="360" w:lineRule="auto"/>
        <w:ind w:firstLine="420"/>
        <w:contextualSpacing/>
        <w:jc w:val="left"/>
        <w:rPr>
          <w:rFonts w:ascii="宋体" w:hAnsi="宋体" w:cs="仿宋_GB2312"/>
          <w:color w:val="auto"/>
          <w:highlight w:val="none"/>
          <w:shd w:val="clear" w:color="auto" w:fill="FFFFFF"/>
        </w:rPr>
      </w:pPr>
      <w:r>
        <w:rPr>
          <w:rFonts w:hint="eastAsia" w:ascii="宋体" w:hAnsi="宋体" w:cs="仿宋_GB2312"/>
          <w:color w:val="auto"/>
          <w:highlight w:val="none"/>
          <w:shd w:val="clear" w:color="auto" w:fill="FFFFFF"/>
        </w:rPr>
        <w:t>（一）网上下载招标文件</w:t>
      </w:r>
    </w:p>
    <w:p>
      <w:pPr>
        <w:pStyle w:val="16"/>
        <w:widowControl/>
        <w:shd w:val="clear" w:color="auto" w:fill="FFFFFF"/>
        <w:spacing w:line="360" w:lineRule="auto"/>
        <w:ind w:firstLine="420"/>
        <w:contextualSpacing/>
        <w:jc w:val="left"/>
        <w:rPr>
          <w:rFonts w:ascii="宋体" w:hAnsi="宋体" w:cs="仿宋_GB2312"/>
          <w:color w:val="auto"/>
          <w:highlight w:val="none"/>
          <w:shd w:val="clear" w:color="auto" w:fill="FFFFFF"/>
        </w:rPr>
      </w:pPr>
      <w:r>
        <w:rPr>
          <w:rFonts w:hint="eastAsia" w:ascii="宋体" w:hAnsi="宋体" w:cs="仿宋_GB2312"/>
          <w:color w:val="auto"/>
          <w:highlight w:val="none"/>
          <w:shd w:val="clear" w:color="auto" w:fill="FFFFFF"/>
        </w:rPr>
        <w:t>1、持CA数字认证证书，登录《全国公共资源交易平台（河南省·许昌市）》“系统用户注册”入口</w:t>
      </w:r>
      <w:r>
        <w:rPr>
          <w:rFonts w:hint="eastAsia" w:ascii="宋体" w:hAnsi="宋体" w:cs="仿宋_GB2312"/>
          <w:color w:val="auto"/>
          <w:sz w:val="21"/>
          <w:szCs w:val="21"/>
          <w:highlight w:val="none"/>
          <w:shd w:val="clear" w:color="auto" w:fill="FFFFFF"/>
        </w:rPr>
        <w:t>http://221.14.6.70:8088/ggzy/eps/public/RegistAllJcxx.html）</w:t>
      </w:r>
      <w:r>
        <w:rPr>
          <w:rFonts w:hint="eastAsia" w:ascii="宋体" w:hAnsi="宋体" w:cs="仿宋_GB2312"/>
          <w:color w:val="auto"/>
          <w:highlight w:val="none"/>
          <w:shd w:val="clear" w:color="auto" w:fill="FFFFFF"/>
        </w:rPr>
        <w:t>进行免费注册登记（详见“常见问题解答-诚信库网上注册相关资料下载”）；</w:t>
      </w:r>
    </w:p>
    <w:p>
      <w:pPr>
        <w:pStyle w:val="16"/>
        <w:widowControl/>
        <w:shd w:val="clear" w:color="auto" w:fill="FFFFFF"/>
        <w:spacing w:line="360" w:lineRule="auto"/>
        <w:ind w:firstLine="420"/>
        <w:contextualSpacing/>
        <w:jc w:val="left"/>
        <w:rPr>
          <w:rFonts w:ascii="宋体" w:hAnsi="宋体" w:cs="仿宋_GB2312"/>
          <w:color w:val="auto"/>
          <w:highlight w:val="none"/>
          <w:shd w:val="clear" w:color="auto" w:fill="FFFFFF"/>
        </w:rPr>
      </w:pPr>
      <w:r>
        <w:rPr>
          <w:rFonts w:hint="eastAsia" w:ascii="宋体" w:hAnsi="宋体" w:cs="仿宋_GB2312"/>
          <w:color w:val="auto"/>
          <w:highlight w:val="none"/>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6"/>
        <w:widowControl/>
        <w:shd w:val="clear" w:color="auto" w:fill="FFFFFF"/>
        <w:spacing w:line="360" w:lineRule="auto"/>
        <w:ind w:firstLine="420"/>
        <w:contextualSpacing/>
        <w:jc w:val="left"/>
        <w:rPr>
          <w:rFonts w:ascii="宋体" w:hAnsi="宋体" w:cs="黑体"/>
          <w:b/>
          <w:bCs/>
          <w:color w:val="auto"/>
          <w:highlight w:val="none"/>
          <w:shd w:val="clear" w:color="auto" w:fill="FFFFFF"/>
        </w:rPr>
      </w:pPr>
      <w:r>
        <w:rPr>
          <w:rFonts w:hint="eastAsia" w:ascii="宋体" w:hAnsi="宋体" w:cs="黑体"/>
          <w:b/>
          <w:bCs/>
          <w:color w:val="auto"/>
          <w:highlight w:val="none"/>
          <w:shd w:val="clear" w:color="auto" w:fill="FFFFFF"/>
        </w:rPr>
        <w:t>五、投标截止时间、开标时间及地点</w:t>
      </w:r>
    </w:p>
    <w:p>
      <w:pPr>
        <w:pStyle w:val="16"/>
        <w:widowControl/>
        <w:shd w:val="clear" w:color="auto" w:fill="FFFFFF"/>
        <w:spacing w:line="360" w:lineRule="auto"/>
        <w:ind w:firstLine="420"/>
        <w:contextualSpacing/>
        <w:jc w:val="left"/>
        <w:rPr>
          <w:rFonts w:ascii="宋体" w:hAnsi="宋体" w:cs="仿宋_GB2312"/>
          <w:color w:val="auto"/>
          <w:highlight w:val="none"/>
        </w:rPr>
      </w:pPr>
      <w:r>
        <w:rPr>
          <w:rFonts w:hint="eastAsia" w:ascii="宋体" w:hAnsi="宋体" w:cs="仿宋_GB2312"/>
          <w:color w:val="auto"/>
          <w:highlight w:val="none"/>
        </w:rPr>
        <w:t>（一）投标截止及开标时间：</w:t>
      </w:r>
      <w:r>
        <w:rPr>
          <w:rFonts w:hint="eastAsia" w:ascii="宋体" w:hAnsi="宋体" w:cs="仿宋_GB2312"/>
          <w:color w:val="auto"/>
          <w:highlight w:val="none"/>
          <w:u w:val="none"/>
        </w:rPr>
        <w:t>2019</w:t>
      </w:r>
      <w:r>
        <w:rPr>
          <w:rFonts w:hint="eastAsia" w:ascii="宋体" w:hAnsi="宋体" w:cs="仿宋_GB2312"/>
          <w:color w:val="auto"/>
          <w:highlight w:val="none"/>
        </w:rPr>
        <w:t>年</w:t>
      </w:r>
      <w:r>
        <w:rPr>
          <w:rFonts w:hint="eastAsia" w:ascii="宋体" w:hAnsi="宋体" w:cs="仿宋_GB2312"/>
          <w:color w:val="auto"/>
          <w:highlight w:val="none"/>
          <w:u w:val="single"/>
        </w:rPr>
        <w:t xml:space="preserve"> </w:t>
      </w:r>
      <w:r>
        <w:rPr>
          <w:rFonts w:hint="eastAsia" w:ascii="宋体" w:hAnsi="宋体" w:cs="仿宋_GB2312"/>
          <w:color w:val="auto"/>
          <w:highlight w:val="none"/>
          <w:u w:val="single"/>
          <w:lang w:val="en-US" w:eastAsia="zh-CN"/>
        </w:rPr>
        <w:t>9</w:t>
      </w:r>
      <w:r>
        <w:rPr>
          <w:rFonts w:hint="eastAsia" w:ascii="宋体" w:hAnsi="宋体" w:cs="仿宋_GB2312"/>
          <w:color w:val="auto"/>
          <w:highlight w:val="none"/>
          <w:u w:val="single"/>
        </w:rPr>
        <w:t xml:space="preserve"> </w:t>
      </w:r>
      <w:r>
        <w:rPr>
          <w:rFonts w:hint="eastAsia" w:ascii="宋体" w:hAnsi="宋体" w:cs="仿宋_GB2312"/>
          <w:color w:val="auto"/>
          <w:highlight w:val="none"/>
        </w:rPr>
        <w:t>月</w:t>
      </w:r>
      <w:r>
        <w:rPr>
          <w:rFonts w:hint="eastAsia" w:ascii="宋体" w:hAnsi="宋体" w:cs="仿宋_GB2312"/>
          <w:color w:val="auto"/>
          <w:highlight w:val="none"/>
          <w:u w:val="single"/>
        </w:rPr>
        <w:t xml:space="preserve"> </w:t>
      </w:r>
      <w:r>
        <w:rPr>
          <w:rFonts w:hint="eastAsia" w:ascii="宋体" w:hAnsi="宋体" w:cs="仿宋_GB2312"/>
          <w:color w:val="auto"/>
          <w:highlight w:val="none"/>
          <w:u w:val="single"/>
          <w:lang w:val="en-US" w:eastAsia="zh-CN"/>
        </w:rPr>
        <w:t>3</w:t>
      </w:r>
      <w:r>
        <w:rPr>
          <w:rFonts w:hint="eastAsia" w:ascii="宋体" w:hAnsi="宋体" w:cs="仿宋_GB2312"/>
          <w:color w:val="auto"/>
          <w:highlight w:val="none"/>
          <w:u w:val="single"/>
        </w:rPr>
        <w:t xml:space="preserve"> </w:t>
      </w:r>
      <w:r>
        <w:rPr>
          <w:rFonts w:hint="eastAsia" w:ascii="宋体" w:hAnsi="宋体" w:cs="仿宋_GB2312"/>
          <w:color w:val="auto"/>
          <w:highlight w:val="none"/>
        </w:rPr>
        <w:t>日</w:t>
      </w:r>
      <w:r>
        <w:rPr>
          <w:rFonts w:hint="eastAsia" w:ascii="宋体" w:hAnsi="宋体" w:cs="仿宋_GB2312"/>
          <w:color w:val="auto"/>
          <w:highlight w:val="none"/>
          <w:u w:val="single"/>
        </w:rPr>
        <w:t xml:space="preserve"> </w:t>
      </w:r>
      <w:r>
        <w:rPr>
          <w:rFonts w:hint="eastAsia" w:ascii="宋体" w:hAnsi="宋体" w:cs="仿宋_GB2312"/>
          <w:color w:val="auto"/>
          <w:highlight w:val="none"/>
          <w:u w:val="single"/>
          <w:lang w:val="en-US" w:eastAsia="zh-CN"/>
        </w:rPr>
        <w:t>8</w:t>
      </w:r>
      <w:r>
        <w:rPr>
          <w:rFonts w:hint="eastAsia" w:ascii="宋体" w:hAnsi="宋体" w:cs="仿宋_GB2312"/>
          <w:color w:val="auto"/>
          <w:highlight w:val="none"/>
          <w:u w:val="single"/>
        </w:rPr>
        <w:t xml:space="preserve"> </w:t>
      </w:r>
      <w:r>
        <w:rPr>
          <w:rFonts w:hint="eastAsia" w:ascii="宋体" w:hAnsi="宋体" w:cs="仿宋_GB2312"/>
          <w:color w:val="auto"/>
          <w:highlight w:val="none"/>
        </w:rPr>
        <w:t>时</w:t>
      </w:r>
      <w:r>
        <w:rPr>
          <w:rFonts w:hint="eastAsia" w:ascii="宋体" w:hAnsi="宋体" w:cs="仿宋_GB2312"/>
          <w:color w:val="auto"/>
          <w:highlight w:val="none"/>
          <w:u w:val="single"/>
        </w:rPr>
        <w:t xml:space="preserve"> </w:t>
      </w:r>
      <w:r>
        <w:rPr>
          <w:rFonts w:hint="eastAsia" w:ascii="宋体" w:hAnsi="宋体" w:cs="仿宋_GB2312"/>
          <w:color w:val="auto"/>
          <w:highlight w:val="none"/>
          <w:u w:val="single"/>
          <w:lang w:val="en-US" w:eastAsia="zh-CN"/>
        </w:rPr>
        <w:t>30</w:t>
      </w:r>
      <w:r>
        <w:rPr>
          <w:rFonts w:hint="eastAsia" w:ascii="宋体" w:hAnsi="宋体" w:cs="仿宋_GB2312"/>
          <w:color w:val="auto"/>
          <w:highlight w:val="none"/>
          <w:u w:val="single"/>
        </w:rPr>
        <w:t xml:space="preserve"> </w:t>
      </w:r>
      <w:r>
        <w:rPr>
          <w:rFonts w:hint="eastAsia" w:ascii="宋体" w:hAnsi="宋体" w:cs="仿宋_GB2312"/>
          <w:color w:val="auto"/>
          <w:highlight w:val="none"/>
        </w:rPr>
        <w:t>分（北京时间），逾期提交或不符合规定的投标文件不予接受。</w:t>
      </w:r>
    </w:p>
    <w:p>
      <w:pPr>
        <w:pStyle w:val="16"/>
        <w:widowControl/>
        <w:shd w:val="clear" w:color="auto" w:fill="FFFFFF"/>
        <w:spacing w:line="360" w:lineRule="auto"/>
        <w:ind w:firstLine="420"/>
        <w:contextualSpacing/>
        <w:jc w:val="left"/>
        <w:rPr>
          <w:rFonts w:ascii="宋体" w:hAnsi="宋体" w:cs="仿宋_GB2312"/>
          <w:color w:val="auto"/>
          <w:highlight w:val="none"/>
        </w:rPr>
      </w:pPr>
      <w:r>
        <w:rPr>
          <w:rFonts w:hint="eastAsia" w:ascii="宋体" w:hAnsi="宋体" w:cs="仿宋_GB2312"/>
          <w:color w:val="auto"/>
          <w:highlight w:val="none"/>
        </w:rPr>
        <w:t>（二）开标地点：许昌市公共资源交易中心（</w:t>
      </w:r>
      <w:r>
        <w:rPr>
          <w:rFonts w:ascii="宋体" w:hAnsi="宋体" w:cs="Arial"/>
          <w:color w:val="auto"/>
          <w:highlight w:val="none"/>
        </w:rPr>
        <w:t>龙兴路与竹林路交汇处</w:t>
      </w:r>
      <w:r>
        <w:rPr>
          <w:rFonts w:hint="eastAsia" w:ascii="宋体" w:hAnsi="宋体" w:cs="仿宋_GB2312"/>
          <w:color w:val="auto"/>
          <w:highlight w:val="none"/>
        </w:rPr>
        <w:t>公共资源大厦）三楼开标</w:t>
      </w:r>
      <w:r>
        <w:rPr>
          <w:rFonts w:hint="eastAsia" w:ascii="宋体" w:hAnsi="宋体" w:cs="仿宋_GB2312"/>
          <w:color w:val="auto"/>
          <w:highlight w:val="none"/>
          <w:u w:val="none"/>
          <w:lang w:eastAsia="zh-CN"/>
        </w:rPr>
        <w:t>二</w:t>
      </w:r>
      <w:r>
        <w:rPr>
          <w:rFonts w:hint="eastAsia" w:ascii="宋体" w:hAnsi="宋体" w:cs="仿宋_GB2312"/>
          <w:color w:val="auto"/>
          <w:highlight w:val="none"/>
        </w:rPr>
        <w:t>室。</w:t>
      </w:r>
    </w:p>
    <w:p>
      <w:pPr>
        <w:pStyle w:val="16"/>
        <w:widowControl/>
        <w:shd w:val="clear" w:color="auto" w:fill="FFFFFF"/>
        <w:spacing w:line="360" w:lineRule="auto"/>
        <w:ind w:firstLine="420"/>
        <w:contextualSpacing/>
        <w:jc w:val="left"/>
        <w:rPr>
          <w:rFonts w:ascii="宋体" w:hAnsi="宋体" w:cs="仿宋_GB2312"/>
          <w:color w:val="auto"/>
          <w:highlight w:val="none"/>
        </w:rPr>
      </w:pPr>
      <w:r>
        <w:rPr>
          <w:rFonts w:hint="eastAsia" w:ascii="宋体" w:hAnsi="宋体" w:cs="仿宋_GB2312"/>
          <w:color w:val="auto"/>
          <w:highlight w:val="none"/>
        </w:rPr>
        <w:t>（三） 本项目为全流程电子化交易项目，投标人须提交电子投标文件和纸质投标文件，招标文件要求提供的原件除外。</w:t>
      </w:r>
    </w:p>
    <w:p>
      <w:pPr>
        <w:pStyle w:val="16"/>
        <w:widowControl/>
        <w:shd w:val="clear" w:color="auto" w:fill="FFFFFF"/>
        <w:spacing w:line="360" w:lineRule="auto"/>
        <w:ind w:firstLine="420"/>
        <w:contextualSpacing/>
        <w:jc w:val="left"/>
        <w:rPr>
          <w:rFonts w:ascii="宋体" w:hAnsi="宋体" w:cs="仿宋_GB2312"/>
          <w:color w:val="auto"/>
          <w:highlight w:val="none"/>
        </w:rPr>
      </w:pPr>
      <w:r>
        <w:rPr>
          <w:rFonts w:hint="eastAsia" w:ascii="宋体" w:hAnsi="宋体" w:cs="仿宋_GB2312"/>
          <w:color w:val="auto"/>
          <w:highlight w:val="none"/>
        </w:rPr>
        <w:t>1、加密电子投标文件</w:t>
      </w:r>
      <w:r>
        <w:rPr>
          <w:rFonts w:hint="eastAsia" w:ascii="宋体" w:hAnsi="宋体" w:cs="宋体"/>
          <w:color w:val="auto"/>
          <w:highlight w:val="none"/>
        </w:rPr>
        <w:t>（</w:t>
      </w:r>
      <w:r>
        <w:rPr>
          <w:rFonts w:ascii="宋体" w:hAnsi="宋体"/>
          <w:color w:val="auto"/>
          <w:highlight w:val="none"/>
        </w:rPr>
        <w:t>.file</w:t>
      </w:r>
      <w:r>
        <w:rPr>
          <w:rFonts w:hint="eastAsia" w:ascii="宋体" w:hAnsi="宋体" w:cs="宋体"/>
          <w:color w:val="auto"/>
          <w:highlight w:val="none"/>
        </w:rPr>
        <w:t>格式）须</w:t>
      </w:r>
      <w:r>
        <w:rPr>
          <w:rFonts w:hint="eastAsia" w:ascii="宋体" w:hAnsi="宋体" w:cs="仿宋_GB2312"/>
          <w:color w:val="auto"/>
          <w:highlight w:val="none"/>
        </w:rPr>
        <w:t>在投标截止时间（开标时间）前通过《全国公共资源交易平台(河南省</w:t>
      </w:r>
      <w:r>
        <w:rPr>
          <w:rFonts w:hint="eastAsia" w:ascii="宋体" w:hAnsi="MS Mincho" w:eastAsia="MS Mincho" w:cs="MS Mincho"/>
          <w:color w:val="auto"/>
          <w:highlight w:val="none"/>
        </w:rPr>
        <w:t>▪</w:t>
      </w:r>
      <w:r>
        <w:rPr>
          <w:rFonts w:hint="eastAsia" w:ascii="宋体" w:hAnsi="宋体" w:cs="宋体"/>
          <w:color w:val="auto"/>
          <w:highlight w:val="none"/>
        </w:rPr>
        <w:t>许昌市</w:t>
      </w:r>
      <w:r>
        <w:rPr>
          <w:rFonts w:hint="eastAsia" w:ascii="宋体" w:hAnsi="宋体" w:cs="仿宋_GB2312"/>
          <w:color w:val="auto"/>
          <w:highlight w:val="none"/>
        </w:rPr>
        <w:t>)》公共资源交易系统成功上传。</w:t>
      </w:r>
    </w:p>
    <w:p>
      <w:pPr>
        <w:pStyle w:val="16"/>
        <w:widowControl/>
        <w:shd w:val="clear" w:color="auto" w:fill="FFFFFF"/>
        <w:spacing w:line="360" w:lineRule="auto"/>
        <w:ind w:firstLine="420"/>
        <w:contextualSpacing/>
        <w:jc w:val="left"/>
        <w:rPr>
          <w:rFonts w:ascii="宋体" w:hAnsi="宋体" w:cs="仿宋_GB2312"/>
          <w:color w:val="auto"/>
          <w:highlight w:val="none"/>
          <w:shd w:val="pct10" w:color="auto" w:fill="FFFFFF"/>
        </w:rPr>
      </w:pPr>
      <w:r>
        <w:rPr>
          <w:rFonts w:hint="eastAsia" w:ascii="宋体" w:hAnsi="宋体" w:cs="仿宋_GB2312"/>
          <w:color w:val="auto"/>
          <w:highlight w:val="none"/>
        </w:rPr>
        <w:t>2、纸质投标文件（正本1份、副本1份）和备份文件1份</w:t>
      </w:r>
      <w:r>
        <w:rPr>
          <w:rFonts w:hint="eastAsia" w:ascii="宋体" w:hAnsi="宋体"/>
          <w:color w:val="auto"/>
          <w:highlight w:val="none"/>
        </w:rPr>
        <w:t>（使用电子介质存储）</w:t>
      </w:r>
      <w:r>
        <w:rPr>
          <w:rFonts w:hint="eastAsia" w:ascii="宋体" w:hAnsi="宋体" w:cs="仿宋_GB2312"/>
          <w:color w:val="auto"/>
          <w:highlight w:val="none"/>
        </w:rPr>
        <w:t>在投标截止时间（开标时间）前递交至本项目开标地点。</w:t>
      </w:r>
    </w:p>
    <w:p>
      <w:pPr>
        <w:pStyle w:val="26"/>
        <w:shd w:val="clear" w:color="auto" w:fill="FFFFFF"/>
        <w:spacing w:after="156"/>
        <w:ind w:left="-6" w:firstLine="482" w:firstLineChars="200"/>
        <w:jc w:val="both"/>
        <w:rPr>
          <w:rFonts w:cs="黑体"/>
          <w:b w:val="0"/>
          <w:bCs/>
          <w:color w:val="auto"/>
          <w:highlight w:val="none"/>
          <w:shd w:val="clear" w:color="auto" w:fill="FFFFFF"/>
        </w:rPr>
      </w:pPr>
      <w:r>
        <w:rPr>
          <w:rFonts w:hint="eastAsia" w:cs="黑体"/>
          <w:bCs/>
          <w:color w:val="auto"/>
          <w:highlight w:val="none"/>
          <w:shd w:val="clear" w:color="auto" w:fill="FFFFFF"/>
        </w:rPr>
        <w:t>六、本次招标公告同时在《中国政府采购网》、《河南省政府采购网》和《全国公共资源交易平台（河南省·许昌市）》发布。</w:t>
      </w:r>
    </w:p>
    <w:p>
      <w:pPr>
        <w:pStyle w:val="16"/>
        <w:widowControl/>
        <w:shd w:val="clear" w:color="auto" w:fill="FFFFFF"/>
        <w:spacing w:line="360" w:lineRule="auto"/>
        <w:ind w:firstLine="420"/>
        <w:contextualSpacing/>
        <w:jc w:val="left"/>
        <w:rPr>
          <w:rFonts w:ascii="宋体" w:hAnsi="宋体" w:cs="黑体"/>
          <w:b/>
          <w:bCs/>
          <w:color w:val="auto"/>
          <w:highlight w:val="none"/>
          <w:shd w:val="clear" w:color="auto" w:fill="FFFFFF"/>
        </w:rPr>
      </w:pPr>
      <w:r>
        <w:rPr>
          <w:rFonts w:hint="eastAsia" w:ascii="宋体" w:hAnsi="宋体" w:cs="黑体"/>
          <w:b/>
          <w:bCs/>
          <w:color w:val="auto"/>
          <w:highlight w:val="none"/>
          <w:shd w:val="clear" w:color="auto" w:fill="FFFFFF"/>
        </w:rPr>
        <w:t>七、公告期限</w:t>
      </w:r>
    </w:p>
    <w:p>
      <w:pPr>
        <w:pStyle w:val="16"/>
        <w:widowControl/>
        <w:shd w:val="clear" w:color="auto" w:fill="FFFFFF"/>
        <w:spacing w:line="360" w:lineRule="auto"/>
        <w:ind w:firstLine="420"/>
        <w:contextualSpacing/>
        <w:jc w:val="left"/>
        <w:rPr>
          <w:rFonts w:ascii="宋体" w:hAnsi="宋体" w:cs="仿宋_GB2312"/>
          <w:color w:val="auto"/>
          <w:highlight w:val="none"/>
        </w:rPr>
      </w:pPr>
      <w:r>
        <w:rPr>
          <w:rFonts w:hint="eastAsia" w:ascii="宋体" w:hAnsi="宋体" w:cs="仿宋_GB2312"/>
          <w:color w:val="auto"/>
          <w:highlight w:val="none"/>
        </w:rPr>
        <w:t>自本公告发布之日起</w:t>
      </w:r>
      <w:r>
        <w:rPr>
          <w:rFonts w:ascii="宋体" w:hAnsi="宋体" w:cs="仿宋_GB2312"/>
          <w:color w:val="auto"/>
          <w:highlight w:val="none"/>
        </w:rPr>
        <w:t>5</w:t>
      </w:r>
      <w:r>
        <w:rPr>
          <w:rFonts w:hint="eastAsia" w:ascii="宋体" w:hAnsi="宋体" w:cs="仿宋_GB2312"/>
          <w:color w:val="auto"/>
          <w:highlight w:val="none"/>
        </w:rPr>
        <w:t>个工作日。</w:t>
      </w:r>
    </w:p>
    <w:p>
      <w:pPr>
        <w:pStyle w:val="16"/>
        <w:widowControl/>
        <w:shd w:val="clear" w:color="auto" w:fill="FFFFFF"/>
        <w:spacing w:line="360" w:lineRule="auto"/>
        <w:ind w:firstLine="420"/>
        <w:contextualSpacing/>
        <w:jc w:val="left"/>
        <w:rPr>
          <w:rFonts w:ascii="宋体" w:hAnsi="宋体" w:cs="黑体"/>
          <w:b/>
          <w:bCs/>
          <w:color w:val="auto"/>
          <w:highlight w:val="none"/>
        </w:rPr>
      </w:pPr>
      <w:r>
        <w:rPr>
          <w:rFonts w:hint="eastAsia" w:ascii="宋体" w:hAnsi="宋体" w:cs="黑体"/>
          <w:b/>
          <w:bCs/>
          <w:color w:val="auto"/>
          <w:highlight w:val="none"/>
        </w:rPr>
        <w:t>八、联系方式</w:t>
      </w:r>
    </w:p>
    <w:p>
      <w:pPr>
        <w:pStyle w:val="16"/>
        <w:widowControl/>
        <w:shd w:val="clear" w:color="auto" w:fill="FFFFFF"/>
        <w:spacing w:line="360" w:lineRule="auto"/>
        <w:ind w:firstLine="420"/>
        <w:contextualSpacing/>
        <w:jc w:val="left"/>
        <w:rPr>
          <w:rFonts w:ascii="宋体" w:hAnsi="宋体" w:cs="仿宋_GB2312"/>
          <w:color w:val="auto"/>
          <w:highlight w:val="none"/>
          <w:shd w:val="clear" w:color="auto" w:fill="FFFFFF"/>
        </w:rPr>
      </w:pPr>
      <w:r>
        <w:rPr>
          <w:rFonts w:hint="eastAsia" w:ascii="宋体" w:hAnsi="宋体" w:cs="仿宋_GB2312"/>
          <w:color w:val="auto"/>
          <w:highlight w:val="none"/>
          <w:shd w:val="clear" w:color="auto" w:fill="FFFFFF"/>
        </w:rPr>
        <w:t>采购人：许昌市东城区财政投资评审和统计中心</w:t>
      </w:r>
    </w:p>
    <w:p>
      <w:pPr>
        <w:pStyle w:val="16"/>
        <w:widowControl/>
        <w:shd w:val="clear" w:color="auto" w:fill="FFFFFF"/>
        <w:spacing w:line="360" w:lineRule="auto"/>
        <w:ind w:firstLine="420"/>
        <w:contextualSpacing/>
        <w:jc w:val="left"/>
        <w:rPr>
          <w:rFonts w:ascii="宋体" w:hAnsi="宋体" w:cs="仿宋_GB2312"/>
          <w:color w:val="auto"/>
          <w:highlight w:val="none"/>
          <w:shd w:val="clear" w:color="auto" w:fill="FFFFFF"/>
        </w:rPr>
      </w:pPr>
      <w:r>
        <w:rPr>
          <w:rFonts w:hint="eastAsia" w:ascii="宋体" w:hAnsi="宋体" w:cs="仿宋_GB2312"/>
          <w:color w:val="auto"/>
          <w:highlight w:val="none"/>
          <w:shd w:val="clear" w:color="auto" w:fill="FFFFFF"/>
        </w:rPr>
        <w:t>地  址：许昌市新兴路东段</w:t>
      </w:r>
    </w:p>
    <w:p>
      <w:pPr>
        <w:pStyle w:val="16"/>
        <w:widowControl/>
        <w:shd w:val="clear" w:color="auto" w:fill="FFFFFF"/>
        <w:spacing w:line="360" w:lineRule="auto"/>
        <w:ind w:firstLine="420"/>
        <w:contextualSpacing/>
        <w:jc w:val="left"/>
        <w:rPr>
          <w:rFonts w:ascii="宋体" w:hAnsi="宋体" w:cs="仿宋_GB2312"/>
          <w:color w:val="auto"/>
          <w:highlight w:val="none"/>
          <w:shd w:val="clear" w:color="auto" w:fill="FFFFFF"/>
        </w:rPr>
      </w:pPr>
      <w:r>
        <w:rPr>
          <w:rFonts w:hint="eastAsia" w:ascii="宋体" w:hAnsi="宋体" w:cs="仿宋_GB2312"/>
          <w:color w:val="auto"/>
          <w:highlight w:val="none"/>
          <w:shd w:val="clear" w:color="auto" w:fill="FFFFFF"/>
        </w:rPr>
        <w:t>联系人：乔波</w:t>
      </w:r>
      <w:r>
        <w:rPr>
          <w:rFonts w:ascii="宋体" w:hAnsi="宋体" w:cs="仿宋_GB2312"/>
          <w:color w:val="auto"/>
          <w:highlight w:val="none"/>
          <w:shd w:val="clear" w:color="auto" w:fill="FFFFFF"/>
        </w:rPr>
        <w:t xml:space="preserve"> </w:t>
      </w:r>
    </w:p>
    <w:p>
      <w:pPr>
        <w:pStyle w:val="16"/>
        <w:widowControl/>
        <w:shd w:val="clear" w:color="auto" w:fill="FFFFFF"/>
        <w:spacing w:line="360" w:lineRule="auto"/>
        <w:ind w:firstLine="420"/>
        <w:contextualSpacing/>
        <w:jc w:val="left"/>
        <w:rPr>
          <w:rFonts w:ascii="宋体" w:hAnsi="宋体" w:cs="仿宋_GB2312"/>
          <w:color w:val="auto"/>
          <w:highlight w:val="none"/>
          <w:shd w:val="clear" w:color="auto" w:fill="FFFFFF"/>
        </w:rPr>
      </w:pPr>
      <w:r>
        <w:rPr>
          <w:rFonts w:hint="eastAsia" w:ascii="宋体" w:hAnsi="宋体" w:cs="仿宋_GB2312"/>
          <w:color w:val="auto"/>
          <w:highlight w:val="none"/>
          <w:shd w:val="clear" w:color="auto" w:fill="FFFFFF"/>
        </w:rPr>
        <w:t>电  话：0374-2959701</w:t>
      </w:r>
    </w:p>
    <w:p>
      <w:pPr>
        <w:pStyle w:val="16"/>
        <w:widowControl/>
        <w:shd w:val="clear" w:color="auto" w:fill="FFFFFF"/>
        <w:spacing w:line="360" w:lineRule="auto"/>
        <w:ind w:firstLine="420"/>
        <w:contextualSpacing/>
        <w:jc w:val="left"/>
        <w:rPr>
          <w:rFonts w:ascii="宋体" w:hAnsi="宋体" w:cs="仿宋_GB2312"/>
          <w:color w:val="auto"/>
          <w:highlight w:val="none"/>
          <w:shd w:val="clear" w:color="auto" w:fill="FFFFFF"/>
        </w:rPr>
      </w:pPr>
      <w:r>
        <w:rPr>
          <w:rFonts w:hint="eastAsia" w:ascii="宋体" w:hAnsi="宋体" w:cs="仿宋_GB2312"/>
          <w:color w:val="auto"/>
          <w:highlight w:val="none"/>
          <w:shd w:val="clear" w:color="auto" w:fill="FFFFFF"/>
        </w:rPr>
        <w:t>代理机构：河南省伟信招标管理咨询有限公司</w:t>
      </w:r>
    </w:p>
    <w:p>
      <w:pPr>
        <w:pStyle w:val="16"/>
        <w:widowControl/>
        <w:shd w:val="clear" w:color="auto" w:fill="FFFFFF"/>
        <w:spacing w:line="360" w:lineRule="auto"/>
        <w:ind w:firstLine="420"/>
        <w:contextualSpacing/>
        <w:jc w:val="left"/>
        <w:rPr>
          <w:rFonts w:ascii="宋体" w:hAnsi="宋体" w:cs="仿宋_GB2312"/>
          <w:color w:val="auto"/>
          <w:highlight w:val="none"/>
          <w:shd w:val="clear" w:color="auto" w:fill="FFFFFF"/>
        </w:rPr>
      </w:pPr>
      <w:r>
        <w:rPr>
          <w:rFonts w:hint="eastAsia" w:ascii="宋体" w:hAnsi="宋体" w:cs="仿宋_GB2312"/>
          <w:color w:val="auto"/>
          <w:highlight w:val="none"/>
          <w:shd w:val="clear" w:color="auto" w:fill="FFFFFF"/>
        </w:rPr>
        <w:t>地  址：郑州市郑东新区东风南路创业绿地中心北塔16楼</w:t>
      </w:r>
    </w:p>
    <w:p>
      <w:pPr>
        <w:pStyle w:val="16"/>
        <w:widowControl/>
        <w:shd w:val="clear" w:color="auto" w:fill="FFFFFF"/>
        <w:spacing w:line="360" w:lineRule="auto"/>
        <w:ind w:firstLine="420"/>
        <w:contextualSpacing/>
        <w:jc w:val="left"/>
        <w:rPr>
          <w:rFonts w:ascii="宋体" w:hAnsi="宋体" w:cs="仿宋_GB2312"/>
          <w:color w:val="auto"/>
          <w:highlight w:val="none"/>
          <w:shd w:val="clear" w:color="auto" w:fill="FFFFFF"/>
        </w:rPr>
      </w:pPr>
      <w:r>
        <w:rPr>
          <w:rFonts w:hint="eastAsia" w:ascii="宋体" w:hAnsi="宋体" w:cs="仿宋_GB2312"/>
          <w:color w:val="auto"/>
          <w:highlight w:val="none"/>
          <w:shd w:val="clear" w:color="auto" w:fill="FFFFFF"/>
        </w:rPr>
        <w:t>联系人：包勇</w:t>
      </w:r>
    </w:p>
    <w:p>
      <w:pPr>
        <w:pStyle w:val="16"/>
        <w:widowControl/>
        <w:shd w:val="clear" w:color="auto" w:fill="FFFFFF"/>
        <w:spacing w:line="360" w:lineRule="auto"/>
        <w:ind w:firstLine="420"/>
        <w:contextualSpacing/>
        <w:jc w:val="left"/>
        <w:rPr>
          <w:rFonts w:ascii="宋体" w:hAnsi="宋体" w:cs="仿宋_GB2312"/>
          <w:color w:val="auto"/>
          <w:highlight w:val="none"/>
          <w:shd w:val="clear" w:color="auto" w:fill="FFFFFF"/>
        </w:rPr>
      </w:pPr>
      <w:r>
        <w:rPr>
          <w:rFonts w:hint="eastAsia" w:ascii="宋体" w:hAnsi="宋体" w:cs="仿宋_GB2312"/>
          <w:color w:val="auto"/>
          <w:highlight w:val="none"/>
          <w:shd w:val="clear" w:color="auto" w:fill="FFFFFF"/>
        </w:rPr>
        <w:t>联系电话：18539022202</w:t>
      </w:r>
    </w:p>
    <w:p>
      <w:pPr>
        <w:autoSpaceDE w:val="0"/>
        <w:autoSpaceDN w:val="0"/>
        <w:adjustRightInd w:val="0"/>
        <w:spacing w:line="700" w:lineRule="exact"/>
        <w:ind w:firstLine="56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                                        </w:t>
      </w:r>
    </w:p>
    <w:p>
      <w:pPr>
        <w:autoSpaceDE w:val="0"/>
        <w:autoSpaceDN w:val="0"/>
        <w:adjustRightInd w:val="0"/>
        <w:spacing w:line="700" w:lineRule="exact"/>
        <w:ind w:firstLine="560"/>
        <w:jc w:val="right"/>
        <w:rPr>
          <w:rFonts w:ascii="宋体" w:hAnsi="宋体" w:cs="仿宋_GB2312"/>
          <w:color w:val="auto"/>
          <w:sz w:val="24"/>
          <w:szCs w:val="24"/>
          <w:highlight w:val="none"/>
        </w:rPr>
      </w:pPr>
    </w:p>
    <w:p>
      <w:pPr>
        <w:autoSpaceDE w:val="0"/>
        <w:autoSpaceDN w:val="0"/>
        <w:adjustRightInd w:val="0"/>
        <w:spacing w:line="700" w:lineRule="exact"/>
        <w:ind w:firstLine="560"/>
        <w:jc w:val="right"/>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      二〇一九年八月</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u w:val="single"/>
          <w:lang w:eastAsia="zh-CN"/>
        </w:rPr>
        <w:t>八</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日</w:t>
      </w:r>
    </w:p>
    <w:p>
      <w:pPr>
        <w:spacing w:line="360" w:lineRule="auto"/>
        <w:rPr>
          <w:rFonts w:ascii="宋体" w:hAnsi="宋体"/>
          <w:b/>
          <w:color w:val="auto"/>
          <w:sz w:val="28"/>
          <w:szCs w:val="28"/>
          <w:highlight w:val="none"/>
        </w:rPr>
      </w:pPr>
      <w:r>
        <w:rPr>
          <w:rFonts w:hint="eastAsia" w:ascii="宋体" w:hAnsi="宋体"/>
          <w:b/>
          <w:color w:val="auto"/>
          <w:sz w:val="32"/>
          <w:szCs w:val="32"/>
          <w:highlight w:val="none"/>
        </w:rPr>
        <w:br w:type="page"/>
      </w:r>
      <w:r>
        <w:rPr>
          <w:rFonts w:hint="eastAsia" w:ascii="宋体" w:hAnsi="宋体"/>
          <w:b/>
          <w:color w:val="auto"/>
          <w:sz w:val="32"/>
          <w:szCs w:val="32"/>
          <w:highlight w:val="none"/>
        </w:rPr>
        <w:t>温馨提示</w:t>
      </w:r>
      <w:r>
        <w:rPr>
          <w:rFonts w:hint="eastAsia" w:ascii="宋体" w:hAnsi="宋体"/>
          <w:b/>
          <w:color w:val="auto"/>
          <w:sz w:val="28"/>
          <w:szCs w:val="28"/>
          <w:highlight w:val="none"/>
        </w:rPr>
        <w:t>：</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本项目为全流程电子化交易项目，请认真阅读招标文件，并注意以下事项。</w:t>
      </w:r>
    </w:p>
    <w:p>
      <w:pPr>
        <w:tabs>
          <w:tab w:val="left" w:pos="7095"/>
        </w:tabs>
        <w:spacing w:line="360" w:lineRule="auto"/>
        <w:ind w:firstLine="482" w:firstLineChars="200"/>
        <w:contextualSpacing/>
        <w:rPr>
          <w:rFonts w:ascii="宋体" w:hAnsi="宋体"/>
          <w:b/>
          <w:color w:val="auto"/>
          <w:sz w:val="24"/>
          <w:szCs w:val="24"/>
          <w:highlight w:val="none"/>
        </w:rPr>
      </w:pPr>
      <w:r>
        <w:rPr>
          <w:rFonts w:hint="eastAsia" w:ascii="宋体" w:hAnsi="宋体"/>
          <w:b/>
          <w:color w:val="auto"/>
          <w:sz w:val="24"/>
          <w:szCs w:val="24"/>
          <w:highlight w:val="none"/>
        </w:rPr>
        <w:t>1.投标人应按招标文件规定编制、提交电子投标文件和纸质投标文件。开、评标现场不接受投标人递交的备份电子投标文件和纸质投标文件以外的其他资料，招标文件要求提供原件的除外。</w:t>
      </w:r>
    </w:p>
    <w:p>
      <w:pPr>
        <w:tabs>
          <w:tab w:val="left" w:pos="7095"/>
        </w:tabs>
        <w:spacing w:line="360" w:lineRule="auto"/>
        <w:ind w:firstLine="482" w:firstLineChars="200"/>
        <w:contextualSpacing/>
        <w:rPr>
          <w:rFonts w:ascii="宋体" w:hAnsi="宋体"/>
          <w:b/>
          <w:color w:val="auto"/>
          <w:sz w:val="24"/>
          <w:szCs w:val="24"/>
          <w:highlight w:val="none"/>
        </w:rPr>
      </w:pPr>
      <w:r>
        <w:rPr>
          <w:rFonts w:hint="eastAsia" w:ascii="宋体" w:hAnsi="宋体"/>
          <w:b/>
          <w:color w:val="auto"/>
          <w:sz w:val="24"/>
          <w:szCs w:val="24"/>
          <w:highlight w:val="none"/>
        </w:rPr>
        <w:t>2</w:t>
      </w:r>
      <w:r>
        <w:rPr>
          <w:rFonts w:ascii="宋体" w:hAnsi="宋体"/>
          <w:b/>
          <w:color w:val="auto"/>
          <w:sz w:val="24"/>
          <w:szCs w:val="24"/>
          <w:highlight w:val="none"/>
        </w:rPr>
        <w:t>.</w:t>
      </w:r>
      <w:r>
        <w:rPr>
          <w:rFonts w:hint="eastAsia" w:ascii="宋体" w:hAnsi="宋体"/>
          <w:b/>
          <w:color w:val="auto"/>
          <w:sz w:val="24"/>
          <w:szCs w:val="24"/>
          <w:highlight w:val="none"/>
        </w:rPr>
        <w:t>电子文件下载、制作、提交期间和开标（</w:t>
      </w:r>
      <w:r>
        <w:rPr>
          <w:rFonts w:hint="eastAsia" w:ascii="宋体" w:hAnsi="宋体"/>
          <w:color w:val="auto"/>
          <w:sz w:val="24"/>
          <w:szCs w:val="24"/>
          <w:highlight w:val="none"/>
        </w:rPr>
        <w:t>电子投标文件的解密</w:t>
      </w:r>
      <w:r>
        <w:rPr>
          <w:rFonts w:hint="eastAsia" w:ascii="宋体" w:hAnsi="宋体"/>
          <w:b/>
          <w:color w:val="auto"/>
          <w:sz w:val="24"/>
          <w:szCs w:val="24"/>
          <w:highlight w:val="none"/>
        </w:rPr>
        <w:t>）环节，投标人须使用</w:t>
      </w:r>
      <w:r>
        <w:rPr>
          <w:rFonts w:ascii="宋体" w:hAnsi="宋体"/>
          <w:b/>
          <w:color w:val="auto"/>
          <w:sz w:val="24"/>
          <w:szCs w:val="24"/>
          <w:highlight w:val="none"/>
        </w:rPr>
        <w:t>CA数字证书</w:t>
      </w:r>
      <w:r>
        <w:rPr>
          <w:rFonts w:hint="eastAsia" w:ascii="宋体" w:hAnsi="宋体"/>
          <w:b/>
          <w:color w:val="auto"/>
          <w:sz w:val="24"/>
          <w:szCs w:val="24"/>
          <w:highlight w:val="none"/>
        </w:rPr>
        <w:t>（证书须在有效期内）</w:t>
      </w:r>
      <w:r>
        <w:rPr>
          <w:rFonts w:ascii="宋体" w:hAnsi="宋体"/>
          <w:b/>
          <w:color w:val="auto"/>
          <w:sz w:val="24"/>
          <w:szCs w:val="24"/>
          <w:highlight w:val="none"/>
        </w:rPr>
        <w:t>。</w:t>
      </w:r>
    </w:p>
    <w:p>
      <w:pPr>
        <w:tabs>
          <w:tab w:val="left" w:pos="7095"/>
        </w:tabs>
        <w:spacing w:line="360" w:lineRule="auto"/>
        <w:ind w:firstLine="482" w:firstLineChars="200"/>
        <w:contextualSpacing/>
        <w:rPr>
          <w:rFonts w:ascii="宋体" w:hAnsi="宋体"/>
          <w:b/>
          <w:color w:val="auto"/>
          <w:sz w:val="24"/>
          <w:szCs w:val="24"/>
          <w:highlight w:val="none"/>
        </w:rPr>
      </w:pPr>
      <w:r>
        <w:rPr>
          <w:rFonts w:ascii="宋体" w:hAnsi="宋体"/>
          <w:b/>
          <w:color w:val="auto"/>
          <w:sz w:val="24"/>
          <w:szCs w:val="24"/>
          <w:highlight w:val="none"/>
        </w:rPr>
        <w:t>3</w:t>
      </w:r>
      <w:r>
        <w:rPr>
          <w:rFonts w:hint="eastAsia" w:ascii="宋体" w:hAnsi="宋体"/>
          <w:b/>
          <w:color w:val="auto"/>
          <w:sz w:val="24"/>
          <w:szCs w:val="24"/>
          <w:highlight w:val="none"/>
        </w:rPr>
        <w:t>.电子投标文件的制作</w:t>
      </w:r>
    </w:p>
    <w:p>
      <w:pPr>
        <w:tabs>
          <w:tab w:val="left" w:pos="7095"/>
        </w:tabs>
        <w:spacing w:line="360" w:lineRule="auto"/>
        <w:ind w:firstLine="480" w:firstLineChars="200"/>
        <w:contextualSpacing/>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.1 投标人登录《全国公共资源交易平台(河南省</w:t>
      </w:r>
      <w:r>
        <w:rPr>
          <w:rFonts w:hint="eastAsia" w:ascii="宋体" w:hAnsi="MS Mincho" w:eastAsia="MS Mincho" w:cs="MS Mincho"/>
          <w:color w:val="auto"/>
          <w:sz w:val="24"/>
          <w:szCs w:val="24"/>
          <w:highlight w:val="none"/>
        </w:rPr>
        <w:t>▪</w:t>
      </w:r>
      <w:r>
        <w:rPr>
          <w:rFonts w:hint="eastAsia" w:ascii="宋体" w:hAnsi="宋体" w:cs="宋体"/>
          <w:color w:val="auto"/>
          <w:sz w:val="24"/>
          <w:szCs w:val="24"/>
          <w:highlight w:val="none"/>
        </w:rPr>
        <w:t>许昌市</w:t>
      </w:r>
      <w:r>
        <w:rPr>
          <w:rFonts w:hint="eastAsia" w:ascii="宋体" w:hAnsi="宋体"/>
          <w:color w:val="auto"/>
          <w:sz w:val="24"/>
          <w:szCs w:val="24"/>
          <w:highlight w:val="none"/>
        </w:rPr>
        <w:t>)》公共资源交易系统（</w:t>
      </w:r>
      <w:r>
        <w:rPr>
          <w:color w:val="auto"/>
          <w:highlight w:val="none"/>
        </w:rPr>
        <w:fldChar w:fldCharType="begin"/>
      </w:r>
      <w:r>
        <w:rPr>
          <w:color w:val="auto"/>
          <w:highlight w:val="none"/>
        </w:rPr>
        <w:instrText xml:space="preserve"> HYPERLINK "http://221.14.6.70:8088/ggzy/" </w:instrText>
      </w:r>
      <w:r>
        <w:rPr>
          <w:color w:val="auto"/>
          <w:highlight w:val="none"/>
        </w:rPr>
        <w:fldChar w:fldCharType="separate"/>
      </w:r>
      <w:r>
        <w:rPr>
          <w:rStyle w:val="24"/>
          <w:rFonts w:ascii="宋体" w:hAnsi="宋体"/>
          <w:color w:val="auto"/>
          <w:sz w:val="24"/>
          <w:szCs w:val="24"/>
          <w:highlight w:val="none"/>
        </w:rPr>
        <w:t>http://221.14.6.70:8088/ggzy/</w:t>
      </w:r>
      <w:r>
        <w:rPr>
          <w:rStyle w:val="24"/>
          <w:rFonts w:ascii="宋体" w:hAnsi="宋体"/>
          <w:color w:val="auto"/>
          <w:sz w:val="24"/>
          <w:szCs w:val="24"/>
          <w:highlight w:val="none"/>
        </w:rPr>
        <w:fldChar w:fldCharType="end"/>
      </w:r>
      <w:r>
        <w:rPr>
          <w:rFonts w:hint="eastAsia" w:ascii="宋体" w:hAnsi="宋体"/>
          <w:color w:val="auto"/>
          <w:sz w:val="24"/>
          <w:szCs w:val="24"/>
          <w:highlight w:val="none"/>
        </w:rPr>
        <w:t>）下载“许昌投标文件制作系统SEARUN V1.0”，按招标文件要求制作电子投标文件。</w:t>
      </w:r>
    </w:p>
    <w:p>
      <w:pPr>
        <w:tabs>
          <w:tab w:val="left" w:pos="7095"/>
        </w:tabs>
        <w:spacing w:line="360" w:lineRule="auto"/>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rPr>
        <w:t>电子投标文件的制作，参考《全国公共资源交易平台(河南省</w:t>
      </w:r>
      <w:r>
        <w:rPr>
          <w:rFonts w:hint="eastAsia" w:ascii="宋体" w:hAnsi="MS Mincho" w:eastAsia="MS Mincho" w:cs="MS Mincho"/>
          <w:color w:val="auto"/>
          <w:sz w:val="24"/>
          <w:szCs w:val="24"/>
          <w:highlight w:val="none"/>
        </w:rPr>
        <w:t>▪</w:t>
      </w:r>
      <w:r>
        <w:rPr>
          <w:rFonts w:hint="eastAsia" w:ascii="宋体" w:hAnsi="宋体" w:cs="宋体"/>
          <w:color w:val="auto"/>
          <w:sz w:val="24"/>
          <w:szCs w:val="24"/>
          <w:highlight w:val="none"/>
        </w:rPr>
        <w:t>许昌市</w:t>
      </w:r>
      <w:r>
        <w:rPr>
          <w:rFonts w:hint="eastAsia" w:ascii="宋体" w:hAnsi="宋体"/>
          <w:color w:val="auto"/>
          <w:sz w:val="24"/>
          <w:szCs w:val="24"/>
          <w:highlight w:val="none"/>
        </w:rPr>
        <w:t>)》公共资源交易系统——组件下载——交易系统操作手册（投标人、供应商）。</w:t>
      </w:r>
    </w:p>
    <w:p>
      <w:pPr>
        <w:tabs>
          <w:tab w:val="left" w:pos="7095"/>
        </w:tabs>
        <w:spacing w:line="360" w:lineRule="auto"/>
        <w:ind w:firstLine="480" w:firstLineChars="200"/>
        <w:contextualSpacing/>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ascii="宋体" w:hAnsi="宋体"/>
          <w:color w:val="auto"/>
          <w:sz w:val="24"/>
          <w:szCs w:val="24"/>
          <w:highlight w:val="none"/>
        </w:rPr>
      </w:pPr>
      <w:r>
        <w:rPr>
          <w:rFonts w:ascii="宋体" w:hAnsi="宋体"/>
          <w:color w:val="auto"/>
          <w:sz w:val="24"/>
          <w:szCs w:val="24"/>
          <w:highlight w:val="none"/>
        </w:rPr>
        <w:t>3.3</w:t>
      </w:r>
      <w:r>
        <w:rPr>
          <w:rFonts w:hint="eastAsia" w:ascii="宋体" w:hAnsi="宋体"/>
          <w:color w:val="auto"/>
          <w:sz w:val="24"/>
          <w:szCs w:val="24"/>
          <w:highlight w:val="none"/>
        </w:rPr>
        <w:t>投标人对同一项目多个标段进行投标的，应分别下载所投标段的招标文件，按标段制作电子投标文件，并</w:t>
      </w:r>
      <w:r>
        <w:rPr>
          <w:rFonts w:ascii="宋体" w:hAnsi="宋体"/>
          <w:color w:val="auto"/>
          <w:sz w:val="24"/>
          <w:szCs w:val="24"/>
          <w:highlight w:val="none"/>
        </w:rPr>
        <w:t>按招标文件要求在相应位置加盖</w:t>
      </w:r>
      <w:r>
        <w:rPr>
          <w:rFonts w:hint="eastAsia" w:ascii="宋体" w:hAnsi="宋体"/>
          <w:color w:val="auto"/>
          <w:sz w:val="24"/>
          <w:szCs w:val="24"/>
          <w:highlight w:val="none"/>
        </w:rPr>
        <w:t>投标人</w:t>
      </w:r>
      <w:r>
        <w:rPr>
          <w:rFonts w:ascii="宋体" w:hAnsi="宋体"/>
          <w:color w:val="auto"/>
          <w:sz w:val="24"/>
          <w:szCs w:val="24"/>
          <w:highlight w:val="none"/>
        </w:rPr>
        <w:t>电子印章</w:t>
      </w:r>
      <w:r>
        <w:rPr>
          <w:rFonts w:hint="eastAsia" w:ascii="宋体" w:hAnsi="宋体"/>
          <w:color w:val="auto"/>
          <w:sz w:val="24"/>
          <w:szCs w:val="24"/>
          <w:highlight w:val="none"/>
        </w:rPr>
        <w:t>和法人电子印章。</w:t>
      </w:r>
    </w:p>
    <w:p>
      <w:pPr>
        <w:tabs>
          <w:tab w:val="left" w:pos="7095"/>
        </w:tabs>
        <w:spacing w:line="360" w:lineRule="auto"/>
        <w:ind w:left="105" w:leftChars="50" w:firstLine="360" w:firstLineChars="150"/>
        <w:contextualSpacing/>
        <w:rPr>
          <w:rFonts w:ascii="宋体" w:hAnsi="宋体"/>
          <w:color w:val="auto"/>
          <w:sz w:val="24"/>
          <w:szCs w:val="24"/>
          <w:highlight w:val="none"/>
        </w:rPr>
      </w:pPr>
      <w:r>
        <w:rPr>
          <w:rFonts w:hint="eastAsia" w:ascii="宋体" w:hAnsi="宋体"/>
          <w:color w:val="auto"/>
          <w:sz w:val="24"/>
          <w:szCs w:val="24"/>
          <w:highlight w:val="none"/>
        </w:rPr>
        <w:t>一个标段对应生成一个文件夹（xxxx项目xx标段）, 其中包含2个文件和1个文件夹。后缀名为“</w:t>
      </w:r>
      <w:r>
        <w:rPr>
          <w:rFonts w:ascii="宋体" w:hAnsi="宋体"/>
          <w:color w:val="auto"/>
          <w:sz w:val="24"/>
          <w:szCs w:val="24"/>
          <w:highlight w:val="none"/>
        </w:rPr>
        <w:t>.file</w:t>
      </w:r>
      <w:r>
        <w:rPr>
          <w:rFonts w:hint="eastAsia" w:ascii="宋体" w:hAnsi="宋体"/>
          <w:color w:val="auto"/>
          <w:sz w:val="24"/>
          <w:szCs w:val="24"/>
          <w:highlight w:val="none"/>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ascii="宋体" w:hAnsi="宋体"/>
          <w:b/>
          <w:color w:val="auto"/>
          <w:sz w:val="24"/>
          <w:szCs w:val="24"/>
          <w:highlight w:val="none"/>
        </w:rPr>
      </w:pPr>
      <w:r>
        <w:rPr>
          <w:rFonts w:ascii="宋体" w:hAnsi="宋体"/>
          <w:b/>
          <w:color w:val="auto"/>
          <w:sz w:val="24"/>
          <w:szCs w:val="24"/>
          <w:highlight w:val="none"/>
        </w:rPr>
        <w:t>4</w:t>
      </w:r>
      <w:r>
        <w:rPr>
          <w:rFonts w:hint="eastAsia" w:ascii="宋体" w:hAnsi="宋体"/>
          <w:b/>
          <w:color w:val="auto"/>
          <w:sz w:val="24"/>
          <w:szCs w:val="24"/>
          <w:highlight w:val="none"/>
        </w:rPr>
        <w:t>.加密电子投标文件的提交</w:t>
      </w:r>
    </w:p>
    <w:p>
      <w:pPr>
        <w:tabs>
          <w:tab w:val="left" w:pos="7095"/>
        </w:tabs>
        <w:spacing w:line="360" w:lineRule="auto"/>
        <w:contextualSpacing/>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.1加密电子投标文件应在招标文件规定的投标截止时间（开标时间）之前成功提交至《全国公共资源交易平台(河南省</w:t>
      </w:r>
      <w:r>
        <w:rPr>
          <w:rFonts w:hint="eastAsia" w:ascii="宋体" w:hAnsi="MS Mincho" w:eastAsia="MS Mincho" w:cs="MS Mincho"/>
          <w:color w:val="auto"/>
          <w:sz w:val="24"/>
          <w:szCs w:val="24"/>
          <w:highlight w:val="none"/>
        </w:rPr>
        <w:t>▪</w:t>
      </w:r>
      <w:r>
        <w:rPr>
          <w:rFonts w:hint="eastAsia" w:ascii="宋体" w:hAnsi="宋体" w:cs="宋体"/>
          <w:color w:val="auto"/>
          <w:sz w:val="24"/>
          <w:szCs w:val="24"/>
          <w:highlight w:val="none"/>
        </w:rPr>
        <w:t>许昌市</w:t>
      </w:r>
      <w:r>
        <w:rPr>
          <w:rFonts w:hint="eastAsia" w:ascii="宋体" w:hAnsi="宋体"/>
          <w:color w:val="auto"/>
          <w:sz w:val="24"/>
          <w:szCs w:val="24"/>
          <w:highlight w:val="none"/>
        </w:rPr>
        <w:t>)》公共资源交易系统（</w:t>
      </w:r>
      <w:r>
        <w:rPr>
          <w:color w:val="auto"/>
          <w:highlight w:val="none"/>
        </w:rPr>
        <w:fldChar w:fldCharType="begin"/>
      </w:r>
      <w:r>
        <w:rPr>
          <w:color w:val="auto"/>
          <w:highlight w:val="none"/>
        </w:rPr>
        <w:instrText xml:space="preserve"> HYPERLINK "http://221.14.6.70:8088/ggzy/" </w:instrText>
      </w:r>
      <w:r>
        <w:rPr>
          <w:color w:val="auto"/>
          <w:highlight w:val="none"/>
        </w:rPr>
        <w:fldChar w:fldCharType="separate"/>
      </w:r>
      <w:r>
        <w:rPr>
          <w:rStyle w:val="24"/>
          <w:rFonts w:ascii="宋体" w:hAnsi="宋体"/>
          <w:color w:val="auto"/>
          <w:sz w:val="24"/>
          <w:szCs w:val="24"/>
          <w:highlight w:val="none"/>
        </w:rPr>
        <w:t>http://221.14.6.70:8088/ggzy/</w:t>
      </w:r>
      <w:r>
        <w:rPr>
          <w:rStyle w:val="24"/>
          <w:rFonts w:ascii="宋体" w:hAnsi="宋体"/>
          <w:color w:val="auto"/>
          <w:sz w:val="24"/>
          <w:szCs w:val="24"/>
          <w:highlight w:val="none"/>
        </w:rPr>
        <w:fldChar w:fldCharType="end"/>
      </w:r>
      <w:r>
        <w:rPr>
          <w:rFonts w:hint="eastAsia" w:ascii="宋体" w:hAnsi="宋体"/>
          <w:color w:val="auto"/>
          <w:sz w:val="24"/>
          <w:szCs w:val="24"/>
          <w:highlight w:val="none"/>
        </w:rPr>
        <w:t>）。</w:t>
      </w:r>
    </w:p>
    <w:p>
      <w:pPr>
        <w:tabs>
          <w:tab w:val="left" w:pos="7095"/>
        </w:tabs>
        <w:spacing w:line="360" w:lineRule="auto"/>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rPr>
        <w:t>投标人应充分考虑并预留技术处理和上传数据所需时间。</w:t>
      </w:r>
    </w:p>
    <w:p>
      <w:pPr>
        <w:tabs>
          <w:tab w:val="left" w:pos="7095"/>
        </w:tabs>
        <w:spacing w:line="360" w:lineRule="auto"/>
        <w:ind w:firstLine="480" w:firstLineChars="200"/>
        <w:contextualSpacing/>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2 投标人对同一项目多个标段进行投标的，加密电子投标文件应按标段分别提交。</w:t>
      </w:r>
    </w:p>
    <w:p>
      <w:pPr>
        <w:tabs>
          <w:tab w:val="left" w:pos="7095"/>
        </w:tabs>
        <w:spacing w:line="360" w:lineRule="auto"/>
        <w:ind w:firstLine="480" w:firstLineChars="200"/>
        <w:contextualSpacing/>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 xml:space="preserve"> 加密电子投标文件成功提交后，投标人应打印“投标文件提交回执单”供开标现场备查。</w:t>
      </w:r>
    </w:p>
    <w:p>
      <w:pPr>
        <w:tabs>
          <w:tab w:val="left" w:pos="7095"/>
        </w:tabs>
        <w:spacing w:line="360" w:lineRule="auto"/>
        <w:ind w:firstLine="482" w:firstLineChars="200"/>
        <w:contextualSpacing/>
        <w:rPr>
          <w:rFonts w:ascii="宋体" w:hAnsi="宋体"/>
          <w:b/>
          <w:color w:val="auto"/>
          <w:sz w:val="24"/>
          <w:szCs w:val="24"/>
          <w:highlight w:val="none"/>
        </w:rPr>
      </w:pPr>
      <w:r>
        <w:rPr>
          <w:rFonts w:ascii="宋体" w:hAnsi="宋体"/>
          <w:b/>
          <w:color w:val="auto"/>
          <w:sz w:val="24"/>
          <w:szCs w:val="24"/>
          <w:highlight w:val="none"/>
        </w:rPr>
        <w:t>5</w:t>
      </w:r>
      <w:r>
        <w:rPr>
          <w:rFonts w:hint="eastAsia" w:ascii="宋体" w:hAnsi="宋体"/>
          <w:b/>
          <w:color w:val="auto"/>
          <w:sz w:val="24"/>
          <w:szCs w:val="24"/>
          <w:highlight w:val="none"/>
        </w:rPr>
        <w:t>.评标依据</w:t>
      </w:r>
    </w:p>
    <w:p>
      <w:pPr>
        <w:tabs>
          <w:tab w:val="left" w:pos="7095"/>
        </w:tabs>
        <w:spacing w:line="360" w:lineRule="auto"/>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rPr>
        <w:t>5.1本项目采用全流程电子化交易评标，评标委员会以投标人提供的电子投标文件为依据评标，现场评审不再要求提供相关原件。</w:t>
      </w:r>
    </w:p>
    <w:p>
      <w:pPr>
        <w:tabs>
          <w:tab w:val="left" w:pos="7095"/>
        </w:tabs>
        <w:spacing w:line="360" w:lineRule="auto"/>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rPr>
        <w:t>5.2全流程电子化交易如因系统异常情况无法完成，将以人工方式进行。评标委员会以纸质投标文件为依据评标。</w:t>
      </w:r>
    </w:p>
    <w:p>
      <w:pPr>
        <w:autoSpaceDE w:val="0"/>
        <w:autoSpaceDN w:val="0"/>
        <w:adjustRightInd w:val="0"/>
        <w:spacing w:line="700" w:lineRule="exact"/>
        <w:ind w:firstLine="560"/>
        <w:rPr>
          <w:rFonts w:ascii="宋体" w:hAnsi="宋体" w:cs="仿宋_GB2312"/>
          <w:color w:val="auto"/>
          <w:sz w:val="24"/>
          <w:szCs w:val="24"/>
          <w:highlight w:val="none"/>
        </w:rPr>
      </w:pPr>
    </w:p>
    <w:p>
      <w:pPr>
        <w:autoSpaceDE w:val="0"/>
        <w:autoSpaceDN w:val="0"/>
        <w:adjustRightInd w:val="0"/>
        <w:spacing w:line="700" w:lineRule="exact"/>
        <w:ind w:firstLine="560"/>
        <w:rPr>
          <w:rFonts w:ascii="宋体" w:hAnsi="宋体" w:cs="仿宋_GB2312"/>
          <w:color w:val="auto"/>
          <w:sz w:val="24"/>
          <w:szCs w:val="24"/>
          <w:highlight w:val="none"/>
        </w:rPr>
      </w:pPr>
    </w:p>
    <w:p>
      <w:pPr>
        <w:autoSpaceDE w:val="0"/>
        <w:autoSpaceDN w:val="0"/>
        <w:adjustRightInd w:val="0"/>
        <w:spacing w:line="700" w:lineRule="exact"/>
        <w:ind w:firstLine="560"/>
        <w:rPr>
          <w:rFonts w:ascii="宋体" w:hAnsi="宋体" w:cs="仿宋_GB2312"/>
          <w:color w:val="auto"/>
          <w:sz w:val="24"/>
          <w:szCs w:val="24"/>
          <w:highlight w:val="none"/>
        </w:rPr>
      </w:pPr>
    </w:p>
    <w:p>
      <w:pPr>
        <w:autoSpaceDE w:val="0"/>
        <w:autoSpaceDN w:val="0"/>
        <w:adjustRightInd w:val="0"/>
        <w:spacing w:line="700" w:lineRule="exact"/>
        <w:ind w:firstLine="560"/>
        <w:rPr>
          <w:rFonts w:ascii="宋体" w:hAnsi="宋体" w:cs="仿宋_GB2312"/>
          <w:color w:val="auto"/>
          <w:sz w:val="24"/>
          <w:szCs w:val="24"/>
          <w:highlight w:val="none"/>
        </w:rPr>
      </w:pPr>
    </w:p>
    <w:p>
      <w:pPr>
        <w:autoSpaceDE w:val="0"/>
        <w:autoSpaceDN w:val="0"/>
        <w:adjustRightInd w:val="0"/>
        <w:spacing w:line="700" w:lineRule="exact"/>
        <w:ind w:firstLine="560"/>
        <w:rPr>
          <w:rFonts w:ascii="宋体" w:hAnsi="宋体" w:cs="仿宋_GB2312"/>
          <w:color w:val="auto"/>
          <w:sz w:val="24"/>
          <w:szCs w:val="24"/>
          <w:highlight w:val="none"/>
        </w:rPr>
      </w:pPr>
    </w:p>
    <w:p>
      <w:pPr>
        <w:autoSpaceDE w:val="0"/>
        <w:autoSpaceDN w:val="0"/>
        <w:adjustRightInd w:val="0"/>
        <w:spacing w:line="700" w:lineRule="exact"/>
        <w:rPr>
          <w:rFonts w:ascii="宋体" w:hAnsi="宋体" w:cs="仿宋_GB2312"/>
          <w:color w:val="auto"/>
          <w:sz w:val="24"/>
          <w:szCs w:val="24"/>
          <w:highlight w:val="none"/>
        </w:rPr>
      </w:pPr>
    </w:p>
    <w:p>
      <w:pPr>
        <w:autoSpaceDE w:val="0"/>
        <w:autoSpaceDN w:val="0"/>
        <w:adjustRightInd w:val="0"/>
        <w:spacing w:line="700" w:lineRule="exact"/>
        <w:rPr>
          <w:rFonts w:ascii="宋体" w:hAnsi="宋体" w:cs="仿宋_GB2312"/>
          <w:color w:val="auto"/>
          <w:sz w:val="24"/>
          <w:szCs w:val="24"/>
          <w:highlight w:val="none"/>
        </w:rPr>
      </w:pPr>
    </w:p>
    <w:p>
      <w:pPr>
        <w:autoSpaceDE w:val="0"/>
        <w:autoSpaceDN w:val="0"/>
        <w:adjustRightInd w:val="0"/>
        <w:spacing w:line="700" w:lineRule="exact"/>
        <w:rPr>
          <w:rFonts w:ascii="宋体" w:hAnsi="宋体" w:cs="仿宋_GB2312"/>
          <w:color w:val="auto"/>
          <w:sz w:val="24"/>
          <w:szCs w:val="24"/>
          <w:highlight w:val="none"/>
        </w:rPr>
      </w:pPr>
    </w:p>
    <w:p>
      <w:pPr>
        <w:autoSpaceDE w:val="0"/>
        <w:autoSpaceDN w:val="0"/>
        <w:adjustRightInd w:val="0"/>
        <w:spacing w:line="700" w:lineRule="exact"/>
        <w:rPr>
          <w:rFonts w:ascii="宋体" w:hAnsi="宋体" w:cs="仿宋_GB2312"/>
          <w:color w:val="auto"/>
          <w:sz w:val="24"/>
          <w:szCs w:val="24"/>
          <w:highlight w:val="none"/>
        </w:rPr>
      </w:pPr>
    </w:p>
    <w:p>
      <w:pPr>
        <w:pStyle w:val="2"/>
        <w:rPr>
          <w:rFonts w:ascii="宋体" w:hAnsi="宋体" w:cs="仿宋_GB2312"/>
          <w:color w:val="auto"/>
          <w:sz w:val="24"/>
          <w:szCs w:val="24"/>
          <w:highlight w:val="none"/>
        </w:rPr>
      </w:pPr>
    </w:p>
    <w:p>
      <w:pPr>
        <w:pStyle w:val="2"/>
        <w:rPr>
          <w:rFonts w:ascii="宋体" w:hAnsi="宋体" w:cs="仿宋_GB2312"/>
          <w:color w:val="auto"/>
          <w:sz w:val="24"/>
          <w:szCs w:val="24"/>
          <w:highlight w:val="none"/>
        </w:rPr>
      </w:pPr>
    </w:p>
    <w:p>
      <w:pPr>
        <w:widowControl/>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numPr>
          <w:ilvl w:val="0"/>
          <w:numId w:val="4"/>
        </w:numPr>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项目需求</w:t>
      </w:r>
    </w:p>
    <w:p>
      <w:pPr>
        <w:widowControl/>
        <w:shd w:val="clear" w:color="auto" w:fill="FFFFFF"/>
        <w:spacing w:line="360" w:lineRule="auto"/>
        <w:ind w:firstLine="482" w:firstLineChars="200"/>
        <w:contextualSpacing/>
        <w:jc w:val="left"/>
        <w:rPr>
          <w:rFonts w:ascii="宋体" w:hAnsi="宋体"/>
          <w:b/>
          <w:color w:val="auto"/>
          <w:kern w:val="0"/>
          <w:sz w:val="24"/>
          <w:szCs w:val="24"/>
          <w:highlight w:val="none"/>
        </w:rPr>
      </w:pPr>
      <w:r>
        <w:rPr>
          <w:rFonts w:hint="eastAsia" w:ascii="宋体" w:hAnsi="宋体"/>
          <w:b/>
          <w:color w:val="auto"/>
          <w:kern w:val="0"/>
          <w:sz w:val="24"/>
          <w:szCs w:val="24"/>
          <w:highlight w:val="none"/>
        </w:rPr>
        <w:t>一、本项目需实现的功能或者目标</w:t>
      </w:r>
    </w:p>
    <w:p>
      <w:pPr>
        <w:widowControl/>
        <w:shd w:val="clear" w:color="auto" w:fill="FFFFFF"/>
        <w:spacing w:line="360" w:lineRule="auto"/>
        <w:ind w:firstLine="480" w:firstLineChars="200"/>
        <w:contextualSpacing/>
        <w:jc w:val="left"/>
        <w:rPr>
          <w:rFonts w:ascii="宋体" w:hAnsi="宋体"/>
          <w:color w:val="auto"/>
          <w:kern w:val="0"/>
          <w:sz w:val="24"/>
          <w:szCs w:val="24"/>
          <w:highlight w:val="none"/>
        </w:rPr>
      </w:pPr>
      <w:r>
        <w:rPr>
          <w:rFonts w:hint="eastAsia" w:ascii="宋体" w:hAnsi="宋体"/>
          <w:color w:val="auto"/>
          <w:kern w:val="0"/>
          <w:sz w:val="24"/>
          <w:szCs w:val="24"/>
          <w:highlight w:val="none"/>
        </w:rPr>
        <w:t>通过公开招标的方式确定20家会计事务所,中标的中介机构进入许昌市东城区财政投资评审和统计中心会计服务机构备选库，具备接受委托参与政府会计服务的资格,</w:t>
      </w:r>
      <w:r>
        <w:rPr>
          <w:rFonts w:hint="eastAsia" w:ascii="宋体" w:hAnsi="宋体" w:cs="宋体"/>
          <w:color w:val="auto"/>
          <w:kern w:val="0"/>
          <w:sz w:val="24"/>
          <w:szCs w:val="24"/>
          <w:highlight w:val="none"/>
        </w:rPr>
        <w:t xml:space="preserve"> 具备接受委托参与政府购买中介机构服务的资格,承担委托项目清产核资、财政（财务）审计、以合规性为导向的专项检查等工作。</w:t>
      </w:r>
    </w:p>
    <w:p>
      <w:pPr>
        <w:widowControl/>
        <w:shd w:val="clear" w:color="auto" w:fill="FFFFFF"/>
        <w:spacing w:line="360" w:lineRule="auto"/>
        <w:ind w:firstLine="422" w:firstLineChars="200"/>
        <w:contextualSpacing/>
        <w:jc w:val="left"/>
        <w:rPr>
          <w:rFonts w:ascii="宋体" w:hAnsi="宋体" w:cs="宋体"/>
          <w:b/>
          <w:color w:val="auto"/>
          <w:kern w:val="0"/>
          <w:sz w:val="24"/>
          <w:szCs w:val="24"/>
          <w:highlight w:val="none"/>
        </w:rPr>
      </w:pPr>
      <w:r>
        <w:rPr>
          <w:rFonts w:hint="eastAsia" w:ascii="宋体" w:hAnsi="宋体" w:cs="微软雅黑"/>
          <w:b/>
          <w:color w:val="auto"/>
          <w:szCs w:val="21"/>
          <w:highlight w:val="none"/>
        </w:rPr>
        <w:t>★</w:t>
      </w:r>
      <w:r>
        <w:rPr>
          <w:rFonts w:hint="eastAsia" w:ascii="宋体" w:hAnsi="宋体" w:cs="宋体"/>
          <w:b/>
          <w:color w:val="auto"/>
          <w:kern w:val="0"/>
          <w:sz w:val="24"/>
          <w:szCs w:val="24"/>
          <w:highlight w:val="none"/>
        </w:rPr>
        <w:t>二、服务标准、期限、效率等要求</w:t>
      </w:r>
    </w:p>
    <w:p>
      <w:pPr>
        <w:spacing w:line="360" w:lineRule="auto"/>
        <w:ind w:firstLine="482" w:firstLineChars="200"/>
        <w:rPr>
          <w:rFonts w:ascii="宋体" w:hAnsi="宋体" w:cs="宋体"/>
          <w:b/>
          <w:color w:val="auto"/>
          <w:kern w:val="0"/>
          <w:sz w:val="24"/>
          <w:szCs w:val="24"/>
          <w:highlight w:val="none"/>
        </w:rPr>
      </w:pPr>
      <w:r>
        <w:rPr>
          <w:rFonts w:ascii="宋体" w:hAnsi="宋体" w:cs="宋体"/>
          <w:b/>
          <w:color w:val="auto"/>
          <w:kern w:val="0"/>
          <w:sz w:val="24"/>
          <w:szCs w:val="24"/>
          <w:highlight w:val="none"/>
        </w:rPr>
        <w:t>1</w:t>
      </w:r>
      <w:r>
        <w:rPr>
          <w:rFonts w:hint="eastAsia" w:ascii="宋体" w:hAnsi="宋体" w:cs="宋体"/>
          <w:b/>
          <w:color w:val="auto"/>
          <w:kern w:val="0"/>
          <w:sz w:val="24"/>
          <w:szCs w:val="24"/>
          <w:highlight w:val="none"/>
        </w:rPr>
        <w:t>、服务费支付标准：财政（财务）审计业务、清产核资类投标收费率上限为豫发改收费〔</w:t>
      </w:r>
      <w:r>
        <w:rPr>
          <w:rFonts w:ascii="宋体" w:hAnsi="宋体" w:cs="宋体"/>
          <w:b/>
          <w:color w:val="auto"/>
          <w:kern w:val="0"/>
          <w:sz w:val="24"/>
          <w:szCs w:val="24"/>
          <w:highlight w:val="none"/>
        </w:rPr>
        <w:t>2011</w:t>
      </w:r>
      <w:r>
        <w:rPr>
          <w:rFonts w:hint="eastAsia" w:ascii="宋体" w:hAnsi="宋体" w:cs="宋体"/>
          <w:b/>
          <w:color w:val="auto"/>
          <w:kern w:val="0"/>
          <w:sz w:val="24"/>
          <w:szCs w:val="24"/>
          <w:highlight w:val="none"/>
        </w:rPr>
        <w:t>〕</w:t>
      </w:r>
      <w:r>
        <w:rPr>
          <w:rFonts w:ascii="宋体" w:hAnsi="宋体" w:cs="宋体"/>
          <w:b/>
          <w:color w:val="auto"/>
          <w:kern w:val="0"/>
          <w:sz w:val="24"/>
          <w:szCs w:val="24"/>
          <w:highlight w:val="none"/>
        </w:rPr>
        <w:t>2374</w:t>
      </w:r>
      <w:r>
        <w:rPr>
          <w:rFonts w:hint="eastAsia" w:ascii="宋体" w:hAnsi="宋体" w:cs="宋体"/>
          <w:b/>
          <w:color w:val="auto"/>
          <w:kern w:val="0"/>
          <w:sz w:val="24"/>
          <w:szCs w:val="24"/>
          <w:highlight w:val="none"/>
        </w:rPr>
        <w:t>号文件规定收费标准的</w:t>
      </w:r>
      <w:r>
        <w:rPr>
          <w:rFonts w:ascii="宋体" w:hAnsi="宋体" w:cs="宋体"/>
          <w:b/>
          <w:color w:val="auto"/>
          <w:kern w:val="0"/>
          <w:sz w:val="24"/>
          <w:szCs w:val="24"/>
          <w:highlight w:val="none"/>
        </w:rPr>
        <w:t>50%</w:t>
      </w:r>
      <w:r>
        <w:rPr>
          <w:rFonts w:hint="eastAsia" w:ascii="宋体" w:hAnsi="宋体" w:cs="宋体"/>
          <w:b/>
          <w:color w:val="auto"/>
          <w:kern w:val="0"/>
          <w:sz w:val="24"/>
          <w:szCs w:val="24"/>
          <w:highlight w:val="none"/>
        </w:rPr>
        <w:t>。</w:t>
      </w:r>
    </w:p>
    <w:p>
      <w:pPr>
        <w:spacing w:line="360" w:lineRule="auto"/>
        <w:ind w:firstLine="482" w:firstLineChars="200"/>
        <w:rPr>
          <w:rFonts w:ascii="宋体" w:hAnsi="宋体" w:cs="宋体"/>
          <w:b/>
          <w:color w:val="auto"/>
          <w:kern w:val="0"/>
          <w:sz w:val="24"/>
          <w:szCs w:val="24"/>
          <w:highlight w:val="none"/>
          <w:u w:val="dotDash"/>
        </w:rPr>
      </w:pPr>
      <w:r>
        <w:rPr>
          <w:rFonts w:ascii="宋体" w:hAnsi="宋体" w:cs="宋体"/>
          <w:b/>
          <w:color w:val="auto"/>
          <w:kern w:val="0"/>
          <w:sz w:val="24"/>
          <w:szCs w:val="24"/>
          <w:highlight w:val="none"/>
        </w:rPr>
        <w:t>2</w:t>
      </w:r>
      <w:r>
        <w:rPr>
          <w:rFonts w:hint="eastAsia" w:ascii="宋体" w:hAnsi="宋体" w:cs="宋体"/>
          <w:b/>
          <w:color w:val="auto"/>
          <w:kern w:val="0"/>
          <w:sz w:val="24"/>
          <w:szCs w:val="24"/>
          <w:highlight w:val="none"/>
        </w:rPr>
        <w:t>、委托人组织以合规性为导向的专项检查，根据实际工作天数和业务质量考评结果，付费标准按照河南省财政厅豫财监〔</w:t>
      </w:r>
      <w:r>
        <w:rPr>
          <w:rFonts w:ascii="宋体" w:hAnsi="宋体" w:cs="宋体"/>
          <w:b/>
          <w:color w:val="auto"/>
          <w:kern w:val="0"/>
          <w:sz w:val="24"/>
          <w:szCs w:val="24"/>
          <w:highlight w:val="none"/>
        </w:rPr>
        <w:t>2013</w:t>
      </w:r>
      <w:r>
        <w:rPr>
          <w:rFonts w:hint="eastAsia" w:ascii="宋体" w:hAnsi="宋体" w:cs="宋体"/>
          <w:b/>
          <w:color w:val="auto"/>
          <w:kern w:val="0"/>
          <w:sz w:val="24"/>
          <w:szCs w:val="24"/>
          <w:highlight w:val="none"/>
        </w:rPr>
        <w:t>〕</w:t>
      </w:r>
      <w:r>
        <w:rPr>
          <w:rFonts w:ascii="宋体" w:hAnsi="宋体" w:cs="宋体"/>
          <w:b/>
          <w:color w:val="auto"/>
          <w:kern w:val="0"/>
          <w:sz w:val="24"/>
          <w:szCs w:val="24"/>
          <w:highlight w:val="none"/>
        </w:rPr>
        <w:t>158</w:t>
      </w:r>
      <w:r>
        <w:rPr>
          <w:rFonts w:hint="eastAsia" w:ascii="宋体" w:hAnsi="宋体" w:cs="宋体"/>
          <w:b/>
          <w:color w:val="auto"/>
          <w:kern w:val="0"/>
          <w:sz w:val="24"/>
          <w:szCs w:val="24"/>
          <w:highlight w:val="none"/>
        </w:rPr>
        <w:t>号的相关规定执行；受托人没有查出问题，委托人不予支付费用。对形成罚没收入的检查，可以视检查发现问题罚没收入的比例给予奖励性付费，视难易程度在罚没收入的</w:t>
      </w:r>
      <w:r>
        <w:rPr>
          <w:rFonts w:ascii="宋体" w:hAnsi="宋体" w:cs="宋体"/>
          <w:b/>
          <w:color w:val="auto"/>
          <w:kern w:val="0"/>
          <w:sz w:val="24"/>
          <w:szCs w:val="24"/>
          <w:highlight w:val="none"/>
        </w:rPr>
        <w:t>5%-10%</w:t>
      </w:r>
      <w:r>
        <w:rPr>
          <w:rFonts w:hint="eastAsia" w:ascii="宋体" w:hAnsi="宋体" w:cs="宋体"/>
          <w:b/>
          <w:color w:val="auto"/>
          <w:kern w:val="0"/>
          <w:sz w:val="24"/>
          <w:szCs w:val="24"/>
          <w:highlight w:val="none"/>
        </w:rPr>
        <w:t>浮动。</w:t>
      </w:r>
    </w:p>
    <w:p>
      <w:pPr>
        <w:widowControl/>
        <w:jc w:val="left"/>
        <w:rPr>
          <w:rFonts w:ascii="宋体" w:hAnsi="宋体"/>
          <w:color w:val="auto"/>
          <w:sz w:val="18"/>
          <w:szCs w:val="18"/>
          <w:highlight w:val="none"/>
        </w:rPr>
      </w:pPr>
    </w:p>
    <w:tbl>
      <w:tblPr>
        <w:tblStyle w:val="18"/>
        <w:tblW w:w="9553" w:type="dxa"/>
        <w:tblInd w:w="0" w:type="dxa"/>
        <w:tblLayout w:type="fixed"/>
        <w:tblCellMar>
          <w:top w:w="0" w:type="dxa"/>
          <w:left w:w="108" w:type="dxa"/>
          <w:bottom w:w="0" w:type="dxa"/>
          <w:right w:w="108" w:type="dxa"/>
        </w:tblCellMar>
      </w:tblPr>
      <w:tblGrid>
        <w:gridCol w:w="426"/>
        <w:gridCol w:w="981"/>
        <w:gridCol w:w="983"/>
        <w:gridCol w:w="816"/>
        <w:gridCol w:w="520"/>
        <w:gridCol w:w="520"/>
        <w:gridCol w:w="520"/>
        <w:gridCol w:w="591"/>
        <w:gridCol w:w="713"/>
        <w:gridCol w:w="388"/>
        <w:gridCol w:w="792"/>
        <w:gridCol w:w="653"/>
        <w:gridCol w:w="666"/>
        <w:gridCol w:w="984"/>
      </w:tblGrid>
      <w:tr>
        <w:tblPrEx>
          <w:tblLayout w:type="fixed"/>
          <w:tblCellMar>
            <w:top w:w="0" w:type="dxa"/>
            <w:left w:w="108" w:type="dxa"/>
            <w:bottom w:w="0" w:type="dxa"/>
            <w:right w:w="108" w:type="dxa"/>
          </w:tblCellMar>
        </w:tblPrEx>
        <w:trPr>
          <w:trHeight w:val="450" w:hRule="atLeast"/>
        </w:trPr>
        <w:tc>
          <w:tcPr>
            <w:tcW w:w="9553" w:type="dxa"/>
            <w:gridSpan w:val="14"/>
            <w:tcBorders>
              <w:top w:val="nil"/>
              <w:left w:val="nil"/>
              <w:bottom w:val="single" w:color="auto" w:sz="4" w:space="0"/>
              <w:right w:val="nil"/>
            </w:tcBorders>
            <w:shd w:val="clear" w:color="auto" w:fill="auto"/>
            <w:vAlign w:val="center"/>
          </w:tcPr>
          <w:p>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河南省会计师事务所审计服务收费标准</w:t>
            </w:r>
          </w:p>
          <w:p>
            <w:pPr>
              <w:widowControl/>
              <w:jc w:val="right"/>
              <w:rPr>
                <w:rFonts w:ascii="宋体" w:hAnsi="宋体" w:cs="宋体"/>
                <w:b/>
                <w:bCs/>
                <w:color w:val="auto"/>
                <w:kern w:val="0"/>
                <w:sz w:val="15"/>
                <w:szCs w:val="15"/>
                <w:highlight w:val="none"/>
              </w:rPr>
            </w:pPr>
            <w:r>
              <w:rPr>
                <w:rFonts w:hint="eastAsia" w:ascii="宋体" w:hAnsi="宋体" w:cs="宋体"/>
                <w:b/>
                <w:bCs/>
                <w:color w:val="auto"/>
                <w:kern w:val="0"/>
                <w:sz w:val="24"/>
                <w:szCs w:val="24"/>
                <w:highlight w:val="none"/>
              </w:rPr>
              <w:t>单位：元</w:t>
            </w:r>
          </w:p>
        </w:tc>
      </w:tr>
      <w:tr>
        <w:tblPrEx>
          <w:tblLayout w:type="fixed"/>
          <w:tblCellMar>
            <w:top w:w="0" w:type="dxa"/>
            <w:left w:w="108" w:type="dxa"/>
            <w:bottom w:w="0" w:type="dxa"/>
            <w:right w:w="108" w:type="dxa"/>
          </w:tblCellMar>
        </w:tblPrEx>
        <w:trPr>
          <w:trHeight w:val="285" w:hRule="atLeast"/>
        </w:trPr>
        <w:tc>
          <w:tcPr>
            <w:tcW w:w="23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服务项目</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计费单位</w:t>
            </w:r>
          </w:p>
        </w:tc>
        <w:tc>
          <w:tcPr>
            <w:tcW w:w="5363"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费率</w:t>
            </w:r>
          </w:p>
        </w:tc>
        <w:tc>
          <w:tcPr>
            <w:tcW w:w="984"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备注</w:t>
            </w:r>
          </w:p>
        </w:tc>
      </w:tr>
      <w:tr>
        <w:tblPrEx>
          <w:tblLayout w:type="fixed"/>
          <w:tblCellMar>
            <w:top w:w="0" w:type="dxa"/>
            <w:left w:w="108" w:type="dxa"/>
            <w:bottom w:w="0" w:type="dxa"/>
            <w:right w:w="108" w:type="dxa"/>
          </w:tblCellMar>
        </w:tblPrEx>
        <w:trPr>
          <w:trHeight w:val="780" w:hRule="atLeast"/>
        </w:trPr>
        <w:tc>
          <w:tcPr>
            <w:tcW w:w="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验资</w:t>
            </w:r>
          </w:p>
        </w:tc>
        <w:tc>
          <w:tcPr>
            <w:tcW w:w="98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设立验资</w:t>
            </w:r>
          </w:p>
        </w:tc>
        <w:tc>
          <w:tcPr>
            <w:tcW w:w="9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仅以货币形式出资</w:t>
            </w:r>
          </w:p>
        </w:tc>
        <w:tc>
          <w:tcPr>
            <w:tcW w:w="81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0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出资额</w:t>
            </w:r>
          </w:p>
        </w:tc>
        <w:tc>
          <w:tcPr>
            <w:tcW w:w="1040" w:type="dxa"/>
            <w:gridSpan w:val="2"/>
            <w:tcBorders>
              <w:top w:val="nil"/>
              <w:left w:val="nil"/>
              <w:bottom w:val="single" w:color="auto" w:sz="4" w:space="0"/>
              <w:right w:val="single" w:color="000000" w:sz="4" w:space="0"/>
            </w:tcBorders>
            <w:shd w:val="clear" w:color="auto" w:fill="auto"/>
            <w:vAlign w:val="center"/>
          </w:tcPr>
          <w:p>
            <w:pPr>
              <w:widowControl/>
              <w:spacing w:line="20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100万以下（含100万、下同）</w:t>
            </w:r>
          </w:p>
        </w:tc>
        <w:tc>
          <w:tcPr>
            <w:tcW w:w="1111" w:type="dxa"/>
            <w:gridSpan w:val="2"/>
            <w:tcBorders>
              <w:top w:val="nil"/>
              <w:left w:val="nil"/>
              <w:bottom w:val="single" w:color="auto" w:sz="4" w:space="0"/>
              <w:right w:val="single" w:color="000000" w:sz="4" w:space="0"/>
            </w:tcBorders>
            <w:shd w:val="clear" w:color="auto" w:fill="auto"/>
            <w:vAlign w:val="center"/>
          </w:tcPr>
          <w:p>
            <w:pPr>
              <w:widowControl/>
              <w:spacing w:line="20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100-1000万</w:t>
            </w:r>
          </w:p>
        </w:tc>
        <w:tc>
          <w:tcPr>
            <w:tcW w:w="1101" w:type="dxa"/>
            <w:gridSpan w:val="2"/>
            <w:tcBorders>
              <w:top w:val="nil"/>
              <w:left w:val="nil"/>
              <w:bottom w:val="single" w:color="auto" w:sz="4" w:space="0"/>
              <w:right w:val="single" w:color="000000" w:sz="4" w:space="0"/>
            </w:tcBorders>
            <w:shd w:val="clear" w:color="auto" w:fill="auto"/>
            <w:vAlign w:val="center"/>
          </w:tcPr>
          <w:p>
            <w:pPr>
              <w:widowControl/>
              <w:spacing w:line="20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1000-5000万</w:t>
            </w:r>
          </w:p>
        </w:tc>
        <w:tc>
          <w:tcPr>
            <w:tcW w:w="792"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5000万-1亿</w:t>
            </w:r>
          </w:p>
        </w:tc>
        <w:tc>
          <w:tcPr>
            <w:tcW w:w="65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1亿-5亿</w:t>
            </w:r>
          </w:p>
        </w:tc>
        <w:tc>
          <w:tcPr>
            <w:tcW w:w="666"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5亿以上</w:t>
            </w:r>
          </w:p>
        </w:tc>
        <w:tc>
          <w:tcPr>
            <w:tcW w:w="984"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r>
      <w:tr>
        <w:tblPrEx>
          <w:tblLayout w:type="fixed"/>
          <w:tblCellMar>
            <w:top w:w="0" w:type="dxa"/>
            <w:left w:w="108" w:type="dxa"/>
            <w:bottom w:w="0" w:type="dxa"/>
            <w:right w:w="108" w:type="dxa"/>
          </w:tblCellMar>
        </w:tblPrEx>
        <w:trPr>
          <w:trHeight w:val="615" w:hRule="atLeast"/>
        </w:trPr>
        <w:tc>
          <w:tcPr>
            <w:tcW w:w="426"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color w:val="auto"/>
                <w:kern w:val="0"/>
                <w:sz w:val="15"/>
                <w:szCs w:val="15"/>
                <w:highlight w:val="none"/>
              </w:rPr>
            </w:pPr>
          </w:p>
        </w:tc>
        <w:tc>
          <w:tcPr>
            <w:tcW w:w="981"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color w:val="auto"/>
                <w:kern w:val="0"/>
                <w:sz w:val="15"/>
                <w:szCs w:val="15"/>
                <w:highlight w:val="none"/>
              </w:rPr>
            </w:pPr>
          </w:p>
        </w:tc>
        <w:tc>
          <w:tcPr>
            <w:tcW w:w="983"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color w:val="auto"/>
                <w:kern w:val="0"/>
                <w:sz w:val="15"/>
                <w:szCs w:val="15"/>
                <w:highlight w:val="none"/>
              </w:rPr>
            </w:pPr>
          </w:p>
        </w:tc>
        <w:tc>
          <w:tcPr>
            <w:tcW w:w="816"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ascii="宋体" w:hAnsi="宋体" w:cs="宋体"/>
                <w:color w:val="auto"/>
                <w:kern w:val="0"/>
                <w:sz w:val="15"/>
                <w:szCs w:val="15"/>
                <w:highlight w:val="none"/>
              </w:rPr>
            </w:pPr>
          </w:p>
        </w:tc>
        <w:tc>
          <w:tcPr>
            <w:tcW w:w="1040"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0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2‰ </w:t>
            </w:r>
          </w:p>
        </w:tc>
        <w:tc>
          <w:tcPr>
            <w:tcW w:w="1111"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0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0.7‰ </w:t>
            </w:r>
          </w:p>
        </w:tc>
        <w:tc>
          <w:tcPr>
            <w:tcW w:w="1101"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0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0.3‰ </w:t>
            </w:r>
          </w:p>
        </w:tc>
        <w:tc>
          <w:tcPr>
            <w:tcW w:w="79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0.15‰ </w:t>
            </w:r>
          </w:p>
        </w:tc>
        <w:tc>
          <w:tcPr>
            <w:tcW w:w="65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0.1‰ </w:t>
            </w:r>
          </w:p>
        </w:tc>
        <w:tc>
          <w:tcPr>
            <w:tcW w:w="666"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0.02‰ </w:t>
            </w:r>
          </w:p>
        </w:tc>
        <w:tc>
          <w:tcPr>
            <w:tcW w:w="984"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起点收费1000元</w:t>
            </w:r>
          </w:p>
        </w:tc>
      </w:tr>
      <w:tr>
        <w:tblPrEx>
          <w:tblLayout w:type="fixed"/>
          <w:tblCellMar>
            <w:top w:w="0" w:type="dxa"/>
            <w:left w:w="108" w:type="dxa"/>
            <w:bottom w:w="0" w:type="dxa"/>
            <w:right w:w="108" w:type="dxa"/>
          </w:tblCellMar>
        </w:tblPrEx>
        <w:trPr>
          <w:trHeight w:val="630" w:hRule="atLeast"/>
        </w:trPr>
        <w:tc>
          <w:tcPr>
            <w:tcW w:w="426"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color w:val="auto"/>
                <w:kern w:val="0"/>
                <w:sz w:val="15"/>
                <w:szCs w:val="15"/>
                <w:highlight w:val="none"/>
              </w:rPr>
            </w:pPr>
          </w:p>
        </w:tc>
        <w:tc>
          <w:tcPr>
            <w:tcW w:w="981"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color w:val="auto"/>
                <w:kern w:val="0"/>
                <w:sz w:val="15"/>
                <w:szCs w:val="15"/>
                <w:highlight w:val="none"/>
              </w:rPr>
            </w:pPr>
          </w:p>
        </w:tc>
        <w:tc>
          <w:tcPr>
            <w:tcW w:w="983"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除货币外还有其他形式出资</w:t>
            </w:r>
          </w:p>
        </w:tc>
        <w:tc>
          <w:tcPr>
            <w:tcW w:w="816"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出资额</w:t>
            </w:r>
          </w:p>
        </w:tc>
        <w:tc>
          <w:tcPr>
            <w:tcW w:w="536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按照同档仅以货币形式设立验资收费的1.3倍计费</w:t>
            </w:r>
          </w:p>
        </w:tc>
        <w:tc>
          <w:tcPr>
            <w:tcW w:w="984"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r>
      <w:tr>
        <w:tblPrEx>
          <w:tblLayout w:type="fixed"/>
        </w:tblPrEx>
        <w:trPr>
          <w:trHeight w:val="420" w:hRule="atLeast"/>
        </w:trPr>
        <w:tc>
          <w:tcPr>
            <w:tcW w:w="426"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color w:val="auto"/>
                <w:kern w:val="0"/>
                <w:sz w:val="15"/>
                <w:szCs w:val="15"/>
                <w:highlight w:val="none"/>
              </w:rPr>
            </w:pPr>
          </w:p>
        </w:tc>
        <w:tc>
          <w:tcPr>
            <w:tcW w:w="98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变更验资</w:t>
            </w:r>
          </w:p>
        </w:tc>
        <w:tc>
          <w:tcPr>
            <w:tcW w:w="983"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仅对增资部分</w:t>
            </w:r>
          </w:p>
        </w:tc>
        <w:tc>
          <w:tcPr>
            <w:tcW w:w="816"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增资额</w:t>
            </w:r>
          </w:p>
        </w:tc>
        <w:tc>
          <w:tcPr>
            <w:tcW w:w="5363" w:type="dxa"/>
            <w:gridSpan w:val="9"/>
            <w:tcBorders>
              <w:top w:val="single" w:color="auto" w:sz="4" w:space="0"/>
              <w:left w:val="nil"/>
              <w:bottom w:val="single" w:color="auto" w:sz="4" w:space="0"/>
              <w:right w:val="nil"/>
            </w:tcBorders>
            <w:shd w:val="clear" w:color="auto" w:fill="auto"/>
            <w:vAlign w:val="center"/>
          </w:tcPr>
          <w:p>
            <w:pPr>
              <w:widowControl/>
              <w:spacing w:line="20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按照同类同档设立验资收费的1.2倍计费</w:t>
            </w:r>
          </w:p>
        </w:tc>
        <w:tc>
          <w:tcPr>
            <w:tcW w:w="984"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含分期出资</w:t>
            </w:r>
          </w:p>
        </w:tc>
      </w:tr>
      <w:tr>
        <w:tblPrEx>
          <w:tblLayout w:type="fixed"/>
          <w:tblCellMar>
            <w:top w:w="0" w:type="dxa"/>
            <w:left w:w="108" w:type="dxa"/>
            <w:bottom w:w="0" w:type="dxa"/>
            <w:right w:w="108" w:type="dxa"/>
          </w:tblCellMar>
        </w:tblPrEx>
        <w:trPr>
          <w:trHeight w:val="630" w:hRule="atLeast"/>
        </w:trPr>
        <w:tc>
          <w:tcPr>
            <w:tcW w:w="426"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color w:val="auto"/>
                <w:kern w:val="0"/>
                <w:sz w:val="15"/>
                <w:szCs w:val="15"/>
                <w:highlight w:val="none"/>
              </w:rPr>
            </w:pPr>
          </w:p>
        </w:tc>
        <w:tc>
          <w:tcPr>
            <w:tcW w:w="981"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color w:val="auto"/>
                <w:kern w:val="0"/>
                <w:sz w:val="15"/>
                <w:szCs w:val="15"/>
                <w:highlight w:val="none"/>
              </w:rPr>
            </w:pPr>
          </w:p>
        </w:tc>
        <w:tc>
          <w:tcPr>
            <w:tcW w:w="983"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对累计实收资本</w:t>
            </w:r>
          </w:p>
        </w:tc>
        <w:tc>
          <w:tcPr>
            <w:tcW w:w="816"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增资后或减资前的资产总额</w:t>
            </w:r>
          </w:p>
        </w:tc>
        <w:tc>
          <w:tcPr>
            <w:tcW w:w="5363" w:type="dxa"/>
            <w:gridSpan w:val="9"/>
            <w:tcBorders>
              <w:top w:val="single" w:color="auto" w:sz="4" w:space="0"/>
              <w:left w:val="nil"/>
              <w:bottom w:val="single" w:color="auto" w:sz="4" w:space="0"/>
              <w:right w:val="nil"/>
            </w:tcBorders>
            <w:shd w:val="clear" w:color="auto" w:fill="auto"/>
            <w:vAlign w:val="center"/>
          </w:tcPr>
          <w:p>
            <w:pPr>
              <w:widowControl/>
              <w:spacing w:line="20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按照同类同档会计报表审计收费标准的1.5倍计费</w:t>
            </w:r>
          </w:p>
        </w:tc>
        <w:tc>
          <w:tcPr>
            <w:tcW w:w="984"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含公积、未分配利润转增</w:t>
            </w:r>
          </w:p>
        </w:tc>
      </w:tr>
      <w:tr>
        <w:tblPrEx>
          <w:tblLayout w:type="fixed"/>
          <w:tblCellMar>
            <w:top w:w="0" w:type="dxa"/>
            <w:left w:w="108" w:type="dxa"/>
            <w:bottom w:w="0" w:type="dxa"/>
            <w:right w:w="108" w:type="dxa"/>
          </w:tblCellMar>
        </w:tblPrEx>
        <w:trPr>
          <w:trHeight w:val="1470" w:hRule="atLeast"/>
        </w:trPr>
        <w:tc>
          <w:tcPr>
            <w:tcW w:w="42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0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审计</w:t>
            </w:r>
          </w:p>
        </w:tc>
        <w:tc>
          <w:tcPr>
            <w:tcW w:w="98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0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财务报表审计</w:t>
            </w:r>
          </w:p>
        </w:tc>
        <w:tc>
          <w:tcPr>
            <w:tcW w:w="983"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0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非上市、金融、期货类</w:t>
            </w:r>
          </w:p>
        </w:tc>
        <w:tc>
          <w:tcPr>
            <w:tcW w:w="81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0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财务报表期末资产总额</w:t>
            </w:r>
          </w:p>
        </w:tc>
        <w:tc>
          <w:tcPr>
            <w:tcW w:w="520"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50万元以下（含50万、下同）</w:t>
            </w:r>
          </w:p>
        </w:tc>
        <w:tc>
          <w:tcPr>
            <w:tcW w:w="520"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50万-100万</w:t>
            </w:r>
          </w:p>
        </w:tc>
        <w:tc>
          <w:tcPr>
            <w:tcW w:w="520"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100万-500万</w:t>
            </w:r>
          </w:p>
        </w:tc>
        <w:tc>
          <w:tcPr>
            <w:tcW w:w="59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500万-1000万</w:t>
            </w:r>
          </w:p>
        </w:tc>
        <w:tc>
          <w:tcPr>
            <w:tcW w:w="71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1000万-5000万</w:t>
            </w:r>
          </w:p>
        </w:tc>
        <w:tc>
          <w:tcPr>
            <w:tcW w:w="388" w:type="dxa"/>
            <w:tcBorders>
              <w:top w:val="nil"/>
              <w:left w:val="nil"/>
              <w:bottom w:val="nil"/>
              <w:right w:val="nil"/>
            </w:tcBorders>
            <w:shd w:val="clear" w:color="auto" w:fill="auto"/>
            <w:noWrap/>
            <w:vAlign w:val="center"/>
          </w:tcPr>
          <w:p>
            <w:pPr>
              <w:widowControl/>
              <w:spacing w:line="200" w:lineRule="exact"/>
              <w:jc w:val="left"/>
              <w:rPr>
                <w:rFonts w:ascii="宋体" w:hAnsi="宋体" w:cs="宋体"/>
                <w:color w:val="auto"/>
                <w:kern w:val="0"/>
                <w:sz w:val="15"/>
                <w:szCs w:val="15"/>
                <w:highlight w:val="none"/>
              </w:rPr>
            </w:pPr>
          </w:p>
        </w:tc>
        <w:tc>
          <w:tcPr>
            <w:tcW w:w="792"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5000万-1亿</w:t>
            </w:r>
          </w:p>
        </w:tc>
        <w:tc>
          <w:tcPr>
            <w:tcW w:w="653" w:type="dxa"/>
            <w:tcBorders>
              <w:top w:val="nil"/>
              <w:left w:val="nil"/>
              <w:bottom w:val="nil"/>
              <w:right w:val="nil"/>
            </w:tcBorders>
            <w:shd w:val="clear" w:color="auto" w:fill="auto"/>
            <w:vAlign w:val="center"/>
          </w:tcPr>
          <w:p>
            <w:pPr>
              <w:widowControl/>
              <w:spacing w:line="20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1亿-5亿</w:t>
            </w:r>
          </w:p>
        </w:tc>
        <w:tc>
          <w:tcPr>
            <w:tcW w:w="666"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5亿以上</w:t>
            </w:r>
          </w:p>
        </w:tc>
        <w:tc>
          <w:tcPr>
            <w:tcW w:w="98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0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审计期间不足半年的按同档70%计费；超过半年不满1年的，按全额收费；非营利机构按同档80%计费。</w:t>
            </w:r>
          </w:p>
        </w:tc>
      </w:tr>
      <w:tr>
        <w:tblPrEx>
          <w:tblLayout w:type="fixed"/>
          <w:tblCellMar>
            <w:top w:w="0" w:type="dxa"/>
            <w:left w:w="108" w:type="dxa"/>
            <w:bottom w:w="0" w:type="dxa"/>
            <w:right w:w="108" w:type="dxa"/>
          </w:tblCellMar>
        </w:tblPrEx>
        <w:trPr>
          <w:trHeight w:val="420" w:hRule="atLeast"/>
        </w:trPr>
        <w:tc>
          <w:tcPr>
            <w:tcW w:w="426"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ascii="宋体" w:hAnsi="宋体" w:cs="宋体"/>
                <w:color w:val="auto"/>
                <w:kern w:val="0"/>
                <w:sz w:val="15"/>
                <w:szCs w:val="15"/>
                <w:highlight w:val="none"/>
              </w:rPr>
            </w:pPr>
          </w:p>
        </w:tc>
        <w:tc>
          <w:tcPr>
            <w:tcW w:w="981"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ascii="宋体" w:hAnsi="宋体" w:cs="宋体"/>
                <w:color w:val="auto"/>
                <w:kern w:val="0"/>
                <w:sz w:val="15"/>
                <w:szCs w:val="15"/>
                <w:highlight w:val="none"/>
              </w:rPr>
            </w:pPr>
          </w:p>
        </w:tc>
        <w:tc>
          <w:tcPr>
            <w:tcW w:w="983"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ascii="宋体" w:hAnsi="宋体" w:cs="宋体"/>
                <w:color w:val="auto"/>
                <w:kern w:val="0"/>
                <w:sz w:val="15"/>
                <w:szCs w:val="15"/>
                <w:highlight w:val="none"/>
              </w:rPr>
            </w:pPr>
          </w:p>
        </w:tc>
        <w:tc>
          <w:tcPr>
            <w:tcW w:w="816"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ascii="宋体" w:hAnsi="宋体" w:cs="宋体"/>
                <w:color w:val="auto"/>
                <w:kern w:val="0"/>
                <w:sz w:val="15"/>
                <w:szCs w:val="15"/>
                <w:highlight w:val="none"/>
              </w:rPr>
            </w:pPr>
          </w:p>
        </w:tc>
        <w:tc>
          <w:tcPr>
            <w:tcW w:w="520"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2000</w:t>
            </w:r>
          </w:p>
        </w:tc>
        <w:tc>
          <w:tcPr>
            <w:tcW w:w="520"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3‰ </w:t>
            </w:r>
          </w:p>
        </w:tc>
        <w:tc>
          <w:tcPr>
            <w:tcW w:w="520"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1‰ </w:t>
            </w:r>
          </w:p>
        </w:tc>
        <w:tc>
          <w:tcPr>
            <w:tcW w:w="59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0.8‰ </w:t>
            </w:r>
          </w:p>
        </w:tc>
        <w:tc>
          <w:tcPr>
            <w:tcW w:w="71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0.4‰ </w:t>
            </w:r>
          </w:p>
        </w:tc>
        <w:tc>
          <w:tcPr>
            <w:tcW w:w="388"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79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0.2‰ </w:t>
            </w:r>
          </w:p>
        </w:tc>
        <w:tc>
          <w:tcPr>
            <w:tcW w:w="653" w:type="dxa"/>
            <w:tcBorders>
              <w:top w:val="single" w:color="auto" w:sz="4" w:space="0"/>
              <w:left w:val="nil"/>
              <w:bottom w:val="single" w:color="auto" w:sz="4" w:space="0"/>
              <w:right w:val="nil"/>
            </w:tcBorders>
            <w:shd w:val="clear" w:color="auto" w:fill="auto"/>
            <w:vAlign w:val="center"/>
          </w:tcPr>
          <w:p>
            <w:pPr>
              <w:widowControl/>
              <w:spacing w:line="20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0.1‰ </w:t>
            </w:r>
          </w:p>
        </w:tc>
        <w:tc>
          <w:tcPr>
            <w:tcW w:w="666"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0.05‰ </w:t>
            </w:r>
          </w:p>
        </w:tc>
        <w:tc>
          <w:tcPr>
            <w:tcW w:w="984"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ascii="宋体" w:hAnsi="宋体" w:cs="宋体"/>
                <w:color w:val="auto"/>
                <w:kern w:val="0"/>
                <w:sz w:val="15"/>
                <w:szCs w:val="15"/>
                <w:highlight w:val="none"/>
              </w:rPr>
            </w:pPr>
          </w:p>
        </w:tc>
      </w:tr>
      <w:tr>
        <w:tblPrEx>
          <w:tblLayout w:type="fixed"/>
          <w:tblCellMar>
            <w:top w:w="0" w:type="dxa"/>
            <w:left w:w="108" w:type="dxa"/>
            <w:bottom w:w="0" w:type="dxa"/>
            <w:right w:w="108" w:type="dxa"/>
          </w:tblCellMar>
        </w:tblPrEx>
        <w:trPr>
          <w:trHeight w:val="630" w:hRule="atLeast"/>
        </w:trPr>
        <w:tc>
          <w:tcPr>
            <w:tcW w:w="426"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ascii="宋体" w:hAnsi="宋体" w:cs="宋体"/>
                <w:color w:val="auto"/>
                <w:kern w:val="0"/>
                <w:sz w:val="15"/>
                <w:szCs w:val="15"/>
                <w:highlight w:val="none"/>
              </w:rPr>
            </w:pPr>
          </w:p>
        </w:tc>
        <w:tc>
          <w:tcPr>
            <w:tcW w:w="981"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ascii="宋体" w:hAnsi="宋体" w:cs="宋体"/>
                <w:color w:val="auto"/>
                <w:kern w:val="0"/>
                <w:sz w:val="15"/>
                <w:szCs w:val="15"/>
                <w:highlight w:val="none"/>
              </w:rPr>
            </w:pPr>
          </w:p>
        </w:tc>
        <w:tc>
          <w:tcPr>
            <w:tcW w:w="983" w:type="dxa"/>
            <w:tcBorders>
              <w:top w:val="nil"/>
              <w:left w:val="nil"/>
              <w:bottom w:val="nil"/>
              <w:right w:val="single" w:color="auto" w:sz="4" w:space="0"/>
            </w:tcBorders>
            <w:shd w:val="clear" w:color="auto" w:fill="auto"/>
            <w:vAlign w:val="center"/>
          </w:tcPr>
          <w:p>
            <w:pPr>
              <w:widowControl/>
              <w:spacing w:line="20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上市、金融、期货类</w:t>
            </w:r>
          </w:p>
        </w:tc>
        <w:tc>
          <w:tcPr>
            <w:tcW w:w="816"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ascii="宋体" w:hAnsi="宋体" w:cs="宋体"/>
                <w:color w:val="auto"/>
                <w:kern w:val="0"/>
                <w:sz w:val="15"/>
                <w:szCs w:val="15"/>
                <w:highlight w:val="none"/>
              </w:rPr>
            </w:pPr>
          </w:p>
        </w:tc>
        <w:tc>
          <w:tcPr>
            <w:tcW w:w="4044"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20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20万</w:t>
            </w:r>
          </w:p>
        </w:tc>
        <w:tc>
          <w:tcPr>
            <w:tcW w:w="65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0.4‰ </w:t>
            </w:r>
          </w:p>
        </w:tc>
        <w:tc>
          <w:tcPr>
            <w:tcW w:w="666"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0.2‰ </w:t>
            </w:r>
          </w:p>
        </w:tc>
        <w:tc>
          <w:tcPr>
            <w:tcW w:w="984"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r>
      <w:tr>
        <w:tblPrEx>
          <w:tblLayout w:type="fixed"/>
          <w:tblCellMar>
            <w:top w:w="0" w:type="dxa"/>
            <w:left w:w="108" w:type="dxa"/>
            <w:bottom w:w="0" w:type="dxa"/>
            <w:right w:w="108" w:type="dxa"/>
          </w:tblCellMar>
        </w:tblPrEx>
        <w:trPr>
          <w:trHeight w:val="420" w:hRule="atLeast"/>
        </w:trPr>
        <w:tc>
          <w:tcPr>
            <w:tcW w:w="426"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ascii="宋体" w:hAnsi="宋体" w:cs="宋体"/>
                <w:color w:val="auto"/>
                <w:kern w:val="0"/>
                <w:sz w:val="15"/>
                <w:szCs w:val="15"/>
                <w:highlight w:val="none"/>
              </w:rPr>
            </w:pPr>
          </w:p>
        </w:tc>
        <w:tc>
          <w:tcPr>
            <w:tcW w:w="981" w:type="dxa"/>
            <w:tcBorders>
              <w:top w:val="nil"/>
              <w:left w:val="nil"/>
              <w:bottom w:val="nil"/>
              <w:right w:val="single" w:color="auto" w:sz="4" w:space="0"/>
            </w:tcBorders>
            <w:shd w:val="clear" w:color="auto" w:fill="auto"/>
            <w:vAlign w:val="center"/>
          </w:tcPr>
          <w:p>
            <w:pPr>
              <w:widowControl/>
              <w:spacing w:line="20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财务收支审计</w:t>
            </w:r>
          </w:p>
        </w:tc>
        <w:tc>
          <w:tcPr>
            <w:tcW w:w="983" w:type="dxa"/>
            <w:tcBorders>
              <w:top w:val="single" w:color="auto" w:sz="4" w:space="0"/>
              <w:left w:val="nil"/>
              <w:bottom w:val="nil"/>
              <w:right w:val="single" w:color="auto" w:sz="4" w:space="0"/>
            </w:tcBorders>
            <w:shd w:val="clear" w:color="auto" w:fill="auto"/>
            <w:vAlign w:val="center"/>
          </w:tcPr>
          <w:p>
            <w:pPr>
              <w:widowControl/>
              <w:spacing w:line="20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816" w:type="dxa"/>
            <w:tcBorders>
              <w:top w:val="nil"/>
              <w:left w:val="nil"/>
              <w:bottom w:val="nil"/>
              <w:right w:val="single" w:color="auto" w:sz="4" w:space="0"/>
            </w:tcBorders>
            <w:shd w:val="clear" w:color="auto" w:fill="auto"/>
            <w:vAlign w:val="center"/>
          </w:tcPr>
          <w:p>
            <w:pPr>
              <w:widowControl/>
              <w:spacing w:line="20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财务报表资产额</w:t>
            </w:r>
          </w:p>
        </w:tc>
        <w:tc>
          <w:tcPr>
            <w:tcW w:w="536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按照同类同档年度财务报表审计收费额的1.1倍计费</w:t>
            </w:r>
          </w:p>
        </w:tc>
        <w:tc>
          <w:tcPr>
            <w:tcW w:w="984"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r>
      <w:tr>
        <w:tblPrEx>
          <w:tblLayout w:type="fixed"/>
        </w:tblPrEx>
        <w:trPr>
          <w:trHeight w:val="420" w:hRule="atLeast"/>
        </w:trPr>
        <w:tc>
          <w:tcPr>
            <w:tcW w:w="426"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ascii="宋体" w:hAnsi="宋体" w:cs="宋体"/>
                <w:color w:val="auto"/>
                <w:kern w:val="0"/>
                <w:sz w:val="15"/>
                <w:szCs w:val="15"/>
                <w:highlight w:val="none"/>
              </w:rPr>
            </w:pPr>
          </w:p>
        </w:tc>
        <w:tc>
          <w:tcPr>
            <w:tcW w:w="981"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工商年检审计</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财务报表资产额</w:t>
            </w:r>
          </w:p>
        </w:tc>
        <w:tc>
          <w:tcPr>
            <w:tcW w:w="536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按照同类同档年度财务报表审计收费额的90%计费</w:t>
            </w:r>
          </w:p>
        </w:tc>
        <w:tc>
          <w:tcPr>
            <w:tcW w:w="984"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r>
      <w:tr>
        <w:tblPrEx>
          <w:tblLayout w:type="fixed"/>
          <w:tblCellMar>
            <w:top w:w="0" w:type="dxa"/>
            <w:left w:w="108" w:type="dxa"/>
            <w:bottom w:w="0" w:type="dxa"/>
            <w:right w:w="108" w:type="dxa"/>
          </w:tblCellMar>
        </w:tblPrEx>
        <w:trPr>
          <w:trHeight w:val="1260" w:hRule="atLeast"/>
        </w:trPr>
        <w:tc>
          <w:tcPr>
            <w:tcW w:w="426"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ascii="宋体" w:hAnsi="宋体" w:cs="宋体"/>
                <w:color w:val="auto"/>
                <w:kern w:val="0"/>
                <w:sz w:val="15"/>
                <w:szCs w:val="15"/>
                <w:highlight w:val="none"/>
              </w:rPr>
            </w:pPr>
          </w:p>
        </w:tc>
        <w:tc>
          <w:tcPr>
            <w:tcW w:w="981"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清产核资审计(含企业分立、清算改制、破产审计等）</w:t>
            </w:r>
          </w:p>
        </w:tc>
        <w:tc>
          <w:tcPr>
            <w:tcW w:w="983"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816"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财务报表资产总额</w:t>
            </w:r>
          </w:p>
        </w:tc>
        <w:tc>
          <w:tcPr>
            <w:tcW w:w="5363" w:type="dxa"/>
            <w:gridSpan w:val="9"/>
            <w:tcBorders>
              <w:top w:val="single" w:color="auto" w:sz="4" w:space="0"/>
              <w:left w:val="nil"/>
              <w:bottom w:val="single" w:color="auto" w:sz="4" w:space="0"/>
              <w:right w:val="nil"/>
            </w:tcBorders>
            <w:shd w:val="clear" w:color="auto" w:fill="auto"/>
            <w:vAlign w:val="center"/>
          </w:tcPr>
          <w:p>
            <w:pPr>
              <w:widowControl/>
              <w:spacing w:line="20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按照同类同档年度财务报表审计收费额的1.5倍计费</w:t>
            </w:r>
          </w:p>
        </w:tc>
        <w:tc>
          <w:tcPr>
            <w:tcW w:w="984"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r>
      <w:tr>
        <w:tblPrEx>
          <w:tblLayout w:type="fixed"/>
          <w:tblCellMar>
            <w:top w:w="0" w:type="dxa"/>
            <w:left w:w="108" w:type="dxa"/>
            <w:bottom w:w="0" w:type="dxa"/>
            <w:right w:w="108" w:type="dxa"/>
          </w:tblCellMar>
        </w:tblPrEx>
        <w:trPr>
          <w:trHeight w:val="630" w:hRule="atLeast"/>
        </w:trPr>
        <w:tc>
          <w:tcPr>
            <w:tcW w:w="426"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color w:val="auto"/>
                <w:kern w:val="0"/>
                <w:sz w:val="15"/>
                <w:szCs w:val="15"/>
                <w:highlight w:val="none"/>
              </w:rPr>
            </w:pPr>
          </w:p>
        </w:tc>
        <w:tc>
          <w:tcPr>
            <w:tcW w:w="981"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任期经济责任、离任审计</w:t>
            </w:r>
          </w:p>
        </w:tc>
        <w:tc>
          <w:tcPr>
            <w:tcW w:w="983"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816"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财务报表资产总额</w:t>
            </w:r>
          </w:p>
        </w:tc>
        <w:tc>
          <w:tcPr>
            <w:tcW w:w="536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按审计期间分年度累加计算收费，年度收费按同类同档年度财务报表审计收费标准的1.2倍计算</w:t>
            </w:r>
          </w:p>
        </w:tc>
        <w:tc>
          <w:tcPr>
            <w:tcW w:w="984"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r>
      <w:tr>
        <w:tblPrEx>
          <w:tblLayout w:type="fixed"/>
          <w:tblCellMar>
            <w:top w:w="0" w:type="dxa"/>
            <w:left w:w="108" w:type="dxa"/>
            <w:bottom w:w="0" w:type="dxa"/>
            <w:right w:w="108" w:type="dxa"/>
          </w:tblCellMar>
        </w:tblPrEx>
        <w:trPr>
          <w:trHeight w:val="420"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专项审计</w:t>
            </w:r>
          </w:p>
        </w:tc>
        <w:tc>
          <w:tcPr>
            <w:tcW w:w="981"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内部控制审计</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以资产总额为基础</w:t>
            </w:r>
          </w:p>
        </w:tc>
        <w:tc>
          <w:tcPr>
            <w:tcW w:w="5363" w:type="dxa"/>
            <w:gridSpan w:val="9"/>
            <w:tcBorders>
              <w:top w:val="single" w:color="auto" w:sz="4" w:space="0"/>
              <w:left w:val="nil"/>
              <w:bottom w:val="single" w:color="auto" w:sz="4" w:space="0"/>
              <w:right w:val="nil"/>
            </w:tcBorders>
            <w:shd w:val="clear" w:color="auto" w:fill="auto"/>
            <w:vAlign w:val="center"/>
          </w:tcPr>
          <w:p>
            <w:pPr>
              <w:widowControl/>
              <w:spacing w:line="20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按照同类同档财务报表审计收费额的2倍计费</w:t>
            </w:r>
          </w:p>
        </w:tc>
        <w:tc>
          <w:tcPr>
            <w:tcW w:w="984"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r>
      <w:tr>
        <w:tblPrEx>
          <w:tblLayout w:type="fixed"/>
          <w:tblCellMar>
            <w:top w:w="0" w:type="dxa"/>
            <w:left w:w="108" w:type="dxa"/>
            <w:bottom w:w="0" w:type="dxa"/>
            <w:right w:w="108" w:type="dxa"/>
          </w:tblCellMar>
        </w:tblPrEx>
        <w:trPr>
          <w:trHeight w:val="420" w:hRule="atLeast"/>
        </w:trPr>
        <w:tc>
          <w:tcPr>
            <w:tcW w:w="426"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color w:val="auto"/>
                <w:kern w:val="0"/>
                <w:sz w:val="15"/>
                <w:szCs w:val="15"/>
                <w:highlight w:val="none"/>
              </w:rPr>
            </w:pPr>
          </w:p>
        </w:tc>
        <w:tc>
          <w:tcPr>
            <w:tcW w:w="981"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其他专项审计</w:t>
            </w:r>
          </w:p>
        </w:tc>
        <w:tc>
          <w:tcPr>
            <w:tcW w:w="983"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816"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涉及金额</w:t>
            </w:r>
          </w:p>
        </w:tc>
        <w:tc>
          <w:tcPr>
            <w:tcW w:w="536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按涉及金额1-3‰ 计费</w:t>
            </w:r>
          </w:p>
        </w:tc>
        <w:tc>
          <w:tcPr>
            <w:tcW w:w="984"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r>
      <w:tr>
        <w:tblPrEx>
          <w:tblLayout w:type="fixed"/>
          <w:tblCellMar>
            <w:top w:w="0" w:type="dxa"/>
            <w:left w:w="108" w:type="dxa"/>
            <w:bottom w:w="0" w:type="dxa"/>
            <w:right w:w="108" w:type="dxa"/>
          </w:tblCellMar>
        </w:tblPrEx>
        <w:trPr>
          <w:trHeight w:val="1191" w:hRule="atLeast"/>
        </w:trPr>
        <w:tc>
          <w:tcPr>
            <w:tcW w:w="9553" w:type="dxa"/>
            <w:gridSpan w:val="14"/>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二、计时收费标准 </w:t>
            </w:r>
          </w:p>
          <w:p>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1.注册会计师（担任副主任会计师以上）500-600/人/小时 </w:t>
            </w:r>
          </w:p>
          <w:p>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2.注册会计师（担任部门经理）400-450/人/小时 </w:t>
            </w:r>
          </w:p>
          <w:p>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3.注册会计师（担任项目经理）350-400/人/小时 </w:t>
            </w:r>
          </w:p>
          <w:p>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4.一般注册会计师        300/人/小时 </w:t>
            </w:r>
          </w:p>
          <w:p>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5.助理人员（中、初级） 200/人/小时 </w:t>
            </w:r>
          </w:p>
          <w:p>
            <w:pPr>
              <w:widowControl/>
              <w:spacing w:line="200" w:lineRule="exact"/>
              <w:jc w:val="center"/>
              <w:rPr>
                <w:rFonts w:ascii="宋体" w:hAnsi="宋体" w:cs="宋体"/>
                <w:color w:val="auto"/>
                <w:kern w:val="0"/>
                <w:sz w:val="15"/>
                <w:szCs w:val="15"/>
                <w:highlight w:val="none"/>
              </w:rPr>
            </w:pPr>
          </w:p>
        </w:tc>
      </w:tr>
    </w:tbl>
    <w:p>
      <w:pPr>
        <w:widowControl/>
        <w:shd w:val="clear" w:color="auto" w:fill="FFFFFF"/>
        <w:spacing w:line="360" w:lineRule="auto"/>
        <w:ind w:firstLine="480" w:firstLineChars="200"/>
        <w:contextualSpacing/>
        <w:jc w:val="left"/>
        <w:rPr>
          <w:rFonts w:ascii="宋体" w:hAnsi="宋体"/>
          <w:bCs/>
          <w:color w:val="auto"/>
          <w:kern w:val="0"/>
          <w:sz w:val="24"/>
          <w:szCs w:val="24"/>
          <w:highlight w:val="none"/>
        </w:rPr>
      </w:pPr>
      <w:r>
        <w:rPr>
          <w:rFonts w:hint="eastAsia" w:ascii="宋体" w:hAnsi="宋体"/>
          <w:bCs/>
          <w:color w:val="auto"/>
          <w:kern w:val="0"/>
          <w:sz w:val="24"/>
          <w:szCs w:val="24"/>
          <w:highlight w:val="none"/>
        </w:rPr>
        <w:t>3、服务期限：二年</w:t>
      </w:r>
    </w:p>
    <w:p>
      <w:pPr>
        <w:widowControl/>
        <w:shd w:val="clear" w:color="auto" w:fill="FFFFFF"/>
        <w:spacing w:line="360" w:lineRule="auto"/>
        <w:ind w:firstLine="480" w:firstLineChars="200"/>
        <w:contextualSpacing/>
        <w:jc w:val="left"/>
        <w:rPr>
          <w:rFonts w:ascii="宋体" w:hAnsi="宋体"/>
          <w:bCs/>
          <w:color w:val="auto"/>
          <w:kern w:val="0"/>
          <w:sz w:val="24"/>
          <w:szCs w:val="24"/>
          <w:highlight w:val="none"/>
        </w:rPr>
      </w:pPr>
      <w:r>
        <w:rPr>
          <w:rFonts w:hint="eastAsia" w:ascii="宋体" w:hAnsi="宋体"/>
          <w:bCs/>
          <w:color w:val="auto"/>
          <w:kern w:val="0"/>
          <w:sz w:val="24"/>
          <w:szCs w:val="24"/>
          <w:highlight w:val="none"/>
        </w:rPr>
        <w:t>4、效率：根据投标人在投标文件中承诺的响应时间</w:t>
      </w:r>
    </w:p>
    <w:p>
      <w:pPr>
        <w:wordWrap w:val="0"/>
        <w:spacing w:line="360" w:lineRule="auto"/>
        <w:ind w:firstLine="422" w:firstLineChars="200"/>
        <w:contextualSpacing/>
        <w:rPr>
          <w:rFonts w:ascii="宋体" w:hAnsi="宋体" w:cs="宋体"/>
          <w:b/>
          <w:color w:val="auto"/>
          <w:kern w:val="0"/>
          <w:sz w:val="24"/>
          <w:szCs w:val="24"/>
          <w:highlight w:val="none"/>
          <w:lang w:val="zh-CN"/>
        </w:rPr>
      </w:pPr>
      <w:r>
        <w:rPr>
          <w:rFonts w:hint="eastAsia" w:ascii="宋体" w:hAnsi="宋体" w:cs="微软雅黑"/>
          <w:b/>
          <w:color w:val="auto"/>
          <w:szCs w:val="21"/>
          <w:highlight w:val="none"/>
        </w:rPr>
        <w:t>★</w:t>
      </w:r>
      <w:r>
        <w:rPr>
          <w:rFonts w:hint="eastAsia" w:ascii="宋体" w:hAnsi="宋体" w:cs="宋体"/>
          <w:b/>
          <w:color w:val="auto"/>
          <w:kern w:val="0"/>
          <w:sz w:val="24"/>
          <w:szCs w:val="24"/>
          <w:highlight w:val="none"/>
          <w:lang w:val="zh-CN"/>
        </w:rPr>
        <w:t>三、采购标的的其他技术、服务等要求</w:t>
      </w:r>
    </w:p>
    <w:p>
      <w:pPr>
        <w:widowControl/>
        <w:shd w:val="clear" w:color="auto" w:fill="FFFFFF"/>
        <w:spacing w:line="360" w:lineRule="auto"/>
        <w:ind w:firstLine="480" w:firstLineChars="200"/>
        <w:contextualSpacing/>
        <w:jc w:val="left"/>
        <w:rPr>
          <w:rFonts w:ascii="宋体" w:hAnsi="宋体"/>
          <w:bCs/>
          <w:color w:val="auto"/>
          <w:kern w:val="0"/>
          <w:sz w:val="24"/>
          <w:szCs w:val="24"/>
          <w:highlight w:val="none"/>
        </w:rPr>
      </w:pPr>
      <w:r>
        <w:rPr>
          <w:rFonts w:hint="eastAsia" w:ascii="宋体" w:hAnsi="宋体" w:cs="宋体"/>
          <w:color w:val="auto"/>
          <w:kern w:val="0"/>
          <w:sz w:val="24"/>
          <w:szCs w:val="24"/>
          <w:highlight w:val="none"/>
        </w:rPr>
        <w:t>对中标的中介机构服务单位管理遵循“管用分离，择优进库，随机抽取、综合评价、动态管理、绩效挂钩”的原则，待有项目需要委托时，受委托单位被抽中后再与委托人订立书面合同。受委托单位无正当理由拒签合同的，采购人取消其入库资格。并为了确保清产核资、财政（财务）审计等委托项目和其他专项委托工作客观、公正，按照“谁使用、谁付费、谁评价”的原则，由委托单位向受委托单位拨付费用，</w:t>
      </w:r>
      <w:r>
        <w:rPr>
          <w:rFonts w:hint="eastAsia" w:ascii="宋体" w:hAnsi="宋体"/>
          <w:bCs/>
          <w:color w:val="auto"/>
          <w:kern w:val="0"/>
          <w:sz w:val="24"/>
          <w:szCs w:val="24"/>
          <w:highlight w:val="none"/>
        </w:rPr>
        <w:t>受托单位不得向委托单位另行收取任何费用。</w:t>
      </w:r>
    </w:p>
    <w:p>
      <w:pPr>
        <w:widowControl/>
        <w:shd w:val="clear" w:color="auto" w:fill="FFFFFF"/>
        <w:spacing w:line="360" w:lineRule="auto"/>
        <w:ind w:firstLine="480" w:firstLineChars="200"/>
        <w:contextualSpacing/>
        <w:jc w:val="left"/>
        <w:rPr>
          <w:rFonts w:ascii="宋体" w:hAnsi="宋体"/>
          <w:bCs/>
          <w:color w:val="auto"/>
          <w:kern w:val="0"/>
          <w:sz w:val="24"/>
          <w:szCs w:val="24"/>
          <w:highlight w:val="none"/>
        </w:rPr>
      </w:pPr>
      <w:r>
        <w:rPr>
          <w:rFonts w:hint="eastAsia" w:ascii="宋体" w:hAnsi="宋体"/>
          <w:bCs/>
          <w:color w:val="auto"/>
          <w:kern w:val="0"/>
          <w:sz w:val="24"/>
          <w:szCs w:val="24"/>
          <w:highlight w:val="none"/>
        </w:rPr>
        <w:t>会计师事务所入库后由东城区审计局使用，并由东城区审计局负责管理及监督。</w:t>
      </w:r>
    </w:p>
    <w:p>
      <w:pPr>
        <w:widowControl/>
        <w:numPr>
          <w:ilvl w:val="0"/>
          <w:numId w:val="5"/>
        </w:numPr>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其他服务要求：</w:t>
      </w:r>
    </w:p>
    <w:p>
      <w:pPr>
        <w:widowControl/>
        <w:numPr>
          <w:ilvl w:val="0"/>
          <w:numId w:val="6"/>
        </w:numPr>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各中标会计事务所服务机构在接受招标人委托的项目服务时，派出完成该项目的工作人员必须是在拟投入专业服务许昌项目团队名单中的注册会计师、工作人员为常驻人员，且能胜任项目审计、检查等工作。</w:t>
      </w:r>
    </w:p>
    <w:p>
      <w:pPr>
        <w:widowControl/>
        <w:numPr>
          <w:ilvl w:val="0"/>
          <w:numId w:val="6"/>
        </w:numPr>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入库的中介机构及其执业人员，应当按照委托合同约定，独立、客观、公正地履行职责，为委托单位和监管单位提供真实可靠的业务报告，未经许昌市政府采购监督管理办公室同意，不得将受托业务分包或转托于其他任何中介机构。</w:t>
      </w:r>
    </w:p>
    <w:p>
      <w:pPr>
        <w:widowControl/>
        <w:shd w:val="clear" w:color="auto" w:fill="FFFFFF"/>
        <w:spacing w:line="360" w:lineRule="auto"/>
        <w:ind w:firstLine="482" w:firstLineChars="200"/>
        <w:contextualSpacing/>
        <w:jc w:val="left"/>
        <w:rPr>
          <w:rFonts w:ascii="宋体" w:hAnsi="宋体" w:cs="宋体"/>
          <w:color w:val="auto"/>
          <w:kern w:val="0"/>
          <w:sz w:val="24"/>
          <w:szCs w:val="24"/>
          <w:highlight w:val="none"/>
          <w:lang w:val="zh-CN"/>
        </w:rPr>
      </w:pPr>
      <w:r>
        <w:rPr>
          <w:rFonts w:hint="eastAsia" w:ascii="宋体" w:hAnsi="宋体" w:cs="微软雅黑"/>
          <w:b/>
          <w:color w:val="auto"/>
          <w:sz w:val="24"/>
          <w:szCs w:val="24"/>
          <w:highlight w:val="none"/>
        </w:rPr>
        <w:t>★四</w:t>
      </w:r>
      <w:r>
        <w:rPr>
          <w:rFonts w:hint="eastAsia" w:ascii="宋体" w:hAnsi="宋体" w:cs="宋体"/>
          <w:b/>
          <w:color w:val="auto"/>
          <w:kern w:val="0"/>
          <w:sz w:val="24"/>
          <w:szCs w:val="24"/>
          <w:highlight w:val="none"/>
          <w:lang w:val="zh-CN"/>
        </w:rPr>
        <w:t>、验收标准</w:t>
      </w:r>
    </w:p>
    <w:p>
      <w:pPr>
        <w:pStyle w:val="16"/>
        <w:widowControl/>
        <w:shd w:val="clear" w:color="auto" w:fill="FFFFFF"/>
        <w:spacing w:line="360" w:lineRule="auto"/>
        <w:ind w:firstLine="480" w:firstLineChars="200"/>
        <w:contextualSpacing/>
        <w:jc w:val="left"/>
        <w:rPr>
          <w:rFonts w:ascii="宋体" w:hAnsi="宋体" w:cs="宋体"/>
          <w:color w:val="auto"/>
          <w:kern w:val="0"/>
          <w:highlight w:val="none"/>
          <w:lang w:val="zh-CN"/>
        </w:rPr>
      </w:pPr>
      <w:r>
        <w:rPr>
          <w:rFonts w:hint="eastAsia" w:ascii="宋体" w:hAnsi="宋体" w:cs="宋体"/>
          <w:color w:val="auto"/>
          <w:kern w:val="0"/>
          <w:highlight w:val="none"/>
          <w:lang w:val="zh-CN"/>
        </w:rPr>
        <w:t>1、委托人在服务项目结束后一周内，按照合同约定的服务项目及标准，对受托中介机构服务质量进行履约验收评价，填写《服务质量评价表》送交</w:t>
      </w:r>
      <w:r>
        <w:rPr>
          <w:rFonts w:hint="eastAsia" w:ascii="宋体" w:hAnsi="宋体" w:cs="仿宋_GB2312"/>
          <w:color w:val="auto"/>
          <w:highlight w:val="none"/>
          <w:shd w:val="clear" w:color="auto" w:fill="FFFFFF"/>
        </w:rPr>
        <w:t>许昌市东城区财政投资评审和统计中心</w:t>
      </w:r>
      <w:r>
        <w:rPr>
          <w:rFonts w:hint="eastAsia" w:ascii="宋体" w:hAnsi="宋体" w:cs="宋体"/>
          <w:color w:val="auto"/>
          <w:kern w:val="0"/>
          <w:highlight w:val="none"/>
          <w:lang w:val="zh-CN"/>
        </w:rPr>
        <w:t>备案。</w:t>
      </w:r>
    </w:p>
    <w:p>
      <w:pPr>
        <w:pStyle w:val="16"/>
        <w:widowControl/>
        <w:shd w:val="clear" w:color="auto" w:fill="FFFFFF"/>
        <w:spacing w:line="360" w:lineRule="auto"/>
        <w:ind w:firstLine="480" w:firstLineChars="200"/>
        <w:contextualSpacing/>
        <w:jc w:val="left"/>
        <w:rPr>
          <w:rFonts w:ascii="宋体" w:hAnsi="宋体" w:cs="宋体"/>
          <w:color w:val="auto"/>
          <w:kern w:val="0"/>
          <w:highlight w:val="none"/>
          <w:lang w:val="zh-CN"/>
        </w:rPr>
      </w:pPr>
      <w:r>
        <w:rPr>
          <w:rFonts w:hint="eastAsia" w:ascii="宋体" w:hAnsi="宋体" w:cs="宋体"/>
          <w:color w:val="auto"/>
          <w:kern w:val="0"/>
          <w:highlight w:val="none"/>
          <w:lang w:val="zh-CN"/>
        </w:rPr>
        <w:t>2、按照招标文件要求、投标文件响应和承诺验收。</w:t>
      </w:r>
    </w:p>
    <w:p>
      <w:pPr>
        <w:pStyle w:val="16"/>
        <w:widowControl/>
        <w:shd w:val="clear" w:color="auto" w:fill="FFFFFF"/>
        <w:spacing w:line="360" w:lineRule="auto"/>
        <w:ind w:firstLine="480" w:firstLineChars="200"/>
        <w:contextualSpacing/>
        <w:jc w:val="left"/>
        <w:rPr>
          <w:rFonts w:ascii="宋体" w:hAnsi="宋体" w:cs="宋体"/>
          <w:color w:val="auto"/>
          <w:kern w:val="0"/>
          <w:highlight w:val="none"/>
          <w:lang w:val="zh-CN"/>
        </w:rPr>
      </w:pPr>
      <w:r>
        <w:rPr>
          <w:rFonts w:hint="eastAsia" w:ascii="宋体" w:hAnsi="宋体" w:cs="宋体"/>
          <w:color w:val="auto"/>
          <w:kern w:val="0"/>
          <w:highlight w:val="none"/>
          <w:lang w:val="zh-CN"/>
        </w:rPr>
        <w:t xml:space="preserve">3、符合国家的法律、法规和会计的行业规范以及会计有关的制度、规章和规定等。 </w:t>
      </w:r>
    </w:p>
    <w:p>
      <w:pPr>
        <w:widowControl/>
        <w:shd w:val="clear" w:color="auto" w:fill="FFFFFF"/>
        <w:spacing w:line="360" w:lineRule="auto"/>
        <w:ind w:firstLine="482" w:firstLineChars="200"/>
        <w:contextualSpacing/>
        <w:jc w:val="left"/>
        <w:rPr>
          <w:rFonts w:ascii="宋体" w:hAnsi="宋体" w:cs="宋体"/>
          <w:b/>
          <w:color w:val="auto"/>
          <w:kern w:val="0"/>
          <w:sz w:val="24"/>
          <w:szCs w:val="24"/>
          <w:highlight w:val="none"/>
          <w:lang w:val="zh-CN"/>
        </w:rPr>
      </w:pPr>
      <w:r>
        <w:rPr>
          <w:rFonts w:hint="eastAsia" w:ascii="宋体" w:hAnsi="宋体" w:cs="微软雅黑"/>
          <w:b/>
          <w:color w:val="auto"/>
          <w:sz w:val="24"/>
          <w:szCs w:val="24"/>
          <w:highlight w:val="none"/>
        </w:rPr>
        <w:t>五</w:t>
      </w:r>
      <w:r>
        <w:rPr>
          <w:rFonts w:hint="eastAsia" w:ascii="宋体" w:hAnsi="宋体" w:cs="宋体"/>
          <w:b/>
          <w:color w:val="auto"/>
          <w:kern w:val="0"/>
          <w:sz w:val="24"/>
          <w:szCs w:val="24"/>
          <w:highlight w:val="none"/>
          <w:lang w:val="zh-CN"/>
        </w:rPr>
        <w:t>、资金支付</w:t>
      </w:r>
    </w:p>
    <w:p>
      <w:pPr>
        <w:widowControl/>
        <w:shd w:val="clear" w:color="auto" w:fill="FFFFFF"/>
        <w:spacing w:line="360" w:lineRule="auto"/>
        <w:ind w:firstLine="480" w:firstLineChars="20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中标供应商完成委托项目由委托人向其付费，付费方式由双方另行约定。</w:t>
      </w:r>
    </w:p>
    <w:p>
      <w:pPr>
        <w:widowControl/>
        <w:shd w:val="clear" w:color="auto" w:fill="FFFFFF"/>
        <w:spacing w:line="360" w:lineRule="auto"/>
        <w:ind w:firstLine="482" w:firstLineChars="200"/>
        <w:contextualSpacing/>
        <w:jc w:val="left"/>
        <w:rPr>
          <w:rFonts w:ascii="宋体" w:hAnsi="宋体" w:cs="微软雅黑"/>
          <w:b/>
          <w:color w:val="auto"/>
          <w:sz w:val="24"/>
          <w:szCs w:val="24"/>
          <w:highlight w:val="none"/>
        </w:rPr>
      </w:pPr>
      <w:r>
        <w:rPr>
          <w:rFonts w:hint="eastAsia" w:ascii="宋体" w:hAnsi="宋体" w:cs="微软雅黑"/>
          <w:b/>
          <w:color w:val="auto"/>
          <w:sz w:val="24"/>
          <w:szCs w:val="24"/>
          <w:highlight w:val="none"/>
        </w:rPr>
        <w:t>六、其他要求</w:t>
      </w:r>
    </w:p>
    <w:p>
      <w:pPr>
        <w:pStyle w:val="16"/>
        <w:widowControl/>
        <w:shd w:val="clear" w:color="auto" w:fill="FFFFFF"/>
        <w:spacing w:line="360" w:lineRule="auto"/>
        <w:ind w:firstLine="482" w:firstLineChars="200"/>
        <w:contextualSpacing/>
        <w:jc w:val="left"/>
        <w:rPr>
          <w:rFonts w:ascii="宋体" w:hAnsi="宋体" w:cs="宋体"/>
          <w:b/>
          <w:color w:val="auto"/>
          <w:kern w:val="0"/>
          <w:highlight w:val="none"/>
          <w:lang w:val="zh-CN"/>
        </w:rPr>
      </w:pPr>
      <w:r>
        <w:rPr>
          <w:rFonts w:hint="eastAsia" w:ascii="宋体" w:hAnsi="宋体" w:cs="宋体"/>
          <w:b/>
          <w:color w:val="auto"/>
          <w:kern w:val="0"/>
          <w:highlight w:val="none"/>
          <w:lang w:val="zh-CN"/>
        </w:rPr>
        <w:t>1、投标人应就该项目每包完整投标，否则为无效投标。</w:t>
      </w:r>
    </w:p>
    <w:p>
      <w:pPr>
        <w:pStyle w:val="16"/>
        <w:widowControl/>
        <w:shd w:val="clear" w:color="auto" w:fill="FFFFFF"/>
        <w:spacing w:line="360" w:lineRule="auto"/>
        <w:ind w:firstLine="482" w:firstLineChars="200"/>
        <w:contextualSpacing/>
        <w:jc w:val="left"/>
        <w:rPr>
          <w:rFonts w:ascii="宋体" w:hAnsi="宋体" w:cs="宋体"/>
          <w:b/>
          <w:color w:val="auto"/>
          <w:kern w:val="0"/>
          <w:highlight w:val="none"/>
          <w:lang w:val="zh-CN"/>
        </w:rPr>
      </w:pPr>
      <w:r>
        <w:rPr>
          <w:rFonts w:hint="eastAsia" w:ascii="宋体" w:hAnsi="宋体" w:cs="宋体"/>
          <w:b/>
          <w:color w:val="auto"/>
          <w:kern w:val="0"/>
          <w:highlight w:val="none"/>
          <w:lang w:val="zh-CN"/>
        </w:rPr>
        <w:t>2、投标文件中须有详细的实施（技术）方案，否则为无效投标。</w:t>
      </w:r>
    </w:p>
    <w:p>
      <w:pPr>
        <w:autoSpaceDE w:val="0"/>
        <w:autoSpaceDN w:val="0"/>
        <w:adjustRightInd w:val="0"/>
        <w:jc w:val="center"/>
        <w:rPr>
          <w:rFonts w:ascii="宋体" w:hAnsi="宋体" w:cs="宋体"/>
          <w:b/>
          <w:color w:val="auto"/>
          <w:kern w:val="0"/>
          <w:sz w:val="36"/>
          <w:szCs w:val="36"/>
          <w:highlight w:val="none"/>
        </w:rPr>
      </w:pPr>
    </w:p>
    <w:p>
      <w:pPr>
        <w:autoSpaceDE w:val="0"/>
        <w:autoSpaceDN w:val="0"/>
        <w:adjustRightInd w:val="0"/>
        <w:jc w:val="center"/>
        <w:rPr>
          <w:rFonts w:ascii="宋体" w:hAnsi="宋体" w:cs="宋体"/>
          <w:b/>
          <w:color w:val="auto"/>
          <w:kern w:val="0"/>
          <w:sz w:val="36"/>
          <w:szCs w:val="36"/>
          <w:highlight w:val="none"/>
        </w:rPr>
      </w:pPr>
    </w:p>
    <w:p>
      <w:pPr>
        <w:autoSpaceDE w:val="0"/>
        <w:autoSpaceDN w:val="0"/>
        <w:adjustRightInd w:val="0"/>
        <w:jc w:val="center"/>
        <w:rPr>
          <w:rFonts w:ascii="宋体" w:hAnsi="宋体" w:cs="宋体"/>
          <w:b/>
          <w:color w:val="auto"/>
          <w:kern w:val="0"/>
          <w:sz w:val="36"/>
          <w:szCs w:val="36"/>
          <w:highlight w:val="none"/>
        </w:rPr>
      </w:pPr>
    </w:p>
    <w:p>
      <w:pPr>
        <w:autoSpaceDE w:val="0"/>
        <w:autoSpaceDN w:val="0"/>
        <w:adjustRightInd w:val="0"/>
        <w:jc w:val="center"/>
        <w:rPr>
          <w:rFonts w:ascii="宋体" w:hAnsi="宋体" w:cs="宋体"/>
          <w:b/>
          <w:color w:val="auto"/>
          <w:kern w:val="0"/>
          <w:sz w:val="36"/>
          <w:szCs w:val="36"/>
          <w:highlight w:val="none"/>
        </w:rPr>
      </w:pPr>
    </w:p>
    <w:p>
      <w:pPr>
        <w:autoSpaceDE w:val="0"/>
        <w:autoSpaceDN w:val="0"/>
        <w:adjustRightInd w:val="0"/>
        <w:jc w:val="center"/>
        <w:rPr>
          <w:rFonts w:ascii="宋体" w:hAnsi="宋体" w:cs="宋体"/>
          <w:b/>
          <w:color w:val="auto"/>
          <w:kern w:val="0"/>
          <w:sz w:val="36"/>
          <w:szCs w:val="36"/>
          <w:highlight w:val="none"/>
        </w:rPr>
      </w:pPr>
    </w:p>
    <w:p>
      <w:pPr>
        <w:autoSpaceDE w:val="0"/>
        <w:autoSpaceDN w:val="0"/>
        <w:adjustRightInd w:val="0"/>
        <w:jc w:val="center"/>
        <w:rPr>
          <w:rFonts w:ascii="宋体" w:hAnsi="宋体" w:cs="宋体"/>
          <w:b/>
          <w:color w:val="auto"/>
          <w:kern w:val="0"/>
          <w:sz w:val="36"/>
          <w:szCs w:val="36"/>
          <w:highlight w:val="none"/>
        </w:rPr>
      </w:pPr>
    </w:p>
    <w:p>
      <w:pPr>
        <w:autoSpaceDE w:val="0"/>
        <w:autoSpaceDN w:val="0"/>
        <w:adjustRightInd w:val="0"/>
        <w:jc w:val="center"/>
        <w:rPr>
          <w:rFonts w:ascii="宋体" w:hAnsi="宋体" w:cs="宋体"/>
          <w:b/>
          <w:color w:val="auto"/>
          <w:kern w:val="0"/>
          <w:sz w:val="36"/>
          <w:szCs w:val="36"/>
          <w:highlight w:val="none"/>
        </w:rPr>
      </w:pPr>
    </w:p>
    <w:p>
      <w:pPr>
        <w:widowControl/>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autoSpaceDE w:val="0"/>
        <w:autoSpaceDN w:val="0"/>
        <w:adjustRightInd w:val="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第三章 投标人须知前附表</w:t>
      </w:r>
    </w:p>
    <w:p>
      <w:pPr>
        <w:autoSpaceDE w:val="0"/>
        <w:autoSpaceDN w:val="0"/>
        <w:adjustRightInd w:val="0"/>
        <w:spacing w:line="360" w:lineRule="auto"/>
        <w:ind w:right="-11"/>
        <w:jc w:val="left"/>
        <w:rPr>
          <w:rFonts w:ascii="宋体" w:hAnsi="宋体" w:cs="宋体"/>
          <w:b/>
          <w:color w:val="auto"/>
          <w:kern w:val="0"/>
          <w:sz w:val="24"/>
          <w:szCs w:val="24"/>
          <w:highlight w:val="none"/>
        </w:rPr>
      </w:pPr>
      <w:r>
        <w:rPr>
          <w:rFonts w:hint="eastAsia" w:ascii="宋体" w:hAnsi="宋体" w:cs="微软雅黑"/>
          <w:b/>
          <w:color w:val="auto"/>
          <w:sz w:val="24"/>
          <w:szCs w:val="24"/>
          <w:highlight w:val="none"/>
        </w:rPr>
        <w:t>招标文件中凡标有★条款均为实质性要求条款，投标文件须完全响应，未实质响应的，按照无效投标处理。</w:t>
      </w:r>
    </w:p>
    <w:tbl>
      <w:tblPr>
        <w:tblStyle w:val="18"/>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序号</w:t>
            </w:r>
          </w:p>
        </w:tc>
        <w:tc>
          <w:tcPr>
            <w:tcW w:w="2268" w:type="dxa"/>
            <w:vAlign w:val="center"/>
          </w:tcPr>
          <w:p>
            <w:pPr>
              <w:autoSpaceDE w:val="0"/>
              <w:autoSpaceDN w:val="0"/>
              <w:adjustRightInd w:val="0"/>
              <w:spacing w:line="276" w:lineRule="auto"/>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条款名称</w:t>
            </w:r>
          </w:p>
        </w:tc>
        <w:tc>
          <w:tcPr>
            <w:tcW w:w="6813" w:type="dxa"/>
            <w:vAlign w:val="center"/>
          </w:tcPr>
          <w:p>
            <w:pPr>
              <w:autoSpaceDE w:val="0"/>
              <w:autoSpaceDN w:val="0"/>
              <w:adjustRightInd w:val="0"/>
              <w:spacing w:line="276" w:lineRule="auto"/>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highlight w:val="none"/>
              </w:rPr>
            </w:pPr>
            <w:r>
              <w:rPr>
                <w:rFonts w:hint="eastAsia" w:ascii="宋体" w:hAnsi="宋体"/>
                <w:color w:val="auto"/>
                <w:sz w:val="24"/>
                <w:szCs w:val="24"/>
                <w:highlight w:val="none"/>
              </w:rPr>
              <w:t>1</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highlight w:val="none"/>
              </w:rPr>
            </w:pPr>
            <w:r>
              <w:rPr>
                <w:rFonts w:hint="eastAsia" w:ascii="宋体" w:hAnsi="宋体" w:cs="仿宋_GB2312"/>
                <w:color w:val="auto"/>
                <w:sz w:val="24"/>
                <w:szCs w:val="24"/>
                <w:highlight w:val="none"/>
              </w:rPr>
              <w:t>采购项目</w:t>
            </w:r>
          </w:p>
        </w:tc>
        <w:tc>
          <w:tcPr>
            <w:tcW w:w="6813" w:type="dxa"/>
          </w:tcPr>
          <w:p>
            <w:pPr>
              <w:autoSpaceDE w:val="0"/>
              <w:autoSpaceDN w:val="0"/>
              <w:adjustRightInd w:val="0"/>
              <w:spacing w:line="360" w:lineRule="auto"/>
              <w:jc w:val="left"/>
              <w:rPr>
                <w:rFonts w:ascii="宋体" w:hAnsi="宋体" w:cs="仿宋_GB2312"/>
                <w:color w:val="auto"/>
                <w:sz w:val="24"/>
                <w:szCs w:val="24"/>
                <w:highlight w:val="none"/>
              </w:rPr>
            </w:pPr>
            <w:r>
              <w:rPr>
                <w:rFonts w:hint="eastAsia" w:ascii="宋体" w:hAnsi="宋体" w:cs="仿宋_GB2312"/>
                <w:color w:val="auto"/>
                <w:sz w:val="24"/>
                <w:szCs w:val="24"/>
                <w:highlight w:val="none"/>
              </w:rPr>
              <w:t>项目名称：许昌市东城区财政投资评审和统计中心选聘会计事务所入库项目</w:t>
            </w:r>
          </w:p>
          <w:p>
            <w:pPr>
              <w:autoSpaceDE w:val="0"/>
              <w:autoSpaceDN w:val="0"/>
              <w:adjustRightInd w:val="0"/>
              <w:spacing w:line="360" w:lineRule="auto"/>
              <w:jc w:val="left"/>
              <w:rPr>
                <w:rFonts w:ascii="宋体" w:hAnsi="宋体" w:cs="仿宋_GB2312"/>
                <w:color w:val="auto"/>
                <w:sz w:val="24"/>
                <w:szCs w:val="24"/>
                <w:highlight w:val="none"/>
              </w:rPr>
            </w:pPr>
            <w:r>
              <w:rPr>
                <w:rFonts w:hint="eastAsia" w:ascii="宋体" w:hAnsi="宋体" w:cs="仿宋_GB2312"/>
                <w:color w:val="auto"/>
                <w:sz w:val="24"/>
                <w:szCs w:val="24"/>
                <w:highlight w:val="none"/>
              </w:rPr>
              <w:t>项目编号：JZFCG-G2019</w:t>
            </w:r>
            <w:r>
              <w:rPr>
                <w:rFonts w:ascii="宋体" w:hAnsi="宋体" w:cs="仿宋_GB2312"/>
                <w:color w:val="auto"/>
                <w:sz w:val="24"/>
                <w:szCs w:val="24"/>
                <w:highlight w:val="none"/>
              </w:rPr>
              <w:t>073</w:t>
            </w:r>
            <w:r>
              <w:rPr>
                <w:rFonts w:hint="eastAsia" w:ascii="宋体" w:hAnsi="宋体" w:cs="仿宋_GB2312"/>
                <w:color w:val="auto"/>
                <w:sz w:val="24"/>
                <w:szCs w:val="24"/>
                <w:highlight w:val="none"/>
              </w:rPr>
              <w:t>号</w:t>
            </w:r>
          </w:p>
          <w:p>
            <w:pPr>
              <w:autoSpaceDE w:val="0"/>
              <w:autoSpaceDN w:val="0"/>
              <w:adjustRightInd w:val="0"/>
              <w:spacing w:line="360" w:lineRule="auto"/>
              <w:jc w:val="left"/>
              <w:rPr>
                <w:rFonts w:ascii="宋体" w:hAnsi="宋体" w:cs="仿宋_GB2312"/>
                <w:color w:val="auto"/>
                <w:sz w:val="24"/>
                <w:szCs w:val="24"/>
                <w:highlight w:val="none"/>
              </w:rPr>
            </w:pPr>
            <w:r>
              <w:rPr>
                <w:rFonts w:hint="eastAsia" w:ascii="宋体" w:hAnsi="宋体" w:cs="仿宋_GB2312"/>
                <w:color w:val="auto"/>
                <w:sz w:val="24"/>
                <w:szCs w:val="24"/>
                <w:highlight w:val="none"/>
              </w:rPr>
              <w:t>项目内容：</w:t>
            </w:r>
            <w:r>
              <w:rPr>
                <w:rFonts w:hint="eastAsia" w:ascii="宋体" w:hAnsi="宋体" w:cs="宋体"/>
                <w:color w:val="auto"/>
                <w:kern w:val="0"/>
                <w:sz w:val="24"/>
                <w:szCs w:val="24"/>
                <w:highlight w:val="none"/>
              </w:rPr>
              <w:t>具备接受委托参与政府购买中介机构服务的资格,承担委托项目清产核资、财政（财务）审计、以合规性为导向的专项检查等工作</w:t>
            </w:r>
            <w:r>
              <w:rPr>
                <w:rFonts w:hint="eastAsia" w:ascii="宋体" w:hAnsi="宋体" w:cs="仿宋_GB2312"/>
                <w:color w:val="auto"/>
                <w:highlight w:val="none"/>
                <w:shd w:val="clear" w:color="auto" w:fill="FFFFFF"/>
              </w:rPr>
              <w:t>。</w:t>
            </w:r>
          </w:p>
          <w:p>
            <w:pPr>
              <w:autoSpaceDE w:val="0"/>
              <w:autoSpaceDN w:val="0"/>
              <w:adjustRightInd w:val="0"/>
              <w:spacing w:line="360" w:lineRule="auto"/>
              <w:jc w:val="left"/>
              <w:rPr>
                <w:rFonts w:ascii="宋体" w:hAnsi="宋体" w:cs="仿宋_GB2312"/>
                <w:color w:val="auto"/>
                <w:sz w:val="24"/>
                <w:szCs w:val="24"/>
                <w:highlight w:val="none"/>
              </w:rPr>
            </w:pPr>
            <w:r>
              <w:rPr>
                <w:rFonts w:ascii="宋体" w:hAnsi="宋体" w:cs="仿宋_GB2312"/>
                <w:color w:val="auto"/>
                <w:sz w:val="24"/>
                <w:szCs w:val="24"/>
                <w:highlight w:val="none"/>
              </w:rPr>
              <w:t>1</w:t>
            </w:r>
            <w:r>
              <w:rPr>
                <w:rFonts w:hint="eastAsia" w:ascii="宋体" w:hAnsi="宋体" w:cs="仿宋_GB2312"/>
                <w:color w:val="auto"/>
                <w:sz w:val="24"/>
                <w:szCs w:val="24"/>
                <w:highlight w:val="none"/>
              </w:rPr>
              <w:t>、资金来源：财政资金；</w:t>
            </w:r>
          </w:p>
          <w:p>
            <w:pPr>
              <w:autoSpaceDE w:val="0"/>
              <w:autoSpaceDN w:val="0"/>
              <w:adjustRightInd w:val="0"/>
              <w:spacing w:line="360" w:lineRule="auto"/>
              <w:jc w:val="left"/>
              <w:rPr>
                <w:rFonts w:ascii="宋体" w:hAnsi="宋体" w:cs="仿宋_GB2312"/>
                <w:color w:val="auto"/>
                <w:sz w:val="24"/>
                <w:szCs w:val="24"/>
                <w:highlight w:val="none"/>
              </w:rPr>
            </w:pPr>
            <w:r>
              <w:rPr>
                <w:rFonts w:ascii="宋体" w:hAnsi="宋体" w:cs="仿宋_GB2312"/>
                <w:color w:val="auto"/>
                <w:sz w:val="24"/>
                <w:szCs w:val="24"/>
                <w:highlight w:val="none"/>
              </w:rPr>
              <w:t>2</w:t>
            </w:r>
            <w:r>
              <w:rPr>
                <w:rFonts w:hint="eastAsia" w:ascii="宋体" w:hAnsi="宋体" w:cs="仿宋_GB2312"/>
                <w:color w:val="auto"/>
                <w:sz w:val="24"/>
                <w:szCs w:val="24"/>
                <w:highlight w:val="none"/>
              </w:rPr>
              <w:t>、招标内容：具体要求详见招标文件。</w:t>
            </w:r>
          </w:p>
          <w:p>
            <w:pPr>
              <w:autoSpaceDE w:val="0"/>
              <w:autoSpaceDN w:val="0"/>
              <w:adjustRightInd w:val="0"/>
              <w:spacing w:line="360" w:lineRule="auto"/>
              <w:jc w:val="left"/>
              <w:rPr>
                <w:rFonts w:ascii="宋体" w:hAnsi="宋体" w:cs="仿宋_GB2312"/>
                <w:color w:val="auto"/>
                <w:sz w:val="24"/>
                <w:szCs w:val="24"/>
                <w:highlight w:val="none"/>
              </w:rPr>
            </w:pPr>
            <w:r>
              <w:rPr>
                <w:rFonts w:hint="eastAsia" w:ascii="宋体" w:hAnsi="宋体" w:cs="仿宋_GB2312"/>
                <w:color w:val="auto"/>
                <w:sz w:val="24"/>
                <w:szCs w:val="24"/>
                <w:highlight w:val="none"/>
              </w:rPr>
              <w:t>3、本次招标的会计服务项目单位是指，经招标确定的为许昌市东城区财政投资评审和统计中心提供会计相关服务的单位，通过公开招标形式确定服务单位。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jc w:val="center"/>
        </w:trPr>
        <w:tc>
          <w:tcPr>
            <w:tcW w:w="806" w:type="dxa"/>
            <w:vAlign w:val="center"/>
          </w:tcPr>
          <w:p>
            <w:pPr>
              <w:autoSpaceDE w:val="0"/>
              <w:autoSpaceDN w:val="0"/>
              <w:adjustRightInd w:val="0"/>
              <w:spacing w:line="276" w:lineRule="auto"/>
              <w:jc w:val="center"/>
              <w:rPr>
                <w:rFonts w:ascii="宋体" w:hAnsi="宋体" w:cs="TimesNewRomanPSMT"/>
                <w:color w:val="auto"/>
                <w:sz w:val="24"/>
                <w:szCs w:val="24"/>
                <w:highlight w:val="none"/>
              </w:rPr>
            </w:pPr>
            <w:r>
              <w:rPr>
                <w:rFonts w:hint="eastAsia" w:ascii="宋体" w:hAnsi="宋体" w:cs="TimesNewRomanPSMT"/>
                <w:color w:val="auto"/>
                <w:sz w:val="24"/>
                <w:szCs w:val="24"/>
                <w:highlight w:val="none"/>
              </w:rPr>
              <w:t>2</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highlight w:val="none"/>
              </w:rPr>
            </w:pPr>
            <w:r>
              <w:rPr>
                <w:rFonts w:hint="eastAsia" w:ascii="宋体" w:hAnsi="宋体" w:cs="仿宋_GB2312"/>
                <w:color w:val="auto"/>
                <w:sz w:val="24"/>
                <w:szCs w:val="24"/>
                <w:highlight w:val="none"/>
              </w:rPr>
              <w:t>采购人</w:t>
            </w:r>
          </w:p>
        </w:tc>
        <w:tc>
          <w:tcPr>
            <w:tcW w:w="6813" w:type="dxa"/>
            <w:vAlign w:val="center"/>
          </w:tcPr>
          <w:p>
            <w:pPr>
              <w:autoSpaceDE w:val="0"/>
              <w:autoSpaceDN w:val="0"/>
              <w:adjustRightInd w:val="0"/>
              <w:spacing w:line="360" w:lineRule="auto"/>
              <w:jc w:val="left"/>
              <w:rPr>
                <w:rFonts w:ascii="宋体" w:hAnsi="宋体" w:cs="仿宋_GB2312"/>
                <w:color w:val="auto"/>
                <w:sz w:val="24"/>
                <w:szCs w:val="24"/>
                <w:highlight w:val="none"/>
              </w:rPr>
            </w:pPr>
            <w:r>
              <w:rPr>
                <w:rFonts w:hint="eastAsia" w:ascii="宋体" w:hAnsi="宋体" w:cs="仿宋_GB2312"/>
                <w:color w:val="auto"/>
                <w:sz w:val="24"/>
                <w:szCs w:val="24"/>
                <w:highlight w:val="none"/>
              </w:rPr>
              <w:t>名称：许昌市东城区财政投资评审和统计中心</w:t>
            </w:r>
          </w:p>
          <w:p>
            <w:pPr>
              <w:autoSpaceDE w:val="0"/>
              <w:autoSpaceDN w:val="0"/>
              <w:adjustRightInd w:val="0"/>
              <w:spacing w:line="360" w:lineRule="auto"/>
              <w:jc w:val="left"/>
              <w:rPr>
                <w:rFonts w:ascii="宋体" w:hAnsi="宋体" w:cs="仿宋_GB2312"/>
                <w:color w:val="auto"/>
                <w:sz w:val="24"/>
                <w:szCs w:val="24"/>
                <w:highlight w:val="none"/>
              </w:rPr>
            </w:pPr>
            <w:r>
              <w:rPr>
                <w:rFonts w:hint="eastAsia" w:ascii="宋体" w:hAnsi="宋体" w:cs="仿宋_GB2312"/>
                <w:color w:val="auto"/>
                <w:sz w:val="24"/>
                <w:szCs w:val="24"/>
                <w:highlight w:val="none"/>
              </w:rPr>
              <w:t>地址：许昌市新兴路东段</w:t>
            </w:r>
          </w:p>
          <w:p>
            <w:pPr>
              <w:autoSpaceDE w:val="0"/>
              <w:autoSpaceDN w:val="0"/>
              <w:adjustRightInd w:val="0"/>
              <w:spacing w:line="360" w:lineRule="auto"/>
              <w:jc w:val="left"/>
              <w:rPr>
                <w:rFonts w:ascii="宋体" w:hAnsi="宋体" w:cs="仿宋_GB2312"/>
                <w:color w:val="auto"/>
                <w:sz w:val="24"/>
                <w:szCs w:val="24"/>
                <w:highlight w:val="none"/>
              </w:rPr>
            </w:pPr>
            <w:r>
              <w:rPr>
                <w:rFonts w:hint="eastAsia" w:ascii="宋体" w:hAnsi="宋体" w:cs="仿宋_GB2312"/>
                <w:color w:val="auto"/>
                <w:sz w:val="24"/>
                <w:szCs w:val="24"/>
                <w:highlight w:val="none"/>
              </w:rPr>
              <w:t>联系人：乔波            电话：</w:t>
            </w:r>
            <w:r>
              <w:rPr>
                <w:rFonts w:hint="eastAsia" w:ascii="宋体" w:hAnsi="宋体" w:cs="仿宋_GB2312"/>
                <w:color w:val="auto"/>
                <w:highlight w:val="none"/>
                <w:shd w:val="clear" w:color="auto" w:fill="FFFFFF"/>
              </w:rPr>
              <w:t>0374-2959701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highlight w:val="none"/>
              </w:rPr>
            </w:pPr>
            <w:r>
              <w:rPr>
                <w:rFonts w:hint="eastAsia" w:ascii="宋体" w:hAnsi="宋体"/>
                <w:color w:val="auto"/>
                <w:sz w:val="24"/>
                <w:szCs w:val="24"/>
                <w:highlight w:val="none"/>
              </w:rPr>
              <w:t>3</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highlight w:val="none"/>
              </w:rPr>
            </w:pPr>
            <w:r>
              <w:rPr>
                <w:rFonts w:hint="eastAsia" w:ascii="宋体" w:hAnsi="宋体" w:cs="仿宋_GB2312"/>
                <w:color w:val="auto"/>
                <w:sz w:val="24"/>
                <w:szCs w:val="24"/>
                <w:highlight w:val="none"/>
              </w:rPr>
              <w:t>代理机构</w:t>
            </w:r>
          </w:p>
        </w:tc>
        <w:tc>
          <w:tcPr>
            <w:tcW w:w="6813" w:type="dxa"/>
            <w:vAlign w:val="center"/>
          </w:tcPr>
          <w:p>
            <w:pPr>
              <w:autoSpaceDE w:val="0"/>
              <w:autoSpaceDN w:val="0"/>
              <w:adjustRightInd w:val="0"/>
              <w:spacing w:line="360" w:lineRule="auto"/>
              <w:jc w:val="left"/>
              <w:rPr>
                <w:rFonts w:ascii="宋体" w:hAnsi="宋体" w:cs="仿宋_GB2312"/>
                <w:color w:val="auto"/>
                <w:sz w:val="24"/>
                <w:szCs w:val="24"/>
                <w:highlight w:val="none"/>
              </w:rPr>
            </w:pPr>
            <w:r>
              <w:rPr>
                <w:rFonts w:hint="eastAsia" w:ascii="宋体" w:hAnsi="宋体" w:cs="仿宋_GB2312"/>
                <w:color w:val="auto"/>
                <w:sz w:val="24"/>
                <w:szCs w:val="24"/>
                <w:highlight w:val="none"/>
              </w:rPr>
              <w:t>代理机构：河南省伟信招标管理咨询有限公司</w:t>
            </w:r>
          </w:p>
          <w:p>
            <w:pPr>
              <w:autoSpaceDE w:val="0"/>
              <w:autoSpaceDN w:val="0"/>
              <w:adjustRightInd w:val="0"/>
              <w:spacing w:line="360" w:lineRule="auto"/>
              <w:jc w:val="left"/>
              <w:rPr>
                <w:rFonts w:ascii="宋体" w:hAnsi="宋体" w:cs="仿宋_GB2312"/>
                <w:color w:val="auto"/>
                <w:sz w:val="24"/>
                <w:szCs w:val="24"/>
                <w:highlight w:val="none"/>
              </w:rPr>
            </w:pPr>
            <w:r>
              <w:rPr>
                <w:rFonts w:hint="eastAsia" w:ascii="宋体" w:hAnsi="宋体" w:cs="仿宋_GB2312"/>
                <w:color w:val="auto"/>
                <w:sz w:val="24"/>
                <w:szCs w:val="24"/>
                <w:highlight w:val="none"/>
              </w:rPr>
              <w:t>地  址：郑州市郑东新区东风南路创业绿地中心北塔16楼</w:t>
            </w:r>
          </w:p>
          <w:p>
            <w:pPr>
              <w:autoSpaceDE w:val="0"/>
              <w:autoSpaceDN w:val="0"/>
              <w:adjustRightInd w:val="0"/>
              <w:spacing w:line="360" w:lineRule="auto"/>
              <w:jc w:val="left"/>
              <w:rPr>
                <w:rFonts w:ascii="宋体" w:hAnsi="宋体" w:cs="仿宋_GB2312"/>
                <w:color w:val="auto"/>
                <w:sz w:val="24"/>
                <w:szCs w:val="24"/>
                <w:highlight w:val="none"/>
              </w:rPr>
            </w:pPr>
            <w:r>
              <w:rPr>
                <w:rFonts w:hint="eastAsia" w:ascii="宋体" w:hAnsi="宋体" w:cs="仿宋_GB2312"/>
                <w:color w:val="auto"/>
                <w:sz w:val="24"/>
                <w:szCs w:val="24"/>
                <w:highlight w:val="none"/>
              </w:rPr>
              <w:t>联系人：</w:t>
            </w:r>
            <w:r>
              <w:rPr>
                <w:rFonts w:ascii="宋体" w:hAnsi="宋体" w:cs="仿宋_GB2312"/>
                <w:color w:val="auto"/>
                <w:sz w:val="24"/>
                <w:szCs w:val="24"/>
                <w:highlight w:val="none"/>
              </w:rPr>
              <w:t xml:space="preserve"> </w:t>
            </w:r>
            <w:r>
              <w:rPr>
                <w:rFonts w:hint="eastAsia" w:ascii="宋体" w:hAnsi="宋体" w:cs="仿宋_GB2312"/>
                <w:color w:val="auto"/>
                <w:sz w:val="24"/>
                <w:szCs w:val="24"/>
                <w:highlight w:val="none"/>
              </w:rPr>
              <w:t>包勇</w:t>
            </w:r>
          </w:p>
          <w:p>
            <w:pPr>
              <w:autoSpaceDE w:val="0"/>
              <w:autoSpaceDN w:val="0"/>
              <w:adjustRightInd w:val="0"/>
              <w:spacing w:line="360" w:lineRule="auto"/>
              <w:jc w:val="left"/>
              <w:rPr>
                <w:rFonts w:ascii="宋体" w:hAnsi="宋体" w:cs="仿宋_GB2312"/>
                <w:color w:val="auto"/>
                <w:sz w:val="24"/>
                <w:szCs w:val="24"/>
                <w:highlight w:val="none"/>
              </w:rPr>
            </w:pPr>
            <w:r>
              <w:rPr>
                <w:rFonts w:hint="eastAsia" w:ascii="宋体" w:hAnsi="宋体" w:cs="仿宋_GB2312"/>
                <w:color w:val="auto"/>
                <w:sz w:val="24"/>
                <w:szCs w:val="24"/>
                <w:highlight w:val="none"/>
              </w:rPr>
              <w:t>联系电话：18539022202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highlight w:val="none"/>
              </w:rPr>
            </w:pPr>
            <w:r>
              <w:rPr>
                <w:rFonts w:hint="eastAsia" w:ascii="宋体" w:hAnsi="宋体"/>
                <w:color w:val="auto"/>
                <w:sz w:val="24"/>
                <w:szCs w:val="24"/>
                <w:highlight w:val="none"/>
              </w:rPr>
              <w:t>4</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highlight w:val="none"/>
              </w:rPr>
            </w:pPr>
            <w:r>
              <w:rPr>
                <w:rFonts w:hint="eastAsia" w:ascii="宋体" w:hAnsi="宋体" w:cs="微软雅黑"/>
                <w:b/>
                <w:color w:val="auto"/>
                <w:sz w:val="24"/>
                <w:szCs w:val="24"/>
                <w:highlight w:val="none"/>
              </w:rPr>
              <w:t>★</w:t>
            </w:r>
            <w:r>
              <w:rPr>
                <w:rFonts w:hint="eastAsia" w:ascii="宋体" w:hAnsi="宋体" w:cs="仿宋_GB2312"/>
                <w:color w:val="auto"/>
                <w:sz w:val="24"/>
                <w:szCs w:val="24"/>
                <w:highlight w:val="none"/>
              </w:rPr>
              <w:t>投标人资格</w:t>
            </w:r>
          </w:p>
        </w:tc>
        <w:tc>
          <w:tcPr>
            <w:tcW w:w="6813" w:type="dxa"/>
            <w:vAlign w:val="center"/>
          </w:tcPr>
          <w:p>
            <w:pPr>
              <w:autoSpaceDE w:val="0"/>
              <w:autoSpaceDN w:val="0"/>
              <w:adjustRightInd w:val="0"/>
              <w:spacing w:line="360" w:lineRule="auto"/>
              <w:ind w:right="-11"/>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一、</w:t>
            </w:r>
            <w:r>
              <w:rPr>
                <w:rFonts w:ascii="宋体" w:hAnsi="宋体" w:cs="宋体"/>
                <w:b/>
                <w:bCs/>
                <w:color w:val="auto"/>
                <w:sz w:val="24"/>
                <w:szCs w:val="24"/>
                <w:highlight w:val="none"/>
                <w:lang w:val="zh-CN"/>
              </w:rPr>
              <w:t>法人或者其他组织的营业执照等证明文件，自然人的身份证明</w:t>
            </w:r>
          </w:p>
          <w:p>
            <w:pPr>
              <w:autoSpaceDE w:val="0"/>
              <w:autoSpaceDN w:val="0"/>
              <w:adjustRightInd w:val="0"/>
              <w:spacing w:line="360" w:lineRule="auto"/>
              <w:ind w:right="-11"/>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1、企业法人营业执照或营业执照</w:t>
            </w:r>
            <w:r>
              <w:rPr>
                <w:rFonts w:hint="eastAsia" w:ascii="宋体" w:hAnsi="宋体"/>
                <w:bCs/>
                <w:color w:val="auto"/>
                <w:sz w:val="24"/>
                <w:szCs w:val="24"/>
                <w:highlight w:val="none"/>
              </w:rPr>
              <w:t>（分公司的营业执照需有独立法人）。</w:t>
            </w:r>
            <w:r>
              <w:rPr>
                <w:rFonts w:hint="eastAsia" w:ascii="宋体" w:hAnsi="宋体" w:cs="宋体"/>
                <w:bCs/>
                <w:color w:val="auto"/>
                <w:sz w:val="24"/>
                <w:szCs w:val="24"/>
                <w:highlight w:val="none"/>
                <w:lang w:val="zh-CN"/>
              </w:rPr>
              <w:t>（企业投标提供）</w:t>
            </w:r>
          </w:p>
          <w:p>
            <w:pPr>
              <w:autoSpaceDE w:val="0"/>
              <w:autoSpaceDN w:val="0"/>
              <w:adjustRightInd w:val="0"/>
              <w:spacing w:line="360" w:lineRule="auto"/>
              <w:ind w:right="-11"/>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2、事业单位法人证书。（事业单位投标提供）</w:t>
            </w:r>
          </w:p>
          <w:p>
            <w:pPr>
              <w:autoSpaceDE w:val="0"/>
              <w:autoSpaceDN w:val="0"/>
              <w:adjustRightInd w:val="0"/>
              <w:spacing w:line="360" w:lineRule="auto"/>
              <w:ind w:right="-11"/>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3、执业许可证。（非专业服务机构投标提供）</w:t>
            </w:r>
          </w:p>
          <w:p>
            <w:pPr>
              <w:autoSpaceDE w:val="0"/>
              <w:autoSpaceDN w:val="0"/>
              <w:adjustRightInd w:val="0"/>
              <w:spacing w:line="360" w:lineRule="auto"/>
              <w:ind w:right="-11"/>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4、个体工商户营业执照。（个体工商户投标提供）</w:t>
            </w:r>
          </w:p>
          <w:p>
            <w:pPr>
              <w:autoSpaceDE w:val="0"/>
              <w:autoSpaceDN w:val="0"/>
              <w:adjustRightInd w:val="0"/>
              <w:spacing w:line="360" w:lineRule="auto"/>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5、自然人身份证明。（自然人投标提供）</w:t>
            </w:r>
          </w:p>
          <w:p>
            <w:pPr>
              <w:autoSpaceDE w:val="0"/>
              <w:autoSpaceDN w:val="0"/>
              <w:adjustRightInd w:val="0"/>
              <w:spacing w:line="360" w:lineRule="auto"/>
              <w:jc w:val="left"/>
              <w:rPr>
                <w:rFonts w:ascii="宋体" w:hAnsi="宋体" w:cs="宋体"/>
                <w:bCs/>
                <w:color w:val="auto"/>
                <w:sz w:val="24"/>
                <w:szCs w:val="24"/>
                <w:highlight w:val="none"/>
                <w:lang w:val="zh-CN"/>
              </w:rPr>
            </w:pPr>
            <w:r>
              <w:rPr>
                <w:rFonts w:hint="eastAsia" w:ascii="宋体" w:hAnsi="宋体"/>
                <w:bCs/>
                <w:color w:val="auto"/>
                <w:sz w:val="24"/>
                <w:szCs w:val="24"/>
                <w:highlight w:val="none"/>
              </w:rPr>
              <w:t>（或三证合一或五证合一）</w:t>
            </w:r>
          </w:p>
          <w:p>
            <w:pPr>
              <w:autoSpaceDE w:val="0"/>
              <w:autoSpaceDN w:val="0"/>
              <w:adjustRightInd w:val="0"/>
              <w:spacing w:line="360" w:lineRule="auto"/>
              <w:jc w:val="left"/>
              <w:rPr>
                <w:rFonts w:ascii="宋体" w:hAnsi="宋体" w:cs="仿宋_GB2312"/>
                <w:b/>
                <w:color w:val="auto"/>
                <w:sz w:val="24"/>
                <w:szCs w:val="24"/>
                <w:highlight w:val="none"/>
              </w:rPr>
            </w:pPr>
            <w:r>
              <w:rPr>
                <w:rFonts w:hint="eastAsia" w:ascii="宋体" w:hAnsi="宋体" w:cs="仿宋_GB2312"/>
                <w:b/>
                <w:color w:val="auto"/>
                <w:sz w:val="24"/>
                <w:szCs w:val="24"/>
                <w:highlight w:val="none"/>
              </w:rPr>
              <w:t>二、财务状况报告相关材料</w:t>
            </w:r>
          </w:p>
          <w:p>
            <w:pPr>
              <w:autoSpaceDE w:val="0"/>
              <w:autoSpaceDN w:val="0"/>
              <w:adjustRightInd w:val="0"/>
              <w:spacing w:line="360" w:lineRule="auto"/>
              <w:ind w:right="-11"/>
              <w:rPr>
                <w:rFonts w:ascii="宋体" w:hAnsi="宋体" w:cs="宋体"/>
                <w:bCs/>
                <w:color w:val="auto"/>
                <w:sz w:val="24"/>
                <w:szCs w:val="24"/>
                <w:highlight w:val="none"/>
                <w:lang w:val="zh-CN"/>
              </w:rPr>
            </w:pPr>
            <w:r>
              <w:rPr>
                <w:rFonts w:hint="eastAsia" w:ascii="宋体" w:hAnsi="宋体" w:cs="仿宋_GB2312"/>
                <w:color w:val="auto"/>
                <w:sz w:val="24"/>
                <w:szCs w:val="24"/>
                <w:highlight w:val="none"/>
              </w:rPr>
              <w:t>1、第三方审计机构出具的2018年度经审计的财务报告</w:t>
            </w:r>
            <w:r>
              <w:rPr>
                <w:rFonts w:hint="eastAsia" w:ascii="宋体" w:hAnsi="宋体" w:cs="宋体"/>
                <w:bCs/>
                <w:color w:val="auto"/>
                <w:sz w:val="24"/>
                <w:szCs w:val="24"/>
                <w:highlight w:val="none"/>
                <w:lang w:val="zh-CN"/>
              </w:rPr>
              <w:t>；或基本开户银行出具的资信证明；或财政部门认可的政府采购专业担保机构的证明文件和担保机构出具的投标担保函。（法人投标提供。法人包括企业法人、机关法人、事业单位法人和社会团体法人）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宋体"/>
                <w:bCs/>
                <w:color w:val="auto"/>
                <w:sz w:val="24"/>
                <w:szCs w:val="24"/>
                <w:highlight w:val="none"/>
                <w:lang w:val="zh-CN"/>
              </w:rPr>
            </w:pPr>
            <w:r>
              <w:rPr>
                <w:rFonts w:hint="eastAsia" w:ascii="宋体" w:hAnsi="宋体" w:cs="仿宋_GB2312"/>
                <w:color w:val="auto"/>
                <w:sz w:val="24"/>
                <w:szCs w:val="24"/>
                <w:highlight w:val="none"/>
              </w:rPr>
              <w:t>2、</w:t>
            </w:r>
            <w:r>
              <w:rPr>
                <w:rFonts w:hint="eastAsia" w:ascii="宋体" w:hAnsi="宋体" w:cs="宋体"/>
                <w:bCs/>
                <w:color w:val="auto"/>
                <w:sz w:val="24"/>
                <w:szCs w:val="24"/>
                <w:highlight w:val="none"/>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hAnsi="宋体" w:cs="仿宋_GB2312"/>
                <w:b/>
                <w:color w:val="auto"/>
                <w:sz w:val="24"/>
                <w:szCs w:val="24"/>
                <w:highlight w:val="none"/>
              </w:rPr>
            </w:pPr>
            <w:r>
              <w:rPr>
                <w:rFonts w:hint="eastAsia" w:ascii="宋体" w:hAnsi="宋体" w:cs="仿宋_GB2312"/>
                <w:b/>
                <w:color w:val="auto"/>
                <w:sz w:val="24"/>
                <w:szCs w:val="24"/>
                <w:highlight w:val="none"/>
              </w:rPr>
              <w:t>三、依法缴纳税收相关材料</w:t>
            </w:r>
          </w:p>
          <w:p>
            <w:pPr>
              <w:autoSpaceDE w:val="0"/>
              <w:autoSpaceDN w:val="0"/>
              <w:adjustRightInd w:val="0"/>
              <w:spacing w:line="360" w:lineRule="auto"/>
              <w:ind w:right="-11"/>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投标截止时间前半年内任意一个月的缴纳税收凭据。（依法免税的投标人，应提供相应文件证明依法免税）</w:t>
            </w:r>
          </w:p>
          <w:p>
            <w:pPr>
              <w:autoSpaceDE w:val="0"/>
              <w:autoSpaceDN w:val="0"/>
              <w:adjustRightInd w:val="0"/>
              <w:spacing w:line="360" w:lineRule="auto"/>
              <w:ind w:right="-11"/>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四、依法缴纳社会保障资金的证明材料</w:t>
            </w:r>
          </w:p>
          <w:p>
            <w:pPr>
              <w:autoSpaceDE w:val="0"/>
              <w:autoSpaceDN w:val="0"/>
              <w:adjustRightInd w:val="0"/>
              <w:spacing w:line="360" w:lineRule="auto"/>
              <w:ind w:right="-11"/>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投标截止时间前半年内任意一个月的缴纳社会保险凭据。（依法不需要缴纳社会保障资金的投标人，应提供相应文件证明依法不需要缴纳社会保障资金）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五、履行合同所必须的设备和专业技术能力的证明材料</w:t>
            </w:r>
          </w:p>
          <w:p>
            <w:pPr>
              <w:autoSpaceDE w:val="0"/>
              <w:autoSpaceDN w:val="0"/>
              <w:adjustRightInd w:val="0"/>
              <w:spacing w:line="360" w:lineRule="auto"/>
              <w:ind w:right="-11"/>
              <w:rPr>
                <w:rFonts w:ascii="宋体" w:hAnsi="宋体" w:cs="宋体"/>
                <w:b/>
                <w:bCs/>
                <w:color w:val="auto"/>
                <w:sz w:val="24"/>
                <w:szCs w:val="24"/>
                <w:highlight w:val="none"/>
                <w:lang w:val="zh-CN"/>
              </w:rPr>
            </w:pPr>
            <w:r>
              <w:rPr>
                <w:rFonts w:hint="eastAsia" w:ascii="宋体" w:hAnsi="宋体"/>
                <w:bCs/>
                <w:color w:val="auto"/>
                <w:sz w:val="24"/>
                <w:szCs w:val="24"/>
                <w:highlight w:val="none"/>
                <w:lang w:val="zh-CN"/>
              </w:rPr>
              <w:t>专业技术人员职称证书、用工合同等或者附投标人相关承诺函或声明。</w:t>
            </w:r>
          </w:p>
          <w:p>
            <w:pPr>
              <w:autoSpaceDE w:val="0"/>
              <w:autoSpaceDN w:val="0"/>
              <w:adjustRightInd w:val="0"/>
              <w:spacing w:line="360" w:lineRule="auto"/>
              <w:ind w:right="-11"/>
              <w:rPr>
                <w:rFonts w:ascii="宋体" w:hAnsi="宋体" w:cs="宋体"/>
                <w:b/>
                <w:bCs/>
                <w:color w:val="auto"/>
                <w:sz w:val="24"/>
                <w:szCs w:val="24"/>
                <w:highlight w:val="none"/>
                <w:lang w:val="zh-CN"/>
              </w:rPr>
            </w:pPr>
            <w:r>
              <w:rPr>
                <w:rFonts w:hint="eastAsia" w:ascii="宋体" w:hAnsi="宋体" w:cs="宋体"/>
                <w:b/>
                <w:color w:val="auto"/>
                <w:kern w:val="0"/>
                <w:sz w:val="24"/>
                <w:szCs w:val="24"/>
                <w:highlight w:val="none"/>
              </w:rPr>
              <w:t>六、</w:t>
            </w:r>
            <w:r>
              <w:rPr>
                <w:rFonts w:ascii="宋体" w:hAnsi="宋体" w:cs="宋体"/>
                <w:b/>
                <w:bCs/>
                <w:color w:val="auto"/>
                <w:sz w:val="24"/>
                <w:szCs w:val="24"/>
                <w:highlight w:val="none"/>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投标人“</w:t>
            </w:r>
            <w:r>
              <w:rPr>
                <w:rFonts w:ascii="宋体" w:hAnsi="宋体" w:cs="宋体"/>
                <w:bCs/>
                <w:color w:val="auto"/>
                <w:sz w:val="24"/>
                <w:szCs w:val="24"/>
                <w:highlight w:val="none"/>
                <w:lang w:val="zh-CN"/>
              </w:rPr>
              <w:t>参加政府采购活动前3年内在经营活动中没有重大违法记录的书面声明</w:t>
            </w:r>
            <w:r>
              <w:rPr>
                <w:rFonts w:hint="eastAsia" w:ascii="宋体" w:hAnsi="宋体" w:cs="宋体"/>
                <w:bCs/>
                <w:color w:val="auto"/>
                <w:sz w:val="24"/>
                <w:szCs w:val="24"/>
                <w:highlight w:val="none"/>
                <w:lang w:val="zh-CN"/>
              </w:rPr>
              <w:t>”。 重大违法记录，是指投标人因违法经营受到刑事处罚或者责令停产停业、吊销许可证或者执照、较大数额罚款等行政处罚。</w:t>
            </w:r>
          </w:p>
          <w:p>
            <w:pPr>
              <w:pStyle w:val="16"/>
              <w:widowControl/>
              <w:shd w:val="clear" w:color="auto" w:fill="FFFFFF"/>
              <w:spacing w:line="360" w:lineRule="auto"/>
              <w:contextualSpacing/>
              <w:jc w:val="left"/>
              <w:rPr>
                <w:rFonts w:ascii="宋体" w:hAnsi="宋体" w:cs="宋体"/>
                <w:b/>
                <w:color w:val="auto"/>
                <w:kern w:val="0"/>
                <w:highlight w:val="none"/>
              </w:rPr>
            </w:pPr>
            <w:r>
              <w:rPr>
                <w:rFonts w:hint="eastAsia" w:ascii="宋体" w:hAnsi="宋体" w:cs="宋体"/>
                <w:b/>
                <w:color w:val="auto"/>
                <w:kern w:val="0"/>
                <w:highlight w:val="none"/>
              </w:rPr>
              <w:t>七、未被列入“信用中国”网站</w:t>
            </w:r>
            <w:r>
              <w:rPr>
                <w:rFonts w:ascii="宋体" w:hAnsi="宋体" w:cs="宋体"/>
                <w:b/>
                <w:color w:val="auto"/>
                <w:kern w:val="0"/>
                <w:highlight w:val="none"/>
              </w:rPr>
              <w:t>(www.creditchina.gov.cn)</w:t>
            </w:r>
            <w:r>
              <w:rPr>
                <w:rFonts w:hint="eastAsia" w:ascii="宋体" w:hAnsi="宋体" w:cs="宋体"/>
                <w:b/>
                <w:color w:val="auto"/>
                <w:kern w:val="0"/>
                <w:highlight w:val="none"/>
              </w:rPr>
              <w:t>失信被执行人、重大税收违法案件当事人名单、政府采购严重违法失信名单的投标人；“中国政府采购网”</w:t>
            </w:r>
            <w:r>
              <w:rPr>
                <w:rFonts w:ascii="宋体" w:hAnsi="宋体" w:cs="宋体"/>
                <w:b/>
                <w:color w:val="auto"/>
                <w:kern w:val="0"/>
                <w:highlight w:val="none"/>
              </w:rPr>
              <w:t xml:space="preserve"> (www.ccgp.gov.cn)</w:t>
            </w:r>
            <w:r>
              <w:rPr>
                <w:rFonts w:hint="eastAsia" w:ascii="宋体" w:hAnsi="宋体" w:cs="宋体"/>
                <w:b/>
                <w:color w:val="auto"/>
                <w:kern w:val="0"/>
                <w:highlight w:val="none"/>
              </w:rPr>
              <w:t>政府采购严重违法失信行为记录名单的投标人；“国家企业信用公示系统”网站（</w:t>
            </w:r>
            <w:r>
              <w:rPr>
                <w:rFonts w:ascii="宋体" w:hAnsi="宋体" w:cs="宋体"/>
                <w:b/>
                <w:color w:val="auto"/>
                <w:kern w:val="0"/>
                <w:highlight w:val="none"/>
              </w:rPr>
              <w:t>www.gsxt.gov.cn</w:t>
            </w:r>
            <w:r>
              <w:rPr>
                <w:rFonts w:hint="eastAsia" w:ascii="宋体" w:hAnsi="宋体" w:cs="宋体"/>
                <w:b/>
                <w:color w:val="auto"/>
                <w:kern w:val="0"/>
                <w:highlight w:val="none"/>
              </w:rPr>
              <w:t>）严重违法失信企业名单（黑名单）的投标人(本项目投标截止时间前三年内投标人信用记录情况)</w:t>
            </w:r>
            <w:r>
              <w:rPr>
                <w:rFonts w:hint="eastAsia" w:ascii="宋体" w:hAnsi="宋体" w:cs="仿宋_GB2312"/>
                <w:b/>
                <w:color w:val="auto"/>
                <w:highlight w:val="none"/>
                <w:shd w:val="clear" w:color="auto" w:fill="FFFFFF"/>
              </w:rPr>
              <w:t xml:space="preserve"> 【截图加盖投标人公章】</w:t>
            </w:r>
          </w:p>
          <w:p>
            <w:pPr>
              <w:autoSpaceDE w:val="0"/>
              <w:autoSpaceDN w:val="0"/>
              <w:spacing w:line="360" w:lineRule="auto"/>
              <w:contextualSpacing/>
              <w:rPr>
                <w:rFonts w:ascii="宋体" w:hAnsi="宋体" w:cs="宋体"/>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、查询渠道：“信用中国”网站（</w:t>
            </w:r>
            <w:r>
              <w:rPr>
                <w:rFonts w:ascii="宋体" w:hAnsi="宋体" w:cs="宋体"/>
                <w:color w:val="auto"/>
                <w:kern w:val="0"/>
                <w:sz w:val="24"/>
                <w:szCs w:val="24"/>
                <w:highlight w:val="none"/>
              </w:rPr>
              <w:t>www.creditchina.gov.cn</w:t>
            </w:r>
            <w:r>
              <w:rPr>
                <w:rFonts w:hint="eastAsia" w:ascii="宋体" w:hAnsi="宋体" w:cs="宋体"/>
                <w:color w:val="auto"/>
                <w:kern w:val="0"/>
                <w:sz w:val="24"/>
                <w:szCs w:val="24"/>
                <w:highlight w:val="none"/>
              </w:rPr>
              <w:t>）和“中国政府采购网”（</w:t>
            </w:r>
            <w:r>
              <w:rPr>
                <w:rFonts w:ascii="宋体" w:hAnsi="宋体" w:cs="宋体"/>
                <w:color w:val="auto"/>
                <w:kern w:val="0"/>
                <w:sz w:val="24"/>
                <w:szCs w:val="24"/>
                <w:highlight w:val="none"/>
              </w:rPr>
              <w:t>www.ccgp.gov.cn</w:t>
            </w:r>
            <w:r>
              <w:rPr>
                <w:rFonts w:hint="eastAsia" w:ascii="宋体" w:hAnsi="宋体" w:cs="宋体"/>
                <w:color w:val="auto"/>
                <w:kern w:val="0"/>
                <w:sz w:val="24"/>
                <w:szCs w:val="24"/>
                <w:highlight w:val="none"/>
              </w:rPr>
              <w:t>）；“国家企业信用公示系统”网站（</w:t>
            </w:r>
            <w:r>
              <w:rPr>
                <w:rFonts w:ascii="宋体" w:hAnsi="宋体" w:cs="宋体"/>
                <w:color w:val="auto"/>
                <w:kern w:val="0"/>
                <w:sz w:val="24"/>
                <w:szCs w:val="24"/>
                <w:highlight w:val="none"/>
              </w:rPr>
              <w:t>www.gsxt.gov.cn</w:t>
            </w:r>
            <w:r>
              <w:rPr>
                <w:rFonts w:hint="eastAsia" w:ascii="宋体" w:hAnsi="宋体" w:cs="宋体"/>
                <w:color w:val="auto"/>
                <w:kern w:val="0"/>
                <w:sz w:val="24"/>
                <w:szCs w:val="24"/>
                <w:highlight w:val="none"/>
              </w:rPr>
              <w:t>）；</w:t>
            </w:r>
          </w:p>
          <w:p>
            <w:pPr>
              <w:autoSpaceDE w:val="0"/>
              <w:autoSpaceDN w:val="0"/>
              <w:spacing w:line="360" w:lineRule="auto"/>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2、截止时间：同投标截止时间；</w:t>
            </w:r>
          </w:p>
          <w:p>
            <w:pPr>
              <w:autoSpaceDE w:val="0"/>
              <w:autoSpaceDN w:val="0"/>
              <w:spacing w:line="360" w:lineRule="auto"/>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color w:val="auto"/>
                <w:kern w:val="0"/>
                <w:sz w:val="24"/>
                <w:szCs w:val="24"/>
                <w:highlight w:val="none"/>
              </w:rPr>
            </w:pP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5、投标人不良信用记录以采购人查询结果为准，采购人查询之后，网站信息发生的任何变更不再作为评审依据，投标人自行提供的与网站信息不一致的其他证明材料亦不作为评审依据。</w:t>
            </w:r>
          </w:p>
          <w:p>
            <w:pPr>
              <w:pStyle w:val="16"/>
              <w:widowControl/>
              <w:shd w:val="clear" w:color="auto" w:fill="FFFFFF"/>
              <w:spacing w:line="360" w:lineRule="auto"/>
              <w:contextualSpacing/>
              <w:jc w:val="left"/>
              <w:rPr>
                <w:rFonts w:ascii="宋体" w:hAnsi="宋体" w:cs="宋体"/>
                <w:b/>
                <w:color w:val="auto"/>
                <w:kern w:val="0"/>
                <w:highlight w:val="none"/>
              </w:rPr>
            </w:pPr>
            <w:r>
              <w:rPr>
                <w:rFonts w:hint="eastAsia" w:ascii="宋体" w:hAnsi="宋体" w:cs="宋体"/>
                <w:b/>
                <w:color w:val="auto"/>
                <w:kern w:val="0"/>
                <w:highlight w:val="none"/>
              </w:rPr>
              <w:t>八、投标人提供的反商业贿赂承诺书</w:t>
            </w:r>
          </w:p>
          <w:p>
            <w:pPr>
              <w:pStyle w:val="16"/>
              <w:widowControl/>
              <w:shd w:val="clear" w:color="auto" w:fill="FFFFFF"/>
              <w:spacing w:line="360" w:lineRule="auto"/>
              <w:contextualSpacing/>
              <w:jc w:val="left"/>
              <w:rPr>
                <w:rFonts w:ascii="宋体" w:hAnsi="宋体"/>
                <w:color w:val="auto"/>
                <w:highlight w:val="none"/>
              </w:rPr>
            </w:pPr>
            <w:r>
              <w:rPr>
                <w:rFonts w:hint="eastAsia" w:ascii="宋体" w:hAnsi="宋体" w:cs="宋体"/>
                <w:b/>
                <w:color w:val="auto"/>
                <w:kern w:val="0"/>
                <w:highlight w:val="none"/>
              </w:rPr>
              <w:t>九、属于河南省注册会计师协会2019年分类评价认定的B类及以上事务所；或中华人民共和国其它省注册会计师协会截止2019年公布的分类评价中，排在第二类及以上的会计师事务所（或相当于河南省注册会计师协会2019年分类评价认定的B类及以上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highlight w:val="none"/>
              </w:rPr>
            </w:pPr>
            <w:r>
              <w:rPr>
                <w:rFonts w:hint="eastAsia" w:ascii="宋体" w:hAnsi="宋体"/>
                <w:color w:val="auto"/>
                <w:sz w:val="24"/>
                <w:szCs w:val="24"/>
                <w:highlight w:val="none"/>
              </w:rPr>
              <w:t>5</w:t>
            </w:r>
          </w:p>
        </w:tc>
        <w:tc>
          <w:tcPr>
            <w:tcW w:w="2268" w:type="dxa"/>
            <w:vAlign w:val="center"/>
          </w:tcPr>
          <w:p>
            <w:pPr>
              <w:autoSpaceDE w:val="0"/>
              <w:autoSpaceDN w:val="0"/>
              <w:adjustRightInd w:val="0"/>
              <w:spacing w:line="276" w:lineRule="auto"/>
              <w:jc w:val="center"/>
              <w:rPr>
                <w:rFonts w:ascii="宋体" w:hAnsi="宋体" w:cs="宋体"/>
                <w:bCs/>
                <w:color w:val="auto"/>
                <w:sz w:val="24"/>
                <w:szCs w:val="24"/>
                <w:highlight w:val="none"/>
                <w:lang w:val="zh-CN"/>
              </w:rPr>
            </w:pPr>
            <w:r>
              <w:rPr>
                <w:rFonts w:hint="eastAsia" w:ascii="宋体" w:hAnsi="宋体" w:cs="微软雅黑"/>
                <w:b/>
                <w:color w:val="auto"/>
                <w:sz w:val="24"/>
                <w:szCs w:val="24"/>
                <w:highlight w:val="none"/>
              </w:rPr>
              <w:t>★</w:t>
            </w:r>
            <w:r>
              <w:rPr>
                <w:rFonts w:hint="eastAsia" w:ascii="宋体" w:hAnsi="宋体" w:cs="宋体"/>
                <w:bCs/>
                <w:color w:val="auto"/>
                <w:sz w:val="24"/>
                <w:szCs w:val="24"/>
                <w:highlight w:val="none"/>
                <w:lang w:val="zh-CN"/>
              </w:rPr>
              <w:t>联合体投标</w:t>
            </w:r>
          </w:p>
        </w:tc>
        <w:tc>
          <w:tcPr>
            <w:tcW w:w="6813" w:type="dxa"/>
            <w:vAlign w:val="center"/>
          </w:tcPr>
          <w:p>
            <w:pPr>
              <w:autoSpaceDE w:val="0"/>
              <w:autoSpaceDN w:val="0"/>
              <w:adjustRightInd w:val="0"/>
              <w:spacing w:line="276" w:lineRule="auto"/>
              <w:rPr>
                <w:rFonts w:ascii="宋体" w:hAnsi="宋体" w:cs="宋体"/>
                <w:bCs/>
                <w:color w:val="auto"/>
                <w:sz w:val="24"/>
                <w:szCs w:val="24"/>
                <w:highlight w:val="none"/>
                <w:lang w:val="zh-CN"/>
              </w:rPr>
            </w:pPr>
            <w:r>
              <w:rPr>
                <w:rFonts w:ascii="宋体" w:hAnsi="宋体" w:cs="宋体"/>
                <w:b/>
                <w:color w:val="auto"/>
                <w:kern w:val="0"/>
                <w:sz w:val="24"/>
                <w:szCs w:val="24"/>
                <w:highlight w:val="none"/>
                <w:lang w:val="zh-CN"/>
              </w:rPr>
              <w:fldChar w:fldCharType="begin"/>
            </w:r>
            <w:r>
              <w:rPr>
                <w:rFonts w:hint="eastAsia" w:ascii="宋体" w:hAnsi="宋体" w:cs="宋体"/>
                <w:b/>
                <w:color w:val="auto"/>
                <w:kern w:val="0"/>
                <w:sz w:val="24"/>
                <w:szCs w:val="24"/>
                <w:highlight w:val="none"/>
                <w:lang w:val="zh-CN"/>
              </w:rPr>
              <w:instrText xml:space="preserve">eq \o\ac(□,</w:instrText>
            </w:r>
            <w:r>
              <w:rPr>
                <w:rFonts w:hint="eastAsia" w:ascii="宋体" w:hAnsi="宋体" w:cs="宋体"/>
                <w:b/>
                <w:color w:val="auto"/>
                <w:kern w:val="0"/>
                <w:position w:val="2"/>
                <w:sz w:val="24"/>
                <w:szCs w:val="24"/>
                <w:highlight w:val="none"/>
                <w:lang w:val="zh-CN"/>
              </w:rPr>
              <w:instrText xml:space="preserve">√</w:instrText>
            </w:r>
            <w:r>
              <w:rPr>
                <w:rFonts w:hint="eastAsia" w:ascii="宋体" w:hAnsi="宋体" w:cs="宋体"/>
                <w:b/>
                <w:color w:val="auto"/>
                <w:kern w:val="0"/>
                <w:sz w:val="24"/>
                <w:szCs w:val="24"/>
                <w:highlight w:val="none"/>
                <w:lang w:val="zh-CN"/>
              </w:rPr>
              <w:instrText xml:space="preserve">)</w:instrText>
            </w:r>
            <w:r>
              <w:rPr>
                <w:rFonts w:ascii="宋体" w:hAnsi="宋体" w:cs="宋体"/>
                <w:b/>
                <w:color w:val="auto"/>
                <w:kern w:val="0"/>
                <w:sz w:val="24"/>
                <w:szCs w:val="24"/>
                <w:highlight w:val="none"/>
                <w:lang w:val="zh-CN"/>
              </w:rPr>
              <w:fldChar w:fldCharType="end"/>
            </w:r>
            <w:r>
              <w:rPr>
                <w:rFonts w:hint="eastAsia" w:ascii="宋体" w:hAnsi="宋体" w:cs="宋体"/>
                <w:color w:val="auto"/>
                <w:kern w:val="0"/>
                <w:sz w:val="24"/>
                <w:szCs w:val="24"/>
                <w:highlight w:val="none"/>
              </w:rPr>
              <w:t>不接受   □接受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highlight w:val="none"/>
              </w:rPr>
            </w:pPr>
            <w:r>
              <w:rPr>
                <w:rFonts w:hint="eastAsia" w:ascii="宋体" w:hAnsi="宋体"/>
                <w:color w:val="auto"/>
                <w:sz w:val="24"/>
                <w:szCs w:val="24"/>
                <w:highlight w:val="none"/>
              </w:rPr>
              <w:t>6</w:t>
            </w:r>
          </w:p>
        </w:tc>
        <w:tc>
          <w:tcPr>
            <w:tcW w:w="2268" w:type="dxa"/>
            <w:vAlign w:val="center"/>
          </w:tcPr>
          <w:p>
            <w:pPr>
              <w:autoSpaceDE w:val="0"/>
              <w:autoSpaceDN w:val="0"/>
              <w:adjustRightInd w:val="0"/>
              <w:spacing w:line="276"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最高限价</w:t>
            </w:r>
          </w:p>
        </w:tc>
        <w:tc>
          <w:tcPr>
            <w:tcW w:w="6813" w:type="dxa"/>
            <w:vAlign w:val="center"/>
          </w:tcPr>
          <w:p>
            <w:pPr>
              <w:autoSpaceDE w:val="0"/>
              <w:autoSpaceDN w:val="0"/>
              <w:adjustRightInd w:val="0"/>
              <w:spacing w:line="276"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本项目无报价要求，因此无最高限价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highlight w:val="none"/>
              </w:rPr>
            </w:pPr>
            <w:r>
              <w:rPr>
                <w:rFonts w:hint="eastAsia" w:ascii="宋体" w:hAnsi="宋体"/>
                <w:color w:val="auto"/>
                <w:sz w:val="24"/>
                <w:szCs w:val="24"/>
                <w:highlight w:val="none"/>
              </w:rPr>
              <w:t>7</w:t>
            </w:r>
          </w:p>
        </w:tc>
        <w:tc>
          <w:tcPr>
            <w:tcW w:w="2268" w:type="dxa"/>
            <w:vAlign w:val="center"/>
          </w:tcPr>
          <w:p>
            <w:pPr>
              <w:autoSpaceDE w:val="0"/>
              <w:autoSpaceDN w:val="0"/>
              <w:adjustRightInd w:val="0"/>
              <w:spacing w:line="276" w:lineRule="auto"/>
              <w:jc w:val="center"/>
              <w:rPr>
                <w:rFonts w:ascii="宋体" w:hAnsi="宋体" w:cs="宋体"/>
                <w:bCs/>
                <w:color w:val="auto"/>
                <w:sz w:val="24"/>
                <w:szCs w:val="24"/>
                <w:highlight w:val="none"/>
                <w:lang w:val="zh-CN"/>
              </w:rPr>
            </w:pPr>
            <w:r>
              <w:rPr>
                <w:rFonts w:ascii="宋体" w:hAnsi="宋体" w:cs="宋体"/>
                <w:bCs/>
                <w:color w:val="auto"/>
                <w:sz w:val="24"/>
                <w:szCs w:val="24"/>
                <w:highlight w:val="none"/>
                <w:lang w:val="zh-CN"/>
              </w:rPr>
              <w:t>现场考察</w:t>
            </w:r>
          </w:p>
        </w:tc>
        <w:tc>
          <w:tcPr>
            <w:tcW w:w="6813" w:type="dxa"/>
            <w:vAlign w:val="center"/>
          </w:tcPr>
          <w:p>
            <w:pPr>
              <w:autoSpaceDE w:val="0"/>
              <w:autoSpaceDN w:val="0"/>
              <w:adjustRightInd w:val="0"/>
              <w:spacing w:line="360" w:lineRule="auto"/>
              <w:rPr>
                <w:rFonts w:ascii="宋体" w:hAnsi="宋体" w:cs="宋体"/>
                <w:bCs/>
                <w:color w:val="auto"/>
                <w:sz w:val="24"/>
                <w:szCs w:val="24"/>
                <w:highlight w:val="none"/>
                <w:lang w:val="zh-CN"/>
              </w:rPr>
            </w:pPr>
            <w:r>
              <w:rPr>
                <w:rFonts w:ascii="宋体" w:hAnsi="宋体" w:cs="宋体"/>
                <w:b/>
                <w:color w:val="auto"/>
                <w:kern w:val="0"/>
                <w:sz w:val="24"/>
                <w:szCs w:val="24"/>
                <w:highlight w:val="none"/>
                <w:lang w:val="zh-CN"/>
              </w:rPr>
              <w:fldChar w:fldCharType="begin"/>
            </w:r>
            <w:r>
              <w:rPr>
                <w:rFonts w:hint="eastAsia" w:ascii="宋体" w:hAnsi="宋体" w:cs="宋体"/>
                <w:b/>
                <w:color w:val="auto"/>
                <w:kern w:val="0"/>
                <w:sz w:val="24"/>
                <w:szCs w:val="24"/>
                <w:highlight w:val="none"/>
                <w:lang w:val="zh-CN"/>
              </w:rPr>
              <w:instrText xml:space="preserve">eq \o\ac(□,</w:instrText>
            </w:r>
            <w:r>
              <w:rPr>
                <w:rFonts w:hint="eastAsia" w:ascii="宋体" w:hAnsi="宋体" w:cs="宋体"/>
                <w:b/>
                <w:color w:val="auto"/>
                <w:kern w:val="0"/>
                <w:position w:val="2"/>
                <w:sz w:val="24"/>
                <w:szCs w:val="24"/>
                <w:highlight w:val="none"/>
                <w:lang w:val="zh-CN"/>
              </w:rPr>
              <w:instrText xml:space="preserve">√</w:instrText>
            </w:r>
            <w:r>
              <w:rPr>
                <w:rFonts w:hint="eastAsia" w:ascii="宋体" w:hAnsi="宋体" w:cs="宋体"/>
                <w:b/>
                <w:color w:val="auto"/>
                <w:kern w:val="0"/>
                <w:sz w:val="24"/>
                <w:szCs w:val="24"/>
                <w:highlight w:val="none"/>
                <w:lang w:val="zh-CN"/>
              </w:rPr>
              <w:instrText xml:space="preserve">)</w:instrText>
            </w:r>
            <w:r>
              <w:rPr>
                <w:rFonts w:ascii="宋体" w:hAnsi="宋体" w:cs="宋体"/>
                <w:b/>
                <w:color w:val="auto"/>
                <w:kern w:val="0"/>
                <w:sz w:val="24"/>
                <w:szCs w:val="24"/>
                <w:highlight w:val="none"/>
                <w:lang w:val="zh-CN"/>
              </w:rPr>
              <w:fldChar w:fldCharType="end"/>
            </w:r>
            <w:r>
              <w:rPr>
                <w:rFonts w:hint="eastAsia" w:ascii="宋体" w:hAnsi="宋体" w:cs="宋体"/>
                <w:color w:val="auto"/>
                <w:kern w:val="0"/>
                <w:sz w:val="24"/>
                <w:szCs w:val="24"/>
                <w:highlight w:val="none"/>
              </w:rPr>
              <w:t>不组织   □组织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highlight w:val="none"/>
              </w:rPr>
            </w:pPr>
            <w:r>
              <w:rPr>
                <w:rFonts w:hint="eastAsia" w:ascii="宋体" w:hAnsi="宋体"/>
                <w:color w:val="auto"/>
                <w:sz w:val="24"/>
                <w:szCs w:val="24"/>
                <w:highlight w:val="none"/>
              </w:rPr>
              <w:t>8</w:t>
            </w:r>
          </w:p>
        </w:tc>
        <w:tc>
          <w:tcPr>
            <w:tcW w:w="2268" w:type="dxa"/>
            <w:vAlign w:val="center"/>
          </w:tcPr>
          <w:p>
            <w:pPr>
              <w:autoSpaceDE w:val="0"/>
              <w:autoSpaceDN w:val="0"/>
              <w:adjustRightInd w:val="0"/>
              <w:spacing w:line="276" w:lineRule="auto"/>
              <w:jc w:val="center"/>
              <w:rPr>
                <w:rFonts w:ascii="宋体" w:hAnsi="宋体" w:cs="宋体"/>
                <w:bCs/>
                <w:color w:val="auto"/>
                <w:sz w:val="24"/>
                <w:szCs w:val="24"/>
                <w:highlight w:val="none"/>
                <w:lang w:val="zh-CN"/>
              </w:rPr>
            </w:pPr>
            <w:r>
              <w:rPr>
                <w:rFonts w:ascii="宋体" w:hAnsi="宋体" w:cs="宋体"/>
                <w:bCs/>
                <w:color w:val="auto"/>
                <w:sz w:val="24"/>
                <w:szCs w:val="24"/>
                <w:highlight w:val="none"/>
                <w:lang w:val="zh-CN"/>
              </w:rPr>
              <w:t>开标前答疑会</w:t>
            </w:r>
          </w:p>
        </w:tc>
        <w:tc>
          <w:tcPr>
            <w:tcW w:w="6813" w:type="dxa"/>
            <w:vAlign w:val="center"/>
          </w:tcPr>
          <w:p>
            <w:pPr>
              <w:autoSpaceDE w:val="0"/>
              <w:autoSpaceDN w:val="0"/>
              <w:adjustRightInd w:val="0"/>
              <w:spacing w:line="360" w:lineRule="auto"/>
              <w:rPr>
                <w:rFonts w:ascii="宋体" w:hAnsi="宋体" w:cs="宋体"/>
                <w:color w:val="auto"/>
                <w:kern w:val="0"/>
                <w:sz w:val="24"/>
                <w:szCs w:val="24"/>
                <w:highlight w:val="none"/>
                <w:lang w:val="zh-CN"/>
              </w:rPr>
            </w:pPr>
            <w:r>
              <w:rPr>
                <w:rFonts w:ascii="宋体" w:hAnsi="宋体" w:cs="宋体"/>
                <w:b/>
                <w:color w:val="auto"/>
                <w:kern w:val="0"/>
                <w:sz w:val="24"/>
                <w:szCs w:val="24"/>
                <w:highlight w:val="none"/>
                <w:lang w:val="zh-CN"/>
              </w:rPr>
              <w:fldChar w:fldCharType="begin"/>
            </w:r>
            <w:r>
              <w:rPr>
                <w:rFonts w:hint="eastAsia" w:ascii="宋体" w:hAnsi="宋体" w:cs="宋体"/>
                <w:b/>
                <w:color w:val="auto"/>
                <w:kern w:val="0"/>
                <w:sz w:val="24"/>
                <w:szCs w:val="24"/>
                <w:highlight w:val="none"/>
                <w:lang w:val="zh-CN"/>
              </w:rPr>
              <w:instrText xml:space="preserve">eq \o\ac(□,</w:instrText>
            </w:r>
            <w:r>
              <w:rPr>
                <w:rFonts w:hint="eastAsia" w:ascii="宋体" w:hAnsi="宋体" w:cs="宋体"/>
                <w:b/>
                <w:color w:val="auto"/>
                <w:kern w:val="0"/>
                <w:position w:val="2"/>
                <w:sz w:val="24"/>
                <w:szCs w:val="24"/>
                <w:highlight w:val="none"/>
                <w:lang w:val="zh-CN"/>
              </w:rPr>
              <w:instrText xml:space="preserve">√</w:instrText>
            </w:r>
            <w:r>
              <w:rPr>
                <w:rFonts w:hint="eastAsia" w:ascii="宋体" w:hAnsi="宋体" w:cs="宋体"/>
                <w:b/>
                <w:color w:val="auto"/>
                <w:kern w:val="0"/>
                <w:sz w:val="24"/>
                <w:szCs w:val="24"/>
                <w:highlight w:val="none"/>
                <w:lang w:val="zh-CN"/>
              </w:rPr>
              <w:instrText xml:space="preserve">)</w:instrText>
            </w:r>
            <w:r>
              <w:rPr>
                <w:rFonts w:ascii="宋体" w:hAnsi="宋体" w:cs="宋体"/>
                <w:b/>
                <w:color w:val="auto"/>
                <w:kern w:val="0"/>
                <w:sz w:val="24"/>
                <w:szCs w:val="24"/>
                <w:highlight w:val="none"/>
                <w:lang w:val="zh-CN"/>
              </w:rPr>
              <w:fldChar w:fldCharType="end"/>
            </w:r>
            <w:r>
              <w:rPr>
                <w:rFonts w:hint="eastAsia" w:ascii="宋体" w:hAnsi="宋体" w:cs="宋体"/>
                <w:bCs/>
                <w:color w:val="auto"/>
                <w:sz w:val="24"/>
                <w:szCs w:val="24"/>
                <w:highlight w:val="none"/>
                <w:lang w:val="zh-CN"/>
              </w:rPr>
              <w:t>不召开</w:t>
            </w:r>
          </w:p>
          <w:p>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highlight w:val="none"/>
              </w:rPr>
            </w:pPr>
            <w:r>
              <w:rPr>
                <w:rFonts w:hint="eastAsia" w:ascii="宋体" w:hAnsi="宋体"/>
                <w:color w:val="auto"/>
                <w:sz w:val="24"/>
                <w:szCs w:val="24"/>
                <w:highlight w:val="none"/>
              </w:rPr>
              <w:t>9</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highlight w:val="none"/>
              </w:rPr>
            </w:pPr>
            <w:r>
              <w:rPr>
                <w:rFonts w:hint="eastAsia" w:ascii="宋体" w:hAnsi="宋体" w:cs="仿宋_GB2312"/>
                <w:color w:val="auto"/>
                <w:sz w:val="24"/>
                <w:szCs w:val="24"/>
                <w:highlight w:val="none"/>
              </w:rPr>
              <w:t>进口产品参与</w:t>
            </w:r>
          </w:p>
        </w:tc>
        <w:tc>
          <w:tcPr>
            <w:tcW w:w="6813" w:type="dxa"/>
            <w:vAlign w:val="center"/>
          </w:tcPr>
          <w:p>
            <w:pPr>
              <w:autoSpaceDE w:val="0"/>
              <w:autoSpaceDN w:val="0"/>
              <w:adjustRightInd w:val="0"/>
              <w:spacing w:line="276" w:lineRule="auto"/>
              <w:rPr>
                <w:rFonts w:ascii="宋体" w:hAnsi="宋体"/>
                <w:color w:val="auto"/>
                <w:sz w:val="24"/>
                <w:szCs w:val="24"/>
                <w:highlight w:val="none"/>
              </w:rPr>
            </w:pPr>
            <w:r>
              <w:rPr>
                <w:rFonts w:ascii="宋体" w:hAnsi="宋体" w:cs="宋体"/>
                <w:b/>
                <w:color w:val="auto"/>
                <w:kern w:val="0"/>
                <w:sz w:val="24"/>
                <w:szCs w:val="24"/>
                <w:highlight w:val="none"/>
                <w:lang w:val="zh-CN"/>
              </w:rPr>
              <w:fldChar w:fldCharType="begin"/>
            </w:r>
            <w:r>
              <w:rPr>
                <w:rFonts w:hint="eastAsia" w:ascii="宋体" w:hAnsi="宋体" w:cs="宋体"/>
                <w:b/>
                <w:color w:val="auto"/>
                <w:kern w:val="0"/>
                <w:sz w:val="24"/>
                <w:szCs w:val="24"/>
                <w:highlight w:val="none"/>
                <w:lang w:val="zh-CN"/>
              </w:rPr>
              <w:instrText xml:space="preserve">eq \o\ac(□,</w:instrText>
            </w:r>
            <w:r>
              <w:rPr>
                <w:rFonts w:hint="eastAsia" w:ascii="宋体" w:hAnsi="宋体" w:cs="宋体"/>
                <w:b/>
                <w:color w:val="auto"/>
                <w:kern w:val="0"/>
                <w:position w:val="2"/>
                <w:sz w:val="24"/>
                <w:szCs w:val="24"/>
                <w:highlight w:val="none"/>
                <w:lang w:val="zh-CN"/>
              </w:rPr>
              <w:instrText xml:space="preserve">√</w:instrText>
            </w:r>
            <w:r>
              <w:rPr>
                <w:rFonts w:hint="eastAsia" w:ascii="宋体" w:hAnsi="宋体" w:cs="宋体"/>
                <w:b/>
                <w:color w:val="auto"/>
                <w:kern w:val="0"/>
                <w:sz w:val="24"/>
                <w:szCs w:val="24"/>
                <w:highlight w:val="none"/>
                <w:lang w:val="zh-CN"/>
              </w:rPr>
              <w:instrText xml:space="preserve">)</w:instrText>
            </w:r>
            <w:r>
              <w:rPr>
                <w:rFonts w:ascii="宋体" w:hAnsi="宋体" w:cs="宋体"/>
                <w:b/>
                <w:color w:val="auto"/>
                <w:kern w:val="0"/>
                <w:sz w:val="24"/>
                <w:szCs w:val="24"/>
                <w:highlight w:val="none"/>
                <w:lang w:val="zh-CN"/>
              </w:rPr>
              <w:fldChar w:fldCharType="end"/>
            </w:r>
            <w:r>
              <w:rPr>
                <w:rFonts w:hint="eastAsia" w:ascii="宋体" w:hAnsi="宋体" w:cs="宋体"/>
                <w:bCs/>
                <w:color w:val="auto"/>
                <w:sz w:val="24"/>
                <w:szCs w:val="24"/>
                <w:highlight w:val="none"/>
                <w:lang w:val="zh-CN"/>
              </w:rPr>
              <w:t xml:space="preserve">不允许    </w:t>
            </w:r>
            <w:r>
              <w:rPr>
                <w:rFonts w:hint="eastAsia" w:ascii="宋体" w:hAnsi="宋体" w:cs="宋体"/>
                <w:b/>
                <w:bCs/>
                <w:color w:val="auto"/>
                <w:sz w:val="24"/>
                <w:szCs w:val="24"/>
                <w:highlight w:val="none"/>
                <w:lang w:val="zh-CN"/>
              </w:rPr>
              <w:t>□</w:t>
            </w:r>
            <w:r>
              <w:rPr>
                <w:rFonts w:hint="eastAsia" w:ascii="宋体" w:hAnsi="宋体"/>
                <w:color w:val="auto"/>
                <w:sz w:val="24"/>
                <w:szCs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highlight w:val="none"/>
              </w:rPr>
            </w:pPr>
            <w:r>
              <w:rPr>
                <w:rFonts w:hint="eastAsia" w:ascii="宋体" w:hAnsi="宋体"/>
                <w:color w:val="auto"/>
                <w:sz w:val="24"/>
                <w:szCs w:val="24"/>
                <w:highlight w:val="none"/>
              </w:rPr>
              <w:t>10</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highlight w:val="none"/>
              </w:rPr>
            </w:pPr>
            <w:r>
              <w:rPr>
                <w:rFonts w:hint="eastAsia" w:ascii="宋体" w:hAnsi="宋体" w:cs="微软雅黑"/>
                <w:b/>
                <w:color w:val="auto"/>
                <w:sz w:val="24"/>
                <w:szCs w:val="24"/>
                <w:highlight w:val="none"/>
              </w:rPr>
              <w:t>★</w:t>
            </w:r>
            <w:r>
              <w:rPr>
                <w:rFonts w:hint="eastAsia" w:ascii="宋体" w:hAnsi="宋体" w:cs="仿宋_GB2312"/>
                <w:color w:val="auto"/>
                <w:sz w:val="24"/>
                <w:szCs w:val="24"/>
                <w:highlight w:val="none"/>
              </w:rPr>
              <w:t>投标有效期</w:t>
            </w:r>
          </w:p>
        </w:tc>
        <w:tc>
          <w:tcPr>
            <w:tcW w:w="6813" w:type="dxa"/>
            <w:vAlign w:val="center"/>
          </w:tcPr>
          <w:p>
            <w:pPr>
              <w:autoSpaceDE w:val="0"/>
              <w:autoSpaceDN w:val="0"/>
              <w:adjustRightInd w:val="0"/>
              <w:spacing w:line="360" w:lineRule="auto"/>
              <w:rPr>
                <w:rFonts w:ascii="宋体" w:hAnsi="宋体" w:cs="仿宋_GB2312"/>
                <w:color w:val="auto"/>
                <w:sz w:val="24"/>
                <w:szCs w:val="24"/>
                <w:highlight w:val="none"/>
              </w:rPr>
            </w:pPr>
            <w:r>
              <w:rPr>
                <w:rFonts w:hint="eastAsia" w:ascii="宋体" w:hAnsi="宋体" w:cs="仿宋_GB2312"/>
                <w:color w:val="auto"/>
                <w:sz w:val="24"/>
                <w:szCs w:val="24"/>
                <w:highlight w:val="none"/>
              </w:rPr>
              <w:t>60日历天（自</w:t>
            </w:r>
            <w:r>
              <w:rPr>
                <w:rFonts w:hint="eastAsia" w:ascii="宋体" w:hAnsi="宋体" w:cs="宋体"/>
                <w:color w:val="auto"/>
                <w:kern w:val="0"/>
                <w:sz w:val="24"/>
                <w:szCs w:val="24"/>
                <w:highlight w:val="none"/>
              </w:rPr>
              <w:t>提交投标文件的截止之日起算</w:t>
            </w:r>
            <w:r>
              <w:rPr>
                <w:rFonts w:hint="eastAsia" w:ascii="宋体" w:hAnsi="宋体" w:cs="仿宋_GB2312"/>
                <w:color w:val="auto"/>
                <w:sz w:val="24"/>
                <w:szCs w:val="24"/>
                <w:highlight w:val="none"/>
              </w:rPr>
              <w:t>）</w:t>
            </w:r>
          </w:p>
          <w:p>
            <w:pPr>
              <w:autoSpaceDE w:val="0"/>
              <w:autoSpaceDN w:val="0"/>
              <w:adjustRightInd w:val="0"/>
              <w:spacing w:line="360" w:lineRule="auto"/>
              <w:rPr>
                <w:rFonts w:ascii="宋体" w:hAnsi="宋体" w:cs="仿宋_GB2312"/>
                <w:color w:val="auto"/>
                <w:sz w:val="24"/>
                <w:szCs w:val="24"/>
                <w:highlight w:val="none"/>
              </w:rPr>
            </w:pPr>
            <w:r>
              <w:rPr>
                <w:rFonts w:ascii="宋体" w:hAnsi="宋体" w:cs="仿宋_GB2312"/>
                <w:color w:val="auto"/>
                <w:sz w:val="24"/>
                <w:szCs w:val="24"/>
                <w:highlight w:val="none"/>
                <w:lang w:val="zh-CN"/>
              </w:rPr>
              <w:t>中标</w:t>
            </w:r>
            <w:r>
              <w:rPr>
                <w:rFonts w:hint="eastAsia" w:ascii="宋体" w:hAnsi="宋体" w:cs="仿宋_GB2312"/>
                <w:color w:val="auto"/>
                <w:sz w:val="24"/>
                <w:szCs w:val="24"/>
                <w:highlight w:val="none"/>
                <w:lang w:val="zh-CN"/>
              </w:rPr>
              <w:t>人投标</w:t>
            </w:r>
            <w:r>
              <w:rPr>
                <w:rFonts w:ascii="宋体" w:hAnsi="宋体" w:cs="仿宋_GB2312"/>
                <w:color w:val="auto"/>
                <w:sz w:val="24"/>
                <w:szCs w:val="24"/>
                <w:highlight w:val="none"/>
                <w:lang w:val="zh-CN"/>
              </w:rPr>
              <w:t>有效期延</w:t>
            </w:r>
            <w:r>
              <w:rPr>
                <w:rFonts w:hint="eastAsia" w:ascii="宋体" w:hAnsi="宋体" w:cs="仿宋_GB2312"/>
                <w:color w:val="auto"/>
                <w:sz w:val="24"/>
                <w:szCs w:val="24"/>
                <w:highlight w:val="none"/>
                <w:lang w:val="zh-CN"/>
              </w:rPr>
              <w:t>至合同</w:t>
            </w:r>
            <w:r>
              <w:rPr>
                <w:rFonts w:ascii="宋体" w:hAnsi="宋体" w:cs="仿宋_GB2312"/>
                <w:color w:val="auto"/>
                <w:sz w:val="24"/>
                <w:szCs w:val="24"/>
                <w:highlight w:val="none"/>
                <w:lang w:val="zh-CN"/>
              </w:rPr>
              <w:t>验收之日</w:t>
            </w:r>
            <w:r>
              <w:rPr>
                <w:rFonts w:hint="eastAsia" w:ascii="宋体" w:hAnsi="宋体" w:cs="仿宋_GB2312"/>
                <w:color w:val="auto"/>
                <w:sz w:val="24"/>
                <w:szCs w:val="24"/>
                <w:highlight w:val="none"/>
                <w:lang w:val="zh-CN"/>
              </w:rPr>
              <w:t>，</w:t>
            </w:r>
            <w:r>
              <w:rPr>
                <w:rFonts w:hint="eastAsia" w:ascii="宋体" w:hAnsi="宋体" w:cs="宋体"/>
                <w:color w:val="auto"/>
                <w:kern w:val="0"/>
                <w:sz w:val="24"/>
                <w:szCs w:val="24"/>
                <w:highlight w:val="none"/>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highlight w:val="none"/>
              </w:rPr>
            </w:pPr>
            <w:r>
              <w:rPr>
                <w:rFonts w:hint="eastAsia" w:ascii="宋体" w:hAnsi="宋体"/>
                <w:color w:val="auto"/>
                <w:sz w:val="24"/>
                <w:szCs w:val="24"/>
                <w:highlight w:val="none"/>
              </w:rPr>
              <w:t>11</w:t>
            </w:r>
          </w:p>
        </w:tc>
        <w:tc>
          <w:tcPr>
            <w:tcW w:w="2268" w:type="dxa"/>
            <w:vAlign w:val="center"/>
          </w:tcPr>
          <w:p>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微软雅黑"/>
                <w:b/>
                <w:color w:val="auto"/>
                <w:sz w:val="24"/>
                <w:szCs w:val="24"/>
                <w:highlight w:val="none"/>
              </w:rPr>
              <w:t>★</w:t>
            </w:r>
            <w:r>
              <w:rPr>
                <w:rFonts w:ascii="宋体" w:hAnsi="宋体" w:cs="宋体"/>
                <w:bCs/>
                <w:color w:val="auto"/>
                <w:sz w:val="24"/>
                <w:szCs w:val="24"/>
                <w:highlight w:val="none"/>
                <w:lang w:val="zh-CN"/>
              </w:rPr>
              <w:t>中标人将本项目的非主体、非关键性</w:t>
            </w:r>
          </w:p>
          <w:p>
            <w:pPr>
              <w:autoSpaceDE w:val="0"/>
              <w:autoSpaceDN w:val="0"/>
              <w:adjustRightInd w:val="0"/>
              <w:spacing w:line="360" w:lineRule="auto"/>
              <w:jc w:val="center"/>
              <w:rPr>
                <w:rFonts w:ascii="宋体" w:hAnsi="宋体" w:cs="仿宋_GB2312"/>
                <w:color w:val="auto"/>
                <w:sz w:val="24"/>
                <w:szCs w:val="24"/>
                <w:highlight w:val="none"/>
              </w:rPr>
            </w:pPr>
            <w:r>
              <w:rPr>
                <w:rFonts w:ascii="宋体" w:hAnsi="宋体" w:cs="宋体"/>
                <w:bCs/>
                <w:color w:val="auto"/>
                <w:sz w:val="24"/>
                <w:szCs w:val="24"/>
                <w:highlight w:val="none"/>
                <w:lang w:val="zh-CN"/>
              </w:rPr>
              <w:t>工作分包</w:t>
            </w:r>
          </w:p>
        </w:tc>
        <w:tc>
          <w:tcPr>
            <w:tcW w:w="6813" w:type="dxa"/>
            <w:vAlign w:val="center"/>
          </w:tcPr>
          <w:p>
            <w:pPr>
              <w:autoSpaceDE w:val="0"/>
              <w:autoSpaceDN w:val="0"/>
              <w:adjustRightInd w:val="0"/>
              <w:spacing w:line="276" w:lineRule="auto"/>
              <w:rPr>
                <w:rFonts w:ascii="宋体" w:hAnsi="宋体" w:cs="仿宋_GB2312"/>
                <w:color w:val="auto"/>
                <w:sz w:val="24"/>
                <w:szCs w:val="24"/>
                <w:highlight w:val="none"/>
              </w:rPr>
            </w:pPr>
            <w:r>
              <w:rPr>
                <w:rFonts w:ascii="宋体" w:hAnsi="宋体" w:cs="宋体"/>
                <w:b/>
                <w:color w:val="auto"/>
                <w:kern w:val="0"/>
                <w:sz w:val="24"/>
                <w:szCs w:val="24"/>
                <w:highlight w:val="none"/>
                <w:lang w:val="zh-CN"/>
              </w:rPr>
              <w:fldChar w:fldCharType="begin"/>
            </w:r>
            <w:r>
              <w:rPr>
                <w:rFonts w:hint="eastAsia" w:ascii="宋体" w:hAnsi="宋体" w:cs="宋体"/>
                <w:b/>
                <w:color w:val="auto"/>
                <w:kern w:val="0"/>
                <w:sz w:val="24"/>
                <w:szCs w:val="24"/>
                <w:highlight w:val="none"/>
                <w:lang w:val="zh-CN"/>
              </w:rPr>
              <w:instrText xml:space="preserve">eq \o\ac(□,</w:instrText>
            </w:r>
            <w:r>
              <w:rPr>
                <w:rFonts w:hint="eastAsia" w:ascii="宋体" w:hAnsi="宋体" w:cs="宋体"/>
                <w:b/>
                <w:color w:val="auto"/>
                <w:kern w:val="0"/>
                <w:position w:val="2"/>
                <w:sz w:val="24"/>
                <w:szCs w:val="24"/>
                <w:highlight w:val="none"/>
                <w:lang w:val="zh-CN"/>
              </w:rPr>
              <w:instrText xml:space="preserve">√</w:instrText>
            </w:r>
            <w:r>
              <w:rPr>
                <w:rFonts w:hint="eastAsia" w:ascii="宋体" w:hAnsi="宋体" w:cs="宋体"/>
                <w:b/>
                <w:color w:val="auto"/>
                <w:kern w:val="0"/>
                <w:sz w:val="24"/>
                <w:szCs w:val="24"/>
                <w:highlight w:val="none"/>
                <w:lang w:val="zh-CN"/>
              </w:rPr>
              <w:instrText xml:space="preserve">)</w:instrText>
            </w:r>
            <w:r>
              <w:rPr>
                <w:rFonts w:ascii="宋体" w:hAnsi="宋体" w:cs="宋体"/>
                <w:b/>
                <w:color w:val="auto"/>
                <w:kern w:val="0"/>
                <w:sz w:val="24"/>
                <w:szCs w:val="24"/>
                <w:highlight w:val="none"/>
                <w:lang w:val="zh-CN"/>
              </w:rPr>
              <w:fldChar w:fldCharType="end"/>
            </w:r>
            <w:r>
              <w:rPr>
                <w:rFonts w:hint="eastAsia" w:ascii="宋体" w:hAnsi="宋体" w:cs="宋体"/>
                <w:bCs/>
                <w:color w:val="auto"/>
                <w:sz w:val="24"/>
                <w:szCs w:val="24"/>
                <w:highlight w:val="none"/>
                <w:lang w:val="zh-CN"/>
              </w:rPr>
              <w:t xml:space="preserve">不允许   </w:t>
            </w:r>
            <w:r>
              <w:rPr>
                <w:rFonts w:hint="eastAsia" w:ascii="宋体" w:hAnsi="宋体" w:cs="宋体"/>
                <w:b/>
                <w:bCs/>
                <w:color w:val="auto"/>
                <w:sz w:val="24"/>
                <w:szCs w:val="24"/>
                <w:highlight w:val="none"/>
                <w:lang w:val="zh-CN"/>
              </w:rPr>
              <w:t>□</w:t>
            </w:r>
            <w:r>
              <w:rPr>
                <w:rFonts w:hint="eastAsia" w:ascii="宋体" w:hAnsi="宋体" w:cs="仿宋_GB2312"/>
                <w:color w:val="auto"/>
                <w:sz w:val="24"/>
                <w:szCs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highlight w:val="none"/>
              </w:rPr>
            </w:pPr>
            <w:r>
              <w:rPr>
                <w:rFonts w:hint="eastAsia" w:ascii="宋体" w:hAnsi="宋体"/>
                <w:color w:val="auto"/>
                <w:sz w:val="24"/>
                <w:szCs w:val="24"/>
                <w:highlight w:val="none"/>
              </w:rPr>
              <w:t>12</w:t>
            </w:r>
          </w:p>
        </w:tc>
        <w:tc>
          <w:tcPr>
            <w:tcW w:w="2268" w:type="dxa"/>
            <w:vAlign w:val="center"/>
          </w:tcPr>
          <w:p>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投标截止及</w:t>
            </w:r>
          </w:p>
          <w:p>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开标时间</w:t>
            </w:r>
          </w:p>
        </w:tc>
        <w:tc>
          <w:tcPr>
            <w:tcW w:w="6813" w:type="dxa"/>
            <w:vAlign w:val="center"/>
          </w:tcPr>
          <w:p>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2019年 9 月 3 日 8 时 30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highlight w:val="none"/>
              </w:rPr>
            </w:pPr>
            <w:r>
              <w:rPr>
                <w:rFonts w:hint="eastAsia" w:ascii="宋体" w:hAnsi="宋体"/>
                <w:color w:val="auto"/>
                <w:sz w:val="24"/>
                <w:szCs w:val="24"/>
                <w:highlight w:val="none"/>
              </w:rPr>
              <w:t>13</w:t>
            </w:r>
          </w:p>
        </w:tc>
        <w:tc>
          <w:tcPr>
            <w:tcW w:w="2268" w:type="dxa"/>
            <w:vAlign w:val="center"/>
          </w:tcPr>
          <w:p>
            <w:pPr>
              <w:autoSpaceDE w:val="0"/>
              <w:autoSpaceDN w:val="0"/>
              <w:adjustRightIn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递交投标文件</w:t>
            </w:r>
          </w:p>
          <w:p>
            <w:pPr>
              <w:autoSpaceDE w:val="0"/>
              <w:autoSpaceDN w:val="0"/>
              <w:adjustRightIn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及开标地点</w:t>
            </w:r>
          </w:p>
        </w:tc>
        <w:tc>
          <w:tcPr>
            <w:tcW w:w="6813" w:type="dxa"/>
            <w:vAlign w:val="center"/>
          </w:tcPr>
          <w:p>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许昌市公共资源交易中心三楼开标</w:t>
            </w:r>
            <w:r>
              <w:rPr>
                <w:rFonts w:hint="eastAsia" w:ascii="宋体" w:hAnsi="宋体" w:cs="宋体"/>
                <w:bCs/>
                <w:color w:val="auto"/>
                <w:sz w:val="24"/>
                <w:szCs w:val="24"/>
                <w:highlight w:val="none"/>
                <w:u w:val="none"/>
                <w:lang w:val="zh-CN"/>
              </w:rPr>
              <w:t>二</w:t>
            </w:r>
            <w:r>
              <w:rPr>
                <w:rFonts w:hint="eastAsia" w:ascii="宋体" w:hAnsi="宋体" w:cs="宋体"/>
                <w:bCs/>
                <w:color w:val="auto"/>
                <w:sz w:val="24"/>
                <w:szCs w:val="24"/>
                <w:highlight w:val="none"/>
                <w:lang w:val="zh-CN"/>
              </w:rPr>
              <w:t>室（</w:t>
            </w:r>
            <w:r>
              <w:rPr>
                <w:rFonts w:ascii="宋体" w:hAnsi="宋体" w:cs="宋体"/>
                <w:bCs/>
                <w:color w:val="auto"/>
                <w:sz w:val="24"/>
                <w:szCs w:val="24"/>
                <w:highlight w:val="none"/>
                <w:lang w:val="zh-CN"/>
              </w:rPr>
              <w:t>龙兴路与竹林路交汇处</w:t>
            </w:r>
            <w:r>
              <w:rPr>
                <w:rFonts w:hint="eastAsia" w:ascii="宋体" w:hAnsi="宋体" w:cs="宋体"/>
                <w:bCs/>
                <w:color w:val="auto"/>
                <w:sz w:val="24"/>
                <w:szCs w:val="24"/>
                <w:highlight w:val="none"/>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highlight w:val="none"/>
              </w:rPr>
            </w:pPr>
            <w:r>
              <w:rPr>
                <w:rFonts w:hint="eastAsia" w:ascii="宋体" w:hAnsi="宋体"/>
                <w:color w:val="auto"/>
                <w:sz w:val="24"/>
                <w:szCs w:val="24"/>
                <w:highlight w:val="none"/>
              </w:rPr>
              <w:t>14</w:t>
            </w:r>
          </w:p>
        </w:tc>
        <w:tc>
          <w:tcPr>
            <w:tcW w:w="2268" w:type="dxa"/>
            <w:vAlign w:val="center"/>
          </w:tcPr>
          <w:p>
            <w:pPr>
              <w:autoSpaceDE w:val="0"/>
              <w:autoSpaceDN w:val="0"/>
              <w:adjustRightInd w:val="0"/>
              <w:spacing w:line="276" w:lineRule="auto"/>
              <w:jc w:val="center"/>
              <w:rPr>
                <w:rFonts w:ascii="宋体" w:hAnsi="宋体" w:cs="宋体"/>
                <w:bCs/>
                <w:color w:val="auto"/>
                <w:sz w:val="24"/>
                <w:szCs w:val="24"/>
                <w:highlight w:val="none"/>
                <w:lang w:val="zh-CN"/>
              </w:rPr>
            </w:pPr>
            <w:r>
              <w:rPr>
                <w:rFonts w:hint="eastAsia" w:ascii="宋体" w:hAnsi="宋体" w:cs="宋体"/>
                <w:color w:val="auto"/>
                <w:kern w:val="0"/>
                <w:sz w:val="24"/>
                <w:szCs w:val="24"/>
                <w:highlight w:val="none"/>
              </w:rPr>
              <w:t>投标保证金</w:t>
            </w:r>
          </w:p>
        </w:tc>
        <w:tc>
          <w:tcPr>
            <w:tcW w:w="6813" w:type="dxa"/>
            <w:vAlign w:val="center"/>
          </w:tcPr>
          <w:p>
            <w:pPr>
              <w:tabs>
                <w:tab w:val="left" w:pos="1260"/>
              </w:tabs>
              <w:autoSpaceDE w:val="0"/>
              <w:autoSpaceDN w:val="0"/>
              <w:spacing w:line="360" w:lineRule="auto"/>
              <w:contextualSpacing/>
              <w:rPr>
                <w:rFonts w:ascii="宋体" w:hAnsi="宋体" w:cs="仿宋_GB2312"/>
                <w:color w:val="auto"/>
                <w:sz w:val="24"/>
                <w:szCs w:val="24"/>
                <w:highlight w:val="none"/>
                <w:lang w:val="zh-CN"/>
              </w:rPr>
            </w:pPr>
            <w:r>
              <w:rPr>
                <w:rFonts w:hint="eastAsia" w:ascii="宋体" w:hAnsi="宋体" w:cs="仿宋_GB2312"/>
                <w:color w:val="auto"/>
                <w:sz w:val="24"/>
                <w:szCs w:val="24"/>
                <w:highlight w:val="none"/>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highlight w:val="none"/>
              </w:rPr>
            </w:pPr>
            <w:r>
              <w:rPr>
                <w:rFonts w:hint="eastAsia" w:ascii="宋体" w:hAnsi="宋体"/>
                <w:color w:val="auto"/>
                <w:sz w:val="24"/>
                <w:szCs w:val="24"/>
                <w:highlight w:val="none"/>
              </w:rPr>
              <w:t>15</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highlight w:val="none"/>
              </w:rPr>
            </w:pPr>
            <w:r>
              <w:rPr>
                <w:rFonts w:hint="eastAsia" w:ascii="宋体" w:hAnsi="宋体" w:cs="仿宋_GB2312"/>
                <w:color w:val="auto"/>
                <w:sz w:val="24"/>
                <w:szCs w:val="24"/>
                <w:highlight w:val="none"/>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color w:val="auto"/>
                <w:sz w:val="24"/>
                <w:szCs w:val="24"/>
                <w:highlight w:val="none"/>
              </w:rPr>
              <w:t>招标公告、中标公告、变更（更正）公告、现场勘察答复等相关信息同时在以下网站发布：《中国政府采购网》、《河南省政府采购网》和《全国公共资源交易平台（河南省·许昌市）》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highlight w:val="none"/>
              </w:rPr>
            </w:pPr>
            <w:r>
              <w:rPr>
                <w:rFonts w:hint="eastAsia" w:ascii="宋体" w:hAnsi="宋体"/>
                <w:color w:val="auto"/>
                <w:sz w:val="24"/>
                <w:szCs w:val="24"/>
                <w:highlight w:val="none"/>
              </w:rPr>
              <w:t>16</w:t>
            </w:r>
          </w:p>
        </w:tc>
        <w:tc>
          <w:tcPr>
            <w:tcW w:w="2268" w:type="dxa"/>
            <w:vAlign w:val="center"/>
          </w:tcPr>
          <w:p>
            <w:pPr>
              <w:autoSpaceDE w:val="0"/>
              <w:autoSpaceDN w:val="0"/>
              <w:adjustRightInd w:val="0"/>
              <w:spacing w:line="360" w:lineRule="auto"/>
              <w:jc w:val="center"/>
              <w:rPr>
                <w:rFonts w:ascii="宋体" w:hAnsi="宋体"/>
                <w:color w:val="auto"/>
                <w:sz w:val="24"/>
                <w:szCs w:val="24"/>
                <w:highlight w:val="none"/>
              </w:rPr>
            </w:pPr>
            <w:r>
              <w:rPr>
                <w:rFonts w:hint="eastAsia" w:ascii="宋体" w:hAnsi="宋体" w:cs="仿宋_GB2312"/>
                <w:color w:val="auto"/>
                <w:sz w:val="24"/>
                <w:szCs w:val="24"/>
                <w:highlight w:val="none"/>
              </w:rPr>
              <w:t>采购人澄清或修改招标文件时间</w:t>
            </w:r>
          </w:p>
        </w:tc>
        <w:tc>
          <w:tcPr>
            <w:tcW w:w="6813" w:type="dxa"/>
            <w:vAlign w:val="center"/>
          </w:tcPr>
          <w:p>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投标截止时间15日前（</w:t>
            </w:r>
            <w:r>
              <w:rPr>
                <w:rFonts w:hint="eastAsia" w:ascii="宋体" w:hAnsi="宋体" w:cs="仿宋_GB2312"/>
                <w:color w:val="auto"/>
                <w:sz w:val="24"/>
                <w:szCs w:val="24"/>
                <w:highlight w:val="none"/>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highlight w:val="none"/>
              </w:rPr>
            </w:pPr>
            <w:r>
              <w:rPr>
                <w:rFonts w:hint="eastAsia" w:ascii="宋体" w:hAnsi="宋体"/>
                <w:color w:val="auto"/>
                <w:sz w:val="24"/>
                <w:szCs w:val="24"/>
                <w:highlight w:val="none"/>
              </w:rPr>
              <w:t>17</w:t>
            </w:r>
          </w:p>
        </w:tc>
        <w:tc>
          <w:tcPr>
            <w:tcW w:w="2268" w:type="dxa"/>
            <w:vAlign w:val="center"/>
          </w:tcPr>
          <w:p>
            <w:pPr>
              <w:autoSpaceDE w:val="0"/>
              <w:autoSpaceDN w:val="0"/>
              <w:adjustRightIn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投标人对采购文件质疑截止时间</w:t>
            </w:r>
          </w:p>
        </w:tc>
        <w:tc>
          <w:tcPr>
            <w:tcW w:w="6813" w:type="dxa"/>
            <w:vAlign w:val="center"/>
          </w:tcPr>
          <w:p>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highlight w:val="none"/>
              </w:rPr>
            </w:pPr>
            <w:r>
              <w:rPr>
                <w:rFonts w:hint="eastAsia" w:ascii="宋体" w:hAnsi="宋体"/>
                <w:color w:val="auto"/>
                <w:sz w:val="24"/>
                <w:szCs w:val="24"/>
                <w:highlight w:val="none"/>
              </w:rPr>
              <w:t>18</w:t>
            </w:r>
          </w:p>
        </w:tc>
        <w:tc>
          <w:tcPr>
            <w:tcW w:w="2268" w:type="dxa"/>
            <w:vAlign w:val="center"/>
          </w:tcPr>
          <w:p>
            <w:pPr>
              <w:autoSpaceDE w:val="0"/>
              <w:autoSpaceDN w:val="0"/>
              <w:adjustRightIn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投标文件份数</w:t>
            </w:r>
          </w:p>
        </w:tc>
        <w:tc>
          <w:tcPr>
            <w:tcW w:w="6813" w:type="dxa"/>
            <w:vAlign w:val="center"/>
          </w:tcPr>
          <w:p>
            <w:pPr>
              <w:autoSpaceDE w:val="0"/>
              <w:autoSpaceDN w:val="0"/>
              <w:adjustRightInd w:val="0"/>
              <w:spacing w:line="360" w:lineRule="auto"/>
              <w:rPr>
                <w:rFonts w:ascii="宋体" w:hAnsi="宋体" w:cs="宋体"/>
                <w:color w:val="auto"/>
                <w:sz w:val="24"/>
                <w:szCs w:val="24"/>
                <w:highlight w:val="none"/>
              </w:rPr>
            </w:pPr>
            <w:r>
              <w:rPr>
                <w:rFonts w:ascii="宋体" w:hAnsi="宋体"/>
                <w:b/>
                <w:color w:val="auto"/>
                <w:sz w:val="24"/>
                <w:highlight w:val="none"/>
              </w:rPr>
              <w:fldChar w:fldCharType="begin"/>
            </w:r>
            <w:r>
              <w:rPr>
                <w:rFonts w:hint="eastAsia" w:ascii="宋体" w:hAnsi="宋体"/>
                <w:b/>
                <w:color w:val="auto"/>
                <w:sz w:val="24"/>
                <w:highlight w:val="none"/>
              </w:rPr>
              <w:instrText xml:space="preserve">eq \o\ac(□,√)</w:instrText>
            </w:r>
            <w:r>
              <w:rPr>
                <w:rFonts w:ascii="宋体" w:hAnsi="宋体"/>
                <w:b/>
                <w:color w:val="auto"/>
                <w:sz w:val="24"/>
                <w:highlight w:val="none"/>
              </w:rPr>
              <w:fldChar w:fldCharType="end"/>
            </w:r>
            <w:r>
              <w:rPr>
                <w:rFonts w:hint="eastAsia" w:ascii="宋体" w:hAnsi="宋体"/>
                <w:color w:val="auto"/>
                <w:sz w:val="24"/>
                <w:highlight w:val="none"/>
              </w:rPr>
              <w:t>电子投标文件：成功上传至《全国公共资源交易平台（河南省·许昌市）》公共资源交易系统加密电子投标文件1份</w:t>
            </w:r>
            <w:r>
              <w:rPr>
                <w:rFonts w:hint="eastAsia" w:ascii="宋体" w:hAnsi="宋体" w:cs="宋体"/>
                <w:color w:val="auto"/>
                <w:sz w:val="24"/>
                <w:highlight w:val="none"/>
                <w:lang w:val="zh-CN"/>
              </w:rPr>
              <w:t>（文件格式为： XXX公司XXX项目编号.file）。</w:t>
            </w:r>
            <w:r>
              <w:rPr>
                <w:rFonts w:hint="eastAsia" w:ascii="宋体" w:hAnsi="宋体"/>
                <w:color w:val="auto"/>
                <w:sz w:val="24"/>
                <w:highlight w:val="none"/>
              </w:rPr>
              <w:t>使用电子介质存储的备份文件1份（文件格式为：名称为“备份”的文件夹）。</w:t>
            </w:r>
          </w:p>
          <w:p>
            <w:pPr>
              <w:autoSpaceDE w:val="0"/>
              <w:autoSpaceDN w:val="0"/>
              <w:adjustRightInd w:val="0"/>
              <w:spacing w:line="360" w:lineRule="auto"/>
              <w:rPr>
                <w:rFonts w:ascii="宋体" w:hAnsi="宋体"/>
                <w:color w:val="auto"/>
                <w:sz w:val="24"/>
                <w:highlight w:val="none"/>
              </w:rPr>
            </w:pPr>
            <w:r>
              <w:rPr>
                <w:rFonts w:ascii="宋体" w:hAnsi="宋体"/>
                <w:b/>
                <w:color w:val="auto"/>
                <w:sz w:val="24"/>
                <w:highlight w:val="none"/>
              </w:rPr>
              <w:fldChar w:fldCharType="begin"/>
            </w:r>
            <w:r>
              <w:rPr>
                <w:rFonts w:hint="eastAsia" w:ascii="宋体" w:hAnsi="宋体"/>
                <w:b/>
                <w:color w:val="auto"/>
                <w:sz w:val="24"/>
                <w:highlight w:val="none"/>
              </w:rPr>
              <w:instrText xml:space="preserve">eq \o\ac(□,√)</w:instrText>
            </w:r>
            <w:r>
              <w:rPr>
                <w:rFonts w:ascii="宋体" w:hAnsi="宋体"/>
                <w:b/>
                <w:color w:val="auto"/>
                <w:sz w:val="24"/>
                <w:highlight w:val="none"/>
              </w:rPr>
              <w:fldChar w:fldCharType="end"/>
            </w:r>
            <w:r>
              <w:rPr>
                <w:rFonts w:hint="eastAsia" w:ascii="宋体" w:hAnsi="宋体"/>
                <w:color w:val="auto"/>
                <w:sz w:val="24"/>
                <w:highlight w:val="none"/>
              </w:rPr>
              <w:t>纸质投标文件：</w:t>
            </w:r>
            <w:r>
              <w:rPr>
                <w:rFonts w:hint="eastAsia" w:ascii="宋体" w:hAnsi="宋体" w:cs="仿宋_GB2312"/>
                <w:color w:val="auto"/>
                <w:sz w:val="24"/>
                <w:szCs w:val="24"/>
                <w:highlight w:val="none"/>
              </w:rPr>
              <w:t>正本</w:t>
            </w:r>
            <w:r>
              <w:rPr>
                <w:rFonts w:hint="eastAsia" w:ascii="宋体" w:hAnsi="宋体" w:cs="仿宋_GB2312"/>
                <w:b/>
                <w:color w:val="auto"/>
                <w:sz w:val="24"/>
                <w:szCs w:val="24"/>
                <w:highlight w:val="none"/>
              </w:rPr>
              <w:t>一</w:t>
            </w:r>
            <w:r>
              <w:rPr>
                <w:rFonts w:hint="eastAsia" w:ascii="宋体" w:hAnsi="宋体" w:cs="仿宋_GB2312"/>
                <w:color w:val="auto"/>
                <w:sz w:val="24"/>
                <w:szCs w:val="24"/>
                <w:highlight w:val="none"/>
              </w:rPr>
              <w:t>份，副本一份。使用</w:t>
            </w:r>
            <w:r>
              <w:rPr>
                <w:rFonts w:hint="eastAsia" w:ascii="宋体" w:hAnsi="宋体"/>
                <w:color w:val="auto"/>
                <w:sz w:val="24"/>
                <w:highlight w:val="none"/>
              </w:rPr>
              <w:t>格式为“投标文件（供打印）.PDF”的文件</w:t>
            </w:r>
          </w:p>
          <w:p>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olor w:val="auto"/>
                <w:sz w:val="24"/>
                <w:highlight w:val="none"/>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highlight w:val="none"/>
              </w:rPr>
            </w:pPr>
            <w:r>
              <w:rPr>
                <w:rFonts w:hint="eastAsia" w:ascii="宋体" w:hAnsi="宋体"/>
                <w:color w:val="auto"/>
                <w:sz w:val="24"/>
                <w:szCs w:val="24"/>
                <w:highlight w:val="none"/>
              </w:rPr>
              <w:t>19</w:t>
            </w:r>
          </w:p>
        </w:tc>
        <w:tc>
          <w:tcPr>
            <w:tcW w:w="2268" w:type="dxa"/>
            <w:vAlign w:val="center"/>
          </w:tcPr>
          <w:p>
            <w:pPr>
              <w:autoSpaceDE w:val="0"/>
              <w:autoSpaceDN w:val="0"/>
              <w:adjustRightIn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投标文件的</w:t>
            </w:r>
          </w:p>
          <w:p>
            <w:pPr>
              <w:autoSpaceDE w:val="0"/>
              <w:autoSpaceDN w:val="0"/>
              <w:adjustRightIn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签署盖章</w:t>
            </w:r>
          </w:p>
        </w:tc>
        <w:tc>
          <w:tcPr>
            <w:tcW w:w="6813" w:type="dxa"/>
            <w:vAlign w:val="center"/>
          </w:tcPr>
          <w:p>
            <w:pPr>
              <w:autoSpaceDE w:val="0"/>
              <w:autoSpaceDN w:val="0"/>
              <w:adjustRightInd w:val="0"/>
              <w:spacing w:line="420" w:lineRule="exact"/>
              <w:rPr>
                <w:rFonts w:ascii="宋体" w:hAnsi="宋体"/>
                <w:color w:val="auto"/>
                <w:sz w:val="24"/>
                <w:highlight w:val="none"/>
              </w:rPr>
            </w:pPr>
            <w:r>
              <w:rPr>
                <w:rFonts w:ascii="宋体" w:hAnsi="宋体"/>
                <w:b/>
                <w:color w:val="auto"/>
                <w:sz w:val="24"/>
                <w:highlight w:val="none"/>
              </w:rPr>
              <w:fldChar w:fldCharType="begin"/>
            </w:r>
            <w:r>
              <w:rPr>
                <w:rFonts w:hint="eastAsia" w:ascii="宋体" w:hAnsi="宋体"/>
                <w:b/>
                <w:color w:val="auto"/>
                <w:sz w:val="24"/>
                <w:highlight w:val="none"/>
              </w:rPr>
              <w:instrText xml:space="preserve">eq \o\ac(□,√)</w:instrText>
            </w:r>
            <w:r>
              <w:rPr>
                <w:rFonts w:ascii="宋体" w:hAnsi="宋体"/>
                <w:b/>
                <w:color w:val="auto"/>
                <w:sz w:val="24"/>
                <w:highlight w:val="none"/>
              </w:rPr>
              <w:fldChar w:fldCharType="end"/>
            </w:r>
            <w:r>
              <w:rPr>
                <w:rFonts w:hint="eastAsia" w:ascii="宋体" w:hAnsi="宋体"/>
                <w:color w:val="auto"/>
                <w:sz w:val="24"/>
                <w:highlight w:val="none"/>
              </w:rPr>
              <w:t>电子投标文件：按招标文件要求加盖电子印章和法人电子印章。</w:t>
            </w:r>
          </w:p>
          <w:p>
            <w:pPr>
              <w:autoSpaceDE w:val="0"/>
              <w:autoSpaceDN w:val="0"/>
              <w:adjustRightInd w:val="0"/>
              <w:spacing w:line="420" w:lineRule="exact"/>
              <w:rPr>
                <w:rFonts w:ascii="宋体" w:hAnsi="宋体" w:cs="仿宋_GB2312"/>
                <w:color w:val="auto"/>
                <w:sz w:val="24"/>
                <w:szCs w:val="24"/>
                <w:highlight w:val="none"/>
              </w:rPr>
            </w:pPr>
            <w:r>
              <w:rPr>
                <w:rFonts w:ascii="宋体" w:hAnsi="宋体"/>
                <w:b/>
                <w:color w:val="auto"/>
                <w:sz w:val="24"/>
                <w:highlight w:val="none"/>
              </w:rPr>
              <w:fldChar w:fldCharType="begin"/>
            </w:r>
            <w:r>
              <w:rPr>
                <w:rFonts w:hint="eastAsia" w:ascii="宋体" w:hAnsi="宋体"/>
                <w:b/>
                <w:color w:val="auto"/>
                <w:sz w:val="24"/>
                <w:highlight w:val="none"/>
              </w:rPr>
              <w:instrText xml:space="preserve">eq \o\ac(□,√)</w:instrText>
            </w:r>
            <w:r>
              <w:rPr>
                <w:rFonts w:ascii="宋体" w:hAnsi="宋体"/>
                <w:b/>
                <w:color w:val="auto"/>
                <w:sz w:val="24"/>
                <w:highlight w:val="none"/>
              </w:rPr>
              <w:fldChar w:fldCharType="end"/>
            </w:r>
            <w:r>
              <w:rPr>
                <w:rFonts w:hint="eastAsia" w:ascii="宋体" w:hAnsi="宋体"/>
                <w:color w:val="auto"/>
                <w:sz w:val="24"/>
                <w:highlight w:val="none"/>
              </w:rPr>
              <w:t>纸质投标文件：投标文件封面加盖投标人公章（投标文件是指投标人电子投标文件制作完成后生成的后缀名为</w:t>
            </w:r>
            <w:r>
              <w:rPr>
                <w:rFonts w:hint="eastAsia" w:ascii="宋体" w:hAnsi="宋体"/>
                <w:color w:val="auto"/>
                <w:sz w:val="24"/>
                <w:szCs w:val="24"/>
                <w:highlight w:val="none"/>
              </w:rPr>
              <w:t>“.PDF”的文件</w:t>
            </w:r>
            <w:r>
              <w:rPr>
                <w:rFonts w:hint="eastAsia" w:ascii="宋体" w:hAnsi="宋体"/>
                <w:color w:val="auto"/>
                <w:sz w:val="24"/>
                <w:highlight w:val="none"/>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color w:val="auto"/>
                <w:sz w:val="24"/>
                <w:szCs w:val="24"/>
                <w:highlight w:val="none"/>
              </w:rPr>
            </w:pPr>
            <w:r>
              <w:rPr>
                <w:rFonts w:hint="eastAsia" w:ascii="宋体" w:hAnsi="宋体" w:cs="TimesNewRomanPSMT"/>
                <w:color w:val="auto"/>
                <w:sz w:val="24"/>
                <w:szCs w:val="24"/>
                <w:highlight w:val="none"/>
              </w:rPr>
              <w:t>20</w:t>
            </w:r>
          </w:p>
        </w:tc>
        <w:tc>
          <w:tcPr>
            <w:tcW w:w="2268" w:type="dxa"/>
            <w:vAlign w:val="center"/>
          </w:tcPr>
          <w:p>
            <w:pPr>
              <w:autoSpaceDE w:val="0"/>
              <w:autoSpaceDN w:val="0"/>
              <w:adjustRightInd w:val="0"/>
              <w:spacing w:line="360" w:lineRule="auto"/>
              <w:jc w:val="center"/>
              <w:rPr>
                <w:rFonts w:ascii="宋体" w:hAnsi="宋体" w:cs="仿宋_GB2312"/>
                <w:color w:val="auto"/>
                <w:sz w:val="24"/>
                <w:szCs w:val="24"/>
                <w:highlight w:val="none"/>
              </w:rPr>
            </w:pPr>
            <w:r>
              <w:rPr>
                <w:rFonts w:hint="eastAsia" w:ascii="宋体" w:hAnsi="宋体"/>
                <w:color w:val="auto"/>
                <w:sz w:val="24"/>
                <w:szCs w:val="24"/>
                <w:highlight w:val="none"/>
              </w:rPr>
              <w:t>评标委员会组建</w:t>
            </w:r>
          </w:p>
        </w:tc>
        <w:tc>
          <w:tcPr>
            <w:tcW w:w="6813" w:type="dxa"/>
            <w:vAlign w:val="center"/>
          </w:tcPr>
          <w:p>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仿宋_GB2312"/>
                <w:color w:val="auto"/>
                <w:sz w:val="24"/>
                <w:szCs w:val="24"/>
                <w:highlight w:val="none"/>
                <w:lang w:val="zh-CN"/>
              </w:rPr>
              <w:t>由河南省政府采购评标专家库相关专业评审专家组成。评审专家从政府采购评审专家库中随机抽取。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highlight w:val="none"/>
              </w:rPr>
            </w:pPr>
            <w:r>
              <w:rPr>
                <w:rFonts w:hint="eastAsia" w:ascii="宋体" w:hAnsi="宋体"/>
                <w:color w:val="auto"/>
                <w:sz w:val="24"/>
                <w:szCs w:val="24"/>
                <w:highlight w:val="none"/>
              </w:rPr>
              <w:t>21</w:t>
            </w:r>
          </w:p>
        </w:tc>
        <w:tc>
          <w:tcPr>
            <w:tcW w:w="2268" w:type="dxa"/>
            <w:vAlign w:val="center"/>
          </w:tcPr>
          <w:p>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仿宋_GB2312"/>
                <w:color w:val="auto"/>
                <w:sz w:val="24"/>
                <w:szCs w:val="24"/>
                <w:highlight w:val="none"/>
              </w:rPr>
              <w:t>评标方法</w:t>
            </w:r>
          </w:p>
        </w:tc>
        <w:tc>
          <w:tcPr>
            <w:tcW w:w="6813" w:type="dxa"/>
            <w:vAlign w:val="center"/>
          </w:tcPr>
          <w:p>
            <w:pPr>
              <w:autoSpaceDE w:val="0"/>
              <w:autoSpaceDN w:val="0"/>
              <w:adjustRightInd w:val="0"/>
              <w:spacing w:line="360" w:lineRule="auto"/>
              <w:rPr>
                <w:rFonts w:ascii="宋体" w:hAnsi="宋体" w:cs="宋体"/>
                <w:bCs/>
                <w:color w:val="auto"/>
                <w:sz w:val="24"/>
                <w:szCs w:val="24"/>
                <w:highlight w:val="none"/>
                <w:lang w:val="zh-CN"/>
              </w:rPr>
            </w:pPr>
            <w:r>
              <w:rPr>
                <w:rFonts w:ascii="宋体" w:hAnsi="宋体" w:cs="宋体"/>
                <w:b/>
                <w:color w:val="auto"/>
                <w:kern w:val="0"/>
                <w:sz w:val="24"/>
                <w:szCs w:val="24"/>
                <w:highlight w:val="none"/>
                <w:lang w:val="zh-CN"/>
              </w:rPr>
              <w:fldChar w:fldCharType="begin"/>
            </w:r>
            <w:r>
              <w:rPr>
                <w:rFonts w:hint="eastAsia" w:ascii="宋体" w:hAnsi="宋体" w:cs="宋体"/>
                <w:b/>
                <w:color w:val="auto"/>
                <w:kern w:val="0"/>
                <w:sz w:val="24"/>
                <w:szCs w:val="24"/>
                <w:highlight w:val="none"/>
                <w:lang w:val="zh-CN"/>
              </w:rPr>
              <w:instrText xml:space="preserve">eq \o\ac(□,</w:instrText>
            </w:r>
            <w:r>
              <w:rPr>
                <w:rFonts w:hint="eastAsia" w:ascii="宋体" w:hAnsi="宋体" w:cs="宋体"/>
                <w:b/>
                <w:color w:val="auto"/>
                <w:kern w:val="0"/>
                <w:position w:val="2"/>
                <w:sz w:val="24"/>
                <w:szCs w:val="24"/>
                <w:highlight w:val="none"/>
                <w:lang w:val="zh-CN"/>
              </w:rPr>
              <w:instrText xml:space="preserve">√</w:instrText>
            </w:r>
            <w:r>
              <w:rPr>
                <w:rFonts w:hint="eastAsia" w:ascii="宋体" w:hAnsi="宋体" w:cs="宋体"/>
                <w:b/>
                <w:color w:val="auto"/>
                <w:kern w:val="0"/>
                <w:sz w:val="24"/>
                <w:szCs w:val="24"/>
                <w:highlight w:val="none"/>
                <w:lang w:val="zh-CN"/>
              </w:rPr>
              <w:instrText xml:space="preserve">)</w:instrText>
            </w:r>
            <w:r>
              <w:rPr>
                <w:rFonts w:ascii="宋体" w:hAnsi="宋体" w:cs="宋体"/>
                <w:b/>
                <w:color w:val="auto"/>
                <w:kern w:val="0"/>
                <w:sz w:val="24"/>
                <w:szCs w:val="24"/>
                <w:highlight w:val="none"/>
                <w:lang w:val="zh-CN"/>
              </w:rPr>
              <w:fldChar w:fldCharType="end"/>
            </w:r>
            <w:r>
              <w:rPr>
                <w:rFonts w:hint="eastAsia" w:ascii="宋体" w:hAnsi="宋体" w:cs="宋体"/>
                <w:bCs/>
                <w:color w:val="auto"/>
                <w:sz w:val="24"/>
                <w:szCs w:val="24"/>
                <w:highlight w:val="none"/>
                <w:lang w:val="zh-CN"/>
              </w:rPr>
              <w:t>综合评分法</w:t>
            </w:r>
            <w:r>
              <w:rPr>
                <w:rFonts w:hint="eastAsia" w:ascii="宋体" w:hAnsi="宋体" w:cs="宋体"/>
                <w:b/>
                <w:bCs/>
                <w:color w:val="auto"/>
                <w:sz w:val="24"/>
                <w:szCs w:val="24"/>
                <w:highlight w:val="none"/>
                <w:lang w:val="zh-CN"/>
              </w:rPr>
              <w:t>□</w:t>
            </w:r>
            <w:r>
              <w:rPr>
                <w:rFonts w:hint="eastAsia" w:ascii="宋体" w:hAnsi="宋体" w:cs="仿宋_GB2312"/>
                <w:color w:val="auto"/>
                <w:sz w:val="24"/>
                <w:szCs w:val="24"/>
                <w:highlight w:val="none"/>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highlight w:val="none"/>
              </w:rPr>
            </w:pPr>
            <w:r>
              <w:rPr>
                <w:rFonts w:hint="eastAsia" w:ascii="宋体" w:hAnsi="宋体"/>
                <w:color w:val="auto"/>
                <w:sz w:val="24"/>
                <w:szCs w:val="24"/>
                <w:highlight w:val="none"/>
              </w:rPr>
              <w:t>22</w:t>
            </w:r>
          </w:p>
        </w:tc>
        <w:tc>
          <w:tcPr>
            <w:tcW w:w="2268" w:type="dxa"/>
            <w:vAlign w:val="center"/>
          </w:tcPr>
          <w:p>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授权函</w:t>
            </w:r>
          </w:p>
        </w:tc>
        <w:tc>
          <w:tcPr>
            <w:tcW w:w="6813" w:type="dxa"/>
            <w:vAlign w:val="center"/>
          </w:tcPr>
          <w:p>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仿宋_GB2312"/>
                <w:color w:val="auto"/>
                <w:sz w:val="24"/>
                <w:szCs w:val="24"/>
                <w:highlight w:val="none"/>
                <w:lang w:val="zh-CN"/>
              </w:rPr>
              <w:t>采购单位委派代表参加资格审查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highlight w:val="none"/>
              </w:rPr>
            </w:pPr>
            <w:r>
              <w:rPr>
                <w:rFonts w:hint="eastAsia" w:ascii="宋体" w:hAnsi="宋体"/>
                <w:color w:val="auto"/>
                <w:sz w:val="24"/>
                <w:szCs w:val="24"/>
                <w:highlight w:val="none"/>
              </w:rPr>
              <w:t>23</w:t>
            </w:r>
          </w:p>
        </w:tc>
        <w:tc>
          <w:tcPr>
            <w:tcW w:w="2268" w:type="dxa"/>
            <w:vAlign w:val="center"/>
          </w:tcPr>
          <w:p>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履约保证金</w:t>
            </w:r>
          </w:p>
        </w:tc>
        <w:tc>
          <w:tcPr>
            <w:tcW w:w="6813" w:type="dxa"/>
            <w:vAlign w:val="center"/>
          </w:tcPr>
          <w:p>
            <w:pPr>
              <w:autoSpaceDE w:val="0"/>
              <w:autoSpaceDN w:val="0"/>
              <w:adjustRightInd w:val="0"/>
              <w:spacing w:line="360" w:lineRule="auto"/>
              <w:rPr>
                <w:rFonts w:ascii="宋体" w:hAnsi="宋体" w:cs="宋体"/>
                <w:color w:val="auto"/>
                <w:kern w:val="0"/>
                <w:sz w:val="24"/>
                <w:szCs w:val="24"/>
                <w:highlight w:val="none"/>
                <w:lang w:val="zh-CN"/>
              </w:rPr>
            </w:pPr>
            <w:r>
              <w:rPr>
                <w:rFonts w:ascii="宋体" w:hAnsi="宋体" w:cs="宋体"/>
                <w:b/>
                <w:color w:val="auto"/>
                <w:kern w:val="0"/>
                <w:sz w:val="24"/>
                <w:szCs w:val="24"/>
                <w:highlight w:val="none"/>
                <w:lang w:val="zh-CN"/>
              </w:rPr>
              <w:fldChar w:fldCharType="begin"/>
            </w:r>
            <w:r>
              <w:rPr>
                <w:rFonts w:hint="eastAsia" w:ascii="宋体" w:hAnsi="宋体" w:cs="宋体"/>
                <w:b/>
                <w:color w:val="auto"/>
                <w:kern w:val="0"/>
                <w:sz w:val="24"/>
                <w:szCs w:val="24"/>
                <w:highlight w:val="none"/>
                <w:lang w:val="zh-CN"/>
              </w:rPr>
              <w:instrText xml:space="preserve">eq \o\ac(□,</w:instrText>
            </w:r>
            <w:r>
              <w:rPr>
                <w:rFonts w:hint="eastAsia" w:ascii="宋体" w:hAnsi="宋体" w:cs="宋体"/>
                <w:b/>
                <w:color w:val="auto"/>
                <w:kern w:val="0"/>
                <w:position w:val="2"/>
                <w:sz w:val="24"/>
                <w:szCs w:val="24"/>
                <w:highlight w:val="none"/>
                <w:lang w:val="zh-CN"/>
              </w:rPr>
              <w:instrText xml:space="preserve">√</w:instrText>
            </w:r>
            <w:r>
              <w:rPr>
                <w:rFonts w:hint="eastAsia" w:ascii="宋体" w:hAnsi="宋体" w:cs="宋体"/>
                <w:b/>
                <w:color w:val="auto"/>
                <w:kern w:val="0"/>
                <w:sz w:val="24"/>
                <w:szCs w:val="24"/>
                <w:highlight w:val="none"/>
                <w:lang w:val="zh-CN"/>
              </w:rPr>
              <w:instrText xml:space="preserve">)</w:instrText>
            </w:r>
            <w:r>
              <w:rPr>
                <w:rFonts w:ascii="宋体" w:hAnsi="宋体" w:cs="宋体"/>
                <w:b/>
                <w:color w:val="auto"/>
                <w:kern w:val="0"/>
                <w:sz w:val="24"/>
                <w:szCs w:val="24"/>
                <w:highlight w:val="none"/>
                <w:lang w:val="zh-CN"/>
              </w:rPr>
              <w:fldChar w:fldCharType="end"/>
            </w:r>
            <w:r>
              <w:rPr>
                <w:rFonts w:hint="eastAsia" w:ascii="宋体" w:hAnsi="宋体" w:cs="宋体"/>
                <w:bCs/>
                <w:color w:val="auto"/>
                <w:sz w:val="24"/>
                <w:szCs w:val="24"/>
                <w:highlight w:val="none"/>
                <w:lang w:val="zh-CN"/>
              </w:rPr>
              <w:t>无要求</w:t>
            </w:r>
          </w:p>
          <w:p>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color w:val="auto"/>
                <w:sz w:val="24"/>
                <w:szCs w:val="24"/>
                <w:highlight w:val="none"/>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highlight w:val="none"/>
              </w:rPr>
            </w:pPr>
            <w:r>
              <w:rPr>
                <w:rFonts w:hint="eastAsia" w:ascii="宋体" w:hAnsi="宋体"/>
                <w:color w:val="auto"/>
                <w:sz w:val="24"/>
                <w:szCs w:val="24"/>
                <w:highlight w:val="none"/>
              </w:rPr>
              <w:t>24</w:t>
            </w:r>
          </w:p>
        </w:tc>
        <w:tc>
          <w:tcPr>
            <w:tcW w:w="2268" w:type="dxa"/>
            <w:vAlign w:val="center"/>
          </w:tcPr>
          <w:p>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代理服务费</w:t>
            </w:r>
          </w:p>
        </w:tc>
        <w:tc>
          <w:tcPr>
            <w:tcW w:w="6813" w:type="dxa"/>
            <w:vAlign w:val="center"/>
          </w:tcPr>
          <w:p>
            <w:pPr>
              <w:autoSpaceDE w:val="0"/>
              <w:autoSpaceDN w:val="0"/>
              <w:adjustRightInd w:val="0"/>
              <w:spacing w:line="360" w:lineRule="auto"/>
              <w:jc w:val="left"/>
              <w:rPr>
                <w:rFonts w:ascii="宋体" w:hAnsi="宋体" w:cs="宋体"/>
                <w:bCs/>
                <w:color w:val="auto"/>
                <w:sz w:val="24"/>
                <w:szCs w:val="24"/>
                <w:highlight w:val="none"/>
                <w:lang w:val="zh-CN"/>
              </w:rPr>
            </w:pPr>
            <w:r>
              <w:rPr>
                <w:rFonts w:hint="eastAsia" w:ascii="宋体" w:hAnsi="宋体" w:cs="宋体"/>
                <w:color w:val="auto"/>
                <w:kern w:val="0"/>
                <w:sz w:val="24"/>
                <w:szCs w:val="24"/>
                <w:highlight w:val="none"/>
              </w:rPr>
              <w:t>每家入围单位人民币</w:t>
            </w:r>
            <w:r>
              <w:rPr>
                <w:rFonts w:hint="eastAsia" w:ascii="宋体" w:hAnsi="宋体" w:cs="宋体"/>
                <w:color w:val="auto"/>
                <w:kern w:val="0"/>
                <w:sz w:val="24"/>
                <w:szCs w:val="24"/>
                <w:highlight w:val="none"/>
                <w:u w:val="single"/>
              </w:rPr>
              <w:t xml:space="preserve"> 4000 </w:t>
            </w:r>
            <w:r>
              <w:rPr>
                <w:rFonts w:hint="eastAsia" w:ascii="宋体" w:hAnsi="宋体" w:cs="宋体"/>
                <w:color w:val="auto"/>
                <w:kern w:val="0"/>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highlight w:val="none"/>
              </w:rPr>
            </w:pPr>
            <w:r>
              <w:rPr>
                <w:rFonts w:hint="eastAsia" w:ascii="宋体" w:hAnsi="宋体"/>
                <w:color w:val="auto"/>
                <w:sz w:val="24"/>
                <w:szCs w:val="24"/>
                <w:highlight w:val="none"/>
              </w:rPr>
              <w:t>25</w:t>
            </w:r>
          </w:p>
        </w:tc>
        <w:tc>
          <w:tcPr>
            <w:tcW w:w="2268" w:type="dxa"/>
            <w:vAlign w:val="center"/>
          </w:tcPr>
          <w:p>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rPr>
              <w:t>招标文件</w:t>
            </w:r>
          </w:p>
        </w:tc>
        <w:tc>
          <w:tcPr>
            <w:tcW w:w="6813" w:type="dxa"/>
            <w:vAlign w:val="center"/>
          </w:tcPr>
          <w:p>
            <w:pPr>
              <w:autoSpaceDE w:val="0"/>
              <w:autoSpaceDN w:val="0"/>
              <w:spacing w:line="360" w:lineRule="auto"/>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招标文件售价</w:t>
            </w:r>
            <w:r>
              <w:rPr>
                <w:rFonts w:hint="eastAsia" w:ascii="宋体" w:hAnsi="宋体" w:cs="宋体"/>
                <w:color w:val="auto"/>
                <w:kern w:val="0"/>
                <w:sz w:val="24"/>
                <w:szCs w:val="24"/>
                <w:highlight w:val="none"/>
                <w:u w:val="single"/>
              </w:rPr>
              <w:t>300</w:t>
            </w:r>
            <w:r>
              <w:rPr>
                <w:rFonts w:hint="eastAsia" w:ascii="宋体" w:hAnsi="宋体" w:cs="宋体"/>
                <w:color w:val="auto"/>
                <w:kern w:val="0"/>
                <w:sz w:val="24"/>
                <w:szCs w:val="24"/>
                <w:highlight w:val="none"/>
              </w:rPr>
              <w:t>元，售后不退。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highlight w:val="none"/>
              </w:rPr>
            </w:pPr>
            <w:r>
              <w:rPr>
                <w:rFonts w:hint="eastAsia" w:ascii="宋体" w:hAnsi="宋体"/>
                <w:color w:val="auto"/>
                <w:sz w:val="24"/>
                <w:szCs w:val="24"/>
                <w:highlight w:val="none"/>
              </w:rPr>
              <w:t>26</w:t>
            </w:r>
          </w:p>
        </w:tc>
        <w:tc>
          <w:tcPr>
            <w:tcW w:w="2268" w:type="dxa"/>
            <w:vAlign w:val="center"/>
          </w:tcPr>
          <w:p>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中标人需提交</w:t>
            </w:r>
          </w:p>
          <w:p>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的资料</w:t>
            </w:r>
          </w:p>
        </w:tc>
        <w:tc>
          <w:tcPr>
            <w:tcW w:w="6813" w:type="dxa"/>
            <w:vAlign w:val="center"/>
          </w:tcPr>
          <w:p>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中标人在接到中标通知时，须向代理机构发送开标一览表及承诺函（包含主要中标标的的名称、服务要求等）电子文档，并同时通知河南省伟信招标管理咨询有限公司，联系电话：0374-2121949，邮箱：hnwxxc@126.com。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highlight w:val="none"/>
              </w:rPr>
            </w:pPr>
            <w:r>
              <w:rPr>
                <w:rFonts w:hint="eastAsia" w:ascii="宋体" w:hAnsi="宋体"/>
                <w:color w:val="auto"/>
                <w:sz w:val="24"/>
                <w:szCs w:val="24"/>
                <w:highlight w:val="none"/>
              </w:rPr>
              <w:t>27</w:t>
            </w:r>
          </w:p>
        </w:tc>
        <w:tc>
          <w:tcPr>
            <w:tcW w:w="2268" w:type="dxa"/>
            <w:vAlign w:val="center"/>
          </w:tcPr>
          <w:p>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电子化采购模式</w:t>
            </w:r>
          </w:p>
        </w:tc>
        <w:tc>
          <w:tcPr>
            <w:tcW w:w="6813" w:type="dxa"/>
            <w:vAlign w:val="center"/>
          </w:tcPr>
          <w:p>
            <w:pPr>
              <w:autoSpaceDE w:val="0"/>
              <w:autoSpaceDN w:val="0"/>
              <w:adjustRightInd w:val="0"/>
              <w:spacing w:line="360" w:lineRule="auto"/>
              <w:contextualSpacing/>
              <w:rPr>
                <w:rFonts w:ascii="宋体" w:hAnsi="宋体" w:cs="宋体"/>
                <w:color w:val="auto"/>
                <w:sz w:val="24"/>
                <w:highlight w:val="none"/>
                <w:lang w:val="zh-CN"/>
              </w:rPr>
            </w:pPr>
            <w:r>
              <w:rPr>
                <w:rFonts w:ascii="宋体" w:hAnsi="宋体" w:cs="宋体"/>
                <w:color w:val="auto"/>
                <w:sz w:val="24"/>
                <w:highlight w:val="none"/>
                <w:lang w:val="zh-CN"/>
              </w:rPr>
              <w:fldChar w:fldCharType="begin"/>
            </w:r>
            <w:r>
              <w:rPr>
                <w:rFonts w:hint="eastAsia" w:ascii="宋体" w:hAnsi="宋体" w:cs="宋体"/>
                <w:color w:val="auto"/>
                <w:sz w:val="24"/>
                <w:highlight w:val="none"/>
                <w:lang w:val="zh-CN"/>
              </w:rPr>
              <w:instrText xml:space="preserve">eq \o\ac(□,√)</w:instrText>
            </w:r>
            <w:r>
              <w:rPr>
                <w:rFonts w:ascii="宋体" w:hAnsi="宋体" w:cs="宋体"/>
                <w:color w:val="auto"/>
                <w:sz w:val="24"/>
                <w:highlight w:val="none"/>
                <w:lang w:val="zh-CN"/>
              </w:rPr>
              <w:fldChar w:fldCharType="end"/>
            </w:r>
            <w:r>
              <w:rPr>
                <w:rFonts w:hint="eastAsia" w:ascii="宋体" w:hAnsi="宋体" w:cs="宋体"/>
                <w:color w:val="auto"/>
                <w:sz w:val="24"/>
                <w:highlight w:val="none"/>
                <w:lang w:val="zh-CN"/>
              </w:rPr>
              <w:t>是。投标人投标时须提供加密电子投标文件、备份文件（使用电子介质存储）、纸质投标文件。投标人资质、业绩、荣誉及相关人员证明材料等资料原件开标现场不再提供，招标文件要求提供的原件除外。</w:t>
            </w:r>
          </w:p>
          <w:p>
            <w:pPr>
              <w:autoSpaceDE w:val="0"/>
              <w:autoSpaceDN w:val="0"/>
              <w:adjustRightInd w:val="0"/>
              <w:spacing w:line="360" w:lineRule="auto"/>
              <w:contextualSpacing/>
              <w:rPr>
                <w:rFonts w:ascii="宋体" w:hAnsi="宋体" w:cs="宋体"/>
                <w:bCs/>
                <w:color w:val="auto"/>
                <w:sz w:val="24"/>
                <w:szCs w:val="24"/>
                <w:highlight w:val="none"/>
                <w:lang w:val="zh-CN"/>
              </w:rPr>
            </w:pPr>
            <w:r>
              <w:rPr>
                <w:rFonts w:hint="eastAsia" w:ascii="宋体" w:hAnsi="宋体" w:cs="宋体"/>
                <w:color w:val="auto"/>
                <w:sz w:val="24"/>
                <w:highlight w:val="none"/>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ascii="宋体" w:hAnsi="宋体" w:cs="宋体"/>
          <w:b/>
          <w:color w:val="auto"/>
          <w:kern w:val="0"/>
          <w:sz w:val="36"/>
          <w:szCs w:val="36"/>
          <w:highlight w:val="none"/>
        </w:rPr>
      </w:pPr>
    </w:p>
    <w:p>
      <w:pPr>
        <w:widowControl/>
        <w:jc w:val="center"/>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r>
        <w:rPr>
          <w:rFonts w:hint="eastAsia" w:ascii="宋体" w:hAnsi="宋体" w:cs="宋体"/>
          <w:b/>
          <w:color w:val="auto"/>
          <w:kern w:val="0"/>
          <w:sz w:val="36"/>
          <w:szCs w:val="36"/>
          <w:highlight w:val="none"/>
        </w:rPr>
        <w:t>第四章 投标人须知</w:t>
      </w:r>
    </w:p>
    <w:p>
      <w:pPr>
        <w:tabs>
          <w:tab w:val="left" w:pos="1260"/>
        </w:tabs>
        <w:autoSpaceDE w:val="0"/>
        <w:autoSpaceDN w:val="0"/>
        <w:adjustRightInd w:val="0"/>
        <w:spacing w:line="360" w:lineRule="auto"/>
        <w:contextualSpacing/>
        <w:rPr>
          <w:rFonts w:ascii="宋体" w:hAnsi="宋体" w:cs="宋体"/>
          <w:b/>
          <w:color w:val="auto"/>
          <w:kern w:val="0"/>
          <w:sz w:val="28"/>
          <w:szCs w:val="28"/>
          <w:highlight w:val="none"/>
        </w:rPr>
      </w:pPr>
    </w:p>
    <w:p>
      <w:pPr>
        <w:tabs>
          <w:tab w:val="left" w:pos="1260"/>
        </w:tabs>
        <w:autoSpaceDE w:val="0"/>
        <w:autoSpaceDN w:val="0"/>
        <w:adjustRightInd w:val="0"/>
        <w:spacing w:line="360" w:lineRule="auto"/>
        <w:contextualSpacing/>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一、概念释义</w:t>
      </w:r>
    </w:p>
    <w:p>
      <w:pPr>
        <w:pStyle w:val="40"/>
        <w:numPr>
          <w:ilvl w:val="0"/>
          <w:numId w:val="7"/>
        </w:numPr>
        <w:autoSpaceDE w:val="0"/>
        <w:autoSpaceDN w:val="0"/>
        <w:spacing w:line="360" w:lineRule="auto"/>
        <w:ind w:firstLine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适用范围</w:t>
      </w:r>
    </w:p>
    <w:p>
      <w:pPr>
        <w:pStyle w:val="40"/>
        <w:numPr>
          <w:ilvl w:val="0"/>
          <w:numId w:val="8"/>
        </w:numPr>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本招标文件仅适用于本次“投标邀请”中所述采购项目。</w:t>
      </w:r>
    </w:p>
    <w:p>
      <w:pPr>
        <w:pStyle w:val="40"/>
        <w:numPr>
          <w:ilvl w:val="1"/>
          <w:numId w:val="7"/>
        </w:numPr>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本招标文件解释权属于“投标邀请”所述的采购人。</w:t>
      </w:r>
    </w:p>
    <w:p>
      <w:pPr>
        <w:pStyle w:val="40"/>
        <w:autoSpaceDE w:val="0"/>
        <w:autoSpaceDN w:val="0"/>
        <w:spacing w:line="360" w:lineRule="auto"/>
        <w:ind w:left="780" w:firstLine="0" w:firstLineChars="0"/>
        <w:contextualSpacing/>
        <w:rPr>
          <w:rFonts w:ascii="宋体" w:hAnsi="宋体" w:cs="宋体"/>
          <w:color w:val="auto"/>
          <w:kern w:val="0"/>
          <w:sz w:val="24"/>
          <w:szCs w:val="24"/>
          <w:highlight w:val="none"/>
        </w:rPr>
      </w:pPr>
    </w:p>
    <w:p>
      <w:pPr>
        <w:pStyle w:val="40"/>
        <w:numPr>
          <w:ilvl w:val="0"/>
          <w:numId w:val="7"/>
        </w:numPr>
        <w:autoSpaceDE w:val="0"/>
        <w:autoSpaceDN w:val="0"/>
        <w:spacing w:line="360" w:lineRule="auto"/>
        <w:ind w:firstLine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定义</w:t>
      </w:r>
    </w:p>
    <w:p>
      <w:pPr>
        <w:pStyle w:val="40"/>
        <w:numPr>
          <w:ilvl w:val="0"/>
          <w:numId w:val="8"/>
        </w:numPr>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“采购项目”：“投标人须知前附表”中所述的采购项目。</w:t>
      </w:r>
    </w:p>
    <w:p>
      <w:pPr>
        <w:pStyle w:val="40"/>
        <w:numPr>
          <w:ilvl w:val="1"/>
          <w:numId w:val="7"/>
        </w:numPr>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“招标人”：“投标人须知前附表”中所述的组织本次招标的代理机构和采购人。</w:t>
      </w:r>
    </w:p>
    <w:p>
      <w:pPr>
        <w:pStyle w:val="40"/>
        <w:numPr>
          <w:ilvl w:val="1"/>
          <w:numId w:val="7"/>
        </w:numPr>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“采购人或委托人”：是指依法进行政府采购的国家机关、事业单位、团体组织。采购人名称、地址、电话、联系人见“投标人须知前附表”。</w:t>
      </w:r>
    </w:p>
    <w:p>
      <w:pPr>
        <w:pStyle w:val="40"/>
        <w:numPr>
          <w:ilvl w:val="1"/>
          <w:numId w:val="7"/>
        </w:numPr>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“代理机构”：接受采购人委托，代理采购项目的采购代理机构。代理机构名称、地址、电话、联系人见“投标人须知前附表”。</w:t>
      </w:r>
    </w:p>
    <w:p>
      <w:pPr>
        <w:autoSpaceDE w:val="0"/>
        <w:autoSpaceDN w:val="0"/>
        <w:spacing w:line="360" w:lineRule="auto"/>
        <w:ind w:left="964"/>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采购代理机构及其分支机构不得在所代理的采购项目中投标或者代理投标，不得为所代理的采购项目的投标人参加本项目提供投标咨询。</w:t>
      </w:r>
    </w:p>
    <w:p>
      <w:pPr>
        <w:autoSpaceDE w:val="0"/>
        <w:autoSpaceDN w:val="0"/>
        <w:spacing w:line="360" w:lineRule="auto"/>
        <w:ind w:left="964"/>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许昌市政府采购中心作为代理本项目的集采机构。</w:t>
      </w:r>
    </w:p>
    <w:p>
      <w:pPr>
        <w:pStyle w:val="40"/>
        <w:numPr>
          <w:ilvl w:val="1"/>
          <w:numId w:val="7"/>
        </w:numPr>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“潜在投标人或供应商”指符合《中华人民共和国政府采购法》及相关法律法规和本招标文件的各项规定，且按照本项目招标公告及招标文件规定的方式获取招标文件的法人、其他组织或者自然人。</w:t>
      </w:r>
    </w:p>
    <w:p>
      <w:pPr>
        <w:pStyle w:val="40"/>
        <w:numPr>
          <w:ilvl w:val="1"/>
          <w:numId w:val="7"/>
        </w:numPr>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或供应商”：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0"/>
        <w:numPr>
          <w:ilvl w:val="1"/>
          <w:numId w:val="7"/>
        </w:numPr>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招标文件中凡标有“★”的条款均系实质性要求条款。</w:t>
      </w:r>
    </w:p>
    <w:p>
      <w:pPr>
        <w:pStyle w:val="40"/>
        <w:numPr>
          <w:ilvl w:val="1"/>
          <w:numId w:val="7"/>
        </w:numPr>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“政府投资项目”：是指政府作为投资主体的投资项目，主要指公共事业、基础设施等方面的公益性项目。</w:t>
      </w:r>
    </w:p>
    <w:p>
      <w:pPr>
        <w:pStyle w:val="40"/>
        <w:autoSpaceDE w:val="0"/>
        <w:autoSpaceDN w:val="0"/>
        <w:spacing w:line="360" w:lineRule="auto"/>
        <w:ind w:left="964" w:firstLine="0" w:firstLineChars="0"/>
        <w:contextualSpacing/>
        <w:rPr>
          <w:rFonts w:ascii="宋体" w:hAnsi="宋体" w:cs="宋体"/>
          <w:color w:val="auto"/>
          <w:kern w:val="0"/>
          <w:sz w:val="24"/>
          <w:szCs w:val="24"/>
          <w:highlight w:val="none"/>
        </w:rPr>
      </w:pPr>
    </w:p>
    <w:p>
      <w:pPr>
        <w:pStyle w:val="40"/>
        <w:numPr>
          <w:ilvl w:val="0"/>
          <w:numId w:val="7"/>
        </w:numPr>
        <w:autoSpaceDE w:val="0"/>
        <w:autoSpaceDN w:val="0"/>
        <w:spacing w:line="360" w:lineRule="auto"/>
        <w:ind w:firstLine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合格的投标人或供应商</w:t>
      </w:r>
    </w:p>
    <w:p>
      <w:pPr>
        <w:pStyle w:val="40"/>
        <w:numPr>
          <w:ilvl w:val="0"/>
          <w:numId w:val="8"/>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在中华人民共和国境内注册，具有本项目生产、制造、供应或服务实施能力，符合、承认并承诺履行本招标文件各项规定的法人、其他组织或者自然人。</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符合本项目“投标邀请”和“投标人须知前附表”中规定的合格投标人所必须具备的条件。</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政府采购活动中查询及使用投标人信用记录的具体要求为：投标人未被列入失信被执行人、重大税收违法案件当事人名单、</w:t>
      </w:r>
      <w:r>
        <w:rPr>
          <w:rFonts w:hint="eastAsia" w:ascii="宋体" w:hAnsi="宋体" w:cs="仿宋_GB2312"/>
          <w:color w:val="auto"/>
          <w:sz w:val="24"/>
          <w:szCs w:val="24"/>
          <w:highlight w:val="none"/>
          <w:shd w:val="clear" w:color="auto" w:fill="FFFFFF"/>
        </w:rPr>
        <w:t>政府采购严重违法失信名单、</w:t>
      </w:r>
      <w:r>
        <w:rPr>
          <w:rFonts w:hint="eastAsia" w:ascii="宋体" w:hAnsi="宋体" w:cs="宋体"/>
          <w:color w:val="auto"/>
          <w:kern w:val="0"/>
          <w:sz w:val="24"/>
          <w:szCs w:val="24"/>
          <w:highlight w:val="none"/>
        </w:rPr>
        <w:t>政府采购严重违法失信行为记录名单、</w:t>
      </w:r>
      <w:r>
        <w:rPr>
          <w:rFonts w:hint="eastAsia" w:ascii="宋体" w:hAnsi="宋体" w:cs="仿宋_GB2312"/>
          <w:bCs/>
          <w:color w:val="auto"/>
          <w:sz w:val="24"/>
          <w:szCs w:val="24"/>
          <w:highlight w:val="none"/>
          <w:shd w:val="clear" w:color="auto" w:fill="FFFFFF"/>
        </w:rPr>
        <w:t>严重违法失信企业名单（黑名单）</w:t>
      </w:r>
      <w:r>
        <w:rPr>
          <w:rFonts w:hint="eastAsia" w:ascii="宋体" w:hAnsi="宋体" w:cs="宋体"/>
          <w:color w:val="auto"/>
          <w:kern w:val="0"/>
          <w:sz w:val="24"/>
          <w:szCs w:val="24"/>
          <w:highlight w:val="none"/>
        </w:rPr>
        <w:t>（联合体形式投标的，联合体成员存在不良信用记录，视同联合体存在不良信用记录）。</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单位负责人为同一人或者存在直接控股、管理关系的不同供应商，不得参加同一合同项下的政府采购活动；</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除单一来源采购项目外，为采购项目提供整体设计、规范编制或者项目管理、监理、检测等服务的供应商，不得再参加该采购项目的其他采购活动。</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法律、行政法规规定的其他条件。</w:t>
      </w:r>
    </w:p>
    <w:p>
      <w:pPr>
        <w:pStyle w:val="40"/>
        <w:autoSpaceDE w:val="0"/>
        <w:autoSpaceDN w:val="0"/>
        <w:spacing w:line="360" w:lineRule="auto"/>
        <w:ind w:left="964" w:firstLine="0" w:firstLineChars="0"/>
        <w:contextualSpacing/>
        <w:rPr>
          <w:rFonts w:ascii="宋体" w:hAnsi="宋体" w:cs="宋体"/>
          <w:color w:val="auto"/>
          <w:kern w:val="0"/>
          <w:sz w:val="24"/>
          <w:szCs w:val="24"/>
          <w:highlight w:val="none"/>
        </w:rPr>
      </w:pPr>
    </w:p>
    <w:p>
      <w:pPr>
        <w:pStyle w:val="40"/>
        <w:numPr>
          <w:ilvl w:val="0"/>
          <w:numId w:val="7"/>
        </w:numPr>
        <w:autoSpaceDE w:val="0"/>
        <w:autoSpaceDN w:val="0"/>
        <w:spacing w:line="360" w:lineRule="auto"/>
        <w:ind w:firstLine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合格的货物或服务</w:t>
      </w:r>
    </w:p>
    <w:p>
      <w:pPr>
        <w:pStyle w:val="40"/>
        <w:numPr>
          <w:ilvl w:val="0"/>
          <w:numId w:val="8"/>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投标人所提供的服务应当没有侵犯任何第三方的知识产权、技术秘密等合法权利，并符合国家法律法规、地方政策和行业规范。</w:t>
      </w:r>
    </w:p>
    <w:p>
      <w:pPr>
        <w:pStyle w:val="40"/>
        <w:autoSpaceDE w:val="0"/>
        <w:autoSpaceDN w:val="0"/>
        <w:spacing w:line="360" w:lineRule="auto"/>
        <w:ind w:left="964" w:firstLine="0" w:firstLineChars="0"/>
        <w:contextualSpacing/>
        <w:rPr>
          <w:rFonts w:ascii="宋体" w:hAnsi="宋体" w:cs="宋体"/>
          <w:color w:val="auto"/>
          <w:kern w:val="0"/>
          <w:sz w:val="24"/>
          <w:szCs w:val="24"/>
          <w:highlight w:val="none"/>
        </w:rPr>
      </w:pPr>
    </w:p>
    <w:p>
      <w:pPr>
        <w:pStyle w:val="40"/>
        <w:numPr>
          <w:ilvl w:val="0"/>
          <w:numId w:val="7"/>
        </w:numPr>
        <w:autoSpaceDE w:val="0"/>
        <w:autoSpaceDN w:val="0"/>
        <w:spacing w:line="360" w:lineRule="auto"/>
        <w:ind w:firstLine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投标费用</w:t>
      </w:r>
    </w:p>
    <w:p>
      <w:pPr>
        <w:autoSpaceDE w:val="0"/>
        <w:autoSpaceDN w:val="0"/>
        <w:spacing w:line="360" w:lineRule="auto"/>
        <w:ind w:left="420" w:left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ascii="宋体" w:hAnsi="宋体" w:cs="宋体"/>
          <w:color w:val="auto"/>
          <w:kern w:val="0"/>
          <w:sz w:val="24"/>
          <w:szCs w:val="24"/>
          <w:highlight w:val="none"/>
        </w:rPr>
      </w:pPr>
    </w:p>
    <w:p>
      <w:pPr>
        <w:pStyle w:val="40"/>
        <w:numPr>
          <w:ilvl w:val="0"/>
          <w:numId w:val="7"/>
        </w:numPr>
        <w:autoSpaceDE w:val="0"/>
        <w:autoSpaceDN w:val="0"/>
        <w:spacing w:line="360" w:lineRule="auto"/>
        <w:ind w:firstLine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信息发布</w:t>
      </w:r>
    </w:p>
    <w:p>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采购项目需要公开的有关信息，包括招标公告、招标文件澄清或修改公告、中标公告以及延长投标截止时间等与招标活动有关的通知，招标人均将通过在《中国政府采购网》、《河南省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ascii="宋体" w:hAnsi="宋体" w:cs="宋体"/>
          <w:color w:val="auto"/>
          <w:kern w:val="0"/>
          <w:sz w:val="24"/>
          <w:szCs w:val="24"/>
          <w:highlight w:val="none"/>
        </w:rPr>
      </w:pPr>
    </w:p>
    <w:p>
      <w:pPr>
        <w:pStyle w:val="40"/>
        <w:numPr>
          <w:ilvl w:val="0"/>
          <w:numId w:val="7"/>
        </w:numPr>
        <w:autoSpaceDE w:val="0"/>
        <w:autoSpaceDN w:val="0"/>
        <w:spacing w:line="360" w:lineRule="auto"/>
        <w:ind w:firstLine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采购代理机构代理费用收取标准和方式</w:t>
      </w:r>
    </w:p>
    <w:p>
      <w:pPr>
        <w:pStyle w:val="40"/>
        <w:autoSpaceDE w:val="0"/>
        <w:autoSpaceDN w:val="0"/>
        <w:spacing w:line="360" w:lineRule="auto"/>
        <w:ind w:firstLine="48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每家入围单位人民币</w:t>
      </w:r>
      <w:r>
        <w:rPr>
          <w:rFonts w:hint="eastAsia" w:ascii="宋体" w:hAnsi="宋体" w:cs="宋体"/>
          <w:color w:val="auto"/>
          <w:kern w:val="0"/>
          <w:sz w:val="24"/>
          <w:szCs w:val="24"/>
          <w:highlight w:val="none"/>
          <w:u w:val="single"/>
        </w:rPr>
        <w:t xml:space="preserve"> 4000 </w:t>
      </w:r>
      <w:r>
        <w:rPr>
          <w:rFonts w:hint="eastAsia" w:ascii="宋体" w:hAnsi="宋体" w:cs="宋体"/>
          <w:color w:val="auto"/>
          <w:kern w:val="0"/>
          <w:sz w:val="24"/>
          <w:szCs w:val="24"/>
          <w:highlight w:val="none"/>
        </w:rPr>
        <w:t>元。</w:t>
      </w:r>
    </w:p>
    <w:p>
      <w:pPr>
        <w:pStyle w:val="40"/>
        <w:autoSpaceDE w:val="0"/>
        <w:autoSpaceDN w:val="0"/>
        <w:spacing w:line="360" w:lineRule="auto"/>
        <w:ind w:firstLine="480"/>
        <w:contextualSpacing/>
        <w:rPr>
          <w:rFonts w:ascii="宋体" w:hAnsi="宋体" w:cs="宋体"/>
          <w:color w:val="auto"/>
          <w:kern w:val="0"/>
          <w:sz w:val="24"/>
          <w:szCs w:val="24"/>
          <w:highlight w:val="none"/>
        </w:rPr>
      </w:pPr>
    </w:p>
    <w:p>
      <w:pPr>
        <w:pStyle w:val="40"/>
        <w:numPr>
          <w:ilvl w:val="0"/>
          <w:numId w:val="7"/>
        </w:numPr>
        <w:autoSpaceDE w:val="0"/>
        <w:autoSpaceDN w:val="0"/>
        <w:spacing w:line="360" w:lineRule="auto"/>
        <w:ind w:firstLine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其他</w:t>
      </w:r>
    </w:p>
    <w:p>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投标人须知”的条款如与“投标邀请”、“项目需求”、“投标人须知前附表”和“资格审查与评标”就同一内容的表述不一致的，以“投标邀请”、“项目需求”、“投标人须知前附表”和“资格审查与评标”中规定的内容为准。</w:t>
      </w:r>
    </w:p>
    <w:p>
      <w:pPr>
        <w:autoSpaceDE w:val="0"/>
        <w:autoSpaceDN w:val="0"/>
        <w:spacing w:line="360" w:lineRule="auto"/>
        <w:contextualSpacing/>
        <w:rPr>
          <w:rFonts w:ascii="宋体" w:hAnsi="宋体" w:cs="宋体"/>
          <w:color w:val="auto"/>
          <w:kern w:val="0"/>
          <w:sz w:val="24"/>
          <w:szCs w:val="24"/>
          <w:highlight w:val="none"/>
        </w:rPr>
      </w:pPr>
    </w:p>
    <w:p>
      <w:pPr>
        <w:tabs>
          <w:tab w:val="left" w:pos="1260"/>
        </w:tabs>
        <w:autoSpaceDE w:val="0"/>
        <w:autoSpaceDN w:val="0"/>
        <w:spacing w:line="360" w:lineRule="auto"/>
        <w:contextualSpacing/>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二、招标文件说明</w:t>
      </w:r>
    </w:p>
    <w:p>
      <w:pPr>
        <w:pStyle w:val="40"/>
        <w:numPr>
          <w:ilvl w:val="0"/>
          <w:numId w:val="7"/>
        </w:numPr>
        <w:autoSpaceDE w:val="0"/>
        <w:autoSpaceDN w:val="0"/>
        <w:spacing w:line="360" w:lineRule="auto"/>
        <w:ind w:firstLine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招标文件构成</w:t>
      </w:r>
    </w:p>
    <w:p>
      <w:pPr>
        <w:pStyle w:val="40"/>
        <w:numPr>
          <w:ilvl w:val="0"/>
          <w:numId w:val="9"/>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招标文件由以下部分组成：</w:t>
      </w:r>
    </w:p>
    <w:p>
      <w:pPr>
        <w:autoSpaceDE w:val="0"/>
        <w:autoSpaceDN w:val="0"/>
        <w:spacing w:line="360" w:lineRule="auto"/>
        <w:ind w:left="420" w:left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）投标邀请（招标公告）</w:t>
      </w:r>
    </w:p>
    <w:p>
      <w:pPr>
        <w:autoSpaceDE w:val="0"/>
        <w:autoSpaceDN w:val="0"/>
        <w:spacing w:line="360" w:lineRule="auto"/>
        <w:ind w:left="420" w:left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）项目需求</w:t>
      </w:r>
    </w:p>
    <w:p>
      <w:pPr>
        <w:autoSpaceDE w:val="0"/>
        <w:autoSpaceDN w:val="0"/>
        <w:spacing w:line="360" w:lineRule="auto"/>
        <w:ind w:left="420" w:left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）投标人须知前附表</w:t>
      </w:r>
    </w:p>
    <w:p>
      <w:pPr>
        <w:autoSpaceDE w:val="0"/>
        <w:autoSpaceDN w:val="0"/>
        <w:spacing w:line="360" w:lineRule="auto"/>
        <w:ind w:left="420" w:left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）投标人须知</w:t>
      </w:r>
    </w:p>
    <w:p>
      <w:pPr>
        <w:autoSpaceDE w:val="0"/>
        <w:autoSpaceDN w:val="0"/>
        <w:spacing w:line="360" w:lineRule="auto"/>
        <w:ind w:left="420" w:left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）政府采购政策功能</w:t>
      </w:r>
    </w:p>
    <w:p>
      <w:pPr>
        <w:autoSpaceDE w:val="0"/>
        <w:autoSpaceDN w:val="0"/>
        <w:spacing w:line="360" w:lineRule="auto"/>
        <w:ind w:left="420" w:left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6</w:t>
      </w:r>
      <w:r>
        <w:rPr>
          <w:rFonts w:hint="eastAsia" w:ascii="宋体" w:hAnsi="宋体" w:cs="宋体"/>
          <w:color w:val="auto"/>
          <w:kern w:val="0"/>
          <w:sz w:val="24"/>
          <w:szCs w:val="24"/>
          <w:highlight w:val="none"/>
        </w:rPr>
        <w:t>）资格审查与评标</w:t>
      </w:r>
    </w:p>
    <w:p>
      <w:pPr>
        <w:autoSpaceDE w:val="0"/>
        <w:autoSpaceDN w:val="0"/>
        <w:spacing w:line="360" w:lineRule="auto"/>
        <w:ind w:left="420" w:left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7</w:t>
      </w:r>
      <w:r>
        <w:rPr>
          <w:rFonts w:hint="eastAsia" w:ascii="宋体" w:hAnsi="宋体" w:cs="宋体"/>
          <w:color w:val="auto"/>
          <w:kern w:val="0"/>
          <w:sz w:val="24"/>
          <w:szCs w:val="24"/>
          <w:highlight w:val="none"/>
        </w:rPr>
        <w:t>）合同条款及格式</w:t>
      </w:r>
    </w:p>
    <w:p>
      <w:pPr>
        <w:autoSpaceDE w:val="0"/>
        <w:autoSpaceDN w:val="0"/>
        <w:spacing w:line="360" w:lineRule="auto"/>
        <w:ind w:left="420" w:left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8</w:t>
      </w:r>
      <w:r>
        <w:rPr>
          <w:rFonts w:hint="eastAsia" w:ascii="宋体" w:hAnsi="宋体" w:cs="宋体"/>
          <w:color w:val="auto"/>
          <w:kern w:val="0"/>
          <w:sz w:val="24"/>
          <w:szCs w:val="24"/>
          <w:highlight w:val="none"/>
        </w:rPr>
        <w:t>）投标文件有关格式</w:t>
      </w:r>
    </w:p>
    <w:p>
      <w:pPr>
        <w:autoSpaceDE w:val="0"/>
        <w:autoSpaceDN w:val="0"/>
        <w:spacing w:line="360" w:lineRule="auto"/>
        <w:ind w:left="420" w:left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9</w:t>
      </w:r>
      <w:r>
        <w:rPr>
          <w:rFonts w:hint="eastAsia" w:ascii="宋体" w:hAnsi="宋体" w:cs="宋体"/>
          <w:color w:val="auto"/>
          <w:kern w:val="0"/>
          <w:sz w:val="24"/>
          <w:szCs w:val="24"/>
          <w:highlight w:val="none"/>
        </w:rPr>
        <w:t>）本项目招标文件的澄清、答复、修改、补充内容、相关文件规定、办法等</w:t>
      </w:r>
    </w:p>
    <w:p>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应认真阅读、并充分理解招标文件的全部内容（包括所有的附件、补充、修改内容、重要事项、格式、条款和服务技术规范及要求等），按招标文件要求和规定编制投标文件，并保证所提供的全部资料的真实性，若投标人没有按照招标文件要求提交全部资料（如评审现场要求的证明、证书、合同等资料原件）或者投标文件没有对招标文件在各方面都做出实质性响应，可能导致其投标被认定为投标无效。</w:t>
      </w:r>
    </w:p>
    <w:p>
      <w:pPr>
        <w:pStyle w:val="40"/>
        <w:numPr>
          <w:ilvl w:val="1"/>
          <w:numId w:val="7"/>
        </w:numPr>
        <w:autoSpaceDE w:val="0"/>
        <w:autoSpaceDN w:val="0"/>
        <w:spacing w:line="360" w:lineRule="auto"/>
        <w:ind w:left="4" w:hanging="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0"/>
        <w:autoSpaceDE w:val="0"/>
        <w:autoSpaceDN w:val="0"/>
        <w:spacing w:line="360" w:lineRule="auto"/>
        <w:ind w:left="964" w:firstLine="0" w:firstLineChars="0"/>
        <w:contextualSpacing/>
        <w:rPr>
          <w:rFonts w:ascii="宋体" w:hAnsi="宋体" w:cs="宋体"/>
          <w:color w:val="auto"/>
          <w:kern w:val="0"/>
          <w:sz w:val="24"/>
          <w:szCs w:val="24"/>
          <w:highlight w:val="none"/>
        </w:rPr>
      </w:pPr>
    </w:p>
    <w:p>
      <w:pPr>
        <w:pStyle w:val="40"/>
        <w:numPr>
          <w:ilvl w:val="0"/>
          <w:numId w:val="7"/>
        </w:numPr>
        <w:autoSpaceDE w:val="0"/>
        <w:autoSpaceDN w:val="0"/>
        <w:spacing w:line="360" w:lineRule="auto"/>
        <w:ind w:firstLine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现场考察、开标前答疑会</w:t>
      </w:r>
    </w:p>
    <w:p>
      <w:pPr>
        <w:autoSpaceDE w:val="0"/>
        <w:autoSpaceDN w:val="0"/>
        <w:spacing w:line="360" w:lineRule="auto"/>
        <w:ind w:left="42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本次招标不组织现场考察，不召开标前答疑会。</w:t>
      </w:r>
    </w:p>
    <w:p>
      <w:pPr>
        <w:autoSpaceDE w:val="0"/>
        <w:autoSpaceDN w:val="0"/>
        <w:spacing w:line="360" w:lineRule="auto"/>
        <w:ind w:left="420"/>
        <w:contextualSpacing/>
        <w:rPr>
          <w:rFonts w:ascii="宋体" w:hAnsi="宋体" w:cs="宋体"/>
          <w:color w:val="auto"/>
          <w:kern w:val="0"/>
          <w:sz w:val="24"/>
          <w:szCs w:val="24"/>
          <w:highlight w:val="none"/>
        </w:rPr>
      </w:pPr>
    </w:p>
    <w:p>
      <w:pPr>
        <w:pStyle w:val="40"/>
        <w:numPr>
          <w:ilvl w:val="0"/>
          <w:numId w:val="7"/>
        </w:numPr>
        <w:autoSpaceDE w:val="0"/>
        <w:autoSpaceDN w:val="0"/>
        <w:spacing w:line="360" w:lineRule="auto"/>
        <w:ind w:firstLine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招标文件的澄清或修改</w:t>
      </w:r>
    </w:p>
    <w:p>
      <w:pPr>
        <w:pStyle w:val="40"/>
        <w:numPr>
          <w:ilvl w:val="0"/>
          <w:numId w:val="10"/>
        </w:numPr>
        <w:autoSpaceDE w:val="0"/>
        <w:autoSpaceDN w:val="0"/>
        <w:spacing w:line="360" w:lineRule="auto"/>
        <w:ind w:left="0" w:firstLine="420"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在投标截止期前，无论出于何种原因，招标人可主动地或在解答潜在投标人提出的澄清问题时对招标文件进行修改。</w:t>
      </w:r>
    </w:p>
    <w:p>
      <w:pPr>
        <w:pStyle w:val="40"/>
        <w:numPr>
          <w:ilvl w:val="1"/>
          <w:numId w:val="7"/>
        </w:numPr>
        <w:autoSpaceDE w:val="0"/>
        <w:autoSpaceDN w:val="0"/>
        <w:spacing w:line="360" w:lineRule="auto"/>
        <w:ind w:left="0" w:firstLine="420"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招标人可以对已发出的招标文件进行必要的澄清或者修改。澄清或者修改的内容可能影响投标文件编制的，招标人将在投标截止时间</w:t>
      </w:r>
      <w:r>
        <w:rPr>
          <w:rFonts w:ascii="宋体" w:hAnsi="宋体" w:cs="宋体"/>
          <w:color w:val="auto"/>
          <w:kern w:val="0"/>
          <w:sz w:val="24"/>
          <w:szCs w:val="24"/>
          <w:highlight w:val="none"/>
        </w:rPr>
        <w:t>15</w:t>
      </w:r>
      <w:r>
        <w:rPr>
          <w:rFonts w:hint="eastAsia" w:ascii="宋体" w:hAnsi="宋体" w:cs="宋体"/>
          <w:color w:val="auto"/>
          <w:kern w:val="0"/>
          <w:sz w:val="24"/>
          <w:szCs w:val="24"/>
          <w:highlight w:val="none"/>
        </w:rPr>
        <w:t>日前，在财政部门指定的政府采购信息发布媒体和《全国公共资源交易平台（河南省·许昌市）》发布更正公告。</w:t>
      </w:r>
    </w:p>
    <w:p>
      <w:pPr>
        <w:pStyle w:val="40"/>
        <w:numPr>
          <w:ilvl w:val="1"/>
          <w:numId w:val="7"/>
        </w:numPr>
        <w:autoSpaceDE w:val="0"/>
        <w:autoSpaceDN w:val="0"/>
        <w:spacing w:line="360" w:lineRule="auto"/>
        <w:ind w:left="0" w:firstLine="420"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澄清或修改公告的内容为招标文件的组成部分，并对投标人具有约束力。当招标文件与澄清或修改公告就同一内容的表述不一致时，以最后发出的文件内容为准。</w:t>
      </w:r>
    </w:p>
    <w:p>
      <w:pPr>
        <w:pStyle w:val="40"/>
        <w:numPr>
          <w:ilvl w:val="1"/>
          <w:numId w:val="7"/>
        </w:numPr>
        <w:autoSpaceDE w:val="0"/>
        <w:autoSpaceDN w:val="0"/>
        <w:spacing w:line="360" w:lineRule="auto"/>
        <w:ind w:left="0" w:firstLine="420"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如果澄清或者修改发出的时间距规定的投标截止时间不足15日，招标人将顺延提交投标文件的截止时间。</w:t>
      </w:r>
    </w:p>
    <w:p>
      <w:pPr>
        <w:autoSpaceDE w:val="0"/>
        <w:autoSpaceDN w:val="0"/>
        <w:spacing w:line="360" w:lineRule="auto"/>
        <w:contextualSpacing/>
        <w:rPr>
          <w:rFonts w:ascii="宋体" w:hAnsi="宋体" w:cs="宋体"/>
          <w:color w:val="auto"/>
          <w:kern w:val="0"/>
          <w:sz w:val="24"/>
          <w:szCs w:val="24"/>
          <w:highlight w:val="none"/>
        </w:rPr>
      </w:pPr>
    </w:p>
    <w:p>
      <w:pPr>
        <w:tabs>
          <w:tab w:val="left" w:pos="1260"/>
        </w:tabs>
        <w:autoSpaceDE w:val="0"/>
        <w:autoSpaceDN w:val="0"/>
        <w:spacing w:line="360" w:lineRule="auto"/>
        <w:contextualSpacing/>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三、投标文件的编制</w:t>
      </w:r>
    </w:p>
    <w:p>
      <w:pPr>
        <w:pStyle w:val="40"/>
        <w:numPr>
          <w:ilvl w:val="0"/>
          <w:numId w:val="7"/>
        </w:numPr>
        <w:autoSpaceDE w:val="0"/>
        <w:autoSpaceDN w:val="0"/>
        <w:spacing w:line="360" w:lineRule="auto"/>
        <w:ind w:firstLine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投标的语言及计量单位</w:t>
      </w:r>
    </w:p>
    <w:p>
      <w:pPr>
        <w:pStyle w:val="40"/>
        <w:numPr>
          <w:ilvl w:val="1"/>
          <w:numId w:val="7"/>
        </w:numPr>
        <w:autoSpaceDE w:val="0"/>
        <w:autoSpaceDN w:val="0"/>
        <w:spacing w:line="360" w:lineRule="auto"/>
        <w:ind w:left="0" w:firstLine="420"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投标人提交的投标文件以及投标人与招标人就有关投标事宜的所有来往书面文件均应使用中文。除签名、盖章、专用名称等特殊情形外，以中文以外的文字表述的投标文件视同未提供。</w:t>
      </w:r>
    </w:p>
    <w:p>
      <w:pPr>
        <w:pStyle w:val="40"/>
        <w:numPr>
          <w:ilvl w:val="1"/>
          <w:numId w:val="7"/>
        </w:numPr>
        <w:autoSpaceDE w:val="0"/>
        <w:autoSpaceDN w:val="0"/>
        <w:spacing w:line="360" w:lineRule="auto"/>
        <w:ind w:left="0" w:firstLine="420"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投标计量单位，招标文件已有明确规定的，使用招标文件规定的计量单位；招标文件没有规定的，一律采用中华人民共和国法定计量单位。</w:t>
      </w:r>
    </w:p>
    <w:p>
      <w:pPr>
        <w:pStyle w:val="40"/>
        <w:autoSpaceDE w:val="0"/>
        <w:autoSpaceDN w:val="0"/>
        <w:spacing w:line="360" w:lineRule="auto"/>
        <w:ind w:left="420" w:firstLine="0" w:firstLineChars="0"/>
        <w:contextualSpacing/>
        <w:rPr>
          <w:rFonts w:ascii="宋体" w:hAnsi="宋体" w:cs="宋体"/>
          <w:color w:val="auto"/>
          <w:kern w:val="0"/>
          <w:sz w:val="24"/>
          <w:szCs w:val="24"/>
          <w:highlight w:val="none"/>
        </w:rPr>
      </w:pPr>
    </w:p>
    <w:p>
      <w:pPr>
        <w:pStyle w:val="40"/>
        <w:numPr>
          <w:ilvl w:val="0"/>
          <w:numId w:val="7"/>
        </w:numPr>
        <w:autoSpaceDE w:val="0"/>
        <w:autoSpaceDN w:val="0"/>
        <w:spacing w:line="360" w:lineRule="auto"/>
        <w:ind w:firstLine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中标入库后对受委托项目的投标报价</w:t>
      </w:r>
    </w:p>
    <w:p>
      <w:pPr>
        <w:pStyle w:val="40"/>
        <w:tabs>
          <w:tab w:val="left" w:pos="375"/>
        </w:tabs>
        <w:autoSpaceDE w:val="0"/>
        <w:autoSpaceDN w:val="0"/>
        <w:spacing w:line="360" w:lineRule="auto"/>
        <w:ind w:firstLine="0"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13.1</w:t>
      </w:r>
      <w:r>
        <w:rPr>
          <w:rFonts w:hint="eastAsia" w:ascii="宋体" w:hAnsi="宋体" w:cs="宋体"/>
          <w:color w:val="auto"/>
          <w:kern w:val="0"/>
          <w:sz w:val="24"/>
          <w:szCs w:val="24"/>
          <w:highlight w:val="none"/>
        </w:rPr>
        <w:tab/>
      </w:r>
      <w:r>
        <w:rPr>
          <w:rFonts w:hint="eastAsia" w:ascii="宋体" w:hAnsi="宋体" w:cs="宋体"/>
          <w:color w:val="auto"/>
          <w:kern w:val="0"/>
          <w:sz w:val="24"/>
          <w:szCs w:val="24"/>
          <w:highlight w:val="none"/>
        </w:rPr>
        <w:t>本次招标项目的投标及中标入库后对受委托项目均以人民币为计算单位。</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采购人不得向投标人索要或者接受其给予的赠品、回扣或者与采购无关的其他商品、服务。</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入库投标人应对受委托项目要求的全部内容进行报价，少报漏报将导致其投标为非实质性响应予以拒绝。</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投标人应当按照国家相关规定及参照</w:t>
      </w:r>
      <w:r>
        <w:rPr>
          <w:rFonts w:hint="eastAsia" w:ascii="宋体" w:hAnsi="宋体"/>
          <w:bCs/>
          <w:color w:val="auto"/>
          <w:sz w:val="24"/>
          <w:szCs w:val="24"/>
          <w:highlight w:val="none"/>
        </w:rPr>
        <w:t>本招标文件相关要求</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结合自身服务水平和承受能力进行报价。投标报价应是履行合同及受委托项目的最终价格，除“项目需求”中另有说明外，投标报价应当是投标人为提供本项目及受委托项目所要求的全部服务所发生的一切成本、税费和利润，包括人工（含工资、社会统筹保险金、加班工资、工作餐、相关福利、关于人员聘用的费用等）、设备、国家规定检测、外发包、材料（含辅材）、管理、税费及利润等。</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委托项目若涉及到运输、施工、安装、集成、调试、验收、备品和工具等费用均包含在投标报价中。</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本次招标不接受可选择或可调整的投标方案和报价，任何有选择的或可调整的投标方案和报价将被视为非实质性响应投标而作无效投标处理。</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报价不得高于受委托项目最高限价，且不低于成本价。本次招标入库后的委托项目实行“最高限价（项目控制金额上限或费率上限）”</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投标人的投标报价高于最高限价（项目控制金额上限或费率上限）的，该投标人的投标报价将被视为非实质性响应予以拒绝。</w:t>
      </w:r>
    </w:p>
    <w:p>
      <w:pPr>
        <w:autoSpaceDE w:val="0"/>
        <w:autoSpaceDN w:val="0"/>
        <w:spacing w:line="360" w:lineRule="auto"/>
        <w:ind w:left="420"/>
        <w:contextualSpacing/>
        <w:rPr>
          <w:rFonts w:ascii="宋体" w:hAnsi="宋体" w:cs="宋体"/>
          <w:color w:val="auto"/>
          <w:kern w:val="0"/>
          <w:sz w:val="24"/>
          <w:szCs w:val="24"/>
          <w:highlight w:val="none"/>
        </w:rPr>
      </w:pPr>
    </w:p>
    <w:p>
      <w:pPr>
        <w:pStyle w:val="40"/>
        <w:numPr>
          <w:ilvl w:val="0"/>
          <w:numId w:val="7"/>
        </w:numPr>
        <w:autoSpaceDE w:val="0"/>
        <w:autoSpaceDN w:val="0"/>
        <w:spacing w:line="360" w:lineRule="auto"/>
        <w:ind w:firstLine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投标有效期</w:t>
      </w:r>
    </w:p>
    <w:p>
      <w:pPr>
        <w:pStyle w:val="40"/>
        <w:autoSpaceDE w:val="0"/>
        <w:autoSpaceDN w:val="0"/>
        <w:spacing w:line="360" w:lineRule="auto"/>
        <w:ind w:firstLine="0"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投标有效期内投标人撤销投标文件的，招标人将不退还投标保证金。</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中标人的投标文件作为项目合同的附件，其有效期至中标人全部合同义务履行完毕为止。</w:t>
      </w:r>
    </w:p>
    <w:p>
      <w:pPr>
        <w:pStyle w:val="40"/>
        <w:autoSpaceDE w:val="0"/>
        <w:autoSpaceDN w:val="0"/>
        <w:spacing w:line="360" w:lineRule="auto"/>
        <w:ind w:left="964" w:firstLine="0" w:firstLineChars="0"/>
        <w:contextualSpacing/>
        <w:rPr>
          <w:rFonts w:ascii="宋体" w:hAnsi="宋体" w:cs="宋体"/>
          <w:color w:val="auto"/>
          <w:kern w:val="0"/>
          <w:sz w:val="24"/>
          <w:szCs w:val="24"/>
          <w:highlight w:val="none"/>
        </w:rPr>
      </w:pPr>
    </w:p>
    <w:p>
      <w:pPr>
        <w:pStyle w:val="40"/>
        <w:numPr>
          <w:ilvl w:val="0"/>
          <w:numId w:val="7"/>
        </w:numPr>
        <w:autoSpaceDE w:val="0"/>
        <w:autoSpaceDN w:val="0"/>
        <w:spacing w:line="360" w:lineRule="auto"/>
        <w:ind w:firstLine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投标文件构成</w:t>
      </w:r>
    </w:p>
    <w:p>
      <w:pPr>
        <w:pStyle w:val="40"/>
        <w:autoSpaceDE w:val="0"/>
        <w:autoSpaceDN w:val="0"/>
        <w:spacing w:line="360" w:lineRule="auto"/>
        <w:ind w:firstLine="0"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15.1投标文件的构成应符合法律法规及招标文件的要求。</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投标人应当按照招标文件的要求编制投标文件。投标文件应当对招标文件提出的要求和条件作出明确响应。</w:t>
      </w:r>
      <w:r>
        <w:rPr>
          <w:rFonts w:hint="eastAsia" w:ascii="宋体" w:hAnsi="宋体" w:cs="宋体"/>
          <w:color w:val="auto"/>
          <w:sz w:val="24"/>
          <w:szCs w:val="24"/>
          <w:highlight w:val="none"/>
        </w:rPr>
        <w:t>投标人应当对对所投分包招标文件中“服务需求”所列的所有服务内容进行投标，如仅响应分包中的部分内容，其投标将被认定为</w:t>
      </w:r>
      <w:r>
        <w:rPr>
          <w:rFonts w:hint="eastAsia" w:ascii="宋体" w:hAnsi="宋体" w:cs="宋体"/>
          <w:b/>
          <w:color w:val="auto"/>
          <w:sz w:val="24"/>
          <w:szCs w:val="24"/>
          <w:highlight w:val="none"/>
        </w:rPr>
        <w:t>投标无效</w:t>
      </w:r>
      <w:r>
        <w:rPr>
          <w:rFonts w:hint="eastAsia" w:ascii="宋体" w:hAnsi="宋体" w:cs="宋体"/>
          <w:color w:val="auto"/>
          <w:sz w:val="24"/>
          <w:szCs w:val="24"/>
          <w:highlight w:val="none"/>
        </w:rPr>
        <w:t>。</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投标文件由资格证明材料、符合性证明材料、其它材料等组成。</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投标人登录许昌公共资源交易系统下载“许昌投标文件制作系统</w:t>
      </w:r>
      <w:r>
        <w:rPr>
          <w:rFonts w:ascii="宋体" w:hAnsi="宋体" w:cs="宋体"/>
          <w:color w:val="auto"/>
          <w:kern w:val="0"/>
          <w:sz w:val="24"/>
          <w:szCs w:val="24"/>
          <w:highlight w:val="none"/>
        </w:rPr>
        <w:t>SEARUN V1.0</w:t>
      </w:r>
      <w:r>
        <w:rPr>
          <w:rFonts w:hint="eastAsia" w:ascii="宋体" w:hAnsi="宋体" w:cs="宋体"/>
          <w:color w:val="auto"/>
          <w:kern w:val="0"/>
          <w:sz w:val="24"/>
          <w:szCs w:val="24"/>
          <w:highlight w:val="none"/>
        </w:rPr>
        <w:t>”，按招标文件要求根据所投标段制作电子投标文件。一个标段对应生成一个文件夹（</w:t>
      </w:r>
      <w:r>
        <w:rPr>
          <w:rFonts w:ascii="宋体" w:hAnsi="宋体" w:cs="宋体"/>
          <w:color w:val="auto"/>
          <w:kern w:val="0"/>
          <w:sz w:val="24"/>
          <w:szCs w:val="24"/>
          <w:highlight w:val="none"/>
        </w:rPr>
        <w:t>xxxx</w:t>
      </w:r>
      <w:r>
        <w:rPr>
          <w:rFonts w:hint="eastAsia" w:ascii="宋体" w:hAnsi="宋体" w:cs="宋体"/>
          <w:color w:val="auto"/>
          <w:kern w:val="0"/>
          <w:sz w:val="24"/>
          <w:szCs w:val="24"/>
          <w:highlight w:val="none"/>
        </w:rPr>
        <w:t>项目</w:t>
      </w:r>
      <w:r>
        <w:rPr>
          <w:rFonts w:ascii="宋体" w:hAnsi="宋体" w:cs="宋体"/>
          <w:color w:val="auto"/>
          <w:kern w:val="0"/>
          <w:sz w:val="24"/>
          <w:szCs w:val="24"/>
          <w:highlight w:val="none"/>
        </w:rPr>
        <w:t>xx</w:t>
      </w:r>
      <w:r>
        <w:rPr>
          <w:rFonts w:hint="eastAsia" w:ascii="宋体" w:hAnsi="宋体" w:cs="宋体"/>
          <w:color w:val="auto"/>
          <w:kern w:val="0"/>
          <w:sz w:val="24"/>
          <w:szCs w:val="24"/>
          <w:highlight w:val="none"/>
        </w:rPr>
        <w:t>标段）</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其中包含</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个文件和</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个文件夹。后缀名为“</w:t>
      </w:r>
      <w:r>
        <w:rPr>
          <w:rFonts w:ascii="宋体" w:hAnsi="宋体" w:cs="宋体"/>
          <w:color w:val="auto"/>
          <w:kern w:val="0"/>
          <w:sz w:val="24"/>
          <w:szCs w:val="24"/>
          <w:highlight w:val="none"/>
        </w:rPr>
        <w:t>.file</w:t>
      </w:r>
      <w:r>
        <w:rPr>
          <w:rFonts w:hint="eastAsia" w:ascii="宋体" w:hAnsi="宋体" w:cs="宋体"/>
          <w:color w:val="auto"/>
          <w:kern w:val="0"/>
          <w:sz w:val="24"/>
          <w:szCs w:val="24"/>
          <w:highlight w:val="none"/>
        </w:rPr>
        <w:t>”的文件用于电子投标使用，后缀名为“</w:t>
      </w:r>
      <w:r>
        <w:rPr>
          <w:rFonts w:ascii="宋体" w:hAnsi="宋体" w:cs="宋体"/>
          <w:color w:val="auto"/>
          <w:kern w:val="0"/>
          <w:sz w:val="24"/>
          <w:szCs w:val="24"/>
          <w:highlight w:val="none"/>
        </w:rPr>
        <w:t>.PDF</w:t>
      </w:r>
      <w:r>
        <w:rPr>
          <w:rFonts w:hint="eastAsia" w:ascii="宋体" w:hAnsi="宋体" w:cs="宋体"/>
          <w:color w:val="auto"/>
          <w:kern w:val="0"/>
          <w:sz w:val="24"/>
          <w:szCs w:val="24"/>
          <w:highlight w:val="none"/>
        </w:rPr>
        <w:t>”的文件用于打印纸质投标文件，名称为“备份”的文件夹使用电子介质存储，供开标现场备用。</w:t>
      </w:r>
    </w:p>
    <w:p>
      <w:pPr>
        <w:autoSpaceDE w:val="0"/>
        <w:autoSpaceDN w:val="0"/>
        <w:spacing w:line="360" w:lineRule="auto"/>
        <w:ind w:left="420" w:left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电子投标文件制作技术咨询：</w:t>
      </w:r>
      <w:r>
        <w:rPr>
          <w:rFonts w:ascii="宋体" w:hAnsi="宋体" w:cs="宋体"/>
          <w:b/>
          <w:color w:val="auto"/>
          <w:kern w:val="0"/>
          <w:sz w:val="24"/>
          <w:szCs w:val="24"/>
          <w:highlight w:val="none"/>
        </w:rPr>
        <w:t>0374-2961598</w:t>
      </w:r>
      <w:r>
        <w:rPr>
          <w:rFonts w:hint="eastAsia" w:ascii="宋体" w:hAnsi="宋体" w:cs="宋体"/>
          <w:color w:val="auto"/>
          <w:kern w:val="0"/>
          <w:sz w:val="24"/>
          <w:szCs w:val="24"/>
          <w:highlight w:val="none"/>
        </w:rPr>
        <w:t>。</w:t>
      </w:r>
    </w:p>
    <w:p>
      <w:pPr>
        <w:autoSpaceDE w:val="0"/>
        <w:autoSpaceDN w:val="0"/>
        <w:spacing w:line="360" w:lineRule="auto"/>
        <w:ind w:left="964"/>
        <w:contextualSpacing/>
        <w:rPr>
          <w:rFonts w:ascii="宋体" w:hAnsi="宋体" w:cs="宋体"/>
          <w:color w:val="auto"/>
          <w:kern w:val="0"/>
          <w:sz w:val="24"/>
          <w:szCs w:val="24"/>
          <w:highlight w:val="none"/>
        </w:rPr>
      </w:pPr>
    </w:p>
    <w:p>
      <w:pPr>
        <w:pStyle w:val="40"/>
        <w:numPr>
          <w:ilvl w:val="0"/>
          <w:numId w:val="7"/>
        </w:numPr>
        <w:autoSpaceDE w:val="0"/>
        <w:autoSpaceDN w:val="0"/>
        <w:spacing w:line="360" w:lineRule="auto"/>
        <w:ind w:firstLine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投标文件格式</w:t>
      </w:r>
    </w:p>
    <w:p>
      <w:pPr>
        <w:pStyle w:val="40"/>
        <w:autoSpaceDE w:val="0"/>
        <w:autoSpaceDN w:val="0"/>
        <w:spacing w:line="360" w:lineRule="auto"/>
        <w:ind w:firstLine="0"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16.1投标文件应参照招标文件第七部分（投标文件有关格式）的内容要求、编排顺序和格式要求，投标人应按照以上要求将投标文件编上唯一的连贯页码并以</w:t>
      </w:r>
      <w:r>
        <w:rPr>
          <w:rFonts w:ascii="宋体" w:hAnsi="宋体" w:cs="宋体"/>
          <w:color w:val="auto"/>
          <w:kern w:val="0"/>
          <w:sz w:val="24"/>
          <w:szCs w:val="24"/>
          <w:highlight w:val="none"/>
        </w:rPr>
        <w:t>A4</w:t>
      </w:r>
      <w:r>
        <w:rPr>
          <w:rFonts w:hint="eastAsia" w:ascii="宋体" w:hAnsi="宋体" w:cs="宋体"/>
          <w:color w:val="auto"/>
          <w:kern w:val="0"/>
          <w:sz w:val="24"/>
          <w:szCs w:val="24"/>
          <w:highlight w:val="none"/>
        </w:rPr>
        <w:t>幅面装订成册，并在投标文件封面上注明：正本</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副本、所投项目名称、项目编号、投标人名称、日期等字样。</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投标人应按招标文件提供的格式编写投标文件。招标文件未提供标准格式的投标人可自行拟定。</w:t>
      </w:r>
    </w:p>
    <w:p>
      <w:pPr>
        <w:autoSpaceDE w:val="0"/>
        <w:autoSpaceDN w:val="0"/>
        <w:spacing w:line="360" w:lineRule="auto"/>
        <w:ind w:left="420"/>
        <w:contextualSpacing/>
        <w:rPr>
          <w:rFonts w:ascii="宋体" w:hAnsi="宋体" w:cs="宋体"/>
          <w:color w:val="auto"/>
          <w:kern w:val="0"/>
          <w:sz w:val="24"/>
          <w:szCs w:val="24"/>
          <w:highlight w:val="none"/>
        </w:rPr>
      </w:pPr>
    </w:p>
    <w:p>
      <w:pPr>
        <w:pStyle w:val="40"/>
        <w:numPr>
          <w:ilvl w:val="0"/>
          <w:numId w:val="7"/>
        </w:numPr>
        <w:autoSpaceDE w:val="0"/>
        <w:autoSpaceDN w:val="0"/>
        <w:spacing w:line="360" w:lineRule="auto"/>
        <w:ind w:firstLine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投标保证金：不收取。</w:t>
      </w:r>
    </w:p>
    <w:p>
      <w:pPr>
        <w:pStyle w:val="40"/>
        <w:autoSpaceDE w:val="0"/>
        <w:autoSpaceDN w:val="0"/>
        <w:spacing w:line="360" w:lineRule="auto"/>
        <w:ind w:firstLine="0" w:firstLineChars="0"/>
        <w:contextualSpacing/>
        <w:rPr>
          <w:rFonts w:ascii="宋体" w:hAnsi="宋体" w:cs="仿宋_GB2312"/>
          <w:color w:val="auto"/>
          <w:sz w:val="24"/>
          <w:szCs w:val="24"/>
          <w:highlight w:val="none"/>
          <w:lang w:val="zh-CN"/>
        </w:rPr>
      </w:pPr>
    </w:p>
    <w:p>
      <w:pPr>
        <w:pStyle w:val="40"/>
        <w:numPr>
          <w:ilvl w:val="0"/>
          <w:numId w:val="7"/>
        </w:numPr>
        <w:autoSpaceDE w:val="0"/>
        <w:autoSpaceDN w:val="0"/>
        <w:spacing w:line="360" w:lineRule="auto"/>
        <w:ind w:firstLine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投标文件的数量和签署盖章</w:t>
      </w:r>
    </w:p>
    <w:p>
      <w:pPr>
        <w:pStyle w:val="40"/>
        <w:autoSpaceDE w:val="0"/>
        <w:autoSpaceDN w:val="0"/>
        <w:spacing w:line="360" w:lineRule="auto"/>
        <w:ind w:firstLine="0"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18.1 投标人应提交投标文件份数见“投标人须知前附表”。</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在招标文件中已明示需盖章及签名之处，电子投标文件应按招标文件要求加盖投标人电子印章和法人电子印章或授权代表电子印章。</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纸质投标文件是指投标人电子投标文件制作完成后生成的后缀名为“</w:t>
      </w:r>
      <w:r>
        <w:rPr>
          <w:rFonts w:ascii="宋体" w:hAnsi="宋体" w:cs="宋体"/>
          <w:color w:val="auto"/>
          <w:kern w:val="0"/>
          <w:sz w:val="24"/>
          <w:szCs w:val="24"/>
          <w:highlight w:val="none"/>
        </w:rPr>
        <w:t>.PDF</w:t>
      </w:r>
      <w:r>
        <w:rPr>
          <w:rFonts w:hint="eastAsia" w:ascii="宋体" w:hAnsi="宋体" w:cs="宋体"/>
          <w:color w:val="auto"/>
          <w:kern w:val="0"/>
          <w:sz w:val="24"/>
          <w:szCs w:val="24"/>
          <w:highlight w:val="none"/>
        </w:rPr>
        <w:t>”的文件打印的投标文件。纸质投标文件正本和副本封面上应清楚标明“正本”或“副本”字样；一旦正本和副本内容不一致时，以正本为准。纸质投标文件的正本及所有副本的封面均须由投标人加盖投标人公章。</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纸质投标文件副本可以是纸质投标文件的正本复印而成。</w:t>
      </w:r>
    </w:p>
    <w:p>
      <w:pPr>
        <w:tabs>
          <w:tab w:val="left" w:pos="1260"/>
        </w:tabs>
        <w:autoSpaceDE w:val="0"/>
        <w:autoSpaceDN w:val="0"/>
        <w:spacing w:line="360" w:lineRule="auto"/>
        <w:contextualSpacing/>
        <w:rPr>
          <w:rFonts w:ascii="宋体" w:hAnsi="宋体" w:cs="仿宋_GB2312"/>
          <w:color w:val="auto"/>
          <w:sz w:val="24"/>
          <w:szCs w:val="24"/>
          <w:highlight w:val="none"/>
          <w:lang w:val="zh-CN"/>
        </w:rPr>
      </w:pPr>
    </w:p>
    <w:p>
      <w:pPr>
        <w:tabs>
          <w:tab w:val="left" w:pos="1260"/>
        </w:tabs>
        <w:autoSpaceDE w:val="0"/>
        <w:autoSpaceDN w:val="0"/>
        <w:spacing w:line="360" w:lineRule="auto"/>
        <w:contextualSpacing/>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四、投标文件的递交</w:t>
      </w:r>
    </w:p>
    <w:p>
      <w:pPr>
        <w:pStyle w:val="40"/>
        <w:numPr>
          <w:ilvl w:val="0"/>
          <w:numId w:val="7"/>
        </w:numPr>
        <w:autoSpaceDE w:val="0"/>
        <w:autoSpaceDN w:val="0"/>
        <w:spacing w:line="360" w:lineRule="auto"/>
        <w:ind w:firstLine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投标文件的密封</w:t>
      </w:r>
    </w:p>
    <w:p>
      <w:pPr>
        <w:pStyle w:val="40"/>
        <w:autoSpaceDE w:val="0"/>
        <w:autoSpaceDN w:val="0"/>
        <w:spacing w:line="360" w:lineRule="auto"/>
        <w:ind w:firstLine="0"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19.1投标人应将纸质投标文件密封包装。使用电子介质存储的投标文件单独密封包装，并随纸质投标文件一并提交。</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投标文件如果未按规定密封，招标人将拒绝接收。</w:t>
      </w:r>
    </w:p>
    <w:p>
      <w:pPr>
        <w:autoSpaceDE w:val="0"/>
        <w:autoSpaceDN w:val="0"/>
        <w:spacing w:line="360" w:lineRule="auto"/>
        <w:ind w:left="420"/>
        <w:contextualSpacing/>
        <w:rPr>
          <w:rFonts w:ascii="宋体" w:hAnsi="宋体" w:cs="宋体"/>
          <w:color w:val="auto"/>
          <w:kern w:val="0"/>
          <w:sz w:val="24"/>
          <w:szCs w:val="24"/>
          <w:highlight w:val="none"/>
        </w:rPr>
      </w:pPr>
    </w:p>
    <w:p>
      <w:pPr>
        <w:pStyle w:val="40"/>
        <w:numPr>
          <w:ilvl w:val="0"/>
          <w:numId w:val="7"/>
        </w:numPr>
        <w:autoSpaceDE w:val="0"/>
        <w:autoSpaceDN w:val="0"/>
        <w:spacing w:line="360" w:lineRule="auto"/>
        <w:ind w:firstLine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投标截止时间</w:t>
      </w:r>
    </w:p>
    <w:p>
      <w:pPr>
        <w:pStyle w:val="40"/>
        <w:autoSpaceDE w:val="0"/>
        <w:autoSpaceDN w:val="0"/>
        <w:spacing w:line="360" w:lineRule="auto"/>
        <w:ind w:left="480" w:hanging="480" w:hanging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20.1投标人必须在“投标邀请”和“投标人须知前附表”中规定的投标截止时间前，将所有投标文件送达招标文件指定的开标地点。</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招标人收到投标文件后，应当如实记载投标文件的送达时间和密封情况，签收保存，并向投标人出具签收回执。任何单位和个人不得在开标前开启投标文件。</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招标人可以按本须知第</w:t>
      </w:r>
      <w:r>
        <w:rPr>
          <w:rFonts w:ascii="宋体" w:hAnsi="宋体" w:cs="宋体"/>
          <w:color w:val="auto"/>
          <w:kern w:val="0"/>
          <w:sz w:val="24"/>
          <w:szCs w:val="24"/>
          <w:highlight w:val="none"/>
        </w:rPr>
        <w:t>10</w:t>
      </w:r>
      <w:r>
        <w:rPr>
          <w:rFonts w:hint="eastAsia" w:ascii="宋体" w:hAnsi="宋体" w:cs="宋体"/>
          <w:color w:val="auto"/>
          <w:kern w:val="0"/>
          <w:sz w:val="24"/>
          <w:szCs w:val="24"/>
          <w:highlight w:val="none"/>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0"/>
        <w:autoSpaceDE w:val="0"/>
        <w:autoSpaceDN w:val="0"/>
        <w:spacing w:line="360" w:lineRule="auto"/>
        <w:ind w:left="964" w:firstLine="0" w:firstLineChars="0"/>
        <w:contextualSpacing/>
        <w:rPr>
          <w:rFonts w:ascii="宋体" w:hAnsi="宋体" w:cs="宋体"/>
          <w:color w:val="auto"/>
          <w:kern w:val="0"/>
          <w:sz w:val="24"/>
          <w:szCs w:val="24"/>
          <w:highlight w:val="none"/>
        </w:rPr>
      </w:pPr>
    </w:p>
    <w:p>
      <w:pPr>
        <w:pStyle w:val="40"/>
        <w:numPr>
          <w:ilvl w:val="0"/>
          <w:numId w:val="7"/>
        </w:numPr>
        <w:autoSpaceDE w:val="0"/>
        <w:autoSpaceDN w:val="0"/>
        <w:spacing w:line="360" w:lineRule="auto"/>
        <w:ind w:firstLine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迟交的投标文件</w:t>
      </w:r>
    </w:p>
    <w:p>
      <w:pPr>
        <w:autoSpaceDE w:val="0"/>
        <w:autoSpaceDN w:val="0"/>
        <w:spacing w:line="360" w:lineRule="auto"/>
        <w:ind w:left="964" w:hanging="544"/>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投标截止时间之后送达或上传的投标文件，招标人将拒绝接收。</w:t>
      </w:r>
    </w:p>
    <w:p>
      <w:pPr>
        <w:autoSpaceDE w:val="0"/>
        <w:autoSpaceDN w:val="0"/>
        <w:spacing w:line="360" w:lineRule="auto"/>
        <w:ind w:left="964"/>
        <w:contextualSpacing/>
        <w:rPr>
          <w:rFonts w:ascii="宋体" w:hAnsi="宋体" w:cs="宋体"/>
          <w:color w:val="auto"/>
          <w:kern w:val="0"/>
          <w:sz w:val="24"/>
          <w:szCs w:val="24"/>
          <w:highlight w:val="none"/>
        </w:rPr>
      </w:pPr>
    </w:p>
    <w:p>
      <w:pPr>
        <w:pStyle w:val="40"/>
        <w:numPr>
          <w:ilvl w:val="0"/>
          <w:numId w:val="7"/>
        </w:numPr>
        <w:autoSpaceDE w:val="0"/>
        <w:autoSpaceDN w:val="0"/>
        <w:spacing w:line="360" w:lineRule="auto"/>
        <w:ind w:firstLine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投标文件的修改和撤回</w:t>
      </w:r>
    </w:p>
    <w:p>
      <w:pPr>
        <w:pStyle w:val="40"/>
        <w:numPr>
          <w:ilvl w:val="0"/>
          <w:numId w:val="11"/>
        </w:numPr>
        <w:autoSpaceDE w:val="0"/>
        <w:autoSpaceDN w:val="0"/>
        <w:spacing w:line="360" w:lineRule="auto"/>
        <w:ind w:left="480" w:hanging="480" w:hanging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投标人在投标截止时间前，对所递交的纸质投标文件进行补充、修改或者撤回的，须书面通知招标人。</w:t>
      </w:r>
    </w:p>
    <w:p>
      <w:pPr>
        <w:autoSpaceDE w:val="0"/>
        <w:autoSpaceDN w:val="0"/>
        <w:spacing w:line="360" w:lineRule="auto"/>
        <w:ind w:left="420" w:left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投标人应当在投标截止时间前完成电子投标文件的提交，可以补充、修改或撤回。投标截止时间前未完成电子投标文件提交、取得“投标文件提交回执单”的，视为撤回投标文件。</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投标人补充、修改的内容并作为投标文件的组成部分。补充或修改应当按招标文件要求签署、盖章、密封、递交，并应注明“修改”或“补充”字样。</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投标人在递交纸质投标文件后，可以撤回其投标，但投标人必须在规定的投标截止时间前以书面形式告知招标人。</w:t>
      </w:r>
    </w:p>
    <w:p>
      <w:pPr>
        <w:autoSpaceDE w:val="0"/>
        <w:autoSpaceDN w:val="0"/>
        <w:spacing w:line="360" w:lineRule="auto"/>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22.4 投标人不得在投标有效期内撤销投标文件，否则招标人将不退还其投标保证金。</w:t>
      </w:r>
    </w:p>
    <w:p>
      <w:pPr>
        <w:pStyle w:val="40"/>
        <w:autoSpaceDE w:val="0"/>
        <w:autoSpaceDN w:val="0"/>
        <w:spacing w:line="360" w:lineRule="auto"/>
        <w:ind w:firstLine="0" w:firstLineChars="0"/>
        <w:contextualSpacing/>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22.5 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cs="宋体"/>
          <w:color w:val="auto"/>
          <w:kern w:val="0"/>
          <w:sz w:val="24"/>
          <w:szCs w:val="24"/>
          <w:highlight w:val="none"/>
        </w:rPr>
      </w:pPr>
    </w:p>
    <w:p>
      <w:pPr>
        <w:tabs>
          <w:tab w:val="left" w:pos="1260"/>
        </w:tabs>
        <w:autoSpaceDE w:val="0"/>
        <w:autoSpaceDN w:val="0"/>
        <w:spacing w:line="360" w:lineRule="auto"/>
        <w:contextualSpacing/>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五、开标和评标</w:t>
      </w:r>
    </w:p>
    <w:p>
      <w:pPr>
        <w:pStyle w:val="40"/>
        <w:numPr>
          <w:ilvl w:val="0"/>
          <w:numId w:val="7"/>
        </w:numPr>
        <w:autoSpaceDE w:val="0"/>
        <w:autoSpaceDN w:val="0"/>
        <w:spacing w:line="360" w:lineRule="auto"/>
        <w:ind w:firstLine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开标</w:t>
      </w:r>
    </w:p>
    <w:p>
      <w:pPr>
        <w:pStyle w:val="40"/>
        <w:autoSpaceDE w:val="0"/>
        <w:autoSpaceDN w:val="0"/>
        <w:spacing w:line="360" w:lineRule="auto"/>
        <w:ind w:left="480" w:hanging="480" w:hanging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23.1 招标人将按招标文件规定的时间和地点组织公开开标。开标由代理机构主持，邀请投标人参加。评标委员会成员不得参加开标活动。</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招标人应当对开标、评标现场活动进行全程录音录像。录音录像应当清晰可辨，音像资料作为采购文件一并存档。</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420" w:left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）电子投标文件的解密</w:t>
      </w:r>
    </w:p>
    <w:p>
      <w:pPr>
        <w:autoSpaceDE w:val="0"/>
        <w:autoSpaceDN w:val="0"/>
        <w:spacing w:line="360" w:lineRule="auto"/>
        <w:ind w:left="420" w:left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全流程电子化交易项目电子投标文件采用双重加密。解密需分标段进行两次解密。</w:t>
      </w:r>
    </w:p>
    <w:p>
      <w:pPr>
        <w:autoSpaceDE w:val="0"/>
        <w:autoSpaceDN w:val="0"/>
        <w:spacing w:line="360" w:lineRule="auto"/>
        <w:ind w:left="420" w:leftChars="200"/>
        <w:contextualSpacing/>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a. </w:t>
      </w:r>
      <w:r>
        <w:rPr>
          <w:rFonts w:hint="eastAsia" w:ascii="宋体" w:hAnsi="宋体" w:cs="宋体"/>
          <w:color w:val="auto"/>
          <w:kern w:val="0"/>
          <w:sz w:val="24"/>
          <w:szCs w:val="24"/>
          <w:highlight w:val="none"/>
        </w:rPr>
        <w:t>投标人解密：投标人使用本单位</w:t>
      </w:r>
      <w:r>
        <w:rPr>
          <w:rFonts w:ascii="宋体" w:hAnsi="宋体" w:cs="宋体"/>
          <w:color w:val="auto"/>
          <w:kern w:val="0"/>
          <w:sz w:val="24"/>
          <w:szCs w:val="24"/>
          <w:highlight w:val="none"/>
        </w:rPr>
        <w:t>CA</w:t>
      </w:r>
      <w:r>
        <w:rPr>
          <w:rFonts w:hint="eastAsia" w:ascii="宋体" w:hAnsi="宋体" w:cs="宋体"/>
          <w:color w:val="auto"/>
          <w:kern w:val="0"/>
          <w:sz w:val="24"/>
          <w:szCs w:val="24"/>
          <w:highlight w:val="none"/>
        </w:rPr>
        <w:t>数字证书远程或现场进行解密。需开标现场使用一体机进行解密的，请在代理机构引导下进行。</w:t>
      </w:r>
    </w:p>
    <w:p>
      <w:pPr>
        <w:autoSpaceDE w:val="0"/>
        <w:autoSpaceDN w:val="0"/>
        <w:spacing w:line="360" w:lineRule="auto"/>
        <w:ind w:left="420" w:leftChars="200"/>
        <w:contextualSpacing/>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b. </w:t>
      </w:r>
      <w:r>
        <w:rPr>
          <w:rFonts w:hint="eastAsia" w:ascii="宋体" w:hAnsi="宋体" w:cs="宋体"/>
          <w:color w:val="auto"/>
          <w:kern w:val="0"/>
          <w:sz w:val="24"/>
          <w:szCs w:val="24"/>
          <w:highlight w:val="none"/>
        </w:rPr>
        <w:t>代理机构解密：代理机构按电子投标文件到达交易系统的先后顺序，使用本单位</w:t>
      </w:r>
      <w:r>
        <w:rPr>
          <w:rFonts w:ascii="宋体" w:hAnsi="宋体" w:cs="宋体"/>
          <w:color w:val="auto"/>
          <w:kern w:val="0"/>
          <w:sz w:val="24"/>
          <w:szCs w:val="24"/>
          <w:highlight w:val="none"/>
        </w:rPr>
        <w:t>CA</w:t>
      </w:r>
      <w:r>
        <w:rPr>
          <w:rFonts w:hint="eastAsia" w:ascii="宋体" w:hAnsi="宋体" w:cs="宋体"/>
          <w:color w:val="auto"/>
          <w:kern w:val="0"/>
          <w:sz w:val="24"/>
          <w:szCs w:val="24"/>
          <w:highlight w:val="none"/>
        </w:rPr>
        <w:t>数字证书进行再次解密。</w:t>
      </w:r>
    </w:p>
    <w:p>
      <w:pPr>
        <w:autoSpaceDE w:val="0"/>
        <w:autoSpaceDN w:val="0"/>
        <w:spacing w:line="360" w:lineRule="auto"/>
        <w:ind w:left="420" w:left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）电子投标文件解密异常情况处理</w:t>
      </w:r>
    </w:p>
    <w:p>
      <w:pPr>
        <w:autoSpaceDE w:val="0"/>
        <w:autoSpaceDN w:val="0"/>
        <w:spacing w:line="360" w:lineRule="auto"/>
        <w:ind w:left="420" w:leftChars="200"/>
        <w:contextualSpacing/>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a. </w:t>
      </w:r>
      <w:r>
        <w:rPr>
          <w:rFonts w:hint="eastAsia" w:ascii="宋体" w:hAnsi="宋体" w:cs="宋体"/>
          <w:color w:val="auto"/>
          <w:kern w:val="0"/>
          <w:sz w:val="24"/>
          <w:szCs w:val="24"/>
          <w:highlight w:val="none"/>
        </w:rPr>
        <w:t>因电子交易系统异常无法解密电子投标文件的，使用纸质投标文件以人工方式进行。</w:t>
      </w:r>
    </w:p>
    <w:p>
      <w:pPr>
        <w:autoSpaceDE w:val="0"/>
        <w:autoSpaceDN w:val="0"/>
        <w:spacing w:line="360" w:lineRule="auto"/>
        <w:ind w:left="420" w:leftChars="200"/>
        <w:contextualSpacing/>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b. </w:t>
      </w:r>
      <w:r>
        <w:rPr>
          <w:rFonts w:hint="eastAsia" w:ascii="宋体" w:hAnsi="宋体" w:cs="宋体"/>
          <w:color w:val="auto"/>
          <w:kern w:val="0"/>
          <w:sz w:val="24"/>
          <w:szCs w:val="24"/>
          <w:highlight w:val="none"/>
        </w:rPr>
        <w:t>因投标人原因电子投标文件解密失败的，由系统技术人员协助投标人将备份文件（电子介质存储）导入系统。若备份文件（电子介质存储）无法导入系统或导入系统仍无法解密的，其投标将被拒绝。</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投标人不足</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家的，不得开标。</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开标过程由采购代理机构负责记录，由参加开标的各投标人代表和相关工作人员签字确认后随采购文件一并存档。</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投标人未参加开标的，视同认可开标结果。</w:t>
      </w:r>
    </w:p>
    <w:p>
      <w:pPr>
        <w:pStyle w:val="40"/>
        <w:autoSpaceDE w:val="0"/>
        <w:autoSpaceDN w:val="0"/>
        <w:spacing w:line="360" w:lineRule="auto"/>
        <w:ind w:left="964" w:firstLine="0" w:firstLineChars="0"/>
        <w:contextualSpacing/>
        <w:rPr>
          <w:rFonts w:ascii="宋体" w:hAnsi="宋体" w:cs="宋体"/>
          <w:color w:val="auto"/>
          <w:kern w:val="0"/>
          <w:sz w:val="24"/>
          <w:szCs w:val="24"/>
          <w:highlight w:val="none"/>
        </w:rPr>
      </w:pPr>
    </w:p>
    <w:p>
      <w:pPr>
        <w:pStyle w:val="40"/>
        <w:numPr>
          <w:ilvl w:val="0"/>
          <w:numId w:val="7"/>
        </w:numPr>
        <w:autoSpaceDE w:val="0"/>
        <w:autoSpaceDN w:val="0"/>
        <w:spacing w:line="360" w:lineRule="auto"/>
        <w:ind w:firstLine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资格审查</w:t>
      </w:r>
    </w:p>
    <w:p>
      <w:pPr>
        <w:autoSpaceDE w:val="0"/>
        <w:autoSpaceDN w:val="0"/>
        <w:spacing w:line="360" w:lineRule="auto"/>
        <w:ind w:left="420" w:left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开标结束后，采购人按照《政府采购货物和服务招标投标管理办法》（财政部令第</w:t>
      </w:r>
      <w:r>
        <w:rPr>
          <w:rFonts w:ascii="宋体" w:hAnsi="宋体" w:cs="宋体"/>
          <w:color w:val="auto"/>
          <w:kern w:val="0"/>
          <w:sz w:val="24"/>
          <w:szCs w:val="24"/>
          <w:highlight w:val="none"/>
        </w:rPr>
        <w:t>87</w:t>
      </w:r>
      <w:r>
        <w:rPr>
          <w:rFonts w:hint="eastAsia" w:ascii="宋体" w:hAnsi="宋体" w:cs="宋体"/>
          <w:color w:val="auto"/>
          <w:kern w:val="0"/>
          <w:sz w:val="24"/>
          <w:szCs w:val="24"/>
          <w:highlight w:val="none"/>
        </w:rPr>
        <w:t>号）规定，依法对投标人的资格进行审查。合格投标人不足</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家的，不得评标。</w:t>
      </w:r>
    </w:p>
    <w:p>
      <w:pPr>
        <w:autoSpaceDE w:val="0"/>
        <w:autoSpaceDN w:val="0"/>
        <w:spacing w:line="360" w:lineRule="auto"/>
        <w:ind w:left="964"/>
        <w:contextualSpacing/>
        <w:rPr>
          <w:rFonts w:ascii="宋体" w:hAnsi="宋体" w:cs="宋体"/>
          <w:color w:val="auto"/>
          <w:kern w:val="0"/>
          <w:sz w:val="24"/>
          <w:szCs w:val="24"/>
          <w:highlight w:val="none"/>
        </w:rPr>
      </w:pPr>
    </w:p>
    <w:p>
      <w:pPr>
        <w:pStyle w:val="40"/>
        <w:numPr>
          <w:ilvl w:val="0"/>
          <w:numId w:val="7"/>
        </w:numPr>
        <w:autoSpaceDE w:val="0"/>
        <w:autoSpaceDN w:val="0"/>
        <w:spacing w:line="360" w:lineRule="auto"/>
        <w:ind w:firstLine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评标委员会的组成</w:t>
      </w:r>
    </w:p>
    <w:p>
      <w:pPr>
        <w:pStyle w:val="40"/>
        <w:autoSpaceDE w:val="0"/>
        <w:autoSpaceDN w:val="0"/>
        <w:spacing w:line="360" w:lineRule="auto"/>
        <w:ind w:left="480" w:hanging="480" w:hanging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25.1招标人将依法组建评标委员会，评标委员会</w:t>
      </w:r>
      <w:r>
        <w:rPr>
          <w:rFonts w:hint="eastAsia" w:ascii="宋体" w:hAnsi="宋体" w:cs="仿宋_GB2312"/>
          <w:color w:val="auto"/>
          <w:sz w:val="24"/>
          <w:szCs w:val="24"/>
          <w:highlight w:val="none"/>
          <w:lang w:val="zh-CN"/>
        </w:rPr>
        <w:t>由河南省政府采购评标专家库相关专业评审专家组成</w:t>
      </w:r>
      <w:r>
        <w:rPr>
          <w:rFonts w:hint="eastAsia" w:ascii="宋体" w:hAnsi="宋体" w:cs="宋体"/>
          <w:color w:val="auto"/>
          <w:kern w:val="0"/>
          <w:sz w:val="24"/>
          <w:szCs w:val="24"/>
          <w:highlight w:val="none"/>
        </w:rPr>
        <w:t>，成员人数应当为</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人以上单数，其中评审专家的人数不少于评标委员会成员总数的三分之二。评审专家依法从政府采购评审专家库中随机抽取。</w:t>
      </w:r>
    </w:p>
    <w:p>
      <w:pPr>
        <w:autoSpaceDE w:val="0"/>
        <w:autoSpaceDN w:val="0"/>
        <w:spacing w:line="360" w:lineRule="auto"/>
        <w:ind w:left="420" w:left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采购项目符合下列情形之一的，评标委员会成员人数应当为</w:t>
      </w:r>
      <w:r>
        <w:rPr>
          <w:rFonts w:ascii="宋体" w:hAnsi="宋体" w:cs="宋体"/>
          <w:color w:val="auto"/>
          <w:kern w:val="0"/>
          <w:sz w:val="24"/>
          <w:szCs w:val="24"/>
          <w:highlight w:val="none"/>
        </w:rPr>
        <w:t>7</w:t>
      </w:r>
      <w:r>
        <w:rPr>
          <w:rFonts w:hint="eastAsia" w:ascii="宋体" w:hAnsi="宋体" w:cs="宋体"/>
          <w:color w:val="auto"/>
          <w:kern w:val="0"/>
          <w:sz w:val="24"/>
          <w:szCs w:val="24"/>
          <w:highlight w:val="none"/>
        </w:rPr>
        <w:t>人以上单数：</w:t>
      </w:r>
    </w:p>
    <w:p>
      <w:pPr>
        <w:autoSpaceDE w:val="0"/>
        <w:autoSpaceDN w:val="0"/>
        <w:spacing w:line="360" w:lineRule="auto"/>
        <w:ind w:left="420" w:left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）采购预算金额在</w:t>
      </w:r>
      <w:r>
        <w:rPr>
          <w:rFonts w:ascii="宋体" w:hAnsi="宋体" w:cs="宋体"/>
          <w:color w:val="auto"/>
          <w:kern w:val="0"/>
          <w:sz w:val="24"/>
          <w:szCs w:val="24"/>
          <w:highlight w:val="none"/>
        </w:rPr>
        <w:t>1000</w:t>
      </w:r>
      <w:r>
        <w:rPr>
          <w:rFonts w:hint="eastAsia" w:ascii="宋体" w:hAnsi="宋体" w:cs="宋体"/>
          <w:color w:val="auto"/>
          <w:kern w:val="0"/>
          <w:sz w:val="24"/>
          <w:szCs w:val="24"/>
          <w:highlight w:val="none"/>
        </w:rPr>
        <w:t>万元以上；</w:t>
      </w:r>
    </w:p>
    <w:p>
      <w:pPr>
        <w:autoSpaceDE w:val="0"/>
        <w:autoSpaceDN w:val="0"/>
        <w:spacing w:line="360" w:lineRule="auto"/>
        <w:ind w:left="420" w:left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）技术复杂；</w:t>
      </w:r>
    </w:p>
    <w:p>
      <w:pPr>
        <w:autoSpaceDE w:val="0"/>
        <w:autoSpaceDN w:val="0"/>
        <w:spacing w:line="360" w:lineRule="auto"/>
        <w:ind w:left="420" w:left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）社会影响较大。</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评审专家对本单位的采购项目只能作为采购人代表参与评标。采购代理机构工作人员不得参加由本机构代理的政府采购项目的评标。</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评审专家与投标人存在下列利害关系之一的</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应当回避</w:t>
      </w:r>
      <w:r>
        <w:rPr>
          <w:rFonts w:ascii="宋体" w:hAnsi="宋体" w:cs="宋体"/>
          <w:color w:val="auto"/>
          <w:kern w:val="0"/>
          <w:sz w:val="24"/>
          <w:szCs w:val="24"/>
          <w:highlight w:val="none"/>
        </w:rPr>
        <w:t>:</w:t>
      </w:r>
    </w:p>
    <w:p>
      <w:pPr>
        <w:autoSpaceDE w:val="0"/>
        <w:autoSpaceDN w:val="0"/>
        <w:spacing w:line="360" w:lineRule="auto"/>
        <w:ind w:left="420" w:left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）参加采购活动前三年内</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与供应商存在劳动关系</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或者担任过供应商的董事、监事</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或者是供应商的控股股东或实际控制人；</w:t>
      </w:r>
    </w:p>
    <w:p>
      <w:pPr>
        <w:autoSpaceDE w:val="0"/>
        <w:autoSpaceDN w:val="0"/>
        <w:spacing w:line="360" w:lineRule="auto"/>
        <w:ind w:left="420" w:left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）与供应商的法定代表人或者负责人有夫妻、直系血亲、三代以内旁系血亲或者近姻亲关系；</w:t>
      </w:r>
    </w:p>
    <w:p>
      <w:pPr>
        <w:autoSpaceDE w:val="0"/>
        <w:autoSpaceDN w:val="0"/>
        <w:spacing w:line="360" w:lineRule="auto"/>
        <w:ind w:left="420" w:left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）与供应商有其他可能影响政府采购活动公平、公正进行的关系。</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评审专家发现本人与参加采购活动的供应商有利害关系的</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应当主动提出回避。采购人或者代理机构发现评审专家与参加采购活动的供应商有利害关系的</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应当要求其回避。</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采购人不得担任评标小组长。</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采购人可以在评标前说明项目背景和采购需求，说明内容不得含有歧视性、倾向性意见，不得超出招标文件所述范围。说明应当提交书面材料，并随采购文件一并存档。</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评标委员会成员名单在评标结果公告前应当保密。</w:t>
      </w:r>
    </w:p>
    <w:p>
      <w:pPr>
        <w:autoSpaceDE w:val="0"/>
        <w:autoSpaceDN w:val="0"/>
        <w:spacing w:line="360" w:lineRule="auto"/>
        <w:ind w:left="420"/>
        <w:contextualSpacing/>
        <w:rPr>
          <w:rFonts w:ascii="宋体" w:hAnsi="宋体" w:cs="宋体"/>
          <w:color w:val="auto"/>
          <w:kern w:val="0"/>
          <w:sz w:val="24"/>
          <w:szCs w:val="24"/>
          <w:highlight w:val="none"/>
        </w:rPr>
      </w:pPr>
    </w:p>
    <w:p>
      <w:pPr>
        <w:pStyle w:val="40"/>
        <w:numPr>
          <w:ilvl w:val="0"/>
          <w:numId w:val="7"/>
        </w:numPr>
        <w:autoSpaceDE w:val="0"/>
        <w:autoSpaceDN w:val="0"/>
        <w:spacing w:line="360" w:lineRule="auto"/>
        <w:ind w:firstLine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符合性审查</w:t>
      </w:r>
    </w:p>
    <w:p>
      <w:pPr>
        <w:pStyle w:val="40"/>
        <w:numPr>
          <w:ilvl w:val="0"/>
          <w:numId w:val="12"/>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评标委员会依据有关法律法规和招标文件的规定，对符合资格的投标人的投标文件进行符合性审查，以确定其是否满足招标文件的实质性要求。</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审查、评价投标文件是否符合招标文件的商务、技术等实质性要求。</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可要求投标人对投标文件有关事项作出澄清或者说明。</w:t>
      </w:r>
    </w:p>
    <w:p>
      <w:pPr>
        <w:pStyle w:val="40"/>
        <w:autoSpaceDE w:val="0"/>
        <w:autoSpaceDN w:val="0"/>
        <w:spacing w:line="360" w:lineRule="auto"/>
        <w:ind w:left="964" w:firstLine="0" w:firstLineChars="0"/>
        <w:contextualSpacing/>
        <w:rPr>
          <w:rFonts w:ascii="宋体" w:hAnsi="宋体" w:cs="宋体"/>
          <w:color w:val="auto"/>
          <w:kern w:val="0"/>
          <w:sz w:val="24"/>
          <w:szCs w:val="24"/>
          <w:highlight w:val="none"/>
        </w:rPr>
      </w:pPr>
    </w:p>
    <w:p>
      <w:pPr>
        <w:pStyle w:val="40"/>
        <w:numPr>
          <w:ilvl w:val="0"/>
          <w:numId w:val="7"/>
        </w:numPr>
        <w:autoSpaceDE w:val="0"/>
        <w:autoSpaceDN w:val="0"/>
        <w:spacing w:line="360" w:lineRule="auto"/>
        <w:ind w:firstLine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投标文件的澄清</w:t>
      </w:r>
    </w:p>
    <w:p>
      <w:pPr>
        <w:pStyle w:val="40"/>
        <w:numPr>
          <w:ilvl w:val="0"/>
          <w:numId w:val="12"/>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对于投标文件中含义不明确、同类问题表述不一致或者有明显文字和计算错误的内容，评标委员会应当以书面形式要求投标人作出必要的澄清、说明或者补正。</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投标人的澄清、说明或者补正应当采用书面形式，并加盖公章，或者由法定代表人或其授权的代表签字。投标人的澄清、说明或者补正不得超出投标文件的范围或者改变投标文件的实质性内容。</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投标人的澄清文件是其投标文件的组成部分。</w:t>
      </w:r>
    </w:p>
    <w:p>
      <w:pPr>
        <w:autoSpaceDE w:val="0"/>
        <w:autoSpaceDN w:val="0"/>
        <w:spacing w:line="360" w:lineRule="auto"/>
        <w:contextualSpacing/>
        <w:rPr>
          <w:rFonts w:ascii="宋体" w:hAnsi="宋体" w:cs="宋体"/>
          <w:color w:val="auto"/>
          <w:kern w:val="0"/>
          <w:sz w:val="24"/>
          <w:szCs w:val="24"/>
          <w:highlight w:val="none"/>
        </w:rPr>
      </w:pPr>
    </w:p>
    <w:p>
      <w:pPr>
        <w:pStyle w:val="40"/>
        <w:numPr>
          <w:ilvl w:val="0"/>
          <w:numId w:val="7"/>
        </w:numPr>
        <w:autoSpaceDE w:val="0"/>
        <w:autoSpaceDN w:val="0"/>
        <w:spacing w:line="360" w:lineRule="auto"/>
        <w:ind w:firstLine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投标无效情形</w:t>
      </w:r>
    </w:p>
    <w:p>
      <w:pPr>
        <w:pStyle w:val="40"/>
        <w:autoSpaceDE w:val="0"/>
        <w:autoSpaceDN w:val="0"/>
        <w:spacing w:line="360" w:lineRule="auto"/>
        <w:ind w:firstLine="0" w:firstLineChars="0"/>
        <w:contextualSpacing/>
        <w:rPr>
          <w:rFonts w:ascii="宋体" w:hAnsi="宋体" w:cs="宋体"/>
          <w:color w:val="auto"/>
          <w:kern w:val="0"/>
          <w:sz w:val="24"/>
          <w:szCs w:val="24"/>
          <w:highlight w:val="non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8</w:t>
      </w:r>
      <w:r>
        <w:rPr>
          <w:rFonts w:ascii="宋体" w:hAnsi="宋体" w:cs="宋体"/>
          <w:color w:val="auto"/>
          <w:kern w:val="0"/>
          <w:sz w:val="24"/>
          <w:szCs w:val="24"/>
          <w:highlight w:val="none"/>
        </w:rPr>
        <w:t xml:space="preserve">.1 </w:t>
      </w:r>
      <w:r>
        <w:rPr>
          <w:rFonts w:hint="eastAsia" w:ascii="宋体" w:hAnsi="宋体" w:cs="宋体"/>
          <w:color w:val="auto"/>
          <w:kern w:val="0"/>
          <w:sz w:val="24"/>
          <w:szCs w:val="24"/>
          <w:highlight w:val="none"/>
        </w:rPr>
        <w:t>投标文件属下列情况之一的，按照无效投标处理：</w:t>
      </w:r>
    </w:p>
    <w:p>
      <w:pPr>
        <w:autoSpaceDE w:val="0"/>
        <w:autoSpaceDN w:val="0"/>
        <w:spacing w:line="360" w:lineRule="auto"/>
        <w:ind w:left="420" w:left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）未按照招标文件的规定提交投标保证金的；</w:t>
      </w:r>
    </w:p>
    <w:p>
      <w:pPr>
        <w:autoSpaceDE w:val="0"/>
        <w:autoSpaceDN w:val="0"/>
        <w:spacing w:line="360" w:lineRule="auto"/>
        <w:ind w:left="420" w:left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）投标文件未按招标文件要求签署、盖章的；</w:t>
      </w:r>
    </w:p>
    <w:p>
      <w:pPr>
        <w:autoSpaceDE w:val="0"/>
        <w:autoSpaceDN w:val="0"/>
        <w:spacing w:line="360" w:lineRule="auto"/>
        <w:ind w:left="420" w:left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）不具备招标文件中规定的资格要求的；</w:t>
      </w:r>
    </w:p>
    <w:p>
      <w:pPr>
        <w:autoSpaceDE w:val="0"/>
        <w:autoSpaceDN w:val="0"/>
        <w:spacing w:line="360" w:lineRule="auto"/>
        <w:ind w:left="420" w:left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）报价超过招标文件中规定的预算金额或者最高限价的；</w:t>
      </w:r>
    </w:p>
    <w:p>
      <w:pPr>
        <w:autoSpaceDE w:val="0"/>
        <w:autoSpaceDN w:val="0"/>
        <w:spacing w:line="360" w:lineRule="auto"/>
        <w:ind w:left="420" w:left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）投标文件含有采购人不能接受的附加条件的。</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有下列情形之一的，视为投标人串通投标，其投标无效：</w:t>
      </w:r>
    </w:p>
    <w:p>
      <w:pPr>
        <w:autoSpaceDE w:val="0"/>
        <w:autoSpaceDN w:val="0"/>
        <w:spacing w:line="360" w:lineRule="auto"/>
        <w:ind w:left="420" w:left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）不同投标人的投标文件由同一单位或者个人编制；</w:t>
      </w:r>
    </w:p>
    <w:p>
      <w:pPr>
        <w:autoSpaceDE w:val="0"/>
        <w:autoSpaceDN w:val="0"/>
        <w:spacing w:line="360" w:lineRule="auto"/>
        <w:ind w:left="420" w:left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）不同投标人委托同一单位或者个人办理投标事宜；</w:t>
      </w:r>
    </w:p>
    <w:p>
      <w:pPr>
        <w:autoSpaceDE w:val="0"/>
        <w:autoSpaceDN w:val="0"/>
        <w:spacing w:line="360" w:lineRule="auto"/>
        <w:ind w:left="420" w:left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）不同投标人的投标文件载明的项目管理成员或者联系人员为同一人；</w:t>
      </w:r>
    </w:p>
    <w:p>
      <w:pPr>
        <w:autoSpaceDE w:val="0"/>
        <w:autoSpaceDN w:val="0"/>
        <w:spacing w:line="360" w:lineRule="auto"/>
        <w:ind w:left="420" w:left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）不同投标人的投标文件异常一致或者投标报价呈规律性差异；</w:t>
      </w:r>
    </w:p>
    <w:p>
      <w:pPr>
        <w:autoSpaceDE w:val="0"/>
        <w:autoSpaceDN w:val="0"/>
        <w:spacing w:line="360" w:lineRule="auto"/>
        <w:ind w:left="420" w:left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）不同投标人的投标文件相互混装；</w:t>
      </w:r>
    </w:p>
    <w:p>
      <w:pPr>
        <w:autoSpaceDE w:val="0"/>
        <w:autoSpaceDN w:val="0"/>
        <w:spacing w:line="360" w:lineRule="auto"/>
        <w:ind w:left="420" w:left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6</w:t>
      </w:r>
      <w:r>
        <w:rPr>
          <w:rFonts w:hint="eastAsia" w:ascii="宋体" w:hAnsi="宋体" w:cs="宋体"/>
          <w:color w:val="auto"/>
          <w:kern w:val="0"/>
          <w:sz w:val="24"/>
          <w:szCs w:val="24"/>
          <w:highlight w:val="none"/>
        </w:rPr>
        <w:t>）不同投标人的投标保证金从同一单位或者个人的账户转出。</w:t>
      </w:r>
    </w:p>
    <w:p>
      <w:pPr>
        <w:pStyle w:val="28"/>
        <w:spacing w:line="360" w:lineRule="auto"/>
        <w:ind w:left="480" w:hanging="480" w:hangingChars="200"/>
        <w:rPr>
          <w:rFonts w:ascii="宋体" w:hAnsi="宋体" w:cs="宋体"/>
          <w:color w:val="auto"/>
          <w:szCs w:val="24"/>
          <w:highlight w:val="none"/>
        </w:rPr>
      </w:pPr>
      <w:r>
        <w:rPr>
          <w:rFonts w:hint="eastAsia" w:ascii="宋体" w:hAnsi="宋体" w:cs="宋体"/>
          <w:color w:val="auto"/>
          <w:kern w:val="0"/>
          <w:szCs w:val="24"/>
          <w:highlight w:val="none"/>
        </w:rPr>
        <w:t xml:space="preserve">28.3 </w:t>
      </w:r>
      <w:r>
        <w:rPr>
          <w:rFonts w:hint="eastAsia" w:ascii="宋体" w:hAnsi="宋体" w:cs="宋体"/>
          <w:color w:val="auto"/>
          <w:szCs w:val="24"/>
          <w:highlight w:val="none"/>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8"/>
        <w:spacing w:line="360" w:lineRule="auto"/>
        <w:rPr>
          <w:rFonts w:ascii="宋体" w:hAnsi="宋体" w:cs="宋体"/>
          <w:color w:val="auto"/>
          <w:szCs w:val="24"/>
          <w:highlight w:val="none"/>
        </w:rPr>
      </w:pPr>
      <w:r>
        <w:rPr>
          <w:rFonts w:hint="eastAsia" w:ascii="宋体" w:hAnsi="宋体" w:cs="宋体"/>
          <w:color w:val="auto"/>
          <w:szCs w:val="24"/>
          <w:highlight w:val="none"/>
        </w:rPr>
        <w:t xml:space="preserve">    （一）提供虚假材料谋取中标、成交的；</w:t>
      </w:r>
    </w:p>
    <w:p>
      <w:pPr>
        <w:pStyle w:val="28"/>
        <w:spacing w:line="360" w:lineRule="auto"/>
        <w:rPr>
          <w:rFonts w:ascii="宋体" w:hAnsi="宋体" w:cs="宋体"/>
          <w:color w:val="auto"/>
          <w:szCs w:val="24"/>
          <w:highlight w:val="none"/>
        </w:rPr>
      </w:pPr>
      <w:r>
        <w:rPr>
          <w:rFonts w:hint="eastAsia" w:ascii="宋体" w:hAnsi="宋体" w:cs="宋体"/>
          <w:color w:val="auto"/>
          <w:szCs w:val="24"/>
          <w:highlight w:val="none"/>
        </w:rPr>
        <w:t xml:space="preserve">    （二）采取不正当手段诋毁、排挤其他供应商的；</w:t>
      </w:r>
    </w:p>
    <w:p>
      <w:pPr>
        <w:pStyle w:val="28"/>
        <w:spacing w:line="360" w:lineRule="auto"/>
        <w:rPr>
          <w:rFonts w:ascii="宋体" w:hAnsi="宋体" w:cs="宋体"/>
          <w:color w:val="auto"/>
          <w:szCs w:val="24"/>
          <w:highlight w:val="none"/>
        </w:rPr>
      </w:pPr>
      <w:r>
        <w:rPr>
          <w:rFonts w:hint="eastAsia" w:ascii="宋体" w:hAnsi="宋体" w:cs="宋体"/>
          <w:color w:val="auto"/>
          <w:szCs w:val="24"/>
          <w:highlight w:val="none"/>
        </w:rPr>
        <w:t xml:space="preserve">    （三）与采购人、其他供应商或者采购代理机构恶意串通的；</w:t>
      </w:r>
    </w:p>
    <w:p>
      <w:pPr>
        <w:pStyle w:val="28"/>
        <w:spacing w:line="360" w:lineRule="auto"/>
        <w:rPr>
          <w:rFonts w:ascii="宋体" w:hAnsi="宋体" w:cs="宋体"/>
          <w:color w:val="auto"/>
          <w:szCs w:val="24"/>
          <w:highlight w:val="none"/>
        </w:rPr>
      </w:pPr>
      <w:r>
        <w:rPr>
          <w:rFonts w:hint="eastAsia" w:ascii="宋体" w:hAnsi="宋体" w:cs="宋体"/>
          <w:color w:val="auto"/>
          <w:szCs w:val="24"/>
          <w:highlight w:val="none"/>
        </w:rPr>
        <w:t xml:space="preserve">    （四）向采购人、采购代理机构行贿或者提供其他不正当利益的；</w:t>
      </w:r>
    </w:p>
    <w:p>
      <w:pPr>
        <w:pStyle w:val="28"/>
        <w:spacing w:line="360" w:lineRule="auto"/>
        <w:rPr>
          <w:rFonts w:ascii="宋体" w:hAnsi="宋体" w:cs="宋体"/>
          <w:color w:val="auto"/>
          <w:szCs w:val="24"/>
          <w:highlight w:val="none"/>
        </w:rPr>
      </w:pPr>
      <w:r>
        <w:rPr>
          <w:rFonts w:hint="eastAsia" w:ascii="宋体" w:hAnsi="宋体" w:cs="宋体"/>
          <w:color w:val="auto"/>
          <w:szCs w:val="24"/>
          <w:highlight w:val="none"/>
        </w:rPr>
        <w:t xml:space="preserve">    （五）在招标采购过程中与采购人进行协商谈判的；</w:t>
      </w:r>
    </w:p>
    <w:p>
      <w:pPr>
        <w:pStyle w:val="28"/>
        <w:spacing w:line="360" w:lineRule="auto"/>
        <w:rPr>
          <w:rFonts w:ascii="宋体" w:hAnsi="宋体" w:cs="宋体"/>
          <w:color w:val="auto"/>
          <w:szCs w:val="24"/>
          <w:highlight w:val="none"/>
        </w:rPr>
      </w:pPr>
      <w:r>
        <w:rPr>
          <w:rFonts w:hint="eastAsia" w:ascii="宋体" w:hAnsi="宋体" w:cs="宋体"/>
          <w:color w:val="auto"/>
          <w:szCs w:val="24"/>
          <w:highlight w:val="none"/>
        </w:rPr>
        <w:t xml:space="preserve">    （六）拒绝有关部门监督检查或者提供虚假情况的。</w:t>
      </w:r>
    </w:p>
    <w:p>
      <w:pPr>
        <w:pStyle w:val="28"/>
        <w:spacing w:line="360" w:lineRule="auto"/>
        <w:rPr>
          <w:rFonts w:ascii="宋体" w:hAnsi="宋体" w:cs="宋体"/>
          <w:color w:val="auto"/>
          <w:kern w:val="0"/>
          <w:szCs w:val="24"/>
          <w:highlight w:val="none"/>
        </w:rPr>
      </w:pPr>
      <w:r>
        <w:rPr>
          <w:rFonts w:hint="eastAsia" w:ascii="宋体" w:hAnsi="宋体" w:cs="宋体"/>
          <w:color w:val="auto"/>
          <w:szCs w:val="24"/>
          <w:highlight w:val="none"/>
        </w:rPr>
        <w:t>投标人有前款第（一）至（五）项情形之一的，中标、成交无效。</w:t>
      </w:r>
    </w:p>
    <w:p>
      <w:pPr>
        <w:pStyle w:val="40"/>
        <w:autoSpaceDE w:val="0"/>
        <w:autoSpaceDN w:val="0"/>
        <w:spacing w:line="360" w:lineRule="auto"/>
        <w:ind w:left="480" w:hanging="480" w:hanging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28.4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0"/>
        <w:autoSpaceDE w:val="0"/>
        <w:autoSpaceDN w:val="0"/>
        <w:spacing w:line="360" w:lineRule="auto"/>
        <w:ind w:left="480" w:hanging="480" w:hanging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28.5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0"/>
        <w:autoSpaceDE w:val="0"/>
        <w:autoSpaceDN w:val="0"/>
        <w:spacing w:line="360" w:lineRule="auto"/>
        <w:ind w:left="480" w:hanging="480" w:hanging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28.6 法律、法规和招标文件规定的其他无效情形。</w:t>
      </w:r>
    </w:p>
    <w:p>
      <w:pPr>
        <w:pStyle w:val="40"/>
        <w:autoSpaceDE w:val="0"/>
        <w:autoSpaceDN w:val="0"/>
        <w:spacing w:line="360" w:lineRule="auto"/>
        <w:ind w:firstLine="0" w:firstLineChars="0"/>
        <w:contextualSpacing/>
        <w:rPr>
          <w:rFonts w:ascii="宋体" w:hAnsi="宋体" w:cs="宋体"/>
          <w:color w:val="auto"/>
          <w:kern w:val="0"/>
          <w:sz w:val="24"/>
          <w:szCs w:val="24"/>
          <w:highlight w:val="none"/>
        </w:rPr>
      </w:pPr>
    </w:p>
    <w:p>
      <w:pPr>
        <w:pStyle w:val="40"/>
        <w:numPr>
          <w:ilvl w:val="0"/>
          <w:numId w:val="7"/>
        </w:numPr>
        <w:autoSpaceDE w:val="0"/>
        <w:autoSpaceDN w:val="0"/>
        <w:spacing w:line="360" w:lineRule="auto"/>
        <w:ind w:firstLine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投标文件的比较与评价</w:t>
      </w:r>
    </w:p>
    <w:p>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ascii="宋体" w:hAnsi="宋体" w:cs="宋体"/>
          <w:color w:val="auto"/>
          <w:kern w:val="0"/>
          <w:sz w:val="24"/>
          <w:szCs w:val="24"/>
          <w:highlight w:val="none"/>
        </w:rPr>
      </w:pPr>
    </w:p>
    <w:p>
      <w:pPr>
        <w:pStyle w:val="40"/>
        <w:numPr>
          <w:ilvl w:val="0"/>
          <w:numId w:val="7"/>
        </w:numPr>
        <w:autoSpaceDE w:val="0"/>
        <w:autoSpaceDN w:val="0"/>
        <w:spacing w:line="360" w:lineRule="auto"/>
        <w:ind w:firstLine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评标方法、评标标准</w:t>
      </w:r>
    </w:p>
    <w:p>
      <w:pPr>
        <w:pStyle w:val="40"/>
        <w:autoSpaceDE w:val="0"/>
        <w:autoSpaceDN w:val="0"/>
        <w:spacing w:line="360" w:lineRule="auto"/>
        <w:ind w:firstLine="482"/>
        <w:contextualSpacing/>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本次评标具体评标方法、评标标准见（第六章资格审查与评标）</w:t>
      </w:r>
      <w:r>
        <w:rPr>
          <w:rFonts w:hint="eastAsia" w:ascii="宋体" w:hAnsi="宋体" w:cs="宋体"/>
          <w:color w:val="auto"/>
          <w:kern w:val="0"/>
          <w:sz w:val="24"/>
          <w:szCs w:val="24"/>
          <w:highlight w:val="none"/>
        </w:rPr>
        <w:t>。</w:t>
      </w:r>
    </w:p>
    <w:p>
      <w:pPr>
        <w:pStyle w:val="40"/>
        <w:autoSpaceDE w:val="0"/>
        <w:autoSpaceDN w:val="0"/>
        <w:spacing w:line="360" w:lineRule="auto"/>
        <w:ind w:left="964" w:firstLine="0" w:firstLineChars="0"/>
        <w:contextualSpacing/>
        <w:rPr>
          <w:rFonts w:ascii="宋体" w:hAnsi="宋体" w:cs="宋体"/>
          <w:color w:val="auto"/>
          <w:kern w:val="0"/>
          <w:sz w:val="24"/>
          <w:szCs w:val="24"/>
          <w:highlight w:val="none"/>
        </w:rPr>
      </w:pPr>
    </w:p>
    <w:p>
      <w:pPr>
        <w:pStyle w:val="40"/>
        <w:numPr>
          <w:ilvl w:val="0"/>
          <w:numId w:val="7"/>
        </w:numPr>
        <w:autoSpaceDE w:val="0"/>
        <w:autoSpaceDN w:val="0"/>
        <w:spacing w:line="360" w:lineRule="auto"/>
        <w:ind w:firstLine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推荐中标候选人</w:t>
      </w:r>
    </w:p>
    <w:p>
      <w:pPr>
        <w:pStyle w:val="40"/>
        <w:autoSpaceDE w:val="0"/>
        <w:autoSpaceDN w:val="0"/>
        <w:spacing w:line="360" w:lineRule="auto"/>
        <w:ind w:left="1" w:firstLine="0"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31.1 采用综合评分法的，评标结果按评审后得分由高到低顺序排列。得分相同的，按投标企业营业注册会计师人数</w:t>
      </w:r>
      <w:r>
        <w:rPr>
          <w:rFonts w:hint="eastAsia" w:ascii="宋体" w:hAnsi="宋体" w:cs="宋体"/>
          <w:color w:val="auto"/>
          <w:kern w:val="0"/>
          <w:sz w:val="24"/>
          <w:szCs w:val="24"/>
          <w:highlight w:val="none"/>
          <w:lang w:eastAsia="zh-CN"/>
        </w:rPr>
        <w:t>由多到少排列，如上述情况均相同，由评标委员会现场随机抽取</w:t>
      </w:r>
      <w:r>
        <w:rPr>
          <w:rFonts w:hint="eastAsia" w:ascii="宋体" w:hAnsi="宋体" w:cs="宋体"/>
          <w:color w:val="auto"/>
          <w:kern w:val="0"/>
          <w:sz w:val="24"/>
          <w:szCs w:val="24"/>
          <w:highlight w:val="none"/>
        </w:rPr>
        <w:t>。</w:t>
      </w:r>
    </w:p>
    <w:p>
      <w:pPr>
        <w:pStyle w:val="40"/>
        <w:autoSpaceDE w:val="0"/>
        <w:autoSpaceDN w:val="0"/>
        <w:spacing w:line="360" w:lineRule="auto"/>
        <w:ind w:firstLine="0" w:firstLineChars="0"/>
        <w:contextualSpacing/>
        <w:rPr>
          <w:rFonts w:ascii="宋体" w:hAnsi="宋体" w:cs="宋体"/>
          <w:color w:val="auto"/>
          <w:kern w:val="0"/>
          <w:sz w:val="24"/>
          <w:szCs w:val="24"/>
          <w:highlight w:val="none"/>
        </w:rPr>
      </w:pP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1.2 推荐中标候选人名单</w:t>
      </w:r>
    </w:p>
    <w:p>
      <w:pPr>
        <w:pStyle w:val="40"/>
        <w:autoSpaceDE w:val="0"/>
        <w:autoSpaceDN w:val="0"/>
        <w:spacing w:line="360" w:lineRule="auto"/>
        <w:ind w:firstLine="48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根据采购需要、商务、服务均能满足招标文件要求，会计事务所服务机构按照所有符合招标文件要求的会计事务所服务机构综合得分由高到低排序，得分最高的前20名入库。</w:t>
      </w:r>
    </w:p>
    <w:p>
      <w:pPr>
        <w:pStyle w:val="40"/>
        <w:autoSpaceDE w:val="0"/>
        <w:autoSpaceDN w:val="0"/>
        <w:spacing w:line="360" w:lineRule="auto"/>
        <w:ind w:firstLineChars="175"/>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如各包有效投标人大于</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家但少于拟中标单位数量，将全部推荐为中标候选人。投标人不足</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家的，视同本次招标失败。</w:t>
      </w:r>
    </w:p>
    <w:p>
      <w:pPr>
        <w:pStyle w:val="40"/>
        <w:numPr>
          <w:ilvl w:val="0"/>
          <w:numId w:val="7"/>
        </w:numPr>
        <w:autoSpaceDE w:val="0"/>
        <w:autoSpaceDN w:val="0"/>
        <w:spacing w:line="360" w:lineRule="auto"/>
        <w:ind w:firstLine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评审意见无效情形</w:t>
      </w:r>
    </w:p>
    <w:p>
      <w:pPr>
        <w:autoSpaceDE w:val="0"/>
        <w:autoSpaceDN w:val="0"/>
        <w:spacing w:line="360" w:lineRule="auto"/>
        <w:ind w:left="420" w:left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评标委员会及其成员有下列行为之一的，其评审意见无效：</w:t>
      </w:r>
    </w:p>
    <w:p>
      <w:pPr>
        <w:autoSpaceDE w:val="0"/>
        <w:autoSpaceDN w:val="0"/>
        <w:spacing w:line="360" w:lineRule="auto"/>
        <w:ind w:left="420" w:left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）确定参与评标至评标结束前私自接触投标人；</w:t>
      </w:r>
    </w:p>
    <w:p>
      <w:pPr>
        <w:autoSpaceDE w:val="0"/>
        <w:autoSpaceDN w:val="0"/>
        <w:spacing w:line="360" w:lineRule="auto"/>
        <w:ind w:left="420" w:left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）接受投标人提出的与投标文件不一致的澄清或者说明，《投标人须知》第</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7条规定的情形除外；</w:t>
      </w:r>
    </w:p>
    <w:p>
      <w:pPr>
        <w:autoSpaceDE w:val="0"/>
        <w:autoSpaceDN w:val="0"/>
        <w:spacing w:line="360" w:lineRule="auto"/>
        <w:ind w:left="420" w:left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）违反评标纪律发表倾向性意见或者征询采购人的倾向性意见；</w:t>
      </w:r>
    </w:p>
    <w:p>
      <w:pPr>
        <w:autoSpaceDE w:val="0"/>
        <w:autoSpaceDN w:val="0"/>
        <w:spacing w:line="360" w:lineRule="auto"/>
        <w:ind w:left="420" w:left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）对需要专业判断的主观评审因素协商评分；</w:t>
      </w:r>
    </w:p>
    <w:p>
      <w:pPr>
        <w:autoSpaceDE w:val="0"/>
        <w:autoSpaceDN w:val="0"/>
        <w:spacing w:line="360" w:lineRule="auto"/>
        <w:ind w:left="420" w:left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）在评标过程中擅离职守，影响评标程序正常进行的；</w:t>
      </w:r>
    </w:p>
    <w:p>
      <w:pPr>
        <w:autoSpaceDE w:val="0"/>
        <w:autoSpaceDN w:val="0"/>
        <w:spacing w:line="360" w:lineRule="auto"/>
        <w:ind w:left="420" w:left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6</w:t>
      </w:r>
      <w:r>
        <w:rPr>
          <w:rFonts w:hint="eastAsia" w:ascii="宋体" w:hAnsi="宋体" w:cs="宋体"/>
          <w:color w:val="auto"/>
          <w:kern w:val="0"/>
          <w:sz w:val="24"/>
          <w:szCs w:val="24"/>
          <w:highlight w:val="none"/>
        </w:rPr>
        <w:t>）记录、复制或者带走任何评标资料；</w:t>
      </w:r>
    </w:p>
    <w:p>
      <w:pPr>
        <w:autoSpaceDE w:val="0"/>
        <w:autoSpaceDN w:val="0"/>
        <w:spacing w:line="360" w:lineRule="auto"/>
        <w:ind w:left="420" w:left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7</w:t>
      </w:r>
      <w:r>
        <w:rPr>
          <w:rFonts w:hint="eastAsia" w:ascii="宋体" w:hAnsi="宋体" w:cs="宋体"/>
          <w:color w:val="auto"/>
          <w:kern w:val="0"/>
          <w:sz w:val="24"/>
          <w:szCs w:val="24"/>
          <w:highlight w:val="none"/>
        </w:rPr>
        <w:t>）其他不遵守评标纪律的行为。</w:t>
      </w:r>
    </w:p>
    <w:p>
      <w:pPr>
        <w:autoSpaceDE w:val="0"/>
        <w:autoSpaceDN w:val="0"/>
        <w:spacing w:line="360" w:lineRule="auto"/>
        <w:ind w:left="964"/>
        <w:contextualSpacing/>
        <w:rPr>
          <w:rFonts w:ascii="宋体" w:hAnsi="宋体" w:cs="宋体"/>
          <w:color w:val="auto"/>
          <w:kern w:val="0"/>
          <w:sz w:val="24"/>
          <w:szCs w:val="24"/>
          <w:highlight w:val="none"/>
        </w:rPr>
      </w:pPr>
    </w:p>
    <w:p>
      <w:pPr>
        <w:pStyle w:val="40"/>
        <w:numPr>
          <w:ilvl w:val="0"/>
          <w:numId w:val="7"/>
        </w:numPr>
        <w:autoSpaceDE w:val="0"/>
        <w:autoSpaceDN w:val="0"/>
        <w:spacing w:line="360" w:lineRule="auto"/>
        <w:ind w:firstLine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保密</w:t>
      </w:r>
    </w:p>
    <w:p>
      <w:pPr>
        <w:pStyle w:val="40"/>
        <w:autoSpaceDE w:val="0"/>
        <w:autoSpaceDN w:val="0"/>
        <w:spacing w:line="360" w:lineRule="auto"/>
        <w:ind w:left="480" w:hanging="480" w:hangingChars="200"/>
        <w:contextualSpacing/>
        <w:rPr>
          <w:rFonts w:ascii="宋体" w:hAnsi="宋体" w:cs="宋体"/>
          <w:color w:val="auto"/>
          <w:kern w:val="0"/>
          <w:sz w:val="24"/>
          <w:szCs w:val="24"/>
          <w:highlight w:val="none"/>
        </w:rPr>
      </w:pP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3</w:t>
      </w:r>
      <w:r>
        <w:rPr>
          <w:rFonts w:ascii="宋体" w:hAnsi="宋体" w:cs="宋体"/>
          <w:color w:val="auto"/>
          <w:kern w:val="0"/>
          <w:sz w:val="24"/>
          <w:szCs w:val="24"/>
          <w:highlight w:val="none"/>
        </w:rPr>
        <w:t xml:space="preserve">.1 </w:t>
      </w:r>
      <w:r>
        <w:rPr>
          <w:rFonts w:hint="eastAsia" w:ascii="宋体" w:hAnsi="宋体" w:cs="宋体"/>
          <w:color w:val="auto"/>
          <w:kern w:val="0"/>
          <w:sz w:val="24"/>
          <w:szCs w:val="24"/>
          <w:highlight w:val="none"/>
        </w:rPr>
        <w:t>评审专家应当遵守评审工作纪律，不得泄露评审文件、评审情况和评审中获悉的商业秘密。</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color w:val="auto"/>
          <w:sz w:val="24"/>
          <w:szCs w:val="24"/>
          <w:highlight w:val="none"/>
          <w:lang w:val="zh-CN"/>
        </w:rPr>
      </w:pPr>
    </w:p>
    <w:p>
      <w:pPr>
        <w:tabs>
          <w:tab w:val="left" w:pos="1260"/>
        </w:tabs>
        <w:autoSpaceDE w:val="0"/>
        <w:autoSpaceDN w:val="0"/>
        <w:spacing w:line="360" w:lineRule="auto"/>
        <w:contextualSpacing/>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六、定标和授予合同</w:t>
      </w:r>
    </w:p>
    <w:p>
      <w:pPr>
        <w:pStyle w:val="40"/>
        <w:numPr>
          <w:ilvl w:val="0"/>
          <w:numId w:val="7"/>
        </w:numPr>
        <w:autoSpaceDE w:val="0"/>
        <w:autoSpaceDN w:val="0"/>
        <w:spacing w:line="360" w:lineRule="auto"/>
        <w:ind w:firstLine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确定中标人</w:t>
      </w:r>
    </w:p>
    <w:p>
      <w:pPr>
        <w:pStyle w:val="40"/>
        <w:autoSpaceDE w:val="0"/>
        <w:autoSpaceDN w:val="0"/>
        <w:spacing w:line="360" w:lineRule="auto"/>
        <w:ind w:left="720" w:hanging="720" w:hangingChars="300"/>
        <w:contextualSpacing/>
        <w:rPr>
          <w:rFonts w:ascii="宋体" w:hAnsi="宋体" w:cs="宋体"/>
          <w:color w:val="auto"/>
          <w:kern w:val="0"/>
          <w:sz w:val="24"/>
          <w:szCs w:val="24"/>
          <w:highlight w:val="none"/>
        </w:rPr>
      </w:pP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4</w:t>
      </w:r>
      <w:r>
        <w:rPr>
          <w:rFonts w:ascii="宋体" w:hAnsi="宋体" w:cs="宋体"/>
          <w:color w:val="auto"/>
          <w:kern w:val="0"/>
          <w:sz w:val="24"/>
          <w:szCs w:val="24"/>
          <w:highlight w:val="none"/>
        </w:rPr>
        <w:t xml:space="preserve">.1  </w:t>
      </w:r>
      <w:r>
        <w:rPr>
          <w:rFonts w:hint="eastAsia" w:ascii="宋体" w:hAnsi="宋体" w:cs="宋体"/>
          <w:color w:val="auto"/>
          <w:kern w:val="0"/>
          <w:sz w:val="24"/>
          <w:szCs w:val="24"/>
          <w:highlight w:val="none"/>
        </w:rPr>
        <w:t>采购人应当自收到评标报告之日起</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个工作日内，在评标报告确定的中标候选人名单中按顺序确定中标人。中标候选人并列的，由采购人按照本招标文件</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1.2规定的方式确定。</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采购人在收到评标报告</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个工作日内未按评标报告推荐的中标候选人顺序确定中标人，又不能说明合法理由的，视同按评标报告推荐的顺序确定的中标候选人为中标人。</w:t>
      </w:r>
    </w:p>
    <w:p>
      <w:pPr>
        <w:pStyle w:val="40"/>
        <w:autoSpaceDE w:val="0"/>
        <w:autoSpaceDN w:val="0"/>
        <w:spacing w:line="360" w:lineRule="auto"/>
        <w:ind w:left="964" w:firstLine="0" w:firstLineChars="0"/>
        <w:contextualSpacing/>
        <w:rPr>
          <w:rFonts w:ascii="宋体" w:hAnsi="宋体" w:cs="宋体"/>
          <w:color w:val="auto"/>
          <w:kern w:val="0"/>
          <w:sz w:val="24"/>
          <w:szCs w:val="24"/>
          <w:highlight w:val="none"/>
        </w:rPr>
      </w:pPr>
    </w:p>
    <w:p>
      <w:pPr>
        <w:pStyle w:val="40"/>
        <w:numPr>
          <w:ilvl w:val="0"/>
          <w:numId w:val="7"/>
        </w:numPr>
        <w:autoSpaceDE w:val="0"/>
        <w:autoSpaceDN w:val="0"/>
        <w:spacing w:line="360" w:lineRule="auto"/>
        <w:ind w:firstLine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中标公告、发出中标通知书</w:t>
      </w:r>
    </w:p>
    <w:p>
      <w:pPr>
        <w:pStyle w:val="40"/>
        <w:autoSpaceDE w:val="0"/>
        <w:autoSpaceDN w:val="0"/>
        <w:spacing w:line="360" w:lineRule="auto"/>
        <w:ind w:firstLine="0"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35.1 采购人确认中标人后，招标人在公告中标结果的同时，向中标人发出中标通知书。</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中标通知书发出后，采购人不得违法改变中标结果，中标人无正当理由不得放弃中标。</w:t>
      </w:r>
    </w:p>
    <w:p>
      <w:pPr>
        <w:pStyle w:val="40"/>
        <w:numPr>
          <w:ilvl w:val="1"/>
          <w:numId w:val="7"/>
        </w:numPr>
        <w:autoSpaceDE w:val="0"/>
        <w:autoSpaceDN w:val="0"/>
        <w:spacing w:line="360" w:lineRule="auto"/>
        <w:ind w:left="544"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中标人在接到中标通知时，须向代理机构发送投标开标一览表及相关承诺函（包含主要中标标的的名称、服务要求等）电子文档，并同时通知代理机构联系人。</w:t>
      </w:r>
    </w:p>
    <w:p>
      <w:pPr>
        <w:pStyle w:val="40"/>
        <w:autoSpaceDE w:val="0"/>
        <w:autoSpaceDN w:val="0"/>
        <w:spacing w:line="360" w:lineRule="auto"/>
        <w:ind w:left="964" w:firstLine="0" w:firstLineChars="0"/>
        <w:contextualSpacing/>
        <w:rPr>
          <w:rFonts w:ascii="宋体" w:hAnsi="宋体" w:cs="宋体"/>
          <w:color w:val="auto"/>
          <w:kern w:val="0"/>
          <w:sz w:val="24"/>
          <w:szCs w:val="24"/>
          <w:highlight w:val="none"/>
        </w:rPr>
      </w:pPr>
    </w:p>
    <w:p>
      <w:pPr>
        <w:pStyle w:val="40"/>
        <w:numPr>
          <w:ilvl w:val="0"/>
          <w:numId w:val="7"/>
        </w:numPr>
        <w:autoSpaceDE w:val="0"/>
        <w:autoSpaceDN w:val="0"/>
        <w:spacing w:line="360" w:lineRule="auto"/>
        <w:ind w:firstLine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质疑提出与答复</w:t>
      </w:r>
    </w:p>
    <w:p>
      <w:pPr>
        <w:tabs>
          <w:tab w:val="left" w:pos="1260"/>
        </w:tabs>
        <w:autoSpaceDE w:val="0"/>
        <w:autoSpaceDN w:val="0"/>
        <w:spacing w:line="360" w:lineRule="auto"/>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36.1供应商认为采购文件、采购过程和中标结果使自己的权益受到损害的，可以按照</w:t>
      </w:r>
      <w:r>
        <w:rPr>
          <w:rFonts w:hint="eastAsia" w:ascii="宋体" w:hAnsi="宋体" w:cs="宋体"/>
          <w:bCs/>
          <w:color w:val="auto"/>
          <w:kern w:val="0"/>
          <w:sz w:val="24"/>
          <w:highlight w:val="none"/>
          <w:lang w:val="zh-CN"/>
        </w:rPr>
        <w:t>财政部94号令</w:t>
      </w:r>
      <w:r>
        <w:rPr>
          <w:rFonts w:hint="eastAsia" w:ascii="宋体" w:hAnsi="宋体" w:cs="宋体"/>
          <w:bCs/>
          <w:color w:val="auto"/>
          <w:sz w:val="24"/>
          <w:szCs w:val="24"/>
          <w:highlight w:val="none"/>
          <w:lang w:val="zh-CN"/>
        </w:rPr>
        <w:t>提出质</w:t>
      </w:r>
      <w:r>
        <w:rPr>
          <w:rFonts w:hint="eastAsia" w:ascii="宋体" w:hAnsi="宋体" w:cs="仿宋_GB2312"/>
          <w:color w:val="auto"/>
          <w:sz w:val="24"/>
          <w:szCs w:val="24"/>
          <w:highlight w:val="none"/>
        </w:rPr>
        <w:t>疑。</w:t>
      </w:r>
      <w:r>
        <w:rPr>
          <w:rFonts w:ascii="宋体" w:hAnsi="宋体" w:cs="仿宋_GB2312"/>
          <w:color w:val="auto"/>
          <w:sz w:val="24"/>
          <w:szCs w:val="24"/>
          <w:highlight w:val="none"/>
        </w:rPr>
        <w:t>提出质疑的供应商应当是参与</w:t>
      </w:r>
      <w:r>
        <w:rPr>
          <w:rFonts w:hint="eastAsia" w:ascii="宋体" w:hAnsi="宋体" w:cs="仿宋_GB2312"/>
          <w:color w:val="auto"/>
          <w:sz w:val="24"/>
          <w:szCs w:val="24"/>
          <w:highlight w:val="none"/>
        </w:rPr>
        <w:t>本</w:t>
      </w:r>
      <w:r>
        <w:rPr>
          <w:rFonts w:ascii="宋体" w:hAnsi="宋体" w:cs="仿宋_GB2312"/>
          <w:color w:val="auto"/>
          <w:sz w:val="24"/>
          <w:szCs w:val="24"/>
          <w:highlight w:val="none"/>
        </w:rPr>
        <w:t>项目采购活动的供应商。</w:t>
      </w:r>
    </w:p>
    <w:p>
      <w:pPr>
        <w:tabs>
          <w:tab w:val="left" w:pos="1260"/>
        </w:tabs>
        <w:autoSpaceDE w:val="0"/>
        <w:autoSpaceDN w:val="0"/>
        <w:spacing w:line="360" w:lineRule="auto"/>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36.1.1 对采购文件提出质疑的，</w:t>
      </w:r>
      <w:r>
        <w:rPr>
          <w:rFonts w:ascii="宋体" w:hAnsi="宋体" w:cs="仿宋_GB2312"/>
          <w:color w:val="auto"/>
          <w:sz w:val="24"/>
          <w:szCs w:val="24"/>
          <w:highlight w:val="none"/>
        </w:rPr>
        <w:t>潜在</w:t>
      </w:r>
      <w:r>
        <w:rPr>
          <w:rFonts w:hint="eastAsia" w:ascii="宋体" w:hAnsi="宋体" w:cs="仿宋_GB2312"/>
          <w:color w:val="auto"/>
          <w:sz w:val="24"/>
          <w:szCs w:val="24"/>
          <w:highlight w:val="none"/>
        </w:rPr>
        <w:t>投标人应</w:t>
      </w:r>
      <w:r>
        <w:rPr>
          <w:rFonts w:ascii="宋体" w:hAnsi="宋体" w:cs="仿宋_GB2312"/>
          <w:color w:val="auto"/>
          <w:sz w:val="24"/>
          <w:szCs w:val="24"/>
          <w:highlight w:val="none"/>
        </w:rPr>
        <w:t>已依法获取采购文件</w:t>
      </w:r>
      <w:r>
        <w:rPr>
          <w:rFonts w:hint="eastAsia" w:ascii="宋体" w:hAnsi="宋体" w:cs="仿宋_GB2312"/>
          <w:color w:val="auto"/>
          <w:sz w:val="24"/>
          <w:szCs w:val="24"/>
          <w:highlight w:val="none"/>
        </w:rPr>
        <w:t>，且应当在</w:t>
      </w:r>
      <w:r>
        <w:rPr>
          <w:rFonts w:ascii="宋体" w:hAnsi="宋体" w:cs="仿宋_GB2312"/>
          <w:color w:val="auto"/>
          <w:sz w:val="24"/>
          <w:szCs w:val="24"/>
          <w:highlight w:val="none"/>
        </w:rPr>
        <w:t>获取采购文件或者采购文件公告期限届满之日起7个工作日内</w:t>
      </w:r>
      <w:r>
        <w:rPr>
          <w:rFonts w:hint="eastAsia" w:ascii="宋体" w:hAnsi="宋体" w:cs="仿宋_GB2312"/>
          <w:color w:val="auto"/>
          <w:sz w:val="24"/>
          <w:szCs w:val="24"/>
          <w:highlight w:val="none"/>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36.1.2 对采购过程提出质疑的，为各采购程序环节结束之日起七个工作日内，以书面形式向采购人和采购代理机构一次性提出；</w:t>
      </w:r>
      <w:r>
        <w:rPr>
          <w:rFonts w:hint="eastAsia" w:ascii="宋体" w:hAnsi="宋体" w:cs="仿宋_GB2312"/>
          <w:color w:val="auto"/>
          <w:sz w:val="24"/>
          <w:szCs w:val="24"/>
          <w:highlight w:val="none"/>
        </w:rPr>
        <w:br w:type="textWrapping"/>
      </w:r>
      <w:r>
        <w:rPr>
          <w:rFonts w:hint="eastAsia" w:ascii="宋体" w:hAnsi="宋体" w:cs="仿宋_GB2312"/>
          <w:color w:val="auto"/>
          <w:sz w:val="24"/>
          <w:szCs w:val="24"/>
          <w:highlight w:val="none"/>
        </w:rPr>
        <w:t>36.1.3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36.2 </w:t>
      </w:r>
      <w:r>
        <w:rPr>
          <w:rFonts w:ascii="宋体" w:hAnsi="宋体" w:cs="仿宋_GB2312"/>
          <w:color w:val="auto"/>
          <w:sz w:val="24"/>
          <w:szCs w:val="24"/>
          <w:highlight w:val="none"/>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36.2.1 </w:t>
      </w:r>
      <w:r>
        <w:rPr>
          <w:rFonts w:ascii="宋体" w:hAnsi="宋体" w:cs="仿宋_GB2312"/>
          <w:color w:val="auto"/>
          <w:sz w:val="24"/>
          <w:szCs w:val="24"/>
          <w:highlight w:val="none"/>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36.2.2 </w:t>
      </w:r>
      <w:r>
        <w:rPr>
          <w:rFonts w:ascii="宋体" w:hAnsi="宋体" w:cs="仿宋_GB2312"/>
          <w:color w:val="auto"/>
          <w:sz w:val="24"/>
          <w:szCs w:val="24"/>
          <w:highlight w:val="none"/>
        </w:rPr>
        <w:t>对采购过程、中标结果提出的质疑，合格供应商符合法定数量时，可以从合格的中标</w:t>
      </w:r>
      <w:r>
        <w:rPr>
          <w:rFonts w:hint="eastAsia" w:ascii="宋体" w:hAnsi="宋体" w:cs="仿宋_GB2312"/>
          <w:color w:val="auto"/>
          <w:sz w:val="24"/>
          <w:szCs w:val="24"/>
          <w:highlight w:val="none"/>
        </w:rPr>
        <w:t>候选人</w:t>
      </w:r>
      <w:r>
        <w:rPr>
          <w:rFonts w:ascii="宋体" w:hAnsi="宋体" w:cs="仿宋_GB2312"/>
          <w:color w:val="auto"/>
          <w:sz w:val="24"/>
          <w:szCs w:val="24"/>
          <w:highlight w:val="none"/>
        </w:rPr>
        <w:t>中另行确定中标供应商的，应当依法另行确定中标供应商；否则应当重新开展采购活动。</w:t>
      </w:r>
    </w:p>
    <w:p>
      <w:pPr>
        <w:tabs>
          <w:tab w:val="left" w:pos="1260"/>
        </w:tabs>
        <w:autoSpaceDE w:val="0"/>
        <w:autoSpaceDN w:val="0"/>
        <w:spacing w:line="360" w:lineRule="auto"/>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36.3 答复</w:t>
      </w:r>
    </w:p>
    <w:p>
      <w:pPr>
        <w:tabs>
          <w:tab w:val="left" w:pos="1260"/>
        </w:tabs>
        <w:autoSpaceDE w:val="0"/>
        <w:autoSpaceDN w:val="0"/>
        <w:spacing w:line="360" w:lineRule="auto"/>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36.3.1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36.3.2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36.3.3 对中标结果提出质疑的，质疑供应商和其他有关供应商在法定时限内联系采购单位领取书面质疑回复函。</w:t>
      </w:r>
    </w:p>
    <w:p>
      <w:pPr>
        <w:pStyle w:val="40"/>
        <w:autoSpaceDE w:val="0"/>
        <w:autoSpaceDN w:val="0"/>
        <w:spacing w:line="360" w:lineRule="auto"/>
        <w:ind w:left="420" w:firstLine="0" w:firstLineChars="0"/>
        <w:contextualSpacing/>
        <w:rPr>
          <w:rFonts w:ascii="宋体" w:hAnsi="宋体" w:cs="宋体"/>
          <w:b/>
          <w:color w:val="auto"/>
          <w:kern w:val="0"/>
          <w:sz w:val="24"/>
          <w:szCs w:val="24"/>
          <w:highlight w:val="none"/>
        </w:rPr>
      </w:pPr>
    </w:p>
    <w:p>
      <w:pPr>
        <w:pStyle w:val="40"/>
        <w:numPr>
          <w:ilvl w:val="0"/>
          <w:numId w:val="7"/>
        </w:numPr>
        <w:autoSpaceDE w:val="0"/>
        <w:autoSpaceDN w:val="0"/>
        <w:spacing w:line="360" w:lineRule="auto"/>
        <w:ind w:firstLine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签订合同</w:t>
      </w:r>
    </w:p>
    <w:p>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采购人应当自中标通知书发出之日起</w:t>
      </w:r>
      <w:r>
        <w:rPr>
          <w:rFonts w:ascii="宋体" w:hAnsi="宋体" w:cs="宋体"/>
          <w:color w:val="auto"/>
          <w:kern w:val="0"/>
          <w:sz w:val="24"/>
          <w:szCs w:val="24"/>
          <w:highlight w:val="none"/>
        </w:rPr>
        <w:t>30</w:t>
      </w:r>
      <w:r>
        <w:rPr>
          <w:rFonts w:hint="eastAsia" w:ascii="宋体" w:hAnsi="宋体" w:cs="宋体"/>
          <w:color w:val="auto"/>
          <w:kern w:val="0"/>
          <w:sz w:val="24"/>
          <w:szCs w:val="24"/>
          <w:highlight w:val="none"/>
        </w:rPr>
        <w:t>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rPr>
        <w:t>本次招标只确定入库单位，中标的投标人进入许昌市财政局的《中介机构服务备选库》，具备接受委托参与政府购买评审服务的资格，待有项目需要中介机构服务时，根据《办法》规定来确定受委托单位，再与委托单位订立书面合同。投标人无正当理由拒签合同的，采购人将取消其入库资格。</w:t>
      </w:r>
    </w:p>
    <w:p>
      <w:pPr>
        <w:autoSpaceDE w:val="0"/>
        <w:autoSpaceDN w:val="0"/>
        <w:spacing w:line="360" w:lineRule="auto"/>
        <w:contextualSpacing/>
        <w:rPr>
          <w:rFonts w:ascii="宋体" w:hAnsi="宋体" w:cs="宋体"/>
          <w:b/>
          <w:color w:val="auto"/>
          <w:kern w:val="0"/>
          <w:sz w:val="24"/>
          <w:szCs w:val="24"/>
          <w:highlight w:val="none"/>
        </w:rPr>
      </w:pPr>
    </w:p>
    <w:p>
      <w:pPr>
        <w:numPr>
          <w:ilvl w:val="0"/>
          <w:numId w:val="13"/>
        </w:numPr>
        <w:autoSpaceDE w:val="0"/>
        <w:autoSpaceDN w:val="0"/>
        <w:spacing w:line="360" w:lineRule="auto"/>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其他</w:t>
      </w:r>
    </w:p>
    <w:p>
      <w:pPr>
        <w:tabs>
          <w:tab w:val="left" w:pos="1260"/>
        </w:tabs>
        <w:autoSpaceDE w:val="0"/>
        <w:autoSpaceDN w:val="0"/>
        <w:spacing w:line="360" w:lineRule="auto"/>
        <w:ind w:left="2399" w:leftChars="228" w:hanging="1920" w:hangingChars="800"/>
        <w:contextualSpacing/>
        <w:jc w:val="left"/>
        <w:rPr>
          <w:rFonts w:ascii="宋体" w:hAnsi="宋体" w:cs="宋体"/>
          <w:b/>
          <w:color w:val="auto"/>
          <w:kern w:val="0"/>
          <w:sz w:val="36"/>
          <w:szCs w:val="36"/>
          <w:highlight w:val="none"/>
        </w:rPr>
      </w:pPr>
      <w:r>
        <w:rPr>
          <w:rFonts w:hint="eastAsia" w:ascii="宋体" w:hAnsi="宋体"/>
          <w:color w:val="auto"/>
          <w:sz w:val="24"/>
          <w:szCs w:val="24"/>
          <w:highlight w:val="none"/>
        </w:rPr>
        <w:t>本次招标文件未尽事项，以法律法规规定的为准。</w:t>
      </w:r>
      <w:r>
        <w:rPr>
          <w:rFonts w:ascii="宋体" w:hAnsi="宋体" w:cs="宋体"/>
          <w:color w:val="auto"/>
          <w:sz w:val="24"/>
          <w:szCs w:val="24"/>
          <w:highlight w:val="none"/>
        </w:rPr>
        <w:br w:type="textWrapping"/>
      </w:r>
    </w:p>
    <w:p>
      <w:pPr>
        <w:pStyle w:val="2"/>
        <w:rPr>
          <w:rFonts w:ascii="宋体" w:hAnsi="宋体"/>
          <w:color w:val="auto"/>
          <w:kern w:val="0"/>
          <w:highlight w:val="none"/>
        </w:rPr>
      </w:pPr>
      <w:r>
        <w:rPr>
          <w:rFonts w:ascii="宋体" w:hAnsi="宋体"/>
          <w:color w:val="auto"/>
          <w:kern w:val="0"/>
          <w:highlight w:val="none"/>
        </w:rPr>
        <w:br w:type="page"/>
      </w:r>
    </w:p>
    <w:p>
      <w:pPr>
        <w:tabs>
          <w:tab w:val="left" w:pos="1260"/>
        </w:tabs>
        <w:autoSpaceDE w:val="0"/>
        <w:autoSpaceDN w:val="0"/>
        <w:spacing w:line="360" w:lineRule="auto"/>
        <w:ind w:left="3372" w:hanging="3372" w:hangingChars="933"/>
        <w:contextualSpacing/>
        <w:jc w:val="center"/>
        <w:rPr>
          <w:rFonts w:ascii="宋体" w:hAnsi="宋体" w:cs="宋体"/>
          <w:b/>
          <w:color w:val="auto"/>
          <w:kern w:val="0"/>
          <w:sz w:val="36"/>
          <w:szCs w:val="36"/>
          <w:highlight w:val="none"/>
        </w:rPr>
      </w:pPr>
    </w:p>
    <w:p>
      <w:pPr>
        <w:tabs>
          <w:tab w:val="left" w:pos="1260"/>
        </w:tabs>
        <w:autoSpaceDE w:val="0"/>
        <w:autoSpaceDN w:val="0"/>
        <w:spacing w:line="360" w:lineRule="auto"/>
        <w:ind w:left="3372" w:hanging="3372" w:hangingChars="933"/>
        <w:contextualSpacing/>
        <w:jc w:val="center"/>
        <w:rPr>
          <w:rFonts w:ascii="宋体" w:hAnsi="宋体" w:cs="宋体"/>
          <w:b/>
          <w:color w:val="auto"/>
          <w:kern w:val="0"/>
          <w:sz w:val="36"/>
          <w:szCs w:val="36"/>
          <w:highlight w:val="none"/>
        </w:rPr>
      </w:pPr>
    </w:p>
    <w:p>
      <w:pPr>
        <w:tabs>
          <w:tab w:val="left" w:pos="1260"/>
        </w:tabs>
        <w:autoSpaceDE w:val="0"/>
        <w:autoSpaceDN w:val="0"/>
        <w:spacing w:line="360" w:lineRule="auto"/>
        <w:ind w:left="3372" w:hanging="3372" w:hangingChars="933"/>
        <w:contextualSpacing/>
        <w:jc w:val="center"/>
        <w:rPr>
          <w:rFonts w:ascii="宋体" w:hAnsi="宋体" w:cs="宋体"/>
          <w:b/>
          <w:color w:val="auto"/>
          <w:kern w:val="0"/>
          <w:sz w:val="36"/>
          <w:szCs w:val="36"/>
          <w:highlight w:val="none"/>
        </w:rPr>
      </w:pPr>
    </w:p>
    <w:p>
      <w:pPr>
        <w:tabs>
          <w:tab w:val="left" w:pos="1260"/>
        </w:tabs>
        <w:autoSpaceDE w:val="0"/>
        <w:autoSpaceDN w:val="0"/>
        <w:spacing w:line="360" w:lineRule="auto"/>
        <w:ind w:left="3372" w:hanging="3372" w:hangingChars="933"/>
        <w:contextualSpacing/>
        <w:jc w:val="center"/>
        <w:rPr>
          <w:rFonts w:ascii="宋体" w:hAnsi="宋体" w:cs="宋体"/>
          <w:b/>
          <w:color w:val="auto"/>
          <w:kern w:val="0"/>
          <w:sz w:val="36"/>
          <w:szCs w:val="36"/>
          <w:highlight w:val="none"/>
        </w:rPr>
      </w:pPr>
    </w:p>
    <w:p>
      <w:pPr>
        <w:tabs>
          <w:tab w:val="left" w:pos="1260"/>
        </w:tabs>
        <w:autoSpaceDE w:val="0"/>
        <w:autoSpaceDN w:val="0"/>
        <w:spacing w:line="360" w:lineRule="auto"/>
        <w:ind w:left="3372" w:hanging="3372" w:hangingChars="933"/>
        <w:contextualSpacing/>
        <w:jc w:val="center"/>
        <w:rPr>
          <w:rFonts w:ascii="宋体" w:hAnsi="宋体" w:cs="宋体"/>
          <w:b/>
          <w:color w:val="auto"/>
          <w:kern w:val="0"/>
          <w:sz w:val="36"/>
          <w:szCs w:val="36"/>
          <w:highlight w:val="none"/>
        </w:rPr>
      </w:pPr>
    </w:p>
    <w:p>
      <w:pPr>
        <w:tabs>
          <w:tab w:val="left" w:pos="1260"/>
        </w:tabs>
        <w:autoSpaceDE w:val="0"/>
        <w:autoSpaceDN w:val="0"/>
        <w:spacing w:line="360" w:lineRule="auto"/>
        <w:ind w:left="3372" w:hanging="3372" w:hangingChars="933"/>
        <w:contextualSpacing/>
        <w:jc w:val="center"/>
        <w:rPr>
          <w:rFonts w:ascii="宋体" w:hAnsi="宋体" w:cs="宋体"/>
          <w:b/>
          <w:color w:val="auto"/>
          <w:kern w:val="0"/>
          <w:sz w:val="36"/>
          <w:szCs w:val="36"/>
          <w:highlight w:val="none"/>
        </w:rPr>
      </w:pPr>
    </w:p>
    <w:p>
      <w:pPr>
        <w:tabs>
          <w:tab w:val="left" w:pos="1260"/>
        </w:tabs>
        <w:autoSpaceDE w:val="0"/>
        <w:autoSpaceDN w:val="0"/>
        <w:spacing w:line="360" w:lineRule="auto"/>
        <w:ind w:left="3372" w:hanging="3372" w:hangingChars="933"/>
        <w:contextualSpacing/>
        <w:jc w:val="center"/>
        <w:rPr>
          <w:rFonts w:ascii="宋体" w:hAnsi="宋体" w:cs="宋体"/>
          <w:b/>
          <w:color w:val="auto"/>
          <w:kern w:val="0"/>
          <w:sz w:val="36"/>
          <w:szCs w:val="36"/>
          <w:highlight w:val="none"/>
        </w:rPr>
      </w:pPr>
    </w:p>
    <w:p>
      <w:pPr>
        <w:tabs>
          <w:tab w:val="left" w:pos="1260"/>
        </w:tabs>
        <w:autoSpaceDE w:val="0"/>
        <w:autoSpaceDN w:val="0"/>
        <w:spacing w:line="360" w:lineRule="auto"/>
        <w:ind w:left="3372" w:hanging="3372" w:hangingChars="933"/>
        <w:contextualSpacing/>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第五章 政府采购政策功能</w:t>
      </w:r>
    </w:p>
    <w:p>
      <w:pPr>
        <w:pStyle w:val="16"/>
        <w:widowControl/>
        <w:shd w:val="clear" w:color="auto" w:fill="FFFFFF"/>
        <w:spacing w:line="360" w:lineRule="auto"/>
        <w:ind w:firstLine="420"/>
        <w:contextualSpacing/>
        <w:jc w:val="left"/>
        <w:rPr>
          <w:rFonts w:ascii="宋体" w:hAnsi="宋体" w:cs="黑体"/>
          <w:color w:val="auto"/>
          <w:highlight w:val="none"/>
        </w:rPr>
      </w:pPr>
      <w:r>
        <w:rPr>
          <w:rFonts w:hint="eastAsia" w:ascii="宋体" w:hAnsi="宋体" w:cs="黑体"/>
          <w:color w:val="auto"/>
          <w:highlight w:val="none"/>
        </w:rPr>
        <w:t>若参与本项目的投标人为中小微型企业，</w:t>
      </w:r>
      <w:r>
        <w:rPr>
          <w:rFonts w:hint="eastAsia" w:ascii="宋体" w:hAnsi="宋体" w:cs="黑体"/>
          <w:color w:val="auto"/>
          <w:highlight w:val="none"/>
          <w:lang w:val="zh-CN"/>
        </w:rPr>
        <w:t>根据《中华人民共和国政府采购法》、《中华人民共和国政府采购法实施条例》、《政府采购货物和服务招标投标管理办法》等规定，</w:t>
      </w:r>
      <w:r>
        <w:rPr>
          <w:rFonts w:hint="eastAsia" w:ascii="宋体" w:hAnsi="宋体" w:cs="黑体"/>
          <w:color w:val="auto"/>
          <w:highlight w:val="none"/>
        </w:rPr>
        <w:t>落实相关政府采购政策</w:t>
      </w:r>
      <w:r>
        <w:rPr>
          <w:rFonts w:hint="eastAsia" w:ascii="宋体" w:hAnsi="宋体" w:cs="黑体"/>
          <w:color w:val="auto"/>
          <w:highlight w:val="none"/>
          <w:lang w:val="zh-CN"/>
        </w:rPr>
        <w:t>。</w:t>
      </w:r>
    </w:p>
    <w:p>
      <w:pPr>
        <w:widowControl/>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pStyle w:val="28"/>
        <w:spacing w:line="360" w:lineRule="auto"/>
        <w:ind w:left="282" w:hanging="282" w:hangingChars="78"/>
        <w:contextualSpacing/>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第六章 资格审查与评标</w:t>
      </w:r>
    </w:p>
    <w:p>
      <w:pPr>
        <w:pStyle w:val="28"/>
        <w:spacing w:line="360" w:lineRule="auto"/>
        <w:contextualSpacing/>
        <w:rPr>
          <w:rFonts w:ascii="宋体" w:hAnsi="宋体" w:cs="仿宋_GB2312"/>
          <w:b/>
          <w:bCs/>
          <w:color w:val="auto"/>
          <w:highlight w:val="none"/>
          <w:lang w:val="zh-CN"/>
        </w:rPr>
      </w:pPr>
    </w:p>
    <w:p>
      <w:pPr>
        <w:pStyle w:val="28"/>
        <w:spacing w:line="360" w:lineRule="auto"/>
        <w:contextualSpacing/>
        <w:rPr>
          <w:rFonts w:ascii="宋体" w:hAnsi="宋体" w:cs="仿宋_GB2312"/>
          <w:b/>
          <w:bCs/>
          <w:color w:val="auto"/>
          <w:highlight w:val="none"/>
          <w:lang w:val="zh-CN"/>
        </w:rPr>
      </w:pPr>
      <w:r>
        <w:rPr>
          <w:rFonts w:hint="eastAsia" w:ascii="宋体" w:hAnsi="宋体" w:cs="仿宋_GB2312"/>
          <w:b/>
          <w:bCs/>
          <w:color w:val="auto"/>
          <w:highlight w:val="none"/>
          <w:lang w:val="zh-CN"/>
        </w:rPr>
        <w:t>（对投标人挂靠借用资质、提供虚假业绩、证书等违规投标行为，一经发现，将按照《政府采购法》给与行政处罚，将其入“信用中国”网站失信被执行人、重大税收违法案件当事人名单、政府采购严重违法失信名单的投标人、“中国政府采购网” 政府采购严重违法失信行为记录名单的投标人、“国家企业信用公示系统”网站严重违法失信企业名单（黑名单），并予以公示，禁止其</w:t>
      </w:r>
      <w:r>
        <w:rPr>
          <w:rFonts w:hint="eastAsia" w:ascii="宋体" w:hAnsi="宋体" w:cs="仿宋_GB2312"/>
          <w:b/>
          <w:bCs/>
          <w:color w:val="auto"/>
          <w:highlight w:val="none"/>
        </w:rPr>
        <w:t>在</w:t>
      </w:r>
      <w:r>
        <w:rPr>
          <w:rFonts w:hint="eastAsia" w:ascii="宋体" w:hAnsi="宋体" w:cs="仿宋_GB2312"/>
          <w:b/>
          <w:bCs/>
          <w:color w:val="auto"/>
          <w:highlight w:val="none"/>
          <w:lang w:val="zh-CN"/>
        </w:rPr>
        <w:t>一定时限内参与政府投资项目中介服务。）</w:t>
      </w:r>
    </w:p>
    <w:p>
      <w:pPr>
        <w:pStyle w:val="28"/>
        <w:spacing w:line="360" w:lineRule="auto"/>
        <w:contextualSpacing/>
        <w:jc w:val="center"/>
        <w:rPr>
          <w:rFonts w:ascii="宋体" w:hAnsi="宋体" w:cs="仿宋_GB2312"/>
          <w:b/>
          <w:color w:val="auto"/>
          <w:sz w:val="32"/>
          <w:szCs w:val="32"/>
          <w:highlight w:val="none"/>
          <w:lang w:val="zh-CN"/>
        </w:rPr>
      </w:pPr>
      <w:r>
        <w:rPr>
          <w:rFonts w:ascii="宋体" w:hAnsi="宋体" w:cs="仿宋_GB2312"/>
          <w:b/>
          <w:color w:val="auto"/>
          <w:sz w:val="32"/>
          <w:szCs w:val="32"/>
          <w:highlight w:val="none"/>
          <w:lang w:val="zh-CN"/>
        </w:rPr>
        <w:t>一、资格审查</w:t>
      </w:r>
    </w:p>
    <w:p>
      <w:pPr>
        <w:pStyle w:val="28"/>
        <w:spacing w:line="360" w:lineRule="auto"/>
        <w:ind w:firstLine="480" w:firstLineChars="200"/>
        <w:contextualSpacing/>
        <w:rPr>
          <w:rFonts w:ascii="宋体" w:hAnsi="宋体" w:cs="仿宋_GB2312"/>
          <w:color w:val="auto"/>
          <w:szCs w:val="24"/>
          <w:highlight w:val="none"/>
          <w:lang w:val="zh-CN"/>
        </w:rPr>
      </w:pPr>
      <w:r>
        <w:rPr>
          <w:rFonts w:hint="eastAsia" w:ascii="宋体" w:hAnsi="宋体" w:cs="仿宋_GB2312"/>
          <w:color w:val="auto"/>
          <w:szCs w:val="24"/>
          <w:highlight w:val="none"/>
          <w:lang w:val="zh-CN"/>
        </w:rPr>
        <w:t>（一）</w:t>
      </w:r>
      <w:r>
        <w:rPr>
          <w:rFonts w:ascii="宋体" w:hAnsi="宋体" w:cs="仿宋_GB2312"/>
          <w:color w:val="auto"/>
          <w:szCs w:val="24"/>
          <w:highlight w:val="none"/>
          <w:lang w:val="zh-CN"/>
        </w:rPr>
        <w:t>开标结束后，</w:t>
      </w:r>
      <w:r>
        <w:rPr>
          <w:rFonts w:hint="eastAsia" w:ascii="宋体" w:hAnsi="宋体" w:cs="仿宋_GB2312"/>
          <w:color w:val="auto"/>
          <w:szCs w:val="24"/>
          <w:highlight w:val="none"/>
          <w:lang w:val="zh-CN"/>
        </w:rPr>
        <w:t>采购人依法对投标人资格进行审查</w:t>
      </w:r>
      <w:r>
        <w:rPr>
          <w:rFonts w:ascii="宋体" w:hAnsi="宋体" w:cs="仿宋_GB2312"/>
          <w:color w:val="auto"/>
          <w:szCs w:val="24"/>
          <w:highlight w:val="none"/>
          <w:lang w:val="zh-CN"/>
        </w:rPr>
        <w:t>。</w:t>
      </w:r>
    </w:p>
    <w:p>
      <w:pPr>
        <w:spacing w:line="360" w:lineRule="auto"/>
        <w:ind w:right="420" w:rightChars="200" w:firstLine="480" w:firstLineChars="200"/>
        <w:contextualSpacing/>
        <w:rPr>
          <w:rFonts w:ascii="宋体" w:hAnsi="宋体" w:cs="仿宋_GB2312"/>
          <w:color w:val="auto"/>
          <w:sz w:val="24"/>
          <w:szCs w:val="24"/>
          <w:highlight w:val="none"/>
          <w:lang w:val="zh-CN"/>
        </w:rPr>
      </w:pPr>
      <w:r>
        <w:rPr>
          <w:rFonts w:hint="eastAsia" w:ascii="宋体" w:hAnsi="宋体" w:cs="仿宋_GB2312"/>
          <w:color w:val="auto"/>
          <w:sz w:val="24"/>
          <w:szCs w:val="24"/>
          <w:highlight w:val="none"/>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color w:val="auto"/>
          <w:sz w:val="24"/>
          <w:szCs w:val="24"/>
          <w:highlight w:val="none"/>
          <w:lang w:val="zh-CN"/>
        </w:rPr>
      </w:pPr>
      <w:r>
        <w:rPr>
          <w:rFonts w:hint="eastAsia" w:ascii="宋体" w:hAnsi="宋体" w:cs="仿宋_GB2312"/>
          <w:color w:val="auto"/>
          <w:sz w:val="24"/>
          <w:szCs w:val="24"/>
          <w:highlight w:val="none"/>
          <w:lang w:val="zh-CN"/>
        </w:rPr>
        <w:t>（三）资格审查中所涉及到的证书及材料，在电子投标文件中提供其原件扫描件（或图片）。</w:t>
      </w:r>
    </w:p>
    <w:tbl>
      <w:tblPr>
        <w:tblStyle w:val="18"/>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资格审查</w:t>
            </w:r>
            <w:r>
              <w:rPr>
                <w:rFonts w:ascii="宋体" w:hAnsi="宋体"/>
                <w:b/>
                <w:color w:val="auto"/>
                <w:sz w:val="24"/>
                <w:szCs w:val="24"/>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b/>
                <w:color w:val="auto"/>
                <w:sz w:val="24"/>
                <w:szCs w:val="24"/>
                <w:highlight w:val="none"/>
              </w:rPr>
            </w:pPr>
            <w:r>
              <w:rPr>
                <w:rFonts w:hint="eastAsia" w:ascii="宋体" w:hAnsi="宋体"/>
                <w:b/>
                <w:color w:val="auto"/>
                <w:sz w:val="24"/>
                <w:szCs w:val="24"/>
                <w:highlight w:val="none"/>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color w:val="auto"/>
                <w:sz w:val="24"/>
                <w:szCs w:val="24"/>
                <w:highlight w:val="none"/>
              </w:rPr>
            </w:pPr>
            <w:r>
              <w:rPr>
                <w:rFonts w:hint="eastAsia" w:ascii="宋体" w:hAnsi="宋体"/>
                <w:b/>
                <w:bCs/>
                <w:color w:val="auto"/>
                <w:sz w:val="24"/>
                <w:szCs w:val="24"/>
                <w:highlight w:val="none"/>
              </w:rPr>
              <w:t>2、法人或者其他组织的营业执照等证明文件，自然人的身份证明</w:t>
            </w:r>
          </w:p>
          <w:p>
            <w:pPr>
              <w:spacing w:line="360" w:lineRule="auto"/>
              <w:rPr>
                <w:rFonts w:ascii="宋体" w:hAnsi="宋体"/>
                <w:bCs/>
                <w:color w:val="auto"/>
                <w:sz w:val="24"/>
                <w:szCs w:val="24"/>
                <w:highlight w:val="none"/>
              </w:rPr>
            </w:pPr>
            <w:r>
              <w:rPr>
                <w:rFonts w:hint="eastAsia" w:ascii="宋体" w:hAnsi="宋体"/>
                <w:bCs/>
                <w:color w:val="auto"/>
                <w:sz w:val="24"/>
                <w:szCs w:val="24"/>
                <w:highlight w:val="none"/>
              </w:rPr>
              <w:t>（1）企业法人营业执照或营业执照（分公司的营业执照需有独立法人）。</w:t>
            </w:r>
          </w:p>
          <w:p>
            <w:pPr>
              <w:spacing w:line="360" w:lineRule="auto"/>
              <w:rPr>
                <w:rFonts w:ascii="宋体" w:hAnsi="宋体"/>
                <w:bCs/>
                <w:color w:val="auto"/>
                <w:sz w:val="24"/>
                <w:szCs w:val="24"/>
                <w:highlight w:val="none"/>
              </w:rPr>
            </w:pPr>
            <w:r>
              <w:rPr>
                <w:rFonts w:hint="eastAsia" w:ascii="宋体" w:hAnsi="宋体"/>
                <w:bCs/>
                <w:color w:val="auto"/>
                <w:sz w:val="24"/>
                <w:szCs w:val="24"/>
                <w:highlight w:val="none"/>
              </w:rPr>
              <w:t>（企业投标提供）</w:t>
            </w:r>
          </w:p>
          <w:p>
            <w:pPr>
              <w:spacing w:line="360" w:lineRule="auto"/>
              <w:rPr>
                <w:rFonts w:ascii="宋体" w:hAnsi="宋体"/>
                <w:bCs/>
                <w:color w:val="auto"/>
                <w:sz w:val="24"/>
                <w:szCs w:val="24"/>
                <w:highlight w:val="none"/>
              </w:rPr>
            </w:pPr>
            <w:r>
              <w:rPr>
                <w:rFonts w:hint="eastAsia" w:ascii="宋体" w:hAnsi="宋体"/>
                <w:bCs/>
                <w:color w:val="auto"/>
                <w:sz w:val="24"/>
                <w:szCs w:val="24"/>
                <w:highlight w:val="none"/>
              </w:rPr>
              <w:t>（2）事业单位法人证书。（事业单位投标提供）</w:t>
            </w:r>
          </w:p>
          <w:p>
            <w:pPr>
              <w:spacing w:line="360" w:lineRule="auto"/>
              <w:rPr>
                <w:rFonts w:ascii="宋体" w:hAnsi="宋体"/>
                <w:bCs/>
                <w:color w:val="auto"/>
                <w:sz w:val="24"/>
                <w:szCs w:val="24"/>
                <w:highlight w:val="none"/>
              </w:rPr>
            </w:pPr>
            <w:r>
              <w:rPr>
                <w:rFonts w:hint="eastAsia" w:ascii="宋体" w:hAnsi="宋体"/>
                <w:bCs/>
                <w:color w:val="auto"/>
                <w:sz w:val="24"/>
                <w:szCs w:val="24"/>
                <w:highlight w:val="none"/>
              </w:rPr>
              <w:t>（3）执业许可证。（非专业服务机构投标提供）</w:t>
            </w:r>
          </w:p>
          <w:p>
            <w:pPr>
              <w:spacing w:line="360" w:lineRule="auto"/>
              <w:rPr>
                <w:rFonts w:ascii="宋体" w:hAnsi="宋体"/>
                <w:bCs/>
                <w:color w:val="auto"/>
                <w:sz w:val="24"/>
                <w:szCs w:val="24"/>
                <w:highlight w:val="none"/>
              </w:rPr>
            </w:pPr>
            <w:r>
              <w:rPr>
                <w:rFonts w:hint="eastAsia" w:ascii="宋体" w:hAnsi="宋体"/>
                <w:bCs/>
                <w:color w:val="auto"/>
                <w:sz w:val="24"/>
                <w:szCs w:val="24"/>
                <w:highlight w:val="none"/>
              </w:rPr>
              <w:t>（4）个体工商户营业执照。（个体工商户投标提供）</w:t>
            </w:r>
          </w:p>
          <w:p>
            <w:pPr>
              <w:spacing w:line="360" w:lineRule="auto"/>
              <w:rPr>
                <w:rFonts w:ascii="宋体" w:hAnsi="宋体"/>
                <w:bCs/>
                <w:color w:val="auto"/>
                <w:sz w:val="24"/>
                <w:szCs w:val="24"/>
                <w:highlight w:val="none"/>
              </w:rPr>
            </w:pPr>
            <w:r>
              <w:rPr>
                <w:rFonts w:hint="eastAsia" w:ascii="宋体" w:hAnsi="宋体"/>
                <w:bCs/>
                <w:color w:val="auto"/>
                <w:sz w:val="24"/>
                <w:szCs w:val="24"/>
                <w:highlight w:val="none"/>
              </w:rPr>
              <w:t>（5）自然人身份证明。（自然人投标提供）</w:t>
            </w:r>
          </w:p>
          <w:p>
            <w:pPr>
              <w:spacing w:line="360" w:lineRule="auto"/>
              <w:rPr>
                <w:rFonts w:ascii="宋体" w:hAnsi="宋体"/>
                <w:b/>
                <w:color w:val="auto"/>
                <w:sz w:val="24"/>
                <w:szCs w:val="24"/>
                <w:highlight w:val="none"/>
              </w:rPr>
            </w:pPr>
            <w:r>
              <w:rPr>
                <w:rFonts w:hint="eastAsia" w:ascii="宋体" w:hAnsi="宋体"/>
                <w:bCs/>
                <w:color w:val="auto"/>
                <w:sz w:val="24"/>
                <w:szCs w:val="24"/>
                <w:highlight w:val="none"/>
              </w:rPr>
              <w:t>（或三证合一或五证合一）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color w:val="auto"/>
                <w:sz w:val="24"/>
                <w:szCs w:val="24"/>
                <w:highlight w:val="none"/>
              </w:rPr>
            </w:pPr>
            <w:r>
              <w:rPr>
                <w:rFonts w:hint="eastAsia" w:ascii="宋体" w:hAnsi="宋体"/>
                <w:b/>
                <w:bCs/>
                <w:color w:val="auto"/>
                <w:sz w:val="24"/>
                <w:szCs w:val="24"/>
                <w:highlight w:val="none"/>
              </w:rPr>
              <w:t>3、财务状况报告相关材料</w:t>
            </w:r>
          </w:p>
          <w:p>
            <w:pPr>
              <w:spacing w:line="360" w:lineRule="auto"/>
              <w:rPr>
                <w:rFonts w:ascii="宋体" w:hAnsi="宋体"/>
                <w:bCs/>
                <w:color w:val="auto"/>
                <w:sz w:val="24"/>
                <w:szCs w:val="24"/>
                <w:highlight w:val="none"/>
              </w:rPr>
            </w:pPr>
            <w:r>
              <w:rPr>
                <w:rFonts w:hint="eastAsia" w:ascii="宋体" w:hAnsi="宋体"/>
                <w:bCs/>
                <w:color w:val="auto"/>
                <w:sz w:val="24"/>
                <w:szCs w:val="24"/>
                <w:highlight w:val="none"/>
              </w:rPr>
              <w:t>（1）第三方审计机构出具的</w:t>
            </w:r>
            <w:r>
              <w:rPr>
                <w:rFonts w:ascii="宋体" w:hAnsi="宋体"/>
                <w:bCs/>
                <w:color w:val="auto"/>
                <w:sz w:val="24"/>
                <w:szCs w:val="24"/>
                <w:highlight w:val="none"/>
              </w:rPr>
              <w:t>201</w:t>
            </w:r>
            <w:r>
              <w:rPr>
                <w:rFonts w:hint="eastAsia" w:ascii="宋体" w:hAnsi="宋体"/>
                <w:bCs/>
                <w:color w:val="auto"/>
                <w:sz w:val="24"/>
                <w:szCs w:val="24"/>
                <w:highlight w:val="none"/>
              </w:rPr>
              <w:t>8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b/>
                <w:color w:val="auto"/>
                <w:sz w:val="24"/>
                <w:szCs w:val="24"/>
                <w:highlight w:val="none"/>
              </w:rPr>
            </w:pPr>
            <w:r>
              <w:rPr>
                <w:rFonts w:hint="eastAsia" w:ascii="宋体" w:hAnsi="宋体"/>
                <w:bCs/>
                <w:color w:val="auto"/>
                <w:sz w:val="24"/>
                <w:szCs w:val="24"/>
                <w:highlight w:val="none"/>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color w:val="auto"/>
                <w:sz w:val="24"/>
                <w:szCs w:val="24"/>
                <w:highlight w:val="none"/>
              </w:rPr>
            </w:pPr>
            <w:r>
              <w:rPr>
                <w:rFonts w:hint="eastAsia" w:ascii="宋体" w:hAnsi="宋体"/>
                <w:b/>
                <w:bCs/>
                <w:color w:val="auto"/>
                <w:sz w:val="24"/>
                <w:szCs w:val="24"/>
                <w:highlight w:val="none"/>
              </w:rPr>
              <w:t>4、依法缴纳税收相关材料</w:t>
            </w:r>
          </w:p>
          <w:p>
            <w:pPr>
              <w:spacing w:line="360" w:lineRule="auto"/>
              <w:rPr>
                <w:rFonts w:ascii="宋体" w:hAnsi="宋体"/>
                <w:b/>
                <w:color w:val="auto"/>
                <w:sz w:val="24"/>
                <w:szCs w:val="24"/>
                <w:highlight w:val="none"/>
              </w:rPr>
            </w:pPr>
            <w:r>
              <w:rPr>
                <w:rFonts w:hint="eastAsia" w:ascii="宋体" w:hAnsi="宋体" w:cs="宋体"/>
                <w:bCs/>
                <w:color w:val="auto"/>
                <w:sz w:val="24"/>
                <w:szCs w:val="24"/>
                <w:highlight w:val="none"/>
                <w:lang w:val="zh-CN"/>
              </w:rPr>
              <w:t>投标截止时间前半年内任意一个月</w:t>
            </w:r>
            <w:r>
              <w:rPr>
                <w:rFonts w:hint="eastAsia" w:ascii="宋体" w:hAnsi="宋体"/>
                <w:bCs/>
                <w:color w:val="auto"/>
                <w:sz w:val="24"/>
                <w:szCs w:val="24"/>
                <w:highlight w:val="none"/>
              </w:rPr>
              <w:t>的缴纳税收凭据。（依法免税的投标人，应提供相应文件证明依法免税）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color w:val="auto"/>
                <w:sz w:val="24"/>
                <w:szCs w:val="24"/>
                <w:highlight w:val="none"/>
              </w:rPr>
            </w:pPr>
            <w:r>
              <w:rPr>
                <w:rFonts w:hint="eastAsia" w:ascii="宋体" w:hAnsi="宋体"/>
                <w:b/>
                <w:bCs/>
                <w:color w:val="auto"/>
                <w:sz w:val="24"/>
                <w:szCs w:val="24"/>
                <w:highlight w:val="none"/>
              </w:rPr>
              <w:t>5、依法缴纳社会保障资金的证明材料</w:t>
            </w:r>
          </w:p>
          <w:p>
            <w:pPr>
              <w:spacing w:line="360" w:lineRule="auto"/>
              <w:rPr>
                <w:rFonts w:ascii="宋体" w:hAnsi="宋体"/>
                <w:bCs/>
                <w:color w:val="auto"/>
                <w:sz w:val="24"/>
                <w:szCs w:val="24"/>
                <w:highlight w:val="none"/>
              </w:rPr>
            </w:pPr>
            <w:r>
              <w:rPr>
                <w:rFonts w:hint="eastAsia" w:ascii="宋体" w:hAnsi="宋体" w:cs="宋体"/>
                <w:bCs/>
                <w:color w:val="auto"/>
                <w:sz w:val="24"/>
                <w:szCs w:val="24"/>
                <w:highlight w:val="none"/>
                <w:lang w:val="zh-CN"/>
              </w:rPr>
              <w:t>投标截止时间前半年内任意一个月的</w:t>
            </w:r>
            <w:r>
              <w:rPr>
                <w:rFonts w:hint="eastAsia" w:ascii="宋体" w:hAnsi="宋体"/>
                <w:bCs/>
                <w:color w:val="auto"/>
                <w:sz w:val="24"/>
                <w:szCs w:val="24"/>
                <w:highlight w:val="none"/>
              </w:rPr>
              <w:t>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autoSpaceDE w:val="0"/>
              <w:autoSpaceDN w:val="0"/>
              <w:adjustRightInd w:val="0"/>
              <w:spacing w:line="360" w:lineRule="auto"/>
              <w:ind w:right="-11"/>
              <w:rPr>
                <w:rFonts w:ascii="宋体" w:hAnsi="宋体" w:cs="宋体"/>
                <w:b/>
                <w:bCs/>
                <w:color w:val="auto"/>
                <w:sz w:val="24"/>
                <w:szCs w:val="24"/>
                <w:highlight w:val="none"/>
                <w:lang w:val="zh-CN"/>
              </w:rPr>
            </w:pPr>
            <w:r>
              <w:rPr>
                <w:rFonts w:hint="eastAsia" w:ascii="宋体" w:hAnsi="宋体" w:cs="宋体"/>
                <w:b/>
                <w:color w:val="auto"/>
                <w:kern w:val="0"/>
                <w:sz w:val="24"/>
                <w:szCs w:val="24"/>
                <w:highlight w:val="none"/>
              </w:rPr>
              <w:t>6、投标人资格要求（提供其所在的省（市、自治区）会计师协会公布的2019年会计事务所分类评价结果的截图及查询网址等证明材料，并加盖投标人印章）</w:t>
            </w:r>
          </w:p>
          <w:p>
            <w:pPr>
              <w:spacing w:line="360" w:lineRule="auto"/>
              <w:rPr>
                <w:rFonts w:ascii="宋体" w:hAnsi="宋体"/>
                <w:b/>
                <w:bCs/>
                <w:color w:val="auto"/>
                <w:sz w:val="24"/>
                <w:szCs w:val="24"/>
                <w:highlight w:val="none"/>
              </w:rPr>
            </w:pPr>
            <w:r>
              <w:rPr>
                <w:rFonts w:hint="eastAsia" w:ascii="宋体" w:hAnsi="宋体" w:cs="宋体"/>
                <w:bCs/>
                <w:color w:val="auto"/>
                <w:sz w:val="24"/>
                <w:szCs w:val="24"/>
                <w:highlight w:val="none"/>
              </w:rPr>
              <w:t>属于河南省注册会计师协会2019年分类评价认定的B类及以上事务所；或中华人民共和国其它省注册会计师协会2019年公布的分类评价中，排在第二类及以上的会计师事务所（或相当于河南省注册会计师协会2019年分类评价认定的B类及以上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color w:val="auto"/>
                <w:sz w:val="24"/>
                <w:szCs w:val="24"/>
                <w:highlight w:val="none"/>
              </w:rPr>
            </w:pPr>
            <w:r>
              <w:rPr>
                <w:rFonts w:hint="eastAsia" w:ascii="宋体" w:hAnsi="宋体"/>
                <w:b/>
                <w:bCs/>
                <w:color w:val="auto"/>
                <w:sz w:val="24"/>
                <w:szCs w:val="24"/>
                <w:highlight w:val="none"/>
              </w:rPr>
              <w:t>7、履行合同所必须的设备和专业技术能力的证明材料</w:t>
            </w:r>
            <w:r>
              <w:rPr>
                <w:rFonts w:hint="eastAsia" w:ascii="宋体" w:hAnsi="宋体"/>
                <w:b/>
                <w:color w:val="auto"/>
                <w:sz w:val="24"/>
                <w:szCs w:val="24"/>
                <w:highlight w:val="none"/>
              </w:rPr>
              <w:t>。</w:t>
            </w:r>
          </w:p>
          <w:p>
            <w:pPr>
              <w:pStyle w:val="2"/>
              <w:rPr>
                <w:rFonts w:ascii="宋体" w:hAnsi="宋体"/>
                <w:color w:val="auto"/>
                <w:highlight w:val="none"/>
              </w:rPr>
            </w:pPr>
            <w:r>
              <w:rPr>
                <w:rFonts w:hint="eastAsia" w:ascii="宋体" w:hAnsi="宋体" w:cs="宋体"/>
                <w:bCs/>
                <w:color w:val="auto"/>
                <w:kern w:val="0"/>
                <w:sz w:val="24"/>
                <w:szCs w:val="24"/>
                <w:highlight w:val="none"/>
                <w:lang w:val="zh-CN"/>
              </w:rPr>
              <w:t>专业技术人员职称证书、用工合同等或者附投标人相关承诺函或声明。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8、参加政府采购活动前3年内在经营活动中没有重大违法记录的声明</w:t>
            </w:r>
          </w:p>
          <w:p>
            <w:pPr>
              <w:spacing w:line="360" w:lineRule="auto"/>
              <w:rPr>
                <w:rFonts w:ascii="宋体" w:hAnsi="宋体"/>
                <w:bCs/>
                <w:color w:val="auto"/>
                <w:sz w:val="24"/>
                <w:szCs w:val="24"/>
                <w:highlight w:val="none"/>
              </w:rPr>
            </w:pPr>
            <w:r>
              <w:rPr>
                <w:rFonts w:hint="eastAsia" w:ascii="宋体" w:hAnsi="宋体"/>
                <w:bCs/>
                <w:color w:val="auto"/>
                <w:sz w:val="24"/>
                <w:szCs w:val="24"/>
                <w:highlight w:val="none"/>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autoSpaceDE w:val="0"/>
              <w:autoSpaceDN w:val="0"/>
              <w:spacing w:line="360" w:lineRule="auto"/>
              <w:contextualSpacing/>
              <w:jc w:val="left"/>
              <w:rPr>
                <w:rFonts w:ascii="宋体" w:hAnsi="宋体"/>
                <w:b/>
                <w:bCs/>
                <w:color w:val="auto"/>
                <w:sz w:val="24"/>
                <w:szCs w:val="24"/>
                <w:highlight w:val="none"/>
              </w:rPr>
            </w:pPr>
            <w:r>
              <w:rPr>
                <w:rFonts w:hint="eastAsia" w:ascii="宋体" w:hAnsi="宋体"/>
                <w:b/>
                <w:bCs/>
                <w:color w:val="auto"/>
                <w:sz w:val="24"/>
                <w:szCs w:val="24"/>
                <w:highlight w:val="none"/>
              </w:rPr>
              <w:t>9、</w:t>
            </w:r>
            <w:r>
              <w:rPr>
                <w:rFonts w:hint="eastAsia" w:ascii="宋体" w:hAnsi="宋体" w:cs="仿宋_GB2312"/>
                <w:b/>
                <w:color w:val="auto"/>
                <w:sz w:val="24"/>
                <w:szCs w:val="24"/>
                <w:highlight w:val="none"/>
                <w:shd w:val="clear" w:color="auto" w:fill="FFFFFF"/>
              </w:rPr>
              <w:t>未被列入“信用中国”网站</w:t>
            </w:r>
            <w:r>
              <w:rPr>
                <w:rFonts w:ascii="宋体" w:hAnsi="宋体" w:cs="仿宋_GB2312"/>
                <w:b/>
                <w:color w:val="auto"/>
                <w:sz w:val="24"/>
                <w:szCs w:val="24"/>
                <w:highlight w:val="none"/>
                <w:shd w:val="clear" w:color="auto" w:fill="FFFFFF"/>
              </w:rPr>
              <w:t>(www.creditchina.gov.cn)</w:t>
            </w:r>
            <w:r>
              <w:rPr>
                <w:rFonts w:hint="eastAsia" w:ascii="宋体" w:hAnsi="宋体" w:cs="仿宋_GB2312"/>
                <w:b/>
                <w:color w:val="auto"/>
                <w:sz w:val="24"/>
                <w:szCs w:val="24"/>
                <w:highlight w:val="none"/>
                <w:shd w:val="clear" w:color="auto" w:fill="FFFFFF"/>
              </w:rPr>
              <w:t>失信被执行人、重大税收违法案件当事人名单、政府采购严重违法失信名单的投标人；“中国政府采购网”</w:t>
            </w:r>
            <w:r>
              <w:rPr>
                <w:rFonts w:ascii="宋体" w:hAnsi="宋体" w:cs="仿宋_GB2312"/>
                <w:b/>
                <w:color w:val="auto"/>
                <w:sz w:val="24"/>
                <w:szCs w:val="24"/>
                <w:highlight w:val="none"/>
                <w:shd w:val="clear" w:color="auto" w:fill="FFFFFF"/>
              </w:rPr>
              <w:t xml:space="preserve"> (www.ccgp.gov.cn)</w:t>
            </w:r>
            <w:r>
              <w:rPr>
                <w:rFonts w:hint="eastAsia" w:ascii="宋体" w:hAnsi="宋体" w:cs="仿宋_GB2312"/>
                <w:b/>
                <w:color w:val="auto"/>
                <w:sz w:val="24"/>
                <w:szCs w:val="24"/>
                <w:highlight w:val="none"/>
                <w:shd w:val="clear" w:color="auto" w:fill="FFFFFF"/>
              </w:rPr>
              <w:t>政府采购严重违法失信行为记录名单的投标人；“</w:t>
            </w:r>
            <w:r>
              <w:rPr>
                <w:rFonts w:hint="eastAsia" w:ascii="宋体" w:hAnsi="宋体" w:cs="宋体"/>
                <w:b/>
                <w:bCs/>
                <w:color w:val="auto"/>
                <w:sz w:val="24"/>
                <w:szCs w:val="24"/>
                <w:highlight w:val="none"/>
                <w:lang w:val="zh-CN"/>
              </w:rPr>
              <w:t>国家企业信用公示系统</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zh-CN"/>
              </w:rPr>
              <w:t>网站</w:t>
            </w:r>
            <w:r>
              <w:rPr>
                <w:rFonts w:hint="eastAsia" w:ascii="宋体" w:hAnsi="宋体" w:cs="宋体"/>
                <w:b/>
                <w:bCs/>
                <w:color w:val="auto"/>
                <w:sz w:val="24"/>
                <w:szCs w:val="24"/>
                <w:highlight w:val="none"/>
              </w:rPr>
              <w:t>（</w:t>
            </w:r>
            <w:r>
              <w:rPr>
                <w:rFonts w:ascii="宋体" w:hAnsi="宋体" w:cs="宋体"/>
                <w:b/>
                <w:bCs/>
                <w:color w:val="auto"/>
                <w:sz w:val="24"/>
                <w:szCs w:val="24"/>
                <w:highlight w:val="none"/>
              </w:rPr>
              <w:t>www.gsxt.gov.cn</w:t>
            </w:r>
            <w:r>
              <w:rPr>
                <w:rFonts w:hint="eastAsia" w:ascii="宋体" w:hAnsi="宋体" w:cs="宋体"/>
                <w:b/>
                <w:bCs/>
                <w:color w:val="auto"/>
                <w:sz w:val="24"/>
                <w:szCs w:val="24"/>
                <w:highlight w:val="none"/>
              </w:rPr>
              <w:t>）</w:t>
            </w:r>
            <w:r>
              <w:rPr>
                <w:rFonts w:hint="eastAsia" w:ascii="宋体" w:hAnsi="宋体" w:cs="仿宋_GB2312"/>
                <w:b/>
                <w:color w:val="auto"/>
                <w:sz w:val="24"/>
                <w:szCs w:val="24"/>
                <w:highlight w:val="none"/>
                <w:shd w:val="clear" w:color="auto" w:fill="FFFFFF"/>
              </w:rPr>
              <w:t>严重违法失信企业名单（黑名单）的投标人。(本项目投标截止时间前三年内供应商信用记录情况)【截图加盖投标人公章】</w:t>
            </w:r>
          </w:p>
          <w:p>
            <w:pPr>
              <w:spacing w:line="360" w:lineRule="auto"/>
              <w:rPr>
                <w:rFonts w:ascii="宋体" w:hAnsi="宋体"/>
                <w:bCs/>
                <w:color w:val="auto"/>
                <w:sz w:val="24"/>
                <w:szCs w:val="24"/>
                <w:highlight w:val="none"/>
              </w:rPr>
            </w:pPr>
            <w:r>
              <w:rPr>
                <w:rFonts w:hint="eastAsia" w:ascii="宋体" w:hAnsi="宋体"/>
                <w:bCs/>
                <w:color w:val="auto"/>
                <w:sz w:val="24"/>
                <w:szCs w:val="24"/>
                <w:highlight w:val="none"/>
              </w:rPr>
              <w:t>注：政府采购活动中查询及使用投标人信用记录的具体要求为：投标人未被列入失信被执行人、重大税收违法案件当事人名单、政府采购严重违法失信名单、政府采购严重违法失信行为记录名单和严重违法失信企业名单（黑名单）（联合体形式投标的，联合体成员存在不良信用记录，视同联合体存在不良信用记录）。</w:t>
            </w:r>
          </w:p>
          <w:p>
            <w:pPr>
              <w:spacing w:line="360" w:lineRule="auto"/>
              <w:rPr>
                <w:rFonts w:ascii="宋体" w:hAns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1</w:t>
            </w:r>
            <w:r>
              <w:rPr>
                <w:rFonts w:hint="eastAsia" w:ascii="宋体" w:hAnsi="宋体"/>
                <w:bCs/>
                <w:color w:val="auto"/>
                <w:sz w:val="24"/>
                <w:szCs w:val="24"/>
                <w:highlight w:val="none"/>
              </w:rPr>
              <w:t>）查询渠道：“信用中国”网站（</w:t>
            </w:r>
            <w:r>
              <w:rPr>
                <w:rFonts w:ascii="宋体" w:hAnsi="宋体"/>
                <w:bCs/>
                <w:color w:val="auto"/>
                <w:sz w:val="24"/>
                <w:szCs w:val="24"/>
                <w:highlight w:val="none"/>
              </w:rPr>
              <w:t>www.creditchina.gov.cn</w:t>
            </w:r>
            <w:r>
              <w:rPr>
                <w:rFonts w:hint="eastAsia" w:ascii="宋体" w:hAnsi="宋体"/>
                <w:bCs/>
                <w:color w:val="auto"/>
                <w:sz w:val="24"/>
                <w:szCs w:val="24"/>
                <w:highlight w:val="none"/>
              </w:rPr>
              <w:t>）和“中国政府采购网”（</w:t>
            </w:r>
            <w:r>
              <w:rPr>
                <w:rFonts w:ascii="宋体" w:hAnsi="宋体"/>
                <w:bCs/>
                <w:color w:val="auto"/>
                <w:sz w:val="24"/>
                <w:szCs w:val="24"/>
                <w:highlight w:val="none"/>
              </w:rPr>
              <w:t>www.ccgp.gov.cn</w:t>
            </w:r>
            <w:r>
              <w:rPr>
                <w:rFonts w:hint="eastAsia" w:ascii="宋体" w:hAnsi="宋体"/>
                <w:bCs/>
                <w:color w:val="auto"/>
                <w:sz w:val="24"/>
                <w:szCs w:val="24"/>
                <w:highlight w:val="none"/>
              </w:rPr>
              <w:t>）；</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国家企业信用公示系统</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网站</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www.gsxt.gov.cn</w:t>
            </w:r>
            <w:r>
              <w:rPr>
                <w:rFonts w:hint="eastAsia" w:ascii="宋体" w:hAnsi="宋体" w:cs="宋体"/>
                <w:color w:val="auto"/>
                <w:kern w:val="0"/>
                <w:sz w:val="24"/>
                <w:szCs w:val="24"/>
                <w:highlight w:val="none"/>
              </w:rPr>
              <w:t>）；</w:t>
            </w:r>
          </w:p>
          <w:p>
            <w:pPr>
              <w:spacing w:line="360" w:lineRule="auto"/>
              <w:rPr>
                <w:rFonts w:ascii="宋体" w:hAnsi="宋体"/>
                <w:bCs/>
                <w:color w:val="auto"/>
                <w:sz w:val="24"/>
                <w:szCs w:val="24"/>
                <w:highlight w:val="none"/>
              </w:rPr>
            </w:pPr>
            <w:r>
              <w:rPr>
                <w:rFonts w:hint="eastAsia" w:ascii="宋体" w:hAnsi="宋体"/>
                <w:bCs/>
                <w:color w:val="auto"/>
                <w:sz w:val="24"/>
                <w:szCs w:val="24"/>
                <w:highlight w:val="none"/>
              </w:rPr>
              <w:t>（2）截止时间：同投标截止时间；</w:t>
            </w:r>
          </w:p>
          <w:p>
            <w:pPr>
              <w:spacing w:line="360" w:lineRule="auto"/>
              <w:rPr>
                <w:rFonts w:ascii="宋体" w:hAnsi="宋体"/>
                <w:bCs/>
                <w:color w:val="auto"/>
                <w:sz w:val="24"/>
                <w:szCs w:val="24"/>
                <w:highlight w:val="none"/>
              </w:rPr>
            </w:pPr>
            <w:r>
              <w:rPr>
                <w:rFonts w:hint="eastAsia" w:ascii="宋体" w:hAnsi="宋体"/>
                <w:bCs/>
                <w:color w:val="auto"/>
                <w:sz w:val="24"/>
                <w:szCs w:val="24"/>
                <w:highlight w:val="none"/>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color w:val="auto"/>
                <w:kern w:val="0"/>
                <w:sz w:val="24"/>
                <w:szCs w:val="24"/>
                <w:highlight w:val="none"/>
              </w:rPr>
            </w:pPr>
            <w:r>
              <w:rPr>
                <w:rFonts w:hint="eastAsia" w:ascii="宋体" w:hAnsi="宋体"/>
                <w:bCs/>
                <w:color w:val="auto"/>
                <w:sz w:val="24"/>
                <w:szCs w:val="24"/>
                <w:highlight w:val="none"/>
              </w:rPr>
              <w:t>（4）</w:t>
            </w:r>
            <w:r>
              <w:rPr>
                <w:rFonts w:hint="eastAsia" w:ascii="宋体" w:hAnsi="宋体" w:cs="宋体"/>
                <w:color w:val="auto"/>
                <w:kern w:val="0"/>
                <w:sz w:val="24"/>
                <w:szCs w:val="24"/>
                <w:highlight w:val="none"/>
              </w:rPr>
              <w:t>信用信息的使用原则：经采购人认定的被列入失信被执行人、重大税收违法案件当事人名单、政府采购严重违法失信行为记录名单、严重违法失信企业名单（黑名单）的投标人，将拒绝其参与政府采购活动。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10、</w:t>
            </w:r>
            <w:r>
              <w:rPr>
                <w:rFonts w:hint="eastAsia" w:ascii="宋体" w:hAnsi="宋体" w:cs="宋体"/>
                <w:b/>
                <w:bCs/>
                <w:color w:val="auto"/>
                <w:kern w:val="0"/>
                <w:sz w:val="24"/>
                <w:szCs w:val="24"/>
                <w:highlight w:val="none"/>
              </w:rPr>
              <w:t>投标人提供的反商业贿赂承诺书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contextualSpacing/>
              <w:rPr>
                <w:rFonts w:ascii="宋体" w:hAnsi="宋体"/>
                <w:b/>
                <w:color w:val="auto"/>
                <w:sz w:val="24"/>
                <w:szCs w:val="24"/>
                <w:highlight w:val="none"/>
              </w:rPr>
            </w:pPr>
            <w:r>
              <w:rPr>
                <w:rFonts w:hint="eastAsia" w:ascii="宋体" w:hAnsi="宋体"/>
                <w:b/>
                <w:color w:val="auto"/>
                <w:sz w:val="24"/>
                <w:szCs w:val="24"/>
                <w:highlight w:val="none"/>
              </w:rPr>
              <w:t>11、法定代表人身份证明或提供法定代表人授权委托书及被授权人身份证明。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color w:val="auto"/>
                <w:sz w:val="24"/>
                <w:szCs w:val="24"/>
                <w:highlight w:val="none"/>
              </w:rPr>
            </w:pPr>
            <w:r>
              <w:rPr>
                <w:rFonts w:hint="eastAsia" w:ascii="宋体" w:hAnsi="宋体"/>
                <w:b/>
                <w:color w:val="auto"/>
                <w:sz w:val="24"/>
                <w:szCs w:val="24"/>
                <w:highlight w:val="none"/>
              </w:rPr>
              <w:t>12、投标保证金</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是否按投标人须知前附表规定成功交纳。</w:t>
            </w:r>
          </w:p>
        </w:tc>
      </w:tr>
    </w:tbl>
    <w:p>
      <w:pPr>
        <w:pStyle w:val="28"/>
        <w:spacing w:line="360" w:lineRule="auto"/>
        <w:ind w:firstLine="482" w:firstLineChars="200"/>
        <w:contextualSpacing/>
        <w:rPr>
          <w:rFonts w:ascii="宋体" w:hAnsi="宋体" w:cs="仿宋_GB2312"/>
          <w:b/>
          <w:color w:val="auto"/>
          <w:szCs w:val="24"/>
          <w:highlight w:val="none"/>
          <w:lang w:val="zh-CN"/>
        </w:rPr>
      </w:pPr>
    </w:p>
    <w:p>
      <w:pPr>
        <w:pStyle w:val="28"/>
        <w:spacing w:line="360" w:lineRule="auto"/>
        <w:contextualSpacing/>
        <w:jc w:val="center"/>
        <w:rPr>
          <w:rFonts w:ascii="宋体" w:hAnsi="宋体" w:cs="仿宋_GB2312"/>
          <w:b/>
          <w:color w:val="auto"/>
          <w:sz w:val="32"/>
          <w:szCs w:val="32"/>
          <w:highlight w:val="none"/>
          <w:lang w:val="zh-CN"/>
        </w:rPr>
      </w:pPr>
    </w:p>
    <w:p>
      <w:pPr>
        <w:pStyle w:val="28"/>
        <w:spacing w:line="360" w:lineRule="auto"/>
        <w:contextualSpacing/>
        <w:jc w:val="center"/>
        <w:rPr>
          <w:rFonts w:ascii="宋体" w:hAnsi="宋体" w:cs="仿宋_GB2312"/>
          <w:b/>
          <w:color w:val="auto"/>
          <w:sz w:val="32"/>
          <w:szCs w:val="32"/>
          <w:highlight w:val="none"/>
          <w:lang w:val="zh-CN"/>
        </w:rPr>
      </w:pPr>
    </w:p>
    <w:p>
      <w:pPr>
        <w:widowControl/>
        <w:jc w:val="left"/>
        <w:rPr>
          <w:rFonts w:ascii="宋体" w:hAnsi="宋体" w:cs="仿宋_GB2312"/>
          <w:b/>
          <w:color w:val="auto"/>
          <w:sz w:val="32"/>
          <w:szCs w:val="32"/>
          <w:highlight w:val="none"/>
          <w:lang w:val="zh-CN"/>
        </w:rPr>
      </w:pPr>
      <w:r>
        <w:rPr>
          <w:rFonts w:ascii="宋体" w:hAnsi="宋体" w:cs="仿宋_GB2312"/>
          <w:b/>
          <w:color w:val="auto"/>
          <w:sz w:val="32"/>
          <w:szCs w:val="32"/>
          <w:highlight w:val="none"/>
          <w:lang w:val="zh-CN"/>
        </w:rPr>
        <w:br w:type="page"/>
      </w:r>
    </w:p>
    <w:p>
      <w:pPr>
        <w:pStyle w:val="28"/>
        <w:spacing w:line="360" w:lineRule="auto"/>
        <w:contextualSpacing/>
        <w:jc w:val="center"/>
        <w:rPr>
          <w:rFonts w:ascii="宋体" w:hAnsi="宋体" w:cs="仿宋_GB2312"/>
          <w:b/>
          <w:color w:val="auto"/>
          <w:sz w:val="32"/>
          <w:szCs w:val="32"/>
          <w:highlight w:val="none"/>
          <w:lang w:val="zh-CN"/>
        </w:rPr>
      </w:pPr>
      <w:r>
        <w:rPr>
          <w:rFonts w:hint="eastAsia" w:ascii="宋体" w:hAnsi="宋体" w:cs="仿宋_GB2312"/>
          <w:b/>
          <w:color w:val="auto"/>
          <w:sz w:val="32"/>
          <w:szCs w:val="32"/>
          <w:highlight w:val="none"/>
          <w:lang w:val="zh-CN"/>
        </w:rPr>
        <w:t>二、评标</w:t>
      </w:r>
    </w:p>
    <w:p>
      <w:pPr>
        <w:pStyle w:val="28"/>
        <w:spacing w:line="360" w:lineRule="auto"/>
        <w:ind w:firstLine="482" w:firstLineChars="200"/>
        <w:contextualSpacing/>
        <w:rPr>
          <w:rFonts w:ascii="宋体" w:hAnsi="宋体" w:cs="仿宋_GB2312"/>
          <w:b/>
          <w:color w:val="auto"/>
          <w:szCs w:val="24"/>
          <w:highlight w:val="none"/>
          <w:lang w:val="zh-CN"/>
        </w:rPr>
      </w:pPr>
      <w:r>
        <w:rPr>
          <w:rFonts w:hint="eastAsia" w:ascii="宋体" w:hAnsi="宋体" w:cs="仿宋_GB2312"/>
          <w:b/>
          <w:color w:val="auto"/>
          <w:szCs w:val="24"/>
          <w:highlight w:val="none"/>
          <w:lang w:val="zh-CN"/>
        </w:rPr>
        <w:t>（一）评标方法</w:t>
      </w:r>
    </w:p>
    <w:p>
      <w:pPr>
        <w:pStyle w:val="28"/>
        <w:spacing w:line="360" w:lineRule="auto"/>
        <w:ind w:firstLine="480" w:firstLineChars="200"/>
        <w:contextualSpacing/>
        <w:rPr>
          <w:rFonts w:ascii="宋体" w:hAnsi="宋体" w:cs="仿宋_GB2312"/>
          <w:color w:val="auto"/>
          <w:szCs w:val="24"/>
          <w:highlight w:val="none"/>
          <w:lang w:val="zh-CN"/>
        </w:rPr>
      </w:pPr>
      <w:r>
        <w:rPr>
          <w:rFonts w:hint="eastAsia" w:ascii="宋体" w:hAnsi="宋体" w:cs="仿宋_GB2312"/>
          <w:color w:val="auto"/>
          <w:szCs w:val="24"/>
          <w:highlight w:val="none"/>
          <w:lang w:val="zh-CN"/>
        </w:rPr>
        <w:t>本项目采用综合评分法。总分为</w:t>
      </w:r>
      <w:r>
        <w:rPr>
          <w:rFonts w:ascii="宋体" w:hAnsi="宋体" w:cs="仿宋_GB2312"/>
          <w:color w:val="auto"/>
          <w:szCs w:val="24"/>
          <w:highlight w:val="none"/>
          <w:lang w:val="zh-CN"/>
        </w:rPr>
        <w:t>100</w:t>
      </w:r>
      <w:r>
        <w:rPr>
          <w:rFonts w:hint="eastAsia" w:ascii="宋体" w:hAnsi="宋体" w:cs="仿宋_GB2312"/>
          <w:color w:val="auto"/>
          <w:szCs w:val="24"/>
          <w:highlight w:val="none"/>
          <w:lang w:val="zh-CN"/>
        </w:rPr>
        <w:t>分。</w:t>
      </w:r>
    </w:p>
    <w:p>
      <w:pPr>
        <w:pStyle w:val="28"/>
        <w:spacing w:line="360" w:lineRule="auto"/>
        <w:ind w:firstLine="482" w:firstLineChars="200"/>
        <w:contextualSpacing/>
        <w:rPr>
          <w:rFonts w:ascii="宋体" w:hAnsi="宋体" w:cs="仿宋_GB2312"/>
          <w:bCs/>
          <w:color w:val="auto"/>
          <w:szCs w:val="24"/>
          <w:highlight w:val="none"/>
          <w:lang w:val="zh-CN"/>
        </w:rPr>
      </w:pPr>
      <w:r>
        <w:rPr>
          <w:rFonts w:hint="eastAsia" w:ascii="宋体" w:hAnsi="宋体" w:cs="仿宋_GB2312"/>
          <w:b/>
          <w:color w:val="auto"/>
          <w:szCs w:val="24"/>
          <w:highlight w:val="none"/>
          <w:lang w:val="zh-CN"/>
        </w:rPr>
        <w:t>（二）</w:t>
      </w:r>
      <w:r>
        <w:rPr>
          <w:rFonts w:hint="eastAsia" w:ascii="宋体" w:hAnsi="宋体" w:cs="仿宋_GB2312"/>
          <w:bCs/>
          <w:color w:val="auto"/>
          <w:szCs w:val="24"/>
          <w:highlight w:val="none"/>
        </w:rPr>
        <w:t>符合性审查</w:t>
      </w:r>
      <w:r>
        <w:rPr>
          <w:rFonts w:hint="eastAsia" w:ascii="宋体" w:hAnsi="宋体" w:cs="仿宋_GB2312"/>
          <w:bCs/>
          <w:color w:val="auto"/>
          <w:szCs w:val="24"/>
          <w:highlight w:val="none"/>
          <w:lang w:val="zh-CN"/>
        </w:rPr>
        <w:t>中所涉及到的证书及材料均须在电子投标文件中提供其原件扫描件（或图片）。</w:t>
      </w:r>
    </w:p>
    <w:p>
      <w:pPr>
        <w:pStyle w:val="28"/>
        <w:spacing w:line="360" w:lineRule="auto"/>
        <w:ind w:firstLine="482" w:firstLineChars="200"/>
        <w:contextualSpacing/>
        <w:rPr>
          <w:rFonts w:ascii="宋体" w:hAnsi="宋体" w:cs="仿宋_GB2312"/>
          <w:b/>
          <w:color w:val="auto"/>
          <w:szCs w:val="24"/>
          <w:highlight w:val="none"/>
          <w:lang w:val="zh-CN"/>
        </w:rPr>
      </w:pPr>
      <w:r>
        <w:rPr>
          <w:rFonts w:hint="eastAsia" w:ascii="宋体" w:hAnsi="宋体" w:cs="仿宋_GB2312"/>
          <w:b/>
          <w:color w:val="auto"/>
          <w:szCs w:val="24"/>
          <w:highlight w:val="none"/>
          <w:lang w:val="zh-CN"/>
        </w:rPr>
        <w:t>(三)</w:t>
      </w:r>
      <w:r>
        <w:rPr>
          <w:rFonts w:ascii="宋体" w:hAnsi="宋体" w:cs="仿宋_GB2312"/>
          <w:b/>
          <w:color w:val="auto"/>
          <w:szCs w:val="24"/>
          <w:highlight w:val="none"/>
          <w:lang w:val="zh-CN"/>
        </w:rPr>
        <w:t>评标委员会负责具体评标事务，并独立履行下列职责</w:t>
      </w:r>
    </w:p>
    <w:p>
      <w:pPr>
        <w:pStyle w:val="28"/>
        <w:spacing w:line="360" w:lineRule="auto"/>
        <w:ind w:firstLine="482" w:firstLineChars="200"/>
        <w:contextualSpacing/>
        <w:jc w:val="left"/>
        <w:rPr>
          <w:rFonts w:ascii="宋体" w:hAnsi="宋体" w:cs="仿宋_GB2312"/>
          <w:b/>
          <w:color w:val="auto"/>
          <w:szCs w:val="24"/>
          <w:highlight w:val="none"/>
          <w:lang w:val="zh-CN"/>
        </w:rPr>
      </w:pPr>
      <w:r>
        <w:rPr>
          <w:rFonts w:hint="eastAsia" w:ascii="宋体" w:hAnsi="宋体" w:cs="仿宋_GB2312"/>
          <w:b/>
          <w:color w:val="auto"/>
          <w:szCs w:val="24"/>
          <w:highlight w:val="none"/>
          <w:lang w:val="zh-CN"/>
        </w:rPr>
        <w:t>1、</w:t>
      </w:r>
      <w:r>
        <w:rPr>
          <w:rFonts w:ascii="宋体" w:hAnsi="宋体" w:cs="仿宋_GB2312"/>
          <w:b/>
          <w:color w:val="auto"/>
          <w:szCs w:val="24"/>
          <w:highlight w:val="none"/>
          <w:lang w:val="zh-CN"/>
        </w:rPr>
        <w:t>审查、评价投标文件是否符合招标文件的商务、技术等实质性要求；</w:t>
      </w:r>
    </w:p>
    <w:p>
      <w:pPr>
        <w:pStyle w:val="28"/>
        <w:spacing w:line="360" w:lineRule="auto"/>
        <w:ind w:firstLine="480" w:firstLineChars="200"/>
        <w:contextualSpacing/>
        <w:jc w:val="left"/>
        <w:rPr>
          <w:rFonts w:ascii="宋体" w:hAnsi="宋体" w:cs="仿宋_GB2312"/>
          <w:color w:val="auto"/>
          <w:szCs w:val="24"/>
          <w:highlight w:val="none"/>
          <w:lang w:val="zh-CN"/>
        </w:rPr>
      </w:pPr>
      <w:r>
        <w:rPr>
          <w:rFonts w:hint="eastAsia" w:ascii="宋体" w:hAnsi="宋体" w:cs="仿宋_GB2312"/>
          <w:color w:val="auto"/>
          <w:szCs w:val="24"/>
          <w:highlight w:val="none"/>
          <w:lang w:val="zh-CN"/>
        </w:rPr>
        <w:t>1）评标委员会对符合资格的投标人的投标文件进行符合性审查，以确定其是否满足招标文件的商务、技术等实质性要求。</w:t>
      </w:r>
    </w:p>
    <w:p>
      <w:pPr>
        <w:pStyle w:val="28"/>
        <w:spacing w:line="360" w:lineRule="auto"/>
        <w:ind w:firstLine="480" w:firstLineChars="200"/>
        <w:contextualSpacing/>
        <w:rPr>
          <w:rFonts w:ascii="宋体" w:hAnsi="宋体" w:cs="仿宋_GB2312"/>
          <w:color w:val="auto"/>
          <w:szCs w:val="24"/>
          <w:highlight w:val="none"/>
          <w:lang w:val="zh-CN"/>
        </w:rPr>
      </w:pPr>
      <w:r>
        <w:rPr>
          <w:rFonts w:hint="eastAsia" w:ascii="宋体" w:hAnsi="宋体" w:cs="仿宋_GB2312"/>
          <w:color w:val="auto"/>
          <w:szCs w:val="24"/>
          <w:highlight w:val="none"/>
          <w:lang w:val="zh-CN"/>
        </w:rPr>
        <w:t>2）</w:t>
      </w:r>
      <w:r>
        <w:rPr>
          <w:rFonts w:hint="eastAsia" w:ascii="宋体" w:hAnsi="宋体" w:cs="仿宋_GB2312"/>
          <w:color w:val="auto"/>
          <w:szCs w:val="24"/>
          <w:highlight w:val="none"/>
        </w:rPr>
        <w:t>在评审过程中</w:t>
      </w:r>
      <w:r>
        <w:rPr>
          <w:rFonts w:hint="eastAsia" w:ascii="宋体" w:hAnsi="宋体" w:cs="仿宋_GB2312"/>
          <w:color w:val="auto"/>
          <w:szCs w:val="24"/>
          <w:highlight w:val="none"/>
          <w:lang w:val="zh-CN"/>
        </w:rPr>
        <w:t>评标委员会判断投标文件的响应性仅基于投标文件本身而不依靠外部证据。</w:t>
      </w:r>
    </w:p>
    <w:p>
      <w:pPr>
        <w:pStyle w:val="28"/>
        <w:spacing w:line="360" w:lineRule="auto"/>
        <w:ind w:firstLine="482" w:firstLineChars="200"/>
        <w:contextualSpacing/>
        <w:rPr>
          <w:rFonts w:ascii="宋体" w:hAnsi="宋体" w:cs="仿宋_GB2312"/>
          <w:color w:val="auto"/>
          <w:szCs w:val="24"/>
          <w:highlight w:val="none"/>
        </w:rPr>
      </w:pPr>
      <w:r>
        <w:rPr>
          <w:rFonts w:hint="eastAsia" w:ascii="宋体" w:hAnsi="宋体" w:cs="宋体"/>
          <w:b/>
          <w:bCs/>
          <w:color w:val="auto"/>
          <w:szCs w:val="24"/>
          <w:highlight w:val="none"/>
        </w:rPr>
        <w:t>不同投标人电子投标文件制作硬件特征码（网卡MAC地址、CPU序号、硬盘序列号等）雷同时，视为“不同投标人的投标文件由同一单位或个人编制”或“不同投标人委托同一单位或者个人办理投标事宜”，其投标无效；投标专家应严格按照招标文件要求查看“硬件特征码”相关信息并进行评审，在评标报告中显示“不同投标人电子投标文件制作硬件特征码”是否雷同的分析及判定结果。</w:t>
      </w:r>
    </w:p>
    <w:p>
      <w:pPr>
        <w:pStyle w:val="28"/>
        <w:spacing w:line="360" w:lineRule="auto"/>
        <w:ind w:firstLine="480" w:firstLineChars="200"/>
        <w:contextualSpacing/>
        <w:jc w:val="left"/>
        <w:rPr>
          <w:rFonts w:ascii="宋体" w:hAnsi="宋体" w:cs="仿宋_GB2312"/>
          <w:color w:val="auto"/>
          <w:szCs w:val="24"/>
          <w:highlight w:val="none"/>
          <w:lang w:val="zh-CN"/>
        </w:rPr>
      </w:pPr>
      <w:r>
        <w:rPr>
          <w:rFonts w:hint="eastAsia" w:ascii="宋体" w:hAnsi="宋体" w:cs="仿宋_GB2312"/>
          <w:color w:val="auto"/>
          <w:szCs w:val="24"/>
          <w:highlight w:val="none"/>
          <w:lang w:val="zh-CN"/>
        </w:rPr>
        <w:t>注：符合性审查中所涉及到的证书及材料，均须在电子投标文件中提供原件扫描件（或图片）。</w:t>
      </w:r>
    </w:p>
    <w:p>
      <w:pPr>
        <w:pStyle w:val="28"/>
        <w:spacing w:line="360" w:lineRule="auto"/>
        <w:ind w:firstLine="482" w:firstLineChars="200"/>
        <w:contextualSpacing/>
        <w:rPr>
          <w:rFonts w:ascii="宋体" w:hAnsi="宋体" w:cs="仿宋_GB2312"/>
          <w:b/>
          <w:color w:val="auto"/>
          <w:szCs w:val="24"/>
          <w:highlight w:val="none"/>
          <w:lang w:val="zh-CN"/>
        </w:rPr>
      </w:pPr>
      <w:r>
        <w:rPr>
          <w:rFonts w:hint="eastAsia" w:ascii="宋体" w:hAnsi="宋体" w:cs="仿宋_GB2312"/>
          <w:b/>
          <w:color w:val="auto"/>
          <w:szCs w:val="24"/>
          <w:highlight w:val="none"/>
          <w:lang w:val="zh-CN"/>
        </w:rPr>
        <w:t>2、</w:t>
      </w:r>
      <w:r>
        <w:rPr>
          <w:rFonts w:ascii="宋体" w:hAnsi="宋体" w:cs="仿宋_GB2312"/>
          <w:b/>
          <w:color w:val="auto"/>
          <w:szCs w:val="24"/>
          <w:highlight w:val="none"/>
          <w:lang w:val="zh-CN"/>
        </w:rPr>
        <w:t>要求投标人对投标文件有关事项作出澄清或者说明；</w:t>
      </w:r>
    </w:p>
    <w:p>
      <w:pPr>
        <w:pStyle w:val="28"/>
        <w:spacing w:line="360" w:lineRule="auto"/>
        <w:ind w:firstLine="480" w:firstLineChars="200"/>
        <w:contextualSpacing/>
        <w:rPr>
          <w:rFonts w:ascii="宋体" w:hAnsi="宋体" w:cs="仿宋_GB2312"/>
          <w:color w:val="auto"/>
          <w:szCs w:val="24"/>
          <w:highlight w:val="none"/>
          <w:lang w:val="zh-CN"/>
        </w:rPr>
      </w:pPr>
      <w:r>
        <w:rPr>
          <w:rFonts w:ascii="宋体" w:hAnsi="宋体" w:cs="仿宋_GB2312"/>
          <w:color w:val="auto"/>
          <w:szCs w:val="24"/>
          <w:highlight w:val="none"/>
          <w:lang w:val="zh-CN"/>
        </w:rPr>
        <w:t>对于投标文件中含义不明确、同类问题表述不一致或者有明显文字和计算错误的内容，评标委员会应当以书面形式要求投标人作出必要的澄清、说明或者补正。</w:t>
      </w:r>
    </w:p>
    <w:p>
      <w:pPr>
        <w:pStyle w:val="28"/>
        <w:spacing w:line="360" w:lineRule="auto"/>
        <w:ind w:firstLine="480" w:firstLineChars="200"/>
        <w:contextualSpacing/>
        <w:rPr>
          <w:rFonts w:ascii="宋体" w:hAnsi="宋体" w:cs="仿宋_GB2312"/>
          <w:color w:val="auto"/>
          <w:szCs w:val="24"/>
          <w:highlight w:val="none"/>
          <w:lang w:val="zh-CN"/>
        </w:rPr>
      </w:pPr>
      <w:r>
        <w:rPr>
          <w:rFonts w:ascii="宋体" w:hAnsi="宋体" w:cs="仿宋_GB2312"/>
          <w:color w:val="auto"/>
          <w:szCs w:val="24"/>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28"/>
        <w:spacing w:line="360" w:lineRule="auto"/>
        <w:ind w:firstLine="465"/>
        <w:contextualSpacing/>
        <w:jc w:val="left"/>
        <w:rPr>
          <w:rFonts w:ascii="宋体" w:hAnsi="宋体" w:cs="仿宋_GB2312"/>
          <w:b/>
          <w:color w:val="auto"/>
          <w:szCs w:val="24"/>
          <w:highlight w:val="none"/>
          <w:lang w:val="zh-CN"/>
        </w:rPr>
      </w:pPr>
      <w:r>
        <w:rPr>
          <w:rFonts w:hint="eastAsia" w:ascii="宋体" w:hAnsi="宋体" w:cs="仿宋_GB2312"/>
          <w:b/>
          <w:color w:val="auto"/>
          <w:szCs w:val="24"/>
          <w:highlight w:val="none"/>
          <w:lang w:val="zh-CN"/>
        </w:rPr>
        <w:t>3、</w:t>
      </w:r>
      <w:r>
        <w:rPr>
          <w:rFonts w:ascii="宋体" w:hAnsi="宋体" w:cs="仿宋_GB2312"/>
          <w:b/>
          <w:color w:val="auto"/>
          <w:szCs w:val="24"/>
          <w:highlight w:val="none"/>
          <w:lang w:val="zh-CN"/>
        </w:rPr>
        <w:t>对投标文件进行比较和评价；</w:t>
      </w:r>
    </w:p>
    <w:p>
      <w:pPr>
        <w:pStyle w:val="28"/>
        <w:spacing w:line="360" w:lineRule="auto"/>
        <w:ind w:firstLine="480" w:firstLineChars="200"/>
        <w:contextualSpacing/>
        <w:rPr>
          <w:rFonts w:ascii="宋体" w:hAnsi="宋体" w:cs="仿宋_GB2312"/>
          <w:color w:val="auto"/>
          <w:szCs w:val="24"/>
          <w:highlight w:val="none"/>
          <w:lang w:val="zh-CN"/>
        </w:rPr>
      </w:pPr>
      <w:r>
        <w:rPr>
          <w:rFonts w:hint="eastAsia" w:ascii="宋体" w:hAnsi="宋体" w:cs="仿宋_GB2312"/>
          <w:color w:val="auto"/>
          <w:szCs w:val="24"/>
          <w:highlight w:val="none"/>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p>
    <w:p>
      <w:pPr>
        <w:pStyle w:val="28"/>
        <w:spacing w:line="360" w:lineRule="auto"/>
        <w:ind w:firstLine="480" w:firstLineChars="200"/>
        <w:contextualSpacing/>
        <w:rPr>
          <w:rFonts w:ascii="宋体" w:hAnsi="宋体" w:cs="仿宋_GB2312"/>
          <w:color w:val="auto"/>
          <w:szCs w:val="24"/>
          <w:highlight w:val="none"/>
          <w:lang w:val="zh-CN"/>
        </w:rPr>
      </w:pPr>
      <w:r>
        <w:rPr>
          <w:rFonts w:hint="eastAsia" w:ascii="宋体" w:hAnsi="宋体" w:cs="仿宋_GB2312"/>
          <w:color w:val="auto"/>
          <w:szCs w:val="24"/>
          <w:highlight w:val="none"/>
          <w:lang w:val="zh-CN"/>
        </w:rPr>
        <w:t>注：评标标准中所涉及到的证书及材料，均应在电子投标文件中提供原件扫描件（或图片）。</w:t>
      </w:r>
    </w:p>
    <w:p>
      <w:pPr>
        <w:tabs>
          <w:tab w:val="left" w:pos="1260"/>
        </w:tabs>
        <w:autoSpaceDE w:val="0"/>
        <w:autoSpaceDN w:val="0"/>
        <w:spacing w:line="360" w:lineRule="auto"/>
        <w:ind w:firstLine="482" w:firstLineChars="200"/>
        <w:contextualSpacing/>
        <w:rPr>
          <w:rFonts w:ascii="宋体" w:hAnsi="宋体" w:cs="仿宋_GB2312"/>
          <w:b/>
          <w:color w:val="auto"/>
          <w:sz w:val="24"/>
          <w:szCs w:val="24"/>
          <w:highlight w:val="none"/>
          <w:lang w:val="zh-CN"/>
        </w:rPr>
      </w:pPr>
      <w:r>
        <w:rPr>
          <w:rFonts w:hint="eastAsia" w:ascii="宋体" w:hAnsi="宋体" w:cs="仿宋_GB2312"/>
          <w:b/>
          <w:color w:val="auto"/>
          <w:sz w:val="24"/>
          <w:szCs w:val="24"/>
          <w:highlight w:val="none"/>
          <w:lang w:val="zh-CN"/>
        </w:rPr>
        <w:t>（1）投标无效情形</w:t>
      </w:r>
    </w:p>
    <w:p>
      <w:pPr>
        <w:tabs>
          <w:tab w:val="left" w:pos="1260"/>
        </w:tabs>
        <w:autoSpaceDE w:val="0"/>
        <w:autoSpaceDN w:val="0"/>
        <w:spacing w:line="360" w:lineRule="auto"/>
        <w:ind w:firstLine="480" w:firstLineChars="200"/>
        <w:contextualSpacing/>
        <w:rPr>
          <w:rFonts w:ascii="宋体" w:hAnsi="宋体" w:cs="仿宋_GB2312"/>
          <w:color w:val="auto"/>
          <w:sz w:val="24"/>
          <w:szCs w:val="24"/>
          <w:highlight w:val="none"/>
          <w:lang w:val="zh-CN"/>
        </w:rPr>
      </w:pPr>
      <w:r>
        <w:rPr>
          <w:rFonts w:hint="eastAsia" w:ascii="宋体" w:hAnsi="宋体" w:cs="仿宋_GB2312"/>
          <w:color w:val="auto"/>
          <w:sz w:val="24"/>
          <w:szCs w:val="24"/>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cs="仿宋_GB2312"/>
          <w:color w:val="auto"/>
          <w:sz w:val="24"/>
          <w:szCs w:val="24"/>
          <w:highlight w:val="none"/>
          <w:lang w:val="zh-CN"/>
        </w:rPr>
      </w:pPr>
      <w:r>
        <w:rPr>
          <w:rFonts w:hint="eastAsia" w:ascii="宋体" w:hAnsi="宋体" w:cs="仿宋_GB2312"/>
          <w:color w:val="auto"/>
          <w:sz w:val="24"/>
          <w:szCs w:val="24"/>
          <w:highlight w:val="none"/>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cs="仿宋_GB2312"/>
          <w:color w:val="auto"/>
          <w:sz w:val="24"/>
          <w:szCs w:val="24"/>
          <w:highlight w:val="none"/>
          <w:lang w:val="zh-CN"/>
        </w:rPr>
      </w:pPr>
      <w:r>
        <w:rPr>
          <w:rFonts w:hint="eastAsia" w:ascii="宋体" w:hAnsi="宋体" w:cs="仿宋_GB2312"/>
          <w:color w:val="auto"/>
          <w:sz w:val="24"/>
          <w:szCs w:val="24"/>
          <w:highlight w:val="none"/>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color w:val="auto"/>
          <w:sz w:val="24"/>
          <w:szCs w:val="24"/>
          <w:highlight w:val="none"/>
          <w:lang w:val="zh-CN"/>
        </w:rPr>
      </w:pPr>
      <w:r>
        <w:rPr>
          <w:rFonts w:hint="eastAsia" w:ascii="宋体" w:hAnsi="宋体" w:cs="仿宋_GB2312"/>
          <w:color w:val="auto"/>
          <w:sz w:val="24"/>
          <w:szCs w:val="24"/>
          <w:highlight w:val="none"/>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color w:val="auto"/>
          <w:sz w:val="24"/>
          <w:szCs w:val="24"/>
          <w:highlight w:val="none"/>
          <w:lang w:val="zh-CN"/>
        </w:rPr>
      </w:pPr>
      <w:r>
        <w:rPr>
          <w:rFonts w:hint="eastAsia" w:ascii="宋体" w:hAnsi="宋体" w:cs="仿宋_GB2312"/>
          <w:color w:val="auto"/>
          <w:sz w:val="24"/>
          <w:szCs w:val="24"/>
          <w:highlight w:val="none"/>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color w:val="auto"/>
          <w:sz w:val="24"/>
          <w:szCs w:val="24"/>
          <w:highlight w:val="none"/>
          <w:lang w:val="zh-CN"/>
        </w:rPr>
      </w:pPr>
      <w:r>
        <w:rPr>
          <w:rFonts w:hint="eastAsia" w:ascii="宋体" w:hAnsi="宋体" w:cs="仿宋_GB2312"/>
          <w:color w:val="auto"/>
          <w:sz w:val="24"/>
          <w:szCs w:val="24"/>
          <w:highlight w:val="none"/>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color w:val="auto"/>
          <w:sz w:val="24"/>
          <w:szCs w:val="24"/>
          <w:highlight w:val="none"/>
          <w:lang w:val="zh-CN"/>
        </w:rPr>
      </w:pPr>
      <w:r>
        <w:rPr>
          <w:rFonts w:hint="eastAsia" w:ascii="宋体" w:hAnsi="宋体" w:cs="仿宋_GB2312"/>
          <w:color w:val="auto"/>
          <w:sz w:val="24"/>
          <w:szCs w:val="24"/>
          <w:highlight w:val="none"/>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color w:val="auto"/>
          <w:sz w:val="24"/>
          <w:szCs w:val="24"/>
          <w:highlight w:val="none"/>
          <w:lang w:val="zh-CN"/>
        </w:rPr>
      </w:pPr>
      <w:r>
        <w:rPr>
          <w:rFonts w:hint="eastAsia" w:ascii="宋体" w:hAnsi="宋体" w:cs="仿宋_GB2312"/>
          <w:color w:val="auto"/>
          <w:sz w:val="24"/>
          <w:szCs w:val="24"/>
          <w:highlight w:val="none"/>
          <w:lang w:val="zh-CN"/>
        </w:rPr>
        <w:t>e.不同投标人的投标文件相互混装；</w:t>
      </w:r>
    </w:p>
    <w:p>
      <w:pPr>
        <w:spacing w:line="360" w:lineRule="auto"/>
        <w:ind w:firstLine="480" w:firstLineChars="200"/>
        <w:contextualSpacing/>
        <w:rPr>
          <w:rFonts w:ascii="宋体" w:hAnsi="宋体" w:cs="仿宋_GB2312"/>
          <w:color w:val="auto"/>
          <w:sz w:val="24"/>
          <w:szCs w:val="24"/>
          <w:highlight w:val="none"/>
          <w:lang w:val="zh-CN"/>
        </w:rPr>
      </w:pPr>
      <w:r>
        <w:rPr>
          <w:rFonts w:hint="eastAsia" w:ascii="宋体" w:hAnsi="宋体" w:cs="仿宋_GB2312"/>
          <w:color w:val="auto"/>
          <w:sz w:val="24"/>
          <w:szCs w:val="24"/>
          <w:highlight w:val="none"/>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ascii="宋体" w:hAnsi="宋体" w:cs="仿宋_GB2312"/>
          <w:color w:val="auto"/>
          <w:sz w:val="24"/>
          <w:szCs w:val="24"/>
          <w:highlight w:val="none"/>
          <w:lang w:val="zh-CN"/>
        </w:rPr>
      </w:pPr>
      <w:r>
        <w:rPr>
          <w:rFonts w:hint="eastAsia" w:ascii="宋体" w:hAnsi="宋体" w:cs="仿宋_GB2312"/>
          <w:color w:val="auto"/>
          <w:sz w:val="24"/>
          <w:szCs w:val="24"/>
          <w:highlight w:val="none"/>
          <w:lang w:val="zh-CN"/>
        </w:rPr>
        <w:t>5）提供虚假材料谋取中标、成交的</w:t>
      </w:r>
    </w:p>
    <w:p>
      <w:pPr>
        <w:tabs>
          <w:tab w:val="left" w:pos="1260"/>
        </w:tabs>
        <w:autoSpaceDE w:val="0"/>
        <w:autoSpaceDN w:val="0"/>
        <w:spacing w:line="360" w:lineRule="auto"/>
        <w:ind w:firstLine="480" w:firstLineChars="200"/>
        <w:contextualSpacing/>
        <w:rPr>
          <w:rFonts w:ascii="宋体" w:hAnsi="宋体" w:cs="仿宋_GB2312"/>
          <w:color w:val="auto"/>
          <w:sz w:val="24"/>
          <w:szCs w:val="24"/>
          <w:highlight w:val="none"/>
          <w:lang w:val="zh-CN"/>
        </w:rPr>
      </w:pPr>
      <w:r>
        <w:rPr>
          <w:rFonts w:hint="eastAsia" w:ascii="宋体" w:hAnsi="宋体" w:cs="仿宋_GB2312"/>
          <w:color w:val="auto"/>
          <w:sz w:val="24"/>
          <w:szCs w:val="24"/>
          <w:highlight w:val="none"/>
          <w:lang w:val="zh-CN"/>
        </w:rPr>
        <w:t>6）</w:t>
      </w:r>
      <w:r>
        <w:rPr>
          <w:rFonts w:ascii="宋体" w:hAnsi="宋体" w:cs="仿宋_GB2312"/>
          <w:color w:val="auto"/>
          <w:sz w:val="24"/>
          <w:szCs w:val="24"/>
          <w:highlight w:val="none"/>
          <w:lang w:val="zh-CN"/>
        </w:rPr>
        <w:t>法律、法规和招标文件规定的其他无效情形。</w:t>
      </w:r>
    </w:p>
    <w:p>
      <w:pPr>
        <w:pStyle w:val="28"/>
        <w:spacing w:line="360" w:lineRule="auto"/>
        <w:ind w:firstLine="482" w:firstLineChars="200"/>
        <w:contextualSpacing/>
        <w:rPr>
          <w:rFonts w:ascii="宋体" w:hAnsi="宋体" w:cs="仿宋_GB2312"/>
          <w:b/>
          <w:color w:val="auto"/>
          <w:szCs w:val="24"/>
          <w:highlight w:val="none"/>
          <w:lang w:val="zh-CN"/>
        </w:rPr>
      </w:pPr>
      <w:r>
        <w:rPr>
          <w:rFonts w:hint="eastAsia" w:ascii="宋体" w:hAnsi="宋体" w:cs="仿宋_GB2312"/>
          <w:b/>
          <w:color w:val="auto"/>
          <w:szCs w:val="24"/>
          <w:highlight w:val="none"/>
          <w:lang w:val="zh-CN"/>
        </w:rPr>
        <w:t>（</w:t>
      </w:r>
      <w:r>
        <w:rPr>
          <w:rFonts w:hint="eastAsia" w:ascii="宋体" w:hAnsi="宋体" w:cs="仿宋_GB2312"/>
          <w:b/>
          <w:color w:val="auto"/>
          <w:szCs w:val="24"/>
          <w:highlight w:val="none"/>
        </w:rPr>
        <w:t>2</w:t>
      </w:r>
      <w:r>
        <w:rPr>
          <w:rFonts w:hint="eastAsia" w:ascii="宋体" w:hAnsi="宋体" w:cs="仿宋_GB2312"/>
          <w:b/>
          <w:color w:val="auto"/>
          <w:szCs w:val="24"/>
          <w:highlight w:val="none"/>
          <w:lang w:val="zh-CN"/>
        </w:rPr>
        <w:t>）评标标准</w:t>
      </w:r>
    </w:p>
    <w:tbl>
      <w:tblPr>
        <w:tblStyle w:val="18"/>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6558"/>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44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分值构成</w:t>
            </w:r>
          </w:p>
          <w:p>
            <w:pPr>
              <w:spacing w:line="360" w:lineRule="auto"/>
              <w:jc w:val="center"/>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总分</w:t>
            </w:r>
            <w:r>
              <w:rPr>
                <w:rFonts w:ascii="宋体" w:hAnsi="宋体"/>
                <w:color w:val="auto"/>
                <w:szCs w:val="21"/>
                <w:highlight w:val="none"/>
              </w:rPr>
              <w:t>100</w:t>
            </w:r>
            <w:r>
              <w:rPr>
                <w:rFonts w:hint="eastAsia" w:ascii="宋体" w:hAnsi="宋体"/>
                <w:color w:val="auto"/>
                <w:szCs w:val="21"/>
                <w:highlight w:val="none"/>
              </w:rPr>
              <w:t>分</w:t>
            </w:r>
            <w:r>
              <w:rPr>
                <w:rFonts w:ascii="宋体" w:hAnsi="宋体"/>
                <w:color w:val="auto"/>
                <w:szCs w:val="21"/>
                <w:highlight w:val="none"/>
              </w:rPr>
              <w:t>)</w:t>
            </w:r>
          </w:p>
        </w:tc>
        <w:tc>
          <w:tcPr>
            <w:tcW w:w="7525"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价格分值：</w:t>
            </w:r>
            <w:r>
              <w:rPr>
                <w:rFonts w:ascii="宋体" w:hAnsi="宋体"/>
                <w:color w:val="auto"/>
                <w:szCs w:val="21"/>
                <w:highlight w:val="none"/>
                <w:u w:val="single"/>
              </w:rPr>
              <w:t xml:space="preserve">   10   </w:t>
            </w:r>
            <w:r>
              <w:rPr>
                <w:rFonts w:hint="eastAsia" w:ascii="宋体" w:hAnsi="宋体"/>
                <w:color w:val="auto"/>
                <w:szCs w:val="21"/>
                <w:highlight w:val="none"/>
              </w:rPr>
              <w:t>分</w:t>
            </w:r>
          </w:p>
          <w:p>
            <w:pPr>
              <w:spacing w:line="360" w:lineRule="auto"/>
              <w:jc w:val="center"/>
              <w:rPr>
                <w:rFonts w:ascii="宋体" w:hAnsi="宋体"/>
                <w:color w:val="auto"/>
                <w:szCs w:val="21"/>
                <w:highlight w:val="none"/>
              </w:rPr>
            </w:pPr>
            <w:r>
              <w:rPr>
                <w:rFonts w:hint="eastAsia" w:ascii="宋体" w:hAnsi="宋体"/>
                <w:color w:val="auto"/>
                <w:szCs w:val="21"/>
                <w:highlight w:val="none"/>
              </w:rPr>
              <w:t>商务部分：</w:t>
            </w:r>
            <w:r>
              <w:rPr>
                <w:rFonts w:ascii="宋体" w:hAnsi="宋体"/>
                <w:color w:val="auto"/>
                <w:szCs w:val="21"/>
                <w:highlight w:val="none"/>
                <w:u w:val="single"/>
              </w:rPr>
              <w:t xml:space="preserve">   </w:t>
            </w:r>
            <w:r>
              <w:rPr>
                <w:rFonts w:hint="eastAsia" w:ascii="宋体" w:hAnsi="宋体"/>
                <w:color w:val="auto"/>
                <w:szCs w:val="21"/>
                <w:highlight w:val="none"/>
                <w:u w:val="single"/>
              </w:rPr>
              <w:t>70</w:t>
            </w:r>
            <w:r>
              <w:rPr>
                <w:rFonts w:ascii="宋体" w:hAnsi="宋体"/>
                <w:color w:val="auto"/>
                <w:szCs w:val="21"/>
                <w:highlight w:val="none"/>
                <w:u w:val="single"/>
              </w:rPr>
              <w:t xml:space="preserve">   </w:t>
            </w:r>
            <w:r>
              <w:rPr>
                <w:rFonts w:hint="eastAsia" w:ascii="宋体" w:hAnsi="宋体"/>
                <w:color w:val="auto"/>
                <w:szCs w:val="21"/>
                <w:highlight w:val="none"/>
              </w:rPr>
              <w:t>分</w:t>
            </w:r>
          </w:p>
          <w:p>
            <w:pPr>
              <w:spacing w:line="360" w:lineRule="auto"/>
              <w:jc w:val="center"/>
              <w:rPr>
                <w:rFonts w:ascii="宋体" w:hAnsi="宋体"/>
                <w:color w:val="auto"/>
                <w:szCs w:val="21"/>
                <w:highlight w:val="none"/>
              </w:rPr>
            </w:pPr>
            <w:r>
              <w:rPr>
                <w:rFonts w:hint="eastAsia" w:ascii="宋体" w:hAnsi="宋体"/>
                <w:color w:val="auto"/>
                <w:szCs w:val="21"/>
                <w:highlight w:val="none"/>
              </w:rPr>
              <w:t>技术部分：</w:t>
            </w:r>
            <w:r>
              <w:rPr>
                <w:rFonts w:ascii="宋体" w:hAnsi="宋体"/>
                <w:color w:val="auto"/>
                <w:szCs w:val="21"/>
                <w:highlight w:val="none"/>
                <w:u w:val="single"/>
              </w:rPr>
              <w:t xml:space="preserve">   2</w:t>
            </w:r>
            <w:r>
              <w:rPr>
                <w:rFonts w:hint="eastAsia" w:ascii="宋体" w:hAnsi="宋体"/>
                <w:color w:val="auto"/>
                <w:szCs w:val="21"/>
                <w:highlight w:val="none"/>
                <w:u w:val="single"/>
              </w:rPr>
              <w:t>0</w:t>
            </w:r>
            <w:r>
              <w:rPr>
                <w:rFonts w:ascii="宋体" w:hAnsi="宋体"/>
                <w:color w:val="auto"/>
                <w:szCs w:val="21"/>
                <w:highlight w:val="none"/>
                <w:u w:val="single"/>
              </w:rPr>
              <w:t xml:space="preserve">   </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8966" w:type="dxa"/>
            <w:gridSpan w:val="3"/>
            <w:vAlign w:val="center"/>
          </w:tcPr>
          <w:p>
            <w:pPr>
              <w:spacing w:line="360" w:lineRule="auto"/>
              <w:jc w:val="center"/>
              <w:rPr>
                <w:rFonts w:ascii="宋体" w:hAnsi="宋体"/>
                <w:color w:val="auto"/>
                <w:szCs w:val="21"/>
                <w:highlight w:val="none"/>
              </w:rPr>
            </w:pPr>
            <w:r>
              <w:rPr>
                <w:rFonts w:hint="eastAsia" w:ascii="宋体" w:hAnsi="宋体"/>
                <w:b/>
                <w:color w:val="auto"/>
                <w:szCs w:val="21"/>
                <w:highlight w:val="none"/>
              </w:rPr>
              <w:t>价格部分（满分</w:t>
            </w:r>
            <w:r>
              <w:rPr>
                <w:rFonts w:ascii="宋体" w:hAnsi="宋体"/>
                <w:b/>
                <w:color w:val="auto"/>
                <w:szCs w:val="21"/>
                <w:highlight w:val="none"/>
                <w:u w:val="single"/>
              </w:rPr>
              <w:t xml:space="preserve"> 10  </w:t>
            </w:r>
            <w:r>
              <w:rPr>
                <w:rFonts w:hint="eastAsia" w:ascii="宋体" w:hAnsi="宋体"/>
                <w:b/>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441" w:type="dxa"/>
            <w:vAlign w:val="center"/>
          </w:tcPr>
          <w:p>
            <w:pPr>
              <w:jc w:val="center"/>
              <w:rPr>
                <w:rFonts w:ascii="宋体" w:hAnsi="宋体"/>
                <w:b/>
                <w:color w:val="auto"/>
                <w:szCs w:val="21"/>
                <w:highlight w:val="none"/>
              </w:rPr>
            </w:pPr>
            <w:r>
              <w:rPr>
                <w:rFonts w:hint="eastAsia" w:ascii="宋体" w:hAnsi="宋体"/>
                <w:b/>
                <w:color w:val="auto"/>
                <w:szCs w:val="21"/>
                <w:highlight w:val="none"/>
              </w:rPr>
              <w:t>评分因素</w:t>
            </w:r>
          </w:p>
        </w:tc>
        <w:tc>
          <w:tcPr>
            <w:tcW w:w="6558" w:type="dxa"/>
            <w:vAlign w:val="center"/>
          </w:tcPr>
          <w:p>
            <w:pPr>
              <w:jc w:val="center"/>
              <w:rPr>
                <w:rFonts w:ascii="宋体" w:hAnsi="宋体"/>
                <w:b/>
                <w:color w:val="auto"/>
                <w:szCs w:val="21"/>
                <w:highlight w:val="none"/>
              </w:rPr>
            </w:pPr>
            <w:r>
              <w:rPr>
                <w:rFonts w:hint="eastAsia" w:ascii="宋体" w:hAnsi="宋体"/>
                <w:b/>
                <w:color w:val="auto"/>
                <w:szCs w:val="21"/>
                <w:highlight w:val="none"/>
              </w:rPr>
              <w:t>评标标准</w:t>
            </w:r>
          </w:p>
        </w:tc>
        <w:tc>
          <w:tcPr>
            <w:tcW w:w="967" w:type="dxa"/>
            <w:vAlign w:val="center"/>
          </w:tcPr>
          <w:p>
            <w:pPr>
              <w:jc w:val="center"/>
              <w:rPr>
                <w:rFonts w:ascii="宋体" w:hAnsi="宋体"/>
                <w:b/>
                <w:color w:val="auto"/>
                <w:szCs w:val="21"/>
                <w:highlight w:val="none"/>
              </w:rPr>
            </w:pPr>
            <w:r>
              <w:rPr>
                <w:rFonts w:hint="eastAsia" w:ascii="宋体" w:hAnsi="宋体"/>
                <w:b/>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441" w:type="dxa"/>
            <w:vAlign w:val="center"/>
          </w:tcPr>
          <w:p>
            <w:pPr>
              <w:spacing w:line="360" w:lineRule="auto"/>
              <w:jc w:val="center"/>
              <w:rPr>
                <w:rFonts w:ascii="宋体" w:hAnsi="宋体"/>
                <w:color w:val="auto"/>
                <w:szCs w:val="21"/>
                <w:highlight w:val="none"/>
              </w:rPr>
            </w:pPr>
            <w:r>
              <w:rPr>
                <w:rFonts w:hint="eastAsia" w:ascii="宋体" w:hAnsi="宋体" w:cs="仿宋_GB2312"/>
                <w:b/>
                <w:bCs/>
                <w:color w:val="auto"/>
                <w:kern w:val="0"/>
                <w:sz w:val="30"/>
                <w:szCs w:val="30"/>
                <w:highlight w:val="none"/>
              </w:rPr>
              <w:t>▲</w:t>
            </w:r>
            <w:r>
              <w:rPr>
                <w:rFonts w:hint="eastAsia" w:ascii="宋体" w:hAnsi="宋体"/>
                <w:color w:val="auto"/>
                <w:szCs w:val="21"/>
                <w:highlight w:val="none"/>
              </w:rPr>
              <w:t>投标报价</w:t>
            </w:r>
          </w:p>
          <w:p>
            <w:pPr>
              <w:spacing w:line="360" w:lineRule="auto"/>
              <w:jc w:val="center"/>
              <w:rPr>
                <w:rFonts w:ascii="宋体" w:hAnsi="宋体"/>
                <w:color w:val="auto"/>
                <w:szCs w:val="21"/>
                <w:highlight w:val="none"/>
              </w:rPr>
            </w:pPr>
            <w:r>
              <w:rPr>
                <w:rFonts w:hint="eastAsia" w:ascii="宋体" w:hAnsi="宋体"/>
                <w:color w:val="auto"/>
                <w:szCs w:val="21"/>
                <w:highlight w:val="none"/>
              </w:rPr>
              <w:t>评分标准</w:t>
            </w:r>
          </w:p>
        </w:tc>
        <w:tc>
          <w:tcPr>
            <w:tcW w:w="6558" w:type="dxa"/>
            <w:vAlign w:val="center"/>
          </w:tcPr>
          <w:p>
            <w:pPr>
              <w:spacing w:line="360" w:lineRule="auto"/>
              <w:rPr>
                <w:rFonts w:ascii="宋体" w:hAnsi="宋体"/>
                <w:color w:val="auto"/>
                <w:szCs w:val="21"/>
                <w:highlight w:val="none"/>
              </w:rPr>
            </w:pPr>
            <w:r>
              <w:rPr>
                <w:rFonts w:hint="eastAsia" w:ascii="宋体" w:hAnsi="宋体"/>
                <w:bCs/>
                <w:color w:val="auto"/>
                <w:szCs w:val="21"/>
                <w:highlight w:val="none"/>
              </w:rPr>
              <w:t>投标人需针对本招标文件中的第二章服务费支付标准</w:t>
            </w:r>
            <w:r>
              <w:rPr>
                <w:rFonts w:hint="eastAsia" w:ascii="宋体" w:hAnsi="宋体" w:cs="宋体"/>
                <w:color w:val="auto"/>
                <w:szCs w:val="21"/>
                <w:highlight w:val="none"/>
              </w:rPr>
              <w:t>，提供</w:t>
            </w:r>
            <w:r>
              <w:rPr>
                <w:rFonts w:hint="eastAsia" w:ascii="宋体" w:hAnsi="宋体"/>
                <w:bCs/>
                <w:color w:val="auto"/>
                <w:szCs w:val="21"/>
                <w:highlight w:val="none"/>
              </w:rPr>
              <w:t>收费按照该标准收取的承诺函，有承诺函得</w:t>
            </w:r>
            <w:r>
              <w:rPr>
                <w:rFonts w:ascii="宋体" w:hAnsi="宋体"/>
                <w:bCs/>
                <w:color w:val="auto"/>
                <w:szCs w:val="21"/>
                <w:highlight w:val="none"/>
              </w:rPr>
              <w:t>10</w:t>
            </w:r>
            <w:r>
              <w:rPr>
                <w:rFonts w:hint="eastAsia" w:ascii="宋体" w:hAnsi="宋体"/>
                <w:bCs/>
                <w:color w:val="auto"/>
                <w:szCs w:val="21"/>
                <w:highlight w:val="none"/>
              </w:rPr>
              <w:t>分，无承诺函不得分。</w:t>
            </w:r>
          </w:p>
        </w:tc>
        <w:tc>
          <w:tcPr>
            <w:tcW w:w="967" w:type="dxa"/>
            <w:vAlign w:val="center"/>
          </w:tcPr>
          <w:p>
            <w:pPr>
              <w:jc w:val="center"/>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8966" w:type="dxa"/>
            <w:gridSpan w:val="3"/>
            <w:vAlign w:val="center"/>
          </w:tcPr>
          <w:p>
            <w:pPr>
              <w:jc w:val="center"/>
              <w:rPr>
                <w:rFonts w:ascii="宋体" w:hAnsi="宋体"/>
                <w:color w:val="auto"/>
                <w:szCs w:val="21"/>
                <w:highlight w:val="none"/>
              </w:rPr>
            </w:pPr>
            <w:r>
              <w:rPr>
                <w:rFonts w:hint="eastAsia" w:ascii="宋体" w:hAnsi="宋体" w:cs="微软雅黑"/>
                <w:b/>
                <w:color w:val="auto"/>
                <w:szCs w:val="21"/>
                <w:highlight w:val="none"/>
              </w:rPr>
              <w:t>商务</w:t>
            </w:r>
            <w:r>
              <w:rPr>
                <w:rFonts w:hint="eastAsia" w:ascii="宋体" w:hAnsi="宋体"/>
                <w:b/>
                <w:color w:val="auto"/>
                <w:szCs w:val="21"/>
                <w:highlight w:val="none"/>
              </w:rPr>
              <w:t>部分（满分</w:t>
            </w:r>
            <w:r>
              <w:rPr>
                <w:rFonts w:ascii="宋体" w:hAnsi="宋体"/>
                <w:b/>
                <w:color w:val="auto"/>
                <w:szCs w:val="21"/>
                <w:highlight w:val="none"/>
                <w:u w:val="single"/>
              </w:rPr>
              <w:t xml:space="preserve"> </w:t>
            </w:r>
            <w:r>
              <w:rPr>
                <w:rFonts w:hint="eastAsia" w:ascii="宋体" w:hAnsi="宋体"/>
                <w:b/>
                <w:color w:val="auto"/>
                <w:szCs w:val="21"/>
                <w:highlight w:val="none"/>
                <w:u w:val="single"/>
              </w:rPr>
              <w:t>70</w:t>
            </w:r>
            <w:r>
              <w:rPr>
                <w:rFonts w:ascii="宋体" w:hAnsi="宋体"/>
                <w:b/>
                <w:color w:val="auto"/>
                <w:szCs w:val="21"/>
                <w:highlight w:val="none"/>
                <w:u w:val="single"/>
              </w:rPr>
              <w:t xml:space="preserve"> </w:t>
            </w:r>
            <w:r>
              <w:rPr>
                <w:rFonts w:hint="eastAsia" w:ascii="宋体" w:hAnsi="宋体"/>
                <w:b/>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91" w:hRule="atLeast"/>
          <w:jc w:val="center"/>
        </w:trPr>
        <w:tc>
          <w:tcPr>
            <w:tcW w:w="1441" w:type="dxa"/>
            <w:vAlign w:val="center"/>
          </w:tcPr>
          <w:p>
            <w:pPr>
              <w:spacing w:line="360" w:lineRule="auto"/>
              <w:jc w:val="center"/>
              <w:rPr>
                <w:rFonts w:ascii="宋体" w:hAnsi="宋体"/>
                <w:color w:val="auto"/>
                <w:szCs w:val="21"/>
                <w:highlight w:val="none"/>
              </w:rPr>
            </w:pPr>
            <w:r>
              <w:rPr>
                <w:rFonts w:hint="eastAsia" w:ascii="宋体" w:hAnsi="宋体"/>
                <w:b/>
                <w:color w:val="auto"/>
                <w:szCs w:val="21"/>
                <w:highlight w:val="none"/>
              </w:rPr>
              <w:t>评分因素</w:t>
            </w:r>
          </w:p>
        </w:tc>
        <w:tc>
          <w:tcPr>
            <w:tcW w:w="6558" w:type="dxa"/>
            <w:vAlign w:val="center"/>
          </w:tcPr>
          <w:p>
            <w:pPr>
              <w:spacing w:line="360" w:lineRule="auto"/>
              <w:jc w:val="center"/>
              <w:rPr>
                <w:rFonts w:ascii="宋体" w:hAnsi="宋体"/>
                <w:bCs/>
                <w:color w:val="auto"/>
                <w:szCs w:val="21"/>
                <w:highlight w:val="none"/>
              </w:rPr>
            </w:pPr>
            <w:r>
              <w:rPr>
                <w:rFonts w:hint="eastAsia" w:ascii="宋体" w:hAnsi="宋体"/>
                <w:b/>
                <w:color w:val="auto"/>
                <w:szCs w:val="21"/>
                <w:highlight w:val="none"/>
              </w:rPr>
              <w:t>评标标准</w:t>
            </w:r>
          </w:p>
        </w:tc>
        <w:tc>
          <w:tcPr>
            <w:tcW w:w="967" w:type="dxa"/>
            <w:vAlign w:val="center"/>
          </w:tcPr>
          <w:p>
            <w:pPr>
              <w:jc w:val="center"/>
              <w:rPr>
                <w:rFonts w:ascii="宋体" w:hAnsi="宋体"/>
                <w:color w:val="auto"/>
                <w:szCs w:val="21"/>
                <w:highlight w:val="none"/>
              </w:rPr>
            </w:pPr>
            <w:r>
              <w:rPr>
                <w:rFonts w:hint="eastAsia" w:ascii="宋体" w:hAnsi="宋体"/>
                <w:b/>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41"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信誉</w:t>
            </w:r>
          </w:p>
        </w:tc>
        <w:tc>
          <w:tcPr>
            <w:tcW w:w="6558" w:type="dxa"/>
            <w:vAlign w:val="center"/>
          </w:tcPr>
          <w:p>
            <w:pPr>
              <w:spacing w:line="360" w:lineRule="auto"/>
              <w:rPr>
                <w:rFonts w:ascii="宋体" w:hAnsi="宋体"/>
                <w:color w:val="auto"/>
                <w:szCs w:val="21"/>
                <w:highlight w:val="none"/>
              </w:rPr>
            </w:pPr>
            <w:r>
              <w:rPr>
                <w:rFonts w:hint="eastAsia" w:ascii="宋体" w:hAnsi="宋体"/>
                <w:color w:val="auto"/>
                <w:szCs w:val="21"/>
                <w:highlight w:val="none"/>
              </w:rPr>
              <w:t>1、投标人具有质量管理体系认证证书，符合的得3</w:t>
            </w:r>
            <w:r>
              <w:rPr>
                <w:rFonts w:ascii="宋体" w:hAnsi="宋体"/>
                <w:color w:val="auto"/>
                <w:szCs w:val="21"/>
                <w:highlight w:val="none"/>
              </w:rPr>
              <w:t>分</w:t>
            </w:r>
            <w:r>
              <w:rPr>
                <w:rFonts w:hint="eastAsia" w:ascii="宋体" w:hAnsi="宋体"/>
                <w:color w:val="auto"/>
                <w:szCs w:val="21"/>
                <w:highlight w:val="none"/>
              </w:rPr>
              <w:t>；以上材料须提供原件的图片或扫描件。</w:t>
            </w:r>
          </w:p>
        </w:tc>
        <w:tc>
          <w:tcPr>
            <w:tcW w:w="967" w:type="dxa"/>
            <w:vAlign w:val="center"/>
          </w:tcPr>
          <w:p>
            <w:pPr>
              <w:jc w:val="center"/>
              <w:rPr>
                <w:rFonts w:ascii="宋体" w:hAnsi="宋体"/>
                <w:color w:val="auto"/>
                <w:szCs w:val="21"/>
                <w:highlight w:val="none"/>
              </w:rPr>
            </w:pPr>
            <w:r>
              <w:rPr>
                <w:rFonts w:hint="eastAsia" w:ascii="宋体" w:hAnsi="宋体"/>
                <w:color w:val="auto"/>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机构设置</w:t>
            </w:r>
          </w:p>
        </w:tc>
        <w:tc>
          <w:tcPr>
            <w:tcW w:w="6558" w:type="dxa"/>
            <w:vAlign w:val="center"/>
          </w:tcPr>
          <w:p>
            <w:pPr>
              <w:spacing w:line="360" w:lineRule="auto"/>
              <w:rPr>
                <w:rFonts w:ascii="宋体" w:hAnsi="宋体"/>
                <w:color w:val="auto"/>
                <w:szCs w:val="21"/>
                <w:highlight w:val="none"/>
              </w:rPr>
            </w:pPr>
            <w:r>
              <w:rPr>
                <w:rFonts w:hint="eastAsia" w:ascii="宋体" w:hAnsi="宋体"/>
                <w:color w:val="auto"/>
                <w:szCs w:val="21"/>
                <w:highlight w:val="none"/>
              </w:rPr>
              <w:t>评标委员会根据各投标人内部机构设置、权责分工、各个环节等是否设置有相应的机构等比较打分：</w:t>
            </w:r>
          </w:p>
          <w:p>
            <w:pPr>
              <w:spacing w:line="360" w:lineRule="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、内部机构设置：有规范的法人治理结构和内部管理制度，组织架构设计适当，结构层次科学，组织机构工作程序化、标准化，机构设置科学、合理的，得2-3分，仅简单描述概括的</w:t>
            </w:r>
            <w:r>
              <w:rPr>
                <w:rFonts w:ascii="宋体" w:hAnsi="宋体"/>
                <w:color w:val="auto"/>
                <w:szCs w:val="21"/>
                <w:highlight w:val="none"/>
              </w:rPr>
              <w:t>1</w:t>
            </w:r>
            <w:r>
              <w:rPr>
                <w:rFonts w:hint="eastAsia" w:ascii="宋体" w:hAnsi="宋体"/>
                <w:color w:val="auto"/>
                <w:szCs w:val="21"/>
                <w:highlight w:val="none"/>
              </w:rPr>
              <w:t>分，没有不得分；</w:t>
            </w:r>
          </w:p>
          <w:p>
            <w:pPr>
              <w:spacing w:line="360" w:lineRule="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、权责分工：</w:t>
            </w:r>
            <w:r>
              <w:rPr>
                <w:rFonts w:hint="eastAsia" w:ascii="宋体" w:hAnsi="宋体"/>
                <w:color w:val="auto"/>
                <w:highlight w:val="none"/>
              </w:rPr>
              <w:t>对权责分工合理、</w:t>
            </w:r>
            <w:r>
              <w:rPr>
                <w:rFonts w:hint="eastAsia" w:ascii="宋体" w:hAnsi="宋体"/>
                <w:color w:val="auto"/>
                <w:szCs w:val="21"/>
                <w:highlight w:val="none"/>
              </w:rPr>
              <w:t>明确规定高级管理人员、各职能部门和分支机构、以及基层作业单位的职责权限的，得2-3分，仅简单描述概括的</w:t>
            </w:r>
            <w:r>
              <w:rPr>
                <w:rFonts w:ascii="宋体" w:hAnsi="宋体"/>
                <w:color w:val="auto"/>
                <w:szCs w:val="21"/>
                <w:highlight w:val="none"/>
              </w:rPr>
              <w:t>1</w:t>
            </w:r>
            <w:r>
              <w:rPr>
                <w:rFonts w:hint="eastAsia" w:ascii="宋体" w:hAnsi="宋体"/>
                <w:color w:val="auto"/>
                <w:szCs w:val="21"/>
                <w:highlight w:val="none"/>
              </w:rPr>
              <w:t>分，没有不得分；</w:t>
            </w:r>
          </w:p>
          <w:p>
            <w:pPr>
              <w:spacing w:line="360" w:lineRule="auto"/>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、各个环节设置的机构健全，工作开展</w:t>
            </w:r>
            <w:r>
              <w:rPr>
                <w:rFonts w:hint="eastAsia" w:ascii="宋体" w:hAnsi="宋体"/>
                <w:color w:val="auto"/>
                <w:highlight w:val="none"/>
              </w:rPr>
              <w:t>流程，</w:t>
            </w:r>
            <w:r>
              <w:rPr>
                <w:rFonts w:hint="eastAsia" w:ascii="宋体" w:hAnsi="宋体"/>
                <w:color w:val="auto"/>
                <w:szCs w:val="21"/>
                <w:highlight w:val="none"/>
              </w:rPr>
              <w:t>得2-3分，仅为简单概括描述的得</w:t>
            </w:r>
            <w:r>
              <w:rPr>
                <w:rFonts w:ascii="宋体" w:hAnsi="宋体"/>
                <w:color w:val="auto"/>
                <w:szCs w:val="21"/>
                <w:highlight w:val="none"/>
              </w:rPr>
              <w:t>1</w:t>
            </w:r>
            <w:r>
              <w:rPr>
                <w:rFonts w:hint="eastAsia" w:ascii="宋体" w:hAnsi="宋体"/>
                <w:color w:val="auto"/>
                <w:szCs w:val="21"/>
                <w:highlight w:val="none"/>
              </w:rPr>
              <w:t>分，缺少不得分；</w:t>
            </w:r>
          </w:p>
          <w:p>
            <w:pPr>
              <w:spacing w:line="360" w:lineRule="auto"/>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、投标人有关机构设置的其他方面补充的，得1-2分。</w:t>
            </w:r>
          </w:p>
        </w:tc>
        <w:tc>
          <w:tcPr>
            <w:tcW w:w="967" w:type="dxa"/>
            <w:vAlign w:val="center"/>
          </w:tcPr>
          <w:p>
            <w:pPr>
              <w:jc w:val="center"/>
              <w:rPr>
                <w:rFonts w:ascii="宋体" w:hAnsi="宋体"/>
                <w:color w:val="auto"/>
                <w:szCs w:val="21"/>
                <w:highlight w:val="none"/>
              </w:rPr>
            </w:pPr>
            <w:r>
              <w:rPr>
                <w:rFonts w:hint="eastAsia" w:ascii="宋体" w:hAnsi="宋体"/>
                <w:color w:val="auto"/>
                <w:szCs w:val="21"/>
                <w:highlight w:val="none"/>
              </w:rPr>
              <w:t>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41"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会计事务所实力情况</w:t>
            </w:r>
          </w:p>
        </w:tc>
        <w:tc>
          <w:tcPr>
            <w:tcW w:w="6558" w:type="dxa"/>
            <w:vAlign w:val="center"/>
          </w:tcPr>
          <w:p>
            <w:pPr>
              <w:numPr>
                <w:ilvl w:val="0"/>
                <w:numId w:val="14"/>
              </w:numPr>
              <w:autoSpaceDE w:val="0"/>
              <w:autoSpaceDN w:val="0"/>
              <w:adjustRightInd w:val="0"/>
              <w:spacing w:line="360" w:lineRule="auto"/>
              <w:rPr>
                <w:rFonts w:ascii="宋体" w:hAnsi="宋体"/>
                <w:color w:val="auto"/>
                <w:szCs w:val="21"/>
                <w:highlight w:val="none"/>
              </w:rPr>
            </w:pPr>
            <w:r>
              <w:rPr>
                <w:rFonts w:hint="eastAsia" w:ascii="宋体" w:hAnsi="宋体"/>
                <w:color w:val="auto"/>
                <w:szCs w:val="21"/>
                <w:highlight w:val="none"/>
              </w:rPr>
              <w:t>注册会计师人数为5人的，得6分，注册会计师人数在5人基础上，每增加一人加2分，最多加8分。【</w:t>
            </w:r>
            <w:r>
              <w:rPr>
                <w:rFonts w:hint="eastAsia" w:ascii="宋体" w:hAnsi="宋体"/>
                <w:b/>
                <w:bCs/>
                <w:color w:val="auto"/>
                <w:szCs w:val="21"/>
                <w:highlight w:val="none"/>
              </w:rPr>
              <w:t>在评标时需中提供相应注册会计师证书及投标截止时间前半年内任意一个月的社保缴纳证明，投标文件中提供以上原件的扫描件或图片，否则对应的注册会计师不得分。</w:t>
            </w:r>
            <w:r>
              <w:rPr>
                <w:rFonts w:hint="eastAsia" w:ascii="宋体" w:hAnsi="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2、分类评价（10分）：</w:t>
            </w:r>
            <w:r>
              <w:rPr>
                <w:rFonts w:hint="eastAsia" w:ascii="宋体" w:hAnsi="宋体" w:cs="宋体"/>
                <w:color w:val="auto"/>
                <w:szCs w:val="21"/>
                <w:highlight w:val="none"/>
                <w:lang w:val="zh-CN"/>
              </w:rPr>
              <w:t>根据</w:t>
            </w:r>
            <w:r>
              <w:rPr>
                <w:rFonts w:hint="eastAsia" w:ascii="宋体" w:hAnsi="宋体" w:cs="宋体"/>
                <w:color w:val="auto"/>
                <w:szCs w:val="21"/>
                <w:highlight w:val="none"/>
              </w:rPr>
              <w:t>2019年</w:t>
            </w:r>
            <w:r>
              <w:rPr>
                <w:rFonts w:hint="eastAsia" w:ascii="宋体" w:hAnsi="宋体" w:cs="宋体"/>
                <w:color w:val="auto"/>
                <w:szCs w:val="21"/>
                <w:highlight w:val="none"/>
                <w:lang w:val="zh-CN"/>
              </w:rPr>
              <w:t>河南省注册会计师协会发布的全省会计事务所分类评价结果。</w:t>
            </w:r>
            <w:r>
              <w:rPr>
                <w:rFonts w:hint="eastAsia" w:ascii="宋体" w:hAnsi="宋体" w:cs="宋体"/>
                <w:color w:val="auto"/>
                <w:szCs w:val="21"/>
                <w:highlight w:val="none"/>
              </w:rPr>
              <w:t>B类会计事务所的得8分； A类会计事务所的得10分。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外省投标人以注册地所在的省（市、自治区）2019年的会计师协会发布的会计事务所分类评价结果，为二类会计事务所的得8分；为一类会计事务所的得10分；</w:t>
            </w:r>
          </w:p>
          <w:p>
            <w:pPr>
              <w:autoSpaceDE w:val="0"/>
              <w:autoSpaceDN w:val="0"/>
              <w:adjustRightIn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lang w:val="zh-CN"/>
              </w:rPr>
              <w:t>（开标时应提供其所在的</w:t>
            </w:r>
            <w:r>
              <w:rPr>
                <w:rFonts w:hint="eastAsia" w:ascii="宋体" w:hAnsi="宋体" w:cs="宋体"/>
                <w:b/>
                <w:bCs/>
                <w:color w:val="auto"/>
                <w:szCs w:val="21"/>
                <w:highlight w:val="none"/>
              </w:rPr>
              <w:t>省（市、自治区）会计师协会发布的会计事务所分类评价结果的截图及查询网址等证明材料</w:t>
            </w:r>
            <w:r>
              <w:rPr>
                <w:rFonts w:hint="eastAsia" w:ascii="宋体" w:hAnsi="宋体" w:cs="宋体"/>
                <w:b/>
                <w:bCs/>
                <w:color w:val="auto"/>
                <w:szCs w:val="21"/>
                <w:highlight w:val="none"/>
                <w:lang w:val="zh-CN"/>
              </w:rPr>
              <w:t>，并在投标文件中附扫面件或图片，不符合上述要求的不得分。）</w:t>
            </w:r>
          </w:p>
        </w:tc>
        <w:tc>
          <w:tcPr>
            <w:tcW w:w="967" w:type="dxa"/>
            <w:vAlign w:val="center"/>
          </w:tcPr>
          <w:p>
            <w:pPr>
              <w:jc w:val="center"/>
              <w:rPr>
                <w:rFonts w:ascii="宋体" w:hAnsi="宋体"/>
                <w:color w:val="auto"/>
                <w:sz w:val="24"/>
                <w:highlight w:val="none"/>
              </w:rPr>
            </w:pPr>
            <w:r>
              <w:rPr>
                <w:rFonts w:hint="eastAsia" w:ascii="宋体" w:hAnsi="宋体"/>
                <w:color w:val="auto"/>
                <w:sz w:val="24"/>
                <w:highlight w:val="none"/>
              </w:rPr>
              <w:t>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jc w:val="center"/>
        </w:trPr>
        <w:tc>
          <w:tcPr>
            <w:tcW w:w="1441" w:type="dxa"/>
            <w:vAlign w:val="center"/>
          </w:tcPr>
          <w:p>
            <w:pPr>
              <w:spacing w:line="400" w:lineRule="exact"/>
              <w:jc w:val="center"/>
              <w:rPr>
                <w:rFonts w:ascii="宋体" w:hAnsi="宋体"/>
                <w:color w:val="auto"/>
                <w:szCs w:val="21"/>
                <w:highlight w:val="none"/>
              </w:rPr>
            </w:pPr>
            <w:r>
              <w:rPr>
                <w:rFonts w:hint="eastAsia" w:ascii="宋体" w:hAnsi="宋体" w:cs="宋体"/>
                <w:color w:val="auto"/>
                <w:szCs w:val="21"/>
                <w:highlight w:val="none"/>
              </w:rPr>
              <w:t>会计师事务所服务许昌项目专业人员团队</w:t>
            </w:r>
          </w:p>
        </w:tc>
        <w:tc>
          <w:tcPr>
            <w:tcW w:w="6558" w:type="dxa"/>
            <w:vAlign w:val="center"/>
          </w:tcPr>
          <w:p>
            <w:pPr>
              <w:numPr>
                <w:ilvl w:val="0"/>
                <w:numId w:val="15"/>
              </w:numPr>
              <w:spacing w:line="360" w:lineRule="auto"/>
              <w:rPr>
                <w:rFonts w:ascii="宋体" w:hAnsi="宋体"/>
                <w:color w:val="auto"/>
                <w:szCs w:val="21"/>
                <w:highlight w:val="none"/>
              </w:rPr>
            </w:pPr>
            <w:r>
              <w:rPr>
                <w:rFonts w:hint="eastAsia" w:ascii="宋体" w:hAnsi="宋体"/>
                <w:color w:val="auto"/>
                <w:szCs w:val="21"/>
                <w:highlight w:val="none"/>
              </w:rPr>
              <w:t>会计师事务所提供15人专业团队名单，在服务期限内该团队80%专业技术人员保持固定，每提供一名注册会计师加1分，最多加9分。其他人员每提供一个中级会计师职称证书的加0.6分，最多加3分。</w:t>
            </w:r>
          </w:p>
          <w:p>
            <w:pPr>
              <w:numPr>
                <w:ilvl w:val="0"/>
                <w:numId w:val="15"/>
              </w:numPr>
              <w:spacing w:line="360" w:lineRule="auto"/>
              <w:rPr>
                <w:rFonts w:ascii="宋体" w:hAnsi="宋体"/>
                <w:color w:val="auto"/>
                <w:szCs w:val="21"/>
                <w:highlight w:val="none"/>
              </w:rPr>
            </w:pPr>
            <w:r>
              <w:rPr>
                <w:rFonts w:hint="eastAsia" w:ascii="宋体" w:hAnsi="宋体"/>
                <w:color w:val="auto"/>
                <w:szCs w:val="21"/>
                <w:highlight w:val="none"/>
              </w:rPr>
              <w:t>提供的专业团队名单中的人员获得过会计类行业省级 及以上行政主管、注册会计师协会颁发的个人奖励证书（如先进个人等）的每个加2分，最多加2分，没有不得分。</w:t>
            </w:r>
          </w:p>
          <w:p>
            <w:pPr>
              <w:spacing w:line="360" w:lineRule="auto"/>
              <w:rPr>
                <w:rFonts w:ascii="宋体" w:hAnsi="宋体"/>
                <w:b/>
                <w:bCs/>
                <w:color w:val="auto"/>
                <w:szCs w:val="21"/>
                <w:highlight w:val="none"/>
                <w:u w:val="single"/>
              </w:rPr>
            </w:pPr>
            <w:r>
              <w:rPr>
                <w:rFonts w:hint="eastAsia" w:ascii="宋体" w:hAnsi="宋体"/>
                <w:b/>
                <w:bCs/>
                <w:color w:val="auto"/>
                <w:szCs w:val="21"/>
                <w:highlight w:val="none"/>
                <w:u w:val="single"/>
              </w:rPr>
              <w:t>本项人员与拟投入本项目注册会计师人数数量可重复计分。</w:t>
            </w:r>
          </w:p>
        </w:tc>
        <w:tc>
          <w:tcPr>
            <w:tcW w:w="967" w:type="dxa"/>
            <w:vAlign w:val="center"/>
          </w:tcPr>
          <w:p>
            <w:pPr>
              <w:jc w:val="center"/>
              <w:rPr>
                <w:rFonts w:ascii="宋体" w:hAnsi="宋体"/>
                <w:color w:val="auto"/>
                <w:szCs w:val="21"/>
                <w:highlight w:val="none"/>
                <w:u w:val="single"/>
              </w:rPr>
            </w:pPr>
            <w:r>
              <w:rPr>
                <w:rFonts w:hint="eastAsia" w:ascii="宋体" w:hAnsi="宋体" w:cs="宋体"/>
                <w:color w:val="auto"/>
                <w:szCs w:val="21"/>
                <w:highlight w:val="none"/>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6" w:hRule="atLeast"/>
          <w:jc w:val="center"/>
        </w:trPr>
        <w:tc>
          <w:tcPr>
            <w:tcW w:w="144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投标人业绩</w:t>
            </w:r>
          </w:p>
        </w:tc>
        <w:tc>
          <w:tcPr>
            <w:tcW w:w="6558" w:type="dxa"/>
            <w:vAlign w:val="center"/>
          </w:tcPr>
          <w:p>
            <w:pPr>
              <w:autoSpaceDE w:val="0"/>
              <w:autoSpaceDN w:val="0"/>
              <w:adjustRightInd w:val="0"/>
              <w:spacing w:line="360" w:lineRule="auto"/>
              <w:rPr>
                <w:rFonts w:ascii="宋体" w:hAnsi="宋体" w:cs="宋体"/>
                <w:color w:val="auto"/>
                <w:szCs w:val="21"/>
                <w:highlight w:val="none"/>
                <w:lang w:val="zh-CN"/>
              </w:rPr>
            </w:pPr>
            <w:r>
              <w:rPr>
                <w:rFonts w:ascii="宋体" w:hAnsi="宋体" w:cs="宋体"/>
                <w:color w:val="auto"/>
                <w:szCs w:val="21"/>
                <w:highlight w:val="none"/>
                <w:lang w:val="zh-CN"/>
              </w:rPr>
              <w:t>1</w:t>
            </w:r>
            <w:r>
              <w:rPr>
                <w:rFonts w:hint="eastAsia" w:ascii="宋体" w:hAnsi="宋体" w:cs="宋体"/>
                <w:color w:val="auto"/>
                <w:szCs w:val="21"/>
                <w:highlight w:val="none"/>
                <w:lang w:val="zh-CN"/>
              </w:rPr>
              <w:t>、</w:t>
            </w:r>
            <w:r>
              <w:rPr>
                <w:rFonts w:ascii="宋体" w:hAnsi="宋体" w:cs="宋体"/>
                <w:color w:val="auto"/>
                <w:szCs w:val="21"/>
                <w:highlight w:val="none"/>
                <w:lang w:val="zh-CN"/>
              </w:rPr>
              <w:t>201</w:t>
            </w:r>
            <w:r>
              <w:rPr>
                <w:rFonts w:hint="eastAsia" w:ascii="宋体" w:hAnsi="宋体" w:cs="宋体"/>
                <w:color w:val="auto"/>
                <w:szCs w:val="21"/>
                <w:highlight w:val="none"/>
                <w:lang w:val="zh-CN"/>
              </w:rPr>
              <w:t>6年</w:t>
            </w:r>
            <w:r>
              <w:rPr>
                <w:rFonts w:ascii="宋体" w:hAnsi="宋体" w:cs="宋体"/>
                <w:color w:val="auto"/>
                <w:szCs w:val="21"/>
                <w:highlight w:val="none"/>
                <w:lang w:val="zh-CN"/>
              </w:rPr>
              <w:t>1</w:t>
            </w:r>
            <w:r>
              <w:rPr>
                <w:rFonts w:hint="eastAsia" w:ascii="宋体" w:hAnsi="宋体" w:cs="宋体"/>
                <w:color w:val="auto"/>
                <w:szCs w:val="21"/>
                <w:highlight w:val="none"/>
                <w:lang w:val="zh-CN"/>
              </w:rPr>
              <w:t>月</w:t>
            </w:r>
            <w:r>
              <w:rPr>
                <w:rFonts w:ascii="宋体" w:hAnsi="宋体" w:cs="宋体"/>
                <w:color w:val="auto"/>
                <w:szCs w:val="21"/>
                <w:highlight w:val="none"/>
                <w:lang w:val="zh-CN"/>
              </w:rPr>
              <w:t>1</w:t>
            </w:r>
            <w:r>
              <w:rPr>
                <w:rFonts w:hint="eastAsia" w:ascii="宋体" w:hAnsi="宋体" w:cs="宋体"/>
                <w:color w:val="auto"/>
                <w:szCs w:val="21"/>
                <w:highlight w:val="none"/>
                <w:lang w:val="zh-CN"/>
              </w:rPr>
              <w:t>日以来承担过行政事业单位的审计业务、行政事业单位财务检查、财政专项资金检查、项目监督检查任务的项目，每完成一个项目得3分，最多得18分。</w:t>
            </w:r>
          </w:p>
          <w:p>
            <w:pPr>
              <w:spacing w:line="360" w:lineRule="auto"/>
              <w:rPr>
                <w:rFonts w:ascii="宋体" w:hAnsi="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lang w:val="zh-CN"/>
              </w:rPr>
              <w:t>以上</w:t>
            </w:r>
            <w:r>
              <w:rPr>
                <w:rFonts w:hint="eastAsia" w:ascii="宋体" w:hAnsi="宋体" w:cs="宋体"/>
                <w:color w:val="auto"/>
                <w:szCs w:val="21"/>
                <w:highlight w:val="none"/>
              </w:rPr>
              <w:t>供应商业绩时间以出具的时间为准；需要提供</w:t>
            </w:r>
            <w:r>
              <w:rPr>
                <w:rFonts w:hint="eastAsia" w:ascii="宋体" w:hAnsi="宋体" w:cs="宋体"/>
                <w:color w:val="auto"/>
                <w:szCs w:val="21"/>
                <w:highlight w:val="none"/>
                <w:lang w:val="zh-CN"/>
              </w:rPr>
              <w:t>委托</w:t>
            </w:r>
            <w:r>
              <w:rPr>
                <w:rFonts w:hint="eastAsia" w:ascii="宋体" w:hAnsi="宋体" w:cs="宋体"/>
                <w:color w:val="auto"/>
                <w:szCs w:val="21"/>
                <w:highlight w:val="none"/>
              </w:rPr>
              <w:t>项目的</w:t>
            </w:r>
            <w:r>
              <w:rPr>
                <w:rFonts w:hint="eastAsia" w:ascii="宋体" w:hAnsi="宋体" w:cs="宋体"/>
                <w:color w:val="auto"/>
                <w:szCs w:val="21"/>
                <w:highlight w:val="none"/>
                <w:lang w:val="zh-CN"/>
              </w:rPr>
              <w:t>合同</w:t>
            </w:r>
            <w:r>
              <w:rPr>
                <w:rFonts w:hint="eastAsia" w:ascii="宋体" w:hAnsi="宋体" w:cs="宋体"/>
                <w:color w:val="auto"/>
                <w:szCs w:val="21"/>
                <w:highlight w:val="none"/>
              </w:rPr>
              <w:t>或协议</w:t>
            </w:r>
            <w:r>
              <w:rPr>
                <w:rFonts w:hint="eastAsia" w:ascii="宋体" w:hAnsi="宋体" w:cs="宋体"/>
                <w:color w:val="auto"/>
                <w:szCs w:val="21"/>
                <w:highlight w:val="none"/>
                <w:lang w:val="zh-CN"/>
              </w:rPr>
              <w:t>、</w:t>
            </w:r>
            <w:r>
              <w:rPr>
                <w:rFonts w:hint="eastAsia" w:ascii="宋体" w:hAnsi="宋体"/>
                <w:color w:val="auto"/>
                <w:szCs w:val="21"/>
                <w:highlight w:val="none"/>
              </w:rPr>
              <w:t>财务检查、财政资金检查项目监督检查，</w:t>
            </w:r>
            <w:r>
              <w:rPr>
                <w:rFonts w:hint="eastAsia" w:ascii="宋体" w:hAnsi="宋体" w:cs="宋体"/>
                <w:color w:val="auto"/>
                <w:szCs w:val="21"/>
                <w:highlight w:val="none"/>
                <w:lang w:val="zh-CN"/>
              </w:rPr>
              <w:t>以上</w:t>
            </w:r>
            <w:r>
              <w:rPr>
                <w:rFonts w:hint="eastAsia" w:ascii="宋体" w:hAnsi="宋体" w:cs="宋体"/>
                <w:color w:val="auto"/>
                <w:szCs w:val="21"/>
                <w:highlight w:val="none"/>
              </w:rPr>
              <w:t>供应商业绩时间以出具的时间为准；需要提供</w:t>
            </w:r>
            <w:r>
              <w:rPr>
                <w:rFonts w:hint="eastAsia" w:ascii="宋体" w:hAnsi="宋体" w:cs="宋体"/>
                <w:color w:val="auto"/>
                <w:szCs w:val="21"/>
                <w:highlight w:val="none"/>
                <w:lang w:val="zh-CN"/>
              </w:rPr>
              <w:t>委托</w:t>
            </w:r>
            <w:r>
              <w:rPr>
                <w:rFonts w:hint="eastAsia" w:ascii="宋体" w:hAnsi="宋体" w:cs="宋体"/>
                <w:color w:val="auto"/>
                <w:szCs w:val="21"/>
                <w:highlight w:val="none"/>
              </w:rPr>
              <w:t>项目的</w:t>
            </w:r>
            <w:r>
              <w:rPr>
                <w:rFonts w:hint="eastAsia" w:ascii="宋体" w:hAnsi="宋体" w:cs="宋体"/>
                <w:color w:val="auto"/>
                <w:szCs w:val="21"/>
                <w:highlight w:val="none"/>
                <w:lang w:val="zh-CN"/>
              </w:rPr>
              <w:t>合同</w:t>
            </w:r>
            <w:r>
              <w:rPr>
                <w:rFonts w:hint="eastAsia" w:ascii="宋体" w:hAnsi="宋体" w:cs="宋体"/>
                <w:color w:val="auto"/>
                <w:szCs w:val="21"/>
                <w:highlight w:val="none"/>
              </w:rPr>
              <w:t>或协议</w:t>
            </w:r>
            <w:r>
              <w:rPr>
                <w:rFonts w:hint="eastAsia" w:ascii="宋体" w:hAnsi="宋体" w:cs="宋体"/>
                <w:color w:val="auto"/>
                <w:szCs w:val="21"/>
                <w:highlight w:val="none"/>
                <w:lang w:val="zh-CN"/>
              </w:rPr>
              <w:t>、</w:t>
            </w:r>
            <w:r>
              <w:rPr>
                <w:rFonts w:hint="eastAsia" w:ascii="宋体" w:hAnsi="宋体"/>
                <w:color w:val="auto"/>
                <w:szCs w:val="21"/>
                <w:highlight w:val="none"/>
              </w:rPr>
              <w:t>财务检查、财政资金检查项目监督检查、政府投资基本建设项目竣工财务决算审核报告。</w:t>
            </w:r>
            <w:r>
              <w:rPr>
                <w:rFonts w:hint="eastAsia" w:ascii="宋体" w:hAnsi="宋体"/>
                <w:b/>
                <w:color w:val="auto"/>
                <w:szCs w:val="21"/>
                <w:highlight w:val="none"/>
              </w:rPr>
              <w:t>（能证明其财务检查、财政资金检查项目监督检查、金额、项目名称及出具日期），电子标书中为原件扫描件或图片。</w:t>
            </w:r>
          </w:p>
        </w:tc>
        <w:tc>
          <w:tcPr>
            <w:tcW w:w="967" w:type="dxa"/>
            <w:vAlign w:val="center"/>
          </w:tcPr>
          <w:p>
            <w:pPr>
              <w:jc w:val="center"/>
              <w:rPr>
                <w:rFonts w:ascii="宋体" w:hAnsi="宋体"/>
                <w:color w:val="auto"/>
                <w:szCs w:val="21"/>
                <w:highlight w:val="none"/>
                <w:u w:val="single"/>
              </w:rPr>
            </w:pPr>
            <w:r>
              <w:rPr>
                <w:rFonts w:hint="eastAsia" w:ascii="宋体" w:hAnsi="宋体" w:cs="宋体"/>
                <w:color w:val="auto"/>
                <w:szCs w:val="21"/>
                <w:highlight w:val="none"/>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8966" w:type="dxa"/>
            <w:gridSpan w:val="3"/>
            <w:vAlign w:val="center"/>
          </w:tcPr>
          <w:p>
            <w:pPr>
              <w:jc w:val="center"/>
              <w:rPr>
                <w:rFonts w:ascii="宋体" w:hAnsi="宋体"/>
                <w:b/>
                <w:color w:val="auto"/>
                <w:szCs w:val="21"/>
                <w:highlight w:val="none"/>
              </w:rPr>
            </w:pPr>
            <w:r>
              <w:rPr>
                <w:rFonts w:hint="eastAsia" w:ascii="宋体" w:hAnsi="宋体"/>
                <w:b/>
                <w:color w:val="auto"/>
                <w:szCs w:val="21"/>
                <w:highlight w:val="none"/>
              </w:rPr>
              <w:t>技术部分（满分</w:t>
            </w:r>
            <w:r>
              <w:rPr>
                <w:rFonts w:ascii="宋体" w:hAnsi="宋体"/>
                <w:b/>
                <w:color w:val="auto"/>
                <w:szCs w:val="21"/>
                <w:highlight w:val="none"/>
                <w:u w:val="single"/>
              </w:rPr>
              <w:t xml:space="preserve"> 2</w:t>
            </w:r>
            <w:r>
              <w:rPr>
                <w:rFonts w:hint="eastAsia" w:ascii="宋体" w:hAnsi="宋体"/>
                <w:b/>
                <w:color w:val="auto"/>
                <w:szCs w:val="21"/>
                <w:highlight w:val="none"/>
                <w:u w:val="single"/>
              </w:rPr>
              <w:t>0</w:t>
            </w:r>
            <w:r>
              <w:rPr>
                <w:rFonts w:ascii="宋体" w:hAnsi="宋体"/>
                <w:b/>
                <w:color w:val="auto"/>
                <w:szCs w:val="21"/>
                <w:highlight w:val="none"/>
                <w:u w:val="single"/>
              </w:rPr>
              <w:t xml:space="preserve">  </w:t>
            </w:r>
            <w:r>
              <w:rPr>
                <w:rFonts w:hint="eastAsia" w:ascii="宋体" w:hAnsi="宋体"/>
                <w:b/>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spacing w:line="400" w:lineRule="exact"/>
              <w:jc w:val="center"/>
              <w:rPr>
                <w:rFonts w:ascii="宋体" w:hAnsi="宋体" w:cs="宋体"/>
                <w:color w:val="auto"/>
                <w:szCs w:val="21"/>
                <w:highlight w:val="none"/>
              </w:rPr>
            </w:pPr>
            <w:r>
              <w:rPr>
                <w:rFonts w:hint="eastAsia" w:ascii="宋体" w:hAnsi="宋体"/>
                <w:b/>
                <w:color w:val="auto"/>
                <w:szCs w:val="21"/>
                <w:highlight w:val="none"/>
              </w:rPr>
              <w:t>评分因素</w:t>
            </w:r>
          </w:p>
        </w:tc>
        <w:tc>
          <w:tcPr>
            <w:tcW w:w="6558" w:type="dxa"/>
            <w:vAlign w:val="center"/>
          </w:tcPr>
          <w:p>
            <w:pPr>
              <w:spacing w:line="360" w:lineRule="auto"/>
              <w:jc w:val="center"/>
              <w:rPr>
                <w:rFonts w:ascii="宋体" w:hAnsi="宋体"/>
                <w:color w:val="auto"/>
                <w:szCs w:val="21"/>
                <w:highlight w:val="none"/>
              </w:rPr>
            </w:pPr>
            <w:r>
              <w:rPr>
                <w:rFonts w:hint="eastAsia" w:ascii="宋体" w:hAnsi="宋体"/>
                <w:b/>
                <w:color w:val="auto"/>
                <w:szCs w:val="21"/>
                <w:highlight w:val="none"/>
              </w:rPr>
              <w:t>评标标准</w:t>
            </w:r>
          </w:p>
        </w:tc>
        <w:tc>
          <w:tcPr>
            <w:tcW w:w="967" w:type="dxa"/>
            <w:vAlign w:val="center"/>
          </w:tcPr>
          <w:p>
            <w:pPr>
              <w:jc w:val="center"/>
              <w:rPr>
                <w:rFonts w:ascii="宋体" w:hAnsi="宋体" w:cs="宋体"/>
                <w:color w:val="auto"/>
                <w:szCs w:val="21"/>
                <w:highlight w:val="none"/>
              </w:rPr>
            </w:pPr>
            <w:r>
              <w:rPr>
                <w:rFonts w:hint="eastAsia" w:ascii="宋体" w:hAnsi="宋体"/>
                <w:b/>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spacing w:line="400" w:lineRule="exact"/>
              <w:jc w:val="center"/>
              <w:rPr>
                <w:rFonts w:ascii="宋体" w:hAnsi="宋体"/>
                <w:color w:val="auto"/>
                <w:szCs w:val="21"/>
                <w:highlight w:val="none"/>
              </w:rPr>
            </w:pPr>
            <w:r>
              <w:rPr>
                <w:rFonts w:hint="eastAsia" w:ascii="宋体" w:hAnsi="宋体" w:cs="宋体"/>
                <w:color w:val="auto"/>
                <w:szCs w:val="21"/>
                <w:highlight w:val="none"/>
              </w:rPr>
              <w:t>服务方案</w:t>
            </w:r>
          </w:p>
        </w:tc>
        <w:tc>
          <w:tcPr>
            <w:tcW w:w="6558" w:type="dxa"/>
            <w:vAlign w:val="center"/>
          </w:tcPr>
          <w:p>
            <w:pPr>
              <w:spacing w:line="360" w:lineRule="auto"/>
              <w:rPr>
                <w:rFonts w:ascii="宋体" w:hAnsi="宋体"/>
                <w:color w:val="auto"/>
                <w:szCs w:val="21"/>
                <w:highlight w:val="none"/>
              </w:rPr>
            </w:pPr>
            <w:r>
              <w:rPr>
                <w:rFonts w:hint="eastAsia" w:ascii="宋体" w:hAnsi="宋体"/>
                <w:color w:val="auto"/>
                <w:szCs w:val="21"/>
                <w:highlight w:val="none"/>
              </w:rPr>
              <w:t>评标委员会根据各投标人服务方案的内容是否详实完整可行，至少应包括：质量控制、保障措施、技术档案管理制度、风险控制制度。</w:t>
            </w:r>
          </w:p>
          <w:p>
            <w:pPr>
              <w:spacing w:line="360" w:lineRule="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、总体服务方案的内容详实完整、实际可行，思路清楚，各服务要求齐全，制定的服务方案能够保证项目的顺利完成，得2分，仅为简单概括描述的得</w:t>
            </w:r>
            <w:r>
              <w:rPr>
                <w:rFonts w:ascii="宋体" w:hAnsi="宋体"/>
                <w:color w:val="auto"/>
                <w:szCs w:val="21"/>
                <w:highlight w:val="none"/>
              </w:rPr>
              <w:t>1</w:t>
            </w:r>
            <w:r>
              <w:rPr>
                <w:rFonts w:hint="eastAsia" w:ascii="宋体" w:hAnsi="宋体"/>
                <w:color w:val="auto"/>
                <w:szCs w:val="21"/>
                <w:highlight w:val="none"/>
              </w:rPr>
              <w:t>分，缺少不得分；</w:t>
            </w:r>
          </w:p>
          <w:p>
            <w:pPr>
              <w:spacing w:line="360" w:lineRule="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、质量控制：针对本项目质量要求，制定出实现质量目标的具体保证措施，并根据工作内容、重点和难点，进行分析并制定出相应的处理方法，得</w:t>
            </w:r>
            <w:r>
              <w:rPr>
                <w:rFonts w:ascii="宋体" w:hAnsi="宋体"/>
                <w:color w:val="auto"/>
                <w:szCs w:val="21"/>
                <w:highlight w:val="none"/>
              </w:rPr>
              <w:t>2</w:t>
            </w:r>
            <w:r>
              <w:rPr>
                <w:rFonts w:hint="eastAsia" w:ascii="宋体" w:hAnsi="宋体"/>
                <w:color w:val="auto"/>
                <w:szCs w:val="21"/>
                <w:highlight w:val="none"/>
              </w:rPr>
              <w:t>分，仅为简单概括描述的得</w:t>
            </w:r>
            <w:r>
              <w:rPr>
                <w:rFonts w:ascii="宋体" w:hAnsi="宋体"/>
                <w:color w:val="auto"/>
                <w:szCs w:val="21"/>
                <w:highlight w:val="none"/>
              </w:rPr>
              <w:t>1</w:t>
            </w:r>
            <w:r>
              <w:rPr>
                <w:rFonts w:hint="eastAsia" w:ascii="宋体" w:hAnsi="宋体"/>
                <w:color w:val="auto"/>
                <w:szCs w:val="21"/>
                <w:highlight w:val="none"/>
              </w:rPr>
              <w:t>分，缺少不得分；</w:t>
            </w:r>
          </w:p>
          <w:p>
            <w:pPr>
              <w:spacing w:line="360" w:lineRule="auto"/>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、保障措施：</w:t>
            </w:r>
            <w:r>
              <w:rPr>
                <w:rFonts w:hint="eastAsia" w:ascii="宋体" w:hAnsi="宋体"/>
                <w:color w:val="auto"/>
                <w:highlight w:val="none"/>
              </w:rPr>
              <w:t>对</w:t>
            </w:r>
            <w:r>
              <w:rPr>
                <w:rFonts w:hint="eastAsia" w:ascii="宋体" w:hAnsi="宋体"/>
                <w:color w:val="auto"/>
                <w:szCs w:val="21"/>
                <w:highlight w:val="none"/>
              </w:rPr>
              <w:t>财务检查、财政资金检查项目监督检查、</w:t>
            </w:r>
            <w:r>
              <w:rPr>
                <w:rFonts w:hint="eastAsia" w:ascii="宋体" w:hAnsi="宋体" w:cs="宋体"/>
                <w:color w:val="auto"/>
                <w:szCs w:val="21"/>
                <w:highlight w:val="none"/>
                <w:lang w:val="zh-CN"/>
              </w:rPr>
              <w:t>农村专项审计业务</w:t>
            </w:r>
            <w:r>
              <w:rPr>
                <w:rFonts w:hint="eastAsia" w:ascii="宋体" w:hAnsi="宋体"/>
                <w:color w:val="auto"/>
                <w:highlight w:val="none"/>
              </w:rPr>
              <w:t>工作质量保证措施、时间进度管理措施、组织保障措施详细说明的，</w:t>
            </w:r>
            <w:r>
              <w:rPr>
                <w:rFonts w:hint="eastAsia" w:ascii="宋体" w:hAnsi="宋体"/>
                <w:color w:val="auto"/>
                <w:szCs w:val="21"/>
                <w:highlight w:val="none"/>
              </w:rPr>
              <w:t>得</w:t>
            </w:r>
            <w:r>
              <w:rPr>
                <w:rFonts w:ascii="宋体" w:hAnsi="宋体"/>
                <w:color w:val="auto"/>
                <w:szCs w:val="21"/>
                <w:highlight w:val="none"/>
              </w:rPr>
              <w:t>2</w:t>
            </w:r>
            <w:r>
              <w:rPr>
                <w:rFonts w:hint="eastAsia" w:ascii="宋体" w:hAnsi="宋体"/>
                <w:color w:val="auto"/>
                <w:szCs w:val="21"/>
                <w:highlight w:val="none"/>
              </w:rPr>
              <w:t>分，仅为简单概括描述的得</w:t>
            </w:r>
            <w:r>
              <w:rPr>
                <w:rFonts w:ascii="宋体" w:hAnsi="宋体"/>
                <w:color w:val="auto"/>
                <w:szCs w:val="21"/>
                <w:highlight w:val="none"/>
              </w:rPr>
              <w:t>1</w:t>
            </w:r>
            <w:r>
              <w:rPr>
                <w:rFonts w:hint="eastAsia" w:ascii="宋体" w:hAnsi="宋体"/>
                <w:color w:val="auto"/>
                <w:szCs w:val="21"/>
                <w:highlight w:val="none"/>
              </w:rPr>
              <w:t>分，缺少不得分；</w:t>
            </w:r>
          </w:p>
          <w:p>
            <w:pPr>
              <w:spacing w:line="360" w:lineRule="auto"/>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、技术档案管理制度：有</w:t>
            </w:r>
            <w:r>
              <w:rPr>
                <w:rFonts w:hint="eastAsia" w:ascii="宋体" w:hAnsi="宋体"/>
                <w:color w:val="auto"/>
                <w:highlight w:val="none"/>
              </w:rPr>
              <w:t>完善档案的收集、整理、保管、利用和鉴定销毁等管理制度，并采取可靠的安全防护技术和措施，保证档案的真</w:t>
            </w:r>
            <w:r>
              <w:rPr>
                <w:rFonts w:hint="eastAsia" w:ascii="宋体" w:hAnsi="宋体"/>
                <w:color w:val="auto"/>
                <w:szCs w:val="21"/>
                <w:highlight w:val="none"/>
              </w:rPr>
              <w:t>实、完整、可用、安全的管理制度，得</w:t>
            </w:r>
            <w:r>
              <w:rPr>
                <w:rFonts w:ascii="宋体" w:hAnsi="宋体"/>
                <w:color w:val="auto"/>
                <w:szCs w:val="21"/>
                <w:highlight w:val="none"/>
              </w:rPr>
              <w:t>2</w:t>
            </w:r>
            <w:r>
              <w:rPr>
                <w:rFonts w:hint="eastAsia" w:ascii="宋体" w:hAnsi="宋体"/>
                <w:color w:val="auto"/>
                <w:szCs w:val="21"/>
                <w:highlight w:val="none"/>
              </w:rPr>
              <w:t>分，仅为简单概括描述的得</w:t>
            </w:r>
            <w:r>
              <w:rPr>
                <w:rFonts w:ascii="宋体" w:hAnsi="宋体"/>
                <w:color w:val="auto"/>
                <w:szCs w:val="21"/>
                <w:highlight w:val="none"/>
              </w:rPr>
              <w:t>1</w:t>
            </w:r>
            <w:r>
              <w:rPr>
                <w:rFonts w:hint="eastAsia" w:ascii="宋体" w:hAnsi="宋体"/>
                <w:color w:val="auto"/>
                <w:szCs w:val="21"/>
                <w:highlight w:val="none"/>
              </w:rPr>
              <w:t>分，缺少不得分；</w:t>
            </w:r>
          </w:p>
          <w:p>
            <w:pPr>
              <w:spacing w:line="360" w:lineRule="auto"/>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、风险控制制度：对项目风险的识别及应对有详细方案和措施的，得</w:t>
            </w:r>
            <w:r>
              <w:rPr>
                <w:rFonts w:ascii="宋体" w:hAnsi="宋体"/>
                <w:color w:val="auto"/>
                <w:szCs w:val="21"/>
                <w:highlight w:val="none"/>
              </w:rPr>
              <w:t>2</w:t>
            </w:r>
            <w:r>
              <w:rPr>
                <w:rFonts w:hint="eastAsia" w:ascii="宋体" w:hAnsi="宋体"/>
                <w:color w:val="auto"/>
                <w:szCs w:val="21"/>
                <w:highlight w:val="none"/>
              </w:rPr>
              <w:t>分，仅为简单概括描述的得</w:t>
            </w:r>
            <w:r>
              <w:rPr>
                <w:rFonts w:ascii="宋体" w:hAnsi="宋体"/>
                <w:color w:val="auto"/>
                <w:szCs w:val="21"/>
                <w:highlight w:val="none"/>
              </w:rPr>
              <w:t>1</w:t>
            </w:r>
            <w:r>
              <w:rPr>
                <w:rFonts w:hint="eastAsia" w:ascii="宋体" w:hAnsi="宋体"/>
                <w:color w:val="auto"/>
                <w:szCs w:val="21"/>
                <w:highlight w:val="none"/>
              </w:rPr>
              <w:t>分，缺少不得分；</w:t>
            </w:r>
          </w:p>
          <w:p>
            <w:pPr>
              <w:spacing w:line="360" w:lineRule="auto"/>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、有</w:t>
            </w:r>
            <w:r>
              <w:rPr>
                <w:rFonts w:hint="eastAsia" w:ascii="宋体" w:hAnsi="宋体"/>
                <w:color w:val="auto"/>
                <w:highlight w:val="none"/>
              </w:rPr>
              <w:t>后续服务及其它优化服务方案、违约责任、经济赔偿方案的，得</w:t>
            </w:r>
            <w:r>
              <w:rPr>
                <w:rFonts w:ascii="宋体" w:hAnsi="宋体"/>
                <w:color w:val="auto"/>
                <w:highlight w:val="none"/>
              </w:rPr>
              <w:t>2</w:t>
            </w:r>
            <w:r>
              <w:rPr>
                <w:rFonts w:hint="eastAsia" w:ascii="宋体" w:hAnsi="宋体"/>
                <w:color w:val="auto"/>
                <w:highlight w:val="none"/>
              </w:rPr>
              <w:t>分，</w:t>
            </w:r>
            <w:r>
              <w:rPr>
                <w:rFonts w:hint="eastAsia" w:ascii="宋体" w:hAnsi="宋体"/>
                <w:color w:val="auto"/>
                <w:szCs w:val="21"/>
                <w:highlight w:val="none"/>
              </w:rPr>
              <w:t>仅为简单概括描述的得</w:t>
            </w:r>
            <w:r>
              <w:rPr>
                <w:rFonts w:ascii="宋体" w:hAnsi="宋体"/>
                <w:color w:val="auto"/>
                <w:szCs w:val="21"/>
                <w:highlight w:val="none"/>
              </w:rPr>
              <w:t>1</w:t>
            </w:r>
            <w:r>
              <w:rPr>
                <w:rFonts w:hint="eastAsia" w:ascii="宋体" w:hAnsi="宋体"/>
                <w:color w:val="auto"/>
                <w:szCs w:val="21"/>
                <w:highlight w:val="none"/>
              </w:rPr>
              <w:t>分，缺少不得分。</w:t>
            </w:r>
          </w:p>
        </w:tc>
        <w:tc>
          <w:tcPr>
            <w:tcW w:w="967" w:type="dxa"/>
            <w:vAlign w:val="center"/>
          </w:tcPr>
          <w:p>
            <w:pPr>
              <w:jc w:val="center"/>
              <w:rPr>
                <w:rFonts w:ascii="宋体" w:hAnsi="宋体"/>
                <w:color w:val="auto"/>
                <w:szCs w:val="21"/>
                <w:highlight w:val="none"/>
                <w:u w:val="single"/>
              </w:rPr>
            </w:pPr>
            <w:r>
              <w:rPr>
                <w:rFonts w:ascii="宋体" w:hAnsi="宋体" w:cs="宋体"/>
                <w:color w:val="auto"/>
                <w:szCs w:val="21"/>
                <w:highlight w:val="none"/>
              </w:rPr>
              <w:t>1</w:t>
            </w:r>
            <w:r>
              <w:rPr>
                <w:rFonts w:hint="eastAsia" w:ascii="宋体" w:hAnsi="宋体" w:cs="宋体"/>
                <w:color w:val="auto"/>
                <w:szCs w:val="21"/>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jc w:val="center"/>
        </w:trPr>
        <w:tc>
          <w:tcPr>
            <w:tcW w:w="1441"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技术支持和本地化全方位服务响应</w:t>
            </w:r>
          </w:p>
        </w:tc>
        <w:tc>
          <w:tcPr>
            <w:tcW w:w="6558" w:type="dxa"/>
            <w:vAlign w:val="center"/>
          </w:tcPr>
          <w:p>
            <w:pPr>
              <w:spacing w:line="360" w:lineRule="auto"/>
              <w:rPr>
                <w:rFonts w:ascii="宋体" w:hAnsi="宋体"/>
                <w:color w:val="auto"/>
                <w:szCs w:val="21"/>
                <w:highlight w:val="none"/>
              </w:rPr>
            </w:pPr>
            <w:r>
              <w:rPr>
                <w:rFonts w:hint="eastAsia" w:ascii="宋体" w:hAnsi="宋体"/>
                <w:bCs/>
                <w:color w:val="auto"/>
                <w:szCs w:val="21"/>
                <w:highlight w:val="none"/>
              </w:rPr>
              <w:t>投标人在方案中是否承诺在中标后入库服务期限内提供</w:t>
            </w:r>
            <w:r>
              <w:rPr>
                <w:rFonts w:ascii="宋体" w:hAnsi="宋体"/>
                <w:bCs/>
                <w:color w:val="auto"/>
                <w:szCs w:val="21"/>
                <w:highlight w:val="none"/>
              </w:rPr>
              <w:t>7</w:t>
            </w:r>
            <w:r>
              <w:rPr>
                <w:rFonts w:hint="eastAsia" w:ascii="宋体" w:hAnsi="宋体"/>
                <w:bCs/>
                <w:color w:val="auto"/>
                <w:szCs w:val="21"/>
                <w:highlight w:val="none"/>
              </w:rPr>
              <w:t>×</w:t>
            </w:r>
            <w:r>
              <w:rPr>
                <w:rFonts w:ascii="宋体" w:hAnsi="宋体"/>
                <w:bCs/>
                <w:color w:val="auto"/>
                <w:szCs w:val="21"/>
                <w:highlight w:val="none"/>
              </w:rPr>
              <w:t>24</w:t>
            </w:r>
            <w:r>
              <w:rPr>
                <w:rFonts w:hint="eastAsia" w:ascii="宋体" w:hAnsi="宋体"/>
                <w:bCs/>
                <w:color w:val="auto"/>
                <w:szCs w:val="21"/>
                <w:highlight w:val="none"/>
              </w:rPr>
              <w:t>小时技术支持和项目勘验现场服务；是否承诺在合同执行过程中在许昌</w:t>
            </w:r>
            <w:r>
              <w:rPr>
                <w:rFonts w:hint="eastAsia" w:ascii="宋体" w:hAnsi="宋体" w:cs="宋体"/>
                <w:color w:val="auto"/>
                <w:szCs w:val="21"/>
                <w:highlight w:val="none"/>
              </w:rPr>
              <w:t>拟投入本项目注册会计师、工作人员为</w:t>
            </w:r>
            <w:r>
              <w:rPr>
                <w:rFonts w:hint="eastAsia" w:ascii="宋体" w:hAnsi="宋体"/>
                <w:bCs/>
                <w:color w:val="auto"/>
                <w:szCs w:val="21"/>
                <w:highlight w:val="none"/>
              </w:rPr>
              <w:t>常驻人员；是否在许昌设有相关办事机构</w:t>
            </w:r>
            <w:r>
              <w:rPr>
                <w:rFonts w:hint="eastAsia" w:ascii="宋体" w:hAnsi="宋体"/>
                <w:color w:val="auto"/>
                <w:szCs w:val="21"/>
                <w:highlight w:val="none"/>
              </w:rPr>
              <w:t>（提供相关证明材料如不动产登记证书（房产证）和租赁合同等）；</w:t>
            </w:r>
            <w:r>
              <w:rPr>
                <w:rFonts w:hint="eastAsia" w:ascii="宋体" w:hAnsi="宋体"/>
                <w:bCs/>
                <w:color w:val="auto"/>
                <w:szCs w:val="21"/>
                <w:highlight w:val="none"/>
              </w:rPr>
              <w:t>在用户提出服务需求后，是否能够及时做出响应迅速到达现场（即</w:t>
            </w:r>
            <w:r>
              <w:rPr>
                <w:rFonts w:hint="eastAsia" w:ascii="宋体" w:hAnsi="宋体"/>
                <w:color w:val="auto"/>
                <w:szCs w:val="21"/>
                <w:highlight w:val="none"/>
              </w:rPr>
              <w:t>响应时间）并有具体措施等进行打分。</w:t>
            </w:r>
          </w:p>
          <w:p>
            <w:pPr>
              <w:spacing w:line="360" w:lineRule="auto"/>
              <w:rPr>
                <w:rFonts w:ascii="宋体" w:hAnsi="宋体"/>
                <w:color w:val="auto"/>
                <w:szCs w:val="21"/>
                <w:highlight w:val="none"/>
              </w:rPr>
            </w:pPr>
            <w:r>
              <w:rPr>
                <w:rFonts w:hint="eastAsia" w:ascii="宋体" w:hAnsi="宋体"/>
                <w:color w:val="auto"/>
                <w:szCs w:val="21"/>
                <w:highlight w:val="none"/>
              </w:rPr>
              <w:t>一档：在许昌设置有办事机构，在方案中承诺提供7×24小时技术支持和项目勘验现场服务并且派常驻人员在30分钟内响应得8分；</w:t>
            </w:r>
          </w:p>
          <w:p>
            <w:pPr>
              <w:spacing w:line="360" w:lineRule="auto"/>
              <w:rPr>
                <w:rFonts w:ascii="宋体" w:hAnsi="宋体"/>
                <w:color w:val="auto"/>
                <w:szCs w:val="21"/>
                <w:highlight w:val="none"/>
              </w:rPr>
            </w:pPr>
            <w:r>
              <w:rPr>
                <w:rFonts w:hint="eastAsia" w:ascii="宋体" w:hAnsi="宋体"/>
                <w:color w:val="auto"/>
                <w:szCs w:val="21"/>
                <w:highlight w:val="none"/>
              </w:rPr>
              <w:t>二档：在许昌设置有办事机构，在方案中承诺提供7×24小时技术支持和项目勘验现场服务并且并且派常驻人员在一小时内响应得5分；</w:t>
            </w:r>
          </w:p>
          <w:p>
            <w:pPr>
              <w:spacing w:line="360" w:lineRule="auto"/>
              <w:rPr>
                <w:rFonts w:ascii="宋体" w:hAnsi="宋体"/>
                <w:color w:val="auto"/>
                <w:szCs w:val="21"/>
                <w:highlight w:val="none"/>
              </w:rPr>
            </w:pPr>
            <w:r>
              <w:rPr>
                <w:rFonts w:hint="eastAsia" w:ascii="宋体" w:hAnsi="宋体"/>
                <w:color w:val="auto"/>
                <w:szCs w:val="21"/>
                <w:highlight w:val="none"/>
              </w:rPr>
              <w:t>三挡：在许昌无设置办事机构，但在方案中承诺提供7×24小时技术支持和项目勘验现场服务并且并且派常驻人员在一小时内响应得2分；无承诺的不得分。</w:t>
            </w:r>
          </w:p>
          <w:p>
            <w:pPr>
              <w:spacing w:line="360" w:lineRule="auto"/>
              <w:rPr>
                <w:rFonts w:ascii="宋体" w:hAnsi="宋体"/>
                <w:bCs/>
                <w:color w:val="auto"/>
                <w:szCs w:val="21"/>
                <w:highlight w:val="none"/>
              </w:rPr>
            </w:pPr>
            <w:r>
              <w:rPr>
                <w:rFonts w:hint="eastAsia" w:ascii="宋体" w:hAnsi="宋体"/>
                <w:b/>
                <w:bCs/>
                <w:color w:val="auto"/>
                <w:szCs w:val="21"/>
                <w:highlight w:val="none"/>
              </w:rPr>
              <w:t>（“响应时间”是指在项目委托人提出服务需求后，投标人从接到需求做出响应时至到达现场时的时间）</w:t>
            </w:r>
          </w:p>
        </w:tc>
        <w:tc>
          <w:tcPr>
            <w:tcW w:w="967" w:type="dxa"/>
            <w:vAlign w:val="center"/>
          </w:tcPr>
          <w:p>
            <w:pPr>
              <w:jc w:val="center"/>
              <w:rPr>
                <w:rFonts w:ascii="宋体" w:hAns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分</w:t>
            </w:r>
          </w:p>
        </w:tc>
      </w:tr>
    </w:tbl>
    <w:p>
      <w:pPr>
        <w:pStyle w:val="28"/>
        <w:spacing w:line="360" w:lineRule="auto"/>
        <w:ind w:firstLine="482" w:firstLineChars="200"/>
        <w:contextualSpacing/>
        <w:rPr>
          <w:rFonts w:ascii="宋体" w:hAnsi="宋体" w:cs="仿宋_GB2312"/>
          <w:b/>
          <w:color w:val="auto"/>
          <w:szCs w:val="24"/>
          <w:highlight w:val="none"/>
        </w:rPr>
      </w:pPr>
      <w:r>
        <w:rPr>
          <w:rFonts w:hint="eastAsia" w:ascii="宋体" w:hAnsi="宋体" w:cs="仿宋_GB2312"/>
          <w:b/>
          <w:color w:val="auto"/>
          <w:szCs w:val="24"/>
          <w:highlight w:val="none"/>
        </w:rPr>
        <w:t>特别说明：</w:t>
      </w:r>
    </w:p>
    <w:p>
      <w:pPr>
        <w:pStyle w:val="28"/>
        <w:spacing w:line="360" w:lineRule="auto"/>
        <w:ind w:firstLine="482" w:firstLineChars="200"/>
        <w:contextualSpacing/>
        <w:rPr>
          <w:rFonts w:ascii="宋体" w:hAnsi="宋体" w:cs="仿宋_GB2312"/>
          <w:b/>
          <w:color w:val="auto"/>
          <w:szCs w:val="24"/>
          <w:highlight w:val="none"/>
        </w:rPr>
      </w:pPr>
      <w:r>
        <w:rPr>
          <w:rFonts w:hint="eastAsia" w:ascii="宋体" w:hAnsi="宋体" w:cs="仿宋_GB2312"/>
          <w:b/>
          <w:color w:val="auto"/>
          <w:szCs w:val="24"/>
          <w:highlight w:val="none"/>
        </w:rPr>
        <w:t>1、如招标人在某一项认定上出现意见分歧，</w:t>
      </w:r>
      <w:r>
        <w:rPr>
          <w:rFonts w:hint="eastAsia" w:ascii="宋体" w:hAnsi="宋体" w:cs="仿宋_GB2312"/>
          <w:b/>
          <w:color w:val="auto"/>
          <w:szCs w:val="24"/>
          <w:highlight w:val="none"/>
        </w:rPr>
        <w:t>由</w:t>
      </w:r>
      <w:r>
        <w:rPr>
          <w:rFonts w:hint="eastAsia" w:ascii="宋体" w:hAnsi="宋体" w:cs="仿宋_GB2312"/>
          <w:b/>
          <w:color w:val="auto"/>
          <w:szCs w:val="24"/>
          <w:highlight w:val="none"/>
        </w:rPr>
        <w:t>评标委员会进行表决，以少数服从多数决定原则定，并作记录。</w:t>
      </w:r>
    </w:p>
    <w:p>
      <w:pPr>
        <w:pStyle w:val="28"/>
        <w:spacing w:line="360" w:lineRule="auto"/>
        <w:ind w:firstLine="482" w:firstLineChars="200"/>
        <w:contextualSpacing/>
        <w:rPr>
          <w:rFonts w:ascii="宋体" w:hAnsi="宋体" w:cs="仿宋_GB2312"/>
          <w:b/>
          <w:color w:val="auto"/>
          <w:szCs w:val="24"/>
          <w:highlight w:val="none"/>
        </w:rPr>
      </w:pPr>
      <w:r>
        <w:rPr>
          <w:rFonts w:hint="eastAsia" w:ascii="宋体" w:hAnsi="宋体" w:cs="仿宋_GB2312"/>
          <w:b/>
          <w:color w:val="auto"/>
          <w:szCs w:val="24"/>
          <w:highlight w:val="none"/>
        </w:rPr>
        <w:t>2、如招标人一致认为投标人最低报价或某些分项报价明显不合理，有降低质量、不能诚信履约的可能时，招标小组有权通知投标人进行解释。如投标人未能在规定期限内作出解释，或所作解释不合理，经招标小组取得一致意见后，对该投标人将不予推荐。</w:t>
      </w:r>
    </w:p>
    <w:p>
      <w:pPr>
        <w:pStyle w:val="28"/>
        <w:spacing w:line="360" w:lineRule="auto"/>
        <w:ind w:firstLine="482" w:firstLineChars="200"/>
        <w:contextualSpacing/>
        <w:rPr>
          <w:rFonts w:ascii="宋体" w:hAnsi="宋体" w:cs="仿宋_GB2312"/>
          <w:color w:val="auto"/>
          <w:szCs w:val="24"/>
          <w:highlight w:val="none"/>
          <w:lang w:val="zh-CN"/>
        </w:rPr>
      </w:pPr>
      <w:r>
        <w:rPr>
          <w:rFonts w:hint="eastAsia" w:ascii="宋体" w:hAnsi="宋体" w:cs="仿宋_GB2312"/>
          <w:b/>
          <w:color w:val="auto"/>
          <w:szCs w:val="24"/>
          <w:highlight w:val="none"/>
          <w:lang w:val="zh-CN"/>
        </w:rPr>
        <w:t>3、</w:t>
      </w:r>
      <w:r>
        <w:rPr>
          <w:rFonts w:ascii="宋体" w:hAnsi="宋体" w:cs="仿宋_GB2312"/>
          <w:b/>
          <w:color w:val="auto"/>
          <w:szCs w:val="24"/>
          <w:highlight w:val="none"/>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color w:val="auto"/>
          <w:sz w:val="24"/>
          <w:szCs w:val="24"/>
          <w:highlight w:val="none"/>
          <w:lang w:val="zh-CN"/>
        </w:rPr>
      </w:pPr>
      <w:r>
        <w:rPr>
          <w:rFonts w:hint="eastAsia" w:ascii="宋体" w:hAnsi="宋体" w:cs="仿宋_GB2312"/>
          <w:color w:val="auto"/>
          <w:sz w:val="24"/>
          <w:szCs w:val="24"/>
          <w:highlight w:val="none"/>
          <w:lang w:val="zh-CN"/>
        </w:rPr>
        <w:t xml:space="preserve">1） </w:t>
      </w:r>
      <w:r>
        <w:rPr>
          <w:rFonts w:ascii="宋体" w:hAnsi="宋体" w:cs="仿宋_GB2312"/>
          <w:color w:val="auto"/>
          <w:sz w:val="24"/>
          <w:szCs w:val="24"/>
          <w:highlight w:val="none"/>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color w:val="auto"/>
          <w:sz w:val="24"/>
          <w:szCs w:val="24"/>
          <w:highlight w:val="none"/>
          <w:lang w:val="zh-CN"/>
        </w:rPr>
      </w:pPr>
      <w:r>
        <w:rPr>
          <w:rFonts w:hint="eastAsia" w:ascii="宋体" w:hAnsi="宋体" w:cs="仿宋_GB2312"/>
          <w:color w:val="auto"/>
          <w:sz w:val="24"/>
          <w:szCs w:val="24"/>
          <w:highlight w:val="none"/>
          <w:lang w:val="zh-CN"/>
        </w:rPr>
        <w:t xml:space="preserve">2） </w:t>
      </w:r>
      <w:r>
        <w:rPr>
          <w:rFonts w:ascii="宋体" w:hAnsi="宋体" w:cs="仿宋_GB2312"/>
          <w:color w:val="auto"/>
          <w:sz w:val="24"/>
          <w:szCs w:val="24"/>
          <w:highlight w:val="none"/>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color w:val="auto"/>
          <w:sz w:val="24"/>
          <w:szCs w:val="24"/>
          <w:highlight w:val="none"/>
          <w:lang w:val="zh-CN"/>
        </w:rPr>
      </w:pPr>
      <w:r>
        <w:rPr>
          <w:rFonts w:hint="eastAsia" w:ascii="宋体" w:hAnsi="宋体" w:cs="仿宋_GB2312"/>
          <w:color w:val="auto"/>
          <w:sz w:val="24"/>
          <w:szCs w:val="24"/>
          <w:highlight w:val="none"/>
          <w:lang w:val="zh-CN"/>
        </w:rPr>
        <w:t xml:space="preserve">3） </w:t>
      </w:r>
      <w:r>
        <w:rPr>
          <w:rFonts w:ascii="宋体" w:hAnsi="宋体" w:cs="仿宋_GB2312"/>
          <w:color w:val="auto"/>
          <w:sz w:val="24"/>
          <w:szCs w:val="24"/>
          <w:highlight w:val="none"/>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color w:val="auto"/>
          <w:sz w:val="24"/>
          <w:szCs w:val="24"/>
          <w:highlight w:val="none"/>
          <w:lang w:val="zh-CN"/>
        </w:rPr>
      </w:pPr>
      <w:r>
        <w:rPr>
          <w:rFonts w:hint="eastAsia" w:ascii="宋体" w:hAnsi="宋体" w:cs="仿宋_GB2312"/>
          <w:color w:val="auto"/>
          <w:sz w:val="24"/>
          <w:szCs w:val="24"/>
          <w:highlight w:val="none"/>
          <w:lang w:val="zh-CN"/>
        </w:rPr>
        <w:t xml:space="preserve">4） </w:t>
      </w:r>
      <w:r>
        <w:rPr>
          <w:rFonts w:ascii="宋体" w:hAnsi="宋体" w:cs="仿宋_GB2312"/>
          <w:color w:val="auto"/>
          <w:sz w:val="24"/>
          <w:szCs w:val="24"/>
          <w:highlight w:val="none"/>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color w:val="auto"/>
          <w:sz w:val="24"/>
          <w:szCs w:val="24"/>
          <w:highlight w:val="none"/>
          <w:lang w:val="zh-CN"/>
        </w:rPr>
      </w:pPr>
      <w:r>
        <w:rPr>
          <w:rFonts w:ascii="宋体" w:hAnsi="宋体" w:cs="仿宋_GB2312"/>
          <w:color w:val="auto"/>
          <w:sz w:val="24"/>
          <w:szCs w:val="24"/>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color w:val="auto"/>
          <w:sz w:val="24"/>
          <w:szCs w:val="24"/>
          <w:highlight w:val="none"/>
          <w:lang w:val="zh-CN"/>
        </w:rPr>
      </w:pPr>
      <w:r>
        <w:rPr>
          <w:rFonts w:ascii="宋体" w:hAnsi="宋体" w:cs="仿宋_GB2312"/>
          <w:color w:val="auto"/>
          <w:sz w:val="24"/>
          <w:szCs w:val="24"/>
          <w:highlight w:val="none"/>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cs="仿宋_GB2312"/>
          <w:b/>
          <w:color w:val="auto"/>
          <w:sz w:val="24"/>
          <w:szCs w:val="24"/>
          <w:highlight w:val="none"/>
          <w:lang w:val="zh-CN"/>
        </w:rPr>
      </w:pPr>
      <w:r>
        <w:rPr>
          <w:rFonts w:hint="eastAsia" w:ascii="宋体" w:hAnsi="宋体" w:cs="仿宋_GB2312"/>
          <w:b/>
          <w:color w:val="auto"/>
          <w:sz w:val="24"/>
          <w:szCs w:val="24"/>
          <w:highlight w:val="none"/>
          <w:lang w:val="zh-CN"/>
        </w:rPr>
        <w:t>（4）</w:t>
      </w:r>
      <w:r>
        <w:rPr>
          <w:rFonts w:ascii="宋体" w:hAnsi="宋体" w:cs="仿宋_GB2312"/>
          <w:b/>
          <w:color w:val="auto"/>
          <w:sz w:val="24"/>
          <w:szCs w:val="24"/>
          <w:highlight w:val="none"/>
          <w:lang w:val="zh-CN"/>
        </w:rPr>
        <w:t>评标委员会</w:t>
      </w:r>
      <w:r>
        <w:rPr>
          <w:rFonts w:hint="eastAsia" w:ascii="宋体" w:hAnsi="宋体" w:cs="仿宋_GB2312"/>
          <w:b/>
          <w:color w:val="auto"/>
          <w:sz w:val="24"/>
          <w:szCs w:val="24"/>
          <w:highlight w:val="none"/>
          <w:lang w:val="zh-CN"/>
        </w:rPr>
        <w:t>争议处理</w:t>
      </w:r>
    </w:p>
    <w:p>
      <w:pPr>
        <w:tabs>
          <w:tab w:val="left" w:pos="1260"/>
        </w:tabs>
        <w:autoSpaceDE w:val="0"/>
        <w:autoSpaceDN w:val="0"/>
        <w:spacing w:line="360" w:lineRule="auto"/>
        <w:ind w:firstLine="480" w:firstLineChars="200"/>
        <w:contextualSpacing/>
        <w:rPr>
          <w:rFonts w:ascii="宋体" w:hAnsi="宋体" w:cs="仿宋_GB2312"/>
          <w:color w:val="auto"/>
          <w:sz w:val="24"/>
          <w:szCs w:val="24"/>
          <w:highlight w:val="none"/>
          <w:lang w:val="zh-CN"/>
        </w:rPr>
      </w:pPr>
      <w:r>
        <w:rPr>
          <w:rFonts w:ascii="宋体" w:hAnsi="宋体" w:cs="仿宋_GB2312"/>
          <w:color w:val="auto"/>
          <w:sz w:val="24"/>
          <w:szCs w:val="24"/>
          <w:highlight w:val="none"/>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cs="仿宋_GB2312"/>
          <w:b/>
          <w:color w:val="auto"/>
          <w:sz w:val="24"/>
          <w:szCs w:val="24"/>
          <w:highlight w:val="none"/>
          <w:lang w:val="zh-CN"/>
        </w:rPr>
      </w:pPr>
      <w:r>
        <w:rPr>
          <w:rFonts w:hint="eastAsia" w:ascii="宋体" w:hAnsi="宋体" w:cs="仿宋_GB2312"/>
          <w:b/>
          <w:color w:val="auto"/>
          <w:sz w:val="24"/>
          <w:szCs w:val="24"/>
          <w:highlight w:val="none"/>
          <w:lang w:val="zh-CN"/>
        </w:rPr>
        <w:t>4、根据招标文件</w:t>
      </w:r>
      <w:r>
        <w:rPr>
          <w:rFonts w:hint="eastAsia" w:ascii="宋体" w:hAnsi="宋体" w:cs="仿宋_GB2312"/>
          <w:b/>
          <w:color w:val="auto"/>
          <w:sz w:val="24"/>
          <w:szCs w:val="24"/>
          <w:highlight w:val="none"/>
        </w:rPr>
        <w:t>31.2的规定</w:t>
      </w:r>
      <w:r>
        <w:rPr>
          <w:rFonts w:hint="eastAsia" w:ascii="宋体" w:hAnsi="宋体" w:cs="仿宋_GB2312"/>
          <w:b/>
          <w:color w:val="auto"/>
          <w:sz w:val="24"/>
          <w:szCs w:val="24"/>
          <w:highlight w:val="none"/>
          <w:lang w:val="zh-CN"/>
        </w:rPr>
        <w:t>确定中标候选人名单。</w:t>
      </w:r>
    </w:p>
    <w:p>
      <w:pPr>
        <w:adjustRightInd w:val="0"/>
        <w:snapToGrid w:val="0"/>
        <w:spacing w:line="360" w:lineRule="auto"/>
        <w:ind w:firstLine="420" w:firstLineChars="200"/>
        <w:rPr>
          <w:rFonts w:ascii="宋体" w:hAnsi="宋体" w:cs="Courier New"/>
          <w:color w:val="auto"/>
          <w:szCs w:val="21"/>
          <w:highlight w:val="none"/>
        </w:rPr>
      </w:pPr>
    </w:p>
    <w:p>
      <w:pPr>
        <w:adjustRightInd w:val="0"/>
        <w:snapToGrid w:val="0"/>
        <w:spacing w:line="360" w:lineRule="auto"/>
        <w:ind w:firstLine="420" w:firstLineChars="200"/>
        <w:rPr>
          <w:rFonts w:ascii="宋体" w:hAnsi="宋体" w:cs="Courier New"/>
          <w:color w:val="auto"/>
          <w:szCs w:val="21"/>
          <w:highlight w:val="none"/>
        </w:rPr>
      </w:pPr>
    </w:p>
    <w:p>
      <w:pPr>
        <w:pStyle w:val="28"/>
        <w:spacing w:line="360" w:lineRule="auto"/>
        <w:contextualSpacing/>
        <w:jc w:val="center"/>
        <w:rPr>
          <w:rFonts w:ascii="宋体" w:hAnsi="宋体" w:cs="宋体"/>
          <w:b/>
          <w:color w:val="auto"/>
          <w:kern w:val="0"/>
          <w:sz w:val="36"/>
          <w:szCs w:val="36"/>
          <w:highlight w:val="none"/>
        </w:rPr>
      </w:pPr>
    </w:p>
    <w:p>
      <w:pPr>
        <w:pStyle w:val="28"/>
        <w:spacing w:line="360" w:lineRule="auto"/>
        <w:contextualSpacing/>
        <w:jc w:val="center"/>
        <w:rPr>
          <w:rFonts w:ascii="宋体" w:hAnsi="宋体" w:cs="宋体"/>
          <w:b/>
          <w:color w:val="auto"/>
          <w:kern w:val="0"/>
          <w:sz w:val="36"/>
          <w:szCs w:val="36"/>
          <w:highlight w:val="none"/>
        </w:rPr>
      </w:pPr>
    </w:p>
    <w:p>
      <w:pPr>
        <w:pStyle w:val="28"/>
        <w:spacing w:line="360" w:lineRule="auto"/>
        <w:contextualSpacing/>
        <w:jc w:val="center"/>
        <w:rPr>
          <w:rFonts w:ascii="宋体" w:hAnsi="宋体" w:cs="宋体"/>
          <w:b/>
          <w:color w:val="auto"/>
          <w:kern w:val="0"/>
          <w:sz w:val="36"/>
          <w:szCs w:val="36"/>
          <w:highlight w:val="none"/>
        </w:rPr>
      </w:pPr>
    </w:p>
    <w:p>
      <w:pPr>
        <w:pStyle w:val="28"/>
        <w:spacing w:line="360" w:lineRule="auto"/>
        <w:contextualSpacing/>
        <w:jc w:val="center"/>
        <w:rPr>
          <w:rFonts w:ascii="宋体" w:hAnsi="宋体" w:cs="宋体"/>
          <w:b/>
          <w:color w:val="auto"/>
          <w:kern w:val="0"/>
          <w:sz w:val="36"/>
          <w:szCs w:val="36"/>
          <w:highlight w:val="none"/>
        </w:rPr>
      </w:pPr>
    </w:p>
    <w:p>
      <w:pPr>
        <w:pStyle w:val="28"/>
        <w:spacing w:line="360" w:lineRule="auto"/>
        <w:contextualSpacing/>
        <w:jc w:val="center"/>
        <w:rPr>
          <w:rFonts w:ascii="宋体" w:hAnsi="宋体" w:cs="宋体"/>
          <w:b/>
          <w:color w:val="auto"/>
          <w:kern w:val="0"/>
          <w:sz w:val="36"/>
          <w:szCs w:val="36"/>
          <w:highlight w:val="none"/>
        </w:rPr>
      </w:pPr>
    </w:p>
    <w:p>
      <w:pPr>
        <w:pStyle w:val="28"/>
        <w:spacing w:line="360" w:lineRule="auto"/>
        <w:contextualSpacing/>
        <w:jc w:val="center"/>
        <w:rPr>
          <w:rFonts w:ascii="宋体" w:hAnsi="宋体" w:cs="宋体"/>
          <w:b/>
          <w:color w:val="auto"/>
          <w:kern w:val="0"/>
          <w:sz w:val="36"/>
          <w:szCs w:val="36"/>
          <w:highlight w:val="none"/>
        </w:rPr>
      </w:pPr>
    </w:p>
    <w:p>
      <w:pPr>
        <w:pStyle w:val="28"/>
        <w:spacing w:line="360" w:lineRule="auto"/>
        <w:contextualSpacing/>
        <w:jc w:val="center"/>
        <w:rPr>
          <w:rFonts w:ascii="宋体" w:hAnsi="宋体" w:cs="宋体"/>
          <w:b/>
          <w:color w:val="auto"/>
          <w:kern w:val="0"/>
          <w:sz w:val="36"/>
          <w:szCs w:val="36"/>
          <w:highlight w:val="none"/>
        </w:rPr>
      </w:pPr>
    </w:p>
    <w:p>
      <w:pPr>
        <w:widowControl/>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pStyle w:val="28"/>
        <w:spacing w:line="360" w:lineRule="auto"/>
        <w:contextualSpacing/>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第七章 合同条款及格式</w:t>
      </w:r>
    </w:p>
    <w:p>
      <w:pPr>
        <w:spacing w:line="360" w:lineRule="auto"/>
        <w:jc w:val="center"/>
        <w:rPr>
          <w:rFonts w:ascii="宋体" w:hAnsi="宋体" w:cs="微软雅黑"/>
          <w:b/>
          <w:bCs/>
          <w:color w:val="auto"/>
          <w:sz w:val="24"/>
          <w:szCs w:val="24"/>
          <w:highlight w:val="none"/>
        </w:rPr>
      </w:pPr>
      <w:r>
        <w:rPr>
          <w:rFonts w:hint="eastAsia" w:ascii="宋体" w:hAnsi="宋体" w:cs="微软雅黑"/>
          <w:b/>
          <w:bCs/>
          <w:color w:val="auto"/>
          <w:sz w:val="24"/>
          <w:szCs w:val="24"/>
          <w:highlight w:val="none"/>
        </w:rPr>
        <w:t>（此合同仅供参考。以最终采购人与中标人签定的合同条款为准进行公示，</w:t>
      </w:r>
    </w:p>
    <w:p>
      <w:pPr>
        <w:spacing w:line="360" w:lineRule="auto"/>
        <w:jc w:val="center"/>
        <w:rPr>
          <w:rFonts w:ascii="宋体" w:hAnsi="宋体" w:cs="微软雅黑"/>
          <w:b/>
          <w:bCs/>
          <w:color w:val="auto"/>
          <w:sz w:val="24"/>
          <w:szCs w:val="24"/>
          <w:highlight w:val="none"/>
        </w:rPr>
      </w:pPr>
      <w:r>
        <w:rPr>
          <w:rFonts w:hint="eastAsia" w:ascii="宋体" w:hAnsi="宋体" w:cs="微软雅黑"/>
          <w:b/>
          <w:bCs/>
          <w:color w:val="auto"/>
          <w:sz w:val="24"/>
          <w:szCs w:val="24"/>
          <w:highlight w:val="none"/>
        </w:rPr>
        <w:t>最终签定合同的主要条款不能与招标文件有冲突）</w:t>
      </w:r>
    </w:p>
    <w:p>
      <w:pPr>
        <w:pStyle w:val="41"/>
        <w:jc w:val="center"/>
        <w:rPr>
          <w:rFonts w:ascii="宋体" w:hAnsi="宋体" w:eastAsia="宋体"/>
          <w:color w:val="auto"/>
          <w:sz w:val="21"/>
          <w:szCs w:val="21"/>
          <w:highlight w:val="none"/>
        </w:rPr>
      </w:pPr>
      <w:r>
        <w:rPr>
          <w:rFonts w:hint="eastAsia" w:ascii="宋体" w:hAnsi="宋体" w:eastAsia="宋体"/>
          <w:b/>
          <w:bCs/>
          <w:color w:val="auto"/>
          <w:szCs w:val="28"/>
          <w:highlight w:val="none"/>
        </w:rPr>
        <w:t>政府购买资产评估机构服务合同</w:t>
      </w:r>
    </w:p>
    <w:p>
      <w:pPr>
        <w:widowControl/>
        <w:shd w:val="clear" w:color="auto" w:fill="FFFFFF"/>
        <w:spacing w:line="360" w:lineRule="auto"/>
        <w:jc w:val="left"/>
        <w:rPr>
          <w:rFonts w:ascii="宋体" w:hAnsi="宋体" w:cs="宋体"/>
          <w:color w:val="auto"/>
          <w:kern w:val="0"/>
          <w:szCs w:val="21"/>
          <w:highlight w:val="none"/>
        </w:rPr>
      </w:pPr>
    </w:p>
    <w:p>
      <w:pPr>
        <w:autoSpaceDE w:val="0"/>
        <w:autoSpaceDN w:val="0"/>
        <w:adjustRightInd w:val="0"/>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第一部分协议书</w:t>
      </w:r>
    </w:p>
    <w:p>
      <w:pPr>
        <w:autoSpaceDE w:val="0"/>
        <w:autoSpaceDN w:val="0"/>
        <w:adjustRightInd w:val="0"/>
        <w:spacing w:line="360" w:lineRule="auto"/>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政府购买服务主体（全称）：</w:t>
      </w:r>
    </w:p>
    <w:p>
      <w:pPr>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承接政府购买服务主体（全称）：</w:t>
      </w:r>
    </w:p>
    <w:p>
      <w:pPr>
        <w:tabs>
          <w:tab w:val="left" w:pos="4620"/>
        </w:tabs>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中标人进入许昌市东城区财政投资评审和统计中心“会计事务所库”，接受委托参与政府</w:t>
      </w:r>
      <w:r>
        <w:rPr>
          <w:rFonts w:hint="eastAsia" w:ascii="宋体" w:hAnsi="宋体" w:cs="宋体"/>
          <w:color w:val="auto"/>
          <w:sz w:val="24"/>
          <w:szCs w:val="24"/>
          <w:highlight w:val="none"/>
        </w:rPr>
        <w:t>购买中介机构服务，待有项目需要服务时，投标人根据招标文件规定再与委托单位订立书面合同。</w:t>
      </w:r>
      <w:r>
        <w:rPr>
          <w:rFonts w:hint="eastAsia" w:ascii="宋体" w:hAnsi="宋体" w:cs="宋体"/>
          <w:color w:val="auto"/>
          <w:kern w:val="0"/>
          <w:sz w:val="24"/>
          <w:szCs w:val="24"/>
          <w:highlight w:val="none"/>
        </w:rPr>
        <w:t>根据《中华人民共和国合同法》及其他有关法律法规，遵循平等、自愿、公平和诚实信用的原则，双方就下述服务事项协商一致，订立本协议书。</w:t>
      </w:r>
    </w:p>
    <w:p>
      <w:pPr>
        <w:widowControl/>
        <w:shd w:val="clear" w:color="auto" w:fill="FFFFFF"/>
        <w:spacing w:line="360" w:lineRule="auto"/>
        <w:jc w:val="left"/>
        <w:rPr>
          <w:rFonts w:ascii="宋体" w:hAnsi="宋体" w:cs="宋体"/>
          <w:color w:val="auto"/>
          <w:kern w:val="0"/>
          <w:sz w:val="24"/>
          <w:highlight w:val="none"/>
        </w:rPr>
      </w:pPr>
      <w:r>
        <w:rPr>
          <w:rFonts w:ascii="宋体" w:hAnsi="宋体" w:cs="宋体"/>
          <w:color w:val="auto"/>
          <w:kern w:val="0"/>
          <w:sz w:val="24"/>
          <w:highlight w:val="none"/>
        </w:rPr>
        <w:t>一、</w:t>
      </w:r>
      <w:r>
        <w:rPr>
          <w:rFonts w:hint="eastAsia" w:ascii="宋体" w:hAnsi="宋体" w:cs="宋体"/>
          <w:color w:val="auto"/>
          <w:kern w:val="0"/>
          <w:sz w:val="24"/>
          <w:highlight w:val="none"/>
        </w:rPr>
        <w:t>购买服务</w:t>
      </w:r>
      <w:r>
        <w:rPr>
          <w:rFonts w:ascii="宋体" w:hAnsi="宋体" w:cs="宋体"/>
          <w:color w:val="auto"/>
          <w:kern w:val="0"/>
          <w:sz w:val="24"/>
          <w:highlight w:val="none"/>
        </w:rPr>
        <w:t>事项</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rPr>
        <w:t>（以下简称委托人）委托</w:t>
      </w:r>
      <w:r>
        <w:rPr>
          <w:rFonts w:ascii="宋体" w:hAnsi="宋体" w:cs="宋体"/>
          <w:color w:val="auto"/>
          <w:kern w:val="0"/>
          <w:sz w:val="24"/>
          <w:highlight w:val="none"/>
          <w:u w:val="single"/>
        </w:rPr>
        <w:t>        </w:t>
      </w:r>
      <w:r>
        <w:rPr>
          <w:rFonts w:ascii="宋体" w:hAnsi="宋体" w:cs="宋体"/>
          <w:color w:val="auto"/>
          <w:kern w:val="0"/>
          <w:sz w:val="24"/>
          <w:highlight w:val="none"/>
        </w:rPr>
        <w:t>会计师事务所（以下简称受托人）</w:t>
      </w:r>
      <w:r>
        <w:rPr>
          <w:rFonts w:hint="eastAsia" w:ascii="宋体" w:hAnsi="宋体" w:cs="宋体"/>
          <w:color w:val="auto"/>
          <w:kern w:val="0"/>
          <w:sz w:val="24"/>
          <w:highlight w:val="none"/>
        </w:rPr>
        <w:t xml:space="preserve">对 </w:t>
      </w:r>
      <w:r>
        <w:rPr>
          <w:rFonts w:ascii="宋体" w:hAnsi="宋体" w:cs="宋体"/>
          <w:color w:val="auto"/>
          <w:kern w:val="0"/>
          <w:sz w:val="24"/>
          <w:highlight w:val="none"/>
          <w:u w:val="single"/>
        </w:rPr>
        <w:t>      </w:t>
      </w:r>
      <w:r>
        <w:rPr>
          <w:rFonts w:hint="eastAsia" w:ascii="宋体" w:hAnsi="宋体" w:cs="宋体"/>
          <w:color w:val="auto"/>
          <w:kern w:val="0"/>
          <w:sz w:val="24"/>
          <w:highlight w:val="none"/>
        </w:rPr>
        <w:t>项目</w:t>
      </w:r>
      <w:r>
        <w:rPr>
          <w:rFonts w:ascii="宋体" w:hAnsi="宋体" w:cs="宋体"/>
          <w:color w:val="auto"/>
          <w:kern w:val="0"/>
          <w:sz w:val="24"/>
          <w:highlight w:val="none"/>
        </w:rPr>
        <w:t>进行</w:t>
      </w:r>
      <w:r>
        <w:rPr>
          <w:rFonts w:hint="eastAsia" w:ascii="宋体" w:hAnsi="宋体" w:cs="宋体"/>
          <w:color w:val="auto"/>
          <w:kern w:val="0"/>
          <w:sz w:val="24"/>
          <w:szCs w:val="24"/>
          <w:highlight w:val="none"/>
        </w:rPr>
        <w:t>审计、清产核资与其他服务事项</w:t>
      </w:r>
      <w:r>
        <w:rPr>
          <w:rFonts w:hint="eastAsia" w:ascii="宋体" w:hAnsi="宋体" w:cs="宋体"/>
          <w:color w:val="auto"/>
          <w:kern w:val="0"/>
          <w:sz w:val="24"/>
          <w:highlight w:val="none"/>
        </w:rPr>
        <w:t>。</w:t>
      </w:r>
      <w:r>
        <w:rPr>
          <w:rFonts w:ascii="宋体" w:hAnsi="宋体" w:cs="宋体"/>
          <w:color w:val="auto"/>
          <w:kern w:val="0"/>
          <w:sz w:val="24"/>
          <w:highlight w:val="none"/>
        </w:rPr>
        <w:t>本项</w:t>
      </w:r>
      <w:r>
        <w:rPr>
          <w:rFonts w:hint="eastAsia" w:ascii="宋体" w:hAnsi="宋体" w:cs="宋体"/>
          <w:color w:val="auto"/>
          <w:kern w:val="0"/>
          <w:sz w:val="24"/>
          <w:highlight w:val="none"/>
        </w:rPr>
        <w:t>服务</w:t>
      </w:r>
      <w:r>
        <w:rPr>
          <w:rFonts w:ascii="宋体" w:hAnsi="宋体" w:cs="宋体"/>
          <w:color w:val="auto"/>
          <w:kern w:val="0"/>
          <w:sz w:val="24"/>
          <w:highlight w:val="none"/>
        </w:rPr>
        <w:t>业务在</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ascii="宋体" w:hAnsi="宋体" w:cs="宋体"/>
          <w:color w:val="auto"/>
          <w:kern w:val="0"/>
          <w:sz w:val="24"/>
          <w:highlight w:val="none"/>
          <w:u w:val="single"/>
        </w:rPr>
        <w:t> </w:t>
      </w:r>
      <w:r>
        <w:rPr>
          <w:rFonts w:ascii="宋体" w:hAnsi="宋体" w:cs="宋体"/>
          <w:color w:val="auto"/>
          <w:kern w:val="0"/>
          <w:sz w:val="24"/>
          <w:highlight w:val="none"/>
        </w:rPr>
        <w:t>月</w:t>
      </w:r>
      <w:r>
        <w:rPr>
          <w:rFonts w:ascii="宋体" w:hAnsi="宋体" w:cs="宋体"/>
          <w:color w:val="auto"/>
          <w:kern w:val="0"/>
          <w:sz w:val="24"/>
          <w:highlight w:val="none"/>
          <w:u w:val="single"/>
        </w:rPr>
        <w:t>  </w:t>
      </w:r>
      <w:r>
        <w:rPr>
          <w:rFonts w:ascii="宋体" w:hAnsi="宋体" w:cs="宋体"/>
          <w:color w:val="auto"/>
          <w:kern w:val="0"/>
          <w:sz w:val="24"/>
          <w:highlight w:val="none"/>
        </w:rPr>
        <w:t>日</w:t>
      </w:r>
      <w:r>
        <w:rPr>
          <w:rFonts w:hint="eastAsia" w:ascii="宋体" w:hAnsi="宋体" w:cs="宋体"/>
          <w:color w:val="auto"/>
          <w:kern w:val="0"/>
          <w:sz w:val="24"/>
          <w:highlight w:val="none"/>
        </w:rPr>
        <w:t xml:space="preserve"> 至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w:t>
      </w:r>
      <w:r>
        <w:rPr>
          <w:rFonts w:ascii="宋体" w:hAnsi="宋体" w:cs="宋体"/>
          <w:color w:val="auto"/>
          <w:kern w:val="0"/>
          <w:sz w:val="24"/>
          <w:highlight w:val="none"/>
        </w:rPr>
        <w:t>月</w:t>
      </w:r>
      <w:r>
        <w:rPr>
          <w:rFonts w:ascii="宋体" w:hAnsi="宋体" w:cs="宋体"/>
          <w:color w:val="auto"/>
          <w:kern w:val="0"/>
          <w:sz w:val="24"/>
          <w:highlight w:val="none"/>
          <w:u w:val="single"/>
        </w:rPr>
        <w:t> </w:t>
      </w:r>
      <w:r>
        <w:rPr>
          <w:rFonts w:ascii="宋体" w:hAnsi="宋体" w:cs="宋体"/>
          <w:color w:val="auto"/>
          <w:kern w:val="0"/>
          <w:sz w:val="24"/>
          <w:highlight w:val="none"/>
        </w:rPr>
        <w:t>日内完成。如有特殊情形可适当延长。</w:t>
      </w:r>
    </w:p>
    <w:p>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二、</w:t>
      </w:r>
      <w:r>
        <w:rPr>
          <w:rFonts w:hint="eastAsia" w:ascii="宋体" w:hAnsi="宋体" w:cs="宋体"/>
          <w:color w:val="auto"/>
          <w:kern w:val="0"/>
          <w:sz w:val="24"/>
          <w:highlight w:val="none"/>
        </w:rPr>
        <w:t>费</w:t>
      </w:r>
      <w:r>
        <w:rPr>
          <w:rFonts w:ascii="宋体" w:hAnsi="宋体" w:cs="宋体"/>
          <w:color w:val="auto"/>
          <w:kern w:val="0"/>
          <w:sz w:val="24"/>
          <w:highlight w:val="none"/>
        </w:rPr>
        <w:t>用及支付方式</w:t>
      </w:r>
    </w:p>
    <w:p>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费用按照</w:t>
      </w:r>
      <w:r>
        <w:rPr>
          <w:rFonts w:hint="eastAsia" w:ascii="宋体" w:hAnsi="宋体" w:cs="宋体"/>
          <w:color w:val="auto"/>
          <w:kern w:val="0"/>
          <w:sz w:val="24"/>
          <w:szCs w:val="24"/>
          <w:highlight w:val="none"/>
        </w:rPr>
        <w:t>招标文件项目需求中</w:t>
      </w:r>
      <w:r>
        <w:rPr>
          <w:rFonts w:hint="eastAsia" w:ascii="宋体" w:hAnsi="宋体" w:cs="宋体"/>
          <w:color w:val="auto"/>
          <w:sz w:val="24"/>
          <w:szCs w:val="24"/>
          <w:highlight w:val="none"/>
        </w:rPr>
        <w:t>的</w:t>
      </w:r>
      <w:r>
        <w:rPr>
          <w:rFonts w:hint="eastAsia" w:ascii="宋体" w:hAnsi="宋体" w:cs="宋体"/>
          <w:color w:val="auto"/>
          <w:kern w:val="0"/>
          <w:sz w:val="24"/>
          <w:highlight w:val="none"/>
        </w:rPr>
        <w:t>规定计算。支付方式由委托方与受托方双方另行约定。</w:t>
      </w:r>
    </w:p>
    <w:p>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三、</w:t>
      </w:r>
      <w:r>
        <w:rPr>
          <w:rFonts w:hint="eastAsia" w:ascii="宋体" w:hAnsi="宋体" w:cs="宋体"/>
          <w:color w:val="auto"/>
          <w:kern w:val="0"/>
          <w:sz w:val="24"/>
          <w:highlight w:val="none"/>
        </w:rPr>
        <w:t>评审</w:t>
      </w:r>
      <w:r>
        <w:rPr>
          <w:rFonts w:ascii="宋体" w:hAnsi="宋体" w:cs="宋体"/>
          <w:color w:val="auto"/>
          <w:kern w:val="0"/>
          <w:sz w:val="24"/>
          <w:highlight w:val="none"/>
        </w:rPr>
        <w:t>责任</w:t>
      </w:r>
    </w:p>
    <w:p>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受托人承担</w:t>
      </w:r>
      <w:r>
        <w:rPr>
          <w:rFonts w:hint="eastAsia" w:ascii="宋体" w:hAnsi="宋体" w:cs="宋体"/>
          <w:color w:val="auto"/>
          <w:kern w:val="0"/>
          <w:sz w:val="24"/>
          <w:highlight w:val="none"/>
        </w:rPr>
        <w:t>评审</w:t>
      </w:r>
      <w:r>
        <w:rPr>
          <w:rFonts w:ascii="宋体" w:hAnsi="宋体" w:cs="宋体"/>
          <w:color w:val="auto"/>
          <w:kern w:val="0"/>
          <w:sz w:val="24"/>
          <w:highlight w:val="none"/>
        </w:rPr>
        <w:t>责任，即依据《中国注册会计师独立审计准则》的规定，对所出具的</w:t>
      </w:r>
      <w:r>
        <w:rPr>
          <w:rFonts w:hint="eastAsia" w:ascii="宋体" w:hAnsi="宋体" w:cs="宋体"/>
          <w:color w:val="auto"/>
          <w:kern w:val="0"/>
          <w:sz w:val="24"/>
          <w:highlight w:val="none"/>
        </w:rPr>
        <w:t>评审</w:t>
      </w:r>
      <w:r>
        <w:rPr>
          <w:rFonts w:ascii="宋体" w:hAnsi="宋体" w:cs="宋体"/>
          <w:color w:val="auto"/>
          <w:kern w:val="0"/>
          <w:sz w:val="24"/>
          <w:highlight w:val="none"/>
        </w:rPr>
        <w:t>报告承担责任。</w:t>
      </w:r>
    </w:p>
    <w:p>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四、委托人权利义务</w:t>
      </w:r>
    </w:p>
    <w:p>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1．按约定时间提供</w:t>
      </w:r>
      <w:r>
        <w:rPr>
          <w:rFonts w:hint="eastAsia" w:ascii="宋体" w:hAnsi="宋体" w:cs="宋体"/>
          <w:color w:val="auto"/>
          <w:kern w:val="0"/>
          <w:sz w:val="24"/>
          <w:highlight w:val="none"/>
        </w:rPr>
        <w:t>评审</w:t>
      </w:r>
      <w:r>
        <w:rPr>
          <w:rFonts w:ascii="宋体" w:hAnsi="宋体" w:cs="宋体"/>
          <w:color w:val="auto"/>
          <w:kern w:val="0"/>
          <w:sz w:val="24"/>
          <w:highlight w:val="none"/>
        </w:rPr>
        <w:t>业务所需全部资料，包括财务会计资料及其他相关资料；</w:t>
      </w:r>
    </w:p>
    <w:p>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2．协助受托人查看业务现场，并提供其他必要的协助；</w:t>
      </w:r>
    </w:p>
    <w:p>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3．按约定条件及时足额支付费用，不以足额支付费用为条件影响报告意见；</w:t>
      </w:r>
    </w:p>
    <w:p>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4．按委托目的正确使用</w:t>
      </w:r>
      <w:r>
        <w:rPr>
          <w:rFonts w:hint="eastAsia" w:ascii="宋体" w:hAnsi="宋体" w:cs="宋体"/>
          <w:color w:val="auto"/>
          <w:kern w:val="0"/>
          <w:sz w:val="24"/>
          <w:highlight w:val="none"/>
        </w:rPr>
        <w:t>评审</w:t>
      </w:r>
      <w:r>
        <w:rPr>
          <w:rFonts w:ascii="宋体" w:hAnsi="宋体" w:cs="宋体"/>
          <w:color w:val="auto"/>
          <w:kern w:val="0"/>
          <w:sz w:val="24"/>
          <w:highlight w:val="none"/>
        </w:rPr>
        <w:t>报告，不给使用人关于报告理解的误导。</w:t>
      </w:r>
    </w:p>
    <w:p>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5．受托人与委托人有利害关系的，委托人有权要求其回避。</w:t>
      </w:r>
    </w:p>
    <w:p>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6．委托人委托会计师事务所办理业务，任何单位和个人不得干预。</w:t>
      </w:r>
    </w:p>
    <w:p>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五、受托人权利义务</w:t>
      </w:r>
    </w:p>
    <w:p>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1．严格依据有关法律、法规和《中国注册会计师独立审计准则》执行业务；</w:t>
      </w:r>
    </w:p>
    <w:p>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2．应于</w:t>
      </w:r>
      <w:r>
        <w:rPr>
          <w:rFonts w:ascii="宋体" w:hAnsi="宋体" w:cs="宋体"/>
          <w:color w:val="auto"/>
          <w:kern w:val="0"/>
          <w:sz w:val="24"/>
          <w:highlight w:val="none"/>
          <w:u w:val="single"/>
        </w:rPr>
        <w:t>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ascii="宋体" w:hAnsi="宋体" w:cs="宋体"/>
          <w:color w:val="auto"/>
          <w:kern w:val="0"/>
          <w:sz w:val="24"/>
          <w:highlight w:val="none"/>
          <w:u w:val="single"/>
        </w:rPr>
        <w:t>  </w:t>
      </w:r>
      <w:r>
        <w:rPr>
          <w:rFonts w:ascii="宋体" w:hAnsi="宋体" w:cs="宋体"/>
          <w:color w:val="auto"/>
          <w:kern w:val="0"/>
          <w:sz w:val="24"/>
          <w:highlight w:val="none"/>
        </w:rPr>
        <w:t>日之前出具</w:t>
      </w:r>
      <w:r>
        <w:rPr>
          <w:rFonts w:hint="eastAsia" w:ascii="宋体" w:hAnsi="宋体" w:cs="宋体"/>
          <w:color w:val="auto"/>
          <w:kern w:val="0"/>
          <w:sz w:val="24"/>
          <w:highlight w:val="none"/>
        </w:rPr>
        <w:t>评审</w:t>
      </w:r>
      <w:r>
        <w:rPr>
          <w:rFonts w:ascii="宋体" w:hAnsi="宋体" w:cs="宋体"/>
          <w:color w:val="auto"/>
          <w:kern w:val="0"/>
          <w:sz w:val="24"/>
          <w:highlight w:val="none"/>
        </w:rPr>
        <w:t>报告；</w:t>
      </w:r>
    </w:p>
    <w:p>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3．对在业务执行过程中获悉的商业秘密保密。</w:t>
      </w:r>
    </w:p>
    <w:p>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4．从事会计工作的人员，必须取得会计从业资格证书。</w:t>
      </w:r>
    </w:p>
    <w:p>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6．受托人可以根据需要查阅委托人的有关会计资料和文件，查看委托人的业务现场和设施，要求委托人提供其他必要的协助。</w:t>
      </w:r>
    </w:p>
    <w:p>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7．受托人执行</w:t>
      </w:r>
      <w:r>
        <w:rPr>
          <w:rFonts w:hint="eastAsia" w:ascii="宋体" w:hAnsi="宋体" w:cs="宋体"/>
          <w:color w:val="auto"/>
          <w:kern w:val="0"/>
          <w:sz w:val="24"/>
          <w:highlight w:val="none"/>
        </w:rPr>
        <w:t>评审</w:t>
      </w:r>
      <w:r>
        <w:rPr>
          <w:rFonts w:ascii="宋体" w:hAnsi="宋体" w:cs="宋体"/>
          <w:color w:val="auto"/>
          <w:kern w:val="0"/>
          <w:sz w:val="24"/>
          <w:highlight w:val="none"/>
        </w:rPr>
        <w:t>业务，必须按照执业准则、规则确定的工作程序出具报告。在出具报告时，不得有下列行为：</w:t>
      </w:r>
    </w:p>
    <w:p>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（1）明知委托人对重要事项的财务会计处理与国家有关规定相抵触，而不予指明；</w:t>
      </w:r>
    </w:p>
    <w:p>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（2）明知委托人的财务会计处理会直接损害报告使用人或者其他利害关系人的利益，而予以隐瞒或者作不实的报告；</w:t>
      </w:r>
    </w:p>
    <w:p>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（3）明知委托人的财务会计处理会导致报告使用人或者其他利害关系人产生重大误解，而不予指明；</w:t>
      </w:r>
    </w:p>
    <w:p>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（4）明知委托人的会计报表的重要事项有其他不实的内容，而不予指明。</w:t>
      </w:r>
    </w:p>
    <w:p>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8</w:t>
      </w:r>
      <w:r>
        <w:rPr>
          <w:rFonts w:ascii="宋体" w:hAnsi="宋体" w:cs="宋体"/>
          <w:color w:val="auto"/>
          <w:kern w:val="0"/>
          <w:sz w:val="24"/>
          <w:highlight w:val="none"/>
        </w:rPr>
        <w:t>．受托人在执行</w:t>
      </w:r>
      <w:r>
        <w:rPr>
          <w:rFonts w:hint="eastAsia" w:ascii="宋体" w:hAnsi="宋体" w:cs="宋体"/>
          <w:color w:val="auto"/>
          <w:kern w:val="0"/>
          <w:sz w:val="24"/>
          <w:highlight w:val="none"/>
        </w:rPr>
        <w:t>评审</w:t>
      </w:r>
      <w:r>
        <w:rPr>
          <w:rFonts w:ascii="宋体" w:hAnsi="宋体" w:cs="宋体"/>
          <w:color w:val="auto"/>
          <w:kern w:val="0"/>
          <w:sz w:val="24"/>
          <w:highlight w:val="none"/>
        </w:rPr>
        <w:t>业务时，不得有下列行为：</w:t>
      </w:r>
    </w:p>
    <w:p>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（1）在执行</w:t>
      </w:r>
      <w:r>
        <w:rPr>
          <w:rFonts w:hint="eastAsia" w:ascii="宋体" w:hAnsi="宋体" w:cs="宋体"/>
          <w:color w:val="auto"/>
          <w:kern w:val="0"/>
          <w:sz w:val="24"/>
          <w:highlight w:val="none"/>
        </w:rPr>
        <w:t>评审</w:t>
      </w:r>
      <w:r>
        <w:rPr>
          <w:rFonts w:ascii="宋体" w:hAnsi="宋体" w:cs="宋体"/>
          <w:color w:val="auto"/>
          <w:kern w:val="0"/>
          <w:sz w:val="24"/>
          <w:highlight w:val="none"/>
        </w:rPr>
        <w:t>业务期间，在法律、行政法规规定不得买卖被</w:t>
      </w:r>
      <w:r>
        <w:rPr>
          <w:rFonts w:hint="eastAsia" w:ascii="宋体" w:hAnsi="宋体" w:cs="宋体"/>
          <w:color w:val="auto"/>
          <w:kern w:val="0"/>
          <w:sz w:val="24"/>
          <w:highlight w:val="none"/>
        </w:rPr>
        <w:t>评审</w:t>
      </w:r>
      <w:r>
        <w:rPr>
          <w:rFonts w:ascii="宋体" w:hAnsi="宋体" w:cs="宋体"/>
          <w:color w:val="auto"/>
          <w:kern w:val="0"/>
          <w:sz w:val="24"/>
          <w:highlight w:val="none"/>
        </w:rPr>
        <w:t>单位的股票、债券或者不得购买被</w:t>
      </w:r>
      <w:r>
        <w:rPr>
          <w:rFonts w:hint="eastAsia" w:ascii="宋体" w:hAnsi="宋体" w:cs="宋体"/>
          <w:color w:val="auto"/>
          <w:kern w:val="0"/>
          <w:sz w:val="24"/>
          <w:highlight w:val="none"/>
        </w:rPr>
        <w:t>评审</w:t>
      </w:r>
      <w:r>
        <w:rPr>
          <w:rFonts w:ascii="宋体" w:hAnsi="宋体" w:cs="宋体"/>
          <w:color w:val="auto"/>
          <w:kern w:val="0"/>
          <w:sz w:val="24"/>
          <w:highlight w:val="none"/>
        </w:rPr>
        <w:t>单位或者个人的其他财产的期限内，买卖被</w:t>
      </w:r>
      <w:r>
        <w:rPr>
          <w:rFonts w:hint="eastAsia" w:ascii="宋体" w:hAnsi="宋体" w:cs="宋体"/>
          <w:color w:val="auto"/>
          <w:kern w:val="0"/>
          <w:sz w:val="24"/>
          <w:highlight w:val="none"/>
        </w:rPr>
        <w:t>评审</w:t>
      </w:r>
      <w:r>
        <w:rPr>
          <w:rFonts w:ascii="宋体" w:hAnsi="宋体" w:cs="宋体"/>
          <w:color w:val="auto"/>
          <w:kern w:val="0"/>
          <w:sz w:val="24"/>
          <w:highlight w:val="none"/>
        </w:rPr>
        <w:t>单位的股票、债券或者购买被</w:t>
      </w:r>
      <w:r>
        <w:rPr>
          <w:rFonts w:hint="eastAsia" w:ascii="宋体" w:hAnsi="宋体" w:cs="宋体"/>
          <w:color w:val="auto"/>
          <w:kern w:val="0"/>
          <w:sz w:val="24"/>
          <w:highlight w:val="none"/>
        </w:rPr>
        <w:t>评审</w:t>
      </w:r>
      <w:r>
        <w:rPr>
          <w:rFonts w:ascii="宋体" w:hAnsi="宋体" w:cs="宋体"/>
          <w:color w:val="auto"/>
          <w:kern w:val="0"/>
          <w:sz w:val="24"/>
          <w:highlight w:val="none"/>
        </w:rPr>
        <w:t>单位或者个人所拥有的其他财产；</w:t>
      </w:r>
    </w:p>
    <w:p>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（2）索取、收受委托合同约定以外的酬金或者其他财物，或者利用执行业务之便，谋取其他不正当的利益；</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（3）接受委托催收债款；</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（4）允许他人以本人名义执行业务；</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（5）同时在两个或者两个以上的会计师事务所执行业务；</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（6）对其能力进行广告宣传以招揽业务；</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（7）违反法律、行政法规的其他行为。</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9</w:t>
      </w:r>
      <w:r>
        <w:rPr>
          <w:rFonts w:ascii="宋体" w:hAnsi="宋体" w:cs="宋体"/>
          <w:color w:val="auto"/>
          <w:kern w:val="0"/>
          <w:sz w:val="24"/>
          <w:highlight w:val="none"/>
        </w:rPr>
        <w:t>．受托人对在执行业务中知悉的商业秘密，负有保密义务。</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0</w:t>
      </w:r>
      <w:r>
        <w:rPr>
          <w:rFonts w:ascii="宋体" w:hAnsi="宋体" w:cs="宋体"/>
          <w:color w:val="auto"/>
          <w:kern w:val="0"/>
          <w:sz w:val="24"/>
          <w:highlight w:val="none"/>
        </w:rPr>
        <w:t>．受托人应当具备与其从事的</w:t>
      </w:r>
      <w:r>
        <w:rPr>
          <w:rFonts w:hint="eastAsia" w:ascii="宋体" w:hAnsi="宋体" w:cs="宋体"/>
          <w:color w:val="auto"/>
          <w:kern w:val="0"/>
          <w:sz w:val="24"/>
          <w:highlight w:val="none"/>
        </w:rPr>
        <w:t>评审</w:t>
      </w:r>
      <w:r>
        <w:rPr>
          <w:rFonts w:ascii="宋体" w:hAnsi="宋体" w:cs="宋体"/>
          <w:color w:val="auto"/>
          <w:kern w:val="0"/>
          <w:sz w:val="24"/>
          <w:highlight w:val="none"/>
        </w:rPr>
        <w:t>工作相适应的专业知识和业务能力。</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1</w:t>
      </w:r>
      <w:r>
        <w:rPr>
          <w:rFonts w:ascii="宋体" w:hAnsi="宋体" w:cs="宋体"/>
          <w:color w:val="auto"/>
          <w:kern w:val="0"/>
          <w:sz w:val="24"/>
          <w:highlight w:val="none"/>
        </w:rPr>
        <w:t>．受托人办理</w:t>
      </w:r>
      <w:r>
        <w:rPr>
          <w:rFonts w:hint="eastAsia" w:ascii="宋体" w:hAnsi="宋体" w:cs="宋体"/>
          <w:color w:val="auto"/>
          <w:kern w:val="0"/>
          <w:sz w:val="24"/>
          <w:highlight w:val="none"/>
        </w:rPr>
        <w:t>评审</w:t>
      </w:r>
      <w:r>
        <w:rPr>
          <w:rFonts w:ascii="宋体" w:hAnsi="宋体" w:cs="宋体"/>
          <w:color w:val="auto"/>
          <w:kern w:val="0"/>
          <w:sz w:val="24"/>
          <w:highlight w:val="none"/>
        </w:rPr>
        <w:t>事项，与被</w:t>
      </w:r>
      <w:r>
        <w:rPr>
          <w:rFonts w:hint="eastAsia" w:ascii="宋体" w:hAnsi="宋体" w:cs="宋体"/>
          <w:color w:val="auto"/>
          <w:kern w:val="0"/>
          <w:sz w:val="24"/>
          <w:highlight w:val="none"/>
        </w:rPr>
        <w:t>评审</w:t>
      </w:r>
      <w:r>
        <w:rPr>
          <w:rFonts w:ascii="宋体" w:hAnsi="宋体" w:cs="宋体"/>
          <w:color w:val="auto"/>
          <w:kern w:val="0"/>
          <w:sz w:val="24"/>
          <w:highlight w:val="none"/>
        </w:rPr>
        <w:t>单位或者</w:t>
      </w:r>
      <w:r>
        <w:rPr>
          <w:rFonts w:hint="eastAsia" w:ascii="宋体" w:hAnsi="宋体" w:cs="宋体"/>
          <w:color w:val="auto"/>
          <w:kern w:val="0"/>
          <w:sz w:val="24"/>
          <w:highlight w:val="none"/>
        </w:rPr>
        <w:t>评审</w:t>
      </w:r>
      <w:r>
        <w:rPr>
          <w:rFonts w:ascii="宋体" w:hAnsi="宋体" w:cs="宋体"/>
          <w:color w:val="auto"/>
          <w:kern w:val="0"/>
          <w:sz w:val="24"/>
          <w:highlight w:val="none"/>
        </w:rPr>
        <w:t>事项有利害关系的，应当回避。</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六、违约责任</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1．由于委托人变更计划，或未及时提供</w:t>
      </w:r>
      <w:r>
        <w:rPr>
          <w:rFonts w:hint="eastAsia" w:ascii="宋体" w:hAnsi="宋体" w:cs="宋体"/>
          <w:color w:val="auto"/>
          <w:kern w:val="0"/>
          <w:sz w:val="24"/>
          <w:highlight w:val="none"/>
        </w:rPr>
        <w:t>评审</w:t>
      </w:r>
      <w:r>
        <w:rPr>
          <w:rFonts w:ascii="宋体" w:hAnsi="宋体" w:cs="宋体"/>
          <w:color w:val="auto"/>
          <w:kern w:val="0"/>
          <w:sz w:val="24"/>
          <w:highlight w:val="none"/>
        </w:rPr>
        <w:t>所需全部资料（或工作条件）而造成受托人返工、窝工或修改报告，受托人可合理延期出具</w:t>
      </w:r>
      <w:r>
        <w:rPr>
          <w:rFonts w:hint="eastAsia" w:ascii="宋体" w:hAnsi="宋体" w:cs="宋体"/>
          <w:color w:val="auto"/>
          <w:kern w:val="0"/>
          <w:sz w:val="24"/>
          <w:highlight w:val="none"/>
        </w:rPr>
        <w:t>评审</w:t>
      </w:r>
      <w:r>
        <w:rPr>
          <w:rFonts w:ascii="宋体" w:hAnsi="宋体" w:cs="宋体"/>
          <w:color w:val="auto"/>
          <w:kern w:val="0"/>
          <w:sz w:val="24"/>
          <w:highlight w:val="none"/>
        </w:rPr>
        <w:t>报告或拒绝出具</w:t>
      </w:r>
      <w:r>
        <w:rPr>
          <w:rFonts w:hint="eastAsia" w:ascii="宋体" w:hAnsi="宋体" w:cs="宋体"/>
          <w:color w:val="auto"/>
          <w:kern w:val="0"/>
          <w:sz w:val="24"/>
          <w:highlight w:val="none"/>
        </w:rPr>
        <w:t>评审</w:t>
      </w:r>
      <w:r>
        <w:rPr>
          <w:rFonts w:ascii="宋体" w:hAnsi="宋体" w:cs="宋体"/>
          <w:color w:val="auto"/>
          <w:kern w:val="0"/>
          <w:sz w:val="24"/>
          <w:highlight w:val="none"/>
        </w:rPr>
        <w:t>报告，委托人应根据受托人实际消耗的工作量另行支付相应费用；</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2．如因委托人原因导致本项目中途停止，受托人所收费用不再退还委托人；</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3．除因委托人原因以外，受托人未在合同规定期限内提交</w:t>
      </w:r>
      <w:r>
        <w:rPr>
          <w:rFonts w:hint="eastAsia" w:ascii="宋体" w:hAnsi="宋体" w:cs="宋体"/>
          <w:color w:val="auto"/>
          <w:kern w:val="0"/>
          <w:sz w:val="24"/>
          <w:highlight w:val="none"/>
        </w:rPr>
        <w:t>评审</w:t>
      </w:r>
      <w:r>
        <w:rPr>
          <w:rFonts w:ascii="宋体" w:hAnsi="宋体" w:cs="宋体"/>
          <w:color w:val="auto"/>
          <w:kern w:val="0"/>
          <w:sz w:val="24"/>
          <w:highlight w:val="none"/>
        </w:rPr>
        <w:t>报告，委托人可以拒绝支付服务费用；</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4．如合同任何一方违反上述条款，都应负责赔偿由此而给对方造成的合理损失。</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七、本合同因下列事由终止：</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1．本合同期限届满，双方不再续签合同的；</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2．双方通过书面协议解除本合同；</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3．因不可抗力致使合同目的不能实现的；</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4．在委托期限届满之前，当事人一方明确表示或以自己的行为表明不履行合同主要义务的；</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5．当事人一方迟延履行合同主要义务，经催告后在合理期限内仍未履行；</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6．当事人有其他违约或违法行为致使合同目的不能实现的；</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7．</w:t>
      </w:r>
      <w:r>
        <w:rPr>
          <w:rFonts w:ascii="宋体" w:hAnsi="宋体" w:cs="宋体"/>
          <w:color w:val="auto"/>
          <w:kern w:val="0"/>
          <w:sz w:val="24"/>
          <w:highlight w:val="none"/>
          <w:u w:val="single"/>
        </w:rPr>
        <w:t>          </w:t>
      </w:r>
      <w:r>
        <w:rPr>
          <w:rFonts w:ascii="宋体" w:hAnsi="宋体" w:cs="宋体"/>
          <w:color w:val="auto"/>
          <w:kern w:val="0"/>
          <w:sz w:val="24"/>
          <w:highlight w:val="none"/>
        </w:rPr>
        <w:t>。</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八、声明及保证</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委托人：</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1．委托人有权签署并有能力履行本合同。</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2．委托人签署和履行本合同所需的一切手续（</w:t>
      </w:r>
      <w:r>
        <w:rPr>
          <w:rFonts w:ascii="宋体" w:hAnsi="宋体" w:cs="宋体"/>
          <w:color w:val="auto"/>
          <w:kern w:val="0"/>
          <w:sz w:val="24"/>
          <w:highlight w:val="none"/>
          <w:u w:val="single"/>
        </w:rPr>
        <w:t>          </w:t>
      </w:r>
      <w:r>
        <w:rPr>
          <w:rFonts w:ascii="宋体" w:hAnsi="宋体" w:cs="宋体"/>
          <w:color w:val="auto"/>
          <w:kern w:val="0"/>
          <w:sz w:val="24"/>
          <w:highlight w:val="none"/>
        </w:rPr>
        <w:t>）均已办妥并合法有效。</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3．在签署本合同时，任何法院、仲裁机构、行政机关或监管机构均未作出任何足以对委托人履行本合同产生重大不利影响的判决、裁定、裁决或具体行政行为。</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受托人：</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1．受托人有权签署并有能力履行本合同。</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2．受托人签署和履行本合同所需的一切手续（</w:t>
      </w:r>
      <w:r>
        <w:rPr>
          <w:rFonts w:ascii="宋体" w:hAnsi="宋体" w:cs="宋体"/>
          <w:color w:val="auto"/>
          <w:kern w:val="0"/>
          <w:sz w:val="24"/>
          <w:highlight w:val="none"/>
          <w:u w:val="single"/>
        </w:rPr>
        <w:t>          </w:t>
      </w:r>
      <w:r>
        <w:rPr>
          <w:rFonts w:ascii="宋体" w:hAnsi="宋体" w:cs="宋体"/>
          <w:color w:val="auto"/>
          <w:kern w:val="0"/>
          <w:sz w:val="24"/>
          <w:highlight w:val="none"/>
        </w:rPr>
        <w:t>）均已办妥并合法有效。</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3．在签署本合同时，任何法院、仲裁机构、行政机关或监管机构均未作出任何足以对受托人履行本合同产生重大不利影响的判决、裁定、裁决或具体行政行为。</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九、保密</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r>
        <w:rPr>
          <w:rFonts w:ascii="宋体" w:hAnsi="宋体" w:cs="宋体"/>
          <w:color w:val="auto"/>
          <w:kern w:val="0"/>
          <w:sz w:val="24"/>
          <w:highlight w:val="none"/>
          <w:u w:val="single"/>
        </w:rPr>
        <w:t>  </w:t>
      </w:r>
      <w:r>
        <w:rPr>
          <w:rFonts w:ascii="宋体" w:hAnsi="宋体" w:cs="宋体"/>
          <w:color w:val="auto"/>
          <w:kern w:val="0"/>
          <w:sz w:val="24"/>
          <w:highlight w:val="none"/>
        </w:rPr>
        <w:t>年。</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十、通知</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1．根据本合同需要一方向另一方发出的全部通知以及双方的文件往来及与本合同有关的通知和要求等，必须用书面形式，可采用</w:t>
      </w:r>
      <w:r>
        <w:rPr>
          <w:rFonts w:ascii="宋体" w:hAnsi="宋体" w:cs="宋体"/>
          <w:color w:val="auto"/>
          <w:kern w:val="0"/>
          <w:sz w:val="24"/>
          <w:highlight w:val="none"/>
          <w:u w:val="single"/>
        </w:rPr>
        <w:t>          </w:t>
      </w:r>
      <w:r>
        <w:rPr>
          <w:rFonts w:ascii="宋体" w:hAnsi="宋体" w:cs="宋体"/>
          <w:color w:val="auto"/>
          <w:kern w:val="0"/>
          <w:sz w:val="24"/>
          <w:highlight w:val="none"/>
        </w:rPr>
        <w:t>（书信当面送交等）方式传递。以上方式无法送达的，方可采取公告送达的方式。</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2．各方通讯地址如下：</w:t>
      </w:r>
      <w:r>
        <w:rPr>
          <w:rFonts w:ascii="宋体" w:hAnsi="宋体" w:cs="宋体"/>
          <w:color w:val="auto"/>
          <w:kern w:val="0"/>
          <w:sz w:val="24"/>
          <w:highlight w:val="none"/>
          <w:u w:val="single"/>
        </w:rPr>
        <w:t>          </w:t>
      </w:r>
      <w:r>
        <w:rPr>
          <w:rFonts w:ascii="宋体" w:hAnsi="宋体" w:cs="宋体"/>
          <w:color w:val="auto"/>
          <w:kern w:val="0"/>
          <w:sz w:val="24"/>
          <w:highlight w:val="none"/>
        </w:rPr>
        <w:t>。</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3．一方变更通知或通讯地址，应自变更之日起</w:t>
      </w:r>
      <w:r>
        <w:rPr>
          <w:rFonts w:ascii="宋体" w:hAnsi="宋体" w:cs="宋体"/>
          <w:color w:val="auto"/>
          <w:kern w:val="0"/>
          <w:sz w:val="24"/>
          <w:highlight w:val="none"/>
          <w:u w:val="single"/>
        </w:rPr>
        <w:t> </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w:t>
      </w:r>
      <w:r>
        <w:rPr>
          <w:rFonts w:ascii="宋体" w:hAnsi="宋体" w:cs="宋体"/>
          <w:color w:val="auto"/>
          <w:kern w:val="0"/>
          <w:sz w:val="24"/>
          <w:highlight w:val="none"/>
        </w:rPr>
        <w:t>日内，以书面形式通知对方；否则，由未通知方承担由此而引起的相关责任。</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十一、合同的变更</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本合同履行期间，发生特殊情况时，任何一方需变更本合同的，要求变更一方应及时书面通知对方，征得对方同意后，双方在规定的时限内（书面通知发出</w:t>
      </w:r>
      <w:r>
        <w:rPr>
          <w:rFonts w:ascii="宋体" w:hAnsi="宋体" w:cs="宋体"/>
          <w:color w:val="auto"/>
          <w:kern w:val="0"/>
          <w:sz w:val="24"/>
          <w:highlight w:val="none"/>
          <w:u w:val="single"/>
        </w:rPr>
        <w:t>    </w:t>
      </w:r>
      <w:r>
        <w:rPr>
          <w:rFonts w:ascii="宋体" w:hAnsi="宋体" w:cs="宋体"/>
          <w:color w:val="auto"/>
          <w:kern w:val="0"/>
          <w:sz w:val="24"/>
          <w:highlight w:val="none"/>
        </w:rPr>
        <w:t>天内）签订书面变更协议，该协议将成为合同不可分割的部分。未经双方签署书面文件，任何一方无权变更本合同，否则，由此造成对方的经济损失，由责任方承担。</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十二、合同的转让</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除合同中另有规定外或经双方协商同意外，本合同所规定双方的任何权利和义务，任何一方在未经征得另一方书面同意之前，不得转让给第三者。任何转让，未经另一方书面明确同意，均属无效。</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十三、争议的处理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因本合同书所引起的或与合同书有关的任何纠纷或争议（包括关于本合同书条款的存在、效力或终止，或无效之后果），双方选择以下第 （1）种解决方式：</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）向有管辖权的人民法院提起诉讼；</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）提交仲裁委员会仲裁。</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十四、不可抗力</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1．如果本合同任何一方因受不可抗力事件影响而未能履行其在本合同下的全部或部分义务，该义务的履行在不可抗力事件妨碍其履行期间应予中止。</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2．声称受到不可抗力事件影响的一方应尽可能在最短的时间内通过书面形式将不可抗力事件的发生通知另一方，并在该不可抗力事件发生后</w:t>
      </w:r>
      <w:r>
        <w:rPr>
          <w:rFonts w:ascii="宋体" w:hAnsi="宋体" w:cs="宋体"/>
          <w:color w:val="auto"/>
          <w:kern w:val="0"/>
          <w:sz w:val="24"/>
          <w:highlight w:val="none"/>
          <w:u w:val="single"/>
        </w:rPr>
        <w:t> </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rPr>
        <w:t>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十五、合同的解释</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本合同未尽事宜或条款内容不明确，合同双方当事人可以根据本合同的原则、合同的目的、交易习惯及关联条款的内容，按照通常理解对本合同作出合理解释。该解释具有约束力，除非解释与法律或本合同相抵触。</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十六、补充与附件</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本合同未尽事宜，依照有关法律、法规执行，法律、法规未作规定的，双方可以达成书面补充合同。本合同的附件和补充合同均为本合同不可分割的组成部分，与本合同具有同等的法律效力。</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十七、合同的效力</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本合同自双方或双方法定代表人或其授权代表人签字并加盖单位公章或合同专用章之日起生效。</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有效期为</w:t>
      </w:r>
      <w:r>
        <w:rPr>
          <w:rFonts w:ascii="宋体" w:hAnsi="宋体" w:cs="宋体"/>
          <w:color w:val="auto"/>
          <w:kern w:val="0"/>
          <w:sz w:val="24"/>
          <w:highlight w:val="none"/>
          <w:u w:val="single"/>
        </w:rPr>
        <w:t>    </w:t>
      </w:r>
      <w:r>
        <w:rPr>
          <w:rFonts w:ascii="宋体" w:hAnsi="宋体" w:cs="宋体"/>
          <w:color w:val="auto"/>
          <w:kern w:val="0"/>
          <w:sz w:val="24"/>
          <w:highlight w:val="none"/>
        </w:rPr>
        <w:t>年，自</w:t>
      </w:r>
      <w:r>
        <w:rPr>
          <w:rFonts w:ascii="宋体" w:hAnsi="宋体" w:cs="宋体"/>
          <w:color w:val="auto"/>
          <w:kern w:val="0"/>
          <w:sz w:val="24"/>
          <w:highlight w:val="none"/>
          <w:u w:val="single"/>
        </w:rPr>
        <w:t>  </w:t>
      </w:r>
      <w:r>
        <w:rPr>
          <w:rFonts w:ascii="宋体" w:hAnsi="宋体" w:cs="宋体"/>
          <w:color w:val="auto"/>
          <w:kern w:val="0"/>
          <w:sz w:val="24"/>
          <w:highlight w:val="none"/>
        </w:rPr>
        <w:t>年</w:t>
      </w:r>
      <w:r>
        <w:rPr>
          <w:rFonts w:ascii="宋体" w:hAnsi="宋体" w:cs="宋体"/>
          <w:color w:val="auto"/>
          <w:kern w:val="0"/>
          <w:sz w:val="24"/>
          <w:highlight w:val="none"/>
          <w:u w:val="single"/>
        </w:rPr>
        <w:t>  </w:t>
      </w:r>
      <w:r>
        <w:rPr>
          <w:rFonts w:ascii="宋体" w:hAnsi="宋体" w:cs="宋体"/>
          <w:color w:val="auto"/>
          <w:kern w:val="0"/>
          <w:sz w:val="24"/>
          <w:highlight w:val="none"/>
        </w:rPr>
        <w:t>月</w:t>
      </w:r>
      <w:r>
        <w:rPr>
          <w:rFonts w:ascii="宋体" w:hAnsi="宋体" w:cs="宋体"/>
          <w:color w:val="auto"/>
          <w:kern w:val="0"/>
          <w:sz w:val="24"/>
          <w:highlight w:val="none"/>
          <w:u w:val="single"/>
        </w:rPr>
        <w:t>  </w:t>
      </w:r>
      <w:r>
        <w:rPr>
          <w:rFonts w:ascii="宋体" w:hAnsi="宋体" w:cs="宋体"/>
          <w:color w:val="auto"/>
          <w:kern w:val="0"/>
          <w:sz w:val="24"/>
          <w:highlight w:val="none"/>
        </w:rPr>
        <w:t>日至</w:t>
      </w:r>
      <w:r>
        <w:rPr>
          <w:rFonts w:ascii="宋体" w:hAnsi="宋体" w:cs="宋体"/>
          <w:color w:val="auto"/>
          <w:kern w:val="0"/>
          <w:sz w:val="24"/>
          <w:highlight w:val="none"/>
          <w:u w:val="single"/>
        </w:rPr>
        <w:t>  </w:t>
      </w:r>
      <w:r>
        <w:rPr>
          <w:rFonts w:ascii="宋体" w:hAnsi="宋体" w:cs="宋体"/>
          <w:color w:val="auto"/>
          <w:kern w:val="0"/>
          <w:sz w:val="24"/>
          <w:highlight w:val="none"/>
        </w:rPr>
        <w:t>年</w:t>
      </w:r>
      <w:r>
        <w:rPr>
          <w:rFonts w:ascii="宋体" w:hAnsi="宋体" w:cs="宋体"/>
          <w:color w:val="auto"/>
          <w:kern w:val="0"/>
          <w:sz w:val="24"/>
          <w:highlight w:val="none"/>
          <w:u w:val="single"/>
        </w:rPr>
        <w:t>  </w:t>
      </w:r>
      <w:r>
        <w:rPr>
          <w:rFonts w:ascii="宋体" w:hAnsi="宋体" w:cs="宋体"/>
          <w:color w:val="auto"/>
          <w:kern w:val="0"/>
          <w:sz w:val="24"/>
          <w:highlight w:val="none"/>
        </w:rPr>
        <w:t>月</w:t>
      </w:r>
      <w:r>
        <w:rPr>
          <w:rFonts w:ascii="宋体" w:hAnsi="宋体" w:cs="宋体"/>
          <w:color w:val="auto"/>
          <w:kern w:val="0"/>
          <w:sz w:val="24"/>
          <w:highlight w:val="none"/>
          <w:u w:val="single"/>
        </w:rPr>
        <w:t>  </w:t>
      </w:r>
      <w:r>
        <w:rPr>
          <w:rFonts w:ascii="宋体" w:hAnsi="宋体" w:cs="宋体"/>
          <w:color w:val="auto"/>
          <w:kern w:val="0"/>
          <w:sz w:val="24"/>
          <w:highlight w:val="none"/>
        </w:rPr>
        <w:t>日。</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本合同正本一式</w:t>
      </w:r>
      <w:r>
        <w:rPr>
          <w:rFonts w:ascii="宋体" w:hAnsi="宋体" w:cs="宋体"/>
          <w:color w:val="auto"/>
          <w:kern w:val="0"/>
          <w:sz w:val="24"/>
          <w:highlight w:val="none"/>
          <w:u w:val="single"/>
        </w:rPr>
        <w:t>      </w:t>
      </w:r>
      <w:r>
        <w:rPr>
          <w:rFonts w:ascii="宋体" w:hAnsi="宋体" w:cs="宋体"/>
          <w:color w:val="auto"/>
          <w:kern w:val="0"/>
          <w:sz w:val="24"/>
          <w:highlight w:val="none"/>
        </w:rPr>
        <w:t>份，双方各执</w:t>
      </w:r>
      <w:r>
        <w:rPr>
          <w:rFonts w:ascii="宋体" w:hAnsi="宋体" w:cs="宋体"/>
          <w:color w:val="auto"/>
          <w:kern w:val="0"/>
          <w:sz w:val="24"/>
          <w:highlight w:val="none"/>
          <w:u w:val="single"/>
        </w:rPr>
        <w:t>     </w:t>
      </w:r>
      <w:r>
        <w:rPr>
          <w:rFonts w:ascii="宋体" w:hAnsi="宋体" w:cs="宋体"/>
          <w:color w:val="auto"/>
          <w:kern w:val="0"/>
          <w:sz w:val="24"/>
          <w:highlight w:val="none"/>
        </w:rPr>
        <w:t>份，具有同等法律效力。</w:t>
      </w:r>
    </w:p>
    <w:p>
      <w:pPr>
        <w:widowControl/>
        <w:shd w:val="clear" w:color="auto" w:fill="FFFFFF"/>
        <w:spacing w:line="360" w:lineRule="auto"/>
        <w:jc w:val="left"/>
        <w:rPr>
          <w:rFonts w:ascii="宋体" w:hAnsi="宋体" w:cs="宋体"/>
          <w:color w:val="auto"/>
          <w:kern w:val="0"/>
          <w:sz w:val="24"/>
          <w:highlight w:val="none"/>
        </w:rPr>
      </w:pPr>
    </w:p>
    <w:p>
      <w:pPr>
        <w:widowControl/>
        <w:shd w:val="clear" w:color="auto" w:fill="FFFFFF"/>
        <w:spacing w:line="360" w:lineRule="auto"/>
        <w:jc w:val="left"/>
        <w:rPr>
          <w:rFonts w:ascii="宋体" w:hAnsi="宋体" w:cs="宋体"/>
          <w:color w:val="auto"/>
          <w:kern w:val="0"/>
          <w:sz w:val="24"/>
          <w:highlight w:val="none"/>
        </w:rPr>
      </w:pPr>
    </w:p>
    <w:p>
      <w:pPr>
        <w:widowControl/>
        <w:shd w:val="clear" w:color="auto" w:fill="FFFFFF"/>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政府购买服务主体</w:t>
      </w:r>
      <w:r>
        <w:rPr>
          <w:rFonts w:ascii="宋体" w:hAnsi="宋体" w:cs="宋体"/>
          <w:color w:val="auto"/>
          <w:kern w:val="0"/>
          <w:szCs w:val="21"/>
          <w:highlight w:val="none"/>
        </w:rPr>
        <w:t>（盖章）：</w:t>
      </w:r>
      <w:r>
        <w:rPr>
          <w:rFonts w:ascii="宋体" w:hAnsi="宋体" w:cs="宋体"/>
          <w:color w:val="auto"/>
          <w:kern w:val="0"/>
          <w:szCs w:val="21"/>
          <w:highlight w:val="none"/>
          <w:u w:val="single"/>
        </w:rPr>
        <w:t> </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w:t>
      </w:r>
      <w:r>
        <w:rPr>
          <w:rFonts w:ascii="宋体" w:hAnsi="宋体" w:cs="宋体"/>
          <w:color w:val="auto"/>
          <w:kern w:val="0"/>
          <w:szCs w:val="21"/>
          <w:highlight w:val="none"/>
        </w:rPr>
        <w:t>　　</w:t>
      </w:r>
      <w:r>
        <w:rPr>
          <w:rFonts w:hint="eastAsia" w:ascii="宋体" w:hAnsi="宋体" w:cs="宋体"/>
          <w:color w:val="auto"/>
          <w:kern w:val="0"/>
          <w:szCs w:val="21"/>
          <w:highlight w:val="none"/>
        </w:rPr>
        <w:t xml:space="preserve">    承接政府购买服务主体</w:t>
      </w:r>
      <w:r>
        <w:rPr>
          <w:rFonts w:ascii="宋体" w:hAnsi="宋体" w:cs="宋体"/>
          <w:color w:val="auto"/>
          <w:kern w:val="0"/>
          <w:szCs w:val="21"/>
          <w:highlight w:val="none"/>
        </w:rPr>
        <w:t>（盖章）：</w:t>
      </w:r>
      <w:r>
        <w:rPr>
          <w:rFonts w:ascii="宋体" w:hAnsi="宋体" w:cs="宋体"/>
          <w:color w:val="auto"/>
          <w:kern w:val="0"/>
          <w:szCs w:val="21"/>
          <w:highlight w:val="none"/>
          <w:u w:val="single"/>
        </w:rPr>
        <w:t>     </w:t>
      </w:r>
    </w:p>
    <w:p>
      <w:pPr>
        <w:widowControl/>
        <w:shd w:val="clear" w:color="auto" w:fill="FFFFFF"/>
        <w:spacing w:line="360" w:lineRule="auto"/>
        <w:jc w:val="left"/>
        <w:rPr>
          <w:rFonts w:ascii="宋体" w:hAnsi="宋体" w:cs="宋体"/>
          <w:color w:val="auto"/>
          <w:kern w:val="0"/>
          <w:szCs w:val="21"/>
          <w:highlight w:val="none"/>
        </w:rPr>
      </w:pPr>
      <w:r>
        <w:rPr>
          <w:rFonts w:ascii="宋体" w:hAnsi="宋体" w:cs="宋体"/>
          <w:color w:val="auto"/>
          <w:kern w:val="0"/>
          <w:szCs w:val="21"/>
          <w:highlight w:val="none"/>
        </w:rPr>
        <w:t>法定代表人（签字）：</w:t>
      </w:r>
      <w:r>
        <w:rPr>
          <w:rFonts w:ascii="宋体" w:hAnsi="宋体" w:cs="宋体"/>
          <w:color w:val="auto"/>
          <w:kern w:val="0"/>
          <w:szCs w:val="21"/>
          <w:highlight w:val="none"/>
          <w:u w:val="single"/>
        </w:rPr>
        <w:t>    </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w:t>
      </w:r>
      <w:r>
        <w:rPr>
          <w:rFonts w:ascii="宋体" w:hAnsi="宋体" w:cs="宋体"/>
          <w:color w:val="auto"/>
          <w:kern w:val="0"/>
          <w:szCs w:val="21"/>
          <w:highlight w:val="none"/>
        </w:rPr>
        <w:t>　　　法定代表人（签字）：</w:t>
      </w:r>
      <w:r>
        <w:rPr>
          <w:rFonts w:ascii="宋体" w:hAnsi="宋体" w:cs="宋体"/>
          <w:color w:val="auto"/>
          <w:kern w:val="0"/>
          <w:szCs w:val="21"/>
          <w:highlight w:val="none"/>
          <w:u w:val="single"/>
        </w:rPr>
        <w:t>     </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w:t>
      </w:r>
    </w:p>
    <w:p>
      <w:pPr>
        <w:widowControl/>
        <w:shd w:val="clear" w:color="auto" w:fill="FFFFFF"/>
        <w:spacing w:line="360" w:lineRule="auto"/>
        <w:jc w:val="left"/>
        <w:rPr>
          <w:rFonts w:ascii="宋体" w:hAnsi="宋体" w:cs="宋体"/>
          <w:color w:val="auto"/>
          <w:kern w:val="0"/>
          <w:szCs w:val="21"/>
          <w:highlight w:val="none"/>
        </w:rPr>
      </w:pPr>
      <w:r>
        <w:rPr>
          <w:rFonts w:ascii="宋体" w:hAnsi="宋体" w:cs="宋体"/>
          <w:color w:val="auto"/>
          <w:kern w:val="0"/>
          <w:szCs w:val="21"/>
          <w:highlight w:val="none"/>
        </w:rPr>
        <w:t>委托代理人（签字）：</w:t>
      </w:r>
      <w:r>
        <w:rPr>
          <w:rFonts w:ascii="宋体" w:hAnsi="宋体" w:cs="宋体"/>
          <w:color w:val="auto"/>
          <w:kern w:val="0"/>
          <w:szCs w:val="21"/>
          <w:highlight w:val="none"/>
          <w:u w:val="single"/>
        </w:rPr>
        <w:t>   </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rPr>
        <w:t>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委托代理人（签字）：</w:t>
      </w:r>
      <w:r>
        <w:rPr>
          <w:rFonts w:ascii="宋体" w:hAnsi="宋体" w:cs="宋体"/>
          <w:color w:val="auto"/>
          <w:kern w:val="0"/>
          <w:szCs w:val="21"/>
          <w:highlight w:val="none"/>
          <w:u w:val="single"/>
        </w:rPr>
        <w:t>   </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w:t>
      </w:r>
    </w:p>
    <w:p>
      <w:pPr>
        <w:widowControl/>
        <w:shd w:val="clear" w:color="auto" w:fill="FFFFFF"/>
        <w:spacing w:line="360" w:lineRule="auto"/>
        <w:jc w:val="left"/>
        <w:rPr>
          <w:rFonts w:ascii="宋体" w:hAnsi="宋体" w:cs="宋体"/>
          <w:color w:val="auto"/>
          <w:kern w:val="0"/>
          <w:szCs w:val="21"/>
          <w:highlight w:val="none"/>
        </w:rPr>
      </w:pPr>
      <w:r>
        <w:rPr>
          <w:rFonts w:ascii="宋体" w:hAnsi="宋体" w:cs="宋体"/>
          <w:color w:val="auto"/>
          <w:kern w:val="0"/>
          <w:szCs w:val="21"/>
          <w:highlight w:val="none"/>
        </w:rPr>
        <w:t>签订地点：</w:t>
      </w:r>
      <w:r>
        <w:rPr>
          <w:rFonts w:ascii="宋体" w:hAnsi="宋体" w:cs="宋体"/>
          <w:color w:val="auto"/>
          <w:kern w:val="0"/>
          <w:szCs w:val="21"/>
          <w:highlight w:val="none"/>
          <w:u w:val="single"/>
        </w:rPr>
        <w:t>  </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rPr>
        <w:t>　　　签订地点：</w:t>
      </w:r>
      <w:r>
        <w:rPr>
          <w:rFonts w:ascii="宋体" w:hAnsi="宋体" w:cs="宋体"/>
          <w:color w:val="auto"/>
          <w:kern w:val="0"/>
          <w:szCs w:val="21"/>
          <w:highlight w:val="none"/>
          <w:u w:val="single"/>
        </w:rPr>
        <w:t> </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w:t>
      </w:r>
    </w:p>
    <w:p>
      <w:pPr>
        <w:widowControl/>
        <w:shd w:val="clear" w:color="auto" w:fill="FFFFFF"/>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日期：</w:t>
      </w:r>
      <w:r>
        <w:rPr>
          <w:rFonts w:ascii="宋体" w:hAnsi="宋体" w:cs="宋体"/>
          <w:color w:val="auto"/>
          <w:kern w:val="0"/>
          <w:szCs w:val="21"/>
          <w:highlight w:val="none"/>
          <w:u w:val="single"/>
        </w:rPr>
        <w:t>   </w:t>
      </w:r>
      <w:r>
        <w:rPr>
          <w:rFonts w:ascii="宋体" w:hAnsi="宋体" w:cs="宋体"/>
          <w:color w:val="auto"/>
          <w:kern w:val="0"/>
          <w:szCs w:val="21"/>
          <w:highlight w:val="none"/>
        </w:rPr>
        <w:t>年____月____日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w:t>
      </w:r>
      <w:r>
        <w:rPr>
          <w:rFonts w:hint="eastAsia" w:ascii="宋体" w:hAnsi="宋体" w:cs="宋体"/>
          <w:color w:val="auto"/>
          <w:kern w:val="0"/>
          <w:szCs w:val="21"/>
          <w:highlight w:val="none"/>
        </w:rPr>
        <w:t xml:space="preserve">  日期：</w:t>
      </w:r>
      <w:r>
        <w:rPr>
          <w:rFonts w:ascii="宋体" w:hAnsi="宋体" w:cs="宋体"/>
          <w:color w:val="auto"/>
          <w:kern w:val="0"/>
          <w:szCs w:val="21"/>
          <w:highlight w:val="none"/>
          <w:u w:val="single"/>
        </w:rPr>
        <w:t>   </w:t>
      </w:r>
      <w:r>
        <w:rPr>
          <w:rFonts w:ascii="宋体" w:hAnsi="宋体" w:cs="宋体"/>
          <w:color w:val="auto"/>
          <w:kern w:val="0"/>
          <w:szCs w:val="21"/>
          <w:highlight w:val="none"/>
        </w:rPr>
        <w:t>年____月____日</w:t>
      </w:r>
    </w:p>
    <w:p>
      <w:pPr>
        <w:widowControl/>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pStyle w:val="28"/>
        <w:spacing w:line="360" w:lineRule="auto"/>
        <w:contextualSpacing/>
        <w:jc w:val="center"/>
        <w:rPr>
          <w:rFonts w:ascii="宋体" w:hAnsi="宋体" w:cs="宋体"/>
          <w:b/>
          <w:color w:val="auto"/>
          <w:kern w:val="0"/>
          <w:sz w:val="36"/>
          <w:szCs w:val="36"/>
          <w:highlight w:val="none"/>
        </w:rPr>
      </w:pPr>
    </w:p>
    <w:p>
      <w:pPr>
        <w:pStyle w:val="28"/>
        <w:spacing w:line="360" w:lineRule="auto"/>
        <w:contextualSpacing/>
        <w:jc w:val="center"/>
        <w:rPr>
          <w:rFonts w:ascii="宋体" w:hAnsi="宋体" w:cs="宋体"/>
          <w:b/>
          <w:color w:val="auto"/>
          <w:kern w:val="0"/>
          <w:sz w:val="36"/>
          <w:szCs w:val="36"/>
          <w:highlight w:val="none"/>
        </w:rPr>
      </w:pPr>
    </w:p>
    <w:p>
      <w:pPr>
        <w:pStyle w:val="28"/>
        <w:spacing w:line="360" w:lineRule="auto"/>
        <w:contextualSpacing/>
        <w:jc w:val="center"/>
        <w:rPr>
          <w:rFonts w:ascii="宋体" w:hAnsi="宋体" w:cs="宋体"/>
          <w:b/>
          <w:color w:val="auto"/>
          <w:kern w:val="0"/>
          <w:sz w:val="36"/>
          <w:szCs w:val="36"/>
          <w:highlight w:val="none"/>
        </w:rPr>
      </w:pPr>
    </w:p>
    <w:p>
      <w:pPr>
        <w:pStyle w:val="28"/>
        <w:spacing w:line="360" w:lineRule="auto"/>
        <w:contextualSpacing/>
        <w:jc w:val="center"/>
        <w:rPr>
          <w:rFonts w:ascii="宋体" w:hAnsi="宋体" w:cs="宋体"/>
          <w:b/>
          <w:color w:val="auto"/>
          <w:kern w:val="0"/>
          <w:sz w:val="36"/>
          <w:szCs w:val="36"/>
          <w:highlight w:val="none"/>
        </w:rPr>
      </w:pPr>
    </w:p>
    <w:p>
      <w:pPr>
        <w:pStyle w:val="28"/>
        <w:spacing w:line="360" w:lineRule="auto"/>
        <w:contextualSpacing/>
        <w:jc w:val="center"/>
        <w:rPr>
          <w:rFonts w:ascii="宋体" w:hAnsi="宋体" w:cs="宋体"/>
          <w:b/>
          <w:color w:val="auto"/>
          <w:kern w:val="0"/>
          <w:sz w:val="36"/>
          <w:szCs w:val="36"/>
          <w:highlight w:val="none"/>
        </w:rPr>
      </w:pPr>
    </w:p>
    <w:p>
      <w:pPr>
        <w:pStyle w:val="28"/>
        <w:spacing w:line="360" w:lineRule="auto"/>
        <w:contextualSpacing/>
        <w:jc w:val="center"/>
        <w:rPr>
          <w:rFonts w:ascii="宋体" w:hAnsi="宋体" w:cs="宋体"/>
          <w:b/>
          <w:color w:val="auto"/>
          <w:kern w:val="0"/>
          <w:sz w:val="36"/>
          <w:szCs w:val="36"/>
          <w:highlight w:val="none"/>
        </w:rPr>
      </w:pPr>
    </w:p>
    <w:p>
      <w:pPr>
        <w:pStyle w:val="28"/>
        <w:spacing w:line="360" w:lineRule="auto"/>
        <w:contextualSpacing/>
        <w:jc w:val="center"/>
        <w:rPr>
          <w:rFonts w:ascii="宋体" w:hAnsi="宋体" w:cs="宋体"/>
          <w:b/>
          <w:color w:val="auto"/>
          <w:kern w:val="0"/>
          <w:sz w:val="36"/>
          <w:szCs w:val="36"/>
          <w:highlight w:val="none"/>
        </w:rPr>
      </w:pPr>
    </w:p>
    <w:p>
      <w:pPr>
        <w:pStyle w:val="28"/>
        <w:spacing w:line="360" w:lineRule="auto"/>
        <w:contextualSpacing/>
        <w:jc w:val="center"/>
        <w:rPr>
          <w:rFonts w:ascii="宋体" w:hAnsi="宋体" w:cs="宋体"/>
          <w:b/>
          <w:color w:val="auto"/>
          <w:kern w:val="0"/>
          <w:sz w:val="36"/>
          <w:szCs w:val="36"/>
          <w:highlight w:val="none"/>
        </w:rPr>
      </w:pPr>
    </w:p>
    <w:p>
      <w:pPr>
        <w:pStyle w:val="28"/>
        <w:spacing w:line="360" w:lineRule="auto"/>
        <w:contextualSpacing/>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第八章 投标文件有关格式</w:t>
      </w:r>
    </w:p>
    <w:p>
      <w:pPr>
        <w:autoSpaceDE w:val="0"/>
        <w:autoSpaceDN w:val="0"/>
        <w:adjustRightInd w:val="0"/>
        <w:spacing w:line="700" w:lineRule="exact"/>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（如涉及本项目的提供）</w:t>
      </w:r>
    </w:p>
    <w:p>
      <w:pPr>
        <w:autoSpaceDE w:val="0"/>
        <w:autoSpaceDN w:val="0"/>
        <w:adjustRightInd w:val="0"/>
        <w:spacing w:line="700" w:lineRule="exact"/>
        <w:ind w:firstLine="551"/>
        <w:jc w:val="center"/>
        <w:rPr>
          <w:rFonts w:ascii="宋体" w:hAnsi="宋体"/>
          <w:b/>
          <w:bCs/>
          <w:color w:val="auto"/>
          <w:sz w:val="44"/>
          <w:szCs w:val="44"/>
          <w:highlight w:val="none"/>
          <w:lang w:val="zh-CN"/>
        </w:rPr>
      </w:pPr>
    </w:p>
    <w:p>
      <w:pPr>
        <w:autoSpaceDE w:val="0"/>
        <w:autoSpaceDN w:val="0"/>
        <w:adjustRightInd w:val="0"/>
        <w:spacing w:line="700" w:lineRule="exact"/>
        <w:ind w:firstLine="551"/>
        <w:jc w:val="center"/>
        <w:rPr>
          <w:rFonts w:ascii="宋体" w:hAnsi="宋体"/>
          <w:b/>
          <w:bCs/>
          <w:color w:val="auto"/>
          <w:sz w:val="44"/>
          <w:szCs w:val="44"/>
          <w:highlight w:val="none"/>
          <w:lang w:val="zh-CN"/>
        </w:rPr>
      </w:pPr>
    </w:p>
    <w:p>
      <w:pPr>
        <w:autoSpaceDE w:val="0"/>
        <w:autoSpaceDN w:val="0"/>
        <w:adjustRightInd w:val="0"/>
        <w:spacing w:line="700" w:lineRule="exact"/>
        <w:ind w:firstLine="551"/>
        <w:jc w:val="center"/>
        <w:rPr>
          <w:rFonts w:ascii="宋体" w:hAnsi="宋体"/>
          <w:b/>
          <w:bCs/>
          <w:color w:val="auto"/>
          <w:sz w:val="44"/>
          <w:szCs w:val="44"/>
          <w:highlight w:val="none"/>
          <w:lang w:val="zh-CN"/>
        </w:rPr>
      </w:pPr>
    </w:p>
    <w:p>
      <w:pPr>
        <w:autoSpaceDE w:val="0"/>
        <w:autoSpaceDN w:val="0"/>
        <w:adjustRightInd w:val="0"/>
        <w:spacing w:line="700" w:lineRule="exact"/>
        <w:ind w:firstLine="551"/>
        <w:jc w:val="center"/>
        <w:rPr>
          <w:rFonts w:ascii="宋体" w:hAnsi="宋体"/>
          <w:b/>
          <w:bCs/>
          <w:color w:val="auto"/>
          <w:sz w:val="44"/>
          <w:szCs w:val="44"/>
          <w:highlight w:val="none"/>
          <w:lang w:val="zh-CN"/>
        </w:rPr>
      </w:pPr>
    </w:p>
    <w:p>
      <w:pPr>
        <w:autoSpaceDE w:val="0"/>
        <w:autoSpaceDN w:val="0"/>
        <w:adjustRightInd w:val="0"/>
        <w:spacing w:line="700" w:lineRule="exact"/>
        <w:ind w:firstLine="551"/>
        <w:jc w:val="center"/>
        <w:rPr>
          <w:rFonts w:ascii="宋体" w:hAnsi="宋体"/>
          <w:b/>
          <w:bCs/>
          <w:color w:val="auto"/>
          <w:sz w:val="44"/>
          <w:szCs w:val="44"/>
          <w:highlight w:val="none"/>
          <w:lang w:val="zh-CN"/>
        </w:rPr>
      </w:pPr>
    </w:p>
    <w:p>
      <w:pPr>
        <w:autoSpaceDE w:val="0"/>
        <w:autoSpaceDN w:val="0"/>
        <w:adjustRightInd w:val="0"/>
        <w:spacing w:line="700" w:lineRule="exact"/>
        <w:ind w:firstLine="551"/>
        <w:jc w:val="center"/>
        <w:rPr>
          <w:rFonts w:ascii="宋体" w:hAnsi="宋体"/>
          <w:b/>
          <w:bCs/>
          <w:color w:val="auto"/>
          <w:sz w:val="44"/>
          <w:szCs w:val="44"/>
          <w:highlight w:val="none"/>
          <w:lang w:val="zh-CN"/>
        </w:rPr>
      </w:pPr>
    </w:p>
    <w:p>
      <w:pPr>
        <w:autoSpaceDE w:val="0"/>
        <w:autoSpaceDN w:val="0"/>
        <w:adjustRightInd w:val="0"/>
        <w:spacing w:line="700" w:lineRule="exact"/>
        <w:ind w:firstLine="551"/>
        <w:jc w:val="center"/>
        <w:rPr>
          <w:rFonts w:ascii="宋体" w:hAnsi="宋体"/>
          <w:b/>
          <w:bCs/>
          <w:color w:val="auto"/>
          <w:sz w:val="44"/>
          <w:szCs w:val="44"/>
          <w:highlight w:val="none"/>
          <w:lang w:val="zh-CN"/>
        </w:rPr>
      </w:pPr>
    </w:p>
    <w:p>
      <w:pPr>
        <w:autoSpaceDE w:val="0"/>
        <w:autoSpaceDN w:val="0"/>
        <w:adjustRightInd w:val="0"/>
        <w:spacing w:line="700" w:lineRule="exact"/>
        <w:ind w:firstLine="551"/>
        <w:jc w:val="center"/>
        <w:rPr>
          <w:rFonts w:ascii="宋体" w:hAnsi="宋体"/>
          <w:b/>
          <w:bCs/>
          <w:color w:val="auto"/>
          <w:sz w:val="44"/>
          <w:szCs w:val="44"/>
          <w:highlight w:val="none"/>
          <w:lang w:val="zh-CN"/>
        </w:rPr>
      </w:pPr>
    </w:p>
    <w:p>
      <w:pPr>
        <w:rPr>
          <w:rFonts w:ascii="宋体" w:hAnsi="宋体" w:cs="宋体"/>
          <w:b/>
          <w:color w:val="auto"/>
          <w:kern w:val="0"/>
          <w:sz w:val="36"/>
          <w:szCs w:val="36"/>
          <w:highlight w:val="none"/>
        </w:rPr>
      </w:pPr>
    </w:p>
    <w:p>
      <w:pPr>
        <w:jc w:val="right"/>
        <w:rPr>
          <w:rFonts w:ascii="宋体" w:hAnsi="宋体" w:cs="宋体"/>
          <w:b/>
          <w:bCs/>
          <w:color w:val="auto"/>
          <w:sz w:val="32"/>
          <w:szCs w:val="32"/>
          <w:highlight w:val="none"/>
        </w:rPr>
      </w:pPr>
      <w:r>
        <w:rPr>
          <w:rFonts w:hint="eastAsia" w:ascii="宋体" w:hAnsi="宋体" w:cs="宋体"/>
          <w:b/>
          <w:bCs/>
          <w:color w:val="auto"/>
          <w:sz w:val="32"/>
          <w:szCs w:val="32"/>
          <w:highlight w:val="none"/>
        </w:rPr>
        <w:t xml:space="preserve"> </w:t>
      </w:r>
      <w:r>
        <w:rPr>
          <w:rFonts w:hint="eastAsia" w:ascii="宋体" w:hAnsi="宋体" w:cs="仿宋"/>
          <w:b/>
          <w:bCs/>
          <w:color w:val="auto"/>
          <w:sz w:val="32"/>
          <w:szCs w:val="32"/>
          <w:highlight w:val="none"/>
        </w:rPr>
        <w:t xml:space="preserve">正本/副本 </w:t>
      </w:r>
    </w:p>
    <w:p>
      <w:pPr>
        <w:rPr>
          <w:rFonts w:ascii="宋体" w:hAnsi="宋体" w:cs="宋体"/>
          <w:b/>
          <w:color w:val="auto"/>
          <w:kern w:val="0"/>
          <w:sz w:val="36"/>
          <w:szCs w:val="36"/>
          <w:highlight w:val="none"/>
        </w:rPr>
      </w:pPr>
    </w:p>
    <w:p>
      <w:pPr>
        <w:pStyle w:val="2"/>
        <w:rPr>
          <w:rFonts w:ascii="宋体" w:hAnsi="宋体"/>
          <w:color w:val="auto"/>
          <w:highlight w:val="none"/>
        </w:rPr>
      </w:pPr>
    </w:p>
    <w:p>
      <w:pPr>
        <w:rPr>
          <w:rFonts w:ascii="宋体" w:hAnsi="宋体" w:cs="宋体"/>
          <w:b/>
          <w:bCs/>
          <w:color w:val="auto"/>
          <w:sz w:val="32"/>
          <w:szCs w:val="32"/>
          <w:highlight w:val="none"/>
        </w:rPr>
      </w:pPr>
      <w:r>
        <w:rPr>
          <w:rFonts w:hint="eastAsia" w:ascii="宋体" w:hAnsi="宋体" w:cs="宋体"/>
          <w:b/>
          <w:bCs/>
          <w:color w:val="auto"/>
          <w:sz w:val="32"/>
          <w:szCs w:val="32"/>
          <w:highlight w:val="none"/>
        </w:rPr>
        <w:t xml:space="preserve">           </w:t>
      </w:r>
      <w:r>
        <w:rPr>
          <w:rFonts w:hint="eastAsia" w:ascii="宋体" w:hAnsi="宋体" w:cs="宋体"/>
          <w:b/>
          <w:bCs/>
          <w:color w:val="auto"/>
          <w:sz w:val="32"/>
          <w:szCs w:val="32"/>
          <w:highlight w:val="none"/>
          <w:u w:val="single"/>
        </w:rPr>
        <w:t xml:space="preserve">                             </w:t>
      </w:r>
      <w:r>
        <w:rPr>
          <w:rFonts w:hint="eastAsia" w:ascii="宋体" w:hAnsi="宋体" w:cs="宋体"/>
          <w:b/>
          <w:bCs/>
          <w:color w:val="auto"/>
          <w:sz w:val="32"/>
          <w:szCs w:val="32"/>
          <w:highlight w:val="none"/>
        </w:rPr>
        <w:t>（项目名称）</w:t>
      </w:r>
    </w:p>
    <w:p>
      <w:pPr>
        <w:ind w:firstLine="141" w:firstLineChars="44"/>
        <w:rPr>
          <w:rFonts w:ascii="宋体" w:hAnsi="宋体" w:cs="宋体"/>
          <w:b/>
          <w:bCs/>
          <w:color w:val="auto"/>
          <w:sz w:val="32"/>
          <w:szCs w:val="32"/>
          <w:highlight w:val="none"/>
        </w:rPr>
      </w:pPr>
    </w:p>
    <w:p>
      <w:pPr>
        <w:rPr>
          <w:rFonts w:ascii="宋体" w:hAnsi="宋体" w:cs="宋体"/>
          <w:b/>
          <w:bCs/>
          <w:color w:val="auto"/>
          <w:sz w:val="32"/>
          <w:szCs w:val="32"/>
          <w:highlight w:val="none"/>
        </w:rPr>
      </w:pPr>
    </w:p>
    <w:p>
      <w:pPr>
        <w:jc w:val="center"/>
        <w:rPr>
          <w:rFonts w:ascii="宋体" w:hAnsi="宋体" w:cs="宋体"/>
          <w:b/>
          <w:bCs/>
          <w:color w:val="auto"/>
          <w:sz w:val="44"/>
          <w:szCs w:val="44"/>
          <w:highlight w:val="none"/>
        </w:rPr>
      </w:pPr>
    </w:p>
    <w:p>
      <w:pPr>
        <w:jc w:val="center"/>
        <w:rPr>
          <w:rFonts w:ascii="宋体" w:hAnsi="宋体" w:cs="宋体"/>
          <w:b/>
          <w:bCs/>
          <w:color w:val="auto"/>
          <w:sz w:val="44"/>
          <w:szCs w:val="44"/>
          <w:highlight w:val="none"/>
        </w:rPr>
      </w:pPr>
    </w:p>
    <w:p>
      <w:pPr>
        <w:jc w:val="center"/>
        <w:rPr>
          <w:rFonts w:ascii="宋体" w:hAnsi="宋体" w:cs="宋体"/>
          <w:b/>
          <w:bCs/>
          <w:color w:val="auto"/>
          <w:sz w:val="44"/>
          <w:szCs w:val="44"/>
          <w:highlight w:val="none"/>
        </w:rPr>
      </w:pPr>
    </w:p>
    <w:p>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投标文件</w:t>
      </w:r>
    </w:p>
    <w:p>
      <w:pPr>
        <w:rPr>
          <w:rFonts w:ascii="宋体" w:hAnsi="宋体" w:cs="仿宋"/>
          <w:b/>
          <w:bCs/>
          <w:color w:val="auto"/>
          <w:sz w:val="24"/>
          <w:szCs w:val="24"/>
          <w:highlight w:val="none"/>
        </w:rPr>
      </w:pPr>
    </w:p>
    <w:p>
      <w:pPr>
        <w:rPr>
          <w:rFonts w:ascii="宋体" w:hAnsi="宋体" w:cs="仿宋"/>
          <w:b/>
          <w:bCs/>
          <w:color w:val="auto"/>
          <w:sz w:val="24"/>
          <w:szCs w:val="24"/>
          <w:highlight w:val="none"/>
        </w:rPr>
      </w:pPr>
    </w:p>
    <w:p>
      <w:pPr>
        <w:rPr>
          <w:rFonts w:ascii="宋体" w:hAnsi="宋体" w:cs="仿宋"/>
          <w:b/>
          <w:bCs/>
          <w:color w:val="auto"/>
          <w:sz w:val="24"/>
          <w:szCs w:val="24"/>
          <w:highlight w:val="none"/>
        </w:rPr>
      </w:pPr>
      <w:r>
        <w:rPr>
          <w:rFonts w:hint="eastAsia" w:ascii="宋体" w:hAnsi="宋体" w:cs="仿宋"/>
          <w:b/>
          <w:bCs/>
          <w:color w:val="auto"/>
          <w:sz w:val="30"/>
          <w:szCs w:val="30"/>
          <w:highlight w:val="none"/>
        </w:rPr>
        <w:t xml:space="preserve">                项目编号：</w:t>
      </w:r>
      <w:r>
        <w:rPr>
          <w:rFonts w:hint="eastAsia" w:ascii="宋体" w:hAnsi="宋体" w:cs="仿宋"/>
          <w:b/>
          <w:bCs/>
          <w:color w:val="auto"/>
          <w:sz w:val="30"/>
          <w:szCs w:val="30"/>
          <w:highlight w:val="none"/>
          <w:u w:val="single"/>
        </w:rPr>
        <w:t xml:space="preserve">             </w:t>
      </w:r>
      <w:r>
        <w:rPr>
          <w:rFonts w:hint="eastAsia" w:ascii="宋体" w:hAnsi="宋体" w:cs="仿宋"/>
          <w:b/>
          <w:bCs/>
          <w:color w:val="auto"/>
          <w:sz w:val="30"/>
          <w:szCs w:val="30"/>
          <w:highlight w:val="none"/>
        </w:rPr>
        <w:t>号</w:t>
      </w:r>
    </w:p>
    <w:p>
      <w:pPr>
        <w:spacing w:line="700" w:lineRule="exact"/>
        <w:ind w:firstLine="602" w:firstLineChars="200"/>
        <w:rPr>
          <w:rFonts w:ascii="宋体" w:hAnsi="宋体" w:cs="宋体"/>
          <w:b/>
          <w:bCs/>
          <w:color w:val="auto"/>
          <w:sz w:val="30"/>
          <w:szCs w:val="30"/>
          <w:highlight w:val="none"/>
        </w:rPr>
      </w:pPr>
    </w:p>
    <w:p>
      <w:pPr>
        <w:spacing w:line="700" w:lineRule="exact"/>
        <w:rPr>
          <w:rFonts w:ascii="宋体" w:hAnsi="宋体" w:cs="宋体"/>
          <w:b/>
          <w:bCs/>
          <w:color w:val="auto"/>
          <w:sz w:val="30"/>
          <w:szCs w:val="30"/>
          <w:highlight w:val="none"/>
        </w:rPr>
      </w:pPr>
    </w:p>
    <w:p>
      <w:pPr>
        <w:pStyle w:val="2"/>
        <w:rPr>
          <w:rFonts w:ascii="宋体" w:hAnsi="宋体"/>
          <w:color w:val="auto"/>
          <w:highlight w:val="none"/>
        </w:rPr>
      </w:pPr>
    </w:p>
    <w:p>
      <w:pPr>
        <w:pStyle w:val="2"/>
        <w:rPr>
          <w:rFonts w:ascii="宋体" w:hAnsi="宋体"/>
          <w:color w:val="auto"/>
          <w:highlight w:val="none"/>
        </w:rPr>
      </w:pPr>
    </w:p>
    <w:p>
      <w:pPr>
        <w:spacing w:line="700" w:lineRule="exact"/>
        <w:ind w:firstLine="602" w:firstLineChars="200"/>
        <w:rPr>
          <w:rFonts w:ascii="宋体" w:hAnsi="宋体" w:cs="宋体"/>
          <w:b/>
          <w:bCs/>
          <w:color w:val="auto"/>
          <w:sz w:val="30"/>
          <w:szCs w:val="30"/>
          <w:highlight w:val="none"/>
        </w:rPr>
      </w:pPr>
    </w:p>
    <w:p>
      <w:pPr>
        <w:spacing w:line="700" w:lineRule="exact"/>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投标人名称：</w:t>
      </w:r>
      <w:r>
        <w:rPr>
          <w:rFonts w:hint="eastAsia" w:ascii="宋体" w:hAnsi="宋体" w:cs="宋体"/>
          <w:b/>
          <w:bCs/>
          <w:color w:val="auto"/>
          <w:sz w:val="30"/>
          <w:szCs w:val="30"/>
          <w:highlight w:val="none"/>
          <w:u w:val="single"/>
        </w:rPr>
        <w:t xml:space="preserve">                     </w:t>
      </w:r>
      <w:r>
        <w:rPr>
          <w:rFonts w:hint="eastAsia" w:ascii="宋体" w:hAnsi="宋体" w:cs="宋体"/>
          <w:b/>
          <w:bCs/>
          <w:color w:val="auto"/>
          <w:sz w:val="30"/>
          <w:szCs w:val="30"/>
          <w:highlight w:val="none"/>
        </w:rPr>
        <w:t>（单位盖章）</w:t>
      </w:r>
    </w:p>
    <w:p>
      <w:pPr>
        <w:spacing w:line="700" w:lineRule="exact"/>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法定代表人或其委托代理人：</w:t>
      </w:r>
      <w:r>
        <w:rPr>
          <w:rFonts w:hint="eastAsia" w:ascii="宋体" w:hAnsi="宋体" w:cs="宋体"/>
          <w:b/>
          <w:bCs/>
          <w:color w:val="auto"/>
          <w:sz w:val="30"/>
          <w:szCs w:val="30"/>
          <w:highlight w:val="none"/>
          <w:u w:val="single"/>
        </w:rPr>
        <w:t xml:space="preserve">       </w:t>
      </w:r>
      <w:r>
        <w:rPr>
          <w:rFonts w:hint="eastAsia" w:ascii="宋体" w:hAnsi="宋体" w:cs="宋体"/>
          <w:b/>
          <w:bCs/>
          <w:color w:val="auto"/>
          <w:sz w:val="30"/>
          <w:szCs w:val="30"/>
          <w:highlight w:val="none"/>
        </w:rPr>
        <w:t>（签字或盖章）</w:t>
      </w:r>
    </w:p>
    <w:p>
      <w:pPr>
        <w:spacing w:line="700" w:lineRule="exact"/>
        <w:ind w:firstLine="596" w:firstLineChars="198"/>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日期：</w:t>
      </w:r>
      <w:r>
        <w:rPr>
          <w:rFonts w:hint="eastAsia" w:ascii="宋体" w:hAnsi="宋体" w:cs="宋体"/>
          <w:b/>
          <w:bCs/>
          <w:color w:val="auto"/>
          <w:sz w:val="30"/>
          <w:szCs w:val="30"/>
          <w:highlight w:val="none"/>
          <w:u w:val="single"/>
        </w:rPr>
        <w:t xml:space="preserve">      </w:t>
      </w:r>
      <w:r>
        <w:rPr>
          <w:rFonts w:hint="eastAsia" w:ascii="宋体" w:hAnsi="宋体" w:cs="宋体"/>
          <w:b/>
          <w:bCs/>
          <w:color w:val="auto"/>
          <w:sz w:val="30"/>
          <w:szCs w:val="30"/>
          <w:highlight w:val="none"/>
        </w:rPr>
        <w:t>年</w:t>
      </w:r>
      <w:r>
        <w:rPr>
          <w:rFonts w:hint="eastAsia" w:ascii="宋体" w:hAnsi="宋体" w:cs="宋体"/>
          <w:b/>
          <w:bCs/>
          <w:color w:val="auto"/>
          <w:sz w:val="30"/>
          <w:szCs w:val="30"/>
          <w:highlight w:val="none"/>
          <w:u w:val="single"/>
        </w:rPr>
        <w:t xml:space="preserve">     </w:t>
      </w:r>
      <w:r>
        <w:rPr>
          <w:rFonts w:hint="eastAsia" w:ascii="宋体" w:hAnsi="宋体" w:cs="宋体"/>
          <w:b/>
          <w:bCs/>
          <w:color w:val="auto"/>
          <w:sz w:val="30"/>
          <w:szCs w:val="30"/>
          <w:highlight w:val="none"/>
        </w:rPr>
        <w:t>月</w:t>
      </w:r>
      <w:r>
        <w:rPr>
          <w:rFonts w:hint="eastAsia" w:ascii="宋体" w:hAnsi="宋体" w:cs="宋体"/>
          <w:b/>
          <w:bCs/>
          <w:color w:val="auto"/>
          <w:sz w:val="30"/>
          <w:szCs w:val="30"/>
          <w:highlight w:val="none"/>
          <w:u w:val="single"/>
        </w:rPr>
        <w:t xml:space="preserve">    </w:t>
      </w:r>
      <w:r>
        <w:rPr>
          <w:rFonts w:hint="eastAsia" w:ascii="宋体" w:hAnsi="宋体" w:cs="宋体"/>
          <w:b/>
          <w:bCs/>
          <w:color w:val="auto"/>
          <w:sz w:val="30"/>
          <w:szCs w:val="30"/>
          <w:highlight w:val="none"/>
        </w:rPr>
        <w:t>日</w:t>
      </w:r>
    </w:p>
    <w:p>
      <w:pPr>
        <w:pStyle w:val="28"/>
        <w:spacing w:line="360" w:lineRule="auto"/>
        <w:jc w:val="center"/>
        <w:rPr>
          <w:rFonts w:ascii="宋体" w:hAnsi="宋体"/>
          <w:b/>
          <w:snapToGrid w:val="0"/>
          <w:color w:val="auto"/>
          <w:kern w:val="0"/>
          <w:sz w:val="36"/>
          <w:szCs w:val="36"/>
          <w:highlight w:val="none"/>
        </w:rPr>
      </w:pPr>
      <w:r>
        <w:rPr>
          <w:rFonts w:hint="eastAsia" w:ascii="宋体" w:hAnsi="宋体"/>
          <w:b/>
          <w:snapToGrid w:val="0"/>
          <w:color w:val="auto"/>
          <w:kern w:val="0"/>
          <w:sz w:val="36"/>
          <w:szCs w:val="36"/>
          <w:highlight w:val="none"/>
        </w:rPr>
        <w:t>一、开标一览表</w:t>
      </w:r>
    </w:p>
    <w:p>
      <w:pPr>
        <w:spacing w:before="50" w:afterLines="50" w:line="360" w:lineRule="auto"/>
        <w:contextualSpacing/>
        <w:jc w:val="left"/>
        <w:rPr>
          <w:rFonts w:ascii="宋体" w:hAnsi="宋体"/>
          <w:color w:val="auto"/>
          <w:sz w:val="24"/>
          <w:szCs w:val="24"/>
          <w:highlight w:val="none"/>
        </w:rPr>
      </w:pPr>
      <w:r>
        <w:rPr>
          <w:rFonts w:hint="eastAsia" w:ascii="宋体" w:hAnsi="宋体"/>
          <w:color w:val="auto"/>
          <w:sz w:val="24"/>
          <w:szCs w:val="24"/>
          <w:highlight w:val="none"/>
        </w:rPr>
        <w:t>项目编号：</w:t>
      </w:r>
    </w:p>
    <w:p>
      <w:pPr>
        <w:spacing w:line="360" w:lineRule="auto"/>
        <w:contextualSpacing/>
        <w:rPr>
          <w:rFonts w:ascii="宋体" w:hAnsi="宋体"/>
          <w:color w:val="auto"/>
          <w:sz w:val="24"/>
          <w:szCs w:val="24"/>
          <w:highlight w:val="none"/>
        </w:rPr>
      </w:pPr>
      <w:r>
        <w:rPr>
          <w:rFonts w:hint="eastAsia" w:ascii="宋体" w:hAnsi="宋体"/>
          <w:color w:val="auto"/>
          <w:sz w:val="24"/>
          <w:szCs w:val="24"/>
          <w:highlight w:val="none"/>
        </w:rPr>
        <w:t>项目名称：</w:t>
      </w:r>
    </w:p>
    <w:tbl>
      <w:tblPr>
        <w:tblStyle w:val="18"/>
        <w:tblW w:w="9147" w:type="dxa"/>
        <w:tblInd w:w="-106" w:type="dxa"/>
        <w:tblLayout w:type="fixed"/>
        <w:tblCellMar>
          <w:top w:w="0" w:type="dxa"/>
          <w:left w:w="108" w:type="dxa"/>
          <w:bottom w:w="0" w:type="dxa"/>
          <w:right w:w="108" w:type="dxa"/>
        </w:tblCellMar>
      </w:tblPr>
      <w:tblGrid>
        <w:gridCol w:w="1078"/>
        <w:gridCol w:w="1800"/>
        <w:gridCol w:w="1760"/>
        <w:gridCol w:w="1419"/>
        <w:gridCol w:w="1549"/>
        <w:gridCol w:w="1541"/>
      </w:tblGrid>
      <w:tr>
        <w:tblPrEx>
          <w:tblLayout w:type="fixed"/>
          <w:tblCellMar>
            <w:top w:w="0" w:type="dxa"/>
            <w:left w:w="108" w:type="dxa"/>
            <w:bottom w:w="0" w:type="dxa"/>
            <w:right w:w="108" w:type="dxa"/>
          </w:tblCellMar>
        </w:tblPrEx>
        <w:trPr>
          <w:trHeight w:val="1180" w:hRule="atLeast"/>
        </w:trPr>
        <w:tc>
          <w:tcPr>
            <w:tcW w:w="107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Cs w:val="21"/>
                <w:highlight w:val="none"/>
              </w:rPr>
            </w:pPr>
            <w:r>
              <w:rPr>
                <w:rFonts w:hint="eastAsia" w:ascii="宋体" w:hAnsi="宋体" w:cs="宋体"/>
                <w:b/>
                <w:color w:val="auto"/>
                <w:szCs w:val="21"/>
                <w:highlight w:val="none"/>
              </w:rPr>
              <w:t>分包号</w:t>
            </w:r>
          </w:p>
        </w:tc>
        <w:tc>
          <w:tcPr>
            <w:tcW w:w="180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176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Cs w:val="21"/>
                <w:highlight w:val="none"/>
              </w:rPr>
            </w:pPr>
            <w:r>
              <w:rPr>
                <w:rFonts w:hint="eastAsia" w:ascii="宋体" w:hAnsi="宋体" w:cs="宋体"/>
                <w:b/>
                <w:color w:val="auto"/>
                <w:szCs w:val="21"/>
                <w:highlight w:val="none"/>
              </w:rPr>
              <w:t>是否提供承诺函</w:t>
            </w:r>
          </w:p>
        </w:tc>
        <w:tc>
          <w:tcPr>
            <w:tcW w:w="141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Cs w:val="21"/>
                <w:highlight w:val="none"/>
              </w:rPr>
            </w:pPr>
            <w:r>
              <w:rPr>
                <w:rFonts w:hint="eastAsia" w:ascii="宋体" w:hAnsi="宋体" w:cs="宋体"/>
                <w:b/>
                <w:color w:val="auto"/>
                <w:szCs w:val="21"/>
                <w:highlight w:val="none"/>
              </w:rPr>
              <w:t>响应时间</w:t>
            </w:r>
          </w:p>
          <w:p>
            <w:pPr>
              <w:autoSpaceDE w:val="0"/>
              <w:autoSpaceDN w:val="0"/>
              <w:adjustRightInd w:val="0"/>
              <w:spacing w:line="480" w:lineRule="exact"/>
              <w:jc w:val="center"/>
              <w:rPr>
                <w:rFonts w:ascii="宋体" w:hAnsi="宋体" w:cs="宋体"/>
                <w:b/>
                <w:color w:val="auto"/>
                <w:szCs w:val="21"/>
                <w:highlight w:val="none"/>
              </w:rPr>
            </w:pPr>
            <w:r>
              <w:rPr>
                <w:rFonts w:hint="eastAsia" w:ascii="宋体" w:hAnsi="宋体" w:cs="宋体"/>
                <w:b/>
                <w:color w:val="auto"/>
                <w:szCs w:val="21"/>
                <w:highlight w:val="none"/>
              </w:rPr>
              <w:t>（小时）</w:t>
            </w:r>
          </w:p>
        </w:tc>
        <w:tc>
          <w:tcPr>
            <w:tcW w:w="154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Cs w:val="21"/>
                <w:highlight w:val="none"/>
              </w:rPr>
            </w:pPr>
            <w:r>
              <w:rPr>
                <w:rFonts w:hint="eastAsia" w:ascii="宋体" w:hAnsi="宋体" w:cs="宋体"/>
                <w:b/>
                <w:color w:val="auto"/>
                <w:szCs w:val="21"/>
                <w:highlight w:val="none"/>
              </w:rPr>
              <w:t>服务履约期限</w:t>
            </w:r>
          </w:p>
          <w:p>
            <w:pPr>
              <w:autoSpaceDE w:val="0"/>
              <w:autoSpaceDN w:val="0"/>
              <w:adjustRightInd w:val="0"/>
              <w:spacing w:line="480" w:lineRule="exact"/>
              <w:jc w:val="center"/>
              <w:rPr>
                <w:rFonts w:ascii="宋体" w:hAnsi="宋体" w:cs="宋体"/>
                <w:b/>
                <w:color w:val="auto"/>
                <w:szCs w:val="21"/>
                <w:highlight w:val="none"/>
              </w:rPr>
            </w:pPr>
            <w:r>
              <w:rPr>
                <w:rFonts w:hint="eastAsia" w:ascii="宋体" w:hAnsi="宋体" w:cs="宋体"/>
                <w:b/>
                <w:color w:val="auto"/>
                <w:szCs w:val="21"/>
                <w:highlight w:val="none"/>
              </w:rPr>
              <w:t>（年）</w:t>
            </w:r>
          </w:p>
        </w:tc>
        <w:tc>
          <w:tcPr>
            <w:tcW w:w="1541"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Cs w:val="21"/>
                <w:highlight w:val="none"/>
              </w:rPr>
            </w:pPr>
            <w:r>
              <w:rPr>
                <w:rFonts w:hint="eastAsia" w:ascii="宋体" w:hAnsi="宋体" w:cs="宋体"/>
                <w:b/>
                <w:color w:val="auto"/>
                <w:szCs w:val="21"/>
                <w:highlight w:val="none"/>
              </w:rPr>
              <w:t>备注</w:t>
            </w:r>
          </w:p>
        </w:tc>
      </w:tr>
      <w:tr>
        <w:tblPrEx>
          <w:tblLayout w:type="fixed"/>
          <w:tblCellMar>
            <w:top w:w="0" w:type="dxa"/>
            <w:left w:w="108" w:type="dxa"/>
            <w:bottom w:w="0" w:type="dxa"/>
            <w:right w:w="108" w:type="dxa"/>
          </w:tblCellMar>
        </w:tblPrEx>
        <w:trPr>
          <w:trHeight w:val="1180" w:hRule="atLeast"/>
        </w:trPr>
        <w:tc>
          <w:tcPr>
            <w:tcW w:w="10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Cs w:val="21"/>
                <w:highlight w:val="none"/>
              </w:rPr>
            </w:pP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Cs w:val="21"/>
                <w:highlight w:val="none"/>
              </w:rPr>
            </w:pPr>
          </w:p>
        </w:tc>
        <w:tc>
          <w:tcPr>
            <w:tcW w:w="17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Cs w:val="21"/>
                <w:highlight w:val="none"/>
                <w:lang w:val="zh-CN"/>
              </w:rPr>
            </w:pPr>
          </w:p>
        </w:tc>
        <w:tc>
          <w:tcPr>
            <w:tcW w:w="14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Cs w:val="21"/>
                <w:highlight w:val="none"/>
                <w:lang w:val="zh-CN"/>
              </w:rPr>
            </w:pPr>
          </w:p>
        </w:tc>
        <w:tc>
          <w:tcPr>
            <w:tcW w:w="1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Cs w:val="21"/>
                <w:highlight w:val="none"/>
                <w:lang w:val="zh-CN"/>
              </w:rPr>
            </w:pPr>
          </w:p>
        </w:tc>
        <w:tc>
          <w:tcPr>
            <w:tcW w:w="15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Cs w:val="21"/>
                <w:highlight w:val="none"/>
                <w:lang w:val="zh-CN"/>
              </w:rPr>
            </w:pPr>
          </w:p>
        </w:tc>
      </w:tr>
      <w:tr>
        <w:tblPrEx>
          <w:tblLayout w:type="fixed"/>
          <w:tblCellMar>
            <w:top w:w="0" w:type="dxa"/>
            <w:left w:w="108" w:type="dxa"/>
            <w:bottom w:w="0" w:type="dxa"/>
            <w:right w:w="108" w:type="dxa"/>
          </w:tblCellMar>
        </w:tblPrEx>
        <w:trPr>
          <w:trHeight w:val="1201" w:hRule="atLeast"/>
        </w:trPr>
        <w:tc>
          <w:tcPr>
            <w:tcW w:w="10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Cs w:val="21"/>
                <w:highlight w:val="none"/>
              </w:rPr>
            </w:pPr>
            <w:r>
              <w:rPr>
                <w:rFonts w:hint="eastAsia" w:ascii="宋体" w:hAnsi="宋体" w:cs="Arial"/>
                <w:color w:val="auto"/>
                <w:szCs w:val="21"/>
                <w:highlight w:val="none"/>
              </w:rPr>
              <w:t>…</w:t>
            </w: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Cs w:val="21"/>
                <w:highlight w:val="none"/>
              </w:rPr>
            </w:pPr>
          </w:p>
        </w:tc>
        <w:tc>
          <w:tcPr>
            <w:tcW w:w="17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Cs w:val="21"/>
                <w:highlight w:val="none"/>
                <w:lang w:val="zh-CN"/>
              </w:rPr>
            </w:pPr>
          </w:p>
        </w:tc>
        <w:tc>
          <w:tcPr>
            <w:tcW w:w="14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Cs w:val="21"/>
                <w:highlight w:val="none"/>
                <w:lang w:val="zh-CN"/>
              </w:rPr>
            </w:pPr>
          </w:p>
        </w:tc>
        <w:tc>
          <w:tcPr>
            <w:tcW w:w="1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Cs w:val="21"/>
                <w:highlight w:val="none"/>
                <w:lang w:val="zh-CN"/>
              </w:rPr>
            </w:pPr>
          </w:p>
        </w:tc>
        <w:tc>
          <w:tcPr>
            <w:tcW w:w="15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Cs w:val="21"/>
                <w:highlight w:val="none"/>
                <w:lang w:val="zh-CN"/>
              </w:rPr>
            </w:pPr>
          </w:p>
        </w:tc>
      </w:tr>
    </w:tbl>
    <w:p>
      <w:pPr>
        <w:spacing w:line="360" w:lineRule="auto"/>
        <w:contextualSpacing/>
        <w:rPr>
          <w:rFonts w:ascii="宋体" w:hAnsi="宋体"/>
          <w:color w:val="auto"/>
          <w:sz w:val="24"/>
          <w:szCs w:val="24"/>
          <w:highlight w:val="none"/>
        </w:rPr>
      </w:pPr>
    </w:p>
    <w:p>
      <w:pPr>
        <w:autoSpaceDE w:val="0"/>
        <w:autoSpaceDN w:val="0"/>
        <w:adjustRightInd w:val="0"/>
        <w:spacing w:line="48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投标人名称：</w:t>
      </w:r>
      <w:r>
        <w:rPr>
          <w:rFonts w:hint="eastAsia" w:ascii="宋体" w:hAnsi="宋体" w:cs="宋体"/>
          <w:color w:val="auto"/>
          <w:sz w:val="24"/>
          <w:szCs w:val="24"/>
          <w:highlight w:val="none"/>
          <w:u w:val="single"/>
          <w:lang w:val="zh-CN"/>
        </w:rPr>
        <w:t xml:space="preserve">     （全称）   </w:t>
      </w:r>
      <w:r>
        <w:rPr>
          <w:rFonts w:hint="eastAsia" w:ascii="宋体" w:hAnsi="宋体" w:cs="宋体"/>
          <w:color w:val="auto"/>
          <w:sz w:val="24"/>
          <w:szCs w:val="24"/>
          <w:highlight w:val="none"/>
          <w:lang w:val="zh-CN"/>
        </w:rPr>
        <w:t>（公章）：</w:t>
      </w:r>
    </w:p>
    <w:p>
      <w:pPr>
        <w:autoSpaceDE w:val="0"/>
        <w:autoSpaceDN w:val="0"/>
        <w:adjustRightInd w:val="0"/>
        <w:spacing w:line="48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投标人法定代表人（或授权代表）签字：</w:t>
      </w:r>
    </w:p>
    <w:p>
      <w:pPr>
        <w:autoSpaceDE w:val="0"/>
        <w:autoSpaceDN w:val="0"/>
        <w:adjustRightInd w:val="0"/>
        <w:spacing w:line="48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日期：    年    月     日</w:t>
      </w:r>
    </w:p>
    <w:p>
      <w:pPr>
        <w:autoSpaceDE w:val="0"/>
        <w:autoSpaceDN w:val="0"/>
        <w:adjustRightInd w:val="0"/>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注：</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、“是否提供承诺函”包括以下承诺函（投标文件中需单独附下列四项承诺函，如提供四项承诺，在上面表格是否提供承诺函填写“是”；如不提供或提供不全，填写“否”）：</w:t>
      </w:r>
    </w:p>
    <w:p>
      <w:pPr>
        <w:autoSpaceDE w:val="0"/>
        <w:autoSpaceDN w:val="0"/>
        <w:adjustRightInd w:val="0"/>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一、投标人是否能按照对本项目招标文件中规定收取费用的承诺函；</w:t>
      </w:r>
    </w:p>
    <w:p>
      <w:pPr>
        <w:autoSpaceDE w:val="0"/>
        <w:autoSpaceDN w:val="0"/>
        <w:adjustRightInd w:val="0"/>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二、投标人能够在中标入库后的服务期二年内提供</w:t>
      </w:r>
      <w:r>
        <w:rPr>
          <w:rFonts w:ascii="宋体" w:hAnsi="宋体" w:cs="宋体"/>
          <w:color w:val="auto"/>
          <w:sz w:val="24"/>
          <w:szCs w:val="24"/>
          <w:highlight w:val="none"/>
          <w:lang w:val="zh-CN"/>
        </w:rPr>
        <w:t>7</w:t>
      </w: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24</w:t>
      </w:r>
      <w:r>
        <w:rPr>
          <w:rFonts w:hint="eastAsia" w:ascii="宋体" w:hAnsi="宋体" w:cs="宋体"/>
          <w:color w:val="auto"/>
          <w:sz w:val="24"/>
          <w:szCs w:val="24"/>
          <w:highlight w:val="none"/>
          <w:lang w:val="zh-CN"/>
        </w:rPr>
        <w:t>小时技术支持和项目现场服务的承诺函；</w:t>
      </w:r>
    </w:p>
    <w:p>
      <w:pPr>
        <w:autoSpaceDE w:val="0"/>
        <w:autoSpaceDN w:val="0"/>
        <w:adjustRightInd w:val="0"/>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三、投标人是否提供在合同执行过程中在许昌拟投入本项目相关人员为常驻人员的承诺函；</w:t>
      </w:r>
    </w:p>
    <w:p>
      <w:pPr>
        <w:autoSpaceDE w:val="0"/>
        <w:autoSpaceDN w:val="0"/>
        <w:adjustRightInd w:val="0"/>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四、投标人是否在许昌设有相关办事机构的承诺函。</w:t>
      </w:r>
    </w:p>
    <w:p>
      <w:pPr>
        <w:autoSpaceDE w:val="0"/>
        <w:autoSpaceDN w:val="0"/>
        <w:adjustRightInd w:val="0"/>
        <w:spacing w:line="360" w:lineRule="auto"/>
        <w:rPr>
          <w:rFonts w:ascii="宋体" w:hAnsi="宋体" w:cs="宋体"/>
          <w:color w:val="auto"/>
          <w:sz w:val="24"/>
          <w:szCs w:val="24"/>
          <w:highlight w:val="none"/>
          <w:lang w:val="zh-CN"/>
        </w:rPr>
      </w:pPr>
      <w:r>
        <w:rPr>
          <w:rFonts w:ascii="宋体" w:hAnsi="宋体" w:cs="宋体"/>
          <w:color w:val="auto"/>
          <w:sz w:val="24"/>
          <w:szCs w:val="24"/>
          <w:highlight w:val="none"/>
          <w:lang w:val="zh-CN"/>
        </w:rPr>
        <w:t xml:space="preserve">    2</w:t>
      </w:r>
      <w:r>
        <w:rPr>
          <w:rFonts w:hint="eastAsia" w:ascii="宋体" w:hAnsi="宋体" w:cs="宋体"/>
          <w:color w:val="auto"/>
          <w:sz w:val="24"/>
          <w:szCs w:val="24"/>
          <w:highlight w:val="none"/>
          <w:lang w:val="zh-CN"/>
        </w:rPr>
        <w:t>、“响应时间”是指在项目委托人提出服务需求后，投标人从接到服务需求做出响应时至到达现场时的时间（响应时间填写：0.5、1等数字）。</w:t>
      </w:r>
    </w:p>
    <w:p>
      <w:pPr>
        <w:autoSpaceDE w:val="0"/>
        <w:autoSpaceDN w:val="0"/>
        <w:adjustRightInd w:val="0"/>
        <w:spacing w:line="360" w:lineRule="auto"/>
        <w:rPr>
          <w:rFonts w:ascii="宋体" w:hAnsi="宋体" w:cs="宋体"/>
          <w:color w:val="auto"/>
          <w:sz w:val="24"/>
          <w:highlight w:val="none"/>
          <w:lang w:val="zh-CN"/>
        </w:rPr>
      </w:pPr>
    </w:p>
    <w:p>
      <w:pPr>
        <w:autoSpaceDE w:val="0"/>
        <w:autoSpaceDN w:val="0"/>
        <w:adjustRightInd w:val="0"/>
        <w:spacing w:line="360" w:lineRule="auto"/>
        <w:rPr>
          <w:rFonts w:ascii="宋体" w:hAnsi="宋体" w:cs="宋体"/>
          <w:color w:val="auto"/>
          <w:sz w:val="24"/>
          <w:highlight w:val="none"/>
          <w:lang w:val="zh-CN"/>
        </w:rPr>
      </w:pPr>
    </w:p>
    <w:p>
      <w:pPr>
        <w:autoSpaceDE w:val="0"/>
        <w:autoSpaceDN w:val="0"/>
        <w:adjustRightInd w:val="0"/>
        <w:spacing w:line="360" w:lineRule="auto"/>
        <w:rPr>
          <w:rFonts w:ascii="宋体" w:hAnsi="宋体" w:cs="宋体"/>
          <w:color w:val="auto"/>
          <w:sz w:val="24"/>
          <w:highlight w:val="none"/>
          <w:lang w:val="zh-CN"/>
        </w:rPr>
      </w:pPr>
    </w:p>
    <w:p>
      <w:pPr>
        <w:autoSpaceDE w:val="0"/>
        <w:autoSpaceDN w:val="0"/>
        <w:adjustRightInd w:val="0"/>
        <w:spacing w:line="360" w:lineRule="auto"/>
        <w:rPr>
          <w:rFonts w:ascii="宋体" w:hAnsi="宋体" w:cs="宋体"/>
          <w:color w:val="auto"/>
          <w:sz w:val="24"/>
          <w:highlight w:val="none"/>
          <w:lang w:val="zh-CN"/>
        </w:rPr>
      </w:pPr>
    </w:p>
    <w:p>
      <w:pPr>
        <w:autoSpaceDE w:val="0"/>
        <w:autoSpaceDN w:val="0"/>
        <w:adjustRightInd w:val="0"/>
        <w:spacing w:line="360" w:lineRule="auto"/>
        <w:rPr>
          <w:rFonts w:ascii="宋体" w:hAnsi="宋体" w:cs="宋体"/>
          <w:color w:val="auto"/>
          <w:sz w:val="24"/>
          <w:highlight w:val="none"/>
          <w:lang w:val="zh-CN"/>
        </w:rPr>
      </w:pPr>
    </w:p>
    <w:p>
      <w:pPr>
        <w:autoSpaceDE w:val="0"/>
        <w:autoSpaceDN w:val="0"/>
        <w:adjustRightInd w:val="0"/>
        <w:spacing w:line="360" w:lineRule="auto"/>
        <w:rPr>
          <w:rFonts w:ascii="宋体" w:hAnsi="宋体" w:cs="宋体"/>
          <w:color w:val="auto"/>
          <w:sz w:val="24"/>
          <w:highlight w:val="none"/>
          <w:lang w:val="zh-CN"/>
        </w:rPr>
      </w:pPr>
    </w:p>
    <w:p>
      <w:pPr>
        <w:autoSpaceDE w:val="0"/>
        <w:autoSpaceDN w:val="0"/>
        <w:adjustRightInd w:val="0"/>
        <w:spacing w:line="360" w:lineRule="auto"/>
        <w:rPr>
          <w:rFonts w:ascii="宋体" w:hAnsi="宋体" w:cs="宋体"/>
          <w:color w:val="auto"/>
          <w:sz w:val="24"/>
          <w:highlight w:val="none"/>
          <w:lang w:val="zh-CN"/>
        </w:rPr>
      </w:pPr>
    </w:p>
    <w:p>
      <w:pPr>
        <w:autoSpaceDE w:val="0"/>
        <w:autoSpaceDN w:val="0"/>
        <w:adjustRightInd w:val="0"/>
        <w:spacing w:line="360" w:lineRule="auto"/>
        <w:rPr>
          <w:rFonts w:ascii="宋体" w:hAnsi="宋体" w:cs="宋体"/>
          <w:color w:val="auto"/>
          <w:sz w:val="24"/>
          <w:highlight w:val="none"/>
          <w:lang w:val="zh-CN"/>
        </w:rPr>
      </w:pPr>
    </w:p>
    <w:p>
      <w:pPr>
        <w:autoSpaceDE w:val="0"/>
        <w:autoSpaceDN w:val="0"/>
        <w:adjustRightInd w:val="0"/>
        <w:spacing w:line="360" w:lineRule="auto"/>
        <w:rPr>
          <w:rFonts w:ascii="宋体" w:hAnsi="宋体" w:cs="宋体"/>
          <w:color w:val="auto"/>
          <w:sz w:val="24"/>
          <w:highlight w:val="none"/>
          <w:lang w:val="zh-CN"/>
        </w:rPr>
      </w:pPr>
    </w:p>
    <w:p>
      <w:pPr>
        <w:autoSpaceDE w:val="0"/>
        <w:autoSpaceDN w:val="0"/>
        <w:adjustRightInd w:val="0"/>
        <w:spacing w:line="360" w:lineRule="auto"/>
        <w:jc w:val="center"/>
        <w:rPr>
          <w:rFonts w:ascii="宋体" w:hAnsi="宋体"/>
          <w:b/>
          <w:bCs/>
          <w:color w:val="auto"/>
          <w:sz w:val="44"/>
          <w:szCs w:val="44"/>
          <w:highlight w:val="none"/>
          <w:lang w:val="zh-CN"/>
        </w:rPr>
      </w:pPr>
      <w:r>
        <w:rPr>
          <w:rFonts w:hint="eastAsia" w:ascii="宋体" w:hAnsi="宋体"/>
          <w:b/>
          <w:bCs/>
          <w:color w:val="auto"/>
          <w:sz w:val="44"/>
          <w:szCs w:val="44"/>
          <w:highlight w:val="none"/>
          <w:lang w:val="zh-CN"/>
        </w:rPr>
        <w:t>二、资格审查证明材料</w:t>
      </w:r>
    </w:p>
    <w:p>
      <w:pPr>
        <w:pStyle w:val="28"/>
        <w:spacing w:line="360" w:lineRule="auto"/>
        <w:jc w:val="center"/>
        <w:rPr>
          <w:rFonts w:ascii="宋体" w:hAnsi="宋体"/>
          <w:b/>
          <w:snapToGrid w:val="0"/>
          <w:color w:val="auto"/>
          <w:kern w:val="0"/>
          <w:sz w:val="36"/>
          <w:szCs w:val="36"/>
          <w:highlight w:val="none"/>
        </w:rPr>
      </w:pPr>
    </w:p>
    <w:p>
      <w:pPr>
        <w:widowControl/>
        <w:spacing w:before="100" w:beforeAutospacing="1" w:after="100" w:afterAutospacing="1" w:line="360" w:lineRule="auto"/>
        <w:jc w:val="center"/>
        <w:rPr>
          <w:rFonts w:ascii="宋体" w:hAnsi="宋体"/>
          <w:b/>
          <w:bCs/>
          <w:color w:val="auto"/>
          <w:sz w:val="36"/>
          <w:szCs w:val="36"/>
          <w:highlight w:val="none"/>
        </w:rPr>
      </w:pPr>
    </w:p>
    <w:p>
      <w:pPr>
        <w:pStyle w:val="28"/>
        <w:spacing w:line="360" w:lineRule="auto"/>
        <w:rPr>
          <w:rFonts w:ascii="宋体" w:hAnsi="宋体"/>
          <w:b/>
          <w:snapToGrid w:val="0"/>
          <w:color w:val="auto"/>
          <w:kern w:val="0"/>
          <w:sz w:val="36"/>
          <w:szCs w:val="36"/>
          <w:highlight w:val="none"/>
        </w:rPr>
      </w:pPr>
    </w:p>
    <w:p>
      <w:pPr>
        <w:pStyle w:val="28"/>
        <w:spacing w:line="360" w:lineRule="auto"/>
        <w:jc w:val="center"/>
        <w:rPr>
          <w:rFonts w:ascii="宋体" w:hAnsi="宋体"/>
          <w:b/>
          <w:snapToGrid w:val="0"/>
          <w:color w:val="auto"/>
          <w:kern w:val="0"/>
          <w:sz w:val="36"/>
          <w:szCs w:val="36"/>
          <w:highlight w:val="none"/>
        </w:rPr>
      </w:pPr>
    </w:p>
    <w:p>
      <w:pPr>
        <w:pStyle w:val="28"/>
        <w:spacing w:line="360" w:lineRule="auto"/>
        <w:jc w:val="center"/>
        <w:rPr>
          <w:rFonts w:ascii="宋体" w:hAnsi="宋体"/>
          <w:b/>
          <w:snapToGrid w:val="0"/>
          <w:color w:val="auto"/>
          <w:kern w:val="0"/>
          <w:sz w:val="36"/>
          <w:szCs w:val="36"/>
          <w:highlight w:val="none"/>
        </w:rPr>
      </w:pPr>
    </w:p>
    <w:p>
      <w:pPr>
        <w:pStyle w:val="28"/>
        <w:spacing w:line="360" w:lineRule="auto"/>
        <w:jc w:val="center"/>
        <w:rPr>
          <w:rFonts w:ascii="宋体" w:hAnsi="宋体"/>
          <w:b/>
          <w:snapToGrid w:val="0"/>
          <w:color w:val="auto"/>
          <w:kern w:val="0"/>
          <w:sz w:val="36"/>
          <w:szCs w:val="36"/>
          <w:highlight w:val="none"/>
        </w:rPr>
      </w:pPr>
    </w:p>
    <w:p>
      <w:pPr>
        <w:pStyle w:val="28"/>
        <w:spacing w:line="360" w:lineRule="auto"/>
        <w:jc w:val="center"/>
        <w:rPr>
          <w:rFonts w:ascii="宋体" w:hAnsi="宋体"/>
          <w:b/>
          <w:snapToGrid w:val="0"/>
          <w:color w:val="auto"/>
          <w:kern w:val="0"/>
          <w:sz w:val="36"/>
          <w:szCs w:val="36"/>
          <w:highlight w:val="none"/>
        </w:rPr>
      </w:pPr>
    </w:p>
    <w:p>
      <w:pPr>
        <w:pStyle w:val="28"/>
        <w:spacing w:line="360" w:lineRule="auto"/>
        <w:jc w:val="center"/>
        <w:rPr>
          <w:rFonts w:ascii="宋体" w:hAnsi="宋体"/>
          <w:b/>
          <w:snapToGrid w:val="0"/>
          <w:color w:val="auto"/>
          <w:kern w:val="0"/>
          <w:sz w:val="36"/>
          <w:szCs w:val="36"/>
          <w:highlight w:val="none"/>
        </w:rPr>
      </w:pPr>
    </w:p>
    <w:p>
      <w:pPr>
        <w:pStyle w:val="28"/>
        <w:spacing w:line="360" w:lineRule="auto"/>
        <w:jc w:val="center"/>
        <w:rPr>
          <w:rFonts w:ascii="宋体" w:hAnsi="宋体"/>
          <w:b/>
          <w:snapToGrid w:val="0"/>
          <w:color w:val="auto"/>
          <w:kern w:val="0"/>
          <w:sz w:val="36"/>
          <w:szCs w:val="36"/>
          <w:highlight w:val="none"/>
        </w:rPr>
      </w:pPr>
    </w:p>
    <w:p>
      <w:pPr>
        <w:pStyle w:val="28"/>
        <w:spacing w:line="360" w:lineRule="auto"/>
        <w:jc w:val="center"/>
        <w:rPr>
          <w:rFonts w:ascii="宋体" w:hAnsi="宋体"/>
          <w:b/>
          <w:snapToGrid w:val="0"/>
          <w:color w:val="auto"/>
          <w:kern w:val="0"/>
          <w:sz w:val="36"/>
          <w:szCs w:val="36"/>
          <w:highlight w:val="none"/>
        </w:rPr>
      </w:pPr>
    </w:p>
    <w:p>
      <w:pPr>
        <w:pStyle w:val="28"/>
        <w:spacing w:line="360" w:lineRule="auto"/>
        <w:jc w:val="center"/>
        <w:rPr>
          <w:rFonts w:ascii="宋体" w:hAnsi="宋体"/>
          <w:b/>
          <w:snapToGrid w:val="0"/>
          <w:color w:val="auto"/>
          <w:kern w:val="0"/>
          <w:sz w:val="36"/>
          <w:szCs w:val="36"/>
          <w:highlight w:val="none"/>
        </w:rPr>
      </w:pPr>
    </w:p>
    <w:p>
      <w:pPr>
        <w:pStyle w:val="28"/>
        <w:spacing w:line="360" w:lineRule="auto"/>
        <w:jc w:val="center"/>
        <w:rPr>
          <w:rFonts w:ascii="宋体" w:hAnsi="宋体"/>
          <w:b/>
          <w:snapToGrid w:val="0"/>
          <w:color w:val="auto"/>
          <w:kern w:val="0"/>
          <w:sz w:val="36"/>
          <w:szCs w:val="36"/>
          <w:highlight w:val="none"/>
        </w:rPr>
      </w:pPr>
    </w:p>
    <w:p>
      <w:pPr>
        <w:pStyle w:val="28"/>
        <w:spacing w:line="360" w:lineRule="auto"/>
        <w:jc w:val="center"/>
        <w:rPr>
          <w:rFonts w:ascii="宋体" w:hAnsi="宋体"/>
          <w:b/>
          <w:snapToGrid w:val="0"/>
          <w:color w:val="auto"/>
          <w:kern w:val="0"/>
          <w:szCs w:val="24"/>
          <w:highlight w:val="none"/>
        </w:rPr>
      </w:pPr>
      <w:r>
        <w:rPr>
          <w:rFonts w:hint="eastAsia" w:ascii="宋体" w:hAnsi="宋体"/>
          <w:b/>
          <w:snapToGrid w:val="0"/>
          <w:color w:val="auto"/>
          <w:kern w:val="0"/>
          <w:szCs w:val="24"/>
          <w:highlight w:val="none"/>
        </w:rPr>
        <w:t>2</w:t>
      </w:r>
      <w:r>
        <w:rPr>
          <w:rFonts w:ascii="宋体" w:hAnsi="宋体"/>
          <w:b/>
          <w:snapToGrid w:val="0"/>
          <w:color w:val="auto"/>
          <w:kern w:val="0"/>
          <w:szCs w:val="24"/>
          <w:highlight w:val="none"/>
        </w:rPr>
        <w:t xml:space="preserve">.1 </w:t>
      </w:r>
      <w:r>
        <w:rPr>
          <w:rFonts w:hint="eastAsia" w:ascii="宋体" w:hAnsi="宋体"/>
          <w:b/>
          <w:snapToGrid w:val="0"/>
          <w:color w:val="auto"/>
          <w:kern w:val="0"/>
          <w:szCs w:val="24"/>
          <w:highlight w:val="none"/>
        </w:rPr>
        <w:t>投标函</w:t>
      </w:r>
    </w:p>
    <w:p>
      <w:pPr>
        <w:pStyle w:val="28"/>
        <w:spacing w:line="360" w:lineRule="auto"/>
        <w:jc w:val="center"/>
        <w:rPr>
          <w:rFonts w:ascii="宋体" w:hAnsi="宋体"/>
          <w:b/>
          <w:snapToGrid w:val="0"/>
          <w:color w:val="auto"/>
          <w:kern w:val="0"/>
          <w:szCs w:val="24"/>
          <w:highlight w:val="none"/>
        </w:rPr>
      </w:pPr>
    </w:p>
    <w:p>
      <w:pPr>
        <w:adjustRightInd w:val="0"/>
        <w:spacing w:line="360" w:lineRule="auto"/>
        <w:contextualSpacing/>
        <w:rPr>
          <w:rFonts w:ascii="宋体" w:hAnsi="宋体"/>
          <w:b/>
          <w:snapToGrid w:val="0"/>
          <w:color w:val="auto"/>
          <w:kern w:val="0"/>
          <w:sz w:val="24"/>
          <w:szCs w:val="24"/>
          <w:highlight w:val="none"/>
        </w:rPr>
      </w:pPr>
      <w:r>
        <w:rPr>
          <w:rFonts w:hint="eastAsia" w:ascii="宋体" w:hAnsi="宋体"/>
          <w:snapToGrid w:val="0"/>
          <w:color w:val="auto"/>
          <w:kern w:val="0"/>
          <w:sz w:val="24"/>
          <w:szCs w:val="24"/>
          <w:highlight w:val="none"/>
        </w:rPr>
        <w:t>致：</w:t>
      </w:r>
      <w:r>
        <w:rPr>
          <w:rFonts w:hint="eastAsia" w:ascii="宋体" w:hAnsi="宋体"/>
          <w:snapToGrid w:val="0"/>
          <w:color w:val="auto"/>
          <w:kern w:val="0"/>
          <w:sz w:val="24"/>
          <w:szCs w:val="24"/>
          <w:highlight w:val="none"/>
          <w:u w:val="single"/>
        </w:rPr>
        <w:t xml:space="preserve">               </w:t>
      </w:r>
      <w:r>
        <w:rPr>
          <w:rFonts w:hint="eastAsia" w:ascii="宋体" w:hAnsi="宋体"/>
          <w:b/>
          <w:snapToGrid w:val="0"/>
          <w:color w:val="auto"/>
          <w:kern w:val="0"/>
          <w:sz w:val="24"/>
          <w:szCs w:val="24"/>
          <w:highlight w:val="none"/>
        </w:rPr>
        <w:t>（采购人）</w:t>
      </w:r>
    </w:p>
    <w:p>
      <w:pPr>
        <w:adjustRightInd w:val="0"/>
        <w:spacing w:line="360" w:lineRule="auto"/>
        <w:ind w:firstLine="480" w:firstLineChars="200"/>
        <w:contextualSpacing/>
        <w:outlineLvl w:val="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根据贵方</w:t>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（项目名称、招标编号）采购的招标公告及投标邀请，</w:t>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（姓名和职务）被正式授权并代表投标人（投标人名称、地址）提交。</w:t>
      </w:r>
    </w:p>
    <w:p>
      <w:pPr>
        <w:pStyle w:val="28"/>
        <w:adjustRightInd w:val="0"/>
        <w:spacing w:line="360" w:lineRule="auto"/>
        <w:ind w:firstLine="480" w:firstLineChars="200"/>
        <w:contextualSpacing/>
        <w:rPr>
          <w:rFonts w:ascii="宋体" w:hAnsi="宋体"/>
          <w:snapToGrid w:val="0"/>
          <w:color w:val="auto"/>
          <w:kern w:val="0"/>
          <w:szCs w:val="24"/>
          <w:highlight w:val="none"/>
        </w:rPr>
      </w:pPr>
      <w:r>
        <w:rPr>
          <w:rFonts w:hint="eastAsia" w:ascii="宋体" w:hAnsi="宋体"/>
          <w:snapToGrid w:val="0"/>
          <w:color w:val="auto"/>
          <w:kern w:val="0"/>
          <w:szCs w:val="24"/>
          <w:highlight w:val="none"/>
        </w:rPr>
        <w:t>我方确认收到贵方提供的</w:t>
      </w:r>
      <w:r>
        <w:rPr>
          <w:rFonts w:hint="eastAsia" w:ascii="宋体" w:hAnsi="宋体"/>
          <w:snapToGrid w:val="0"/>
          <w:color w:val="auto"/>
          <w:kern w:val="0"/>
          <w:szCs w:val="24"/>
          <w:highlight w:val="none"/>
          <w:u w:val="single"/>
        </w:rPr>
        <w:t xml:space="preserve">                           </w:t>
      </w:r>
      <w:r>
        <w:rPr>
          <w:rFonts w:hint="eastAsia" w:ascii="宋体" w:hAnsi="宋体"/>
          <w:snapToGrid w:val="0"/>
          <w:color w:val="auto"/>
          <w:kern w:val="0"/>
          <w:szCs w:val="24"/>
          <w:highlight w:val="none"/>
        </w:rPr>
        <w:t>（项目名称、招标编号）招标文件的全部内容。</w:t>
      </w:r>
    </w:p>
    <w:p>
      <w:pPr>
        <w:pStyle w:val="28"/>
        <w:adjustRightInd w:val="0"/>
        <w:spacing w:line="360" w:lineRule="auto"/>
        <w:ind w:firstLine="480" w:firstLineChars="200"/>
        <w:contextualSpacing/>
        <w:rPr>
          <w:rFonts w:ascii="宋体" w:hAnsi="宋体"/>
          <w:snapToGrid w:val="0"/>
          <w:color w:val="auto"/>
          <w:kern w:val="0"/>
          <w:szCs w:val="24"/>
          <w:highlight w:val="none"/>
        </w:rPr>
      </w:pPr>
      <w:r>
        <w:rPr>
          <w:rFonts w:hint="eastAsia" w:ascii="宋体" w:hAnsi="宋体"/>
          <w:snapToGrid w:val="0"/>
          <w:color w:val="auto"/>
          <w:kern w:val="0"/>
          <w:szCs w:val="24"/>
          <w:highlight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olor w:val="auto"/>
          <w:szCs w:val="24"/>
          <w:highlight w:val="none"/>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u w:val="single"/>
        </w:rPr>
        <w:t xml:space="preserve">     </w:t>
      </w:r>
      <w:r>
        <w:rPr>
          <w:rFonts w:ascii="宋体" w:hAnsi="宋体"/>
          <w:snapToGrid w:val="0"/>
          <w:color w:val="auto"/>
          <w:kern w:val="0"/>
          <w:sz w:val="24"/>
          <w:szCs w:val="24"/>
          <w:highlight w:val="none"/>
          <w:u w:val="single"/>
        </w:rPr>
        <w:t>(</w:t>
      </w:r>
      <w:r>
        <w:rPr>
          <w:rFonts w:hint="eastAsia" w:ascii="宋体" w:hAnsi="宋体"/>
          <w:snapToGrid w:val="0"/>
          <w:color w:val="auto"/>
          <w:kern w:val="0"/>
          <w:sz w:val="24"/>
          <w:szCs w:val="24"/>
          <w:highlight w:val="none"/>
          <w:u w:val="single"/>
        </w:rPr>
        <w:t>投标人名称</w:t>
      </w:r>
      <w:r>
        <w:rPr>
          <w:rFonts w:ascii="宋体" w:hAnsi="宋体"/>
          <w:snapToGrid w:val="0"/>
          <w:color w:val="auto"/>
          <w:kern w:val="0"/>
          <w:sz w:val="24"/>
          <w:szCs w:val="24"/>
          <w:highlight w:val="none"/>
          <w:u w:val="single"/>
        </w:rPr>
        <w:t xml:space="preserve">) </w:t>
      </w:r>
      <w:r>
        <w:rPr>
          <w:rFonts w:ascii="宋体" w:hAnsi="宋体"/>
          <w:i/>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作为投标人正式授权</w:t>
      </w:r>
      <w:r>
        <w:rPr>
          <w:rFonts w:hint="eastAsia" w:ascii="宋体" w:hAnsi="宋体"/>
          <w:snapToGrid w:val="0"/>
          <w:color w:val="auto"/>
          <w:kern w:val="0"/>
          <w:sz w:val="24"/>
          <w:szCs w:val="24"/>
          <w:highlight w:val="none"/>
          <w:u w:val="single"/>
        </w:rPr>
        <w:t xml:space="preserve">  </w:t>
      </w:r>
      <w:r>
        <w:rPr>
          <w:rFonts w:ascii="宋体" w:hAnsi="宋体"/>
          <w:snapToGrid w:val="0"/>
          <w:color w:val="auto"/>
          <w:kern w:val="0"/>
          <w:sz w:val="24"/>
          <w:szCs w:val="24"/>
          <w:highlight w:val="none"/>
          <w:u w:val="single"/>
        </w:rPr>
        <w:t>(</w:t>
      </w:r>
      <w:r>
        <w:rPr>
          <w:rFonts w:hint="eastAsia" w:ascii="宋体" w:hAnsi="宋体"/>
          <w:snapToGrid w:val="0"/>
          <w:color w:val="auto"/>
          <w:kern w:val="0"/>
          <w:sz w:val="24"/>
          <w:szCs w:val="24"/>
          <w:highlight w:val="none"/>
          <w:u w:val="single"/>
        </w:rPr>
        <w:t>授权代表全名</w:t>
      </w:r>
      <w:r>
        <w:rPr>
          <w:rFonts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u w:val="single"/>
        </w:rPr>
        <w:t>职务</w:t>
      </w:r>
      <w:r>
        <w:rPr>
          <w:rFonts w:ascii="宋体" w:hAnsi="宋体"/>
          <w:snapToGrid w:val="0"/>
          <w:color w:val="auto"/>
          <w:kern w:val="0"/>
          <w:sz w:val="24"/>
          <w:szCs w:val="24"/>
          <w:highlight w:val="none"/>
          <w:u w:val="single"/>
        </w:rPr>
        <w:t>)</w:t>
      </w:r>
      <w:r>
        <w:rPr>
          <w:rFonts w:ascii="宋体" w:hAnsi="宋体"/>
          <w:i/>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代表我方全权处理有关本投标的一切事宜。</w:t>
      </w:r>
    </w:p>
    <w:p>
      <w:pPr>
        <w:adjustRightInd w:val="0"/>
        <w:spacing w:line="360" w:lineRule="auto"/>
        <w:ind w:firstLine="480" w:firstLineChars="200"/>
        <w:contextualSpacing/>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在此提交的投标文件，正本一份，副本一份。</w:t>
      </w:r>
    </w:p>
    <w:p>
      <w:pPr>
        <w:adjustRightInd w:val="0"/>
        <w:spacing w:line="360" w:lineRule="auto"/>
        <w:ind w:firstLine="480" w:firstLineChars="200"/>
        <w:contextualSpacing/>
        <w:rPr>
          <w:rFonts w:ascii="宋体" w:hAnsi="宋体" w:cs="Courier New"/>
          <w:color w:val="auto"/>
          <w:sz w:val="24"/>
          <w:szCs w:val="24"/>
          <w:highlight w:val="none"/>
        </w:rPr>
      </w:pPr>
      <w:r>
        <w:rPr>
          <w:rFonts w:hint="eastAsia" w:ascii="宋体" w:hAnsi="宋体" w:cs="Courier New"/>
          <w:color w:val="auto"/>
          <w:sz w:val="24"/>
          <w:szCs w:val="24"/>
          <w:highlight w:val="none"/>
        </w:rPr>
        <w:t>我方已完全明白招标文件的所有条款要求，并申明如下：</w:t>
      </w:r>
    </w:p>
    <w:p>
      <w:pPr>
        <w:adjustRightInd w:val="0"/>
        <w:spacing w:line="360" w:lineRule="auto"/>
        <w:ind w:firstLine="480" w:firstLineChars="200"/>
        <w:contextualSpacing/>
        <w:rPr>
          <w:rFonts w:ascii="宋体" w:hAnsi="宋体" w:cs="Courier New"/>
          <w:color w:val="auto"/>
          <w:sz w:val="24"/>
          <w:szCs w:val="24"/>
          <w:highlight w:val="none"/>
        </w:rPr>
      </w:pPr>
      <w:r>
        <w:rPr>
          <w:rFonts w:hint="eastAsia" w:ascii="宋体" w:hAnsi="宋体" w:cs="Courier New"/>
          <w:color w:val="auto"/>
          <w:sz w:val="24"/>
          <w:szCs w:val="24"/>
          <w:highlight w:val="none"/>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color w:val="auto"/>
          <w:sz w:val="24"/>
          <w:szCs w:val="24"/>
          <w:highlight w:val="none"/>
        </w:rPr>
      </w:pPr>
      <w:r>
        <w:rPr>
          <w:rFonts w:hint="eastAsia" w:ascii="宋体" w:hAnsi="宋体" w:cs="Courier New"/>
          <w:color w:val="auto"/>
          <w:sz w:val="24"/>
          <w:szCs w:val="24"/>
          <w:highlight w:val="none"/>
        </w:rPr>
        <w:t>二、本投标文件的有效期为投标截止时间起</w:t>
      </w:r>
      <w:r>
        <w:rPr>
          <w:rFonts w:hint="eastAsia" w:ascii="宋体" w:hAnsi="宋体" w:cs="Courier New"/>
          <w:color w:val="auto"/>
          <w:sz w:val="24"/>
          <w:szCs w:val="24"/>
          <w:highlight w:val="none"/>
          <w:u w:val="single"/>
        </w:rPr>
        <w:t xml:space="preserve">    </w:t>
      </w:r>
      <w:r>
        <w:rPr>
          <w:rFonts w:hint="eastAsia" w:ascii="宋体" w:hAnsi="宋体" w:cs="Courier New"/>
          <w:color w:val="auto"/>
          <w:sz w:val="24"/>
          <w:szCs w:val="24"/>
          <w:highlight w:val="none"/>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6"/>
        <w:adjustRightInd w:val="0"/>
        <w:spacing w:line="360" w:lineRule="auto"/>
        <w:ind w:firstLine="480" w:firstLineChars="200"/>
        <w:contextualSpacing/>
        <w:rPr>
          <w:rFonts w:ascii="宋体" w:hAnsi="宋体" w:cs="Courier New"/>
          <w:color w:val="auto"/>
          <w:highlight w:val="none"/>
        </w:rPr>
      </w:pPr>
      <w:r>
        <w:rPr>
          <w:rFonts w:hint="eastAsia" w:ascii="宋体" w:hAnsi="宋体" w:cs="Courier New"/>
          <w:color w:val="auto"/>
          <w:highlight w:val="none"/>
        </w:rPr>
        <w:t>三、我方明白并同意，在规定的开标日之后，投标有效期之内撤销投标的，则贵方将不予退还投标保证金。</w:t>
      </w:r>
    </w:p>
    <w:p>
      <w:pPr>
        <w:pStyle w:val="16"/>
        <w:adjustRightInd w:val="0"/>
        <w:spacing w:line="360" w:lineRule="auto"/>
        <w:ind w:firstLine="480" w:firstLineChars="200"/>
        <w:contextualSpacing/>
        <w:rPr>
          <w:rFonts w:ascii="宋体" w:hAnsi="宋体" w:cs="Courier New"/>
          <w:color w:val="auto"/>
          <w:highlight w:val="none"/>
        </w:rPr>
      </w:pPr>
      <w:r>
        <w:rPr>
          <w:rFonts w:hint="eastAsia" w:ascii="宋体" w:hAnsi="宋体" w:cs="Courier New"/>
          <w:color w:val="auto"/>
          <w:highlight w:val="none"/>
        </w:rPr>
        <w:t>四、我方同意按照贵方可能提出的要求而提供与投标有关的任何其它数据、信息或资料。</w:t>
      </w:r>
    </w:p>
    <w:p>
      <w:pPr>
        <w:pStyle w:val="16"/>
        <w:adjustRightInd w:val="0"/>
        <w:spacing w:line="360" w:lineRule="auto"/>
        <w:ind w:firstLine="480" w:firstLineChars="200"/>
        <w:contextualSpacing/>
        <w:rPr>
          <w:rFonts w:ascii="宋体" w:hAnsi="宋体" w:cs="Courier New"/>
          <w:color w:val="auto"/>
          <w:highlight w:val="none"/>
        </w:rPr>
      </w:pPr>
      <w:r>
        <w:rPr>
          <w:rFonts w:hint="eastAsia" w:ascii="宋体" w:hAnsi="宋体" w:cs="Courier New"/>
          <w:color w:val="auto"/>
          <w:highlight w:val="none"/>
        </w:rPr>
        <w:t>五、我方理解贵方不一定接受最低投标价或任何贵方可能收到的投标。</w:t>
      </w:r>
    </w:p>
    <w:p>
      <w:pPr>
        <w:pStyle w:val="16"/>
        <w:adjustRightInd w:val="0"/>
        <w:spacing w:line="360" w:lineRule="auto"/>
        <w:ind w:firstLine="480" w:firstLineChars="200"/>
        <w:contextualSpacing/>
        <w:rPr>
          <w:rFonts w:ascii="宋体" w:hAnsi="宋体" w:cs="Courier New"/>
          <w:color w:val="auto"/>
          <w:highlight w:val="none"/>
        </w:rPr>
      </w:pPr>
      <w:r>
        <w:rPr>
          <w:rFonts w:hint="eastAsia" w:ascii="宋体" w:hAnsi="宋体" w:cs="Courier New"/>
          <w:color w:val="auto"/>
          <w:highlight w:val="none"/>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hAnsi="宋体" w:cs="Courier New"/>
          <w:color w:val="auto"/>
          <w:sz w:val="24"/>
          <w:szCs w:val="24"/>
          <w:highlight w:val="none"/>
        </w:rPr>
      </w:pPr>
      <w:r>
        <w:rPr>
          <w:rFonts w:hint="eastAsia" w:ascii="宋体" w:hAnsi="宋体" w:cs="Courier New"/>
          <w:color w:val="auto"/>
          <w:sz w:val="24"/>
          <w:szCs w:val="24"/>
          <w:highlight w:val="none"/>
        </w:rPr>
        <w:t>七、我方在此保证所提交的所有文件和全部说明是真实的和正确的</w:t>
      </w:r>
      <w:r>
        <w:rPr>
          <w:rFonts w:ascii="宋体" w:hAnsi="宋体" w:cs="Courier New"/>
          <w:color w:val="auto"/>
          <w:sz w:val="24"/>
          <w:szCs w:val="24"/>
          <w:highlight w:val="none"/>
        </w:rPr>
        <w:t>,</w:t>
      </w:r>
      <w:r>
        <w:rPr>
          <w:rFonts w:hint="eastAsia" w:ascii="宋体" w:hAnsi="宋体" w:cs="Courier New"/>
          <w:color w:val="auto"/>
          <w:sz w:val="24"/>
          <w:szCs w:val="24"/>
          <w:highlight w:val="none"/>
        </w:rPr>
        <w:t>未提供虚假的资格证书及业绩证明材料谋取中标，若存在虚假证书或者业绩证明材料的违规违法行为，承担法律责任，接受财政部门的处罚。</w:t>
      </w:r>
    </w:p>
    <w:p>
      <w:pPr>
        <w:pStyle w:val="28"/>
        <w:adjustRightInd w:val="0"/>
        <w:spacing w:line="360" w:lineRule="auto"/>
        <w:ind w:firstLine="480" w:firstLineChars="200"/>
        <w:contextualSpacing/>
        <w:rPr>
          <w:rFonts w:ascii="宋体" w:hAnsi="宋体"/>
          <w:color w:val="auto"/>
          <w:szCs w:val="24"/>
          <w:highlight w:val="none"/>
        </w:rPr>
      </w:pPr>
      <w:r>
        <w:rPr>
          <w:rFonts w:hint="eastAsia" w:ascii="宋体" w:hAnsi="宋体"/>
          <w:color w:val="auto"/>
          <w:szCs w:val="24"/>
          <w:highlight w:val="none"/>
        </w:rPr>
        <w:t>八、我方投标报价已包含应向知识产权所有权人支付的所有相关税费，并保证采购人在中国使用我方提供的货物时，如有第三方提出侵犯其知识产权主张的，责任由我方承担。</w:t>
      </w:r>
    </w:p>
    <w:p>
      <w:pPr>
        <w:pStyle w:val="28"/>
        <w:adjustRightInd w:val="0"/>
        <w:spacing w:line="360" w:lineRule="auto"/>
        <w:ind w:firstLine="480" w:firstLineChars="200"/>
        <w:contextualSpacing/>
        <w:rPr>
          <w:rFonts w:ascii="宋体" w:hAnsi="宋体" w:cs="Arial"/>
          <w:color w:val="auto"/>
          <w:szCs w:val="24"/>
          <w:highlight w:val="none"/>
        </w:rPr>
      </w:pPr>
      <w:r>
        <w:rPr>
          <w:rFonts w:hint="eastAsia" w:ascii="宋体" w:hAnsi="宋体" w:cs="Arial"/>
          <w:color w:val="auto"/>
          <w:szCs w:val="24"/>
          <w:highlight w:val="none"/>
        </w:rPr>
        <w:t>九、我方具备《政府采购法》第二十二条规定的条件；承诺如下：</w:t>
      </w:r>
    </w:p>
    <w:p>
      <w:pPr>
        <w:pStyle w:val="28"/>
        <w:adjustRightInd w:val="0"/>
        <w:spacing w:line="360" w:lineRule="auto"/>
        <w:ind w:firstLine="480" w:firstLineChars="200"/>
        <w:contextualSpacing/>
        <w:rPr>
          <w:rFonts w:ascii="宋体" w:hAnsi="宋体" w:cs="Arial"/>
          <w:color w:val="auto"/>
          <w:szCs w:val="24"/>
          <w:highlight w:val="none"/>
        </w:rPr>
      </w:pPr>
      <w:r>
        <w:rPr>
          <w:rFonts w:ascii="宋体" w:hAnsi="宋体" w:cs="Arial"/>
          <w:color w:val="auto"/>
          <w:szCs w:val="24"/>
          <w:highlight w:val="none"/>
        </w:rPr>
        <w:t xml:space="preserve">1. </w:t>
      </w:r>
      <w:r>
        <w:rPr>
          <w:rFonts w:hint="eastAsia" w:ascii="宋体" w:hAnsi="宋体" w:cs="Arial"/>
          <w:color w:val="auto"/>
          <w:szCs w:val="24"/>
          <w:highlight w:val="none"/>
        </w:rPr>
        <w:t>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color w:val="auto"/>
          <w:sz w:val="24"/>
          <w:szCs w:val="24"/>
          <w:highlight w:val="none"/>
        </w:rPr>
      </w:pPr>
      <w:r>
        <w:rPr>
          <w:rFonts w:ascii="宋体" w:hAnsi="宋体" w:cs="Arial"/>
          <w:color w:val="auto"/>
          <w:sz w:val="24"/>
          <w:szCs w:val="24"/>
          <w:highlight w:val="none"/>
        </w:rPr>
        <w:t xml:space="preserve">2. </w:t>
      </w:r>
      <w:r>
        <w:rPr>
          <w:rFonts w:hint="eastAsia" w:ascii="宋体" w:hAnsi="宋体" w:cs="Arial"/>
          <w:color w:val="auto"/>
          <w:sz w:val="24"/>
          <w:szCs w:val="24"/>
          <w:highlight w:val="none"/>
        </w:rPr>
        <w:t>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color w:val="auto"/>
          <w:sz w:val="24"/>
          <w:szCs w:val="24"/>
          <w:highlight w:val="none"/>
        </w:rPr>
      </w:pPr>
      <w:r>
        <w:rPr>
          <w:rFonts w:ascii="宋体" w:hAnsi="宋体" w:cs="Arial"/>
          <w:color w:val="auto"/>
          <w:sz w:val="24"/>
          <w:szCs w:val="24"/>
          <w:highlight w:val="none"/>
        </w:rPr>
        <w:t xml:space="preserve">3. </w:t>
      </w:r>
      <w:r>
        <w:rPr>
          <w:rFonts w:hint="eastAsia" w:ascii="宋体" w:hAnsi="宋体" w:cs="Arial"/>
          <w:color w:val="auto"/>
          <w:sz w:val="24"/>
          <w:szCs w:val="24"/>
          <w:highlight w:val="none"/>
        </w:rPr>
        <w:t>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color w:val="auto"/>
          <w:sz w:val="24"/>
          <w:szCs w:val="24"/>
          <w:highlight w:val="none"/>
        </w:rPr>
      </w:pPr>
      <w:r>
        <w:rPr>
          <w:rFonts w:ascii="宋体" w:hAnsi="宋体" w:cs="Arial"/>
          <w:color w:val="auto"/>
          <w:sz w:val="24"/>
          <w:szCs w:val="24"/>
          <w:highlight w:val="none"/>
        </w:rPr>
        <w:t xml:space="preserve">4. </w:t>
      </w:r>
      <w:r>
        <w:rPr>
          <w:rFonts w:hint="eastAsia" w:ascii="宋体" w:hAnsi="宋体" w:cs="Arial"/>
          <w:color w:val="auto"/>
          <w:sz w:val="24"/>
          <w:szCs w:val="24"/>
          <w:highlight w:val="none"/>
        </w:rPr>
        <w:t>参加政府采购活动前三年内，在经营活动中没有重大违法记录。</w:t>
      </w:r>
    </w:p>
    <w:p>
      <w:pPr>
        <w:adjustRightInd w:val="0"/>
        <w:spacing w:line="360" w:lineRule="auto"/>
        <w:ind w:firstLine="504" w:firstLineChars="210"/>
        <w:contextualSpacing/>
        <w:rPr>
          <w:rFonts w:ascii="宋体" w:hAnsi="宋体" w:cs="Arial"/>
          <w:color w:val="auto"/>
          <w:sz w:val="24"/>
          <w:szCs w:val="24"/>
          <w:highlight w:val="none"/>
        </w:rPr>
      </w:pPr>
      <w:r>
        <w:rPr>
          <w:rFonts w:ascii="宋体" w:hAnsi="宋体" w:cs="Arial"/>
          <w:color w:val="auto"/>
          <w:sz w:val="24"/>
          <w:szCs w:val="24"/>
          <w:highlight w:val="none"/>
        </w:rPr>
        <w:t xml:space="preserve">5. </w:t>
      </w:r>
      <w:r>
        <w:rPr>
          <w:rFonts w:hint="eastAsia" w:ascii="宋体" w:hAnsi="宋体" w:cs="Arial"/>
          <w:color w:val="auto"/>
          <w:sz w:val="24"/>
          <w:szCs w:val="24"/>
          <w:highlight w:val="none"/>
        </w:rPr>
        <w:t>符合法律、行政法规规定的其他条件。</w:t>
      </w:r>
    </w:p>
    <w:p>
      <w:pPr>
        <w:adjustRightInd w:val="0"/>
        <w:spacing w:line="360" w:lineRule="auto"/>
        <w:ind w:firstLine="504" w:firstLineChars="210"/>
        <w:contextualSpacing/>
        <w:rPr>
          <w:rFonts w:ascii="宋体" w:hAnsi="宋体" w:cs="Arial"/>
          <w:color w:val="auto"/>
          <w:sz w:val="24"/>
          <w:szCs w:val="24"/>
          <w:highlight w:val="none"/>
        </w:rPr>
      </w:pPr>
      <w:r>
        <w:rPr>
          <w:rFonts w:hint="eastAsia" w:ascii="宋体" w:hAnsi="宋体" w:cs="宋体"/>
          <w:color w:val="auto"/>
          <w:sz w:val="24"/>
          <w:szCs w:val="24"/>
          <w:highlight w:val="none"/>
        </w:rPr>
        <w:t>以上内容如有虚假或与事实不符的，评审委员会可将</w:t>
      </w:r>
      <w:r>
        <w:rPr>
          <w:rFonts w:hint="eastAsia" w:ascii="宋体" w:hAnsi="宋体" w:cs="Arial"/>
          <w:color w:val="auto"/>
          <w:sz w:val="24"/>
          <w:szCs w:val="24"/>
          <w:highlight w:val="none"/>
        </w:rPr>
        <w:t>我方做无效投标处理，我方愿意承担相应的法律责任。</w:t>
      </w:r>
    </w:p>
    <w:p>
      <w:pPr>
        <w:pStyle w:val="28"/>
        <w:numPr>
          <w:ilvl w:val="0"/>
          <w:numId w:val="16"/>
        </w:numPr>
        <w:adjustRightInd w:val="0"/>
        <w:spacing w:line="360" w:lineRule="auto"/>
        <w:ind w:firstLine="480" w:firstLineChars="200"/>
        <w:contextualSpacing/>
        <w:rPr>
          <w:rFonts w:ascii="宋体" w:hAnsi="宋体"/>
          <w:color w:val="auto"/>
          <w:szCs w:val="24"/>
          <w:highlight w:val="none"/>
        </w:rPr>
      </w:pPr>
      <w:r>
        <w:rPr>
          <w:rFonts w:hint="eastAsia" w:ascii="宋体" w:hAnsi="宋体"/>
          <w:color w:val="auto"/>
          <w:szCs w:val="24"/>
          <w:highlight w:val="none"/>
        </w:rPr>
        <w:t>我方具备履行合同所必需的设备和专业技术能力。</w:t>
      </w:r>
    </w:p>
    <w:p>
      <w:pPr>
        <w:pStyle w:val="28"/>
        <w:numPr>
          <w:ilvl w:val="0"/>
          <w:numId w:val="16"/>
        </w:numPr>
        <w:adjustRightInd w:val="0"/>
        <w:spacing w:line="360" w:lineRule="auto"/>
        <w:ind w:firstLine="480" w:firstLineChars="200"/>
        <w:contextualSpacing/>
        <w:rPr>
          <w:rFonts w:ascii="宋体" w:hAnsi="宋体"/>
          <w:color w:val="auto"/>
          <w:szCs w:val="24"/>
          <w:highlight w:val="none"/>
        </w:rPr>
      </w:pPr>
      <w:r>
        <w:rPr>
          <w:rFonts w:hint="eastAsia" w:ascii="宋体" w:hAnsi="宋体"/>
          <w:color w:val="auto"/>
          <w:szCs w:val="24"/>
          <w:highlight w:val="none"/>
        </w:rPr>
        <w:t>我方承诺若中标后进入到备选库期间，承办委托项目的审计、清产核资、政府投资建设项目财务决算等前期与委托项目有关的工作，则不再参与委托项目后续的招标、投标活动。</w:t>
      </w:r>
    </w:p>
    <w:p>
      <w:pPr>
        <w:pStyle w:val="28"/>
        <w:numPr>
          <w:ilvl w:val="0"/>
          <w:numId w:val="16"/>
        </w:numPr>
        <w:adjustRightInd w:val="0"/>
        <w:spacing w:line="360" w:lineRule="auto"/>
        <w:ind w:firstLine="480" w:firstLineChars="200"/>
        <w:contextualSpacing/>
        <w:rPr>
          <w:rFonts w:ascii="宋体" w:hAnsi="宋体"/>
          <w:color w:val="auto"/>
          <w:szCs w:val="24"/>
          <w:highlight w:val="none"/>
        </w:rPr>
      </w:pPr>
      <w:r>
        <w:rPr>
          <w:rFonts w:hint="eastAsia" w:ascii="宋体" w:hAnsi="宋体"/>
          <w:color w:val="auto"/>
          <w:szCs w:val="24"/>
          <w:highlight w:val="none"/>
        </w:rPr>
        <w:t>我方对在本函及投标文件中所作的所有承诺承担法律责任。</w:t>
      </w:r>
    </w:p>
    <w:p>
      <w:pPr>
        <w:pStyle w:val="28"/>
        <w:adjustRightInd w:val="0"/>
        <w:snapToGrid w:val="0"/>
        <w:spacing w:line="360" w:lineRule="auto"/>
        <w:rPr>
          <w:rFonts w:ascii="宋体" w:hAnsi="宋体"/>
          <w:color w:val="auto"/>
          <w:szCs w:val="24"/>
          <w:highlight w:val="none"/>
        </w:rPr>
      </w:pPr>
    </w:p>
    <w:p>
      <w:pPr>
        <w:pStyle w:val="28"/>
        <w:adjustRightInd w:val="0"/>
        <w:snapToGrid w:val="0"/>
        <w:spacing w:line="360" w:lineRule="auto"/>
        <w:rPr>
          <w:rFonts w:ascii="宋体" w:hAnsi="宋体"/>
          <w:color w:val="auto"/>
          <w:szCs w:val="24"/>
          <w:highlight w:val="none"/>
        </w:rPr>
      </w:pPr>
    </w:p>
    <w:p>
      <w:pPr>
        <w:pStyle w:val="28"/>
        <w:adjustRightInd w:val="0"/>
        <w:snapToGrid w:val="0"/>
        <w:spacing w:line="360" w:lineRule="auto"/>
        <w:rPr>
          <w:rFonts w:ascii="宋体" w:hAnsi="宋体"/>
          <w:color w:val="auto"/>
          <w:szCs w:val="24"/>
          <w:highlight w:val="none"/>
        </w:rPr>
      </w:pPr>
      <w:r>
        <w:rPr>
          <w:rFonts w:hint="eastAsia" w:ascii="宋体" w:hAnsi="宋体"/>
          <w:color w:val="auto"/>
          <w:szCs w:val="24"/>
          <w:highlight w:val="none"/>
        </w:rPr>
        <w:t>所有与本招标有关的一切正式往来请寄：</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地址：                                      邮政编码：</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电话：                                      传真</w:t>
      </w:r>
    </w:p>
    <w:p>
      <w:pPr>
        <w:adjustRightInd w:val="0"/>
        <w:snapToGrid w:val="0"/>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投标人代表姓名：                     职务：</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投标人法定代表人（或法定代表人授权代表）签字或盖章：</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投标人名称（盖章）：</w:t>
      </w:r>
    </w:p>
    <w:p>
      <w:pPr>
        <w:adjustRightInd w:val="0"/>
        <w:snapToGrid w:val="0"/>
        <w:spacing w:line="360" w:lineRule="auto"/>
        <w:ind w:firstLine="4920" w:firstLineChars="2050"/>
        <w:rPr>
          <w:rFonts w:ascii="宋体" w:hAnsi="宋体" w:cs="宋体"/>
          <w:color w:val="auto"/>
          <w:sz w:val="24"/>
          <w:szCs w:val="24"/>
          <w:highlight w:val="none"/>
        </w:rPr>
      </w:pPr>
    </w:p>
    <w:p>
      <w:pPr>
        <w:adjustRightInd w:val="0"/>
        <w:snapToGrid w:val="0"/>
        <w:spacing w:line="360" w:lineRule="auto"/>
        <w:ind w:firstLine="4920" w:firstLineChars="2050"/>
        <w:rPr>
          <w:rFonts w:ascii="宋体" w:hAnsi="宋体" w:cs="宋体"/>
          <w:color w:val="auto"/>
          <w:sz w:val="24"/>
          <w:szCs w:val="24"/>
          <w:highlight w:val="none"/>
        </w:rPr>
      </w:pPr>
    </w:p>
    <w:p>
      <w:pPr>
        <w:adjustRightInd w:val="0"/>
        <w:snapToGrid w:val="0"/>
        <w:spacing w:line="360" w:lineRule="auto"/>
        <w:ind w:firstLine="4920" w:firstLineChars="2050"/>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pPr>
        <w:spacing w:line="480" w:lineRule="exact"/>
        <w:jc w:val="center"/>
        <w:rPr>
          <w:rFonts w:ascii="宋体" w:hAnsi="宋体"/>
          <w:b/>
          <w:bCs/>
          <w:color w:val="auto"/>
          <w:sz w:val="36"/>
          <w:szCs w:val="36"/>
          <w:highlight w:val="none"/>
        </w:rPr>
      </w:pPr>
    </w:p>
    <w:p>
      <w:pPr>
        <w:spacing w:line="480" w:lineRule="exact"/>
        <w:jc w:val="center"/>
        <w:rPr>
          <w:rFonts w:ascii="宋体" w:hAnsi="宋体"/>
          <w:b/>
          <w:bCs/>
          <w:color w:val="auto"/>
          <w:sz w:val="36"/>
          <w:szCs w:val="36"/>
          <w:highlight w:val="none"/>
        </w:rPr>
      </w:pPr>
    </w:p>
    <w:p>
      <w:pPr>
        <w:widowControl/>
        <w:jc w:val="left"/>
        <w:rPr>
          <w:rFonts w:ascii="宋体" w:hAnsi="宋体"/>
          <w:b/>
          <w:bCs/>
          <w:color w:val="auto"/>
          <w:sz w:val="36"/>
          <w:szCs w:val="36"/>
          <w:highlight w:val="none"/>
        </w:rPr>
      </w:pPr>
      <w:r>
        <w:rPr>
          <w:rFonts w:ascii="宋体" w:hAnsi="宋体"/>
          <w:b/>
          <w:bCs/>
          <w:color w:val="auto"/>
          <w:sz w:val="36"/>
          <w:szCs w:val="36"/>
          <w:highlight w:val="none"/>
        </w:rPr>
        <w:br w:type="page"/>
      </w:r>
    </w:p>
    <w:p>
      <w:pPr>
        <w:spacing w:line="480" w:lineRule="exact"/>
        <w:jc w:val="center"/>
        <w:rPr>
          <w:rFonts w:ascii="宋体" w:hAnsi="宋体"/>
          <w:b/>
          <w:bCs/>
          <w:color w:val="auto"/>
          <w:sz w:val="36"/>
          <w:szCs w:val="36"/>
          <w:highlight w:val="none"/>
        </w:rPr>
      </w:pPr>
      <w:r>
        <w:rPr>
          <w:rFonts w:hint="eastAsia" w:ascii="宋体" w:hAnsi="宋体"/>
          <w:b/>
          <w:bCs/>
          <w:color w:val="auto"/>
          <w:sz w:val="36"/>
          <w:szCs w:val="36"/>
          <w:highlight w:val="none"/>
        </w:rPr>
        <w:t>2.2 法定代表人</w:t>
      </w:r>
      <w:r>
        <w:rPr>
          <w:rFonts w:ascii="宋体" w:hAnsi="宋体"/>
          <w:b/>
          <w:bCs/>
          <w:color w:val="auto"/>
          <w:sz w:val="36"/>
          <w:szCs w:val="36"/>
          <w:highlight w:val="none"/>
        </w:rPr>
        <w:t>资</w:t>
      </w:r>
      <w:r>
        <w:rPr>
          <w:rFonts w:hint="eastAsia" w:ascii="宋体" w:hAnsi="宋体"/>
          <w:b/>
          <w:bCs/>
          <w:color w:val="auto"/>
          <w:sz w:val="36"/>
          <w:szCs w:val="36"/>
          <w:highlight w:val="none"/>
        </w:rPr>
        <w:t>格</w:t>
      </w:r>
      <w:r>
        <w:rPr>
          <w:rFonts w:ascii="宋体" w:hAnsi="宋体"/>
          <w:b/>
          <w:bCs/>
          <w:color w:val="auto"/>
          <w:sz w:val="36"/>
          <w:szCs w:val="36"/>
          <w:highlight w:val="none"/>
        </w:rPr>
        <w:t>证</w:t>
      </w:r>
      <w:r>
        <w:rPr>
          <w:rFonts w:hint="eastAsia" w:ascii="宋体" w:hAnsi="宋体"/>
          <w:b/>
          <w:bCs/>
          <w:color w:val="auto"/>
          <w:sz w:val="36"/>
          <w:szCs w:val="36"/>
          <w:highlight w:val="none"/>
        </w:rPr>
        <w:t>明</w:t>
      </w:r>
      <w:r>
        <w:rPr>
          <w:rFonts w:ascii="宋体" w:hAnsi="宋体"/>
          <w:b/>
          <w:bCs/>
          <w:color w:val="auto"/>
          <w:sz w:val="36"/>
          <w:szCs w:val="36"/>
          <w:highlight w:val="none"/>
        </w:rPr>
        <w:t>书</w:t>
      </w:r>
    </w:p>
    <w:p>
      <w:pPr>
        <w:autoSpaceDE w:val="0"/>
        <w:autoSpaceDN w:val="0"/>
        <w:adjustRightInd w:val="0"/>
        <w:spacing w:line="480" w:lineRule="auto"/>
        <w:ind w:firstLine="616" w:firstLineChars="257"/>
        <w:rPr>
          <w:rFonts w:ascii="宋体" w:hAnsi="宋体"/>
          <w:color w:val="auto"/>
          <w:sz w:val="24"/>
          <w:szCs w:val="24"/>
          <w:highlight w:val="none"/>
        </w:rPr>
      </w:pPr>
    </w:p>
    <w:p>
      <w:pPr>
        <w:pStyle w:val="35"/>
        <w:spacing w:line="480" w:lineRule="auto"/>
        <w:ind w:firstLine="540" w:firstLineChars="225"/>
        <w:jc w:val="left"/>
        <w:rPr>
          <w:rFonts w:hAnsi="宋体"/>
          <w:color w:val="auto"/>
          <w:szCs w:val="24"/>
          <w:highlight w:val="none"/>
        </w:rPr>
      </w:pPr>
      <w:r>
        <w:rPr>
          <w:rFonts w:hAnsi="宋体"/>
          <w:color w:val="auto"/>
          <w:szCs w:val="24"/>
          <w:highlight w:val="none"/>
        </w:rPr>
        <w:t>单</w:t>
      </w:r>
      <w:r>
        <w:rPr>
          <w:rFonts w:hint="eastAsia" w:hAnsi="宋体"/>
          <w:color w:val="auto"/>
          <w:szCs w:val="24"/>
          <w:highlight w:val="none"/>
        </w:rPr>
        <w:t>位名</w:t>
      </w:r>
      <w:r>
        <w:rPr>
          <w:rFonts w:hAnsi="宋体"/>
          <w:color w:val="auto"/>
          <w:szCs w:val="24"/>
          <w:highlight w:val="none"/>
        </w:rPr>
        <w:t>称</w:t>
      </w:r>
      <w:r>
        <w:rPr>
          <w:rFonts w:hint="eastAsia" w:hAnsi="宋体"/>
          <w:color w:val="auto"/>
          <w:szCs w:val="24"/>
          <w:highlight w:val="none"/>
        </w:rPr>
        <w:t>：</w:t>
      </w:r>
    </w:p>
    <w:p>
      <w:pPr>
        <w:pStyle w:val="35"/>
        <w:spacing w:line="480" w:lineRule="auto"/>
        <w:ind w:firstLine="540" w:firstLineChars="225"/>
        <w:jc w:val="left"/>
        <w:rPr>
          <w:rFonts w:hAnsi="宋体"/>
          <w:color w:val="auto"/>
          <w:szCs w:val="24"/>
          <w:highlight w:val="none"/>
        </w:rPr>
      </w:pPr>
      <w:r>
        <w:rPr>
          <w:rFonts w:hint="eastAsia" w:hAnsi="宋体"/>
          <w:color w:val="auto"/>
          <w:szCs w:val="24"/>
          <w:highlight w:val="none"/>
        </w:rPr>
        <w:t>地址：</w:t>
      </w:r>
    </w:p>
    <w:p>
      <w:pPr>
        <w:pStyle w:val="35"/>
        <w:spacing w:line="480" w:lineRule="auto"/>
        <w:ind w:firstLine="540" w:firstLineChars="225"/>
        <w:jc w:val="left"/>
        <w:rPr>
          <w:rFonts w:hAnsi="宋体"/>
          <w:color w:val="auto"/>
          <w:szCs w:val="24"/>
          <w:highlight w:val="none"/>
        </w:rPr>
      </w:pPr>
      <w:r>
        <w:rPr>
          <w:rFonts w:hint="eastAsia" w:hAnsi="宋体"/>
          <w:color w:val="auto"/>
          <w:szCs w:val="24"/>
          <w:highlight w:val="none"/>
        </w:rPr>
        <w:t>姓名：       性</w:t>
      </w:r>
      <w:r>
        <w:rPr>
          <w:rFonts w:hAnsi="宋体"/>
          <w:color w:val="auto"/>
          <w:szCs w:val="24"/>
          <w:highlight w:val="none"/>
        </w:rPr>
        <w:t>别</w:t>
      </w:r>
      <w:r>
        <w:rPr>
          <w:rFonts w:hint="eastAsia" w:hAnsi="宋体"/>
          <w:color w:val="auto"/>
          <w:szCs w:val="24"/>
          <w:highlight w:val="none"/>
        </w:rPr>
        <w:t>：     年</w:t>
      </w:r>
      <w:r>
        <w:rPr>
          <w:rFonts w:hAnsi="宋体"/>
          <w:color w:val="auto"/>
          <w:szCs w:val="24"/>
          <w:highlight w:val="none"/>
        </w:rPr>
        <w:t>龄</w:t>
      </w:r>
      <w:r>
        <w:rPr>
          <w:rFonts w:hint="eastAsia" w:hAnsi="宋体"/>
          <w:color w:val="auto"/>
          <w:szCs w:val="24"/>
          <w:highlight w:val="none"/>
        </w:rPr>
        <w:t>：</w:t>
      </w:r>
      <w:r>
        <w:rPr>
          <w:rFonts w:hAnsi="宋体"/>
          <w:color w:val="auto"/>
          <w:szCs w:val="24"/>
          <w:highlight w:val="none"/>
        </w:rPr>
        <w:t xml:space="preserve">     职务</w:t>
      </w:r>
      <w:r>
        <w:rPr>
          <w:rFonts w:hint="eastAsia" w:hAnsi="宋体"/>
          <w:color w:val="auto"/>
          <w:szCs w:val="24"/>
          <w:highlight w:val="none"/>
        </w:rPr>
        <w:t xml:space="preserve">：        </w:t>
      </w:r>
    </w:p>
    <w:p>
      <w:pPr>
        <w:pStyle w:val="35"/>
        <w:spacing w:line="480" w:lineRule="auto"/>
        <w:ind w:firstLine="540" w:firstLineChars="225"/>
        <w:jc w:val="left"/>
        <w:rPr>
          <w:rFonts w:hAnsi="宋体"/>
          <w:color w:val="auto"/>
          <w:szCs w:val="24"/>
          <w:highlight w:val="none"/>
        </w:rPr>
      </w:pPr>
      <w:r>
        <w:rPr>
          <w:rFonts w:hint="eastAsia" w:hAnsi="宋体"/>
          <w:color w:val="auto"/>
          <w:szCs w:val="24"/>
          <w:highlight w:val="none"/>
        </w:rPr>
        <w:t>本人系</w:t>
      </w:r>
      <w:r>
        <w:rPr>
          <w:rFonts w:hint="eastAsia" w:hAnsi="宋体"/>
          <w:color w:val="auto"/>
          <w:szCs w:val="24"/>
          <w:highlight w:val="none"/>
          <w:u w:val="single"/>
        </w:rPr>
        <w:t xml:space="preserve">   </w:t>
      </w:r>
      <w:r>
        <w:rPr>
          <w:rFonts w:hint="eastAsia" w:hAnsi="宋体"/>
          <w:snapToGrid w:val="0"/>
          <w:color w:val="auto"/>
          <w:szCs w:val="24"/>
          <w:highlight w:val="none"/>
          <w:u w:val="single"/>
        </w:rPr>
        <w:t>投</w:t>
      </w:r>
      <w:r>
        <w:rPr>
          <w:rFonts w:hAnsi="宋体"/>
          <w:snapToGrid w:val="0"/>
          <w:color w:val="auto"/>
          <w:szCs w:val="24"/>
          <w:highlight w:val="none"/>
          <w:u w:val="single"/>
        </w:rPr>
        <w:t>标</w:t>
      </w:r>
      <w:r>
        <w:rPr>
          <w:rFonts w:hint="eastAsia" w:hAnsi="宋体"/>
          <w:snapToGrid w:val="0"/>
          <w:color w:val="auto"/>
          <w:szCs w:val="24"/>
          <w:highlight w:val="none"/>
          <w:u w:val="single"/>
        </w:rPr>
        <w:t>人名</w:t>
      </w:r>
      <w:r>
        <w:rPr>
          <w:rFonts w:hAnsi="宋体"/>
          <w:snapToGrid w:val="0"/>
          <w:color w:val="auto"/>
          <w:szCs w:val="24"/>
          <w:highlight w:val="none"/>
          <w:u w:val="single"/>
        </w:rPr>
        <w:t>称</w:t>
      </w:r>
      <w:r>
        <w:rPr>
          <w:rFonts w:hint="eastAsia" w:hAnsi="宋体"/>
          <w:snapToGrid w:val="0"/>
          <w:color w:val="auto"/>
          <w:szCs w:val="24"/>
          <w:highlight w:val="none"/>
          <w:u w:val="single"/>
        </w:rPr>
        <w:t xml:space="preserve">   </w:t>
      </w:r>
      <w:r>
        <w:rPr>
          <w:rFonts w:hint="eastAsia" w:hAnsi="宋体"/>
          <w:color w:val="auto"/>
          <w:szCs w:val="24"/>
          <w:highlight w:val="none"/>
        </w:rPr>
        <w:t>的法定代表人。就</w:t>
      </w:r>
      <w:r>
        <w:rPr>
          <w:rFonts w:hAnsi="宋体"/>
          <w:color w:val="auto"/>
          <w:szCs w:val="24"/>
          <w:highlight w:val="none"/>
        </w:rPr>
        <w:t>参</w:t>
      </w:r>
      <w:r>
        <w:rPr>
          <w:rFonts w:hint="eastAsia" w:hAnsi="宋体"/>
          <w:color w:val="auto"/>
          <w:szCs w:val="24"/>
          <w:highlight w:val="none"/>
        </w:rPr>
        <w:t>加贵方项目</w:t>
      </w:r>
      <w:r>
        <w:rPr>
          <w:rFonts w:hAnsi="宋体"/>
          <w:color w:val="auto"/>
          <w:szCs w:val="24"/>
          <w:highlight w:val="none"/>
        </w:rPr>
        <w:t>编号为</w:t>
      </w:r>
      <w:r>
        <w:rPr>
          <w:rFonts w:hint="eastAsia" w:hAnsi="宋体"/>
          <w:snapToGrid w:val="0"/>
          <w:color w:val="auto"/>
          <w:szCs w:val="24"/>
          <w:highlight w:val="none"/>
          <w:u w:val="single"/>
        </w:rPr>
        <w:t xml:space="preserve">   </w:t>
      </w:r>
      <w:r>
        <w:rPr>
          <w:rFonts w:hAnsi="宋体"/>
          <w:color w:val="auto"/>
          <w:szCs w:val="24"/>
          <w:highlight w:val="none"/>
          <w:u w:val="single"/>
        </w:rPr>
        <w:t>项目编号</w:t>
      </w:r>
      <w:r>
        <w:rPr>
          <w:rFonts w:hint="eastAsia" w:hAnsi="宋体"/>
          <w:snapToGrid w:val="0"/>
          <w:color w:val="auto"/>
          <w:szCs w:val="24"/>
          <w:highlight w:val="none"/>
          <w:u w:val="single"/>
        </w:rPr>
        <w:t xml:space="preserve">   </w:t>
      </w:r>
      <w:r>
        <w:rPr>
          <w:rFonts w:hint="eastAsia" w:hAnsi="宋体"/>
          <w:color w:val="auto"/>
          <w:szCs w:val="24"/>
          <w:highlight w:val="none"/>
        </w:rPr>
        <w:t>的</w:t>
      </w:r>
      <w:r>
        <w:rPr>
          <w:rFonts w:hint="eastAsia" w:hAnsi="宋体"/>
          <w:snapToGrid w:val="0"/>
          <w:color w:val="auto"/>
          <w:szCs w:val="24"/>
          <w:highlight w:val="none"/>
          <w:u w:val="single"/>
        </w:rPr>
        <w:t xml:space="preserve">   </w:t>
      </w:r>
      <w:r>
        <w:rPr>
          <w:rFonts w:hAnsi="宋体"/>
          <w:color w:val="auto"/>
          <w:szCs w:val="24"/>
          <w:highlight w:val="none"/>
          <w:u w:val="single"/>
        </w:rPr>
        <w:t>项目</w:t>
      </w:r>
      <w:r>
        <w:rPr>
          <w:rFonts w:hint="eastAsia" w:hAnsi="宋体"/>
          <w:color w:val="auto"/>
          <w:szCs w:val="24"/>
          <w:highlight w:val="none"/>
          <w:u w:val="single"/>
        </w:rPr>
        <w:t>名</w:t>
      </w:r>
      <w:r>
        <w:rPr>
          <w:rFonts w:hAnsi="宋体"/>
          <w:color w:val="auto"/>
          <w:szCs w:val="24"/>
          <w:highlight w:val="none"/>
          <w:u w:val="single"/>
        </w:rPr>
        <w:t>称</w:t>
      </w:r>
      <w:r>
        <w:rPr>
          <w:rFonts w:hint="eastAsia" w:hAnsi="宋体"/>
          <w:snapToGrid w:val="0"/>
          <w:color w:val="auto"/>
          <w:szCs w:val="24"/>
          <w:highlight w:val="none"/>
          <w:u w:val="single"/>
        </w:rPr>
        <w:t xml:space="preserve">   </w:t>
      </w:r>
      <w:r>
        <w:rPr>
          <w:rFonts w:hint="eastAsia" w:hAnsi="宋体"/>
          <w:color w:val="auto"/>
          <w:szCs w:val="24"/>
          <w:highlight w:val="none"/>
        </w:rPr>
        <w:t>公</w:t>
      </w:r>
      <w:r>
        <w:rPr>
          <w:rFonts w:hAnsi="宋体"/>
          <w:color w:val="auto"/>
          <w:szCs w:val="24"/>
          <w:highlight w:val="none"/>
        </w:rPr>
        <w:t>开</w:t>
      </w:r>
      <w:r>
        <w:rPr>
          <w:rFonts w:hint="eastAsia" w:hAnsi="宋体"/>
          <w:color w:val="auto"/>
          <w:szCs w:val="24"/>
          <w:highlight w:val="none"/>
        </w:rPr>
        <w:t>招</w:t>
      </w:r>
      <w:r>
        <w:rPr>
          <w:rFonts w:hAnsi="宋体"/>
          <w:color w:val="auto"/>
          <w:szCs w:val="24"/>
          <w:highlight w:val="none"/>
        </w:rPr>
        <w:t>标项目</w:t>
      </w:r>
      <w:r>
        <w:rPr>
          <w:rFonts w:hint="eastAsia" w:hAnsi="宋体"/>
          <w:color w:val="auto"/>
          <w:szCs w:val="24"/>
          <w:highlight w:val="none"/>
        </w:rPr>
        <w:t>的投</w:t>
      </w:r>
      <w:r>
        <w:rPr>
          <w:rFonts w:hAnsi="宋体"/>
          <w:color w:val="auto"/>
          <w:szCs w:val="24"/>
          <w:highlight w:val="none"/>
        </w:rPr>
        <w:t>标报价</w:t>
      </w:r>
      <w:r>
        <w:rPr>
          <w:rFonts w:hint="eastAsia" w:hAnsi="宋体"/>
          <w:color w:val="auto"/>
          <w:szCs w:val="24"/>
          <w:highlight w:val="none"/>
        </w:rPr>
        <w:t>，</w:t>
      </w:r>
      <w:r>
        <w:rPr>
          <w:rFonts w:hAnsi="宋体"/>
          <w:color w:val="auto"/>
          <w:szCs w:val="24"/>
          <w:highlight w:val="none"/>
        </w:rPr>
        <w:t>签</w:t>
      </w:r>
      <w:r>
        <w:rPr>
          <w:rFonts w:hint="eastAsia" w:hAnsi="宋体"/>
          <w:color w:val="auto"/>
          <w:szCs w:val="24"/>
          <w:highlight w:val="none"/>
        </w:rPr>
        <w:t>署上</w:t>
      </w:r>
      <w:r>
        <w:rPr>
          <w:rFonts w:hAnsi="宋体"/>
          <w:color w:val="auto"/>
          <w:szCs w:val="24"/>
          <w:highlight w:val="none"/>
        </w:rPr>
        <w:t>述项目</w:t>
      </w:r>
      <w:r>
        <w:rPr>
          <w:rFonts w:hint="eastAsia" w:hAnsi="宋体"/>
          <w:color w:val="auto"/>
          <w:szCs w:val="24"/>
          <w:highlight w:val="none"/>
        </w:rPr>
        <w:t>的投</w:t>
      </w:r>
      <w:r>
        <w:rPr>
          <w:rFonts w:hAnsi="宋体"/>
          <w:color w:val="auto"/>
          <w:szCs w:val="24"/>
          <w:highlight w:val="none"/>
        </w:rPr>
        <w:t>标</w:t>
      </w:r>
      <w:r>
        <w:rPr>
          <w:rFonts w:hint="eastAsia" w:hAnsi="宋体"/>
          <w:color w:val="auto"/>
          <w:szCs w:val="24"/>
          <w:highlight w:val="none"/>
        </w:rPr>
        <w:t>文件及合同的</w:t>
      </w:r>
      <w:r>
        <w:rPr>
          <w:rFonts w:hAnsi="宋体"/>
          <w:color w:val="auto"/>
          <w:szCs w:val="24"/>
          <w:highlight w:val="none"/>
        </w:rPr>
        <w:t>执</w:t>
      </w:r>
      <w:r>
        <w:rPr>
          <w:rFonts w:hint="eastAsia" w:hAnsi="宋体"/>
          <w:color w:val="auto"/>
          <w:szCs w:val="24"/>
          <w:highlight w:val="none"/>
        </w:rPr>
        <w:t>行、完成、服</w:t>
      </w:r>
      <w:r>
        <w:rPr>
          <w:rFonts w:hAnsi="宋体"/>
          <w:color w:val="auto"/>
          <w:szCs w:val="24"/>
          <w:highlight w:val="none"/>
        </w:rPr>
        <w:t>务</w:t>
      </w:r>
      <w:r>
        <w:rPr>
          <w:rFonts w:hint="eastAsia" w:hAnsi="宋体"/>
          <w:color w:val="auto"/>
          <w:szCs w:val="24"/>
          <w:highlight w:val="none"/>
        </w:rPr>
        <w:t>和保修，</w:t>
      </w:r>
      <w:r>
        <w:rPr>
          <w:rFonts w:hAnsi="宋体"/>
          <w:color w:val="auto"/>
          <w:szCs w:val="24"/>
          <w:highlight w:val="none"/>
        </w:rPr>
        <w:t>签</w:t>
      </w:r>
      <w:r>
        <w:rPr>
          <w:rFonts w:hint="eastAsia" w:hAnsi="宋体"/>
          <w:color w:val="auto"/>
          <w:szCs w:val="24"/>
          <w:highlight w:val="none"/>
        </w:rPr>
        <w:t>署合同和</w:t>
      </w:r>
      <w:r>
        <w:rPr>
          <w:rFonts w:hAnsi="宋体"/>
          <w:color w:val="auto"/>
          <w:szCs w:val="24"/>
          <w:highlight w:val="none"/>
        </w:rPr>
        <w:t>处</w:t>
      </w:r>
      <w:r>
        <w:rPr>
          <w:rFonts w:hint="eastAsia" w:hAnsi="宋体"/>
          <w:color w:val="auto"/>
          <w:szCs w:val="24"/>
          <w:highlight w:val="none"/>
        </w:rPr>
        <w:t>理与之有</w:t>
      </w:r>
      <w:r>
        <w:rPr>
          <w:rFonts w:hAnsi="宋体"/>
          <w:color w:val="auto"/>
          <w:szCs w:val="24"/>
          <w:highlight w:val="none"/>
        </w:rPr>
        <w:t>关的</w:t>
      </w:r>
      <w:r>
        <w:rPr>
          <w:rFonts w:hint="eastAsia" w:hAnsi="宋体"/>
          <w:color w:val="auto"/>
          <w:szCs w:val="24"/>
          <w:highlight w:val="none"/>
        </w:rPr>
        <w:t>一切事</w:t>
      </w:r>
      <w:r>
        <w:rPr>
          <w:rFonts w:hAnsi="宋体"/>
          <w:color w:val="auto"/>
          <w:szCs w:val="24"/>
          <w:highlight w:val="none"/>
        </w:rPr>
        <w:t>务</w:t>
      </w:r>
      <w:r>
        <w:rPr>
          <w:rFonts w:hint="eastAsia" w:hAnsi="宋体"/>
          <w:color w:val="auto"/>
          <w:szCs w:val="24"/>
          <w:highlight w:val="none"/>
        </w:rPr>
        <w:t>。</w:t>
      </w:r>
    </w:p>
    <w:p>
      <w:pPr>
        <w:pStyle w:val="35"/>
        <w:spacing w:line="480" w:lineRule="auto"/>
        <w:ind w:firstLine="540" w:firstLineChars="225"/>
        <w:jc w:val="left"/>
        <w:rPr>
          <w:rFonts w:hAnsi="宋体"/>
          <w:color w:val="auto"/>
          <w:szCs w:val="24"/>
          <w:highlight w:val="none"/>
        </w:rPr>
      </w:pPr>
      <w:r>
        <w:rPr>
          <w:rFonts w:hint="eastAsia" w:hAnsi="宋体"/>
          <w:color w:val="auto"/>
          <w:szCs w:val="24"/>
          <w:highlight w:val="none"/>
        </w:rPr>
        <w:t>特此</w:t>
      </w:r>
      <w:r>
        <w:rPr>
          <w:rFonts w:hAnsi="宋体"/>
          <w:color w:val="auto"/>
          <w:szCs w:val="24"/>
          <w:highlight w:val="none"/>
        </w:rPr>
        <w:t>证</w:t>
      </w:r>
      <w:r>
        <w:rPr>
          <w:rFonts w:hint="eastAsia" w:hAnsi="宋体"/>
          <w:color w:val="auto"/>
          <w:szCs w:val="24"/>
          <w:highlight w:val="none"/>
        </w:rPr>
        <w:t>明。</w:t>
      </w:r>
    </w:p>
    <w:p>
      <w:pPr>
        <w:pStyle w:val="35"/>
        <w:spacing w:line="480" w:lineRule="auto"/>
        <w:ind w:firstLine="540" w:firstLineChars="225"/>
        <w:jc w:val="left"/>
        <w:rPr>
          <w:rFonts w:hAnsi="宋体"/>
          <w:color w:val="auto"/>
          <w:szCs w:val="24"/>
          <w:highlight w:val="none"/>
        </w:rPr>
      </w:pPr>
    </w:p>
    <w:p>
      <w:pPr>
        <w:pStyle w:val="35"/>
        <w:spacing w:line="480" w:lineRule="auto"/>
        <w:ind w:firstLine="540" w:firstLineChars="225"/>
        <w:jc w:val="left"/>
        <w:rPr>
          <w:rFonts w:hAnsi="宋体"/>
          <w:color w:val="auto"/>
          <w:szCs w:val="24"/>
          <w:highlight w:val="none"/>
        </w:rPr>
      </w:pPr>
    </w:p>
    <w:p>
      <w:pPr>
        <w:pStyle w:val="35"/>
        <w:spacing w:line="480" w:lineRule="auto"/>
        <w:ind w:left="-538" w:leftChars="-256" w:firstLine="616" w:firstLineChars="257"/>
        <w:jc w:val="center"/>
        <w:rPr>
          <w:rFonts w:hAnsi="宋体"/>
          <w:bCs/>
          <w:color w:val="auto"/>
          <w:szCs w:val="24"/>
          <w:highlight w:val="none"/>
        </w:rPr>
      </w:pPr>
      <w:r>
        <w:rPr>
          <w:rFonts w:hint="eastAsia" w:hAnsi="宋体"/>
          <w:bCs/>
          <w:color w:val="auto"/>
          <w:szCs w:val="24"/>
          <w:highlight w:val="none"/>
        </w:rPr>
        <w:t>【此</w:t>
      </w:r>
      <w:r>
        <w:rPr>
          <w:rFonts w:hAnsi="宋体"/>
          <w:bCs/>
          <w:color w:val="auto"/>
          <w:szCs w:val="24"/>
          <w:highlight w:val="none"/>
        </w:rPr>
        <w:t>处请</w:t>
      </w:r>
      <w:r>
        <w:rPr>
          <w:rFonts w:hint="eastAsia" w:hAnsi="宋体"/>
          <w:bCs/>
          <w:color w:val="auto"/>
          <w:szCs w:val="24"/>
          <w:highlight w:val="none"/>
        </w:rPr>
        <w:t>粘</w:t>
      </w:r>
      <w:r>
        <w:rPr>
          <w:rFonts w:hAnsi="宋体"/>
          <w:bCs/>
          <w:color w:val="auto"/>
          <w:szCs w:val="24"/>
          <w:highlight w:val="none"/>
        </w:rPr>
        <w:t>贴</w:t>
      </w:r>
      <w:r>
        <w:rPr>
          <w:rFonts w:hint="eastAsia" w:hAnsi="宋体"/>
          <w:bCs/>
          <w:color w:val="auto"/>
          <w:szCs w:val="24"/>
          <w:highlight w:val="none"/>
        </w:rPr>
        <w:t>法定代表人身份</w:t>
      </w:r>
      <w:r>
        <w:rPr>
          <w:rFonts w:hAnsi="宋体"/>
          <w:bCs/>
          <w:color w:val="auto"/>
          <w:szCs w:val="24"/>
          <w:highlight w:val="none"/>
        </w:rPr>
        <w:t>证复</w:t>
      </w:r>
      <w:r>
        <w:rPr>
          <w:rFonts w:hint="eastAsia" w:hAnsi="宋体"/>
          <w:bCs/>
          <w:color w:val="auto"/>
          <w:szCs w:val="24"/>
          <w:highlight w:val="none"/>
        </w:rPr>
        <w:t>印件，需清晰反映身份证有效期限】</w:t>
      </w:r>
    </w:p>
    <w:p>
      <w:pPr>
        <w:pStyle w:val="35"/>
        <w:spacing w:line="480" w:lineRule="auto"/>
        <w:ind w:left="-538" w:leftChars="-256" w:firstLine="616" w:firstLineChars="257"/>
        <w:jc w:val="center"/>
        <w:rPr>
          <w:rFonts w:hAnsi="宋体"/>
          <w:bCs/>
          <w:color w:val="auto"/>
          <w:szCs w:val="24"/>
          <w:highlight w:val="none"/>
        </w:rPr>
      </w:pPr>
    </w:p>
    <w:p>
      <w:pPr>
        <w:autoSpaceDE w:val="0"/>
        <w:autoSpaceDN w:val="0"/>
        <w:adjustRightInd w:val="0"/>
        <w:spacing w:line="360" w:lineRule="auto"/>
        <w:ind w:right="-11"/>
        <w:rPr>
          <w:rFonts w:ascii="宋体" w:hAnsi="宋体" w:cs="宋体"/>
          <w:color w:val="auto"/>
          <w:sz w:val="24"/>
          <w:szCs w:val="24"/>
          <w:highlight w:val="none"/>
          <w:lang w:val="zh-CN"/>
        </w:rPr>
      </w:pPr>
    </w:p>
    <w:p>
      <w:pPr>
        <w:autoSpaceDE w:val="0"/>
        <w:autoSpaceDN w:val="0"/>
        <w:adjustRightInd w:val="0"/>
        <w:spacing w:line="360" w:lineRule="auto"/>
        <w:ind w:right="-11"/>
        <w:rPr>
          <w:rFonts w:ascii="宋体" w:hAnsi="宋体" w:cs="宋体"/>
          <w:color w:val="auto"/>
          <w:sz w:val="24"/>
          <w:szCs w:val="24"/>
          <w:highlight w:val="none"/>
          <w:lang w:val="zh-CN"/>
        </w:rPr>
      </w:pPr>
    </w:p>
    <w:p>
      <w:pPr>
        <w:autoSpaceDE w:val="0"/>
        <w:autoSpaceDN w:val="0"/>
        <w:adjustRightInd w:val="0"/>
        <w:spacing w:line="360" w:lineRule="auto"/>
        <w:ind w:right="-11"/>
        <w:rPr>
          <w:rFonts w:ascii="宋体" w:hAnsi="宋体" w:cs="宋体"/>
          <w:color w:val="auto"/>
          <w:sz w:val="24"/>
          <w:szCs w:val="24"/>
          <w:highlight w:val="none"/>
          <w:lang w:val="zh-CN"/>
        </w:rPr>
      </w:pPr>
    </w:p>
    <w:p>
      <w:pPr>
        <w:spacing w:line="480" w:lineRule="auto"/>
        <w:ind w:firstLine="3900" w:firstLineChars="1625"/>
        <w:rPr>
          <w:rFonts w:ascii="宋体" w:hAnsi="宋体" w:cs="Arial"/>
          <w:color w:val="auto"/>
          <w:sz w:val="24"/>
          <w:szCs w:val="24"/>
          <w:highlight w:val="none"/>
          <w:u w:val="single"/>
        </w:rPr>
      </w:pPr>
      <w:r>
        <w:rPr>
          <w:rFonts w:hint="eastAsia" w:ascii="宋体" w:hAnsi="宋体" w:cs="Arial"/>
          <w:color w:val="auto"/>
          <w:sz w:val="24"/>
          <w:szCs w:val="24"/>
          <w:highlight w:val="none"/>
        </w:rPr>
        <w:t>投标人名称（并加盖公章）：</w:t>
      </w:r>
    </w:p>
    <w:p>
      <w:pPr>
        <w:pStyle w:val="34"/>
        <w:spacing w:before="60" w:line="480" w:lineRule="auto"/>
        <w:ind w:firstLine="3900" w:firstLineChars="1625"/>
        <w:rPr>
          <w:rFonts w:ascii="宋体" w:hAnsi="宋体" w:cs="Arial"/>
          <w:color w:val="auto"/>
          <w:szCs w:val="24"/>
          <w:highlight w:val="none"/>
        </w:rPr>
      </w:pPr>
      <w:r>
        <w:rPr>
          <w:rFonts w:hint="eastAsia" w:ascii="宋体" w:hAnsi="宋体" w:cs="Arial"/>
          <w:color w:val="auto"/>
          <w:szCs w:val="24"/>
          <w:highlight w:val="none"/>
        </w:rPr>
        <w:t>签署日期：   年   月  日</w:t>
      </w:r>
    </w:p>
    <w:p>
      <w:pPr>
        <w:pStyle w:val="30"/>
        <w:spacing w:line="480" w:lineRule="auto"/>
        <w:rPr>
          <w:rFonts w:ascii="宋体" w:hAnsi="宋体" w:cs="Arial"/>
          <w:color w:val="auto"/>
          <w:szCs w:val="24"/>
          <w:highlight w:val="none"/>
        </w:rPr>
      </w:pPr>
    </w:p>
    <w:p>
      <w:pPr>
        <w:rPr>
          <w:rFonts w:ascii="宋体" w:hAnsi="宋体"/>
          <w:color w:val="auto"/>
          <w:highlight w:val="none"/>
        </w:rPr>
      </w:pPr>
    </w:p>
    <w:p>
      <w:pPr>
        <w:spacing w:line="320" w:lineRule="exact"/>
        <w:rPr>
          <w:rFonts w:ascii="宋体" w:hAnsi="宋体"/>
          <w:bCs/>
          <w:color w:val="auto"/>
          <w:kern w:val="12"/>
          <w:sz w:val="24"/>
          <w:szCs w:val="24"/>
          <w:highlight w:val="none"/>
        </w:rPr>
      </w:pPr>
      <w:r>
        <w:rPr>
          <w:rFonts w:hint="eastAsia" w:ascii="宋体" w:hAnsi="宋体"/>
          <w:bCs/>
          <w:color w:val="auto"/>
          <w:kern w:val="12"/>
          <w:sz w:val="24"/>
          <w:szCs w:val="24"/>
          <w:highlight w:val="none"/>
        </w:rPr>
        <w:t>说明：法定代表人</w:t>
      </w:r>
      <w:r>
        <w:rPr>
          <w:rFonts w:ascii="宋体" w:hAnsi="宋体"/>
          <w:bCs/>
          <w:color w:val="auto"/>
          <w:kern w:val="12"/>
          <w:sz w:val="24"/>
          <w:szCs w:val="24"/>
          <w:highlight w:val="none"/>
        </w:rPr>
        <w:t>参</w:t>
      </w:r>
      <w:r>
        <w:rPr>
          <w:rFonts w:hint="eastAsia" w:ascii="宋体" w:hAnsi="宋体"/>
          <w:bCs/>
          <w:color w:val="auto"/>
          <w:kern w:val="12"/>
          <w:sz w:val="24"/>
          <w:szCs w:val="24"/>
          <w:highlight w:val="none"/>
        </w:rPr>
        <w:t>加本招</w:t>
      </w:r>
      <w:r>
        <w:rPr>
          <w:rFonts w:ascii="宋体" w:hAnsi="宋体"/>
          <w:bCs/>
          <w:color w:val="auto"/>
          <w:kern w:val="12"/>
          <w:sz w:val="24"/>
          <w:szCs w:val="24"/>
          <w:highlight w:val="none"/>
        </w:rPr>
        <w:t>标项目</w:t>
      </w:r>
      <w:r>
        <w:rPr>
          <w:rFonts w:hint="eastAsia" w:ascii="宋体" w:hAnsi="宋体"/>
          <w:bCs/>
          <w:color w:val="auto"/>
          <w:kern w:val="12"/>
          <w:sz w:val="24"/>
          <w:szCs w:val="24"/>
          <w:highlight w:val="none"/>
        </w:rPr>
        <w:t>投</w:t>
      </w:r>
      <w:r>
        <w:rPr>
          <w:rFonts w:ascii="宋体" w:hAnsi="宋体"/>
          <w:bCs/>
          <w:color w:val="auto"/>
          <w:kern w:val="12"/>
          <w:sz w:val="24"/>
          <w:szCs w:val="24"/>
          <w:highlight w:val="none"/>
        </w:rPr>
        <w:t>标</w:t>
      </w:r>
      <w:r>
        <w:rPr>
          <w:rFonts w:hint="eastAsia" w:ascii="宋体" w:hAnsi="宋体"/>
          <w:bCs/>
          <w:color w:val="auto"/>
          <w:kern w:val="12"/>
          <w:sz w:val="24"/>
          <w:szCs w:val="24"/>
          <w:highlight w:val="none"/>
        </w:rPr>
        <w:t>的，</w:t>
      </w:r>
      <w:r>
        <w:rPr>
          <w:rFonts w:ascii="宋体" w:hAnsi="宋体"/>
          <w:bCs/>
          <w:color w:val="auto"/>
          <w:kern w:val="12"/>
          <w:sz w:val="24"/>
          <w:szCs w:val="24"/>
          <w:highlight w:val="none"/>
        </w:rPr>
        <w:t>仅须</w:t>
      </w:r>
      <w:r>
        <w:rPr>
          <w:rFonts w:hint="eastAsia" w:ascii="宋体" w:hAnsi="宋体"/>
          <w:bCs/>
          <w:color w:val="auto"/>
          <w:kern w:val="12"/>
          <w:sz w:val="24"/>
          <w:szCs w:val="24"/>
          <w:highlight w:val="none"/>
        </w:rPr>
        <w:t>出具此</w:t>
      </w:r>
      <w:r>
        <w:rPr>
          <w:rFonts w:ascii="宋体" w:hAnsi="宋体"/>
          <w:bCs/>
          <w:color w:val="auto"/>
          <w:kern w:val="12"/>
          <w:sz w:val="24"/>
          <w:szCs w:val="24"/>
          <w:highlight w:val="none"/>
        </w:rPr>
        <w:t>证</w:t>
      </w:r>
      <w:r>
        <w:rPr>
          <w:rFonts w:hint="eastAsia" w:ascii="宋体" w:hAnsi="宋体"/>
          <w:bCs/>
          <w:color w:val="auto"/>
          <w:kern w:val="12"/>
          <w:sz w:val="24"/>
          <w:szCs w:val="24"/>
          <w:highlight w:val="none"/>
        </w:rPr>
        <w:t>明</w:t>
      </w:r>
      <w:r>
        <w:rPr>
          <w:rFonts w:ascii="宋体" w:hAnsi="宋体"/>
          <w:bCs/>
          <w:color w:val="auto"/>
          <w:kern w:val="12"/>
          <w:sz w:val="24"/>
          <w:szCs w:val="24"/>
          <w:highlight w:val="none"/>
        </w:rPr>
        <w:t>书</w:t>
      </w:r>
      <w:r>
        <w:rPr>
          <w:rFonts w:hint="eastAsia" w:ascii="宋体" w:hAnsi="宋体"/>
          <w:bCs/>
          <w:color w:val="auto"/>
          <w:kern w:val="12"/>
          <w:sz w:val="24"/>
          <w:szCs w:val="24"/>
          <w:highlight w:val="none"/>
        </w:rPr>
        <w:t>。</w:t>
      </w:r>
    </w:p>
    <w:p>
      <w:pPr>
        <w:spacing w:line="480" w:lineRule="exact"/>
        <w:jc w:val="center"/>
        <w:rPr>
          <w:rFonts w:ascii="宋体" w:hAnsi="宋体"/>
          <w:b/>
          <w:bCs/>
          <w:color w:val="auto"/>
          <w:sz w:val="36"/>
          <w:szCs w:val="36"/>
          <w:highlight w:val="none"/>
        </w:rPr>
      </w:pPr>
    </w:p>
    <w:p>
      <w:pPr>
        <w:spacing w:line="480" w:lineRule="exact"/>
        <w:jc w:val="center"/>
        <w:rPr>
          <w:rFonts w:ascii="宋体" w:hAnsi="宋体"/>
          <w:b/>
          <w:bCs/>
          <w:color w:val="auto"/>
          <w:sz w:val="36"/>
          <w:szCs w:val="36"/>
          <w:highlight w:val="none"/>
        </w:rPr>
      </w:pPr>
      <w:r>
        <w:rPr>
          <w:rFonts w:hint="eastAsia" w:ascii="宋体" w:hAnsi="宋体"/>
          <w:b/>
          <w:bCs/>
          <w:color w:val="auto"/>
          <w:sz w:val="36"/>
          <w:szCs w:val="36"/>
          <w:highlight w:val="none"/>
        </w:rPr>
        <w:t>2.3 法定代表人授权书</w:t>
      </w:r>
    </w:p>
    <w:p>
      <w:pPr>
        <w:spacing w:line="480" w:lineRule="exact"/>
        <w:jc w:val="center"/>
        <w:rPr>
          <w:rFonts w:ascii="宋体" w:hAnsi="宋体"/>
          <w:b/>
          <w:bCs/>
          <w:color w:val="auto"/>
          <w:sz w:val="36"/>
          <w:szCs w:val="36"/>
          <w:highlight w:val="none"/>
        </w:rPr>
      </w:pPr>
    </w:p>
    <w:p>
      <w:pPr>
        <w:adjustRightInd w:val="0"/>
        <w:spacing w:line="360" w:lineRule="auto"/>
        <w:ind w:firstLine="504" w:firstLineChars="210"/>
        <w:contextualSpacing/>
        <w:rPr>
          <w:rFonts w:ascii="宋体" w:hAnsi="宋体" w:cs="Arial"/>
          <w:color w:val="auto"/>
          <w:sz w:val="24"/>
          <w:szCs w:val="24"/>
          <w:highlight w:val="none"/>
        </w:rPr>
      </w:pPr>
      <w:r>
        <w:rPr>
          <w:rFonts w:hint="eastAsia" w:ascii="宋体" w:hAnsi="宋体" w:cs="Arial"/>
          <w:color w:val="auto"/>
          <w:sz w:val="24"/>
          <w:szCs w:val="24"/>
          <w:highlight w:val="none"/>
        </w:rPr>
        <w:t>本人</w:t>
      </w:r>
      <w:r>
        <w:rPr>
          <w:rFonts w:hint="eastAsia" w:ascii="宋体" w:hAnsi="宋体" w:cs="Arial"/>
          <w:color w:val="auto"/>
          <w:sz w:val="24"/>
          <w:szCs w:val="24"/>
          <w:highlight w:val="none"/>
          <w:u w:val="single"/>
        </w:rPr>
        <w:t xml:space="preserve">　 </w:t>
      </w:r>
      <w:r>
        <w:rPr>
          <w:rFonts w:hint="eastAsia" w:ascii="宋体" w:hAnsi="宋体"/>
          <w:snapToGrid w:val="0"/>
          <w:color w:val="auto"/>
          <w:sz w:val="24"/>
          <w:szCs w:val="24"/>
          <w:highlight w:val="none"/>
          <w:u w:val="single"/>
        </w:rPr>
        <w:t xml:space="preserve">法人姓名  </w:t>
      </w:r>
      <w:r>
        <w:rPr>
          <w:rFonts w:hint="eastAsia" w:ascii="宋体" w:hAnsi="宋体" w:cs="Arial"/>
          <w:color w:val="auto"/>
          <w:sz w:val="24"/>
          <w:szCs w:val="24"/>
          <w:highlight w:val="none"/>
        </w:rPr>
        <w:t>系</w:t>
      </w:r>
      <w:r>
        <w:rPr>
          <w:rFonts w:hint="eastAsia" w:ascii="宋体" w:hAnsi="宋体" w:cs="Arial"/>
          <w:color w:val="auto"/>
          <w:sz w:val="24"/>
          <w:szCs w:val="24"/>
          <w:highlight w:val="none"/>
          <w:u w:val="single"/>
        </w:rPr>
        <w:t>　</w:t>
      </w:r>
      <w:r>
        <w:rPr>
          <w:rFonts w:hint="eastAsia" w:ascii="宋体" w:hAnsi="宋体"/>
          <w:snapToGrid w:val="0"/>
          <w:color w:val="auto"/>
          <w:sz w:val="24"/>
          <w:szCs w:val="24"/>
          <w:highlight w:val="none"/>
          <w:u w:val="single"/>
        </w:rPr>
        <w:t>投标人名称</w:t>
      </w:r>
      <w:r>
        <w:rPr>
          <w:rFonts w:hint="eastAsia" w:ascii="宋体" w:hAnsi="宋体"/>
          <w:i/>
          <w:snapToGrid w:val="0"/>
          <w:color w:val="auto"/>
          <w:sz w:val="24"/>
          <w:szCs w:val="24"/>
          <w:highlight w:val="none"/>
          <w:u w:val="single"/>
        </w:rPr>
        <w:t xml:space="preserve">  </w:t>
      </w:r>
      <w:r>
        <w:rPr>
          <w:rFonts w:hint="eastAsia" w:ascii="宋体" w:hAnsi="宋体" w:cs="Arial"/>
          <w:color w:val="auto"/>
          <w:sz w:val="24"/>
          <w:szCs w:val="24"/>
          <w:highlight w:val="none"/>
        </w:rPr>
        <w:t>的法定代表人，现委托</w:t>
      </w:r>
      <w:r>
        <w:rPr>
          <w:rFonts w:hint="eastAsia" w:ascii="宋体" w:hAnsi="宋体" w:cs="Arial"/>
          <w:color w:val="auto"/>
          <w:sz w:val="24"/>
          <w:szCs w:val="24"/>
          <w:highlight w:val="none"/>
          <w:u w:val="single"/>
        </w:rPr>
        <w:t xml:space="preserve">　 </w:t>
      </w:r>
      <w:r>
        <w:rPr>
          <w:rFonts w:hint="eastAsia" w:ascii="宋体" w:hAnsi="宋体"/>
          <w:snapToGrid w:val="0"/>
          <w:color w:val="auto"/>
          <w:sz w:val="24"/>
          <w:szCs w:val="24"/>
          <w:highlight w:val="none"/>
          <w:u w:val="single"/>
        </w:rPr>
        <w:t xml:space="preserve">姓名，职务 </w:t>
      </w:r>
      <w:r>
        <w:rPr>
          <w:rFonts w:hint="eastAsia" w:ascii="宋体" w:hAnsi="宋体" w:cs="Arial"/>
          <w:color w:val="auto"/>
          <w:sz w:val="24"/>
          <w:szCs w:val="24"/>
          <w:highlight w:val="none"/>
          <w:u w:val="single"/>
        </w:rPr>
        <w:t xml:space="preserve"> </w:t>
      </w:r>
      <w:r>
        <w:rPr>
          <w:rFonts w:hint="eastAsia" w:ascii="宋体" w:hAnsi="宋体" w:cs="Arial"/>
          <w:color w:val="auto"/>
          <w:sz w:val="24"/>
          <w:szCs w:val="24"/>
          <w:highlight w:val="none"/>
        </w:rPr>
        <w:t>以我方的名义参加贵方</w:t>
      </w:r>
      <w:r>
        <w:rPr>
          <w:rFonts w:hint="eastAsia" w:ascii="宋体" w:hAnsi="宋体" w:cs="Arial"/>
          <w:color w:val="auto"/>
          <w:sz w:val="24"/>
          <w:szCs w:val="24"/>
          <w:highlight w:val="none"/>
          <w:u w:val="single"/>
        </w:rPr>
        <w:t>　　　　　　　　</w:t>
      </w:r>
      <w:r>
        <w:rPr>
          <w:rFonts w:hint="eastAsia" w:ascii="宋体" w:hAnsi="宋体" w:cs="Arial"/>
          <w:color w:val="auto"/>
          <w:sz w:val="24"/>
          <w:szCs w:val="24"/>
          <w:highlight w:val="none"/>
        </w:rPr>
        <w:t>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color w:val="auto"/>
          <w:sz w:val="24"/>
          <w:szCs w:val="24"/>
          <w:highlight w:val="none"/>
        </w:rPr>
      </w:pPr>
      <w:r>
        <w:rPr>
          <w:rFonts w:hint="eastAsia" w:ascii="宋体" w:hAnsi="宋体" w:cs="Arial"/>
          <w:color w:val="auto"/>
          <w:sz w:val="24"/>
          <w:szCs w:val="24"/>
          <w:highlight w:val="none"/>
        </w:rPr>
        <w:t>我方对被授权人的签名事项负全部责任。</w:t>
      </w:r>
    </w:p>
    <w:p>
      <w:pPr>
        <w:adjustRightInd w:val="0"/>
        <w:spacing w:line="360" w:lineRule="auto"/>
        <w:ind w:firstLine="504" w:firstLineChars="210"/>
        <w:contextualSpacing/>
        <w:rPr>
          <w:rFonts w:ascii="宋体" w:hAnsi="宋体" w:cs="Arial"/>
          <w:color w:val="auto"/>
          <w:sz w:val="24"/>
          <w:szCs w:val="24"/>
          <w:highlight w:val="none"/>
        </w:rPr>
      </w:pPr>
      <w:r>
        <w:rPr>
          <w:rFonts w:hint="eastAsia" w:ascii="宋体" w:hAnsi="宋体" w:cs="Arial"/>
          <w:color w:val="auto"/>
          <w:sz w:val="24"/>
          <w:szCs w:val="24"/>
          <w:highlight w:val="none"/>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color w:val="auto"/>
          <w:sz w:val="24"/>
          <w:szCs w:val="24"/>
          <w:highlight w:val="none"/>
        </w:rPr>
      </w:pPr>
      <w:r>
        <w:rPr>
          <w:rFonts w:hint="eastAsia" w:ascii="宋体" w:hAnsi="宋体" w:cs="Arial"/>
          <w:color w:val="auto"/>
          <w:sz w:val="24"/>
          <w:szCs w:val="24"/>
          <w:highlight w:val="none"/>
        </w:rPr>
        <w:t>被授权人无转委托权，特此委托。</w:t>
      </w:r>
    </w:p>
    <w:p>
      <w:pPr>
        <w:spacing w:line="48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投标人名称： </w:t>
      </w:r>
      <w:r>
        <w:rPr>
          <w:rFonts w:hint="eastAsia" w:ascii="宋体" w:hAnsi="宋体"/>
          <w:color w:val="auto"/>
          <w:sz w:val="24"/>
          <w:szCs w:val="24"/>
          <w:highlight w:val="none"/>
          <w:u w:val="single"/>
        </w:rPr>
        <w:t xml:space="preserve">       （全称）       </w:t>
      </w:r>
      <w:r>
        <w:rPr>
          <w:rFonts w:hint="eastAsia" w:ascii="宋体" w:hAnsi="宋体"/>
          <w:color w:val="auto"/>
          <w:sz w:val="24"/>
          <w:szCs w:val="24"/>
          <w:highlight w:val="none"/>
        </w:rPr>
        <w:t xml:space="preserve"> （盖单位公章）</w:t>
      </w:r>
    </w:p>
    <w:p>
      <w:pPr>
        <w:spacing w:line="48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  （签字或加盖名章）</w:t>
      </w:r>
    </w:p>
    <w:p>
      <w:pPr>
        <w:spacing w:line="48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法定代表人授权代表：  （签字或加盖名章）</w:t>
      </w:r>
    </w:p>
    <w:tbl>
      <w:tblPr>
        <w:tblStyle w:val="1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法定代表人身份证（正面）</w:t>
            </w:r>
          </w:p>
        </w:tc>
        <w:tc>
          <w:tcPr>
            <w:tcW w:w="4485" w:type="dxa"/>
            <w:gridSpan w:val="2"/>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color w:val="auto"/>
                <w:sz w:val="24"/>
                <w:szCs w:val="24"/>
                <w:highlight w:val="none"/>
              </w:rPr>
            </w:pPr>
            <w:bookmarkStart w:id="0" w:name="_资格证明文件"/>
            <w:bookmarkEnd w:id="0"/>
            <w:bookmarkStart w:id="1" w:name="_Toc364329026"/>
            <w:r>
              <w:rPr>
                <w:rFonts w:hint="eastAsia" w:ascii="宋体" w:hAnsi="宋体"/>
                <w:color w:val="auto"/>
                <w:sz w:val="24"/>
                <w:szCs w:val="24"/>
                <w:highlight w:val="none"/>
              </w:rPr>
              <w:t>法定代表人授权代表身份证（正面）</w:t>
            </w:r>
            <w:bookmarkEnd w:id="1"/>
          </w:p>
        </w:tc>
        <w:tc>
          <w:tcPr>
            <w:tcW w:w="4492" w:type="dxa"/>
            <w:gridSpan w:val="2"/>
            <w:vAlign w:val="center"/>
          </w:tcPr>
          <w:p>
            <w:pPr>
              <w:jc w:val="center"/>
              <w:rPr>
                <w:rFonts w:ascii="宋体" w:hAnsi="宋体"/>
                <w:color w:val="auto"/>
                <w:sz w:val="24"/>
                <w:szCs w:val="24"/>
                <w:highlight w:val="none"/>
              </w:rPr>
            </w:pPr>
            <w:bookmarkStart w:id="2" w:name="_Toc364329027"/>
            <w:r>
              <w:rPr>
                <w:rFonts w:hint="eastAsia" w:ascii="宋体" w:hAnsi="宋体"/>
                <w:color w:val="auto"/>
                <w:sz w:val="24"/>
                <w:szCs w:val="24"/>
                <w:highlight w:val="none"/>
              </w:rPr>
              <w:t>法定代表人授权代表身份证（反面）</w:t>
            </w:r>
            <w:bookmarkEnd w:id="2"/>
          </w:p>
        </w:tc>
      </w:tr>
    </w:tbl>
    <w:p>
      <w:pPr>
        <w:spacing w:line="320" w:lineRule="exact"/>
        <w:ind w:left="2" w:firstLine="357" w:firstLineChars="149"/>
        <w:rPr>
          <w:rFonts w:ascii="宋体" w:hAnsi="宋体" w:cs="Courier New"/>
          <w:color w:val="auto"/>
          <w:sz w:val="24"/>
          <w:szCs w:val="24"/>
          <w:highlight w:val="none"/>
        </w:rPr>
      </w:pPr>
    </w:p>
    <w:p>
      <w:pPr>
        <w:widowControl/>
        <w:spacing w:before="100" w:beforeAutospacing="1" w:after="100" w:afterAutospacing="1"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2.4 没有重大违法记录的声明</w:t>
      </w:r>
    </w:p>
    <w:p>
      <w:pPr>
        <w:spacing w:beforeLines="50" w:afterLines="50"/>
        <w:jc w:val="center"/>
        <w:rPr>
          <w:rFonts w:ascii="宋体" w:hAnsi="宋体" w:cs="Arial"/>
          <w:color w:val="auto"/>
          <w:kern w:val="0"/>
          <w:sz w:val="36"/>
          <w:szCs w:val="36"/>
          <w:highlight w:val="none"/>
        </w:rPr>
      </w:pPr>
      <w:r>
        <w:rPr>
          <w:rFonts w:hint="eastAsia" w:ascii="宋体" w:hAnsi="宋体" w:cs="Arial"/>
          <w:color w:val="auto"/>
          <w:kern w:val="0"/>
          <w:sz w:val="36"/>
          <w:szCs w:val="36"/>
          <w:highlight w:val="none"/>
        </w:rPr>
        <w:t>声　   明</w:t>
      </w:r>
    </w:p>
    <w:p>
      <w:pPr>
        <w:spacing w:beforeLines="50" w:afterLines="50"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特此声明。</w:t>
      </w:r>
    </w:p>
    <w:p>
      <w:pPr>
        <w:spacing w:beforeLines="50" w:afterLines="50"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本公司对上述声明的真实性负责。如有虚假，将依法承担相应责任。</w:t>
      </w:r>
    </w:p>
    <w:p>
      <w:pPr>
        <w:spacing w:beforeLines="50" w:afterLines="50" w:line="360" w:lineRule="auto"/>
        <w:ind w:firstLine="566" w:firstLineChars="236"/>
        <w:rPr>
          <w:rFonts w:ascii="宋体" w:hAnsi="宋体" w:cs="宋体"/>
          <w:color w:val="auto"/>
          <w:sz w:val="24"/>
          <w:szCs w:val="24"/>
          <w:highlight w:val="none"/>
          <w:lang w:val="zh-CN"/>
        </w:rPr>
      </w:pPr>
    </w:p>
    <w:p>
      <w:pPr>
        <w:spacing w:beforeLines="50" w:afterLines="50" w:line="360" w:lineRule="auto"/>
        <w:ind w:right="420" w:firstLine="5486" w:firstLineChars="2286"/>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单位名称（盖章）：</w:t>
      </w:r>
    </w:p>
    <w:p>
      <w:pPr>
        <w:spacing w:beforeLines="50" w:afterLines="50" w:line="360" w:lineRule="auto"/>
        <w:ind w:right="420" w:firstLine="5486" w:firstLineChars="2286"/>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日    期：</w:t>
      </w:r>
    </w:p>
    <w:p>
      <w:pPr>
        <w:spacing w:beforeLines="50" w:afterLines="50" w:line="360" w:lineRule="auto"/>
        <w:ind w:right="420" w:firstLine="5486" w:firstLineChars="2286"/>
        <w:rPr>
          <w:rFonts w:ascii="宋体" w:hAnsi="宋体" w:cs="宋体"/>
          <w:color w:val="auto"/>
          <w:sz w:val="24"/>
          <w:szCs w:val="24"/>
          <w:highlight w:val="none"/>
          <w:lang w:val="zh-CN"/>
        </w:rPr>
      </w:pPr>
    </w:p>
    <w:p>
      <w:pPr>
        <w:autoSpaceDE w:val="0"/>
        <w:autoSpaceDN w:val="0"/>
        <w:adjustRightInd w:val="0"/>
        <w:spacing w:line="360" w:lineRule="auto"/>
        <w:jc w:val="center"/>
        <w:outlineLvl w:val="0"/>
        <w:rPr>
          <w:rFonts w:ascii="宋体" w:hAnsi="宋体"/>
          <w:b/>
          <w:bCs/>
          <w:color w:val="auto"/>
          <w:sz w:val="36"/>
          <w:szCs w:val="36"/>
          <w:highlight w:val="none"/>
        </w:rPr>
      </w:pPr>
      <w:r>
        <w:rPr>
          <w:rFonts w:hint="eastAsia" w:ascii="宋体" w:hAnsi="宋体"/>
          <w:b/>
          <w:bCs/>
          <w:color w:val="auto"/>
          <w:sz w:val="36"/>
          <w:szCs w:val="36"/>
          <w:highlight w:val="none"/>
        </w:rPr>
        <w:t>2.5  财务状况报告相关材料</w:t>
      </w:r>
    </w:p>
    <w:p>
      <w:pPr>
        <w:autoSpaceDE w:val="0"/>
        <w:autoSpaceDN w:val="0"/>
        <w:adjustRightInd w:val="0"/>
        <w:spacing w:line="360" w:lineRule="auto"/>
        <w:ind w:firstLine="480" w:firstLineChars="200"/>
        <w:jc w:val="left"/>
        <w:outlineLvl w:val="0"/>
        <w:rPr>
          <w:rFonts w:ascii="宋体" w:hAnsi="宋体"/>
          <w:color w:val="auto"/>
          <w:sz w:val="24"/>
          <w:highlight w:val="none"/>
        </w:rPr>
      </w:pPr>
    </w:p>
    <w:p>
      <w:pPr>
        <w:autoSpaceDE w:val="0"/>
        <w:autoSpaceDN w:val="0"/>
        <w:adjustRightInd w:val="0"/>
        <w:spacing w:line="360" w:lineRule="auto"/>
        <w:ind w:firstLine="480" w:firstLineChars="200"/>
        <w:rPr>
          <w:rFonts w:ascii="宋体" w:hAnsi="宋体" w:cs="宋体"/>
          <w:bCs/>
          <w:color w:val="auto"/>
          <w:sz w:val="24"/>
          <w:szCs w:val="24"/>
          <w:highlight w:val="none"/>
          <w:lang w:val="zh-CN"/>
        </w:rPr>
      </w:pPr>
      <w:r>
        <w:rPr>
          <w:rFonts w:hint="eastAsia" w:ascii="宋体" w:hAnsi="宋体" w:cs="仿宋_GB2312"/>
          <w:color w:val="auto"/>
          <w:sz w:val="24"/>
          <w:szCs w:val="24"/>
          <w:highlight w:val="none"/>
        </w:rPr>
        <w:t>备注：在此附经第三方审计机构出具的</w:t>
      </w:r>
      <w:r>
        <w:rPr>
          <w:rFonts w:ascii="宋体" w:hAnsi="宋体" w:cs="宋体"/>
          <w:bCs/>
          <w:color w:val="auto"/>
          <w:sz w:val="24"/>
          <w:szCs w:val="24"/>
          <w:highlight w:val="none"/>
          <w:lang w:val="zh-CN"/>
        </w:rPr>
        <w:t>201</w:t>
      </w:r>
      <w:r>
        <w:rPr>
          <w:rFonts w:hint="eastAsia" w:ascii="宋体" w:hAnsi="宋体" w:cs="宋体"/>
          <w:bCs/>
          <w:color w:val="auto"/>
          <w:sz w:val="24"/>
          <w:szCs w:val="24"/>
          <w:highlight w:val="none"/>
        </w:rPr>
        <w:t>8</w:t>
      </w:r>
      <w:r>
        <w:rPr>
          <w:rFonts w:hint="eastAsia" w:ascii="宋体" w:hAnsi="宋体" w:cs="宋体"/>
          <w:bCs/>
          <w:color w:val="auto"/>
          <w:sz w:val="24"/>
          <w:szCs w:val="24"/>
          <w:highlight w:val="none"/>
          <w:lang w:val="zh-CN"/>
        </w:rPr>
        <w:t>年度经审计的财务报告。</w:t>
      </w:r>
    </w:p>
    <w:p>
      <w:pPr>
        <w:autoSpaceDE w:val="0"/>
        <w:autoSpaceDN w:val="0"/>
        <w:adjustRightInd w:val="0"/>
        <w:spacing w:line="360" w:lineRule="auto"/>
        <w:ind w:firstLine="480" w:firstLineChars="200"/>
        <w:rPr>
          <w:rFonts w:ascii="宋体" w:hAnsi="宋体" w:cs="仿宋_GB2312"/>
          <w:color w:val="auto"/>
          <w:sz w:val="24"/>
          <w:szCs w:val="24"/>
          <w:highlight w:val="none"/>
          <w:lang w:val="zh-CN"/>
        </w:rPr>
      </w:pPr>
      <w:r>
        <w:rPr>
          <w:rFonts w:hint="eastAsia" w:ascii="宋体" w:hAnsi="宋体" w:cs="仿宋_GB2312"/>
          <w:color w:val="auto"/>
          <w:sz w:val="24"/>
          <w:szCs w:val="24"/>
          <w:highlight w:val="none"/>
        </w:rPr>
        <w:t>审计单位与被审计单位不能是同一个单位，否则提供的财务会计报表无效。</w:t>
      </w:r>
    </w:p>
    <w:p>
      <w:pPr>
        <w:widowControl/>
        <w:spacing w:before="100" w:beforeAutospacing="1" w:after="100" w:afterAutospacing="1" w:line="360" w:lineRule="auto"/>
        <w:jc w:val="center"/>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36"/>
          <w:szCs w:val="36"/>
          <w:highlight w:val="none"/>
        </w:rPr>
      </w:pPr>
      <w:r>
        <w:rPr>
          <w:rFonts w:ascii="宋体" w:hAnsi="宋体"/>
          <w:b/>
          <w:bCs/>
          <w:color w:val="auto"/>
          <w:sz w:val="36"/>
          <w:szCs w:val="36"/>
          <w:highlight w:val="none"/>
        </w:rPr>
        <w:t xml:space="preserve">2.6 </w:t>
      </w:r>
      <w:r>
        <w:rPr>
          <w:rFonts w:hint="eastAsia" w:ascii="宋体" w:hAnsi="宋体"/>
          <w:b/>
          <w:bCs/>
          <w:color w:val="auto"/>
          <w:sz w:val="36"/>
          <w:szCs w:val="36"/>
          <w:highlight w:val="none"/>
        </w:rPr>
        <w:t>依法缴纳税收相关材料</w:t>
      </w: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ind w:firstLine="480" w:firstLineChars="20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投标截止时间前半年内任意一个月的缴纳税收凭据。（依法免税的投标人，应提供相应文件证明依法免税）</w:t>
      </w: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36"/>
          <w:szCs w:val="36"/>
          <w:highlight w:val="none"/>
        </w:rPr>
      </w:pPr>
      <w:r>
        <w:rPr>
          <w:rFonts w:ascii="宋体" w:hAnsi="宋体"/>
          <w:b/>
          <w:bCs/>
          <w:color w:val="auto"/>
          <w:sz w:val="36"/>
          <w:szCs w:val="36"/>
          <w:highlight w:val="none"/>
        </w:rPr>
        <w:t>2.7</w:t>
      </w:r>
      <w:r>
        <w:rPr>
          <w:rFonts w:hint="eastAsia" w:ascii="宋体" w:hAnsi="宋体"/>
          <w:b/>
          <w:bCs/>
          <w:color w:val="auto"/>
          <w:sz w:val="36"/>
          <w:szCs w:val="36"/>
          <w:highlight w:val="none"/>
        </w:rPr>
        <w:t>依法缴纳社会保障资金的证明材料</w:t>
      </w:r>
    </w:p>
    <w:p>
      <w:pPr>
        <w:autoSpaceDE w:val="0"/>
        <w:autoSpaceDN w:val="0"/>
        <w:adjustRightInd w:val="0"/>
        <w:spacing w:line="360" w:lineRule="auto"/>
        <w:jc w:val="center"/>
        <w:outlineLvl w:val="0"/>
        <w:rPr>
          <w:rFonts w:ascii="宋体" w:hAnsi="宋体"/>
          <w:b/>
          <w:bCs/>
          <w:color w:val="auto"/>
          <w:sz w:val="24"/>
          <w:szCs w:val="24"/>
          <w:highlight w:val="none"/>
          <w:lang w:val="zh-CN"/>
        </w:rPr>
      </w:pPr>
    </w:p>
    <w:p>
      <w:pPr>
        <w:autoSpaceDE w:val="0"/>
        <w:autoSpaceDN w:val="0"/>
        <w:adjustRightInd w:val="0"/>
        <w:spacing w:line="360" w:lineRule="auto"/>
        <w:ind w:firstLine="480" w:firstLineChars="20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投标截止时间前半年内任意一个月的缴纳社会保险凭据。（依法不需要缴纳社会保障资金的投标人，应提供相应文件证明依法不需要缴纳社会保障资金）</w:t>
      </w:r>
    </w:p>
    <w:p>
      <w:pPr>
        <w:autoSpaceDE w:val="0"/>
        <w:autoSpaceDN w:val="0"/>
        <w:adjustRightInd w:val="0"/>
        <w:spacing w:line="360" w:lineRule="auto"/>
        <w:jc w:val="center"/>
        <w:outlineLvl w:val="0"/>
        <w:rPr>
          <w:rFonts w:ascii="宋体" w:hAnsi="宋体"/>
          <w:b/>
          <w:bCs/>
          <w:color w:val="auto"/>
          <w:sz w:val="24"/>
          <w:szCs w:val="24"/>
          <w:highlight w:val="none"/>
        </w:rPr>
      </w:pPr>
    </w:p>
    <w:p>
      <w:pPr>
        <w:pStyle w:val="26"/>
        <w:spacing w:after="156"/>
        <w:rPr>
          <w:rFonts w:cs="黑体"/>
          <w:bCs/>
          <w:color w:val="auto"/>
          <w:kern w:val="2"/>
          <w:sz w:val="36"/>
          <w:szCs w:val="36"/>
          <w:highlight w:val="none"/>
        </w:rPr>
      </w:pPr>
    </w:p>
    <w:p>
      <w:pPr>
        <w:pStyle w:val="26"/>
        <w:spacing w:after="156"/>
        <w:rPr>
          <w:rFonts w:cs="黑体"/>
          <w:bCs/>
          <w:color w:val="auto"/>
          <w:kern w:val="2"/>
          <w:sz w:val="36"/>
          <w:szCs w:val="36"/>
          <w:highlight w:val="none"/>
        </w:rPr>
      </w:pPr>
    </w:p>
    <w:p>
      <w:pPr>
        <w:pStyle w:val="26"/>
        <w:spacing w:after="156"/>
        <w:rPr>
          <w:rFonts w:cs="黑体"/>
          <w:bCs/>
          <w:color w:val="auto"/>
          <w:kern w:val="2"/>
          <w:sz w:val="36"/>
          <w:szCs w:val="36"/>
          <w:highlight w:val="none"/>
        </w:rPr>
      </w:pPr>
      <w:r>
        <w:rPr>
          <w:rFonts w:cs="黑体"/>
          <w:bCs/>
          <w:color w:val="auto"/>
          <w:kern w:val="2"/>
          <w:sz w:val="36"/>
          <w:szCs w:val="36"/>
          <w:highlight w:val="none"/>
        </w:rPr>
        <w:t>2.8</w:t>
      </w:r>
      <w:r>
        <w:rPr>
          <w:rFonts w:hint="eastAsia" w:cs="黑体"/>
          <w:bCs/>
          <w:color w:val="auto"/>
          <w:kern w:val="2"/>
          <w:sz w:val="36"/>
          <w:szCs w:val="36"/>
          <w:highlight w:val="none"/>
        </w:rPr>
        <w:t>反商业贿赂承诺书（固定格式）</w:t>
      </w:r>
    </w:p>
    <w:p>
      <w:pPr>
        <w:rPr>
          <w:rFonts w:ascii="宋体" w:hAnsi="宋体"/>
          <w:color w:val="auto"/>
          <w:sz w:val="24"/>
          <w:szCs w:val="24"/>
          <w:highlight w:val="none"/>
        </w:rPr>
      </w:pPr>
    </w:p>
    <w:p>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我公司承诺：</w:t>
      </w:r>
    </w:p>
    <w:p>
      <w:pPr>
        <w:autoSpaceDE w:val="0"/>
        <w:autoSpaceDN w:val="0"/>
        <w:adjustRightInd w:val="0"/>
        <w:spacing w:line="360" w:lineRule="auto"/>
        <w:ind w:firstLine="480" w:firstLineChars="20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在（投标项目名称）招标活动中，我公司保证做到：</w:t>
      </w:r>
    </w:p>
    <w:p>
      <w:pPr>
        <w:autoSpaceDE w:val="0"/>
        <w:autoSpaceDN w:val="0"/>
        <w:adjustRightInd w:val="0"/>
        <w:spacing w:line="360" w:lineRule="auto"/>
        <w:ind w:firstLine="480" w:firstLineChars="20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一、公平竞争参加本次招标活动。</w:t>
      </w:r>
    </w:p>
    <w:p>
      <w:pPr>
        <w:autoSpaceDE w:val="0"/>
        <w:autoSpaceDN w:val="0"/>
        <w:adjustRightInd w:val="0"/>
        <w:spacing w:line="360" w:lineRule="auto"/>
        <w:ind w:firstLine="480" w:firstLineChars="20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autoSpaceDE w:val="0"/>
        <w:autoSpaceDN w:val="0"/>
        <w:adjustRightInd w:val="0"/>
        <w:spacing w:line="360" w:lineRule="auto"/>
        <w:ind w:firstLine="480" w:firstLineChars="20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三、若出现上述行为，我公司及参与投标的工作人员愿意接受按照国家法律法规等有关规定给予的处罚。</w:t>
      </w:r>
    </w:p>
    <w:p>
      <w:pPr>
        <w:autoSpaceDE w:val="0"/>
        <w:autoSpaceDN w:val="0"/>
        <w:adjustRightInd w:val="0"/>
        <w:spacing w:line="360" w:lineRule="auto"/>
        <w:ind w:firstLine="520" w:firstLineChars="200"/>
        <w:rPr>
          <w:rFonts w:ascii="宋体" w:hAnsi="宋体"/>
          <w:bCs/>
          <w:color w:val="auto"/>
          <w:spacing w:val="10"/>
          <w:kern w:val="0"/>
          <w:sz w:val="24"/>
          <w:szCs w:val="24"/>
          <w:highlight w:val="none"/>
        </w:rPr>
      </w:pPr>
    </w:p>
    <w:p>
      <w:pPr>
        <w:autoSpaceDE w:val="0"/>
        <w:autoSpaceDN w:val="0"/>
        <w:adjustRightInd w:val="0"/>
        <w:spacing w:line="360" w:lineRule="auto"/>
        <w:ind w:firstLine="520" w:firstLineChars="200"/>
        <w:rPr>
          <w:rFonts w:ascii="宋体" w:hAnsi="宋体"/>
          <w:bCs/>
          <w:color w:val="auto"/>
          <w:spacing w:val="10"/>
          <w:kern w:val="0"/>
          <w:sz w:val="24"/>
          <w:szCs w:val="24"/>
          <w:highlight w:val="none"/>
        </w:rPr>
      </w:pPr>
    </w:p>
    <w:p>
      <w:pPr>
        <w:autoSpaceDE w:val="0"/>
        <w:autoSpaceDN w:val="0"/>
        <w:adjustRightInd w:val="0"/>
        <w:spacing w:line="360" w:lineRule="auto"/>
        <w:ind w:firstLine="520" w:firstLineChars="200"/>
        <w:rPr>
          <w:rFonts w:ascii="宋体" w:hAnsi="宋体"/>
          <w:bCs/>
          <w:color w:val="auto"/>
          <w:spacing w:val="10"/>
          <w:kern w:val="0"/>
          <w:sz w:val="24"/>
          <w:szCs w:val="24"/>
          <w:highlight w:val="none"/>
        </w:rPr>
      </w:pPr>
    </w:p>
    <w:p>
      <w:pPr>
        <w:autoSpaceDE w:val="0"/>
        <w:autoSpaceDN w:val="0"/>
        <w:adjustRightInd w:val="0"/>
        <w:spacing w:line="360" w:lineRule="auto"/>
        <w:ind w:firstLine="4030" w:firstLineChars="1550"/>
        <w:rPr>
          <w:rFonts w:ascii="宋体" w:hAnsi="宋体"/>
          <w:bCs/>
          <w:color w:val="auto"/>
          <w:spacing w:val="10"/>
          <w:kern w:val="0"/>
          <w:sz w:val="24"/>
          <w:szCs w:val="24"/>
          <w:highlight w:val="none"/>
        </w:rPr>
      </w:pPr>
    </w:p>
    <w:p>
      <w:pPr>
        <w:autoSpaceDE w:val="0"/>
        <w:autoSpaceDN w:val="0"/>
        <w:adjustRightInd w:val="0"/>
        <w:spacing w:line="360" w:lineRule="auto"/>
        <w:ind w:right="600" w:firstLine="5070" w:firstLineChars="1950"/>
        <w:rPr>
          <w:rFonts w:ascii="宋体" w:hAnsi="宋体"/>
          <w:bCs/>
          <w:color w:val="auto"/>
          <w:spacing w:val="10"/>
          <w:kern w:val="0"/>
          <w:sz w:val="24"/>
          <w:szCs w:val="24"/>
          <w:highlight w:val="none"/>
        </w:rPr>
      </w:pPr>
      <w:r>
        <w:rPr>
          <w:rFonts w:hint="eastAsia" w:ascii="宋体" w:hAnsi="宋体"/>
          <w:bCs/>
          <w:color w:val="auto"/>
          <w:spacing w:val="10"/>
          <w:kern w:val="0"/>
          <w:sz w:val="24"/>
          <w:szCs w:val="24"/>
          <w:highlight w:val="none"/>
        </w:rPr>
        <w:t>投标人名称：（公章）</w:t>
      </w:r>
    </w:p>
    <w:p>
      <w:pPr>
        <w:autoSpaceDE w:val="0"/>
        <w:autoSpaceDN w:val="0"/>
        <w:adjustRightInd w:val="0"/>
        <w:spacing w:line="360" w:lineRule="auto"/>
        <w:ind w:right="600" w:firstLine="5070" w:firstLineChars="1950"/>
        <w:rPr>
          <w:rFonts w:ascii="宋体" w:hAnsi="宋体"/>
          <w:b/>
          <w:bCs/>
          <w:color w:val="auto"/>
          <w:sz w:val="24"/>
          <w:szCs w:val="24"/>
          <w:highlight w:val="none"/>
        </w:rPr>
      </w:pPr>
      <w:r>
        <w:rPr>
          <w:rFonts w:hint="eastAsia" w:ascii="宋体" w:hAnsi="宋体"/>
          <w:bCs/>
          <w:color w:val="auto"/>
          <w:spacing w:val="10"/>
          <w:kern w:val="0"/>
          <w:sz w:val="24"/>
          <w:szCs w:val="24"/>
          <w:highlight w:val="none"/>
        </w:rPr>
        <w:t>年  月  日</w:t>
      </w:r>
    </w:p>
    <w:p>
      <w:pPr>
        <w:spacing w:beforeLines="50" w:afterLines="50" w:line="360" w:lineRule="auto"/>
        <w:ind w:right="420"/>
        <w:jc w:val="center"/>
        <w:rPr>
          <w:rFonts w:ascii="宋体" w:hAnsi="宋体"/>
          <w:b/>
          <w:bCs/>
          <w:color w:val="auto"/>
          <w:sz w:val="24"/>
          <w:szCs w:val="24"/>
          <w:highlight w:val="none"/>
        </w:rPr>
      </w:pPr>
    </w:p>
    <w:p>
      <w:pPr>
        <w:spacing w:beforeLines="50" w:afterLines="50" w:line="360" w:lineRule="auto"/>
        <w:ind w:right="420"/>
        <w:jc w:val="center"/>
        <w:rPr>
          <w:rFonts w:ascii="宋体" w:hAnsi="宋体"/>
          <w:b/>
          <w:bCs/>
          <w:color w:val="auto"/>
          <w:sz w:val="36"/>
          <w:szCs w:val="36"/>
          <w:highlight w:val="none"/>
        </w:rPr>
      </w:pPr>
      <w:r>
        <w:rPr>
          <w:rFonts w:ascii="宋体" w:hAnsi="宋体"/>
          <w:b/>
          <w:bCs/>
          <w:color w:val="auto"/>
          <w:sz w:val="36"/>
          <w:szCs w:val="36"/>
          <w:highlight w:val="none"/>
        </w:rPr>
        <w:t>2.9</w:t>
      </w:r>
      <w:r>
        <w:rPr>
          <w:rFonts w:hint="eastAsia" w:ascii="宋体" w:hAnsi="宋体"/>
          <w:b/>
          <w:bCs/>
          <w:color w:val="auto"/>
          <w:sz w:val="36"/>
          <w:szCs w:val="36"/>
          <w:highlight w:val="none"/>
        </w:rPr>
        <w:t>投标人资格要求</w:t>
      </w:r>
    </w:p>
    <w:p>
      <w:pPr>
        <w:widowControl/>
        <w:spacing w:before="100" w:beforeAutospacing="1" w:after="100" w:afterAutospacing="1" w:line="360" w:lineRule="auto"/>
        <w:jc w:val="center"/>
        <w:rPr>
          <w:rFonts w:ascii="宋体" w:hAnsi="宋体"/>
          <w:b/>
          <w:bCs/>
          <w:color w:val="auto"/>
          <w:sz w:val="36"/>
          <w:szCs w:val="36"/>
          <w:highlight w:val="none"/>
        </w:rPr>
      </w:pPr>
      <w:r>
        <w:rPr>
          <w:rFonts w:hint="eastAsia" w:ascii="宋体" w:hAnsi="宋体" w:cs="宋体"/>
          <w:b/>
          <w:color w:val="auto"/>
          <w:kern w:val="0"/>
          <w:sz w:val="24"/>
          <w:szCs w:val="24"/>
          <w:highlight w:val="none"/>
        </w:rPr>
        <w:t>（提供其所在的省（市、自治区）会计师协会公布的2019年的会计事务所分类评价结果的截图及查询网址等证明材料</w:t>
      </w:r>
    </w:p>
    <w:p>
      <w:pPr>
        <w:widowControl/>
        <w:spacing w:before="100" w:beforeAutospacing="1" w:after="100" w:afterAutospacing="1" w:line="360" w:lineRule="auto"/>
        <w:jc w:val="center"/>
        <w:rPr>
          <w:rFonts w:ascii="宋体" w:hAnsi="宋体"/>
          <w:b/>
          <w:bCs/>
          <w:color w:val="auto"/>
          <w:sz w:val="36"/>
          <w:szCs w:val="36"/>
          <w:highlight w:val="none"/>
        </w:rPr>
      </w:pPr>
    </w:p>
    <w:p>
      <w:pPr>
        <w:widowControl/>
        <w:spacing w:before="100" w:beforeAutospacing="1" w:after="100" w:afterAutospacing="1"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 xml:space="preserve">2.10其他资格证明、证书或材料 </w:t>
      </w:r>
    </w:p>
    <w:p>
      <w:pPr>
        <w:autoSpaceDE w:val="0"/>
        <w:autoSpaceDN w:val="0"/>
        <w:adjustRightInd w:val="0"/>
        <w:spacing w:line="360" w:lineRule="auto"/>
        <w:jc w:val="center"/>
        <w:outlineLvl w:val="0"/>
        <w:rPr>
          <w:rFonts w:ascii="宋体" w:hAnsi="宋体"/>
          <w:b/>
          <w:snapToGrid w:val="0"/>
          <w:color w:val="auto"/>
          <w:kern w:val="0"/>
          <w:sz w:val="36"/>
          <w:szCs w:val="36"/>
          <w:highlight w:val="none"/>
        </w:rPr>
      </w:pPr>
    </w:p>
    <w:p>
      <w:pPr>
        <w:autoSpaceDE w:val="0"/>
        <w:autoSpaceDN w:val="0"/>
        <w:adjustRightInd w:val="0"/>
        <w:spacing w:line="360" w:lineRule="auto"/>
        <w:jc w:val="center"/>
        <w:outlineLvl w:val="0"/>
        <w:rPr>
          <w:rFonts w:ascii="宋体" w:hAnsi="宋体"/>
          <w:b/>
          <w:snapToGrid w:val="0"/>
          <w:color w:val="auto"/>
          <w:kern w:val="0"/>
          <w:sz w:val="36"/>
          <w:szCs w:val="36"/>
          <w:highlight w:val="none"/>
        </w:rPr>
      </w:pPr>
    </w:p>
    <w:p>
      <w:pPr>
        <w:autoSpaceDE w:val="0"/>
        <w:autoSpaceDN w:val="0"/>
        <w:adjustRightInd w:val="0"/>
        <w:spacing w:line="360" w:lineRule="auto"/>
        <w:jc w:val="center"/>
        <w:outlineLvl w:val="0"/>
        <w:rPr>
          <w:rFonts w:ascii="宋体" w:hAnsi="宋体"/>
          <w:b/>
          <w:snapToGrid w:val="0"/>
          <w:color w:val="auto"/>
          <w:kern w:val="0"/>
          <w:sz w:val="36"/>
          <w:szCs w:val="36"/>
          <w:highlight w:val="none"/>
        </w:rPr>
      </w:pPr>
    </w:p>
    <w:p>
      <w:pPr>
        <w:autoSpaceDE w:val="0"/>
        <w:autoSpaceDN w:val="0"/>
        <w:adjustRightInd w:val="0"/>
        <w:spacing w:line="360" w:lineRule="auto"/>
        <w:jc w:val="center"/>
        <w:outlineLvl w:val="0"/>
        <w:rPr>
          <w:rFonts w:ascii="宋体" w:hAnsi="宋体"/>
          <w:b/>
          <w:snapToGrid w:val="0"/>
          <w:color w:val="auto"/>
          <w:kern w:val="0"/>
          <w:sz w:val="36"/>
          <w:szCs w:val="36"/>
          <w:highlight w:val="none"/>
        </w:rPr>
      </w:pPr>
    </w:p>
    <w:p>
      <w:pPr>
        <w:autoSpaceDE w:val="0"/>
        <w:autoSpaceDN w:val="0"/>
        <w:adjustRightInd w:val="0"/>
        <w:spacing w:line="360" w:lineRule="auto"/>
        <w:jc w:val="center"/>
        <w:rPr>
          <w:rFonts w:ascii="宋体" w:hAnsi="宋体"/>
          <w:b/>
          <w:bCs/>
          <w:color w:val="auto"/>
          <w:sz w:val="44"/>
          <w:szCs w:val="44"/>
          <w:highlight w:val="none"/>
          <w:lang w:val="zh-CN"/>
        </w:rPr>
      </w:pPr>
    </w:p>
    <w:p>
      <w:pPr>
        <w:autoSpaceDE w:val="0"/>
        <w:autoSpaceDN w:val="0"/>
        <w:adjustRightInd w:val="0"/>
        <w:spacing w:line="360" w:lineRule="auto"/>
        <w:jc w:val="center"/>
        <w:rPr>
          <w:rFonts w:ascii="宋体" w:hAnsi="宋体"/>
          <w:b/>
          <w:bCs/>
          <w:color w:val="auto"/>
          <w:sz w:val="44"/>
          <w:szCs w:val="44"/>
          <w:highlight w:val="none"/>
          <w:lang w:val="zh-CN"/>
        </w:rPr>
      </w:pPr>
    </w:p>
    <w:p>
      <w:pPr>
        <w:autoSpaceDE w:val="0"/>
        <w:autoSpaceDN w:val="0"/>
        <w:adjustRightInd w:val="0"/>
        <w:spacing w:line="360" w:lineRule="auto"/>
        <w:jc w:val="center"/>
        <w:rPr>
          <w:rFonts w:ascii="宋体" w:hAnsi="宋体"/>
          <w:b/>
          <w:bCs/>
          <w:color w:val="auto"/>
          <w:sz w:val="44"/>
          <w:szCs w:val="44"/>
          <w:highlight w:val="none"/>
          <w:lang w:val="zh-CN"/>
        </w:rPr>
      </w:pPr>
    </w:p>
    <w:p>
      <w:pPr>
        <w:autoSpaceDE w:val="0"/>
        <w:autoSpaceDN w:val="0"/>
        <w:adjustRightInd w:val="0"/>
        <w:spacing w:line="360" w:lineRule="auto"/>
        <w:jc w:val="center"/>
        <w:rPr>
          <w:rFonts w:ascii="宋体" w:hAnsi="宋体"/>
          <w:b/>
          <w:bCs/>
          <w:color w:val="auto"/>
          <w:sz w:val="44"/>
          <w:szCs w:val="44"/>
          <w:highlight w:val="none"/>
          <w:lang w:val="zh-CN"/>
        </w:rPr>
      </w:pPr>
    </w:p>
    <w:p>
      <w:pPr>
        <w:autoSpaceDE w:val="0"/>
        <w:autoSpaceDN w:val="0"/>
        <w:adjustRightInd w:val="0"/>
        <w:spacing w:line="360" w:lineRule="auto"/>
        <w:jc w:val="center"/>
        <w:rPr>
          <w:rFonts w:ascii="宋体" w:hAnsi="宋体"/>
          <w:b/>
          <w:bCs/>
          <w:color w:val="auto"/>
          <w:sz w:val="44"/>
          <w:szCs w:val="44"/>
          <w:highlight w:val="none"/>
          <w:lang w:val="zh-CN"/>
        </w:rPr>
      </w:pPr>
    </w:p>
    <w:p>
      <w:pPr>
        <w:autoSpaceDE w:val="0"/>
        <w:autoSpaceDN w:val="0"/>
        <w:adjustRightInd w:val="0"/>
        <w:spacing w:line="360" w:lineRule="auto"/>
        <w:jc w:val="center"/>
        <w:rPr>
          <w:rFonts w:ascii="宋体" w:hAnsi="宋体"/>
          <w:b/>
          <w:bCs/>
          <w:color w:val="auto"/>
          <w:sz w:val="44"/>
          <w:szCs w:val="44"/>
          <w:highlight w:val="none"/>
          <w:lang w:val="zh-CN"/>
        </w:rPr>
      </w:pPr>
    </w:p>
    <w:p>
      <w:pPr>
        <w:autoSpaceDE w:val="0"/>
        <w:autoSpaceDN w:val="0"/>
        <w:adjustRightInd w:val="0"/>
        <w:spacing w:line="360" w:lineRule="auto"/>
        <w:jc w:val="center"/>
        <w:rPr>
          <w:rFonts w:ascii="宋体" w:hAnsi="宋体"/>
          <w:b/>
          <w:bCs/>
          <w:color w:val="auto"/>
          <w:sz w:val="44"/>
          <w:szCs w:val="44"/>
          <w:highlight w:val="none"/>
          <w:lang w:val="zh-CN"/>
        </w:rPr>
      </w:pPr>
    </w:p>
    <w:p>
      <w:pPr>
        <w:autoSpaceDE w:val="0"/>
        <w:autoSpaceDN w:val="0"/>
        <w:adjustRightInd w:val="0"/>
        <w:spacing w:line="360" w:lineRule="auto"/>
        <w:jc w:val="center"/>
        <w:rPr>
          <w:rFonts w:ascii="宋体" w:hAnsi="宋体"/>
          <w:b/>
          <w:bCs/>
          <w:color w:val="auto"/>
          <w:sz w:val="44"/>
          <w:szCs w:val="44"/>
          <w:highlight w:val="none"/>
          <w:lang w:val="zh-CN"/>
        </w:rPr>
      </w:pPr>
    </w:p>
    <w:p>
      <w:pPr>
        <w:autoSpaceDE w:val="0"/>
        <w:autoSpaceDN w:val="0"/>
        <w:adjustRightInd w:val="0"/>
        <w:spacing w:line="360" w:lineRule="auto"/>
        <w:jc w:val="center"/>
        <w:rPr>
          <w:rFonts w:ascii="宋体" w:hAnsi="宋体"/>
          <w:b/>
          <w:bCs/>
          <w:color w:val="auto"/>
          <w:sz w:val="44"/>
          <w:szCs w:val="44"/>
          <w:highlight w:val="none"/>
          <w:lang w:val="zh-CN"/>
        </w:rPr>
      </w:pPr>
    </w:p>
    <w:p>
      <w:pPr>
        <w:autoSpaceDE w:val="0"/>
        <w:autoSpaceDN w:val="0"/>
        <w:adjustRightInd w:val="0"/>
        <w:spacing w:line="360" w:lineRule="auto"/>
        <w:jc w:val="center"/>
        <w:rPr>
          <w:rFonts w:ascii="宋体" w:hAnsi="宋体"/>
          <w:b/>
          <w:bCs/>
          <w:color w:val="auto"/>
          <w:sz w:val="44"/>
          <w:szCs w:val="44"/>
          <w:highlight w:val="none"/>
          <w:lang w:val="zh-CN"/>
        </w:rPr>
      </w:pPr>
    </w:p>
    <w:p>
      <w:pPr>
        <w:autoSpaceDE w:val="0"/>
        <w:autoSpaceDN w:val="0"/>
        <w:adjustRightInd w:val="0"/>
        <w:spacing w:line="360" w:lineRule="auto"/>
        <w:jc w:val="center"/>
        <w:rPr>
          <w:rFonts w:ascii="宋体" w:hAnsi="宋体"/>
          <w:b/>
          <w:bCs/>
          <w:color w:val="auto"/>
          <w:sz w:val="44"/>
          <w:szCs w:val="44"/>
          <w:highlight w:val="none"/>
          <w:lang w:val="zh-CN"/>
        </w:rPr>
      </w:pPr>
    </w:p>
    <w:p>
      <w:pPr>
        <w:pStyle w:val="2"/>
        <w:rPr>
          <w:color w:val="auto"/>
          <w:highlight w:val="none"/>
          <w:lang w:val="zh-CN"/>
        </w:rPr>
      </w:pPr>
    </w:p>
    <w:p>
      <w:pPr>
        <w:pStyle w:val="2"/>
        <w:rPr>
          <w:color w:val="auto"/>
          <w:highlight w:val="none"/>
          <w:lang w:val="zh-CN"/>
        </w:rPr>
      </w:pPr>
    </w:p>
    <w:p>
      <w:pPr>
        <w:pStyle w:val="2"/>
        <w:rPr>
          <w:color w:val="auto"/>
          <w:highlight w:val="none"/>
          <w:lang w:val="zh-CN"/>
        </w:rPr>
      </w:pPr>
    </w:p>
    <w:p>
      <w:pPr>
        <w:pStyle w:val="2"/>
        <w:rPr>
          <w:color w:val="auto"/>
          <w:highlight w:val="none"/>
          <w:lang w:val="zh-CN"/>
        </w:rPr>
      </w:pPr>
    </w:p>
    <w:p>
      <w:pPr>
        <w:pStyle w:val="2"/>
        <w:rPr>
          <w:color w:val="auto"/>
          <w:highlight w:val="none"/>
          <w:lang w:val="zh-CN"/>
        </w:rPr>
      </w:pPr>
    </w:p>
    <w:p>
      <w:pPr>
        <w:pStyle w:val="2"/>
        <w:rPr>
          <w:color w:val="auto"/>
          <w:highlight w:val="none"/>
          <w:lang w:val="zh-CN"/>
        </w:rPr>
      </w:pPr>
    </w:p>
    <w:p>
      <w:pPr>
        <w:pStyle w:val="2"/>
        <w:rPr>
          <w:color w:val="auto"/>
          <w:highlight w:val="none"/>
          <w:lang w:val="zh-CN"/>
        </w:rPr>
      </w:pPr>
    </w:p>
    <w:p>
      <w:pPr>
        <w:autoSpaceDE w:val="0"/>
        <w:autoSpaceDN w:val="0"/>
        <w:adjustRightInd w:val="0"/>
        <w:spacing w:line="360" w:lineRule="auto"/>
        <w:jc w:val="center"/>
        <w:rPr>
          <w:rFonts w:ascii="宋体" w:hAnsi="宋体"/>
          <w:b/>
          <w:bCs/>
          <w:color w:val="auto"/>
          <w:sz w:val="44"/>
          <w:szCs w:val="44"/>
          <w:highlight w:val="none"/>
          <w:lang w:val="zh-CN"/>
        </w:rPr>
      </w:pPr>
      <w:r>
        <w:rPr>
          <w:rFonts w:hint="eastAsia" w:ascii="宋体" w:hAnsi="宋体"/>
          <w:b/>
          <w:bCs/>
          <w:color w:val="auto"/>
          <w:sz w:val="44"/>
          <w:szCs w:val="44"/>
          <w:highlight w:val="none"/>
          <w:lang w:val="zh-CN"/>
        </w:rPr>
        <w:t>三、符合性审查证明材料</w:t>
      </w:r>
    </w:p>
    <w:p>
      <w:pPr>
        <w:widowControl/>
        <w:spacing w:before="100" w:beforeAutospacing="1" w:after="100" w:afterAutospacing="1" w:line="360" w:lineRule="auto"/>
        <w:jc w:val="center"/>
        <w:rPr>
          <w:rFonts w:ascii="宋体" w:hAnsi="宋体"/>
          <w:b/>
          <w:bCs/>
          <w:color w:val="auto"/>
          <w:sz w:val="36"/>
          <w:szCs w:val="36"/>
          <w:highlight w:val="none"/>
        </w:rPr>
      </w:pPr>
    </w:p>
    <w:p>
      <w:pPr>
        <w:autoSpaceDE w:val="0"/>
        <w:autoSpaceDN w:val="0"/>
        <w:adjustRightInd w:val="0"/>
        <w:spacing w:line="360" w:lineRule="auto"/>
        <w:jc w:val="center"/>
        <w:outlineLvl w:val="0"/>
        <w:rPr>
          <w:rFonts w:ascii="宋体" w:hAnsi="宋体"/>
          <w:b/>
          <w:snapToGrid w:val="0"/>
          <w:color w:val="auto"/>
          <w:kern w:val="0"/>
          <w:sz w:val="36"/>
          <w:szCs w:val="36"/>
          <w:highlight w:val="none"/>
        </w:rPr>
      </w:pPr>
    </w:p>
    <w:p>
      <w:pPr>
        <w:autoSpaceDE w:val="0"/>
        <w:autoSpaceDN w:val="0"/>
        <w:adjustRightInd w:val="0"/>
        <w:spacing w:line="360" w:lineRule="auto"/>
        <w:jc w:val="center"/>
        <w:outlineLvl w:val="0"/>
        <w:rPr>
          <w:rFonts w:ascii="宋体" w:hAnsi="宋体"/>
          <w:b/>
          <w:snapToGrid w:val="0"/>
          <w:color w:val="auto"/>
          <w:kern w:val="0"/>
          <w:sz w:val="36"/>
          <w:szCs w:val="36"/>
          <w:highlight w:val="none"/>
        </w:rPr>
      </w:pPr>
    </w:p>
    <w:p>
      <w:pPr>
        <w:autoSpaceDE w:val="0"/>
        <w:autoSpaceDN w:val="0"/>
        <w:adjustRightInd w:val="0"/>
        <w:spacing w:line="360" w:lineRule="auto"/>
        <w:jc w:val="center"/>
        <w:outlineLvl w:val="0"/>
        <w:rPr>
          <w:rFonts w:ascii="宋体" w:hAnsi="宋体"/>
          <w:b/>
          <w:snapToGrid w:val="0"/>
          <w:color w:val="auto"/>
          <w:kern w:val="0"/>
          <w:sz w:val="36"/>
          <w:szCs w:val="36"/>
          <w:highlight w:val="none"/>
        </w:rPr>
      </w:pPr>
    </w:p>
    <w:p>
      <w:pPr>
        <w:autoSpaceDE w:val="0"/>
        <w:autoSpaceDN w:val="0"/>
        <w:adjustRightInd w:val="0"/>
        <w:spacing w:line="360" w:lineRule="auto"/>
        <w:jc w:val="center"/>
        <w:outlineLvl w:val="0"/>
        <w:rPr>
          <w:rFonts w:ascii="宋体" w:hAnsi="宋体"/>
          <w:b/>
          <w:snapToGrid w:val="0"/>
          <w:color w:val="auto"/>
          <w:kern w:val="0"/>
          <w:sz w:val="36"/>
          <w:szCs w:val="36"/>
          <w:highlight w:val="none"/>
        </w:rPr>
      </w:pPr>
    </w:p>
    <w:p>
      <w:pPr>
        <w:autoSpaceDE w:val="0"/>
        <w:autoSpaceDN w:val="0"/>
        <w:adjustRightInd w:val="0"/>
        <w:spacing w:line="360" w:lineRule="auto"/>
        <w:jc w:val="center"/>
        <w:outlineLvl w:val="0"/>
        <w:rPr>
          <w:rFonts w:ascii="宋体" w:hAnsi="宋体"/>
          <w:b/>
          <w:snapToGrid w:val="0"/>
          <w:color w:val="auto"/>
          <w:kern w:val="0"/>
          <w:sz w:val="36"/>
          <w:szCs w:val="36"/>
          <w:highlight w:val="none"/>
        </w:rPr>
      </w:pPr>
    </w:p>
    <w:p>
      <w:pPr>
        <w:autoSpaceDE w:val="0"/>
        <w:autoSpaceDN w:val="0"/>
        <w:adjustRightInd w:val="0"/>
        <w:spacing w:line="360" w:lineRule="auto"/>
        <w:jc w:val="center"/>
        <w:outlineLvl w:val="0"/>
        <w:rPr>
          <w:rFonts w:ascii="宋体" w:hAnsi="宋体"/>
          <w:b/>
          <w:snapToGrid w:val="0"/>
          <w:color w:val="auto"/>
          <w:kern w:val="0"/>
          <w:sz w:val="36"/>
          <w:szCs w:val="36"/>
          <w:highlight w:val="none"/>
        </w:rPr>
      </w:pPr>
    </w:p>
    <w:p>
      <w:pPr>
        <w:autoSpaceDE w:val="0"/>
        <w:autoSpaceDN w:val="0"/>
        <w:adjustRightInd w:val="0"/>
        <w:spacing w:line="360" w:lineRule="auto"/>
        <w:jc w:val="center"/>
        <w:outlineLvl w:val="0"/>
        <w:rPr>
          <w:rFonts w:ascii="宋体" w:hAnsi="宋体"/>
          <w:b/>
          <w:snapToGrid w:val="0"/>
          <w:color w:val="auto"/>
          <w:kern w:val="0"/>
          <w:sz w:val="36"/>
          <w:szCs w:val="36"/>
          <w:highlight w:val="none"/>
        </w:rPr>
      </w:pPr>
    </w:p>
    <w:p>
      <w:pPr>
        <w:widowControl/>
        <w:jc w:val="left"/>
        <w:rPr>
          <w:rFonts w:ascii="宋体" w:hAnsi="宋体"/>
          <w:b/>
          <w:snapToGrid w:val="0"/>
          <w:color w:val="auto"/>
          <w:kern w:val="0"/>
          <w:sz w:val="36"/>
          <w:szCs w:val="36"/>
          <w:highlight w:val="none"/>
        </w:rPr>
      </w:pPr>
      <w:r>
        <w:rPr>
          <w:rFonts w:ascii="宋体" w:hAnsi="宋体"/>
          <w:b/>
          <w:snapToGrid w:val="0"/>
          <w:color w:val="auto"/>
          <w:kern w:val="0"/>
          <w:sz w:val="36"/>
          <w:szCs w:val="36"/>
          <w:highlight w:val="none"/>
        </w:rPr>
        <w:br w:type="page"/>
      </w:r>
    </w:p>
    <w:p>
      <w:pPr>
        <w:autoSpaceDE w:val="0"/>
        <w:autoSpaceDN w:val="0"/>
        <w:adjustRightInd w:val="0"/>
        <w:spacing w:line="360" w:lineRule="auto"/>
        <w:jc w:val="center"/>
        <w:outlineLvl w:val="0"/>
        <w:rPr>
          <w:rFonts w:ascii="宋体" w:hAnsi="宋体"/>
          <w:b/>
          <w:snapToGrid w:val="0"/>
          <w:color w:val="auto"/>
          <w:kern w:val="0"/>
          <w:sz w:val="36"/>
          <w:szCs w:val="36"/>
          <w:highlight w:val="none"/>
        </w:rPr>
      </w:pPr>
      <w:r>
        <w:rPr>
          <w:rFonts w:hint="eastAsia" w:ascii="宋体" w:hAnsi="宋体"/>
          <w:b/>
          <w:snapToGrid w:val="0"/>
          <w:color w:val="auto"/>
          <w:kern w:val="0"/>
          <w:sz w:val="36"/>
          <w:szCs w:val="36"/>
          <w:highlight w:val="none"/>
        </w:rPr>
        <w:t>3</w:t>
      </w:r>
      <w:r>
        <w:rPr>
          <w:rFonts w:ascii="宋体" w:hAnsi="宋体"/>
          <w:b/>
          <w:snapToGrid w:val="0"/>
          <w:color w:val="auto"/>
          <w:kern w:val="0"/>
          <w:sz w:val="36"/>
          <w:szCs w:val="36"/>
          <w:highlight w:val="none"/>
        </w:rPr>
        <w:t xml:space="preserve">.1 </w:t>
      </w:r>
      <w:r>
        <w:rPr>
          <w:rFonts w:hint="eastAsia" w:ascii="宋体" w:hAnsi="宋体"/>
          <w:b/>
          <w:snapToGrid w:val="0"/>
          <w:color w:val="auto"/>
          <w:kern w:val="0"/>
          <w:sz w:val="36"/>
          <w:szCs w:val="36"/>
          <w:highlight w:val="none"/>
        </w:rPr>
        <w:t>投标承诺函</w:t>
      </w:r>
    </w:p>
    <w:p>
      <w:pPr>
        <w:autoSpaceDE w:val="0"/>
        <w:autoSpaceDN w:val="0"/>
        <w:adjustRightInd w:val="0"/>
        <w:spacing w:line="48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项目编号：</w:t>
      </w:r>
    </w:p>
    <w:p>
      <w:pPr>
        <w:autoSpaceDE w:val="0"/>
        <w:autoSpaceDN w:val="0"/>
        <w:adjustRightInd w:val="0"/>
        <w:spacing w:line="48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项目名称：</w:t>
      </w:r>
    </w:p>
    <w:p>
      <w:pPr>
        <w:autoSpaceDE w:val="0"/>
        <w:autoSpaceDN w:val="0"/>
        <w:adjustRightInd w:val="0"/>
        <w:spacing w:line="48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承诺内容：</w:t>
      </w:r>
    </w:p>
    <w:p>
      <w:pPr>
        <w:autoSpaceDE w:val="0"/>
        <w:autoSpaceDN w:val="0"/>
        <w:adjustRightInd w:val="0"/>
        <w:spacing w:line="48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投标人（公章）：</w:t>
      </w:r>
    </w:p>
    <w:p>
      <w:pPr>
        <w:autoSpaceDE w:val="0"/>
        <w:autoSpaceDN w:val="0"/>
        <w:adjustRightInd w:val="0"/>
        <w:spacing w:line="48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投标人法定代表人（或授权代表）签字：</w:t>
      </w:r>
    </w:p>
    <w:p>
      <w:pPr>
        <w:autoSpaceDE w:val="0"/>
        <w:autoSpaceDN w:val="0"/>
        <w:adjustRightInd w:val="0"/>
        <w:spacing w:line="480" w:lineRule="auto"/>
        <w:rPr>
          <w:rFonts w:ascii="宋体" w:hAnsi="宋体" w:cs="宋体"/>
          <w:color w:val="auto"/>
          <w:sz w:val="24"/>
          <w:szCs w:val="24"/>
          <w:highlight w:val="none"/>
          <w:u w:val="single"/>
          <w:lang w:val="zh-CN"/>
        </w:rPr>
      </w:pPr>
      <w:r>
        <w:rPr>
          <w:rFonts w:hint="eastAsia" w:ascii="宋体" w:hAnsi="宋体" w:cs="宋体"/>
          <w:color w:val="auto"/>
          <w:sz w:val="24"/>
          <w:szCs w:val="24"/>
          <w:highlight w:val="none"/>
          <w:lang w:val="zh-CN"/>
        </w:rPr>
        <w:t>日期：2019年</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月</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日</w:t>
      </w:r>
    </w:p>
    <w:p>
      <w:pPr>
        <w:spacing w:line="300" w:lineRule="exact"/>
        <w:rPr>
          <w:rFonts w:ascii="宋体" w:hAnsi="宋体"/>
          <w:color w:val="auto"/>
          <w:sz w:val="24"/>
          <w:szCs w:val="24"/>
          <w:highlight w:val="none"/>
        </w:rPr>
      </w:pPr>
    </w:p>
    <w:p>
      <w:pPr>
        <w:autoSpaceDE w:val="0"/>
        <w:autoSpaceDN w:val="0"/>
        <w:adjustRightInd w:val="0"/>
        <w:spacing w:line="360" w:lineRule="auto"/>
        <w:jc w:val="center"/>
        <w:outlineLvl w:val="0"/>
        <w:rPr>
          <w:rFonts w:ascii="宋体" w:hAnsi="宋体"/>
          <w:b/>
          <w:bCs/>
          <w:color w:val="auto"/>
          <w:sz w:val="44"/>
          <w:szCs w:val="44"/>
          <w:highlight w:val="none"/>
          <w:lang w:val="zh-CN"/>
        </w:rPr>
      </w:pPr>
      <w:r>
        <w:rPr>
          <w:rFonts w:hint="eastAsia" w:ascii="宋体" w:hAnsi="宋体"/>
          <w:b/>
          <w:bCs/>
          <w:color w:val="auto"/>
          <w:sz w:val="36"/>
          <w:szCs w:val="36"/>
          <w:highlight w:val="none"/>
        </w:rPr>
        <w:t xml:space="preserve">3.2 </w:t>
      </w:r>
      <w:r>
        <w:rPr>
          <w:rFonts w:hint="eastAsia" w:ascii="宋体" w:hAnsi="宋体"/>
          <w:b/>
          <w:snapToGrid w:val="0"/>
          <w:color w:val="auto"/>
          <w:kern w:val="0"/>
          <w:sz w:val="36"/>
          <w:szCs w:val="36"/>
          <w:highlight w:val="none"/>
        </w:rPr>
        <w:t>服务方案（实施方案）</w:t>
      </w:r>
    </w:p>
    <w:p>
      <w:pPr>
        <w:snapToGrid w:val="0"/>
        <w:spacing w:line="360" w:lineRule="auto"/>
        <w:jc w:val="center"/>
        <w:rPr>
          <w:rFonts w:ascii="宋体" w:hAnsi="宋体"/>
          <w:b/>
          <w:snapToGrid w:val="0"/>
          <w:color w:val="auto"/>
          <w:kern w:val="0"/>
          <w:sz w:val="36"/>
          <w:szCs w:val="36"/>
          <w:highlight w:val="none"/>
        </w:rPr>
      </w:pPr>
    </w:p>
    <w:p>
      <w:pPr>
        <w:tabs>
          <w:tab w:val="left" w:pos="5600"/>
          <w:tab w:val="left" w:pos="8120"/>
        </w:tabs>
        <w:autoSpaceDE w:val="0"/>
        <w:autoSpaceDN w:val="0"/>
        <w:adjustRightInd w:val="0"/>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kern w:val="0"/>
          <w:sz w:val="24"/>
          <w:highlight w:val="none"/>
        </w:rPr>
        <w:t>投</w:t>
      </w:r>
      <w:r>
        <w:rPr>
          <w:rFonts w:hint="eastAsia" w:ascii="宋体" w:hAnsi="宋体" w:cs="宋体"/>
          <w:color w:val="auto"/>
          <w:spacing w:val="2"/>
          <w:kern w:val="0"/>
          <w:sz w:val="24"/>
          <w:highlight w:val="none"/>
        </w:rPr>
        <w:t>标</w:t>
      </w:r>
      <w:r>
        <w:rPr>
          <w:rFonts w:hint="eastAsia" w:ascii="宋体" w:hAnsi="宋体" w:cs="宋体"/>
          <w:color w:val="auto"/>
          <w:kern w:val="0"/>
          <w:sz w:val="24"/>
          <w:highlight w:val="none"/>
        </w:rPr>
        <w:t>人</w:t>
      </w:r>
      <w:r>
        <w:rPr>
          <w:rFonts w:hint="eastAsia" w:ascii="宋体" w:hAnsi="宋体" w:cs="宋体"/>
          <w:color w:val="auto"/>
          <w:spacing w:val="2"/>
          <w:kern w:val="0"/>
          <w:sz w:val="24"/>
          <w:highlight w:val="none"/>
        </w:rPr>
        <w:t>应</w:t>
      </w:r>
      <w:r>
        <w:rPr>
          <w:rFonts w:hint="eastAsia" w:ascii="宋体" w:hAnsi="宋体" w:cs="宋体"/>
          <w:color w:val="auto"/>
          <w:kern w:val="0"/>
          <w:sz w:val="24"/>
          <w:highlight w:val="none"/>
        </w:rPr>
        <w:t>充</w:t>
      </w:r>
      <w:r>
        <w:rPr>
          <w:rFonts w:hint="eastAsia" w:ascii="宋体" w:hAnsi="宋体" w:cs="宋体"/>
          <w:color w:val="auto"/>
          <w:spacing w:val="2"/>
          <w:kern w:val="0"/>
          <w:sz w:val="24"/>
          <w:highlight w:val="none"/>
        </w:rPr>
        <w:t>分</w:t>
      </w:r>
      <w:r>
        <w:rPr>
          <w:rFonts w:hint="eastAsia" w:ascii="宋体" w:hAnsi="宋体" w:cs="宋体"/>
          <w:color w:val="auto"/>
          <w:kern w:val="0"/>
          <w:sz w:val="24"/>
          <w:highlight w:val="none"/>
        </w:rPr>
        <w:t>理</w:t>
      </w:r>
      <w:r>
        <w:rPr>
          <w:rFonts w:hint="eastAsia" w:ascii="宋体" w:hAnsi="宋体" w:cs="宋体"/>
          <w:color w:val="auto"/>
          <w:spacing w:val="2"/>
          <w:kern w:val="0"/>
          <w:sz w:val="24"/>
          <w:highlight w:val="none"/>
        </w:rPr>
        <w:t>解</w:t>
      </w:r>
      <w:r>
        <w:rPr>
          <w:rFonts w:hint="eastAsia" w:ascii="宋体" w:hAnsi="宋体" w:cs="宋体"/>
          <w:color w:val="auto"/>
          <w:kern w:val="0"/>
          <w:sz w:val="24"/>
          <w:highlight w:val="none"/>
        </w:rPr>
        <w:t>本</w:t>
      </w:r>
      <w:r>
        <w:rPr>
          <w:rFonts w:hint="eastAsia" w:ascii="宋体" w:hAnsi="宋体" w:cs="宋体"/>
          <w:color w:val="auto"/>
          <w:spacing w:val="2"/>
          <w:kern w:val="0"/>
          <w:sz w:val="24"/>
          <w:highlight w:val="none"/>
        </w:rPr>
        <w:t>次</w:t>
      </w:r>
      <w:r>
        <w:rPr>
          <w:rFonts w:hint="eastAsia" w:ascii="宋体" w:hAnsi="宋体" w:cs="宋体"/>
          <w:color w:val="auto"/>
          <w:kern w:val="0"/>
          <w:sz w:val="24"/>
          <w:highlight w:val="none"/>
        </w:rPr>
        <w:t>招</w:t>
      </w:r>
      <w:r>
        <w:rPr>
          <w:rFonts w:hint="eastAsia" w:ascii="宋体" w:hAnsi="宋体" w:cs="宋体"/>
          <w:color w:val="auto"/>
          <w:spacing w:val="2"/>
          <w:kern w:val="0"/>
          <w:sz w:val="24"/>
          <w:highlight w:val="none"/>
        </w:rPr>
        <w:t>标</w:t>
      </w:r>
      <w:r>
        <w:rPr>
          <w:rFonts w:hint="eastAsia" w:ascii="宋体" w:hAnsi="宋体" w:cs="宋体"/>
          <w:color w:val="auto"/>
          <w:kern w:val="0"/>
          <w:sz w:val="24"/>
          <w:highlight w:val="none"/>
        </w:rPr>
        <w:t>内</w:t>
      </w:r>
      <w:r>
        <w:rPr>
          <w:rFonts w:hint="eastAsia" w:ascii="宋体" w:hAnsi="宋体" w:cs="宋体"/>
          <w:color w:val="auto"/>
          <w:spacing w:val="2"/>
          <w:kern w:val="0"/>
          <w:sz w:val="24"/>
          <w:highlight w:val="none"/>
        </w:rPr>
        <w:t>容</w:t>
      </w:r>
      <w:r>
        <w:rPr>
          <w:rFonts w:hint="eastAsia" w:ascii="宋体" w:hAnsi="宋体" w:cs="宋体"/>
          <w:color w:val="auto"/>
          <w:kern w:val="0"/>
          <w:sz w:val="24"/>
          <w:highlight w:val="none"/>
        </w:rPr>
        <w:t>，</w:t>
      </w:r>
      <w:r>
        <w:rPr>
          <w:rFonts w:hint="eastAsia" w:ascii="宋体" w:hAnsi="宋体" w:cs="宋体"/>
          <w:color w:val="auto"/>
          <w:spacing w:val="2"/>
          <w:kern w:val="0"/>
          <w:sz w:val="24"/>
          <w:highlight w:val="none"/>
        </w:rPr>
        <w:t>编</w:t>
      </w:r>
      <w:r>
        <w:rPr>
          <w:rFonts w:hint="eastAsia" w:ascii="宋体" w:hAnsi="宋体" w:cs="宋体"/>
          <w:color w:val="auto"/>
          <w:kern w:val="0"/>
          <w:sz w:val="24"/>
          <w:highlight w:val="none"/>
        </w:rPr>
        <w:t>制</w:t>
      </w:r>
      <w:r>
        <w:rPr>
          <w:rFonts w:hint="eastAsia" w:ascii="宋体" w:hAnsi="宋体" w:cs="宋体"/>
          <w:color w:val="auto"/>
          <w:spacing w:val="2"/>
          <w:kern w:val="0"/>
          <w:sz w:val="24"/>
          <w:highlight w:val="none"/>
        </w:rPr>
        <w:t>针对本项目的服务</w:t>
      </w:r>
      <w:r>
        <w:rPr>
          <w:rFonts w:hint="eastAsia" w:ascii="宋体" w:hAnsi="宋体" w:cs="宋体"/>
          <w:color w:val="auto"/>
          <w:kern w:val="0"/>
          <w:sz w:val="24"/>
          <w:highlight w:val="none"/>
        </w:rPr>
        <w:t>方</w:t>
      </w:r>
      <w:r>
        <w:rPr>
          <w:rFonts w:hint="eastAsia" w:ascii="宋体" w:hAnsi="宋体" w:cs="宋体"/>
          <w:color w:val="auto"/>
          <w:spacing w:val="2"/>
          <w:kern w:val="0"/>
          <w:sz w:val="24"/>
          <w:highlight w:val="none"/>
        </w:rPr>
        <w:t>案（格</w:t>
      </w:r>
      <w:r>
        <w:rPr>
          <w:rFonts w:hint="eastAsia" w:ascii="宋体" w:hAnsi="宋体" w:cs="宋体"/>
          <w:color w:val="auto"/>
          <w:kern w:val="0"/>
          <w:sz w:val="24"/>
          <w:highlight w:val="none"/>
        </w:rPr>
        <w:t>式</w:t>
      </w:r>
      <w:r>
        <w:rPr>
          <w:rFonts w:hint="eastAsia" w:ascii="宋体" w:hAnsi="宋体" w:cs="宋体"/>
          <w:color w:val="auto"/>
          <w:spacing w:val="2"/>
          <w:kern w:val="0"/>
          <w:sz w:val="24"/>
          <w:highlight w:val="none"/>
        </w:rPr>
        <w:t>和</w:t>
      </w:r>
      <w:r>
        <w:rPr>
          <w:rFonts w:hint="eastAsia" w:ascii="宋体" w:hAnsi="宋体" w:cs="宋体"/>
          <w:color w:val="auto"/>
          <w:kern w:val="0"/>
          <w:sz w:val="24"/>
          <w:highlight w:val="none"/>
        </w:rPr>
        <w:t>内容可</w:t>
      </w:r>
      <w:r>
        <w:rPr>
          <w:rFonts w:hint="eastAsia" w:ascii="宋体" w:hAnsi="宋体" w:cs="宋体"/>
          <w:color w:val="auto"/>
          <w:spacing w:val="2"/>
          <w:kern w:val="0"/>
          <w:sz w:val="24"/>
          <w:highlight w:val="none"/>
        </w:rPr>
        <w:t>自</w:t>
      </w:r>
      <w:r>
        <w:rPr>
          <w:rFonts w:hint="eastAsia" w:ascii="宋体" w:hAnsi="宋体" w:cs="宋体"/>
          <w:color w:val="auto"/>
          <w:kern w:val="0"/>
          <w:sz w:val="24"/>
          <w:highlight w:val="none"/>
        </w:rPr>
        <w:t>行</w:t>
      </w:r>
      <w:r>
        <w:rPr>
          <w:rFonts w:hint="eastAsia" w:ascii="宋体" w:hAnsi="宋体" w:cs="宋体"/>
          <w:color w:val="auto"/>
          <w:spacing w:val="2"/>
          <w:kern w:val="0"/>
          <w:sz w:val="24"/>
          <w:highlight w:val="none"/>
        </w:rPr>
        <w:t>编制</w:t>
      </w:r>
      <w:r>
        <w:rPr>
          <w:rFonts w:hint="eastAsia" w:ascii="宋体" w:hAnsi="宋体" w:cs="宋体"/>
          <w:color w:val="auto"/>
          <w:szCs w:val="21"/>
          <w:highlight w:val="none"/>
          <w:lang w:val="zh-CN"/>
        </w:rPr>
        <w:t>）</w:t>
      </w:r>
    </w:p>
    <w:p>
      <w:pPr>
        <w:snapToGrid w:val="0"/>
        <w:spacing w:line="360" w:lineRule="auto"/>
        <w:jc w:val="center"/>
        <w:rPr>
          <w:rFonts w:ascii="宋体" w:hAnsi="宋体"/>
          <w:b/>
          <w:snapToGrid w:val="0"/>
          <w:color w:val="auto"/>
          <w:kern w:val="0"/>
          <w:sz w:val="36"/>
          <w:szCs w:val="36"/>
          <w:highlight w:val="none"/>
        </w:rPr>
      </w:pPr>
    </w:p>
    <w:p>
      <w:pPr>
        <w:snapToGrid w:val="0"/>
        <w:spacing w:line="360" w:lineRule="auto"/>
        <w:jc w:val="center"/>
        <w:rPr>
          <w:rFonts w:ascii="宋体" w:hAnsi="宋体"/>
          <w:b/>
          <w:snapToGrid w:val="0"/>
          <w:color w:val="auto"/>
          <w:kern w:val="0"/>
          <w:sz w:val="36"/>
          <w:szCs w:val="36"/>
          <w:highlight w:val="none"/>
        </w:rPr>
      </w:pPr>
    </w:p>
    <w:p>
      <w:pPr>
        <w:snapToGrid w:val="0"/>
        <w:spacing w:line="360" w:lineRule="auto"/>
        <w:jc w:val="center"/>
        <w:rPr>
          <w:rFonts w:ascii="宋体" w:hAnsi="宋体"/>
          <w:b/>
          <w:snapToGrid w:val="0"/>
          <w:color w:val="auto"/>
          <w:kern w:val="0"/>
          <w:sz w:val="36"/>
          <w:szCs w:val="36"/>
          <w:highlight w:val="none"/>
        </w:rPr>
      </w:pPr>
    </w:p>
    <w:p>
      <w:pPr>
        <w:widowControl/>
        <w:jc w:val="left"/>
        <w:rPr>
          <w:rFonts w:ascii="宋体" w:hAnsi="宋体"/>
          <w:b/>
          <w:bCs/>
          <w:color w:val="auto"/>
          <w:sz w:val="36"/>
          <w:szCs w:val="36"/>
          <w:highlight w:val="none"/>
        </w:rPr>
      </w:pPr>
      <w:r>
        <w:rPr>
          <w:rFonts w:ascii="宋体" w:hAnsi="宋体"/>
          <w:b/>
          <w:bCs/>
          <w:color w:val="auto"/>
          <w:sz w:val="36"/>
          <w:szCs w:val="36"/>
          <w:highlight w:val="none"/>
        </w:rPr>
        <w:br w:type="page"/>
      </w:r>
    </w:p>
    <w:p>
      <w:pPr>
        <w:snapToGrid w:val="0"/>
        <w:spacing w:line="360" w:lineRule="auto"/>
        <w:jc w:val="center"/>
        <w:rPr>
          <w:rFonts w:ascii="宋体" w:hAnsi="宋体"/>
          <w:b/>
          <w:snapToGrid w:val="0"/>
          <w:color w:val="auto"/>
          <w:kern w:val="0"/>
          <w:sz w:val="36"/>
          <w:szCs w:val="36"/>
          <w:highlight w:val="none"/>
        </w:rPr>
      </w:pPr>
      <w:r>
        <w:rPr>
          <w:rFonts w:hint="eastAsia" w:ascii="宋体" w:hAnsi="宋体"/>
          <w:b/>
          <w:bCs/>
          <w:color w:val="auto"/>
          <w:sz w:val="36"/>
          <w:szCs w:val="36"/>
          <w:highlight w:val="none"/>
        </w:rPr>
        <w:t xml:space="preserve">3.3 </w:t>
      </w:r>
      <w:r>
        <w:rPr>
          <w:rFonts w:hint="eastAsia" w:ascii="宋体" w:hAnsi="宋体"/>
          <w:b/>
          <w:snapToGrid w:val="0"/>
          <w:color w:val="auto"/>
          <w:kern w:val="0"/>
          <w:sz w:val="36"/>
          <w:szCs w:val="36"/>
          <w:highlight w:val="none"/>
        </w:rPr>
        <w:t>业绩情况表</w:t>
      </w:r>
    </w:p>
    <w:tbl>
      <w:tblPr>
        <w:tblStyle w:val="18"/>
        <w:tblW w:w="89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2775" w:type="dxa"/>
            <w:vAlign w:val="center"/>
          </w:tcPr>
          <w:p>
            <w:pPr>
              <w:topLinePunct/>
              <w:adjustRightInd w:val="0"/>
              <w:spacing w:line="440" w:lineRule="exact"/>
              <w:jc w:val="center"/>
              <w:textAlignment w:val="baseline"/>
              <w:rPr>
                <w:rFonts w:ascii="宋体" w:hAnsi="宋体"/>
                <w:color w:val="auto"/>
                <w:szCs w:val="21"/>
                <w:highlight w:val="none"/>
              </w:rPr>
            </w:pPr>
            <w:r>
              <w:rPr>
                <w:rFonts w:hint="eastAsia" w:ascii="宋体" w:hAnsi="宋体"/>
                <w:color w:val="auto"/>
                <w:szCs w:val="21"/>
                <w:highlight w:val="none"/>
              </w:rPr>
              <w:t>项目名称</w:t>
            </w:r>
          </w:p>
        </w:tc>
        <w:tc>
          <w:tcPr>
            <w:tcW w:w="6185" w:type="dxa"/>
            <w:vAlign w:val="center"/>
          </w:tcPr>
          <w:p>
            <w:pPr>
              <w:topLinePunct/>
              <w:adjustRightInd w:val="0"/>
              <w:spacing w:line="440" w:lineRule="exact"/>
              <w:jc w:val="center"/>
              <w:textAlignment w:val="baseline"/>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2775" w:type="dxa"/>
            <w:vAlign w:val="center"/>
          </w:tcPr>
          <w:p>
            <w:pPr>
              <w:topLinePunct/>
              <w:adjustRightInd w:val="0"/>
              <w:spacing w:line="440" w:lineRule="exact"/>
              <w:jc w:val="center"/>
              <w:textAlignment w:val="baseline"/>
              <w:rPr>
                <w:rFonts w:ascii="宋体" w:hAnsi="宋体"/>
                <w:color w:val="auto"/>
                <w:szCs w:val="21"/>
                <w:highlight w:val="none"/>
              </w:rPr>
            </w:pPr>
            <w:r>
              <w:rPr>
                <w:rFonts w:hint="eastAsia" w:ascii="宋体" w:hAnsi="宋体"/>
                <w:color w:val="auto"/>
                <w:szCs w:val="21"/>
                <w:highlight w:val="none"/>
              </w:rPr>
              <w:t>项目所在地</w:t>
            </w:r>
          </w:p>
        </w:tc>
        <w:tc>
          <w:tcPr>
            <w:tcW w:w="6185" w:type="dxa"/>
            <w:vAlign w:val="center"/>
          </w:tcPr>
          <w:p>
            <w:pPr>
              <w:topLinePunct/>
              <w:adjustRightInd w:val="0"/>
              <w:spacing w:line="440" w:lineRule="exact"/>
              <w:jc w:val="center"/>
              <w:textAlignment w:val="baseline"/>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2775" w:type="dxa"/>
            <w:vAlign w:val="center"/>
          </w:tcPr>
          <w:p>
            <w:pPr>
              <w:topLinePunct/>
              <w:adjustRightInd w:val="0"/>
              <w:spacing w:line="440" w:lineRule="exact"/>
              <w:jc w:val="center"/>
              <w:textAlignment w:val="baseline"/>
              <w:rPr>
                <w:rFonts w:ascii="宋体" w:hAnsi="宋体"/>
                <w:color w:val="auto"/>
                <w:szCs w:val="21"/>
                <w:highlight w:val="none"/>
              </w:rPr>
            </w:pPr>
            <w:r>
              <w:rPr>
                <w:rFonts w:hint="eastAsia" w:ascii="宋体" w:hAnsi="宋体"/>
                <w:color w:val="auto"/>
                <w:szCs w:val="21"/>
                <w:highlight w:val="none"/>
              </w:rPr>
              <w:t>委托人名称</w:t>
            </w:r>
          </w:p>
        </w:tc>
        <w:tc>
          <w:tcPr>
            <w:tcW w:w="6185" w:type="dxa"/>
            <w:vAlign w:val="center"/>
          </w:tcPr>
          <w:p>
            <w:pPr>
              <w:topLinePunct/>
              <w:adjustRightInd w:val="0"/>
              <w:spacing w:line="440" w:lineRule="exact"/>
              <w:jc w:val="center"/>
              <w:textAlignment w:val="baseline"/>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2775" w:type="dxa"/>
            <w:vAlign w:val="center"/>
          </w:tcPr>
          <w:p>
            <w:pPr>
              <w:topLinePunct/>
              <w:adjustRightInd w:val="0"/>
              <w:spacing w:line="440" w:lineRule="exact"/>
              <w:jc w:val="center"/>
              <w:textAlignment w:val="baseline"/>
              <w:rPr>
                <w:rFonts w:ascii="宋体" w:hAnsi="宋体"/>
                <w:color w:val="auto"/>
                <w:szCs w:val="21"/>
                <w:highlight w:val="none"/>
              </w:rPr>
            </w:pPr>
            <w:r>
              <w:rPr>
                <w:rFonts w:hint="eastAsia" w:ascii="宋体" w:hAnsi="宋体"/>
                <w:color w:val="auto"/>
                <w:szCs w:val="21"/>
                <w:highlight w:val="none"/>
              </w:rPr>
              <w:t>委托人地址</w:t>
            </w:r>
          </w:p>
        </w:tc>
        <w:tc>
          <w:tcPr>
            <w:tcW w:w="6185" w:type="dxa"/>
            <w:vAlign w:val="center"/>
          </w:tcPr>
          <w:p>
            <w:pPr>
              <w:topLinePunct/>
              <w:adjustRightInd w:val="0"/>
              <w:spacing w:line="440" w:lineRule="exact"/>
              <w:jc w:val="center"/>
              <w:textAlignment w:val="baseline"/>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2775" w:type="dxa"/>
            <w:vAlign w:val="center"/>
          </w:tcPr>
          <w:p>
            <w:pPr>
              <w:topLinePunct/>
              <w:adjustRightInd w:val="0"/>
              <w:spacing w:line="440" w:lineRule="exact"/>
              <w:jc w:val="center"/>
              <w:textAlignment w:val="baseline"/>
              <w:rPr>
                <w:rFonts w:ascii="宋体" w:hAnsi="宋体"/>
                <w:color w:val="auto"/>
                <w:szCs w:val="21"/>
                <w:highlight w:val="none"/>
              </w:rPr>
            </w:pPr>
            <w:r>
              <w:rPr>
                <w:rFonts w:hint="eastAsia" w:ascii="宋体" w:hAnsi="宋体"/>
                <w:color w:val="auto"/>
                <w:szCs w:val="21"/>
                <w:highlight w:val="none"/>
              </w:rPr>
              <w:t>委托人联系电话</w:t>
            </w:r>
          </w:p>
        </w:tc>
        <w:tc>
          <w:tcPr>
            <w:tcW w:w="6185" w:type="dxa"/>
            <w:vAlign w:val="center"/>
          </w:tcPr>
          <w:p>
            <w:pPr>
              <w:topLinePunct/>
              <w:adjustRightInd w:val="0"/>
              <w:spacing w:line="440" w:lineRule="exact"/>
              <w:jc w:val="center"/>
              <w:textAlignment w:val="baseline"/>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91" w:hRule="atLeast"/>
        </w:trPr>
        <w:tc>
          <w:tcPr>
            <w:tcW w:w="2775" w:type="dxa"/>
            <w:vAlign w:val="center"/>
          </w:tcPr>
          <w:p>
            <w:pPr>
              <w:topLinePunct/>
              <w:adjustRightInd w:val="0"/>
              <w:spacing w:line="440" w:lineRule="exact"/>
              <w:jc w:val="center"/>
              <w:textAlignment w:val="baseline"/>
              <w:rPr>
                <w:rFonts w:ascii="宋体" w:hAnsi="宋体"/>
                <w:color w:val="auto"/>
                <w:szCs w:val="21"/>
                <w:highlight w:val="none"/>
              </w:rPr>
            </w:pPr>
            <w:r>
              <w:rPr>
                <w:rFonts w:hint="eastAsia" w:ascii="宋体" w:hAnsi="宋体"/>
                <w:color w:val="auto"/>
                <w:szCs w:val="21"/>
                <w:highlight w:val="none"/>
              </w:rPr>
              <w:t>合同签订日期</w:t>
            </w:r>
          </w:p>
        </w:tc>
        <w:tc>
          <w:tcPr>
            <w:tcW w:w="6185" w:type="dxa"/>
            <w:vAlign w:val="center"/>
          </w:tcPr>
          <w:p>
            <w:pPr>
              <w:topLinePunct/>
              <w:adjustRightInd w:val="0"/>
              <w:spacing w:line="440" w:lineRule="exact"/>
              <w:jc w:val="center"/>
              <w:textAlignment w:val="baseline"/>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2775" w:type="dxa"/>
            <w:vAlign w:val="center"/>
          </w:tcPr>
          <w:p>
            <w:pPr>
              <w:topLinePunct/>
              <w:adjustRightInd w:val="0"/>
              <w:spacing w:line="440" w:lineRule="exact"/>
              <w:jc w:val="center"/>
              <w:textAlignment w:val="baseline"/>
              <w:rPr>
                <w:rFonts w:ascii="宋体" w:hAnsi="宋体"/>
                <w:color w:val="auto"/>
                <w:szCs w:val="21"/>
                <w:highlight w:val="none"/>
              </w:rPr>
            </w:pPr>
            <w:r>
              <w:rPr>
                <w:rFonts w:hint="eastAsia" w:ascii="宋体" w:hAnsi="宋体"/>
                <w:color w:val="auto"/>
                <w:szCs w:val="21"/>
                <w:highlight w:val="none"/>
              </w:rPr>
              <w:t>金额</w:t>
            </w:r>
          </w:p>
        </w:tc>
        <w:tc>
          <w:tcPr>
            <w:tcW w:w="6185" w:type="dxa"/>
            <w:vAlign w:val="center"/>
          </w:tcPr>
          <w:p>
            <w:pPr>
              <w:topLinePunct/>
              <w:adjustRightInd w:val="0"/>
              <w:spacing w:line="440" w:lineRule="exact"/>
              <w:jc w:val="center"/>
              <w:textAlignment w:val="baseline"/>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2775" w:type="dxa"/>
            <w:vAlign w:val="center"/>
          </w:tcPr>
          <w:p>
            <w:pPr>
              <w:topLinePunct/>
              <w:adjustRightInd w:val="0"/>
              <w:spacing w:line="440" w:lineRule="exact"/>
              <w:jc w:val="center"/>
              <w:textAlignment w:val="baseline"/>
              <w:rPr>
                <w:rFonts w:ascii="宋体" w:hAnsi="宋体"/>
                <w:color w:val="auto"/>
                <w:szCs w:val="21"/>
                <w:highlight w:val="none"/>
              </w:rPr>
            </w:pPr>
            <w:r>
              <w:rPr>
                <w:rFonts w:hint="eastAsia" w:ascii="宋体" w:hAnsi="宋体"/>
                <w:color w:val="auto"/>
                <w:szCs w:val="21"/>
                <w:highlight w:val="none"/>
              </w:rPr>
              <w:t>项目负责人</w:t>
            </w:r>
          </w:p>
        </w:tc>
        <w:tc>
          <w:tcPr>
            <w:tcW w:w="6185" w:type="dxa"/>
            <w:vAlign w:val="center"/>
          </w:tcPr>
          <w:p>
            <w:pPr>
              <w:topLinePunct/>
              <w:adjustRightInd w:val="0"/>
              <w:spacing w:line="440" w:lineRule="exact"/>
              <w:jc w:val="center"/>
              <w:textAlignment w:val="baseline"/>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trPr>
        <w:tc>
          <w:tcPr>
            <w:tcW w:w="2775" w:type="dxa"/>
            <w:vAlign w:val="center"/>
          </w:tcPr>
          <w:p>
            <w:pPr>
              <w:topLinePunct/>
              <w:adjustRightInd w:val="0"/>
              <w:spacing w:line="440" w:lineRule="exact"/>
              <w:jc w:val="center"/>
              <w:textAlignment w:val="baseline"/>
              <w:rPr>
                <w:rFonts w:ascii="宋体" w:hAnsi="宋体"/>
                <w:color w:val="auto"/>
                <w:szCs w:val="21"/>
                <w:highlight w:val="none"/>
              </w:rPr>
            </w:pPr>
            <w:r>
              <w:rPr>
                <w:rFonts w:hint="eastAsia" w:ascii="宋体" w:hAnsi="宋体"/>
                <w:color w:val="auto"/>
                <w:szCs w:val="21"/>
                <w:highlight w:val="none"/>
              </w:rPr>
              <w:t>项目描述</w:t>
            </w:r>
          </w:p>
        </w:tc>
        <w:tc>
          <w:tcPr>
            <w:tcW w:w="6185" w:type="dxa"/>
            <w:vAlign w:val="center"/>
          </w:tcPr>
          <w:p>
            <w:pPr>
              <w:topLinePunct/>
              <w:adjustRightInd w:val="0"/>
              <w:spacing w:line="440" w:lineRule="exact"/>
              <w:textAlignment w:val="baseline"/>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2775" w:type="dxa"/>
            <w:vAlign w:val="center"/>
          </w:tcPr>
          <w:p>
            <w:pPr>
              <w:topLinePunct/>
              <w:adjustRightInd w:val="0"/>
              <w:spacing w:line="440" w:lineRule="exact"/>
              <w:jc w:val="center"/>
              <w:textAlignment w:val="baseline"/>
              <w:rPr>
                <w:rFonts w:ascii="宋体" w:hAnsi="宋体"/>
                <w:color w:val="auto"/>
                <w:szCs w:val="21"/>
                <w:highlight w:val="none"/>
              </w:rPr>
            </w:pPr>
            <w:r>
              <w:rPr>
                <w:rFonts w:hint="eastAsia" w:ascii="宋体" w:hAnsi="宋体"/>
                <w:color w:val="auto"/>
                <w:szCs w:val="21"/>
                <w:highlight w:val="none"/>
              </w:rPr>
              <w:t>备注</w:t>
            </w:r>
          </w:p>
        </w:tc>
        <w:tc>
          <w:tcPr>
            <w:tcW w:w="6185" w:type="dxa"/>
            <w:vAlign w:val="center"/>
          </w:tcPr>
          <w:p>
            <w:pPr>
              <w:topLinePunct/>
              <w:adjustRightInd w:val="0"/>
              <w:spacing w:line="440" w:lineRule="exact"/>
              <w:jc w:val="center"/>
              <w:textAlignment w:val="baseline"/>
              <w:rPr>
                <w:rFonts w:ascii="宋体" w:hAnsi="宋体"/>
                <w:color w:val="auto"/>
                <w:szCs w:val="21"/>
                <w:highlight w:val="none"/>
              </w:rPr>
            </w:pPr>
          </w:p>
        </w:tc>
      </w:tr>
    </w:tbl>
    <w:p>
      <w:pPr>
        <w:spacing w:line="440" w:lineRule="exact"/>
        <w:rPr>
          <w:rFonts w:ascii="宋体" w:hAnsi="宋体" w:cs="宋体"/>
          <w:color w:val="auto"/>
          <w:szCs w:val="21"/>
          <w:highlight w:val="none"/>
        </w:rPr>
      </w:pPr>
      <w:r>
        <w:rPr>
          <w:rFonts w:hint="eastAsia" w:ascii="宋体" w:hAnsi="宋体" w:cs="宋体"/>
          <w:color w:val="auto"/>
          <w:szCs w:val="21"/>
          <w:highlight w:val="none"/>
        </w:rPr>
        <w:t>注：</w:t>
      </w:r>
      <w:r>
        <w:rPr>
          <w:rFonts w:ascii="宋体" w:hAnsi="宋体" w:cs="宋体"/>
          <w:color w:val="auto"/>
          <w:szCs w:val="21"/>
          <w:highlight w:val="none"/>
        </w:rPr>
        <w:t>1</w:t>
      </w:r>
      <w:r>
        <w:rPr>
          <w:rFonts w:hint="eastAsia" w:ascii="宋体" w:hAnsi="宋体" w:cs="宋体"/>
          <w:color w:val="auto"/>
          <w:szCs w:val="21"/>
          <w:highlight w:val="none"/>
        </w:rPr>
        <w:t>、在本表后须附投标人与委托人签订的合同扫面件或图片（</w:t>
      </w:r>
      <w:r>
        <w:rPr>
          <w:rFonts w:hint="eastAsia" w:ascii="宋体" w:hAnsi="宋体"/>
          <w:b/>
          <w:color w:val="auto"/>
          <w:szCs w:val="21"/>
          <w:highlight w:val="none"/>
        </w:rPr>
        <w:t>能证明其财务检查、财政资金检查项目监督检查、金额、项目名称及出具日期</w:t>
      </w:r>
      <w:r>
        <w:rPr>
          <w:rFonts w:hint="eastAsia" w:ascii="宋体" w:hAnsi="宋体" w:cs="宋体"/>
          <w:color w:val="auto"/>
          <w:szCs w:val="21"/>
          <w:highlight w:val="none"/>
        </w:rPr>
        <w:t>）</w:t>
      </w:r>
    </w:p>
    <w:p>
      <w:pPr>
        <w:spacing w:line="440" w:lineRule="exac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、具体年份要求见投标人须知前附表，每张表格只填写一个项目，并标明序号。</w:t>
      </w:r>
    </w:p>
    <w:p>
      <w:pPr>
        <w:spacing w:line="440" w:lineRule="exac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、本表主要是用来计算投标人业绩得分，投标人只需列参与评分的项目即可。</w:t>
      </w:r>
    </w:p>
    <w:p>
      <w:pPr>
        <w:autoSpaceDE w:val="0"/>
        <w:autoSpaceDN w:val="0"/>
        <w:adjustRightInd w:val="0"/>
        <w:spacing w:line="480" w:lineRule="auto"/>
        <w:rPr>
          <w:rFonts w:ascii="宋体" w:hAnsi="宋体" w:cs="宋体"/>
          <w:color w:val="auto"/>
          <w:szCs w:val="21"/>
          <w:highlight w:val="none"/>
          <w:lang w:val="zh-CN"/>
        </w:rPr>
      </w:pPr>
    </w:p>
    <w:p>
      <w:pPr>
        <w:autoSpaceDE w:val="0"/>
        <w:autoSpaceDN w:val="0"/>
        <w:adjustRightInd w:val="0"/>
        <w:spacing w:line="480" w:lineRule="auto"/>
        <w:rPr>
          <w:rFonts w:ascii="宋体" w:hAnsi="宋体" w:cs="宋体"/>
          <w:color w:val="auto"/>
          <w:szCs w:val="21"/>
          <w:highlight w:val="none"/>
          <w:lang w:val="zh-CN"/>
        </w:rPr>
      </w:pPr>
      <w:r>
        <w:rPr>
          <w:rFonts w:hint="eastAsia" w:ascii="宋体" w:hAnsi="宋体" w:cs="宋体"/>
          <w:color w:val="auto"/>
          <w:szCs w:val="21"/>
          <w:highlight w:val="none"/>
          <w:lang w:val="zh-CN"/>
        </w:rPr>
        <w:t>投标人（公章）：</w:t>
      </w:r>
    </w:p>
    <w:p>
      <w:pPr>
        <w:autoSpaceDE w:val="0"/>
        <w:autoSpaceDN w:val="0"/>
        <w:adjustRightInd w:val="0"/>
        <w:spacing w:line="480" w:lineRule="auto"/>
        <w:rPr>
          <w:rFonts w:ascii="宋体" w:hAnsi="宋体"/>
          <w:b/>
          <w:bCs/>
          <w:color w:val="auto"/>
          <w:sz w:val="24"/>
          <w:szCs w:val="24"/>
          <w:highlight w:val="none"/>
        </w:rPr>
      </w:pPr>
      <w:r>
        <w:rPr>
          <w:rFonts w:hint="eastAsia" w:ascii="宋体" w:hAnsi="宋体" w:cs="宋体"/>
          <w:color w:val="auto"/>
          <w:szCs w:val="21"/>
          <w:highlight w:val="none"/>
          <w:lang w:val="zh-CN"/>
        </w:rPr>
        <w:t>投标人法定代表人（或授权代表）签字：</w:t>
      </w:r>
    </w:p>
    <w:p>
      <w:pPr>
        <w:autoSpaceDE w:val="0"/>
        <w:autoSpaceDN w:val="0"/>
        <w:adjustRightInd w:val="0"/>
        <w:spacing w:line="360" w:lineRule="auto"/>
        <w:jc w:val="center"/>
        <w:outlineLvl w:val="0"/>
        <w:rPr>
          <w:rFonts w:ascii="宋体" w:hAnsi="宋体"/>
          <w:b/>
          <w:snapToGrid w:val="0"/>
          <w:color w:val="auto"/>
          <w:kern w:val="0"/>
          <w:sz w:val="36"/>
          <w:szCs w:val="36"/>
          <w:highlight w:val="none"/>
        </w:rPr>
      </w:pPr>
      <w:r>
        <w:rPr>
          <w:rFonts w:hint="eastAsia" w:ascii="宋体" w:hAnsi="宋体"/>
          <w:b/>
          <w:snapToGrid w:val="0"/>
          <w:color w:val="auto"/>
          <w:kern w:val="0"/>
          <w:sz w:val="36"/>
          <w:szCs w:val="36"/>
          <w:highlight w:val="none"/>
        </w:rPr>
        <w:t>3.4机构设置、内部管理制度、本地化全方位服务等</w:t>
      </w:r>
    </w:p>
    <w:p>
      <w:pPr>
        <w:autoSpaceDE w:val="0"/>
        <w:autoSpaceDN w:val="0"/>
        <w:adjustRightInd w:val="0"/>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（投标人根据招标文件要求自行编制）</w:t>
      </w:r>
    </w:p>
    <w:p>
      <w:pPr>
        <w:autoSpaceDE w:val="0"/>
        <w:autoSpaceDN w:val="0"/>
        <w:adjustRightInd w:val="0"/>
        <w:spacing w:line="360" w:lineRule="auto"/>
        <w:jc w:val="center"/>
        <w:outlineLvl w:val="0"/>
        <w:rPr>
          <w:rFonts w:ascii="宋体" w:hAnsi="宋体"/>
          <w:b/>
          <w:bCs/>
          <w:color w:val="auto"/>
          <w:sz w:val="24"/>
          <w:szCs w:val="24"/>
          <w:highlight w:val="none"/>
        </w:rPr>
      </w:pPr>
    </w:p>
    <w:p>
      <w:pPr>
        <w:numPr>
          <w:ilvl w:val="0"/>
          <w:numId w:val="17"/>
        </w:numPr>
        <w:autoSpaceDE w:val="0"/>
        <w:autoSpaceDN w:val="0"/>
        <w:adjustRightInd w:val="0"/>
        <w:spacing w:line="360" w:lineRule="auto"/>
        <w:jc w:val="left"/>
        <w:outlineLvl w:val="0"/>
        <w:rPr>
          <w:rFonts w:ascii="宋体" w:hAnsi="宋体"/>
          <w:color w:val="auto"/>
          <w:szCs w:val="21"/>
          <w:highlight w:val="none"/>
        </w:rPr>
      </w:pPr>
      <w:r>
        <w:rPr>
          <w:rFonts w:hint="eastAsia" w:ascii="宋体" w:hAnsi="宋体"/>
          <w:color w:val="auto"/>
          <w:szCs w:val="21"/>
          <w:highlight w:val="none"/>
        </w:rPr>
        <w:t>投标人必须提供但不限于提供以下内容：</w:t>
      </w:r>
    </w:p>
    <w:p>
      <w:pPr>
        <w:autoSpaceDE w:val="0"/>
        <w:autoSpaceDN w:val="0"/>
        <w:adjustRightInd w:val="0"/>
        <w:spacing w:line="360" w:lineRule="auto"/>
        <w:ind w:firstLine="420" w:firstLineChars="200"/>
        <w:jc w:val="left"/>
        <w:outlineLvl w:val="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、企业的机构设置；</w:t>
      </w:r>
    </w:p>
    <w:p>
      <w:pPr>
        <w:autoSpaceDE w:val="0"/>
        <w:autoSpaceDN w:val="0"/>
        <w:adjustRightInd w:val="0"/>
        <w:spacing w:line="360" w:lineRule="auto"/>
        <w:ind w:firstLine="420" w:firstLineChars="200"/>
        <w:jc w:val="left"/>
        <w:outlineLvl w:val="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、内部管理制度；</w:t>
      </w:r>
    </w:p>
    <w:p>
      <w:pPr>
        <w:autoSpaceDE w:val="0"/>
        <w:autoSpaceDN w:val="0"/>
        <w:adjustRightInd w:val="0"/>
        <w:spacing w:line="360" w:lineRule="auto"/>
        <w:jc w:val="left"/>
        <w:outlineLvl w:val="0"/>
        <w:rPr>
          <w:rFonts w:ascii="宋体" w:hAnsi="宋体"/>
          <w:color w:val="auto"/>
          <w:szCs w:val="21"/>
          <w:highlight w:val="none"/>
        </w:rPr>
      </w:pPr>
      <w:r>
        <w:rPr>
          <w:rFonts w:hint="eastAsia" w:ascii="宋体" w:hAnsi="宋体"/>
          <w:color w:val="auto"/>
          <w:szCs w:val="21"/>
          <w:highlight w:val="none"/>
        </w:rPr>
        <w:t>二、投标人本地化全方位服务承诺；</w:t>
      </w:r>
    </w:p>
    <w:p>
      <w:pPr>
        <w:autoSpaceDE w:val="0"/>
        <w:autoSpaceDN w:val="0"/>
        <w:adjustRightInd w:val="0"/>
        <w:spacing w:line="360" w:lineRule="auto"/>
        <w:jc w:val="left"/>
        <w:outlineLvl w:val="0"/>
        <w:rPr>
          <w:rFonts w:ascii="宋体" w:hAnsi="宋体"/>
          <w:color w:val="auto"/>
          <w:szCs w:val="21"/>
          <w:highlight w:val="none"/>
        </w:rPr>
      </w:pPr>
      <w:r>
        <w:rPr>
          <w:rFonts w:hint="eastAsia" w:ascii="宋体" w:hAnsi="宋体"/>
          <w:color w:val="auto"/>
          <w:szCs w:val="21"/>
          <w:highlight w:val="none"/>
        </w:rPr>
        <w:t>三、</w:t>
      </w:r>
      <w:r>
        <w:rPr>
          <w:rFonts w:ascii="宋体" w:hAnsi="宋体"/>
          <w:color w:val="auto"/>
          <w:szCs w:val="21"/>
          <w:highlight w:val="none"/>
        </w:rPr>
        <w:t>......</w:t>
      </w:r>
    </w:p>
    <w:p>
      <w:pPr>
        <w:autoSpaceDE w:val="0"/>
        <w:autoSpaceDN w:val="0"/>
        <w:adjustRightInd w:val="0"/>
        <w:spacing w:line="360" w:lineRule="auto"/>
        <w:jc w:val="left"/>
        <w:outlineLvl w:val="0"/>
        <w:rPr>
          <w:rFonts w:ascii="宋体" w:hAnsi="宋体"/>
          <w:color w:val="auto"/>
          <w:szCs w:val="21"/>
          <w:highlight w:val="none"/>
        </w:rPr>
      </w:pPr>
    </w:p>
    <w:p>
      <w:pPr>
        <w:autoSpaceDE w:val="0"/>
        <w:autoSpaceDN w:val="0"/>
        <w:adjustRightInd w:val="0"/>
        <w:spacing w:line="360" w:lineRule="auto"/>
        <w:jc w:val="left"/>
        <w:outlineLvl w:val="0"/>
        <w:rPr>
          <w:rFonts w:ascii="宋体" w:hAnsi="宋体"/>
          <w:color w:val="auto"/>
          <w:szCs w:val="21"/>
          <w:highlight w:val="none"/>
        </w:rPr>
      </w:pPr>
    </w:p>
    <w:p>
      <w:pPr>
        <w:autoSpaceDE w:val="0"/>
        <w:autoSpaceDN w:val="0"/>
        <w:adjustRightInd w:val="0"/>
        <w:spacing w:line="360" w:lineRule="auto"/>
        <w:jc w:val="left"/>
        <w:outlineLvl w:val="0"/>
        <w:rPr>
          <w:rFonts w:ascii="宋体" w:hAnsi="宋体"/>
          <w:color w:val="auto"/>
          <w:szCs w:val="21"/>
          <w:highlight w:val="none"/>
        </w:rPr>
      </w:pPr>
    </w:p>
    <w:p>
      <w:pPr>
        <w:spacing w:line="360" w:lineRule="exact"/>
        <w:ind w:firstLine="3675" w:firstLineChars="1750"/>
        <w:rPr>
          <w:rFonts w:ascii="宋体" w:hAnsi="宋体"/>
          <w:color w:val="auto"/>
          <w:szCs w:val="21"/>
          <w:highlight w:val="none"/>
        </w:rPr>
      </w:pPr>
      <w:r>
        <w:rPr>
          <w:rFonts w:hint="eastAsia" w:ascii="宋体" w:hAnsi="宋体"/>
          <w:color w:val="auto"/>
          <w:szCs w:val="21"/>
          <w:highlight w:val="none"/>
        </w:rPr>
        <w:t>投标人：（盖单位公章）</w:t>
      </w:r>
    </w:p>
    <w:p>
      <w:pPr>
        <w:spacing w:line="360" w:lineRule="exact"/>
        <w:ind w:firstLine="3675" w:firstLineChars="1750"/>
        <w:rPr>
          <w:rFonts w:ascii="宋体" w:hAnsi="宋体"/>
          <w:color w:val="auto"/>
          <w:szCs w:val="21"/>
          <w:highlight w:val="none"/>
        </w:rPr>
      </w:pPr>
      <w:r>
        <w:rPr>
          <w:rFonts w:hint="eastAsia" w:ascii="宋体" w:hAnsi="宋体"/>
          <w:color w:val="auto"/>
          <w:szCs w:val="21"/>
          <w:highlight w:val="none"/>
        </w:rPr>
        <w:t>法定代表人或其委托代理人：（签字或盖章）</w:t>
      </w:r>
    </w:p>
    <w:p>
      <w:pPr>
        <w:spacing w:line="360" w:lineRule="exact"/>
        <w:ind w:firstLine="420" w:firstLineChars="200"/>
        <w:jc w:val="right"/>
        <w:rPr>
          <w:rFonts w:ascii="宋体" w:hAnsi="宋体"/>
          <w:color w:val="auto"/>
          <w:szCs w:val="21"/>
          <w:highlight w:val="none"/>
        </w:rPr>
      </w:pPr>
      <w:r>
        <w:rPr>
          <w:rFonts w:hint="eastAsia" w:ascii="宋体" w:hAnsi="宋体"/>
          <w:color w:val="auto"/>
          <w:szCs w:val="21"/>
          <w:highlight w:val="none"/>
        </w:rPr>
        <w:t>年  月  日</w:t>
      </w:r>
    </w:p>
    <w:p>
      <w:pPr>
        <w:autoSpaceDE w:val="0"/>
        <w:autoSpaceDN w:val="0"/>
        <w:adjustRightInd w:val="0"/>
        <w:spacing w:line="360" w:lineRule="auto"/>
        <w:jc w:val="left"/>
        <w:outlineLvl w:val="0"/>
        <w:rPr>
          <w:rFonts w:ascii="宋体" w:hAnsi="宋体"/>
          <w:color w:val="auto"/>
          <w:szCs w:val="21"/>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snapToGrid w:val="0"/>
          <w:color w:val="auto"/>
          <w:kern w:val="0"/>
          <w:sz w:val="36"/>
          <w:szCs w:val="36"/>
          <w:highlight w:val="none"/>
        </w:rPr>
      </w:pPr>
    </w:p>
    <w:p>
      <w:pPr>
        <w:autoSpaceDE w:val="0"/>
        <w:autoSpaceDN w:val="0"/>
        <w:adjustRightInd w:val="0"/>
        <w:spacing w:line="360" w:lineRule="auto"/>
        <w:jc w:val="center"/>
        <w:outlineLvl w:val="0"/>
        <w:rPr>
          <w:rFonts w:ascii="宋体" w:hAnsi="宋体"/>
          <w:b/>
          <w:snapToGrid w:val="0"/>
          <w:color w:val="auto"/>
          <w:kern w:val="0"/>
          <w:sz w:val="36"/>
          <w:szCs w:val="36"/>
          <w:highlight w:val="none"/>
        </w:rPr>
      </w:pPr>
      <w:r>
        <w:rPr>
          <w:rFonts w:ascii="宋体" w:hAnsi="宋体"/>
          <w:b/>
          <w:snapToGrid w:val="0"/>
          <w:color w:val="auto"/>
          <w:kern w:val="0"/>
          <w:sz w:val="36"/>
          <w:szCs w:val="36"/>
          <w:highlight w:val="none"/>
        </w:rPr>
        <w:t xml:space="preserve">3.5 </w:t>
      </w:r>
      <w:r>
        <w:rPr>
          <w:rFonts w:hint="eastAsia" w:ascii="宋体" w:hAnsi="宋体"/>
          <w:b/>
          <w:snapToGrid w:val="0"/>
          <w:color w:val="auto"/>
          <w:kern w:val="0"/>
          <w:sz w:val="36"/>
          <w:szCs w:val="36"/>
          <w:highlight w:val="none"/>
        </w:rPr>
        <w:t>投标人信用</w:t>
      </w:r>
    </w:p>
    <w:p>
      <w:pPr>
        <w:autoSpaceDE w:val="0"/>
        <w:autoSpaceDN w:val="0"/>
        <w:adjustRightInd w:val="0"/>
        <w:spacing w:line="360" w:lineRule="auto"/>
        <w:jc w:val="center"/>
        <w:outlineLvl w:val="0"/>
        <w:rPr>
          <w:rFonts w:ascii="宋体" w:hAnsi="宋体"/>
          <w:b/>
          <w:bCs/>
          <w:color w:val="auto"/>
          <w:sz w:val="24"/>
          <w:szCs w:val="24"/>
          <w:highlight w:val="none"/>
        </w:rPr>
      </w:pPr>
    </w:p>
    <w:p>
      <w:pPr>
        <w:tabs>
          <w:tab w:val="left" w:pos="3675"/>
        </w:tabs>
        <w:spacing w:line="360" w:lineRule="auto"/>
        <w:jc w:val="center"/>
        <w:rPr>
          <w:rFonts w:ascii="宋体" w:hAnsi="宋体"/>
          <w:color w:val="auto"/>
          <w:szCs w:val="21"/>
          <w:highlight w:val="none"/>
        </w:rPr>
      </w:pPr>
      <w:r>
        <w:rPr>
          <w:rFonts w:hint="eastAsia" w:ascii="宋体" w:hAnsi="宋体" w:cs="宋体"/>
          <w:color w:val="auto"/>
          <w:sz w:val="28"/>
          <w:szCs w:val="28"/>
          <w:highlight w:val="none"/>
          <w:lang w:val="zh-CN"/>
        </w:rPr>
        <w:t>（投标人根据招标文件要求附相关资料）</w:t>
      </w: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snapToGrid w:val="0"/>
          <w:color w:val="auto"/>
          <w:kern w:val="0"/>
          <w:sz w:val="36"/>
          <w:szCs w:val="36"/>
          <w:highlight w:val="none"/>
        </w:rPr>
      </w:pPr>
    </w:p>
    <w:p>
      <w:pPr>
        <w:autoSpaceDE w:val="0"/>
        <w:autoSpaceDN w:val="0"/>
        <w:adjustRightInd w:val="0"/>
        <w:spacing w:line="360" w:lineRule="auto"/>
        <w:jc w:val="center"/>
        <w:outlineLvl w:val="0"/>
        <w:rPr>
          <w:rFonts w:ascii="宋体" w:hAnsi="宋体"/>
          <w:b/>
          <w:snapToGrid w:val="0"/>
          <w:color w:val="auto"/>
          <w:kern w:val="0"/>
          <w:sz w:val="36"/>
          <w:szCs w:val="36"/>
          <w:highlight w:val="none"/>
        </w:rPr>
      </w:pPr>
    </w:p>
    <w:p>
      <w:pPr>
        <w:widowControl/>
        <w:jc w:val="left"/>
        <w:rPr>
          <w:rFonts w:ascii="宋体" w:hAnsi="宋体"/>
          <w:b/>
          <w:snapToGrid w:val="0"/>
          <w:color w:val="auto"/>
          <w:kern w:val="0"/>
          <w:sz w:val="36"/>
          <w:szCs w:val="36"/>
          <w:highlight w:val="none"/>
        </w:rPr>
      </w:pPr>
      <w:r>
        <w:rPr>
          <w:rFonts w:ascii="宋体" w:hAnsi="宋体"/>
          <w:b/>
          <w:snapToGrid w:val="0"/>
          <w:color w:val="auto"/>
          <w:kern w:val="0"/>
          <w:sz w:val="36"/>
          <w:szCs w:val="36"/>
          <w:highlight w:val="none"/>
        </w:rPr>
        <w:br w:type="page"/>
      </w:r>
    </w:p>
    <w:p>
      <w:pPr>
        <w:autoSpaceDE w:val="0"/>
        <w:autoSpaceDN w:val="0"/>
        <w:adjustRightInd w:val="0"/>
        <w:spacing w:line="360" w:lineRule="auto"/>
        <w:jc w:val="center"/>
        <w:outlineLvl w:val="0"/>
        <w:rPr>
          <w:rFonts w:ascii="宋体" w:hAnsi="宋体"/>
          <w:b/>
          <w:snapToGrid w:val="0"/>
          <w:color w:val="auto"/>
          <w:kern w:val="0"/>
          <w:sz w:val="36"/>
          <w:szCs w:val="36"/>
          <w:highlight w:val="none"/>
        </w:rPr>
      </w:pPr>
      <w:r>
        <w:rPr>
          <w:rFonts w:ascii="宋体" w:hAnsi="宋体"/>
          <w:b/>
          <w:snapToGrid w:val="0"/>
          <w:color w:val="auto"/>
          <w:kern w:val="0"/>
          <w:sz w:val="36"/>
          <w:szCs w:val="36"/>
          <w:highlight w:val="none"/>
        </w:rPr>
        <w:t>3.</w:t>
      </w:r>
      <w:r>
        <w:rPr>
          <w:rFonts w:hint="eastAsia" w:ascii="宋体" w:hAnsi="宋体"/>
          <w:b/>
          <w:snapToGrid w:val="0"/>
          <w:color w:val="auto"/>
          <w:kern w:val="0"/>
          <w:sz w:val="36"/>
          <w:szCs w:val="36"/>
          <w:highlight w:val="none"/>
        </w:rPr>
        <w:t>6会计师事务所专业服务许昌项目人员团队</w:t>
      </w:r>
    </w:p>
    <w:tbl>
      <w:tblPr>
        <w:tblStyle w:val="18"/>
        <w:tblW w:w="8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88"/>
        <w:gridCol w:w="858"/>
        <w:gridCol w:w="1715"/>
        <w:gridCol w:w="1857"/>
        <w:gridCol w:w="794"/>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5" w:hRule="atLeast"/>
          <w:jc w:val="center"/>
        </w:trPr>
        <w:tc>
          <w:tcPr>
            <w:tcW w:w="828" w:type="dxa"/>
            <w:vAlign w:val="center"/>
          </w:tcPr>
          <w:p>
            <w:pPr>
              <w:spacing w:line="460" w:lineRule="exact"/>
              <w:jc w:val="center"/>
              <w:rPr>
                <w:rFonts w:ascii="宋体" w:hAnsi="宋体"/>
                <w:b/>
                <w:bCs/>
                <w:color w:val="auto"/>
                <w:sz w:val="24"/>
                <w:highlight w:val="none"/>
              </w:rPr>
            </w:pPr>
            <w:r>
              <w:rPr>
                <w:rFonts w:hint="eastAsia" w:ascii="宋体" w:hAnsi="宋体"/>
                <w:b/>
                <w:color w:val="auto"/>
                <w:sz w:val="24"/>
                <w:highlight w:val="none"/>
              </w:rPr>
              <w:t>序号</w:t>
            </w:r>
          </w:p>
        </w:tc>
        <w:tc>
          <w:tcPr>
            <w:tcW w:w="1588" w:type="dxa"/>
            <w:vAlign w:val="center"/>
          </w:tcPr>
          <w:p>
            <w:pPr>
              <w:spacing w:line="460" w:lineRule="exact"/>
              <w:jc w:val="center"/>
              <w:rPr>
                <w:rFonts w:ascii="宋体" w:hAnsi="宋体"/>
                <w:b/>
                <w:bCs/>
                <w:color w:val="auto"/>
                <w:sz w:val="24"/>
                <w:highlight w:val="none"/>
              </w:rPr>
            </w:pPr>
            <w:r>
              <w:rPr>
                <w:rFonts w:hint="eastAsia" w:ascii="宋体" w:hAnsi="宋体"/>
                <w:b/>
                <w:color w:val="auto"/>
                <w:sz w:val="24"/>
                <w:highlight w:val="none"/>
              </w:rPr>
              <w:t>姓名</w:t>
            </w:r>
          </w:p>
        </w:tc>
        <w:tc>
          <w:tcPr>
            <w:tcW w:w="858" w:type="dxa"/>
            <w:vAlign w:val="center"/>
          </w:tcPr>
          <w:p>
            <w:pPr>
              <w:spacing w:line="460" w:lineRule="exact"/>
              <w:jc w:val="center"/>
              <w:rPr>
                <w:rFonts w:ascii="宋体" w:hAnsi="宋体"/>
                <w:b/>
                <w:bCs/>
                <w:color w:val="auto"/>
                <w:sz w:val="24"/>
                <w:highlight w:val="none"/>
              </w:rPr>
            </w:pPr>
            <w:r>
              <w:rPr>
                <w:rFonts w:hint="eastAsia" w:ascii="宋体" w:hAnsi="宋体"/>
                <w:b/>
                <w:color w:val="auto"/>
                <w:sz w:val="24"/>
                <w:highlight w:val="none"/>
              </w:rPr>
              <w:t>性别</w:t>
            </w:r>
          </w:p>
        </w:tc>
        <w:tc>
          <w:tcPr>
            <w:tcW w:w="1715" w:type="dxa"/>
            <w:vAlign w:val="center"/>
          </w:tcPr>
          <w:p>
            <w:pPr>
              <w:spacing w:line="460" w:lineRule="exact"/>
              <w:jc w:val="center"/>
              <w:rPr>
                <w:rFonts w:ascii="宋体" w:hAnsi="宋体"/>
                <w:b/>
                <w:bCs/>
                <w:color w:val="auto"/>
                <w:sz w:val="24"/>
                <w:highlight w:val="none"/>
              </w:rPr>
            </w:pPr>
            <w:r>
              <w:rPr>
                <w:rFonts w:hint="eastAsia" w:ascii="宋体" w:hAnsi="宋体"/>
                <w:b/>
                <w:color w:val="auto"/>
                <w:sz w:val="24"/>
                <w:highlight w:val="none"/>
              </w:rPr>
              <w:t>年龄</w:t>
            </w:r>
          </w:p>
        </w:tc>
        <w:tc>
          <w:tcPr>
            <w:tcW w:w="1857" w:type="dxa"/>
            <w:vAlign w:val="center"/>
          </w:tcPr>
          <w:p>
            <w:pPr>
              <w:spacing w:line="460" w:lineRule="exact"/>
              <w:jc w:val="center"/>
              <w:rPr>
                <w:rFonts w:ascii="宋体" w:hAnsi="宋体"/>
                <w:b/>
                <w:bCs/>
                <w:color w:val="auto"/>
                <w:sz w:val="24"/>
                <w:highlight w:val="none"/>
              </w:rPr>
            </w:pPr>
            <w:r>
              <w:rPr>
                <w:rFonts w:hint="eastAsia" w:ascii="宋体" w:hAnsi="宋体"/>
                <w:b/>
                <w:color w:val="auto"/>
                <w:sz w:val="24"/>
                <w:highlight w:val="none"/>
              </w:rPr>
              <w:t>资格证书号、证书类别</w:t>
            </w:r>
          </w:p>
        </w:tc>
        <w:tc>
          <w:tcPr>
            <w:tcW w:w="794" w:type="dxa"/>
            <w:vAlign w:val="center"/>
          </w:tcPr>
          <w:p>
            <w:pPr>
              <w:spacing w:line="460" w:lineRule="exact"/>
              <w:jc w:val="center"/>
              <w:rPr>
                <w:rFonts w:ascii="宋体" w:hAnsi="宋体"/>
                <w:b/>
                <w:bCs/>
                <w:color w:val="auto"/>
                <w:sz w:val="24"/>
                <w:highlight w:val="none"/>
              </w:rPr>
            </w:pPr>
            <w:r>
              <w:rPr>
                <w:rFonts w:hint="eastAsia" w:ascii="宋体" w:hAnsi="宋体"/>
                <w:b/>
                <w:bCs/>
                <w:color w:val="auto"/>
                <w:sz w:val="24"/>
                <w:highlight w:val="none"/>
              </w:rPr>
              <w:t>职称</w:t>
            </w:r>
          </w:p>
        </w:tc>
        <w:tc>
          <w:tcPr>
            <w:tcW w:w="780" w:type="dxa"/>
            <w:vAlign w:val="center"/>
          </w:tcPr>
          <w:p>
            <w:pPr>
              <w:spacing w:line="460" w:lineRule="exact"/>
              <w:jc w:val="center"/>
              <w:rPr>
                <w:rFonts w:ascii="宋体" w:hAnsi="宋体"/>
                <w:b/>
                <w:color w:val="auto"/>
                <w:sz w:val="24"/>
                <w:highlight w:val="none"/>
              </w:rPr>
            </w:pPr>
            <w:r>
              <w:rPr>
                <w:rFonts w:hint="eastAsia"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jc w:val="center"/>
        </w:trPr>
        <w:tc>
          <w:tcPr>
            <w:tcW w:w="828" w:type="dxa"/>
          </w:tcPr>
          <w:p>
            <w:pPr>
              <w:spacing w:line="460" w:lineRule="exact"/>
              <w:jc w:val="left"/>
              <w:rPr>
                <w:rFonts w:ascii="宋体" w:hAnsi="宋体"/>
                <w:b/>
                <w:bCs/>
                <w:color w:val="auto"/>
                <w:sz w:val="24"/>
                <w:highlight w:val="none"/>
              </w:rPr>
            </w:pPr>
          </w:p>
        </w:tc>
        <w:tc>
          <w:tcPr>
            <w:tcW w:w="1588" w:type="dxa"/>
          </w:tcPr>
          <w:p>
            <w:pPr>
              <w:spacing w:line="460" w:lineRule="exact"/>
              <w:jc w:val="left"/>
              <w:rPr>
                <w:rFonts w:ascii="宋体" w:hAnsi="宋体"/>
                <w:b/>
                <w:bCs/>
                <w:color w:val="auto"/>
                <w:sz w:val="24"/>
                <w:highlight w:val="none"/>
              </w:rPr>
            </w:pPr>
          </w:p>
        </w:tc>
        <w:tc>
          <w:tcPr>
            <w:tcW w:w="858" w:type="dxa"/>
          </w:tcPr>
          <w:p>
            <w:pPr>
              <w:spacing w:line="460" w:lineRule="exact"/>
              <w:jc w:val="left"/>
              <w:rPr>
                <w:rFonts w:ascii="宋体" w:hAnsi="宋体"/>
                <w:b/>
                <w:bCs/>
                <w:color w:val="auto"/>
                <w:sz w:val="24"/>
                <w:highlight w:val="none"/>
              </w:rPr>
            </w:pPr>
          </w:p>
        </w:tc>
        <w:tc>
          <w:tcPr>
            <w:tcW w:w="1715" w:type="dxa"/>
          </w:tcPr>
          <w:p>
            <w:pPr>
              <w:spacing w:line="460" w:lineRule="exact"/>
              <w:jc w:val="left"/>
              <w:rPr>
                <w:rFonts w:ascii="宋体" w:hAnsi="宋体"/>
                <w:b/>
                <w:bCs/>
                <w:color w:val="auto"/>
                <w:sz w:val="24"/>
                <w:highlight w:val="none"/>
              </w:rPr>
            </w:pPr>
          </w:p>
        </w:tc>
        <w:tc>
          <w:tcPr>
            <w:tcW w:w="1857" w:type="dxa"/>
          </w:tcPr>
          <w:p>
            <w:pPr>
              <w:spacing w:line="460" w:lineRule="exact"/>
              <w:jc w:val="left"/>
              <w:rPr>
                <w:rFonts w:ascii="宋体" w:hAnsi="宋体"/>
                <w:b/>
                <w:bCs/>
                <w:color w:val="auto"/>
                <w:sz w:val="24"/>
                <w:highlight w:val="none"/>
              </w:rPr>
            </w:pPr>
          </w:p>
        </w:tc>
        <w:tc>
          <w:tcPr>
            <w:tcW w:w="794" w:type="dxa"/>
          </w:tcPr>
          <w:p>
            <w:pPr>
              <w:spacing w:line="460" w:lineRule="exact"/>
              <w:jc w:val="left"/>
              <w:rPr>
                <w:rFonts w:ascii="宋体" w:hAnsi="宋体"/>
                <w:b/>
                <w:bCs/>
                <w:color w:val="auto"/>
                <w:sz w:val="24"/>
                <w:highlight w:val="none"/>
              </w:rPr>
            </w:pPr>
          </w:p>
        </w:tc>
        <w:tc>
          <w:tcPr>
            <w:tcW w:w="780" w:type="dxa"/>
          </w:tcPr>
          <w:p>
            <w:pPr>
              <w:spacing w:line="460" w:lineRule="exact"/>
              <w:jc w:val="left"/>
              <w:rPr>
                <w:rFonts w:ascii="宋体" w:hAnsi="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hAnsi="宋体"/>
                <w:b/>
                <w:bCs/>
                <w:color w:val="auto"/>
                <w:sz w:val="24"/>
                <w:highlight w:val="none"/>
              </w:rPr>
            </w:pPr>
          </w:p>
        </w:tc>
        <w:tc>
          <w:tcPr>
            <w:tcW w:w="1588" w:type="dxa"/>
          </w:tcPr>
          <w:p>
            <w:pPr>
              <w:spacing w:line="460" w:lineRule="exact"/>
              <w:jc w:val="left"/>
              <w:rPr>
                <w:rFonts w:ascii="宋体" w:hAnsi="宋体"/>
                <w:b/>
                <w:bCs/>
                <w:color w:val="auto"/>
                <w:sz w:val="24"/>
                <w:highlight w:val="none"/>
              </w:rPr>
            </w:pPr>
          </w:p>
        </w:tc>
        <w:tc>
          <w:tcPr>
            <w:tcW w:w="858" w:type="dxa"/>
          </w:tcPr>
          <w:p>
            <w:pPr>
              <w:spacing w:line="460" w:lineRule="exact"/>
              <w:jc w:val="left"/>
              <w:rPr>
                <w:rFonts w:ascii="宋体" w:hAnsi="宋体"/>
                <w:b/>
                <w:bCs/>
                <w:color w:val="auto"/>
                <w:sz w:val="24"/>
                <w:highlight w:val="none"/>
              </w:rPr>
            </w:pPr>
          </w:p>
        </w:tc>
        <w:tc>
          <w:tcPr>
            <w:tcW w:w="1715" w:type="dxa"/>
          </w:tcPr>
          <w:p>
            <w:pPr>
              <w:spacing w:line="460" w:lineRule="exact"/>
              <w:jc w:val="left"/>
              <w:rPr>
                <w:rFonts w:ascii="宋体" w:hAnsi="宋体"/>
                <w:b/>
                <w:bCs/>
                <w:color w:val="auto"/>
                <w:sz w:val="24"/>
                <w:highlight w:val="none"/>
              </w:rPr>
            </w:pPr>
          </w:p>
        </w:tc>
        <w:tc>
          <w:tcPr>
            <w:tcW w:w="1857" w:type="dxa"/>
          </w:tcPr>
          <w:p>
            <w:pPr>
              <w:spacing w:line="460" w:lineRule="exact"/>
              <w:jc w:val="left"/>
              <w:rPr>
                <w:rFonts w:ascii="宋体" w:hAnsi="宋体"/>
                <w:b/>
                <w:bCs/>
                <w:color w:val="auto"/>
                <w:sz w:val="24"/>
                <w:highlight w:val="none"/>
              </w:rPr>
            </w:pPr>
          </w:p>
        </w:tc>
        <w:tc>
          <w:tcPr>
            <w:tcW w:w="794" w:type="dxa"/>
          </w:tcPr>
          <w:p>
            <w:pPr>
              <w:spacing w:line="460" w:lineRule="exact"/>
              <w:jc w:val="left"/>
              <w:rPr>
                <w:rFonts w:ascii="宋体" w:hAnsi="宋体"/>
                <w:b/>
                <w:bCs/>
                <w:color w:val="auto"/>
                <w:sz w:val="24"/>
                <w:highlight w:val="none"/>
              </w:rPr>
            </w:pPr>
          </w:p>
        </w:tc>
        <w:tc>
          <w:tcPr>
            <w:tcW w:w="780" w:type="dxa"/>
          </w:tcPr>
          <w:p>
            <w:pPr>
              <w:spacing w:line="460" w:lineRule="exact"/>
              <w:jc w:val="left"/>
              <w:rPr>
                <w:rFonts w:ascii="宋体" w:hAnsi="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hAnsi="宋体"/>
                <w:b/>
                <w:bCs/>
                <w:color w:val="auto"/>
                <w:sz w:val="24"/>
                <w:highlight w:val="none"/>
              </w:rPr>
            </w:pPr>
          </w:p>
        </w:tc>
        <w:tc>
          <w:tcPr>
            <w:tcW w:w="1588" w:type="dxa"/>
          </w:tcPr>
          <w:p>
            <w:pPr>
              <w:spacing w:line="460" w:lineRule="exact"/>
              <w:jc w:val="left"/>
              <w:rPr>
                <w:rFonts w:ascii="宋体" w:hAnsi="宋体"/>
                <w:b/>
                <w:bCs/>
                <w:color w:val="auto"/>
                <w:sz w:val="24"/>
                <w:highlight w:val="none"/>
              </w:rPr>
            </w:pPr>
          </w:p>
        </w:tc>
        <w:tc>
          <w:tcPr>
            <w:tcW w:w="858" w:type="dxa"/>
          </w:tcPr>
          <w:p>
            <w:pPr>
              <w:spacing w:line="460" w:lineRule="exact"/>
              <w:jc w:val="left"/>
              <w:rPr>
                <w:rFonts w:ascii="宋体" w:hAnsi="宋体"/>
                <w:b/>
                <w:bCs/>
                <w:color w:val="auto"/>
                <w:sz w:val="24"/>
                <w:highlight w:val="none"/>
              </w:rPr>
            </w:pPr>
          </w:p>
        </w:tc>
        <w:tc>
          <w:tcPr>
            <w:tcW w:w="1715" w:type="dxa"/>
          </w:tcPr>
          <w:p>
            <w:pPr>
              <w:spacing w:line="460" w:lineRule="exact"/>
              <w:jc w:val="left"/>
              <w:rPr>
                <w:rFonts w:ascii="宋体" w:hAnsi="宋体"/>
                <w:b/>
                <w:bCs/>
                <w:color w:val="auto"/>
                <w:sz w:val="24"/>
                <w:highlight w:val="none"/>
              </w:rPr>
            </w:pPr>
          </w:p>
        </w:tc>
        <w:tc>
          <w:tcPr>
            <w:tcW w:w="1857" w:type="dxa"/>
          </w:tcPr>
          <w:p>
            <w:pPr>
              <w:spacing w:line="460" w:lineRule="exact"/>
              <w:jc w:val="left"/>
              <w:rPr>
                <w:rFonts w:ascii="宋体" w:hAnsi="宋体"/>
                <w:b/>
                <w:bCs/>
                <w:color w:val="auto"/>
                <w:sz w:val="24"/>
                <w:highlight w:val="none"/>
              </w:rPr>
            </w:pPr>
          </w:p>
        </w:tc>
        <w:tc>
          <w:tcPr>
            <w:tcW w:w="794" w:type="dxa"/>
          </w:tcPr>
          <w:p>
            <w:pPr>
              <w:spacing w:line="460" w:lineRule="exact"/>
              <w:jc w:val="left"/>
              <w:rPr>
                <w:rFonts w:ascii="宋体" w:hAnsi="宋体"/>
                <w:b/>
                <w:bCs/>
                <w:color w:val="auto"/>
                <w:sz w:val="24"/>
                <w:highlight w:val="none"/>
              </w:rPr>
            </w:pPr>
          </w:p>
        </w:tc>
        <w:tc>
          <w:tcPr>
            <w:tcW w:w="780" w:type="dxa"/>
          </w:tcPr>
          <w:p>
            <w:pPr>
              <w:spacing w:line="460" w:lineRule="exact"/>
              <w:jc w:val="left"/>
              <w:rPr>
                <w:rFonts w:ascii="宋体" w:hAnsi="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hAnsi="宋体"/>
                <w:b/>
                <w:bCs/>
                <w:color w:val="auto"/>
                <w:sz w:val="24"/>
                <w:highlight w:val="none"/>
              </w:rPr>
            </w:pPr>
          </w:p>
        </w:tc>
        <w:tc>
          <w:tcPr>
            <w:tcW w:w="1588" w:type="dxa"/>
          </w:tcPr>
          <w:p>
            <w:pPr>
              <w:spacing w:line="460" w:lineRule="exact"/>
              <w:jc w:val="left"/>
              <w:rPr>
                <w:rFonts w:ascii="宋体" w:hAnsi="宋体"/>
                <w:b/>
                <w:bCs/>
                <w:color w:val="auto"/>
                <w:sz w:val="24"/>
                <w:highlight w:val="none"/>
              </w:rPr>
            </w:pPr>
          </w:p>
        </w:tc>
        <w:tc>
          <w:tcPr>
            <w:tcW w:w="858" w:type="dxa"/>
          </w:tcPr>
          <w:p>
            <w:pPr>
              <w:spacing w:line="460" w:lineRule="exact"/>
              <w:jc w:val="left"/>
              <w:rPr>
                <w:rFonts w:ascii="宋体" w:hAnsi="宋体"/>
                <w:b/>
                <w:bCs/>
                <w:color w:val="auto"/>
                <w:sz w:val="24"/>
                <w:highlight w:val="none"/>
              </w:rPr>
            </w:pPr>
          </w:p>
        </w:tc>
        <w:tc>
          <w:tcPr>
            <w:tcW w:w="1715" w:type="dxa"/>
          </w:tcPr>
          <w:p>
            <w:pPr>
              <w:spacing w:line="460" w:lineRule="exact"/>
              <w:jc w:val="left"/>
              <w:rPr>
                <w:rFonts w:ascii="宋体" w:hAnsi="宋体"/>
                <w:b/>
                <w:bCs/>
                <w:color w:val="auto"/>
                <w:sz w:val="24"/>
                <w:highlight w:val="none"/>
              </w:rPr>
            </w:pPr>
          </w:p>
        </w:tc>
        <w:tc>
          <w:tcPr>
            <w:tcW w:w="1857" w:type="dxa"/>
          </w:tcPr>
          <w:p>
            <w:pPr>
              <w:spacing w:line="460" w:lineRule="exact"/>
              <w:jc w:val="left"/>
              <w:rPr>
                <w:rFonts w:ascii="宋体" w:hAnsi="宋体"/>
                <w:b/>
                <w:bCs/>
                <w:color w:val="auto"/>
                <w:sz w:val="24"/>
                <w:highlight w:val="none"/>
              </w:rPr>
            </w:pPr>
          </w:p>
        </w:tc>
        <w:tc>
          <w:tcPr>
            <w:tcW w:w="794" w:type="dxa"/>
          </w:tcPr>
          <w:p>
            <w:pPr>
              <w:spacing w:line="460" w:lineRule="exact"/>
              <w:jc w:val="left"/>
              <w:rPr>
                <w:rFonts w:ascii="宋体" w:hAnsi="宋体"/>
                <w:b/>
                <w:bCs/>
                <w:color w:val="auto"/>
                <w:sz w:val="24"/>
                <w:highlight w:val="none"/>
              </w:rPr>
            </w:pPr>
          </w:p>
        </w:tc>
        <w:tc>
          <w:tcPr>
            <w:tcW w:w="780" w:type="dxa"/>
          </w:tcPr>
          <w:p>
            <w:pPr>
              <w:spacing w:line="460" w:lineRule="exact"/>
              <w:jc w:val="left"/>
              <w:rPr>
                <w:rFonts w:ascii="宋体" w:hAnsi="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65" w:hRule="atLeast"/>
          <w:jc w:val="center"/>
        </w:trPr>
        <w:tc>
          <w:tcPr>
            <w:tcW w:w="828" w:type="dxa"/>
          </w:tcPr>
          <w:p>
            <w:pPr>
              <w:spacing w:line="460" w:lineRule="exact"/>
              <w:jc w:val="left"/>
              <w:rPr>
                <w:rFonts w:ascii="宋体" w:hAnsi="宋体"/>
                <w:b/>
                <w:bCs/>
                <w:color w:val="auto"/>
                <w:sz w:val="24"/>
                <w:highlight w:val="none"/>
              </w:rPr>
            </w:pPr>
          </w:p>
        </w:tc>
        <w:tc>
          <w:tcPr>
            <w:tcW w:w="1588" w:type="dxa"/>
          </w:tcPr>
          <w:p>
            <w:pPr>
              <w:spacing w:line="460" w:lineRule="exact"/>
              <w:jc w:val="left"/>
              <w:rPr>
                <w:rFonts w:ascii="宋体" w:hAnsi="宋体"/>
                <w:b/>
                <w:bCs/>
                <w:color w:val="auto"/>
                <w:sz w:val="24"/>
                <w:highlight w:val="none"/>
              </w:rPr>
            </w:pPr>
          </w:p>
        </w:tc>
        <w:tc>
          <w:tcPr>
            <w:tcW w:w="858" w:type="dxa"/>
          </w:tcPr>
          <w:p>
            <w:pPr>
              <w:spacing w:line="460" w:lineRule="exact"/>
              <w:jc w:val="left"/>
              <w:rPr>
                <w:rFonts w:ascii="宋体" w:hAnsi="宋体"/>
                <w:b/>
                <w:bCs/>
                <w:color w:val="auto"/>
                <w:sz w:val="24"/>
                <w:highlight w:val="none"/>
              </w:rPr>
            </w:pPr>
          </w:p>
        </w:tc>
        <w:tc>
          <w:tcPr>
            <w:tcW w:w="1715" w:type="dxa"/>
          </w:tcPr>
          <w:p>
            <w:pPr>
              <w:spacing w:line="460" w:lineRule="exact"/>
              <w:jc w:val="left"/>
              <w:rPr>
                <w:rFonts w:ascii="宋体" w:hAnsi="宋体"/>
                <w:b/>
                <w:bCs/>
                <w:color w:val="auto"/>
                <w:sz w:val="24"/>
                <w:highlight w:val="none"/>
              </w:rPr>
            </w:pPr>
          </w:p>
        </w:tc>
        <w:tc>
          <w:tcPr>
            <w:tcW w:w="1857" w:type="dxa"/>
          </w:tcPr>
          <w:p>
            <w:pPr>
              <w:spacing w:line="460" w:lineRule="exact"/>
              <w:jc w:val="left"/>
              <w:rPr>
                <w:rFonts w:ascii="宋体" w:hAnsi="宋体"/>
                <w:b/>
                <w:bCs/>
                <w:color w:val="auto"/>
                <w:sz w:val="24"/>
                <w:highlight w:val="none"/>
              </w:rPr>
            </w:pPr>
          </w:p>
        </w:tc>
        <w:tc>
          <w:tcPr>
            <w:tcW w:w="794" w:type="dxa"/>
          </w:tcPr>
          <w:p>
            <w:pPr>
              <w:spacing w:line="460" w:lineRule="exact"/>
              <w:jc w:val="left"/>
              <w:rPr>
                <w:rFonts w:ascii="宋体" w:hAnsi="宋体"/>
                <w:b/>
                <w:bCs/>
                <w:color w:val="auto"/>
                <w:sz w:val="24"/>
                <w:highlight w:val="none"/>
              </w:rPr>
            </w:pPr>
          </w:p>
        </w:tc>
        <w:tc>
          <w:tcPr>
            <w:tcW w:w="780" w:type="dxa"/>
          </w:tcPr>
          <w:p>
            <w:pPr>
              <w:spacing w:line="460" w:lineRule="exact"/>
              <w:jc w:val="left"/>
              <w:rPr>
                <w:rFonts w:ascii="宋体" w:hAnsi="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hAnsi="宋体"/>
                <w:b/>
                <w:bCs/>
                <w:color w:val="auto"/>
                <w:sz w:val="24"/>
                <w:highlight w:val="none"/>
              </w:rPr>
            </w:pPr>
          </w:p>
        </w:tc>
        <w:tc>
          <w:tcPr>
            <w:tcW w:w="1588" w:type="dxa"/>
          </w:tcPr>
          <w:p>
            <w:pPr>
              <w:spacing w:line="460" w:lineRule="exact"/>
              <w:jc w:val="left"/>
              <w:rPr>
                <w:rFonts w:ascii="宋体" w:hAnsi="宋体"/>
                <w:b/>
                <w:bCs/>
                <w:color w:val="auto"/>
                <w:sz w:val="24"/>
                <w:highlight w:val="none"/>
              </w:rPr>
            </w:pPr>
          </w:p>
        </w:tc>
        <w:tc>
          <w:tcPr>
            <w:tcW w:w="858" w:type="dxa"/>
          </w:tcPr>
          <w:p>
            <w:pPr>
              <w:spacing w:line="460" w:lineRule="exact"/>
              <w:jc w:val="left"/>
              <w:rPr>
                <w:rFonts w:ascii="宋体" w:hAnsi="宋体"/>
                <w:b/>
                <w:bCs/>
                <w:color w:val="auto"/>
                <w:sz w:val="24"/>
                <w:highlight w:val="none"/>
              </w:rPr>
            </w:pPr>
          </w:p>
        </w:tc>
        <w:tc>
          <w:tcPr>
            <w:tcW w:w="1715" w:type="dxa"/>
          </w:tcPr>
          <w:p>
            <w:pPr>
              <w:spacing w:line="460" w:lineRule="exact"/>
              <w:jc w:val="left"/>
              <w:rPr>
                <w:rFonts w:ascii="宋体" w:hAnsi="宋体"/>
                <w:b/>
                <w:bCs/>
                <w:color w:val="auto"/>
                <w:sz w:val="24"/>
                <w:highlight w:val="none"/>
              </w:rPr>
            </w:pPr>
          </w:p>
        </w:tc>
        <w:tc>
          <w:tcPr>
            <w:tcW w:w="1857" w:type="dxa"/>
          </w:tcPr>
          <w:p>
            <w:pPr>
              <w:spacing w:line="460" w:lineRule="exact"/>
              <w:jc w:val="left"/>
              <w:rPr>
                <w:rFonts w:ascii="宋体" w:hAnsi="宋体"/>
                <w:b/>
                <w:bCs/>
                <w:color w:val="auto"/>
                <w:sz w:val="24"/>
                <w:highlight w:val="none"/>
              </w:rPr>
            </w:pPr>
          </w:p>
        </w:tc>
        <w:tc>
          <w:tcPr>
            <w:tcW w:w="794" w:type="dxa"/>
          </w:tcPr>
          <w:p>
            <w:pPr>
              <w:spacing w:line="460" w:lineRule="exact"/>
              <w:jc w:val="left"/>
              <w:rPr>
                <w:rFonts w:ascii="宋体" w:hAnsi="宋体"/>
                <w:b/>
                <w:bCs/>
                <w:color w:val="auto"/>
                <w:sz w:val="24"/>
                <w:highlight w:val="none"/>
              </w:rPr>
            </w:pPr>
          </w:p>
        </w:tc>
        <w:tc>
          <w:tcPr>
            <w:tcW w:w="780" w:type="dxa"/>
          </w:tcPr>
          <w:p>
            <w:pPr>
              <w:spacing w:line="460" w:lineRule="exact"/>
              <w:jc w:val="left"/>
              <w:rPr>
                <w:rFonts w:ascii="宋体" w:hAnsi="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828" w:type="dxa"/>
          </w:tcPr>
          <w:p>
            <w:pPr>
              <w:spacing w:line="460" w:lineRule="exact"/>
              <w:jc w:val="left"/>
              <w:rPr>
                <w:rFonts w:ascii="宋体" w:hAnsi="宋体"/>
                <w:b/>
                <w:bCs/>
                <w:color w:val="auto"/>
                <w:szCs w:val="21"/>
                <w:highlight w:val="none"/>
              </w:rPr>
            </w:pPr>
            <w:r>
              <w:rPr>
                <w:rFonts w:hint="eastAsia" w:ascii="宋体" w:hAnsi="宋体"/>
                <w:b/>
                <w:bCs/>
                <w:color w:val="auto"/>
                <w:szCs w:val="21"/>
                <w:highlight w:val="none"/>
              </w:rPr>
              <w:t>…</w:t>
            </w:r>
          </w:p>
        </w:tc>
        <w:tc>
          <w:tcPr>
            <w:tcW w:w="1588" w:type="dxa"/>
          </w:tcPr>
          <w:p>
            <w:pPr>
              <w:spacing w:line="460" w:lineRule="exact"/>
              <w:jc w:val="left"/>
              <w:rPr>
                <w:rFonts w:ascii="宋体" w:hAnsi="宋体"/>
                <w:b/>
                <w:bCs/>
                <w:color w:val="auto"/>
                <w:szCs w:val="21"/>
                <w:highlight w:val="none"/>
              </w:rPr>
            </w:pPr>
            <w:r>
              <w:rPr>
                <w:rFonts w:hint="eastAsia" w:ascii="宋体" w:hAnsi="宋体"/>
                <w:b/>
                <w:bCs/>
                <w:color w:val="auto"/>
                <w:szCs w:val="21"/>
                <w:highlight w:val="none"/>
              </w:rPr>
              <w:t>…</w:t>
            </w:r>
          </w:p>
        </w:tc>
        <w:tc>
          <w:tcPr>
            <w:tcW w:w="858" w:type="dxa"/>
          </w:tcPr>
          <w:p>
            <w:pPr>
              <w:spacing w:line="460" w:lineRule="exact"/>
              <w:jc w:val="left"/>
              <w:rPr>
                <w:rFonts w:ascii="宋体" w:hAnsi="宋体"/>
                <w:b/>
                <w:bCs/>
                <w:color w:val="auto"/>
                <w:szCs w:val="21"/>
                <w:highlight w:val="none"/>
              </w:rPr>
            </w:pPr>
            <w:r>
              <w:rPr>
                <w:rFonts w:hint="eastAsia" w:ascii="宋体" w:hAnsi="宋体"/>
                <w:b/>
                <w:bCs/>
                <w:color w:val="auto"/>
                <w:szCs w:val="21"/>
                <w:highlight w:val="none"/>
              </w:rPr>
              <w:t>…</w:t>
            </w:r>
          </w:p>
        </w:tc>
        <w:tc>
          <w:tcPr>
            <w:tcW w:w="1715" w:type="dxa"/>
          </w:tcPr>
          <w:p>
            <w:pPr>
              <w:spacing w:line="460" w:lineRule="exact"/>
              <w:jc w:val="left"/>
              <w:rPr>
                <w:rFonts w:ascii="宋体" w:hAnsi="宋体"/>
                <w:b/>
                <w:bCs/>
                <w:color w:val="auto"/>
                <w:szCs w:val="21"/>
                <w:highlight w:val="none"/>
              </w:rPr>
            </w:pPr>
          </w:p>
        </w:tc>
        <w:tc>
          <w:tcPr>
            <w:tcW w:w="1857" w:type="dxa"/>
          </w:tcPr>
          <w:p>
            <w:pPr>
              <w:spacing w:line="460" w:lineRule="exact"/>
              <w:jc w:val="left"/>
              <w:rPr>
                <w:rFonts w:ascii="宋体" w:hAnsi="宋体"/>
                <w:b/>
                <w:bCs/>
                <w:color w:val="auto"/>
                <w:szCs w:val="21"/>
                <w:highlight w:val="none"/>
              </w:rPr>
            </w:pPr>
          </w:p>
        </w:tc>
        <w:tc>
          <w:tcPr>
            <w:tcW w:w="794" w:type="dxa"/>
          </w:tcPr>
          <w:p>
            <w:pPr>
              <w:spacing w:line="460" w:lineRule="exact"/>
              <w:jc w:val="left"/>
              <w:rPr>
                <w:rFonts w:ascii="宋体" w:hAnsi="宋体"/>
                <w:b/>
                <w:bCs/>
                <w:color w:val="auto"/>
                <w:szCs w:val="21"/>
                <w:highlight w:val="none"/>
              </w:rPr>
            </w:pPr>
          </w:p>
        </w:tc>
        <w:tc>
          <w:tcPr>
            <w:tcW w:w="780" w:type="dxa"/>
          </w:tcPr>
          <w:p>
            <w:pPr>
              <w:spacing w:line="460" w:lineRule="exact"/>
              <w:jc w:val="left"/>
              <w:rPr>
                <w:rFonts w:ascii="宋体" w:hAnsi="宋体"/>
                <w:b/>
                <w:bCs/>
                <w:color w:val="auto"/>
                <w:szCs w:val="21"/>
                <w:highlight w:val="none"/>
              </w:rPr>
            </w:pPr>
          </w:p>
        </w:tc>
      </w:tr>
    </w:tbl>
    <w:p>
      <w:pPr>
        <w:tabs>
          <w:tab w:val="left" w:pos="1260"/>
        </w:tabs>
        <w:autoSpaceDE w:val="0"/>
        <w:autoSpaceDN w:val="0"/>
        <w:spacing w:line="360" w:lineRule="auto"/>
        <w:ind w:firstLine="482" w:firstLineChars="200"/>
        <w:contextualSpacing/>
        <w:rPr>
          <w:rFonts w:ascii="宋体" w:hAnsi="宋体" w:cs="仿宋_GB2312"/>
          <w:color w:val="auto"/>
          <w:sz w:val="24"/>
          <w:szCs w:val="24"/>
          <w:highlight w:val="none"/>
        </w:rPr>
      </w:pPr>
      <w:r>
        <w:rPr>
          <w:rFonts w:hint="eastAsia" w:ascii="宋体" w:hAnsi="宋体"/>
          <w:b/>
          <w:bCs/>
          <w:color w:val="auto"/>
          <w:sz w:val="24"/>
          <w:highlight w:val="none"/>
        </w:rPr>
        <w:t>注：</w:t>
      </w:r>
      <w:r>
        <w:rPr>
          <w:rFonts w:hint="eastAsia" w:ascii="宋体" w:hAnsi="宋体" w:cs="仿宋_GB2312"/>
          <w:color w:val="auto"/>
          <w:sz w:val="24"/>
          <w:szCs w:val="24"/>
          <w:highlight w:val="none"/>
        </w:rPr>
        <w:t>提供拟投入专业服务许昌项目人员团队名单，包括拟投入本项目注册会计师和其他工作人员。所提供专业团队名单，在服务期限内该团队80%专业技术人员保持固定，还需提供专业服务许昌项目团队名单中全部人员的社保缴纳证明</w:t>
      </w:r>
      <w:r>
        <w:rPr>
          <w:rFonts w:hint="eastAsia" w:ascii="宋体" w:hAnsi="宋体" w:cs="仿宋_GB2312"/>
          <w:color w:val="auto"/>
          <w:sz w:val="24"/>
          <w:szCs w:val="24"/>
          <w:highlight w:val="none"/>
        </w:rPr>
        <w:t>（截止开标时间前半年内任意一个月）</w:t>
      </w:r>
      <w:r>
        <w:rPr>
          <w:rFonts w:hint="eastAsia" w:ascii="宋体" w:hAnsi="宋体" w:cs="仿宋_GB2312"/>
          <w:color w:val="auto"/>
          <w:sz w:val="24"/>
          <w:szCs w:val="24"/>
          <w:highlight w:val="none"/>
        </w:rPr>
        <w:t>。（依法不需要缴纳社会保障资金的投标人，应提供相应文件证明依法不需要缴纳社会保障资金）</w:t>
      </w:r>
    </w:p>
    <w:p>
      <w:pPr>
        <w:spacing w:line="460" w:lineRule="exact"/>
        <w:jc w:val="left"/>
        <w:rPr>
          <w:rFonts w:ascii="宋体" w:hAnsi="宋体"/>
          <w:b/>
          <w:bCs/>
          <w:color w:val="auto"/>
          <w:sz w:val="24"/>
          <w:highlight w:val="none"/>
        </w:rPr>
      </w:pPr>
    </w:p>
    <w:p>
      <w:pPr>
        <w:spacing w:line="460" w:lineRule="exact"/>
        <w:jc w:val="center"/>
        <w:rPr>
          <w:rFonts w:ascii="宋体" w:hAnsi="宋体"/>
          <w:b/>
          <w:snapToGrid w:val="0"/>
          <w:color w:val="auto"/>
          <w:kern w:val="0"/>
          <w:sz w:val="36"/>
          <w:szCs w:val="36"/>
          <w:highlight w:val="none"/>
        </w:rPr>
      </w:pPr>
    </w:p>
    <w:p>
      <w:pPr>
        <w:spacing w:line="460" w:lineRule="exact"/>
        <w:jc w:val="center"/>
        <w:rPr>
          <w:rFonts w:ascii="宋体" w:hAnsi="宋体"/>
          <w:b/>
          <w:snapToGrid w:val="0"/>
          <w:color w:val="auto"/>
          <w:kern w:val="0"/>
          <w:sz w:val="36"/>
          <w:szCs w:val="36"/>
          <w:highlight w:val="none"/>
        </w:rPr>
      </w:pPr>
    </w:p>
    <w:p>
      <w:pPr>
        <w:spacing w:line="460" w:lineRule="exact"/>
        <w:jc w:val="center"/>
        <w:rPr>
          <w:rFonts w:ascii="宋体" w:hAnsi="宋体"/>
          <w:b/>
          <w:snapToGrid w:val="0"/>
          <w:color w:val="auto"/>
          <w:kern w:val="0"/>
          <w:sz w:val="36"/>
          <w:szCs w:val="36"/>
          <w:highlight w:val="none"/>
        </w:rPr>
      </w:pPr>
    </w:p>
    <w:p>
      <w:pPr>
        <w:spacing w:line="460" w:lineRule="exact"/>
        <w:jc w:val="center"/>
        <w:rPr>
          <w:rFonts w:ascii="宋体" w:hAnsi="宋体"/>
          <w:b/>
          <w:snapToGrid w:val="0"/>
          <w:color w:val="auto"/>
          <w:kern w:val="0"/>
          <w:sz w:val="36"/>
          <w:szCs w:val="36"/>
          <w:highlight w:val="none"/>
        </w:rPr>
      </w:pPr>
    </w:p>
    <w:p>
      <w:pPr>
        <w:spacing w:line="460" w:lineRule="exact"/>
        <w:jc w:val="center"/>
        <w:rPr>
          <w:rFonts w:ascii="宋体" w:hAnsi="宋体"/>
          <w:b/>
          <w:snapToGrid w:val="0"/>
          <w:color w:val="auto"/>
          <w:kern w:val="0"/>
          <w:sz w:val="36"/>
          <w:szCs w:val="36"/>
          <w:highlight w:val="none"/>
        </w:rPr>
      </w:pPr>
    </w:p>
    <w:p>
      <w:pPr>
        <w:spacing w:line="460" w:lineRule="exact"/>
        <w:jc w:val="center"/>
        <w:rPr>
          <w:rFonts w:ascii="宋体" w:hAnsi="宋体"/>
          <w:b/>
          <w:snapToGrid w:val="0"/>
          <w:color w:val="auto"/>
          <w:kern w:val="0"/>
          <w:sz w:val="36"/>
          <w:szCs w:val="36"/>
          <w:highlight w:val="none"/>
        </w:rPr>
      </w:pPr>
    </w:p>
    <w:p>
      <w:pPr>
        <w:spacing w:line="460" w:lineRule="exact"/>
        <w:jc w:val="center"/>
        <w:rPr>
          <w:rFonts w:ascii="宋体" w:hAnsi="宋体"/>
          <w:b/>
          <w:snapToGrid w:val="0"/>
          <w:color w:val="auto"/>
          <w:kern w:val="0"/>
          <w:sz w:val="36"/>
          <w:szCs w:val="36"/>
          <w:highlight w:val="none"/>
        </w:rPr>
      </w:pPr>
    </w:p>
    <w:p>
      <w:pPr>
        <w:spacing w:line="460" w:lineRule="exact"/>
        <w:jc w:val="center"/>
        <w:rPr>
          <w:rFonts w:ascii="宋体" w:hAnsi="宋体"/>
          <w:b/>
          <w:snapToGrid w:val="0"/>
          <w:color w:val="auto"/>
          <w:kern w:val="0"/>
          <w:sz w:val="36"/>
          <w:szCs w:val="36"/>
          <w:highlight w:val="none"/>
        </w:rPr>
      </w:pPr>
    </w:p>
    <w:p>
      <w:pPr>
        <w:spacing w:line="460" w:lineRule="exact"/>
        <w:jc w:val="center"/>
        <w:rPr>
          <w:rFonts w:ascii="宋体" w:hAnsi="宋体"/>
          <w:b/>
          <w:snapToGrid w:val="0"/>
          <w:color w:val="auto"/>
          <w:kern w:val="0"/>
          <w:sz w:val="36"/>
          <w:szCs w:val="36"/>
          <w:highlight w:val="none"/>
        </w:rPr>
      </w:pPr>
    </w:p>
    <w:p>
      <w:pPr>
        <w:spacing w:line="460" w:lineRule="exact"/>
        <w:jc w:val="center"/>
        <w:rPr>
          <w:rFonts w:ascii="宋体" w:hAnsi="宋体"/>
          <w:b/>
          <w:snapToGrid w:val="0"/>
          <w:color w:val="auto"/>
          <w:kern w:val="0"/>
          <w:sz w:val="36"/>
          <w:szCs w:val="36"/>
          <w:highlight w:val="none"/>
        </w:rPr>
      </w:pPr>
    </w:p>
    <w:p>
      <w:pPr>
        <w:spacing w:line="460" w:lineRule="exact"/>
        <w:jc w:val="center"/>
        <w:rPr>
          <w:rFonts w:ascii="宋体" w:hAnsi="宋体"/>
          <w:b/>
          <w:snapToGrid w:val="0"/>
          <w:color w:val="auto"/>
          <w:kern w:val="0"/>
          <w:sz w:val="36"/>
          <w:szCs w:val="36"/>
          <w:highlight w:val="none"/>
        </w:rPr>
      </w:pPr>
      <w:r>
        <w:rPr>
          <w:rFonts w:ascii="宋体" w:hAnsi="宋体"/>
          <w:b/>
          <w:snapToGrid w:val="0"/>
          <w:color w:val="auto"/>
          <w:kern w:val="0"/>
          <w:sz w:val="36"/>
          <w:szCs w:val="36"/>
          <w:highlight w:val="none"/>
        </w:rPr>
        <w:t>3.</w:t>
      </w:r>
      <w:r>
        <w:rPr>
          <w:rFonts w:hint="eastAsia" w:ascii="宋体" w:hAnsi="宋体"/>
          <w:b/>
          <w:snapToGrid w:val="0"/>
          <w:color w:val="auto"/>
          <w:kern w:val="0"/>
          <w:sz w:val="36"/>
          <w:szCs w:val="36"/>
          <w:highlight w:val="none"/>
        </w:rPr>
        <w:t>6</w:t>
      </w:r>
      <w:r>
        <w:rPr>
          <w:rFonts w:ascii="宋体" w:hAnsi="宋体"/>
          <w:b/>
          <w:snapToGrid w:val="0"/>
          <w:color w:val="auto"/>
          <w:kern w:val="0"/>
          <w:sz w:val="36"/>
          <w:szCs w:val="36"/>
          <w:highlight w:val="none"/>
        </w:rPr>
        <w:t>.1</w:t>
      </w:r>
      <w:r>
        <w:rPr>
          <w:rFonts w:hint="eastAsia" w:ascii="宋体" w:hAnsi="宋体"/>
          <w:b/>
          <w:snapToGrid w:val="0"/>
          <w:color w:val="auto"/>
          <w:kern w:val="0"/>
          <w:sz w:val="36"/>
          <w:szCs w:val="36"/>
          <w:highlight w:val="none"/>
        </w:rPr>
        <w:t>拟投入专业服务许昌项目注册会计师</w:t>
      </w:r>
    </w:p>
    <w:tbl>
      <w:tblPr>
        <w:tblStyle w:val="18"/>
        <w:tblW w:w="87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88"/>
        <w:gridCol w:w="858"/>
        <w:gridCol w:w="1715"/>
        <w:gridCol w:w="2947"/>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4" w:hRule="atLeast"/>
          <w:jc w:val="center"/>
        </w:trPr>
        <w:tc>
          <w:tcPr>
            <w:tcW w:w="828" w:type="dxa"/>
            <w:vAlign w:val="center"/>
          </w:tcPr>
          <w:p>
            <w:pPr>
              <w:spacing w:line="460" w:lineRule="exact"/>
              <w:jc w:val="center"/>
              <w:rPr>
                <w:rFonts w:ascii="宋体" w:hAnsi="宋体"/>
                <w:b/>
                <w:bCs/>
                <w:color w:val="auto"/>
                <w:sz w:val="24"/>
                <w:highlight w:val="none"/>
              </w:rPr>
            </w:pPr>
            <w:r>
              <w:rPr>
                <w:rFonts w:hint="eastAsia" w:ascii="宋体" w:hAnsi="宋体"/>
                <w:b/>
                <w:color w:val="auto"/>
                <w:sz w:val="24"/>
                <w:highlight w:val="none"/>
              </w:rPr>
              <w:t>序号</w:t>
            </w:r>
          </w:p>
        </w:tc>
        <w:tc>
          <w:tcPr>
            <w:tcW w:w="1588" w:type="dxa"/>
            <w:vAlign w:val="center"/>
          </w:tcPr>
          <w:p>
            <w:pPr>
              <w:spacing w:line="460" w:lineRule="exact"/>
              <w:jc w:val="center"/>
              <w:rPr>
                <w:rFonts w:ascii="宋体" w:hAnsi="宋体"/>
                <w:b/>
                <w:bCs/>
                <w:color w:val="auto"/>
                <w:sz w:val="24"/>
                <w:highlight w:val="none"/>
              </w:rPr>
            </w:pPr>
            <w:r>
              <w:rPr>
                <w:rFonts w:hint="eastAsia" w:ascii="宋体" w:hAnsi="宋体"/>
                <w:b/>
                <w:color w:val="auto"/>
                <w:sz w:val="24"/>
                <w:highlight w:val="none"/>
              </w:rPr>
              <w:t>姓名</w:t>
            </w:r>
          </w:p>
        </w:tc>
        <w:tc>
          <w:tcPr>
            <w:tcW w:w="858" w:type="dxa"/>
            <w:vAlign w:val="center"/>
          </w:tcPr>
          <w:p>
            <w:pPr>
              <w:spacing w:line="460" w:lineRule="exact"/>
              <w:jc w:val="center"/>
              <w:rPr>
                <w:rFonts w:ascii="宋体" w:hAnsi="宋体"/>
                <w:b/>
                <w:bCs/>
                <w:color w:val="auto"/>
                <w:sz w:val="24"/>
                <w:highlight w:val="none"/>
              </w:rPr>
            </w:pPr>
            <w:r>
              <w:rPr>
                <w:rFonts w:hint="eastAsia" w:ascii="宋体" w:hAnsi="宋体"/>
                <w:b/>
                <w:color w:val="auto"/>
                <w:sz w:val="24"/>
                <w:highlight w:val="none"/>
              </w:rPr>
              <w:t>性别</w:t>
            </w:r>
          </w:p>
        </w:tc>
        <w:tc>
          <w:tcPr>
            <w:tcW w:w="1715" w:type="dxa"/>
            <w:vAlign w:val="center"/>
          </w:tcPr>
          <w:p>
            <w:pPr>
              <w:spacing w:line="460" w:lineRule="exact"/>
              <w:jc w:val="center"/>
              <w:rPr>
                <w:rFonts w:ascii="宋体" w:hAnsi="宋体"/>
                <w:b/>
                <w:bCs/>
                <w:color w:val="auto"/>
                <w:sz w:val="24"/>
                <w:highlight w:val="none"/>
              </w:rPr>
            </w:pPr>
            <w:r>
              <w:rPr>
                <w:rFonts w:hint="eastAsia" w:ascii="宋体" w:hAnsi="宋体"/>
                <w:b/>
                <w:color w:val="auto"/>
                <w:sz w:val="24"/>
                <w:highlight w:val="none"/>
              </w:rPr>
              <w:t>年龄</w:t>
            </w:r>
          </w:p>
        </w:tc>
        <w:tc>
          <w:tcPr>
            <w:tcW w:w="2947" w:type="dxa"/>
            <w:vAlign w:val="center"/>
          </w:tcPr>
          <w:p>
            <w:pPr>
              <w:spacing w:line="460" w:lineRule="exact"/>
              <w:jc w:val="center"/>
              <w:rPr>
                <w:rFonts w:ascii="宋体" w:hAnsi="宋体"/>
                <w:b/>
                <w:bCs/>
                <w:color w:val="auto"/>
                <w:sz w:val="24"/>
                <w:highlight w:val="none"/>
              </w:rPr>
            </w:pPr>
            <w:r>
              <w:rPr>
                <w:rFonts w:hint="eastAsia" w:ascii="宋体" w:hAnsi="宋体"/>
                <w:b/>
                <w:color w:val="auto"/>
                <w:sz w:val="24"/>
                <w:highlight w:val="none"/>
              </w:rPr>
              <w:t>资格证书号、证书类别</w:t>
            </w:r>
          </w:p>
        </w:tc>
        <w:tc>
          <w:tcPr>
            <w:tcW w:w="794" w:type="dxa"/>
            <w:vAlign w:val="center"/>
          </w:tcPr>
          <w:p>
            <w:pPr>
              <w:spacing w:line="460" w:lineRule="exact"/>
              <w:jc w:val="center"/>
              <w:rPr>
                <w:rFonts w:ascii="宋体" w:hAnsi="宋体"/>
                <w:b/>
                <w:bCs/>
                <w:color w:val="auto"/>
                <w:sz w:val="24"/>
                <w:highlight w:val="none"/>
              </w:rPr>
            </w:pPr>
            <w:r>
              <w:rPr>
                <w:rFonts w:hint="eastAsia"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jc w:val="center"/>
        </w:trPr>
        <w:tc>
          <w:tcPr>
            <w:tcW w:w="828" w:type="dxa"/>
          </w:tcPr>
          <w:p>
            <w:pPr>
              <w:spacing w:line="460" w:lineRule="exact"/>
              <w:jc w:val="left"/>
              <w:rPr>
                <w:rFonts w:ascii="宋体" w:hAnsi="宋体"/>
                <w:b/>
                <w:bCs/>
                <w:color w:val="auto"/>
                <w:sz w:val="24"/>
                <w:highlight w:val="none"/>
              </w:rPr>
            </w:pPr>
          </w:p>
        </w:tc>
        <w:tc>
          <w:tcPr>
            <w:tcW w:w="1588" w:type="dxa"/>
          </w:tcPr>
          <w:p>
            <w:pPr>
              <w:spacing w:line="460" w:lineRule="exact"/>
              <w:jc w:val="left"/>
              <w:rPr>
                <w:rFonts w:ascii="宋体" w:hAnsi="宋体"/>
                <w:b/>
                <w:bCs/>
                <w:color w:val="auto"/>
                <w:sz w:val="24"/>
                <w:highlight w:val="none"/>
              </w:rPr>
            </w:pPr>
          </w:p>
        </w:tc>
        <w:tc>
          <w:tcPr>
            <w:tcW w:w="858" w:type="dxa"/>
          </w:tcPr>
          <w:p>
            <w:pPr>
              <w:spacing w:line="460" w:lineRule="exact"/>
              <w:jc w:val="left"/>
              <w:rPr>
                <w:rFonts w:ascii="宋体" w:hAnsi="宋体"/>
                <w:b/>
                <w:bCs/>
                <w:color w:val="auto"/>
                <w:sz w:val="24"/>
                <w:highlight w:val="none"/>
              </w:rPr>
            </w:pPr>
          </w:p>
        </w:tc>
        <w:tc>
          <w:tcPr>
            <w:tcW w:w="1715" w:type="dxa"/>
          </w:tcPr>
          <w:p>
            <w:pPr>
              <w:spacing w:line="460" w:lineRule="exact"/>
              <w:jc w:val="left"/>
              <w:rPr>
                <w:rFonts w:ascii="宋体" w:hAnsi="宋体"/>
                <w:b/>
                <w:bCs/>
                <w:color w:val="auto"/>
                <w:sz w:val="24"/>
                <w:highlight w:val="none"/>
              </w:rPr>
            </w:pPr>
          </w:p>
        </w:tc>
        <w:tc>
          <w:tcPr>
            <w:tcW w:w="2947" w:type="dxa"/>
          </w:tcPr>
          <w:p>
            <w:pPr>
              <w:spacing w:line="460" w:lineRule="exact"/>
              <w:jc w:val="left"/>
              <w:rPr>
                <w:rFonts w:ascii="宋体" w:hAnsi="宋体"/>
                <w:b/>
                <w:bCs/>
                <w:color w:val="auto"/>
                <w:sz w:val="24"/>
                <w:highlight w:val="none"/>
              </w:rPr>
            </w:pPr>
          </w:p>
        </w:tc>
        <w:tc>
          <w:tcPr>
            <w:tcW w:w="794" w:type="dxa"/>
          </w:tcPr>
          <w:p>
            <w:pPr>
              <w:spacing w:line="460" w:lineRule="exact"/>
              <w:jc w:val="left"/>
              <w:rPr>
                <w:rFonts w:ascii="宋体" w:hAnsi="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hAnsi="宋体"/>
                <w:b/>
                <w:bCs/>
                <w:color w:val="auto"/>
                <w:sz w:val="24"/>
                <w:highlight w:val="none"/>
              </w:rPr>
            </w:pPr>
          </w:p>
        </w:tc>
        <w:tc>
          <w:tcPr>
            <w:tcW w:w="1588" w:type="dxa"/>
          </w:tcPr>
          <w:p>
            <w:pPr>
              <w:spacing w:line="460" w:lineRule="exact"/>
              <w:jc w:val="left"/>
              <w:rPr>
                <w:rFonts w:ascii="宋体" w:hAnsi="宋体"/>
                <w:b/>
                <w:bCs/>
                <w:color w:val="auto"/>
                <w:sz w:val="24"/>
                <w:highlight w:val="none"/>
              </w:rPr>
            </w:pPr>
          </w:p>
        </w:tc>
        <w:tc>
          <w:tcPr>
            <w:tcW w:w="858" w:type="dxa"/>
          </w:tcPr>
          <w:p>
            <w:pPr>
              <w:spacing w:line="460" w:lineRule="exact"/>
              <w:jc w:val="left"/>
              <w:rPr>
                <w:rFonts w:ascii="宋体" w:hAnsi="宋体"/>
                <w:b/>
                <w:bCs/>
                <w:color w:val="auto"/>
                <w:sz w:val="24"/>
                <w:highlight w:val="none"/>
              </w:rPr>
            </w:pPr>
          </w:p>
        </w:tc>
        <w:tc>
          <w:tcPr>
            <w:tcW w:w="1715" w:type="dxa"/>
          </w:tcPr>
          <w:p>
            <w:pPr>
              <w:spacing w:line="460" w:lineRule="exact"/>
              <w:jc w:val="left"/>
              <w:rPr>
                <w:rFonts w:ascii="宋体" w:hAnsi="宋体"/>
                <w:b/>
                <w:bCs/>
                <w:color w:val="auto"/>
                <w:sz w:val="24"/>
                <w:highlight w:val="none"/>
              </w:rPr>
            </w:pPr>
          </w:p>
        </w:tc>
        <w:tc>
          <w:tcPr>
            <w:tcW w:w="2947" w:type="dxa"/>
          </w:tcPr>
          <w:p>
            <w:pPr>
              <w:spacing w:line="460" w:lineRule="exact"/>
              <w:jc w:val="left"/>
              <w:rPr>
                <w:rFonts w:ascii="宋体" w:hAnsi="宋体"/>
                <w:b/>
                <w:bCs/>
                <w:color w:val="auto"/>
                <w:sz w:val="24"/>
                <w:highlight w:val="none"/>
              </w:rPr>
            </w:pPr>
          </w:p>
        </w:tc>
        <w:tc>
          <w:tcPr>
            <w:tcW w:w="794" w:type="dxa"/>
          </w:tcPr>
          <w:p>
            <w:pPr>
              <w:spacing w:line="460" w:lineRule="exact"/>
              <w:jc w:val="left"/>
              <w:rPr>
                <w:rFonts w:ascii="宋体" w:hAnsi="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hAnsi="宋体"/>
                <w:b/>
                <w:bCs/>
                <w:color w:val="auto"/>
                <w:sz w:val="24"/>
                <w:highlight w:val="none"/>
              </w:rPr>
            </w:pPr>
          </w:p>
        </w:tc>
        <w:tc>
          <w:tcPr>
            <w:tcW w:w="1588" w:type="dxa"/>
          </w:tcPr>
          <w:p>
            <w:pPr>
              <w:spacing w:line="460" w:lineRule="exact"/>
              <w:jc w:val="left"/>
              <w:rPr>
                <w:rFonts w:ascii="宋体" w:hAnsi="宋体"/>
                <w:b/>
                <w:bCs/>
                <w:color w:val="auto"/>
                <w:sz w:val="24"/>
                <w:highlight w:val="none"/>
              </w:rPr>
            </w:pPr>
          </w:p>
        </w:tc>
        <w:tc>
          <w:tcPr>
            <w:tcW w:w="858" w:type="dxa"/>
          </w:tcPr>
          <w:p>
            <w:pPr>
              <w:spacing w:line="460" w:lineRule="exact"/>
              <w:jc w:val="left"/>
              <w:rPr>
                <w:rFonts w:ascii="宋体" w:hAnsi="宋体"/>
                <w:b/>
                <w:bCs/>
                <w:color w:val="auto"/>
                <w:sz w:val="24"/>
                <w:highlight w:val="none"/>
              </w:rPr>
            </w:pPr>
          </w:p>
        </w:tc>
        <w:tc>
          <w:tcPr>
            <w:tcW w:w="1715" w:type="dxa"/>
          </w:tcPr>
          <w:p>
            <w:pPr>
              <w:spacing w:line="460" w:lineRule="exact"/>
              <w:jc w:val="left"/>
              <w:rPr>
                <w:rFonts w:ascii="宋体" w:hAnsi="宋体"/>
                <w:b/>
                <w:bCs/>
                <w:color w:val="auto"/>
                <w:sz w:val="24"/>
                <w:highlight w:val="none"/>
              </w:rPr>
            </w:pPr>
          </w:p>
        </w:tc>
        <w:tc>
          <w:tcPr>
            <w:tcW w:w="2947" w:type="dxa"/>
          </w:tcPr>
          <w:p>
            <w:pPr>
              <w:spacing w:line="460" w:lineRule="exact"/>
              <w:jc w:val="left"/>
              <w:rPr>
                <w:rFonts w:ascii="宋体" w:hAnsi="宋体"/>
                <w:b/>
                <w:bCs/>
                <w:color w:val="auto"/>
                <w:sz w:val="24"/>
                <w:highlight w:val="none"/>
              </w:rPr>
            </w:pPr>
          </w:p>
        </w:tc>
        <w:tc>
          <w:tcPr>
            <w:tcW w:w="794" w:type="dxa"/>
          </w:tcPr>
          <w:p>
            <w:pPr>
              <w:spacing w:line="460" w:lineRule="exact"/>
              <w:jc w:val="left"/>
              <w:rPr>
                <w:rFonts w:ascii="宋体" w:hAnsi="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hAnsi="宋体"/>
                <w:b/>
                <w:bCs/>
                <w:color w:val="auto"/>
                <w:sz w:val="24"/>
                <w:highlight w:val="none"/>
              </w:rPr>
            </w:pPr>
          </w:p>
        </w:tc>
        <w:tc>
          <w:tcPr>
            <w:tcW w:w="1588" w:type="dxa"/>
          </w:tcPr>
          <w:p>
            <w:pPr>
              <w:spacing w:line="460" w:lineRule="exact"/>
              <w:jc w:val="left"/>
              <w:rPr>
                <w:rFonts w:ascii="宋体" w:hAnsi="宋体"/>
                <w:b/>
                <w:bCs/>
                <w:color w:val="auto"/>
                <w:sz w:val="24"/>
                <w:highlight w:val="none"/>
              </w:rPr>
            </w:pPr>
          </w:p>
        </w:tc>
        <w:tc>
          <w:tcPr>
            <w:tcW w:w="858" w:type="dxa"/>
          </w:tcPr>
          <w:p>
            <w:pPr>
              <w:spacing w:line="460" w:lineRule="exact"/>
              <w:jc w:val="left"/>
              <w:rPr>
                <w:rFonts w:ascii="宋体" w:hAnsi="宋体"/>
                <w:b/>
                <w:bCs/>
                <w:color w:val="auto"/>
                <w:sz w:val="24"/>
                <w:highlight w:val="none"/>
              </w:rPr>
            </w:pPr>
          </w:p>
        </w:tc>
        <w:tc>
          <w:tcPr>
            <w:tcW w:w="1715" w:type="dxa"/>
          </w:tcPr>
          <w:p>
            <w:pPr>
              <w:spacing w:line="460" w:lineRule="exact"/>
              <w:jc w:val="left"/>
              <w:rPr>
                <w:rFonts w:ascii="宋体" w:hAnsi="宋体"/>
                <w:b/>
                <w:bCs/>
                <w:color w:val="auto"/>
                <w:sz w:val="24"/>
                <w:highlight w:val="none"/>
              </w:rPr>
            </w:pPr>
          </w:p>
        </w:tc>
        <w:tc>
          <w:tcPr>
            <w:tcW w:w="2947" w:type="dxa"/>
          </w:tcPr>
          <w:p>
            <w:pPr>
              <w:spacing w:line="460" w:lineRule="exact"/>
              <w:jc w:val="left"/>
              <w:rPr>
                <w:rFonts w:ascii="宋体" w:hAnsi="宋体"/>
                <w:b/>
                <w:bCs/>
                <w:color w:val="auto"/>
                <w:sz w:val="24"/>
                <w:highlight w:val="none"/>
              </w:rPr>
            </w:pPr>
          </w:p>
        </w:tc>
        <w:tc>
          <w:tcPr>
            <w:tcW w:w="794" w:type="dxa"/>
          </w:tcPr>
          <w:p>
            <w:pPr>
              <w:spacing w:line="460" w:lineRule="exact"/>
              <w:jc w:val="left"/>
              <w:rPr>
                <w:rFonts w:ascii="宋体" w:hAnsi="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65" w:hRule="atLeast"/>
          <w:jc w:val="center"/>
        </w:trPr>
        <w:tc>
          <w:tcPr>
            <w:tcW w:w="828" w:type="dxa"/>
          </w:tcPr>
          <w:p>
            <w:pPr>
              <w:spacing w:line="460" w:lineRule="exact"/>
              <w:jc w:val="left"/>
              <w:rPr>
                <w:rFonts w:ascii="宋体" w:hAnsi="宋体"/>
                <w:b/>
                <w:bCs/>
                <w:color w:val="auto"/>
                <w:sz w:val="24"/>
                <w:highlight w:val="none"/>
              </w:rPr>
            </w:pPr>
          </w:p>
        </w:tc>
        <w:tc>
          <w:tcPr>
            <w:tcW w:w="1588" w:type="dxa"/>
          </w:tcPr>
          <w:p>
            <w:pPr>
              <w:spacing w:line="460" w:lineRule="exact"/>
              <w:jc w:val="left"/>
              <w:rPr>
                <w:rFonts w:ascii="宋体" w:hAnsi="宋体"/>
                <w:b/>
                <w:bCs/>
                <w:color w:val="auto"/>
                <w:sz w:val="24"/>
                <w:highlight w:val="none"/>
              </w:rPr>
            </w:pPr>
          </w:p>
        </w:tc>
        <w:tc>
          <w:tcPr>
            <w:tcW w:w="858" w:type="dxa"/>
          </w:tcPr>
          <w:p>
            <w:pPr>
              <w:spacing w:line="460" w:lineRule="exact"/>
              <w:jc w:val="left"/>
              <w:rPr>
                <w:rFonts w:ascii="宋体" w:hAnsi="宋体"/>
                <w:b/>
                <w:bCs/>
                <w:color w:val="auto"/>
                <w:sz w:val="24"/>
                <w:highlight w:val="none"/>
              </w:rPr>
            </w:pPr>
          </w:p>
        </w:tc>
        <w:tc>
          <w:tcPr>
            <w:tcW w:w="1715" w:type="dxa"/>
          </w:tcPr>
          <w:p>
            <w:pPr>
              <w:spacing w:line="460" w:lineRule="exact"/>
              <w:jc w:val="left"/>
              <w:rPr>
                <w:rFonts w:ascii="宋体" w:hAnsi="宋体"/>
                <w:b/>
                <w:bCs/>
                <w:color w:val="auto"/>
                <w:sz w:val="24"/>
                <w:highlight w:val="none"/>
              </w:rPr>
            </w:pPr>
          </w:p>
        </w:tc>
        <w:tc>
          <w:tcPr>
            <w:tcW w:w="2947" w:type="dxa"/>
          </w:tcPr>
          <w:p>
            <w:pPr>
              <w:spacing w:line="460" w:lineRule="exact"/>
              <w:jc w:val="left"/>
              <w:rPr>
                <w:rFonts w:ascii="宋体" w:hAnsi="宋体"/>
                <w:b/>
                <w:bCs/>
                <w:color w:val="auto"/>
                <w:sz w:val="24"/>
                <w:highlight w:val="none"/>
              </w:rPr>
            </w:pPr>
          </w:p>
        </w:tc>
        <w:tc>
          <w:tcPr>
            <w:tcW w:w="794" w:type="dxa"/>
          </w:tcPr>
          <w:p>
            <w:pPr>
              <w:spacing w:line="460" w:lineRule="exact"/>
              <w:jc w:val="left"/>
              <w:rPr>
                <w:rFonts w:ascii="宋体" w:hAnsi="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hAnsi="宋体"/>
                <w:b/>
                <w:bCs/>
                <w:color w:val="auto"/>
                <w:sz w:val="24"/>
                <w:highlight w:val="none"/>
              </w:rPr>
            </w:pPr>
          </w:p>
        </w:tc>
        <w:tc>
          <w:tcPr>
            <w:tcW w:w="1588" w:type="dxa"/>
          </w:tcPr>
          <w:p>
            <w:pPr>
              <w:spacing w:line="460" w:lineRule="exact"/>
              <w:jc w:val="left"/>
              <w:rPr>
                <w:rFonts w:ascii="宋体" w:hAnsi="宋体"/>
                <w:b/>
                <w:bCs/>
                <w:color w:val="auto"/>
                <w:sz w:val="24"/>
                <w:highlight w:val="none"/>
              </w:rPr>
            </w:pPr>
          </w:p>
        </w:tc>
        <w:tc>
          <w:tcPr>
            <w:tcW w:w="858" w:type="dxa"/>
          </w:tcPr>
          <w:p>
            <w:pPr>
              <w:spacing w:line="460" w:lineRule="exact"/>
              <w:jc w:val="left"/>
              <w:rPr>
                <w:rFonts w:ascii="宋体" w:hAnsi="宋体"/>
                <w:b/>
                <w:bCs/>
                <w:color w:val="auto"/>
                <w:sz w:val="24"/>
                <w:highlight w:val="none"/>
              </w:rPr>
            </w:pPr>
          </w:p>
        </w:tc>
        <w:tc>
          <w:tcPr>
            <w:tcW w:w="1715" w:type="dxa"/>
          </w:tcPr>
          <w:p>
            <w:pPr>
              <w:spacing w:line="460" w:lineRule="exact"/>
              <w:jc w:val="left"/>
              <w:rPr>
                <w:rFonts w:ascii="宋体" w:hAnsi="宋体"/>
                <w:b/>
                <w:bCs/>
                <w:color w:val="auto"/>
                <w:sz w:val="24"/>
                <w:highlight w:val="none"/>
              </w:rPr>
            </w:pPr>
          </w:p>
        </w:tc>
        <w:tc>
          <w:tcPr>
            <w:tcW w:w="2947" w:type="dxa"/>
          </w:tcPr>
          <w:p>
            <w:pPr>
              <w:spacing w:line="460" w:lineRule="exact"/>
              <w:jc w:val="left"/>
              <w:rPr>
                <w:rFonts w:ascii="宋体" w:hAnsi="宋体"/>
                <w:b/>
                <w:bCs/>
                <w:color w:val="auto"/>
                <w:sz w:val="24"/>
                <w:highlight w:val="none"/>
              </w:rPr>
            </w:pPr>
          </w:p>
        </w:tc>
        <w:tc>
          <w:tcPr>
            <w:tcW w:w="794" w:type="dxa"/>
          </w:tcPr>
          <w:p>
            <w:pPr>
              <w:spacing w:line="460" w:lineRule="exact"/>
              <w:jc w:val="left"/>
              <w:rPr>
                <w:rFonts w:ascii="宋体" w:hAnsi="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828" w:type="dxa"/>
          </w:tcPr>
          <w:p>
            <w:pPr>
              <w:spacing w:line="460" w:lineRule="exact"/>
              <w:jc w:val="left"/>
              <w:rPr>
                <w:rFonts w:ascii="宋体" w:hAnsi="宋体"/>
                <w:b/>
                <w:bCs/>
                <w:color w:val="auto"/>
                <w:szCs w:val="21"/>
                <w:highlight w:val="none"/>
              </w:rPr>
            </w:pPr>
            <w:r>
              <w:rPr>
                <w:rFonts w:hint="eastAsia" w:ascii="宋体" w:hAnsi="宋体"/>
                <w:b/>
                <w:bCs/>
                <w:color w:val="auto"/>
                <w:szCs w:val="21"/>
                <w:highlight w:val="none"/>
              </w:rPr>
              <w:t>…</w:t>
            </w:r>
          </w:p>
        </w:tc>
        <w:tc>
          <w:tcPr>
            <w:tcW w:w="1588" w:type="dxa"/>
          </w:tcPr>
          <w:p>
            <w:pPr>
              <w:spacing w:line="460" w:lineRule="exact"/>
              <w:jc w:val="left"/>
              <w:rPr>
                <w:rFonts w:ascii="宋体" w:hAnsi="宋体"/>
                <w:b/>
                <w:bCs/>
                <w:color w:val="auto"/>
                <w:szCs w:val="21"/>
                <w:highlight w:val="none"/>
              </w:rPr>
            </w:pPr>
            <w:r>
              <w:rPr>
                <w:rFonts w:hint="eastAsia" w:ascii="宋体" w:hAnsi="宋体"/>
                <w:b/>
                <w:bCs/>
                <w:color w:val="auto"/>
                <w:szCs w:val="21"/>
                <w:highlight w:val="none"/>
              </w:rPr>
              <w:t>…</w:t>
            </w:r>
          </w:p>
        </w:tc>
        <w:tc>
          <w:tcPr>
            <w:tcW w:w="858" w:type="dxa"/>
          </w:tcPr>
          <w:p>
            <w:pPr>
              <w:spacing w:line="460" w:lineRule="exact"/>
              <w:jc w:val="left"/>
              <w:rPr>
                <w:rFonts w:ascii="宋体" w:hAnsi="宋体"/>
                <w:b/>
                <w:bCs/>
                <w:color w:val="auto"/>
                <w:szCs w:val="21"/>
                <w:highlight w:val="none"/>
              </w:rPr>
            </w:pPr>
            <w:r>
              <w:rPr>
                <w:rFonts w:hint="eastAsia" w:ascii="宋体" w:hAnsi="宋体"/>
                <w:b/>
                <w:bCs/>
                <w:color w:val="auto"/>
                <w:szCs w:val="21"/>
                <w:highlight w:val="none"/>
              </w:rPr>
              <w:t>…</w:t>
            </w:r>
          </w:p>
        </w:tc>
        <w:tc>
          <w:tcPr>
            <w:tcW w:w="1715" w:type="dxa"/>
          </w:tcPr>
          <w:p>
            <w:pPr>
              <w:spacing w:line="460" w:lineRule="exact"/>
              <w:jc w:val="left"/>
              <w:rPr>
                <w:rFonts w:ascii="宋体" w:hAnsi="宋体"/>
                <w:b/>
                <w:bCs/>
                <w:color w:val="auto"/>
                <w:szCs w:val="21"/>
                <w:highlight w:val="none"/>
              </w:rPr>
            </w:pPr>
          </w:p>
        </w:tc>
        <w:tc>
          <w:tcPr>
            <w:tcW w:w="2947" w:type="dxa"/>
          </w:tcPr>
          <w:p>
            <w:pPr>
              <w:spacing w:line="460" w:lineRule="exact"/>
              <w:jc w:val="left"/>
              <w:rPr>
                <w:rFonts w:ascii="宋体" w:hAnsi="宋体"/>
                <w:b/>
                <w:bCs/>
                <w:color w:val="auto"/>
                <w:szCs w:val="21"/>
                <w:highlight w:val="none"/>
              </w:rPr>
            </w:pPr>
          </w:p>
        </w:tc>
        <w:tc>
          <w:tcPr>
            <w:tcW w:w="794" w:type="dxa"/>
          </w:tcPr>
          <w:p>
            <w:pPr>
              <w:spacing w:line="460" w:lineRule="exact"/>
              <w:jc w:val="left"/>
              <w:rPr>
                <w:rFonts w:ascii="宋体" w:hAnsi="宋体"/>
                <w:b/>
                <w:bCs/>
                <w:color w:val="auto"/>
                <w:szCs w:val="21"/>
                <w:highlight w:val="none"/>
              </w:rPr>
            </w:pPr>
          </w:p>
        </w:tc>
      </w:tr>
    </w:tbl>
    <w:p>
      <w:pPr>
        <w:spacing w:line="460" w:lineRule="exact"/>
        <w:jc w:val="left"/>
        <w:rPr>
          <w:rFonts w:ascii="宋体" w:hAnsi="宋体"/>
          <w:color w:val="auto"/>
          <w:sz w:val="24"/>
          <w:szCs w:val="24"/>
          <w:highlight w:val="none"/>
        </w:rPr>
      </w:pPr>
    </w:p>
    <w:p>
      <w:pPr>
        <w:spacing w:line="460" w:lineRule="exact"/>
        <w:jc w:val="left"/>
        <w:rPr>
          <w:rFonts w:ascii="宋体" w:hAnsi="宋体"/>
          <w:b/>
          <w:bCs/>
          <w:color w:val="auto"/>
          <w:sz w:val="24"/>
          <w:szCs w:val="24"/>
          <w:highlight w:val="none"/>
        </w:rPr>
      </w:pPr>
      <w:r>
        <w:rPr>
          <w:rFonts w:hint="eastAsia" w:ascii="宋体" w:hAnsi="宋体"/>
          <w:color w:val="auto"/>
          <w:sz w:val="24"/>
          <w:szCs w:val="24"/>
          <w:highlight w:val="none"/>
        </w:rPr>
        <w:t>注：后附拟投入</w:t>
      </w:r>
      <w:r>
        <w:rPr>
          <w:rFonts w:hint="eastAsia" w:ascii="宋体" w:hAnsi="宋体"/>
          <w:bCs/>
          <w:color w:val="auto"/>
          <w:sz w:val="24"/>
          <w:szCs w:val="24"/>
          <w:highlight w:val="none"/>
        </w:rPr>
        <w:t>注册会计师证书</w:t>
      </w:r>
      <w:r>
        <w:rPr>
          <w:rFonts w:hint="eastAsia" w:ascii="宋体" w:hAnsi="宋体"/>
          <w:color w:val="auto"/>
          <w:sz w:val="24"/>
          <w:szCs w:val="24"/>
          <w:highlight w:val="none"/>
        </w:rPr>
        <w:t>及相应</w:t>
      </w:r>
      <w:r>
        <w:rPr>
          <w:rFonts w:hint="eastAsia" w:ascii="宋体" w:hAnsi="宋体"/>
          <w:bCs/>
          <w:color w:val="auto"/>
          <w:sz w:val="24"/>
          <w:szCs w:val="24"/>
          <w:highlight w:val="none"/>
        </w:rPr>
        <w:t>社保缴纳证明</w:t>
      </w:r>
      <w:r>
        <w:rPr>
          <w:rFonts w:hint="eastAsia" w:ascii="宋体" w:hAnsi="宋体" w:cs="仿宋_GB2312"/>
          <w:color w:val="auto"/>
          <w:sz w:val="24"/>
          <w:szCs w:val="24"/>
          <w:highlight w:val="none"/>
        </w:rPr>
        <w:t>（截止开标时间前半年内任意一个月）</w:t>
      </w:r>
      <w:r>
        <w:rPr>
          <w:rFonts w:hint="eastAsia" w:ascii="宋体" w:hAnsi="宋体"/>
          <w:color w:val="auto"/>
          <w:sz w:val="24"/>
          <w:szCs w:val="24"/>
          <w:highlight w:val="none"/>
        </w:rPr>
        <w:t>并加盖单位公章。</w:t>
      </w:r>
      <w:r>
        <w:rPr>
          <w:rFonts w:hint="eastAsia" w:ascii="宋体" w:hAnsi="宋体"/>
          <w:bCs/>
          <w:color w:val="auto"/>
          <w:sz w:val="24"/>
          <w:szCs w:val="24"/>
          <w:highlight w:val="none"/>
        </w:rPr>
        <w:t>（依法不需要缴纳社会保障资金的投标人，应提供相应文件证明依法不需要缴纳社会保障资金）</w:t>
      </w:r>
    </w:p>
    <w:p>
      <w:pPr>
        <w:spacing w:line="460" w:lineRule="exact"/>
        <w:jc w:val="center"/>
        <w:rPr>
          <w:rFonts w:ascii="宋体" w:hAnsi="宋体"/>
          <w:b/>
          <w:snapToGrid w:val="0"/>
          <w:color w:val="auto"/>
          <w:kern w:val="0"/>
          <w:sz w:val="36"/>
          <w:szCs w:val="36"/>
          <w:highlight w:val="none"/>
        </w:rPr>
      </w:pPr>
    </w:p>
    <w:p>
      <w:pPr>
        <w:spacing w:line="460" w:lineRule="exact"/>
        <w:jc w:val="center"/>
        <w:rPr>
          <w:rFonts w:ascii="宋体" w:hAnsi="宋体"/>
          <w:b/>
          <w:snapToGrid w:val="0"/>
          <w:color w:val="auto"/>
          <w:kern w:val="0"/>
          <w:sz w:val="36"/>
          <w:szCs w:val="36"/>
          <w:highlight w:val="none"/>
        </w:rPr>
      </w:pPr>
    </w:p>
    <w:p>
      <w:pPr>
        <w:spacing w:line="460" w:lineRule="exact"/>
        <w:jc w:val="center"/>
        <w:rPr>
          <w:rFonts w:ascii="宋体" w:hAnsi="宋体"/>
          <w:b/>
          <w:snapToGrid w:val="0"/>
          <w:color w:val="auto"/>
          <w:kern w:val="0"/>
          <w:sz w:val="36"/>
          <w:szCs w:val="36"/>
          <w:highlight w:val="none"/>
        </w:rPr>
      </w:pPr>
    </w:p>
    <w:p>
      <w:pPr>
        <w:spacing w:line="460" w:lineRule="exact"/>
        <w:jc w:val="center"/>
        <w:rPr>
          <w:rFonts w:ascii="宋体" w:hAnsi="宋体"/>
          <w:b/>
          <w:snapToGrid w:val="0"/>
          <w:color w:val="auto"/>
          <w:kern w:val="0"/>
          <w:sz w:val="36"/>
          <w:szCs w:val="36"/>
          <w:highlight w:val="none"/>
        </w:rPr>
      </w:pPr>
    </w:p>
    <w:p>
      <w:pPr>
        <w:spacing w:line="460" w:lineRule="exact"/>
        <w:jc w:val="center"/>
        <w:rPr>
          <w:rFonts w:ascii="宋体" w:hAnsi="宋体"/>
          <w:b/>
          <w:snapToGrid w:val="0"/>
          <w:color w:val="auto"/>
          <w:kern w:val="0"/>
          <w:sz w:val="36"/>
          <w:szCs w:val="36"/>
          <w:highlight w:val="none"/>
        </w:rPr>
      </w:pPr>
    </w:p>
    <w:p>
      <w:pPr>
        <w:spacing w:line="460" w:lineRule="exact"/>
        <w:jc w:val="center"/>
        <w:rPr>
          <w:rFonts w:ascii="宋体" w:hAnsi="宋体"/>
          <w:b/>
          <w:snapToGrid w:val="0"/>
          <w:color w:val="auto"/>
          <w:kern w:val="0"/>
          <w:sz w:val="36"/>
          <w:szCs w:val="36"/>
          <w:highlight w:val="none"/>
        </w:rPr>
      </w:pPr>
    </w:p>
    <w:p>
      <w:pPr>
        <w:spacing w:line="460" w:lineRule="exact"/>
        <w:jc w:val="center"/>
        <w:rPr>
          <w:rFonts w:ascii="宋体" w:hAnsi="宋体"/>
          <w:b/>
          <w:snapToGrid w:val="0"/>
          <w:color w:val="auto"/>
          <w:kern w:val="0"/>
          <w:sz w:val="36"/>
          <w:szCs w:val="36"/>
          <w:highlight w:val="none"/>
        </w:rPr>
      </w:pPr>
    </w:p>
    <w:p>
      <w:pPr>
        <w:spacing w:line="460" w:lineRule="exact"/>
        <w:jc w:val="center"/>
        <w:rPr>
          <w:rFonts w:ascii="宋体" w:hAnsi="宋体"/>
          <w:b/>
          <w:snapToGrid w:val="0"/>
          <w:color w:val="auto"/>
          <w:kern w:val="0"/>
          <w:sz w:val="36"/>
          <w:szCs w:val="36"/>
          <w:highlight w:val="none"/>
        </w:rPr>
      </w:pPr>
    </w:p>
    <w:p>
      <w:pPr>
        <w:spacing w:line="460" w:lineRule="exact"/>
        <w:jc w:val="center"/>
        <w:rPr>
          <w:rFonts w:ascii="宋体" w:hAnsi="宋体"/>
          <w:b/>
          <w:snapToGrid w:val="0"/>
          <w:color w:val="auto"/>
          <w:kern w:val="0"/>
          <w:sz w:val="36"/>
          <w:szCs w:val="36"/>
          <w:highlight w:val="none"/>
        </w:rPr>
      </w:pPr>
    </w:p>
    <w:p>
      <w:pPr>
        <w:spacing w:line="460" w:lineRule="exact"/>
        <w:jc w:val="center"/>
        <w:rPr>
          <w:rFonts w:ascii="宋体" w:hAnsi="宋体"/>
          <w:b/>
          <w:snapToGrid w:val="0"/>
          <w:color w:val="auto"/>
          <w:kern w:val="0"/>
          <w:sz w:val="36"/>
          <w:szCs w:val="36"/>
          <w:highlight w:val="none"/>
        </w:rPr>
      </w:pPr>
    </w:p>
    <w:p>
      <w:pPr>
        <w:spacing w:line="460" w:lineRule="exact"/>
        <w:jc w:val="center"/>
        <w:rPr>
          <w:rFonts w:ascii="宋体" w:hAnsi="宋体"/>
          <w:b/>
          <w:snapToGrid w:val="0"/>
          <w:color w:val="auto"/>
          <w:kern w:val="0"/>
          <w:sz w:val="36"/>
          <w:szCs w:val="36"/>
          <w:highlight w:val="none"/>
        </w:rPr>
      </w:pPr>
    </w:p>
    <w:p>
      <w:pPr>
        <w:spacing w:line="460" w:lineRule="exact"/>
        <w:jc w:val="center"/>
        <w:rPr>
          <w:rFonts w:ascii="宋体" w:hAnsi="宋体"/>
          <w:b/>
          <w:snapToGrid w:val="0"/>
          <w:color w:val="auto"/>
          <w:kern w:val="0"/>
          <w:sz w:val="36"/>
          <w:szCs w:val="36"/>
          <w:highlight w:val="none"/>
        </w:rPr>
      </w:pPr>
    </w:p>
    <w:p>
      <w:pPr>
        <w:spacing w:line="460" w:lineRule="exact"/>
        <w:jc w:val="center"/>
        <w:rPr>
          <w:rFonts w:ascii="宋体" w:hAnsi="宋体"/>
          <w:b/>
          <w:snapToGrid w:val="0"/>
          <w:color w:val="auto"/>
          <w:kern w:val="0"/>
          <w:sz w:val="36"/>
          <w:szCs w:val="36"/>
          <w:highlight w:val="none"/>
        </w:rPr>
      </w:pPr>
    </w:p>
    <w:p>
      <w:pPr>
        <w:spacing w:line="460" w:lineRule="exact"/>
        <w:jc w:val="center"/>
        <w:rPr>
          <w:rFonts w:ascii="宋体" w:hAnsi="宋体"/>
          <w:b/>
          <w:snapToGrid w:val="0"/>
          <w:color w:val="auto"/>
          <w:kern w:val="0"/>
          <w:sz w:val="36"/>
          <w:szCs w:val="36"/>
          <w:highlight w:val="none"/>
        </w:rPr>
      </w:pPr>
    </w:p>
    <w:p>
      <w:pPr>
        <w:spacing w:line="460" w:lineRule="exact"/>
        <w:jc w:val="center"/>
        <w:rPr>
          <w:rFonts w:ascii="宋体" w:hAnsi="宋体"/>
          <w:b/>
          <w:snapToGrid w:val="0"/>
          <w:color w:val="auto"/>
          <w:kern w:val="0"/>
          <w:sz w:val="36"/>
          <w:szCs w:val="36"/>
          <w:highlight w:val="none"/>
        </w:rPr>
      </w:pPr>
      <w:r>
        <w:rPr>
          <w:rFonts w:ascii="宋体" w:hAnsi="宋体"/>
          <w:b/>
          <w:snapToGrid w:val="0"/>
          <w:color w:val="auto"/>
          <w:kern w:val="0"/>
          <w:sz w:val="36"/>
          <w:szCs w:val="36"/>
          <w:highlight w:val="none"/>
        </w:rPr>
        <w:t>3.</w:t>
      </w:r>
      <w:r>
        <w:rPr>
          <w:rFonts w:hint="eastAsia" w:ascii="宋体" w:hAnsi="宋体"/>
          <w:b/>
          <w:snapToGrid w:val="0"/>
          <w:color w:val="auto"/>
          <w:kern w:val="0"/>
          <w:sz w:val="36"/>
          <w:szCs w:val="36"/>
          <w:highlight w:val="none"/>
        </w:rPr>
        <w:t>6</w:t>
      </w:r>
      <w:r>
        <w:rPr>
          <w:rFonts w:ascii="宋体" w:hAnsi="宋体"/>
          <w:b/>
          <w:snapToGrid w:val="0"/>
          <w:color w:val="auto"/>
          <w:kern w:val="0"/>
          <w:sz w:val="36"/>
          <w:szCs w:val="36"/>
          <w:highlight w:val="none"/>
        </w:rPr>
        <w:t>.2</w:t>
      </w:r>
      <w:r>
        <w:rPr>
          <w:rFonts w:hint="eastAsia" w:ascii="宋体" w:hAnsi="宋体"/>
          <w:b/>
          <w:snapToGrid w:val="0"/>
          <w:color w:val="auto"/>
          <w:kern w:val="0"/>
          <w:sz w:val="36"/>
          <w:szCs w:val="36"/>
          <w:highlight w:val="none"/>
        </w:rPr>
        <w:t>拟投入专业服务许昌项目其他工作人员</w:t>
      </w:r>
    </w:p>
    <w:p>
      <w:pPr>
        <w:spacing w:line="460" w:lineRule="exact"/>
        <w:jc w:val="left"/>
        <w:rPr>
          <w:rFonts w:ascii="宋体" w:hAnsi="宋体"/>
          <w:b/>
          <w:color w:val="auto"/>
          <w:sz w:val="28"/>
          <w:szCs w:val="28"/>
          <w:highlight w:val="none"/>
        </w:rPr>
      </w:pPr>
    </w:p>
    <w:tbl>
      <w:tblPr>
        <w:tblStyle w:val="18"/>
        <w:tblW w:w="8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276"/>
        <w:gridCol w:w="709"/>
        <w:gridCol w:w="1230"/>
        <w:gridCol w:w="1701"/>
        <w:gridCol w:w="1417"/>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821" w:type="dxa"/>
            <w:vAlign w:val="center"/>
          </w:tcPr>
          <w:p>
            <w:pPr>
              <w:spacing w:line="460" w:lineRule="exact"/>
              <w:jc w:val="center"/>
              <w:rPr>
                <w:rFonts w:ascii="宋体" w:hAnsi="宋体"/>
                <w:bCs/>
                <w:color w:val="auto"/>
                <w:sz w:val="24"/>
                <w:highlight w:val="none"/>
              </w:rPr>
            </w:pPr>
            <w:r>
              <w:rPr>
                <w:rFonts w:hint="eastAsia" w:ascii="宋体" w:hAnsi="宋体"/>
                <w:color w:val="auto"/>
                <w:sz w:val="24"/>
                <w:highlight w:val="none"/>
              </w:rPr>
              <w:t>序号</w:t>
            </w:r>
          </w:p>
        </w:tc>
        <w:tc>
          <w:tcPr>
            <w:tcW w:w="1276" w:type="dxa"/>
            <w:vAlign w:val="center"/>
          </w:tcPr>
          <w:p>
            <w:pPr>
              <w:spacing w:line="460" w:lineRule="exact"/>
              <w:jc w:val="center"/>
              <w:rPr>
                <w:rFonts w:ascii="宋体" w:hAnsi="宋体"/>
                <w:bCs/>
                <w:color w:val="auto"/>
                <w:sz w:val="24"/>
                <w:highlight w:val="none"/>
              </w:rPr>
            </w:pPr>
            <w:r>
              <w:rPr>
                <w:rFonts w:hint="eastAsia" w:ascii="宋体" w:hAnsi="宋体"/>
                <w:color w:val="auto"/>
                <w:sz w:val="24"/>
                <w:highlight w:val="none"/>
              </w:rPr>
              <w:t>姓名</w:t>
            </w:r>
          </w:p>
        </w:tc>
        <w:tc>
          <w:tcPr>
            <w:tcW w:w="709" w:type="dxa"/>
            <w:vAlign w:val="center"/>
          </w:tcPr>
          <w:p>
            <w:pPr>
              <w:spacing w:line="460" w:lineRule="exact"/>
              <w:jc w:val="center"/>
              <w:rPr>
                <w:rFonts w:ascii="宋体" w:hAnsi="宋体"/>
                <w:bCs/>
                <w:color w:val="auto"/>
                <w:sz w:val="24"/>
                <w:highlight w:val="none"/>
              </w:rPr>
            </w:pPr>
            <w:r>
              <w:rPr>
                <w:rFonts w:hint="eastAsia" w:ascii="宋体" w:hAnsi="宋体"/>
                <w:color w:val="auto"/>
                <w:sz w:val="24"/>
                <w:highlight w:val="none"/>
              </w:rPr>
              <w:t>性别</w:t>
            </w:r>
          </w:p>
        </w:tc>
        <w:tc>
          <w:tcPr>
            <w:tcW w:w="1230" w:type="dxa"/>
            <w:vAlign w:val="center"/>
          </w:tcPr>
          <w:p>
            <w:pPr>
              <w:spacing w:line="460" w:lineRule="exact"/>
              <w:jc w:val="center"/>
              <w:rPr>
                <w:rFonts w:ascii="宋体" w:hAnsi="宋体"/>
                <w:bCs/>
                <w:color w:val="auto"/>
                <w:sz w:val="24"/>
                <w:highlight w:val="none"/>
              </w:rPr>
            </w:pPr>
            <w:r>
              <w:rPr>
                <w:rFonts w:hint="eastAsia" w:ascii="宋体" w:hAnsi="宋体"/>
                <w:color w:val="auto"/>
                <w:sz w:val="24"/>
                <w:highlight w:val="none"/>
              </w:rPr>
              <w:t>年龄</w:t>
            </w:r>
          </w:p>
        </w:tc>
        <w:tc>
          <w:tcPr>
            <w:tcW w:w="1701" w:type="dxa"/>
            <w:vAlign w:val="center"/>
          </w:tcPr>
          <w:p>
            <w:pPr>
              <w:spacing w:line="460" w:lineRule="exact"/>
              <w:jc w:val="center"/>
              <w:rPr>
                <w:rFonts w:ascii="宋体" w:hAnsi="宋体"/>
                <w:color w:val="auto"/>
                <w:sz w:val="24"/>
                <w:highlight w:val="none"/>
              </w:rPr>
            </w:pPr>
            <w:r>
              <w:rPr>
                <w:rFonts w:hint="eastAsia" w:ascii="宋体" w:hAnsi="宋体"/>
                <w:bCs/>
                <w:color w:val="auto"/>
                <w:sz w:val="24"/>
                <w:highlight w:val="none"/>
              </w:rPr>
              <w:t>资格证书号、证书类别</w:t>
            </w:r>
          </w:p>
        </w:tc>
        <w:tc>
          <w:tcPr>
            <w:tcW w:w="1417" w:type="dxa"/>
            <w:vAlign w:val="center"/>
          </w:tcPr>
          <w:p>
            <w:pPr>
              <w:spacing w:line="460" w:lineRule="exact"/>
              <w:jc w:val="center"/>
              <w:rPr>
                <w:rFonts w:ascii="宋体" w:hAnsi="宋体"/>
                <w:bCs/>
                <w:color w:val="auto"/>
                <w:sz w:val="24"/>
                <w:highlight w:val="none"/>
              </w:rPr>
            </w:pPr>
            <w:r>
              <w:rPr>
                <w:rFonts w:hint="eastAsia" w:ascii="宋体" w:hAnsi="宋体"/>
                <w:color w:val="auto"/>
                <w:sz w:val="24"/>
                <w:highlight w:val="none"/>
              </w:rPr>
              <w:t>职称</w:t>
            </w:r>
          </w:p>
        </w:tc>
        <w:tc>
          <w:tcPr>
            <w:tcW w:w="866" w:type="dxa"/>
            <w:vAlign w:val="center"/>
          </w:tcPr>
          <w:p>
            <w:pPr>
              <w:spacing w:line="460" w:lineRule="exact"/>
              <w:jc w:val="center"/>
              <w:rPr>
                <w:rFonts w:ascii="宋体" w:hAnsi="宋体"/>
                <w:bCs/>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4" w:hRule="atLeast"/>
          <w:jc w:val="center"/>
        </w:trPr>
        <w:tc>
          <w:tcPr>
            <w:tcW w:w="821" w:type="dxa"/>
          </w:tcPr>
          <w:p>
            <w:pPr>
              <w:spacing w:line="460" w:lineRule="exact"/>
              <w:jc w:val="left"/>
              <w:rPr>
                <w:rFonts w:ascii="宋体" w:hAnsi="宋体"/>
                <w:bCs/>
                <w:color w:val="auto"/>
                <w:sz w:val="24"/>
                <w:highlight w:val="none"/>
              </w:rPr>
            </w:pPr>
          </w:p>
        </w:tc>
        <w:tc>
          <w:tcPr>
            <w:tcW w:w="1276" w:type="dxa"/>
          </w:tcPr>
          <w:p>
            <w:pPr>
              <w:spacing w:line="460" w:lineRule="exact"/>
              <w:jc w:val="left"/>
              <w:rPr>
                <w:rFonts w:ascii="宋体" w:hAnsi="宋体"/>
                <w:bCs/>
                <w:color w:val="auto"/>
                <w:sz w:val="24"/>
                <w:highlight w:val="none"/>
              </w:rPr>
            </w:pPr>
          </w:p>
        </w:tc>
        <w:tc>
          <w:tcPr>
            <w:tcW w:w="709" w:type="dxa"/>
          </w:tcPr>
          <w:p>
            <w:pPr>
              <w:spacing w:line="460" w:lineRule="exact"/>
              <w:jc w:val="left"/>
              <w:rPr>
                <w:rFonts w:ascii="宋体" w:hAnsi="宋体"/>
                <w:bCs/>
                <w:color w:val="auto"/>
                <w:sz w:val="24"/>
                <w:highlight w:val="none"/>
              </w:rPr>
            </w:pPr>
          </w:p>
        </w:tc>
        <w:tc>
          <w:tcPr>
            <w:tcW w:w="1230" w:type="dxa"/>
          </w:tcPr>
          <w:p>
            <w:pPr>
              <w:spacing w:line="460" w:lineRule="exact"/>
              <w:jc w:val="left"/>
              <w:rPr>
                <w:rFonts w:ascii="宋体" w:hAnsi="宋体"/>
                <w:bCs/>
                <w:color w:val="auto"/>
                <w:sz w:val="24"/>
                <w:highlight w:val="none"/>
              </w:rPr>
            </w:pPr>
          </w:p>
        </w:tc>
        <w:tc>
          <w:tcPr>
            <w:tcW w:w="1701" w:type="dxa"/>
          </w:tcPr>
          <w:p>
            <w:pPr>
              <w:spacing w:line="460" w:lineRule="exact"/>
              <w:jc w:val="left"/>
              <w:rPr>
                <w:rFonts w:ascii="宋体" w:hAnsi="宋体"/>
                <w:bCs/>
                <w:color w:val="auto"/>
                <w:sz w:val="24"/>
                <w:highlight w:val="none"/>
              </w:rPr>
            </w:pPr>
          </w:p>
        </w:tc>
        <w:tc>
          <w:tcPr>
            <w:tcW w:w="1417" w:type="dxa"/>
          </w:tcPr>
          <w:p>
            <w:pPr>
              <w:spacing w:line="460" w:lineRule="exact"/>
              <w:jc w:val="left"/>
              <w:rPr>
                <w:rFonts w:ascii="宋体" w:hAnsi="宋体"/>
                <w:bCs/>
                <w:color w:val="auto"/>
                <w:sz w:val="24"/>
                <w:highlight w:val="none"/>
              </w:rPr>
            </w:pPr>
          </w:p>
        </w:tc>
        <w:tc>
          <w:tcPr>
            <w:tcW w:w="866" w:type="dxa"/>
          </w:tcPr>
          <w:p>
            <w:pPr>
              <w:spacing w:line="460" w:lineRule="exact"/>
              <w:jc w:val="left"/>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1" w:type="dxa"/>
          </w:tcPr>
          <w:p>
            <w:pPr>
              <w:spacing w:line="460" w:lineRule="exact"/>
              <w:jc w:val="left"/>
              <w:rPr>
                <w:rFonts w:ascii="宋体" w:hAnsi="宋体"/>
                <w:bCs/>
                <w:color w:val="auto"/>
                <w:sz w:val="24"/>
                <w:highlight w:val="none"/>
              </w:rPr>
            </w:pPr>
          </w:p>
        </w:tc>
        <w:tc>
          <w:tcPr>
            <w:tcW w:w="1276" w:type="dxa"/>
          </w:tcPr>
          <w:p>
            <w:pPr>
              <w:spacing w:line="460" w:lineRule="exact"/>
              <w:jc w:val="left"/>
              <w:rPr>
                <w:rFonts w:ascii="宋体" w:hAnsi="宋体"/>
                <w:bCs/>
                <w:color w:val="auto"/>
                <w:sz w:val="24"/>
                <w:highlight w:val="none"/>
              </w:rPr>
            </w:pPr>
          </w:p>
        </w:tc>
        <w:tc>
          <w:tcPr>
            <w:tcW w:w="709" w:type="dxa"/>
          </w:tcPr>
          <w:p>
            <w:pPr>
              <w:spacing w:line="460" w:lineRule="exact"/>
              <w:jc w:val="left"/>
              <w:rPr>
                <w:rFonts w:ascii="宋体" w:hAnsi="宋体"/>
                <w:bCs/>
                <w:color w:val="auto"/>
                <w:sz w:val="24"/>
                <w:highlight w:val="none"/>
              </w:rPr>
            </w:pPr>
          </w:p>
        </w:tc>
        <w:tc>
          <w:tcPr>
            <w:tcW w:w="1230" w:type="dxa"/>
          </w:tcPr>
          <w:p>
            <w:pPr>
              <w:spacing w:line="460" w:lineRule="exact"/>
              <w:jc w:val="left"/>
              <w:rPr>
                <w:rFonts w:ascii="宋体" w:hAnsi="宋体"/>
                <w:bCs/>
                <w:color w:val="auto"/>
                <w:sz w:val="24"/>
                <w:highlight w:val="none"/>
              </w:rPr>
            </w:pPr>
          </w:p>
        </w:tc>
        <w:tc>
          <w:tcPr>
            <w:tcW w:w="1701" w:type="dxa"/>
          </w:tcPr>
          <w:p>
            <w:pPr>
              <w:spacing w:line="460" w:lineRule="exact"/>
              <w:jc w:val="left"/>
              <w:rPr>
                <w:rFonts w:ascii="宋体" w:hAnsi="宋体"/>
                <w:bCs/>
                <w:color w:val="auto"/>
                <w:sz w:val="24"/>
                <w:highlight w:val="none"/>
              </w:rPr>
            </w:pPr>
          </w:p>
        </w:tc>
        <w:tc>
          <w:tcPr>
            <w:tcW w:w="1417" w:type="dxa"/>
          </w:tcPr>
          <w:p>
            <w:pPr>
              <w:spacing w:line="460" w:lineRule="exact"/>
              <w:jc w:val="left"/>
              <w:rPr>
                <w:rFonts w:ascii="宋体" w:hAnsi="宋体"/>
                <w:bCs/>
                <w:color w:val="auto"/>
                <w:sz w:val="24"/>
                <w:highlight w:val="none"/>
              </w:rPr>
            </w:pPr>
          </w:p>
        </w:tc>
        <w:tc>
          <w:tcPr>
            <w:tcW w:w="866" w:type="dxa"/>
          </w:tcPr>
          <w:p>
            <w:pPr>
              <w:spacing w:line="460" w:lineRule="exact"/>
              <w:jc w:val="left"/>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1" w:type="dxa"/>
          </w:tcPr>
          <w:p>
            <w:pPr>
              <w:spacing w:line="460" w:lineRule="exact"/>
              <w:jc w:val="left"/>
              <w:rPr>
                <w:rFonts w:ascii="宋体" w:hAnsi="宋体"/>
                <w:bCs/>
                <w:color w:val="auto"/>
                <w:sz w:val="24"/>
                <w:highlight w:val="none"/>
              </w:rPr>
            </w:pPr>
          </w:p>
        </w:tc>
        <w:tc>
          <w:tcPr>
            <w:tcW w:w="1276" w:type="dxa"/>
          </w:tcPr>
          <w:p>
            <w:pPr>
              <w:spacing w:line="460" w:lineRule="exact"/>
              <w:jc w:val="left"/>
              <w:rPr>
                <w:rFonts w:ascii="宋体" w:hAnsi="宋体"/>
                <w:bCs/>
                <w:color w:val="auto"/>
                <w:sz w:val="24"/>
                <w:highlight w:val="none"/>
              </w:rPr>
            </w:pPr>
          </w:p>
        </w:tc>
        <w:tc>
          <w:tcPr>
            <w:tcW w:w="709" w:type="dxa"/>
          </w:tcPr>
          <w:p>
            <w:pPr>
              <w:spacing w:line="460" w:lineRule="exact"/>
              <w:jc w:val="left"/>
              <w:rPr>
                <w:rFonts w:ascii="宋体" w:hAnsi="宋体"/>
                <w:bCs/>
                <w:color w:val="auto"/>
                <w:sz w:val="24"/>
                <w:highlight w:val="none"/>
              </w:rPr>
            </w:pPr>
          </w:p>
        </w:tc>
        <w:tc>
          <w:tcPr>
            <w:tcW w:w="1230" w:type="dxa"/>
          </w:tcPr>
          <w:p>
            <w:pPr>
              <w:spacing w:line="460" w:lineRule="exact"/>
              <w:jc w:val="left"/>
              <w:rPr>
                <w:rFonts w:ascii="宋体" w:hAnsi="宋体"/>
                <w:bCs/>
                <w:color w:val="auto"/>
                <w:sz w:val="24"/>
                <w:highlight w:val="none"/>
              </w:rPr>
            </w:pPr>
          </w:p>
        </w:tc>
        <w:tc>
          <w:tcPr>
            <w:tcW w:w="1701" w:type="dxa"/>
          </w:tcPr>
          <w:p>
            <w:pPr>
              <w:spacing w:line="460" w:lineRule="exact"/>
              <w:jc w:val="left"/>
              <w:rPr>
                <w:rFonts w:ascii="宋体" w:hAnsi="宋体"/>
                <w:bCs/>
                <w:color w:val="auto"/>
                <w:sz w:val="24"/>
                <w:highlight w:val="none"/>
              </w:rPr>
            </w:pPr>
          </w:p>
        </w:tc>
        <w:tc>
          <w:tcPr>
            <w:tcW w:w="1417" w:type="dxa"/>
          </w:tcPr>
          <w:p>
            <w:pPr>
              <w:spacing w:line="460" w:lineRule="exact"/>
              <w:jc w:val="left"/>
              <w:rPr>
                <w:rFonts w:ascii="宋体" w:hAnsi="宋体"/>
                <w:bCs/>
                <w:color w:val="auto"/>
                <w:sz w:val="24"/>
                <w:highlight w:val="none"/>
              </w:rPr>
            </w:pPr>
          </w:p>
        </w:tc>
        <w:tc>
          <w:tcPr>
            <w:tcW w:w="866" w:type="dxa"/>
          </w:tcPr>
          <w:p>
            <w:pPr>
              <w:spacing w:line="460" w:lineRule="exact"/>
              <w:jc w:val="left"/>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1" w:type="dxa"/>
          </w:tcPr>
          <w:p>
            <w:pPr>
              <w:spacing w:line="460" w:lineRule="exact"/>
              <w:jc w:val="left"/>
              <w:rPr>
                <w:rFonts w:ascii="宋体" w:hAnsi="宋体"/>
                <w:bCs/>
                <w:color w:val="auto"/>
                <w:sz w:val="24"/>
                <w:highlight w:val="none"/>
              </w:rPr>
            </w:pPr>
          </w:p>
        </w:tc>
        <w:tc>
          <w:tcPr>
            <w:tcW w:w="1276" w:type="dxa"/>
          </w:tcPr>
          <w:p>
            <w:pPr>
              <w:spacing w:line="460" w:lineRule="exact"/>
              <w:jc w:val="left"/>
              <w:rPr>
                <w:rFonts w:ascii="宋体" w:hAnsi="宋体"/>
                <w:bCs/>
                <w:color w:val="auto"/>
                <w:sz w:val="24"/>
                <w:highlight w:val="none"/>
              </w:rPr>
            </w:pPr>
          </w:p>
        </w:tc>
        <w:tc>
          <w:tcPr>
            <w:tcW w:w="709" w:type="dxa"/>
          </w:tcPr>
          <w:p>
            <w:pPr>
              <w:spacing w:line="460" w:lineRule="exact"/>
              <w:jc w:val="left"/>
              <w:rPr>
                <w:rFonts w:ascii="宋体" w:hAnsi="宋体"/>
                <w:bCs/>
                <w:color w:val="auto"/>
                <w:sz w:val="24"/>
                <w:highlight w:val="none"/>
              </w:rPr>
            </w:pPr>
          </w:p>
        </w:tc>
        <w:tc>
          <w:tcPr>
            <w:tcW w:w="1230" w:type="dxa"/>
          </w:tcPr>
          <w:p>
            <w:pPr>
              <w:spacing w:line="460" w:lineRule="exact"/>
              <w:jc w:val="left"/>
              <w:rPr>
                <w:rFonts w:ascii="宋体" w:hAnsi="宋体"/>
                <w:bCs/>
                <w:color w:val="auto"/>
                <w:sz w:val="24"/>
                <w:highlight w:val="none"/>
              </w:rPr>
            </w:pPr>
          </w:p>
        </w:tc>
        <w:tc>
          <w:tcPr>
            <w:tcW w:w="1701" w:type="dxa"/>
          </w:tcPr>
          <w:p>
            <w:pPr>
              <w:spacing w:line="460" w:lineRule="exact"/>
              <w:jc w:val="left"/>
              <w:rPr>
                <w:rFonts w:ascii="宋体" w:hAnsi="宋体"/>
                <w:bCs/>
                <w:color w:val="auto"/>
                <w:sz w:val="24"/>
                <w:highlight w:val="none"/>
              </w:rPr>
            </w:pPr>
          </w:p>
        </w:tc>
        <w:tc>
          <w:tcPr>
            <w:tcW w:w="1417" w:type="dxa"/>
          </w:tcPr>
          <w:p>
            <w:pPr>
              <w:spacing w:line="460" w:lineRule="exact"/>
              <w:jc w:val="left"/>
              <w:rPr>
                <w:rFonts w:ascii="宋体" w:hAnsi="宋体"/>
                <w:bCs/>
                <w:color w:val="auto"/>
                <w:sz w:val="24"/>
                <w:highlight w:val="none"/>
              </w:rPr>
            </w:pPr>
          </w:p>
        </w:tc>
        <w:tc>
          <w:tcPr>
            <w:tcW w:w="866" w:type="dxa"/>
          </w:tcPr>
          <w:p>
            <w:pPr>
              <w:spacing w:line="460" w:lineRule="exact"/>
              <w:jc w:val="left"/>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67" w:hRule="atLeast"/>
          <w:jc w:val="center"/>
        </w:trPr>
        <w:tc>
          <w:tcPr>
            <w:tcW w:w="821" w:type="dxa"/>
          </w:tcPr>
          <w:p>
            <w:pPr>
              <w:spacing w:line="460" w:lineRule="exact"/>
              <w:jc w:val="left"/>
              <w:rPr>
                <w:rFonts w:ascii="宋体" w:hAnsi="宋体"/>
                <w:bCs/>
                <w:color w:val="auto"/>
                <w:sz w:val="24"/>
                <w:highlight w:val="none"/>
              </w:rPr>
            </w:pPr>
          </w:p>
        </w:tc>
        <w:tc>
          <w:tcPr>
            <w:tcW w:w="1276" w:type="dxa"/>
          </w:tcPr>
          <w:p>
            <w:pPr>
              <w:spacing w:line="460" w:lineRule="exact"/>
              <w:jc w:val="left"/>
              <w:rPr>
                <w:rFonts w:ascii="宋体" w:hAnsi="宋体"/>
                <w:bCs/>
                <w:color w:val="auto"/>
                <w:sz w:val="24"/>
                <w:highlight w:val="none"/>
              </w:rPr>
            </w:pPr>
          </w:p>
        </w:tc>
        <w:tc>
          <w:tcPr>
            <w:tcW w:w="709" w:type="dxa"/>
          </w:tcPr>
          <w:p>
            <w:pPr>
              <w:spacing w:line="460" w:lineRule="exact"/>
              <w:jc w:val="left"/>
              <w:rPr>
                <w:rFonts w:ascii="宋体" w:hAnsi="宋体"/>
                <w:bCs/>
                <w:color w:val="auto"/>
                <w:sz w:val="24"/>
                <w:highlight w:val="none"/>
              </w:rPr>
            </w:pPr>
          </w:p>
        </w:tc>
        <w:tc>
          <w:tcPr>
            <w:tcW w:w="1230" w:type="dxa"/>
          </w:tcPr>
          <w:p>
            <w:pPr>
              <w:spacing w:line="460" w:lineRule="exact"/>
              <w:jc w:val="left"/>
              <w:rPr>
                <w:rFonts w:ascii="宋体" w:hAnsi="宋体"/>
                <w:bCs/>
                <w:color w:val="auto"/>
                <w:sz w:val="24"/>
                <w:highlight w:val="none"/>
              </w:rPr>
            </w:pPr>
          </w:p>
        </w:tc>
        <w:tc>
          <w:tcPr>
            <w:tcW w:w="1701" w:type="dxa"/>
          </w:tcPr>
          <w:p>
            <w:pPr>
              <w:spacing w:line="460" w:lineRule="exact"/>
              <w:jc w:val="left"/>
              <w:rPr>
                <w:rFonts w:ascii="宋体" w:hAnsi="宋体"/>
                <w:bCs/>
                <w:color w:val="auto"/>
                <w:sz w:val="24"/>
                <w:highlight w:val="none"/>
              </w:rPr>
            </w:pPr>
          </w:p>
        </w:tc>
        <w:tc>
          <w:tcPr>
            <w:tcW w:w="1417" w:type="dxa"/>
          </w:tcPr>
          <w:p>
            <w:pPr>
              <w:spacing w:line="460" w:lineRule="exact"/>
              <w:jc w:val="left"/>
              <w:rPr>
                <w:rFonts w:ascii="宋体" w:hAnsi="宋体"/>
                <w:bCs/>
                <w:color w:val="auto"/>
                <w:sz w:val="24"/>
                <w:highlight w:val="none"/>
              </w:rPr>
            </w:pPr>
          </w:p>
        </w:tc>
        <w:tc>
          <w:tcPr>
            <w:tcW w:w="866" w:type="dxa"/>
          </w:tcPr>
          <w:p>
            <w:pPr>
              <w:spacing w:line="460" w:lineRule="exact"/>
              <w:jc w:val="left"/>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1" w:type="dxa"/>
          </w:tcPr>
          <w:p>
            <w:pPr>
              <w:spacing w:line="460" w:lineRule="exact"/>
              <w:jc w:val="left"/>
              <w:rPr>
                <w:rFonts w:ascii="宋体" w:hAnsi="宋体"/>
                <w:bCs/>
                <w:color w:val="auto"/>
                <w:sz w:val="24"/>
                <w:highlight w:val="none"/>
              </w:rPr>
            </w:pPr>
          </w:p>
        </w:tc>
        <w:tc>
          <w:tcPr>
            <w:tcW w:w="1276" w:type="dxa"/>
          </w:tcPr>
          <w:p>
            <w:pPr>
              <w:spacing w:line="460" w:lineRule="exact"/>
              <w:jc w:val="left"/>
              <w:rPr>
                <w:rFonts w:ascii="宋体" w:hAnsi="宋体"/>
                <w:bCs/>
                <w:color w:val="auto"/>
                <w:sz w:val="24"/>
                <w:highlight w:val="none"/>
              </w:rPr>
            </w:pPr>
          </w:p>
        </w:tc>
        <w:tc>
          <w:tcPr>
            <w:tcW w:w="709" w:type="dxa"/>
          </w:tcPr>
          <w:p>
            <w:pPr>
              <w:spacing w:line="460" w:lineRule="exact"/>
              <w:jc w:val="left"/>
              <w:rPr>
                <w:rFonts w:ascii="宋体" w:hAnsi="宋体"/>
                <w:bCs/>
                <w:color w:val="auto"/>
                <w:sz w:val="24"/>
                <w:highlight w:val="none"/>
              </w:rPr>
            </w:pPr>
          </w:p>
        </w:tc>
        <w:tc>
          <w:tcPr>
            <w:tcW w:w="1230" w:type="dxa"/>
          </w:tcPr>
          <w:p>
            <w:pPr>
              <w:spacing w:line="460" w:lineRule="exact"/>
              <w:jc w:val="left"/>
              <w:rPr>
                <w:rFonts w:ascii="宋体" w:hAnsi="宋体"/>
                <w:bCs/>
                <w:color w:val="auto"/>
                <w:sz w:val="24"/>
                <w:highlight w:val="none"/>
              </w:rPr>
            </w:pPr>
          </w:p>
        </w:tc>
        <w:tc>
          <w:tcPr>
            <w:tcW w:w="1701" w:type="dxa"/>
          </w:tcPr>
          <w:p>
            <w:pPr>
              <w:spacing w:line="460" w:lineRule="exact"/>
              <w:jc w:val="left"/>
              <w:rPr>
                <w:rFonts w:ascii="宋体" w:hAnsi="宋体"/>
                <w:bCs/>
                <w:color w:val="auto"/>
                <w:sz w:val="24"/>
                <w:highlight w:val="none"/>
              </w:rPr>
            </w:pPr>
          </w:p>
        </w:tc>
        <w:tc>
          <w:tcPr>
            <w:tcW w:w="1417" w:type="dxa"/>
          </w:tcPr>
          <w:p>
            <w:pPr>
              <w:spacing w:line="460" w:lineRule="exact"/>
              <w:jc w:val="left"/>
              <w:rPr>
                <w:rFonts w:ascii="宋体" w:hAnsi="宋体"/>
                <w:bCs/>
                <w:color w:val="auto"/>
                <w:sz w:val="24"/>
                <w:highlight w:val="none"/>
              </w:rPr>
            </w:pPr>
          </w:p>
        </w:tc>
        <w:tc>
          <w:tcPr>
            <w:tcW w:w="866" w:type="dxa"/>
          </w:tcPr>
          <w:p>
            <w:pPr>
              <w:spacing w:line="460" w:lineRule="exact"/>
              <w:jc w:val="left"/>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1" w:type="dxa"/>
          </w:tcPr>
          <w:p>
            <w:pPr>
              <w:spacing w:line="460" w:lineRule="exact"/>
              <w:jc w:val="left"/>
              <w:rPr>
                <w:rFonts w:ascii="宋体" w:hAnsi="宋体"/>
                <w:bCs/>
                <w:color w:val="auto"/>
                <w:sz w:val="24"/>
                <w:highlight w:val="none"/>
              </w:rPr>
            </w:pPr>
            <w:r>
              <w:rPr>
                <w:rFonts w:hint="eastAsia" w:ascii="宋体" w:hAnsi="宋体"/>
                <w:bCs/>
                <w:color w:val="auto"/>
                <w:sz w:val="24"/>
                <w:highlight w:val="none"/>
              </w:rPr>
              <w:t>…</w:t>
            </w:r>
          </w:p>
        </w:tc>
        <w:tc>
          <w:tcPr>
            <w:tcW w:w="1276" w:type="dxa"/>
          </w:tcPr>
          <w:p>
            <w:pPr>
              <w:spacing w:line="460" w:lineRule="exact"/>
              <w:jc w:val="left"/>
              <w:rPr>
                <w:rFonts w:ascii="宋体" w:hAnsi="宋体"/>
                <w:bCs/>
                <w:color w:val="auto"/>
                <w:sz w:val="24"/>
                <w:highlight w:val="none"/>
              </w:rPr>
            </w:pPr>
            <w:r>
              <w:rPr>
                <w:rFonts w:hint="eastAsia" w:ascii="宋体" w:hAnsi="宋体"/>
                <w:bCs/>
                <w:color w:val="auto"/>
                <w:sz w:val="24"/>
                <w:highlight w:val="none"/>
              </w:rPr>
              <w:t>…</w:t>
            </w:r>
          </w:p>
        </w:tc>
        <w:tc>
          <w:tcPr>
            <w:tcW w:w="709" w:type="dxa"/>
          </w:tcPr>
          <w:p>
            <w:pPr>
              <w:spacing w:line="460" w:lineRule="exact"/>
              <w:jc w:val="left"/>
              <w:rPr>
                <w:rFonts w:ascii="宋体" w:hAnsi="宋体"/>
                <w:bCs/>
                <w:color w:val="auto"/>
                <w:sz w:val="24"/>
                <w:highlight w:val="none"/>
              </w:rPr>
            </w:pPr>
            <w:r>
              <w:rPr>
                <w:rFonts w:hint="eastAsia" w:ascii="宋体" w:hAnsi="宋体"/>
                <w:bCs/>
                <w:color w:val="auto"/>
                <w:sz w:val="24"/>
                <w:highlight w:val="none"/>
              </w:rPr>
              <w:t>…</w:t>
            </w:r>
          </w:p>
        </w:tc>
        <w:tc>
          <w:tcPr>
            <w:tcW w:w="1230" w:type="dxa"/>
          </w:tcPr>
          <w:p>
            <w:pPr>
              <w:spacing w:line="460" w:lineRule="exact"/>
              <w:jc w:val="left"/>
              <w:rPr>
                <w:rFonts w:ascii="宋体" w:hAnsi="宋体"/>
                <w:bCs/>
                <w:color w:val="auto"/>
                <w:sz w:val="24"/>
                <w:highlight w:val="none"/>
              </w:rPr>
            </w:pPr>
          </w:p>
        </w:tc>
        <w:tc>
          <w:tcPr>
            <w:tcW w:w="1701" w:type="dxa"/>
          </w:tcPr>
          <w:p>
            <w:pPr>
              <w:spacing w:line="460" w:lineRule="exact"/>
              <w:jc w:val="left"/>
              <w:rPr>
                <w:rFonts w:ascii="宋体" w:hAnsi="宋体"/>
                <w:bCs/>
                <w:color w:val="auto"/>
                <w:sz w:val="24"/>
                <w:highlight w:val="none"/>
              </w:rPr>
            </w:pPr>
          </w:p>
        </w:tc>
        <w:tc>
          <w:tcPr>
            <w:tcW w:w="1417" w:type="dxa"/>
          </w:tcPr>
          <w:p>
            <w:pPr>
              <w:spacing w:line="460" w:lineRule="exact"/>
              <w:jc w:val="left"/>
              <w:rPr>
                <w:rFonts w:ascii="宋体" w:hAnsi="宋体"/>
                <w:bCs/>
                <w:color w:val="auto"/>
                <w:sz w:val="24"/>
                <w:highlight w:val="none"/>
              </w:rPr>
            </w:pPr>
          </w:p>
        </w:tc>
        <w:tc>
          <w:tcPr>
            <w:tcW w:w="866" w:type="dxa"/>
          </w:tcPr>
          <w:p>
            <w:pPr>
              <w:spacing w:line="460" w:lineRule="exact"/>
              <w:jc w:val="left"/>
              <w:rPr>
                <w:rFonts w:ascii="宋体" w:hAnsi="宋体"/>
                <w:bCs/>
                <w:color w:val="auto"/>
                <w:sz w:val="24"/>
                <w:highlight w:val="none"/>
              </w:rPr>
            </w:pPr>
          </w:p>
        </w:tc>
      </w:tr>
    </w:tbl>
    <w:p>
      <w:pPr>
        <w:spacing w:line="460" w:lineRule="exact"/>
        <w:jc w:val="left"/>
        <w:rPr>
          <w:rFonts w:ascii="宋体" w:hAnsi="宋体"/>
          <w:color w:val="auto"/>
          <w:sz w:val="24"/>
          <w:szCs w:val="24"/>
          <w:highlight w:val="none"/>
        </w:rPr>
      </w:pPr>
    </w:p>
    <w:p>
      <w:pPr>
        <w:spacing w:line="460" w:lineRule="exact"/>
        <w:jc w:val="left"/>
        <w:rPr>
          <w:rFonts w:ascii="宋体" w:hAnsi="宋体"/>
          <w:color w:val="auto"/>
          <w:sz w:val="24"/>
          <w:szCs w:val="24"/>
          <w:highlight w:val="none"/>
        </w:rPr>
      </w:pPr>
      <w:r>
        <w:rPr>
          <w:rFonts w:hint="eastAsia" w:ascii="宋体" w:hAnsi="宋体"/>
          <w:color w:val="auto"/>
          <w:sz w:val="24"/>
          <w:szCs w:val="24"/>
          <w:highlight w:val="none"/>
        </w:rPr>
        <w:t xml:space="preserve">    注：后附拟投入人员证书及对应人员</w:t>
      </w:r>
      <w:r>
        <w:rPr>
          <w:rFonts w:hint="eastAsia" w:ascii="宋体" w:hAnsi="宋体"/>
          <w:bCs/>
          <w:color w:val="auto"/>
          <w:sz w:val="24"/>
          <w:szCs w:val="24"/>
          <w:highlight w:val="none"/>
        </w:rPr>
        <w:t>社保缴纳证明</w:t>
      </w:r>
      <w:r>
        <w:rPr>
          <w:rFonts w:hint="eastAsia" w:ascii="宋体" w:hAnsi="宋体" w:cs="仿宋_GB2312"/>
          <w:color w:val="auto"/>
          <w:sz w:val="24"/>
          <w:szCs w:val="24"/>
          <w:highlight w:val="none"/>
        </w:rPr>
        <w:t>（截止开标时间前半年内任意一个月）</w:t>
      </w:r>
      <w:r>
        <w:rPr>
          <w:rFonts w:hint="eastAsia" w:ascii="宋体" w:hAnsi="宋体"/>
          <w:color w:val="auto"/>
          <w:sz w:val="24"/>
          <w:szCs w:val="24"/>
          <w:highlight w:val="none"/>
        </w:rPr>
        <w:t>并加盖单位公章。</w:t>
      </w:r>
      <w:r>
        <w:rPr>
          <w:rFonts w:hint="eastAsia" w:ascii="宋体" w:hAnsi="宋体"/>
          <w:bCs/>
          <w:color w:val="auto"/>
          <w:sz w:val="24"/>
          <w:szCs w:val="24"/>
          <w:highlight w:val="none"/>
        </w:rPr>
        <w:t>（依法不需要缴纳社会保障资金的投标人，应提供相应文件证明依法不需要缴纳社会保障资金）</w:t>
      </w:r>
    </w:p>
    <w:p>
      <w:pPr>
        <w:spacing w:line="460" w:lineRule="exact"/>
        <w:jc w:val="left"/>
        <w:rPr>
          <w:rFonts w:ascii="宋体" w:hAnsi="宋体"/>
          <w:b/>
          <w:color w:val="auto"/>
          <w:sz w:val="24"/>
          <w:highlight w:val="none"/>
        </w:rPr>
      </w:pPr>
      <w:r>
        <w:rPr>
          <w:rFonts w:hint="eastAsia" w:ascii="宋体" w:hAnsi="宋体"/>
          <w:b/>
          <w:color w:val="auto"/>
          <w:sz w:val="24"/>
          <w:highlight w:val="none"/>
        </w:rPr>
        <w:t>特别提示：不得与</w:t>
      </w:r>
      <w:r>
        <w:rPr>
          <w:rFonts w:ascii="宋体" w:hAnsi="宋体"/>
          <w:b/>
          <w:color w:val="auto"/>
          <w:sz w:val="24"/>
          <w:highlight w:val="none"/>
        </w:rPr>
        <w:t>4.</w:t>
      </w:r>
      <w:r>
        <w:rPr>
          <w:rFonts w:hint="eastAsia" w:ascii="宋体" w:hAnsi="宋体"/>
          <w:b/>
          <w:color w:val="auto"/>
          <w:sz w:val="24"/>
          <w:highlight w:val="none"/>
        </w:rPr>
        <w:t>6</w:t>
      </w:r>
      <w:r>
        <w:rPr>
          <w:rFonts w:ascii="宋体" w:hAnsi="宋体"/>
          <w:b/>
          <w:color w:val="auto"/>
          <w:sz w:val="24"/>
          <w:highlight w:val="none"/>
        </w:rPr>
        <w:t>.</w:t>
      </w:r>
      <w:r>
        <w:rPr>
          <w:rFonts w:hint="eastAsia" w:ascii="宋体" w:hAnsi="宋体"/>
          <w:b/>
          <w:color w:val="auto"/>
          <w:sz w:val="24"/>
          <w:highlight w:val="none"/>
        </w:rPr>
        <w:t>1表中的人员重复，否则不予计算得分。</w:t>
      </w:r>
    </w:p>
    <w:p>
      <w:pPr>
        <w:spacing w:line="460" w:lineRule="exact"/>
        <w:jc w:val="left"/>
        <w:rPr>
          <w:rFonts w:ascii="宋体" w:hAnsi="宋体"/>
          <w:color w:val="auto"/>
          <w:sz w:val="24"/>
          <w:highlight w:val="none"/>
        </w:rPr>
      </w:pPr>
    </w:p>
    <w:p>
      <w:pPr>
        <w:spacing w:line="460" w:lineRule="exact"/>
        <w:jc w:val="left"/>
        <w:rPr>
          <w:rFonts w:ascii="宋体" w:hAnsi="宋体"/>
          <w:color w:val="auto"/>
          <w:sz w:val="24"/>
          <w:highlight w:val="none"/>
        </w:rPr>
      </w:pPr>
      <w:r>
        <w:rPr>
          <w:rFonts w:hint="eastAsia" w:ascii="宋体" w:hAnsi="宋体"/>
          <w:color w:val="auto"/>
          <w:sz w:val="24"/>
          <w:highlight w:val="none"/>
        </w:rPr>
        <w:t>投标单位：（盖章）</w:t>
      </w:r>
    </w:p>
    <w:p>
      <w:pPr>
        <w:spacing w:line="460" w:lineRule="exact"/>
        <w:jc w:val="left"/>
        <w:rPr>
          <w:rFonts w:ascii="宋体" w:hAnsi="宋体"/>
          <w:color w:val="auto"/>
          <w:sz w:val="24"/>
          <w:highlight w:val="none"/>
        </w:rPr>
      </w:pPr>
    </w:p>
    <w:p>
      <w:pPr>
        <w:spacing w:line="460" w:lineRule="exact"/>
        <w:jc w:val="left"/>
        <w:rPr>
          <w:rFonts w:ascii="宋体" w:hAnsi="宋体"/>
          <w:color w:val="auto"/>
          <w:sz w:val="24"/>
          <w:highlight w:val="none"/>
        </w:rPr>
      </w:pPr>
    </w:p>
    <w:p>
      <w:pPr>
        <w:spacing w:line="460" w:lineRule="exact"/>
        <w:jc w:val="left"/>
        <w:rPr>
          <w:rFonts w:ascii="宋体" w:hAnsi="宋体"/>
          <w:b/>
          <w:bCs/>
          <w:color w:val="auto"/>
          <w:sz w:val="44"/>
          <w:szCs w:val="44"/>
          <w:highlight w:val="none"/>
          <w:lang w:val="zh-CN"/>
        </w:rPr>
      </w:pPr>
      <w:r>
        <w:rPr>
          <w:rFonts w:hint="eastAsia" w:ascii="宋体" w:hAnsi="宋体"/>
          <w:color w:val="auto"/>
          <w:sz w:val="24"/>
          <w:highlight w:val="none"/>
        </w:rPr>
        <w:t>授权代表人签字：年月日</w:t>
      </w:r>
    </w:p>
    <w:p>
      <w:pPr>
        <w:autoSpaceDE w:val="0"/>
        <w:autoSpaceDN w:val="0"/>
        <w:adjustRightInd w:val="0"/>
        <w:spacing w:line="360" w:lineRule="auto"/>
        <w:jc w:val="center"/>
        <w:rPr>
          <w:rFonts w:ascii="宋体" w:hAnsi="宋体"/>
          <w:b/>
          <w:bCs/>
          <w:color w:val="auto"/>
          <w:sz w:val="44"/>
          <w:szCs w:val="44"/>
          <w:highlight w:val="none"/>
          <w:lang w:val="zh-CN"/>
        </w:rPr>
      </w:pPr>
    </w:p>
    <w:p>
      <w:pPr>
        <w:autoSpaceDE w:val="0"/>
        <w:autoSpaceDN w:val="0"/>
        <w:adjustRightInd w:val="0"/>
        <w:spacing w:line="360" w:lineRule="auto"/>
        <w:jc w:val="center"/>
        <w:rPr>
          <w:rFonts w:ascii="宋体" w:hAnsi="宋体"/>
          <w:b/>
          <w:bCs/>
          <w:color w:val="auto"/>
          <w:sz w:val="44"/>
          <w:szCs w:val="44"/>
          <w:highlight w:val="none"/>
          <w:lang w:val="zh-CN"/>
        </w:rPr>
      </w:pPr>
    </w:p>
    <w:p>
      <w:pPr>
        <w:autoSpaceDE w:val="0"/>
        <w:autoSpaceDN w:val="0"/>
        <w:adjustRightInd w:val="0"/>
        <w:spacing w:line="360" w:lineRule="auto"/>
        <w:jc w:val="center"/>
        <w:rPr>
          <w:rFonts w:ascii="宋体" w:hAnsi="宋体"/>
          <w:b/>
          <w:bCs/>
          <w:color w:val="auto"/>
          <w:sz w:val="44"/>
          <w:szCs w:val="44"/>
          <w:highlight w:val="none"/>
          <w:lang w:val="zh-CN"/>
        </w:rPr>
      </w:pPr>
    </w:p>
    <w:p>
      <w:pPr>
        <w:autoSpaceDE w:val="0"/>
        <w:autoSpaceDN w:val="0"/>
        <w:adjustRightInd w:val="0"/>
        <w:spacing w:line="360" w:lineRule="auto"/>
        <w:jc w:val="center"/>
        <w:rPr>
          <w:rFonts w:ascii="宋体" w:hAnsi="宋体"/>
          <w:b/>
          <w:bCs/>
          <w:color w:val="auto"/>
          <w:sz w:val="44"/>
          <w:szCs w:val="44"/>
          <w:highlight w:val="none"/>
          <w:lang w:val="zh-CN"/>
        </w:rPr>
      </w:pPr>
    </w:p>
    <w:p>
      <w:pPr>
        <w:autoSpaceDE w:val="0"/>
        <w:autoSpaceDN w:val="0"/>
        <w:adjustRightInd w:val="0"/>
        <w:spacing w:line="360" w:lineRule="auto"/>
        <w:jc w:val="center"/>
        <w:rPr>
          <w:rFonts w:ascii="宋体" w:hAnsi="宋体"/>
          <w:b/>
          <w:bCs/>
          <w:color w:val="auto"/>
          <w:sz w:val="44"/>
          <w:szCs w:val="44"/>
          <w:highlight w:val="none"/>
          <w:lang w:val="zh-CN"/>
        </w:rPr>
      </w:pPr>
    </w:p>
    <w:p>
      <w:pPr>
        <w:autoSpaceDE w:val="0"/>
        <w:autoSpaceDN w:val="0"/>
        <w:adjustRightInd w:val="0"/>
        <w:spacing w:line="360" w:lineRule="auto"/>
        <w:jc w:val="center"/>
        <w:rPr>
          <w:rFonts w:ascii="宋体" w:hAnsi="宋体"/>
          <w:b/>
          <w:bCs/>
          <w:color w:val="auto"/>
          <w:sz w:val="44"/>
          <w:szCs w:val="44"/>
          <w:highlight w:val="none"/>
          <w:lang w:val="zh-CN"/>
        </w:rPr>
      </w:pPr>
    </w:p>
    <w:p>
      <w:pPr>
        <w:autoSpaceDE w:val="0"/>
        <w:autoSpaceDN w:val="0"/>
        <w:adjustRightInd w:val="0"/>
        <w:spacing w:line="360" w:lineRule="auto"/>
        <w:jc w:val="center"/>
        <w:rPr>
          <w:rFonts w:ascii="宋体" w:hAnsi="宋体"/>
          <w:b/>
          <w:bCs/>
          <w:color w:val="auto"/>
          <w:sz w:val="44"/>
          <w:szCs w:val="44"/>
          <w:highlight w:val="none"/>
          <w:lang w:val="zh-CN"/>
        </w:rPr>
      </w:pPr>
    </w:p>
    <w:p>
      <w:pPr>
        <w:autoSpaceDE w:val="0"/>
        <w:autoSpaceDN w:val="0"/>
        <w:adjustRightInd w:val="0"/>
        <w:spacing w:line="360" w:lineRule="auto"/>
        <w:jc w:val="center"/>
        <w:rPr>
          <w:rFonts w:ascii="宋体" w:hAnsi="宋体"/>
          <w:b/>
          <w:bCs/>
          <w:color w:val="auto"/>
          <w:sz w:val="44"/>
          <w:szCs w:val="44"/>
          <w:highlight w:val="none"/>
          <w:lang w:val="zh-CN"/>
        </w:rPr>
      </w:pPr>
    </w:p>
    <w:p>
      <w:pPr>
        <w:autoSpaceDE w:val="0"/>
        <w:autoSpaceDN w:val="0"/>
        <w:adjustRightInd w:val="0"/>
        <w:spacing w:line="360" w:lineRule="auto"/>
        <w:jc w:val="center"/>
        <w:rPr>
          <w:rFonts w:ascii="宋体" w:hAnsi="宋体"/>
          <w:b/>
          <w:bCs/>
          <w:color w:val="auto"/>
          <w:sz w:val="44"/>
          <w:szCs w:val="44"/>
          <w:highlight w:val="none"/>
          <w:lang w:val="zh-CN"/>
        </w:rPr>
      </w:pPr>
    </w:p>
    <w:p>
      <w:pPr>
        <w:autoSpaceDE w:val="0"/>
        <w:autoSpaceDN w:val="0"/>
        <w:adjustRightInd w:val="0"/>
        <w:spacing w:line="360" w:lineRule="auto"/>
        <w:jc w:val="center"/>
        <w:rPr>
          <w:rFonts w:ascii="宋体" w:hAnsi="宋体"/>
          <w:b/>
          <w:bCs/>
          <w:color w:val="auto"/>
          <w:sz w:val="44"/>
          <w:szCs w:val="44"/>
          <w:highlight w:val="none"/>
          <w:lang w:val="zh-CN"/>
        </w:rPr>
      </w:pPr>
    </w:p>
    <w:p>
      <w:pPr>
        <w:autoSpaceDE w:val="0"/>
        <w:autoSpaceDN w:val="0"/>
        <w:adjustRightInd w:val="0"/>
        <w:spacing w:line="360" w:lineRule="auto"/>
        <w:jc w:val="center"/>
        <w:rPr>
          <w:rFonts w:ascii="宋体" w:hAnsi="宋体"/>
          <w:b/>
          <w:bCs/>
          <w:color w:val="auto"/>
          <w:sz w:val="44"/>
          <w:szCs w:val="44"/>
          <w:highlight w:val="none"/>
          <w:lang w:val="zh-CN"/>
        </w:rPr>
      </w:pPr>
      <w:r>
        <w:rPr>
          <w:rFonts w:hint="eastAsia" w:ascii="宋体" w:hAnsi="宋体"/>
          <w:b/>
          <w:bCs/>
          <w:color w:val="auto"/>
          <w:sz w:val="44"/>
          <w:szCs w:val="44"/>
          <w:highlight w:val="none"/>
          <w:lang w:val="zh-CN"/>
        </w:rPr>
        <w:t>四、</w:t>
      </w:r>
      <w:r>
        <w:rPr>
          <w:rFonts w:ascii="宋体" w:hAnsi="宋体"/>
          <w:b/>
          <w:color w:val="auto"/>
          <w:sz w:val="44"/>
          <w:szCs w:val="44"/>
          <w:highlight w:val="none"/>
          <w:lang w:val="zh-CN"/>
        </w:rPr>
        <w:t>其他资料</w:t>
      </w: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t>除招标文件另有规定外，投标人认为需要提交的其他证明材料或资料加盖投标人的单位公章后应在此项下提交。</w:t>
      </w:r>
    </w:p>
    <w:p>
      <w:pPr>
        <w:tabs>
          <w:tab w:val="left" w:pos="4620"/>
        </w:tabs>
        <w:spacing w:line="540" w:lineRule="atLeast"/>
        <w:jc w:val="center"/>
        <w:rPr>
          <w:rFonts w:ascii="宋体" w:hAnsi="宋体"/>
          <w:b/>
          <w:bCs/>
          <w:color w:val="auto"/>
          <w:sz w:val="32"/>
          <w:szCs w:val="32"/>
          <w:highlight w:val="none"/>
        </w:rPr>
      </w:pPr>
    </w:p>
    <w:p>
      <w:pPr>
        <w:tabs>
          <w:tab w:val="left" w:pos="4620"/>
        </w:tabs>
        <w:spacing w:line="540" w:lineRule="atLeast"/>
        <w:jc w:val="center"/>
        <w:rPr>
          <w:rFonts w:ascii="宋体" w:hAnsi="宋体"/>
          <w:b/>
          <w:bCs/>
          <w:color w:val="auto"/>
          <w:sz w:val="32"/>
          <w:szCs w:val="32"/>
          <w:highlight w:val="none"/>
        </w:rPr>
      </w:pPr>
    </w:p>
    <w:p>
      <w:pPr>
        <w:tabs>
          <w:tab w:val="left" w:pos="4620"/>
        </w:tabs>
        <w:spacing w:line="540" w:lineRule="atLeast"/>
        <w:jc w:val="center"/>
        <w:rPr>
          <w:rFonts w:ascii="宋体" w:hAnsi="宋体"/>
          <w:b/>
          <w:bCs/>
          <w:color w:val="auto"/>
          <w:sz w:val="32"/>
          <w:szCs w:val="32"/>
          <w:highlight w:val="none"/>
        </w:rPr>
      </w:pPr>
    </w:p>
    <w:p>
      <w:pPr>
        <w:tabs>
          <w:tab w:val="left" w:pos="4620"/>
        </w:tabs>
        <w:spacing w:line="540" w:lineRule="atLeast"/>
        <w:jc w:val="center"/>
        <w:rPr>
          <w:rFonts w:ascii="宋体" w:hAnsi="宋体"/>
          <w:b/>
          <w:bCs/>
          <w:color w:val="auto"/>
          <w:sz w:val="32"/>
          <w:szCs w:val="32"/>
          <w:highlight w:val="none"/>
        </w:rPr>
      </w:pPr>
    </w:p>
    <w:p>
      <w:pPr>
        <w:tabs>
          <w:tab w:val="left" w:pos="4620"/>
        </w:tabs>
        <w:spacing w:line="540" w:lineRule="atLeast"/>
        <w:jc w:val="center"/>
        <w:rPr>
          <w:rFonts w:ascii="宋体" w:hAnsi="宋体"/>
          <w:b/>
          <w:bCs/>
          <w:color w:val="auto"/>
          <w:sz w:val="32"/>
          <w:szCs w:val="32"/>
          <w:highlight w:val="none"/>
        </w:rPr>
      </w:pPr>
    </w:p>
    <w:p>
      <w:pPr>
        <w:tabs>
          <w:tab w:val="left" w:pos="4620"/>
        </w:tabs>
        <w:spacing w:line="540" w:lineRule="atLeast"/>
        <w:jc w:val="center"/>
        <w:rPr>
          <w:rFonts w:ascii="宋体" w:hAnsi="宋体"/>
          <w:b/>
          <w:bCs/>
          <w:color w:val="auto"/>
          <w:sz w:val="32"/>
          <w:szCs w:val="32"/>
          <w:highlight w:val="none"/>
        </w:rPr>
      </w:pPr>
    </w:p>
    <w:p>
      <w:pPr>
        <w:tabs>
          <w:tab w:val="left" w:pos="4620"/>
        </w:tabs>
        <w:spacing w:line="540" w:lineRule="atLeast"/>
        <w:jc w:val="center"/>
        <w:rPr>
          <w:rFonts w:ascii="宋体" w:hAnsi="宋体"/>
          <w:b/>
          <w:bCs/>
          <w:color w:val="auto"/>
          <w:sz w:val="32"/>
          <w:szCs w:val="32"/>
          <w:highlight w:val="none"/>
        </w:rPr>
      </w:pPr>
    </w:p>
    <w:p>
      <w:pPr>
        <w:tabs>
          <w:tab w:val="left" w:pos="4620"/>
        </w:tabs>
        <w:spacing w:line="540" w:lineRule="atLeast"/>
        <w:jc w:val="center"/>
        <w:rPr>
          <w:rFonts w:ascii="宋体" w:hAnsi="宋体"/>
          <w:b/>
          <w:bCs/>
          <w:color w:val="auto"/>
          <w:sz w:val="32"/>
          <w:szCs w:val="32"/>
          <w:highlight w:val="none"/>
        </w:rPr>
      </w:pPr>
    </w:p>
    <w:sectPr>
      <w:footerReference r:id="rId3" w:type="default"/>
      <w:pgSz w:w="11906" w:h="16838"/>
      <w:pgMar w:top="2098"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微软雅黑">
    <w:panose1 w:val="020B0503020204020204"/>
    <w:charset w:val="86"/>
    <w:family w:val="swiss"/>
    <w:pitch w:val="default"/>
    <w:sig w:usb0="80000287" w:usb1="2A0F3C52" w:usb2="00000016" w:usb3="00000000" w:csb0="0004001F" w:csb1="00000000"/>
  </w:font>
  <w:font w:name="TimesNewRomanPSMT">
    <w:altName w:val="Courier New"/>
    <w:panose1 w:val="00000000000000000000"/>
    <w:charset w:val="00"/>
    <w:family w:val="auto"/>
    <w:pitch w:val="default"/>
    <w:sig w:usb0="00000000" w:usb1="00000000" w:usb2="00000000" w:usb3="00000000" w:csb0="00000001" w:csb1="00000000"/>
  </w:font>
  <w:font w:name="Courier New">
    <w:panose1 w:val="02070309020205020404"/>
    <w:charset w:val="00"/>
    <w:family w:val="modern"/>
    <w:pitch w:val="default"/>
    <w:sig w:usb0="00007A87" w:usb1="80000000" w:usb2="00000008" w:usb3="00000000" w:csb0="400001FF" w:csb1="FFFF0000"/>
  </w:font>
  <w:font w:name="仿宋">
    <w:altName w:val="仿宋_GB2312"/>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rect id="文本框 1" o:spid="_x0000_s4097" o:spt="1" style="position:absolute;left:0pt;margin-top:0pt;height:144pt;width:144pt;mso-position-horizontal:center;mso-position-horizontal-relative:margin;mso-wrap-style:none;z-index:251658240;mso-width-relative:page;mso-height-relative:page;" filled="f" o:preferrelative="t" stroked="f" coordsize="21600,21600">
          <v:path/>
          <v:fill on="f" focussize="0,0"/>
          <v:stroke on="f"/>
          <v:imagedata o:title=""/>
          <o:lock v:ext="edit"/>
          <v:textbox inset="0mm,0mm,0mm,0mm" style="mso-fit-shape-to-text:t;">
            <w:txbxContent>
              <w:p>
                <w:pPr>
                  <w:pStyle w:val="12"/>
                </w:pPr>
                <w:r>
                  <w:fldChar w:fldCharType="begin"/>
                </w:r>
                <w:r>
                  <w:instrText xml:space="preserve"> PAGE  \* MERGEFORMAT </w:instrText>
                </w:r>
                <w:r>
                  <w:fldChar w:fldCharType="separate"/>
                </w:r>
                <w:r>
                  <w:t>23</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3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18EA743F"/>
    <w:multiLevelType w:val="multilevel"/>
    <w:tmpl w:val="18EA743F"/>
    <w:lvl w:ilvl="0" w:tentative="0">
      <w:start w:val="2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1C536185"/>
    <w:multiLevelType w:val="multilevel"/>
    <w:tmpl w:val="1C536185"/>
    <w:lvl w:ilvl="0" w:tentative="0">
      <w:start w:val="11"/>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6">
    <w:nsid w:val="2A17774A"/>
    <w:multiLevelType w:val="singleLevel"/>
    <w:tmpl w:val="2A17774A"/>
    <w:lvl w:ilvl="0" w:tentative="0">
      <w:start w:val="1"/>
      <w:numFmt w:val="decimal"/>
      <w:suff w:val="nothing"/>
      <w:lvlText w:val="%1、"/>
      <w:lvlJc w:val="left"/>
    </w:lvl>
  </w:abstractNum>
  <w:abstractNum w:abstractNumId="7">
    <w:nsid w:val="3F0A2C70"/>
    <w:multiLevelType w:val="multilevel"/>
    <w:tmpl w:val="3F0A2C70"/>
    <w:lvl w:ilvl="0" w:tentative="0">
      <w:start w:val="2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59F817C2"/>
    <w:multiLevelType w:val="singleLevel"/>
    <w:tmpl w:val="59F817C2"/>
    <w:lvl w:ilvl="0" w:tentative="0">
      <w:start w:val="2"/>
      <w:numFmt w:val="chineseCounting"/>
      <w:suff w:val="space"/>
      <w:lvlText w:val="第%1章"/>
      <w:lvlJc w:val="left"/>
    </w:lvl>
  </w:abstractNum>
  <w:abstractNum w:abstractNumId="9">
    <w:nsid w:val="59F817E8"/>
    <w:multiLevelType w:val="singleLevel"/>
    <w:tmpl w:val="59F817E8"/>
    <w:lvl w:ilvl="0" w:tentative="0">
      <w:start w:val="1"/>
      <w:numFmt w:val="chineseCounting"/>
      <w:pStyle w:val="39"/>
      <w:suff w:val="nothing"/>
      <w:lvlText w:val="%1、"/>
      <w:lvlJc w:val="left"/>
    </w:lvl>
  </w:abstractNum>
  <w:abstractNum w:abstractNumId="10">
    <w:nsid w:val="5B5584AE"/>
    <w:multiLevelType w:val="singleLevel"/>
    <w:tmpl w:val="5B5584AE"/>
    <w:lvl w:ilvl="0" w:tentative="0">
      <w:start w:val="1"/>
      <w:numFmt w:val="chineseCounting"/>
      <w:suff w:val="nothing"/>
      <w:lvlText w:val="%1、"/>
      <w:lvlJc w:val="left"/>
      <w:rPr>
        <w:rFonts w:cs="Times New Roman"/>
      </w:rPr>
    </w:lvl>
  </w:abstractNum>
  <w:abstractNum w:abstractNumId="11">
    <w:nsid w:val="5B72A3B0"/>
    <w:multiLevelType w:val="singleLevel"/>
    <w:tmpl w:val="5B72A3B0"/>
    <w:lvl w:ilvl="0" w:tentative="0">
      <w:start w:val="1"/>
      <w:numFmt w:val="decimal"/>
      <w:suff w:val="nothing"/>
      <w:lvlText w:val="%1、"/>
      <w:lvlJc w:val="left"/>
      <w:rPr>
        <w:rFonts w:cs="Times New Roman"/>
      </w:rPr>
    </w:lvl>
  </w:abstractNum>
  <w:abstractNum w:abstractNumId="12">
    <w:nsid w:val="5B986860"/>
    <w:multiLevelType w:val="singleLevel"/>
    <w:tmpl w:val="5B986860"/>
    <w:lvl w:ilvl="0" w:tentative="0">
      <w:start w:val="38"/>
      <w:numFmt w:val="decimal"/>
      <w:suff w:val="nothing"/>
      <w:lvlText w:val="%1."/>
      <w:lvlJc w:val="left"/>
    </w:lvl>
  </w:abstractNum>
  <w:abstractNum w:abstractNumId="13">
    <w:nsid w:val="5BBD6302"/>
    <w:multiLevelType w:val="singleLevel"/>
    <w:tmpl w:val="5BBD6302"/>
    <w:lvl w:ilvl="0" w:tentative="0">
      <w:start w:val="10"/>
      <w:numFmt w:val="chineseCounting"/>
      <w:suff w:val="nothing"/>
      <w:lvlText w:val="%1、"/>
      <w:lvlJc w:val="left"/>
    </w:lvl>
  </w:abstractNum>
  <w:abstractNum w:abstractNumId="14">
    <w:nsid w:val="5BCD7864"/>
    <w:multiLevelType w:val="singleLevel"/>
    <w:tmpl w:val="5BCD7864"/>
    <w:lvl w:ilvl="0" w:tentative="0">
      <w:start w:val="1"/>
      <w:numFmt w:val="decimal"/>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6">
    <w:nsid w:val="7AFF94D1"/>
    <w:multiLevelType w:val="singleLevel"/>
    <w:tmpl w:val="7AFF94D1"/>
    <w:lvl w:ilvl="0" w:tentative="0">
      <w:start w:val="1"/>
      <w:numFmt w:val="decimal"/>
      <w:suff w:val="nothing"/>
      <w:lvlText w:val="%1、"/>
      <w:lvlJc w:val="left"/>
    </w:lvl>
  </w:abstractNum>
  <w:num w:numId="1">
    <w:abstractNumId w:val="0"/>
  </w:num>
  <w:num w:numId="2">
    <w:abstractNumId w:val="1"/>
  </w:num>
  <w:num w:numId="3">
    <w:abstractNumId w:val="9"/>
  </w:num>
  <w:num w:numId="4">
    <w:abstractNumId w:val="8"/>
  </w:num>
  <w:num w:numId="5">
    <w:abstractNumId w:val="11"/>
  </w:num>
  <w:num w:numId="6">
    <w:abstractNumId w:val="14"/>
  </w:num>
  <w:num w:numId="7">
    <w:abstractNumId w:val="5"/>
  </w:num>
  <w:num w:numId="8">
    <w:abstractNumId w:val="15"/>
  </w:num>
  <w:num w:numId="9">
    <w:abstractNumId w:val="3"/>
  </w:num>
  <w:num w:numId="10">
    <w:abstractNumId w:val="4"/>
  </w:num>
  <w:num w:numId="11">
    <w:abstractNumId w:val="7"/>
  </w:num>
  <w:num w:numId="12">
    <w:abstractNumId w:val="2"/>
  </w:num>
  <w:num w:numId="13">
    <w:abstractNumId w:val="12"/>
  </w:num>
  <w:num w:numId="14">
    <w:abstractNumId w:val="6"/>
  </w:num>
  <w:num w:numId="15">
    <w:abstractNumId w:val="16"/>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2796B"/>
    <w:rsid w:val="00010BB2"/>
    <w:rsid w:val="00053124"/>
    <w:rsid w:val="00057095"/>
    <w:rsid w:val="0006516A"/>
    <w:rsid w:val="000741E0"/>
    <w:rsid w:val="00080F23"/>
    <w:rsid w:val="00097D3F"/>
    <w:rsid w:val="000A2FD7"/>
    <w:rsid w:val="000B7B79"/>
    <w:rsid w:val="000C1C60"/>
    <w:rsid w:val="000E3A6E"/>
    <w:rsid w:val="000F0271"/>
    <w:rsid w:val="000F70D5"/>
    <w:rsid w:val="001266BA"/>
    <w:rsid w:val="00153583"/>
    <w:rsid w:val="001627EC"/>
    <w:rsid w:val="001655B6"/>
    <w:rsid w:val="001819B4"/>
    <w:rsid w:val="001B35E4"/>
    <w:rsid w:val="001E085D"/>
    <w:rsid w:val="001E6D02"/>
    <w:rsid w:val="001F6011"/>
    <w:rsid w:val="00203838"/>
    <w:rsid w:val="00213246"/>
    <w:rsid w:val="00213F63"/>
    <w:rsid w:val="002269CC"/>
    <w:rsid w:val="0023042F"/>
    <w:rsid w:val="00232461"/>
    <w:rsid w:val="00252D18"/>
    <w:rsid w:val="0025335F"/>
    <w:rsid w:val="00253F15"/>
    <w:rsid w:val="00257A9A"/>
    <w:rsid w:val="00260DE9"/>
    <w:rsid w:val="00281945"/>
    <w:rsid w:val="00286EAD"/>
    <w:rsid w:val="002A4FFD"/>
    <w:rsid w:val="002F5EE2"/>
    <w:rsid w:val="003106A6"/>
    <w:rsid w:val="00310F54"/>
    <w:rsid w:val="003173D1"/>
    <w:rsid w:val="0032014B"/>
    <w:rsid w:val="00330864"/>
    <w:rsid w:val="00334487"/>
    <w:rsid w:val="00334C27"/>
    <w:rsid w:val="003468B9"/>
    <w:rsid w:val="003504D2"/>
    <w:rsid w:val="003509A7"/>
    <w:rsid w:val="00357579"/>
    <w:rsid w:val="00360B3A"/>
    <w:rsid w:val="00364425"/>
    <w:rsid w:val="00370047"/>
    <w:rsid w:val="00377455"/>
    <w:rsid w:val="003A1C38"/>
    <w:rsid w:val="003B3BCE"/>
    <w:rsid w:val="003B68D1"/>
    <w:rsid w:val="003C355B"/>
    <w:rsid w:val="003D1776"/>
    <w:rsid w:val="003D2D70"/>
    <w:rsid w:val="003D2F4B"/>
    <w:rsid w:val="003D5DC7"/>
    <w:rsid w:val="003F366C"/>
    <w:rsid w:val="003F49DD"/>
    <w:rsid w:val="003F559B"/>
    <w:rsid w:val="0040267B"/>
    <w:rsid w:val="00404927"/>
    <w:rsid w:val="00412C86"/>
    <w:rsid w:val="00421BA1"/>
    <w:rsid w:val="00423E6F"/>
    <w:rsid w:val="00424BA6"/>
    <w:rsid w:val="0042796B"/>
    <w:rsid w:val="004378F8"/>
    <w:rsid w:val="00446FA4"/>
    <w:rsid w:val="00450483"/>
    <w:rsid w:val="00457D68"/>
    <w:rsid w:val="004902C2"/>
    <w:rsid w:val="00492712"/>
    <w:rsid w:val="004944A9"/>
    <w:rsid w:val="00496CE6"/>
    <w:rsid w:val="004B4038"/>
    <w:rsid w:val="004B77CA"/>
    <w:rsid w:val="004C212F"/>
    <w:rsid w:val="004C56D2"/>
    <w:rsid w:val="004D063A"/>
    <w:rsid w:val="004D7625"/>
    <w:rsid w:val="004D7BCB"/>
    <w:rsid w:val="004E0395"/>
    <w:rsid w:val="004E303A"/>
    <w:rsid w:val="00516116"/>
    <w:rsid w:val="00523254"/>
    <w:rsid w:val="005306AF"/>
    <w:rsid w:val="00532455"/>
    <w:rsid w:val="00557778"/>
    <w:rsid w:val="00586777"/>
    <w:rsid w:val="00593BFC"/>
    <w:rsid w:val="005B56BC"/>
    <w:rsid w:val="00610851"/>
    <w:rsid w:val="00610E3E"/>
    <w:rsid w:val="00627A13"/>
    <w:rsid w:val="0063735C"/>
    <w:rsid w:val="0064275B"/>
    <w:rsid w:val="0064422C"/>
    <w:rsid w:val="00664BB1"/>
    <w:rsid w:val="0069478D"/>
    <w:rsid w:val="006A29A0"/>
    <w:rsid w:val="006D258B"/>
    <w:rsid w:val="006E598A"/>
    <w:rsid w:val="00713651"/>
    <w:rsid w:val="00716101"/>
    <w:rsid w:val="00717A28"/>
    <w:rsid w:val="00725AF7"/>
    <w:rsid w:val="00743618"/>
    <w:rsid w:val="00745C15"/>
    <w:rsid w:val="00765287"/>
    <w:rsid w:val="007755C9"/>
    <w:rsid w:val="007A1FCC"/>
    <w:rsid w:val="007A32DA"/>
    <w:rsid w:val="007B0881"/>
    <w:rsid w:val="007D4DE2"/>
    <w:rsid w:val="007E12B3"/>
    <w:rsid w:val="007F496C"/>
    <w:rsid w:val="008166C3"/>
    <w:rsid w:val="00821A89"/>
    <w:rsid w:val="00827D14"/>
    <w:rsid w:val="00836E19"/>
    <w:rsid w:val="008642A5"/>
    <w:rsid w:val="00871BF8"/>
    <w:rsid w:val="008744D8"/>
    <w:rsid w:val="00880A2A"/>
    <w:rsid w:val="00884BCA"/>
    <w:rsid w:val="00885527"/>
    <w:rsid w:val="008A32AB"/>
    <w:rsid w:val="008A4EE8"/>
    <w:rsid w:val="008B311A"/>
    <w:rsid w:val="008B7148"/>
    <w:rsid w:val="008C1625"/>
    <w:rsid w:val="008D109C"/>
    <w:rsid w:val="009006C1"/>
    <w:rsid w:val="009025D7"/>
    <w:rsid w:val="0090338A"/>
    <w:rsid w:val="00910E90"/>
    <w:rsid w:val="009112AC"/>
    <w:rsid w:val="00920898"/>
    <w:rsid w:val="00925E1E"/>
    <w:rsid w:val="00930E12"/>
    <w:rsid w:val="00951A0F"/>
    <w:rsid w:val="009815D7"/>
    <w:rsid w:val="0098460A"/>
    <w:rsid w:val="00993333"/>
    <w:rsid w:val="00995CEC"/>
    <w:rsid w:val="009C1929"/>
    <w:rsid w:val="009C4532"/>
    <w:rsid w:val="009C63F0"/>
    <w:rsid w:val="009D1F90"/>
    <w:rsid w:val="009F1A9C"/>
    <w:rsid w:val="00A03098"/>
    <w:rsid w:val="00A32ABB"/>
    <w:rsid w:val="00A32C73"/>
    <w:rsid w:val="00A73D42"/>
    <w:rsid w:val="00A7516D"/>
    <w:rsid w:val="00A76861"/>
    <w:rsid w:val="00A85A46"/>
    <w:rsid w:val="00A90918"/>
    <w:rsid w:val="00A92E2F"/>
    <w:rsid w:val="00A94331"/>
    <w:rsid w:val="00AA1552"/>
    <w:rsid w:val="00AB3FD8"/>
    <w:rsid w:val="00AB4BF9"/>
    <w:rsid w:val="00AB5077"/>
    <w:rsid w:val="00AB79A3"/>
    <w:rsid w:val="00AC2AC9"/>
    <w:rsid w:val="00AD32C3"/>
    <w:rsid w:val="00AD61EC"/>
    <w:rsid w:val="00AD6B7F"/>
    <w:rsid w:val="00B271AE"/>
    <w:rsid w:val="00B33244"/>
    <w:rsid w:val="00B423C4"/>
    <w:rsid w:val="00B464FD"/>
    <w:rsid w:val="00B5698E"/>
    <w:rsid w:val="00B72D74"/>
    <w:rsid w:val="00B76C22"/>
    <w:rsid w:val="00BA5469"/>
    <w:rsid w:val="00BB1DAD"/>
    <w:rsid w:val="00BB5847"/>
    <w:rsid w:val="00BD4430"/>
    <w:rsid w:val="00BD54BD"/>
    <w:rsid w:val="00BF3473"/>
    <w:rsid w:val="00BF4470"/>
    <w:rsid w:val="00BF452D"/>
    <w:rsid w:val="00C037D2"/>
    <w:rsid w:val="00C249AD"/>
    <w:rsid w:val="00C431DB"/>
    <w:rsid w:val="00C51A4F"/>
    <w:rsid w:val="00C65110"/>
    <w:rsid w:val="00C70C80"/>
    <w:rsid w:val="00C82DF4"/>
    <w:rsid w:val="00C91B5C"/>
    <w:rsid w:val="00CA6DF1"/>
    <w:rsid w:val="00CA7279"/>
    <w:rsid w:val="00CC6EDB"/>
    <w:rsid w:val="00CF65FE"/>
    <w:rsid w:val="00D011E5"/>
    <w:rsid w:val="00D07186"/>
    <w:rsid w:val="00D11256"/>
    <w:rsid w:val="00D53639"/>
    <w:rsid w:val="00D53BBD"/>
    <w:rsid w:val="00D71AE1"/>
    <w:rsid w:val="00D738C9"/>
    <w:rsid w:val="00D7398B"/>
    <w:rsid w:val="00D843EC"/>
    <w:rsid w:val="00D96582"/>
    <w:rsid w:val="00DA2106"/>
    <w:rsid w:val="00DA7715"/>
    <w:rsid w:val="00DB3690"/>
    <w:rsid w:val="00DC0890"/>
    <w:rsid w:val="00DC12F9"/>
    <w:rsid w:val="00DE2916"/>
    <w:rsid w:val="00DE7C56"/>
    <w:rsid w:val="00E0002A"/>
    <w:rsid w:val="00E0381A"/>
    <w:rsid w:val="00E0384F"/>
    <w:rsid w:val="00E31563"/>
    <w:rsid w:val="00E4617A"/>
    <w:rsid w:val="00E76BE2"/>
    <w:rsid w:val="00E9656C"/>
    <w:rsid w:val="00E96CB5"/>
    <w:rsid w:val="00EA0246"/>
    <w:rsid w:val="00EB4AE9"/>
    <w:rsid w:val="00ED004B"/>
    <w:rsid w:val="00ED08E6"/>
    <w:rsid w:val="00ED5C95"/>
    <w:rsid w:val="00ED72BD"/>
    <w:rsid w:val="00ED72DF"/>
    <w:rsid w:val="00EE2DD3"/>
    <w:rsid w:val="00EE55D6"/>
    <w:rsid w:val="00F02EDB"/>
    <w:rsid w:val="00F26279"/>
    <w:rsid w:val="00F271D7"/>
    <w:rsid w:val="00F316AA"/>
    <w:rsid w:val="00F35CBE"/>
    <w:rsid w:val="00F441BB"/>
    <w:rsid w:val="00F534DA"/>
    <w:rsid w:val="00F60A90"/>
    <w:rsid w:val="00F82325"/>
    <w:rsid w:val="00F9242A"/>
    <w:rsid w:val="00F97F04"/>
    <w:rsid w:val="00FB341E"/>
    <w:rsid w:val="00FC331A"/>
    <w:rsid w:val="00FD654A"/>
    <w:rsid w:val="00FF0CBA"/>
    <w:rsid w:val="011B06BF"/>
    <w:rsid w:val="05A1368D"/>
    <w:rsid w:val="07292124"/>
    <w:rsid w:val="09723B70"/>
    <w:rsid w:val="0B2A5DD7"/>
    <w:rsid w:val="0ECD31FD"/>
    <w:rsid w:val="0F103986"/>
    <w:rsid w:val="0F117353"/>
    <w:rsid w:val="0F166B4F"/>
    <w:rsid w:val="101D0D22"/>
    <w:rsid w:val="132811C6"/>
    <w:rsid w:val="13FD0DCB"/>
    <w:rsid w:val="159939D8"/>
    <w:rsid w:val="1C190704"/>
    <w:rsid w:val="1D084A5A"/>
    <w:rsid w:val="21AD02A0"/>
    <w:rsid w:val="2466240B"/>
    <w:rsid w:val="25FC21E2"/>
    <w:rsid w:val="26234AA4"/>
    <w:rsid w:val="27453005"/>
    <w:rsid w:val="2A370249"/>
    <w:rsid w:val="2A911424"/>
    <w:rsid w:val="2C064CC1"/>
    <w:rsid w:val="2CAC3B06"/>
    <w:rsid w:val="312E5FCD"/>
    <w:rsid w:val="340E3E6D"/>
    <w:rsid w:val="349A68AC"/>
    <w:rsid w:val="37E955D4"/>
    <w:rsid w:val="37F30C7D"/>
    <w:rsid w:val="3B971679"/>
    <w:rsid w:val="3C164035"/>
    <w:rsid w:val="3D523095"/>
    <w:rsid w:val="40A62CA6"/>
    <w:rsid w:val="41842823"/>
    <w:rsid w:val="43D62A32"/>
    <w:rsid w:val="48283780"/>
    <w:rsid w:val="4B2C1FCC"/>
    <w:rsid w:val="4B6F3276"/>
    <w:rsid w:val="4CA334F2"/>
    <w:rsid w:val="4EEE5E79"/>
    <w:rsid w:val="50F96E6A"/>
    <w:rsid w:val="538602FD"/>
    <w:rsid w:val="551638E3"/>
    <w:rsid w:val="55234569"/>
    <w:rsid w:val="569964B9"/>
    <w:rsid w:val="571C46B8"/>
    <w:rsid w:val="59A64185"/>
    <w:rsid w:val="5A441729"/>
    <w:rsid w:val="5B7C3F14"/>
    <w:rsid w:val="5EB7648B"/>
    <w:rsid w:val="602C6157"/>
    <w:rsid w:val="619358A8"/>
    <w:rsid w:val="67786A26"/>
    <w:rsid w:val="6818257F"/>
    <w:rsid w:val="6B6A2B8D"/>
    <w:rsid w:val="6F5015B0"/>
    <w:rsid w:val="719B112D"/>
    <w:rsid w:val="7320120A"/>
    <w:rsid w:val="787837BA"/>
    <w:rsid w:val="78AB0877"/>
    <w:rsid w:val="7A875B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qFormat="1"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42"/>
    <w:qFormat/>
    <w:uiPriority w:val="0"/>
    <w:pPr>
      <w:keepNext/>
      <w:keepLines/>
      <w:numPr>
        <w:ilvl w:val="0"/>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4">
    <w:name w:val="heading 2"/>
    <w:basedOn w:val="1"/>
    <w:next w:val="1"/>
    <w:link w:val="4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4"/>
    <w:basedOn w:val="1"/>
    <w:next w:val="1"/>
    <w:link w:val="4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51"/>
    <w:unhideWhenUsed/>
    <w:qFormat/>
    <w:uiPriority w:val="99"/>
    <w:pPr>
      <w:spacing w:after="120"/>
    </w:pPr>
  </w:style>
  <w:style w:type="paragraph" w:styleId="6">
    <w:name w:val="caption"/>
    <w:basedOn w:val="1"/>
    <w:next w:val="1"/>
    <w:qFormat/>
    <w:uiPriority w:val="0"/>
    <w:rPr>
      <w:rFonts w:ascii="Arial" w:hAnsi="Arial" w:eastAsia="黑体" w:cs="Arial"/>
      <w:sz w:val="20"/>
      <w:szCs w:val="20"/>
    </w:rPr>
  </w:style>
  <w:style w:type="paragraph" w:styleId="7">
    <w:name w:val="Body Text 3"/>
    <w:basedOn w:val="1"/>
    <w:link w:val="49"/>
    <w:qFormat/>
    <w:uiPriority w:val="0"/>
    <w:rPr>
      <w:rFonts w:ascii="Times New Roman" w:hAnsi="Times New Roman" w:cs="Times New Roman"/>
      <w:color w:val="FF0000"/>
      <w:sz w:val="24"/>
      <w:szCs w:val="24"/>
    </w:rPr>
  </w:style>
  <w:style w:type="paragraph" w:styleId="8">
    <w:name w:val="toc 5"/>
    <w:basedOn w:val="1"/>
    <w:next w:val="1"/>
    <w:qFormat/>
    <w:uiPriority w:val="39"/>
    <w:pPr>
      <w:spacing w:line="276" w:lineRule="auto"/>
      <w:ind w:left="960"/>
      <w:jc w:val="center"/>
    </w:pPr>
    <w:rPr>
      <w:rFonts w:ascii="Times New Roman" w:hAnsi="Times New Roman" w:cs="Times New Roman"/>
      <w:b/>
      <w:color w:val="000000"/>
      <w:sz w:val="36"/>
      <w:szCs w:val="36"/>
    </w:rPr>
  </w:style>
  <w:style w:type="paragraph" w:styleId="9">
    <w:name w:val="toc 3"/>
    <w:basedOn w:val="1"/>
    <w:next w:val="1"/>
    <w:qFormat/>
    <w:uiPriority w:val="39"/>
    <w:pPr>
      <w:ind w:left="480"/>
      <w:jc w:val="left"/>
    </w:pPr>
    <w:rPr>
      <w:rFonts w:ascii="Times New Roman" w:hAnsi="Times New Roman" w:cs="Times New Roman"/>
      <w:i/>
      <w:iCs/>
      <w:color w:val="0000FF"/>
      <w:sz w:val="20"/>
      <w:szCs w:val="20"/>
    </w:rPr>
  </w:style>
  <w:style w:type="paragraph" w:styleId="10">
    <w:name w:val="Plain Text"/>
    <w:basedOn w:val="1"/>
    <w:semiHidden/>
    <w:unhideWhenUsed/>
    <w:qFormat/>
    <w:uiPriority w:val="0"/>
    <w:rPr>
      <w:sz w:val="24"/>
    </w:rPr>
  </w:style>
  <w:style w:type="paragraph" w:styleId="11">
    <w:name w:val="Date"/>
    <w:basedOn w:val="1"/>
    <w:next w:val="1"/>
    <w:unhideWhenUsed/>
    <w:qFormat/>
    <w:uiPriority w:val="99"/>
    <w:pPr>
      <w:ind w:left="100" w:leftChars="2500"/>
    </w:pPr>
    <w:rPr>
      <w:sz w:val="24"/>
    </w:rPr>
  </w:style>
  <w:style w:type="paragraph" w:styleId="12">
    <w:name w:val="footer"/>
    <w:basedOn w:val="1"/>
    <w:link w:val="45"/>
    <w:unhideWhenUsed/>
    <w:qFormat/>
    <w:uiPriority w:val="99"/>
    <w:pPr>
      <w:tabs>
        <w:tab w:val="center" w:pos="4153"/>
        <w:tab w:val="right" w:pos="8306"/>
      </w:tabs>
      <w:snapToGrid w:val="0"/>
      <w:jc w:val="left"/>
    </w:pPr>
    <w:rPr>
      <w:sz w:val="18"/>
      <w:szCs w:val="18"/>
    </w:rPr>
  </w:style>
  <w:style w:type="paragraph" w:styleId="13">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99"/>
    <w:pPr>
      <w:spacing w:before="120" w:after="120"/>
      <w:jc w:val="left"/>
    </w:pPr>
    <w:rPr>
      <w:rFonts w:ascii="Times New Roman" w:hAnsi="Times New Roman" w:cs="Times New Roman"/>
      <w:b/>
      <w:bCs/>
      <w:caps/>
      <w:color w:val="0000FF"/>
      <w:sz w:val="20"/>
      <w:szCs w:val="20"/>
    </w:rPr>
  </w:style>
  <w:style w:type="paragraph" w:styleId="15">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6">
    <w:name w:val="Normal (Web)"/>
    <w:basedOn w:val="1"/>
    <w:qFormat/>
    <w:uiPriority w:val="99"/>
    <w:rPr>
      <w:rFonts w:cs="Times New Roman"/>
      <w:sz w:val="24"/>
      <w:szCs w:val="24"/>
    </w:rPr>
  </w:style>
  <w:style w:type="paragraph" w:styleId="17">
    <w:name w:val="Body Text First Indent"/>
    <w:basedOn w:val="2"/>
    <w:link w:val="52"/>
    <w:qFormat/>
    <w:uiPriority w:val="0"/>
    <w:pPr>
      <w:ind w:firstLine="420" w:firstLineChars="100"/>
    </w:pPr>
    <w:rPr>
      <w:rFonts w:ascii="宋体" w:hAnsi="Times New Roman" w:cs="Times New Roman"/>
      <w:kern w:val="0"/>
      <w:sz w:val="34"/>
      <w:szCs w:val="20"/>
    </w:rPr>
  </w:style>
  <w:style w:type="table" w:styleId="19">
    <w:name w:val="Table Grid"/>
    <w:basedOn w:val="18"/>
    <w:unhideWhenUsed/>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u w:val="single"/>
    </w:rPr>
  </w:style>
  <w:style w:type="character" w:styleId="23">
    <w:name w:val="Emphasis"/>
    <w:basedOn w:val="20"/>
    <w:qFormat/>
    <w:uiPriority w:val="20"/>
    <w:rPr>
      <w:i/>
      <w:iCs/>
    </w:rPr>
  </w:style>
  <w:style w:type="character" w:styleId="24">
    <w:name w:val="Hyperlink"/>
    <w:basedOn w:val="20"/>
    <w:unhideWhenUsed/>
    <w:qFormat/>
    <w:uiPriority w:val="99"/>
    <w:rPr>
      <w:color w:val="0000FF"/>
      <w:u w:val="single"/>
    </w:rPr>
  </w:style>
  <w:style w:type="character" w:customStyle="1" w:styleId="25">
    <w:name w:val="标题 3 Char"/>
    <w:basedOn w:val="20"/>
    <w:link w:val="26"/>
    <w:qFormat/>
    <w:uiPriority w:val="99"/>
    <w:rPr>
      <w:rFonts w:ascii="宋体" w:hAnsi="宋体" w:eastAsia="宋体" w:cs="Times New Roman"/>
      <w:b/>
      <w:color w:val="000000"/>
      <w:kern w:val="0"/>
      <w:sz w:val="24"/>
      <w:szCs w:val="20"/>
    </w:rPr>
  </w:style>
  <w:style w:type="paragraph" w:customStyle="1" w:styleId="26">
    <w:name w:val="标题 31"/>
    <w:basedOn w:val="1"/>
    <w:next w:val="1"/>
    <w:link w:val="25"/>
    <w:qFormat/>
    <w:uiPriority w:val="99"/>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character" w:customStyle="1" w:styleId="27">
    <w:name w:val="纯文本 Char"/>
    <w:basedOn w:val="20"/>
    <w:link w:val="28"/>
    <w:qFormat/>
    <w:uiPriority w:val="99"/>
    <w:rPr>
      <w:rFonts w:eastAsia="宋体"/>
      <w:sz w:val="24"/>
    </w:rPr>
  </w:style>
  <w:style w:type="paragraph" w:customStyle="1" w:styleId="28">
    <w:name w:val="纯文本1"/>
    <w:basedOn w:val="1"/>
    <w:link w:val="27"/>
    <w:qFormat/>
    <w:uiPriority w:val="99"/>
    <w:rPr>
      <w:sz w:val="24"/>
    </w:rPr>
  </w:style>
  <w:style w:type="character" w:customStyle="1" w:styleId="29">
    <w:name w:val="日期 Char"/>
    <w:basedOn w:val="20"/>
    <w:link w:val="30"/>
    <w:qFormat/>
    <w:uiPriority w:val="99"/>
    <w:rPr>
      <w:sz w:val="24"/>
    </w:rPr>
  </w:style>
  <w:style w:type="paragraph" w:customStyle="1" w:styleId="30">
    <w:name w:val="日期1"/>
    <w:basedOn w:val="1"/>
    <w:next w:val="1"/>
    <w:link w:val="29"/>
    <w:qFormat/>
    <w:uiPriority w:val="0"/>
    <w:rPr>
      <w:sz w:val="24"/>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列出段落1"/>
    <w:basedOn w:val="1"/>
    <w:qFormat/>
    <w:uiPriority w:val="34"/>
    <w:pPr>
      <w:ind w:firstLine="420" w:firstLineChars="200"/>
    </w:pPr>
  </w:style>
  <w:style w:type="paragraph" w:customStyle="1" w:styleId="33">
    <w:name w:val="列出段落2"/>
    <w:basedOn w:val="1"/>
    <w:unhideWhenUsed/>
    <w:qFormat/>
    <w:uiPriority w:val="99"/>
    <w:pPr>
      <w:ind w:firstLine="420" w:firstLineChars="200"/>
    </w:pPr>
  </w:style>
  <w:style w:type="paragraph" w:customStyle="1" w:styleId="34">
    <w:name w:val="正文缩进1"/>
    <w:basedOn w:val="1"/>
    <w:qFormat/>
    <w:uiPriority w:val="0"/>
    <w:pPr>
      <w:adjustRightInd w:val="0"/>
      <w:spacing w:line="360" w:lineRule="atLeast"/>
      <w:ind w:firstLine="420" w:firstLineChars="200"/>
      <w:jc w:val="left"/>
      <w:textAlignment w:val="baseline"/>
    </w:pPr>
    <w:rPr>
      <w:rFonts w:ascii="Times New Roman" w:hAnsi="Times New Roman" w:cs="Times New Roman"/>
      <w:kern w:val="0"/>
      <w:sz w:val="24"/>
      <w:szCs w:val="20"/>
    </w:rPr>
  </w:style>
  <w:style w:type="paragraph" w:customStyle="1" w:styleId="35">
    <w:name w:val="正文文本缩进1"/>
    <w:basedOn w:val="1"/>
    <w:link w:val="48"/>
    <w:qFormat/>
    <w:uiPriority w:val="0"/>
    <w:pPr>
      <w:spacing w:line="360" w:lineRule="auto"/>
      <w:ind w:firstLine="480" w:firstLineChars="200"/>
    </w:pPr>
    <w:rPr>
      <w:rFonts w:ascii="宋体" w:hAnsi="Times New Roman" w:cs="Times New Roman"/>
      <w:kern w:val="0"/>
      <w:sz w:val="24"/>
      <w:szCs w:val="20"/>
    </w:rPr>
  </w:style>
  <w:style w:type="paragraph" w:customStyle="1" w:styleId="36">
    <w:name w:val="样式1"/>
    <w:basedOn w:val="1"/>
    <w:qFormat/>
    <w:uiPriority w:val="0"/>
    <w:pPr>
      <w:numPr>
        <w:ilvl w:val="0"/>
        <w:numId w:val="2"/>
      </w:numPr>
      <w:adjustRightInd w:val="0"/>
      <w:textAlignment w:val="baseline"/>
    </w:pPr>
    <w:rPr>
      <w:rFonts w:ascii="宋体" w:hAnsi="宋体" w:cs="Times New Roman"/>
      <w:kern w:val="0"/>
      <w:szCs w:val="21"/>
    </w:rPr>
  </w:style>
  <w:style w:type="paragraph" w:customStyle="1" w:styleId="37">
    <w:name w:val="图"/>
    <w:basedOn w:val="1"/>
    <w:qFormat/>
    <w:uiPriority w:val="0"/>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38">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3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40">
    <w:name w:val="List Paragraph1"/>
    <w:basedOn w:val="1"/>
    <w:qFormat/>
    <w:uiPriority w:val="99"/>
    <w:pPr>
      <w:ind w:firstLine="420" w:firstLineChars="200"/>
    </w:pPr>
  </w:style>
  <w:style w:type="paragraph" w:customStyle="1" w:styleId="41">
    <w:name w:val="样式 标题 2 + Times New Roman 四号 非加粗 段前: 5 磅 段后: 0 磅 行距: 固定值 20..."/>
    <w:basedOn w:val="4"/>
    <w:qFormat/>
    <w:uiPriority w:val="99"/>
    <w:pPr>
      <w:numPr>
        <w:numId w:val="0"/>
      </w:numPr>
      <w:spacing w:before="100" w:after="0" w:line="400" w:lineRule="exact"/>
    </w:pPr>
    <w:rPr>
      <w:rFonts w:ascii="Times New Roman" w:hAnsi="Times New Roman" w:cs="宋体"/>
      <w:b w:val="0"/>
      <w:bCs w:val="0"/>
      <w:sz w:val="28"/>
      <w:szCs w:val="20"/>
    </w:rPr>
  </w:style>
  <w:style w:type="character" w:customStyle="1" w:styleId="42">
    <w:name w:val="标题 1 Char"/>
    <w:basedOn w:val="20"/>
    <w:link w:val="3"/>
    <w:qFormat/>
    <w:uiPriority w:val="0"/>
    <w:rPr>
      <w:rFonts w:ascii="Calibri" w:hAnsi="Calibri" w:eastAsia="宋体" w:cs="Times New Roman"/>
      <w:b/>
      <w:bCs/>
      <w:kern w:val="44"/>
      <w:sz w:val="44"/>
      <w:szCs w:val="44"/>
    </w:rPr>
  </w:style>
  <w:style w:type="character" w:customStyle="1" w:styleId="43">
    <w:name w:val="标题 2 Char"/>
    <w:basedOn w:val="20"/>
    <w:link w:val="4"/>
    <w:qFormat/>
    <w:uiPriority w:val="0"/>
    <w:rPr>
      <w:rFonts w:ascii="Arial" w:hAnsi="Arial" w:eastAsia="黑体" w:cs="Times New Roman"/>
      <w:b/>
      <w:bCs/>
      <w:kern w:val="0"/>
      <w:sz w:val="32"/>
      <w:szCs w:val="32"/>
    </w:rPr>
  </w:style>
  <w:style w:type="character" w:customStyle="1" w:styleId="44">
    <w:name w:val="标题 4 Char"/>
    <w:basedOn w:val="20"/>
    <w:link w:val="5"/>
    <w:qFormat/>
    <w:uiPriority w:val="0"/>
    <w:rPr>
      <w:rFonts w:ascii="Arial" w:hAnsi="Arial" w:eastAsia="黑体" w:cs="Times New Roman"/>
      <w:b/>
      <w:bCs/>
      <w:kern w:val="0"/>
      <w:sz w:val="28"/>
      <w:szCs w:val="28"/>
    </w:rPr>
  </w:style>
  <w:style w:type="character" w:customStyle="1" w:styleId="45">
    <w:name w:val="页脚 Char"/>
    <w:basedOn w:val="20"/>
    <w:link w:val="12"/>
    <w:qFormat/>
    <w:uiPriority w:val="99"/>
    <w:rPr>
      <w:sz w:val="18"/>
      <w:szCs w:val="18"/>
    </w:rPr>
  </w:style>
  <w:style w:type="character" w:customStyle="1" w:styleId="46">
    <w:name w:val="页眉 Char"/>
    <w:basedOn w:val="20"/>
    <w:link w:val="13"/>
    <w:qFormat/>
    <w:uiPriority w:val="99"/>
    <w:rPr>
      <w:sz w:val="18"/>
      <w:szCs w:val="18"/>
    </w:rPr>
  </w:style>
  <w:style w:type="character" w:customStyle="1" w:styleId="47">
    <w:name w:val="纯文本 Char1"/>
    <w:qFormat/>
    <w:uiPriority w:val="0"/>
    <w:rPr>
      <w:rFonts w:eastAsia="宋体"/>
      <w:sz w:val="24"/>
    </w:rPr>
  </w:style>
  <w:style w:type="character" w:customStyle="1" w:styleId="48">
    <w:name w:val="正文文本缩进 Char Char"/>
    <w:link w:val="35"/>
    <w:qFormat/>
    <w:uiPriority w:val="0"/>
    <w:rPr>
      <w:rFonts w:ascii="宋体"/>
      <w:sz w:val="24"/>
    </w:rPr>
  </w:style>
  <w:style w:type="character" w:customStyle="1" w:styleId="49">
    <w:name w:val="正文文本 3 Char"/>
    <w:basedOn w:val="20"/>
    <w:link w:val="7"/>
    <w:qFormat/>
    <w:uiPriority w:val="0"/>
    <w:rPr>
      <w:rFonts w:ascii="Times New Roman" w:hAnsi="Times New Roman" w:eastAsia="宋体" w:cs="Times New Roman"/>
      <w:color w:val="FF0000"/>
      <w:sz w:val="24"/>
      <w:szCs w:val="24"/>
    </w:rPr>
  </w:style>
  <w:style w:type="character" w:customStyle="1" w:styleId="50">
    <w:name w:val="edittexttarea"/>
    <w:basedOn w:val="20"/>
    <w:qFormat/>
    <w:uiPriority w:val="0"/>
  </w:style>
  <w:style w:type="character" w:customStyle="1" w:styleId="51">
    <w:name w:val="正文文本 Char"/>
    <w:basedOn w:val="20"/>
    <w:link w:val="2"/>
    <w:qFormat/>
    <w:uiPriority w:val="99"/>
  </w:style>
  <w:style w:type="character" w:customStyle="1" w:styleId="52">
    <w:name w:val="正文首行缩进 Char"/>
    <w:basedOn w:val="51"/>
    <w:link w:val="17"/>
    <w:qFormat/>
    <w:uiPriority w:val="0"/>
    <w:rPr>
      <w:rFonts w:ascii="宋体" w:hAnsi="Times New Roman" w:eastAsia="宋体" w:cs="Times New Roman"/>
      <w:kern w:val="0"/>
      <w:sz w:val="34"/>
      <w:szCs w:val="20"/>
    </w:rPr>
  </w:style>
  <w:style w:type="character" w:customStyle="1" w:styleId="53">
    <w:name w:val="HTML 预设格式 Char"/>
    <w:basedOn w:val="20"/>
    <w:link w:val="15"/>
    <w:qFormat/>
    <w:uiPriority w:val="99"/>
    <w:rPr>
      <w:rFonts w:ascii="宋体" w:hAnsi="宋体" w:eastAsia="宋体" w:cs="宋体"/>
      <w:kern w:val="0"/>
      <w:sz w:val="24"/>
      <w:szCs w:val="24"/>
    </w:rPr>
  </w:style>
  <w:style w:type="character" w:customStyle="1" w:styleId="54">
    <w:name w:val="apple-converted-space"/>
    <w:basedOn w:val="20"/>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69</Pages>
  <Words>5131</Words>
  <Characters>29249</Characters>
  <Lines>243</Lines>
  <Paragraphs>68</Paragraphs>
  <TotalTime>1</TotalTime>
  <ScaleCrop>false</ScaleCrop>
  <LinksUpToDate>false</LinksUpToDate>
  <CharactersWithSpaces>34312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2018-10-25T02:43:00Z</dcterms:created>
  <dc:creator>许昌市公共资源交易中心:孟莉</dc:creator>
  <cp:lastModifiedBy>Administrator</cp:lastModifiedBy>
  <cp:lastPrinted>2019-07-23T23:49:00Z</cp:lastPrinted>
  <dcterms:modified xsi:type="dcterms:W3CDTF">2019-08-08T02:32:05Z</dcterms:modified>
  <dc:title>许昌市财政局“选聘工程造价咨询机构建立</dc:title>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