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微软简隶书" w:eastAsia="微软简隶书"/>
          <w:u w:val="single"/>
        </w:rPr>
      </w:pPr>
      <w:r>
        <w:rPr>
          <w:rFonts w:hint="eastAsia" w:ascii="宋体" w:hAnsi="宋体" w:eastAsia="宋体" w:cs="宋体"/>
          <w:b/>
          <w:bCs/>
          <w:sz w:val="44"/>
          <w:szCs w:val="44"/>
        </w:rPr>
        <w:t>视频会议系统项目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w:t>
      </w:r>
      <w:r>
        <w:rPr>
          <w:rFonts w:hint="eastAsia" w:ascii="宋体" w:hAnsi="宋体" w:cs="宋体"/>
          <w:b/>
          <w:bCs/>
          <w:sz w:val="36"/>
          <w:szCs w:val="36"/>
          <w:lang w:val="en-US" w:eastAsia="zh-CN"/>
        </w:rPr>
        <w:t>J</w:t>
      </w:r>
      <w:r>
        <w:rPr>
          <w:rFonts w:hint="eastAsia" w:ascii="宋体" w:hAnsi="宋体" w:eastAsia="宋体" w:cs="宋体"/>
          <w:b/>
          <w:bCs/>
          <w:sz w:val="36"/>
          <w:szCs w:val="36"/>
        </w:rPr>
        <w:t>ZFCG-X2019</w:t>
      </w:r>
      <w:r>
        <w:rPr>
          <w:rFonts w:hint="eastAsia" w:ascii="宋体" w:hAnsi="宋体" w:cs="宋体"/>
          <w:b/>
          <w:bCs/>
          <w:sz w:val="36"/>
          <w:szCs w:val="36"/>
          <w:lang w:val="en-US" w:eastAsia="zh-CN"/>
        </w:rPr>
        <w:t>001</w:t>
      </w:r>
      <w:r>
        <w:rPr>
          <w:rFonts w:hint="eastAsia" w:ascii="宋体" w:hAnsi="宋体" w:eastAsia="宋体" w:cs="宋体"/>
          <w:b/>
          <w:bCs/>
          <w:sz w:val="36"/>
          <w:szCs w:val="36"/>
        </w:rPr>
        <w:t>号</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采购单位：许昌经济技术开发区综合办公室</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代理机构：河南华明工程造价咨询有限公司</w:t>
      </w:r>
    </w:p>
    <w:p>
      <w:pPr>
        <w:rPr>
          <w:rFonts w:ascii="宋体" w:hAnsi="宋体" w:eastAsia="宋体" w:cs="宋体"/>
          <w:b/>
          <w:bCs/>
          <w:sz w:val="36"/>
          <w:szCs w:val="36"/>
        </w:rPr>
      </w:pPr>
    </w:p>
    <w:p>
      <w:pPr>
        <w:jc w:val="center"/>
        <w:rPr>
          <w:rFonts w:ascii="宋体" w:hAnsi="宋体" w:eastAsia="宋体" w:cs="宋体"/>
          <w:b/>
          <w:bCs/>
          <w:sz w:val="36"/>
          <w:szCs w:val="36"/>
        </w:rPr>
      </w:pPr>
      <w:r>
        <w:rPr>
          <w:rFonts w:hint="eastAsia" w:ascii="宋体" w:hAnsi="宋体" w:eastAsia="宋体" w:cs="宋体"/>
          <w:b/>
          <w:bCs/>
          <w:sz w:val="36"/>
          <w:szCs w:val="36"/>
        </w:rPr>
        <w:t xml:space="preserve">二〇一九年 八 月 </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ascii="宋体" w:hAnsi="宋体" w:eastAsia="宋体" w:cs="宋体"/>
          <w:b/>
          <w:kern w:val="0"/>
          <w:sz w:val="32"/>
          <w:szCs w:val="32"/>
        </w:rPr>
      </w:pPr>
      <w:r>
        <w:rPr>
          <w:rFonts w:hint="eastAsia" w:ascii="宋体" w:hAnsi="宋体" w:eastAsia="宋体" w:cs="宋体"/>
          <w:b/>
          <w:kern w:val="0"/>
          <w:sz w:val="32"/>
          <w:szCs w:val="32"/>
        </w:rPr>
        <w:t>第一章 采购邀请</w:t>
      </w:r>
    </w:p>
    <w:p>
      <w:pPr>
        <w:ind w:firstLine="630" w:firstLineChars="300"/>
        <w:rPr>
          <w:rFonts w:ascii="宋体" w:hAnsi="宋体" w:eastAsia="宋体" w:cs="微软雅黑"/>
          <w:szCs w:val="21"/>
        </w:rPr>
      </w:pPr>
    </w:p>
    <w:p>
      <w:pPr>
        <w:ind w:firstLine="630" w:firstLineChars="300"/>
        <w:rPr>
          <w:rFonts w:ascii="宋体" w:hAnsi="宋体" w:eastAsia="宋体" w:cs="微软雅黑"/>
          <w:szCs w:val="21"/>
        </w:rPr>
      </w:pPr>
    </w:p>
    <w:p>
      <w:pPr>
        <w:ind w:firstLine="630" w:firstLineChars="300"/>
        <w:rPr>
          <w:rFonts w:ascii="宋体" w:hAnsi="宋体" w:cs="仿宋_GB2312"/>
          <w:szCs w:val="21"/>
          <w:shd w:val="clear" w:color="auto" w:fill="FFFFFF"/>
        </w:rPr>
      </w:pPr>
      <w:r>
        <w:rPr>
          <w:rFonts w:hint="eastAsia" w:ascii="宋体" w:hAnsi="宋体" w:eastAsia="宋体" w:cs="微软雅黑"/>
          <w:szCs w:val="21"/>
        </w:rPr>
        <w:t>河南华明工程造价咨询有限公司受 许昌经济技术开发区综合办公室的委托，对           项目进行询价采购。现邀请符合本询</w:t>
      </w:r>
      <w:r>
        <w:rPr>
          <w:rFonts w:hint="eastAsia" w:ascii="宋体" w:hAnsi="宋体" w:cs="微软雅黑"/>
          <w:szCs w:val="21"/>
        </w:rPr>
        <w:t>价文件规定条件的供应商前来投标。</w:t>
      </w:r>
    </w:p>
    <w:p>
      <w:pPr>
        <w:pStyle w:val="21"/>
        <w:widowControl/>
        <w:shd w:val="clear" w:color="auto" w:fill="FFFFFF"/>
        <w:spacing w:line="360" w:lineRule="auto"/>
        <w:contextualSpacing/>
        <w:jc w:val="left"/>
        <w:rPr>
          <w:rFonts w:ascii="宋体" w:hAnsi="宋体" w:eastAsia="宋体" w:cs="黑体"/>
          <w:b/>
          <w:bCs/>
          <w:sz w:val="21"/>
          <w:szCs w:val="21"/>
        </w:rPr>
      </w:pPr>
      <w:r>
        <w:rPr>
          <w:rFonts w:hint="eastAsia" w:ascii="宋体" w:hAnsi="宋体" w:eastAsia="宋体" w:cs="黑体"/>
          <w:b/>
          <w:bCs/>
          <w:sz w:val="21"/>
          <w:szCs w:val="21"/>
          <w:shd w:val="clear" w:color="auto" w:fill="FFFFFF"/>
        </w:rPr>
        <w:t>一、项目基本情况</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（一）项目名称：视频会议系统</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（二）项目编号：</w:t>
      </w:r>
      <w:r>
        <w:rPr>
          <w:rFonts w:hint="eastAsia" w:ascii="宋体" w:hAnsi="宋体" w:cs="仿宋_GB2312"/>
          <w:sz w:val="21"/>
          <w:szCs w:val="21"/>
          <w:highlight w:val="none"/>
          <w:shd w:val="clear" w:color="auto" w:fill="FFFFFF"/>
          <w:lang w:val="en-US" w:eastAsia="zh-CN"/>
        </w:rPr>
        <w:t>J</w:t>
      </w:r>
      <w:r>
        <w:rPr>
          <w:rFonts w:hint="eastAsia" w:ascii="宋体" w:hAnsi="宋体" w:eastAsia="宋体" w:cs="仿宋_GB2312"/>
          <w:sz w:val="21"/>
          <w:szCs w:val="21"/>
          <w:highlight w:val="none"/>
          <w:shd w:val="clear" w:color="auto" w:fill="FFFFFF"/>
        </w:rPr>
        <w:t>ZFCG-X2019</w:t>
      </w:r>
      <w:r>
        <w:rPr>
          <w:rFonts w:hint="eastAsia" w:ascii="宋体" w:hAnsi="宋体" w:cs="仿宋_GB2312"/>
          <w:sz w:val="21"/>
          <w:szCs w:val="21"/>
          <w:highlight w:val="none"/>
          <w:shd w:val="clear" w:color="auto" w:fill="FFFFFF"/>
          <w:lang w:val="en-US" w:eastAsia="zh-CN"/>
        </w:rPr>
        <w:t>001</w:t>
      </w:r>
      <w:r>
        <w:rPr>
          <w:rFonts w:hint="eastAsia" w:ascii="宋体" w:hAnsi="宋体" w:eastAsia="宋体" w:cs="仿宋_GB2312"/>
          <w:sz w:val="21"/>
          <w:szCs w:val="21"/>
          <w:shd w:val="clear" w:color="auto" w:fill="FFFFFF"/>
        </w:rPr>
        <w:t xml:space="preserve">号    </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 xml:space="preserve">（三）采购方式：询价                                                                                                                         </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 xml:space="preserve">（四）项目主要内容、数量及简要规格描述或项目基本概况介绍：视频系统、音频系统、多媒体信息分布式交互系统和其他设备等   </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（五）预</w:t>
      </w:r>
      <w:r>
        <w:rPr>
          <w:rFonts w:hint="eastAsia" w:ascii="宋体" w:hAnsi="宋体" w:eastAsia="宋体" w:cs="仿宋_GB2312"/>
          <w:sz w:val="21"/>
          <w:szCs w:val="21"/>
          <w:highlight w:val="none"/>
          <w:shd w:val="clear" w:color="auto" w:fill="FFFFFF"/>
        </w:rPr>
        <w:t>算金额：55万元。</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（六）交付（服务、完工）时间 ：自合同生效之日起30天。</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 xml:space="preserve">（七）交付（服务、完工）地点： </w:t>
      </w:r>
      <w:r>
        <w:rPr>
          <w:rFonts w:hint="eastAsia" w:ascii="宋体" w:hAnsi="宋体" w:cs="微软雅黑"/>
          <w:sz w:val="21"/>
          <w:szCs w:val="21"/>
        </w:rPr>
        <w:t>许昌经济技术开发区综合办公室</w:t>
      </w:r>
      <w:r>
        <w:rPr>
          <w:rFonts w:hint="eastAsia" w:ascii="宋体" w:hAnsi="宋体" w:eastAsia="宋体" w:cs="仿宋_GB2312"/>
          <w:sz w:val="21"/>
          <w:szCs w:val="21"/>
          <w:shd w:val="clear" w:color="auto" w:fill="FFFFFF"/>
        </w:rPr>
        <w:t xml:space="preserve"> </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（八）进口产品：不允许。</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（九）分包：不允许。</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三、供应商资格条件</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（二）</w:t>
      </w:r>
      <w:r>
        <w:rPr>
          <w:rFonts w:ascii="宋体" w:hAnsi="宋体" w:eastAsia="宋体" w:cs="仿宋_GB2312"/>
          <w:sz w:val="21"/>
          <w:szCs w:val="21"/>
          <w:shd w:val="clear" w:color="auto" w:fill="FFFFFF"/>
        </w:rPr>
        <w:t>未被列入“信用中国”网站(www.creditchina.gov.cn)失信被执行人、重大税收违法案件当事人名单、政府采购严重违法失信名单的</w:t>
      </w:r>
      <w:r>
        <w:rPr>
          <w:rFonts w:hint="eastAsia" w:ascii="宋体" w:hAnsi="宋体" w:eastAsia="宋体" w:cs="仿宋_GB2312"/>
          <w:sz w:val="21"/>
          <w:szCs w:val="21"/>
          <w:shd w:val="clear" w:color="auto" w:fill="FFFFFF"/>
        </w:rPr>
        <w:t>供应商</w:t>
      </w:r>
      <w:r>
        <w:rPr>
          <w:rFonts w:ascii="宋体" w:hAnsi="宋体" w:eastAsia="宋体" w:cs="仿宋_GB2312"/>
          <w:sz w:val="21"/>
          <w:szCs w:val="21"/>
          <w:shd w:val="clear" w:color="auto" w:fill="FFFFFF"/>
        </w:rPr>
        <w:t>；</w:t>
      </w:r>
      <w:r>
        <w:rPr>
          <w:rFonts w:hint="eastAsia" w:ascii="宋体" w:hAnsi="宋体" w:eastAsia="宋体" w:cs="仿宋_GB2312"/>
          <w:sz w:val="21"/>
          <w:szCs w:val="21"/>
          <w:shd w:val="clear" w:color="auto" w:fill="FFFFFF"/>
        </w:rPr>
        <w:t>“</w:t>
      </w:r>
      <w:r>
        <w:rPr>
          <w:rFonts w:ascii="宋体" w:hAnsi="宋体" w:eastAsia="宋体" w:cs="仿宋_GB2312"/>
          <w:sz w:val="21"/>
          <w:szCs w:val="21"/>
          <w:shd w:val="clear" w:color="auto" w:fill="FFFFFF"/>
        </w:rPr>
        <w:t>中国政府采购网</w:t>
      </w:r>
      <w:r>
        <w:rPr>
          <w:rFonts w:hint="eastAsia" w:ascii="宋体" w:hAnsi="宋体" w:eastAsia="宋体" w:cs="仿宋_GB2312"/>
          <w:sz w:val="21"/>
          <w:szCs w:val="21"/>
          <w:shd w:val="clear" w:color="auto" w:fill="FFFFFF"/>
        </w:rPr>
        <w:t>”</w:t>
      </w:r>
      <w:r>
        <w:rPr>
          <w:rFonts w:ascii="宋体" w:hAnsi="宋体" w:eastAsia="宋体" w:cs="仿宋_GB2312"/>
          <w:sz w:val="21"/>
          <w:szCs w:val="21"/>
          <w:shd w:val="clear" w:color="auto" w:fill="FFFFFF"/>
        </w:rPr>
        <w:t xml:space="preserve"> (www.ccgp.gov.cn)政府采购严重违法失信行为记录名单的</w:t>
      </w:r>
      <w:r>
        <w:rPr>
          <w:rFonts w:hint="eastAsia" w:ascii="宋体" w:hAnsi="宋体" w:eastAsia="宋体" w:cs="仿宋_GB2312"/>
          <w:sz w:val="21"/>
          <w:szCs w:val="21"/>
          <w:shd w:val="clear" w:color="auto" w:fill="FFFFFF"/>
        </w:rPr>
        <w:t>供应商；</w:t>
      </w:r>
      <w:r>
        <w:rPr>
          <w:rFonts w:hint="eastAsia" w:ascii="宋体" w:hAnsi="宋体" w:eastAsia="宋体" w:cs="仿宋_GB2312"/>
          <w:sz w:val="21"/>
          <w:szCs w:val="21"/>
        </w:rPr>
        <w:t>“国家企业信用公示系统”网站（</w:t>
      </w:r>
      <w:r>
        <w:rPr>
          <w:rFonts w:ascii="宋体" w:hAnsi="宋体" w:eastAsia="宋体" w:cs="仿宋_GB2312"/>
          <w:sz w:val="21"/>
          <w:szCs w:val="21"/>
        </w:rPr>
        <w:t>www.gsxt.gov.cn</w:t>
      </w:r>
      <w:r>
        <w:rPr>
          <w:rFonts w:hint="eastAsia" w:ascii="宋体" w:hAnsi="宋体" w:eastAsia="宋体" w:cs="仿宋_GB2312"/>
          <w:sz w:val="21"/>
          <w:szCs w:val="21"/>
        </w:rPr>
        <w:t>）严重违法失信企业名单（黑名单）的供应商</w:t>
      </w:r>
      <w:r>
        <w:rPr>
          <w:rFonts w:hint="eastAsia" w:ascii="宋体" w:hAnsi="宋体" w:eastAsia="宋体" w:cs="仿宋_GB2312"/>
          <w:sz w:val="21"/>
          <w:szCs w:val="21"/>
          <w:shd w:val="clear" w:color="auto" w:fill="FFFFFF"/>
        </w:rPr>
        <w:t>；“中国社会组织公共服务平台”网站（</w:t>
      </w:r>
      <w:r>
        <w:rPr>
          <w:rFonts w:ascii="宋体" w:hAnsi="宋体" w:eastAsia="宋体" w:cs="仿宋_GB2312"/>
          <w:sz w:val="21"/>
          <w:szCs w:val="21"/>
          <w:shd w:val="clear" w:color="auto" w:fill="FFFFFF"/>
        </w:rPr>
        <w:t>www.chinanpo.gov.cn</w:t>
      </w:r>
      <w:r>
        <w:rPr>
          <w:rFonts w:hint="eastAsia" w:ascii="宋体" w:hAnsi="宋体" w:eastAsia="宋体" w:cs="仿宋_GB2312"/>
          <w:sz w:val="21"/>
          <w:szCs w:val="21"/>
          <w:shd w:val="clear" w:color="auto" w:fill="FFFFFF"/>
        </w:rPr>
        <w:t>）严重违法失信名单的供应商。</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（三）本次采购不接受联合体响应。</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四、询价文件的获取</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ascii="宋体" w:hAnsi="宋体" w:eastAsia="宋体" w:cs="仿宋_GB2312"/>
          <w:sz w:val="21"/>
          <w:szCs w:val="21"/>
          <w:shd w:val="clear" w:color="auto" w:fill="FFFFFF"/>
        </w:rPr>
      </w:pPr>
      <w:r>
        <w:rPr>
          <w:rFonts w:hint="eastAsia" w:ascii="宋体" w:hAnsi="宋体" w:eastAsia="宋体" w:cs="仿宋_GB2312"/>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五、</w:t>
      </w:r>
      <w:r>
        <w:rPr>
          <w:rFonts w:hint="eastAsia" w:ascii="宋体" w:hAnsi="宋体" w:eastAsia="宋体" w:cs="仿宋_GB2312"/>
          <w:b/>
          <w:sz w:val="21"/>
          <w:szCs w:val="21"/>
          <w:shd w:val="clear" w:color="auto" w:fill="FFFFFF"/>
        </w:rPr>
        <w:t>投标文件提交截止时间</w:t>
      </w:r>
      <w:r>
        <w:rPr>
          <w:rFonts w:hint="eastAsia" w:ascii="宋体" w:hAnsi="宋体" w:eastAsia="宋体" w:cs="黑体"/>
          <w:b/>
          <w:bCs/>
          <w:sz w:val="21"/>
          <w:szCs w:val="21"/>
          <w:shd w:val="clear" w:color="auto" w:fill="FFFFFF"/>
        </w:rPr>
        <w:t>及询价响应截止时间、询价时间</w:t>
      </w:r>
    </w:p>
    <w:p>
      <w:pPr>
        <w:pStyle w:val="21"/>
        <w:widowControl/>
        <w:shd w:val="clear" w:color="auto" w:fill="FFFFFF"/>
        <w:spacing w:line="360" w:lineRule="auto"/>
        <w:ind w:left="210" w:leftChars="100" w:firstLine="210" w:firstLineChars="100"/>
        <w:contextualSpacing/>
        <w:jc w:val="left"/>
        <w:rPr>
          <w:rFonts w:ascii="宋体" w:hAnsi="宋体" w:cs="微软雅黑"/>
          <w:sz w:val="21"/>
          <w:szCs w:val="21"/>
          <w:highlight w:val="none"/>
        </w:rPr>
      </w:pPr>
      <w:r>
        <w:rPr>
          <w:rFonts w:hint="eastAsia" w:ascii="宋体" w:hAnsi="宋体" w:eastAsia="宋体" w:cs="仿宋_GB2312"/>
          <w:sz w:val="21"/>
          <w:szCs w:val="21"/>
          <w:shd w:val="clear" w:color="auto" w:fill="FFFFFF"/>
        </w:rPr>
        <w:t>（一）响应文件提交截止时间及</w:t>
      </w:r>
      <w:r>
        <w:rPr>
          <w:rFonts w:hint="eastAsia" w:ascii="宋体" w:hAnsi="宋体" w:eastAsia="宋体" w:cs="仿宋_GB2312"/>
          <w:sz w:val="21"/>
          <w:szCs w:val="21"/>
        </w:rPr>
        <w:t>询价响应截止时间、询价时</w:t>
      </w:r>
      <w:r>
        <w:rPr>
          <w:rFonts w:hint="eastAsia" w:ascii="宋体" w:hAnsi="宋体" w:eastAsia="宋体" w:cs="仿宋_GB2312"/>
          <w:sz w:val="21"/>
          <w:szCs w:val="21"/>
          <w:highlight w:val="none"/>
        </w:rPr>
        <w:t>间：2019年</w:t>
      </w:r>
      <w:r>
        <w:rPr>
          <w:rFonts w:hint="eastAsia" w:ascii="宋体" w:hAnsi="宋体" w:cs="仿宋_GB2312"/>
          <w:sz w:val="21"/>
          <w:szCs w:val="21"/>
          <w:highlight w:val="none"/>
          <w:lang w:val="en-US" w:eastAsia="zh-CN"/>
        </w:rPr>
        <w:t>8</w:t>
      </w:r>
      <w:r>
        <w:rPr>
          <w:rFonts w:hint="eastAsia" w:ascii="宋体" w:hAnsi="宋体" w:eastAsia="宋体" w:cs="仿宋_GB2312"/>
          <w:sz w:val="21"/>
          <w:szCs w:val="21"/>
          <w:highlight w:val="none"/>
        </w:rPr>
        <w:t xml:space="preserve">月 </w:t>
      </w:r>
      <w:r>
        <w:rPr>
          <w:rFonts w:hint="eastAsia" w:ascii="宋体" w:hAnsi="宋体" w:cs="仿宋_GB2312"/>
          <w:sz w:val="21"/>
          <w:szCs w:val="21"/>
          <w:highlight w:val="none"/>
          <w:lang w:val="en-US" w:eastAsia="zh-CN"/>
        </w:rPr>
        <w:t>19</w:t>
      </w:r>
      <w:r>
        <w:rPr>
          <w:rFonts w:hint="eastAsia" w:ascii="宋体" w:hAnsi="宋体" w:eastAsia="宋体" w:cs="仿宋_GB2312"/>
          <w:sz w:val="21"/>
          <w:szCs w:val="21"/>
          <w:highlight w:val="none"/>
        </w:rPr>
        <w:t>日</w:t>
      </w:r>
      <w:r>
        <w:rPr>
          <w:rFonts w:hint="eastAsia" w:ascii="宋体" w:hAnsi="宋体" w:cs="仿宋_GB2312"/>
          <w:sz w:val="21"/>
          <w:szCs w:val="21"/>
          <w:highlight w:val="none"/>
          <w:lang w:val="en-US" w:eastAsia="zh-CN"/>
        </w:rPr>
        <w:t>8</w:t>
      </w:r>
      <w:r>
        <w:rPr>
          <w:rFonts w:hint="eastAsia" w:ascii="宋体" w:hAnsi="宋体" w:eastAsia="宋体" w:cs="仿宋_GB2312"/>
          <w:sz w:val="21"/>
          <w:szCs w:val="21"/>
          <w:highlight w:val="none"/>
        </w:rPr>
        <w:t>时</w:t>
      </w:r>
      <w:r>
        <w:rPr>
          <w:rFonts w:hint="eastAsia" w:ascii="宋体" w:hAnsi="宋体" w:cs="仿宋_GB2312"/>
          <w:sz w:val="21"/>
          <w:szCs w:val="21"/>
          <w:highlight w:val="none"/>
          <w:lang w:val="en-US" w:eastAsia="zh-CN"/>
        </w:rPr>
        <w:t>30</w:t>
      </w:r>
      <w:r>
        <w:rPr>
          <w:rFonts w:hint="eastAsia" w:ascii="宋体" w:hAnsi="宋体" w:eastAsia="宋体" w:cs="仿宋_GB2312"/>
          <w:sz w:val="21"/>
          <w:szCs w:val="21"/>
          <w:highlight w:val="none"/>
        </w:rPr>
        <w:t>分（北京时间），逾期送达或不符合规定的响应文件</w:t>
      </w:r>
      <w:r>
        <w:rPr>
          <w:rFonts w:hint="eastAsia" w:ascii="宋体" w:hAnsi="宋体" w:cs="微软雅黑"/>
          <w:sz w:val="21"/>
          <w:szCs w:val="21"/>
          <w:highlight w:val="none"/>
        </w:rPr>
        <w:t>恕不接受。</w:t>
      </w:r>
    </w:p>
    <w:p>
      <w:pPr>
        <w:pStyle w:val="21"/>
        <w:widowControl/>
        <w:shd w:val="clear" w:color="auto" w:fill="FFFFFF"/>
        <w:spacing w:line="360" w:lineRule="auto"/>
        <w:ind w:firstLine="420"/>
        <w:contextualSpacing/>
        <w:jc w:val="left"/>
        <w:rPr>
          <w:rFonts w:ascii="宋体" w:hAnsi="宋体" w:eastAsia="宋体" w:cs="仿宋_GB2312"/>
          <w:sz w:val="21"/>
          <w:szCs w:val="21"/>
          <w:highlight w:val="none"/>
          <w:shd w:val="clear" w:color="auto" w:fill="FFFFFF"/>
        </w:rPr>
      </w:pPr>
      <w:r>
        <w:rPr>
          <w:rFonts w:hint="eastAsia" w:ascii="宋体" w:hAnsi="宋体" w:eastAsia="宋体" w:cs="仿宋_GB2312"/>
          <w:sz w:val="21"/>
          <w:szCs w:val="21"/>
          <w:highlight w:val="none"/>
        </w:rPr>
        <w:t>（二）响应文件开启时间：</w:t>
      </w:r>
      <w:r>
        <w:rPr>
          <w:rFonts w:hint="eastAsia" w:ascii="宋体" w:hAnsi="宋体" w:eastAsia="宋体" w:cs="仿宋_GB2312"/>
          <w:sz w:val="21"/>
          <w:szCs w:val="21"/>
          <w:highlight w:val="none"/>
          <w:shd w:val="clear" w:color="auto" w:fill="FFFFFF"/>
        </w:rPr>
        <w:t>同响应文件提交截止时间。</w:t>
      </w:r>
    </w:p>
    <w:p>
      <w:pPr>
        <w:pStyle w:val="21"/>
        <w:widowControl/>
        <w:shd w:val="clear" w:color="auto" w:fill="FFFFFF"/>
        <w:spacing w:line="360" w:lineRule="auto"/>
        <w:ind w:firstLine="420"/>
        <w:contextualSpacing/>
        <w:jc w:val="left"/>
        <w:rPr>
          <w:rFonts w:ascii="宋体" w:hAnsi="宋体" w:eastAsia="宋体" w:cs="黑体"/>
          <w:b/>
          <w:bCs/>
          <w:sz w:val="21"/>
          <w:szCs w:val="21"/>
          <w:highlight w:val="none"/>
          <w:shd w:val="clear" w:color="auto" w:fill="FFFFFF"/>
        </w:rPr>
      </w:pPr>
      <w:r>
        <w:rPr>
          <w:rFonts w:hint="eastAsia" w:ascii="宋体" w:hAnsi="宋体" w:eastAsia="宋体" w:cs="黑体"/>
          <w:b/>
          <w:bCs/>
          <w:sz w:val="21"/>
          <w:szCs w:val="21"/>
          <w:highlight w:val="none"/>
          <w:shd w:val="clear" w:color="auto" w:fill="FFFFFF"/>
        </w:rPr>
        <w:t>六、询价响应文件递交及开启地点、询价地点：</w:t>
      </w:r>
    </w:p>
    <w:p>
      <w:pPr>
        <w:pStyle w:val="21"/>
        <w:widowControl/>
        <w:shd w:val="clear" w:color="auto" w:fill="FFFFFF"/>
        <w:spacing w:line="360" w:lineRule="auto"/>
        <w:ind w:firstLine="420"/>
        <w:contextualSpacing/>
        <w:jc w:val="left"/>
        <w:rPr>
          <w:rFonts w:ascii="宋体" w:hAnsi="宋体" w:eastAsia="宋体" w:cs="仿宋_GB2312"/>
          <w:sz w:val="21"/>
          <w:szCs w:val="21"/>
          <w:highlight w:val="none"/>
        </w:rPr>
      </w:pPr>
      <w:r>
        <w:rPr>
          <w:rFonts w:hint="eastAsia" w:ascii="宋体" w:hAnsi="宋体" w:eastAsia="宋体" w:cs="仿宋_GB2312"/>
          <w:sz w:val="21"/>
          <w:szCs w:val="21"/>
          <w:highlight w:val="none"/>
        </w:rPr>
        <w:t>（一）询价响应文件递交地点：许昌市公共资源交易中心（</w:t>
      </w:r>
      <w:r>
        <w:rPr>
          <w:rFonts w:ascii="宋体" w:hAnsi="宋体" w:eastAsia="宋体" w:cs="Arial"/>
          <w:sz w:val="21"/>
          <w:szCs w:val="21"/>
          <w:highlight w:val="none"/>
        </w:rPr>
        <w:t>龙兴路与竹林路交汇处</w:t>
      </w:r>
      <w:r>
        <w:rPr>
          <w:rFonts w:hint="eastAsia" w:ascii="宋体" w:hAnsi="宋体" w:eastAsia="宋体" w:cs="仿宋_GB2312"/>
          <w:sz w:val="21"/>
          <w:szCs w:val="21"/>
          <w:highlight w:val="none"/>
        </w:rPr>
        <w:t>公共资源大厦）三楼开标</w:t>
      </w:r>
      <w:r>
        <w:rPr>
          <w:rFonts w:hint="eastAsia" w:ascii="宋体" w:hAnsi="宋体" w:cs="仿宋_GB2312"/>
          <w:sz w:val="21"/>
          <w:szCs w:val="21"/>
          <w:highlight w:val="none"/>
          <w:lang w:eastAsia="zh-CN"/>
        </w:rPr>
        <w:t>五</w:t>
      </w:r>
      <w:r>
        <w:rPr>
          <w:rFonts w:hint="eastAsia" w:ascii="宋体" w:hAnsi="宋体" w:eastAsia="宋体" w:cs="仿宋_GB2312"/>
          <w:sz w:val="21"/>
          <w:szCs w:val="21"/>
          <w:highlight w:val="none"/>
        </w:rPr>
        <w:t>室。</w:t>
      </w:r>
    </w:p>
    <w:p>
      <w:pPr>
        <w:pStyle w:val="21"/>
        <w:widowControl/>
        <w:shd w:val="clear" w:color="auto" w:fill="FFFFFF"/>
        <w:spacing w:line="360" w:lineRule="auto"/>
        <w:ind w:firstLine="420"/>
        <w:contextualSpacing/>
        <w:jc w:val="left"/>
        <w:rPr>
          <w:rFonts w:ascii="宋体" w:hAnsi="宋体" w:eastAsia="宋体" w:cs="仿宋_GB2312"/>
          <w:sz w:val="21"/>
          <w:szCs w:val="21"/>
          <w:highlight w:val="none"/>
        </w:rPr>
      </w:pPr>
      <w:r>
        <w:rPr>
          <w:rFonts w:hint="eastAsia" w:ascii="宋体" w:hAnsi="宋体" w:eastAsia="宋体" w:cs="仿宋_GB2312"/>
          <w:sz w:val="21"/>
          <w:szCs w:val="21"/>
          <w:highlight w:val="none"/>
        </w:rPr>
        <w:t>（二）询价响应文件开启地点及询价地点：许昌市公共资源交易中心（</w:t>
      </w:r>
      <w:r>
        <w:rPr>
          <w:rFonts w:ascii="宋体" w:hAnsi="宋体" w:eastAsia="宋体" w:cs="Arial"/>
          <w:sz w:val="21"/>
          <w:szCs w:val="21"/>
          <w:highlight w:val="none"/>
        </w:rPr>
        <w:t>龙兴路与竹林路交汇处</w:t>
      </w:r>
      <w:r>
        <w:rPr>
          <w:rFonts w:hint="eastAsia" w:ascii="宋体" w:hAnsi="宋体" w:eastAsia="宋体" w:cs="仿宋_GB2312"/>
          <w:sz w:val="21"/>
          <w:szCs w:val="21"/>
          <w:highlight w:val="none"/>
        </w:rPr>
        <w:t>公共资源大厦）四楼谈判</w:t>
      </w:r>
      <w:r>
        <w:rPr>
          <w:rFonts w:hint="eastAsia" w:ascii="宋体" w:hAnsi="宋体" w:cs="仿宋_GB2312"/>
          <w:sz w:val="21"/>
          <w:szCs w:val="21"/>
          <w:highlight w:val="none"/>
          <w:lang w:eastAsia="zh-CN"/>
        </w:rPr>
        <w:t>二</w:t>
      </w:r>
      <w:r>
        <w:rPr>
          <w:rFonts w:hint="eastAsia" w:ascii="宋体" w:hAnsi="宋体" w:eastAsia="宋体" w:cs="仿宋_GB2312"/>
          <w:sz w:val="21"/>
          <w:szCs w:val="21"/>
          <w:highlight w:val="none"/>
        </w:rPr>
        <w:t>室。</w:t>
      </w:r>
    </w:p>
    <w:p>
      <w:pPr>
        <w:pStyle w:val="21"/>
        <w:widowControl/>
        <w:shd w:val="clear" w:color="auto" w:fill="FFFFFF"/>
        <w:spacing w:line="360" w:lineRule="auto"/>
        <w:ind w:firstLine="420"/>
        <w:contextualSpacing/>
        <w:jc w:val="left"/>
        <w:rPr>
          <w:rFonts w:ascii="宋体" w:hAnsi="宋体" w:eastAsia="宋体" w:cs="仿宋_GB2312"/>
          <w:sz w:val="21"/>
          <w:szCs w:val="21"/>
        </w:rPr>
      </w:pPr>
      <w:r>
        <w:rPr>
          <w:rFonts w:hint="eastAsia" w:ascii="宋体" w:hAnsi="宋体" w:eastAsia="宋体" w:cs="仿宋_GB2312"/>
          <w:sz w:val="21"/>
          <w:szCs w:val="21"/>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ascii="宋体" w:hAnsi="宋体" w:eastAsia="宋体" w:cs="仿宋_GB2312"/>
          <w:sz w:val="21"/>
          <w:szCs w:val="21"/>
        </w:rPr>
      </w:pPr>
      <w:r>
        <w:rPr>
          <w:rFonts w:hint="eastAsia" w:ascii="宋体" w:hAnsi="宋体" w:eastAsia="宋体" w:cs="仿宋_GB2312"/>
          <w:sz w:val="21"/>
          <w:szCs w:val="21"/>
        </w:rPr>
        <w:t>1、加密电子响应文件</w:t>
      </w:r>
      <w:r>
        <w:rPr>
          <w:rFonts w:hint="eastAsia" w:ascii="宋体" w:hAnsi="宋体" w:cs="宋体"/>
          <w:sz w:val="21"/>
          <w:szCs w:val="21"/>
        </w:rPr>
        <w:t>（</w:t>
      </w:r>
      <w:r>
        <w:rPr>
          <w:rFonts w:ascii="宋体" w:hAnsi="宋体" w:eastAsia="宋体"/>
          <w:sz w:val="21"/>
          <w:szCs w:val="21"/>
        </w:rPr>
        <w:t>.file</w:t>
      </w:r>
      <w:r>
        <w:rPr>
          <w:rFonts w:hint="eastAsia" w:ascii="宋体" w:hAnsi="宋体" w:cs="宋体"/>
          <w:sz w:val="21"/>
          <w:szCs w:val="21"/>
        </w:rPr>
        <w:t>格式）须</w:t>
      </w:r>
      <w:r>
        <w:rPr>
          <w:rFonts w:hint="eastAsia" w:ascii="宋体" w:hAnsi="宋体" w:eastAsia="宋体" w:cs="仿宋_GB2312"/>
          <w:sz w:val="21"/>
          <w:szCs w:val="21"/>
        </w:rPr>
        <w:t>在询价响应截止时间前通过《全国公共资源交易平台(河南省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ascii="宋体" w:hAnsi="宋体" w:eastAsia="宋体" w:cs="仿宋_GB2312"/>
          <w:sz w:val="21"/>
          <w:szCs w:val="21"/>
        </w:rPr>
        <w:t>)》公共资源交易系统成功上传。</w:t>
      </w:r>
    </w:p>
    <w:p>
      <w:pPr>
        <w:pStyle w:val="21"/>
        <w:widowControl/>
        <w:shd w:val="clear" w:color="auto" w:fill="FFFFFF"/>
        <w:spacing w:line="360" w:lineRule="auto"/>
        <w:ind w:firstLine="420"/>
        <w:contextualSpacing/>
        <w:jc w:val="left"/>
        <w:rPr>
          <w:rFonts w:ascii="宋体" w:hAnsi="宋体" w:eastAsia="宋体" w:cs="仿宋_GB2312"/>
          <w:sz w:val="21"/>
          <w:szCs w:val="21"/>
          <w:shd w:val="pct10" w:color="auto" w:fill="FFFFFF"/>
        </w:rPr>
      </w:pPr>
      <w:r>
        <w:rPr>
          <w:rFonts w:hint="eastAsia" w:ascii="宋体" w:hAnsi="宋体" w:eastAsia="宋体" w:cs="仿宋_GB2312"/>
          <w:sz w:val="21"/>
          <w:szCs w:val="21"/>
        </w:rPr>
        <w:t>2、纸质响应文件（正本、副本各1份）和备份文件1份</w:t>
      </w:r>
      <w:r>
        <w:rPr>
          <w:rFonts w:hint="eastAsia" w:hAnsi="宋体"/>
          <w:sz w:val="21"/>
          <w:szCs w:val="21"/>
        </w:rPr>
        <w:t>（使用电子介质存储）</w:t>
      </w:r>
      <w:r>
        <w:rPr>
          <w:rFonts w:hint="eastAsia" w:ascii="宋体" w:hAnsi="宋体" w:eastAsia="宋体" w:cs="仿宋_GB2312"/>
          <w:sz w:val="21"/>
          <w:szCs w:val="21"/>
        </w:rPr>
        <w:t>在询价响应截止时间前须一并递交。</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黑体"/>
          <w:b/>
          <w:bCs/>
          <w:sz w:val="21"/>
          <w:szCs w:val="21"/>
          <w:shd w:val="clear" w:color="auto" w:fill="FFFFFF"/>
        </w:rPr>
        <w:t>八、公告期限</w:t>
      </w:r>
    </w:p>
    <w:p>
      <w:pPr>
        <w:pStyle w:val="21"/>
        <w:widowControl/>
        <w:shd w:val="clear" w:color="auto" w:fill="FFFFFF"/>
        <w:spacing w:line="360" w:lineRule="auto"/>
        <w:ind w:firstLine="420"/>
        <w:contextualSpacing/>
        <w:jc w:val="left"/>
        <w:rPr>
          <w:rFonts w:ascii="宋体" w:hAnsi="宋体" w:eastAsia="宋体" w:cs="仿宋_GB2312"/>
          <w:sz w:val="21"/>
          <w:szCs w:val="21"/>
        </w:rPr>
      </w:pPr>
      <w:r>
        <w:rPr>
          <w:rFonts w:hint="eastAsia" w:ascii="宋体" w:hAnsi="宋体" w:eastAsia="宋体" w:cs="仿宋_GB2312"/>
          <w:sz w:val="21"/>
          <w:szCs w:val="21"/>
        </w:rPr>
        <w:t>本公告自发布之日起公告期限为3个工作日。</w:t>
      </w:r>
    </w:p>
    <w:p>
      <w:pPr>
        <w:pStyle w:val="21"/>
        <w:widowControl/>
        <w:shd w:val="clear" w:color="auto" w:fill="FFFFFF"/>
        <w:spacing w:line="360" w:lineRule="auto"/>
        <w:ind w:firstLine="420"/>
        <w:contextualSpacing/>
        <w:jc w:val="left"/>
        <w:rPr>
          <w:rFonts w:ascii="宋体" w:hAnsi="宋体" w:eastAsia="宋体" w:cs="黑体"/>
          <w:b/>
          <w:bCs/>
          <w:sz w:val="21"/>
          <w:szCs w:val="21"/>
        </w:rPr>
      </w:pPr>
      <w:r>
        <w:rPr>
          <w:rFonts w:hint="eastAsia" w:ascii="宋体" w:hAnsi="宋体" w:eastAsia="宋体" w:cs="黑体"/>
          <w:b/>
          <w:bCs/>
          <w:sz w:val="21"/>
          <w:szCs w:val="21"/>
        </w:rPr>
        <w:t>九、联系方式</w:t>
      </w:r>
    </w:p>
    <w:p>
      <w:pPr>
        <w:adjustRightInd w:val="0"/>
        <w:spacing w:line="360" w:lineRule="auto"/>
        <w:ind w:firstLine="843" w:firstLineChars="400"/>
        <w:contextualSpacing/>
        <w:jc w:val="left"/>
        <w:rPr>
          <w:rFonts w:ascii="宋体" w:hAnsi="宋体" w:cs="仿宋_GB2312"/>
          <w:szCs w:val="21"/>
          <w:shd w:val="clear" w:color="auto" w:fill="FFFFFF"/>
        </w:rPr>
      </w:pPr>
      <w:r>
        <w:rPr>
          <w:rFonts w:hint="eastAsia" w:ascii="宋体" w:hAnsi="宋体"/>
          <w:b/>
          <w:szCs w:val="21"/>
        </w:rPr>
        <w:t>采购人</w:t>
      </w:r>
      <w:r>
        <w:rPr>
          <w:rFonts w:hint="eastAsia" w:ascii="宋体" w:hAnsi="宋体"/>
          <w:szCs w:val="21"/>
        </w:rPr>
        <w:t>： 许昌经济技术开发区综合办公室</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w:t>
      </w:r>
      <w:r>
        <w:rPr>
          <w:rFonts w:hint="eastAsia" w:ascii="宋体" w:hAnsi="宋体" w:cs="仿宋_GB2312"/>
          <w:szCs w:val="21"/>
          <w:shd w:val="clear" w:color="auto" w:fill="FFFFFF"/>
        </w:rPr>
        <w:t xml:space="preserve"> 许昌市魏都区瑞祥路1969号</w:t>
      </w:r>
    </w:p>
    <w:p>
      <w:pPr>
        <w:adjustRightInd w:val="0"/>
        <w:spacing w:line="360" w:lineRule="auto"/>
        <w:ind w:firstLine="1260" w:firstLineChars="600"/>
        <w:contextualSpacing/>
        <w:jc w:val="left"/>
        <w:rPr>
          <w:rFonts w:ascii="宋体" w:hAnsi="宋体" w:cs="仿宋_GB2312"/>
          <w:szCs w:val="21"/>
          <w:shd w:val="clear" w:color="auto" w:fill="FFFFFF"/>
        </w:rPr>
      </w:pPr>
      <w:r>
        <w:rPr>
          <w:rFonts w:hint="eastAsia" w:ascii="宋体" w:hAnsi="宋体"/>
          <w:szCs w:val="21"/>
        </w:rPr>
        <w:t>联系人：孙小闯</w:t>
      </w:r>
      <w:r>
        <w:rPr>
          <w:rFonts w:hint="eastAsia" w:ascii="宋体" w:hAnsi="宋体" w:cs="仿宋_GB2312"/>
          <w:szCs w:val="21"/>
          <w:shd w:val="clear" w:color="auto" w:fill="FFFFFF"/>
        </w:rPr>
        <w:t xml:space="preserve">               联系电话：0374-8581105</w:t>
      </w:r>
    </w:p>
    <w:p>
      <w:pPr>
        <w:widowControl/>
        <w:shd w:val="clear" w:color="auto" w:fill="FFFFFF"/>
        <w:spacing w:before="226" w:line="330" w:lineRule="atLeast"/>
        <w:ind w:firstLine="960"/>
        <w:jc w:val="left"/>
        <w:rPr>
          <w:rFonts w:ascii="宋体" w:hAnsi="宋体"/>
          <w:szCs w:val="21"/>
        </w:rPr>
      </w:pPr>
      <w:r>
        <w:rPr>
          <w:rFonts w:hint="eastAsia" w:ascii="宋体" w:hAnsi="宋体"/>
          <w:b/>
          <w:szCs w:val="21"/>
        </w:rPr>
        <w:t>集中采购机构</w:t>
      </w:r>
      <w:r>
        <w:rPr>
          <w:rFonts w:hint="eastAsia" w:ascii="宋体" w:hAnsi="宋体"/>
          <w:szCs w:val="21"/>
        </w:rPr>
        <w:t>：河南华明工程造价咨询有限公司</w:t>
      </w:r>
    </w:p>
    <w:p>
      <w:pPr>
        <w:widowControl/>
        <w:shd w:val="clear" w:color="auto" w:fill="FFFFFF"/>
        <w:spacing w:before="226" w:line="330" w:lineRule="atLeast"/>
        <w:ind w:firstLine="1169" w:firstLineChars="557"/>
        <w:jc w:val="left"/>
      </w:pPr>
      <w:r>
        <w:rPr>
          <w:rFonts w:hint="eastAsia" w:ascii="宋体" w:hAnsi="宋体"/>
          <w:szCs w:val="21"/>
        </w:rPr>
        <w:t>地址： 许昌市魏都区半截河街道橡树湾10号楼门面房二层一户</w:t>
      </w:r>
    </w:p>
    <w:p>
      <w:pPr>
        <w:widowControl/>
        <w:shd w:val="clear" w:color="auto" w:fill="FFFFFF"/>
        <w:spacing w:before="226" w:line="330" w:lineRule="atLeast"/>
        <w:ind w:firstLine="1260" w:firstLineChars="600"/>
        <w:jc w:val="left"/>
        <w:rPr>
          <w:rFonts w:ascii="宋体" w:hAnsi="宋体"/>
          <w:szCs w:val="21"/>
        </w:rPr>
      </w:pPr>
      <w:r>
        <w:rPr>
          <w:rFonts w:hint="eastAsia" w:ascii="宋体" w:hAnsi="宋体"/>
          <w:szCs w:val="21"/>
        </w:rPr>
        <w:t>联系人：马先生  联系电话：0374-3117600</w:t>
      </w:r>
    </w:p>
    <w:p>
      <w:pPr>
        <w:adjustRightInd w:val="0"/>
        <w:spacing w:line="360" w:lineRule="auto"/>
        <w:ind w:firstLine="1260" w:firstLineChars="600"/>
        <w:contextualSpacing/>
        <w:jc w:val="left"/>
        <w:rPr>
          <w:rFonts w:ascii="宋体" w:hAnsi="宋体"/>
          <w:szCs w:val="21"/>
        </w:rPr>
      </w:pP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adjustRightInd w:val="0"/>
        <w:spacing w:line="360" w:lineRule="auto"/>
        <w:ind w:firstLine="4830" w:firstLineChars="2300"/>
        <w:contextualSpacing/>
        <w:jc w:val="left"/>
        <w:rPr>
          <w:rFonts w:ascii="宋体" w:hAnsi="宋体"/>
          <w:szCs w:val="21"/>
        </w:rPr>
      </w:pPr>
      <w:r>
        <w:rPr>
          <w:rFonts w:hint="eastAsia" w:ascii="宋体" w:hAnsi="宋体"/>
          <w:szCs w:val="21"/>
        </w:rPr>
        <w:t>许昌经济技术开发区综合办公室</w:t>
      </w:r>
    </w:p>
    <w:p>
      <w:pPr>
        <w:adjustRightInd w:val="0"/>
        <w:spacing w:line="360" w:lineRule="auto"/>
        <w:ind w:firstLine="5670" w:firstLineChars="2700"/>
        <w:contextualSpacing/>
        <w:jc w:val="left"/>
        <w:rPr>
          <w:rFonts w:ascii="宋体" w:hAnsi="宋体" w:cs="仿宋_GB2312"/>
          <w:szCs w:val="21"/>
          <w:highlight w:val="none"/>
          <w:shd w:val="clear" w:color="auto" w:fill="FFFFFF"/>
        </w:rPr>
      </w:pPr>
      <w:r>
        <w:rPr>
          <w:rFonts w:hint="eastAsia" w:ascii="宋体" w:hAnsi="宋体" w:cs="仿宋_GB2312"/>
          <w:szCs w:val="21"/>
          <w:highlight w:val="none"/>
          <w:shd w:val="clear" w:color="auto" w:fill="FFFFFF"/>
        </w:rPr>
        <w:t>二〇一九年</w:t>
      </w:r>
      <w:r>
        <w:rPr>
          <w:rFonts w:hint="eastAsia" w:ascii="宋体" w:hAnsi="宋体" w:cs="仿宋_GB2312"/>
          <w:szCs w:val="21"/>
          <w:highlight w:val="none"/>
          <w:shd w:val="clear" w:color="auto" w:fill="FFFFFF"/>
          <w:lang w:eastAsia="zh-CN"/>
        </w:rPr>
        <w:t>八</w:t>
      </w:r>
      <w:r>
        <w:rPr>
          <w:rFonts w:hint="eastAsia" w:ascii="宋体" w:hAnsi="宋体" w:cs="仿宋_GB2312"/>
          <w:szCs w:val="21"/>
          <w:highlight w:val="none"/>
          <w:shd w:val="clear" w:color="auto" w:fill="FFFFFF"/>
        </w:rPr>
        <w:t>月</w:t>
      </w:r>
      <w:r>
        <w:rPr>
          <w:rFonts w:hint="eastAsia" w:ascii="宋体" w:hAnsi="宋体" w:cs="仿宋_GB2312"/>
          <w:szCs w:val="21"/>
          <w:highlight w:val="none"/>
          <w:shd w:val="clear" w:color="auto" w:fill="FFFFFF"/>
          <w:lang w:eastAsia="zh-CN"/>
        </w:rPr>
        <w:t>八</w:t>
      </w:r>
      <w:r>
        <w:rPr>
          <w:rFonts w:hint="eastAsia" w:ascii="宋体" w:hAnsi="宋体" w:cs="仿宋_GB2312"/>
          <w:szCs w:val="21"/>
          <w:highlight w:val="none"/>
          <w:shd w:val="clear" w:color="auto" w:fill="FFFFFF"/>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宋体" w:hAnsi="宋体"/>
          <w:b/>
          <w:szCs w:val="21"/>
        </w:rPr>
        <w:t>1.</w:t>
      </w:r>
      <w:r>
        <w:rPr>
          <w:rFonts w:hint="eastAsia" w:hAnsi="宋体"/>
          <w:b/>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宋体" w:hAnsi="宋体"/>
          <w:b/>
          <w:szCs w:val="21"/>
        </w:rPr>
        <w:t>2</w:t>
      </w:r>
      <w:r>
        <w:rPr>
          <w:rFonts w:ascii="宋体" w:hAnsi="宋体"/>
          <w:b/>
          <w:szCs w:val="21"/>
        </w:rPr>
        <w:t>.</w:t>
      </w:r>
      <w:r>
        <w:rPr>
          <w:rFonts w:hint="eastAsia" w:hAnsi="宋体"/>
          <w:b/>
          <w:szCs w:val="21"/>
        </w:rPr>
        <w:t>电子文件下载、制作、提交期间和询价响应文件递交（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宋体" w:hAnsi="宋体"/>
          <w:b/>
          <w:szCs w:val="21"/>
        </w:rPr>
        <w:t>3</w:t>
      </w:r>
      <w:r>
        <w:rPr>
          <w:rFonts w:hint="eastAsia" w:ascii="宋体" w:hAnsi="宋体"/>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宋体" w:hAnsi="宋体"/>
          <w:szCs w:val="21"/>
        </w:rPr>
        <w:t>3</w:t>
      </w:r>
      <w:r>
        <w:rPr>
          <w:rFonts w:hint="eastAsia" w:ascii="宋体" w:hAnsi="宋体"/>
          <w:szCs w:val="21"/>
        </w:rPr>
        <w:t>.1</w:t>
      </w:r>
      <w:r>
        <w:rPr>
          <w:rFonts w:hint="eastAsia" w:hAnsi="宋体"/>
          <w:szCs w:val="21"/>
        </w:rPr>
        <w:t xml:space="preserve"> 供应商登录《全国公共资源交易平台</w:t>
      </w:r>
      <w:r>
        <w:rPr>
          <w:rFonts w:hint="eastAsia" w:ascii="宋体" w:hAnsi="宋体" w:eastAsia="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宋体"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Fonts w:hAnsi="宋体"/>
          <w:color w:val="auto"/>
          <w:szCs w:val="21"/>
        </w:rPr>
        <w:fldChar w:fldCharType="end"/>
      </w:r>
      <w:r>
        <w:rPr>
          <w:rFonts w:hint="eastAsia" w:hAnsi="宋体"/>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宋体" w:hAnsi="宋体"/>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hAnsi="宋体"/>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宋体" w:hAnsi="宋体"/>
          <w:szCs w:val="21"/>
        </w:rPr>
        <w:t>3.3</w:t>
      </w:r>
      <w:r>
        <w:rPr>
          <w:rFonts w:hint="eastAsia" w:hAnsi="宋体"/>
          <w:szCs w:val="21"/>
        </w:rPr>
        <w:t>供应商对同一项目多个标段进行报价的，应分别下载所响应标段的询价文件，按标段制作电子响应文件，并</w:t>
      </w:r>
      <w:r>
        <w:rPr>
          <w:rFonts w:hAnsi="宋体"/>
          <w:szCs w:val="21"/>
        </w:rPr>
        <w:t>按</w:t>
      </w:r>
      <w:r>
        <w:rPr>
          <w:rFonts w:hint="eastAsia" w:hAnsi="宋体"/>
          <w:szCs w:val="21"/>
        </w:rPr>
        <w:t>询价文件</w:t>
      </w:r>
      <w:r>
        <w:rPr>
          <w:rFonts w:hAnsi="宋体"/>
          <w:szCs w:val="21"/>
        </w:rPr>
        <w:t>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szCs w:val="21"/>
        </w:rPr>
      </w:pPr>
      <w:r>
        <w:rPr>
          <w:rFonts w:ascii="宋体" w:hAnsi="宋体"/>
          <w:b/>
          <w:szCs w:val="21"/>
        </w:rPr>
        <w:t>4</w:t>
      </w:r>
      <w:r>
        <w:rPr>
          <w:rFonts w:hint="eastAsia" w:ascii="宋体" w:hAnsi="宋体"/>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宋体" w:hAnsi="宋体"/>
          <w:szCs w:val="21"/>
        </w:rPr>
        <w:t>4</w:t>
      </w:r>
      <w:r>
        <w:rPr>
          <w:rFonts w:hint="eastAsia" w:ascii="宋体" w:hAnsi="宋体"/>
          <w:szCs w:val="21"/>
        </w:rPr>
        <w:t>.1加密</w:t>
      </w:r>
      <w:r>
        <w:rPr>
          <w:rFonts w:hint="eastAsia" w:hAnsi="宋体"/>
          <w:szCs w:val="21"/>
        </w:rPr>
        <w:t>电子响应文件应在询价文件规定的询价响应截止时间之前成功提交至《全国公共资源交易平台(河南省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宋体" w:hAnsi="宋体"/>
          <w:szCs w:val="21"/>
        </w:rPr>
        <w:t>4.</w:t>
      </w:r>
      <w:r>
        <w:rPr>
          <w:rFonts w:hint="eastAsia" w:ascii="宋体" w:hAnsi="宋体"/>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 xml:space="preserve"> 加密</w:t>
      </w:r>
      <w:r>
        <w:rPr>
          <w:rFonts w:hint="eastAsia" w:hAnsi="宋体"/>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szCs w:val="21"/>
        </w:rPr>
      </w:pPr>
      <w:r>
        <w:rPr>
          <w:rFonts w:ascii="宋体" w:hAnsi="宋体"/>
          <w:b/>
          <w:szCs w:val="21"/>
        </w:rPr>
        <w:t>5</w:t>
      </w:r>
      <w:r>
        <w:rPr>
          <w:rFonts w:hint="eastAsia" w:ascii="宋体" w:hAnsi="宋体"/>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宋体" w:hAnsi="宋体"/>
          <w:szCs w:val="21"/>
        </w:rPr>
        <w:t>5.1</w:t>
      </w:r>
      <w:r>
        <w:rPr>
          <w:rFonts w:hint="eastAsia" w:hAnsi="宋体"/>
          <w:szCs w:val="21"/>
        </w:rPr>
        <w:t>采用全流程电子化交易评审时，询价小组以电子响应文件为依据评审。</w:t>
      </w:r>
    </w:p>
    <w:p>
      <w:pPr>
        <w:tabs>
          <w:tab w:val="left" w:pos="7095"/>
        </w:tabs>
        <w:spacing w:line="360" w:lineRule="auto"/>
        <w:ind w:firstLine="420" w:firstLineChars="200"/>
        <w:contextualSpacing/>
        <w:rPr>
          <w:rFonts w:hAnsi="宋体"/>
          <w:szCs w:val="21"/>
        </w:rPr>
      </w:pPr>
      <w:r>
        <w:rPr>
          <w:rFonts w:hint="eastAsia" w:ascii="宋体" w:hAnsi="宋体"/>
          <w:szCs w:val="21"/>
        </w:rPr>
        <w:t>5.2</w:t>
      </w:r>
      <w:r>
        <w:rPr>
          <w:rFonts w:hint="eastAsia" w:hAnsi="宋体"/>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sectPr>
          <w:footerReference r:id="rId3" w:type="default"/>
          <w:pgSz w:w="11906" w:h="16838"/>
          <w:pgMar w:top="2098" w:right="1474" w:bottom="1928" w:left="1588" w:header="851" w:footer="992" w:gutter="0"/>
          <w:cols w:space="720" w:num="1"/>
          <w:docGrid w:type="lines" w:linePitch="312" w:charSpace="0"/>
        </w:sectPr>
      </w:pPr>
    </w:p>
    <w:p>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ind w:firstLine="482" w:firstLineChars="200"/>
        <w:contextualSpacing/>
        <w:jc w:val="left"/>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cs="宋体"/>
          <w:sz w:val="24"/>
          <w:highlight w:val="none"/>
        </w:rPr>
      </w:pPr>
      <w:r>
        <w:rPr>
          <w:rFonts w:hint="eastAsia" w:ascii="宋体" w:cs="宋体"/>
          <w:sz w:val="24"/>
          <w:highlight w:val="none"/>
        </w:rPr>
        <w:t>许昌经济技术开发区党政视频会议系统建设，包括设备采购</w:t>
      </w:r>
      <w:r>
        <w:rPr>
          <w:rFonts w:hint="eastAsia" w:ascii="宋体" w:cs="宋体"/>
          <w:sz w:val="24"/>
          <w:highlight w:val="none"/>
          <w:lang w:eastAsia="zh-CN"/>
        </w:rPr>
        <w:t>、系统集成</w:t>
      </w:r>
      <w:r>
        <w:rPr>
          <w:rFonts w:hint="eastAsia" w:ascii="宋体" w:cs="宋体"/>
          <w:sz w:val="24"/>
          <w:highlight w:val="none"/>
        </w:rPr>
        <w:t>和通信网络服务。实现国家、省、市党政视频会议互通。</w:t>
      </w:r>
    </w:p>
    <w:p>
      <w:pPr>
        <w:widowControl/>
        <w:shd w:val="clear" w:color="auto" w:fill="FFFFFF"/>
        <w:spacing w:line="360" w:lineRule="auto"/>
        <w:ind w:firstLine="482" w:firstLineChars="200"/>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lang w:eastAsia="zh-CN"/>
        </w:rPr>
        <w:t>二、</w:t>
      </w:r>
      <w:r>
        <w:rPr>
          <w:rFonts w:hint="eastAsia" w:ascii="宋体" w:hAnsi="宋体" w:cs="黑体"/>
          <w:b/>
          <w:bCs/>
          <w:sz w:val="24"/>
          <w:szCs w:val="24"/>
          <w:shd w:val="clear" w:color="auto" w:fill="FFFFFF"/>
        </w:rPr>
        <w:t>采购清单</w:t>
      </w:r>
    </w:p>
    <w:tbl>
      <w:tblPr>
        <w:tblStyle w:val="22"/>
        <w:tblpPr w:leftFromText="180" w:rightFromText="180" w:vertAnchor="text" w:horzAnchor="page" w:tblpX="1444" w:tblpY="1360"/>
        <w:tblOverlap w:val="never"/>
        <w:tblW w:w="9185" w:type="dxa"/>
        <w:tblInd w:w="0" w:type="dxa"/>
        <w:tblLayout w:type="fixed"/>
        <w:tblCellMar>
          <w:top w:w="0" w:type="dxa"/>
          <w:left w:w="0" w:type="dxa"/>
          <w:bottom w:w="0" w:type="dxa"/>
          <w:right w:w="0" w:type="dxa"/>
        </w:tblCellMar>
      </w:tblPr>
      <w:tblGrid>
        <w:gridCol w:w="490"/>
        <w:gridCol w:w="922"/>
        <w:gridCol w:w="6400"/>
        <w:gridCol w:w="733"/>
        <w:gridCol w:w="640"/>
      </w:tblGrid>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both"/>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922"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6400"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产品描述</w:t>
            </w:r>
          </w:p>
        </w:tc>
        <w:tc>
          <w:tcPr>
            <w:tcW w:w="733"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F03F5C"/>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1.视频系统</w:t>
            </w:r>
          </w:p>
        </w:tc>
      </w:tr>
      <w:tr>
        <w:tblPrEx>
          <w:tblLayout w:type="fixed"/>
          <w:tblCellMar>
            <w:top w:w="0" w:type="dxa"/>
            <w:left w:w="0" w:type="dxa"/>
            <w:bottom w:w="0" w:type="dxa"/>
            <w:right w:w="0" w:type="dxa"/>
          </w:tblCellMar>
        </w:tblPrEx>
        <w:trPr>
          <w:trHeight w:val="180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投影机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★1.1片0.67”DLP成像芯片、16：10宽高比;</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★2.亮度：≥5000流明（RGBCYW色轮） 对比度：≥2500:1;</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★3.≥1920x1200（WUXGA）分辨率;</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4.支持3D主动立体显示;</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5.垂直镜头位移≥52.5–55%;</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6.标配1.07-1.71投射比变焦镜头 ;</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7.内置四角校正;</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8.高清视频接口:不少于HDMI、HDMI/MHL、S-Video、VIDEO、VGAx2、HDBase-T;</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9.光源(功率)≥370W UHP 建议灯炮更换时间≥2500小时;</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10.噪音（常规/静音</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≥36dB/33dB。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90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投影机</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采用嵌入式</w:t>
            </w:r>
            <w:r>
              <w:rPr>
                <w:rFonts w:ascii="宋体" w:hAnsi="宋体" w:eastAsia="宋体" w:cs="宋体"/>
                <w:color w:val="000000"/>
                <w:kern w:val="0"/>
                <w:sz w:val="18"/>
                <w:szCs w:val="18"/>
                <w:lang w:bidi="ar"/>
              </w:rPr>
              <w:t>Linux</w:t>
            </w:r>
            <w:r>
              <w:rPr>
                <w:rFonts w:hint="eastAsia" w:ascii="宋体" w:hAnsi="宋体" w:eastAsia="宋体" w:cs="宋体"/>
                <w:color w:val="000000"/>
                <w:kern w:val="0"/>
                <w:sz w:val="18"/>
                <w:szCs w:val="18"/>
                <w:lang w:bidi="ar"/>
              </w:rPr>
              <w:t>系统；</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无风扇结构，静音设计，支持</w:t>
            </w:r>
            <w:r>
              <w:rPr>
                <w:rFonts w:ascii="宋体" w:hAnsi="宋体" w:eastAsia="宋体" w:cs="宋体"/>
                <w:color w:val="000000"/>
                <w:kern w:val="0"/>
                <w:sz w:val="18"/>
                <w:szCs w:val="18"/>
                <w:lang w:bidi="ar"/>
              </w:rPr>
              <w:t>19</w:t>
            </w:r>
            <w:r>
              <w:rPr>
                <w:rFonts w:hint="eastAsia" w:ascii="宋体" w:hAnsi="宋体" w:eastAsia="宋体" w:cs="宋体"/>
                <w:color w:val="000000"/>
                <w:kern w:val="0"/>
                <w:sz w:val="18"/>
                <w:szCs w:val="18"/>
                <w:lang w:bidi="ar"/>
              </w:rPr>
              <w:t>英寸标准机柜</w:t>
            </w:r>
            <w:r>
              <w:rPr>
                <w:rFonts w:ascii="宋体" w:hAnsi="宋体" w:eastAsia="宋体" w:cs="宋体"/>
                <w:color w:val="000000"/>
                <w:kern w:val="0"/>
                <w:sz w:val="18"/>
                <w:szCs w:val="18"/>
                <w:lang w:bidi="ar"/>
              </w:rPr>
              <w:t xml:space="preserve">1U </w:t>
            </w:r>
            <w:r>
              <w:rPr>
                <w:rFonts w:hint="eastAsia" w:ascii="宋体" w:hAnsi="宋体" w:eastAsia="宋体" w:cs="宋体"/>
                <w:color w:val="000000"/>
                <w:kern w:val="0"/>
                <w:sz w:val="18"/>
                <w:szCs w:val="18"/>
                <w:lang w:bidi="ar"/>
              </w:rPr>
              <w:t>独立安装或同时并排安装</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 xml:space="preserve">2 </w:t>
            </w:r>
            <w:r>
              <w:rPr>
                <w:rFonts w:hint="eastAsia" w:ascii="宋体" w:hAnsi="宋体" w:eastAsia="宋体" w:cs="宋体"/>
                <w:color w:val="000000"/>
                <w:kern w:val="0"/>
                <w:sz w:val="18"/>
                <w:szCs w:val="18"/>
                <w:lang w:bidi="ar"/>
              </w:rPr>
              <w:t>台；</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3</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具有≥</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路高清视频输出接口；支持独立的平衡式音频输出，支持音量调节，支持音频解嵌；</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★4、音频支持同步、异步、混音；提供具有CNAS认可的第三方权威检验机构出具的检测报告（检验机构资格不符合或检测报告无相应功能检测结果的视为该项参数不满足）；</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RS232</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IR</w:t>
            </w:r>
            <w:r>
              <w:rPr>
                <w:rFonts w:hint="eastAsia" w:ascii="宋体" w:hAnsi="宋体" w:eastAsia="宋体" w:cs="宋体"/>
                <w:color w:val="000000"/>
                <w:kern w:val="0"/>
                <w:sz w:val="18"/>
                <w:szCs w:val="18"/>
                <w:lang w:bidi="ar"/>
              </w:rPr>
              <w:t>控制接口；</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采用标准</w:t>
            </w:r>
            <w:r>
              <w:rPr>
                <w:rFonts w:ascii="宋体" w:hAnsi="宋体" w:eastAsia="宋体" w:cs="宋体"/>
                <w:color w:val="000000"/>
                <w:kern w:val="0"/>
                <w:sz w:val="18"/>
                <w:szCs w:val="18"/>
                <w:lang w:bidi="ar"/>
              </w:rPr>
              <w:t>RJ45</w:t>
            </w:r>
            <w:r>
              <w:rPr>
                <w:rFonts w:hint="eastAsia" w:ascii="宋体" w:hAnsi="宋体" w:eastAsia="宋体" w:cs="宋体"/>
                <w:color w:val="000000"/>
                <w:kern w:val="0"/>
                <w:sz w:val="18"/>
                <w:szCs w:val="18"/>
                <w:lang w:bidi="ar"/>
              </w:rPr>
              <w:t>接口，</w:t>
            </w:r>
            <w:r>
              <w:rPr>
                <w:rFonts w:ascii="宋体" w:hAnsi="宋体" w:eastAsia="宋体" w:cs="宋体"/>
                <w:color w:val="000000"/>
                <w:kern w:val="0"/>
                <w:sz w:val="18"/>
                <w:szCs w:val="18"/>
                <w:lang w:bidi="ar"/>
              </w:rPr>
              <w:t>1000Mbps</w:t>
            </w:r>
            <w:r>
              <w:rPr>
                <w:rFonts w:hint="eastAsia" w:ascii="宋体" w:hAnsi="宋体" w:eastAsia="宋体" w:cs="宋体"/>
                <w:color w:val="000000"/>
                <w:kern w:val="0"/>
                <w:sz w:val="18"/>
                <w:szCs w:val="18"/>
                <w:lang w:bidi="ar"/>
              </w:rPr>
              <w:t>速率，支持跨网段通讯，支持</w:t>
            </w:r>
            <w:r>
              <w:rPr>
                <w:rFonts w:ascii="宋体" w:hAnsi="宋体" w:eastAsia="宋体" w:cs="宋体"/>
                <w:color w:val="000000"/>
                <w:kern w:val="0"/>
                <w:sz w:val="18"/>
                <w:szCs w:val="18"/>
                <w:lang w:bidi="ar"/>
              </w:rPr>
              <w:t>DHCP</w:t>
            </w:r>
            <w:r>
              <w:rPr>
                <w:rFonts w:hint="eastAsia" w:ascii="宋体" w:hAnsi="宋体" w:eastAsia="宋体" w:cs="宋体"/>
                <w:color w:val="000000"/>
                <w:kern w:val="0"/>
                <w:sz w:val="18"/>
                <w:szCs w:val="18"/>
                <w:lang w:bidi="ar"/>
              </w:rPr>
              <w:t>动态获取</w:t>
            </w:r>
            <w:r>
              <w:rPr>
                <w:rFonts w:ascii="宋体" w:hAnsi="宋体" w:eastAsia="宋体" w:cs="宋体"/>
                <w:color w:val="000000"/>
                <w:kern w:val="0"/>
                <w:sz w:val="18"/>
                <w:szCs w:val="18"/>
                <w:lang w:bidi="ar"/>
              </w:rPr>
              <w:t>IP</w:t>
            </w:r>
            <w:r>
              <w:rPr>
                <w:rFonts w:hint="eastAsia" w:ascii="宋体" w:hAnsi="宋体" w:eastAsia="宋体" w:cs="宋体"/>
                <w:color w:val="000000"/>
                <w:kern w:val="0"/>
                <w:sz w:val="18"/>
                <w:szCs w:val="18"/>
                <w:lang w:bidi="ar"/>
              </w:rPr>
              <w:t>地址；</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7</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支持自定义分辨率，范围</w:t>
            </w:r>
            <w:r>
              <w:rPr>
                <w:rFonts w:ascii="宋体" w:hAnsi="宋体" w:eastAsia="宋体" w:cs="宋体"/>
                <w:color w:val="000000"/>
                <w:kern w:val="0"/>
                <w:sz w:val="18"/>
                <w:szCs w:val="18"/>
                <w:lang w:bidi="ar"/>
              </w:rPr>
              <w:t>:360x240~1920*1080</w:t>
            </w:r>
            <w:r>
              <w:rPr>
                <w:rFonts w:hint="eastAsia" w:ascii="宋体" w:hAnsi="宋体" w:eastAsia="宋体" w:cs="宋体"/>
                <w:color w:val="000000"/>
                <w:kern w:val="0"/>
                <w:sz w:val="18"/>
                <w:szCs w:val="18"/>
                <w:lang w:bidi="ar"/>
              </w:rPr>
              <w:t>，自适应传输码率范围</w:t>
            </w:r>
            <w:r>
              <w:rPr>
                <w:rFonts w:ascii="宋体" w:hAnsi="宋体" w:eastAsia="宋体" w:cs="宋体"/>
                <w:color w:val="000000"/>
                <w:kern w:val="0"/>
                <w:sz w:val="18"/>
                <w:szCs w:val="18"/>
                <w:lang w:bidi="ar"/>
              </w:rPr>
              <w:t>128kbps~40Mbps</w:t>
            </w:r>
            <w:r>
              <w:rPr>
                <w:rFonts w:hint="eastAsia" w:ascii="宋体" w:hAnsi="宋体" w:eastAsia="宋体" w:cs="宋体"/>
                <w:color w:val="000000"/>
                <w:kern w:val="0"/>
                <w:sz w:val="18"/>
                <w:szCs w:val="18"/>
                <w:lang w:bidi="ar"/>
              </w:rPr>
              <w:t>；</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8</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支持网络休眠和唤醒；</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支持远程</w:t>
            </w:r>
            <w:r>
              <w:rPr>
                <w:rFonts w:ascii="宋体" w:hAnsi="宋体" w:eastAsia="宋体" w:cs="宋体"/>
                <w:color w:val="000000"/>
                <w:kern w:val="0"/>
                <w:sz w:val="18"/>
                <w:szCs w:val="18"/>
                <w:lang w:bidi="ar"/>
              </w:rPr>
              <w:t>KVM</w:t>
            </w:r>
            <w:r>
              <w:rPr>
                <w:rFonts w:hint="eastAsia" w:ascii="宋体" w:hAnsi="宋体" w:eastAsia="宋体" w:cs="宋体"/>
                <w:color w:val="000000"/>
                <w:kern w:val="0"/>
                <w:sz w:val="18"/>
                <w:szCs w:val="18"/>
                <w:lang w:bidi="ar"/>
              </w:rPr>
              <w:t>控制：支持跨屏、漫游鼠标操作，支持多屏间放大缩小；支持多权限管理；支持空闲自动锁定</w:t>
            </w:r>
            <w:r>
              <w:rPr>
                <w:rFonts w:ascii="宋体" w:hAnsi="宋体" w:eastAsia="宋体" w:cs="宋体"/>
                <w:color w:val="000000"/>
                <w:kern w:val="0"/>
                <w:sz w:val="18"/>
                <w:szCs w:val="18"/>
                <w:lang w:bidi="ar"/>
              </w:rPr>
              <w:t>KVM</w:t>
            </w:r>
            <w:r>
              <w:rPr>
                <w:rFonts w:hint="eastAsia" w:ascii="宋体" w:hAnsi="宋体" w:eastAsia="宋体" w:cs="宋体"/>
                <w:color w:val="000000"/>
                <w:kern w:val="0"/>
                <w:sz w:val="18"/>
                <w:szCs w:val="18"/>
                <w:lang w:bidi="ar"/>
              </w:rPr>
              <w:t>坐席；支持快捷键隐藏</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显示</w:t>
            </w:r>
            <w:r>
              <w:rPr>
                <w:rFonts w:ascii="宋体" w:hAnsi="宋体" w:eastAsia="宋体" w:cs="宋体"/>
                <w:color w:val="000000"/>
                <w:kern w:val="0"/>
                <w:sz w:val="18"/>
                <w:szCs w:val="18"/>
                <w:lang w:bidi="ar"/>
              </w:rPr>
              <w:t>OSD</w:t>
            </w:r>
            <w:r>
              <w:rPr>
                <w:rFonts w:hint="eastAsia" w:ascii="宋体" w:hAnsi="宋体" w:eastAsia="宋体" w:cs="宋体"/>
                <w:color w:val="000000"/>
                <w:kern w:val="0"/>
                <w:sz w:val="18"/>
                <w:szCs w:val="18"/>
                <w:lang w:bidi="ar"/>
              </w:rPr>
              <w:t>菜单；支持把本地坐席列表中的任意视频源推送到本地或者远端的拼接大屏全屏显示；</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10</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web</w:t>
            </w:r>
            <w:r>
              <w:rPr>
                <w:rFonts w:hint="eastAsia" w:ascii="宋体" w:hAnsi="宋体" w:eastAsia="宋体" w:cs="宋体"/>
                <w:color w:val="000000"/>
                <w:kern w:val="0"/>
                <w:sz w:val="18"/>
                <w:szCs w:val="18"/>
                <w:lang w:bidi="ar"/>
              </w:rPr>
              <w:t>界面管理，提供快速配置设备端口，支持</w:t>
            </w:r>
            <w:r>
              <w:rPr>
                <w:rFonts w:ascii="宋体" w:hAnsi="宋体" w:eastAsia="宋体" w:cs="宋体"/>
                <w:color w:val="000000"/>
                <w:kern w:val="0"/>
                <w:sz w:val="18"/>
                <w:szCs w:val="18"/>
                <w:lang w:bidi="ar"/>
              </w:rPr>
              <w:t>web</w:t>
            </w:r>
            <w:r>
              <w:rPr>
                <w:rFonts w:hint="eastAsia" w:ascii="宋体" w:hAnsi="宋体" w:eastAsia="宋体" w:cs="宋体"/>
                <w:color w:val="000000"/>
                <w:kern w:val="0"/>
                <w:sz w:val="18"/>
                <w:szCs w:val="18"/>
                <w:lang w:bidi="ar"/>
              </w:rPr>
              <w:t>端口修改密码、修改</w:t>
            </w:r>
            <w:r>
              <w:rPr>
                <w:rFonts w:ascii="宋体" w:hAnsi="宋体" w:eastAsia="宋体" w:cs="宋体"/>
                <w:color w:val="000000"/>
                <w:kern w:val="0"/>
                <w:sz w:val="18"/>
                <w:szCs w:val="18"/>
                <w:lang w:bidi="ar"/>
              </w:rPr>
              <w:t xml:space="preserve"> IP </w:t>
            </w:r>
            <w:r>
              <w:rPr>
                <w:rFonts w:hint="eastAsia" w:ascii="宋体" w:hAnsi="宋体" w:eastAsia="宋体" w:cs="宋体"/>
                <w:color w:val="000000"/>
                <w:kern w:val="0"/>
                <w:sz w:val="18"/>
                <w:szCs w:val="18"/>
                <w:lang w:bidi="ar"/>
              </w:rPr>
              <w:t>地址、网络抓包、串口收码、清除用户设置、恢复出厂设置、导出日志，升级等功能；</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OSD</w:t>
            </w:r>
            <w:r>
              <w:rPr>
                <w:rFonts w:hint="eastAsia" w:ascii="宋体" w:hAnsi="宋体" w:eastAsia="宋体" w:cs="宋体"/>
                <w:color w:val="000000"/>
                <w:kern w:val="0"/>
                <w:sz w:val="18"/>
                <w:szCs w:val="18"/>
                <w:lang w:bidi="ar"/>
              </w:rPr>
              <w:t>字幕叠加和更换底图功能；</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12</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支持编解码协议：音频支持</w:t>
            </w:r>
            <w:r>
              <w:rPr>
                <w:rFonts w:ascii="宋体" w:hAnsi="宋体" w:eastAsia="宋体" w:cs="宋体"/>
                <w:color w:val="000000"/>
                <w:kern w:val="0"/>
                <w:sz w:val="18"/>
                <w:szCs w:val="18"/>
                <w:lang w:bidi="ar"/>
              </w:rPr>
              <w:t>AAC</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G.711</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G.722</w:t>
            </w:r>
            <w:r>
              <w:rPr>
                <w:rFonts w:hint="eastAsia" w:ascii="宋体" w:hAnsi="宋体" w:eastAsia="宋体" w:cs="宋体"/>
                <w:color w:val="000000"/>
                <w:kern w:val="0"/>
                <w:sz w:val="18"/>
                <w:szCs w:val="18"/>
                <w:lang w:bidi="ar"/>
              </w:rPr>
              <w:t>；视频支持</w:t>
            </w:r>
            <w:r>
              <w:rPr>
                <w:rFonts w:ascii="宋体" w:hAnsi="宋体" w:eastAsia="宋体" w:cs="宋体"/>
                <w:color w:val="000000"/>
                <w:kern w:val="0"/>
                <w:sz w:val="18"/>
                <w:szCs w:val="18"/>
                <w:lang w:bidi="ar"/>
              </w:rPr>
              <w:t>H.264/H.265</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RTSP</w:t>
            </w:r>
            <w:r>
              <w:rPr>
                <w:rFonts w:hint="eastAsia" w:ascii="宋体" w:hAnsi="宋体" w:eastAsia="宋体" w:cs="宋体"/>
                <w:color w:val="000000"/>
                <w:kern w:val="0"/>
                <w:sz w:val="18"/>
                <w:szCs w:val="18"/>
                <w:lang w:bidi="ar"/>
              </w:rPr>
              <w:t>协议；</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13</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POE</w:t>
            </w:r>
            <w:r>
              <w:rPr>
                <w:rFonts w:hint="eastAsia" w:ascii="宋体" w:hAnsi="宋体" w:eastAsia="宋体" w:cs="宋体"/>
                <w:color w:val="000000"/>
                <w:kern w:val="0"/>
                <w:sz w:val="18"/>
                <w:szCs w:val="18"/>
                <w:lang w:bidi="ar"/>
              </w:rPr>
              <w:t>供电及外部供电；</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14、支持大屏拼接、漫游、开窗、叠加显示,单块屏幕支持≥16个实时活动视窗;</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★15、考虑到设备兼容性和易维护性，要求与多媒体信息分布式交互系统应用服务平台为同一品牌。</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返看平板显示单元</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55寸液晶平板电视；1920*1080分辨率；16：9显示比例，含壁挂电视安装支架。</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353"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返看单元</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2､无风扇结构，静音设计，支持19英寸标准机柜1U 独立安装或同时并排安装 ≥2 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★3､具有≥2路高清视频输出接口；支持独立的平衡式音频输出，支持音量调节，支持音频解嵌；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★4、音频支持同步、异步、混音；提供具有CNAS认可的第三方权威检验机构出具的检测报告（检验机构资格不符合或检测报告无相应功能检测结果的视为该项参数不满足）；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5､支持RS232，IR控制接口；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6､采用标准RJ45接口，1000Mbps速率，支持跨网段通讯，支持DHCP动态获取IP地址；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7､支持自定义分辨率，范围:360x240~1920*1080，自适应传输码率范围128kbps~40Mbps；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8､支持网络休眠和唤醒；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11､支持OSD字幕叠加和更换底图功能；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12､支持编解码协议：音频支持AAC、G.711、G.722；视频支持H.264/H.265、RTSP协议；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13､支持POE供电及外部供电；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14、支持大屏拼接、漫游、开窗、叠加显示,单块屏幕支持≥16个实时活动视窗;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★15、考虑到设备兼容性和易维护性，要求与多媒体信息分布式交互系统应用服务平台为同一品牌。</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高清会议摄像机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1.≥12倍光学变焦+≥16倍数字变焦，≥73°广角镜；</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2.最大分辨率1080p/60</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3.具有一路HDMI、一路3G-SDI、一路网络输出接口，HDMI、SDI、网络三路可同时输出。</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4.支持VISCA/Pelco-D/Pelco-P协议，预置位数量≥255。</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摄像机</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2.无风扇结构，静音设计，支持19英寸标准机柜1U 独立安装或同时并排安装 ≥2 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★3.具有≥2路高清视频输入接口；支持独立的平衡式音频输入，支持音量调节，支持音频加嵌；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4.音频支持同步、异步；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5.支持RS232，IR控制接口；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6.采用标准RJ45接口，1000Mbps速率，支持跨网段通讯，支持DHCP动态获取IP地址；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7.支持自定义分辨率，范围:360x240~1920*1080，自适应传输码率范围128kbps~40Mbps；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8.支持网络休眠和唤醒；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11.支持OSD字幕叠加和更换底图功能；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12.支持编解码协议：音频支持AAC、G.711、G.722；视频支持H.264/H.265、RTSP协议；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13.支持POE供电及外部供电；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★14.考虑到设备兼容性和易维护性，要求与多媒体信息分布式交互系统应用服务平台为同一品牌。</w:t>
            </w:r>
          </w:p>
          <w:p>
            <w:pPr>
              <w:widowControl/>
              <w:jc w:val="left"/>
              <w:textAlignment w:val="center"/>
              <w:rPr>
                <w:rFonts w:hint="eastAsia" w:ascii="宋体" w:hAnsi="宋体" w:eastAsia="宋体"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多媒体信息插座</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多媒体信息桌插，用于连接桌面电脑或其它音视频信号专用插座，含电源、音频、视频信息接口。</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信息插</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2.无风扇结构，静音设计，支持19英寸标准机柜1U 独立安装或同时并排安装 ≥2 台；</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3.具有≥2路高清视频输入接口；支持独立的平衡式音频输入，支持音量调节，支持音频加嵌；</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4.音频支持同步、异步；</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5.支持RS232，IR控制接口；</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6.采用标准RJ45接口，1000Mbps速率，支持跨网段通讯，支持DHCP动态获取IP地址；</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7.支持自定义分辨率，范围:360x240~1920*1080，自适应传输码率范围128kbps~40Mbps；</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8.支持网络休眠和唤醒；</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11.支持OSD字幕叠加和更换底图功能；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12.支持编解码协议：音频支持AAC、G.711、G.722；视频支持H.264/H.265、RTSP协议；</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13.支持POE供电及外部供电；</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14.考虑到设备兼容性和易维护性，要求与多媒体信息分布式交互系统应用服务平台为同一品牌。</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视频会议终端</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基本要求：1. ★采用硬件分体式结构，嵌入式操作系统，非PC架构、非工控机架构；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支持ITU-T H.323和IETF SIP通信标准，能够和符合国际标准的产品互通；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支持7×24小时长时间连续运行；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接入能力：1. 支持128kbps至4Mbps速率，速率任意可调；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 ▲支持IP语音终端呼入，支持接入一路视频终端和五路语音终端加入会议，实现多点会议的语音交流功能。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 支持内置MCU功能，效果达到不低于1+3 1080p 30fps或者不低于1+6 720p 30fps。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视频能力：1. 支持ITU H.261、H.263、H.263+、H.264、H.264 HighProfile等视频编解码和H.264 SVC分层编码。提供国家权威部门检测报告以证明。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支持1080p 50/60 fps、1080p 25/30 fps、720p50/60fps 、720p 25/30fps、4CIF 25/30fps、CIF 25/30fps等图像格式。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 ▲在1Mbps带宽下实现1080P60fps视频通讯，图像质量良好；在512Kpbs带宽下实现1080P30fps或720P60fps视频通讯，图像质量良好；在384Kbps带宽下实现720P30fps视频通讯，图像质量良好；提供国家权威部门检测报告以证明。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音频能力：具备回声抵消、噪音抑制、自动增益等音频处理功能，支持全向式MIC，能够提供双声道立体声音效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双流功能：1. 支持H.239和BFCP双流协议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▲支持双路1080p 30fps活动视频效果。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3.支持动态双流，不开双流时，不中断会议方式下可自动释放带宽。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 ▲支持网络导入双流技术。视频会议终端发送双流时，无需用VGA、HDMI等线缆与PC或笔记本电脑连接，通过IP网络即可把PC或笔记本电脑的画面导入到视频会议终端，减少线缆铺设的开销。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视频接口：1. ▲支持不少于4路高清视频输入接口，输入接口支持DVI、HDMI、3G-SDI等接口。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▲支持不少于4路高清视频输出接口，输出接口支持DVI、3G-SDI、YPbPr、HDMI、VGA等接口。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音频接口：▲支持不少于9路音频输入，支持不少于6路音频输出，支持左右双声道立体声输出。支持RCA和XLR接口；支持PSTN电话接口；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证书要求：提供产品电信设备入网证和RoHS证书复印件；</w:t>
            </w:r>
          </w:p>
          <w:p>
            <w:pPr>
              <w:widowControl/>
              <w:jc w:val="left"/>
              <w:textAlignment w:val="center"/>
              <w:rPr>
                <w:rFonts w:ascii="宋体" w:hAnsi="宋体" w:eastAsia="宋体"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视频会议终端输入</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2.无风扇结构，静音设计，支持19英寸标准机柜1U 独立安装或同时并排安装 ≥2 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★3.要求≥2路高清接口,支持≥2路视频同时编码,通过一根网线同时传输2路信号,支持独立的平衡式音频输入；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4.音频支持同步、异步；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5.支持RS232，IR控制接口；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6.采用标准RJ45接口，1000Mbps速率，支持跨网段通讯，支持DHCP动态获取IP地址；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7.支持自定义分辨率，范围:360x240~1920*1080，自适应传输码率范围128kbps~40Mbps；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8.支持网络休眠和唤醒；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11.支持OSD字幕叠加和更换底图功能；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12.支持编解码协议：音频支持AAC、G.711、G.722；视频支持H.264/H.265、RTSP协议；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13.支持POE供电及外部供电；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★14.考虑到设备兼容性和易维护性，要求与多媒体信息分布式交互系统应用服务平台为同一品牌。</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视频会议终端输出</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采用嵌入式</w:t>
            </w:r>
            <w:r>
              <w:rPr>
                <w:rFonts w:ascii="宋体" w:hAnsi="宋体" w:eastAsia="宋体" w:cs="宋体"/>
                <w:color w:val="000000"/>
                <w:kern w:val="0"/>
                <w:sz w:val="18"/>
                <w:szCs w:val="18"/>
                <w:lang w:bidi="ar"/>
              </w:rPr>
              <w:t>Linux</w:t>
            </w:r>
            <w:r>
              <w:rPr>
                <w:rFonts w:hint="eastAsia" w:ascii="宋体" w:hAnsi="宋体" w:eastAsia="宋体" w:cs="宋体"/>
                <w:color w:val="000000"/>
                <w:kern w:val="0"/>
                <w:sz w:val="18"/>
                <w:szCs w:val="18"/>
                <w:lang w:bidi="ar"/>
              </w:rPr>
              <w:t>系统；</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无风扇结构，静音设计，支持</w:t>
            </w:r>
            <w:r>
              <w:rPr>
                <w:rFonts w:ascii="宋体" w:hAnsi="宋体" w:eastAsia="宋体" w:cs="宋体"/>
                <w:color w:val="000000"/>
                <w:kern w:val="0"/>
                <w:sz w:val="18"/>
                <w:szCs w:val="18"/>
                <w:lang w:bidi="ar"/>
              </w:rPr>
              <w:t>19</w:t>
            </w:r>
            <w:r>
              <w:rPr>
                <w:rFonts w:hint="eastAsia" w:ascii="宋体" w:hAnsi="宋体" w:eastAsia="宋体" w:cs="宋体"/>
                <w:color w:val="000000"/>
                <w:kern w:val="0"/>
                <w:sz w:val="18"/>
                <w:szCs w:val="18"/>
                <w:lang w:bidi="ar"/>
              </w:rPr>
              <w:t>英寸标准机柜</w:t>
            </w:r>
            <w:r>
              <w:rPr>
                <w:rFonts w:ascii="宋体" w:hAnsi="宋体" w:eastAsia="宋体" w:cs="宋体"/>
                <w:color w:val="000000"/>
                <w:kern w:val="0"/>
                <w:sz w:val="18"/>
                <w:szCs w:val="18"/>
                <w:lang w:bidi="ar"/>
              </w:rPr>
              <w:t xml:space="preserve">1U </w:t>
            </w:r>
            <w:r>
              <w:rPr>
                <w:rFonts w:hint="eastAsia" w:ascii="宋体" w:hAnsi="宋体" w:eastAsia="宋体" w:cs="宋体"/>
                <w:color w:val="000000"/>
                <w:kern w:val="0"/>
                <w:sz w:val="18"/>
                <w:szCs w:val="18"/>
                <w:lang w:bidi="ar"/>
              </w:rPr>
              <w:t>独立安装或同时并排安装</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 xml:space="preserve">2 </w:t>
            </w:r>
            <w:r>
              <w:rPr>
                <w:rFonts w:hint="eastAsia" w:ascii="宋体" w:hAnsi="宋体" w:eastAsia="宋体" w:cs="宋体"/>
                <w:color w:val="000000"/>
                <w:kern w:val="0"/>
                <w:sz w:val="18"/>
                <w:szCs w:val="18"/>
                <w:lang w:bidi="ar"/>
              </w:rPr>
              <w:t>台；</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3</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具有≥</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路高清视频输出接口，支持≥</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路同时解码</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支持独立的平衡式音频输出，支持音量调节，支持音频解嵌；</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4、音频支持同步、异步、混音；</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RS232</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IR</w:t>
            </w:r>
            <w:r>
              <w:rPr>
                <w:rFonts w:hint="eastAsia" w:ascii="宋体" w:hAnsi="宋体" w:eastAsia="宋体" w:cs="宋体"/>
                <w:color w:val="000000"/>
                <w:kern w:val="0"/>
                <w:sz w:val="18"/>
                <w:szCs w:val="18"/>
                <w:lang w:bidi="ar"/>
              </w:rPr>
              <w:t>控制接口；</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采用标准</w:t>
            </w:r>
            <w:r>
              <w:rPr>
                <w:rFonts w:ascii="宋体" w:hAnsi="宋体" w:eastAsia="宋体" w:cs="宋体"/>
                <w:color w:val="000000"/>
                <w:kern w:val="0"/>
                <w:sz w:val="18"/>
                <w:szCs w:val="18"/>
                <w:lang w:bidi="ar"/>
              </w:rPr>
              <w:t>RJ45</w:t>
            </w:r>
            <w:r>
              <w:rPr>
                <w:rFonts w:hint="eastAsia" w:ascii="宋体" w:hAnsi="宋体" w:eastAsia="宋体" w:cs="宋体"/>
                <w:color w:val="000000"/>
                <w:kern w:val="0"/>
                <w:sz w:val="18"/>
                <w:szCs w:val="18"/>
                <w:lang w:bidi="ar"/>
              </w:rPr>
              <w:t>接口，</w:t>
            </w:r>
            <w:r>
              <w:rPr>
                <w:rFonts w:ascii="宋体" w:hAnsi="宋体" w:eastAsia="宋体" w:cs="宋体"/>
                <w:color w:val="000000"/>
                <w:kern w:val="0"/>
                <w:sz w:val="18"/>
                <w:szCs w:val="18"/>
                <w:lang w:bidi="ar"/>
              </w:rPr>
              <w:t>1000Mbps</w:t>
            </w:r>
            <w:r>
              <w:rPr>
                <w:rFonts w:hint="eastAsia" w:ascii="宋体" w:hAnsi="宋体" w:eastAsia="宋体" w:cs="宋体"/>
                <w:color w:val="000000"/>
                <w:kern w:val="0"/>
                <w:sz w:val="18"/>
                <w:szCs w:val="18"/>
                <w:lang w:bidi="ar"/>
              </w:rPr>
              <w:t>速率，支持跨网段通讯，支持</w:t>
            </w:r>
            <w:r>
              <w:rPr>
                <w:rFonts w:ascii="宋体" w:hAnsi="宋体" w:eastAsia="宋体" w:cs="宋体"/>
                <w:color w:val="000000"/>
                <w:kern w:val="0"/>
                <w:sz w:val="18"/>
                <w:szCs w:val="18"/>
                <w:lang w:bidi="ar"/>
              </w:rPr>
              <w:t>DHCP</w:t>
            </w:r>
            <w:r>
              <w:rPr>
                <w:rFonts w:hint="eastAsia" w:ascii="宋体" w:hAnsi="宋体" w:eastAsia="宋体" w:cs="宋体"/>
                <w:color w:val="000000"/>
                <w:kern w:val="0"/>
                <w:sz w:val="18"/>
                <w:szCs w:val="18"/>
                <w:lang w:bidi="ar"/>
              </w:rPr>
              <w:t>动态获取</w:t>
            </w:r>
            <w:r>
              <w:rPr>
                <w:rFonts w:ascii="宋体" w:hAnsi="宋体" w:eastAsia="宋体" w:cs="宋体"/>
                <w:color w:val="000000"/>
                <w:kern w:val="0"/>
                <w:sz w:val="18"/>
                <w:szCs w:val="18"/>
                <w:lang w:bidi="ar"/>
              </w:rPr>
              <w:t>IP</w:t>
            </w:r>
            <w:r>
              <w:rPr>
                <w:rFonts w:hint="eastAsia" w:ascii="宋体" w:hAnsi="宋体" w:eastAsia="宋体" w:cs="宋体"/>
                <w:color w:val="000000"/>
                <w:kern w:val="0"/>
                <w:sz w:val="18"/>
                <w:szCs w:val="18"/>
                <w:lang w:bidi="ar"/>
              </w:rPr>
              <w:t>地址；</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7</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支持自定义分辨率，范围</w:t>
            </w:r>
            <w:r>
              <w:rPr>
                <w:rFonts w:ascii="宋体" w:hAnsi="宋体" w:eastAsia="宋体" w:cs="宋体"/>
                <w:color w:val="000000"/>
                <w:kern w:val="0"/>
                <w:sz w:val="18"/>
                <w:szCs w:val="18"/>
                <w:lang w:bidi="ar"/>
              </w:rPr>
              <w:t>:360x240~1920*1080</w:t>
            </w:r>
            <w:r>
              <w:rPr>
                <w:rFonts w:hint="eastAsia" w:ascii="宋体" w:hAnsi="宋体" w:eastAsia="宋体" w:cs="宋体"/>
                <w:color w:val="000000"/>
                <w:kern w:val="0"/>
                <w:sz w:val="18"/>
                <w:szCs w:val="18"/>
                <w:lang w:bidi="ar"/>
              </w:rPr>
              <w:t>，自适应传输码率范围</w:t>
            </w:r>
            <w:r>
              <w:rPr>
                <w:rFonts w:ascii="宋体" w:hAnsi="宋体" w:eastAsia="宋体" w:cs="宋体"/>
                <w:color w:val="000000"/>
                <w:kern w:val="0"/>
                <w:sz w:val="18"/>
                <w:szCs w:val="18"/>
                <w:lang w:bidi="ar"/>
              </w:rPr>
              <w:t>128kbps~40Mbps</w:t>
            </w:r>
            <w:r>
              <w:rPr>
                <w:rFonts w:hint="eastAsia" w:ascii="宋体" w:hAnsi="宋体" w:eastAsia="宋体" w:cs="宋体"/>
                <w:color w:val="000000"/>
                <w:kern w:val="0"/>
                <w:sz w:val="18"/>
                <w:szCs w:val="18"/>
                <w:lang w:bidi="ar"/>
              </w:rPr>
              <w:t>；</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8</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支持网络休眠和唤醒；</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支持远程</w:t>
            </w:r>
            <w:r>
              <w:rPr>
                <w:rFonts w:ascii="宋体" w:hAnsi="宋体" w:eastAsia="宋体" w:cs="宋体"/>
                <w:color w:val="000000"/>
                <w:kern w:val="0"/>
                <w:sz w:val="18"/>
                <w:szCs w:val="18"/>
                <w:lang w:bidi="ar"/>
              </w:rPr>
              <w:t>KVM</w:t>
            </w:r>
            <w:r>
              <w:rPr>
                <w:rFonts w:hint="eastAsia" w:ascii="宋体" w:hAnsi="宋体" w:eastAsia="宋体" w:cs="宋体"/>
                <w:color w:val="000000"/>
                <w:kern w:val="0"/>
                <w:sz w:val="18"/>
                <w:szCs w:val="18"/>
                <w:lang w:bidi="ar"/>
              </w:rPr>
              <w:t>控制：支持跨屏、漫游鼠标操作，支持多屏间放大缩小；支持多权限管理；支持空闲自动锁定</w:t>
            </w:r>
            <w:r>
              <w:rPr>
                <w:rFonts w:ascii="宋体" w:hAnsi="宋体" w:eastAsia="宋体" w:cs="宋体"/>
                <w:color w:val="000000"/>
                <w:kern w:val="0"/>
                <w:sz w:val="18"/>
                <w:szCs w:val="18"/>
                <w:lang w:bidi="ar"/>
              </w:rPr>
              <w:t>KVM</w:t>
            </w:r>
            <w:r>
              <w:rPr>
                <w:rFonts w:hint="eastAsia" w:ascii="宋体" w:hAnsi="宋体" w:eastAsia="宋体" w:cs="宋体"/>
                <w:color w:val="000000"/>
                <w:kern w:val="0"/>
                <w:sz w:val="18"/>
                <w:szCs w:val="18"/>
                <w:lang w:bidi="ar"/>
              </w:rPr>
              <w:t>坐席；支持快捷键隐藏</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显示</w:t>
            </w:r>
            <w:r>
              <w:rPr>
                <w:rFonts w:ascii="宋体" w:hAnsi="宋体" w:eastAsia="宋体" w:cs="宋体"/>
                <w:color w:val="000000"/>
                <w:kern w:val="0"/>
                <w:sz w:val="18"/>
                <w:szCs w:val="18"/>
                <w:lang w:bidi="ar"/>
              </w:rPr>
              <w:t>OSD</w:t>
            </w:r>
            <w:r>
              <w:rPr>
                <w:rFonts w:hint="eastAsia" w:ascii="宋体" w:hAnsi="宋体" w:eastAsia="宋体" w:cs="宋体"/>
                <w:color w:val="000000"/>
                <w:kern w:val="0"/>
                <w:sz w:val="18"/>
                <w:szCs w:val="18"/>
                <w:lang w:bidi="ar"/>
              </w:rPr>
              <w:t>菜单；支持把本地坐席列表中的任意视频源推送到本地或者远端的拼接大屏全屏显示；</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10</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web</w:t>
            </w:r>
            <w:r>
              <w:rPr>
                <w:rFonts w:hint="eastAsia" w:ascii="宋体" w:hAnsi="宋体" w:eastAsia="宋体" w:cs="宋体"/>
                <w:color w:val="000000"/>
                <w:kern w:val="0"/>
                <w:sz w:val="18"/>
                <w:szCs w:val="18"/>
                <w:lang w:bidi="ar"/>
              </w:rPr>
              <w:t>界面管理，提供快速配置设备端口，支持</w:t>
            </w:r>
            <w:r>
              <w:rPr>
                <w:rFonts w:ascii="宋体" w:hAnsi="宋体" w:eastAsia="宋体" w:cs="宋体"/>
                <w:color w:val="000000"/>
                <w:kern w:val="0"/>
                <w:sz w:val="18"/>
                <w:szCs w:val="18"/>
                <w:lang w:bidi="ar"/>
              </w:rPr>
              <w:t>web</w:t>
            </w:r>
            <w:r>
              <w:rPr>
                <w:rFonts w:hint="eastAsia" w:ascii="宋体" w:hAnsi="宋体" w:eastAsia="宋体" w:cs="宋体"/>
                <w:color w:val="000000"/>
                <w:kern w:val="0"/>
                <w:sz w:val="18"/>
                <w:szCs w:val="18"/>
                <w:lang w:bidi="ar"/>
              </w:rPr>
              <w:t>端口修改密码、修改</w:t>
            </w:r>
            <w:r>
              <w:rPr>
                <w:rFonts w:ascii="宋体" w:hAnsi="宋体" w:eastAsia="宋体" w:cs="宋体"/>
                <w:color w:val="000000"/>
                <w:kern w:val="0"/>
                <w:sz w:val="18"/>
                <w:szCs w:val="18"/>
                <w:lang w:bidi="ar"/>
              </w:rPr>
              <w:t xml:space="preserve"> IP </w:t>
            </w:r>
            <w:r>
              <w:rPr>
                <w:rFonts w:hint="eastAsia" w:ascii="宋体" w:hAnsi="宋体" w:eastAsia="宋体" w:cs="宋体"/>
                <w:color w:val="000000"/>
                <w:kern w:val="0"/>
                <w:sz w:val="18"/>
                <w:szCs w:val="18"/>
                <w:lang w:bidi="ar"/>
              </w:rPr>
              <w:t>地址、网络抓包、串口收码、清除用户设置、恢复出厂设置、导出日志，升级等功能；</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OSD</w:t>
            </w:r>
            <w:r>
              <w:rPr>
                <w:rFonts w:hint="eastAsia" w:ascii="宋体" w:hAnsi="宋体" w:eastAsia="宋体" w:cs="宋体"/>
                <w:color w:val="000000"/>
                <w:kern w:val="0"/>
                <w:sz w:val="18"/>
                <w:szCs w:val="18"/>
                <w:lang w:bidi="ar"/>
              </w:rPr>
              <w:t>字幕叠加和更换底图功能；</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12</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支持编解码协议：音频支持</w:t>
            </w:r>
            <w:r>
              <w:rPr>
                <w:rFonts w:ascii="宋体" w:hAnsi="宋体" w:eastAsia="宋体" w:cs="宋体"/>
                <w:color w:val="000000"/>
                <w:kern w:val="0"/>
                <w:sz w:val="18"/>
                <w:szCs w:val="18"/>
                <w:lang w:bidi="ar"/>
              </w:rPr>
              <w:t>AAC</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G.711</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G.722</w:t>
            </w:r>
            <w:r>
              <w:rPr>
                <w:rFonts w:hint="eastAsia" w:ascii="宋体" w:hAnsi="宋体" w:eastAsia="宋体" w:cs="宋体"/>
                <w:color w:val="000000"/>
                <w:kern w:val="0"/>
                <w:sz w:val="18"/>
                <w:szCs w:val="18"/>
                <w:lang w:bidi="ar"/>
              </w:rPr>
              <w:t>；视频支持</w:t>
            </w:r>
            <w:r>
              <w:rPr>
                <w:rFonts w:ascii="宋体" w:hAnsi="宋体" w:eastAsia="宋体" w:cs="宋体"/>
                <w:color w:val="000000"/>
                <w:kern w:val="0"/>
                <w:sz w:val="18"/>
                <w:szCs w:val="18"/>
                <w:lang w:bidi="ar"/>
              </w:rPr>
              <w:t>H.264/H.265</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RTSP</w:t>
            </w:r>
            <w:r>
              <w:rPr>
                <w:rFonts w:hint="eastAsia" w:ascii="宋体" w:hAnsi="宋体" w:eastAsia="宋体" w:cs="宋体"/>
                <w:color w:val="000000"/>
                <w:kern w:val="0"/>
                <w:sz w:val="18"/>
                <w:szCs w:val="18"/>
                <w:lang w:bidi="ar"/>
              </w:rPr>
              <w:t>协议；</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13</w:t>
            </w:r>
            <w:r>
              <w:rPr>
                <w:rFonts w:ascii="MS Mincho" w:hAnsi="MS Mincho" w:eastAsia="MS Mincho" w:cs="MS Mincho"/>
                <w:color w:val="000000"/>
                <w:kern w:val="0"/>
                <w:sz w:val="18"/>
                <w:szCs w:val="18"/>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POE</w:t>
            </w:r>
            <w:r>
              <w:rPr>
                <w:rFonts w:hint="eastAsia" w:ascii="宋体" w:hAnsi="宋体" w:eastAsia="宋体" w:cs="宋体"/>
                <w:color w:val="000000"/>
                <w:kern w:val="0"/>
                <w:sz w:val="18"/>
                <w:szCs w:val="18"/>
                <w:lang w:bidi="ar"/>
              </w:rPr>
              <w:t>供电及外部供电；</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14、支持大屏拼接、漫游、开窗、叠加显示,单块屏幕支持≥16个实时活动视窗;</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★15、考虑到设备兼容性和易维护性，要求与多媒体信息分布式交互系统应用服务平台为同一品牌。</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cs="宋体"/>
                <w:color w:val="000000"/>
                <w:kern w:val="0"/>
                <w:sz w:val="18"/>
                <w:szCs w:val="18"/>
                <w:lang w:val="en-US" w:eastAsia="zh-CN" w:bidi="ar"/>
              </w:rPr>
              <w:t>电脑</w:t>
            </w:r>
            <w:r>
              <w:rPr>
                <w:rFonts w:hint="eastAsia" w:ascii="宋体" w:hAnsi="宋体" w:eastAsia="宋体" w:cs="宋体"/>
                <w:color w:val="000000"/>
                <w:kern w:val="0"/>
                <w:sz w:val="18"/>
                <w:szCs w:val="18"/>
                <w:lang w:bidi="ar"/>
              </w:rPr>
              <w:t>接口机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1.采用嵌入式Linux系统；</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2.无风扇结构，静音设计，支持19英寸标准机柜1U 独立安装或同时并排安装 ≥2 台；</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★3.具有≥2路高清视频输入接口；支持独立的平衡式音频输入，支持音量调节，支持音频加嵌；</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4.音频支持同步、异步；</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5.支持RS232，IR控制接口；</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6.采用标准RJ45接口，1000Mbps速率，支持跨网段通讯，支持DHCP动态获取IP地址；</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7.支持自定义分辨率，范围:360x240~1920*1080，自适应传输码率范围128kbps~40Mbps；</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8.支持网络休眠和唤醒；</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支持远程KVM控制：支持跨屏、漫游鼠标操作，支持多屏间放大缩小；支持多权限管理；支持空闲自动锁定KVM坐席；支持快捷键隐藏/显示OSD菜单；支持把本地坐席列表中的任意视频源推送到本地或者远端的拼接大屏全屏显示；</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10.支持web界面管理，提供快速配置设备端口，支持web端口修改密码、修改 IP 地址、网络抓包、串口收码、清除用户设置、恢复出厂设置、导出日志，升级等功能；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11.支持OSD字幕叠加和更换底图功能；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12.支持编解码协议：音频支持AAC、G.711、G.722；视频支持H.264/H.265、RTSP协议；</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13.支持POE供电及外部供电；</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★14.考虑到设备兼容性和易维护性，要求与多媒体信息分布式交互系统应用服务平台为同一品牌。</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rPr>
                <w:rFonts w:ascii="宋体" w:hAnsi="宋体" w:eastAsia="宋体" w:cs="宋体"/>
                <w:b/>
                <w:color w:val="000000"/>
                <w:sz w:val="18"/>
                <w:szCs w:val="18"/>
              </w:rPr>
            </w:pPr>
            <w:r>
              <w:rPr>
                <w:rFonts w:hint="eastAsia" w:ascii="宋体" w:hAnsi="宋体" w:eastAsia="宋体" w:cs="宋体"/>
                <w:b/>
                <w:color w:val="000000"/>
                <w:sz w:val="18"/>
                <w:szCs w:val="18"/>
              </w:rPr>
              <w:t>2</w:t>
            </w:r>
            <w:r>
              <w:rPr>
                <w:rFonts w:hint="eastAsia" w:ascii="宋体" w:hAnsi="宋体" w:eastAsia="宋体" w:cs="宋体"/>
                <w:b/>
                <w:color w:val="000000"/>
                <w:kern w:val="0"/>
                <w:sz w:val="18"/>
                <w:szCs w:val="18"/>
                <w:lang w:bidi="ar"/>
              </w:rPr>
              <w:t>.音频系统</w:t>
            </w:r>
          </w:p>
        </w:tc>
      </w:tr>
      <w:tr>
        <w:tblPrEx>
          <w:tblLayout w:type="fixed"/>
          <w:tblCellMar>
            <w:top w:w="0" w:type="dxa"/>
            <w:left w:w="0" w:type="dxa"/>
            <w:bottom w:w="0" w:type="dxa"/>
            <w:right w:w="0" w:type="dxa"/>
          </w:tblCellMar>
        </w:tblPrEx>
        <w:trPr>
          <w:trHeight w:val="270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会议话筒主机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1.符合IEC60914国际标准;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2.具有三路8芯会议单元输出接口,单台最多可挂载90个会议单元,且线路长度可达≥100米;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3.≥3寸LCD液晶显示器，可调制各类音视频设置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4.支持自由讨论模式,先入先出模式;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5.系统支持多支主席单元同时在线;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6.频率响应:≥80-18000Hz;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7.信噪比:≥70dB。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9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主席会议话筒</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1.具备任意分配ID地址,方便安装及避免ID地址重复现象；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2.系统具备线路带电“热插拔”功能；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3.具有抗手机干扰功能；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4.话筒拾音距离≥50cm；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5.红色雾面光环指示话筒发言状态；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6.主席话筒优先键按下，代表话筒自动关闭；主席话筒不受限制，可任意串接在系统中，控制代表话筒；支持多支主席同时在线；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7.频率响应：≥40Hz-19kHz；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8.灵敏度：≥-42dB；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9.信噪比：≥-80dB。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966"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代表会议话筒</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1.具备任意分配ID地址,方便安装及避免ID地址重复现象；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2.系统具备线路带电“热插拔”功能；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3.具有抗手机干扰功能；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4.话筒拾音距离≥50cm；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5.红色雾面光环指示话筒发言状态；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6.频率响应：≥40Hz-19kHz；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7.灵敏度：≥-42dB；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8.信噪比：≥-80dB。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无线话筒</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四通道无线接收机,支持手持、会议、头戴及领夹话筒任意搭配;</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1.≥四通道接收信号,每通道支持≥200信道可选;</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2.支持≥四UHF频段传输信号;</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3.配置VALCD显示屏;</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4.配置≥4条橡胶天线,可选增益天线放大器;</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5.配置≥1个XLR平衡总输出,≥1个TRS非平衡总输出,可以任意选择;</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6.每通道配置≥1个XLR平衡输出;</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7.每通道可以独立调节音量;</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8.≥100米使用距离;</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9.接收器可以观察发射器的电池工作状态;</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10.接收可以使用一键自动防啸叫功能来提升声压级;</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11.使用同步红外传输和话筒对频通信;</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技术参数:</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1.信噪比:&gt;105dB;</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2.失真度:&lt;0.5%@1KHz;</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3.接收灵敏度:-105dBM;</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4.频率响应:≥30Hz-20KHz。</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90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视讯型数字音频处理模器</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具备不少于16路平衡式话筒／线路输入，支持48V幻象供电，不少于12路平衡式输出；1.接受多媒体信息分布式交互系统通过网络无缝管控、监测，通过多媒体信息分布式交互系统可保存场景、调用场景、控制每通道音量大小、静音，实时监测每通道音量大小及设备在线、故障状态并实时反馈至多媒体信息分布式交互系统可视化管理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备完善的专业音频处理功能，可对每个输入输出通道进行音频处理；每通道输入具有前级放大.信号发生器.扩展器.压缩器.参量均衡.自动增益控制；每通道输出具有不少于8段参量均衡和不少于31段图示均衡.延时器.分频器.高低通滤波器.限幅器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备对每路输入信号进行AFC自适应反馈消除（支持消除不少于16个啸叫点，支持动态.固定.手动三种模式）；具备自适应AEC回声抑制功能；提供具有CNAS认可的检验机构出具的检验报告（检验机构资格不符合或检验报告无相应参数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4.具备门限型自动混音或增益分享型自动混音模式；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5.具备不少于8路逻辑输入/输出，不少于4路电压输入可编程控制接口；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6.具备直观.图形化的控制软件，具备中文控制界面；支持编组控制功能，通道拷贝.粘贴.联控功能，支持不少于8组场景预设功能；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7.具备RS-232双向串行控制接口用于控制外部其它设备或接收第三方RS-232控制；RS-485摄像机控制端口；RJ-45多用途数据传输及控制端口；RJ-45自适应POE外部面板控制接口；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★8.具备USB录放接口，支持通过USB进行音频播放和录音；提供具有CNAS认可的检验机构出具的检验报告（检验机构资格不符合或检验报告无相应参数检测结果的视为该项参数不满足）；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9.提供厂商针对本项目的授权书.售后服务承诺函（原件加盖厂商公章），生产厂家具有高新技术企业证书（复印件加盖厂商公章），质量管理体系认证（ISO9000）（复印件加盖厂商公章）；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★10.提供中国质量认证中心颁发的国家强制性产品认证证书（3C 证书）复印件（加盖厂商公章），（同时提供中国质量认证中心官方网站上证书查询截图以验真伪。）（加盖厂商公章）；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11.提供彩页和技术证明材料（且必有厂家盖章），并保证这些技术证明材料与投标货物的真实功能.性能参数的一致性。招标人保留标后通过测试验证技术参数的权利，若有虚假将导致中标无效。</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补声音箱</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1.全频会议扬声器;低音单元:8"×1;高音单元:1"×1;</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2.功率:持续≥150W,节目≥300W,峰值≥600W;</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3.连接特性:定阻;</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4.定阻:8Ω;</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5.频率响应:≥65Hz-20kHz;</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6.灵敏度:≥96dB;</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7.最大声压级:≥122dB。</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专业功放</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1、具备延时启动系统，保护音箱不受冲击而损坏；</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2、具有自动限幅输出、短路、过载、过温、开机延时等多重保护功能；</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3、输出功率(8Ω)≥2×350W，(4Ω)≥2×550W,支持桥接（8Ω ）≥1100W；</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4、频率响应≥20Hz～20KHz。</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3.多媒体信息分布式交互系统</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多媒体信息分布式交互系统应用服务平台</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Times New Roman"/>
                <w:color w:val="000000"/>
                <w:kern w:val="0"/>
                <w:sz w:val="20"/>
                <w:szCs w:val="20"/>
              </w:rPr>
              <w:t>1.</w:t>
            </w:r>
            <w:r>
              <w:rPr>
                <w:rFonts w:hint="eastAsia" w:ascii="宋体" w:hAnsi="宋体" w:eastAsia="宋体" w:cs="宋体"/>
                <w:color w:val="000000"/>
                <w:kern w:val="0"/>
                <w:sz w:val="18"/>
                <w:szCs w:val="18"/>
                <w:lang w:bidi="ar"/>
              </w:rPr>
              <w:t>全IP化架构，全数字化的信号处理及传输，集音频处理与传输、视频处理与传输、控制、录播、视频会议解码输出、监控平台数据对接、电话接入等功能于一体的可视化综合平台，并能与第三方多媒体系统融合，实现视频信号统一接入、预览、分发、存储，并实现大屏拼接、漫游、叠加，实现单屏≥16个不同画面开窗。实现音频信号统一接入、同一界面统一管理、场景一键调用、在线实时监测、远程调试、音量大小、信号路由自由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★2.采用分布式处理技术，每个视频源、每块显示屏幕处理单元独立运算，分布式架构，单个节点设备故障，不会影响整个系统运行。分布式节点通过标准TCP/IP网络传输；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★3.支持多套分布式音视频切控级联，实现多套平台音视频共享互通；提供具有CNAS认可的第三方权威检验机构出具的检测报告（检验机构资格不符合或检测报告无相应功能检测结果的视为该项参数不满足）；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★4.支持多媒体信息分布式交互系统应用服务平台热备份功能；提供具有CNAS认可的第三方权威检验机构出具的检测报告（检验机构资格不符合或检测报告无相应功能检测结果的视为该项参数不满足）；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5.热备切换过程原有音视频控制业务不受影响；切换前后用户数据、工作状态不变；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★6.支持符合GB/T 28181标准协议的监控平台数据接入，支持获取网络监控摄像机码流上大屏显示；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监控信息，以树形目录的方式呈现给用户进行操作，并支持基于终端名称的模糊搜索；后期增减和调整摄像机终端、无需对操作平台进行二次开发，操作平台可自动更新树形目录信息，更新周期可自定义；支持监控图像定时自动轮询显示，支持指定拼接屏某区域窗口轮询，而且多个窗口的监控平台摄像头轮询可以保存成场景，支持随时调用场景来启用监控平台摄像头定时自动轮询等功能；IPC信号支持在控制终端实时预览、调度任意监控摄像头图像上屏，每路监控图像可放大、缩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与视频会议MCU数据对接，直接从视频会议MCU取流，解码输出至大屏幕和其他显示设备显示；提供具有CNAS认可的第三方权威检验机构出具的检测报告（检验机构资格不符合或检测报告无相应功能检测结果的视为该项参数不满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9.支持通过控制终端预览视频会议主辅流图像，采用拖拽方式调度任意视频会议终端信号上屏显示；可选择部分轮询，也可以全部轮询；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10.支持录制系统中任意音视频信号，并可提供存储、直播、点播功能；本次配置2路录播服务；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web界面批量管理节点设备，控制开关机，查看配置信息；支持web界面在线监测设备状态；支持用户权限设置，支持多用户同时在线管理，支持同一权限多终端登录；支持网络在线对所有节点设备批量进行升级维护；支持系统配置信息一键保存与加载；支持登录日志、调试日志、操作日志、以及告警日志的存储与导出。</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11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多媒体信息分布式交互系统应用软件</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Times New Roman"/>
                <w:color w:val="000000"/>
                <w:kern w:val="0"/>
                <w:sz w:val="20"/>
                <w:szCs w:val="20"/>
              </w:rPr>
              <w:t>1.</w:t>
            </w:r>
            <w:r>
              <w:rPr>
                <w:rFonts w:hint="eastAsia" w:ascii="宋体" w:hAnsi="宋体" w:eastAsia="宋体" w:cs="宋体"/>
                <w:color w:val="000000"/>
                <w:kern w:val="0"/>
                <w:sz w:val="18"/>
                <w:szCs w:val="18"/>
                <w:lang w:bidi="ar"/>
              </w:rPr>
              <w:t>为平台提供高效的集中式接口管理，包括各类网元设备的管理，平台业务管理、系统拓扑管理、协议通信的中转等功能；具备适应不同用户类型的灵活的接口方式，可以根据用户需求，定义各种接口参数和消息类型，使得用户在后期扩展、功能调整和新系统接入时拥有较大的灵活性和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所有视频源实时预览，所见即所得功能；预览分辨率最大支持1080P；可根据网络及终端处理能力自定义预览窗口及数量；具备实时信号源预览功能，信号的多少及大小可依据实际需求自定义，在控制触摸屏上可开设多个预览窗口，预览内容和大屏内容同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多种场景预案设置功能：场景内联动控制，间隔时间设置；场所导航：模拟场所并根据场所分场景；快速导航：支持在场景里直接导航进入其它场景；场景快速定位：支持点击指定场景图标即可控制场景中所配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具备设备状态实时反馈功能，满足音频、视频、系统设备状态实时查看功能；设备状态检测功能，实时反应各系统的工作状态，并形成日志文件在数据库中存档，方便日后查看、排查故障。实时监测音视频的路由通道状态、终端在线信息、视频信号的窗口大小等信息、音频输入输出（如话筒、音箱）信号的音量大小，电平状态信息，静音状态等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5.支持多级权限管理，如调试级别、管理员、服务人员等。用户可以通过自定义配置，设定信号使用权限，管理用户数量不受限制。满足同一终端支持多个权限管理，同一权限支持多终端同时管理；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6.支持分布式存储服务和节目点播、直播等功能；支持分组录制，多画面自定义布局点播；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7.支持B/S、C/S双重预览格式；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8.支持指定任意区域任意信号进行视频轮巡；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9.支持自动检测,发现新接入设备；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★10.具有相关计算机软件著作权登记证书（提供复印件加盖厂商公章）</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多媒体信息分布式交互系统可视化控制端接入授权</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1.提供Windows控制终端接入授权许可，提供多媒体信息分布式交互系统和控制终端之间程序接口和协议，定义稳定的高层应用环境。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★2.具有相关计算机软件著作权登记证书（提供复印件加盖厂商公章）</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4.其他设备</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定制化编程服务</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定制可视化用户操作管理界面，包括视频的预览与控制、音频控制等功能，提供可视化的交互式GUI控制界面；用户可以通过手指触摸拖拽视频窗口的放大、缩小、移动、关闭等；</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平板控制终端</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英特尔酷睿i5处理器，</w:t>
            </w:r>
            <w:r>
              <w:rPr>
                <w:rFonts w:hint="eastAsia" w:ascii="宋体" w:hAnsi="宋体" w:cs="宋体"/>
                <w:color w:val="000000"/>
                <w:kern w:val="0"/>
                <w:sz w:val="18"/>
                <w:szCs w:val="18"/>
                <w:lang w:val="en-US" w:eastAsia="zh-CN" w:bidi="ar"/>
              </w:rPr>
              <w:t>屏幕尺寸不小于10英寸，</w:t>
            </w:r>
            <w:r>
              <w:rPr>
                <w:rFonts w:hint="eastAsia" w:ascii="宋体" w:hAnsi="宋体" w:eastAsia="宋体" w:cs="宋体"/>
                <w:color w:val="000000"/>
                <w:kern w:val="0"/>
                <w:sz w:val="18"/>
                <w:szCs w:val="18"/>
                <w:lang w:bidi="ar"/>
              </w:rPr>
              <w:t>内存8GB，固态硬盘128G，多点触控。WINDOWS系统。</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电源时序器</w:t>
            </w:r>
          </w:p>
        </w:tc>
        <w:tc>
          <w:tcPr>
            <w:tcW w:w="6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1、八路独立继电器；</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2、具备双触点，有公共端；</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3、单路功率额定10A，220VAC/DC；</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4、具备开放式RS-232控制接口。</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灯光控制器</w:t>
            </w:r>
          </w:p>
        </w:tc>
        <w:tc>
          <w:tcPr>
            <w:tcW w:w="6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八路独立继电器；触点：双触点，有公共端；单路功率额定10A,220VAC/DC；控制端子：开放式RS-232控制线。</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企业级无线路由器</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传输速率：1000Mbps；频率范围：双频（2.4GHz，5GHz）；</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千兆三层网络交换机</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Times New Roman"/>
                <w:color w:val="000000"/>
                <w:kern w:val="0"/>
                <w:sz w:val="20"/>
                <w:szCs w:val="20"/>
              </w:rPr>
              <w:t>1</w:t>
            </w:r>
            <w:r>
              <w:rPr>
                <w:rFonts w:hint="eastAsia" w:ascii="宋体" w:hAnsi="宋体" w:eastAsia="宋体" w:cs="宋体"/>
                <w:color w:val="000000"/>
                <w:kern w:val="0"/>
                <w:sz w:val="18"/>
                <w:szCs w:val="18"/>
                <w:lang w:bidi="ar"/>
              </w:rPr>
              <w:t>.三层全千兆，POE网络交换机；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2.交换容量≥68Gbps；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3.包转发率≥42Mpps；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4.固定端口：≥24个10/100/1000Base-T以太网电接口。</w:t>
            </w:r>
          </w:p>
          <w:p>
            <w:pPr>
              <w:widowControl/>
              <w:jc w:val="left"/>
              <w:textAlignment w:val="center"/>
              <w:rPr>
                <w:rFonts w:ascii="宋体" w:hAnsi="宋体" w:eastAsia="宋体" w:cs="宋体"/>
                <w:color w:val="000000"/>
                <w:kern w:val="0"/>
                <w:sz w:val="18"/>
                <w:szCs w:val="18"/>
                <w:lang w:bidi="ar"/>
              </w:rPr>
            </w:pP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返看电视支架</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返看电视安装支架。</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套</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网络机柜</w:t>
            </w:r>
          </w:p>
        </w:tc>
        <w:tc>
          <w:tcPr>
            <w:tcW w:w="6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容量：42U；尺寸：600*600*2055mm；具有固定板3块，风扇部件1组；具有4只两寸重型脚轮。</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配件辅材</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系统中需使用的网线、网络水晶头、高清线缆、转换设备及接头。</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批</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5.集成费用</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配件辅材</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省、市、区三级平台涉及VGA线、HDMI高清线、网线、电源线、水晶头、各种接头、线管、电源线、电源插板等。</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651"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硬件施工费用</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包括开发区会议室、机房设备安装；省、市、区机房线路施工、联通机房省、市线路施工费用。</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67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省、市、区会议平台二次开发</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通过系统平台对接调试实现省、市、区三级主持会议、听会等功能。完成系统对接需要对会议平台进行二次开发，二次开发牵涉到会议统一组织、会议统一发布等功能，实现整体会议的组织。</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会议系统对接联调</w:t>
            </w:r>
          </w:p>
        </w:tc>
        <w:tc>
          <w:tcPr>
            <w:tcW w:w="6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省、市、区三级会议系统接口对接调试，会议联调进行软硬件的调测，软件方面主要进行调试，确保系统对接完成；硬件对接主要进行参数配置。</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r>
      <w:tr>
        <w:tblPrEx>
          <w:tblLayout w:type="fixed"/>
          <w:tblCellMar>
            <w:top w:w="0" w:type="dxa"/>
            <w:left w:w="0" w:type="dxa"/>
            <w:bottom w:w="0" w:type="dxa"/>
            <w:right w:w="0" w:type="dxa"/>
          </w:tblCellMar>
        </w:tblPrEx>
        <w:trPr>
          <w:trHeight w:val="225" w:hRule="atLeast"/>
        </w:trPr>
        <w:tc>
          <w:tcPr>
            <w:tcW w:w="9185" w:type="dxa"/>
            <w:gridSpan w:val="5"/>
            <w:tcBorders>
              <w:top w:val="single" w:color="000000" w:sz="4" w:space="0"/>
              <w:left w:val="single" w:color="000000" w:sz="4" w:space="0"/>
              <w:bottom w:val="single" w:color="000000" w:sz="4" w:space="0"/>
              <w:right w:val="single" w:color="000000" w:sz="4" w:space="0"/>
            </w:tcBorders>
            <w:shd w:val="clear" w:color="auto" w:fill="5ABAD4"/>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6.线路使用费</w:t>
            </w:r>
          </w:p>
        </w:tc>
      </w:tr>
      <w:tr>
        <w:tblPrEx>
          <w:tblLayout w:type="fixed"/>
          <w:tblCellMar>
            <w:top w:w="0" w:type="dxa"/>
            <w:left w:w="0" w:type="dxa"/>
            <w:bottom w:w="0" w:type="dxa"/>
            <w:right w:w="0" w:type="dxa"/>
          </w:tblCellMar>
        </w:tblPrEx>
        <w:trPr>
          <w:trHeight w:val="225"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线路使用费</w:t>
            </w:r>
          </w:p>
        </w:tc>
        <w:tc>
          <w:tcPr>
            <w:tcW w:w="6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线路使用费用。</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年</w:t>
            </w:r>
          </w:p>
        </w:tc>
      </w:tr>
    </w:tbl>
    <w:p>
      <w:pPr>
        <w:widowControl/>
        <w:shd w:val="clear" w:color="auto" w:fill="FFFFFF"/>
        <w:spacing w:line="360" w:lineRule="auto"/>
        <w:ind w:firstLine="482" w:firstLineChars="200"/>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lang w:eastAsia="zh-CN"/>
        </w:rPr>
        <w:t>二、</w:t>
      </w:r>
      <w:r>
        <w:rPr>
          <w:rFonts w:hint="eastAsia" w:ascii="宋体" w:hAnsi="宋体" w:cs="黑体"/>
          <w:b/>
          <w:bCs/>
          <w:sz w:val="24"/>
          <w:szCs w:val="24"/>
          <w:shd w:val="clear" w:color="auto" w:fill="FFFFFF"/>
        </w:rPr>
        <w:t>采购清单</w:t>
      </w:r>
    </w:p>
    <w:p>
      <w:pPr>
        <w:widowControl/>
        <w:jc w:val="left"/>
        <w:textAlignment w:val="center"/>
        <w:rPr>
          <w:rFonts w:ascii="宋体" w:hAnsi="宋体" w:eastAsia="宋体" w:cs="宋体"/>
          <w:color w:val="000000" w:themeColor="text1"/>
          <w:kern w:val="0"/>
          <w:sz w:val="18"/>
          <w:szCs w:val="18"/>
          <w:highlight w:val="none"/>
          <w:lang w:bidi="ar"/>
          <w14:textFill>
            <w14:solidFill>
              <w14:schemeClr w14:val="tx1"/>
            </w14:solidFill>
          </w14:textFill>
        </w:rPr>
      </w:pPr>
    </w:p>
    <w:p>
      <w:pPr>
        <w:spacing w:line="360" w:lineRule="auto"/>
        <w:contextualSpacing/>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本采购清单中所列技术规格或主要参数为最低要求，不允许负偏离，否则将承担其响应被视为非实质性响应的风险。</w:t>
      </w:r>
    </w:p>
    <w:p>
      <w:pPr>
        <w:spacing w:line="360" w:lineRule="auto"/>
        <w:contextualSpacing/>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★三、采购标的执行标准</w:t>
      </w:r>
    </w:p>
    <w:p>
      <w:pPr>
        <w:spacing w:line="360" w:lineRule="auto"/>
        <w:contextualSpacing/>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1、国家标准：</w:t>
      </w:r>
    </w:p>
    <w:p>
      <w:pPr>
        <w:spacing w:line="360" w:lineRule="auto"/>
        <w:contextualSpacing/>
        <w:rPr>
          <w:rFonts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（1）强制性产品认证</w:t>
      </w:r>
    </w:p>
    <w:p>
      <w:pPr>
        <w:spacing w:line="360" w:lineRule="auto"/>
        <w:contextualSpacing/>
        <w:rPr>
          <w:rFonts w:hint="eastAsia" w:ascii="宋体" w:hAnsi="宋体" w:cs="微软雅黑"/>
          <w:b/>
          <w:color w:val="000000" w:themeColor="text1"/>
          <w:szCs w:val="21"/>
          <w:highlight w:val="none"/>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如供应商所投产品属于“中国强制性产品认证”（3C认证）范围内,则必须承诺采用《中华人民共和国实施强制性产品认证的产品目录》并在有效期内的产品，应在响应文件中提供“所投产品符合国家强制性要求承诺函”并加盖投标人公章，否则将承担其响应被视为非实质性响应的风险。</w:t>
      </w:r>
    </w:p>
    <w:p>
      <w:pPr>
        <w:spacing w:line="360" w:lineRule="auto"/>
        <w:contextualSpacing/>
        <w:rPr>
          <w:rFonts w:ascii="宋体" w:hAnsi="宋体" w:cs="宋体"/>
          <w:b/>
          <w:color w:val="000000" w:themeColor="text1"/>
          <w:kern w:val="0"/>
          <w:szCs w:val="21"/>
          <w:highlight w:val="none"/>
          <w:lang w:val="zh-CN"/>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w:t>
      </w:r>
      <w:r>
        <w:rPr>
          <w:rFonts w:hint="eastAsia" w:ascii="宋体" w:hAnsi="宋体" w:cs="宋体"/>
          <w:b/>
          <w:color w:val="000000" w:themeColor="text1"/>
          <w:kern w:val="0"/>
          <w:sz w:val="24"/>
          <w:szCs w:val="24"/>
          <w:highlight w:val="none"/>
          <w:lang w:val="zh-CN"/>
          <w14:textFill>
            <w14:solidFill>
              <w14:schemeClr w14:val="tx1"/>
            </w14:solidFill>
          </w14:textFill>
        </w:rPr>
        <w:t>四、采购标的的其他技术、服务等要求</w:t>
      </w:r>
    </w:p>
    <w:p>
      <w:pPr>
        <w:wordWrap w:val="0"/>
        <w:topLinePunct/>
        <w:spacing w:line="360" w:lineRule="auto"/>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1、供应商须明确响应产品的厂家、产地、品牌、型号、详细参数，</w:t>
      </w:r>
      <w:r>
        <w:rPr>
          <w:rFonts w:hint="eastAsia" w:ascii="宋体" w:cs="宋体"/>
          <w:b/>
          <w:color w:val="000000" w:themeColor="text1"/>
          <w:sz w:val="24"/>
          <w:highlight w:val="none"/>
          <w:lang w:val="zh-CN"/>
          <w14:textFill>
            <w14:solidFill>
              <w14:schemeClr w14:val="tx1"/>
            </w14:solidFill>
          </w14:textFill>
        </w:rPr>
        <w:t>否则为无效响应。</w:t>
      </w:r>
    </w:p>
    <w:p>
      <w:pPr>
        <w:wordWrap w:val="0"/>
        <w:topLinePunct/>
        <w:autoSpaceDE w:val="0"/>
        <w:autoSpaceDN w:val="0"/>
        <w:adjustRightInd w:val="0"/>
        <w:spacing w:line="360" w:lineRule="auto"/>
        <w:ind w:firstLine="482"/>
        <w:rPr>
          <w:rFonts w:ascii="宋体" w:cs="宋体"/>
          <w:b/>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2、供应商应就本项目（每包或者标段）完整响应，</w:t>
      </w:r>
      <w:r>
        <w:rPr>
          <w:rFonts w:hint="eastAsia" w:ascii="宋体" w:cs="宋体"/>
          <w:b/>
          <w:color w:val="000000" w:themeColor="text1"/>
          <w:sz w:val="24"/>
          <w:highlight w:val="none"/>
          <w:lang w:val="zh-CN"/>
          <w14:textFill>
            <w14:solidFill>
              <w14:schemeClr w14:val="tx1"/>
            </w14:solidFill>
          </w14:textFill>
        </w:rPr>
        <w:t>否则为无效响应。</w:t>
      </w:r>
    </w:p>
    <w:p>
      <w:pPr>
        <w:wordWrap w:val="0"/>
        <w:topLinePunct/>
        <w:spacing w:line="360" w:lineRule="auto"/>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3、所响应产品必须符合国家质量检测标准和本询价文件规定标准的全新正品现货。</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Cs w:val="21"/>
          <w:highlight w:val="none"/>
          <w:lang w:val="zh-CN"/>
          <w14:textFill>
            <w14:solidFill>
              <w14:schemeClr w14:val="tx1"/>
            </w14:solidFill>
          </w14:textFill>
        </w:rPr>
      </w:pPr>
      <w:r>
        <w:rPr>
          <w:rFonts w:hint="eastAsia" w:ascii="宋体" w:hAnsi="宋体" w:cs="微软雅黑"/>
          <w:b/>
          <w:color w:val="000000" w:themeColor="text1"/>
          <w:szCs w:val="21"/>
          <w:highlight w:val="none"/>
          <w14:textFill>
            <w14:solidFill>
              <w14:schemeClr w14:val="tx1"/>
            </w14:solidFill>
          </w14:textFill>
        </w:rPr>
        <w:t>★</w:t>
      </w:r>
      <w:r>
        <w:rPr>
          <w:rFonts w:hint="eastAsia" w:ascii="宋体" w:hAnsi="宋体" w:cs="宋体"/>
          <w:b/>
          <w:color w:val="000000" w:themeColor="text1"/>
          <w:kern w:val="0"/>
          <w:sz w:val="24"/>
          <w:szCs w:val="24"/>
          <w:highlight w:val="none"/>
          <w:lang w:val="zh-CN"/>
          <w14:textFill>
            <w14:solidFill>
              <w14:schemeClr w14:val="tx1"/>
            </w14:solidFill>
          </w14:textFill>
        </w:rPr>
        <w:t>五、验收标准</w:t>
      </w:r>
    </w:p>
    <w:p>
      <w:pPr>
        <w:wordWrap w:val="0"/>
        <w:topLinePunct/>
        <w:autoSpaceDE w:val="0"/>
        <w:autoSpaceDN w:val="0"/>
        <w:adjustRightInd w:val="0"/>
        <w:spacing w:line="360" w:lineRule="auto"/>
        <w:ind w:firstLine="482"/>
        <w:rPr>
          <w:rFonts w:ascii="宋体" w:cs="宋体"/>
          <w:color w:val="000000" w:themeColor="text1"/>
          <w:sz w:val="24"/>
          <w:highlight w:val="none"/>
          <w:lang w:val="zh-CN"/>
          <w14:textFill>
            <w14:solidFill>
              <w14:schemeClr w14:val="tx1"/>
            </w14:solidFill>
          </w14:textFill>
        </w:rPr>
      </w:pPr>
      <w:r>
        <w:rPr>
          <w:rFonts w:ascii="宋体" w:cs="宋体"/>
          <w:color w:val="000000" w:themeColor="text1"/>
          <w:sz w:val="24"/>
          <w:highlight w:val="none"/>
          <w:lang w:val="zh-CN"/>
          <w14:textFill>
            <w14:solidFill>
              <w14:schemeClr w14:val="tx1"/>
            </w14:solidFill>
          </w14:textFill>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color w:val="000000" w:themeColor="text1"/>
          <w:sz w:val="24"/>
          <w:highlight w:val="none"/>
          <w:lang w:val="zh-CN"/>
          <w14:textFill>
            <w14:solidFill>
              <w14:schemeClr w14:val="tx1"/>
            </w14:solidFill>
          </w14:textFill>
        </w:rPr>
      </w:pPr>
      <w:r>
        <w:rPr>
          <w:rFonts w:ascii="宋体" w:cs="宋体"/>
          <w:color w:val="000000" w:themeColor="text1"/>
          <w:sz w:val="24"/>
          <w:highlight w:val="none"/>
          <w:lang w:val="zh-CN"/>
          <w14:textFill>
            <w14:solidFill>
              <w14:schemeClr w14:val="tx1"/>
            </w14:solidFill>
          </w14:textFill>
        </w:rPr>
        <w:t>2、按照招标文件要求、投标文件响应和承诺验收；</w:t>
      </w:r>
    </w:p>
    <w:p>
      <w:pPr>
        <w:wordWrap w:val="0"/>
        <w:topLinePunct/>
        <w:autoSpaceDE w:val="0"/>
        <w:autoSpaceDN w:val="0"/>
        <w:adjustRightInd w:val="0"/>
        <w:spacing w:line="360" w:lineRule="auto"/>
        <w:ind w:firstLine="482"/>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t>3、按照国家相关标准、行业标准、地方标准或者其他标准、规范验收（与采购标的执行标准一致）</w:t>
      </w:r>
      <w:r>
        <w:rPr>
          <w:rFonts w:hint="eastAsia" w:ascii="宋体" w:cs="宋体"/>
          <w:color w:val="000000" w:themeColor="text1"/>
          <w:sz w:val="24"/>
          <w:lang w:val="zh-CN"/>
          <w14:textFill>
            <w14:solidFill>
              <w14:schemeClr w14:val="tx1"/>
            </w14:solidFill>
          </w14:textFill>
        </w:rPr>
        <w:t>。</w:t>
      </w:r>
    </w:p>
    <w:p>
      <w:pPr>
        <w:pStyle w:val="21"/>
        <w:widowControl/>
        <w:shd w:val="clear" w:color="auto" w:fill="FFFFFF"/>
        <w:spacing w:line="360" w:lineRule="auto"/>
        <w:ind w:firstLine="420"/>
        <w:contextualSpacing/>
        <w:jc w:val="left"/>
        <w:rPr>
          <w:rFonts w:ascii="宋体" w:hAnsi="宋体" w:eastAsia="宋体" w:cs="黑体"/>
          <w:b/>
          <w:bCs/>
          <w:color w:val="000000" w:themeColor="text1"/>
          <w:sz w:val="21"/>
          <w:szCs w:val="21"/>
          <w:shd w:val="clear" w:color="auto" w:fill="FFFFFF"/>
          <w14:textFill>
            <w14:solidFill>
              <w14:schemeClr w14:val="tx1"/>
            </w14:solidFill>
          </w14:textFill>
        </w:rPr>
      </w:pPr>
      <w:r>
        <w:rPr>
          <w:rFonts w:hint="eastAsia" w:ascii="宋体" w:hAnsi="宋体" w:eastAsia="宋体" w:cs="微软雅黑"/>
          <w:b/>
          <w:color w:val="000000" w:themeColor="text1"/>
          <w:sz w:val="21"/>
          <w:szCs w:val="21"/>
          <w14:textFill>
            <w14:solidFill>
              <w14:schemeClr w14:val="tx1"/>
            </w14:solidFill>
          </w14:textFill>
        </w:rPr>
        <w:t>★</w:t>
      </w:r>
      <w:r>
        <w:rPr>
          <w:rFonts w:hint="eastAsia" w:ascii="宋体" w:hAnsi="宋体" w:eastAsia="宋体" w:cs="黑体"/>
          <w:b/>
          <w:bCs/>
          <w:color w:val="000000" w:themeColor="text1"/>
          <w:shd w:val="clear" w:color="auto" w:fill="FFFFFF"/>
          <w14:textFill>
            <w14:solidFill>
              <w14:schemeClr w14:val="tx1"/>
            </w14:solidFill>
          </w14:textFill>
        </w:rPr>
        <w:t>六、本项目预算金额55万元。</w:t>
      </w:r>
      <w:r>
        <w:rPr>
          <w:rFonts w:hint="eastAsia" w:ascii="宋体" w:hAnsi="宋体" w:eastAsia="宋体" w:cs="宋体"/>
          <w:b/>
          <w:color w:val="000000" w:themeColor="text1"/>
          <w:kern w:val="0"/>
          <w:lang w:val="zh-CN"/>
          <w14:textFill>
            <w14:solidFill>
              <w14:schemeClr w14:val="tx1"/>
            </w14:solidFill>
          </w14:textFill>
        </w:rPr>
        <w:t>超出预算金额的投标无效。</w:t>
      </w:r>
    </w:p>
    <w:p>
      <w:pPr>
        <w:widowControl/>
        <w:shd w:val="clear" w:color="auto" w:fill="FFFFFF"/>
        <w:spacing w:line="360" w:lineRule="auto"/>
        <w:ind w:firstLine="422" w:firstLineChars="200"/>
        <w:contextualSpacing/>
        <w:jc w:val="left"/>
        <w:rPr>
          <w:rFonts w:ascii="宋体" w:hAnsi="宋体" w:cs="宋体"/>
          <w:b/>
          <w:color w:val="000000" w:themeColor="text1"/>
          <w:kern w:val="0"/>
          <w:sz w:val="24"/>
          <w:szCs w:val="24"/>
          <w:lang w:val="zh-CN"/>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w:t>
      </w:r>
      <w:r>
        <w:rPr>
          <w:rFonts w:hint="eastAsia" w:ascii="宋体" w:hAnsi="宋体" w:cs="宋体"/>
          <w:b/>
          <w:color w:val="000000" w:themeColor="text1"/>
          <w:kern w:val="0"/>
          <w:sz w:val="24"/>
          <w:szCs w:val="24"/>
          <w:lang w:val="zh-CN"/>
          <w14:textFill>
            <w14:solidFill>
              <w14:schemeClr w14:val="tx1"/>
            </w14:solidFill>
          </w14:textFill>
        </w:rPr>
        <w:t>七、资金支付</w:t>
      </w:r>
    </w:p>
    <w:p>
      <w:pPr>
        <w:widowControl/>
        <w:shd w:val="clear" w:color="auto" w:fill="FFFFFF"/>
        <w:spacing w:line="360" w:lineRule="auto"/>
        <w:ind w:firstLine="480" w:firstLineChars="200"/>
        <w:contextualSpacing/>
        <w:jc w:val="left"/>
        <w:rPr>
          <w:rFonts w:ascii="宋体" w:hAnsi="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1、支付方式：</w:t>
      </w:r>
      <w:r>
        <w:rPr>
          <w:rFonts w:ascii="宋体" w:hAnsi="宋体" w:cs="宋体"/>
          <w:color w:val="000000" w:themeColor="text1"/>
          <w:kern w:val="0"/>
          <w:sz w:val="24"/>
          <w:szCs w:val="24"/>
          <w:lang w:val="zh-CN"/>
          <w14:textFill>
            <w14:solidFill>
              <w14:schemeClr w14:val="tx1"/>
            </w14:solidFill>
          </w14:textFill>
        </w:rPr>
        <w:t>银行转账</w:t>
      </w:r>
    </w:p>
    <w:p>
      <w:pPr>
        <w:widowControl/>
        <w:shd w:val="clear" w:color="auto" w:fill="FFFFFF"/>
        <w:spacing w:line="360" w:lineRule="auto"/>
        <w:ind w:firstLine="480" w:firstLineChars="200"/>
        <w:contextualSpacing/>
        <w:jc w:val="left"/>
        <w:rPr>
          <w:rFonts w:ascii="宋体" w:hAnsi="宋体" w:eastAsia="宋体" w:cs="宋体"/>
          <w:color w:val="000000" w:themeColor="text1"/>
          <w:kern w:val="0"/>
          <w:sz w:val="18"/>
          <w:szCs w:val="18"/>
          <w:lang w:bidi="ar"/>
          <w14:textFill>
            <w14:solidFill>
              <w14:schemeClr w14:val="tx1"/>
            </w14:solidFill>
          </w14:textFill>
        </w:rPr>
        <w:sectPr>
          <w:pgSz w:w="11906" w:h="16838"/>
          <w:pgMar w:top="2098" w:right="1474" w:bottom="1928" w:left="1588" w:header="851" w:footer="992" w:gutter="0"/>
          <w:cols w:space="720" w:num="1"/>
          <w:docGrid w:type="lines" w:linePitch="312" w:charSpace="0"/>
        </w:sectPr>
      </w:pPr>
      <w:r>
        <w:rPr>
          <w:rFonts w:hint="eastAsia" w:ascii="宋体" w:hAnsi="宋体" w:cs="宋体"/>
          <w:color w:val="000000" w:themeColor="text1"/>
          <w:kern w:val="0"/>
          <w:sz w:val="24"/>
          <w:szCs w:val="24"/>
          <w:lang w:val="zh-CN"/>
          <w14:textFill>
            <w14:solidFill>
              <w14:schemeClr w14:val="tx1"/>
            </w14:solidFill>
          </w14:textFill>
        </w:rPr>
        <w:t>2、支付时间及条件：验收交付后，一次性由甲方支付。</w:t>
      </w:r>
    </w:p>
    <w:p>
      <w:pPr>
        <w:spacing w:line="360" w:lineRule="auto"/>
        <w:contextualSpacing/>
        <w:rPr>
          <w:rFonts w:ascii="宋体" w:hAnsi="宋体" w:cs="微软雅黑"/>
          <w:b/>
          <w:color w:val="FF0000"/>
          <w:szCs w:val="21"/>
        </w:rPr>
      </w:pPr>
    </w:p>
    <w:p>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noWrap w:val="0"/>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项目名称：视频会议系统</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w:t>
            </w:r>
            <w:r>
              <w:rPr>
                <w:rFonts w:hint="eastAsia" w:ascii="宋体" w:hAnsi="宋体" w:cs="仿宋_GB2312"/>
                <w:szCs w:val="21"/>
                <w:lang w:val="en-US" w:eastAsia="zh-CN"/>
              </w:rPr>
              <w:t>J</w:t>
            </w:r>
            <w:r>
              <w:rPr>
                <w:rFonts w:hint="eastAsia" w:ascii="宋体" w:hAnsi="宋体" w:cs="仿宋_GB2312"/>
                <w:szCs w:val="21"/>
              </w:rPr>
              <w:t>ZF</w:t>
            </w:r>
            <w:r>
              <w:rPr>
                <w:rFonts w:hint="eastAsia" w:ascii="宋体" w:hAnsi="宋体" w:cs="仿宋_GB2312"/>
                <w:szCs w:val="21"/>
                <w:highlight w:val="none"/>
              </w:rPr>
              <w:t>CG-X2019</w:t>
            </w:r>
            <w:r>
              <w:rPr>
                <w:rFonts w:hint="eastAsia" w:ascii="宋体" w:hAnsi="宋体" w:cs="仿宋_GB2312"/>
                <w:szCs w:val="21"/>
                <w:highlight w:val="none"/>
                <w:lang w:val="en-US" w:eastAsia="zh-CN"/>
              </w:rPr>
              <w:t>001</w:t>
            </w:r>
            <w:r>
              <w:rPr>
                <w:rFonts w:hint="eastAsia" w:ascii="宋体" w:hAnsi="宋体" w:cs="仿宋_GB2312"/>
                <w:szCs w:val="21"/>
                <w:highlight w:val="none"/>
              </w:rPr>
              <w:t>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项目内容：视频系统、音频系统、多媒体信息分布式交互系统和其他设备等 </w:t>
            </w:r>
          </w:p>
          <w:p>
            <w:pPr>
              <w:spacing w:line="360" w:lineRule="auto"/>
              <w:rPr>
                <w:rFonts w:ascii="宋体" w:hAnsi="宋体" w:cs="仿宋_GB2312"/>
                <w:szCs w:val="21"/>
              </w:rPr>
            </w:pPr>
            <w:r>
              <w:rPr>
                <w:rFonts w:hint="eastAsia" w:ascii="宋体" w:hAnsi="宋体" w:cs="仿宋_GB2312"/>
                <w:szCs w:val="21"/>
              </w:rPr>
              <w:t>项目地址：许昌经济技术开发区综合办公室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noWrap w:val="0"/>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名称：许昌经济技术开发区综合办公室</w:t>
            </w:r>
          </w:p>
          <w:p>
            <w:pPr>
              <w:adjustRightInd w:val="0"/>
              <w:spacing w:line="360" w:lineRule="auto"/>
              <w:contextualSpacing/>
              <w:jc w:val="left"/>
              <w:rPr>
                <w:rFonts w:ascii="宋体" w:hAnsi="宋体" w:cs="仿宋_GB2312"/>
                <w:szCs w:val="21"/>
              </w:rPr>
            </w:pPr>
            <w:r>
              <w:rPr>
                <w:rFonts w:hint="eastAsia" w:ascii="宋体" w:hAnsi="宋体" w:cs="仿宋_GB2312"/>
                <w:szCs w:val="21"/>
              </w:rPr>
              <w:t>地址： 许昌市魏都区瑞祥路1969号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联系人：孙小闯             电话：0374-8581105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noWrap w:val="0"/>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名称：河南华明工程造价咨询有限公司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地址：许昌市魏都区半截河街道橡树湾10号楼门面房二层一户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联系人：马先生             电话：0374-3117600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noWrap w:val="0"/>
            <w:vAlign w:val="center"/>
          </w:tcPr>
          <w:p>
            <w:pPr>
              <w:autoSpaceDE w:val="0"/>
              <w:autoSpaceDN w:val="0"/>
              <w:adjustRightInd w:val="0"/>
              <w:spacing w:line="360" w:lineRule="auto"/>
              <w:ind w:right="-11"/>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一、</w:t>
            </w:r>
            <w:r>
              <w:rPr>
                <w:rFonts w:ascii="宋体" w:hAnsi="宋体" w:cs="宋体"/>
                <w:b/>
                <w:bCs/>
                <w:color w:val="000000" w:themeColor="text1"/>
                <w:szCs w:val="21"/>
                <w:highlight w:val="none"/>
                <w:lang w:val="zh-CN"/>
                <w14:textFill>
                  <w14:solidFill>
                    <w14:schemeClr w14:val="tx1"/>
                  </w14:solidFill>
                </w14:textFill>
              </w:rPr>
              <w:t>法人或者其他组织的营业执照等证明文件，自然人的身份证明</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1、企业法人营业执照或营业执照。（企业提供）</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2、事业单位法人证书。（事业单位提供）</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3、执业许可证。（非企业专业服务机构提供）</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4、个体工商户营业执照。（个体工商户提供）</w:t>
            </w:r>
          </w:p>
          <w:p>
            <w:pPr>
              <w:autoSpaceDE w:val="0"/>
              <w:autoSpaceDN w:val="0"/>
              <w:adjustRightInd w:val="0"/>
              <w:spacing w:line="360" w:lineRule="auto"/>
              <w:jc w:val="left"/>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5、自然人身份证明。（自然人提供）</w:t>
            </w:r>
          </w:p>
          <w:p>
            <w:pPr>
              <w:autoSpaceDE w:val="0"/>
              <w:autoSpaceDN w:val="0"/>
              <w:adjustRightInd w:val="0"/>
              <w:spacing w:line="360" w:lineRule="auto"/>
              <w:jc w:val="left"/>
              <w:rPr>
                <w:rFonts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6、民办非企业单位登记证书。（民办非企业单位提供）</w:t>
            </w:r>
          </w:p>
          <w:p>
            <w:pPr>
              <w:autoSpaceDE w:val="0"/>
              <w:autoSpaceDN w:val="0"/>
              <w:adjustRightInd w:val="0"/>
              <w:spacing w:line="360" w:lineRule="auto"/>
              <w:jc w:val="left"/>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Cs w:val="21"/>
                <w:highlight w:val="none"/>
                <w14:textFill>
                  <w14:solidFill>
                    <w14:schemeClr w14:val="tx1"/>
                  </w14:solidFill>
                </w14:textFill>
              </w:rPr>
              <w:t>二、财务状况报告相关材料</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（1）供应商是法人（法人包括企业法人、机关法人、事业单位法人和社会团体法人），提供本单位：</w:t>
            </w:r>
          </w:p>
          <w:p>
            <w:pPr>
              <w:spacing w:line="360" w:lineRule="auto"/>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①2018年度经审计的财务报告，包括资产负债表、利润表、现金流量表、所有者权益变动表及其附注；或投标前</w:t>
            </w:r>
            <w:r>
              <w:rPr>
                <w:rFonts w:hint="eastAsia" w:ascii="宋体" w:hAnsi="宋体"/>
                <w:bCs/>
                <w:color w:val="000000" w:themeColor="text1"/>
                <w:szCs w:val="21"/>
                <w:highlight w:val="none"/>
                <w:lang w:eastAsia="zh-CN"/>
                <w14:textFill>
                  <w14:solidFill>
                    <w14:schemeClr w14:val="tx1"/>
                  </w14:solidFill>
                </w14:textFill>
              </w:rPr>
              <w:t>近半年</w:t>
            </w:r>
            <w:r>
              <w:rPr>
                <w:rFonts w:hint="eastAsia" w:ascii="宋体" w:hAnsi="宋体"/>
                <w:bCs/>
                <w:color w:val="000000" w:themeColor="text1"/>
                <w:szCs w:val="21"/>
                <w:highlight w:val="none"/>
                <w14:textFill>
                  <w14:solidFill>
                    <w14:schemeClr w14:val="tx1"/>
                  </w14:solidFill>
                </w14:textFill>
              </w:rPr>
              <w:t>的财务报表</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②基本开户银行出具的资信证明；</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③财政部门认可的政府采购专业担保机构的证明文件和担保机构出具的投标担保函。</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楷体" w:hAnsi="楷体" w:eastAsia="楷体" w:cs="仿宋_GB2312"/>
                <w:color w:val="000000" w:themeColor="text1"/>
                <w:sz w:val="24"/>
                <w:szCs w:val="24"/>
                <w:highlight w:val="none"/>
                <w:lang w:val="zh-CN"/>
                <w14:textFill>
                  <w14:solidFill>
                    <w14:schemeClr w14:val="tx1"/>
                  </w14:solidFill>
                </w14:textFill>
              </w:rPr>
              <w:t>注：仅需提供序号</w:t>
            </w:r>
            <w:r>
              <w:rPr>
                <w:rFonts w:hint="eastAsia" w:ascii="楷体" w:hAnsi="楷体" w:eastAsia="楷体"/>
                <w:color w:val="000000" w:themeColor="text1"/>
                <w:sz w:val="24"/>
                <w:szCs w:val="24"/>
                <w:highlight w:val="none"/>
                <w14:textFill>
                  <w14:solidFill>
                    <w14:schemeClr w14:val="tx1"/>
                  </w14:solidFill>
                </w14:textFill>
              </w:rPr>
              <w:t>①～③其中之一即可。</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（2）供应商（其他组织和自然人）提供本单位：</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①2018年度经审计的财务报告，包括资产负债表、利润表、现金流量表、所有者权益变动表及其附注；</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②银行出具的资信证明；</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themeColor="text1"/>
                <w:szCs w:val="21"/>
                <w:highlight w:val="none"/>
                <w:lang w:val="zh-CN"/>
                <w14:textFill>
                  <w14:solidFill>
                    <w14:schemeClr w14:val="tx1"/>
                  </w14:solidFill>
                </w14:textFill>
              </w:rPr>
            </w:pPr>
            <w:r>
              <w:rPr>
                <w:rFonts w:hint="eastAsia" w:ascii="楷体" w:hAnsi="楷体" w:eastAsia="楷体" w:cs="仿宋_GB2312"/>
                <w:color w:val="000000" w:themeColor="text1"/>
                <w:sz w:val="24"/>
                <w:szCs w:val="24"/>
                <w:highlight w:val="none"/>
                <w:lang w:val="zh-CN"/>
                <w14:textFill>
                  <w14:solidFill>
                    <w14:schemeClr w14:val="tx1"/>
                  </w14:solidFill>
                </w14:textFill>
              </w:rPr>
              <w:t>注：仅需提供序号</w:t>
            </w:r>
            <w:r>
              <w:rPr>
                <w:rFonts w:hint="eastAsia" w:ascii="楷体" w:hAnsi="楷体" w:eastAsia="楷体"/>
                <w:color w:val="000000" w:themeColor="text1"/>
                <w:sz w:val="24"/>
                <w:szCs w:val="24"/>
                <w:highlight w:val="none"/>
                <w14:textFill>
                  <w14:solidFill>
                    <w14:schemeClr w14:val="tx1"/>
                  </w14:solidFill>
                </w14:textFill>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b/>
                <w:bCs/>
                <w:szCs w:val="21"/>
                <w:lang w:val="zh-CN"/>
              </w:rPr>
              <w:t>；</w:t>
            </w:r>
            <w:r>
              <w:rPr>
                <w:rFonts w:hint="eastAsia" w:ascii="宋体" w:hAnsi="宋体" w:cs="仿宋_GB2312"/>
                <w:b/>
                <w:szCs w:val="21"/>
                <w:shd w:val="clear" w:color="auto" w:fill="FFFFFF"/>
              </w:rPr>
              <w:t>“国家企业信用公示系统”网站（</w:t>
            </w:r>
            <w:r>
              <w:rPr>
                <w:rFonts w:ascii="宋体" w:hAnsi="宋体" w:cs="仿宋_GB2312"/>
                <w:b/>
                <w:szCs w:val="21"/>
                <w:shd w:val="clear" w:color="auto" w:fill="FFFFFF"/>
              </w:rPr>
              <w:t>www.gsxt.gov.cn</w:t>
            </w:r>
            <w:r>
              <w:rPr>
                <w:rFonts w:hint="eastAsia" w:ascii="宋体" w:hAnsi="宋体" w:cs="仿宋_GB2312"/>
                <w:b/>
                <w:szCs w:val="21"/>
                <w:shd w:val="clear" w:color="auto" w:fill="FFFFFF"/>
              </w:rPr>
              <w:t>）严重违法失信企业名单（黑名单）的供应商；“中国社会组织公共服务平台”网站（</w:t>
            </w:r>
            <w:r>
              <w:rPr>
                <w:rFonts w:ascii="宋体" w:hAnsi="宋体" w:cs="仿宋_GB2312"/>
                <w:b/>
                <w:szCs w:val="21"/>
                <w:shd w:val="clear" w:color="auto" w:fill="FFFFFF"/>
              </w:rPr>
              <w:t>www.chinanpo.gov.cn</w:t>
            </w:r>
            <w:r>
              <w:rPr>
                <w:rFonts w:hint="eastAsia" w:ascii="宋体" w:hAnsi="宋体" w:cs="仿宋_GB2312"/>
                <w:b/>
                <w:szCs w:val="21"/>
                <w:shd w:val="clear" w:color="auto" w:fill="FFFFFF"/>
              </w:rPr>
              <w:t>）严重违法失信社会组织名单的供应商（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spacing w:line="360" w:lineRule="auto"/>
              <w:rPr>
                <w:rFonts w:ascii="宋体" w:hAnsi="宋体" w:cs="宋体"/>
                <w:kern w:val="0"/>
                <w:szCs w:val="21"/>
              </w:rPr>
            </w:pPr>
            <w:r>
              <w:rPr>
                <w:rFonts w:hint="eastAsia" w:ascii="宋体" w:hAnsi="宋体" w:cs="宋体"/>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④“中国社会组织公共服务平台”网站（</w:t>
            </w:r>
            <w:r>
              <w:rPr>
                <w:rFonts w:ascii="宋体" w:hAnsi="宋体" w:cs="宋体"/>
                <w:kern w:val="0"/>
                <w:szCs w:val="21"/>
              </w:rPr>
              <w:t>www.chinanpo.gov.cn</w:t>
            </w:r>
            <w:r>
              <w:rPr>
                <w:rFonts w:hint="eastAsia" w:ascii="宋体" w:hAnsi="宋体" w:cs="宋体"/>
                <w:kern w:val="0"/>
                <w:szCs w:val="21"/>
              </w:rPr>
              <w:t>）（仅查询社会组织）；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noWrap w:val="0"/>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noWrap w:val="0"/>
            <w:vAlign w:val="center"/>
          </w:tcPr>
          <w:p>
            <w:pPr>
              <w:autoSpaceDE w:val="0"/>
              <w:autoSpaceDN w:val="0"/>
              <w:adjustRightInd w:val="0"/>
              <w:spacing w:line="276" w:lineRule="auto"/>
              <w:ind w:firstLine="210" w:firstLineChars="100"/>
              <w:rPr>
                <w:rFonts w:ascii="宋体" w:hAnsi="宋体" w:cs="宋体"/>
                <w:bCs/>
                <w:szCs w:val="21"/>
                <w:lang w:val="zh-CN"/>
              </w:rPr>
            </w:pPr>
            <w:r>
              <w:rPr>
                <w:rFonts w:hint="eastAsia" w:ascii="宋体" w:hAnsi="宋体" w:cs="宋体"/>
                <w:bCs/>
                <w:szCs w:val="21"/>
              </w:rPr>
              <w:t>55</w:t>
            </w:r>
            <w:r>
              <w:rPr>
                <w:rFonts w:hint="eastAsia" w:ascii="宋体" w:hAnsi="宋体" w:cs="宋体"/>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noWrap w:val="0"/>
            <w:vAlign w:val="center"/>
          </w:tcPr>
          <w:p>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noWrap w:val="0"/>
            <w:vAlign w:val="center"/>
          </w:tcPr>
          <w:p>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noWrap w:val="0"/>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90天（自</w:t>
            </w:r>
            <w:r>
              <w:rPr>
                <w:rFonts w:hint="eastAsia" w:ascii="宋体" w:hAnsi="宋体" w:cs="宋体"/>
                <w:kern w:val="0"/>
                <w:szCs w:val="21"/>
              </w:rPr>
              <w:t>提交询价响应文件的截止之日起算</w:t>
            </w:r>
            <w:r>
              <w:rPr>
                <w:rFonts w:hint="eastAsia" w:ascii="宋体" w:hAnsi="宋体" w:cs="仿宋_GB2312"/>
                <w:szCs w:val="21"/>
              </w:rPr>
              <w:t>）</w:t>
            </w:r>
          </w:p>
          <w:p>
            <w:pPr>
              <w:autoSpaceDE w:val="0"/>
              <w:autoSpaceDN w:val="0"/>
              <w:adjustRightInd w:val="0"/>
              <w:spacing w:line="360" w:lineRule="auto"/>
              <w:rPr>
                <w:rFonts w:ascii="宋体" w:hAnsi="宋体" w:cs="仿宋_GB2312"/>
                <w:szCs w:val="21"/>
              </w:rPr>
            </w:pPr>
            <w:r>
              <w:rPr>
                <w:rFonts w:hint="eastAsia" w:ascii="宋体" w:hAnsi="宋体" w:cs="仿宋_GB2312"/>
                <w:szCs w:val="21"/>
                <w:lang w:val="zh-CN"/>
              </w:rPr>
              <w:t>成交供应商询价</w:t>
            </w:r>
            <w:r>
              <w:rPr>
                <w:rFonts w:ascii="宋体" w:hAnsi="宋体" w:cs="仿宋_GB2312"/>
                <w:szCs w:val="21"/>
                <w:lang w:val="zh-CN"/>
              </w:rPr>
              <w:t>有效期延</w:t>
            </w:r>
            <w:r>
              <w:rPr>
                <w:rFonts w:hint="eastAsia" w:ascii="宋体" w:hAnsi="宋体" w:cs="仿宋_GB2312"/>
                <w:szCs w:val="21"/>
                <w:lang w:val="zh-CN"/>
              </w:rPr>
              <w:t>至合同</w:t>
            </w:r>
            <w:r>
              <w:rPr>
                <w:rFonts w:ascii="宋体" w:hAnsi="宋体" w:cs="仿宋_GB2312"/>
                <w:szCs w:val="21"/>
                <w:lang w:val="zh-CN"/>
              </w:rPr>
              <w:t>验收之日</w:t>
            </w:r>
            <w:r>
              <w:rPr>
                <w:rFonts w:hint="eastAsia" w:ascii="宋体" w:hAnsi="宋体" w:cs="仿宋_GB2312"/>
                <w:szCs w:val="21"/>
                <w:lang w:val="zh-CN"/>
              </w:rPr>
              <w:t>，</w:t>
            </w:r>
            <w:r>
              <w:rPr>
                <w:rFonts w:hint="eastAsia" w:ascii="宋体" w:hAnsi="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noWrap w:val="0"/>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szCs w:val="21"/>
                <w:shd w:val="clear" w:color="auto" w:fill="FFFFFF"/>
              </w:rPr>
              <w:t>响应文件提交截止、</w:t>
            </w:r>
            <w:r>
              <w:rPr>
                <w:rFonts w:hint="eastAsia" w:ascii="宋体" w:hAnsi="宋体" w:cs="宋体"/>
                <w:bCs/>
                <w:szCs w:val="21"/>
                <w:lang w:val="zh-CN"/>
              </w:rPr>
              <w:t>询价响应截止及询价时间</w:t>
            </w:r>
          </w:p>
        </w:tc>
        <w:tc>
          <w:tcPr>
            <w:tcW w:w="6813" w:type="dxa"/>
            <w:noWrap w:val="0"/>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highlight w:val="none"/>
                <w:lang w:val="zh-CN"/>
              </w:rPr>
              <w:t>2019年</w:t>
            </w:r>
            <w:r>
              <w:rPr>
                <w:rFonts w:hint="eastAsia" w:ascii="宋体" w:hAnsi="宋体" w:cs="宋体"/>
                <w:bCs/>
                <w:szCs w:val="21"/>
                <w:highlight w:val="none"/>
                <w:lang w:val="en-US" w:eastAsia="zh-CN"/>
              </w:rPr>
              <w:t>8</w:t>
            </w:r>
            <w:r>
              <w:rPr>
                <w:rFonts w:hint="eastAsia" w:ascii="宋体" w:hAnsi="宋体" w:cs="宋体"/>
                <w:bCs/>
                <w:szCs w:val="21"/>
                <w:highlight w:val="none"/>
                <w:lang w:val="zh-CN"/>
              </w:rPr>
              <w:t>月</w:t>
            </w:r>
            <w:r>
              <w:rPr>
                <w:rFonts w:hint="eastAsia" w:ascii="宋体" w:hAnsi="宋体" w:cs="宋体"/>
                <w:bCs/>
                <w:szCs w:val="21"/>
                <w:highlight w:val="none"/>
                <w:lang w:val="en-US" w:eastAsia="zh-CN"/>
              </w:rPr>
              <w:t>19</w:t>
            </w:r>
            <w:r>
              <w:rPr>
                <w:rFonts w:hint="eastAsia" w:ascii="宋体" w:hAnsi="宋体" w:cs="宋体"/>
                <w:bCs/>
                <w:szCs w:val="21"/>
                <w:highlight w:val="none"/>
                <w:lang w:val="zh-CN"/>
              </w:rPr>
              <w:t>日</w:t>
            </w:r>
            <w:r>
              <w:rPr>
                <w:rFonts w:hint="eastAsia" w:ascii="宋体" w:hAnsi="宋体" w:cs="宋体"/>
                <w:bCs/>
                <w:szCs w:val="21"/>
                <w:highlight w:val="none"/>
                <w:lang w:val="en-US" w:eastAsia="zh-CN"/>
              </w:rPr>
              <w:t>8</w:t>
            </w:r>
            <w:r>
              <w:rPr>
                <w:rFonts w:hint="eastAsia" w:ascii="宋体" w:hAnsi="宋体" w:cs="宋体"/>
                <w:bCs/>
                <w:szCs w:val="21"/>
                <w:highlight w:val="none"/>
              </w:rPr>
              <w:t xml:space="preserve"> </w:t>
            </w:r>
            <w:r>
              <w:rPr>
                <w:rFonts w:hint="eastAsia" w:ascii="宋体" w:hAnsi="宋体" w:cs="宋体"/>
                <w:bCs/>
                <w:szCs w:val="21"/>
                <w:highlight w:val="none"/>
                <w:lang w:val="zh-CN"/>
              </w:rPr>
              <w:t>时</w:t>
            </w:r>
            <w:r>
              <w:rPr>
                <w:rFonts w:hint="eastAsia" w:ascii="宋体" w:hAnsi="宋体" w:cs="宋体"/>
                <w:bCs/>
                <w:szCs w:val="21"/>
                <w:highlight w:val="none"/>
                <w:lang w:val="en-US" w:eastAsia="zh-CN"/>
              </w:rPr>
              <w:t>30</w:t>
            </w:r>
            <w:r>
              <w:rPr>
                <w:rFonts w:hint="eastAsia" w:ascii="宋体" w:hAnsi="宋体" w:cs="宋体"/>
                <w:bCs/>
                <w:szCs w:val="21"/>
                <w:highlight w:val="none"/>
                <w:lang w:val="zh-CN"/>
              </w:rPr>
              <w:t>分（</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递交询价响应文件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及开启地点、询价地点</w:t>
            </w:r>
          </w:p>
        </w:tc>
        <w:tc>
          <w:tcPr>
            <w:tcW w:w="6813" w:type="dxa"/>
            <w:noWrap w:val="0"/>
            <w:vAlign w:val="center"/>
          </w:tcPr>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lang w:val="zh-CN"/>
              </w:rPr>
              <w:t>1、</w:t>
            </w:r>
            <w:r>
              <w:rPr>
                <w:rFonts w:hint="eastAsia" w:ascii="宋体" w:hAnsi="宋体" w:cs="仿宋_GB2312"/>
                <w:szCs w:val="21"/>
              </w:rPr>
              <w:t>响应文件递交地点：</w:t>
            </w:r>
            <w:r>
              <w:rPr>
                <w:rFonts w:hint="eastAsia" w:ascii="宋体" w:hAnsi="宋体" w:cs="宋体"/>
                <w:bCs/>
                <w:szCs w:val="21"/>
                <w:lang w:val="zh-CN"/>
              </w:rPr>
              <w:t>许昌市公共资源交</w:t>
            </w:r>
            <w:r>
              <w:rPr>
                <w:rFonts w:hint="eastAsia" w:ascii="宋体" w:hAnsi="宋体" w:cs="宋体"/>
                <w:bCs/>
                <w:szCs w:val="21"/>
                <w:highlight w:val="none"/>
                <w:lang w:val="zh-CN"/>
              </w:rPr>
              <w:t>易中心</w:t>
            </w:r>
            <w:r>
              <w:rPr>
                <w:rFonts w:hint="eastAsia" w:ascii="宋体" w:hAnsi="宋体" w:cs="宋体"/>
                <w:bCs/>
                <w:szCs w:val="21"/>
                <w:highlight w:val="none"/>
                <w:lang w:eastAsia="zh-CN"/>
              </w:rPr>
              <w:t>三</w:t>
            </w:r>
            <w:r>
              <w:rPr>
                <w:rFonts w:hint="eastAsia" w:ascii="宋体" w:hAnsi="宋体" w:cs="宋体"/>
                <w:bCs/>
                <w:szCs w:val="21"/>
                <w:highlight w:val="none"/>
                <w:lang w:val="zh-CN"/>
              </w:rPr>
              <w:t>楼开标五室；</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highlight w:val="none"/>
              </w:rPr>
              <w:t>2、开启及询价地点：许昌市公共资源交易中心</w:t>
            </w:r>
            <w:r>
              <w:rPr>
                <w:rFonts w:hint="eastAsia" w:ascii="宋体" w:hAnsi="宋体" w:cs="仿宋_GB2312"/>
                <w:szCs w:val="21"/>
                <w:highlight w:val="none"/>
                <w:lang w:eastAsia="zh-CN"/>
              </w:rPr>
              <w:t>四</w:t>
            </w:r>
            <w:r>
              <w:rPr>
                <w:rFonts w:hint="eastAsia" w:ascii="宋体" w:hAnsi="宋体" w:cs="仿宋_GB2312"/>
                <w:szCs w:val="21"/>
                <w:highlight w:val="none"/>
              </w:rPr>
              <w:t>楼谈判</w:t>
            </w:r>
            <w:r>
              <w:rPr>
                <w:rFonts w:hint="eastAsia" w:ascii="宋体" w:hAnsi="宋体" w:cs="仿宋_GB2312"/>
                <w:szCs w:val="21"/>
                <w:highlight w:val="none"/>
                <w:lang w:eastAsia="zh-CN"/>
              </w:rPr>
              <w:t>二</w:t>
            </w:r>
            <w:r>
              <w:rPr>
                <w:rFonts w:hint="eastAsia" w:ascii="宋体" w:hAnsi="宋体" w:cs="仿宋_GB2312"/>
                <w:szCs w:val="21"/>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eastAsia="zh-CN"/>
              </w:rPr>
            </w:pPr>
            <w:r>
              <w:rPr>
                <w:rFonts w:hint="eastAsia" w:ascii="宋体" w:hAnsi="宋体" w:cs="黑体"/>
                <w:szCs w:val="21"/>
              </w:rPr>
              <w:t>1</w:t>
            </w:r>
            <w:r>
              <w:rPr>
                <w:rFonts w:hint="eastAsia" w:ascii="宋体" w:hAnsi="宋体" w:cs="黑体"/>
                <w:szCs w:val="21"/>
                <w:lang w:val="en-US" w:eastAsia="zh-CN"/>
              </w:rPr>
              <w:t>4</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ascii="宋体" w:hAnsi="宋体" w:cs="宋体"/>
                <w:szCs w:val="21"/>
              </w:rPr>
              <w:t>中国·许昌许昌市政府网</w:t>
            </w:r>
            <w:r>
              <w:rPr>
                <w:rFonts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eastAsia="zh-CN"/>
              </w:rPr>
            </w:pPr>
            <w:r>
              <w:rPr>
                <w:rFonts w:hint="eastAsia" w:ascii="宋体" w:hAnsi="宋体" w:cs="黑体"/>
                <w:szCs w:val="21"/>
              </w:rPr>
              <w:t>1</w:t>
            </w:r>
            <w:r>
              <w:rPr>
                <w:rFonts w:hint="eastAsia" w:ascii="宋体" w:hAnsi="宋体" w:cs="黑体"/>
                <w:szCs w:val="21"/>
                <w:lang w:val="en-US" w:eastAsia="zh-CN"/>
              </w:rPr>
              <w:t>5</w:t>
            </w:r>
          </w:p>
        </w:tc>
        <w:tc>
          <w:tcPr>
            <w:tcW w:w="2268"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6</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质疑截止时间</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eastAsia="zh-CN"/>
              </w:rPr>
            </w:pPr>
            <w:r>
              <w:rPr>
                <w:rFonts w:hint="eastAsia" w:ascii="宋体" w:hAnsi="宋体" w:cs="黑体"/>
                <w:szCs w:val="21"/>
              </w:rPr>
              <w:t>1</w:t>
            </w:r>
            <w:r>
              <w:rPr>
                <w:rFonts w:hint="eastAsia" w:ascii="宋体" w:hAnsi="宋体" w:cs="黑体"/>
                <w:szCs w:val="21"/>
                <w:lang w:val="en-US" w:eastAsia="zh-CN"/>
              </w:rPr>
              <w:t>7</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noWrap w:val="0"/>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1</w:t>
            </w:r>
            <w:r>
              <w:rPr>
                <w:rFonts w:hint="eastAsia" w:ascii="宋体" w:hAnsi="宋体" w:cs="黑体"/>
                <w:szCs w:val="21"/>
                <w:lang w:val="en-US" w:eastAsia="zh-CN"/>
              </w:rPr>
              <w:t>8</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noWrap w:val="0"/>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default" w:ascii="宋体" w:hAnsi="宋体" w:eastAsia="宋体" w:cs="TimesNewRomanPSMT"/>
                <w:szCs w:val="21"/>
                <w:lang w:val="en-US" w:eastAsia="zh-CN"/>
              </w:rPr>
            </w:pPr>
            <w:r>
              <w:rPr>
                <w:rFonts w:hint="eastAsia" w:ascii="宋体" w:hAnsi="宋体" w:cs="TimesNewRomanPSMT"/>
                <w:szCs w:val="21"/>
                <w:lang w:val="en-US" w:eastAsia="zh-CN"/>
              </w:rPr>
              <w:t>19</w:t>
            </w:r>
          </w:p>
        </w:tc>
        <w:tc>
          <w:tcPr>
            <w:tcW w:w="2268"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noWrap w:val="0"/>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TimesNewRomanPSMT"/>
                <w:szCs w:val="21"/>
                <w:lang w:val="en-US" w:eastAsia="zh-CN"/>
              </w:rPr>
            </w:pPr>
            <w:r>
              <w:rPr>
                <w:rFonts w:hint="eastAsia" w:ascii="宋体" w:hAnsi="宋体" w:cs="TimesNewRomanPSMT"/>
                <w:szCs w:val="21"/>
              </w:rPr>
              <w:t>2</w:t>
            </w:r>
            <w:r>
              <w:rPr>
                <w:rFonts w:hint="eastAsia" w:ascii="宋体" w:hAnsi="宋体" w:cs="TimesNewRomanPSMT"/>
                <w:szCs w:val="21"/>
                <w:lang w:val="en-US" w:eastAsia="zh-CN"/>
              </w:rPr>
              <w:t>0</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noWrap w:val="0"/>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1</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w:t>
            </w:r>
            <w:r>
              <w:rPr>
                <w:rFonts w:hint="eastAsia" w:ascii="宋体" w:hAnsi="宋体" w:cs="仿宋_GB2312"/>
                <w:color w:val="000000" w:themeColor="text1"/>
                <w:szCs w:val="21"/>
                <w:lang w:val="zh-CN"/>
                <w14:textFill>
                  <w14:solidFill>
                    <w14:schemeClr w14:val="tx1"/>
                  </w14:solidFill>
                </w14:textFill>
              </w:rPr>
              <w:t>，采购单位委派纪检监察人员对询价过程实施监督的须进入许昌市公共资源交易中心五楼电子监督室，并向采购机构出具授权函，且不得超过2人。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2</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noWrap w:val="0"/>
            <w:vAlign w:val="center"/>
          </w:tcPr>
          <w:p>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szCs w:val="21"/>
              </w:rPr>
              <w:t>要求提交。履约保证金的数额为合同金额</w:t>
            </w:r>
            <w:r>
              <w:rPr>
                <w:rFonts w:hint="eastAsia" w:ascii="新宋体" w:hAnsi="新宋体" w:eastAsia="新宋体"/>
                <w:szCs w:val="21"/>
              </w:rPr>
              <w:t>的10%</w:t>
            </w:r>
            <w:r>
              <w:rPr>
                <w:rFonts w:hint="eastAsia" w:ascii="宋体" w:hAnsi="宋体" w:cs="宋体"/>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3</w:t>
            </w:r>
          </w:p>
        </w:tc>
        <w:tc>
          <w:tcPr>
            <w:tcW w:w="2268" w:type="dxa"/>
            <w:noWrap w:val="0"/>
            <w:vAlign w:val="center"/>
          </w:tcPr>
          <w:p>
            <w:pPr>
              <w:autoSpaceDE w:val="0"/>
              <w:autoSpaceDN w:val="0"/>
              <w:adjustRightInd w:val="0"/>
              <w:spacing w:line="360" w:lineRule="auto"/>
              <w:jc w:val="center"/>
              <w:rPr>
                <w:rFonts w:ascii="宋体" w:hAnsi="宋体" w:cs="宋体"/>
                <w:bCs/>
                <w:szCs w:val="21"/>
                <w:highlight w:val="yellow"/>
                <w:lang w:val="zh-CN"/>
              </w:rPr>
            </w:pPr>
            <w:r>
              <w:rPr>
                <w:rFonts w:hint="eastAsia" w:ascii="宋体" w:hAnsi="宋体" w:cs="宋体"/>
                <w:bCs/>
                <w:szCs w:val="21"/>
                <w:highlight w:val="none"/>
                <w:lang w:val="zh-CN"/>
              </w:rPr>
              <w:t>代理服务费</w:t>
            </w:r>
          </w:p>
        </w:tc>
        <w:tc>
          <w:tcPr>
            <w:tcW w:w="6813" w:type="dxa"/>
            <w:noWrap w:val="0"/>
            <w:vAlign w:val="center"/>
          </w:tcPr>
          <w:p>
            <w:pPr>
              <w:autoSpaceDE w:val="0"/>
              <w:autoSpaceDN w:val="0"/>
              <w:adjustRightInd w:val="0"/>
              <w:spacing w:line="360" w:lineRule="auto"/>
              <w:rPr>
                <w:rFonts w:hint="eastAsia" w:ascii="宋体" w:hAnsi="宋体" w:cs="宋体"/>
                <w:bCs/>
                <w:szCs w:val="21"/>
                <w:lang w:val="zh-CN"/>
              </w:rPr>
            </w:pPr>
            <w:r>
              <w:rPr>
                <w:rFonts w:hint="eastAsia" w:ascii="宋体" w:hAnsi="宋体" w:cs="宋体"/>
                <w:bCs/>
                <w:szCs w:val="21"/>
                <w:lang w:val="zh-CN"/>
              </w:rPr>
              <w:t>本项目招标代理费参考原国家发改委价格[2002]1980号和国家发改委价格[2015]299号文相关要求招标代理服务收费标准及现行有关规定，招标代理费将向中标、成交供应商收取代理服务费。在公示期内以现金或转帐的形式交纳；此费用由投标人综合考虑到投标报价中，不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4</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noWrap w:val="0"/>
            <w:vAlign w:val="center"/>
          </w:tcPr>
          <w:p>
            <w:pPr>
              <w:autoSpaceDE w:val="0"/>
              <w:autoSpaceDN w:val="0"/>
              <w:adjustRightInd w:val="0"/>
              <w:spacing w:line="360" w:lineRule="auto"/>
              <w:rPr>
                <w:rFonts w:hint="eastAsia" w:ascii="宋体" w:hAnsi="宋体" w:cs="宋体"/>
                <w:bCs/>
                <w:szCs w:val="21"/>
                <w:lang w:val="zh-CN"/>
              </w:rPr>
            </w:pPr>
            <w:r>
              <w:rPr>
                <w:rFonts w:hint="eastAsia" w:ascii="宋体" w:hAnsi="宋体" w:cs="宋体"/>
                <w:bCs/>
                <w:szCs w:val="21"/>
                <w:lang w:val="zh-CN"/>
              </w:rPr>
              <w:t>成交供应商在接到成交通知时，须向代理机构发送响应报价及分项报价一览表（包含主要成交标的的名称、规格型号、数量、单价、服务要求等）电子文档，并同时电话告知代理机构。联系电话：0374-</w:t>
            </w:r>
            <w:r>
              <w:rPr>
                <w:rFonts w:hint="eastAsia" w:ascii="宋体" w:hAnsi="宋体" w:cs="宋体"/>
                <w:bCs/>
                <w:szCs w:val="21"/>
                <w:lang w:val="en-US" w:eastAsia="zh-CN"/>
              </w:rPr>
              <w:t>3117600</w:t>
            </w:r>
            <w:r>
              <w:rPr>
                <w:rFonts w:hint="eastAsia" w:ascii="宋体" w:hAnsi="宋体" w:cs="宋体"/>
                <w:bCs/>
                <w:szCs w:val="21"/>
                <w:lang w:val="zh-CN"/>
              </w:rPr>
              <w:t>；邮箱：</w:t>
            </w:r>
            <w:r>
              <w:rPr>
                <w:rFonts w:hint="eastAsia" w:ascii="宋体" w:hAnsi="宋体" w:cs="宋体"/>
                <w:bCs/>
                <w:szCs w:val="21"/>
                <w:lang w:val="en-US" w:eastAsia="zh-CN"/>
              </w:rPr>
              <w:t>819259082</w:t>
            </w:r>
            <w:r>
              <w:rPr>
                <w:rFonts w:hint="eastAsia" w:ascii="宋体" w:hAnsi="宋体" w:cs="宋体"/>
                <w:bCs/>
                <w:szCs w:val="21"/>
                <w:lang w:val="zh-CN"/>
              </w:rPr>
              <w:t>@</w:t>
            </w:r>
            <w:r>
              <w:rPr>
                <w:rFonts w:hint="eastAsia" w:ascii="宋体" w:hAnsi="宋体" w:cs="宋体"/>
                <w:bCs/>
                <w:szCs w:val="21"/>
                <w:lang w:val="en-US" w:eastAsia="zh-CN"/>
              </w:rPr>
              <w:t>qq</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5</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noWrap w:val="0"/>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eastAsia="宋体" w:cs="黑体"/>
                <w:szCs w:val="21"/>
                <w:lang w:val="en-US" w:eastAsia="zh-CN"/>
              </w:rPr>
            </w:pPr>
            <w:r>
              <w:rPr>
                <w:rFonts w:hint="eastAsia" w:ascii="宋体" w:hAnsi="宋体" w:cs="黑体"/>
                <w:szCs w:val="21"/>
              </w:rPr>
              <w:t>2</w:t>
            </w:r>
            <w:r>
              <w:rPr>
                <w:rFonts w:hint="eastAsia" w:ascii="宋体" w:hAnsi="宋体" w:cs="黑体"/>
                <w:szCs w:val="21"/>
                <w:lang w:val="en-US" w:eastAsia="zh-CN"/>
              </w:rPr>
              <w:t>6</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noWrap w:val="0"/>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hint="eastAsia" w:ascii="宋体" w:hAnsi="宋体" w:cs="宋体"/>
          <w:b/>
          <w:kern w:val="0"/>
          <w:szCs w:val="21"/>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28"/>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28"/>
        <w:autoSpaceDE w:val="0"/>
        <w:autoSpaceDN w:val="0"/>
        <w:spacing w:line="360" w:lineRule="auto"/>
        <w:ind w:left="780"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28"/>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28"/>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28"/>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r>
        <w:rPr>
          <w:rFonts w:hint="eastAsia" w:ascii="宋体" w:hAnsi="宋体" w:cs="仿宋_GB2312"/>
          <w:szCs w:val="21"/>
          <w:shd w:val="clear" w:color="auto" w:fill="FFFFFF"/>
        </w:rPr>
        <w:t>“国家企业信用公示系统”网站（</w:t>
      </w:r>
      <w:r>
        <w:rPr>
          <w:rFonts w:ascii="宋体" w:hAnsi="宋体" w:cs="仿宋_GB2312"/>
          <w:szCs w:val="21"/>
          <w:shd w:val="clear" w:color="auto" w:fill="FFFFFF"/>
        </w:rPr>
        <w:t>www.gsxt.gov.cn</w:t>
      </w:r>
      <w:r>
        <w:rPr>
          <w:rFonts w:hint="eastAsia" w:ascii="宋体" w:hAnsi="宋体" w:cs="仿宋_GB2312"/>
          <w:szCs w:val="21"/>
          <w:shd w:val="clear" w:color="auto" w:fill="FFFFFF"/>
        </w:rPr>
        <w:t>）</w:t>
      </w:r>
      <w:r>
        <w:rPr>
          <w:rFonts w:hint="eastAsia" w:ascii="宋体" w:hAnsi="宋体" w:cs="宋体"/>
          <w:kern w:val="0"/>
          <w:szCs w:val="21"/>
        </w:rPr>
        <w:t>；“中国社会组织公共服务平台”网站（</w:t>
      </w:r>
      <w:r>
        <w:rPr>
          <w:rFonts w:ascii="宋体" w:hAnsi="宋体" w:cs="宋体"/>
          <w:kern w:val="0"/>
          <w:szCs w:val="21"/>
        </w:rPr>
        <w:t>www.chinanpo.gov.cn</w:t>
      </w:r>
      <w:r>
        <w:rPr>
          <w:rFonts w:hint="eastAsia" w:ascii="宋体" w:hAnsi="宋体" w:cs="宋体"/>
          <w:kern w:val="0"/>
          <w:szCs w:val="21"/>
        </w:rPr>
        <w:t>）。</w:t>
      </w:r>
    </w:p>
    <w:p>
      <w:pPr>
        <w:pStyle w:val="28"/>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28"/>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28"/>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28"/>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28"/>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28"/>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本项目招标代理费参考原国家发改委价格[2002]1980号和国家发改委价格[2015]299号文相关要求招标代理服务收费标准及现行有关规定，招标代理费将向中标、成交供应商收取代理服务费。在公示期内以现金或转帐的形式交纳；此费用由投标人综合考虑到投标报价中，不再单独列项。 </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28"/>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响应文件如果未按规定密封，采购人、采购机构将拒绝接收。</w:t>
      </w:r>
    </w:p>
    <w:p>
      <w:pPr>
        <w:autoSpaceDE w:val="0"/>
        <w:autoSpaceDN w:val="0"/>
        <w:spacing w:line="360" w:lineRule="auto"/>
        <w:ind w:left="42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28"/>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w:t>
      </w:r>
      <w:r>
        <w:rPr>
          <w:rFonts w:hint="eastAsia" w:ascii="宋体" w:hAnsi="宋体" w:cs="宋体"/>
          <w:kern w:val="0"/>
          <w:szCs w:val="21"/>
          <w:lang w:eastAsia="zh-CN"/>
        </w:rPr>
        <w:t>、</w:t>
      </w:r>
      <w:r>
        <w:rPr>
          <w:rFonts w:hint="eastAsia" w:ascii="宋体" w:hAnsi="宋体" w:cs="宋体"/>
          <w:kern w:val="0"/>
          <w:szCs w:val="21"/>
        </w:rPr>
        <w:t>采购机构</w:t>
      </w:r>
      <w:r>
        <w:rPr>
          <w:rFonts w:hint="eastAsia" w:cs="微软雅黑"/>
        </w:rPr>
        <w:t>将予以拒绝。</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询价响应文件截止时间之后送达/上传的响应文件，采购人、采购机构将拒绝接收。</w:t>
      </w:r>
    </w:p>
    <w:p>
      <w:pPr>
        <w:autoSpaceDE w:val="0"/>
        <w:autoSpaceDN w:val="0"/>
        <w:spacing w:line="360" w:lineRule="auto"/>
        <w:ind w:left="964"/>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28"/>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供应商不得在投标有效期内撤销响应文件，否</w:t>
      </w:r>
      <w:r>
        <w:rPr>
          <w:rFonts w:hint="eastAsia" w:ascii="宋体" w:hAnsi="宋体" w:cs="宋体"/>
          <w:kern w:val="0"/>
          <w:szCs w:val="21"/>
          <w:lang w:eastAsia="zh-CN"/>
        </w:rPr>
        <w:t>则将取消其投标资格</w:t>
      </w:r>
    </w:p>
    <w:p>
      <w:pPr>
        <w:autoSpaceDE w:val="0"/>
        <w:autoSpaceDN w:val="0"/>
        <w:spacing w:line="360" w:lineRule="auto"/>
        <w:ind w:left="420"/>
        <w:contextualSpacing/>
        <w:rPr>
          <w:rFonts w:ascii="宋体" w:hAnsi="宋体" w:cs="宋体"/>
          <w:kern w:val="0"/>
          <w:szCs w:val="21"/>
        </w:rPr>
      </w:pP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28"/>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采购机构解密：采购机构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28"/>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28"/>
        <w:numPr>
          <w:ilvl w:val="1"/>
          <w:numId w:val="9"/>
        </w:numPr>
        <w:autoSpaceDE w:val="0"/>
        <w:autoSpaceDN w:val="0"/>
        <w:spacing w:line="360" w:lineRule="auto"/>
        <w:ind w:firstLineChars="0"/>
        <w:contextualSpacing/>
        <w:rPr>
          <w:rFonts w:ascii="ˎ̥" w:hAnsi="ˎ̥"/>
          <w:vanish/>
        </w:rPr>
      </w:pPr>
    </w:p>
    <w:p>
      <w:pPr>
        <w:pStyle w:val="28"/>
        <w:numPr>
          <w:ilvl w:val="1"/>
          <w:numId w:val="9"/>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28"/>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28"/>
        <w:numPr>
          <w:ilvl w:val="0"/>
          <w:numId w:val="4"/>
        </w:numPr>
        <w:autoSpaceDE w:val="0"/>
        <w:autoSpaceDN w:val="0"/>
        <w:spacing w:line="360" w:lineRule="auto"/>
        <w:ind w:firstLineChars="0"/>
        <w:contextualSpacing/>
        <w:rPr>
          <w:rFonts w:ascii="宋体" w:hAnsi="宋体" w:cs="宋体"/>
          <w:vanish/>
          <w:kern w:val="0"/>
          <w:szCs w:val="21"/>
        </w:rPr>
      </w:pPr>
    </w:p>
    <w:p>
      <w:pPr>
        <w:pStyle w:val="28"/>
        <w:numPr>
          <w:ilvl w:val="0"/>
          <w:numId w:val="4"/>
        </w:numPr>
        <w:autoSpaceDE w:val="0"/>
        <w:autoSpaceDN w:val="0"/>
        <w:spacing w:line="360" w:lineRule="auto"/>
        <w:ind w:firstLineChars="0"/>
        <w:contextualSpacing/>
        <w:rPr>
          <w:rFonts w:ascii="宋体" w:hAnsi="宋体" w:cs="宋体"/>
          <w:vanish/>
          <w:kern w:val="0"/>
          <w:szCs w:val="21"/>
        </w:rPr>
      </w:pPr>
    </w:p>
    <w:p>
      <w:pPr>
        <w:pStyle w:val="28"/>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28"/>
        <w:numPr>
          <w:ilvl w:val="0"/>
          <w:numId w:val="12"/>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28"/>
        <w:numPr>
          <w:ilvl w:val="1"/>
          <w:numId w:val="9"/>
        </w:numPr>
        <w:autoSpaceDE w:val="0"/>
        <w:autoSpaceDN w:val="0"/>
        <w:spacing w:line="360" w:lineRule="auto"/>
        <w:ind w:firstLineChars="0"/>
        <w:contextualSpacing/>
        <w:rPr>
          <w:rFonts w:ascii="宋体" w:hAnsi="宋体" w:cs="宋体"/>
          <w:vanish/>
          <w:kern w:val="0"/>
          <w:szCs w:val="21"/>
        </w:rPr>
      </w:pP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响应无效情形</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numPr>
          <w:ilvl w:val="0"/>
          <w:numId w:val="13"/>
        </w:numPr>
        <w:autoSpaceDE w:val="0"/>
        <w:autoSpaceDN w:val="0"/>
        <w:spacing w:line="360" w:lineRule="auto"/>
        <w:ind w:firstLine="0" w:firstLineChars="0"/>
        <w:contextualSpacing/>
        <w:rPr>
          <w:rFonts w:ascii="宋体" w:hAnsi="宋体" w:cs="宋体"/>
          <w:vanish/>
          <w:kern w:val="0"/>
          <w:szCs w:val="21"/>
        </w:rPr>
      </w:pP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1</w:t>
      </w:r>
      <w:r>
        <w:rPr>
          <w:rFonts w:hint="eastAsia" w:ascii="宋体" w:hAnsi="宋体" w:cs="宋体"/>
          <w:kern w:val="0"/>
          <w:szCs w:val="21"/>
        </w:rPr>
        <w:t xml:space="preserve">    响应文件未按招标文件要求签署、盖章的；</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2</w:t>
      </w:r>
      <w:r>
        <w:rPr>
          <w:rFonts w:hint="eastAsia" w:ascii="宋体" w:hAnsi="宋体" w:cs="宋体"/>
          <w:kern w:val="0"/>
          <w:szCs w:val="21"/>
        </w:rPr>
        <w:t xml:space="preserve">     不具备询价文件中规定的资格要求的；</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3</w:t>
      </w:r>
      <w:r>
        <w:rPr>
          <w:rFonts w:hint="eastAsia" w:ascii="宋体" w:hAnsi="宋体" w:cs="宋体"/>
          <w:kern w:val="0"/>
          <w:szCs w:val="21"/>
        </w:rPr>
        <w:t xml:space="preserve">     报价超过询价文件中规定的预算金额的；</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4</w:t>
      </w:r>
      <w:r>
        <w:rPr>
          <w:rFonts w:hint="eastAsia" w:ascii="宋体" w:hAnsi="宋体" w:cs="宋体"/>
          <w:kern w:val="0"/>
          <w:szCs w:val="21"/>
        </w:rPr>
        <w:t xml:space="preserve">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28"/>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28"/>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28"/>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28"/>
        <w:numPr>
          <w:ilvl w:val="0"/>
          <w:numId w:val="14"/>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28"/>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15"/>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28"/>
        <w:numPr>
          <w:ilvl w:val="0"/>
          <w:numId w:val="9"/>
        </w:numPr>
        <w:autoSpaceDE w:val="0"/>
        <w:autoSpaceDN w:val="0"/>
        <w:spacing w:line="360" w:lineRule="auto"/>
        <w:ind w:firstLineChars="0"/>
        <w:contextualSpacing/>
        <w:rPr>
          <w:rFonts w:ascii="宋体" w:hAnsi="宋体" w:cs="宋体"/>
          <w:vanish/>
          <w:kern w:val="0"/>
          <w:szCs w:val="21"/>
        </w:rPr>
      </w:pPr>
    </w:p>
    <w:p>
      <w:pPr>
        <w:pStyle w:val="28"/>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28"/>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28"/>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28"/>
        <w:autoSpaceDE w:val="0"/>
        <w:autoSpaceDN w:val="0"/>
        <w:spacing w:line="360" w:lineRule="auto"/>
        <w:ind w:left="964" w:firstLine="0" w:firstLineChars="0"/>
        <w:contextualSpacing/>
        <w:rPr>
          <w:rFonts w:ascii="ˎ̥" w:hAnsi="ˎ̥"/>
        </w:rPr>
      </w:pPr>
    </w:p>
    <w:p>
      <w:pPr>
        <w:pStyle w:val="28"/>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28"/>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28"/>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28"/>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成交供应商在接到成交通知时，须向采购机构发送响应报价及分项报价一览表（包含主要成交标的的名称、规格型号、数量、单价、服务要求等）电子文档，并同时电话告知采购机构联系人。</w:t>
      </w:r>
    </w:p>
    <w:p>
      <w:pPr>
        <w:pStyle w:val="28"/>
        <w:autoSpaceDE w:val="0"/>
        <w:autoSpaceDN w:val="0"/>
        <w:spacing w:line="360" w:lineRule="auto"/>
        <w:ind w:left="964" w:firstLine="0" w:firstLineChars="0"/>
        <w:contextualSpacing/>
        <w:rPr>
          <w:rFonts w:ascii="宋体" w:hAnsi="宋体" w:cs="宋体"/>
          <w:kern w:val="0"/>
          <w:szCs w:val="21"/>
        </w:rPr>
      </w:pPr>
    </w:p>
    <w:p>
      <w:pPr>
        <w:pStyle w:val="28"/>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28"/>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28"/>
        <w:numPr>
          <w:ilvl w:val="0"/>
          <w:numId w:val="17"/>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通过《全国公共资源交易平台（河南省·许昌市）》一次性提出，提出后电话联系本项目采购公告中采</w:t>
      </w:r>
      <w:r>
        <w:rPr>
          <w:rFonts w:hint="eastAsia" w:ascii="宋体" w:hAnsi="宋体" w:cs="宋体"/>
          <w:kern w:val="0"/>
          <w:szCs w:val="21"/>
          <w:lang w:eastAsia="zh-CN"/>
        </w:rPr>
        <w:t>购</w:t>
      </w:r>
      <w:r>
        <w:rPr>
          <w:rFonts w:hint="eastAsia" w:ascii="宋体" w:hAnsi="宋体" w:cs="宋体"/>
          <w:kern w:val="0"/>
          <w:szCs w:val="21"/>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28"/>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28"/>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28"/>
        <w:numPr>
          <w:ilvl w:val="0"/>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28"/>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pStyle w:val="14"/>
        <w:spacing w:line="360" w:lineRule="auto"/>
        <w:ind w:left="281"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4"/>
        <w:spacing w:line="360" w:lineRule="auto"/>
        <w:contextualSpacing/>
        <w:rPr>
          <w:rFonts w:ascii="宋体" w:hAnsi="宋体" w:cs="仿宋_GB2312"/>
          <w:lang w:val="zh-CN"/>
        </w:rPr>
      </w:pPr>
    </w:p>
    <w:p>
      <w:pPr>
        <w:pStyle w:val="14"/>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noWrap w:val="0"/>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投标函</w:t>
            </w:r>
          </w:p>
        </w:tc>
        <w:tc>
          <w:tcPr>
            <w:tcW w:w="5954" w:type="dxa"/>
            <w:noWrap w:val="0"/>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noWrap w:val="0"/>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noWrap w:val="0"/>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noWrap w:val="0"/>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noWrap w:val="0"/>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①2018年度经审计的财务报告，包括资产负债表、利润表、现金流量表、所有者权益变动表及其附注；或投标前</w:t>
            </w:r>
            <w:r>
              <w:rPr>
                <w:rFonts w:hint="eastAsia" w:ascii="宋体" w:hAnsi="宋体"/>
                <w:bCs/>
                <w:color w:val="000000" w:themeColor="text1"/>
                <w:szCs w:val="21"/>
                <w:highlight w:val="none"/>
                <w:lang w:eastAsia="zh-CN"/>
                <w14:textFill>
                  <w14:solidFill>
                    <w14:schemeClr w14:val="tx1"/>
                  </w14:solidFill>
                </w14:textFill>
              </w:rPr>
              <w:t>近半年</w:t>
            </w:r>
            <w:r>
              <w:rPr>
                <w:rFonts w:hint="eastAsia" w:ascii="宋体" w:hAnsi="宋体"/>
                <w:bCs/>
                <w:color w:val="000000" w:themeColor="text1"/>
                <w:szCs w:val="21"/>
                <w:highlight w:val="none"/>
                <w14:textFill>
                  <w14:solidFill>
                    <w14:schemeClr w14:val="tx1"/>
                  </w14:solidFill>
                </w14:textFill>
              </w:rPr>
              <w:t>的财务报表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noWrap w:val="0"/>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noWrap w:val="0"/>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noWrap w:val="0"/>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noWrap w:val="0"/>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noWrap w:val="0"/>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noWrap w:val="0"/>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noWrap w:val="0"/>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noWrap w:val="0"/>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”政府采购严重违法失信行为记录名单、“国家企业信用公示系统”网站严重违法失信企业名单（黑名单）、</w:t>
            </w:r>
            <w:r>
              <w:rPr>
                <w:rFonts w:hint="eastAsia" w:ascii="宋体" w:hAnsi="宋体" w:cs="仿宋_GB2312"/>
                <w:szCs w:val="21"/>
              </w:rPr>
              <w:t>“中国社会组织公共服务平台”网站（</w:t>
            </w:r>
            <w:r>
              <w:rPr>
                <w:rFonts w:ascii="宋体" w:hAnsi="宋体" w:cs="仿宋_GB2312"/>
                <w:szCs w:val="21"/>
              </w:rPr>
              <w:t>www.chinanpo.gov.cn</w:t>
            </w:r>
            <w:r>
              <w:rPr>
                <w:rFonts w:hint="eastAsia" w:ascii="宋体" w:hAnsi="宋体" w:cs="仿宋_GB2312"/>
                <w:szCs w:val="21"/>
              </w:rPr>
              <w:t>）严重违法失信社会组织名单的供应商</w:t>
            </w:r>
            <w:r>
              <w:rPr>
                <w:rFonts w:hint="eastAsia" w:ascii="宋体" w:hAnsi="宋体" w:cs="仿宋_GB2312"/>
                <w:b/>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③“国家企业信用公示系统”网站（</w:t>
            </w:r>
            <w:r>
              <w:fldChar w:fldCharType="begin"/>
            </w:r>
            <w:r>
              <w:instrText xml:space="preserve"> HYPERLINK "http://www.gsxt.gov.cn" </w:instrText>
            </w:r>
            <w:r>
              <w:fldChar w:fldCharType="separate"/>
            </w:r>
            <w:r>
              <w:rPr>
                <w:rStyle w:val="27"/>
                <w:rFonts w:ascii="宋体" w:hAnsi="宋体"/>
                <w:color w:val="auto"/>
                <w:szCs w:val="21"/>
              </w:rPr>
              <w:t>www.gsxt.gov.cn</w:t>
            </w:r>
            <w:r>
              <w:rPr>
                <w:rFonts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④</w:t>
            </w:r>
            <w:r>
              <w:rPr>
                <w:rFonts w:hint="eastAsia" w:ascii="宋体" w:hAnsi="宋体" w:cs="仿宋_GB2312"/>
                <w:szCs w:val="21"/>
              </w:rPr>
              <w:t>“中国社会组织公共服务平台”网站（</w:t>
            </w:r>
            <w:r>
              <w:rPr>
                <w:rFonts w:ascii="宋体" w:hAnsi="宋体" w:cs="仿宋_GB2312"/>
                <w:szCs w:val="21"/>
              </w:rPr>
              <w:t>www.chinanpo.gov.cn</w:t>
            </w:r>
            <w:r>
              <w:rPr>
                <w:rFonts w:hint="eastAsia" w:ascii="宋体" w:hAnsi="宋体" w:cs="仿宋_GB2312"/>
                <w:szCs w:val="21"/>
              </w:rPr>
              <w:t>）（仅查询社会组织）</w:t>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noWrap w:val="0"/>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noWrap w:val="0"/>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noWrap w:val="0"/>
            <w:vAlign w:val="center"/>
          </w:tcPr>
          <w:p>
            <w:pPr>
              <w:spacing w:line="360" w:lineRule="auto"/>
              <w:rPr>
                <w:rFonts w:ascii="宋体" w:hAnsi="宋体"/>
                <w:b/>
                <w:bCs/>
                <w:szCs w:val="21"/>
              </w:rPr>
            </w:pPr>
            <w:r>
              <w:rPr>
                <w:rFonts w:hint="eastAsia" w:ascii="宋体" w:hAnsi="宋体"/>
                <w:b/>
                <w:bCs/>
                <w:szCs w:val="21"/>
              </w:rPr>
              <w:t>响应报价</w:t>
            </w:r>
          </w:p>
        </w:tc>
        <w:tc>
          <w:tcPr>
            <w:tcW w:w="5954" w:type="dxa"/>
            <w:noWrap w:val="0"/>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noWrap w:val="0"/>
            <w:vAlign w:val="center"/>
          </w:tcPr>
          <w:p>
            <w:pPr>
              <w:spacing w:line="360" w:lineRule="auto"/>
              <w:rPr>
                <w:rFonts w:ascii="宋体" w:hAnsi="宋体"/>
                <w:szCs w:val="21"/>
              </w:rPr>
            </w:pPr>
            <w:r>
              <w:rPr>
                <w:rFonts w:hint="eastAsia" w:ascii="宋体" w:hAnsi="宋体"/>
                <w:b/>
                <w:szCs w:val="21"/>
              </w:rPr>
              <w:t>投标保证金</w:t>
            </w:r>
          </w:p>
        </w:tc>
        <w:tc>
          <w:tcPr>
            <w:tcW w:w="5954" w:type="dxa"/>
            <w:noWrap w:val="0"/>
            <w:vAlign w:val="center"/>
          </w:tcPr>
          <w:p>
            <w:pPr>
              <w:spacing w:line="360" w:lineRule="auto"/>
              <w:rPr>
                <w:rFonts w:hint="eastAsia" w:ascii="宋体" w:hAnsi="宋体" w:eastAsia="宋体"/>
                <w:b/>
                <w:szCs w:val="21"/>
                <w:lang w:eastAsia="zh-CN"/>
              </w:rPr>
            </w:pPr>
            <w:r>
              <w:rPr>
                <w:rFonts w:hint="eastAsia" w:ascii="宋体" w:hAnsi="宋体"/>
                <w:szCs w:val="21"/>
                <w:lang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12</w:t>
            </w:r>
          </w:p>
        </w:tc>
        <w:tc>
          <w:tcPr>
            <w:tcW w:w="2410" w:type="dxa"/>
            <w:noWrap w:val="0"/>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noWrap w:val="0"/>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noWrap w:val="0"/>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noWrap w:val="0"/>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noWrap w:val="0"/>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4"/>
        <w:spacing w:line="360" w:lineRule="auto"/>
        <w:ind w:firstLine="482" w:firstLineChars="200"/>
        <w:contextualSpacing/>
        <w:rPr>
          <w:rFonts w:ascii="宋体" w:hAnsi="宋体" w:eastAsia="宋体" w:cs="仿宋_GB2312"/>
          <w:b/>
          <w:szCs w:val="24"/>
          <w:lang w:val="zh-CN"/>
        </w:rPr>
      </w:pPr>
    </w:p>
    <w:p>
      <w:pPr>
        <w:pStyle w:val="14"/>
        <w:spacing w:line="360" w:lineRule="auto"/>
        <w:ind w:firstLine="482" w:firstLineChars="200"/>
        <w:contextualSpacing/>
        <w:rPr>
          <w:rFonts w:ascii="宋体" w:hAnsi="宋体" w:eastAsia="宋体" w:cs="仿宋_GB2312"/>
          <w:b/>
          <w:szCs w:val="24"/>
          <w:lang w:val="zh-C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4"/>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4"/>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序号</w:t>
            </w:r>
          </w:p>
        </w:tc>
        <w:tc>
          <w:tcPr>
            <w:tcW w:w="2823" w:type="dxa"/>
            <w:noWrap w:val="0"/>
            <w:vAlign w:val="center"/>
          </w:tcPr>
          <w:p>
            <w:pPr>
              <w:jc w:val="center"/>
              <w:rPr>
                <w:rFonts w:ascii="宋体" w:hAnsi="宋体"/>
                <w:b/>
                <w:szCs w:val="21"/>
                <w:lang w:val="en-GB"/>
              </w:rPr>
            </w:pPr>
            <w:r>
              <w:rPr>
                <w:rFonts w:hint="eastAsia" w:ascii="宋体" w:hAnsi="宋体"/>
                <w:b/>
                <w:szCs w:val="21"/>
                <w:lang w:val="en-GB"/>
              </w:rPr>
              <w:t>情形</w:t>
            </w:r>
          </w:p>
        </w:tc>
        <w:tc>
          <w:tcPr>
            <w:tcW w:w="2552" w:type="dxa"/>
            <w:noWrap w:val="0"/>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noWrap w:val="0"/>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1</w:t>
            </w:r>
          </w:p>
        </w:tc>
        <w:tc>
          <w:tcPr>
            <w:tcW w:w="2823" w:type="dxa"/>
            <w:noWrap w:val="0"/>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noWrap w:val="0"/>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noWrap w:val="0"/>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2</w:t>
            </w:r>
          </w:p>
        </w:tc>
        <w:tc>
          <w:tcPr>
            <w:tcW w:w="2823" w:type="dxa"/>
            <w:noWrap w:val="0"/>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noWrap w:val="0"/>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noWrap w:val="0"/>
            <w:vAlign w:val="top"/>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3</w:t>
            </w:r>
          </w:p>
        </w:tc>
        <w:tc>
          <w:tcPr>
            <w:tcW w:w="2823" w:type="dxa"/>
            <w:noWrap w:val="0"/>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noWrap w:val="0"/>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noWrap w:val="0"/>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4</w:t>
            </w:r>
          </w:p>
        </w:tc>
        <w:tc>
          <w:tcPr>
            <w:tcW w:w="2823" w:type="dxa"/>
            <w:noWrap w:val="0"/>
            <w:vAlign w:val="center"/>
          </w:tcPr>
          <w:p>
            <w:pPr>
              <w:jc w:val="center"/>
              <w:rPr>
                <w:rFonts w:ascii="宋体" w:hAnsi="宋体"/>
                <w:szCs w:val="21"/>
                <w:lang w:val="en-GB"/>
              </w:rPr>
            </w:pPr>
            <w:r>
              <w:rPr>
                <w:rFonts w:hint="eastAsia" w:ascii="宋体" w:hAnsi="宋体"/>
                <w:szCs w:val="21"/>
                <w:lang w:val="en-GB"/>
              </w:rPr>
              <w:t>监狱企业</w:t>
            </w:r>
          </w:p>
        </w:tc>
        <w:tc>
          <w:tcPr>
            <w:tcW w:w="2552" w:type="dxa"/>
            <w:noWrap w:val="0"/>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5</w:t>
            </w:r>
          </w:p>
        </w:tc>
        <w:tc>
          <w:tcPr>
            <w:tcW w:w="2823" w:type="dxa"/>
            <w:noWrap w:val="0"/>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noWrap w:val="0"/>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szCs w:val="21"/>
                <w:lang w:val="en-GB"/>
              </w:rPr>
            </w:pPr>
            <w:r>
              <w:rPr>
                <w:rFonts w:hint="eastAsia"/>
                <w:szCs w:val="21"/>
                <w:lang w:val="en-GB"/>
              </w:rPr>
              <w:t>评审价格＝响应报价</w:t>
            </w:r>
            <w:bookmarkStart w:id="0" w:name="_GoBack"/>
            <w:bookmarkEnd w:id="0"/>
            <w:r>
              <w:rPr>
                <w:rFonts w:hint="eastAsia"/>
                <w:szCs w:val="21"/>
                <w:lang w:val="en-GB"/>
              </w:rPr>
              <w:t>—</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noWrap w:val="0"/>
            <w:vAlign w:val="center"/>
          </w:tcPr>
          <w:p>
            <w:pPr>
              <w:widowControl/>
              <w:adjustRightInd w:val="0"/>
              <w:spacing w:line="360" w:lineRule="auto"/>
              <w:ind w:left="-2" w:leftChars="-1"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ascii="宋体" w:hAnsi="宋体" w:cs="仿宋_GB2312"/>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4"/>
        <w:spacing w:line="360" w:lineRule="auto"/>
        <w:ind w:firstLine="422" w:firstLineChars="200"/>
        <w:contextualSpacing/>
        <w:rPr>
          <w:rFonts w:hint="eastAsia" w:ascii="宋体" w:hAnsi="宋体" w:eastAsia="宋体"/>
          <w:b/>
          <w:sz w:val="21"/>
          <w:szCs w:val="21"/>
          <w:highlight w:val="none"/>
        </w:rPr>
      </w:pPr>
    </w:p>
    <w:p>
      <w:pPr>
        <w:pStyle w:val="14"/>
        <w:spacing w:line="360" w:lineRule="auto"/>
        <w:ind w:firstLine="422" w:firstLineChars="200"/>
        <w:contextualSpacing/>
        <w:rPr>
          <w:rFonts w:ascii="宋体" w:hAnsi="宋体" w:eastAsia="宋体" w:cs="仿宋_GB2312"/>
          <w:b/>
          <w:sz w:val="21"/>
          <w:szCs w:val="21"/>
          <w:highlight w:val="none"/>
          <w:lang w:val="zh-CN"/>
        </w:rPr>
      </w:pPr>
      <w:r>
        <w:rPr>
          <w:rFonts w:hint="eastAsia" w:ascii="宋体" w:hAnsi="宋体" w:eastAsia="宋体"/>
          <w:b/>
          <w:sz w:val="21"/>
          <w:szCs w:val="21"/>
          <w:highlight w:val="none"/>
        </w:rPr>
        <w:t>2、</w:t>
      </w:r>
      <w:r>
        <w:rPr>
          <w:rFonts w:hint="eastAsia" w:ascii="宋体" w:hAnsi="宋体" w:eastAsia="宋体" w:cs="仿宋_GB2312"/>
          <w:b/>
          <w:sz w:val="21"/>
          <w:szCs w:val="21"/>
          <w:highlight w:val="none"/>
          <w:lang w:val="zh-CN"/>
        </w:rPr>
        <w:t>关于强制性产品认证</w:t>
      </w:r>
    </w:p>
    <w:p>
      <w:pPr>
        <w:spacing w:line="360" w:lineRule="auto"/>
        <w:ind w:firstLine="420" w:firstLineChars="200"/>
        <w:contextualSpacing/>
        <w:rPr>
          <w:rFonts w:ascii="宋体" w:hAnsi="宋体" w:cs="宋体"/>
          <w:color w:val="000000"/>
          <w:kern w:val="0"/>
          <w:szCs w:val="21"/>
          <w:highlight w:val="none"/>
        </w:rPr>
      </w:pPr>
      <w:r>
        <w:rPr>
          <w:rFonts w:hint="eastAsia" w:ascii="宋体" w:hAnsi="宋体" w:cs="仿宋_GB2312"/>
          <w:color w:val="000000"/>
          <w:szCs w:val="21"/>
          <w:highlight w:val="none"/>
          <w:lang w:val="zh-CN"/>
        </w:rPr>
        <w:t>（1）如供应商所响应产品属于“中国强制性产品认证”（3C认证）范围内,则必须承诺采用</w:t>
      </w:r>
      <w:r>
        <w:rPr>
          <w:rFonts w:ascii="宋体" w:hAnsi="宋体" w:cs="仿宋_GB2312"/>
          <w:color w:val="000000"/>
          <w:szCs w:val="21"/>
          <w:highlight w:val="none"/>
          <w:lang w:val="zh-CN"/>
        </w:rPr>
        <w:t>《中华人民共和国实施强制性产品认证的产品目录》</w:t>
      </w:r>
      <w:r>
        <w:rPr>
          <w:rFonts w:hint="eastAsia" w:ascii="宋体" w:hAnsi="宋体" w:cs="仿宋_GB2312"/>
          <w:color w:val="000000"/>
          <w:szCs w:val="21"/>
          <w:highlight w:val="none"/>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宋体"/>
          <w:color w:val="000000"/>
          <w:kern w:val="0"/>
          <w:szCs w:val="21"/>
          <w:highlight w:val="none"/>
        </w:rPr>
        <w:t>（2）供应商所响应产品如被列入</w:t>
      </w:r>
      <w:r>
        <w:rPr>
          <w:rFonts w:ascii="宋体" w:hAnsi="宋体" w:cs="宋体"/>
          <w:color w:val="000000"/>
          <w:kern w:val="0"/>
          <w:szCs w:val="21"/>
          <w:highlight w:val="none"/>
        </w:rPr>
        <w:t>《信息安全产品强制性认证目录》，</w:t>
      </w:r>
      <w:r>
        <w:rPr>
          <w:rFonts w:hint="eastAsia" w:ascii="宋体" w:hAnsi="宋体" w:cs="仿宋_GB2312"/>
          <w:color w:val="000000"/>
          <w:szCs w:val="21"/>
          <w:highlight w:val="none"/>
          <w:lang w:val="zh-CN"/>
        </w:rPr>
        <w:t>则响应文件中应根据本项目询价文件“第二章 采购需求”</w:t>
      </w:r>
      <w:r>
        <w:rPr>
          <w:rFonts w:ascii="宋体" w:hAnsi="宋体" w:cs="仿宋_GB2312"/>
          <w:color w:val="000000"/>
          <w:szCs w:val="21"/>
          <w:highlight w:val="none"/>
          <w:lang w:val="zh-CN"/>
        </w:rPr>
        <w:t>提供</w:t>
      </w:r>
      <w:r>
        <w:rPr>
          <w:rFonts w:hint="eastAsia" w:ascii="宋体" w:hAnsi="宋体" w:cs="仿宋_GB2312"/>
          <w:color w:val="000000"/>
          <w:szCs w:val="21"/>
          <w:highlight w:val="none"/>
          <w:lang w:val="zh-CN"/>
        </w:rPr>
        <w:t>：</w:t>
      </w:r>
    </w:p>
    <w:p>
      <w:pPr>
        <w:wordWrap w:val="0"/>
        <w:autoSpaceDE w:val="0"/>
        <w:autoSpaceDN w:val="0"/>
        <w:spacing w:line="360" w:lineRule="auto"/>
        <w:ind w:firstLine="420" w:firstLineChars="200"/>
        <w:contextualSpacing/>
        <w:rPr>
          <w:rFonts w:ascii="宋体" w:hAnsi="宋体" w:cs="宋体"/>
          <w:color w:val="000000"/>
          <w:kern w:val="0"/>
          <w:szCs w:val="21"/>
          <w:highlight w:val="none"/>
        </w:rPr>
      </w:pPr>
      <w:r>
        <w:rPr>
          <w:rFonts w:hint="eastAsia" w:ascii="宋体" w:hAnsi="宋体" w:cs="宋体"/>
          <w:color w:val="000000"/>
          <w:kern w:val="0"/>
          <w:szCs w:val="21"/>
          <w:highlight w:val="none"/>
        </w:rPr>
        <w:t>①中国信息安全认证中心官网（</w:t>
      </w:r>
      <w:r>
        <w:rPr>
          <w:rFonts w:ascii="宋体" w:hAnsi="宋体" w:cs="宋体"/>
          <w:color w:val="000000"/>
          <w:kern w:val="0"/>
          <w:szCs w:val="21"/>
          <w:highlight w:val="none"/>
        </w:rPr>
        <w:t>http://www.isccc.gov.cn/index.shtml</w:t>
      </w:r>
      <w:r>
        <w:rPr>
          <w:rFonts w:hint="eastAsia" w:ascii="宋体" w:hAnsi="宋体" w:cs="宋体"/>
          <w:color w:val="000000"/>
          <w:kern w:val="0"/>
          <w:szCs w:val="21"/>
          <w:highlight w:val="none"/>
        </w:rPr>
        <w:t>）产品查询结果截图并加盖供应商公章；</w:t>
      </w:r>
    </w:p>
    <w:p>
      <w:pPr>
        <w:wordWrap w:val="0"/>
        <w:autoSpaceDE w:val="0"/>
        <w:autoSpaceDN w:val="0"/>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宋体"/>
          <w:color w:val="000000"/>
          <w:kern w:val="0"/>
          <w:szCs w:val="21"/>
          <w:highlight w:val="none"/>
        </w:rPr>
        <w:t>②中国信息安全认证中心</w:t>
      </w:r>
      <w:r>
        <w:rPr>
          <w:rFonts w:hint="eastAsia" w:ascii="宋体" w:hAnsi="宋体" w:cs="仿宋_GB2312"/>
          <w:color w:val="000000"/>
          <w:szCs w:val="21"/>
          <w:highlight w:val="none"/>
          <w:lang w:val="zh-CN"/>
        </w:rPr>
        <w:t>颁发的《中国国家信息安全产品认证证书》加盖供应商公章的原件扫描件（或图片）。</w:t>
      </w:r>
    </w:p>
    <w:p>
      <w:pPr>
        <w:wordWrap w:val="0"/>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color w:val="000000"/>
          <w:sz w:val="24"/>
          <w:szCs w:val="24"/>
          <w:highlight w:val="none"/>
          <w:lang w:val="zh-CN"/>
        </w:rPr>
        <w:t>注：仅需提供序号</w:t>
      </w:r>
      <w:r>
        <w:rPr>
          <w:rFonts w:hint="eastAsia" w:ascii="楷体" w:hAnsi="楷体" w:eastAsia="楷体"/>
          <w:color w:val="000000"/>
          <w:sz w:val="24"/>
          <w:szCs w:val="24"/>
          <w:highlight w:val="none"/>
        </w:rPr>
        <w:t>①～②其中之一即可。</w:t>
      </w:r>
    </w:p>
    <w:p>
      <w:pPr>
        <w:wordWrap w:val="0"/>
        <w:spacing w:line="360" w:lineRule="auto"/>
        <w:ind w:firstLine="480" w:firstLineChars="200"/>
        <w:contextualSpacing/>
        <w:rPr>
          <w:rFonts w:hint="eastAsia" w:ascii="楷体" w:hAnsi="楷体" w:eastAsia="楷体"/>
          <w:color w:val="0000FF"/>
          <w:sz w:val="24"/>
          <w:szCs w:val="24"/>
          <w:highlight w:val="gree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4"/>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1"/>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p>
    <w:p>
      <w:pPr>
        <w:pStyle w:val="21"/>
        <w:spacing w:before="75" w:after="75" w:line="360" w:lineRule="auto"/>
        <w:rPr>
          <w:rFonts w:ascii="宋体" w:hAnsi="宋体" w:eastAsia="宋体"/>
          <w:sz w:val="21"/>
          <w:szCs w:val="21"/>
        </w:rPr>
      </w:pPr>
      <w:r>
        <w:rPr>
          <w:rFonts w:ascii="宋体" w:hAnsi="宋体" w:eastAsia="宋体"/>
          <w:sz w:val="21"/>
          <w:szCs w:val="21"/>
        </w:rPr>
        <w:t>甲方：                        乙方：</w:t>
      </w:r>
    </w:p>
    <w:p>
      <w:pPr>
        <w:pStyle w:val="21"/>
        <w:spacing w:before="75" w:after="75" w:line="360" w:lineRule="auto"/>
        <w:rPr>
          <w:rFonts w:ascii="宋体" w:hAnsi="宋体" w:eastAsia="宋体"/>
          <w:sz w:val="21"/>
          <w:szCs w:val="21"/>
        </w:rPr>
      </w:pPr>
      <w:r>
        <w:rPr>
          <w:rFonts w:ascii="宋体" w:hAnsi="宋体" w:eastAsia="宋体"/>
          <w:sz w:val="21"/>
          <w:szCs w:val="21"/>
        </w:rPr>
        <w:t>住所：                        住所：</w:t>
      </w:r>
    </w:p>
    <w:p>
      <w:pPr>
        <w:pStyle w:val="21"/>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1"/>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1"/>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1"/>
        <w:spacing w:before="75" w:after="75" w:line="360" w:lineRule="auto"/>
        <w:rPr>
          <w:rFonts w:ascii="宋体" w:hAnsi="宋体" w:eastAsia="宋体"/>
          <w:sz w:val="21"/>
          <w:szCs w:val="21"/>
        </w:rPr>
      </w:pPr>
      <w:r>
        <w:rPr>
          <w:rFonts w:ascii="宋体" w:hAnsi="宋体" w:eastAsia="宋体"/>
          <w:sz w:val="21"/>
          <w:szCs w:val="21"/>
        </w:rPr>
        <w:t>账号：                        账号：</w:t>
      </w:r>
    </w:p>
    <w:p>
      <w:pPr>
        <w:pStyle w:val="21"/>
        <w:spacing w:before="75" w:after="75" w:line="360" w:lineRule="auto"/>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hint="default" w:ascii="宋体" w:hAnsi="宋体" w:eastAsia="宋体" w:cs="宋体"/>
          <w:b/>
          <w:kern w:val="0"/>
          <w:sz w:val="36"/>
          <w:szCs w:val="36"/>
          <w:lang w:val="en-US" w:eastAsia="zh-CN"/>
        </w:rPr>
      </w:pPr>
      <w:r>
        <w:rPr>
          <w:rFonts w:hint="eastAsia" w:ascii="宋体" w:hAnsi="宋体" w:eastAsia="宋体" w:cs="宋体"/>
          <w:b/>
          <w:kern w:val="0"/>
          <w:sz w:val="36"/>
          <w:szCs w:val="36"/>
          <w:lang w:val="en-US" w:eastAsia="zh-CN"/>
        </w:rPr>
        <w:t>--</w:t>
      </w: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pStyle w:val="14"/>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eastAsia="宋体" w:cs="宋体"/>
          <w:b/>
          <w:kern w:val="0"/>
          <w:sz w:val="36"/>
          <w:szCs w:val="36"/>
        </w:rPr>
        <w:t>（如涉及本项目的提供）</w:t>
      </w:r>
    </w:p>
    <w:p>
      <w:pPr>
        <w:pStyle w:val="35"/>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w:t>
            </w:r>
            <w:r>
              <w:rPr>
                <w:rFonts w:hint="eastAsia" w:ascii="宋体" w:hAnsi="宋体" w:cs="微软雅黑"/>
                <w:szCs w:val="21"/>
                <w:lang w:val="en-US" w:eastAsia="zh-CN"/>
              </w:rPr>
              <w:t>---</w:t>
            </w:r>
            <w:r>
              <w:rPr>
                <w:rFonts w:hint="eastAsia" w:ascii="宋体" w:hAnsi="宋体" w:cs="微软雅黑"/>
                <w:szCs w:val="21"/>
              </w:rPr>
              <w:t>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szCs w:val="21"/>
                <w:lang w:val="en-US" w:eastAsia="zh-CN"/>
              </w:rPr>
            </w:pPr>
            <w:r>
              <w:rPr>
                <w:rFonts w:hint="eastAsia" w:ascii="宋体" w:hAnsi="宋体" w:eastAsia="宋体" w:cs="宋体"/>
                <w:bCs/>
                <w:szCs w:val="21"/>
                <w:lang w:val="zh-CN"/>
              </w:rPr>
              <w:t>1</w:t>
            </w:r>
            <w:r>
              <w:rPr>
                <w:rFonts w:hint="eastAsia" w:ascii="宋体" w:hAnsi="宋体" w:eastAsia="宋体" w:cs="宋体"/>
                <w:bCs/>
                <w:szCs w:val="21"/>
                <w:lang w:val="en-US" w:eastAsia="zh-CN"/>
              </w:rPr>
              <w:t>3</w:t>
            </w:r>
          </w:p>
        </w:tc>
        <w:tc>
          <w:tcPr>
            <w:tcW w:w="3751" w:type="dxa"/>
            <w:gridSpan w:val="4"/>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szCs w:val="21"/>
                <w:lang w:val="en-US" w:eastAsia="zh-CN"/>
              </w:rPr>
            </w:pPr>
            <w:r>
              <w:rPr>
                <w:rFonts w:hint="eastAsia" w:ascii="宋体" w:hAnsi="宋体" w:eastAsia="宋体" w:cs="宋体"/>
                <w:bCs/>
                <w:szCs w:val="21"/>
                <w:lang w:val="zh-CN"/>
              </w:rPr>
              <w:t>1</w:t>
            </w:r>
            <w:r>
              <w:rPr>
                <w:rFonts w:hint="eastAsia" w:ascii="宋体" w:hAnsi="宋体" w:eastAsia="宋体" w:cs="宋体"/>
                <w:bCs/>
                <w:szCs w:val="21"/>
                <w:lang w:val="en-US" w:eastAsia="zh-CN"/>
              </w:rPr>
              <w:t>4</w:t>
            </w:r>
          </w:p>
        </w:tc>
        <w:tc>
          <w:tcPr>
            <w:tcW w:w="3751" w:type="dxa"/>
            <w:gridSpan w:val="4"/>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szCs w:val="21"/>
                <w:lang w:val="en-US" w:eastAsia="zh-CN"/>
              </w:rPr>
            </w:pPr>
            <w:r>
              <w:rPr>
                <w:rFonts w:hint="eastAsia" w:ascii="宋体" w:hAnsi="宋体" w:eastAsia="宋体" w:cs="宋体"/>
                <w:bCs/>
                <w:szCs w:val="21"/>
                <w:lang w:val="zh-CN"/>
              </w:rPr>
              <w:t>1</w:t>
            </w:r>
            <w:r>
              <w:rPr>
                <w:rFonts w:hint="eastAsia" w:ascii="宋体" w:hAnsi="宋体" w:eastAsia="宋体" w:cs="宋体"/>
                <w:bCs/>
                <w:szCs w:val="21"/>
                <w:lang w:val="en-US" w:eastAsia="zh-CN"/>
              </w:rPr>
              <w:t>5</w:t>
            </w:r>
          </w:p>
        </w:tc>
        <w:tc>
          <w:tcPr>
            <w:tcW w:w="3751" w:type="dxa"/>
            <w:gridSpan w:val="4"/>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gridSpan w:val="4"/>
            <w:tcBorders>
              <w:top w:val="double" w:color="auto" w:sz="4"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19</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0</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4</w:t>
            </w:r>
          </w:p>
        </w:tc>
        <w:tc>
          <w:tcPr>
            <w:tcW w:w="1058" w:type="dxa"/>
            <w:gridSpan w:val="2"/>
            <w:tcBorders>
              <w:right w:val="single" w:color="auto" w:sz="4"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5</w:t>
            </w:r>
          </w:p>
        </w:tc>
        <w:tc>
          <w:tcPr>
            <w:tcW w:w="1058" w:type="dxa"/>
            <w:gridSpan w:val="2"/>
            <w:vMerge w:val="restart"/>
            <w:tcBorders>
              <w:right w:val="single" w:color="auto" w:sz="4" w:space="0"/>
            </w:tcBorders>
            <w:noWrap w:val="0"/>
            <w:vAlign w:val="center"/>
          </w:tcPr>
          <w:p>
            <w:pPr>
              <w:pStyle w:val="14"/>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noWrap w:val="0"/>
            <w:vAlign w:val="center"/>
          </w:tcPr>
          <w:p>
            <w:pPr>
              <w:pStyle w:val="14"/>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7</w:t>
            </w:r>
          </w:p>
        </w:tc>
        <w:tc>
          <w:tcPr>
            <w:tcW w:w="3751" w:type="dxa"/>
            <w:gridSpan w:val="4"/>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hint="eastAsia" w:ascii="宋体" w:hAnsi="宋体" w:eastAsia="宋体"/>
          <w:b/>
          <w:snapToGrid w:val="0"/>
          <w:kern w:val="0"/>
          <w:sz w:val="28"/>
          <w:szCs w:val="28"/>
        </w:rPr>
      </w:pPr>
    </w:p>
    <w:p>
      <w:pPr>
        <w:pStyle w:val="14"/>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4"/>
        <w:spacing w:line="360" w:lineRule="auto"/>
        <w:jc w:val="center"/>
        <w:rPr>
          <w:rFonts w:ascii="宋体" w:hAnsi="宋体" w:eastAsia="宋体"/>
          <w:b/>
          <w:snapToGrid w:val="0"/>
          <w:kern w:val="0"/>
          <w:sz w:val="28"/>
          <w:szCs w:val="28"/>
        </w:rPr>
      </w:pPr>
    </w:p>
    <w:p>
      <w:pPr>
        <w:spacing w:before="50" w:after="156"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pStyle w:val="2"/>
        <w:ind w:left="0" w:leftChars="0" w:firstLine="0" w:firstLineChars="0"/>
        <w:rPr>
          <w:rFonts w:ascii="宋体" w:hAnsi="宋体" w:cs="黑体"/>
          <w:b/>
          <w:bCs/>
          <w:sz w:val="44"/>
          <w:szCs w:val="44"/>
          <w:lang w:val="zh-CN"/>
        </w:rPr>
      </w:pPr>
    </w:p>
    <w:p>
      <w:pPr>
        <w:autoSpaceDE w:val="0"/>
        <w:autoSpaceDN w:val="0"/>
        <w:adjustRightInd w:val="0"/>
        <w:spacing w:line="360" w:lineRule="auto"/>
        <w:ind w:firstLine="1124" w:firstLineChars="400"/>
        <w:jc w:val="both"/>
        <w:rPr>
          <w:rFonts w:hint="eastAsia" w:ascii="宋体" w:hAnsi="宋体" w:cs="黑体"/>
          <w:b/>
          <w:bCs/>
          <w:sz w:val="28"/>
          <w:szCs w:val="28"/>
          <w:lang w:val="zh-CN"/>
        </w:rPr>
      </w:pPr>
    </w:p>
    <w:p>
      <w:pPr>
        <w:autoSpaceDE w:val="0"/>
        <w:autoSpaceDN w:val="0"/>
        <w:adjustRightInd w:val="0"/>
        <w:spacing w:line="360" w:lineRule="auto"/>
        <w:ind w:firstLine="2530" w:firstLineChars="900"/>
        <w:jc w:val="both"/>
        <w:rPr>
          <w:rFonts w:ascii="宋体" w:hAnsi="宋体" w:eastAsia="宋体"/>
          <w:b/>
          <w:snapToGrid w:val="0"/>
          <w:kern w:val="0"/>
          <w:szCs w:val="24"/>
        </w:rPr>
      </w:pPr>
      <w:r>
        <w:rPr>
          <w:rFonts w:hint="eastAsia" w:ascii="宋体" w:hAnsi="宋体" w:cs="黑体"/>
          <w:b/>
          <w:bCs/>
          <w:sz w:val="28"/>
          <w:szCs w:val="28"/>
          <w:lang w:val="zh-CN"/>
        </w:rPr>
        <w:t>三、资格审查证明材料</w:t>
      </w:r>
    </w:p>
    <w:p>
      <w:pPr>
        <w:pStyle w:val="14"/>
        <w:spacing w:line="360" w:lineRule="auto"/>
        <w:jc w:val="center"/>
        <w:rPr>
          <w:rFonts w:ascii="宋体" w:hAnsi="宋体" w:eastAsia="宋体"/>
          <w:b/>
          <w:snapToGrid w:val="0"/>
          <w:kern w:val="0"/>
          <w:sz w:val="28"/>
          <w:szCs w:val="28"/>
        </w:rPr>
      </w:pPr>
      <w:r>
        <w:rPr>
          <w:rFonts w:hint="eastAsia" w:ascii="宋体" w:hAnsi="宋体" w:eastAsia="宋体"/>
          <w:b/>
          <w:snapToGrid w:val="0"/>
          <w:kern w:val="0"/>
          <w:szCs w:val="24"/>
        </w:rPr>
        <w:t>3.1 投 标 函</w:t>
      </w: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w:t>
      </w:r>
      <w:r>
        <w:rPr>
          <w:rFonts w:hint="eastAsia" w:ascii="宋体" w:hAnsi="宋体"/>
          <w:i/>
          <w:snapToGrid w:val="0"/>
          <w:kern w:val="0"/>
          <w:szCs w:val="21"/>
          <w:u w:val="single"/>
        </w:rPr>
        <w:t xml:space="preserve">    </w:t>
      </w:r>
      <w:r>
        <w:rPr>
          <w:rFonts w:hint="eastAsia" w:ascii="宋体" w:hAnsi="宋体" w:cs="Courier New"/>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hint="eastAsia" w:ascii="宋体" w:hAnsi="宋体" w:eastAsia="宋体" w:cs="Courier New"/>
          <w:sz w:val="21"/>
          <w:szCs w:val="21"/>
          <w:lang w:eastAsia="zh-CN"/>
        </w:rPr>
      </w:pPr>
      <w:r>
        <w:rPr>
          <w:rFonts w:hint="eastAsia" w:ascii="宋体" w:hAnsi="宋体" w:eastAsia="宋体" w:cs="Courier New"/>
          <w:sz w:val="21"/>
          <w:szCs w:val="21"/>
        </w:rPr>
        <w:t>三、我方明白并同意，在规定的询价响应时间截止之后，响应有效期之内撤销询价响应的，则贵方将</w:t>
      </w:r>
      <w:r>
        <w:rPr>
          <w:rFonts w:hint="eastAsia" w:ascii="宋体" w:hAnsi="宋体" w:eastAsia="宋体" w:cs="Courier New"/>
          <w:sz w:val="21"/>
          <w:szCs w:val="21"/>
          <w:lang w:eastAsia="zh-CN"/>
        </w:rPr>
        <w:t>取消其投标资格</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6"/>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6"/>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6"/>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6"/>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6"/>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6"/>
        <w:spacing w:line="480" w:lineRule="auto"/>
        <w:ind w:firstLine="472" w:firstLineChars="225"/>
        <w:jc w:val="left"/>
        <w:rPr>
          <w:rFonts w:ascii="宋体" w:hAnsi="宋体"/>
          <w:sz w:val="21"/>
          <w:szCs w:val="21"/>
        </w:rPr>
      </w:pPr>
    </w:p>
    <w:p>
      <w:pPr>
        <w:pStyle w:val="36"/>
        <w:spacing w:line="480" w:lineRule="auto"/>
        <w:ind w:firstLine="472" w:firstLineChars="225"/>
        <w:jc w:val="left"/>
        <w:rPr>
          <w:rFonts w:ascii="宋体" w:hAnsi="宋体"/>
          <w:sz w:val="21"/>
          <w:szCs w:val="21"/>
        </w:rPr>
      </w:pPr>
    </w:p>
    <w:p>
      <w:pPr>
        <w:pStyle w:val="36"/>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6"/>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29"/>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noWrap w:val="0"/>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156" w:beforeLines="50" w:after="156" w:afterLines="50"/>
        <w:jc w:val="center"/>
        <w:rPr>
          <w:rFonts w:ascii="宋体" w:hAnsi="宋体" w:cs="Arial"/>
          <w:kern w:val="0"/>
          <w:sz w:val="28"/>
          <w:szCs w:val="28"/>
        </w:rPr>
      </w:pPr>
      <w:r>
        <w:rPr>
          <w:rFonts w:hint="eastAsia" w:ascii="宋体" w:hAnsi="宋体" w:cs="Arial"/>
          <w:kern w:val="0"/>
          <w:sz w:val="28"/>
          <w:szCs w:val="28"/>
        </w:rPr>
        <w:t>声　   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cs="宋体"/>
          <w:szCs w:val="21"/>
          <w:lang w:val="zh-CN"/>
        </w:rPr>
      </w:pP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5</w:t>
      </w:r>
      <w:r>
        <w:rPr>
          <w:rFonts w:hint="eastAsia" w:ascii="宋体" w:hAnsi="宋体"/>
          <w:b/>
          <w:bCs/>
          <w:sz w:val="24"/>
          <w:szCs w:val="24"/>
        </w:rPr>
        <w:t xml:space="preserve"> 其他资格证书或材料 </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both"/>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9"/>
              <w:spacing w:line="360" w:lineRule="auto"/>
              <w:rPr>
                <w:rFonts w:ascii="宋体" w:hAnsi="宋体" w:eastAsia="宋体" w:cs="Times New Roman"/>
                <w:sz w:val="21"/>
                <w:szCs w:val="21"/>
              </w:rPr>
            </w:pPr>
          </w:p>
        </w:tc>
        <w:tc>
          <w:tcPr>
            <w:tcW w:w="3579" w:type="dxa"/>
            <w:noWrap w:val="0"/>
            <w:vAlign w:val="center"/>
          </w:tcPr>
          <w:p>
            <w:pPr>
              <w:pStyle w:val="9"/>
              <w:spacing w:line="360" w:lineRule="auto"/>
              <w:rPr>
                <w:rFonts w:ascii="宋体" w:hAnsi="宋体" w:eastAsia="宋体" w:cs="Times New Roman"/>
                <w:sz w:val="21"/>
                <w:szCs w:val="21"/>
              </w:rPr>
            </w:pPr>
          </w:p>
        </w:tc>
        <w:tc>
          <w:tcPr>
            <w:tcW w:w="1440" w:type="dxa"/>
            <w:noWrap w:val="0"/>
            <w:vAlign w:val="center"/>
          </w:tcPr>
          <w:p>
            <w:pPr>
              <w:pStyle w:val="9"/>
              <w:spacing w:line="360" w:lineRule="auto"/>
              <w:rPr>
                <w:rFonts w:ascii="宋体" w:hAnsi="宋体" w:eastAsia="宋体" w:cs="Times New Roman"/>
                <w:sz w:val="21"/>
                <w:szCs w:val="21"/>
              </w:rPr>
            </w:pPr>
          </w:p>
        </w:tc>
        <w:tc>
          <w:tcPr>
            <w:tcW w:w="1706" w:type="dxa"/>
            <w:noWrap w:val="0"/>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9"/>
              <w:spacing w:line="360" w:lineRule="auto"/>
              <w:rPr>
                <w:rFonts w:ascii="宋体" w:hAnsi="宋体" w:eastAsia="宋体" w:cs="Times New Roman"/>
                <w:sz w:val="21"/>
                <w:szCs w:val="21"/>
              </w:rPr>
            </w:pPr>
          </w:p>
        </w:tc>
        <w:tc>
          <w:tcPr>
            <w:tcW w:w="3579" w:type="dxa"/>
            <w:noWrap w:val="0"/>
            <w:vAlign w:val="center"/>
          </w:tcPr>
          <w:p>
            <w:pPr>
              <w:pStyle w:val="9"/>
              <w:spacing w:line="360" w:lineRule="auto"/>
              <w:rPr>
                <w:rFonts w:ascii="宋体" w:hAnsi="宋体" w:eastAsia="宋体" w:cs="Times New Roman"/>
                <w:sz w:val="21"/>
                <w:szCs w:val="21"/>
              </w:rPr>
            </w:pPr>
          </w:p>
        </w:tc>
        <w:tc>
          <w:tcPr>
            <w:tcW w:w="1440" w:type="dxa"/>
            <w:noWrap w:val="0"/>
            <w:vAlign w:val="center"/>
          </w:tcPr>
          <w:p>
            <w:pPr>
              <w:pStyle w:val="9"/>
              <w:spacing w:line="360" w:lineRule="auto"/>
              <w:rPr>
                <w:rFonts w:ascii="宋体" w:hAnsi="宋体" w:eastAsia="宋体" w:cs="Times New Roman"/>
                <w:sz w:val="21"/>
                <w:szCs w:val="21"/>
              </w:rPr>
            </w:pPr>
          </w:p>
        </w:tc>
        <w:tc>
          <w:tcPr>
            <w:tcW w:w="1706" w:type="dxa"/>
            <w:noWrap w:val="0"/>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9"/>
              <w:spacing w:line="360" w:lineRule="auto"/>
              <w:rPr>
                <w:rFonts w:ascii="宋体" w:hAnsi="宋体" w:eastAsia="宋体" w:cs="Times New Roman"/>
                <w:sz w:val="21"/>
                <w:szCs w:val="21"/>
              </w:rPr>
            </w:pPr>
          </w:p>
        </w:tc>
        <w:tc>
          <w:tcPr>
            <w:tcW w:w="3579" w:type="dxa"/>
            <w:noWrap w:val="0"/>
            <w:vAlign w:val="center"/>
          </w:tcPr>
          <w:p>
            <w:pPr>
              <w:pStyle w:val="9"/>
              <w:spacing w:line="360" w:lineRule="auto"/>
              <w:rPr>
                <w:rFonts w:ascii="宋体" w:hAnsi="宋体" w:eastAsia="宋体" w:cs="Times New Roman"/>
                <w:sz w:val="21"/>
                <w:szCs w:val="21"/>
              </w:rPr>
            </w:pPr>
          </w:p>
        </w:tc>
        <w:tc>
          <w:tcPr>
            <w:tcW w:w="1440" w:type="dxa"/>
            <w:noWrap w:val="0"/>
            <w:vAlign w:val="center"/>
          </w:tcPr>
          <w:p>
            <w:pPr>
              <w:pStyle w:val="9"/>
              <w:spacing w:line="360" w:lineRule="auto"/>
              <w:rPr>
                <w:rFonts w:ascii="宋体" w:hAnsi="宋体" w:eastAsia="宋体" w:cs="Times New Roman"/>
                <w:sz w:val="21"/>
                <w:szCs w:val="21"/>
              </w:rPr>
            </w:pPr>
          </w:p>
        </w:tc>
        <w:tc>
          <w:tcPr>
            <w:tcW w:w="1706" w:type="dxa"/>
            <w:noWrap w:val="0"/>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Pr>
        <w:pStyle w:val="2"/>
      </w:pPr>
    </w:p>
    <w:p>
      <w:pPr>
        <w:pStyle w:val="2"/>
      </w:pPr>
    </w:p>
    <w:p>
      <w:pPr>
        <w:pStyle w:val="2"/>
      </w:pPr>
    </w:p>
    <w:p>
      <w:pPr>
        <w:pStyle w:val="2"/>
      </w:pPr>
    </w:p>
    <w:p>
      <w:pPr>
        <w:pStyle w:val="2"/>
      </w:pPr>
    </w:p>
    <w:p>
      <w:pPr>
        <w:pStyle w:val="2"/>
      </w:pPr>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21</w:t>
                          </w:r>
                          <w: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MxQM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T0jL0lQMLw+JWi5McuFLNVIgX2i+RYtpF/MC/X4vWY9/zP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zMUDLAQAAeQMAAA4AAAAAAAAAAQAgAAAAHgEAAGRycy9lMm9E&#10;b2MueG1sUEsFBgAAAAAGAAYAWQEAAFs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35"/>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2D0"/>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6CDB"/>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5BD2"/>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4F9A"/>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46899"/>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4A2C"/>
    <w:rsid w:val="00CE74A6"/>
    <w:rsid w:val="00CF0786"/>
    <w:rsid w:val="00CF0ADC"/>
    <w:rsid w:val="00CF4F24"/>
    <w:rsid w:val="00D00A03"/>
    <w:rsid w:val="00D03037"/>
    <w:rsid w:val="00D0553A"/>
    <w:rsid w:val="00D05D6B"/>
    <w:rsid w:val="00D10F92"/>
    <w:rsid w:val="00D11037"/>
    <w:rsid w:val="00D15971"/>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9F44E4"/>
    <w:rsid w:val="02AE5588"/>
    <w:rsid w:val="03FE4A02"/>
    <w:rsid w:val="04932171"/>
    <w:rsid w:val="053F5432"/>
    <w:rsid w:val="06480687"/>
    <w:rsid w:val="064E7C45"/>
    <w:rsid w:val="0C4C440E"/>
    <w:rsid w:val="0CAE7D79"/>
    <w:rsid w:val="0F492F98"/>
    <w:rsid w:val="0F7310D4"/>
    <w:rsid w:val="100B4F00"/>
    <w:rsid w:val="12ED7C22"/>
    <w:rsid w:val="14214638"/>
    <w:rsid w:val="149819C8"/>
    <w:rsid w:val="15EE44D7"/>
    <w:rsid w:val="16135CEC"/>
    <w:rsid w:val="197B011F"/>
    <w:rsid w:val="1BC27E34"/>
    <w:rsid w:val="1C317F37"/>
    <w:rsid w:val="1C527EEE"/>
    <w:rsid w:val="1D90357B"/>
    <w:rsid w:val="1E3D63F1"/>
    <w:rsid w:val="21DF17AC"/>
    <w:rsid w:val="22B643D4"/>
    <w:rsid w:val="25720679"/>
    <w:rsid w:val="27522DB3"/>
    <w:rsid w:val="27B5253B"/>
    <w:rsid w:val="2A3B7946"/>
    <w:rsid w:val="2A9D4199"/>
    <w:rsid w:val="2BAE79FB"/>
    <w:rsid w:val="2BB24D15"/>
    <w:rsid w:val="2C2E4C48"/>
    <w:rsid w:val="2D5F028F"/>
    <w:rsid w:val="2F45482D"/>
    <w:rsid w:val="2F477084"/>
    <w:rsid w:val="305F0D15"/>
    <w:rsid w:val="307D673F"/>
    <w:rsid w:val="30AC6482"/>
    <w:rsid w:val="31CB2ABC"/>
    <w:rsid w:val="31D04BCE"/>
    <w:rsid w:val="32B20743"/>
    <w:rsid w:val="32CD5096"/>
    <w:rsid w:val="33B83CCC"/>
    <w:rsid w:val="35306958"/>
    <w:rsid w:val="36F97E8C"/>
    <w:rsid w:val="391E6950"/>
    <w:rsid w:val="399717D7"/>
    <w:rsid w:val="399A7EF3"/>
    <w:rsid w:val="3A1A525E"/>
    <w:rsid w:val="3AFC3A45"/>
    <w:rsid w:val="3B380893"/>
    <w:rsid w:val="3B7E5305"/>
    <w:rsid w:val="3D96637E"/>
    <w:rsid w:val="3EDA10C5"/>
    <w:rsid w:val="444C5A9E"/>
    <w:rsid w:val="46366161"/>
    <w:rsid w:val="46E35449"/>
    <w:rsid w:val="473960E8"/>
    <w:rsid w:val="485128BA"/>
    <w:rsid w:val="49574371"/>
    <w:rsid w:val="4D005CCE"/>
    <w:rsid w:val="503C130E"/>
    <w:rsid w:val="505F0174"/>
    <w:rsid w:val="51352836"/>
    <w:rsid w:val="51D27D2F"/>
    <w:rsid w:val="53F92F9E"/>
    <w:rsid w:val="544C0545"/>
    <w:rsid w:val="58A31F4C"/>
    <w:rsid w:val="5A957D3A"/>
    <w:rsid w:val="5BBB0C18"/>
    <w:rsid w:val="5C4B0E0F"/>
    <w:rsid w:val="5CB139A0"/>
    <w:rsid w:val="5E1356E1"/>
    <w:rsid w:val="60F85DFD"/>
    <w:rsid w:val="614E3A65"/>
    <w:rsid w:val="651A19A5"/>
    <w:rsid w:val="656867DD"/>
    <w:rsid w:val="658B76F3"/>
    <w:rsid w:val="667F0AAC"/>
    <w:rsid w:val="671A7106"/>
    <w:rsid w:val="67341FB4"/>
    <w:rsid w:val="69FB4D8B"/>
    <w:rsid w:val="6D32159C"/>
    <w:rsid w:val="6E2B5E85"/>
    <w:rsid w:val="750630EF"/>
    <w:rsid w:val="750C0905"/>
    <w:rsid w:val="755E1E93"/>
    <w:rsid w:val="75AB4839"/>
    <w:rsid w:val="767C5E46"/>
    <w:rsid w:val="76B625A7"/>
    <w:rsid w:val="78AF68A0"/>
    <w:rsid w:val="79557645"/>
    <w:rsid w:val="7E1D05A3"/>
    <w:rsid w:val="7E4C7A10"/>
    <w:rsid w:val="7E583278"/>
    <w:rsid w:val="7EB52D4A"/>
    <w:rsid w:val="7F0B0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6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62"/>
    <w:qFormat/>
    <w:uiPriority w:val="0"/>
    <w:rPr>
      <w:rFonts w:ascii="Times New Roman" w:hAnsi="Times New Roman" w:eastAsia="宋体" w:cs="Times New Roman"/>
      <w:color w:val="FF0000"/>
      <w:sz w:val="24"/>
      <w:szCs w:val="24"/>
    </w:rPr>
  </w:style>
  <w:style w:type="paragraph" w:styleId="11">
    <w:name w:val="Body Text Indent"/>
    <w:basedOn w:val="1"/>
    <w:link w:val="48"/>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8"/>
    <w:qFormat/>
    <w:uiPriority w:val="0"/>
    <w:rPr>
      <w:rFonts w:eastAsia="宋体"/>
      <w:sz w:val="24"/>
    </w:rPr>
  </w:style>
  <w:style w:type="paragraph" w:styleId="15">
    <w:name w:val="Date"/>
    <w:basedOn w:val="1"/>
    <w:next w:val="1"/>
    <w:link w:val="45"/>
    <w:unhideWhenUsed/>
    <w:qFormat/>
    <w:uiPriority w:val="99"/>
    <w:pPr>
      <w:ind w:left="100" w:leftChars="2500"/>
    </w:pPr>
  </w:style>
  <w:style w:type="paragraph" w:styleId="16">
    <w:name w:val="Balloon Text"/>
    <w:basedOn w:val="1"/>
    <w:link w:val="47"/>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00"/>
      <w:u w:val="none"/>
    </w:rPr>
  </w:style>
  <w:style w:type="paragraph" w:styleId="28">
    <w:name w:val="List Paragraph"/>
    <w:basedOn w:val="1"/>
    <w:unhideWhenUsed/>
    <w:qFormat/>
    <w:uiPriority w:val="99"/>
    <w:pPr>
      <w:ind w:firstLine="420" w:firstLineChars="200"/>
    </w:pPr>
  </w:style>
  <w:style w:type="paragraph" w:customStyle="1" w:styleId="2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2">
    <w:name w:val="日期1"/>
    <w:basedOn w:val="1"/>
    <w:next w:val="1"/>
    <w:link w:val="53"/>
    <w:qFormat/>
    <w:uiPriority w:val="0"/>
    <w:rPr>
      <w:sz w:val="24"/>
    </w:rPr>
  </w:style>
  <w:style w:type="paragraph" w:customStyle="1" w:styleId="33">
    <w:name w:val="列出段落1"/>
    <w:basedOn w:val="1"/>
    <w:qFormat/>
    <w:uiPriority w:val="34"/>
    <w:pPr>
      <w:ind w:firstLine="420" w:firstLineChars="200"/>
    </w:p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6">
    <w:name w:val="正文文本缩进1"/>
    <w:basedOn w:val="1"/>
    <w:link w:val="46"/>
    <w:qFormat/>
    <w:uiPriority w:val="0"/>
    <w:pPr>
      <w:spacing w:line="360" w:lineRule="auto"/>
      <w:ind w:firstLine="480" w:firstLineChars="200"/>
    </w:pPr>
    <w:rPr>
      <w:rFonts w:ascii="宋体"/>
      <w:sz w:val="24"/>
    </w:rPr>
  </w:style>
  <w:style w:type="paragraph" w:customStyle="1" w:styleId="3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character" w:customStyle="1" w:styleId="38">
    <w:name w:val="纯文本字符"/>
    <w:basedOn w:val="23"/>
    <w:link w:val="14"/>
    <w:qFormat/>
    <w:uiPriority w:val="0"/>
    <w:rPr>
      <w:rFonts w:eastAsia="宋体"/>
      <w:sz w:val="24"/>
    </w:rPr>
  </w:style>
  <w:style w:type="character" w:customStyle="1" w:styleId="39">
    <w:name w:val="页脚字符"/>
    <w:basedOn w:val="23"/>
    <w:link w:val="17"/>
    <w:qFormat/>
    <w:uiPriority w:val="99"/>
    <w:rPr>
      <w:sz w:val="18"/>
      <w:szCs w:val="18"/>
    </w:rPr>
  </w:style>
  <w:style w:type="character" w:customStyle="1" w:styleId="40">
    <w:name w:val="标题 4字符"/>
    <w:basedOn w:val="23"/>
    <w:link w:val="7"/>
    <w:qFormat/>
    <w:uiPriority w:val="0"/>
    <w:rPr>
      <w:rFonts w:ascii="Arial" w:hAnsi="Arial" w:eastAsia="黑体" w:cs="Times New Roman"/>
      <w:b/>
      <w:bCs/>
      <w:sz w:val="28"/>
      <w:szCs w:val="28"/>
    </w:rPr>
  </w:style>
  <w:style w:type="character" w:customStyle="1" w:styleId="41">
    <w:name w:val="red1"/>
    <w:basedOn w:val="23"/>
    <w:qFormat/>
    <w:uiPriority w:val="0"/>
    <w:rPr>
      <w:color w:val="FF0000"/>
      <w:sz w:val="18"/>
      <w:szCs w:val="18"/>
    </w:rPr>
  </w:style>
  <w:style w:type="character" w:customStyle="1" w:styleId="42">
    <w:name w:val="标题 1字符"/>
    <w:basedOn w:val="23"/>
    <w:link w:val="4"/>
    <w:qFormat/>
    <w:uiPriority w:val="0"/>
    <w:rPr>
      <w:rFonts w:ascii="Calibri" w:hAnsi="Calibri" w:eastAsia="宋体" w:cs="Times New Roman"/>
      <w:b/>
      <w:bCs/>
      <w:kern w:val="44"/>
      <w:sz w:val="44"/>
      <w:szCs w:val="44"/>
    </w:rPr>
  </w:style>
  <w:style w:type="character" w:customStyle="1" w:styleId="43">
    <w:name w:val="纯文本 Char1"/>
    <w:qFormat/>
    <w:uiPriority w:val="0"/>
    <w:rPr>
      <w:rFonts w:eastAsia="宋体"/>
      <w:sz w:val="24"/>
    </w:rPr>
  </w:style>
  <w:style w:type="character" w:customStyle="1" w:styleId="44">
    <w:name w:val="标题 3字符"/>
    <w:basedOn w:val="23"/>
    <w:link w:val="6"/>
    <w:qFormat/>
    <w:uiPriority w:val="0"/>
    <w:rPr>
      <w:rFonts w:ascii="宋体" w:hAnsi="宋体" w:eastAsia="宋体" w:cs="Times New Roman"/>
      <w:b/>
      <w:color w:val="000000"/>
      <w:kern w:val="0"/>
      <w:sz w:val="24"/>
      <w:szCs w:val="20"/>
      <w:lang w:val="en-GB"/>
    </w:rPr>
  </w:style>
  <w:style w:type="character" w:customStyle="1" w:styleId="45">
    <w:name w:val="日期字符"/>
    <w:basedOn w:val="23"/>
    <w:link w:val="15"/>
    <w:qFormat/>
    <w:uiPriority w:val="99"/>
  </w:style>
  <w:style w:type="character" w:customStyle="1" w:styleId="46">
    <w:name w:val="正文文本缩进 Char Char"/>
    <w:link w:val="36"/>
    <w:qFormat/>
    <w:uiPriority w:val="0"/>
    <w:rPr>
      <w:rFonts w:ascii="宋体"/>
      <w:sz w:val="24"/>
    </w:rPr>
  </w:style>
  <w:style w:type="character" w:customStyle="1" w:styleId="47">
    <w:name w:val="批注框文本字符"/>
    <w:basedOn w:val="23"/>
    <w:link w:val="16"/>
    <w:semiHidden/>
    <w:qFormat/>
    <w:uiPriority w:val="99"/>
    <w:rPr>
      <w:kern w:val="2"/>
      <w:sz w:val="18"/>
      <w:szCs w:val="18"/>
    </w:rPr>
  </w:style>
  <w:style w:type="character" w:customStyle="1" w:styleId="48">
    <w:name w:val="正文文本缩进字符"/>
    <w:basedOn w:val="23"/>
    <w:link w:val="11"/>
    <w:semiHidden/>
    <w:qFormat/>
    <w:uiPriority w:val="99"/>
    <w:rPr>
      <w:kern w:val="2"/>
      <w:sz w:val="21"/>
      <w:szCs w:val="22"/>
    </w:rPr>
  </w:style>
  <w:style w:type="character" w:customStyle="1" w:styleId="49">
    <w:name w:val="green1"/>
    <w:basedOn w:val="23"/>
    <w:qFormat/>
    <w:uiPriority w:val="0"/>
    <w:rPr>
      <w:color w:val="66AE00"/>
      <w:sz w:val="18"/>
      <w:szCs w:val="18"/>
    </w:rPr>
  </w:style>
  <w:style w:type="character" w:customStyle="1" w:styleId="50">
    <w:name w:val="right"/>
    <w:basedOn w:val="23"/>
    <w:qFormat/>
    <w:uiPriority w:val="0"/>
    <w:rPr>
      <w:color w:val="999999"/>
      <w:sz w:val="18"/>
      <w:szCs w:val="18"/>
    </w:rPr>
  </w:style>
  <w:style w:type="character" w:customStyle="1" w:styleId="51">
    <w:name w:val="正文首行缩进字符"/>
    <w:basedOn w:val="52"/>
    <w:link w:val="2"/>
    <w:qFormat/>
    <w:uiPriority w:val="0"/>
    <w:rPr>
      <w:rFonts w:ascii="宋体" w:hAnsi="Times New Roman" w:eastAsia="宋体" w:cs="Times New Roman"/>
      <w:kern w:val="0"/>
      <w:sz w:val="34"/>
      <w:szCs w:val="20"/>
    </w:rPr>
  </w:style>
  <w:style w:type="character" w:customStyle="1" w:styleId="52">
    <w:name w:val="正文文本字符"/>
    <w:basedOn w:val="23"/>
    <w:link w:val="3"/>
    <w:semiHidden/>
    <w:qFormat/>
    <w:uiPriority w:val="99"/>
  </w:style>
  <w:style w:type="character" w:customStyle="1" w:styleId="53">
    <w:name w:val="日期 Char Char"/>
    <w:link w:val="32"/>
    <w:qFormat/>
    <w:uiPriority w:val="0"/>
    <w:rPr>
      <w:sz w:val="24"/>
    </w:rPr>
  </w:style>
  <w:style w:type="character" w:customStyle="1" w:styleId="54">
    <w:name w:val="red2"/>
    <w:basedOn w:val="23"/>
    <w:qFormat/>
    <w:uiPriority w:val="0"/>
    <w:rPr>
      <w:color w:val="CC0000"/>
    </w:rPr>
  </w:style>
  <w:style w:type="character" w:customStyle="1" w:styleId="55">
    <w:name w:val="hover25"/>
    <w:basedOn w:val="23"/>
    <w:qFormat/>
    <w:uiPriority w:val="0"/>
  </w:style>
  <w:style w:type="character" w:customStyle="1" w:styleId="56">
    <w:name w:val="red"/>
    <w:basedOn w:val="23"/>
    <w:qFormat/>
    <w:uiPriority w:val="0"/>
    <w:rPr>
      <w:color w:val="FF0000"/>
      <w:sz w:val="18"/>
      <w:szCs w:val="18"/>
    </w:rPr>
  </w:style>
  <w:style w:type="character" w:customStyle="1" w:styleId="57">
    <w:name w:val="HTML 预设格式字符"/>
    <w:basedOn w:val="23"/>
    <w:link w:val="20"/>
    <w:semiHidden/>
    <w:qFormat/>
    <w:uiPriority w:val="99"/>
    <w:rPr>
      <w:rFonts w:ascii="宋体" w:hAnsi="宋体" w:eastAsia="宋体" w:cs="宋体"/>
      <w:kern w:val="0"/>
      <w:sz w:val="24"/>
      <w:szCs w:val="24"/>
    </w:rPr>
  </w:style>
  <w:style w:type="character" w:customStyle="1" w:styleId="58">
    <w:name w:val="页眉字符"/>
    <w:basedOn w:val="23"/>
    <w:link w:val="18"/>
    <w:qFormat/>
    <w:uiPriority w:val="99"/>
    <w:rPr>
      <w:sz w:val="18"/>
      <w:szCs w:val="18"/>
    </w:rPr>
  </w:style>
  <w:style w:type="character" w:customStyle="1" w:styleId="59">
    <w:name w:val="green"/>
    <w:basedOn w:val="23"/>
    <w:qFormat/>
    <w:uiPriority w:val="0"/>
    <w:rPr>
      <w:color w:val="66AE00"/>
      <w:sz w:val="18"/>
      <w:szCs w:val="18"/>
    </w:rPr>
  </w:style>
  <w:style w:type="character" w:customStyle="1" w:styleId="60">
    <w:name w:val="blue"/>
    <w:basedOn w:val="23"/>
    <w:qFormat/>
    <w:uiPriority w:val="0"/>
    <w:rPr>
      <w:color w:val="0371C6"/>
      <w:sz w:val="21"/>
      <w:szCs w:val="21"/>
    </w:rPr>
  </w:style>
  <w:style w:type="character" w:customStyle="1" w:styleId="61">
    <w:name w:val="gb-jt"/>
    <w:basedOn w:val="23"/>
    <w:qFormat/>
    <w:uiPriority w:val="0"/>
  </w:style>
  <w:style w:type="character" w:customStyle="1" w:styleId="62">
    <w:name w:val="正文文本 3字符"/>
    <w:basedOn w:val="23"/>
    <w:link w:val="10"/>
    <w:qFormat/>
    <w:uiPriority w:val="0"/>
    <w:rPr>
      <w:rFonts w:ascii="Times New Roman" w:hAnsi="Times New Roman" w:eastAsia="宋体" w:cs="Times New Roman"/>
      <w:color w:val="FF0000"/>
      <w:sz w:val="24"/>
      <w:szCs w:val="24"/>
    </w:rPr>
  </w:style>
  <w:style w:type="character" w:customStyle="1" w:styleId="63">
    <w:name w:val="edittexttarea"/>
    <w:basedOn w:val="23"/>
    <w:qFormat/>
    <w:uiPriority w:val="0"/>
  </w:style>
  <w:style w:type="character" w:customStyle="1" w:styleId="64">
    <w:name w:val="正文文本缩进 Char"/>
    <w:qFormat/>
    <w:uiPriority w:val="0"/>
    <w:rPr>
      <w:sz w:val="24"/>
    </w:rPr>
  </w:style>
  <w:style w:type="character" w:customStyle="1" w:styleId="65">
    <w:name w:val="red3"/>
    <w:basedOn w:val="23"/>
    <w:qFormat/>
    <w:uiPriority w:val="0"/>
    <w:rPr>
      <w:color w:val="FF0000"/>
    </w:rPr>
  </w:style>
  <w:style w:type="character" w:customStyle="1" w:styleId="66">
    <w:name w:val="hover"/>
    <w:basedOn w:val="23"/>
    <w:qFormat/>
    <w:uiPriority w:val="0"/>
  </w:style>
  <w:style w:type="character" w:customStyle="1" w:styleId="67">
    <w:name w:val="标题 2字符"/>
    <w:basedOn w:val="23"/>
    <w:link w:val="5"/>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6675</Words>
  <Characters>38050</Characters>
  <Lines>317</Lines>
  <Paragraphs>89</Paragraphs>
  <TotalTime>11</TotalTime>
  <ScaleCrop>false</ScaleCrop>
  <LinksUpToDate>false</LinksUpToDate>
  <CharactersWithSpaces>44636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え</cp:lastModifiedBy>
  <cp:lastPrinted>2019-08-08T05:34:32Z</cp:lastPrinted>
  <dcterms:modified xsi:type="dcterms:W3CDTF">2019-08-08T05:35:01Z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