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jc w:val="center"/>
        <w:rPr>
          <w:rFonts w:ascii="华文中宋" w:hAnsi="华文中宋" w:eastAsia="华文中宋"/>
          <w:sz w:val="72"/>
          <w:szCs w:val="72"/>
        </w:rPr>
      </w:pPr>
    </w:p>
    <w:p>
      <w:pPr>
        <w:snapToGrid w:val="0"/>
        <w:spacing w:beforeLines="50"/>
        <w:jc w:val="center"/>
        <w:rPr>
          <w:rFonts w:ascii="华文中宋" w:hAnsi="华文中宋" w:eastAsia="华文中宋" w:cs="仿宋"/>
          <w:b/>
          <w:sz w:val="72"/>
          <w:szCs w:val="72"/>
        </w:rPr>
      </w:pPr>
      <w:r>
        <w:rPr>
          <w:rFonts w:hint="eastAsia" w:ascii="华文中宋" w:hAnsi="华文中宋" w:eastAsia="华文中宋"/>
          <w:sz w:val="72"/>
          <w:szCs w:val="72"/>
        </w:rPr>
        <w:t>建安区政府采购</w:t>
      </w:r>
    </w:p>
    <w:p>
      <w:pPr>
        <w:rPr>
          <w:rFonts w:hint="eastAsia" w:ascii="仿宋_GB2312" w:hAnsi="仿宋" w:eastAsia="仿宋_GB2312" w:cs="仿宋"/>
          <w:sz w:val="72"/>
          <w:szCs w:val="72"/>
        </w:rPr>
      </w:pPr>
      <w:r>
        <w:rPr>
          <w:rFonts w:hint="eastAsia" w:ascii="仿宋_GB2312" w:hAnsi="仿宋" w:eastAsia="仿宋_GB2312" w:cs="仿宋"/>
          <w:sz w:val="72"/>
          <w:szCs w:val="72"/>
        </w:rPr>
        <w:t xml:space="preserve"> </w:t>
      </w:r>
    </w:p>
    <w:p>
      <w:pPr>
        <w:pStyle w:val="2"/>
        <w:rPr>
          <w:lang w:val="zh-CN"/>
        </w:rPr>
      </w:pPr>
    </w:p>
    <w:p>
      <w:pPr>
        <w:jc w:val="center"/>
        <w:rPr>
          <w:rFonts w:ascii="华文中宋" w:hAnsi="华文中宋" w:eastAsia="华文中宋" w:cs="仿宋"/>
          <w:b/>
          <w:bCs/>
          <w:kern w:val="0"/>
          <w:sz w:val="72"/>
          <w:szCs w:val="72"/>
          <w:lang w:val="zh-CN"/>
        </w:rPr>
      </w:pPr>
      <w:r>
        <w:rPr>
          <w:rFonts w:hint="eastAsia" w:ascii="华文中宋" w:hAnsi="华文中宋" w:eastAsia="华文中宋" w:cs="仿宋"/>
          <w:b/>
          <w:bCs/>
          <w:kern w:val="0"/>
          <w:sz w:val="72"/>
          <w:szCs w:val="72"/>
          <w:lang w:val="zh-CN"/>
        </w:rPr>
        <w:t>谈</w:t>
      </w:r>
    </w:p>
    <w:p>
      <w:pPr>
        <w:jc w:val="center"/>
        <w:rPr>
          <w:rFonts w:ascii="华文中宋" w:hAnsi="华文中宋" w:eastAsia="华文中宋" w:cs="仿宋"/>
          <w:b/>
          <w:bCs/>
          <w:kern w:val="0"/>
          <w:sz w:val="72"/>
          <w:szCs w:val="72"/>
          <w:lang w:val="zh-CN"/>
        </w:rPr>
      </w:pPr>
      <w:r>
        <w:rPr>
          <w:rFonts w:hint="eastAsia" w:ascii="华文中宋" w:hAnsi="华文中宋" w:eastAsia="华文中宋" w:cs="仿宋"/>
          <w:b/>
          <w:bCs/>
          <w:kern w:val="0"/>
          <w:sz w:val="72"/>
          <w:szCs w:val="72"/>
          <w:lang w:val="zh-CN"/>
        </w:rPr>
        <w:t>判</w:t>
      </w:r>
    </w:p>
    <w:p>
      <w:pPr>
        <w:jc w:val="center"/>
        <w:rPr>
          <w:rFonts w:ascii="华文中宋" w:hAnsi="华文中宋" w:eastAsia="华文中宋" w:cs="仿宋"/>
          <w:b/>
          <w:bCs/>
          <w:kern w:val="0"/>
          <w:sz w:val="72"/>
          <w:szCs w:val="72"/>
          <w:lang w:val="zh-CN"/>
        </w:rPr>
      </w:pPr>
      <w:r>
        <w:rPr>
          <w:rFonts w:hint="eastAsia" w:ascii="华文中宋" w:hAnsi="华文中宋" w:eastAsia="华文中宋" w:cs="仿宋"/>
          <w:b/>
          <w:bCs/>
          <w:kern w:val="0"/>
          <w:sz w:val="72"/>
          <w:szCs w:val="72"/>
          <w:lang w:val="zh-CN"/>
        </w:rPr>
        <w:t>文</w:t>
      </w:r>
    </w:p>
    <w:p>
      <w:pPr>
        <w:jc w:val="center"/>
        <w:rPr>
          <w:rFonts w:ascii="华文中宋" w:hAnsi="华文中宋" w:eastAsia="华文中宋" w:cs="仿宋"/>
          <w:b/>
          <w:bCs/>
          <w:sz w:val="72"/>
          <w:szCs w:val="72"/>
          <w:lang w:val="zh-CN"/>
        </w:rPr>
      </w:pPr>
      <w:r>
        <w:rPr>
          <w:rFonts w:hint="eastAsia" w:ascii="华文中宋" w:hAnsi="华文中宋" w:eastAsia="华文中宋" w:cs="仿宋"/>
          <w:b/>
          <w:bCs/>
          <w:kern w:val="0"/>
          <w:sz w:val="72"/>
          <w:szCs w:val="72"/>
          <w:lang w:val="zh-CN"/>
        </w:rPr>
        <w:t>件</w:t>
      </w:r>
    </w:p>
    <w:p>
      <w:pPr>
        <w:ind w:right="-153" w:firstLine="1802" w:firstLineChars="500"/>
        <w:outlineLvl w:val="0"/>
        <w:rPr>
          <w:rFonts w:eastAsia="华文中宋"/>
          <w:b/>
          <w:sz w:val="36"/>
          <w:szCs w:val="36"/>
        </w:rPr>
      </w:pPr>
    </w:p>
    <w:p>
      <w:pPr>
        <w:pStyle w:val="2"/>
        <w:ind w:firstLine="340"/>
      </w:pPr>
    </w:p>
    <w:p>
      <w:pPr>
        <w:widowControl/>
        <w:spacing w:line="600" w:lineRule="exact"/>
        <w:jc w:val="left"/>
        <w:outlineLvl w:val="1"/>
        <w:rPr>
          <w:rFonts w:eastAsia="仿宋_GB2312"/>
          <w:b/>
          <w:bCs/>
          <w:sz w:val="36"/>
          <w:szCs w:val="36"/>
        </w:rPr>
      </w:pPr>
      <w:bookmarkStart w:id="0" w:name="OLE_LINK18"/>
    </w:p>
    <w:p>
      <w:pPr>
        <w:pStyle w:val="2"/>
        <w:ind w:firstLine="340"/>
      </w:pPr>
    </w:p>
    <w:p>
      <w:pPr>
        <w:widowControl/>
        <w:spacing w:line="600" w:lineRule="exact"/>
        <w:ind w:firstLine="721" w:firstLineChars="200"/>
        <w:jc w:val="left"/>
        <w:outlineLvl w:val="1"/>
        <w:rPr>
          <w:rFonts w:eastAsia="华文中宋"/>
          <w:b/>
          <w:sz w:val="36"/>
          <w:szCs w:val="36"/>
        </w:rPr>
      </w:pPr>
      <w:r>
        <w:rPr>
          <w:rFonts w:eastAsia="华文中宋"/>
          <w:b/>
          <w:sz w:val="36"/>
          <w:szCs w:val="36"/>
        </w:rPr>
        <w:t>项目编号</w:t>
      </w:r>
      <w:bookmarkEnd w:id="0"/>
      <w:r>
        <w:rPr>
          <w:rFonts w:hint="eastAsia" w:eastAsia="华文中宋"/>
          <w:b/>
          <w:sz w:val="36"/>
          <w:szCs w:val="36"/>
        </w:rPr>
        <w:t>：建安政采竞字〔2019〕</w:t>
      </w:r>
      <w:r>
        <w:rPr>
          <w:rFonts w:hint="eastAsia" w:eastAsia="华文中宋"/>
          <w:b/>
          <w:sz w:val="36"/>
          <w:szCs w:val="36"/>
          <w:lang w:val="en-US" w:eastAsia="zh-CN"/>
        </w:rPr>
        <w:t>73</w:t>
      </w:r>
      <w:r>
        <w:rPr>
          <w:rFonts w:hint="eastAsia" w:eastAsia="华文中宋"/>
          <w:b/>
          <w:sz w:val="36"/>
          <w:szCs w:val="36"/>
        </w:rPr>
        <w:t>号</w:t>
      </w:r>
    </w:p>
    <w:p>
      <w:pPr>
        <w:widowControl/>
        <w:spacing w:line="600" w:lineRule="exact"/>
        <w:ind w:left="2520" w:leftChars="342" w:hanging="1802" w:hangingChars="500"/>
        <w:jc w:val="left"/>
        <w:outlineLvl w:val="1"/>
        <w:rPr>
          <w:rFonts w:eastAsia="华文中宋"/>
          <w:b/>
          <w:sz w:val="36"/>
          <w:szCs w:val="36"/>
        </w:rPr>
      </w:pPr>
      <w:r>
        <w:rPr>
          <w:rFonts w:eastAsia="华文中宋"/>
          <w:b/>
          <w:sz w:val="36"/>
          <w:szCs w:val="36"/>
        </w:rPr>
        <w:t>项目名称</w:t>
      </w:r>
      <w:r>
        <w:rPr>
          <w:rFonts w:hint="eastAsia" w:eastAsia="华文中宋"/>
          <w:b/>
          <w:sz w:val="36"/>
          <w:szCs w:val="36"/>
        </w:rPr>
        <w:t xml:space="preserve">：许昌市建安区公安局辅警移动警务终端采购项目  </w:t>
      </w:r>
    </w:p>
    <w:p>
      <w:pPr>
        <w:widowControl/>
        <w:spacing w:line="600" w:lineRule="exact"/>
        <w:ind w:firstLine="721" w:firstLineChars="200"/>
        <w:jc w:val="left"/>
        <w:outlineLvl w:val="1"/>
        <w:rPr>
          <w:rFonts w:eastAsia="华文中宋"/>
          <w:b/>
          <w:sz w:val="36"/>
          <w:szCs w:val="36"/>
        </w:rPr>
      </w:pPr>
      <w:r>
        <w:rPr>
          <w:rFonts w:hint="eastAsia" w:eastAsia="华文中宋"/>
          <w:b/>
          <w:sz w:val="36"/>
          <w:szCs w:val="36"/>
        </w:rPr>
        <w:t>采购单位：许昌市建安区公安局</w:t>
      </w:r>
    </w:p>
    <w:p>
      <w:pPr>
        <w:widowControl/>
        <w:spacing w:line="600" w:lineRule="exact"/>
        <w:ind w:firstLine="721" w:firstLineChars="200"/>
        <w:jc w:val="left"/>
        <w:outlineLvl w:val="1"/>
        <w:rPr>
          <w:rFonts w:ascii="华文中宋" w:hAnsi="华文中宋" w:eastAsia="华文中宋" w:cs="仿宋"/>
          <w:b/>
          <w:sz w:val="36"/>
          <w:szCs w:val="36"/>
        </w:rPr>
      </w:pPr>
      <w:r>
        <w:rPr>
          <w:rFonts w:hint="eastAsia" w:eastAsia="华文中宋"/>
          <w:b/>
          <w:sz w:val="36"/>
          <w:szCs w:val="36"/>
        </w:rPr>
        <w:t>代理机构：河南建标工程管理有限公司</w:t>
      </w:r>
    </w:p>
    <w:p>
      <w:pPr>
        <w:spacing w:line="480" w:lineRule="auto"/>
        <w:jc w:val="center"/>
        <w:rPr>
          <w:rFonts w:ascii="仿宋_GB2312" w:hAnsi="华文中宋" w:eastAsia="仿宋_GB2312" w:cs="黑体"/>
          <w:kern w:val="0"/>
          <w:sz w:val="52"/>
          <w:szCs w:val="52"/>
          <w:lang w:val="zh-CN"/>
        </w:rPr>
      </w:pPr>
      <w:r>
        <w:rPr>
          <w:rFonts w:hint="eastAsia" w:ascii="华文中宋" w:hAnsi="华文中宋" w:eastAsia="华文中宋" w:cs="仿宋"/>
          <w:b/>
          <w:sz w:val="36"/>
          <w:szCs w:val="36"/>
        </w:rPr>
        <w:t>二</w:t>
      </w:r>
      <w:r>
        <w:rPr>
          <w:rFonts w:hint="eastAsia" w:ascii="华文中宋" w:hAnsi="华文中宋" w:eastAsia="华文中宋" w:cs="宋体"/>
          <w:b/>
          <w:sz w:val="36"/>
          <w:szCs w:val="36"/>
        </w:rPr>
        <w:t>〇</w:t>
      </w:r>
      <w:r>
        <w:rPr>
          <w:rFonts w:hint="eastAsia" w:ascii="华文中宋" w:hAnsi="华文中宋" w:eastAsia="华文中宋" w:cs="仿宋"/>
          <w:b/>
          <w:sz w:val="36"/>
          <w:szCs w:val="36"/>
        </w:rPr>
        <w:t>一九年</w:t>
      </w:r>
      <w:r>
        <w:rPr>
          <w:rFonts w:hint="eastAsia" w:ascii="华文中宋" w:hAnsi="华文中宋" w:eastAsia="华文中宋" w:cs="仿宋"/>
          <w:b/>
          <w:sz w:val="36"/>
          <w:szCs w:val="36"/>
          <w:lang w:eastAsia="zh-CN"/>
        </w:rPr>
        <w:t>八</w:t>
      </w:r>
      <w:r>
        <w:rPr>
          <w:rFonts w:hint="eastAsia" w:ascii="华文中宋" w:hAnsi="华文中宋" w:eastAsia="华文中宋" w:cs="仿宋"/>
          <w:b/>
          <w:sz w:val="36"/>
          <w:szCs w:val="36"/>
        </w:rPr>
        <w:t>月</w:t>
      </w:r>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二、谈判文件说明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40"/>
          <w:szCs w:val="32"/>
        </w:rPr>
      </w:pPr>
      <w:r>
        <w:rPr>
          <w:rFonts w:hint="eastAsia" w:cs="宋体" w:asciiTheme="majorEastAsia" w:hAnsiTheme="majorEastAsia" w:eastAsiaTheme="majorEastAsia"/>
          <w:b/>
          <w:kern w:val="0"/>
          <w:sz w:val="40"/>
          <w:szCs w:val="32"/>
        </w:rPr>
        <w:t>谈判邀请</w:t>
      </w:r>
    </w:p>
    <w:p>
      <w:pPr>
        <w:jc w:val="center"/>
        <w:rPr>
          <w:rFonts w:eastAsia="华文中宋"/>
          <w:b/>
          <w:sz w:val="36"/>
          <w:szCs w:val="36"/>
        </w:rPr>
      </w:pPr>
      <w:r>
        <w:rPr>
          <w:rFonts w:hint="eastAsia" w:eastAsia="华文中宋"/>
          <w:b/>
          <w:sz w:val="36"/>
          <w:szCs w:val="36"/>
        </w:rPr>
        <w:t>建安政采竞字〔2019〕</w:t>
      </w:r>
      <w:r>
        <w:rPr>
          <w:rFonts w:hint="eastAsia" w:eastAsia="华文中宋"/>
          <w:b/>
          <w:sz w:val="36"/>
          <w:szCs w:val="36"/>
          <w:lang w:val="en-US" w:eastAsia="zh-CN"/>
        </w:rPr>
        <w:t>73</w:t>
      </w:r>
      <w:r>
        <w:rPr>
          <w:rFonts w:hint="eastAsia" w:eastAsia="华文中宋"/>
          <w:b/>
          <w:sz w:val="36"/>
          <w:szCs w:val="36"/>
        </w:rPr>
        <w:t>号</w:t>
      </w:r>
    </w:p>
    <w:p>
      <w:pPr>
        <w:jc w:val="center"/>
        <w:rPr>
          <w:rFonts w:eastAsia="华文中宋"/>
          <w:b/>
          <w:sz w:val="36"/>
          <w:szCs w:val="36"/>
        </w:rPr>
      </w:pPr>
      <w:r>
        <w:rPr>
          <w:rFonts w:hint="eastAsia" w:eastAsia="华文中宋"/>
          <w:b/>
          <w:sz w:val="36"/>
          <w:szCs w:val="36"/>
        </w:rPr>
        <w:t>许昌市建安区公安局辅警移动警务终端采购项目</w:t>
      </w:r>
    </w:p>
    <w:p>
      <w:pPr>
        <w:jc w:val="center"/>
        <w:rPr>
          <w:rFonts w:eastAsia="华文中宋"/>
          <w:b/>
          <w:sz w:val="36"/>
          <w:szCs w:val="36"/>
        </w:rPr>
      </w:pPr>
      <w:r>
        <w:rPr>
          <w:rFonts w:hint="eastAsia" w:eastAsia="华文中宋"/>
          <w:b/>
          <w:sz w:val="36"/>
          <w:szCs w:val="36"/>
        </w:rPr>
        <w:t>竞争性谈判公告</w:t>
      </w:r>
    </w:p>
    <w:p>
      <w:pPr>
        <w:pStyle w:val="21"/>
        <w:widowControl/>
        <w:shd w:val="clear" w:color="auto" w:fill="FFFFFF"/>
        <w:spacing w:line="360" w:lineRule="auto"/>
        <w:ind w:firstLine="480" w:firstLineChars="200"/>
        <w:contextualSpacing/>
        <w:jc w:val="left"/>
        <w:rPr>
          <w:rFonts w:ascii="宋体" w:hAnsi="宋体" w:cs="仿宋_GB2312"/>
          <w:szCs w:val="21"/>
          <w:shd w:val="clear" w:color="auto" w:fill="FFFFFF"/>
        </w:rPr>
      </w:pPr>
      <w:r>
        <w:rPr>
          <w:rFonts w:hint="eastAsia" w:ascii="宋体" w:hAnsi="宋体" w:cs="仿宋_GB2312"/>
          <w:szCs w:val="21"/>
          <w:shd w:val="clear" w:color="auto" w:fill="FFFFFF"/>
        </w:rPr>
        <w:t>受</w:t>
      </w:r>
      <w:r>
        <w:rPr>
          <w:rFonts w:hint="eastAsia" w:cs="仿宋_GB2312" w:asciiTheme="minorEastAsia" w:hAnsiTheme="minorEastAsia" w:eastAsiaTheme="minorEastAsia"/>
          <w:szCs w:val="21"/>
          <w:shd w:val="clear" w:color="auto" w:fill="FFFFFF"/>
        </w:rPr>
        <w:t>许昌市建安区公安局</w:t>
      </w:r>
      <w:r>
        <w:rPr>
          <w:rFonts w:hint="eastAsia" w:ascii="宋体" w:hAnsi="宋体" w:cs="仿宋_GB2312"/>
          <w:szCs w:val="21"/>
          <w:shd w:val="clear" w:color="auto" w:fill="FFFFFF"/>
        </w:rPr>
        <w:t>的委托，河南建标工程管理有限公司就许昌市建安区公安局辅警移动警务终端采购项目进行竞争性谈判采购，现邀请符合本谈判文件规定条件的供应商前来谈判。</w:t>
      </w:r>
    </w:p>
    <w:p>
      <w:pPr>
        <w:pStyle w:val="21"/>
        <w:widowControl/>
        <w:shd w:val="clear" w:color="auto" w:fill="FFFFFF"/>
        <w:spacing w:line="360" w:lineRule="auto"/>
        <w:contextualSpacing/>
        <w:jc w:val="left"/>
        <w:rPr>
          <w:rFonts w:cs="黑体" w:asciiTheme="minorEastAsia" w:hAnsiTheme="minorEastAsia" w:eastAsiaTheme="minorEastAsia"/>
          <w:b/>
          <w:bCs/>
          <w:szCs w:val="21"/>
        </w:rPr>
      </w:pPr>
      <w:r>
        <w:rPr>
          <w:rFonts w:hint="eastAsia" w:cs="黑体" w:asciiTheme="minorEastAsia" w:hAnsiTheme="minorEastAsia" w:eastAsiaTheme="minorEastAsia"/>
          <w:b/>
          <w:bCs/>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（一）项目名称：辅警移动警务终端采购项目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（二）项目编号：建安政采竞字〔2019〕</w:t>
      </w:r>
      <w:r>
        <w:rPr>
          <w:rFonts w:hint="eastAsia" w:cs="仿宋_GB2312" w:asciiTheme="minorEastAsia" w:hAnsiTheme="minorEastAsia" w:eastAsiaTheme="minorEastAsia"/>
          <w:szCs w:val="21"/>
          <w:shd w:val="clear" w:color="auto" w:fill="FFFFFF"/>
          <w:lang w:val="en-US" w:eastAsia="zh-CN"/>
        </w:rPr>
        <w:t>73</w:t>
      </w:r>
      <w:r>
        <w:rPr>
          <w:rFonts w:hint="eastAsia" w:cs="仿宋_GB2312" w:asciiTheme="minorEastAsia" w:hAnsiTheme="minorEastAsia" w:eastAsiaTheme="minorEastAsia"/>
          <w:szCs w:val="21"/>
          <w:shd w:val="clear" w:color="auto" w:fill="FFFFFF"/>
        </w:rPr>
        <w:t xml:space="preserve">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 xml:space="preserve">（三）采购方式：竞争性谈判                                                                                                                         </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（四）项目主要内容、数量及简要规格描述或项目基本概况介绍：详见谈判文件</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（五）预算金额：</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一标预算金额：260400.00元，最高限价：260400.00元。</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包含124部警务辅助人员采集系统的配套移动终端服务、相应数量的通信资费套餐服务、附加通信服务、配套移动终端定制开发服务、应急服务、培训服务、质保、售后服务等相关服务。服务期为30个月，投标报价包含124套移动终端定制服务及30个月通讯服务费，并为其开通新号码。</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二标预算金额：260400.00元，最高限价：260400.00元。</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包含124部警务辅助人员采集系统的配套移动终端服务、相应数量的通信资费套餐服务、附加通信服务、配套移动终端定制开发服务、应急服务、培训服务、质保、售后服务等相关服务。服务期为30个月，投标报价包含124套移动终端定制服务及30个月通讯服务费，并为其开通新号码。</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三标预算金额：258300.00元，最高限价：258300.00元。</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包含123部警务辅助人员采集系统的配套移动终端服务、相应数量的通信资费套餐服务、附加通信服务、配套移动终端定制开发服务、应急服务、培训服务、质保、售后服务等相关服务。服务期为30个月，投标报价包含12</w:t>
      </w:r>
      <w:r>
        <w:rPr>
          <w:rFonts w:hint="eastAsia" w:cs="仿宋_GB2312" w:asciiTheme="minorEastAsia" w:hAnsiTheme="minorEastAsia" w:eastAsiaTheme="minorEastAsia"/>
          <w:szCs w:val="21"/>
          <w:shd w:val="clear" w:color="auto" w:fill="FFFFFF"/>
          <w:lang w:val="en-US" w:eastAsia="zh-CN"/>
        </w:rPr>
        <w:t>3</w:t>
      </w:r>
      <w:r>
        <w:rPr>
          <w:rFonts w:hint="eastAsia" w:cs="仿宋_GB2312" w:asciiTheme="minorEastAsia" w:hAnsiTheme="minorEastAsia" w:eastAsiaTheme="minorEastAsia"/>
          <w:szCs w:val="21"/>
          <w:shd w:val="clear" w:color="auto" w:fill="FFFFFF"/>
        </w:rPr>
        <w:t>套移动终端定制服务及30个月通讯服务费，并为其开通新号码。</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（六）移动终端交付时间 ：</w:t>
      </w:r>
      <w:r>
        <w:rPr>
          <w:rFonts w:hint="eastAsia" w:cs="仿宋_GB2312" w:asciiTheme="minorEastAsia" w:hAnsiTheme="minorEastAsia" w:eastAsiaTheme="minorEastAsia"/>
          <w:szCs w:val="21"/>
          <w:shd w:val="clear" w:color="auto" w:fill="FFFFFF"/>
          <w:lang w:val="zh-CN"/>
        </w:rPr>
        <w:t>中标人应在中标后</w:t>
      </w:r>
      <w:r>
        <w:rPr>
          <w:rFonts w:hint="eastAsia" w:cs="仿宋_GB2312" w:asciiTheme="minorEastAsia" w:hAnsiTheme="minorEastAsia" w:eastAsiaTheme="minorEastAsia"/>
          <w:szCs w:val="21"/>
          <w:shd w:val="clear" w:color="auto" w:fill="FFFFFF"/>
        </w:rPr>
        <w:t>5日历天</w:t>
      </w:r>
      <w:r>
        <w:rPr>
          <w:rFonts w:hint="eastAsia" w:cs="仿宋_GB2312" w:asciiTheme="minorEastAsia" w:hAnsiTheme="minorEastAsia" w:eastAsiaTheme="minorEastAsia"/>
          <w:szCs w:val="21"/>
          <w:shd w:val="clear" w:color="auto" w:fill="FFFFFF"/>
          <w:lang w:val="zh-CN"/>
        </w:rPr>
        <w:t>内完成配套移动终端服务供货、调试，投入使用</w:t>
      </w:r>
      <w:r>
        <w:rPr>
          <w:rFonts w:hint="eastAsia" w:cs="仿宋_GB2312" w:asciiTheme="minorEastAsia" w:hAnsiTheme="minorEastAsia" w:eastAsiaTheme="minorEastAsia"/>
          <w:szCs w:val="21"/>
          <w:shd w:val="clear" w:color="auto" w:fill="FFFFFF"/>
        </w:rPr>
        <w:t>。</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（七）服务周期：30个月。</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（八）进口产品：不允许。</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（九）分包：不允许。</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（十）质量要求：合格（符合国家现行规范和要求）</w:t>
      </w:r>
    </w:p>
    <w:p>
      <w:pPr>
        <w:pStyle w:val="21"/>
        <w:widowControl/>
        <w:shd w:val="clear" w:color="auto" w:fill="FFFFFF"/>
        <w:spacing w:line="360" w:lineRule="auto"/>
        <w:contextualSpacing/>
        <w:jc w:val="left"/>
        <w:rPr>
          <w:rFonts w:cs="黑体" w:asciiTheme="minorEastAsia" w:hAnsiTheme="minorEastAsia" w:eastAsiaTheme="minorEastAsia"/>
          <w:b/>
          <w:bCs/>
          <w:szCs w:val="21"/>
          <w:shd w:val="clear" w:color="auto" w:fill="FFFFFF"/>
        </w:rPr>
      </w:pPr>
      <w:r>
        <w:rPr>
          <w:rFonts w:hint="eastAsia" w:cs="黑体" w:asciiTheme="minorEastAsia" w:hAnsiTheme="minorEastAsia" w:eastAsiaTheme="minorEastAsia"/>
          <w:b/>
          <w:bCs/>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本项目落实中小微型企业、监狱企业、残疾人福利性单位扶持等相关政府采购政策。</w:t>
      </w:r>
    </w:p>
    <w:p>
      <w:pPr>
        <w:pStyle w:val="21"/>
        <w:widowControl/>
        <w:shd w:val="clear" w:color="auto" w:fill="FFFFFF"/>
        <w:spacing w:line="360" w:lineRule="auto"/>
        <w:contextualSpacing/>
        <w:jc w:val="left"/>
        <w:rPr>
          <w:rFonts w:cs="黑体" w:asciiTheme="minorEastAsia" w:hAnsiTheme="minorEastAsia" w:eastAsiaTheme="minorEastAsia"/>
          <w:b/>
          <w:bCs/>
          <w:szCs w:val="21"/>
          <w:shd w:val="clear" w:color="auto" w:fill="FFFFFF"/>
        </w:rPr>
      </w:pPr>
      <w:r>
        <w:rPr>
          <w:rFonts w:hint="eastAsia" w:cs="黑体" w:asciiTheme="minorEastAsia" w:hAnsiTheme="minorEastAsia" w:eastAsiaTheme="minorEastAsia"/>
          <w:b/>
          <w:bCs/>
          <w:szCs w:val="21"/>
          <w:shd w:val="clear" w:color="auto" w:fill="FFFFFF"/>
        </w:rPr>
        <w:t>三、供应商资格条件</w:t>
      </w:r>
    </w:p>
    <w:p>
      <w:pPr>
        <w:snapToGrid w:val="0"/>
        <w:spacing w:line="360" w:lineRule="auto"/>
        <w:ind w:firstLine="420" w:firstLineChars="200"/>
        <w:rPr>
          <w:rFonts w:ascii="宋体" w:hAnsi="宋体" w:eastAsia="宋体" w:cs="宋体"/>
          <w:color w:val="000000"/>
          <w:sz w:val="24"/>
          <w:szCs w:val="24"/>
          <w:shd w:val="clear" w:color="auto" w:fill="FFFFFF"/>
        </w:rPr>
      </w:pPr>
      <w:r>
        <w:rPr>
          <w:rFonts w:hint="eastAsia" w:ascii="宋体" w:hAnsi="宋体" w:eastAsia="宋体" w:cs="宋体"/>
          <w:color w:val="000000"/>
          <w:kern w:val="0"/>
          <w:lang w:val="zh-CN"/>
        </w:rPr>
        <w:t>1、</w:t>
      </w:r>
      <w:r>
        <w:rPr>
          <w:rFonts w:hint="eastAsia" w:ascii="宋体" w:hAnsi="宋体" w:eastAsia="宋体" w:cs="宋体"/>
          <w:color w:val="000000"/>
          <w:sz w:val="24"/>
          <w:szCs w:val="24"/>
          <w:shd w:val="clear" w:color="auto" w:fill="FFFFFF"/>
        </w:rPr>
        <w:t>具备《中华人民共和国政府采购法》第二十二条规定；</w:t>
      </w:r>
    </w:p>
    <w:p>
      <w:pPr>
        <w:snapToGrid w:val="0"/>
        <w:spacing w:line="360" w:lineRule="auto"/>
        <w:ind w:left="420" w:leftChars="200"/>
        <w:rPr>
          <w:rFonts w:ascii="宋体" w:hAnsi="宋体" w:eastAsia="宋体" w:cs="宋体"/>
          <w:color w:val="0000FF"/>
          <w:sz w:val="24"/>
          <w:szCs w:val="24"/>
          <w:shd w:val="clear" w:color="auto" w:fill="FFFFFF"/>
        </w:rPr>
      </w:pPr>
      <w:r>
        <w:rPr>
          <w:rFonts w:hint="eastAsia" w:ascii="宋体" w:hAnsi="宋体" w:eastAsia="宋体" w:cs="宋体"/>
          <w:color w:val="000000"/>
          <w:sz w:val="24"/>
          <w:szCs w:val="24"/>
          <w:shd w:val="clear" w:color="auto" w:fill="FFFFFF"/>
        </w:rPr>
        <w:t>2、投标人为电信基础业务运营商。</w:t>
      </w:r>
    </w:p>
    <w:p>
      <w:pPr>
        <w:pStyle w:val="21"/>
        <w:widowControl/>
        <w:spacing w:line="360" w:lineRule="auto"/>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3、未被列入“信用中国”网站(www.creditchina.gov.cn)失信被执行人、重大税收违法案件当事人名单、政府采购严重违法失信名单的投标人；“中国政府采购网”(www.ccgp.gov.cn)政府采购严重违法失信行为记录名单的投标人；国家企业信用信息公示系统(www.gsxt.gov.cn/index.html)严重违法失信企业名单的投标人(投标人须提供网站截图)；</w:t>
      </w:r>
    </w:p>
    <w:p>
      <w:pPr>
        <w:wordWrap w:val="0"/>
        <w:topLinePunct/>
        <w:autoSpaceDE w:val="0"/>
        <w:autoSpaceDN w:val="0"/>
        <w:adjustRightInd w:val="0"/>
        <w:snapToGrid w:val="0"/>
        <w:spacing w:line="360" w:lineRule="auto"/>
        <w:ind w:firstLine="600" w:firstLineChars="250"/>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4、本项目实行资格后审；</w:t>
      </w:r>
    </w:p>
    <w:p>
      <w:pPr>
        <w:wordWrap w:val="0"/>
        <w:topLinePunct/>
        <w:autoSpaceDE w:val="0"/>
        <w:autoSpaceDN w:val="0"/>
        <w:adjustRightInd w:val="0"/>
        <w:snapToGrid w:val="0"/>
        <w:spacing w:line="360" w:lineRule="auto"/>
        <w:ind w:firstLine="600" w:firstLineChars="250"/>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5、本次招标不接受联合体投标。</w:t>
      </w:r>
    </w:p>
    <w:p>
      <w:pPr>
        <w:pStyle w:val="21"/>
        <w:widowControl/>
        <w:shd w:val="clear" w:color="auto" w:fill="FFFFFF"/>
        <w:spacing w:line="360" w:lineRule="auto"/>
        <w:contextualSpacing/>
        <w:jc w:val="left"/>
        <w:rPr>
          <w:rFonts w:cs="黑体" w:asciiTheme="minorEastAsia" w:hAnsiTheme="minorEastAsia" w:eastAsiaTheme="minorEastAsia"/>
          <w:b/>
          <w:bCs/>
          <w:szCs w:val="21"/>
          <w:shd w:val="clear" w:color="auto" w:fill="FFFFFF"/>
        </w:rPr>
      </w:pPr>
      <w:r>
        <w:rPr>
          <w:rFonts w:hint="eastAsia" w:cs="黑体" w:asciiTheme="minorEastAsia" w:hAnsiTheme="minorEastAsia" w:eastAsiaTheme="minorEastAsia"/>
          <w:b/>
          <w:bCs/>
          <w:szCs w:val="21"/>
          <w:shd w:val="clear" w:color="auto" w:fill="FFFFFF"/>
        </w:rPr>
        <w:t>四、谈判文件的获取</w:t>
      </w:r>
    </w:p>
    <w:p>
      <w:pPr>
        <w:pStyle w:val="21"/>
        <w:widowControl/>
        <w:spacing w:line="360" w:lineRule="auto"/>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pacing w:line="360" w:lineRule="auto"/>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pacing w:line="360" w:lineRule="auto"/>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3、招标文件每套售价</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rPr>
        <w:t>00元，于递交投标文件时缴纳给招标代理机构，售后不退。</w:t>
      </w:r>
    </w:p>
    <w:p>
      <w:pPr>
        <w:pStyle w:val="21"/>
        <w:widowControl/>
        <w:shd w:val="clear" w:color="auto" w:fill="FFFFFF"/>
        <w:spacing w:line="360" w:lineRule="auto"/>
        <w:contextualSpacing/>
        <w:jc w:val="left"/>
        <w:rPr>
          <w:rFonts w:cs="黑体" w:asciiTheme="minorEastAsia" w:hAnsiTheme="minorEastAsia" w:eastAsiaTheme="minorEastAsia"/>
          <w:b/>
          <w:bCs/>
          <w:szCs w:val="21"/>
          <w:shd w:val="clear" w:color="auto" w:fill="FFFFFF"/>
        </w:rPr>
      </w:pPr>
      <w:r>
        <w:rPr>
          <w:rFonts w:hint="eastAsia" w:cs="黑体" w:asciiTheme="minorEastAsia" w:hAnsiTheme="minorEastAsia" w:eastAsiaTheme="minorEastAsia"/>
          <w:b/>
          <w:bCs/>
          <w:szCs w:val="21"/>
          <w:shd w:val="clear" w:color="auto" w:fill="FFFFFF"/>
        </w:rPr>
        <w:t>五、</w:t>
      </w:r>
      <w:r>
        <w:rPr>
          <w:rFonts w:hint="eastAsia" w:cs="仿宋_GB2312" w:asciiTheme="minorEastAsia" w:hAnsiTheme="minorEastAsia" w:eastAsiaTheme="minorEastAsia"/>
          <w:b/>
          <w:szCs w:val="21"/>
          <w:shd w:val="clear" w:color="auto" w:fill="FFFFFF"/>
        </w:rPr>
        <w:t>响应文件提交截止时间</w:t>
      </w:r>
      <w:r>
        <w:rPr>
          <w:rFonts w:hint="eastAsia" w:cs="黑体" w:asciiTheme="minorEastAsia" w:hAnsiTheme="minorEastAsia" w:eastAsiaTheme="minorEastAsia"/>
          <w:b/>
          <w:bCs/>
          <w:szCs w:val="21"/>
          <w:shd w:val="clear" w:color="auto" w:fill="FFFFFF"/>
        </w:rPr>
        <w:t>及谈判响应截止时间、谈判时间</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shd w:val="clear" w:color="auto" w:fill="FFFFFF"/>
        </w:rPr>
        <w:t>（一）响应文件提交截止时间及</w:t>
      </w:r>
      <w:r>
        <w:rPr>
          <w:rFonts w:hint="eastAsia" w:cs="仿宋_GB2312" w:asciiTheme="minorEastAsia" w:hAnsiTheme="minorEastAsia" w:eastAsiaTheme="minorEastAsia"/>
          <w:szCs w:val="21"/>
        </w:rPr>
        <w:t>谈判响应截止时间、谈判时间：2019年8月</w:t>
      </w:r>
      <w:r>
        <w:rPr>
          <w:rFonts w:hint="eastAsia" w:cs="仿宋_GB2312" w:asciiTheme="minorEastAsia" w:hAnsiTheme="minorEastAsia" w:eastAsiaTheme="minorEastAsia"/>
          <w:szCs w:val="21"/>
          <w:lang w:val="en-US" w:eastAsia="zh-CN"/>
        </w:rPr>
        <w:t>15</w:t>
      </w:r>
      <w:r>
        <w:rPr>
          <w:rFonts w:hint="eastAsia" w:cs="仿宋_GB2312" w:asciiTheme="minorEastAsia" w:hAnsiTheme="minorEastAsia" w:eastAsiaTheme="minorEastAsia"/>
          <w:szCs w:val="21"/>
        </w:rPr>
        <w:t>日</w:t>
      </w:r>
      <w:r>
        <w:rPr>
          <w:rFonts w:hint="eastAsia" w:cs="仿宋_GB2312" w:asciiTheme="minorEastAsia" w:hAnsiTheme="minorEastAsia" w:eastAsiaTheme="minorEastAsia"/>
          <w:szCs w:val="21"/>
          <w:lang w:val="en-US" w:eastAsia="zh-CN"/>
        </w:rPr>
        <w:t>09</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30</w:t>
      </w:r>
      <w:r>
        <w:rPr>
          <w:rFonts w:hint="eastAsia" w:cs="仿宋_GB2312" w:asciiTheme="minorEastAsia" w:hAnsiTheme="minorEastAsia" w:eastAsiaTheme="minorEastAsia"/>
          <w:szCs w:val="21"/>
        </w:rPr>
        <w:t>（北京时间），逾期送达或不符合规定的响应文件</w:t>
      </w:r>
      <w:r>
        <w:rPr>
          <w:rFonts w:hint="eastAsia" w:ascii="宋体" w:hAnsi="宋体" w:cs="微软雅黑"/>
          <w:szCs w:val="21"/>
        </w:rPr>
        <w:t>恕不接受。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rPr>
        <w:t>（二）响应文件开启时间：</w:t>
      </w:r>
      <w:r>
        <w:rPr>
          <w:rFonts w:hint="eastAsia" w:cs="仿宋_GB2312" w:asciiTheme="minorEastAsia" w:hAnsiTheme="minorEastAsia" w:eastAsiaTheme="minorEastAsia"/>
          <w:szCs w:val="21"/>
          <w:shd w:val="clear" w:color="auto" w:fill="FFFFFF"/>
        </w:rPr>
        <w:t>同响应文件提交截止时间。</w:t>
      </w:r>
    </w:p>
    <w:p>
      <w:pPr>
        <w:pStyle w:val="21"/>
        <w:widowControl/>
        <w:shd w:val="clear" w:color="auto" w:fill="FFFFFF"/>
        <w:spacing w:line="360" w:lineRule="auto"/>
        <w:contextualSpacing/>
        <w:jc w:val="left"/>
        <w:rPr>
          <w:rFonts w:cs="黑体" w:asciiTheme="minorEastAsia" w:hAnsiTheme="minorEastAsia" w:eastAsiaTheme="minorEastAsia"/>
          <w:b/>
          <w:bCs/>
          <w:szCs w:val="21"/>
          <w:shd w:val="clear" w:color="auto" w:fill="FFFFFF"/>
        </w:rPr>
      </w:pPr>
      <w:r>
        <w:rPr>
          <w:rFonts w:hint="eastAsia" w:cs="黑体" w:asciiTheme="minorEastAsia" w:hAnsiTheme="minorEastAsia" w:eastAsiaTheme="minorEastAsia"/>
          <w:b/>
          <w:bCs/>
          <w:szCs w:val="21"/>
          <w:shd w:val="clear" w:color="auto" w:fill="FFFFFF"/>
        </w:rPr>
        <w:t>六、谈判响应文件递交及开启地点、谈判地点：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（一）谈判响应文件递交地点：</w:t>
      </w:r>
      <w:r>
        <w:rPr>
          <w:rFonts w:hint="eastAsia" w:cs="仿宋_GB2312" w:asciiTheme="minorEastAsia" w:hAnsiTheme="minorEastAsia" w:eastAsiaTheme="minorEastAsia"/>
          <w:spacing w:val="-20"/>
          <w:szCs w:val="21"/>
        </w:rPr>
        <w:t>建安区新元大道兴业大厦北4楼开标</w:t>
      </w:r>
      <w:r>
        <w:rPr>
          <w:rFonts w:hint="eastAsia" w:cs="仿宋_GB2312" w:asciiTheme="minorEastAsia" w:hAnsiTheme="minorEastAsia" w:eastAsiaTheme="minorEastAsia"/>
          <w:spacing w:val="-20"/>
          <w:szCs w:val="21"/>
          <w:lang w:eastAsia="zh-CN"/>
        </w:rPr>
        <w:t>三</w:t>
      </w:r>
      <w:r>
        <w:rPr>
          <w:rFonts w:hint="eastAsia" w:cs="仿宋_GB2312" w:asciiTheme="minorEastAsia" w:hAnsiTheme="minorEastAsia" w:eastAsiaTheme="minorEastAsia"/>
          <w:spacing w:val="-20"/>
          <w:szCs w:val="21"/>
        </w:rPr>
        <w:t>室（</w:t>
      </w:r>
      <w:r>
        <w:rPr>
          <w:rFonts w:hint="eastAsia" w:cs="仿宋_GB2312" w:asciiTheme="minorEastAsia" w:hAnsiTheme="minorEastAsia" w:eastAsiaTheme="minorEastAsia"/>
          <w:spacing w:val="-20"/>
          <w:szCs w:val="21"/>
          <w:lang w:val="en-US" w:eastAsia="zh-CN"/>
        </w:rPr>
        <w:t>4163</w:t>
      </w:r>
      <w:r>
        <w:rPr>
          <w:rFonts w:hint="eastAsia" w:cs="仿宋_GB2312" w:asciiTheme="minorEastAsia" w:hAnsiTheme="minorEastAsia" w:eastAsiaTheme="minorEastAsia"/>
          <w:spacing w:val="-20"/>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FF0000"/>
          <w:spacing w:val="-20"/>
          <w:szCs w:val="21"/>
        </w:rPr>
      </w:pPr>
      <w:r>
        <w:rPr>
          <w:rFonts w:hint="eastAsia" w:cs="仿宋_GB2312" w:asciiTheme="minorEastAsia" w:hAnsiTheme="minorEastAsia" w:eastAsiaTheme="minorEastAsia"/>
          <w:szCs w:val="21"/>
        </w:rPr>
        <w:t xml:space="preserve">（二） </w:t>
      </w:r>
      <w:r>
        <w:rPr>
          <w:rFonts w:hint="eastAsia" w:cs="仿宋_GB2312" w:asciiTheme="minorEastAsia" w:hAnsiTheme="minorEastAsia" w:eastAsiaTheme="minorEastAsia"/>
          <w:spacing w:val="-20"/>
          <w:szCs w:val="21"/>
        </w:rPr>
        <w:t>谈判响应文件开启及谈判地点：建安区新元大道兴业大厦北4楼评标</w:t>
      </w:r>
      <w:r>
        <w:rPr>
          <w:rFonts w:hint="eastAsia" w:cs="仿宋_GB2312" w:asciiTheme="minorEastAsia" w:hAnsiTheme="minorEastAsia" w:eastAsiaTheme="minorEastAsia"/>
          <w:spacing w:val="-20"/>
          <w:szCs w:val="21"/>
          <w:lang w:val="en-US" w:eastAsia="zh-CN"/>
        </w:rPr>
        <w:t>三</w:t>
      </w:r>
      <w:r>
        <w:rPr>
          <w:rFonts w:hint="eastAsia" w:cs="仿宋_GB2312" w:asciiTheme="minorEastAsia" w:hAnsiTheme="minorEastAsia" w:eastAsiaTheme="minorEastAsia"/>
          <w:spacing w:val="-20"/>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（三）</w:t>
      </w:r>
      <w:r>
        <w:rPr>
          <w:rFonts w:hint="eastAsia" w:cs="仿宋_GB2312" w:asciiTheme="minorEastAsia" w:hAnsiTheme="minorEastAsia" w:eastAsiaTheme="minorEastAsia"/>
          <w:spacing w:val="-20"/>
          <w:szCs w:val="21"/>
        </w:rPr>
        <w:t>本项目为全流程电子化交易项目，供应商须提交电子响应文件</w:t>
      </w:r>
      <w:r>
        <w:rPr>
          <w:rFonts w:hint="eastAsia" w:cs="仿宋_GB2312" w:asciiTheme="minorEastAsia" w:hAnsiTheme="minorEastAsia" w:eastAsiaTheme="minorEastAsia"/>
          <w:szCs w:val="21"/>
          <w:lang w:eastAsia="zh-CN"/>
        </w:rPr>
        <w:t>2份</w:t>
      </w:r>
      <w:r>
        <w:rPr>
          <w:rFonts w:hint="eastAsia" w:hAnsi="宋体"/>
          <w:szCs w:val="21"/>
        </w:rPr>
        <w:t>（使用电子介质存储）</w:t>
      </w:r>
      <w:r>
        <w:rPr>
          <w:rFonts w:hint="eastAsia" w:cs="仿宋_GB2312" w:asciiTheme="minorEastAsia" w:hAnsiTheme="minorEastAsia" w:eastAsiaTheme="minorEastAsia"/>
          <w:spacing w:val="-20"/>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1、加密电子响应文件</w:t>
      </w:r>
      <w:r>
        <w:rPr>
          <w:rFonts w:hint="eastAsia" w:cs="宋体" w:asciiTheme="minorEastAsia" w:hAnsiTheme="minorEastAsia"/>
          <w:szCs w:val="21"/>
        </w:rPr>
        <w:t>（</w:t>
      </w:r>
      <w:r>
        <w:rPr>
          <w:rFonts w:asciiTheme="minorEastAsia" w:hAnsiTheme="minorEastAsia" w:eastAsiaTheme="minorEastAsia"/>
          <w:szCs w:val="21"/>
        </w:rPr>
        <w:t>.file</w:t>
      </w:r>
      <w:r>
        <w:rPr>
          <w:rFonts w:hint="eastAsia" w:cs="宋体" w:asciiTheme="minorEastAsia" w:hAnsiTheme="minorEastAsia"/>
          <w:szCs w:val="21"/>
        </w:rPr>
        <w:t>格式）须</w:t>
      </w:r>
      <w:r>
        <w:rPr>
          <w:rFonts w:hint="eastAsia" w:cs="仿宋_GB2312" w:asciiTheme="minorEastAsia" w:hAnsiTheme="minorEastAsia" w:eastAsiaTheme="minorEastAsia"/>
          <w:szCs w:val="21"/>
        </w:rPr>
        <w:t>在谈判响应截止时间（谈判时间）前通过《全国公共资源交易平台(河南省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eastAsiaTheme="minorEastAsia"/>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shd w:val="pct10" w:color="auto" w:fill="FFFFFF"/>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eastAsia="zh-CN"/>
        </w:rPr>
        <w:t>电子</w:t>
      </w:r>
      <w:r>
        <w:rPr>
          <w:rFonts w:hint="eastAsia" w:cs="仿宋_GB2312" w:asciiTheme="minorEastAsia" w:hAnsiTheme="minorEastAsia" w:eastAsiaTheme="minorEastAsia"/>
          <w:szCs w:val="21"/>
        </w:rPr>
        <w:t>备份文件</w:t>
      </w:r>
      <w:r>
        <w:rPr>
          <w:rFonts w:hint="eastAsia" w:cs="仿宋_GB2312" w:asciiTheme="minorEastAsia" w:hAnsiTheme="minorEastAsia" w:eastAsiaTheme="minorEastAsia"/>
          <w:szCs w:val="21"/>
          <w:lang w:eastAsia="zh-CN"/>
        </w:rPr>
        <w:t>2份</w:t>
      </w:r>
      <w:r>
        <w:rPr>
          <w:rFonts w:hint="eastAsia" w:hAnsi="宋体"/>
          <w:szCs w:val="21"/>
        </w:rPr>
        <w:t>（使用电子介质存储）</w:t>
      </w:r>
      <w:r>
        <w:rPr>
          <w:rFonts w:hint="eastAsia" w:cs="仿宋_GB2312" w:asciiTheme="minorEastAsia" w:hAnsiTheme="minorEastAsia" w:eastAsiaTheme="minorEastAsia"/>
          <w:szCs w:val="21"/>
        </w:rPr>
        <w:t>在谈判响应截止时间（谈判时间）前递交。</w:t>
      </w:r>
    </w:p>
    <w:p>
      <w:pPr>
        <w:pStyle w:val="21"/>
        <w:widowControl/>
        <w:shd w:val="clear" w:color="auto" w:fill="FFFFFF"/>
        <w:spacing w:line="360" w:lineRule="auto"/>
        <w:contextualSpacing/>
        <w:jc w:val="left"/>
        <w:rPr>
          <w:rFonts w:cs="黑体" w:asciiTheme="minorEastAsia" w:hAnsiTheme="minorEastAsia" w:eastAsiaTheme="minorEastAsia"/>
          <w:b/>
          <w:bCs/>
          <w:szCs w:val="21"/>
          <w:shd w:val="clear" w:color="auto" w:fill="FFFFFF"/>
        </w:rPr>
      </w:pPr>
      <w:r>
        <w:rPr>
          <w:rFonts w:hint="eastAsia" w:cs="黑体" w:asciiTheme="minorEastAsia" w:hAnsiTheme="minorEastAsia" w:eastAsiaTheme="minorEastAsia"/>
          <w:b/>
          <w:bCs/>
          <w:szCs w:val="21"/>
          <w:shd w:val="clear" w:color="auto" w:fill="FFFFFF"/>
        </w:rPr>
        <w:t>七、本次采购公告同时在《中国政府采购网》、《河南省政府采购网》、《许昌市政府采购网》、《全国公共资源交易平台（河南省·许昌市）》发布。</w:t>
      </w:r>
    </w:p>
    <w:p>
      <w:pPr>
        <w:pStyle w:val="21"/>
        <w:widowControl/>
        <w:shd w:val="clear" w:color="auto" w:fill="FFFFFF"/>
        <w:spacing w:line="360" w:lineRule="auto"/>
        <w:contextualSpacing/>
        <w:jc w:val="left"/>
        <w:rPr>
          <w:rFonts w:cs="黑体" w:asciiTheme="minorEastAsia" w:hAnsiTheme="minorEastAsia" w:eastAsiaTheme="minorEastAsia"/>
          <w:b/>
          <w:bCs/>
          <w:szCs w:val="21"/>
          <w:shd w:val="clear" w:color="auto" w:fill="FFFFFF"/>
        </w:rPr>
      </w:pPr>
      <w:r>
        <w:rPr>
          <w:rFonts w:hint="eastAsia" w:cs="黑体" w:asciiTheme="minorEastAsia" w:hAnsiTheme="minorEastAsia" w:eastAsiaTheme="minorEastAsia"/>
          <w:b/>
          <w:bCs/>
          <w:szCs w:val="21"/>
          <w:shd w:val="clear" w:color="auto" w:fill="FFFFFF"/>
        </w:rPr>
        <w:t>八、公告期限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本公告自发布之日起公告期限为3个工作日。</w:t>
      </w:r>
    </w:p>
    <w:p>
      <w:pPr>
        <w:pStyle w:val="21"/>
        <w:widowControl/>
        <w:shd w:val="clear" w:color="auto" w:fill="FFFFFF"/>
        <w:spacing w:line="360" w:lineRule="auto"/>
        <w:contextualSpacing/>
        <w:jc w:val="left"/>
        <w:rPr>
          <w:rFonts w:cs="黑体" w:asciiTheme="minorEastAsia" w:hAnsiTheme="minorEastAsia" w:eastAsiaTheme="minorEastAsia"/>
          <w:b/>
          <w:bCs/>
          <w:szCs w:val="21"/>
        </w:rPr>
      </w:pPr>
      <w:r>
        <w:rPr>
          <w:rFonts w:hint="eastAsia" w:cs="黑体" w:asciiTheme="minorEastAsia" w:hAnsiTheme="minorEastAsia" w:eastAsiaTheme="minorEastAsia"/>
          <w:b/>
          <w:bCs/>
          <w:szCs w:val="21"/>
        </w:rPr>
        <w:t>九、联系方式</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采购人：许昌市建安区公安局</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项目负责人：孙宏涛   18637463677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采购代理机构：河南建标工程管理有限公司</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项目负责人：寇钰     18839978877</w:t>
      </w:r>
    </w:p>
    <w:p>
      <w:pPr>
        <w:pStyle w:val="21"/>
        <w:widowControl/>
        <w:shd w:val="clear" w:color="auto" w:fill="FFFFFF"/>
        <w:spacing w:line="360" w:lineRule="auto"/>
        <w:ind w:right="615"/>
        <w:contextualSpacing/>
        <w:jc w:val="right"/>
        <w:rPr>
          <w:rFonts w:cs="黑体" w:asciiTheme="minorEastAsia" w:hAnsiTheme="minorEastAsia" w:eastAsiaTheme="minorEastAsia"/>
          <w:b/>
          <w:bCs/>
          <w:szCs w:val="21"/>
          <w:shd w:val="clear" w:color="auto" w:fill="FFFFFF"/>
        </w:rPr>
      </w:pPr>
      <w:r>
        <w:rPr>
          <w:rFonts w:hint="eastAsia" w:cs="仿宋_GB2312" w:asciiTheme="minorEastAsia" w:hAnsiTheme="minorEastAsia" w:eastAsiaTheme="minorEastAsia"/>
          <w:szCs w:val="21"/>
        </w:rPr>
        <w:t>许昌市建安区公安局</w:t>
      </w:r>
    </w:p>
    <w:p>
      <w:pPr>
        <w:pStyle w:val="21"/>
        <w:widowControl/>
        <w:shd w:val="clear" w:color="auto" w:fill="FFFFFF"/>
        <w:spacing w:line="360" w:lineRule="auto"/>
        <w:ind w:right="735" w:firstLine="420"/>
        <w:contextualSpacing/>
        <w:jc w:val="righ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2019年</w:t>
      </w:r>
      <w:r>
        <w:rPr>
          <w:rFonts w:hint="eastAsia" w:cs="仿宋_GB2312" w:asciiTheme="minorEastAsia" w:hAnsiTheme="minorEastAsia" w:eastAsiaTheme="minorEastAsia"/>
          <w:szCs w:val="21"/>
          <w:shd w:val="clear" w:color="auto" w:fill="FFFFFF"/>
          <w:lang w:val="en-US" w:eastAsia="zh-CN"/>
        </w:rPr>
        <w:t>8</w:t>
      </w:r>
      <w:r>
        <w:rPr>
          <w:rFonts w:hint="eastAsia" w:cs="仿宋_GB2312" w:asciiTheme="minorEastAsia" w:hAnsiTheme="minorEastAsia" w:eastAsiaTheme="minorEastAsia"/>
          <w:szCs w:val="21"/>
          <w:shd w:val="clear" w:color="auto" w:fill="FFFFFF"/>
        </w:rPr>
        <w:t>月</w:t>
      </w:r>
      <w:r>
        <w:rPr>
          <w:rFonts w:hint="eastAsia" w:cs="仿宋_GB2312" w:asciiTheme="minorEastAsia" w:hAnsiTheme="minorEastAsia" w:eastAsiaTheme="minorEastAsia"/>
          <w:szCs w:val="21"/>
          <w:shd w:val="clear" w:color="auto" w:fill="FFFFFF"/>
          <w:lang w:val="en-US" w:eastAsia="zh-CN"/>
        </w:rPr>
        <w:t>8</w:t>
      </w:r>
      <w:r>
        <w:rPr>
          <w:rFonts w:hint="eastAsia" w:cs="仿宋_GB2312" w:asciiTheme="minorEastAsia" w:hAnsiTheme="minorEastAsia" w:eastAsiaTheme="minorEastAsia"/>
          <w:szCs w:val="21"/>
          <w:shd w:val="clear" w:color="auto" w:fill="FFFFFF"/>
        </w:rPr>
        <w:t>日</w:t>
      </w:r>
    </w:p>
    <w:p>
      <w:pPr>
        <w:spacing w:line="360" w:lineRule="auto"/>
        <w:rPr>
          <w:rFonts w:hAnsi="宋体"/>
          <w:b/>
          <w:sz w:val="32"/>
          <w:szCs w:val="28"/>
        </w:rPr>
      </w:pPr>
    </w:p>
    <w:p>
      <w:pPr>
        <w:spacing w:line="360" w:lineRule="auto"/>
        <w:rPr>
          <w:rFonts w:asciiTheme="minorEastAsia" w:hAnsiTheme="minorEastAsia"/>
          <w:b/>
          <w:sz w:val="24"/>
          <w:szCs w:val="24"/>
        </w:rPr>
      </w:pPr>
      <w:r>
        <w:rPr>
          <w:rFonts w:hint="eastAsia" w:asciiTheme="minorEastAsia" w:hAnsiTheme="minorEastAsia"/>
          <w:b/>
          <w:sz w:val="24"/>
          <w:szCs w:val="24"/>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1.供应商应按</w:t>
      </w:r>
      <w:r>
        <w:rPr>
          <w:rFonts w:hint="eastAsia" w:asciiTheme="minorEastAsia" w:hAnsiTheme="minorEastAsia"/>
          <w:b/>
          <w:sz w:val="24"/>
          <w:szCs w:val="24"/>
        </w:rPr>
        <w:t>谈判</w:t>
      </w:r>
      <w:r>
        <w:rPr>
          <w:rFonts w:hint="eastAsia" w:asciiTheme="minorEastAsia" w:hAnsiTheme="minorEastAsia"/>
          <w:b/>
          <w:color w:val="000000"/>
          <w:sz w:val="24"/>
          <w:szCs w:val="24"/>
        </w:rPr>
        <w:t>文件规定编制、提交电子响应文件。谈判响应文件递交地点、谈判现场不接受供应商递交的备份电子响应文件以外的其他资料。</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asciiTheme="minorEastAsia" w:hAnsiTheme="minorEastAsia"/>
          <w:b/>
          <w:color w:val="000000"/>
          <w:sz w:val="24"/>
          <w:szCs w:val="24"/>
        </w:rPr>
        <w:t>电子文件下载、制作、提交期间和谈判响应文件递交（</w:t>
      </w:r>
      <w:r>
        <w:rPr>
          <w:rFonts w:hint="eastAsia" w:asciiTheme="minorEastAsia" w:hAnsiTheme="minorEastAsia"/>
          <w:b/>
          <w:sz w:val="24"/>
          <w:szCs w:val="24"/>
        </w:rPr>
        <w:t>电子响应文件的解密</w:t>
      </w:r>
      <w:r>
        <w:rPr>
          <w:rFonts w:hint="eastAsia" w:asciiTheme="minorEastAsia" w:hAnsiTheme="minorEastAsia"/>
          <w:b/>
          <w:color w:val="000000"/>
          <w:sz w:val="24"/>
          <w:szCs w:val="24"/>
        </w:rPr>
        <w:t>）环节，供应商须使用</w:t>
      </w:r>
      <w:r>
        <w:rPr>
          <w:rFonts w:asciiTheme="minorEastAsia" w:hAnsiTheme="minorEastAsia"/>
          <w:b/>
          <w:color w:val="000000"/>
          <w:sz w:val="24"/>
          <w:szCs w:val="24"/>
        </w:rPr>
        <w:t>CA数字证书</w:t>
      </w:r>
      <w:r>
        <w:rPr>
          <w:rFonts w:hint="eastAsia" w:asciiTheme="minorEastAsia" w:hAnsiTheme="minorEastAsia"/>
          <w:b/>
          <w:color w:val="000000"/>
          <w:sz w:val="24"/>
          <w:szCs w:val="24"/>
        </w:rPr>
        <w:t>（证书须在有效期内）</w:t>
      </w:r>
      <w:r>
        <w:rPr>
          <w:rFonts w:asciiTheme="minorEastAsia" w:hAnsiTheme="minorEastAsia"/>
          <w:b/>
          <w:color w:val="000000"/>
          <w:sz w:val="24"/>
          <w:szCs w:val="24"/>
        </w:rPr>
        <w:t>。</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.电子响应文件的制作</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 供应商登录《全国公共资源交易平台(河南省</w:t>
      </w:r>
      <w:r>
        <w:rPr>
          <w:rFonts w:hint="eastAsia" w:eastAsia="MS Mincho" w:cs="MS Mincho" w:asciiTheme="minorEastAsia" w:hAns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w:t>
      </w:r>
      <w:r>
        <w:rPr>
          <w:rFonts w:hint="eastAsia" w:asciiTheme="minorEastAsia" w:hAnsiTheme="minorEastAsia"/>
          <w:sz w:val="24"/>
          <w:szCs w:val="24"/>
        </w:rPr>
        <w:t>系统（</w:t>
      </w:r>
      <w:r>
        <w:fldChar w:fldCharType="begin"/>
      </w:r>
      <w:r>
        <w:instrText xml:space="preserve"> HYPERLINK "http://221.14.6.70:8088/ggzy/" </w:instrText>
      </w:r>
      <w:r>
        <w:fldChar w:fldCharType="separate"/>
      </w:r>
      <w:r>
        <w:rPr>
          <w:rStyle w:val="27"/>
          <w:rFonts w:asciiTheme="minorEastAsia" w:hAnsiTheme="minorEastAsia"/>
          <w:szCs w:val="24"/>
        </w:rPr>
        <w:t>http://221.14.6.70:8088/ggzy/</w:t>
      </w:r>
      <w:r>
        <w:rPr>
          <w:rStyle w:val="27"/>
          <w:rFonts w:asciiTheme="minorEastAsia" w:hAnsiTheme="minorEastAsia"/>
          <w:szCs w:val="24"/>
        </w:rPr>
        <w:fldChar w:fldCharType="end"/>
      </w:r>
      <w:r>
        <w:rPr>
          <w:rFonts w:hint="eastAsia" w:asciiTheme="minorEastAsia" w:hAnsiTheme="minorEastAsia"/>
          <w:sz w:val="24"/>
          <w:szCs w:val="24"/>
        </w:rPr>
        <w:t>）下载“许昌投标文件制作系统SEARUN</w:t>
      </w:r>
      <w:r>
        <w:rPr>
          <w:rFonts w:hint="eastAsia" w:asciiTheme="minorEastAsia" w:hAnsiTheme="minorEastAsia"/>
          <w:color w:val="000000"/>
          <w:sz w:val="24"/>
          <w:szCs w:val="24"/>
        </w:rPr>
        <w:t xml:space="preserve"> V1.1”，按谈判文件要求制作电子响应文件。</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电子响应文件的制作，参考《全国公共资源交易平台(河南省</w:t>
      </w:r>
      <w:r>
        <w:rPr>
          <w:rFonts w:hint="eastAsia" w:eastAsia="MS Mincho" w:cs="MS Mincho" w:asciiTheme="minorEastAsia" w:hAns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)》公共资源交易系统——组件下载——交易系统操作手册（供应商、供应商）。</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3.3</w:t>
      </w:r>
      <w:r>
        <w:rPr>
          <w:rFonts w:hint="eastAsia" w:asciiTheme="minorEastAsia" w:hAnsiTheme="minorEastAsia"/>
          <w:color w:val="000000"/>
          <w:sz w:val="24"/>
          <w:szCs w:val="24"/>
        </w:rPr>
        <w:t>供应商对同一项目多个标段进行投标的，应分别下载所响应标段的谈判文件，按标段制作电子响应文件，并按谈判文件要求在相应位置加盖供应商电子印章和法人电子印章。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asciiTheme="minorEastAsia" w:hAnsiTheme="minorEastAsia"/>
          <w:color w:val="000000"/>
          <w:sz w:val="24"/>
          <w:szCs w:val="24"/>
        </w:rPr>
      </w:pPr>
      <w:r>
        <w:rPr>
          <w:rFonts w:hint="eastAsia" w:asciiTheme="minorEastAsia" w:hAnsiTheme="minor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hint="eastAsia" w:asciiTheme="minorEastAsia" w:hAnsiTheme="minorEastAsia"/>
          <w:color w:val="000000"/>
          <w:sz w:val="24"/>
          <w:szCs w:val="24"/>
        </w:rPr>
        <w:t>”的文件用于电子响应使用，后缀名为“.PDF”的文件用于打印纸质响应文件（如需提供），名称为“备份”的文件夹使用电子介质存储，供谈判响应文件递交现场备用。</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.加密电子响应文件的提交</w:t>
      </w:r>
    </w:p>
    <w:p>
      <w:pPr>
        <w:tabs>
          <w:tab w:val="left" w:pos="7095"/>
        </w:tabs>
        <w:spacing w:line="360" w:lineRule="auto"/>
        <w:ind w:firstLine="480" w:firstLineChars="200"/>
        <w:contextualSpacing/>
        <w:rPr>
          <w:rFonts w:asciiTheme="minorEastAsia" w:hAnsiTheme="minorEastAsia"/>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.1加密电子响应文件应在谈判文件规定的谈判响应截止时间（谈判时间）之前成功提交至《全国公共资源交易平台(河南省</w:t>
      </w:r>
      <w:r>
        <w:rPr>
          <w:rFonts w:hint="eastAsia" w:eastAsia="MS Mincho" w:cs="MS Mincho" w:asciiTheme="minorEastAsia" w:hAns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w:t>
      </w:r>
      <w:r>
        <w:rPr>
          <w:rFonts w:hint="eastAsia" w:asciiTheme="minorEastAsia" w:hAnsiTheme="minorEastAsia"/>
          <w:sz w:val="24"/>
          <w:szCs w:val="24"/>
        </w:rPr>
        <w:t>（</w:t>
      </w:r>
      <w:r>
        <w:fldChar w:fldCharType="begin"/>
      </w:r>
      <w:r>
        <w:instrText xml:space="preserve"> HYPERLINK "http://221.14.6.70:8088/ggzy/" </w:instrText>
      </w:r>
      <w:r>
        <w:fldChar w:fldCharType="separate"/>
      </w:r>
      <w:r>
        <w:rPr>
          <w:rStyle w:val="27"/>
          <w:rFonts w:asciiTheme="minorEastAsia" w:hAnsiTheme="minorEastAsia"/>
          <w:szCs w:val="24"/>
        </w:rPr>
        <w:t>http://221.14.6.70:8088/ggzy/</w:t>
      </w:r>
      <w:r>
        <w:rPr>
          <w:rStyle w:val="27"/>
          <w:rFonts w:asciiTheme="minorEastAsia" w:hAnsiTheme="minorEastAsia"/>
          <w:szCs w:val="24"/>
        </w:rPr>
        <w:fldChar w:fldCharType="end"/>
      </w:r>
      <w:r>
        <w:rPr>
          <w:rFonts w:hint="eastAsia" w:asciiTheme="minorEastAsia" w:hAnsiTheme="minorEastAsia"/>
          <w:sz w:val="24"/>
          <w:szCs w:val="24"/>
        </w:rPr>
        <w:t>）。</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供应商应充分考虑并预留技术处理和上传数据所需时间。</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2 供应商对同一项目多个标段进行投标的，加密电子响应文件应按标段分别提交。</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加密电子响应文件成功提交后，供应商应打印“投标文件提交回执单”供开标现场备查。</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.评标依据</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5.1采用全流程电子化交易评标时，评标委员会以电子响应文件为依据评标。</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5.2全流程电子化交易如因系统异常情况无法完成，将以人工方式进行。评标委员会以备份文件（使用电子介质存储）为依据评审。</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rPr>
          <w:rFonts w:cs="宋体" w:asciiTheme="majorEastAsia" w:hAnsiTheme="majorEastAsia" w:eastAsiaTheme="majorEastAsia"/>
          <w:b/>
          <w:kern w:val="0"/>
          <w:sz w:val="32"/>
          <w:szCs w:val="32"/>
        </w:rPr>
      </w:pPr>
    </w:p>
    <w:p>
      <w:pPr>
        <w:ind w:firstLine="161" w:firstLineChars="50"/>
        <w:jc w:val="center"/>
        <w:rPr>
          <w:rFonts w:cs="宋体" w:asciiTheme="majorEastAsia" w:hAnsiTheme="majorEastAsia" w:eastAsiaTheme="majorEastAsia"/>
          <w:b/>
          <w:kern w:val="0"/>
          <w:sz w:val="32"/>
          <w:szCs w:val="32"/>
        </w:rPr>
      </w:pPr>
    </w:p>
    <w:p>
      <w:pPr>
        <w:ind w:firstLine="161" w:firstLineChars="50"/>
        <w:jc w:val="center"/>
        <w:rPr>
          <w:rFonts w:hint="eastAsia" w:cs="宋体" w:asciiTheme="majorEastAsia" w:hAnsiTheme="majorEastAsia" w:eastAsiaTheme="majorEastAsia"/>
          <w:b/>
          <w:kern w:val="0"/>
          <w:sz w:val="32"/>
          <w:szCs w:val="32"/>
        </w:rPr>
      </w:pPr>
    </w:p>
    <w:p>
      <w:pPr>
        <w:ind w:firstLine="161" w:firstLineChars="5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jc w:val="center"/>
        <w:rPr>
          <w:rFonts w:ascii="宋体" w:hAnsi="宋体" w:eastAsia="宋体" w:cs="宋体"/>
          <w:b/>
          <w:bCs/>
          <w:sz w:val="32"/>
          <w:szCs w:val="32"/>
        </w:rPr>
      </w:pPr>
      <w:r>
        <w:rPr>
          <w:rFonts w:hint="eastAsia" w:ascii="宋体" w:hAnsi="宋体" w:eastAsia="宋体" w:cs="宋体"/>
          <w:b/>
          <w:bCs/>
          <w:sz w:val="32"/>
          <w:szCs w:val="32"/>
        </w:rPr>
        <w:t>许昌市建安区公安局辅警移动警务终端采购项目</w:t>
      </w:r>
    </w:p>
    <w:p>
      <w:pPr>
        <w:jc w:val="center"/>
        <w:rPr>
          <w:rFonts w:ascii="宋体" w:hAnsi="宋体" w:eastAsia="宋体" w:cs="宋体"/>
          <w:b/>
          <w:bCs/>
          <w:sz w:val="32"/>
          <w:szCs w:val="32"/>
        </w:rPr>
      </w:pPr>
      <w:r>
        <w:rPr>
          <w:rFonts w:hint="eastAsia" w:ascii="宋体" w:hAnsi="宋体" w:eastAsia="宋体" w:cs="宋体"/>
          <w:b/>
          <w:bCs/>
          <w:sz w:val="32"/>
          <w:szCs w:val="32"/>
        </w:rPr>
        <w:t>采购说明</w:t>
      </w:r>
    </w:p>
    <w:p>
      <w:pPr>
        <w:tabs>
          <w:tab w:val="left" w:pos="7095"/>
        </w:tabs>
        <w:spacing w:line="360" w:lineRule="auto"/>
        <w:ind w:firstLine="422" w:firstLineChars="200"/>
        <w:contextualSpacing/>
        <w:rPr>
          <w:rFonts w:ascii="宋体" w:hAnsi="宋体" w:eastAsia="宋体" w:cs="宋体"/>
          <w:b/>
          <w:bCs/>
          <w:color w:val="000000"/>
          <w:szCs w:val="21"/>
        </w:rPr>
      </w:pPr>
      <w:r>
        <w:rPr>
          <w:rFonts w:hint="eastAsia" w:ascii="宋体" w:hAnsi="宋体" w:eastAsia="宋体" w:cs="宋体"/>
          <w:b/>
          <w:bCs/>
          <w:color w:val="000000"/>
          <w:szCs w:val="21"/>
        </w:rPr>
        <w:t>一、项目说明</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1.1  供应商中标后直至验收止，未经采购人同意，中标供应商不得以任何形式和理由转包或者分包；如出现上述情形，采购人向政府采购监督部门提出申请并经批准后，可取消其中标资格，并与其立即解除合同，由此引起的经济损失全部由中标供应商承担。</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1.2  本章规定的各项技术规格若涉及到品牌、型号等，并不表明该标的被指定，而是仅供供应商做技术性的参考，供应商所投报的产品只要性能达到或超过谈判文件要求，都将被视为对谈判文件作出了实质性响应。</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1.3  谈判文件中带“★”条款和“专用合同条款”为实质性条款，供应商必须按照谈判文件的要求做出实质性响应，否则投标无效。</w:t>
      </w:r>
    </w:p>
    <w:p>
      <w:pPr>
        <w:tabs>
          <w:tab w:val="left" w:pos="7095"/>
        </w:tabs>
        <w:spacing w:line="360" w:lineRule="auto"/>
        <w:ind w:firstLine="422" w:firstLineChars="200"/>
        <w:contextualSpacing/>
        <w:rPr>
          <w:rFonts w:ascii="宋体" w:hAnsi="宋体" w:eastAsia="宋体" w:cs="宋体"/>
          <w:b/>
          <w:bCs/>
          <w:color w:val="000000"/>
          <w:szCs w:val="21"/>
        </w:rPr>
      </w:pPr>
      <w:r>
        <w:rPr>
          <w:rFonts w:hint="eastAsia" w:ascii="宋体" w:hAnsi="宋体" w:eastAsia="宋体" w:cs="宋体"/>
          <w:b/>
          <w:bCs/>
          <w:color w:val="000000"/>
          <w:szCs w:val="21"/>
        </w:rPr>
        <w:t>二、项目概况</w:t>
      </w:r>
    </w:p>
    <w:p>
      <w:pPr>
        <w:tabs>
          <w:tab w:val="left" w:pos="7095"/>
        </w:tabs>
        <w:spacing w:line="360" w:lineRule="auto"/>
        <w:ind w:firstLine="420" w:firstLineChars="200"/>
        <w:contextualSpacing/>
        <w:rPr>
          <w:rFonts w:ascii="宋体" w:hAnsi="宋体" w:eastAsia="宋体" w:cs="宋体"/>
          <w:szCs w:val="21"/>
        </w:rPr>
      </w:pPr>
      <w:r>
        <w:rPr>
          <w:rFonts w:hint="eastAsia" w:ascii="宋体" w:hAnsi="宋体" w:eastAsia="宋体" w:cs="宋体"/>
          <w:color w:val="000000"/>
          <w:szCs w:val="21"/>
        </w:rPr>
        <w:t>本项目为许昌市建安区</w:t>
      </w:r>
      <w:r>
        <w:rPr>
          <w:rFonts w:hint="eastAsia" w:ascii="宋体" w:hAnsi="宋体" w:eastAsia="宋体" w:cs="宋体"/>
          <w:szCs w:val="21"/>
        </w:rPr>
        <w:t>公安局辅警移动警务终端采购项目。</w:t>
      </w:r>
    </w:p>
    <w:p>
      <w:pPr>
        <w:tabs>
          <w:tab w:val="left" w:pos="7095"/>
        </w:tabs>
        <w:spacing w:line="360" w:lineRule="auto"/>
        <w:ind w:firstLine="420" w:firstLineChars="200"/>
        <w:contextualSpacing/>
        <w:rPr>
          <w:rFonts w:ascii="宋体" w:hAnsi="宋体" w:eastAsia="宋体" w:cs="宋体"/>
          <w:szCs w:val="21"/>
        </w:rPr>
      </w:pPr>
      <w:r>
        <w:rPr>
          <w:rFonts w:hint="eastAsia" w:ascii="宋体" w:hAnsi="宋体" w:eastAsia="宋体" w:cs="宋体"/>
          <w:color w:val="000000"/>
          <w:szCs w:val="21"/>
        </w:rPr>
        <w:t>为进一步适应动态化、信息化条件下公安基层基础工作的新要求，</w:t>
      </w:r>
      <w:r>
        <w:rPr>
          <w:rFonts w:hint="eastAsia" w:ascii="宋体" w:hAnsi="宋体" w:eastAsia="宋体" w:cs="宋体"/>
          <w:szCs w:val="21"/>
        </w:rPr>
        <w:t>按照省厅一村一警智能平台推广应用工作会的要求和部署。经局党委研究采购辅警通智能手机终端并配发给我局社区警务辅警371人，用于开展社区警务工作。本次采购内容即为辅警人员配备移动警务终端及通信套餐服务。</w:t>
      </w:r>
    </w:p>
    <w:p>
      <w:pPr>
        <w:pStyle w:val="21"/>
        <w:widowControl/>
        <w:shd w:val="clear" w:color="auto" w:fill="FFFFFF"/>
        <w:spacing w:line="360" w:lineRule="auto"/>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★2.1本次辅警移动警务终端采购服务包括：</w:t>
      </w:r>
    </w:p>
    <w:p>
      <w:pPr>
        <w:pStyle w:val="21"/>
        <w:widowControl/>
        <w:shd w:val="clear" w:color="auto" w:fill="FFFFFF"/>
        <w:spacing w:line="360" w:lineRule="auto"/>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一标预算金额：260400.00元，最高限价：260400.00元。</w:t>
      </w:r>
    </w:p>
    <w:p>
      <w:pPr>
        <w:pStyle w:val="21"/>
        <w:widowControl/>
        <w:shd w:val="clear" w:color="auto" w:fill="FFFFFF"/>
        <w:spacing w:line="360" w:lineRule="auto"/>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包含124部警务辅助人员采集系统的配套移动终端服务、相应数量的通信资费套餐服务、附加通信服务、配套移动终端定制开发服务、应急服务、培训服务、质保、售后服务等相关服务。服务期为30个月，投标报价包含124套移动终端定制服务及30个月通讯服务费，并为其开通新号码。</w:t>
      </w:r>
    </w:p>
    <w:p>
      <w:pPr>
        <w:pStyle w:val="21"/>
        <w:widowControl/>
        <w:shd w:val="clear" w:color="auto" w:fill="FFFFFF"/>
        <w:spacing w:line="360" w:lineRule="auto"/>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二标预算金额：260400.00元，最高限价：260400.00元。</w:t>
      </w:r>
    </w:p>
    <w:p>
      <w:pPr>
        <w:pStyle w:val="21"/>
        <w:widowControl/>
        <w:shd w:val="clear" w:color="auto" w:fill="FFFFFF"/>
        <w:spacing w:line="360" w:lineRule="auto"/>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包含124部警务辅助人员采集系统的配套移动终端服务、相应数量的通信资费套餐服务、附加通信服务、配套移动终端定制开发服务、应急服</w:t>
      </w:r>
      <w:bookmarkStart w:id="3" w:name="_GoBack"/>
      <w:bookmarkEnd w:id="3"/>
      <w:r>
        <w:rPr>
          <w:rFonts w:hint="eastAsia" w:ascii="宋体" w:hAnsi="宋体" w:cs="宋体"/>
          <w:color w:val="000000"/>
          <w:sz w:val="21"/>
          <w:szCs w:val="21"/>
        </w:rPr>
        <w:t>务、培训服务、质保、售后服务等相关服务。服务期为30个月，投标报价包含124套移动终端定制服务及30个月通讯服务费，并为其开通新号码。</w:t>
      </w:r>
    </w:p>
    <w:p>
      <w:pPr>
        <w:pStyle w:val="21"/>
        <w:widowControl/>
        <w:shd w:val="clear" w:color="auto" w:fill="FFFFFF"/>
        <w:spacing w:line="360" w:lineRule="auto"/>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三标预算金额：258300.00元，最高限价：258300.00元。</w:t>
      </w:r>
    </w:p>
    <w:p>
      <w:pPr>
        <w:pStyle w:val="45"/>
        <w:tabs>
          <w:tab w:val="left" w:pos="1268"/>
        </w:tabs>
        <w:spacing w:line="360" w:lineRule="auto"/>
        <w:ind w:right="-4"/>
        <w:jc w:val="left"/>
        <w:rPr>
          <w:rFonts w:ascii="宋体" w:hAnsi="宋体" w:eastAsia="宋体" w:cs="宋体"/>
          <w:color w:val="000000"/>
          <w:szCs w:val="21"/>
        </w:rPr>
      </w:pPr>
      <w:r>
        <w:rPr>
          <w:rFonts w:hint="eastAsia" w:ascii="宋体" w:hAnsi="宋体" w:eastAsia="宋体" w:cs="宋体"/>
          <w:color w:val="000000"/>
          <w:szCs w:val="21"/>
        </w:rPr>
        <w:t>包含123部警务辅助人员采集系统的配套移动终端服务、相应数量的通信资费套餐服务、附加通信服务、配套移动终端定制开发服务、应急服务、培训服务、质保、售后服务等相关服务。服务期为30个月，投标报价包含12</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套移动终端定制服务及30个月通讯服务费，并为其开通新号码。</w:t>
      </w:r>
    </w:p>
    <w:p>
      <w:pPr>
        <w:pStyle w:val="45"/>
        <w:tabs>
          <w:tab w:val="left" w:pos="1268"/>
        </w:tabs>
        <w:spacing w:line="360" w:lineRule="auto"/>
        <w:ind w:left="420" w:leftChars="200" w:right="771" w:firstLine="0" w:firstLineChars="0"/>
        <w:jc w:val="left"/>
        <w:rPr>
          <w:rFonts w:ascii="宋体" w:hAnsi="宋体" w:eastAsia="宋体" w:cs="宋体"/>
          <w:szCs w:val="21"/>
        </w:rPr>
      </w:pPr>
      <w:r>
        <w:rPr>
          <w:rFonts w:hint="eastAsia" w:ascii="宋体" w:hAnsi="宋体" w:eastAsia="宋体" w:cs="宋体"/>
          <w:color w:val="000000"/>
          <w:szCs w:val="21"/>
        </w:rPr>
        <w:t>★2.2许昌市建安区</w:t>
      </w:r>
      <w:r>
        <w:rPr>
          <w:rFonts w:hint="eastAsia" w:ascii="宋体" w:hAnsi="宋体" w:eastAsia="宋体" w:cs="宋体"/>
          <w:szCs w:val="21"/>
        </w:rPr>
        <w:t>公安局辅警移动警务终端采购项目需求（</w:t>
      </w:r>
      <w:r>
        <w:rPr>
          <w:rFonts w:hint="eastAsia" w:ascii="宋体" w:hAnsi="宋体" w:eastAsia="宋体" w:cs="宋体"/>
          <w:b/>
          <w:bCs/>
          <w:szCs w:val="21"/>
        </w:rPr>
        <w:t>一标、二标、三标需求标准统一</w:t>
      </w:r>
      <w:r>
        <w:rPr>
          <w:rFonts w:hint="eastAsia" w:ascii="宋体" w:hAnsi="宋体" w:eastAsia="宋体" w:cs="宋体"/>
          <w:szCs w:val="21"/>
        </w:rPr>
        <w:t>）</w:t>
      </w:r>
    </w:p>
    <w:tbl>
      <w:tblPr>
        <w:tblStyle w:val="28"/>
        <w:tblW w:w="9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9"/>
        <w:gridCol w:w="6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028" w:type="dxa"/>
            <w:gridSpan w:val="2"/>
            <w:noWrap/>
          </w:tcPr>
          <w:p>
            <w:pPr>
              <w:pStyle w:val="3"/>
              <w:spacing w:after="0" w:line="324" w:lineRule="auto"/>
              <w:ind w:left="104"/>
              <w:rPr>
                <w:rFonts w:eastAsia="宋体"/>
                <w:b/>
                <w:szCs w:val="21"/>
              </w:rPr>
            </w:pPr>
            <w:r>
              <w:rPr>
                <w:szCs w:val="21"/>
              </w:rPr>
              <w:t>操作系</w:t>
            </w:r>
            <w:r>
              <w:rPr>
                <w:rFonts w:hint="eastAsia" w:eastAsia="宋体"/>
                <w:szCs w:val="21"/>
              </w:rPr>
              <w:t xml:space="preserve">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9028" w:type="dxa"/>
            <w:gridSpan w:val="2"/>
            <w:noWrap/>
          </w:tcPr>
          <w:p>
            <w:pPr>
              <w:pStyle w:val="59"/>
              <w:spacing w:before="0" w:line="324" w:lineRule="auto"/>
              <w:ind w:left="108"/>
              <w:rPr>
                <w:b/>
                <w:szCs w:val="21"/>
              </w:rPr>
            </w:pPr>
            <w:r>
              <w:rPr>
                <w:b/>
                <w:szCs w:val="21"/>
              </w:rPr>
              <w:t>★支持安全操作系统</w:t>
            </w:r>
            <w:r>
              <w:rPr>
                <w:rFonts w:hint="eastAsia"/>
                <w:b/>
                <w:szCs w:val="21"/>
              </w:rPr>
              <w:t>，最新</w:t>
            </w:r>
            <w:r>
              <w:rPr>
                <w:b/>
                <w:szCs w:val="21"/>
              </w:rPr>
              <w:t>Android 版本</w:t>
            </w:r>
            <w:r>
              <w:rPr>
                <w:rFonts w:hint="eastAsia"/>
                <w:b/>
                <w:szCs w:val="21"/>
              </w:rPr>
              <w:t>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9028" w:type="dxa"/>
            <w:gridSpan w:val="2"/>
            <w:noWrap/>
          </w:tcPr>
          <w:p>
            <w:pPr>
              <w:pStyle w:val="59"/>
              <w:spacing w:before="0" w:line="324" w:lineRule="auto"/>
              <w:ind w:left="108"/>
              <w:rPr>
                <w:szCs w:val="21"/>
              </w:rPr>
            </w:pPr>
            <w:r>
              <w:rPr>
                <w:rFonts w:ascii="Times New Roman" w:hAnsi="Times New Roman" w:cs="Times New Roman"/>
                <w:szCs w:val="21"/>
                <w:lang w:val="en-US" w:bidi="ar-SA"/>
              </w:rPr>
              <w:t>安全认证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028" w:type="dxa"/>
            <w:gridSpan w:val="2"/>
            <w:noWrap/>
          </w:tcPr>
          <w:p>
            <w:pPr>
              <w:pStyle w:val="59"/>
              <w:spacing w:before="0" w:line="324" w:lineRule="auto"/>
              <w:ind w:left="108"/>
              <w:rPr>
                <w:b/>
                <w:szCs w:val="21"/>
              </w:rPr>
            </w:pPr>
            <w:r>
              <w:rPr>
                <w:rFonts w:hint="eastAsia"/>
                <w:b/>
                <w:szCs w:val="21"/>
                <w:lang w:val="en-US"/>
              </w:rPr>
              <w:t>★符合公安部门现行安全检测规定标准。支持安全加固单移动警务系统，支持NFC。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9028" w:type="dxa"/>
            <w:gridSpan w:val="2"/>
            <w:noWrap/>
          </w:tcPr>
          <w:p>
            <w:pPr>
              <w:pStyle w:val="59"/>
              <w:spacing w:before="0" w:line="324" w:lineRule="auto"/>
              <w:ind w:left="108"/>
              <w:rPr>
                <w:szCs w:val="21"/>
              </w:rPr>
            </w:pPr>
            <w:r>
              <w:rPr>
                <w:szCs w:val="21"/>
              </w:rPr>
              <w:t>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1" w:hRule="atLeast"/>
        </w:trPr>
        <w:tc>
          <w:tcPr>
            <w:tcW w:w="2629" w:type="dxa"/>
            <w:noWrap/>
          </w:tcPr>
          <w:p>
            <w:pPr>
              <w:pStyle w:val="59"/>
              <w:spacing w:before="0" w:line="324" w:lineRule="auto"/>
              <w:ind w:left="108"/>
              <w:rPr>
                <w:szCs w:val="21"/>
              </w:rPr>
            </w:pPr>
            <w:r>
              <w:rPr>
                <w:szCs w:val="21"/>
              </w:rPr>
              <w:t>触摸屏类型</w:t>
            </w:r>
          </w:p>
        </w:tc>
        <w:tc>
          <w:tcPr>
            <w:tcW w:w="6399" w:type="dxa"/>
            <w:noWrap/>
          </w:tcPr>
          <w:p>
            <w:pPr>
              <w:pStyle w:val="59"/>
              <w:spacing w:before="0" w:line="324" w:lineRule="auto"/>
              <w:rPr>
                <w:szCs w:val="21"/>
              </w:rPr>
            </w:pPr>
            <w:r>
              <w:rPr>
                <w:szCs w:val="21"/>
              </w:rPr>
              <w:t>电容屏，多点触控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主屏尺寸</w:t>
            </w:r>
          </w:p>
        </w:tc>
        <w:tc>
          <w:tcPr>
            <w:tcW w:w="6399" w:type="dxa"/>
            <w:noWrap/>
          </w:tcPr>
          <w:p>
            <w:pPr>
              <w:pStyle w:val="59"/>
              <w:spacing w:before="0" w:line="324" w:lineRule="auto"/>
              <w:rPr>
                <w:szCs w:val="21"/>
              </w:rPr>
            </w:pPr>
            <w:r>
              <w:rPr>
                <w:szCs w:val="21"/>
              </w:rPr>
              <w:t>≥</w:t>
            </w:r>
            <w:r>
              <w:rPr>
                <w:rFonts w:hint="eastAsia"/>
                <w:szCs w:val="21"/>
                <w:lang w:val="en-US"/>
              </w:rPr>
              <w:t>6.2</w:t>
            </w:r>
            <w:r>
              <w:rPr>
                <w:szCs w:val="21"/>
              </w:rPr>
              <w:t xml:space="preserve"> 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主屏材质</w:t>
            </w:r>
          </w:p>
        </w:tc>
        <w:tc>
          <w:tcPr>
            <w:tcW w:w="6399" w:type="dxa"/>
            <w:noWrap/>
          </w:tcPr>
          <w:p>
            <w:pPr>
              <w:pStyle w:val="59"/>
              <w:spacing w:before="0" w:line="324" w:lineRule="auto"/>
              <w:rPr>
                <w:szCs w:val="21"/>
              </w:rPr>
            </w:pPr>
            <w:r>
              <w:rPr>
                <w:szCs w:val="21"/>
              </w:rPr>
              <w:t>TFT 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主屏分辨率</w:t>
            </w:r>
          </w:p>
        </w:tc>
        <w:tc>
          <w:tcPr>
            <w:tcW w:w="6399" w:type="dxa"/>
            <w:noWrap/>
          </w:tcPr>
          <w:p>
            <w:pPr>
              <w:pStyle w:val="59"/>
              <w:spacing w:before="0" w:line="324" w:lineRule="auto"/>
              <w:rPr>
                <w:szCs w:val="21"/>
              </w:rPr>
            </w:pPr>
            <w:r>
              <w:rPr>
                <w:szCs w:val="21"/>
              </w:rPr>
              <w:t>≥</w:t>
            </w:r>
            <w:r>
              <w:rPr>
                <w:rFonts w:hint="eastAsia" w:ascii="Calibri" w:hAnsi="Calibri" w:eastAsia="Calibri" w:cs="Times New Roman"/>
                <w:szCs w:val="21"/>
                <w:lang w:val="en-US" w:bidi="ar-SA"/>
              </w:rPr>
              <w:t>1520x720</w:t>
            </w:r>
            <w:r>
              <w:rPr>
                <w:szCs w:val="21"/>
              </w:rPr>
              <w:t xml:space="preserve"> 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屏幕像素密度</w:t>
            </w:r>
          </w:p>
        </w:tc>
        <w:tc>
          <w:tcPr>
            <w:tcW w:w="6399" w:type="dxa"/>
            <w:noWrap/>
          </w:tcPr>
          <w:p>
            <w:pPr>
              <w:pStyle w:val="59"/>
              <w:spacing w:before="0" w:line="324" w:lineRule="auto"/>
              <w:rPr>
                <w:szCs w:val="21"/>
              </w:rPr>
            </w:pPr>
            <w:r>
              <w:rPr>
                <w:szCs w:val="21"/>
              </w:rPr>
              <w:t>≥</w:t>
            </w:r>
            <w:r>
              <w:rPr>
                <w:rFonts w:hint="eastAsia" w:ascii="Calibri" w:hAnsi="Calibri" w:eastAsia="Calibri" w:cs="Times New Roman"/>
                <w:szCs w:val="21"/>
                <w:lang w:val="en-US" w:bidi="ar-SA"/>
              </w:rPr>
              <w:t>270ppi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9028" w:type="dxa"/>
            <w:gridSpan w:val="2"/>
            <w:noWrap/>
          </w:tcPr>
          <w:p>
            <w:pPr>
              <w:pStyle w:val="59"/>
              <w:spacing w:before="0" w:line="324" w:lineRule="auto"/>
              <w:ind w:left="108"/>
              <w:rPr>
                <w:szCs w:val="21"/>
              </w:rPr>
            </w:pPr>
            <w:r>
              <w:rPr>
                <w:szCs w:val="21"/>
              </w:rPr>
              <w:t>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4" w:hRule="atLeast"/>
        </w:trPr>
        <w:tc>
          <w:tcPr>
            <w:tcW w:w="2629" w:type="dxa"/>
            <w:noWrap/>
          </w:tcPr>
          <w:p>
            <w:pPr>
              <w:pStyle w:val="59"/>
              <w:spacing w:before="0" w:line="324" w:lineRule="auto"/>
              <w:ind w:left="0"/>
              <w:rPr>
                <w:b/>
                <w:szCs w:val="21"/>
              </w:rPr>
            </w:pPr>
          </w:p>
          <w:p>
            <w:pPr>
              <w:pStyle w:val="59"/>
              <w:spacing w:before="0" w:line="324" w:lineRule="auto"/>
              <w:ind w:left="108"/>
              <w:rPr>
                <w:b/>
                <w:szCs w:val="21"/>
              </w:rPr>
            </w:pPr>
          </w:p>
          <w:p>
            <w:pPr>
              <w:pStyle w:val="59"/>
              <w:spacing w:before="0" w:line="324" w:lineRule="auto"/>
              <w:ind w:left="108"/>
              <w:rPr>
                <w:b/>
                <w:szCs w:val="21"/>
              </w:rPr>
            </w:pPr>
            <w:r>
              <w:rPr>
                <w:b/>
                <w:szCs w:val="21"/>
              </w:rPr>
              <w:t>★网络制式及频段</w:t>
            </w:r>
          </w:p>
        </w:tc>
        <w:tc>
          <w:tcPr>
            <w:tcW w:w="6399" w:type="dxa"/>
            <w:noWrap/>
          </w:tcPr>
          <w:p>
            <w:pPr>
              <w:pStyle w:val="59"/>
              <w:spacing w:before="0" w:line="324" w:lineRule="auto"/>
              <w:rPr>
                <w:b/>
                <w:szCs w:val="21"/>
              </w:rPr>
            </w:pPr>
            <w:r>
              <w:rPr>
                <w:b/>
                <w:spacing w:val="3"/>
                <w:w w:val="98"/>
                <w:szCs w:val="21"/>
              </w:rPr>
              <w:t>4</w:t>
            </w:r>
            <w:r>
              <w:rPr>
                <w:b/>
                <w:w w:val="98"/>
                <w:szCs w:val="21"/>
              </w:rPr>
              <w:t>G</w:t>
            </w:r>
            <w:r>
              <w:rPr>
                <w:b/>
                <w:spacing w:val="-55"/>
                <w:szCs w:val="21"/>
              </w:rPr>
              <w:t xml:space="preserve"> </w:t>
            </w:r>
            <w:r>
              <w:rPr>
                <w:b/>
                <w:spacing w:val="-32"/>
                <w:w w:val="99"/>
                <w:szCs w:val="21"/>
              </w:rPr>
              <w:t>网络：</w:t>
            </w:r>
            <w:r>
              <w:rPr>
                <w:b/>
                <w:spacing w:val="3"/>
                <w:w w:val="98"/>
                <w:szCs w:val="21"/>
              </w:rPr>
              <w:t>4</w:t>
            </w:r>
            <w:r>
              <w:rPr>
                <w:b/>
                <w:spacing w:val="1"/>
                <w:w w:val="98"/>
                <w:szCs w:val="21"/>
              </w:rPr>
              <w:t>G:</w:t>
            </w:r>
            <w:r>
              <w:rPr>
                <w:b/>
                <w:spacing w:val="-49"/>
                <w:w w:val="99"/>
                <w:szCs w:val="21"/>
              </w:rPr>
              <w:t>移动</w:t>
            </w:r>
            <w:r>
              <w:rPr>
                <w:b/>
                <w:spacing w:val="2"/>
                <w:w w:val="99"/>
                <w:szCs w:val="21"/>
              </w:rPr>
              <w:t>（</w:t>
            </w:r>
            <w:r>
              <w:rPr>
                <w:b/>
                <w:spacing w:val="3"/>
                <w:w w:val="98"/>
                <w:szCs w:val="21"/>
              </w:rPr>
              <w:t>T</w:t>
            </w:r>
            <w:r>
              <w:rPr>
                <w:b/>
                <w:spacing w:val="1"/>
                <w:w w:val="98"/>
                <w:szCs w:val="21"/>
              </w:rPr>
              <w:t>D-LT</w:t>
            </w:r>
            <w:r>
              <w:rPr>
                <w:b/>
                <w:spacing w:val="3"/>
                <w:w w:val="98"/>
                <w:szCs w:val="21"/>
              </w:rPr>
              <w:t>E</w:t>
            </w:r>
            <w:r>
              <w:rPr>
                <w:b/>
                <w:spacing w:val="-104"/>
                <w:w w:val="99"/>
                <w:szCs w:val="21"/>
              </w:rPr>
              <w:t>）</w:t>
            </w:r>
            <w:r>
              <w:rPr>
                <w:b/>
                <w:spacing w:val="3"/>
                <w:w w:val="98"/>
                <w:szCs w:val="21"/>
              </w:rPr>
              <w:t>;</w:t>
            </w:r>
            <w:r>
              <w:rPr>
                <w:b/>
                <w:spacing w:val="1"/>
                <w:w w:val="98"/>
                <w:szCs w:val="21"/>
              </w:rPr>
              <w:t>4G</w:t>
            </w:r>
            <w:r>
              <w:rPr>
                <w:b/>
                <w:spacing w:val="-67"/>
                <w:w w:val="99"/>
                <w:szCs w:val="21"/>
              </w:rPr>
              <w:t>：联通</w:t>
            </w:r>
            <w:r>
              <w:rPr>
                <w:b/>
                <w:spacing w:val="2"/>
                <w:w w:val="99"/>
                <w:szCs w:val="21"/>
              </w:rPr>
              <w:t>（</w:t>
            </w:r>
            <w:r>
              <w:rPr>
                <w:b/>
                <w:spacing w:val="3"/>
                <w:w w:val="98"/>
                <w:szCs w:val="21"/>
              </w:rPr>
              <w:t>F</w:t>
            </w:r>
            <w:r>
              <w:rPr>
                <w:b/>
                <w:spacing w:val="1"/>
                <w:w w:val="98"/>
                <w:szCs w:val="21"/>
              </w:rPr>
              <w:t>DD-LT</w:t>
            </w:r>
            <w:r>
              <w:rPr>
                <w:b/>
                <w:spacing w:val="3"/>
                <w:w w:val="98"/>
                <w:szCs w:val="21"/>
              </w:rPr>
              <w:t>E</w:t>
            </w:r>
            <w:r>
              <w:rPr>
                <w:b/>
                <w:spacing w:val="-101"/>
                <w:w w:val="99"/>
                <w:szCs w:val="21"/>
              </w:rPr>
              <w:t>）</w:t>
            </w:r>
            <w:r>
              <w:rPr>
                <w:b/>
                <w:spacing w:val="1"/>
                <w:w w:val="98"/>
                <w:szCs w:val="21"/>
              </w:rPr>
              <w:t>;4</w:t>
            </w:r>
            <w:r>
              <w:rPr>
                <w:b/>
                <w:spacing w:val="3"/>
                <w:w w:val="98"/>
                <w:szCs w:val="21"/>
              </w:rPr>
              <w:t>G</w:t>
            </w:r>
            <w:r>
              <w:rPr>
                <w:b/>
                <w:spacing w:val="-33"/>
                <w:w w:val="99"/>
                <w:szCs w:val="21"/>
              </w:rPr>
              <w:t>：电信</w:t>
            </w:r>
            <w:r>
              <w:rPr>
                <w:b/>
                <w:spacing w:val="1"/>
                <w:szCs w:val="21"/>
              </w:rPr>
              <w:t xml:space="preserve"> </w:t>
            </w:r>
            <w:r>
              <w:rPr>
                <w:b/>
                <w:spacing w:val="3"/>
                <w:w w:val="98"/>
                <w:szCs w:val="21"/>
              </w:rPr>
              <w:t>(</w:t>
            </w:r>
            <w:r>
              <w:rPr>
                <w:b/>
                <w:spacing w:val="1"/>
                <w:w w:val="98"/>
                <w:szCs w:val="21"/>
              </w:rPr>
              <w:t>FDD-LTE</w:t>
            </w:r>
            <w:r>
              <w:rPr>
                <w:b/>
                <w:w w:val="98"/>
                <w:szCs w:val="21"/>
              </w:rPr>
              <w:t>)</w:t>
            </w:r>
          </w:p>
          <w:p>
            <w:pPr>
              <w:pStyle w:val="59"/>
              <w:spacing w:before="0" w:line="324" w:lineRule="auto"/>
              <w:rPr>
                <w:b/>
                <w:szCs w:val="21"/>
              </w:rPr>
            </w:pPr>
            <w:r>
              <w:rPr>
                <w:b/>
                <w:szCs w:val="21"/>
              </w:rPr>
              <w:t>4G:联通（TD-LTE）</w:t>
            </w:r>
          </w:p>
          <w:p>
            <w:pPr>
              <w:pStyle w:val="59"/>
              <w:spacing w:before="0" w:line="324" w:lineRule="auto"/>
              <w:rPr>
                <w:b/>
                <w:szCs w:val="21"/>
              </w:rPr>
            </w:pPr>
            <w:r>
              <w:rPr>
                <w:b/>
                <w:szCs w:val="21"/>
              </w:rPr>
              <w:t>网络频率(4G)：</w:t>
            </w:r>
          </w:p>
          <w:p>
            <w:pPr>
              <w:pStyle w:val="59"/>
              <w:spacing w:before="0" w:line="324" w:lineRule="auto"/>
              <w:rPr>
                <w:b/>
                <w:szCs w:val="21"/>
                <w:lang w:val="en-US"/>
              </w:rPr>
            </w:pPr>
            <w:r>
              <w:rPr>
                <w:b/>
                <w:szCs w:val="21"/>
                <w:lang w:val="en-US"/>
              </w:rPr>
              <w:t>FDD:B1/3/5/7/8 ;TDD:B34/38/39/40/41（100M）;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629" w:type="dxa"/>
            <w:noWrap/>
          </w:tcPr>
          <w:p>
            <w:pPr>
              <w:pStyle w:val="59"/>
              <w:spacing w:before="0" w:line="324" w:lineRule="auto"/>
              <w:ind w:left="108"/>
              <w:rPr>
                <w:szCs w:val="21"/>
              </w:rPr>
            </w:pPr>
            <w:r>
              <w:rPr>
                <w:szCs w:val="21"/>
              </w:rPr>
              <w:t>SIM 卡</w:t>
            </w:r>
          </w:p>
        </w:tc>
        <w:tc>
          <w:tcPr>
            <w:tcW w:w="6399" w:type="dxa"/>
            <w:noWrap/>
          </w:tcPr>
          <w:p>
            <w:pPr>
              <w:pStyle w:val="59"/>
              <w:spacing w:before="0" w:line="324" w:lineRule="auto"/>
              <w:rPr>
                <w:szCs w:val="21"/>
              </w:rPr>
            </w:pPr>
            <w:r>
              <w:rPr>
                <w:rFonts w:hint="eastAsia"/>
                <w:szCs w:val="21"/>
              </w:rPr>
              <w:t>单</w:t>
            </w:r>
            <w:r>
              <w:rPr>
                <w:szCs w:val="21"/>
              </w:rPr>
              <w:t>卡，Nano SIM 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9028" w:type="dxa"/>
            <w:gridSpan w:val="2"/>
            <w:noWrap/>
          </w:tcPr>
          <w:p>
            <w:pPr>
              <w:pStyle w:val="59"/>
              <w:spacing w:before="0" w:line="324" w:lineRule="auto"/>
              <w:ind w:left="108"/>
              <w:rPr>
                <w:szCs w:val="21"/>
              </w:rPr>
            </w:pPr>
            <w:r>
              <w:rPr>
                <w:szCs w:val="21"/>
              </w:rPr>
              <w:t>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核心数</w:t>
            </w:r>
          </w:p>
        </w:tc>
        <w:tc>
          <w:tcPr>
            <w:tcW w:w="6399" w:type="dxa"/>
            <w:noWrap/>
          </w:tcPr>
          <w:p>
            <w:pPr>
              <w:pStyle w:val="59"/>
              <w:spacing w:before="0" w:line="324" w:lineRule="auto"/>
              <w:rPr>
                <w:szCs w:val="21"/>
              </w:rPr>
            </w:pPr>
            <w:r>
              <w:rPr>
                <w:szCs w:val="21"/>
              </w:rPr>
              <w:t>≥8 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CPU 频率</w:t>
            </w:r>
          </w:p>
        </w:tc>
        <w:tc>
          <w:tcPr>
            <w:tcW w:w="6399" w:type="dxa"/>
            <w:noWrap/>
          </w:tcPr>
          <w:p>
            <w:pPr>
              <w:pStyle w:val="59"/>
              <w:spacing w:before="0" w:line="324" w:lineRule="auto"/>
              <w:rPr>
                <w:szCs w:val="21"/>
              </w:rPr>
            </w:pPr>
            <w:r>
              <w:rPr>
                <w:szCs w:val="21"/>
              </w:rPr>
              <w:t>最高频率≥1.3GHz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RAM 容量</w:t>
            </w:r>
          </w:p>
        </w:tc>
        <w:tc>
          <w:tcPr>
            <w:tcW w:w="6399" w:type="dxa"/>
            <w:noWrap/>
          </w:tcPr>
          <w:p>
            <w:pPr>
              <w:pStyle w:val="59"/>
              <w:spacing w:before="0" w:line="324" w:lineRule="auto"/>
              <w:rPr>
                <w:szCs w:val="21"/>
              </w:rPr>
            </w:pPr>
            <w:r>
              <w:rPr>
                <w:szCs w:val="21"/>
              </w:rPr>
              <w:t>≥</w:t>
            </w:r>
            <w:r>
              <w:rPr>
                <w:rFonts w:hint="eastAsia"/>
                <w:szCs w:val="21"/>
                <w:lang w:val="en-US"/>
              </w:rPr>
              <w:t>4</w:t>
            </w:r>
            <w:r>
              <w:rPr>
                <w:szCs w:val="21"/>
              </w:rPr>
              <w:t>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ROM 容量</w:t>
            </w:r>
          </w:p>
        </w:tc>
        <w:tc>
          <w:tcPr>
            <w:tcW w:w="6399" w:type="dxa"/>
            <w:noWrap/>
          </w:tcPr>
          <w:p>
            <w:pPr>
              <w:pStyle w:val="59"/>
              <w:spacing w:before="0" w:line="324" w:lineRule="auto"/>
              <w:rPr>
                <w:szCs w:val="21"/>
              </w:rPr>
            </w:pPr>
            <w:r>
              <w:rPr>
                <w:szCs w:val="21"/>
              </w:rPr>
              <w:t>≥</w:t>
            </w:r>
            <w:r>
              <w:rPr>
                <w:rFonts w:hint="eastAsia"/>
                <w:szCs w:val="21"/>
                <w:lang w:val="en-US"/>
              </w:rPr>
              <w:t>64</w:t>
            </w:r>
            <w:r>
              <w:rPr>
                <w:szCs w:val="21"/>
              </w:rPr>
              <w:t>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电池类型</w:t>
            </w:r>
          </w:p>
        </w:tc>
        <w:tc>
          <w:tcPr>
            <w:tcW w:w="6399" w:type="dxa"/>
            <w:noWrap/>
          </w:tcPr>
          <w:p>
            <w:pPr>
              <w:pStyle w:val="59"/>
              <w:spacing w:before="0" w:line="324" w:lineRule="auto"/>
              <w:rPr>
                <w:szCs w:val="21"/>
              </w:rPr>
            </w:pPr>
            <w:r>
              <w:rPr>
                <w:szCs w:val="21"/>
              </w:rPr>
              <w:t>不可拆卸式电池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电池容量</w:t>
            </w:r>
          </w:p>
        </w:tc>
        <w:tc>
          <w:tcPr>
            <w:tcW w:w="6399" w:type="dxa"/>
            <w:noWrap/>
          </w:tcPr>
          <w:p>
            <w:pPr>
              <w:pStyle w:val="59"/>
              <w:spacing w:before="0" w:line="324" w:lineRule="auto"/>
              <w:rPr>
                <w:szCs w:val="21"/>
              </w:rPr>
            </w:pPr>
            <w:r>
              <w:rPr>
                <w:szCs w:val="21"/>
              </w:rPr>
              <w:t>≥</w:t>
            </w:r>
            <w:r>
              <w:rPr>
                <w:rFonts w:hint="eastAsia"/>
                <w:szCs w:val="21"/>
                <w:lang w:val="en-US"/>
              </w:rPr>
              <w:t>3</w:t>
            </w:r>
            <w:r>
              <w:rPr>
                <w:szCs w:val="21"/>
              </w:rPr>
              <w:t>000mAh（典型值）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指纹传感器</w:t>
            </w:r>
          </w:p>
        </w:tc>
        <w:tc>
          <w:tcPr>
            <w:tcW w:w="6399" w:type="dxa"/>
            <w:noWrap/>
          </w:tcPr>
          <w:p>
            <w:pPr>
              <w:pStyle w:val="59"/>
              <w:spacing w:before="0" w:line="324" w:lineRule="auto"/>
              <w:rPr>
                <w:szCs w:val="21"/>
              </w:rPr>
            </w:pPr>
            <w:r>
              <w:rPr>
                <w:szCs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b/>
                <w:szCs w:val="21"/>
              </w:rPr>
            </w:pPr>
            <w:r>
              <w:rPr>
                <w:b/>
                <w:szCs w:val="21"/>
              </w:rPr>
              <w:t>★NFC</w:t>
            </w:r>
          </w:p>
        </w:tc>
        <w:tc>
          <w:tcPr>
            <w:tcW w:w="6399" w:type="dxa"/>
            <w:noWrap/>
          </w:tcPr>
          <w:p>
            <w:pPr>
              <w:pStyle w:val="59"/>
              <w:spacing w:before="0" w:line="324" w:lineRule="auto"/>
              <w:rPr>
                <w:b/>
                <w:szCs w:val="21"/>
              </w:rPr>
            </w:pPr>
            <w:r>
              <w:rPr>
                <w:b/>
                <w:szCs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629" w:type="dxa"/>
            <w:noWrap/>
          </w:tcPr>
          <w:p>
            <w:pPr>
              <w:pStyle w:val="59"/>
              <w:spacing w:before="0" w:line="324" w:lineRule="auto"/>
              <w:ind w:left="108"/>
              <w:rPr>
                <w:b/>
                <w:szCs w:val="21"/>
              </w:rPr>
            </w:pPr>
            <w:r>
              <w:rPr>
                <w:b/>
                <w:szCs w:val="21"/>
              </w:rPr>
              <w:t>★Micro SD 卡扩展</w:t>
            </w:r>
          </w:p>
        </w:tc>
        <w:tc>
          <w:tcPr>
            <w:tcW w:w="6399" w:type="dxa"/>
            <w:noWrap/>
          </w:tcPr>
          <w:p>
            <w:pPr>
              <w:pStyle w:val="59"/>
              <w:spacing w:before="0" w:line="324" w:lineRule="auto"/>
              <w:rPr>
                <w:b/>
                <w:szCs w:val="21"/>
              </w:rPr>
            </w:pPr>
            <w:r>
              <w:rPr>
                <w:b/>
                <w:szCs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9028" w:type="dxa"/>
            <w:gridSpan w:val="2"/>
            <w:noWrap/>
          </w:tcPr>
          <w:p>
            <w:pPr>
              <w:pStyle w:val="59"/>
              <w:spacing w:before="0" w:line="324" w:lineRule="auto"/>
              <w:ind w:left="108"/>
              <w:rPr>
                <w:szCs w:val="21"/>
              </w:rPr>
            </w:pPr>
            <w:r>
              <w:rPr>
                <w:szCs w:val="21"/>
              </w:rPr>
              <w:t>摄像头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摄像头类型</w:t>
            </w:r>
          </w:p>
        </w:tc>
        <w:tc>
          <w:tcPr>
            <w:tcW w:w="6399" w:type="dxa"/>
            <w:noWrap/>
          </w:tcPr>
          <w:p>
            <w:pPr>
              <w:pStyle w:val="59"/>
              <w:spacing w:before="0" w:line="324" w:lineRule="auto"/>
              <w:rPr>
                <w:szCs w:val="21"/>
              </w:rPr>
            </w:pPr>
            <w:r>
              <w:rPr>
                <w:szCs w:val="21"/>
              </w:rPr>
              <w:t>CMOS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2629" w:type="dxa"/>
            <w:noWrap/>
          </w:tcPr>
          <w:p>
            <w:pPr>
              <w:pStyle w:val="59"/>
              <w:spacing w:before="0" w:line="324" w:lineRule="auto"/>
              <w:ind w:left="108"/>
              <w:rPr>
                <w:szCs w:val="21"/>
              </w:rPr>
            </w:pPr>
            <w:r>
              <w:rPr>
                <w:szCs w:val="21"/>
              </w:rPr>
              <w:t>后置摄像头</w:t>
            </w:r>
          </w:p>
        </w:tc>
        <w:tc>
          <w:tcPr>
            <w:tcW w:w="6399" w:type="dxa"/>
            <w:noWrap/>
          </w:tcPr>
          <w:p>
            <w:pPr>
              <w:pStyle w:val="59"/>
              <w:spacing w:before="0" w:line="324" w:lineRule="auto"/>
              <w:rPr>
                <w:szCs w:val="21"/>
              </w:rPr>
            </w:pPr>
            <w:r>
              <w:rPr>
                <w:szCs w:val="21"/>
              </w:rPr>
              <w:t>≥1</w:t>
            </w:r>
            <w:r>
              <w:rPr>
                <w:rFonts w:hint="eastAsia"/>
                <w:szCs w:val="21"/>
                <w:lang w:val="en-US"/>
              </w:rPr>
              <w:t>3</w:t>
            </w:r>
            <w:r>
              <w:rPr>
                <w:szCs w:val="21"/>
              </w:rPr>
              <w:t>00 万像素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629" w:type="dxa"/>
            <w:noWrap/>
          </w:tcPr>
          <w:p>
            <w:pPr>
              <w:pStyle w:val="59"/>
              <w:spacing w:before="0" w:line="324" w:lineRule="auto"/>
              <w:ind w:left="108"/>
              <w:rPr>
                <w:szCs w:val="21"/>
              </w:rPr>
            </w:pPr>
            <w:r>
              <w:rPr>
                <w:szCs w:val="21"/>
              </w:rPr>
              <w:t>前置摄像头</w:t>
            </w:r>
          </w:p>
        </w:tc>
        <w:tc>
          <w:tcPr>
            <w:tcW w:w="6399" w:type="dxa"/>
            <w:noWrap/>
          </w:tcPr>
          <w:p>
            <w:pPr>
              <w:pStyle w:val="59"/>
              <w:spacing w:before="0" w:line="324" w:lineRule="auto"/>
              <w:rPr>
                <w:szCs w:val="21"/>
              </w:rPr>
            </w:pPr>
            <w:r>
              <w:rPr>
                <w:szCs w:val="21"/>
              </w:rPr>
              <w:t>≥</w:t>
            </w:r>
            <w:r>
              <w:rPr>
                <w:rFonts w:hint="eastAsia"/>
                <w:szCs w:val="21"/>
                <w:lang w:val="en-US"/>
              </w:rPr>
              <w:t>13</w:t>
            </w:r>
            <w:r>
              <w:rPr>
                <w:szCs w:val="21"/>
              </w:rPr>
              <w:t>00 万像素</w:t>
            </w:r>
          </w:p>
        </w:tc>
      </w:tr>
    </w:tbl>
    <w:p>
      <w:pPr>
        <w:autoSpaceDE w:val="0"/>
        <w:autoSpaceDN w:val="0"/>
        <w:adjustRightInd w:val="0"/>
        <w:spacing w:line="324" w:lineRule="auto"/>
        <w:ind w:firstLine="645"/>
        <w:jc w:val="left"/>
        <w:rPr>
          <w:rFonts w:ascii="宋体" w:hAnsi="宋体" w:eastAsia="宋体" w:cs="宋体"/>
          <w:color w:val="000000"/>
          <w:kern w:val="0"/>
          <w:szCs w:val="21"/>
        </w:rPr>
      </w:pPr>
      <w:r>
        <w:rPr>
          <w:rFonts w:hint="eastAsia" w:ascii="宋体" w:hAnsi="宋体" w:eastAsia="宋体" w:cs="宋体"/>
          <w:color w:val="000000"/>
          <w:szCs w:val="21"/>
        </w:rPr>
        <w:t>★</w:t>
      </w:r>
      <w:r>
        <w:rPr>
          <w:rFonts w:hint="eastAsia" w:ascii="宋体" w:hAnsi="宋体" w:eastAsia="宋体" w:cs="宋体"/>
          <w:color w:val="000000"/>
          <w:kern w:val="0"/>
          <w:szCs w:val="21"/>
        </w:rPr>
        <w:t>2.3通信资费套餐服务要求：</w:t>
      </w:r>
    </w:p>
    <w:p>
      <w:pPr>
        <w:autoSpaceDE w:val="0"/>
        <w:autoSpaceDN w:val="0"/>
        <w:adjustRightInd w:val="0"/>
        <w:spacing w:line="324" w:lineRule="auto"/>
        <w:ind w:firstLine="645"/>
        <w:jc w:val="left"/>
        <w:rPr>
          <w:rFonts w:ascii="宋体" w:hAnsi="宋体" w:eastAsia="宋体" w:cs="宋体"/>
          <w:color w:val="000000"/>
          <w:kern w:val="0"/>
          <w:szCs w:val="21"/>
        </w:rPr>
      </w:pPr>
      <w:r>
        <w:rPr>
          <w:rFonts w:hint="eastAsia" w:ascii="宋体" w:hAnsi="宋体" w:eastAsia="宋体" w:cs="宋体"/>
          <w:color w:val="000000"/>
          <w:kern w:val="0"/>
          <w:szCs w:val="21"/>
        </w:rPr>
        <w:t>投标人需提供全天候、全覆盖的配套通信资费套餐服务。具体通信资费套餐要求如下:</w:t>
      </w:r>
    </w:p>
    <w:tbl>
      <w:tblPr>
        <w:tblStyle w:val="28"/>
        <w:tblW w:w="900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90"/>
        <w:gridCol w:w="5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3590" w:type="dxa"/>
            <w:noWrap/>
          </w:tcPr>
          <w:p>
            <w:pPr>
              <w:pStyle w:val="59"/>
              <w:spacing w:before="0" w:line="324" w:lineRule="auto"/>
              <w:ind w:left="0"/>
              <w:rPr>
                <w:szCs w:val="21"/>
              </w:rPr>
            </w:pPr>
          </w:p>
          <w:p>
            <w:pPr>
              <w:pStyle w:val="59"/>
              <w:spacing w:before="0" w:line="324" w:lineRule="auto"/>
              <w:rPr>
                <w:szCs w:val="21"/>
              </w:rPr>
            </w:pPr>
            <w:r>
              <w:rPr>
                <w:szCs w:val="21"/>
              </w:rPr>
              <w:t>套餐项目</w:t>
            </w:r>
          </w:p>
        </w:tc>
        <w:tc>
          <w:tcPr>
            <w:tcW w:w="5410" w:type="dxa"/>
            <w:noWrap/>
          </w:tcPr>
          <w:p>
            <w:pPr>
              <w:pStyle w:val="59"/>
              <w:spacing w:before="0" w:line="324" w:lineRule="auto"/>
              <w:ind w:left="0"/>
              <w:rPr>
                <w:szCs w:val="21"/>
              </w:rPr>
            </w:pPr>
          </w:p>
          <w:p>
            <w:pPr>
              <w:pStyle w:val="59"/>
              <w:spacing w:before="0" w:line="324" w:lineRule="auto"/>
              <w:ind w:left="108"/>
              <w:rPr>
                <w:szCs w:val="21"/>
              </w:rPr>
            </w:pPr>
            <w:r>
              <w:rPr>
                <w:szCs w:val="21"/>
              </w:rPr>
              <w:t>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3590" w:type="dxa"/>
            <w:noWrap/>
          </w:tcPr>
          <w:p>
            <w:pPr>
              <w:pStyle w:val="59"/>
              <w:spacing w:before="0" w:line="324" w:lineRule="auto"/>
              <w:ind w:left="0"/>
              <w:rPr>
                <w:b/>
                <w:szCs w:val="21"/>
              </w:rPr>
            </w:pPr>
          </w:p>
          <w:p>
            <w:pPr>
              <w:pStyle w:val="59"/>
              <w:spacing w:before="0" w:line="324" w:lineRule="auto"/>
              <w:ind w:left="0"/>
              <w:rPr>
                <w:b/>
                <w:szCs w:val="21"/>
              </w:rPr>
            </w:pPr>
            <w:r>
              <w:rPr>
                <w:b/>
                <w:szCs w:val="21"/>
              </w:rPr>
              <w:t>★语音通讯国内主叫分钟数</w:t>
            </w:r>
          </w:p>
        </w:tc>
        <w:tc>
          <w:tcPr>
            <w:tcW w:w="5410" w:type="dxa"/>
            <w:noWrap/>
          </w:tcPr>
          <w:p>
            <w:pPr>
              <w:pStyle w:val="59"/>
              <w:spacing w:before="0" w:line="324" w:lineRule="auto"/>
              <w:ind w:left="108" w:right="17"/>
              <w:rPr>
                <w:b/>
                <w:szCs w:val="21"/>
              </w:rPr>
            </w:pPr>
          </w:p>
          <w:p>
            <w:pPr>
              <w:pStyle w:val="59"/>
              <w:spacing w:before="0" w:line="324" w:lineRule="auto"/>
              <w:ind w:left="108" w:right="17"/>
              <w:rPr>
                <w:b/>
                <w:szCs w:val="21"/>
                <w:lang w:val="en-US"/>
              </w:rPr>
            </w:pPr>
            <w:r>
              <w:rPr>
                <w:b/>
                <w:szCs w:val="21"/>
              </w:rPr>
              <w:t>≥</w:t>
            </w:r>
            <w:r>
              <w:rPr>
                <w:rFonts w:hint="eastAsia"/>
                <w:b/>
                <w:szCs w:val="21"/>
                <w:lang w:val="en-US"/>
              </w:rPr>
              <w:t>5</w:t>
            </w:r>
            <w:r>
              <w:rPr>
                <w:b/>
                <w:szCs w:val="21"/>
              </w:rPr>
              <w:t>00 分钟/月；国内接听免费；</w:t>
            </w:r>
            <w:r>
              <w:rPr>
                <w:rFonts w:hint="eastAsia"/>
                <w:b/>
                <w:szCs w:val="21"/>
              </w:rPr>
              <w:t>短号互拨不少于</w:t>
            </w:r>
            <w:r>
              <w:rPr>
                <w:rFonts w:hint="eastAsia"/>
                <w:b/>
                <w:szCs w:val="21"/>
                <w:lang w:val="en-US"/>
              </w:rPr>
              <w:t>500分钟免费时间。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3590" w:type="dxa"/>
            <w:noWrap/>
          </w:tcPr>
          <w:p>
            <w:pPr>
              <w:pStyle w:val="59"/>
              <w:spacing w:before="0" w:line="324" w:lineRule="auto"/>
              <w:ind w:left="0"/>
              <w:rPr>
                <w:szCs w:val="21"/>
              </w:rPr>
            </w:pPr>
          </w:p>
          <w:p>
            <w:pPr>
              <w:pStyle w:val="59"/>
              <w:spacing w:before="0" w:line="324" w:lineRule="auto"/>
              <w:rPr>
                <w:b/>
                <w:szCs w:val="21"/>
              </w:rPr>
            </w:pPr>
            <w:r>
              <w:rPr>
                <w:b/>
                <w:szCs w:val="21"/>
              </w:rPr>
              <w:t>★全国通用 4G 上网流量</w:t>
            </w:r>
          </w:p>
        </w:tc>
        <w:tc>
          <w:tcPr>
            <w:tcW w:w="5410" w:type="dxa"/>
            <w:noWrap/>
          </w:tcPr>
          <w:p>
            <w:pPr>
              <w:pStyle w:val="59"/>
              <w:spacing w:before="0" w:line="324" w:lineRule="auto"/>
              <w:ind w:left="0"/>
              <w:rPr>
                <w:szCs w:val="21"/>
              </w:rPr>
            </w:pPr>
          </w:p>
          <w:p>
            <w:pPr>
              <w:pStyle w:val="59"/>
              <w:spacing w:before="0" w:line="324" w:lineRule="auto"/>
              <w:ind w:left="108"/>
              <w:rPr>
                <w:b/>
                <w:szCs w:val="21"/>
              </w:rPr>
            </w:pPr>
            <w:r>
              <w:rPr>
                <w:rFonts w:hint="eastAsia"/>
                <w:b/>
                <w:szCs w:val="21"/>
              </w:rPr>
              <w:t>≥</w:t>
            </w:r>
            <w:r>
              <w:rPr>
                <w:rFonts w:hint="eastAsia"/>
                <w:b/>
                <w:szCs w:val="21"/>
                <w:lang w:val="en-US"/>
              </w:rPr>
              <w:t>1</w:t>
            </w:r>
            <w:r>
              <w:rPr>
                <w:rFonts w:hint="eastAsia"/>
                <w:b/>
                <w:szCs w:val="21"/>
              </w:rPr>
              <w:t>0G/月（超出部分，限速不限量）</w:t>
            </w:r>
          </w:p>
        </w:tc>
      </w:tr>
    </w:tbl>
    <w:p>
      <w:pPr>
        <w:spacing w:line="360" w:lineRule="auto"/>
        <w:ind w:firstLine="422" w:firstLineChars="200"/>
        <w:contextualSpacing/>
        <w:rPr>
          <w:rFonts w:ascii="宋体" w:hAnsi="宋体" w:eastAsia="宋体" w:cs="微软雅黑"/>
          <w:b/>
          <w:szCs w:val="21"/>
        </w:rPr>
      </w:pPr>
      <w:r>
        <w:rPr>
          <w:rFonts w:hint="eastAsia" w:ascii="宋体" w:hAnsi="宋体" w:eastAsia="宋体" w:cs="微软雅黑"/>
          <w:b/>
          <w:szCs w:val="21"/>
        </w:rPr>
        <w:t>本采购清单中所列技术规格或主要参数为最低要求，不允许负偏离，否则将承担其投标被视为非实质性响应投标的风险。</w:t>
      </w:r>
    </w:p>
    <w:p>
      <w:pPr>
        <w:autoSpaceDE w:val="0"/>
        <w:autoSpaceDN w:val="0"/>
        <w:adjustRightInd w:val="0"/>
        <w:spacing w:line="360" w:lineRule="auto"/>
        <w:ind w:firstLine="422" w:firstLineChars="200"/>
        <w:jc w:val="left"/>
        <w:rPr>
          <w:rFonts w:ascii="宋体" w:hAnsi="宋体" w:eastAsia="宋体" w:cs="宋体"/>
          <w:b/>
          <w:bCs/>
          <w:szCs w:val="21"/>
        </w:rPr>
      </w:pPr>
      <w:r>
        <w:rPr>
          <w:rFonts w:hint="eastAsia" w:ascii="宋体" w:hAnsi="宋体" w:eastAsia="宋体" w:cs="宋体"/>
          <w:b/>
          <w:bCs/>
          <w:color w:val="000000"/>
          <w:szCs w:val="21"/>
        </w:rPr>
        <w:t>★</w:t>
      </w:r>
      <w:r>
        <w:rPr>
          <w:rFonts w:hint="eastAsia" w:ascii="宋体" w:hAnsi="宋体" w:eastAsia="宋体" w:cs="宋体"/>
          <w:b/>
          <w:bCs/>
          <w:szCs w:val="21"/>
        </w:rPr>
        <w:t>三、服务要求：</w:t>
      </w:r>
    </w:p>
    <w:p>
      <w:pPr>
        <w:autoSpaceDE w:val="0"/>
        <w:autoSpaceDN w:val="0"/>
        <w:adjustRightInd w:val="0"/>
        <w:spacing w:line="360" w:lineRule="auto"/>
        <w:ind w:firstLine="645"/>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配套移动终端定制开发服务要求能够提供终端底层系统管理权限，可以提供开机画面定制、应用软件控制、病毒黑客防攻击等安全策略的定制化技术服务。在安全系统中定制主要内容要求如下：</w:t>
      </w:r>
    </w:p>
    <w:p>
      <w:pPr>
        <w:autoSpaceDE w:val="0"/>
        <w:autoSpaceDN w:val="0"/>
        <w:adjustRightInd w:val="0"/>
        <w:spacing w:line="360" w:lineRule="auto"/>
        <w:ind w:firstLine="645"/>
        <w:jc w:val="left"/>
        <w:rPr>
          <w:rFonts w:ascii="宋体" w:hAnsi="宋体" w:eastAsia="宋体" w:cs="宋体"/>
          <w:color w:val="000000"/>
          <w:kern w:val="0"/>
          <w:szCs w:val="21"/>
        </w:rPr>
      </w:pPr>
      <w:r>
        <w:rPr>
          <w:rFonts w:hint="eastAsia" w:ascii="宋体" w:hAnsi="宋体" w:eastAsia="宋体" w:cs="宋体"/>
          <w:color w:val="000000"/>
          <w:kern w:val="0"/>
          <w:szCs w:val="21"/>
        </w:rPr>
        <w:t>1、中标后为招标人通过免费开卡服务。</w:t>
      </w:r>
    </w:p>
    <w:p>
      <w:pPr>
        <w:autoSpaceDE w:val="0"/>
        <w:autoSpaceDN w:val="0"/>
        <w:adjustRightInd w:val="0"/>
        <w:spacing w:line="360" w:lineRule="auto"/>
        <w:ind w:firstLine="645"/>
        <w:jc w:val="left"/>
        <w:rPr>
          <w:rFonts w:ascii="宋体" w:hAnsi="宋体" w:eastAsia="宋体" w:cs="宋体"/>
          <w:color w:val="000000"/>
          <w:kern w:val="0"/>
          <w:szCs w:val="21"/>
          <w:lang w:val="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zh-CN"/>
        </w:rPr>
        <w:t>不预装与公安工作无关的应用，仅预装基础工具及公安业务应用和 MDM 客户端， 预装的应用不可卸载/停用。</w:t>
      </w:r>
    </w:p>
    <w:p>
      <w:pPr>
        <w:autoSpaceDE w:val="0"/>
        <w:autoSpaceDN w:val="0"/>
        <w:adjustRightInd w:val="0"/>
        <w:spacing w:line="360" w:lineRule="auto"/>
        <w:ind w:firstLine="645"/>
        <w:jc w:val="left"/>
        <w:rPr>
          <w:rFonts w:ascii="宋体" w:hAnsi="宋体" w:eastAsia="宋体" w:cs="宋体"/>
          <w:color w:val="000000"/>
          <w:kern w:val="0"/>
          <w:szCs w:val="21"/>
          <w:lang w:val="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zh-CN"/>
        </w:rPr>
        <w:t>关闭 USB/OTG 等有线连接，USB 口仅充电。</w:t>
      </w:r>
    </w:p>
    <w:p>
      <w:pPr>
        <w:autoSpaceDE w:val="0"/>
        <w:autoSpaceDN w:val="0"/>
        <w:adjustRightInd w:val="0"/>
        <w:spacing w:line="360" w:lineRule="auto"/>
        <w:ind w:firstLine="645"/>
        <w:jc w:val="left"/>
        <w:rPr>
          <w:rFonts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zh-CN"/>
        </w:rPr>
        <w:t>不可 root、刷机。</w:t>
      </w:r>
    </w:p>
    <w:p>
      <w:pPr>
        <w:autoSpaceDE w:val="0"/>
        <w:autoSpaceDN w:val="0"/>
        <w:adjustRightInd w:val="0"/>
        <w:spacing w:line="360" w:lineRule="auto"/>
        <w:ind w:firstLine="645"/>
        <w:jc w:val="left"/>
        <w:rPr>
          <w:rFonts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val="zh-CN"/>
        </w:rPr>
        <w:t>公安专用开关机界面。</w:t>
      </w:r>
    </w:p>
    <w:p>
      <w:pPr>
        <w:autoSpaceDE w:val="0"/>
        <w:autoSpaceDN w:val="0"/>
        <w:adjustRightInd w:val="0"/>
        <w:spacing w:line="360" w:lineRule="auto"/>
        <w:ind w:firstLine="645"/>
        <w:jc w:val="left"/>
        <w:rPr>
          <w:rFonts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eastAsia="宋体" w:cs="宋体"/>
          <w:color w:val="000000"/>
          <w:kern w:val="0"/>
          <w:szCs w:val="21"/>
          <w:lang w:val="zh-CN"/>
        </w:rPr>
        <w:t>主屏应用图标定制。</w:t>
      </w:r>
    </w:p>
    <w:p>
      <w:pPr>
        <w:autoSpaceDE w:val="0"/>
        <w:autoSpaceDN w:val="0"/>
        <w:adjustRightInd w:val="0"/>
        <w:spacing w:line="360" w:lineRule="auto"/>
        <w:ind w:firstLine="645"/>
        <w:jc w:val="left"/>
        <w:rPr>
          <w:rFonts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eastAsia="宋体" w:cs="宋体"/>
          <w:color w:val="000000"/>
          <w:kern w:val="0"/>
          <w:szCs w:val="21"/>
          <w:lang w:val="zh-CN"/>
        </w:rPr>
        <w:t>安全区强制密码，指纹或密码。</w:t>
      </w:r>
    </w:p>
    <w:p>
      <w:pPr>
        <w:autoSpaceDE w:val="0"/>
        <w:autoSpaceDN w:val="0"/>
        <w:adjustRightInd w:val="0"/>
        <w:spacing w:line="360" w:lineRule="auto"/>
        <w:ind w:firstLine="645"/>
        <w:jc w:val="left"/>
        <w:rPr>
          <w:rFonts w:ascii="宋体" w:hAnsi="宋体" w:eastAsia="宋体" w:cs="宋体"/>
          <w:color w:val="000000"/>
          <w:kern w:val="0"/>
          <w:szCs w:val="21"/>
        </w:rPr>
      </w:pPr>
      <w:r>
        <w:rPr>
          <w:rFonts w:hint="eastAsia" w:ascii="宋体" w:hAnsi="宋体" w:eastAsia="宋体" w:cs="宋体"/>
          <w:color w:val="000000"/>
          <w:kern w:val="0"/>
          <w:szCs w:val="21"/>
        </w:rPr>
        <w:t>7、</w:t>
      </w:r>
      <w:r>
        <w:rPr>
          <w:rFonts w:hint="eastAsia" w:ascii="宋体" w:hAnsi="宋体" w:eastAsia="宋体" w:cs="宋体"/>
          <w:color w:val="000000"/>
          <w:kern w:val="0"/>
          <w:szCs w:val="21"/>
          <w:lang w:val="zh-CN"/>
        </w:rPr>
        <w:t>投标人应具有较强的配套移动终端定制开发技术开发实力，能按采购人要求及时提供二次开发技术支持。</w:t>
      </w:r>
    </w:p>
    <w:p>
      <w:pPr>
        <w:tabs>
          <w:tab w:val="left" w:pos="1260"/>
        </w:tabs>
        <w:autoSpaceDE w:val="0"/>
        <w:autoSpaceDN w:val="0"/>
        <w:spacing w:line="360" w:lineRule="auto"/>
        <w:ind w:firstLine="420" w:firstLineChars="200"/>
        <w:contextualSpacing/>
        <w:rPr>
          <w:rFonts w:ascii="宋体" w:hAnsi="宋体" w:eastAsia="宋体" w:cs="宋体"/>
          <w:kern w:val="0"/>
          <w:szCs w:val="21"/>
          <w:lang w:val="zh-CN"/>
        </w:rPr>
      </w:pPr>
      <w:r>
        <w:rPr>
          <w:rFonts w:hint="eastAsia" w:ascii="宋体" w:hAnsi="宋体" w:eastAsia="宋体" w:cs="宋体"/>
          <w:kern w:val="0"/>
          <w:szCs w:val="21"/>
        </w:rPr>
        <w:t>8、</w:t>
      </w:r>
      <w:r>
        <w:rPr>
          <w:rFonts w:hint="eastAsia" w:ascii="宋体" w:hAnsi="宋体" w:eastAsia="宋体" w:cs="宋体"/>
          <w:kern w:val="0"/>
          <w:szCs w:val="21"/>
          <w:lang w:val="zh-CN"/>
        </w:rPr>
        <w:t>投标人应严格遵守《中华人民共和国电信条例》。</w:t>
      </w:r>
    </w:p>
    <w:p>
      <w:pPr>
        <w:tabs>
          <w:tab w:val="left" w:pos="1260"/>
        </w:tabs>
        <w:autoSpaceDE w:val="0"/>
        <w:autoSpaceDN w:val="0"/>
        <w:spacing w:line="360" w:lineRule="auto"/>
        <w:ind w:firstLine="420" w:firstLineChars="200"/>
        <w:contextualSpacing/>
        <w:rPr>
          <w:rFonts w:ascii="宋体" w:hAnsi="宋体" w:eastAsia="宋体" w:cs="宋体"/>
          <w:kern w:val="0"/>
          <w:szCs w:val="21"/>
          <w:lang w:val="zh-CN"/>
        </w:rPr>
      </w:pPr>
      <w:r>
        <w:rPr>
          <w:rFonts w:hint="eastAsia" w:ascii="宋体" w:hAnsi="宋体" w:eastAsia="宋体" w:cs="宋体"/>
          <w:kern w:val="0"/>
          <w:szCs w:val="21"/>
        </w:rPr>
        <w:t>9、</w:t>
      </w:r>
      <w:r>
        <w:rPr>
          <w:rFonts w:hint="eastAsia" w:ascii="宋体" w:hAnsi="宋体" w:eastAsia="宋体" w:cs="宋体"/>
          <w:kern w:val="0"/>
          <w:szCs w:val="21"/>
          <w:lang w:val="zh-CN"/>
        </w:rPr>
        <w:t>投标人在服务期内提供终端维保服务，因终端质量问题造成的终端损坏提供免费维修，无法维修的予以免费更换，故障终端送修后（以快递方式送修，按照快递到达时间为准）在 12 小时内维修完毕，12 小时内不能修复的提供备用终端，并在 48 小时内修理完毕， 免费为所有终端提供一年碎屏险。</w:t>
      </w:r>
    </w:p>
    <w:p>
      <w:pPr>
        <w:tabs>
          <w:tab w:val="left" w:pos="1260"/>
        </w:tabs>
        <w:autoSpaceDE w:val="0"/>
        <w:autoSpaceDN w:val="0"/>
        <w:spacing w:line="360" w:lineRule="auto"/>
        <w:ind w:firstLine="420" w:firstLineChars="200"/>
        <w:contextualSpacing/>
        <w:rPr>
          <w:rFonts w:ascii="宋体" w:hAnsi="宋体" w:eastAsia="宋体" w:cs="宋体"/>
          <w:kern w:val="0"/>
          <w:szCs w:val="21"/>
          <w:lang w:val="zh-CN"/>
        </w:rPr>
      </w:pPr>
      <w:r>
        <w:rPr>
          <w:rFonts w:hint="eastAsia" w:ascii="宋体" w:hAnsi="宋体" w:eastAsia="宋体" w:cs="宋体"/>
          <w:kern w:val="0"/>
          <w:szCs w:val="21"/>
        </w:rPr>
        <w:t>10、</w:t>
      </w:r>
      <w:r>
        <w:rPr>
          <w:rFonts w:hint="eastAsia" w:ascii="宋体" w:hAnsi="宋体" w:eastAsia="宋体" w:cs="宋体"/>
          <w:kern w:val="0"/>
          <w:szCs w:val="21"/>
          <w:lang w:val="zh-CN"/>
        </w:rPr>
        <w:t>服务成果验收：交货期结束后，招标人应对中标人提供的服务进行详细而全面的检验。招标人有权限根据检验结果要求中标人立即完善或者提出索赔要求。检验合格后，由招标人组成的验收小组签署验收报告，作为付款凭据之一。</w:t>
      </w:r>
    </w:p>
    <w:p>
      <w:pPr>
        <w:tabs>
          <w:tab w:val="left" w:pos="1260"/>
        </w:tabs>
        <w:autoSpaceDE w:val="0"/>
        <w:autoSpaceDN w:val="0"/>
        <w:spacing w:line="360" w:lineRule="auto"/>
        <w:ind w:firstLine="420" w:firstLineChars="200"/>
        <w:contextualSpacing/>
        <w:rPr>
          <w:rFonts w:ascii="宋体" w:hAnsi="宋体" w:eastAsia="宋体" w:cs="宋体"/>
          <w:kern w:val="0"/>
          <w:szCs w:val="21"/>
          <w:lang w:val="zh-CN"/>
        </w:rPr>
      </w:pPr>
      <w:r>
        <w:rPr>
          <w:rFonts w:hint="eastAsia" w:ascii="宋体" w:hAnsi="宋体" w:eastAsia="宋体" w:cs="宋体"/>
          <w:kern w:val="0"/>
          <w:szCs w:val="21"/>
        </w:rPr>
        <w:t>11、</w:t>
      </w:r>
      <w:r>
        <w:rPr>
          <w:rFonts w:hint="eastAsia" w:ascii="宋体" w:hAnsi="宋体" w:eastAsia="宋体" w:cs="宋体"/>
          <w:kern w:val="0"/>
          <w:szCs w:val="21"/>
          <w:lang w:val="zh-CN"/>
        </w:rPr>
        <w:t>质量保证期：</w:t>
      </w:r>
      <w:r>
        <w:rPr>
          <w:rFonts w:hint="eastAsia" w:ascii="宋体" w:hAnsi="宋体" w:eastAsia="宋体" w:cs="宋体"/>
          <w:kern w:val="0"/>
          <w:szCs w:val="21"/>
        </w:rPr>
        <w:t>30个月</w:t>
      </w:r>
      <w:r>
        <w:rPr>
          <w:rFonts w:hint="eastAsia" w:ascii="宋体" w:hAnsi="宋体" w:eastAsia="宋体" w:cs="宋体"/>
          <w:kern w:val="0"/>
          <w:szCs w:val="21"/>
          <w:lang w:val="zh-CN"/>
        </w:rPr>
        <w:t>（终端质保期按照国家三包规定执行）。</w:t>
      </w:r>
    </w:p>
    <w:p>
      <w:pPr>
        <w:tabs>
          <w:tab w:val="left" w:pos="1260"/>
        </w:tabs>
        <w:autoSpaceDE w:val="0"/>
        <w:autoSpaceDN w:val="0"/>
        <w:spacing w:line="360" w:lineRule="auto"/>
        <w:ind w:firstLine="420" w:firstLineChars="200"/>
        <w:contextualSpacing/>
        <w:rPr>
          <w:rFonts w:ascii="宋体" w:hAnsi="宋体" w:eastAsia="宋体" w:cs="宋体"/>
          <w:color w:val="000000"/>
          <w:kern w:val="0"/>
          <w:szCs w:val="21"/>
          <w:lang w:val="zh-CN"/>
        </w:rPr>
      </w:pPr>
      <w:r>
        <w:rPr>
          <w:rFonts w:hint="eastAsia" w:ascii="宋体" w:hAnsi="宋体" w:eastAsia="宋体" w:cs="宋体"/>
          <w:color w:val="000000"/>
          <w:kern w:val="0"/>
          <w:szCs w:val="21"/>
        </w:rPr>
        <w:t>12、</w:t>
      </w:r>
      <w:r>
        <w:rPr>
          <w:rFonts w:hint="eastAsia" w:ascii="宋体" w:hAnsi="宋体" w:eastAsia="宋体" w:cs="宋体"/>
          <w:color w:val="000000"/>
          <w:kern w:val="0"/>
          <w:szCs w:val="21"/>
          <w:lang w:val="zh-CN"/>
        </w:rPr>
        <w:t>服务保障：</w:t>
      </w:r>
    </w:p>
    <w:p>
      <w:pPr>
        <w:autoSpaceDE w:val="0"/>
        <w:autoSpaceDN w:val="0"/>
        <w:adjustRightInd w:val="0"/>
        <w:spacing w:line="360" w:lineRule="auto"/>
        <w:ind w:firstLine="420" w:firstLineChars="2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w:t>
      </w:r>
      <w:r>
        <w:rPr>
          <w:rFonts w:hint="eastAsia" w:ascii="宋体" w:hAnsi="宋体" w:eastAsia="宋体" w:cs="宋体"/>
          <w:color w:val="000000"/>
          <w:kern w:val="0"/>
          <w:szCs w:val="21"/>
        </w:rPr>
        <w:t>1</w:t>
      </w:r>
      <w:r>
        <w:rPr>
          <w:rFonts w:hint="eastAsia" w:ascii="宋体" w:hAnsi="宋体" w:eastAsia="宋体" w:cs="宋体"/>
          <w:color w:val="000000"/>
          <w:kern w:val="0"/>
          <w:szCs w:val="21"/>
          <w:lang w:val="zh-CN"/>
        </w:rPr>
        <w:t>）中标人应视采购人为重要集团客户，提供优质的通信服务，并为招标人提供各类业务的预约、咨询、建议等延伸服务；</w:t>
      </w:r>
    </w:p>
    <w:p>
      <w:pPr>
        <w:autoSpaceDE w:val="0"/>
        <w:autoSpaceDN w:val="0"/>
        <w:adjustRightInd w:val="0"/>
        <w:spacing w:line="360" w:lineRule="auto"/>
        <w:ind w:firstLine="420" w:firstLineChars="2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w:t>
      </w:r>
      <w:r>
        <w:rPr>
          <w:rFonts w:hint="eastAsia" w:ascii="宋体" w:hAnsi="宋体" w:eastAsia="宋体" w:cs="宋体"/>
          <w:color w:val="000000"/>
          <w:kern w:val="0"/>
          <w:szCs w:val="21"/>
        </w:rPr>
        <w:t>2</w:t>
      </w:r>
      <w:r>
        <w:rPr>
          <w:rFonts w:hint="eastAsia" w:ascii="宋体" w:hAnsi="宋体" w:eastAsia="宋体" w:cs="宋体"/>
          <w:color w:val="000000"/>
          <w:kern w:val="0"/>
          <w:szCs w:val="21"/>
          <w:lang w:val="zh-CN"/>
        </w:rPr>
        <w:t>）中标人应为招标人单独设置针对该项目的项目经理，组建专门团队，专门负责招标人移动警务项目配套终端服务的组织、沟通、联络和配发，为客户提供热情、周到的上门服务，及时协调解决采购人提出的通信问题；</w:t>
      </w:r>
    </w:p>
    <w:p>
      <w:pPr>
        <w:autoSpaceDE w:val="0"/>
        <w:autoSpaceDN w:val="0"/>
        <w:adjustRightInd w:val="0"/>
        <w:spacing w:line="360" w:lineRule="auto"/>
        <w:ind w:firstLine="420" w:firstLineChars="2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w:t>
      </w:r>
      <w:r>
        <w:rPr>
          <w:rFonts w:hint="eastAsia" w:ascii="宋体" w:hAnsi="宋体" w:eastAsia="宋体" w:cs="宋体"/>
          <w:color w:val="000000"/>
          <w:kern w:val="0"/>
          <w:szCs w:val="21"/>
        </w:rPr>
        <w:t>3</w:t>
      </w:r>
      <w:r>
        <w:rPr>
          <w:rFonts w:hint="eastAsia" w:ascii="宋体" w:hAnsi="宋体" w:eastAsia="宋体" w:cs="宋体"/>
          <w:color w:val="000000"/>
          <w:kern w:val="0"/>
          <w:szCs w:val="21"/>
          <w:lang w:val="zh-CN"/>
        </w:rPr>
        <w:t>）招标人优先享受中标人为客户提供的通信服务。招标人的每一位入网成员享受中标人 VIP 用户的所有权利；</w:t>
      </w:r>
    </w:p>
    <w:p>
      <w:pPr>
        <w:autoSpaceDE w:val="0"/>
        <w:autoSpaceDN w:val="0"/>
        <w:adjustRightInd w:val="0"/>
        <w:spacing w:line="360" w:lineRule="auto"/>
        <w:ind w:firstLine="420" w:firstLineChars="2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w:t>
      </w:r>
      <w:r>
        <w:rPr>
          <w:rFonts w:hint="eastAsia" w:ascii="宋体" w:hAnsi="宋体" w:eastAsia="宋体" w:cs="宋体"/>
          <w:color w:val="000000"/>
          <w:kern w:val="0"/>
          <w:szCs w:val="21"/>
        </w:rPr>
        <w:t>4</w:t>
      </w:r>
      <w:r>
        <w:rPr>
          <w:rFonts w:hint="eastAsia" w:ascii="宋体" w:hAnsi="宋体" w:eastAsia="宋体" w:cs="宋体"/>
          <w:color w:val="000000"/>
          <w:kern w:val="0"/>
          <w:szCs w:val="21"/>
          <w:lang w:val="zh-CN"/>
        </w:rPr>
        <w:t>）供应商有义务针对招标人提出的信号欠佳的区域，及时提供基站建设或优化措施，并于 24 小时内响应</w:t>
      </w:r>
      <w:r>
        <w:rPr>
          <w:rFonts w:hint="eastAsia" w:ascii="宋体" w:hAnsi="宋体" w:eastAsia="宋体" w:cs="宋体"/>
          <w:kern w:val="0"/>
          <w:szCs w:val="21"/>
          <w:lang w:val="zh-CN"/>
        </w:rPr>
        <w:t xml:space="preserve">，一般应当在 </w:t>
      </w:r>
      <w:r>
        <w:rPr>
          <w:rFonts w:hint="eastAsia" w:ascii="宋体" w:hAnsi="宋体" w:eastAsia="宋体" w:cs="宋体"/>
          <w:kern w:val="0"/>
          <w:szCs w:val="21"/>
        </w:rPr>
        <w:t>5</w:t>
      </w:r>
      <w:r>
        <w:rPr>
          <w:rFonts w:hint="eastAsia" w:ascii="宋体" w:hAnsi="宋体" w:eastAsia="宋体" w:cs="宋体"/>
          <w:kern w:val="0"/>
          <w:szCs w:val="21"/>
          <w:lang w:val="zh-CN"/>
        </w:rPr>
        <w:t>日内完成优化，完成后一周内反馈结果；</w:t>
      </w:r>
    </w:p>
    <w:p>
      <w:pPr>
        <w:autoSpaceDE w:val="0"/>
        <w:autoSpaceDN w:val="0"/>
        <w:adjustRightInd w:val="0"/>
        <w:spacing w:line="360" w:lineRule="auto"/>
        <w:ind w:firstLine="420" w:firstLineChars="2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（5）供货：中标人应在中标后</w:t>
      </w:r>
      <w:r>
        <w:rPr>
          <w:rFonts w:hint="eastAsia" w:ascii="宋体" w:hAnsi="宋体" w:eastAsia="宋体" w:cs="宋体"/>
          <w:color w:val="000000"/>
          <w:kern w:val="0"/>
          <w:szCs w:val="21"/>
          <w:u w:val="single"/>
        </w:rPr>
        <w:t>5日历天</w:t>
      </w:r>
      <w:r>
        <w:rPr>
          <w:rFonts w:hint="eastAsia" w:ascii="宋体" w:hAnsi="宋体" w:eastAsia="宋体" w:cs="宋体"/>
          <w:color w:val="000000"/>
          <w:kern w:val="0"/>
          <w:szCs w:val="21"/>
          <w:lang w:val="zh-CN"/>
        </w:rPr>
        <w:t>内完成配套移动终端服务的供货。投标人须提供书面承诺书原件（格式自拟），若未能在承诺的期限内完成供货，采购人向政府采购监督部门提出申请并经批准后，可取消其中标资格，并与其立即解除合同，由此引起的一切损失  全部由中标人承担。</w:t>
      </w:r>
    </w:p>
    <w:p>
      <w:pPr>
        <w:autoSpaceDE w:val="0"/>
        <w:autoSpaceDN w:val="0"/>
        <w:adjustRightInd w:val="0"/>
        <w:spacing w:line="360" w:lineRule="auto"/>
        <w:ind w:firstLine="420" w:firstLineChars="2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w:t>
      </w:r>
      <w:r>
        <w:rPr>
          <w:rFonts w:hint="eastAsia" w:ascii="宋体" w:hAnsi="宋体" w:eastAsia="宋体" w:cs="宋体"/>
          <w:color w:val="000000"/>
          <w:kern w:val="0"/>
          <w:szCs w:val="21"/>
        </w:rPr>
        <w:t>6</w:t>
      </w:r>
      <w:r>
        <w:rPr>
          <w:rFonts w:hint="eastAsia" w:ascii="宋体" w:hAnsi="宋体" w:eastAsia="宋体" w:cs="宋体"/>
          <w:color w:val="000000"/>
          <w:kern w:val="0"/>
          <w:szCs w:val="21"/>
          <w:lang w:val="zh-CN"/>
        </w:rPr>
        <w:t>）培训：中标人免费提供招标人培训，免费为招标人提供中文操作手册。</w:t>
      </w:r>
    </w:p>
    <w:p>
      <w:pPr>
        <w:autoSpaceDE w:val="0"/>
        <w:autoSpaceDN w:val="0"/>
        <w:adjustRightInd w:val="0"/>
        <w:spacing w:line="360" w:lineRule="auto"/>
        <w:ind w:firstLine="420" w:firstLineChars="2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w:t>
      </w:r>
      <w:r>
        <w:rPr>
          <w:rFonts w:hint="eastAsia" w:ascii="宋体" w:hAnsi="宋体" w:eastAsia="宋体" w:cs="宋体"/>
          <w:color w:val="000000"/>
          <w:kern w:val="0"/>
          <w:szCs w:val="21"/>
        </w:rPr>
        <w:t>7</w:t>
      </w:r>
      <w:r>
        <w:rPr>
          <w:rFonts w:hint="eastAsia" w:ascii="宋体" w:hAnsi="宋体" w:eastAsia="宋体" w:cs="宋体"/>
          <w:color w:val="000000"/>
          <w:kern w:val="0"/>
          <w:szCs w:val="21"/>
          <w:lang w:val="zh-CN"/>
        </w:rPr>
        <w:t>）投标人应在建安区设有售后服务机构，服务机构具有较强的维保能力，在合约期内提供终端维保服务，维修人员应具有三年以上维修工作经验。合约期内因终端质量问题造成的终端损坏提供免费维修，无法维修的应予以免费更换。</w:t>
      </w:r>
    </w:p>
    <w:p>
      <w:pPr>
        <w:pStyle w:val="2"/>
        <w:spacing w:after="0" w:line="360" w:lineRule="auto"/>
        <w:ind w:firstLineChars="200"/>
        <w:rPr>
          <w:rFonts w:hAnsi="宋体" w:cs="宋体"/>
          <w:color w:val="000000"/>
          <w:sz w:val="21"/>
          <w:szCs w:val="21"/>
          <w:lang w:val="zh-CN"/>
        </w:rPr>
      </w:pPr>
      <w:r>
        <w:rPr>
          <w:rFonts w:hint="eastAsia" w:hAnsi="宋体" w:cs="宋体"/>
          <w:color w:val="000000"/>
          <w:sz w:val="21"/>
          <w:szCs w:val="21"/>
          <w:lang w:val="zh-CN"/>
        </w:rPr>
        <w:t>（</w:t>
      </w:r>
      <w:r>
        <w:rPr>
          <w:rFonts w:hint="eastAsia" w:hAnsi="宋体" w:cs="宋体"/>
          <w:color w:val="000000"/>
          <w:sz w:val="21"/>
          <w:szCs w:val="21"/>
        </w:rPr>
        <w:t>8</w:t>
      </w:r>
      <w:r>
        <w:rPr>
          <w:rFonts w:hint="eastAsia" w:hAnsi="宋体" w:cs="宋体"/>
          <w:color w:val="000000"/>
          <w:sz w:val="21"/>
          <w:szCs w:val="21"/>
          <w:lang w:val="zh-CN"/>
        </w:rPr>
        <w:t>）合同期内如遇重要节假日、重大活动、重要案件等特殊事件，投标人应安排专门团队做好设备的值守保障维护工作。</w:t>
      </w:r>
    </w:p>
    <w:p>
      <w:pPr>
        <w:pStyle w:val="2"/>
        <w:spacing w:after="0" w:line="360" w:lineRule="auto"/>
        <w:ind w:firstLineChars="200"/>
        <w:rPr>
          <w:rFonts w:hAnsi="宋体" w:cs="宋体"/>
          <w:color w:val="000000"/>
          <w:sz w:val="21"/>
          <w:szCs w:val="21"/>
          <w:lang w:val="zh-CN"/>
        </w:rPr>
      </w:pPr>
      <w:r>
        <w:rPr>
          <w:rFonts w:hint="eastAsia" w:hAnsi="宋体" w:cs="宋体"/>
          <w:color w:val="000000"/>
          <w:sz w:val="21"/>
          <w:szCs w:val="21"/>
          <w:lang w:val="zh-CN"/>
        </w:rPr>
        <w:t>（</w:t>
      </w:r>
      <w:r>
        <w:rPr>
          <w:rFonts w:hint="eastAsia" w:hAnsi="宋体" w:cs="宋体"/>
          <w:color w:val="000000"/>
          <w:sz w:val="21"/>
          <w:szCs w:val="21"/>
        </w:rPr>
        <w:t>9</w:t>
      </w:r>
      <w:r>
        <w:rPr>
          <w:rFonts w:hint="eastAsia" w:hAnsi="宋体" w:cs="宋体"/>
          <w:color w:val="000000"/>
          <w:sz w:val="21"/>
          <w:szCs w:val="21"/>
          <w:lang w:val="zh-CN"/>
        </w:rPr>
        <w:t>）合同期内采购人有权按照本次采购的中标价格、内容追加购买辅警移动警务终端及其服务。追加购买的，中标人应提供与本次投标型号一致的终端或不低于本次投标终端成本价的替代型号终端，替代型号终端需要通过采购人相关的安全检测和软件适配。</w:t>
      </w:r>
    </w:p>
    <w:p>
      <w:pPr>
        <w:autoSpaceDE w:val="0"/>
        <w:autoSpaceDN w:val="0"/>
        <w:adjustRightInd w:val="0"/>
        <w:spacing w:line="360" w:lineRule="auto"/>
        <w:ind w:firstLine="420" w:firstLineChars="200"/>
        <w:jc w:val="left"/>
        <w:rPr>
          <w:rFonts w:ascii="宋体" w:hAnsi="宋体" w:eastAsia="宋体" w:cs="宋体"/>
          <w:color w:val="000000"/>
          <w:kern w:val="0"/>
          <w:szCs w:val="21"/>
        </w:rPr>
        <w:sectPr>
          <w:headerReference r:id="rId3" w:type="default"/>
          <w:footerReference r:id="rId4" w:type="default"/>
          <w:pgSz w:w="11911" w:h="16838"/>
          <w:pgMar w:top="1417" w:right="1304" w:bottom="1134" w:left="1304" w:header="720" w:footer="720" w:gutter="0"/>
          <w:pgNumType w:start="1"/>
          <w:cols w:space="720" w:num="1"/>
        </w:sectPr>
      </w:pPr>
      <w:r>
        <w:rPr>
          <w:rFonts w:hint="eastAsia" w:ascii="宋体" w:hAnsi="宋体" w:eastAsia="宋体" w:cs="宋体"/>
          <w:color w:val="000000"/>
          <w:kern w:val="0"/>
          <w:szCs w:val="21"/>
        </w:rPr>
        <w:t>15、</w:t>
      </w:r>
      <w:r>
        <w:rPr>
          <w:rFonts w:hint="eastAsia" w:ascii="宋体" w:hAnsi="宋体" w:eastAsia="宋体" w:cs="宋体"/>
          <w:color w:val="000000"/>
          <w:kern w:val="0"/>
          <w:szCs w:val="21"/>
          <w:lang w:val="zh-CN"/>
        </w:rPr>
        <w:t>本项目为交钥匙工程（包括设备、材料、元件等购置、安装调试、验收、与其它单位协作所产生的费用运保费及其他相关费用等）设备交付正常使用前所发生的所有费用中标单位承担。</w:t>
      </w: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8"/>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276"/>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09"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7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3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7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ascii="宋体" w:hAnsi="宋体" w:eastAsia="宋体" w:cs="宋体"/>
                <w:color w:val="000000"/>
                <w:szCs w:val="21"/>
              </w:rPr>
              <w:t>采购项目</w:t>
            </w:r>
          </w:p>
        </w:tc>
        <w:tc>
          <w:tcPr>
            <w:tcW w:w="6836" w:type="dxa"/>
          </w:tcPr>
          <w:p>
            <w:pPr>
              <w:autoSpaceDE w:val="0"/>
              <w:autoSpaceDN w:val="0"/>
              <w:adjustRightInd w:val="0"/>
              <w:spacing w:line="360" w:lineRule="auto"/>
              <w:jc w:val="left"/>
              <w:rPr>
                <w:rFonts w:ascii="宋体" w:hAnsi="宋体" w:eastAsia="宋体" w:cs="宋体"/>
                <w:color w:val="000000"/>
                <w:szCs w:val="21"/>
              </w:rPr>
            </w:pPr>
            <w:r>
              <w:rPr>
                <w:rFonts w:hint="eastAsia" w:ascii="宋体" w:hAnsi="宋体" w:eastAsia="宋体" w:cs="宋体"/>
                <w:color w:val="000000"/>
                <w:szCs w:val="21"/>
              </w:rPr>
              <w:t>项目名称：许昌市建安区公安局辅警移动警务终端采购项目</w:t>
            </w:r>
          </w:p>
          <w:p>
            <w:pPr>
              <w:autoSpaceDE w:val="0"/>
              <w:autoSpaceDN w:val="0"/>
              <w:adjustRightInd w:val="0"/>
              <w:spacing w:line="360" w:lineRule="auto"/>
              <w:jc w:val="left"/>
              <w:rPr>
                <w:rFonts w:hint="eastAsia" w:ascii="宋体" w:hAnsi="宋体" w:eastAsia="宋体" w:cs="宋体"/>
                <w:color w:val="000000"/>
                <w:szCs w:val="21"/>
                <w:lang w:eastAsia="zh-CN"/>
              </w:rPr>
            </w:pPr>
            <w:r>
              <w:rPr>
                <w:rFonts w:hint="eastAsia" w:ascii="宋体" w:hAnsi="宋体" w:eastAsia="宋体" w:cs="宋体"/>
                <w:color w:val="000000"/>
                <w:szCs w:val="21"/>
              </w:rPr>
              <w:t>项目编号：</w:t>
            </w:r>
            <w:r>
              <w:rPr>
                <w:rFonts w:hint="eastAsia" w:ascii="宋体" w:hAnsi="宋体" w:eastAsia="宋体" w:cs="宋体"/>
                <w:color w:val="000000"/>
                <w:szCs w:val="21"/>
                <w:lang w:eastAsia="zh-CN"/>
              </w:rPr>
              <w:t>建安政采竞字〔2019〕73号</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项目内容：详见谈判文件</w:t>
            </w:r>
          </w:p>
          <w:p>
            <w:pPr>
              <w:spacing w:line="360" w:lineRule="auto"/>
              <w:jc w:val="left"/>
              <w:rPr>
                <w:rFonts w:cs="仿宋_GB2312" w:asciiTheme="minorEastAsia" w:hAnsiTheme="minorEastAsia"/>
                <w:szCs w:val="21"/>
              </w:rPr>
            </w:pPr>
            <w:r>
              <w:rPr>
                <w:rFonts w:hint="eastAsia" w:ascii="宋体" w:hAnsi="宋体" w:eastAsia="宋体" w:cs="宋体"/>
                <w:color w:val="000000"/>
                <w:szCs w:val="21"/>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809"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7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ascii="宋体" w:hAnsi="宋体" w:eastAsia="宋体" w:cs="宋体"/>
                <w:color w:val="000000"/>
                <w:szCs w:val="21"/>
              </w:rPr>
              <w:t>采购人及采购代理机构</w:t>
            </w:r>
          </w:p>
        </w:tc>
        <w:tc>
          <w:tcPr>
            <w:tcW w:w="6836" w:type="dxa"/>
            <w:vAlign w:val="center"/>
          </w:tcPr>
          <w:p>
            <w:pPr>
              <w:autoSpaceDE w:val="0"/>
              <w:autoSpaceDN w:val="0"/>
              <w:adjustRightInd w:val="0"/>
              <w:spacing w:line="360" w:lineRule="auto"/>
              <w:jc w:val="left"/>
              <w:rPr>
                <w:rFonts w:ascii="宋体" w:hAnsi="宋体" w:eastAsia="宋体" w:cs="宋体"/>
                <w:color w:val="000000"/>
                <w:szCs w:val="21"/>
              </w:rPr>
            </w:pPr>
            <w:r>
              <w:rPr>
                <w:rFonts w:hint="eastAsia" w:ascii="宋体" w:hAnsi="宋体" w:eastAsia="宋体" w:cs="宋体"/>
                <w:color w:val="000000"/>
                <w:szCs w:val="21"/>
              </w:rPr>
              <w:t>采购人：许昌市建安区公安局</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联系人：孙宏涛   18637463677 </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采购代理机构：河南建标工程管理有限公司</w:t>
            </w:r>
          </w:p>
          <w:p>
            <w:pPr>
              <w:spacing w:line="360" w:lineRule="auto"/>
              <w:rPr>
                <w:rFonts w:cs="仿宋_GB2312" w:asciiTheme="minorEastAsia" w:hAnsiTheme="minorEastAsia"/>
                <w:szCs w:val="21"/>
              </w:rPr>
            </w:pPr>
            <w:r>
              <w:rPr>
                <w:rFonts w:hint="eastAsia" w:ascii="宋体" w:hAnsi="宋体" w:eastAsia="宋体" w:cs="宋体"/>
                <w:color w:val="000000"/>
                <w:szCs w:val="21"/>
              </w:rPr>
              <w:t>联系人：寇钰    18839978877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7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ascii="宋体" w:hAnsi="宋体" w:eastAsia="宋体" w:cs="宋体"/>
                <w:b/>
                <w:color w:val="000000"/>
                <w:szCs w:val="21"/>
              </w:rPr>
              <w:t>★</w:t>
            </w:r>
            <w:r>
              <w:rPr>
                <w:rFonts w:hint="eastAsia" w:ascii="宋体" w:hAnsi="宋体" w:eastAsia="宋体" w:cs="宋体"/>
                <w:color w:val="000000"/>
                <w:szCs w:val="21"/>
              </w:rPr>
              <w:t>投标人资格</w:t>
            </w:r>
          </w:p>
        </w:tc>
        <w:tc>
          <w:tcPr>
            <w:tcW w:w="6836" w:type="dxa"/>
            <w:vAlign w:val="center"/>
          </w:tcPr>
          <w:p>
            <w:pPr>
              <w:autoSpaceDE w:val="0"/>
              <w:autoSpaceDN w:val="0"/>
              <w:adjustRightInd w:val="0"/>
              <w:spacing w:line="360" w:lineRule="auto"/>
              <w:ind w:right="-11"/>
              <w:rPr>
                <w:rFonts w:ascii="宋体" w:hAnsi="宋体" w:eastAsia="宋体" w:cs="宋体"/>
                <w:b/>
                <w:bCs/>
                <w:color w:val="000000"/>
                <w:szCs w:val="21"/>
                <w:lang w:val="zh-CN"/>
              </w:rPr>
            </w:pPr>
            <w:r>
              <w:rPr>
                <w:rFonts w:hint="eastAsia" w:ascii="宋体" w:hAnsi="宋体" w:eastAsia="宋体" w:cs="宋体"/>
                <w:b/>
                <w:bCs/>
                <w:color w:val="000000"/>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1、企业法人营业执照或营业执照。（企业投标提供，</w:t>
            </w:r>
            <w:r>
              <w:rPr>
                <w:rFonts w:hint="eastAsia" w:ascii="宋体" w:hAnsi="宋体" w:eastAsia="宋体" w:cs="宋体"/>
                <w:b/>
                <w:color w:val="000000"/>
                <w:szCs w:val="21"/>
                <w:lang w:val="zh-CN"/>
              </w:rPr>
              <w:t>电信运营商可以提供其区县级或其以上分支机构营业执照</w:t>
            </w:r>
            <w:r>
              <w:rPr>
                <w:rFonts w:hint="eastAsia" w:ascii="宋体" w:hAnsi="宋体" w:eastAsia="宋体" w:cs="宋体"/>
                <w:bCs/>
                <w:color w:val="000000"/>
                <w:szCs w:val="21"/>
                <w:lang w:val="zh-CN"/>
              </w:rPr>
              <w:t>）</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2、事业单位法人证书。（事业单位投标提供）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3、执业许可证。（非专业服务机构投标提供）</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4、个体工商户营业执照。（个体工商户投标提供）</w:t>
            </w:r>
          </w:p>
          <w:p>
            <w:pPr>
              <w:autoSpaceDE w:val="0"/>
              <w:autoSpaceDN w:val="0"/>
              <w:adjustRightInd w:val="0"/>
              <w:spacing w:line="360" w:lineRule="auto"/>
              <w:jc w:val="left"/>
              <w:rPr>
                <w:rFonts w:ascii="宋体" w:hAnsi="宋体" w:eastAsia="宋体" w:cs="宋体"/>
                <w:color w:val="000000"/>
                <w:szCs w:val="21"/>
              </w:rPr>
            </w:pPr>
            <w:r>
              <w:rPr>
                <w:rFonts w:hint="eastAsia" w:ascii="宋体" w:hAnsi="宋体" w:eastAsia="宋体" w:cs="宋体"/>
                <w:bCs/>
                <w:color w:val="000000"/>
                <w:szCs w:val="21"/>
                <w:lang w:val="zh-CN"/>
              </w:rPr>
              <w:t>5、自然人身份证明。（自然人投标提供）</w:t>
            </w:r>
          </w:p>
          <w:p>
            <w:pPr>
              <w:autoSpaceDE w:val="0"/>
              <w:autoSpaceDN w:val="0"/>
              <w:adjustRightInd w:val="0"/>
              <w:spacing w:line="360" w:lineRule="auto"/>
              <w:jc w:val="left"/>
              <w:rPr>
                <w:rFonts w:ascii="宋体" w:hAnsi="宋体" w:eastAsia="宋体" w:cs="宋体"/>
                <w:b/>
                <w:color w:val="000000"/>
                <w:szCs w:val="21"/>
              </w:rPr>
            </w:pPr>
            <w:r>
              <w:rPr>
                <w:rFonts w:hint="eastAsia" w:ascii="宋体" w:hAnsi="宋体" w:eastAsia="宋体" w:cs="宋体"/>
                <w:b/>
                <w:color w:val="000000"/>
                <w:szCs w:val="21"/>
              </w:rPr>
              <w:t>二、财务状况报告相关材料</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color w:val="000000"/>
                <w:szCs w:val="21"/>
              </w:rPr>
              <w:t>1、上一</w:t>
            </w:r>
            <w:r>
              <w:rPr>
                <w:rFonts w:hint="eastAsia" w:ascii="宋体" w:hAnsi="宋体" w:eastAsia="宋体" w:cs="宋体"/>
                <w:bCs/>
                <w:color w:val="000000"/>
                <w:szCs w:val="21"/>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color w:val="000000"/>
                <w:szCs w:val="21"/>
              </w:rPr>
              <w:t>2、</w:t>
            </w:r>
            <w:r>
              <w:rPr>
                <w:rFonts w:hint="eastAsia" w:ascii="宋体" w:hAnsi="宋体" w:eastAsia="宋体" w:cs="宋体"/>
                <w:bCs/>
                <w:color w:val="000000"/>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eastAsia="宋体" w:cs="宋体"/>
                <w:b/>
                <w:color w:val="000000"/>
                <w:szCs w:val="21"/>
              </w:rPr>
            </w:pPr>
            <w:r>
              <w:rPr>
                <w:rFonts w:hint="eastAsia" w:ascii="宋体" w:hAnsi="宋体" w:eastAsia="宋体" w:cs="宋体"/>
                <w:b/>
                <w:color w:val="000000"/>
                <w:szCs w:val="21"/>
              </w:rPr>
              <w:t>三、依法缴纳税收相关材料</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color w:val="000000"/>
                <w:szCs w:val="21"/>
                <w:lang w:val="zh-CN"/>
              </w:rPr>
            </w:pPr>
            <w:r>
              <w:rPr>
                <w:rFonts w:hint="eastAsia" w:ascii="宋体" w:hAnsi="宋体" w:eastAsia="宋体" w:cs="宋体"/>
                <w:b/>
                <w:bCs/>
                <w:color w:val="000000"/>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000000"/>
                <w:szCs w:val="21"/>
                <w:lang w:val="zh-CN"/>
              </w:rPr>
            </w:pPr>
            <w:r>
              <w:rPr>
                <w:rFonts w:hint="eastAsia" w:ascii="宋体" w:hAnsi="宋体" w:eastAsia="宋体" w:cs="宋体"/>
                <w:bCs/>
                <w:color w:val="000000"/>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color w:val="000000"/>
                <w:szCs w:val="21"/>
                <w:lang w:val="zh-CN"/>
              </w:rPr>
            </w:pPr>
            <w:r>
              <w:rPr>
                <w:rFonts w:hint="eastAsia" w:ascii="宋体" w:hAnsi="宋体" w:eastAsia="宋体" w:cs="宋体"/>
                <w:b/>
                <w:bCs/>
                <w:color w:val="000000"/>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bCs/>
                <w:color w:val="000000"/>
                <w:szCs w:val="21"/>
                <w:lang w:val="zh-CN"/>
              </w:rPr>
              <w:t>相关设备的购置发票、专业技术人员职称证书、用工合同等或者</w:t>
            </w:r>
            <w:r>
              <w:rPr>
                <w:rFonts w:hint="eastAsia" w:ascii="宋体" w:hAnsi="宋体" w:eastAsia="宋体" w:cs="宋体"/>
                <w:color w:val="000000"/>
                <w:kern w:val="0"/>
                <w:szCs w:val="21"/>
              </w:rPr>
              <w:t>附投标人相关承诺函或声明。（格式自拟）</w:t>
            </w:r>
          </w:p>
          <w:p>
            <w:pPr>
              <w:autoSpaceDE w:val="0"/>
              <w:autoSpaceDN w:val="0"/>
              <w:adjustRightInd w:val="0"/>
              <w:spacing w:line="360" w:lineRule="auto"/>
              <w:ind w:right="-11"/>
              <w:rPr>
                <w:rFonts w:ascii="宋体" w:hAnsi="宋体" w:eastAsia="宋体" w:cs="宋体"/>
                <w:b/>
                <w:bCs/>
                <w:color w:val="000000"/>
                <w:szCs w:val="21"/>
                <w:lang w:val="zh-CN"/>
              </w:rPr>
            </w:pPr>
            <w:r>
              <w:rPr>
                <w:rFonts w:hint="eastAsia" w:ascii="宋体" w:hAnsi="宋体" w:eastAsia="宋体" w:cs="宋体"/>
                <w:b/>
                <w:color w:val="000000"/>
                <w:kern w:val="0"/>
                <w:szCs w:val="21"/>
              </w:rPr>
              <w:t>六、</w:t>
            </w:r>
            <w:r>
              <w:rPr>
                <w:rFonts w:hint="eastAsia" w:ascii="宋体" w:hAnsi="宋体" w:eastAsia="宋体" w:cs="宋体"/>
                <w:b/>
                <w:bCs/>
                <w:color w:val="000000"/>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b/>
                <w:bCs/>
                <w:color w:val="000000"/>
                <w:szCs w:val="21"/>
                <w:lang w:val="zh-CN"/>
              </w:rPr>
            </w:pPr>
            <w:r>
              <w:rPr>
                <w:rFonts w:hint="eastAsia" w:ascii="宋体" w:hAnsi="宋体" w:eastAsia="宋体" w:cs="宋体"/>
                <w:b/>
                <w:color w:val="000000"/>
                <w:kern w:val="0"/>
                <w:szCs w:val="21"/>
                <w:lang w:val="zh-CN"/>
              </w:rPr>
              <w:t>七</w:t>
            </w:r>
            <w:r>
              <w:rPr>
                <w:rFonts w:hint="eastAsia" w:ascii="宋体" w:hAnsi="宋体" w:eastAsia="宋体" w:cs="宋体"/>
                <w:b/>
                <w:bCs/>
                <w:color w:val="000000"/>
                <w:szCs w:val="21"/>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联合体形式投标的，联合体成员存在不良信用记录，视同联合体存在不良信用记录）。</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1、查询渠道：“信用中国”网站（www.creditchina.gov.cn）、 “中国政府采购网”（www.ccgp.gov.cn）和</w:t>
            </w:r>
            <w:r>
              <w:rPr>
                <w:rFonts w:hint="eastAsia" w:ascii="宋体" w:hAnsi="宋体" w:eastAsia="宋体" w:cs="宋体"/>
                <w:szCs w:val="21"/>
                <w:shd w:val="clear" w:color="auto" w:fill="FFFFFF"/>
              </w:rPr>
              <w:t>国家企业信用信息公示系统(www.gsxt.gov.cn/index.html)</w:t>
            </w:r>
            <w:r>
              <w:rPr>
                <w:rFonts w:hint="eastAsia" w:ascii="宋体" w:hAnsi="宋体" w:eastAsia="宋体" w:cs="宋体"/>
                <w:kern w:val="0"/>
                <w:szCs w:val="21"/>
              </w:rPr>
              <w:t>；</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3、信用信息查询记录和证据留存具体方式：经采购人确认的查询结果网页截图作为查询记录和证据，与其他谈判文件一并保存；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Cs w:val="21"/>
              </w:rPr>
            </w:pPr>
            <w:r>
              <w:rPr>
                <w:rFonts w:hint="eastAsia" w:ascii="宋体" w:hAnsi="宋体" w:eastAsia="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7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36"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7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36" w:type="dxa"/>
            <w:vAlign w:val="center"/>
          </w:tcPr>
          <w:p>
            <w:pPr>
              <w:pStyle w:val="21"/>
              <w:widowControl/>
              <w:shd w:val="clear" w:color="auto" w:fill="FFFFFF"/>
              <w:spacing w:line="360" w:lineRule="auto"/>
              <w:contextualSpacing/>
              <w:jc w:val="left"/>
              <w:rPr>
                <w:rFonts w:ascii="宋体" w:hAnsi="宋体" w:cs="宋体"/>
                <w:b/>
                <w:bCs/>
                <w:kern w:val="0"/>
                <w:sz w:val="21"/>
                <w:szCs w:val="21"/>
              </w:rPr>
            </w:pPr>
            <w:r>
              <w:rPr>
                <w:rFonts w:hint="eastAsia" w:ascii="宋体" w:hAnsi="宋体" w:cs="宋体"/>
                <w:b/>
                <w:bCs/>
                <w:kern w:val="0"/>
                <w:sz w:val="21"/>
                <w:szCs w:val="21"/>
              </w:rPr>
              <w:t>一标预算金额：260400.00元，最高限价：260400.00元。</w:t>
            </w:r>
          </w:p>
          <w:p>
            <w:pPr>
              <w:rPr>
                <w:rFonts w:ascii="宋体" w:hAnsi="宋体" w:eastAsia="宋体" w:cs="宋体"/>
                <w:b/>
                <w:bCs/>
                <w:kern w:val="0"/>
                <w:szCs w:val="21"/>
              </w:rPr>
            </w:pPr>
            <w:r>
              <w:rPr>
                <w:rFonts w:hint="eastAsia" w:ascii="宋体" w:hAnsi="宋体" w:eastAsia="宋体" w:cs="宋体"/>
                <w:b/>
                <w:bCs/>
                <w:kern w:val="0"/>
                <w:szCs w:val="21"/>
              </w:rPr>
              <w:t>二标预算金额：260400.00元，最高限价：260400.00元。</w:t>
            </w:r>
          </w:p>
          <w:p>
            <w:pPr>
              <w:pStyle w:val="21"/>
              <w:widowControl/>
              <w:shd w:val="clear" w:color="auto" w:fill="FFFFFF"/>
              <w:spacing w:line="360" w:lineRule="auto"/>
              <w:contextualSpacing/>
              <w:jc w:val="left"/>
              <w:rPr>
                <w:rFonts w:cs="宋体" w:asciiTheme="minorEastAsia" w:hAnsiTheme="minorEastAsia"/>
                <w:kern w:val="0"/>
                <w:szCs w:val="21"/>
              </w:rPr>
            </w:pPr>
            <w:r>
              <w:rPr>
                <w:rFonts w:hint="eastAsia" w:ascii="宋体" w:hAnsi="宋体" w:cs="宋体"/>
                <w:b/>
                <w:bCs/>
                <w:kern w:val="0"/>
                <w:sz w:val="21"/>
                <w:szCs w:val="21"/>
              </w:rPr>
              <w:t>三标预算金额：258300.00元，最高限价：258300.00元。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7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3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7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3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7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36"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7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36"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76"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36"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76" w:type="dxa"/>
            <w:vAlign w:val="center"/>
          </w:tcPr>
          <w:p>
            <w:pPr>
              <w:autoSpaceDE w:val="0"/>
              <w:autoSpaceDN w:val="0"/>
              <w:adjustRightInd w:val="0"/>
              <w:spacing w:line="360" w:lineRule="auto"/>
              <w:jc w:val="center"/>
              <w:rPr>
                <w:rFonts w:cs="宋体" w:asciiTheme="minorEastAsia" w:hAnsiTheme="minorEastAsia"/>
                <w:bCs/>
                <w:sz w:val="20"/>
                <w:szCs w:val="21"/>
                <w:lang w:val="zh-CN"/>
              </w:rPr>
            </w:pPr>
            <w:r>
              <w:rPr>
                <w:rFonts w:hint="eastAsia" w:cs="仿宋_GB2312" w:asciiTheme="minorEastAsia" w:hAnsiTheme="minorEastAsia"/>
                <w:sz w:val="20"/>
                <w:szCs w:val="21"/>
                <w:shd w:val="clear" w:color="auto" w:fill="FFFFFF"/>
              </w:rPr>
              <w:t>响应文件提交截止、</w:t>
            </w:r>
            <w:r>
              <w:rPr>
                <w:rFonts w:hint="eastAsia" w:cs="宋体" w:asciiTheme="minorEastAsia" w:hAnsiTheme="minorEastAsia"/>
                <w:bCs/>
                <w:sz w:val="20"/>
                <w:szCs w:val="21"/>
                <w:lang w:val="zh-CN"/>
              </w:rPr>
              <w:t>谈判响应截止及谈判时间</w:t>
            </w:r>
          </w:p>
        </w:tc>
        <w:tc>
          <w:tcPr>
            <w:tcW w:w="6836"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仿宋_GB2312" w:asciiTheme="minorEastAsia" w:hAnsiTheme="minorEastAsia" w:eastAsiaTheme="minorEastAsia"/>
                <w:szCs w:val="21"/>
              </w:rPr>
              <w:t>2019年8月</w:t>
            </w:r>
            <w:r>
              <w:rPr>
                <w:rFonts w:hint="eastAsia" w:cs="仿宋_GB2312" w:asciiTheme="minorEastAsia" w:hAnsiTheme="minorEastAsia" w:eastAsiaTheme="minorEastAsia"/>
                <w:szCs w:val="21"/>
                <w:lang w:val="en-US" w:eastAsia="zh-CN"/>
              </w:rPr>
              <w:t>15</w:t>
            </w:r>
            <w:r>
              <w:rPr>
                <w:rFonts w:hint="eastAsia" w:cs="仿宋_GB2312" w:asciiTheme="minorEastAsia" w:hAnsiTheme="minorEastAsia" w:eastAsiaTheme="minorEastAsia"/>
                <w:szCs w:val="21"/>
              </w:rPr>
              <w:t>日</w:t>
            </w:r>
            <w:r>
              <w:rPr>
                <w:rFonts w:hint="eastAsia" w:cs="仿宋_GB2312" w:asciiTheme="minorEastAsia" w:hAnsiTheme="minorEastAsia" w:eastAsiaTheme="minorEastAsia"/>
                <w:szCs w:val="21"/>
                <w:lang w:val="en-US" w:eastAsia="zh-CN"/>
              </w:rPr>
              <w:t>09</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30</w:t>
            </w:r>
            <w:r>
              <w:rPr>
                <w:rFonts w:hint="eastAsia" w:cs="仿宋_GB2312" w:asciiTheme="minorEastAsia" w:hAnsiTheme="minorEastAsia" w:eastAsiaTheme="minorEastAsia"/>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7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3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szCs w:val="21"/>
              </w:rPr>
              <w:t>响应文件递交地点：建安区新元大道兴业大厦北4楼开标</w:t>
            </w:r>
            <w:r>
              <w:rPr>
                <w:rFonts w:hint="eastAsia" w:cs="仿宋_GB2312" w:asciiTheme="minorEastAsia" w:hAnsiTheme="minorEastAsia"/>
                <w:szCs w:val="21"/>
                <w:lang w:eastAsia="zh-CN"/>
              </w:rPr>
              <w:t>三</w:t>
            </w:r>
            <w:r>
              <w:rPr>
                <w:rFonts w:hint="eastAsia" w:cs="仿宋_GB2312" w:asciiTheme="minorEastAsia" w:hAnsiTheme="minorEastAsia"/>
                <w:szCs w:val="21"/>
              </w:rPr>
              <w:t>室（</w:t>
            </w:r>
            <w:r>
              <w:rPr>
                <w:rFonts w:hint="eastAsia" w:cs="仿宋_GB2312" w:asciiTheme="minorEastAsia" w:hAnsiTheme="minorEastAsia"/>
                <w:szCs w:val="21"/>
                <w:lang w:val="en-US" w:eastAsia="zh-CN"/>
              </w:rPr>
              <w:t>4163</w:t>
            </w:r>
            <w:r>
              <w:rPr>
                <w:rFonts w:hint="eastAsia" w:cs="仿宋_GB2312" w:asciiTheme="minorEastAsia" w:hAnsiTheme="minorEastAsia"/>
                <w:szCs w:val="21"/>
              </w:rPr>
              <w:t>室）</w:t>
            </w:r>
            <w:r>
              <w:rPr>
                <w:rFonts w:hint="eastAsia" w:cs="宋体" w:asciiTheme="minorEastAsia" w:hAnsiTheme="minorEastAsia"/>
                <w:bCs/>
                <w:szCs w:val="21"/>
                <w:lang w:val="zh-CN"/>
              </w:rPr>
              <w:t>；</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2、开启及谈判地点：建安区新元大道兴业大厦北4楼评标</w:t>
            </w:r>
            <w:r>
              <w:rPr>
                <w:rFonts w:hint="eastAsia" w:cs="仿宋_GB2312" w:asciiTheme="minorEastAsia" w:hAnsiTheme="minorEastAsia"/>
                <w:szCs w:val="21"/>
                <w:lang w:eastAsia="zh-CN"/>
              </w:rPr>
              <w:t>三</w:t>
            </w:r>
            <w:r>
              <w:rPr>
                <w:rFonts w:hint="eastAsia" w:cs="仿宋_GB2312" w:asciiTheme="minorEastAsia" w:hAnsi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7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36"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pacing w:val="-2"/>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7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36"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7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3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7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供应商对谈判文件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3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7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36"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w:t>
            </w:r>
            <w:r>
              <w:rPr>
                <w:rFonts w:hint="eastAsia" w:ascii="新宋体" w:hAnsi="新宋体" w:eastAsia="新宋体"/>
                <w:szCs w:val="21"/>
                <w:lang w:eastAsia="zh-CN"/>
              </w:rPr>
              <w:t>2份</w:t>
            </w:r>
            <w:r>
              <w:rPr>
                <w:rFonts w:hint="eastAsia" w:ascii="新宋体" w:hAnsi="新宋体" w:eastAsia="新宋体"/>
                <w:szCs w:val="21"/>
              </w:rPr>
              <w:t>（文件格式为：名称为“备份”的文件夹）。</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7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36"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7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3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7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36" w:type="dxa"/>
            <w:vAlign w:val="center"/>
          </w:tcPr>
          <w:p>
            <w:pPr>
              <w:widowControl/>
              <w:shd w:val="clear" w:color="auto" w:fill="FFFFFF"/>
              <w:spacing w:line="360" w:lineRule="auto"/>
              <w:jc w:val="left"/>
              <w:rPr>
                <w:rFonts w:cs="仿宋_GB2312" w:asciiTheme="minorEastAsia" w:hAnsiTheme="minorEastAsia"/>
                <w:szCs w:val="21"/>
                <w:lang w:val="zh-CN"/>
              </w:rPr>
            </w:pPr>
            <w:r>
              <w:rPr>
                <w:rFonts w:cs="仿宋_GB2312" w:asciiTheme="minorEastAsia" w:hAnsiTheme="minorEastAsia"/>
                <w:szCs w:val="21"/>
                <w:lang w:val="zh-CN"/>
              </w:rPr>
              <w:t>谈判小组应当从质量和服务均能满足</w:t>
            </w:r>
            <w:r>
              <w:rPr>
                <w:rFonts w:hint="eastAsia" w:cs="仿宋_GB2312" w:asciiTheme="minorEastAsia" w:hAnsiTheme="minorEastAsia"/>
                <w:szCs w:val="21"/>
                <w:lang w:val="zh-CN"/>
              </w:rPr>
              <w:t>谈判文件</w:t>
            </w:r>
            <w:r>
              <w:rPr>
                <w:rFonts w:cs="仿宋_GB2312" w:asciiTheme="minorEastAsia" w:hAnsiTheme="minorEastAsia"/>
                <w:szCs w:val="21"/>
                <w:lang w:val="zh-CN"/>
              </w:rPr>
              <w:t>实质性响应要求的供应商中，按照最后报价由低到高的顺序提出3名以上成交候选人，并编写评审报告。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7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36"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7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36"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□无要求</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fldChar w:fldCharType="begin"/>
            </w:r>
            <w:r>
              <w:rPr>
                <w:rFonts w:hint="eastAsia" w:cs="仿宋_GB2312" w:asciiTheme="minorEastAsia" w:hAnsiTheme="minorEastAsia"/>
                <w:szCs w:val="21"/>
                <w:lang w:val="zh-CN"/>
              </w:rPr>
              <w:instrText xml:space="preserve">eq \o\ac(□,√)</w:instrTex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要求提交。履约保证金数额不得超过中标合同金额的10%。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7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36"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fldChar w:fldCharType="begin"/>
            </w:r>
            <w:r>
              <w:rPr>
                <w:rFonts w:hint="eastAsia" w:cs="仿宋_GB2312" w:asciiTheme="minorEastAsia" w:hAnsiTheme="minorEastAsia"/>
                <w:szCs w:val="21"/>
                <w:lang w:val="zh-CN"/>
              </w:rPr>
              <w:instrText xml:space="preserve">eq \o\ac(□,√)</w:instrTex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收取中标人。□收取采购人。收取标准:中标合同金额的1.5%。一次性以银行划账、电汇、汇票或支票或现金的形式支付。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7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36" w:type="dxa"/>
            <w:vAlign w:val="center"/>
          </w:tcPr>
          <w:p>
            <w:pPr>
              <w:autoSpaceDE w:val="0"/>
              <w:autoSpaceDN w:val="0"/>
              <w:spacing w:line="360" w:lineRule="auto"/>
              <w:contextualSpacing/>
              <w:rPr>
                <w:rFonts w:ascii="宋体" w:hAnsi="宋体" w:cs="宋体"/>
                <w:bCs/>
                <w:sz w:val="24"/>
                <w:szCs w:val="24"/>
                <w:lang w:val="zh-CN"/>
              </w:rPr>
            </w:pPr>
            <w:r>
              <w:rPr>
                <w:rFonts w:hint="eastAsia" w:cs="仿宋_GB2312" w:asciiTheme="minorEastAsia" w:hAnsiTheme="minorEastAsia"/>
                <w:szCs w:val="21"/>
                <w:lang w:val="zh-CN"/>
              </w:rPr>
              <w:t>成交供应商在接到成交通知时，须向代理机构发送投标报价及分项报价一览表（包含主要中标标的的名称、规格型号、数量、单价、服务要求等）电子文档，并同时通知代理机构联系人。联系电话：0374-</w:t>
            </w:r>
            <w:r>
              <w:rPr>
                <w:rFonts w:hint="eastAsia" w:cs="仿宋_GB2312" w:asciiTheme="minorEastAsia" w:hAnsiTheme="minorEastAsia"/>
                <w:szCs w:val="21"/>
                <w:lang w:val="en-US" w:eastAsia="zh-CN"/>
              </w:rPr>
              <w:t>2771160</w:t>
            </w:r>
            <w:r>
              <w:rPr>
                <w:rFonts w:hint="eastAsia" w:cs="仿宋_GB2312" w:asciiTheme="minorEastAsia" w:hAnsiTheme="minorEastAsia"/>
                <w:szCs w:val="21"/>
                <w:lang w:val="zh-CN"/>
              </w:rPr>
              <w:t>，邮箱：</w:t>
            </w:r>
            <w:r>
              <w:rPr>
                <w:rFonts w:hint="eastAsia" w:cs="仿宋_GB2312" w:asciiTheme="minorEastAsia" w:hAnsiTheme="minorEastAsia"/>
                <w:szCs w:val="21"/>
                <w:lang w:val="en-US" w:eastAsia="zh-CN"/>
              </w:rPr>
              <w:t>hnjbgcgl</w:t>
            </w:r>
            <w:r>
              <w:rPr>
                <w:rFonts w:hint="eastAsia" w:cs="仿宋_GB2312" w:asciiTheme="minorEastAsia" w:hAnsiTheme="minorEastAsia"/>
                <w:szCs w:val="21"/>
                <w:lang w:val="zh-CN"/>
              </w:rPr>
              <w:t>@1</w:t>
            </w:r>
            <w:r>
              <w:rPr>
                <w:rFonts w:hint="eastAsia" w:cs="仿宋_GB2312" w:asciiTheme="minorEastAsia" w:hAnsiTheme="minorEastAsia"/>
                <w:szCs w:val="21"/>
                <w:lang w:val="en-US" w:eastAsia="zh-CN"/>
              </w:rPr>
              <w:t>26</w:t>
            </w:r>
            <w:r>
              <w:rPr>
                <w:rFonts w:hint="eastAsia" w:cs="仿宋_GB2312" w:asciiTheme="minorEastAsia" w:hAnsiTheme="minorEastAsia"/>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7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36"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0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7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36"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widowControl/>
        <w:jc w:val="center"/>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本谈判文件仅适用于本次“谈判邀请”</w:t>
      </w:r>
      <w:r>
        <w:rPr>
          <w:rFonts w:hint="eastAsia" w:ascii="宋体" w:hAnsi="宋体"/>
          <w:szCs w:val="21"/>
        </w:rPr>
        <w:t xml:space="preserve"> 和“供应商须知前附表”中所述采购项目的采购。</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本谈判文件解释权属于“谈判邀请”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符合本项目“谈判邀请”和“供应商须知前附表”中规定的合格供应商所必须具备的条件。</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szCs w:val="21"/>
          <w:shd w:val="clear" w:color="auto" w:fill="FFFFFF"/>
        </w:rPr>
        <w:t>“国家企业信用信息公示系统”网站（</w:t>
      </w:r>
      <w:r>
        <w:rPr>
          <w:rFonts w:cs="仿宋_GB2312" w:asciiTheme="minorEastAsia" w:hAnsiTheme="minorEastAsia"/>
          <w:szCs w:val="21"/>
          <w:shd w:val="clear" w:color="auto" w:fill="FFFFFF"/>
        </w:rPr>
        <w:t>www.gsxt.gov.cn</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（3）信用信息查询记录和证据留存具体方式：经谈判小组确认的查询结果网页截图作为查询记录和证据，与其他谈判文件一并保存。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ind w:left="964" w:firstLine="0" w:firstLineChars="0"/>
        <w:contextualSpacing/>
        <w:rPr>
          <w:rFonts w:hint="default" w:cs="微软雅黑" w:eastAsiaTheme="minorEastAsia"/>
          <w:lang w:val="en-US" w:eastAsia="zh-CN"/>
        </w:rPr>
      </w:pPr>
      <w:r>
        <w:rPr>
          <w:rFonts w:hint="eastAsia" w:cs="微软雅黑"/>
          <w:lang w:eastAsia="zh-CN"/>
        </w:rPr>
        <w:t>收取中标人：中标合同金额的</w:t>
      </w:r>
      <w:r>
        <w:rPr>
          <w:rFonts w:hint="eastAsia" w:cs="微软雅黑"/>
          <w:lang w:val="en-US" w:eastAsia="zh-CN"/>
        </w:rPr>
        <w:t>1.5% 。</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本“供应商须知”的条款如与“谈判邀请”、“采购需求”、“供应商须知前附表”和“谈判和评审”就同一内容的表述不一致的，以“谈判邀请”、“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（1）谈判邀请（竞争性谈判公告）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经通知参加谈判的供应商，在谈判结束后还有一次最终报价的机会</w:t>
      </w:r>
      <w:r>
        <w:rPr>
          <w:rFonts w:hint="eastAsia" w:cs="宋体" w:asciiTheme="minorEastAsia" w:hAnsiTheme="minorEastAsia"/>
          <w:kern w:val="0"/>
          <w:szCs w:val="21"/>
        </w:rPr>
        <w:t>。</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w:t>
      </w:r>
      <w:r>
        <w:rPr>
          <w:rFonts w:hint="eastAsia" w:cs="宋体" w:asciiTheme="minorEastAsia" w:hAnsiTheme="minorEastAsia"/>
          <w:kern w:val="0"/>
          <w:szCs w:val="21"/>
          <w:lang w:eastAsia="zh-CN"/>
        </w:rPr>
        <w:t>（如需提供）</w:t>
      </w:r>
      <w:r>
        <w:rPr>
          <w:rFonts w:hint="eastAsia" w:cs="宋体" w:asciiTheme="minorEastAsia" w:hAnsiTheme="minorEastAsia"/>
          <w:kern w:val="0"/>
          <w:szCs w:val="21"/>
        </w:rPr>
        <w:t>，并在响应文件封面上注明：正本/副本、所投项目名称、项目编号、供应商名称、日期等字样。</w:t>
      </w: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5"/>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谈判保证金</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16.1本项目不收取。</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b/>
          <w:kern w:val="0"/>
          <w:szCs w:val="21"/>
          <w:highlight w:val="yellow"/>
        </w:rPr>
        <w:t>16.2供应商须在响应文件中提供投标承诺函。</w:t>
      </w:r>
      <w:r>
        <w:rPr>
          <w:rFonts w:ascii="仿宋_GB2312" w:hAnsi="宋体" w:eastAsia="仿宋_GB2312"/>
          <w:sz w:val="28"/>
          <w:szCs w:val="28"/>
        </w:rPr>
        <w:t xml:space="preserve"> </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17.1供应商应提交响应文件份数见“供应商须知前附表”。</w:t>
      </w:r>
    </w:p>
    <w:p>
      <w:pPr>
        <w:autoSpaceDE w:val="0"/>
        <w:autoSpaceDN w:val="0"/>
        <w:adjustRightInd w:val="0"/>
        <w:snapToGrid w:val="0"/>
        <w:spacing w:line="360" w:lineRule="auto"/>
        <w:ind w:firstLine="420" w:firstLineChars="200"/>
      </w:pPr>
      <w:r>
        <w:rPr>
          <w:rFonts w:hint="eastAsia" w:cs="宋体" w:asciiTheme="minorEastAsia" w:hAnsiTheme="minorEastAsia"/>
          <w:kern w:val="0"/>
          <w:szCs w:val="21"/>
        </w:rPr>
        <w:t>17.2纸质响应文件是指供应商电子响应文件制作完成后生成的后缀名为“.PDF”的文件打印的响应文件。纸质响应文件正本和副本响应文件封面上应清楚标明“正本”或“副本”字样；一旦正本和副本内容不一致时，以正本为准。响应文件的正本及所有副本的封面均须由供应商加盖供应商公章。（如需提供）</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17.3纸质响应文件副本，所有资料都可以是纸质响应文件的正本复印而成。当副本和正本不一致时，以正本为准。当正本中大小写不一致时，以大写为准。（如需提供）</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17.4纸质响应文件正本均须打印并由法定代表人或经过法定代表人正式授权的供应商代表在正本上规定处签字（有特殊要求的按要求执行）。（如需提供）</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17.5 除供应商对错处做必要修改外，响应文件不得行间插字、涂改或增删。如有修改错漏处，必须由法定代表人或经其正式授权的代表签字并加盖供应商公章。（如需提供）</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17.6在谈判文件中已明示需盖章及签名之处，响应文件正本均须加盖供应商公章，并经供应商法定代表人或其授权代表签名。（如需提供）</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17.7电子响应文件应按谈判文件要求加盖供应商电子印章和法人电子印章或授权代表电子印章。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18.1供应商应将纸质响应文件“正本”、“ 副本”密封包装。（如需提供）</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18.2使用电子介质存储的2份响应文件分别单独密封包装，在谈判响应截止时间前一并提交。</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18.3响应文件如果未按规定密封，采购人将拒绝接收。</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19.1供应商必须在“谈判邀请”和“供应商须知前附表”中规定的谈判响应文件截止时间前，将所有响应文件送达谈判文件指定的地点。</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19.2采购人收到响应文件后，应当如实记载响应文件的送达时间和密封情况，签收保存。任何单位和个人不得在谈判响应文件截止时间前开启响应文件。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19.3采购人可以按本须知第11条规定，通过修改谈判文件自行决定酌情延长投标截止期。在此情况下，采购人和供应商受投标截止期制约的所有权利和义务均应延长至新的截止日期和时间。供应商按采购人修改通知规定的时间递交响应文件。</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21.1供应商在谈判文件响应截止时间前，对所递交的备份响应文件进行补充、修改或者撤回的，须书面通知相关人。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供应商应当在谈判文件响应截止时间前完成电子响应文件的提交，可以补充、修改或撤回。谈判文件响应截止时间前未完成电子响应文件提交、取得“投标文件提交回执单”的，视为撤回响应文件。</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21.2供应商补充、修改的内容并作为响应文件的组成部分。补充或修改应当按谈判文件要求签署、盖章、密封、递交，并应注明“修改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21.3供应商在递交备份响应文件后，可以撤回其投标，但供应商必须在规定的谈判文件响应截止时间前以书面形式告知采购人。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21.4供应商不得在投标有效期内撤销响应文件，否则将自行承担一切不利后果。</w:t>
      </w:r>
    </w:p>
    <w:p>
      <w:pPr>
        <w:pStyle w:val="45"/>
        <w:numPr>
          <w:ilvl w:val="0"/>
          <w:numId w:val="5"/>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除供应商须知前附表另有规定外，供应商所提交的电子响应文件、纸质响应文件（如需提供）及电子介质存储的备份文件不予退还。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供应商或者其推选的代表检查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因电子交易系统异常无法解密电子响应文件的，使用备份文件（电子介质存储）以人工方式进行。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24.1采购人将依法组建评标委员会，评标委员会由采购人代表和评审专家共3人以上单数组成，其中评审专家的人数不少于谈判小组成员总数的三分之二。评审专家依法从政府采购评审专家库中随机抽取。</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24.1.1采购人将依法组建谈判小组，谈判小组由评审专家组成，成员人数应当为3人以上单数组成。评审专家依法从政府采购评审专家库中随机抽取。</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24.1.2</w:t>
      </w:r>
      <w:r>
        <w:rPr>
          <w:rFonts w:cs="宋体" w:asciiTheme="minorEastAsia" w:hAnsiTheme="minorEastAsia"/>
          <w:kern w:val="0"/>
          <w:szCs w:val="21"/>
        </w:rPr>
        <w:t>达到公开招标数额标准的货物或者服务采购项目，或者达到招标规模标准的政府采购工程，竞争性谈判小组应当由5人以上单数组成</w:t>
      </w:r>
      <w:r>
        <w:rPr>
          <w:rFonts w:hint="eastAsia" w:cs="宋体" w:asciiTheme="minorEastAsia" w:hAnsiTheme="minorEastAsia"/>
          <w:kern w:val="0"/>
          <w:szCs w:val="21"/>
        </w:rPr>
        <w:t>。</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24.2谈判小组成员对本单位的采购项目只能作为采购人代表参与评标。采购代理机构工作人员不得参加由本机构代理的政府采购项目的评标。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24.3谈判小组成员与供应商存在下列利害关系之一的,应当回避: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24.4谈判小组成员发现本人与参加采购活动的供应商有利害关系的,应当主动提出回避。采购人或者代理机构发现评审专家与参加采购活动的供应商有利害关系的,应当要求其回避。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24.5采购人不得担任谈判小组长。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24.7谈判小组成员名单在成交结果公告前应当保密。</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5"/>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(1)响应文件中开标一览表(报价表)内容与投标文件中相应内容不一致的，以报价一览表(报价表)为准；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(3)单价金额小数点或者百分比有明显错位的，以开标一览表的总价为准，并修改单价；</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总价金额与按单价汇总金额不一致的，以单价金额计算结果为准。同时出现两种以上不一致的，按照前款规定的顺序修正。修正后的报价按照“供应商须知”28.2规定经供应商确认后产生约束力，供应商不确认的，其投标无效。</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2"/>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r>
        <w:rPr>
          <w:rFonts w:hint="eastAsia" w:cs="宋体" w:asciiTheme="minorEastAsia" w:hAnsiTheme="minorEastAsia"/>
          <w:kern w:val="0"/>
          <w:szCs w:val="21"/>
          <w:lang w:eastAsia="zh-CN"/>
        </w:rPr>
        <w:t>（如有要求）</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r>
        <w:rPr>
          <w:rFonts w:hint="eastAsia" w:cs="宋体" w:asciiTheme="minorEastAsia" w:hAnsiTheme="minorEastAsia"/>
          <w:kern w:val="0"/>
          <w:szCs w:val="21"/>
          <w:lang w:eastAsia="zh-CN"/>
        </w:rPr>
        <w:t>（如有要求）</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9"/>
        </w:numPr>
        <w:spacing w:line="400" w:lineRule="exact"/>
        <w:rPr>
          <w:rFonts w:cs="微软雅黑"/>
        </w:rPr>
      </w:pPr>
      <w:r>
        <w:rPr>
          <w:rFonts w:hint="eastAsia" w:cs="微软雅黑"/>
        </w:rPr>
        <w:t>在谈判中，谈判的任何一方不得透露与谈判有关的其他供应商的技术资料、价格和其他信息。</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按照《关于推进全流程电子化交易和在线监管工作有关问题的通知》（许公管办[2019]3号）规定，评审专家应严格按照要求查看“硬件特征码相”相关信息并进行评审。</w:t>
      </w:r>
    </w:p>
    <w:p>
      <w:pPr>
        <w:pStyle w:val="45"/>
        <w:autoSpaceDE w:val="0"/>
        <w:autoSpaceDN w:val="0"/>
        <w:spacing w:line="360" w:lineRule="auto"/>
        <w:ind w:left="964" w:firstLine="0" w:firstLineChars="0"/>
        <w:contextualSpacing/>
        <w:rPr>
          <w:rFonts w:ascii="ˎ̥" w:hAnsi="ˎ̥"/>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ascii="ˎ̥" w:hAnsi="ˎ̥"/>
        </w:rPr>
      </w:pPr>
      <w:r>
        <w:rPr>
          <w:rFonts w:cs="仿宋_GB2312" w:asciiTheme="minorEastAsia" w:hAnsiTheme="minorEastAsia"/>
          <w:szCs w:val="21"/>
          <w:lang w:val="zh-CN"/>
        </w:rPr>
        <w:t>谈判小组应当从质量和服务均能满足</w:t>
      </w:r>
      <w:r>
        <w:rPr>
          <w:rFonts w:hint="eastAsia" w:cs="仿宋_GB2312" w:asciiTheme="minorEastAsia" w:hAnsiTheme="minorEastAsia"/>
          <w:szCs w:val="21"/>
          <w:lang w:val="zh-CN"/>
        </w:rPr>
        <w:t>谈判文件</w:t>
      </w:r>
      <w:r>
        <w:rPr>
          <w:rFonts w:cs="仿宋_GB2312" w:asciiTheme="minorEastAsia" w:hAnsiTheme="minorEastAsia"/>
          <w:szCs w:val="21"/>
          <w:lang w:val="zh-CN"/>
        </w:rPr>
        <w:t>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w:t>
      </w:r>
      <w:r>
        <w:rPr>
          <w:rFonts w:hint="eastAsia" w:ascii="ˎ̥" w:hAnsi="ˎ̥"/>
        </w:rPr>
        <w:t>谈判文件</w:t>
      </w:r>
      <w:r>
        <w:rPr>
          <w:rFonts w:ascii="ˎ̥" w:hAnsi="ˎ̥"/>
        </w:rPr>
        <w:t>实质性响应要求且最后</w:t>
      </w:r>
      <w:r>
        <w:rPr>
          <w:rFonts w:hint="eastAsia" w:ascii="ˎ̥" w:hAnsi="ˎ̥"/>
        </w:rPr>
        <w:t>有效报价最低</w:t>
      </w:r>
      <w:r>
        <w:rPr>
          <w:rFonts w:ascii="ˎ̥" w:hAnsi="ˎ̥"/>
        </w:rPr>
        <w:t>的原则确定成交供应商</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w:t>
      </w:r>
      <w:r>
        <w:rPr>
          <w:rFonts w:hint="eastAsia" w:ascii="ˎ̥" w:hAnsi="ˎ̥"/>
        </w:rPr>
        <w:t>有效</w:t>
      </w:r>
      <w:r>
        <w:rPr>
          <w:rFonts w:ascii="ˎ̥" w:hAnsi="ˎ̥"/>
        </w:rPr>
        <w:t>报价最低的供应商为成交供应商</w:t>
      </w:r>
      <w:r>
        <w:rPr>
          <w:rFonts w:hint="eastAsia" w:ascii="ˎ̥" w:hAnsi="ˎ̥"/>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autoSpaceDE w:val="0"/>
        <w:autoSpaceDN w:val="0"/>
        <w:spacing w:line="360" w:lineRule="auto"/>
        <w:ind w:left="964" w:firstLine="0" w:firstLineChars="0"/>
        <w:contextualSpacing/>
        <w:rPr>
          <w:rFonts w:ascii="ˎ̥" w:hAnsi="ˎ̥"/>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机构发送谈判报价及分项报价一览表（包含主要成交标的的名称、规格型号、数量、单价、服务要求等）电子文档，并同时电话告知</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16"/>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w:t>
      </w:r>
      <w:r>
        <w:rPr>
          <w:rFonts w:hint="eastAsia" w:cs="宋体" w:asciiTheme="minorEastAsia" w:hAnsiTheme="minorEastAsia"/>
          <w:kern w:val="0"/>
          <w:szCs w:val="21"/>
        </w:rPr>
        <w:t>谈判文件</w:t>
      </w:r>
      <w:r>
        <w:rPr>
          <w:rFonts w:cs="宋体" w:asciiTheme="minorEastAsia" w:hAnsiTheme="minorEastAsia"/>
          <w:kern w:val="0"/>
          <w:szCs w:val="21"/>
        </w:rPr>
        <w:t>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widowControl/>
        <w:spacing w:line="360" w:lineRule="auto"/>
        <w:ind w:firstLine="422" w:firstLineChars="200"/>
        <w:jc w:val="left"/>
        <w:rPr>
          <w:rFonts w:cs="宋体" w:asciiTheme="minorEastAsia" w:hAnsiTheme="minorEastAsia"/>
          <w:b/>
          <w:color w:val="000000"/>
          <w:szCs w:val="21"/>
        </w:rPr>
      </w:pPr>
      <w:r>
        <w:rPr>
          <w:rFonts w:hint="eastAsia" w:cs="宋体" w:asciiTheme="minorEastAsia" w:hAnsiTheme="minorEastAsia"/>
          <w:b/>
          <w:color w:val="000000"/>
          <w:szCs w:val="21"/>
        </w:rPr>
        <w:t>3</w:t>
      </w:r>
      <w:r>
        <w:rPr>
          <w:rFonts w:hint="eastAsia" w:cs="宋体" w:asciiTheme="minorEastAsia" w:hAnsiTheme="minorEastAsia"/>
          <w:b/>
          <w:color w:val="000000"/>
          <w:szCs w:val="21"/>
          <w:lang w:val="en-US" w:eastAsia="zh-CN"/>
        </w:rPr>
        <w:t>6.</w:t>
      </w:r>
      <w:r>
        <w:rPr>
          <w:rFonts w:hint="eastAsia" w:cs="宋体" w:asciiTheme="minorEastAsia" w:hAnsiTheme="minorEastAsia"/>
          <w:b/>
          <w:color w:val="000000"/>
          <w:szCs w:val="21"/>
        </w:rPr>
        <w:t>1</w:t>
      </w:r>
      <w:r>
        <w:rPr>
          <w:rFonts w:cs="宋体" w:asciiTheme="minorEastAsia" w:hAnsiTheme="minorEastAsia"/>
          <w:b/>
          <w:color w:val="000000"/>
          <w:szCs w:val="21"/>
        </w:rPr>
        <w:t>履约保证金提交比例和数额</w:t>
      </w:r>
    </w:p>
    <w:p>
      <w:pPr>
        <w:widowControl/>
        <w:spacing w:line="360" w:lineRule="auto"/>
        <w:ind w:firstLine="420" w:firstLineChars="200"/>
        <w:jc w:val="left"/>
        <w:rPr>
          <w:rFonts w:cs="宋体" w:asciiTheme="minorEastAsia" w:hAnsiTheme="minorEastAsia"/>
          <w:color w:val="000000"/>
          <w:szCs w:val="21"/>
        </w:rPr>
      </w:pPr>
      <w:r>
        <w:rPr>
          <w:rFonts w:cs="宋体" w:asciiTheme="minorEastAsia" w:hAnsiTheme="minorEastAsia"/>
          <w:color w:val="000000"/>
          <w:szCs w:val="21"/>
        </w:rPr>
        <w:t>履约保证金数额不得超过中标合同金额的10%。</w:t>
      </w:r>
    </w:p>
    <w:p>
      <w:pPr>
        <w:widowControl/>
        <w:spacing w:line="360" w:lineRule="auto"/>
        <w:ind w:firstLine="422" w:firstLineChars="200"/>
        <w:jc w:val="left"/>
        <w:rPr>
          <w:rFonts w:cs="宋体" w:asciiTheme="minorEastAsia" w:hAnsiTheme="minorEastAsia"/>
          <w:b/>
          <w:color w:val="000000"/>
          <w:szCs w:val="21"/>
        </w:rPr>
      </w:pPr>
      <w:r>
        <w:rPr>
          <w:rFonts w:hint="eastAsia" w:cs="宋体" w:asciiTheme="minorEastAsia" w:hAnsiTheme="minorEastAsia"/>
          <w:b/>
          <w:color w:val="000000"/>
          <w:szCs w:val="21"/>
        </w:rPr>
        <w:t>3</w:t>
      </w:r>
      <w:r>
        <w:rPr>
          <w:rFonts w:hint="eastAsia" w:cs="宋体" w:asciiTheme="minorEastAsia" w:hAnsiTheme="minorEastAsia"/>
          <w:b/>
          <w:color w:val="000000"/>
          <w:szCs w:val="21"/>
          <w:lang w:val="en-US" w:eastAsia="zh-CN"/>
        </w:rPr>
        <w:t>6</w:t>
      </w:r>
      <w:r>
        <w:rPr>
          <w:rFonts w:hint="eastAsia" w:cs="宋体" w:asciiTheme="minorEastAsia" w:hAnsiTheme="minorEastAsia"/>
          <w:b/>
          <w:color w:val="000000"/>
          <w:szCs w:val="21"/>
        </w:rPr>
        <w:t>.2</w:t>
      </w:r>
      <w:r>
        <w:rPr>
          <w:rFonts w:cs="宋体" w:asciiTheme="minorEastAsia" w:hAnsiTheme="minorEastAsia"/>
          <w:b/>
          <w:color w:val="000000"/>
          <w:szCs w:val="21"/>
        </w:rPr>
        <w:t>履约保证金的退还</w:t>
      </w:r>
    </w:p>
    <w:p>
      <w:pPr>
        <w:widowControl/>
        <w:spacing w:line="360" w:lineRule="auto"/>
        <w:ind w:firstLine="420" w:firstLineChars="200"/>
        <w:jc w:val="left"/>
        <w:rPr>
          <w:rFonts w:cs="宋体" w:asciiTheme="minorEastAsia" w:hAnsiTheme="minorEastAsia"/>
          <w:color w:val="000000"/>
          <w:szCs w:val="21"/>
        </w:rPr>
      </w:pPr>
      <w:r>
        <w:rPr>
          <w:rFonts w:hint="eastAsia" w:cs="宋体" w:asciiTheme="minorEastAsia" w:hAnsiTheme="minorEastAsia"/>
          <w:color w:val="000000"/>
          <w:szCs w:val="21"/>
        </w:rPr>
        <w:t>(1)</w:t>
      </w:r>
      <w:r>
        <w:rPr>
          <w:rFonts w:cs="宋体" w:asciiTheme="minorEastAsia" w:hAnsiTheme="minorEastAsia"/>
          <w:color w:val="000000"/>
          <w:szCs w:val="21"/>
        </w:rPr>
        <w:t>项目完工后，由招标人出具《履约保证金退还通知单》，中心财务凭《履约保证金退还通知单》在五个工作日内退还履约保证金及银行同期活期存款利息至中标人账户。</w:t>
      </w:r>
    </w:p>
    <w:p>
      <w:pPr>
        <w:widowControl/>
        <w:spacing w:line="360" w:lineRule="auto"/>
        <w:ind w:firstLine="420" w:firstLineChars="200"/>
        <w:jc w:val="left"/>
        <w:rPr>
          <w:rFonts w:cs="宋体" w:asciiTheme="minorEastAsia" w:hAnsiTheme="minorEastAsia"/>
          <w:color w:val="000000"/>
          <w:szCs w:val="21"/>
        </w:rPr>
      </w:pPr>
      <w:r>
        <w:rPr>
          <w:rFonts w:hint="eastAsia" w:cs="宋体" w:asciiTheme="minorEastAsia" w:hAnsiTheme="minorEastAsia"/>
          <w:color w:val="000000"/>
          <w:szCs w:val="21"/>
        </w:rPr>
        <w:t>(2)</w:t>
      </w:r>
      <w:r>
        <w:rPr>
          <w:rFonts w:cs="宋体" w:asciiTheme="minorEastAsia" w:hAnsiTheme="minorEastAsia"/>
          <w:color w:val="000000"/>
          <w:szCs w:val="21"/>
        </w:rPr>
        <w:t>中标人因发生质疑、投诉、举报或有关部门立案调查的，中心依据相关行政监督部门的意见暂停退还或没收其履约保证金，待行政监督部门对相关情况处置后，按照有关规定办理。</w:t>
      </w:r>
    </w:p>
    <w:p>
      <w:pPr>
        <w:widowControl/>
        <w:jc w:val="left"/>
        <w:rPr>
          <w:rFonts w:ascii="仿宋" w:hAnsi="仿宋" w:eastAsia="仿宋" w:cs="宋体"/>
          <w:sz w:val="30"/>
          <w:szCs w:val="30"/>
        </w:rPr>
      </w:pPr>
    </w:p>
    <w:p>
      <w:pPr>
        <w:jc w:val="center"/>
        <w:rPr>
          <w:rFonts w:ascii="宋体" w:hAnsi="宋体"/>
          <w:sz w:val="36"/>
          <w:szCs w:val="36"/>
        </w:rPr>
      </w:pPr>
      <w:r>
        <w:rPr>
          <w:rFonts w:hint="eastAsia" w:ascii="宋体" w:hAnsi="宋体"/>
          <w:sz w:val="36"/>
          <w:szCs w:val="36"/>
        </w:rPr>
        <w:t>履约保证金退还通知单</w:t>
      </w:r>
    </w:p>
    <w:p>
      <w:pPr>
        <w:jc w:val="center"/>
        <w:rPr>
          <w:rFonts w:ascii="宋体" w:hAnsi="宋体"/>
          <w:sz w:val="36"/>
          <w:szCs w:val="36"/>
        </w:rPr>
      </w:pPr>
    </w:p>
    <w:tbl>
      <w:tblPr>
        <w:tblStyle w:val="28"/>
        <w:tblW w:w="9828"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ascii="宋体" w:hAnsi="宋体"/>
                <w:sz w:val="24"/>
              </w:rPr>
            </w:pPr>
          </w:p>
        </w:tc>
        <w:tc>
          <w:tcPr>
            <w:tcW w:w="1440" w:type="dxa"/>
            <w:gridSpan w:val="2"/>
            <w:vAlign w:val="center"/>
          </w:tcPr>
          <w:p>
            <w:pPr>
              <w:spacing w:line="360" w:lineRule="exact"/>
              <w:jc w:val="center"/>
              <w:rPr>
                <w:rFonts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vAlign w:val="center"/>
          </w:tcPr>
          <w:p>
            <w:pPr>
              <w:rPr>
                <w:rFonts w:ascii="宋体" w:hAnsi="宋体"/>
                <w:sz w:val="24"/>
              </w:rPr>
            </w:pPr>
          </w:p>
        </w:tc>
        <w:tc>
          <w:tcPr>
            <w:tcW w:w="722" w:type="dxa"/>
            <w:gridSpan w:val="2"/>
            <w:vAlign w:val="center"/>
          </w:tcPr>
          <w:p>
            <w:pPr>
              <w:spacing w:line="360" w:lineRule="exact"/>
              <w:rPr>
                <w:rFonts w:ascii="宋体" w:hAnsi="宋体"/>
                <w:sz w:val="24"/>
              </w:rPr>
            </w:pPr>
            <w:r>
              <w:rPr>
                <w:rFonts w:hint="eastAsia" w:ascii="宋体" w:hAnsi="宋体"/>
                <w:sz w:val="24"/>
              </w:rPr>
              <w:t>账号</w:t>
            </w:r>
          </w:p>
        </w:tc>
        <w:tc>
          <w:tcPr>
            <w:tcW w:w="3240"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宋体" w:hAnsi="宋体"/>
                <w:sz w:val="24"/>
              </w:rPr>
            </w:pPr>
          </w:p>
          <w:p>
            <w:pPr>
              <w:jc w:val="center"/>
              <w:rPr>
                <w:rFonts w:ascii="宋体" w:hAnsi="宋体"/>
                <w:sz w:val="24"/>
              </w:rPr>
            </w:pPr>
            <w:r>
              <w:rPr>
                <w:rFonts w:hint="eastAsia" w:ascii="宋体" w:hAnsi="宋体"/>
                <w:sz w:val="24"/>
              </w:rPr>
              <w:t xml:space="preserve">                            </w:t>
            </w: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wordWrap w:val="0"/>
        <w:topLinePunct/>
        <w:autoSpaceDE w:val="0"/>
        <w:autoSpaceDN w:val="0"/>
        <w:adjustRightInd w:val="0"/>
        <w:snapToGrid w:val="0"/>
        <w:spacing w:line="360" w:lineRule="auto"/>
        <w:rPr>
          <w:rFonts w:ascii="宋体" w:cs="宋体"/>
          <w:b/>
          <w:sz w:val="24"/>
          <w:lang w:val="zh-CN"/>
        </w:rPr>
      </w:pPr>
    </w:p>
    <w:p>
      <w:pPr>
        <w:pStyle w:val="45"/>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eastAsiaTheme="minorEastAsia"/>
          <w:b/>
          <w:color w:val="000000"/>
          <w:kern w:val="2"/>
          <w:sz w:val="21"/>
          <w:szCs w:val="21"/>
          <w:lang w:val="en-US" w:eastAsia="zh-CN" w:bidi="ar-SA"/>
        </w:rPr>
        <w:t>3</w:t>
      </w:r>
      <w:r>
        <w:rPr>
          <w:rFonts w:hint="eastAsia" w:cs="宋体" w:asciiTheme="minorEastAsia" w:hAnsiTheme="minorEastAsia"/>
          <w:b/>
          <w:color w:val="000000"/>
          <w:kern w:val="2"/>
          <w:sz w:val="21"/>
          <w:szCs w:val="21"/>
          <w:lang w:val="en-US" w:eastAsia="zh-CN" w:bidi="ar-SA"/>
        </w:rPr>
        <w:t>7</w:t>
      </w:r>
      <w:r>
        <w:rPr>
          <w:rFonts w:hint="eastAsia" w:cs="宋体" w:asciiTheme="minorEastAsia" w:hAnsiTheme="minorEastAsia" w:eastAsiaTheme="minorEastAsia"/>
          <w:b/>
          <w:color w:val="000000"/>
          <w:kern w:val="2"/>
          <w:sz w:val="21"/>
          <w:szCs w:val="21"/>
          <w:lang w:val="en-US" w:eastAsia="zh-CN" w:bidi="ar-SA"/>
        </w:rPr>
        <w:t>.</w:t>
      </w:r>
      <w:r>
        <w:rPr>
          <w:rFonts w:cs="仿宋_GB2312" w:asciiTheme="minorEastAsia" w:hAnsiTheme="minorEastAsia"/>
          <w:szCs w:val="21"/>
          <w:lang w:val="zh-CN"/>
        </w:rPr>
        <w:t>因篇幅所限，本</w:t>
      </w:r>
      <w:r>
        <w:rPr>
          <w:rFonts w:hint="eastAsia" w:cs="仿宋_GB2312" w:asciiTheme="minorEastAsia" w:hAnsiTheme="minorEastAsia"/>
          <w:szCs w:val="21"/>
          <w:lang w:val="zh-CN"/>
        </w:rPr>
        <w:t>谈判文件</w:t>
      </w:r>
      <w:r>
        <w:rPr>
          <w:rFonts w:cs="仿宋_GB2312" w:asciiTheme="minorEastAsia" w:hAnsiTheme="minorEastAsia"/>
          <w:szCs w:val="21"/>
          <w:lang w:val="zh-CN"/>
        </w:rPr>
        <w:t>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left"/>
        <w:rPr>
          <w:rFonts w:cs="宋体" w:asciiTheme="majorEastAsia" w:hAnsiTheme="majorEastAsia" w:eastAsiaTheme="majorEastAsia"/>
          <w:b/>
          <w:kern w:val="0"/>
          <w:sz w:val="36"/>
          <w:szCs w:val="36"/>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410" w:type="dxa"/>
            <w:noWrap/>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资格审查</w:t>
            </w:r>
            <w:r>
              <w:rPr>
                <w:rFonts w:ascii="宋体" w:hAnsi="宋体" w:eastAsia="宋体" w:cs="Times New Roman"/>
                <w:b/>
                <w:szCs w:val="21"/>
              </w:rPr>
              <w:t>因素</w:t>
            </w:r>
          </w:p>
        </w:tc>
        <w:tc>
          <w:tcPr>
            <w:tcW w:w="5954" w:type="dxa"/>
            <w:noWrap/>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410" w:type="dxa"/>
            <w:noWrap/>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投标函</w:t>
            </w:r>
          </w:p>
        </w:tc>
        <w:tc>
          <w:tcPr>
            <w:tcW w:w="5954" w:type="dxa"/>
            <w:noWrap/>
            <w:vAlign w:val="center"/>
          </w:tcPr>
          <w:p>
            <w:pPr>
              <w:spacing w:line="360" w:lineRule="auto"/>
              <w:rPr>
                <w:rFonts w:ascii="宋体" w:hAnsi="宋体" w:eastAsia="宋体" w:cs="Times New Roman"/>
                <w:b/>
                <w:szCs w:val="21"/>
              </w:rPr>
            </w:pPr>
            <w:r>
              <w:rPr>
                <w:rFonts w:hint="eastAsia" w:ascii="宋体" w:hAnsi="宋体" w:eastAsia="宋体" w:cs="微软雅黑"/>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2</w:t>
            </w:r>
          </w:p>
        </w:tc>
        <w:tc>
          <w:tcPr>
            <w:tcW w:w="2410" w:type="dxa"/>
            <w:noWrap/>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法人或者其他组织的营业执照等证明文件，自然人的身份证明</w:t>
            </w:r>
          </w:p>
        </w:tc>
        <w:tc>
          <w:tcPr>
            <w:tcW w:w="5954" w:type="dxa"/>
            <w:noWrap/>
            <w:vAlign w:val="center"/>
          </w:tcPr>
          <w:p>
            <w:pPr>
              <w:spacing w:line="360" w:lineRule="auto"/>
              <w:jc w:val="left"/>
              <w:rPr>
                <w:rFonts w:ascii="宋体" w:hAnsi="宋体" w:eastAsia="宋体" w:cs="Times New Roman"/>
                <w:bCs/>
                <w:szCs w:val="21"/>
              </w:rPr>
            </w:pPr>
            <w:r>
              <w:rPr>
                <w:rFonts w:hint="eastAsia" w:ascii="宋体" w:hAnsi="宋体" w:eastAsia="宋体" w:cs="Times New Roman"/>
                <w:bCs/>
                <w:szCs w:val="21"/>
              </w:rPr>
              <w:t>（1）企业法人营业执照或营业执照。（企业投标提供，</w:t>
            </w:r>
            <w:r>
              <w:rPr>
                <w:rFonts w:hint="eastAsia" w:ascii="宋体" w:hAnsi="宋体" w:eastAsia="宋体" w:cs="宋体"/>
                <w:b/>
                <w:color w:val="000000"/>
                <w:sz w:val="24"/>
                <w:szCs w:val="24"/>
                <w:lang w:val="zh-CN"/>
              </w:rPr>
              <w:t>电信运营商可以提供其区县级或其以上分支机构营业执照</w:t>
            </w:r>
            <w:r>
              <w:rPr>
                <w:rFonts w:hint="eastAsia" w:ascii="宋体" w:hAnsi="宋体" w:eastAsia="宋体" w:cs="Times New Roman"/>
                <w:bCs/>
                <w:szCs w:val="21"/>
              </w:rPr>
              <w:t>）</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（2）事业单位法人证书。（事业单位投标提供）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（3）执业许可证。（非企业专业服务机构投标提供）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（4）个体工商户营业执照。（个体工商户投标提供）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（5）自然人身份证明。（自然人投标提供）</w:t>
            </w:r>
          </w:p>
          <w:p>
            <w:pPr>
              <w:spacing w:line="360" w:lineRule="auto"/>
              <w:jc w:val="left"/>
              <w:rPr>
                <w:rFonts w:ascii="宋体" w:hAnsi="宋体" w:eastAsia="宋体" w:cs="Times New Roman"/>
                <w:b/>
                <w:bCs/>
                <w:szCs w:val="21"/>
              </w:rPr>
            </w:pPr>
            <w:r>
              <w:rPr>
                <w:rFonts w:hint="eastAsia" w:ascii="宋体" w:hAnsi="宋体" w:eastAsia="宋体" w:cs="Times New Roman"/>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3</w:t>
            </w:r>
          </w:p>
        </w:tc>
        <w:tc>
          <w:tcPr>
            <w:tcW w:w="2410" w:type="dxa"/>
            <w:noWrap/>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财务状况报告相关材料</w:t>
            </w:r>
          </w:p>
        </w:tc>
        <w:tc>
          <w:tcPr>
            <w:tcW w:w="5954" w:type="dxa"/>
            <w:noWrap/>
          </w:tcPr>
          <w:p>
            <w:pPr>
              <w:spacing w:line="360" w:lineRule="auto"/>
              <w:rPr>
                <w:rFonts w:ascii="宋体" w:hAnsi="宋体" w:eastAsia="宋体" w:cs="Times New Roman"/>
                <w:bCs/>
                <w:szCs w:val="21"/>
              </w:rPr>
            </w:pPr>
            <w:r>
              <w:rPr>
                <w:rFonts w:hint="eastAsia" w:ascii="宋体" w:hAnsi="宋体" w:eastAsia="宋体" w:cs="Times New Roman"/>
                <w:bCs/>
                <w:szCs w:val="21"/>
              </w:rPr>
              <w:t>（1）投标人是法人（法人包括企业法人、机关法人、事业单位法人和社会团体法人），提供本单位：</w:t>
            </w:r>
          </w:p>
          <w:p>
            <w:pPr>
              <w:spacing w:line="360" w:lineRule="auto"/>
              <w:rPr>
                <w:rFonts w:ascii="宋体" w:hAnsi="宋体" w:eastAsia="宋体" w:cs="Times New Roman"/>
                <w:bCs/>
                <w:szCs w:val="21"/>
              </w:rPr>
            </w:pPr>
            <w:r>
              <w:rPr>
                <w:rFonts w:hint="eastAsia" w:ascii="宋体" w:hAnsi="宋体" w:eastAsia="宋体" w:cs="Times New Roman"/>
                <w:bCs/>
                <w:szCs w:val="21"/>
              </w:rPr>
              <w:t>①2017或者2018年度经审计的财务报告，包括资产负债表、利润表、现金流量表、所有者权益变动表及其附注；</w:t>
            </w:r>
          </w:p>
          <w:p>
            <w:pPr>
              <w:spacing w:line="360" w:lineRule="auto"/>
              <w:rPr>
                <w:rFonts w:ascii="宋体" w:hAnsi="宋体" w:eastAsia="宋体" w:cs="Times New Roman"/>
                <w:bCs/>
                <w:szCs w:val="21"/>
              </w:rPr>
            </w:pPr>
            <w:r>
              <w:rPr>
                <w:rFonts w:hint="eastAsia" w:ascii="宋体" w:hAnsi="宋体" w:eastAsia="宋体" w:cs="Times New Roman"/>
                <w:bCs/>
                <w:szCs w:val="21"/>
              </w:rPr>
              <w:t>②基本开户银行出具的资信证明；</w:t>
            </w:r>
          </w:p>
          <w:p>
            <w:pPr>
              <w:spacing w:line="360" w:lineRule="auto"/>
              <w:rPr>
                <w:rFonts w:ascii="宋体" w:hAnsi="宋体" w:eastAsia="宋体" w:cs="Times New Roman"/>
                <w:bCs/>
                <w:szCs w:val="21"/>
              </w:rPr>
            </w:pPr>
            <w:r>
              <w:rPr>
                <w:rFonts w:hint="eastAsia" w:ascii="宋体" w:hAnsi="宋体" w:eastAsia="宋体" w:cs="Times New Roman"/>
                <w:bCs/>
                <w:szCs w:val="21"/>
              </w:rPr>
              <w:t>③财政部门认可的政府采购专业担保机构的证明文件和担保机构出具的投标担保函。</w:t>
            </w:r>
          </w:p>
          <w:p>
            <w:pPr>
              <w:spacing w:line="360" w:lineRule="auto"/>
              <w:rPr>
                <w:rFonts w:ascii="宋体" w:hAnsi="宋体" w:eastAsia="宋体" w:cs="Times New Roman"/>
                <w:bCs/>
                <w:szCs w:val="21"/>
              </w:rPr>
            </w:pPr>
            <w:r>
              <w:rPr>
                <w:rFonts w:hint="eastAsia" w:ascii="楷体" w:hAnsi="楷体" w:eastAsia="楷体" w:cs="仿宋_GB2312"/>
                <w:sz w:val="24"/>
                <w:szCs w:val="24"/>
                <w:lang w:val="zh-CN"/>
              </w:rPr>
              <w:t>注：仅需提供序号</w:t>
            </w:r>
            <w:r>
              <w:rPr>
                <w:rFonts w:hint="eastAsia" w:ascii="楷体" w:hAnsi="楷体" w:eastAsia="楷体" w:cs="Times New Roman"/>
                <w:color w:val="000000"/>
                <w:sz w:val="24"/>
                <w:szCs w:val="24"/>
              </w:rPr>
              <w:t>①～③其中之一即可。</w:t>
            </w:r>
          </w:p>
          <w:p>
            <w:pPr>
              <w:spacing w:line="360" w:lineRule="auto"/>
              <w:rPr>
                <w:rFonts w:ascii="宋体" w:hAnsi="宋体" w:eastAsia="宋体" w:cs="Times New Roman"/>
                <w:bCs/>
                <w:szCs w:val="21"/>
              </w:rPr>
            </w:pPr>
            <w:r>
              <w:rPr>
                <w:rFonts w:hint="eastAsia" w:ascii="宋体" w:hAnsi="宋体" w:eastAsia="宋体" w:cs="Times New Roman"/>
                <w:bCs/>
                <w:szCs w:val="21"/>
              </w:rPr>
              <w:t>（2）投标人（其他组织和自然人）提供本单位：</w:t>
            </w:r>
          </w:p>
          <w:p>
            <w:pPr>
              <w:spacing w:line="360" w:lineRule="auto"/>
              <w:rPr>
                <w:rFonts w:ascii="宋体" w:hAnsi="宋体" w:eastAsia="宋体" w:cs="Times New Roman"/>
                <w:bCs/>
                <w:szCs w:val="21"/>
              </w:rPr>
            </w:pPr>
            <w:r>
              <w:rPr>
                <w:rFonts w:hint="eastAsia" w:ascii="宋体" w:hAnsi="宋体" w:eastAsia="宋体" w:cs="Times New Roman"/>
                <w:bCs/>
                <w:szCs w:val="21"/>
              </w:rPr>
              <w:t>①2017或者2018年度经审计的财务报告，包括资产负债表、利润表、现金流量表、所有者权益变动表及其附注；</w:t>
            </w:r>
          </w:p>
          <w:p>
            <w:pPr>
              <w:spacing w:line="360" w:lineRule="auto"/>
              <w:rPr>
                <w:rFonts w:ascii="宋体" w:hAnsi="宋体" w:eastAsia="宋体" w:cs="Times New Roman"/>
                <w:bCs/>
                <w:szCs w:val="21"/>
              </w:rPr>
            </w:pPr>
            <w:r>
              <w:rPr>
                <w:rFonts w:hint="eastAsia" w:ascii="宋体" w:hAnsi="宋体" w:eastAsia="宋体" w:cs="Times New Roman"/>
                <w:bCs/>
                <w:szCs w:val="21"/>
              </w:rPr>
              <w:t>②银行出具的资信证明；</w:t>
            </w:r>
          </w:p>
          <w:p>
            <w:pPr>
              <w:spacing w:line="360" w:lineRule="auto"/>
              <w:rPr>
                <w:rFonts w:ascii="宋体" w:hAnsi="宋体" w:eastAsia="宋体" w:cs="Times New Roman"/>
                <w:bCs/>
                <w:szCs w:val="21"/>
              </w:rPr>
            </w:pPr>
            <w:r>
              <w:rPr>
                <w:rFonts w:hint="eastAsia" w:ascii="宋体" w:hAnsi="宋体" w:eastAsia="宋体" w:cs="Times New Roman"/>
                <w:bCs/>
                <w:szCs w:val="21"/>
              </w:rPr>
              <w:t>③财政部门认可的政府采购专业担保机构的证明文件和担保机构出具的投标担保函。</w:t>
            </w:r>
          </w:p>
          <w:p>
            <w:pPr>
              <w:spacing w:line="360" w:lineRule="auto"/>
              <w:rPr>
                <w:rFonts w:ascii="宋体" w:hAnsi="宋体" w:eastAsia="宋体" w:cs="Times New Roman"/>
                <w:b/>
                <w:bCs/>
                <w:szCs w:val="21"/>
              </w:rPr>
            </w:pPr>
            <w:r>
              <w:rPr>
                <w:rFonts w:hint="eastAsia" w:ascii="楷体" w:hAnsi="楷体" w:eastAsia="楷体" w:cs="仿宋_GB2312"/>
                <w:sz w:val="24"/>
                <w:szCs w:val="24"/>
                <w:lang w:val="zh-CN"/>
              </w:rPr>
              <w:t>注：仅需提供序号</w:t>
            </w:r>
            <w:r>
              <w:rPr>
                <w:rFonts w:hint="eastAsia" w:ascii="楷体" w:hAnsi="楷体" w:eastAsia="楷体" w:cs="Times New Roman"/>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4</w:t>
            </w:r>
          </w:p>
        </w:tc>
        <w:tc>
          <w:tcPr>
            <w:tcW w:w="2410" w:type="dxa"/>
            <w:noWrap/>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依法缴纳税收相关材料</w:t>
            </w:r>
          </w:p>
        </w:tc>
        <w:tc>
          <w:tcPr>
            <w:tcW w:w="5954" w:type="dxa"/>
            <w:noWrap/>
          </w:tcPr>
          <w:p>
            <w:pPr>
              <w:spacing w:line="360" w:lineRule="auto"/>
              <w:rPr>
                <w:rFonts w:ascii="宋体" w:hAnsi="宋体" w:eastAsia="宋体" w:cs="Times New Roman"/>
                <w:b/>
                <w:bCs/>
                <w:szCs w:val="21"/>
              </w:rPr>
            </w:pPr>
            <w:r>
              <w:rPr>
                <w:rFonts w:hint="eastAsia" w:ascii="宋体" w:hAnsi="宋体" w:eastAsia="宋体" w:cs="微软雅黑"/>
                <w:bCs/>
                <w:szCs w:val="21"/>
              </w:rPr>
              <w:t>投标人提供参加本次政府采购项目</w:t>
            </w:r>
            <w:r>
              <w:rPr>
                <w:rFonts w:hint="eastAsia" w:ascii="宋体" w:hAnsi="宋体" w:eastAsia="宋体" w:cs="Times New Roman"/>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5</w:t>
            </w:r>
          </w:p>
        </w:tc>
        <w:tc>
          <w:tcPr>
            <w:tcW w:w="2410" w:type="dxa"/>
            <w:noWrap/>
            <w:vAlign w:val="center"/>
          </w:tcPr>
          <w:p>
            <w:pPr>
              <w:spacing w:line="360" w:lineRule="auto"/>
              <w:rPr>
                <w:rFonts w:ascii="宋体" w:hAnsi="宋体" w:eastAsia="宋体" w:cs="Times New Roman"/>
                <w:bCs/>
                <w:szCs w:val="21"/>
              </w:rPr>
            </w:pPr>
            <w:r>
              <w:rPr>
                <w:rFonts w:hint="eastAsia" w:ascii="宋体" w:hAnsi="宋体" w:eastAsia="宋体" w:cs="Times New Roman"/>
                <w:b/>
                <w:bCs/>
                <w:szCs w:val="21"/>
              </w:rPr>
              <w:t>依法缴纳社会保障资金的证明材料</w:t>
            </w:r>
          </w:p>
        </w:tc>
        <w:tc>
          <w:tcPr>
            <w:tcW w:w="5954" w:type="dxa"/>
            <w:noWrap/>
          </w:tcPr>
          <w:p>
            <w:pPr>
              <w:spacing w:line="360" w:lineRule="auto"/>
              <w:rPr>
                <w:rFonts w:ascii="宋体" w:hAnsi="宋体" w:eastAsia="宋体" w:cs="Times New Roman"/>
                <w:b/>
                <w:bCs/>
                <w:szCs w:val="21"/>
              </w:rPr>
            </w:pPr>
            <w:r>
              <w:rPr>
                <w:rFonts w:hint="eastAsia" w:ascii="宋体" w:hAnsi="宋体" w:eastAsia="宋体" w:cs="微软雅黑"/>
                <w:bCs/>
                <w:szCs w:val="21"/>
              </w:rPr>
              <w:t>投标人提供参加本次政府采购项目</w:t>
            </w:r>
            <w:r>
              <w:rPr>
                <w:rFonts w:hint="eastAsia" w:ascii="宋体" w:hAnsi="宋体" w:eastAsia="宋体" w:cs="Times New Roman"/>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6</w:t>
            </w:r>
          </w:p>
        </w:tc>
        <w:tc>
          <w:tcPr>
            <w:tcW w:w="2410" w:type="dxa"/>
            <w:noWrap/>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履行合同所必须的设备和专业技术能力的证明材料</w:t>
            </w:r>
          </w:p>
        </w:tc>
        <w:tc>
          <w:tcPr>
            <w:tcW w:w="5954" w:type="dxa"/>
            <w:noWrap/>
          </w:tcPr>
          <w:p>
            <w:pPr>
              <w:spacing w:line="360" w:lineRule="auto"/>
              <w:rPr>
                <w:rFonts w:ascii="宋体" w:hAnsi="宋体" w:eastAsia="宋体" w:cs="Times New Roman"/>
                <w:bCs/>
                <w:szCs w:val="21"/>
              </w:rPr>
            </w:pPr>
            <w:r>
              <w:rPr>
                <w:rFonts w:hint="eastAsia" w:ascii="宋体" w:hAnsi="宋体" w:eastAsia="宋体" w:cs="Times New Roman"/>
                <w:bCs/>
                <w:szCs w:val="21"/>
              </w:rPr>
              <w:t>①与本项目投标相关设备的购置发票、专业技术人员职称证书、用工合同等；</w:t>
            </w:r>
          </w:p>
          <w:p>
            <w:pPr>
              <w:spacing w:line="360" w:lineRule="auto"/>
              <w:rPr>
                <w:rFonts w:ascii="宋体" w:hAnsi="宋体" w:eastAsia="宋体" w:cs="Times New Roman"/>
                <w:bCs/>
                <w:szCs w:val="21"/>
              </w:rPr>
            </w:pPr>
            <w:r>
              <w:rPr>
                <w:rFonts w:hint="eastAsia" w:ascii="宋体" w:hAnsi="宋体" w:eastAsia="宋体" w:cs="Times New Roman"/>
                <w:bCs/>
                <w:szCs w:val="21"/>
              </w:rPr>
              <w:t>②投标人具备履行合同所必须的设备和专业技术能力承诺函或声明（承诺函或声明格式自拟）。</w:t>
            </w:r>
          </w:p>
          <w:p>
            <w:pPr>
              <w:spacing w:line="360" w:lineRule="auto"/>
              <w:rPr>
                <w:rFonts w:ascii="宋体" w:hAnsi="宋体" w:eastAsia="宋体" w:cs="Times New Roman"/>
                <w:b/>
                <w:bCs/>
                <w:szCs w:val="21"/>
              </w:rPr>
            </w:pPr>
            <w:r>
              <w:rPr>
                <w:rFonts w:hint="eastAsia" w:ascii="楷体" w:hAnsi="楷体" w:eastAsia="楷体" w:cs="仿宋_GB2312"/>
                <w:sz w:val="24"/>
                <w:szCs w:val="24"/>
                <w:lang w:val="zh-CN"/>
              </w:rPr>
              <w:t>注：仅需提供序号</w:t>
            </w:r>
            <w:r>
              <w:rPr>
                <w:rFonts w:hint="eastAsia" w:ascii="楷体" w:hAnsi="楷体" w:eastAsia="楷体" w:cs="Times New Roman"/>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7</w:t>
            </w:r>
          </w:p>
        </w:tc>
        <w:tc>
          <w:tcPr>
            <w:tcW w:w="2410" w:type="dxa"/>
            <w:noWrap/>
            <w:vAlign w:val="center"/>
          </w:tcPr>
          <w:p>
            <w:pPr>
              <w:spacing w:line="360" w:lineRule="auto"/>
              <w:rPr>
                <w:rFonts w:ascii="宋体" w:hAnsi="宋体" w:eastAsia="宋体" w:cs="Times New Roman"/>
                <w:bCs/>
                <w:szCs w:val="21"/>
              </w:rPr>
            </w:pPr>
            <w:r>
              <w:rPr>
                <w:rFonts w:hint="eastAsia" w:ascii="宋体" w:hAnsi="宋体" w:eastAsia="宋体" w:cs="Times New Roman"/>
                <w:b/>
                <w:bCs/>
                <w:szCs w:val="21"/>
              </w:rPr>
              <w:t>参加政府采购活动前3年内在经营活动中没有重大违法记录的声明</w:t>
            </w:r>
          </w:p>
        </w:tc>
        <w:tc>
          <w:tcPr>
            <w:tcW w:w="5954" w:type="dxa"/>
            <w:noWrap/>
            <w:vAlign w:val="center"/>
          </w:tcPr>
          <w:p>
            <w:pPr>
              <w:spacing w:line="360" w:lineRule="auto"/>
              <w:jc w:val="left"/>
              <w:rPr>
                <w:rFonts w:ascii="宋体" w:hAnsi="宋体" w:eastAsia="宋体" w:cs="Times New Roman"/>
                <w:b/>
                <w:bCs/>
                <w:szCs w:val="21"/>
              </w:rPr>
            </w:pPr>
            <w:r>
              <w:rPr>
                <w:rFonts w:hint="eastAsia" w:ascii="宋体" w:hAnsi="宋体" w:eastAsia="宋体" w:cs="微软雅黑"/>
                <w:bCs/>
                <w:szCs w:val="21"/>
              </w:rPr>
              <w:t>按照招标文件提供格式填写。</w:t>
            </w:r>
            <w:r>
              <w:rPr>
                <w:rFonts w:hint="eastAsia" w:ascii="宋体" w:hAnsi="宋体" w:eastAsia="宋体" w:cs="Times New Roman"/>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8</w:t>
            </w:r>
          </w:p>
        </w:tc>
        <w:tc>
          <w:tcPr>
            <w:tcW w:w="2410" w:type="dxa"/>
            <w:noWrap/>
            <w:vAlign w:val="center"/>
          </w:tcPr>
          <w:p>
            <w:pPr>
              <w:spacing w:line="360" w:lineRule="auto"/>
              <w:rPr>
                <w:rFonts w:ascii="宋体" w:hAnsi="宋体" w:eastAsia="宋体" w:cs="Times New Roman"/>
                <w:bCs/>
                <w:szCs w:val="21"/>
              </w:rPr>
            </w:pPr>
            <w:r>
              <w:rPr>
                <w:rFonts w:hint="eastAsia" w:ascii="宋体" w:hAnsi="宋体" w:eastAsia="宋体" w:cs="Times New Roman"/>
                <w:b/>
                <w:bCs/>
                <w:szCs w:val="21"/>
              </w:rPr>
              <w:t>信用记录查询及使用</w:t>
            </w:r>
          </w:p>
        </w:tc>
        <w:tc>
          <w:tcPr>
            <w:tcW w:w="5954" w:type="dxa"/>
            <w:noWrap/>
          </w:tcPr>
          <w:p>
            <w:pPr>
              <w:spacing w:line="360" w:lineRule="auto"/>
              <w:rPr>
                <w:rFonts w:ascii="宋体" w:hAnsi="宋体" w:eastAsia="宋体" w:cs="Times New Roman"/>
                <w:bCs/>
                <w:szCs w:val="21"/>
              </w:rPr>
            </w:pPr>
            <w:r>
              <w:rPr>
                <w:rFonts w:hint="eastAsia" w:ascii="宋体" w:hAnsi="宋体" w:eastAsia="宋体" w:cs="Times New Roman"/>
                <w:bCs/>
                <w:szCs w:val="21"/>
              </w:rPr>
              <w:t>政府采购活动中查询及使用投标人信用记录的具体要求为：投标人未被列入</w:t>
            </w:r>
            <w:r>
              <w:rPr>
                <w:rFonts w:ascii="宋体" w:hAnsi="宋体" w:eastAsia="宋体" w:cs="Times New Roman"/>
                <w:bCs/>
                <w:szCs w:val="21"/>
              </w:rPr>
              <w:t>“信用中国”网站</w:t>
            </w:r>
            <w:r>
              <w:rPr>
                <w:rFonts w:hint="eastAsia" w:ascii="宋体" w:hAnsi="宋体" w:eastAsia="宋体" w:cs="Times New Roman"/>
                <w:bCs/>
                <w:szCs w:val="21"/>
              </w:rPr>
              <w:t>失信被执行人、重大税收违法案件当事人名单、</w:t>
            </w:r>
            <w:r>
              <w:rPr>
                <w:rFonts w:ascii="宋体" w:hAnsi="宋体" w:eastAsia="宋体" w:cs="Times New Roman"/>
                <w:bCs/>
                <w:szCs w:val="21"/>
              </w:rPr>
              <w:t>政府采购严重违法失信名单</w:t>
            </w:r>
            <w:r>
              <w:rPr>
                <w:rFonts w:hint="eastAsia" w:ascii="宋体" w:hAnsi="宋体" w:eastAsia="宋体" w:cs="Times New Roman"/>
                <w:bCs/>
                <w:szCs w:val="21"/>
              </w:rPr>
              <w:t>、“</w:t>
            </w:r>
            <w:r>
              <w:rPr>
                <w:rFonts w:ascii="宋体" w:hAnsi="宋体" w:eastAsia="宋体" w:cs="Times New Roman"/>
                <w:bCs/>
                <w:szCs w:val="21"/>
              </w:rPr>
              <w:t>中国政府采购网</w:t>
            </w:r>
            <w:r>
              <w:rPr>
                <w:rFonts w:hint="eastAsia" w:ascii="宋体" w:hAnsi="宋体" w:eastAsia="宋体" w:cs="Times New Roman"/>
                <w:bCs/>
                <w:szCs w:val="21"/>
              </w:rPr>
              <w:t>”政府采购严重违法失信行为记录名单、“国家企业信用公示系统”网站严重违法失信企业名单（黑名单）、</w:t>
            </w:r>
            <w:r>
              <w:rPr>
                <w:rFonts w:hint="eastAsia" w:ascii="宋体" w:hAnsi="宋体" w:eastAsia="宋体" w:cs="仿宋_GB2312"/>
                <w:color w:val="000000"/>
                <w:szCs w:val="21"/>
              </w:rPr>
              <w:t>“中国社会组织公共服务平台”网站（</w:t>
            </w:r>
            <w:r>
              <w:rPr>
                <w:rFonts w:ascii="宋体" w:hAnsi="宋体" w:eastAsia="宋体" w:cs="仿宋_GB2312"/>
                <w:color w:val="000000"/>
                <w:szCs w:val="21"/>
              </w:rPr>
              <w:t>www.chinanpo.gov.cn</w:t>
            </w:r>
            <w:r>
              <w:rPr>
                <w:rFonts w:hint="eastAsia" w:ascii="宋体" w:hAnsi="宋体" w:eastAsia="宋体" w:cs="仿宋_GB2312"/>
                <w:color w:val="000000"/>
                <w:szCs w:val="21"/>
              </w:rPr>
              <w:t>）严重违法失信社会组织名单的投标人</w:t>
            </w:r>
            <w:r>
              <w:rPr>
                <w:rFonts w:hint="eastAsia" w:ascii="宋体" w:hAnsi="宋体" w:eastAsia="宋体" w:cs="仿宋_GB2312"/>
                <w:b/>
                <w:color w:val="000000"/>
                <w:szCs w:val="21"/>
              </w:rPr>
              <w:t>；</w:t>
            </w:r>
            <w:r>
              <w:rPr>
                <w:rFonts w:hint="eastAsia" w:ascii="宋体" w:hAnsi="宋体" w:eastAsia="宋体" w:cs="Times New Roman"/>
                <w:bCs/>
                <w:szCs w:val="21"/>
              </w:rPr>
              <w:t>（联合体形式投标的，联合体成员存在不良信用记录，视同联合体存在不良信用记录）。</w:t>
            </w:r>
          </w:p>
          <w:p>
            <w:pPr>
              <w:spacing w:line="360" w:lineRule="auto"/>
              <w:rPr>
                <w:rFonts w:ascii="宋体" w:hAnsi="宋体" w:eastAsia="宋体" w:cs="Times New Roman"/>
                <w:bCs/>
                <w:szCs w:val="21"/>
              </w:rPr>
            </w:pPr>
            <w:r>
              <w:rPr>
                <w:rFonts w:hint="eastAsia" w:ascii="宋体" w:hAnsi="宋体" w:eastAsia="宋体" w:cs="Times New Roman"/>
                <w:bCs/>
                <w:szCs w:val="21"/>
              </w:rPr>
              <w:t>（1）查询渠道：</w:t>
            </w:r>
          </w:p>
          <w:p>
            <w:pPr>
              <w:spacing w:line="360" w:lineRule="auto"/>
              <w:rPr>
                <w:rFonts w:ascii="宋体" w:hAnsi="宋体" w:eastAsia="宋体" w:cs="Times New Roman"/>
                <w:bCs/>
                <w:szCs w:val="21"/>
              </w:rPr>
            </w:pPr>
            <w:r>
              <w:rPr>
                <w:rFonts w:hint="eastAsia" w:ascii="宋体" w:hAnsi="宋体" w:eastAsia="宋体" w:cs="Times New Roman"/>
                <w:bCs/>
                <w:szCs w:val="21"/>
              </w:rPr>
              <w:t>①“信用中国”网站（</w:t>
            </w:r>
            <w:r>
              <w:fldChar w:fldCharType="begin"/>
            </w:r>
            <w:r>
              <w:instrText xml:space="preserve"> HYPERLINK "http://www.creditchina.gov.cn" </w:instrText>
            </w:r>
            <w:r>
              <w:fldChar w:fldCharType="separate"/>
            </w:r>
            <w:r>
              <w:rPr>
                <w:rFonts w:hint="eastAsia" w:ascii="宋体" w:hAnsi="宋体" w:eastAsia="宋体" w:cs="Times New Roman"/>
                <w:bCs/>
                <w:color w:val="000000"/>
                <w:szCs w:val="21"/>
              </w:rPr>
              <w:t>www.creditchina.gov.cn</w:t>
            </w:r>
            <w:r>
              <w:rPr>
                <w:rFonts w:hint="eastAsia" w:ascii="宋体" w:hAnsi="宋体" w:eastAsia="宋体" w:cs="Times New Roman"/>
                <w:bCs/>
                <w:color w:val="000000"/>
                <w:szCs w:val="21"/>
              </w:rPr>
              <w:fldChar w:fldCharType="end"/>
            </w:r>
            <w:r>
              <w:rPr>
                <w:rFonts w:hint="eastAsia" w:ascii="宋体" w:hAnsi="宋体" w:eastAsia="宋体" w:cs="Times New Roman"/>
                <w:bCs/>
                <w:szCs w:val="21"/>
              </w:rPr>
              <w:t>）</w:t>
            </w:r>
          </w:p>
          <w:p>
            <w:pPr>
              <w:spacing w:line="360" w:lineRule="auto"/>
              <w:rPr>
                <w:rFonts w:ascii="宋体" w:hAnsi="宋体" w:eastAsia="宋体" w:cs="Times New Roman"/>
                <w:bCs/>
                <w:szCs w:val="21"/>
              </w:rPr>
            </w:pPr>
            <w:r>
              <w:rPr>
                <w:rFonts w:hint="eastAsia" w:ascii="宋体" w:hAnsi="宋体" w:eastAsia="宋体" w:cs="Times New Roman"/>
                <w:bCs/>
                <w:szCs w:val="21"/>
              </w:rPr>
              <w:t>②“中国政府采购网”（www.ccgp.gov.cn）</w:t>
            </w:r>
          </w:p>
          <w:p>
            <w:pPr>
              <w:spacing w:line="360" w:lineRule="auto"/>
              <w:rPr>
                <w:rFonts w:ascii="宋体" w:hAnsi="宋体" w:eastAsia="宋体" w:cs="Times New Roman"/>
                <w:bCs/>
                <w:szCs w:val="21"/>
              </w:rPr>
            </w:pPr>
            <w:r>
              <w:rPr>
                <w:rFonts w:hint="eastAsia" w:ascii="宋体" w:hAnsi="宋体" w:eastAsia="宋体" w:cs="Times New Roman"/>
                <w:bCs/>
                <w:szCs w:val="21"/>
              </w:rPr>
              <w:t>③“国家企业信用公示系统”网站（</w:t>
            </w:r>
            <w:r>
              <w:fldChar w:fldCharType="begin"/>
            </w:r>
            <w:r>
              <w:instrText xml:space="preserve"> HYPERLINK "http://www.gsxt.gov.cn" </w:instrText>
            </w:r>
            <w:r>
              <w:fldChar w:fldCharType="separate"/>
            </w:r>
            <w:r>
              <w:rPr>
                <w:rFonts w:ascii="宋体" w:hAnsi="宋体" w:eastAsia="宋体" w:cs="Times New Roman"/>
                <w:bCs/>
                <w:color w:val="000000"/>
                <w:szCs w:val="21"/>
              </w:rPr>
              <w:t>www.gsxt.gov.cn</w:t>
            </w:r>
            <w:r>
              <w:rPr>
                <w:rFonts w:ascii="宋体" w:hAnsi="宋体" w:eastAsia="宋体" w:cs="Times New Roman"/>
                <w:bCs/>
                <w:color w:val="000000"/>
                <w:szCs w:val="21"/>
              </w:rPr>
              <w:fldChar w:fldCharType="end"/>
            </w:r>
            <w:r>
              <w:rPr>
                <w:rFonts w:hint="eastAsia" w:ascii="宋体" w:hAnsi="宋体" w:eastAsia="宋体" w:cs="Times New Roman"/>
                <w:bCs/>
                <w:szCs w:val="21"/>
              </w:rPr>
              <w:t>）</w:t>
            </w:r>
          </w:p>
          <w:p>
            <w:pPr>
              <w:spacing w:line="360" w:lineRule="auto"/>
              <w:rPr>
                <w:rFonts w:ascii="宋体" w:hAnsi="宋体" w:eastAsia="宋体" w:cs="Times New Roman"/>
                <w:bCs/>
                <w:szCs w:val="21"/>
              </w:rPr>
            </w:pPr>
            <w:r>
              <w:rPr>
                <w:rFonts w:hint="eastAsia" w:ascii="宋体" w:hAnsi="宋体" w:eastAsia="宋体" w:cs="Times New Roman"/>
                <w:bCs/>
                <w:szCs w:val="21"/>
              </w:rPr>
              <w:t>④</w:t>
            </w:r>
            <w:r>
              <w:rPr>
                <w:rFonts w:hint="eastAsia" w:ascii="宋体" w:hAnsi="宋体" w:eastAsia="宋体" w:cs="仿宋_GB2312"/>
                <w:color w:val="000000"/>
                <w:szCs w:val="21"/>
              </w:rPr>
              <w:t>“中国社会组织公共服务平台”网站（</w:t>
            </w:r>
            <w:r>
              <w:rPr>
                <w:rFonts w:ascii="宋体" w:hAnsi="宋体" w:eastAsia="宋体" w:cs="仿宋_GB2312"/>
                <w:color w:val="000000"/>
                <w:szCs w:val="21"/>
              </w:rPr>
              <w:t>www.chinanpo.gov.cn</w:t>
            </w:r>
            <w:r>
              <w:rPr>
                <w:rFonts w:hint="eastAsia" w:ascii="宋体" w:hAnsi="宋体" w:eastAsia="宋体" w:cs="仿宋_GB2312"/>
                <w:color w:val="000000"/>
                <w:szCs w:val="21"/>
              </w:rPr>
              <w:t>）（仅查询社会组织）</w:t>
            </w:r>
            <w:r>
              <w:rPr>
                <w:rFonts w:hint="eastAsia" w:ascii="宋体" w:hAnsi="宋体" w:eastAsia="宋体" w:cs="Times New Roman"/>
                <w:bCs/>
                <w:szCs w:val="21"/>
              </w:rPr>
              <w:t>；</w:t>
            </w:r>
          </w:p>
          <w:p>
            <w:pPr>
              <w:spacing w:line="360" w:lineRule="auto"/>
              <w:rPr>
                <w:rFonts w:ascii="宋体" w:hAnsi="宋体" w:eastAsia="宋体" w:cs="Times New Roman"/>
                <w:bCs/>
                <w:szCs w:val="21"/>
              </w:rPr>
            </w:pPr>
            <w:r>
              <w:rPr>
                <w:rFonts w:hint="eastAsia" w:ascii="宋体" w:hAnsi="宋体" w:eastAsia="宋体" w:cs="Times New Roman"/>
                <w:bCs/>
                <w:szCs w:val="21"/>
              </w:rPr>
              <w:t>（2）截止时间：同投标截止时间；</w:t>
            </w:r>
          </w:p>
          <w:p>
            <w:pPr>
              <w:spacing w:line="360" w:lineRule="auto"/>
              <w:rPr>
                <w:rFonts w:ascii="宋体" w:hAnsi="宋体" w:eastAsia="宋体" w:cs="Times New Roman"/>
                <w:bCs/>
                <w:szCs w:val="21"/>
              </w:rPr>
            </w:pPr>
            <w:r>
              <w:rPr>
                <w:rFonts w:hint="eastAsia" w:ascii="宋体" w:hAnsi="宋体" w:eastAsia="宋体" w:cs="Times New Roman"/>
                <w:bCs/>
                <w:szCs w:val="21"/>
              </w:rPr>
              <w:t>（3）信用信息查询记录和证据留存具体方式：经采购人确认的查询结果网页截图作为查询记录和证据，与其他采购文件一并保存；</w:t>
            </w:r>
          </w:p>
          <w:p>
            <w:pPr>
              <w:spacing w:line="360" w:lineRule="auto"/>
              <w:rPr>
                <w:rFonts w:ascii="宋体" w:hAnsi="宋体" w:eastAsia="宋体" w:cs="Times New Roman"/>
                <w:b/>
                <w:bCs/>
                <w:szCs w:val="21"/>
              </w:rPr>
            </w:pPr>
            <w:r>
              <w:rPr>
                <w:rFonts w:hint="eastAsia" w:ascii="宋体" w:hAnsi="宋体" w:eastAsia="宋体" w:cs="Times New Roman"/>
                <w:bCs/>
                <w:szCs w:val="21"/>
              </w:rPr>
              <w:t>（4）信用信息的使用原则：经采购人认定的被列入失信被执行人、重大税收违法案件当事人名单、政府采购严重违法失信行为记录名单的投标人，严重违法失信企业名单（黑名单）、</w:t>
            </w:r>
            <w:r>
              <w:rPr>
                <w:rFonts w:hint="eastAsia" w:ascii="宋体" w:hAnsi="宋体" w:eastAsia="宋体" w:cs="仿宋_GB2312"/>
                <w:color w:val="000000"/>
                <w:szCs w:val="21"/>
              </w:rPr>
              <w:t>严重违法失信社会组织</w:t>
            </w:r>
            <w:r>
              <w:rPr>
                <w:rFonts w:hint="eastAsia" w:ascii="宋体" w:hAnsi="宋体" w:eastAsia="宋体" w:cs="Times New Roman"/>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9</w:t>
            </w:r>
          </w:p>
        </w:tc>
        <w:tc>
          <w:tcPr>
            <w:tcW w:w="2410" w:type="dxa"/>
            <w:noWrap/>
            <w:vAlign w:val="center"/>
          </w:tcPr>
          <w:p>
            <w:pPr>
              <w:spacing w:line="360" w:lineRule="auto"/>
              <w:rPr>
                <w:rFonts w:ascii="宋体" w:hAnsi="宋体" w:eastAsia="宋体" w:cs="Times New Roman"/>
                <w:b/>
                <w:color w:val="0000FF"/>
                <w:szCs w:val="21"/>
              </w:rPr>
            </w:pPr>
            <w:r>
              <w:rPr>
                <w:rFonts w:hint="eastAsia" w:ascii="宋体" w:hAnsi="宋体" w:eastAsia="宋体" w:cs="Times New Roman"/>
                <w:b/>
                <w:color w:val="0000FF"/>
                <w:szCs w:val="21"/>
              </w:rPr>
              <w:t>投标人须具备的特殊</w:t>
            </w:r>
          </w:p>
          <w:p>
            <w:pPr>
              <w:spacing w:line="360" w:lineRule="auto"/>
              <w:rPr>
                <w:rFonts w:ascii="宋体" w:hAnsi="宋体" w:eastAsia="宋体" w:cs="Times New Roman"/>
                <w:b/>
                <w:bCs/>
                <w:color w:val="0000FF"/>
                <w:szCs w:val="21"/>
              </w:rPr>
            </w:pPr>
            <w:r>
              <w:rPr>
                <w:rFonts w:hint="eastAsia" w:ascii="宋体" w:hAnsi="宋体" w:eastAsia="宋体" w:cs="Times New Roman"/>
                <w:b/>
                <w:color w:val="0000FF"/>
                <w:szCs w:val="21"/>
              </w:rPr>
              <w:t>资质证书</w:t>
            </w:r>
          </w:p>
        </w:tc>
        <w:tc>
          <w:tcPr>
            <w:tcW w:w="5954" w:type="dxa"/>
            <w:noWrap/>
            <w:vAlign w:val="center"/>
          </w:tcPr>
          <w:p>
            <w:pPr>
              <w:spacing w:line="360" w:lineRule="auto"/>
              <w:rPr>
                <w:rFonts w:ascii="宋体" w:hAnsi="宋体" w:eastAsia="宋体" w:cs="Times New Roman"/>
                <w:b/>
                <w:bCs/>
                <w:color w:val="0000FF"/>
                <w:szCs w:val="21"/>
              </w:rPr>
            </w:pPr>
            <w:r>
              <w:rPr>
                <w:rFonts w:hint="eastAsia" w:ascii="宋体" w:hAnsi="宋体" w:eastAsia="宋体" w:cs="Times New Roman"/>
                <w:bCs/>
                <w:color w:val="0000FF"/>
                <w:szCs w:val="21"/>
              </w:rPr>
              <w:t>投标人为电信基础业务运营商。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10</w:t>
            </w:r>
          </w:p>
        </w:tc>
        <w:tc>
          <w:tcPr>
            <w:tcW w:w="2410" w:type="dxa"/>
            <w:noWrap/>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投标</w:t>
            </w:r>
            <w:r>
              <w:rPr>
                <w:rFonts w:hint="eastAsia" w:ascii="宋体" w:hAnsi="宋体" w:eastAsia="宋体" w:cs="仿宋_GB2312"/>
                <w:b/>
                <w:szCs w:val="21"/>
                <w:lang w:val="zh-CN"/>
              </w:rPr>
              <w:t>报价</w:t>
            </w:r>
          </w:p>
        </w:tc>
        <w:tc>
          <w:tcPr>
            <w:tcW w:w="5954" w:type="dxa"/>
            <w:noWrap/>
          </w:tcPr>
          <w:p>
            <w:pPr>
              <w:spacing w:line="360" w:lineRule="auto"/>
              <w:rPr>
                <w:rFonts w:ascii="宋体" w:hAnsi="宋体" w:eastAsia="宋体" w:cs="Times New Roman"/>
                <w:b/>
                <w:bCs/>
                <w:szCs w:val="21"/>
              </w:rPr>
            </w:pPr>
            <w:r>
              <w:rPr>
                <w:rFonts w:hint="eastAsia" w:ascii="宋体" w:hAnsi="宋体" w:eastAsia="宋体" w:cs="仿宋_GB2312"/>
                <w:szCs w:val="21"/>
                <w:lang w:val="zh-CN"/>
              </w:rPr>
              <w:t>投标报价是否超出招标文件中规定的预算金额，超出预算金额的投标无效。如投标人须知前附表规定最高限价，则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11</w:t>
            </w:r>
          </w:p>
        </w:tc>
        <w:tc>
          <w:tcPr>
            <w:tcW w:w="2410" w:type="dxa"/>
            <w:noWrap/>
            <w:vAlign w:val="center"/>
          </w:tcPr>
          <w:p>
            <w:pPr>
              <w:spacing w:line="360" w:lineRule="auto"/>
              <w:rPr>
                <w:rFonts w:hint="default" w:ascii="宋体" w:hAnsi="宋体" w:eastAsia="宋体" w:cs="Times New Roman"/>
                <w:szCs w:val="21"/>
                <w:lang w:val="en-US" w:eastAsia="zh-CN"/>
              </w:rPr>
            </w:pPr>
            <w:r>
              <w:rPr>
                <w:rFonts w:hint="eastAsia" w:ascii="宋体" w:hAnsi="宋体" w:eastAsia="宋体" w:cs="Times New Roman"/>
                <w:b/>
                <w:bCs/>
                <w:szCs w:val="21"/>
                <w:lang w:val="en-US" w:eastAsia="zh-CN"/>
              </w:rPr>
              <w:t>投标承诺函</w:t>
            </w:r>
          </w:p>
        </w:tc>
        <w:tc>
          <w:tcPr>
            <w:tcW w:w="5954" w:type="dxa"/>
            <w:noWrap/>
            <w:vAlign w:val="center"/>
          </w:tcPr>
          <w:p>
            <w:pPr>
              <w:spacing w:line="360" w:lineRule="auto"/>
              <w:rPr>
                <w:rFonts w:ascii="宋体" w:hAnsi="宋体" w:eastAsia="宋体" w:cs="Times New Roman"/>
                <w:b/>
                <w:szCs w:val="21"/>
              </w:rPr>
            </w:pPr>
            <w:r>
              <w:rPr>
                <w:rFonts w:hint="eastAsia" w:ascii="宋体" w:hAnsi="宋体" w:eastAsia="宋体" w:cs="仿宋_GB2312"/>
                <w:szCs w:val="21"/>
                <w:lang w:val="zh-CN"/>
              </w:rPr>
              <w:t>是否按要求进行承诺。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12</w:t>
            </w:r>
          </w:p>
        </w:tc>
        <w:tc>
          <w:tcPr>
            <w:tcW w:w="2410" w:type="dxa"/>
            <w:noWrap/>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联合体协议</w:t>
            </w:r>
          </w:p>
        </w:tc>
        <w:tc>
          <w:tcPr>
            <w:tcW w:w="5954" w:type="dxa"/>
            <w:noWrap/>
          </w:tcPr>
          <w:p>
            <w:pPr>
              <w:spacing w:line="360" w:lineRule="auto"/>
              <w:rPr>
                <w:rFonts w:ascii="宋体" w:hAnsi="宋体" w:eastAsia="宋体" w:cs="Times New Roman"/>
                <w:b/>
                <w:bCs/>
                <w:szCs w:val="21"/>
              </w:rPr>
            </w:pPr>
            <w:r>
              <w:rPr>
                <w:rFonts w:hint="eastAsia" w:ascii="宋体" w:hAnsi="宋体" w:eastAsia="宋体" w:cs="Times New Roman"/>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Times New Roman"/>
                <w:b/>
                <w:szCs w:val="21"/>
              </w:rPr>
            </w:pPr>
            <w:r>
              <w:rPr>
                <w:rFonts w:hint="eastAsia" w:ascii="宋体" w:hAnsi="宋体" w:eastAsia="宋体" w:cs="Times New Roman"/>
                <w:b/>
                <w:szCs w:val="21"/>
              </w:rPr>
              <w:t>13</w:t>
            </w:r>
          </w:p>
        </w:tc>
        <w:tc>
          <w:tcPr>
            <w:tcW w:w="2410" w:type="dxa"/>
            <w:noWrap/>
            <w:vAlign w:val="center"/>
          </w:tcPr>
          <w:p>
            <w:pPr>
              <w:spacing w:line="360" w:lineRule="auto"/>
              <w:contextualSpacing/>
              <w:rPr>
                <w:rFonts w:ascii="宋体" w:hAnsi="宋体" w:eastAsia="宋体" w:cs="Times New Roman"/>
                <w:b/>
                <w:szCs w:val="21"/>
              </w:rPr>
            </w:pPr>
            <w:r>
              <w:rPr>
                <w:rFonts w:hint="eastAsia" w:ascii="宋体" w:hAnsi="宋体" w:eastAsia="宋体" w:cs="Times New Roman"/>
                <w:b/>
                <w:szCs w:val="21"/>
              </w:rPr>
              <w:t>投标人身份证明及授权</w:t>
            </w:r>
          </w:p>
        </w:tc>
        <w:tc>
          <w:tcPr>
            <w:tcW w:w="5954" w:type="dxa"/>
            <w:noWrap/>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（1）法定代表人身份证明或提供法定代表人授权委托书及被授权人身份证明。（法人投标提供）</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eastAsia="宋体" w:cs="Times New Roman"/>
                <w:b/>
                <w:sz w:val="24"/>
                <w:szCs w:val="24"/>
              </w:rPr>
            </w:pPr>
            <w:r>
              <w:rPr>
                <w:rFonts w:hint="eastAsia" w:ascii="楷体" w:hAnsi="楷体" w:eastAsia="楷体" w:cs="Times New Roman"/>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s="Times New Roman"/>
                <w:color w:val="000000"/>
                <w:sz w:val="24"/>
                <w:szCs w:val="24"/>
              </w:rPr>
            </w:pPr>
            <w:r>
              <w:rPr>
                <w:rFonts w:hint="eastAsia" w:ascii="楷体" w:hAnsi="楷体" w:eastAsia="楷体" w:cs="Times New Roman"/>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Times New Roman"/>
                <w:b/>
                <w:szCs w:val="21"/>
              </w:rPr>
            </w:pPr>
            <w:r>
              <w:rPr>
                <w:rFonts w:hint="eastAsia" w:ascii="楷体" w:hAnsi="楷体" w:eastAsia="楷体" w:cs="Times New Roman"/>
                <w:color w:val="000000"/>
                <w:sz w:val="24"/>
                <w:szCs w:val="24"/>
              </w:rPr>
              <w:t>③</w:t>
            </w:r>
            <w:r>
              <w:rPr>
                <w:rFonts w:hint="eastAsia" w:ascii="楷体" w:hAnsi="楷体" w:eastAsia="楷体" w:cs="Times New Roman"/>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Times New Roman"/>
                <w:b/>
                <w:szCs w:val="21"/>
              </w:rPr>
            </w:pPr>
            <w:r>
              <w:rPr>
                <w:rFonts w:hint="eastAsia" w:ascii="宋体" w:hAnsi="宋体" w:eastAsia="宋体" w:cs="Times New Roman"/>
                <w:b/>
                <w:szCs w:val="21"/>
              </w:rPr>
              <w:t>14</w:t>
            </w:r>
          </w:p>
        </w:tc>
        <w:tc>
          <w:tcPr>
            <w:tcW w:w="2410" w:type="dxa"/>
            <w:noWrap/>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单位负责人为同一人或者存在直接控股、管理关系的不同供应商，不得参加同一合同项下的政府采购活动</w:t>
            </w:r>
          </w:p>
        </w:tc>
        <w:tc>
          <w:tcPr>
            <w:tcW w:w="5954" w:type="dxa"/>
            <w:noWrap/>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Times New Roman"/>
                <w:b/>
                <w:szCs w:val="21"/>
              </w:rPr>
            </w:pPr>
            <w:r>
              <w:rPr>
                <w:rFonts w:hint="eastAsia" w:ascii="宋体" w:hAnsi="宋体" w:eastAsia="宋体" w:cs="Times New Roman"/>
                <w:b/>
                <w:szCs w:val="21"/>
              </w:rPr>
              <w:t>15</w:t>
            </w:r>
          </w:p>
        </w:tc>
        <w:tc>
          <w:tcPr>
            <w:tcW w:w="2410" w:type="dxa"/>
            <w:noWrap/>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为本项目提供整体设计、规范编制或者项目管理、监理、检测等服务的供应商不得参加本项目投标</w:t>
            </w:r>
          </w:p>
        </w:tc>
        <w:tc>
          <w:tcPr>
            <w:tcW w:w="5954" w:type="dxa"/>
            <w:noWrap/>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w:t>
            </w:r>
            <w:bookmarkStart w:id="1" w:name="baidusnap2"/>
            <w:bookmarkEnd w:id="1"/>
            <w:r>
              <w:rPr>
                <w:rFonts w:hint="eastAsia" w:ascii="宋体" w:hAnsi="宋体" w:eastAsia="宋体" w:cs="仿宋_GB2312"/>
                <w:szCs w:val="21"/>
                <w:lang w:val="zh-CN"/>
              </w:rPr>
              <w:t>提供未为本项目提供整体设计、</w:t>
            </w:r>
            <w:bookmarkStart w:id="2" w:name="baidusnap9"/>
            <w:bookmarkEnd w:id="2"/>
            <w:r>
              <w:rPr>
                <w:rFonts w:hint="eastAsia" w:ascii="宋体" w:hAnsi="宋体" w:eastAsia="宋体" w:cs="仿宋_GB2312"/>
                <w:szCs w:val="21"/>
                <w:lang w:val="zh-CN"/>
              </w:rPr>
              <w:t>规范编制或者项目管理、监理、检测等服务承诺函（承诺函格式自拟）。</w:t>
            </w:r>
          </w:p>
          <w:p>
            <w:pPr>
              <w:spacing w:line="360" w:lineRule="auto"/>
              <w:rPr>
                <w:rFonts w:ascii="宋体" w:hAnsi="宋体" w:eastAsia="宋体" w:cs="Times New Roman"/>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所有谈判和最终报价结束后，由谈判小组根据最终报价文件，对最终报价文件进行评审，从质量和服务均能满足谈判文件实质性响应要求的供应商中，按照最后有效报价由低到高的顺序提出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评审价格＝响应最终报价×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spacing w:before="75" w:after="75" w:line="360" w:lineRule="auto"/>
        <w:ind w:firstLine="482"/>
        <w:rPr>
          <w:rFonts w:cs="Times New Roman" w:asciiTheme="minorEastAsia" w:hAnsiTheme="minorEastAsia"/>
          <w:szCs w:val="21"/>
          <w:u w:val="single"/>
        </w:rPr>
      </w:pPr>
      <w:r>
        <w:rPr>
          <w:rFonts w:cs="Times New Roman" w:asciiTheme="minorEastAsia" w:hAnsiTheme="minorEastAsia"/>
          <w:szCs w:val="21"/>
          <w:u w:val="single"/>
        </w:rPr>
        <w:t>（</w:t>
      </w:r>
      <w:r>
        <w:rPr>
          <w:rFonts w:hint="eastAsia" w:cs="Times New Roman" w:asciiTheme="minorEastAsia" w:hAnsiTheme="minorEastAsia"/>
          <w:szCs w:val="21"/>
          <w:u w:val="single"/>
        </w:rPr>
        <w:t>以实际发生的套餐数额为准，月租方式付款。具体支付方式，以甲乙双方协商后规定为准</w:t>
      </w:r>
      <w:r>
        <w:rPr>
          <w:rFonts w:cs="Times New Roman" w:asciiTheme="minorEastAsia" w:hAnsiTheme="minorEastAsia"/>
          <w:szCs w:val="21"/>
          <w:u w:val="single"/>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甲方：                        乙方：</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一、封面</w:t>
      </w:r>
    </w:p>
    <w:p>
      <w:pPr>
        <w:jc w:val="center"/>
        <w:rPr>
          <w:rFonts w:ascii="仿宋" w:hAnsi="仿宋" w:eastAsia="仿宋"/>
          <w:sz w:val="72"/>
          <w:szCs w:val="72"/>
        </w:rPr>
      </w:pPr>
      <w:r>
        <w:rPr>
          <w:rFonts w:hint="eastAsia" w:ascii="仿宋" w:hAnsi="仿宋" w:eastAsia="仿宋"/>
          <w:sz w:val="72"/>
          <w:szCs w:val="72"/>
        </w:rPr>
        <w:t>竞争性谈判</w:t>
      </w:r>
    </w:p>
    <w:p>
      <w:pPr>
        <w:jc w:val="center"/>
        <w:rPr>
          <w:rFonts w:ascii="仿宋" w:hAnsi="仿宋" w:eastAsia="仿宋"/>
          <w:sz w:val="72"/>
          <w:szCs w:val="72"/>
        </w:rPr>
      </w:pPr>
    </w:p>
    <w:p>
      <w:pPr>
        <w:spacing w:line="1200" w:lineRule="exact"/>
        <w:jc w:val="center"/>
        <w:rPr>
          <w:rFonts w:ascii="仿宋" w:hAnsi="仿宋" w:eastAsia="仿宋"/>
          <w:sz w:val="72"/>
          <w:szCs w:val="72"/>
        </w:rPr>
      </w:pPr>
      <w:r>
        <w:rPr>
          <w:rFonts w:hint="eastAsia" w:ascii="仿宋" w:hAnsi="仿宋" w:eastAsia="仿宋"/>
          <w:sz w:val="72"/>
          <w:szCs w:val="72"/>
        </w:rPr>
        <w:t>响</w:t>
      </w:r>
    </w:p>
    <w:p>
      <w:pPr>
        <w:spacing w:line="1200" w:lineRule="exact"/>
        <w:jc w:val="center"/>
        <w:rPr>
          <w:rFonts w:ascii="仿宋" w:hAnsi="仿宋" w:eastAsia="仿宋"/>
          <w:sz w:val="72"/>
          <w:szCs w:val="72"/>
        </w:rPr>
      </w:pPr>
      <w:r>
        <w:rPr>
          <w:rFonts w:hint="eastAsia" w:ascii="仿宋" w:hAnsi="仿宋" w:eastAsia="仿宋"/>
          <w:sz w:val="72"/>
          <w:szCs w:val="72"/>
        </w:rPr>
        <w:t>应</w:t>
      </w:r>
    </w:p>
    <w:p>
      <w:pPr>
        <w:spacing w:line="1200" w:lineRule="exact"/>
        <w:jc w:val="center"/>
        <w:rPr>
          <w:rFonts w:ascii="仿宋" w:hAnsi="仿宋" w:eastAsia="仿宋"/>
          <w:sz w:val="72"/>
          <w:szCs w:val="72"/>
        </w:rPr>
      </w:pPr>
      <w:r>
        <w:rPr>
          <w:rFonts w:ascii="仿宋" w:hAnsi="仿宋" w:eastAsia="仿宋"/>
          <w:sz w:val="72"/>
          <w:szCs w:val="72"/>
        </w:rPr>
        <w:t>文</w:t>
      </w:r>
    </w:p>
    <w:p>
      <w:pPr>
        <w:spacing w:line="1200" w:lineRule="exact"/>
        <w:jc w:val="center"/>
        <w:rPr>
          <w:rFonts w:ascii="仿宋" w:hAnsi="仿宋" w:eastAsia="仿宋"/>
          <w:sz w:val="72"/>
          <w:szCs w:val="72"/>
        </w:rPr>
      </w:pPr>
      <w:r>
        <w:rPr>
          <w:rFonts w:ascii="仿宋" w:hAnsi="仿宋" w:eastAsia="仿宋"/>
          <w:sz w:val="72"/>
          <w:szCs w:val="72"/>
        </w:rPr>
        <w:t>件</w:t>
      </w:r>
    </w:p>
    <w:p>
      <w:pPr>
        <w:jc w:val="center"/>
        <w:rPr>
          <w:rFonts w:ascii="仿宋" w:hAnsi="仿宋" w:eastAsia="仿宋"/>
          <w:sz w:val="52"/>
          <w:szCs w:val="52"/>
        </w:rPr>
      </w:pPr>
      <w:r>
        <w:rPr>
          <w:rFonts w:hint="eastAsia" w:ascii="仿宋" w:hAnsi="仿宋" w:eastAsia="仿宋"/>
          <w:sz w:val="52"/>
          <w:szCs w:val="52"/>
        </w:rPr>
        <w:t>（一/二/三标）</w:t>
      </w:r>
    </w:p>
    <w:p>
      <w:pPr>
        <w:jc w:val="center"/>
        <w:rPr>
          <w:rFonts w:ascii="仿宋" w:hAnsi="仿宋" w:eastAsia="仿宋"/>
          <w:sz w:val="52"/>
          <w:szCs w:val="52"/>
        </w:rPr>
      </w:pPr>
      <w:r>
        <w:rPr>
          <w:rFonts w:ascii="仿宋" w:hAnsi="仿宋" w:eastAsia="仿宋"/>
          <w:sz w:val="52"/>
          <w:szCs w:val="52"/>
        </w:rPr>
        <w:t>（正本/副本）</w:t>
      </w:r>
    </w:p>
    <w:p>
      <w:pPr>
        <w:jc w:val="center"/>
        <w:rPr>
          <w:rFonts w:ascii="仿宋" w:hAnsi="仿宋" w:eastAsia="仿宋"/>
          <w:sz w:val="44"/>
          <w:szCs w:val="44"/>
        </w:rPr>
      </w:pPr>
    </w:p>
    <w:p>
      <w:pPr>
        <w:spacing w:line="640" w:lineRule="exact"/>
        <w:ind w:firstLine="440" w:firstLineChars="100"/>
        <w:rPr>
          <w:rFonts w:ascii="仿宋" w:hAnsi="仿宋" w:eastAsia="仿宋"/>
          <w:sz w:val="44"/>
          <w:szCs w:val="44"/>
        </w:rPr>
      </w:pPr>
      <w:r>
        <w:rPr>
          <w:rFonts w:ascii="仿宋" w:hAnsi="仿宋" w:eastAsia="仿宋"/>
          <w:sz w:val="44"/>
          <w:szCs w:val="44"/>
        </w:rPr>
        <w:t>项目编号：</w:t>
      </w:r>
    </w:p>
    <w:p>
      <w:pPr>
        <w:spacing w:line="640" w:lineRule="exact"/>
        <w:ind w:firstLine="440" w:firstLineChars="100"/>
        <w:rPr>
          <w:rFonts w:ascii="仿宋" w:hAnsi="仿宋" w:eastAsia="仿宋"/>
          <w:sz w:val="44"/>
          <w:szCs w:val="44"/>
        </w:rPr>
      </w:pPr>
      <w:r>
        <w:rPr>
          <w:rFonts w:ascii="仿宋" w:hAnsi="仿宋" w:eastAsia="仿宋"/>
          <w:sz w:val="44"/>
          <w:szCs w:val="44"/>
        </w:rPr>
        <w:t>项目名称：</w:t>
      </w:r>
      <w:r>
        <w:rPr>
          <w:rFonts w:hint="eastAsia" w:ascii="仿宋" w:hAnsi="仿宋" w:eastAsia="仿宋"/>
          <w:sz w:val="44"/>
          <w:szCs w:val="44"/>
        </w:rPr>
        <w:t xml:space="preserve">                     </w:t>
      </w:r>
    </w:p>
    <w:p>
      <w:pPr>
        <w:spacing w:line="640" w:lineRule="exact"/>
        <w:rPr>
          <w:rFonts w:ascii="仿宋" w:hAnsi="仿宋" w:eastAsia="仿宋"/>
          <w:sz w:val="44"/>
          <w:szCs w:val="44"/>
        </w:rPr>
      </w:pPr>
      <w:r>
        <w:rPr>
          <w:rFonts w:ascii="仿宋" w:hAnsi="仿宋" w:eastAsia="仿宋"/>
          <w:sz w:val="44"/>
          <w:szCs w:val="44"/>
        </w:rPr>
        <w:t xml:space="preserve"> </w:t>
      </w:r>
      <w:r>
        <w:rPr>
          <w:rFonts w:hint="eastAsia" w:ascii="仿宋" w:hAnsi="仿宋" w:eastAsia="仿宋"/>
          <w:sz w:val="44"/>
          <w:szCs w:val="44"/>
        </w:rPr>
        <w:t xml:space="preserve"> 供应商名称</w:t>
      </w:r>
      <w:r>
        <w:rPr>
          <w:rFonts w:ascii="仿宋" w:hAnsi="仿宋" w:eastAsia="仿宋"/>
          <w:sz w:val="44"/>
          <w:szCs w:val="44"/>
        </w:rPr>
        <w:t>：</w:t>
      </w:r>
      <w:r>
        <w:rPr>
          <w:rFonts w:hint="eastAsia" w:ascii="仿宋" w:hAnsi="仿宋" w:eastAsia="仿宋"/>
          <w:sz w:val="44"/>
          <w:szCs w:val="44"/>
        </w:rPr>
        <w:t xml:space="preserve">     </w:t>
      </w:r>
      <w:r>
        <w:rPr>
          <w:rFonts w:ascii="仿宋" w:hAnsi="仿宋" w:eastAsia="仿宋"/>
          <w:sz w:val="44"/>
          <w:szCs w:val="44"/>
        </w:rPr>
        <w:t>（盖章）</w:t>
      </w:r>
    </w:p>
    <w:p>
      <w:pPr>
        <w:autoSpaceDE w:val="0"/>
        <w:autoSpaceDN w:val="0"/>
        <w:adjustRightInd w:val="0"/>
        <w:spacing w:line="700" w:lineRule="exact"/>
        <w:ind w:firstLine="551"/>
        <w:rPr>
          <w:rFonts w:cs="黑体" w:asciiTheme="minorEastAsia" w:hAnsiTheme="minorEastAsia"/>
          <w:b/>
          <w:bCs/>
          <w:sz w:val="44"/>
          <w:szCs w:val="44"/>
        </w:rPr>
      </w:pPr>
      <w:r>
        <w:rPr>
          <w:rFonts w:hint="eastAsia" w:ascii="仿宋" w:hAnsi="仿宋" w:eastAsia="仿宋"/>
          <w:sz w:val="44"/>
          <w:szCs w:val="44"/>
        </w:rPr>
        <w:t>谈判</w:t>
      </w:r>
      <w:r>
        <w:rPr>
          <w:rFonts w:ascii="仿宋" w:hAnsi="仿宋" w:eastAsia="仿宋"/>
          <w:sz w:val="44"/>
          <w:szCs w:val="44"/>
        </w:rPr>
        <w:t xml:space="preserve">时间：  </w:t>
      </w:r>
      <w:r>
        <w:rPr>
          <w:rFonts w:hint="eastAsia" w:ascii="仿宋" w:hAnsi="仿宋" w:eastAsia="仿宋"/>
          <w:sz w:val="44"/>
          <w:szCs w:val="44"/>
        </w:rPr>
        <w:t xml:space="preserve">   </w:t>
      </w:r>
      <w:r>
        <w:rPr>
          <w:rFonts w:ascii="仿宋" w:hAnsi="仿宋" w:eastAsia="仿宋"/>
          <w:sz w:val="44"/>
          <w:szCs w:val="44"/>
        </w:rPr>
        <w:t xml:space="preserve"> 年 </w:t>
      </w:r>
      <w:r>
        <w:rPr>
          <w:rFonts w:hint="eastAsia" w:ascii="仿宋" w:hAnsi="仿宋" w:eastAsia="仿宋"/>
          <w:sz w:val="44"/>
          <w:szCs w:val="44"/>
        </w:rPr>
        <w:t xml:space="preserve"> </w:t>
      </w:r>
      <w:r>
        <w:rPr>
          <w:rFonts w:ascii="仿宋" w:hAnsi="仿宋" w:eastAsia="仿宋"/>
          <w:sz w:val="44"/>
          <w:szCs w:val="44"/>
        </w:rPr>
        <w:t xml:space="preserve"> 月  </w:t>
      </w:r>
      <w:r>
        <w:rPr>
          <w:rFonts w:hint="eastAsia" w:ascii="仿宋" w:hAnsi="仿宋" w:eastAsia="仿宋"/>
          <w:sz w:val="44"/>
          <w:szCs w:val="44"/>
        </w:rPr>
        <w:t xml:space="preserve"> </w:t>
      </w:r>
      <w:r>
        <w:rPr>
          <w:rFonts w:ascii="仿宋" w:hAnsi="仿宋" w:eastAsia="仿宋"/>
          <w:sz w:val="44"/>
          <w:szCs w:val="44"/>
        </w:rPr>
        <w:t>日</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8"/>
        <w:tblW w:w="9588" w:type="dxa"/>
        <w:tblInd w:w="0" w:type="dxa"/>
        <w:tblLayout w:type="fixed"/>
        <w:tblCellMar>
          <w:top w:w="0" w:type="dxa"/>
          <w:left w:w="108" w:type="dxa"/>
          <w:bottom w:w="0" w:type="dxa"/>
          <w:right w:w="108" w:type="dxa"/>
        </w:tblCellMar>
      </w:tblPr>
      <w:tblGrid>
        <w:gridCol w:w="1257"/>
        <w:gridCol w:w="2415"/>
        <w:gridCol w:w="2387"/>
        <w:gridCol w:w="2415"/>
        <w:gridCol w:w="1114"/>
      </w:tblGrid>
      <w:tr>
        <w:tblPrEx>
          <w:tblLayout w:type="fixed"/>
          <w:tblCellMar>
            <w:top w:w="0" w:type="dxa"/>
            <w:left w:w="108" w:type="dxa"/>
            <w:bottom w:w="0" w:type="dxa"/>
            <w:right w:w="108" w:type="dxa"/>
          </w:tblCellMar>
        </w:tblPrEx>
        <w:trPr>
          <w:trHeight w:val="882" w:hRule="atLeast"/>
        </w:trPr>
        <w:tc>
          <w:tcPr>
            <w:tcW w:w="125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24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2387"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24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111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PrEx>
        <w:trPr>
          <w:trHeight w:val="882" w:hRule="atLeast"/>
        </w:trPr>
        <w:tc>
          <w:tcPr>
            <w:tcW w:w="12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2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23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w:t>
            </w:r>
          </w:p>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小写</w:t>
            </w:r>
          </w:p>
        </w:tc>
        <w:tc>
          <w:tcPr>
            <w:tcW w:w="2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11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82" w:hRule="atLeast"/>
        </w:trPr>
        <w:tc>
          <w:tcPr>
            <w:tcW w:w="12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2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23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w:t>
            </w:r>
          </w:p>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小写</w:t>
            </w:r>
          </w:p>
        </w:tc>
        <w:tc>
          <w:tcPr>
            <w:tcW w:w="24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11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根据贵方_______（项目名称、招标编号）采购的竞争性谈判公告及谈判邀请，_______（姓名和职务）被正式授权并代表供应商（供应商名称、地址）提交。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w:t>
      </w:r>
      <w:r>
        <w:rPr>
          <w:rFonts w:hint="eastAsia" w:asciiTheme="minorEastAsia" w:hAnsiTheme="minorEastAsia"/>
          <w:snapToGrid w:val="0"/>
          <w:kern w:val="0"/>
          <w:szCs w:val="21"/>
          <w:u w:val="single"/>
          <w:lang w:val="en-US" w:eastAsia="zh-CN"/>
        </w:rPr>
        <w:t xml:space="preserve"> / </w:t>
      </w:r>
      <w:r>
        <w:rPr>
          <w:rFonts w:hint="eastAsia" w:asciiTheme="minorEastAsia" w:hAnsiTheme="minorEastAsia"/>
          <w:snapToGrid w:val="0"/>
          <w:kern w:val="0"/>
          <w:szCs w:val="21"/>
        </w:rPr>
        <w:t>份，副本</w:t>
      </w:r>
      <w:r>
        <w:rPr>
          <w:rFonts w:hint="eastAsia" w:asciiTheme="minorEastAsia" w:hAnsiTheme="minorEastAsia"/>
          <w:snapToGrid w:val="0"/>
          <w:kern w:val="0"/>
          <w:szCs w:val="21"/>
          <w:u w:val="single"/>
          <w:lang w:val="en-US" w:eastAsia="zh-CN"/>
        </w:rPr>
        <w:t xml:space="preserve"> / </w:t>
      </w:r>
      <w:r>
        <w:rPr>
          <w:rFonts w:hint="eastAsia" w:asciiTheme="minorEastAsia" w:hAnsiTheme="minorEastAsia"/>
          <w:snapToGrid w:val="0"/>
          <w:kern w:val="0"/>
          <w:szCs w:val="21"/>
        </w:rPr>
        <w:t>份，备份电子文件</w:t>
      </w:r>
      <w:r>
        <w:rPr>
          <w:rFonts w:hint="eastAsia" w:asciiTheme="minorEastAsia" w:hAnsiTheme="minorEastAsia"/>
          <w:snapToGrid w:val="0"/>
          <w:kern w:val="0"/>
          <w:szCs w:val="21"/>
          <w:u w:val="single"/>
          <w:lang w:eastAsia="zh-CN"/>
        </w:rPr>
        <w:t>2</w:t>
      </w:r>
      <w:r>
        <w:rPr>
          <w:rFonts w:hint="eastAsia" w:asciiTheme="minorEastAsia" w:hAnsiTheme="minorEastAsia"/>
          <w:snapToGrid w:val="0"/>
          <w:kern w:val="0"/>
          <w:szCs w:val="21"/>
          <w:lang w:eastAsia="zh-CN"/>
        </w:rPr>
        <w:t>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w:t>
      </w:r>
      <w:r>
        <w:rPr>
          <w:rFonts w:hint="eastAsia" w:cs="Courier New" w:asciiTheme="minorEastAsia" w:hAnsiTheme="minorEastAsia" w:eastAsiaTheme="minorEastAsia"/>
          <w:sz w:val="21"/>
          <w:szCs w:val="21"/>
          <w:lang w:eastAsia="zh-CN"/>
        </w:rPr>
        <w:t>将自行承担一切不利后果</w:t>
      </w:r>
      <w:r>
        <w:rPr>
          <w:rFonts w:hint="eastAsia" w:cs="Courier New" w:asciiTheme="minorEastAsia" w:hAnsiTheme="minorEastAsia" w:eastAsiaTheme="minorEastAsia"/>
          <w:sz w:val="21"/>
          <w:szCs w:val="21"/>
        </w:rPr>
        <w:t>。</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7"/>
        <w:spacing w:line="480" w:lineRule="auto"/>
        <w:ind w:firstLine="472" w:firstLineChars="225"/>
        <w:jc w:val="left"/>
        <w:rPr>
          <w:rFonts w:asciiTheme="minorEastAsia" w:hAnsiTheme="minorEastAsia"/>
          <w:sz w:val="21"/>
          <w:szCs w:val="21"/>
        </w:rPr>
      </w:pPr>
    </w:p>
    <w:p>
      <w:pPr>
        <w:pStyle w:val="47"/>
        <w:spacing w:line="480" w:lineRule="auto"/>
        <w:ind w:firstLine="472" w:firstLineChars="225"/>
        <w:jc w:val="left"/>
        <w:rPr>
          <w:rFonts w:asciiTheme="minorEastAsia" w:hAnsiTheme="minorEastAsia"/>
          <w:sz w:val="21"/>
          <w:szCs w:val="21"/>
        </w:rPr>
      </w:pPr>
    </w:p>
    <w:p>
      <w:pPr>
        <w:pStyle w:val="4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5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9"/>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投标承诺函</w:t>
      </w:r>
    </w:p>
    <w:p>
      <w:pPr>
        <w:spacing w:beforeLines="50" w:afterLines="50"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本公司郑重承诺：</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一、将遵循公开、公平、公正和诚实信用的原则参加(</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采购项目名称)的投标；</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二、本次投标所提供的一切材料均真实、有效、合法；</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三、不与其他投标人相互串通投标报价，不排挤其他投标人的公平竞争，不损害采购人或其他投标人的合法权益；</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四、不与采购人或集中采购机构串通投标，不损害国家利益、社会公共利益或者他人的合法权益；</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五、不向采购人或者评标委员会成员行贿以牟取中标；</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六、不以他人名义投标或者以其他方式弄虚作假，骗取中标；</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七、不扰乱建安区政府采购市场秩序；</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八、不在开标后进行虚假恶意投诉；</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九、中标后不得将招标文件规定不予转包、分包的项目转包、分包于他人；</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十、我方一旦中标，将严格按照投标文件中所承诺的报价、质量、工期、实施方案、服务承诺等内容组织实施。</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pPr>
        <w:spacing w:beforeLines="50" w:afterLines="50" w:line="360" w:lineRule="auto"/>
        <w:ind w:firstLine="480" w:firstLineChars="200"/>
        <w:rPr>
          <w:rFonts w:cs="宋体" w:asciiTheme="minorEastAsia" w:hAnsiTheme="minorEastAsia"/>
          <w:sz w:val="24"/>
          <w:szCs w:val="24"/>
          <w:lang w:val="zh-CN"/>
        </w:rPr>
      </w:pPr>
    </w:p>
    <w:p>
      <w:pPr>
        <w:spacing w:beforeLines="50" w:afterLines="50" w:line="360" w:lineRule="auto"/>
        <w:ind w:firstLine="480" w:firstLineChars="200"/>
        <w:jc w:val="center"/>
        <w:rPr>
          <w:rFonts w:cs="宋体" w:asciiTheme="minorEastAsia" w:hAnsiTheme="minorEastAsia"/>
          <w:sz w:val="24"/>
          <w:szCs w:val="24"/>
          <w:lang w:val="zh-CN"/>
        </w:rPr>
      </w:pPr>
      <w:r>
        <w:rPr>
          <w:rFonts w:hint="eastAsia" w:cs="宋体" w:asciiTheme="minorEastAsia" w:hAnsiTheme="minorEastAsia"/>
          <w:sz w:val="24"/>
          <w:szCs w:val="24"/>
          <w:lang w:val="zh-CN"/>
        </w:rPr>
        <w:t xml:space="preserve">       法定代表人或授权代表签字：</w:t>
      </w:r>
    </w:p>
    <w:p>
      <w:pPr>
        <w:spacing w:beforeLines="50" w:afterLines="50" w:line="360" w:lineRule="auto"/>
        <w:ind w:firstLine="3360" w:firstLineChars="1400"/>
        <w:rPr>
          <w:rFonts w:cs="宋体" w:asciiTheme="minorEastAsia" w:hAnsiTheme="minorEastAsia"/>
          <w:sz w:val="24"/>
          <w:szCs w:val="24"/>
          <w:lang w:val="zh-CN"/>
        </w:rPr>
      </w:pPr>
      <w:r>
        <w:rPr>
          <w:rFonts w:hint="eastAsia" w:cs="宋体" w:asciiTheme="minorEastAsia" w:hAnsiTheme="minorEastAsia"/>
          <w:sz w:val="24"/>
          <w:szCs w:val="24"/>
          <w:lang w:val="zh-CN"/>
        </w:rPr>
        <w:t>投标人名称(盖章)：</w:t>
      </w:r>
    </w:p>
    <w:p>
      <w:pPr>
        <w:spacing w:beforeLines="50" w:afterLines="50" w:line="360" w:lineRule="auto"/>
        <w:ind w:firstLine="4680" w:firstLineChars="1950"/>
        <w:rPr>
          <w:rFonts w:cs="宋体" w:asciiTheme="minorEastAsia" w:hAnsiTheme="minorEastAsia"/>
          <w:sz w:val="24"/>
          <w:szCs w:val="24"/>
          <w:lang w:val="zh-CN"/>
        </w:rPr>
      </w:pPr>
      <w:r>
        <w:rPr>
          <w:rFonts w:hint="eastAsia" w:cs="宋体" w:asciiTheme="minorEastAsia" w:hAnsiTheme="minorEastAsia"/>
          <w:sz w:val="24"/>
          <w:szCs w:val="24"/>
          <w:lang w:val="zh-CN"/>
        </w:rPr>
        <w:t>年    月    日</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spacing w:before="50" w:afterLines="50" w:line="360" w:lineRule="auto"/>
        <w:contextualSpacing/>
        <w:jc w:val="left"/>
        <w:rPr>
          <w:rFonts w:asciiTheme="minorEastAsia" w:hAnsiTheme="minorEastAsia"/>
          <w:szCs w:val="21"/>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both"/>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sectPr>
      <w:headerReference r:id="rId5" w:type="default"/>
      <w:footerReference r:id="rId6"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7" o:spid="_x0000_s1027"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default" w:eastAsia="华文中宋"/>
        <w:i/>
        <w:iCs/>
        <w:sz w:val="10"/>
        <w:szCs w:val="10"/>
        <w:lang w:val="en-US" w:eastAsia="zh-CN"/>
      </w:rPr>
    </w:pPr>
    <w:r>
      <w:rPr>
        <w:rFonts w:hint="eastAsia" w:ascii="宋体" w:hAnsi="宋体" w:eastAsia="宋体" w:cs="宋体"/>
        <w:b/>
        <w:i/>
        <w:iCs/>
        <w:sz w:val="21"/>
        <w:szCs w:val="21"/>
      </w:rPr>
      <w:t>★</w:t>
    </w:r>
    <w:r>
      <w:rPr>
        <w:rFonts w:hint="eastAsia" w:eastAsia="华文中宋"/>
        <w:b/>
        <w:i/>
        <w:iCs/>
        <w:sz w:val="21"/>
        <w:szCs w:val="21"/>
      </w:rPr>
      <w:t>许昌市建安区公安局辅警移动警务终端采购项目</w:t>
    </w:r>
    <w:r>
      <w:rPr>
        <w:rFonts w:hint="eastAsia" w:eastAsia="华文中宋"/>
        <w:b/>
        <w:i/>
        <w:iCs/>
        <w:sz w:val="21"/>
        <w:szCs w:val="21"/>
        <w:lang w:val="en-US" w:eastAsia="zh-CN"/>
      </w:rPr>
      <w:t xml:space="preserve">                                  谈判文件</w:t>
    </w:r>
    <w:r>
      <w:rPr>
        <w:rFonts w:hint="eastAsia" w:ascii="宋体" w:hAnsi="宋体" w:eastAsia="宋体" w:cs="宋体"/>
        <w:b/>
        <w:i/>
        <w:iCs/>
        <w:sz w:val="21"/>
        <w:szCs w:val="21"/>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宋体" w:hAnsi="宋体" w:eastAsia="宋体" w:cs="宋体"/>
        <w:b/>
        <w:bCs/>
        <w:i/>
        <w:iCs/>
      </w:rPr>
      <w:t>★</w:t>
    </w:r>
    <w:r>
      <w:rPr>
        <w:rFonts w:hint="eastAsia"/>
        <w:b/>
        <w:bCs/>
        <w:i/>
        <w:iCs/>
      </w:rPr>
      <w:t>许昌市建安区公安局辅警移动警务终端采购项目                                       谈判文件</w:t>
    </w:r>
    <w:r>
      <w:rPr>
        <w:rFonts w:hint="eastAsia" w:ascii="宋体" w:hAnsi="宋体" w:eastAsia="宋体" w:cs="宋体"/>
        <w:b/>
        <w:bCs/>
        <w:i/>
        <w:i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29622B"/>
    <w:multiLevelType w:val="singleLevel"/>
    <w:tmpl w:val="ED29622B"/>
    <w:lvl w:ilvl="0" w:tentative="0">
      <w:start w:val="1"/>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E8"/>
    <w:multiLevelType w:val="singleLevel"/>
    <w:tmpl w:val="59F817E8"/>
    <w:lvl w:ilvl="0" w:tentative="0">
      <w:start w:val="1"/>
      <w:numFmt w:val="chineseCounting"/>
      <w:pStyle w:val="55"/>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1"/>
  </w:num>
  <w:num w:numId="4">
    <w:abstractNumId w:val="0"/>
  </w:num>
  <w:num w:numId="5">
    <w:abstractNumId w:val="8"/>
  </w:num>
  <w:num w:numId="6">
    <w:abstractNumId w:val="12"/>
  </w:num>
  <w:num w:numId="7">
    <w:abstractNumId w:val="7"/>
  </w:num>
  <w:num w:numId="8">
    <w:abstractNumId w:val="3"/>
  </w:num>
  <w:num w:numId="9">
    <w:abstractNumId w:val="9"/>
  </w:num>
  <w:num w:numId="10">
    <w:abstractNumId w:val="6"/>
  </w:num>
  <w:num w:numId="11">
    <w:abstractNumId w:val="4"/>
  </w:num>
  <w:num w:numId="12">
    <w:abstractNumId w:val="13"/>
  </w:num>
  <w:num w:numId="13">
    <w:abstractNumId w:val="10"/>
  </w:num>
  <w:num w:numId="14">
    <w:abstractNumId w:val="5"/>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4165"/>
    <w:rsid w:val="00044621"/>
    <w:rsid w:val="000463C9"/>
    <w:rsid w:val="00047B44"/>
    <w:rsid w:val="00052D94"/>
    <w:rsid w:val="000530F0"/>
    <w:rsid w:val="000609FD"/>
    <w:rsid w:val="00061CC7"/>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29AB"/>
    <w:rsid w:val="000A3042"/>
    <w:rsid w:val="000A3486"/>
    <w:rsid w:val="000A3C25"/>
    <w:rsid w:val="000A60B3"/>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4301"/>
    <w:rsid w:val="001052E3"/>
    <w:rsid w:val="00110C26"/>
    <w:rsid w:val="00111A8C"/>
    <w:rsid w:val="00111C75"/>
    <w:rsid w:val="0011232C"/>
    <w:rsid w:val="0011325E"/>
    <w:rsid w:val="0011409A"/>
    <w:rsid w:val="00115443"/>
    <w:rsid w:val="00116DCD"/>
    <w:rsid w:val="00117D5D"/>
    <w:rsid w:val="001208C0"/>
    <w:rsid w:val="001219B2"/>
    <w:rsid w:val="00122334"/>
    <w:rsid w:val="00123414"/>
    <w:rsid w:val="001236C4"/>
    <w:rsid w:val="0012373E"/>
    <w:rsid w:val="00124CC1"/>
    <w:rsid w:val="001262C8"/>
    <w:rsid w:val="00126FB1"/>
    <w:rsid w:val="001276EF"/>
    <w:rsid w:val="00131FB7"/>
    <w:rsid w:val="00133D8F"/>
    <w:rsid w:val="00134C9E"/>
    <w:rsid w:val="001367A5"/>
    <w:rsid w:val="00137DCA"/>
    <w:rsid w:val="00140426"/>
    <w:rsid w:val="00141B3F"/>
    <w:rsid w:val="00143A14"/>
    <w:rsid w:val="00146853"/>
    <w:rsid w:val="00147B7D"/>
    <w:rsid w:val="00151A6E"/>
    <w:rsid w:val="0015508F"/>
    <w:rsid w:val="00155287"/>
    <w:rsid w:val="001624C8"/>
    <w:rsid w:val="00163CBE"/>
    <w:rsid w:val="001645B9"/>
    <w:rsid w:val="001645C1"/>
    <w:rsid w:val="00165060"/>
    <w:rsid w:val="001650BA"/>
    <w:rsid w:val="0016721F"/>
    <w:rsid w:val="00170D72"/>
    <w:rsid w:val="00170F95"/>
    <w:rsid w:val="00175D7E"/>
    <w:rsid w:val="00177313"/>
    <w:rsid w:val="00177750"/>
    <w:rsid w:val="001813BC"/>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3349"/>
    <w:rsid w:val="001B3644"/>
    <w:rsid w:val="001B41AD"/>
    <w:rsid w:val="001B4E29"/>
    <w:rsid w:val="001B619B"/>
    <w:rsid w:val="001B67A7"/>
    <w:rsid w:val="001B7057"/>
    <w:rsid w:val="001B7C18"/>
    <w:rsid w:val="001B7DE7"/>
    <w:rsid w:val="001C0276"/>
    <w:rsid w:val="001C0DE9"/>
    <w:rsid w:val="001C0F1B"/>
    <w:rsid w:val="001C10C9"/>
    <w:rsid w:val="001C309B"/>
    <w:rsid w:val="001C5048"/>
    <w:rsid w:val="001C6C61"/>
    <w:rsid w:val="001C73E4"/>
    <w:rsid w:val="001C7D64"/>
    <w:rsid w:val="001D04FC"/>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4680"/>
    <w:rsid w:val="0027728C"/>
    <w:rsid w:val="002804A3"/>
    <w:rsid w:val="00281155"/>
    <w:rsid w:val="00281AD7"/>
    <w:rsid w:val="002825F4"/>
    <w:rsid w:val="00282790"/>
    <w:rsid w:val="00285231"/>
    <w:rsid w:val="002907E6"/>
    <w:rsid w:val="00296074"/>
    <w:rsid w:val="002969B1"/>
    <w:rsid w:val="002A00B7"/>
    <w:rsid w:val="002A0347"/>
    <w:rsid w:val="002A0AAA"/>
    <w:rsid w:val="002A0C31"/>
    <w:rsid w:val="002A147F"/>
    <w:rsid w:val="002A2062"/>
    <w:rsid w:val="002A7921"/>
    <w:rsid w:val="002B2BE8"/>
    <w:rsid w:val="002B2C64"/>
    <w:rsid w:val="002B3C48"/>
    <w:rsid w:val="002B51C1"/>
    <w:rsid w:val="002B737D"/>
    <w:rsid w:val="002B75C6"/>
    <w:rsid w:val="002C12C3"/>
    <w:rsid w:val="002C3CC2"/>
    <w:rsid w:val="002C78F6"/>
    <w:rsid w:val="002D0D13"/>
    <w:rsid w:val="002D11F7"/>
    <w:rsid w:val="002D453F"/>
    <w:rsid w:val="002D6B1C"/>
    <w:rsid w:val="002E1FAE"/>
    <w:rsid w:val="002E2714"/>
    <w:rsid w:val="002E3055"/>
    <w:rsid w:val="002E60F6"/>
    <w:rsid w:val="002E744B"/>
    <w:rsid w:val="002E777E"/>
    <w:rsid w:val="002F06BA"/>
    <w:rsid w:val="002F7C32"/>
    <w:rsid w:val="00301CE8"/>
    <w:rsid w:val="00302A87"/>
    <w:rsid w:val="0030425C"/>
    <w:rsid w:val="0030587D"/>
    <w:rsid w:val="003067AE"/>
    <w:rsid w:val="0031527C"/>
    <w:rsid w:val="003157EF"/>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2D66"/>
    <w:rsid w:val="003B5BE5"/>
    <w:rsid w:val="003B7DDB"/>
    <w:rsid w:val="003C013E"/>
    <w:rsid w:val="003C1A3D"/>
    <w:rsid w:val="003C3022"/>
    <w:rsid w:val="003C570D"/>
    <w:rsid w:val="003C669F"/>
    <w:rsid w:val="003C76DE"/>
    <w:rsid w:val="003D2326"/>
    <w:rsid w:val="003D2A39"/>
    <w:rsid w:val="003D400D"/>
    <w:rsid w:val="003D61F3"/>
    <w:rsid w:val="003D6EA0"/>
    <w:rsid w:val="003E04B1"/>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27CF"/>
    <w:rsid w:val="0044639D"/>
    <w:rsid w:val="004471CC"/>
    <w:rsid w:val="00447728"/>
    <w:rsid w:val="00447DB3"/>
    <w:rsid w:val="00450B7E"/>
    <w:rsid w:val="004511E4"/>
    <w:rsid w:val="00452FF0"/>
    <w:rsid w:val="00453B62"/>
    <w:rsid w:val="00454B40"/>
    <w:rsid w:val="0046007A"/>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0308"/>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116E"/>
    <w:rsid w:val="00523927"/>
    <w:rsid w:val="00523928"/>
    <w:rsid w:val="00526033"/>
    <w:rsid w:val="00527005"/>
    <w:rsid w:val="005314A3"/>
    <w:rsid w:val="0053374B"/>
    <w:rsid w:val="00533BD9"/>
    <w:rsid w:val="005351E8"/>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4009"/>
    <w:rsid w:val="005645C2"/>
    <w:rsid w:val="00564821"/>
    <w:rsid w:val="00567215"/>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6E3F"/>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492"/>
    <w:rsid w:val="005E792E"/>
    <w:rsid w:val="005F040B"/>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51A74"/>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7B77"/>
    <w:rsid w:val="006B04B2"/>
    <w:rsid w:val="006B0B41"/>
    <w:rsid w:val="006B0DF4"/>
    <w:rsid w:val="006B3B14"/>
    <w:rsid w:val="006B6FCC"/>
    <w:rsid w:val="006B7082"/>
    <w:rsid w:val="006C0258"/>
    <w:rsid w:val="006C1754"/>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C90"/>
    <w:rsid w:val="00723ED1"/>
    <w:rsid w:val="0072488A"/>
    <w:rsid w:val="0072571C"/>
    <w:rsid w:val="00725743"/>
    <w:rsid w:val="00727688"/>
    <w:rsid w:val="00730668"/>
    <w:rsid w:val="0073118A"/>
    <w:rsid w:val="0073443E"/>
    <w:rsid w:val="00734689"/>
    <w:rsid w:val="00734954"/>
    <w:rsid w:val="0073552F"/>
    <w:rsid w:val="007356BC"/>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7339"/>
    <w:rsid w:val="007A7C77"/>
    <w:rsid w:val="007A7F39"/>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D7E7E"/>
    <w:rsid w:val="007E0167"/>
    <w:rsid w:val="007E0CF7"/>
    <w:rsid w:val="007E24F9"/>
    <w:rsid w:val="007E2A0C"/>
    <w:rsid w:val="007E4337"/>
    <w:rsid w:val="007F1CC8"/>
    <w:rsid w:val="007F1D12"/>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971"/>
    <w:rsid w:val="00856E26"/>
    <w:rsid w:val="00856F02"/>
    <w:rsid w:val="00857412"/>
    <w:rsid w:val="00861C4D"/>
    <w:rsid w:val="0086207B"/>
    <w:rsid w:val="008629A1"/>
    <w:rsid w:val="00865204"/>
    <w:rsid w:val="00870DCD"/>
    <w:rsid w:val="00875099"/>
    <w:rsid w:val="008824BB"/>
    <w:rsid w:val="0088488A"/>
    <w:rsid w:val="008868B3"/>
    <w:rsid w:val="0088737C"/>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E2454"/>
    <w:rsid w:val="008E7034"/>
    <w:rsid w:val="008F2CA7"/>
    <w:rsid w:val="00902012"/>
    <w:rsid w:val="009024C2"/>
    <w:rsid w:val="00903C60"/>
    <w:rsid w:val="00907471"/>
    <w:rsid w:val="00910FBF"/>
    <w:rsid w:val="00912E30"/>
    <w:rsid w:val="009130EC"/>
    <w:rsid w:val="00913638"/>
    <w:rsid w:val="00920741"/>
    <w:rsid w:val="00922975"/>
    <w:rsid w:val="00924304"/>
    <w:rsid w:val="009265E2"/>
    <w:rsid w:val="009270F3"/>
    <w:rsid w:val="0093028A"/>
    <w:rsid w:val="00932A01"/>
    <w:rsid w:val="00932BA0"/>
    <w:rsid w:val="009332CB"/>
    <w:rsid w:val="0093402B"/>
    <w:rsid w:val="00936F0A"/>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2512"/>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3ABA"/>
    <w:rsid w:val="009B3B64"/>
    <w:rsid w:val="009B4ECF"/>
    <w:rsid w:val="009B773A"/>
    <w:rsid w:val="009B7C45"/>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FE6"/>
    <w:rsid w:val="00A630FF"/>
    <w:rsid w:val="00A634C2"/>
    <w:rsid w:val="00A64567"/>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1D58"/>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D74A0"/>
    <w:rsid w:val="00AE0428"/>
    <w:rsid w:val="00AE23CC"/>
    <w:rsid w:val="00AE36B8"/>
    <w:rsid w:val="00AE65F4"/>
    <w:rsid w:val="00AE77C7"/>
    <w:rsid w:val="00AF3E32"/>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502"/>
    <w:rsid w:val="00BB17CE"/>
    <w:rsid w:val="00BB1EC0"/>
    <w:rsid w:val="00BB4D42"/>
    <w:rsid w:val="00BB4EA2"/>
    <w:rsid w:val="00BB6CC2"/>
    <w:rsid w:val="00BC01E9"/>
    <w:rsid w:val="00BC05E7"/>
    <w:rsid w:val="00BC31B0"/>
    <w:rsid w:val="00BC3FC1"/>
    <w:rsid w:val="00BC45E1"/>
    <w:rsid w:val="00BC76AE"/>
    <w:rsid w:val="00BD0FE7"/>
    <w:rsid w:val="00BD2BC9"/>
    <w:rsid w:val="00BD3AFF"/>
    <w:rsid w:val="00BD5794"/>
    <w:rsid w:val="00BE7FE7"/>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9F4"/>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22C9"/>
    <w:rsid w:val="00CC4CF6"/>
    <w:rsid w:val="00CC4FD6"/>
    <w:rsid w:val="00CC5DB4"/>
    <w:rsid w:val="00CD4CBE"/>
    <w:rsid w:val="00CD6E1B"/>
    <w:rsid w:val="00CD76D3"/>
    <w:rsid w:val="00CD7E6D"/>
    <w:rsid w:val="00CE0A86"/>
    <w:rsid w:val="00CE0F39"/>
    <w:rsid w:val="00CE1C45"/>
    <w:rsid w:val="00CE74A6"/>
    <w:rsid w:val="00CF0786"/>
    <w:rsid w:val="00CF07F0"/>
    <w:rsid w:val="00CF0ADC"/>
    <w:rsid w:val="00CF498E"/>
    <w:rsid w:val="00CF4F24"/>
    <w:rsid w:val="00D00A03"/>
    <w:rsid w:val="00D03037"/>
    <w:rsid w:val="00D0553A"/>
    <w:rsid w:val="00D05D6B"/>
    <w:rsid w:val="00D10F92"/>
    <w:rsid w:val="00D11037"/>
    <w:rsid w:val="00D11ACF"/>
    <w:rsid w:val="00D1649F"/>
    <w:rsid w:val="00D167E5"/>
    <w:rsid w:val="00D21019"/>
    <w:rsid w:val="00D227B2"/>
    <w:rsid w:val="00D228EB"/>
    <w:rsid w:val="00D23E27"/>
    <w:rsid w:val="00D26DDF"/>
    <w:rsid w:val="00D30716"/>
    <w:rsid w:val="00D31F0B"/>
    <w:rsid w:val="00D33A35"/>
    <w:rsid w:val="00D33E00"/>
    <w:rsid w:val="00D35049"/>
    <w:rsid w:val="00D40541"/>
    <w:rsid w:val="00D409E1"/>
    <w:rsid w:val="00D43DE4"/>
    <w:rsid w:val="00D44821"/>
    <w:rsid w:val="00D461B1"/>
    <w:rsid w:val="00D5147A"/>
    <w:rsid w:val="00D54C29"/>
    <w:rsid w:val="00D56164"/>
    <w:rsid w:val="00D60BC1"/>
    <w:rsid w:val="00D6372E"/>
    <w:rsid w:val="00D67B74"/>
    <w:rsid w:val="00D70CA0"/>
    <w:rsid w:val="00D717AC"/>
    <w:rsid w:val="00D724BF"/>
    <w:rsid w:val="00D74DC7"/>
    <w:rsid w:val="00D77D7D"/>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256C5"/>
    <w:rsid w:val="00E328ED"/>
    <w:rsid w:val="00E32D01"/>
    <w:rsid w:val="00E3418E"/>
    <w:rsid w:val="00E353E7"/>
    <w:rsid w:val="00E3613E"/>
    <w:rsid w:val="00E403D1"/>
    <w:rsid w:val="00E4131A"/>
    <w:rsid w:val="00E43378"/>
    <w:rsid w:val="00E52D68"/>
    <w:rsid w:val="00E544C0"/>
    <w:rsid w:val="00E60107"/>
    <w:rsid w:val="00E601B6"/>
    <w:rsid w:val="00E6072E"/>
    <w:rsid w:val="00E62376"/>
    <w:rsid w:val="00E62935"/>
    <w:rsid w:val="00E63001"/>
    <w:rsid w:val="00E63BD1"/>
    <w:rsid w:val="00E63EF7"/>
    <w:rsid w:val="00E64CCF"/>
    <w:rsid w:val="00E651ED"/>
    <w:rsid w:val="00E65B96"/>
    <w:rsid w:val="00E66079"/>
    <w:rsid w:val="00E71FE4"/>
    <w:rsid w:val="00E72B34"/>
    <w:rsid w:val="00E7506D"/>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2C9C"/>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BF0"/>
    <w:rsid w:val="00FA5D51"/>
    <w:rsid w:val="00FA64E7"/>
    <w:rsid w:val="00FA774A"/>
    <w:rsid w:val="00FB0DF3"/>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53F5432"/>
    <w:rsid w:val="064E7C45"/>
    <w:rsid w:val="081609F0"/>
    <w:rsid w:val="09BB203D"/>
    <w:rsid w:val="09FB6D8B"/>
    <w:rsid w:val="0C4C440E"/>
    <w:rsid w:val="0CAE7D79"/>
    <w:rsid w:val="0E78728C"/>
    <w:rsid w:val="0F492F98"/>
    <w:rsid w:val="100B4F00"/>
    <w:rsid w:val="115F2D00"/>
    <w:rsid w:val="14214638"/>
    <w:rsid w:val="149819C8"/>
    <w:rsid w:val="15EE44D7"/>
    <w:rsid w:val="18544F89"/>
    <w:rsid w:val="197B011F"/>
    <w:rsid w:val="1BC27E34"/>
    <w:rsid w:val="1C317F37"/>
    <w:rsid w:val="1C527EEE"/>
    <w:rsid w:val="1CB526B7"/>
    <w:rsid w:val="1D90357B"/>
    <w:rsid w:val="1EEF655A"/>
    <w:rsid w:val="21DF17AC"/>
    <w:rsid w:val="22B643D4"/>
    <w:rsid w:val="25720679"/>
    <w:rsid w:val="27B5253B"/>
    <w:rsid w:val="2C2E4C48"/>
    <w:rsid w:val="2D5F028F"/>
    <w:rsid w:val="2D7D6969"/>
    <w:rsid w:val="2F45482D"/>
    <w:rsid w:val="2F477084"/>
    <w:rsid w:val="305F0D15"/>
    <w:rsid w:val="307D673F"/>
    <w:rsid w:val="32245CC7"/>
    <w:rsid w:val="32B20743"/>
    <w:rsid w:val="33E17DBD"/>
    <w:rsid w:val="35306958"/>
    <w:rsid w:val="35CD247F"/>
    <w:rsid w:val="391E6950"/>
    <w:rsid w:val="3A1A525E"/>
    <w:rsid w:val="3B380893"/>
    <w:rsid w:val="3C81247B"/>
    <w:rsid w:val="3D96637E"/>
    <w:rsid w:val="46366161"/>
    <w:rsid w:val="46E35449"/>
    <w:rsid w:val="473960E8"/>
    <w:rsid w:val="48012F4C"/>
    <w:rsid w:val="485128BA"/>
    <w:rsid w:val="486A7C11"/>
    <w:rsid w:val="48FB636C"/>
    <w:rsid w:val="49574371"/>
    <w:rsid w:val="4D005CCE"/>
    <w:rsid w:val="4D5E2687"/>
    <w:rsid w:val="505F0174"/>
    <w:rsid w:val="51352836"/>
    <w:rsid w:val="544C0545"/>
    <w:rsid w:val="54FE03B0"/>
    <w:rsid w:val="56454E4B"/>
    <w:rsid w:val="58A31F4C"/>
    <w:rsid w:val="5CB139A0"/>
    <w:rsid w:val="614E3A65"/>
    <w:rsid w:val="66764B93"/>
    <w:rsid w:val="67341FB4"/>
    <w:rsid w:val="69FB4D8B"/>
    <w:rsid w:val="6D32159C"/>
    <w:rsid w:val="6F113247"/>
    <w:rsid w:val="744B462D"/>
    <w:rsid w:val="755E1E93"/>
    <w:rsid w:val="75AB4839"/>
    <w:rsid w:val="767C5E46"/>
    <w:rsid w:val="76B625A7"/>
    <w:rsid w:val="77CD397C"/>
    <w:rsid w:val="78AF68A0"/>
    <w:rsid w:val="7E0F157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Title"/>
    <w:basedOn w:val="1"/>
    <w:next w:val="1"/>
    <w:qFormat/>
    <w:uiPriority w:val="10"/>
    <w:pPr>
      <w:spacing w:before="240" w:after="60"/>
      <w:jc w:val="center"/>
      <w:outlineLvl w:val="0"/>
    </w:pPr>
    <w:rPr>
      <w:rFonts w:ascii="Cambria" w:hAnsi="Cambria" w:cs="Times New Roman"/>
      <w:b/>
      <w:bCs/>
      <w:sz w:val="32"/>
      <w:szCs w:val="32"/>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标题 1 Char"/>
    <w:basedOn w:val="23"/>
    <w:link w:val="4"/>
    <w:qFormat/>
    <w:uiPriority w:val="0"/>
    <w:rPr>
      <w:rFonts w:ascii="Calibri" w:hAnsi="Calibri" w:eastAsia="宋体" w:cs="Times New Roman"/>
      <w:b/>
      <w:bCs/>
      <w:kern w:val="44"/>
      <w:sz w:val="44"/>
      <w:szCs w:val="44"/>
    </w:rPr>
  </w:style>
  <w:style w:type="character" w:customStyle="1" w:styleId="31">
    <w:name w:val="标题 2 Char"/>
    <w:basedOn w:val="23"/>
    <w:link w:val="5"/>
    <w:qFormat/>
    <w:uiPriority w:val="0"/>
    <w:rPr>
      <w:rFonts w:ascii="Arial" w:hAnsi="Arial" w:eastAsia="黑体" w:cs="Times New Roman"/>
      <w:b/>
      <w:bCs/>
      <w:sz w:val="32"/>
      <w:szCs w:val="32"/>
    </w:rPr>
  </w:style>
  <w:style w:type="character" w:customStyle="1" w:styleId="32">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7"/>
    <w:qFormat/>
    <w:uiPriority w:val="0"/>
    <w:rPr>
      <w:rFonts w:ascii="Arial" w:hAnsi="Arial" w:eastAsia="黑体" w:cs="Times New Roman"/>
      <w:b/>
      <w:bCs/>
      <w:sz w:val="28"/>
      <w:szCs w:val="28"/>
    </w:rPr>
  </w:style>
  <w:style w:type="character" w:customStyle="1" w:styleId="34">
    <w:name w:val="正文文本 3 Char"/>
    <w:basedOn w:val="23"/>
    <w:link w:val="10"/>
    <w:qFormat/>
    <w:uiPriority w:val="0"/>
    <w:rPr>
      <w:rFonts w:ascii="Times New Roman" w:hAnsi="Times New Roman" w:eastAsia="宋体" w:cs="Times New Roman"/>
      <w:color w:val="FF0000"/>
      <w:sz w:val="24"/>
      <w:szCs w:val="24"/>
    </w:rPr>
  </w:style>
  <w:style w:type="character" w:customStyle="1" w:styleId="35">
    <w:name w:val="正文文本 Char"/>
    <w:basedOn w:val="23"/>
    <w:link w:val="3"/>
    <w:semiHidden/>
    <w:qFormat/>
    <w:uiPriority w:val="99"/>
  </w:style>
  <w:style w:type="character" w:customStyle="1" w:styleId="36">
    <w:name w:val="纯文本 Char"/>
    <w:basedOn w:val="23"/>
    <w:link w:val="14"/>
    <w:qFormat/>
    <w:uiPriority w:val="0"/>
    <w:rPr>
      <w:rFonts w:eastAsia="宋体"/>
      <w:sz w:val="24"/>
    </w:rPr>
  </w:style>
  <w:style w:type="character" w:customStyle="1" w:styleId="37">
    <w:name w:val="日期 Char"/>
    <w:basedOn w:val="23"/>
    <w:link w:val="15"/>
    <w:qFormat/>
    <w:uiPriority w:val="99"/>
  </w:style>
  <w:style w:type="character" w:customStyle="1" w:styleId="38">
    <w:name w:val="页脚 Char"/>
    <w:basedOn w:val="23"/>
    <w:link w:val="17"/>
    <w:qFormat/>
    <w:uiPriority w:val="99"/>
    <w:rPr>
      <w:sz w:val="18"/>
      <w:szCs w:val="18"/>
    </w:rPr>
  </w:style>
  <w:style w:type="character" w:customStyle="1" w:styleId="39">
    <w:name w:val="页眉 Char"/>
    <w:basedOn w:val="23"/>
    <w:link w:val="18"/>
    <w:qFormat/>
    <w:uiPriority w:val="99"/>
    <w:rPr>
      <w:sz w:val="18"/>
      <w:szCs w:val="18"/>
    </w:rPr>
  </w:style>
  <w:style w:type="character" w:customStyle="1" w:styleId="40">
    <w:name w:val="HTML 预设格式 Char"/>
    <w:basedOn w:val="23"/>
    <w:link w:val="20"/>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3"/>
    <w:qFormat/>
    <w:uiPriority w:val="0"/>
  </w:style>
  <w:style w:type="paragraph" w:customStyle="1" w:styleId="5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3"/>
    <w:link w:val="11"/>
    <w:semiHidden/>
    <w:qFormat/>
    <w:uiPriority w:val="99"/>
    <w:rPr>
      <w:kern w:val="2"/>
      <w:sz w:val="21"/>
      <w:szCs w:val="22"/>
    </w:rPr>
  </w:style>
  <w:style w:type="character" w:customStyle="1" w:styleId="58">
    <w:name w:val="批注框文本 Char"/>
    <w:basedOn w:val="23"/>
    <w:link w:val="16"/>
    <w:semiHidden/>
    <w:qFormat/>
    <w:uiPriority w:val="99"/>
    <w:rPr>
      <w:kern w:val="2"/>
      <w:sz w:val="18"/>
      <w:szCs w:val="18"/>
    </w:rPr>
  </w:style>
  <w:style w:type="paragraph" w:customStyle="1" w:styleId="59">
    <w:name w:val="Table Paragraph"/>
    <w:basedOn w:val="1"/>
    <w:qFormat/>
    <w:uiPriority w:val="1"/>
    <w:pPr>
      <w:spacing w:before="70"/>
      <w:ind w:left="107"/>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A5D70-37B4-4587-9DB6-6F7D1920955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5421</Words>
  <Characters>30905</Characters>
  <Lines>257</Lines>
  <Paragraphs>72</Paragraphs>
  <TotalTime>0</TotalTime>
  <ScaleCrop>false</ScaleCrop>
  <LinksUpToDate>false</LinksUpToDate>
  <CharactersWithSpaces>36254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找箌鑰匙了</cp:lastModifiedBy>
  <cp:lastPrinted>2018-03-20T03:26:00Z</cp:lastPrinted>
  <dcterms:modified xsi:type="dcterms:W3CDTF">2019-08-08T06:45:36Z</dcterms:modified>
  <cp:revision>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