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325" w:firstLineChars="300"/>
        <w:rPr>
          <w:rFonts w:asciiTheme="majorEastAsia" w:hAnsiTheme="majorEastAsia" w:eastAsiaTheme="majorEastAsia" w:cstheme="majorEastAsia"/>
          <w:b/>
          <w:bCs/>
          <w:sz w:val="44"/>
          <w:szCs w:val="44"/>
        </w:rPr>
      </w:pPr>
    </w:p>
    <w:p>
      <w:pPr>
        <w:jc w:val="center"/>
        <w:rPr>
          <w:rFonts w:ascii="微软简隶书" w:eastAsia="微软简隶书"/>
          <w:b/>
          <w:bCs/>
          <w:sz w:val="44"/>
          <w:szCs w:val="44"/>
        </w:rPr>
      </w:pPr>
      <w:r>
        <w:rPr>
          <w:rFonts w:hint="eastAsia" w:ascii="微软简隶书" w:eastAsia="微软简隶书"/>
          <w:b/>
          <w:bCs/>
          <w:sz w:val="44"/>
          <w:szCs w:val="44"/>
        </w:rPr>
        <w:t>禹州市市直第四幼儿园教学设备采购项目</w:t>
      </w:r>
    </w:p>
    <w:p>
      <w:pPr>
        <w:rPr>
          <w:rFonts w:ascii="微软简隶书" w:eastAsia="微软简隶书"/>
        </w:rPr>
      </w:pPr>
    </w:p>
    <w:p>
      <w:pPr>
        <w:rPr>
          <w:rFonts w:ascii="微软简隶书" w:eastAsia="微软简隶书"/>
        </w:rPr>
      </w:pPr>
    </w:p>
    <w:p>
      <w:pPr>
        <w:jc w:val="center"/>
        <w:rPr>
          <w:rFonts w:hint="eastAsia" w:ascii="华文隶书" w:eastAsia="华文隶书"/>
          <w:bCs/>
          <w:w w:val="90"/>
          <w:sz w:val="44"/>
          <w:szCs w:val="44"/>
          <w:lang w:eastAsia="zh-CN"/>
        </w:rPr>
      </w:pPr>
    </w:p>
    <w:p>
      <w:pPr>
        <w:jc w:val="center"/>
        <w:rPr>
          <w:rFonts w:hint="eastAsia" w:ascii="华文隶书" w:eastAsia="华文隶书"/>
          <w:b/>
          <w:bCs w:val="0"/>
          <w:w w:val="90"/>
          <w:sz w:val="48"/>
          <w:szCs w:val="48"/>
          <w:lang w:eastAsia="zh-CN"/>
        </w:rPr>
      </w:pPr>
    </w:p>
    <w:p>
      <w:pPr>
        <w:jc w:val="center"/>
        <w:rPr>
          <w:rFonts w:ascii="华文隶书" w:eastAsia="华文隶书"/>
          <w:b/>
          <w:bCs w:val="0"/>
          <w:w w:val="90"/>
          <w:sz w:val="48"/>
          <w:szCs w:val="48"/>
        </w:rPr>
      </w:pPr>
      <w:r>
        <w:rPr>
          <w:rFonts w:hint="eastAsia" w:ascii="华文隶书" w:eastAsia="华文隶书"/>
          <w:b/>
          <w:bCs w:val="0"/>
          <w:w w:val="90"/>
          <w:sz w:val="48"/>
          <w:szCs w:val="48"/>
          <w:lang w:eastAsia="zh-CN"/>
        </w:rPr>
        <w:t>竞争性谈判</w:t>
      </w:r>
      <w:r>
        <w:rPr>
          <w:rFonts w:hint="eastAsia" w:ascii="华文隶书" w:eastAsia="华文隶书"/>
          <w:b/>
          <w:bCs w:val="0"/>
          <w:w w:val="90"/>
          <w:sz w:val="48"/>
          <w:szCs w:val="48"/>
        </w:rPr>
        <w:t>文件</w:t>
      </w:r>
    </w:p>
    <w:p>
      <w:pPr>
        <w:rPr>
          <w:rFonts w:ascii="微软简隶书" w:eastAsia="微软简隶书"/>
        </w:rPr>
      </w:pPr>
    </w:p>
    <w:p>
      <w:pPr>
        <w:rPr>
          <w:rFonts w:ascii="微软简隶书" w:eastAsia="微软简隶书"/>
        </w:rPr>
      </w:pPr>
    </w:p>
    <w:p>
      <w:pPr>
        <w:rPr>
          <w:rFonts w:ascii="微软简隶书" w:eastAsia="微软简隶书"/>
        </w:rPr>
      </w:pPr>
    </w:p>
    <w:p>
      <w:pPr>
        <w:rPr>
          <w:rFonts w:ascii="微软简隶书" w:eastAsia="微软简隶书"/>
        </w:rPr>
      </w:pPr>
    </w:p>
    <w:p>
      <w:pPr>
        <w:rPr>
          <w:rFonts w:ascii="微软简隶书" w:eastAsia="微软简隶书"/>
        </w:rPr>
      </w:pPr>
    </w:p>
    <w:p>
      <w:pPr>
        <w:rPr>
          <w:rFonts w:ascii="微软简隶书" w:eastAsia="微软简隶书"/>
        </w:rPr>
      </w:pPr>
    </w:p>
    <w:p>
      <w:pPr>
        <w:rPr>
          <w:rFonts w:ascii="微软简隶书" w:eastAsia="微软简隶书"/>
        </w:rPr>
      </w:pPr>
    </w:p>
    <w:p>
      <w:pPr>
        <w:rPr>
          <w:rFonts w:ascii="微软简隶书" w:eastAsia="微软简隶书"/>
        </w:rPr>
      </w:pPr>
    </w:p>
    <w:p>
      <w:pPr>
        <w:rPr>
          <w:rFonts w:ascii="微软简隶书" w:eastAsia="微软简隶书"/>
        </w:rPr>
      </w:pPr>
    </w:p>
    <w:p>
      <w:pPr>
        <w:rPr>
          <w:rFonts w:ascii="微软简隶书" w:eastAsia="微软简隶书"/>
        </w:rPr>
      </w:pPr>
    </w:p>
    <w:p>
      <w:pPr>
        <w:rPr>
          <w:rFonts w:hint="default" w:asciiTheme="majorEastAsia" w:hAnsiTheme="majorEastAsia" w:eastAsiaTheme="majorEastAsia" w:cstheme="majorEastAsia"/>
          <w:b w:val="0"/>
          <w:bCs w:val="0"/>
          <w:sz w:val="36"/>
          <w:szCs w:val="36"/>
          <w:lang w:val="en-US" w:eastAsia="zh-CN"/>
        </w:rPr>
      </w:pPr>
      <w:r>
        <w:rPr>
          <w:rFonts w:hint="eastAsia" w:asciiTheme="majorEastAsia" w:hAnsiTheme="majorEastAsia" w:eastAsiaTheme="majorEastAsia" w:cstheme="majorEastAsia"/>
          <w:b/>
          <w:bCs/>
          <w:sz w:val="36"/>
          <w:szCs w:val="36"/>
        </w:rPr>
        <w:t xml:space="preserve">     </w:t>
      </w:r>
      <w:r>
        <w:rPr>
          <w:rFonts w:hint="eastAsia" w:asciiTheme="majorEastAsia" w:hAnsiTheme="majorEastAsia" w:eastAsiaTheme="majorEastAsia" w:cstheme="majorEastAsia"/>
          <w:b w:val="0"/>
          <w:bCs w:val="0"/>
          <w:sz w:val="36"/>
          <w:szCs w:val="36"/>
        </w:rPr>
        <w:t xml:space="preserve"> 项目编号：</w:t>
      </w:r>
      <w:r>
        <w:rPr>
          <w:rFonts w:hint="eastAsia" w:asciiTheme="majorEastAsia" w:hAnsiTheme="majorEastAsia" w:eastAsiaTheme="majorEastAsia" w:cstheme="majorEastAsia"/>
          <w:b w:val="0"/>
          <w:bCs w:val="0"/>
          <w:sz w:val="36"/>
          <w:szCs w:val="36"/>
          <w:lang w:val="en-US" w:eastAsia="zh-CN"/>
        </w:rPr>
        <w:t>YZCG-T2019183</w:t>
      </w:r>
    </w:p>
    <w:p>
      <w:pPr>
        <w:ind w:firstLine="1080" w:firstLineChars="300"/>
        <w:rPr>
          <w:rFonts w:hint="eastAsia" w:asciiTheme="majorEastAsia" w:hAnsiTheme="majorEastAsia" w:eastAsiaTheme="majorEastAsia" w:cstheme="majorEastAsia"/>
          <w:b w:val="0"/>
          <w:bCs w:val="0"/>
          <w:sz w:val="36"/>
          <w:szCs w:val="36"/>
          <w:lang w:eastAsia="zh-CN"/>
        </w:rPr>
      </w:pPr>
      <w:r>
        <w:rPr>
          <w:rFonts w:hint="eastAsia" w:asciiTheme="majorEastAsia" w:hAnsiTheme="majorEastAsia" w:eastAsiaTheme="majorEastAsia" w:cstheme="majorEastAsia"/>
          <w:b w:val="0"/>
          <w:bCs w:val="0"/>
          <w:sz w:val="36"/>
          <w:szCs w:val="36"/>
        </w:rPr>
        <w:t>采购单位：禹州市</w:t>
      </w:r>
      <w:r>
        <w:rPr>
          <w:rFonts w:hint="eastAsia" w:asciiTheme="majorEastAsia" w:hAnsiTheme="majorEastAsia" w:eastAsiaTheme="majorEastAsia" w:cstheme="majorEastAsia"/>
          <w:b w:val="0"/>
          <w:bCs w:val="0"/>
          <w:sz w:val="36"/>
          <w:szCs w:val="36"/>
          <w:lang w:eastAsia="zh-CN"/>
        </w:rPr>
        <w:t>教育体育局</w:t>
      </w:r>
    </w:p>
    <w:p>
      <w:pPr>
        <w:ind w:firstLine="1080" w:firstLineChars="300"/>
        <w:rPr>
          <w:rFonts w:asciiTheme="majorEastAsia" w:hAnsiTheme="majorEastAsia" w:eastAsiaTheme="majorEastAsia" w:cstheme="majorEastAsia"/>
          <w:b w:val="0"/>
          <w:bCs w:val="0"/>
          <w:sz w:val="36"/>
          <w:szCs w:val="36"/>
        </w:rPr>
      </w:pPr>
      <w:r>
        <w:rPr>
          <w:rFonts w:hint="eastAsia" w:asciiTheme="majorEastAsia" w:hAnsiTheme="majorEastAsia" w:eastAsiaTheme="majorEastAsia" w:cstheme="majorEastAsia"/>
          <w:b w:val="0"/>
          <w:bCs w:val="0"/>
          <w:sz w:val="36"/>
          <w:szCs w:val="36"/>
        </w:rPr>
        <w:t>代理机构：</w:t>
      </w:r>
      <w:r>
        <w:rPr>
          <w:rFonts w:hint="eastAsia" w:asciiTheme="majorEastAsia" w:hAnsiTheme="majorEastAsia" w:eastAsiaTheme="majorEastAsia" w:cstheme="majorEastAsia"/>
          <w:b w:val="0"/>
          <w:bCs w:val="0"/>
          <w:sz w:val="36"/>
          <w:szCs w:val="36"/>
          <w:lang w:eastAsia="zh-CN"/>
        </w:rPr>
        <w:t>禹州</w:t>
      </w:r>
      <w:r>
        <w:rPr>
          <w:rFonts w:hint="eastAsia" w:asciiTheme="majorEastAsia" w:hAnsiTheme="majorEastAsia" w:eastAsiaTheme="majorEastAsia" w:cstheme="majorEastAsia"/>
          <w:b w:val="0"/>
          <w:bCs w:val="0"/>
          <w:sz w:val="36"/>
          <w:szCs w:val="36"/>
        </w:rPr>
        <w:t>市政府采购中心</w:t>
      </w:r>
    </w:p>
    <w:p>
      <w:pPr>
        <w:rPr>
          <w:rFonts w:asciiTheme="majorEastAsia" w:hAnsiTheme="majorEastAsia" w:eastAsiaTheme="majorEastAsia" w:cstheme="majorEastAsia"/>
          <w:b/>
          <w:bCs/>
          <w:sz w:val="36"/>
          <w:szCs w:val="36"/>
        </w:rPr>
      </w:pPr>
    </w:p>
    <w:p>
      <w:pPr>
        <w:jc w:val="center"/>
        <w:rPr>
          <w:rFonts w:hint="eastAsia" w:asciiTheme="majorEastAsia" w:hAnsiTheme="majorEastAsia" w:eastAsiaTheme="majorEastAsia" w:cstheme="majorEastAsia"/>
          <w:b/>
          <w:bCs/>
          <w:sz w:val="36"/>
          <w:szCs w:val="36"/>
        </w:rPr>
      </w:pPr>
    </w:p>
    <w:p>
      <w:pPr>
        <w:jc w:val="center"/>
        <w:rPr>
          <w:rFonts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rPr>
        <w:t>二〇一九年</w:t>
      </w:r>
      <w:r>
        <w:rPr>
          <w:rFonts w:hint="eastAsia" w:asciiTheme="majorEastAsia" w:hAnsiTheme="majorEastAsia" w:eastAsiaTheme="majorEastAsia" w:cstheme="majorEastAsia"/>
          <w:b/>
          <w:bCs/>
          <w:sz w:val="36"/>
          <w:szCs w:val="36"/>
          <w:lang w:eastAsia="zh-CN"/>
        </w:rPr>
        <w:t>八</w:t>
      </w:r>
      <w:r>
        <w:rPr>
          <w:rFonts w:hint="eastAsia" w:asciiTheme="majorEastAsia" w:hAnsiTheme="majorEastAsia" w:eastAsiaTheme="majorEastAsia" w:cstheme="majorEastAsia"/>
          <w:b/>
          <w:bCs/>
          <w:sz w:val="36"/>
          <w:szCs w:val="36"/>
        </w:rPr>
        <w:t>月</w:t>
      </w:r>
    </w:p>
    <w:p>
      <w:pPr>
        <w:rPr>
          <w:rFonts w:asciiTheme="majorEastAsia" w:hAnsiTheme="majorEastAsia" w:eastAsiaTheme="majorEastAsia" w:cstheme="majorEastAsia"/>
          <w:b/>
          <w:bCs/>
          <w:sz w:val="36"/>
          <w:szCs w:val="36"/>
        </w:rPr>
      </w:pPr>
    </w:p>
    <w:p>
      <w:pPr>
        <w:widowControl/>
        <w:jc w:val="left"/>
        <w:rPr>
          <w:rFonts w:cs="黑体" w:asciiTheme="minorEastAsia" w:hAnsiTheme="minorEastAsia"/>
          <w:b/>
          <w:bCs/>
          <w:sz w:val="44"/>
          <w:szCs w:val="44"/>
          <w:lang w:val="zh-CN"/>
        </w:rPr>
      </w:pPr>
      <w:r>
        <w:rPr>
          <w:rFonts w:cs="黑体" w:asciiTheme="minorEastAsia" w:hAnsiTheme="minorEastAsia"/>
          <w:b/>
          <w:bCs/>
          <w:sz w:val="44"/>
          <w:szCs w:val="44"/>
          <w:lang w:val="zh-CN"/>
        </w:rPr>
        <w:br w:type="page"/>
      </w:r>
    </w:p>
    <w:p>
      <w:pPr>
        <w:autoSpaceDE w:val="0"/>
        <w:autoSpaceDN w:val="0"/>
        <w:adjustRightInd w:val="0"/>
        <w:spacing w:line="700" w:lineRule="exact"/>
        <w:jc w:val="center"/>
        <w:rPr>
          <w:rFonts w:cs="黑体" w:asciiTheme="minorEastAsia" w:hAnsiTheme="minorEastAsia"/>
          <w:b/>
          <w:bCs/>
          <w:sz w:val="44"/>
          <w:szCs w:val="44"/>
          <w:lang w:val="zh-CN"/>
        </w:rPr>
      </w:pPr>
      <w:r>
        <w:rPr>
          <w:rFonts w:hint="eastAsia" w:cs="黑体" w:asciiTheme="minorEastAsia" w:hAnsiTheme="minorEastAsia"/>
          <w:b/>
          <w:bCs/>
          <w:sz w:val="44"/>
          <w:szCs w:val="44"/>
          <w:lang w:val="zh-CN"/>
        </w:rPr>
        <w:t>目    录</w:t>
      </w:r>
    </w:p>
    <w:p>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p>
    <w:p>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第一章 谈判邀请</w:t>
      </w:r>
    </w:p>
    <w:p>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第二章 采购需求</w:t>
      </w:r>
    </w:p>
    <w:p>
      <w:pPr>
        <w:autoSpaceDE w:val="0"/>
        <w:autoSpaceDN w:val="0"/>
        <w:adjustRightInd w:val="0"/>
        <w:spacing w:line="700" w:lineRule="exact"/>
        <w:ind w:firstLine="560"/>
        <w:rPr>
          <w:rFonts w:asciiTheme="majorEastAsia" w:hAnsiTheme="majorEastAsia" w:eastAsiaTheme="majorEastAsia" w:cstheme="majorEastAsia"/>
          <w:b/>
          <w:kern w:val="0"/>
          <w:sz w:val="32"/>
          <w:szCs w:val="32"/>
        </w:rPr>
      </w:pPr>
      <w:r>
        <w:rPr>
          <w:rFonts w:hint="eastAsia" w:asciiTheme="majorEastAsia" w:hAnsiTheme="majorEastAsia" w:eastAsiaTheme="majorEastAsia" w:cstheme="majorEastAsia"/>
          <w:b/>
          <w:bCs/>
          <w:sz w:val="32"/>
          <w:szCs w:val="32"/>
          <w:lang w:val="zh-CN"/>
        </w:rPr>
        <w:t xml:space="preserve">第三章 </w:t>
      </w:r>
      <w:r>
        <w:rPr>
          <w:rFonts w:hint="eastAsia" w:asciiTheme="majorEastAsia" w:hAnsiTheme="majorEastAsia" w:eastAsiaTheme="majorEastAsia" w:cstheme="majorEastAsia"/>
          <w:b/>
          <w:kern w:val="0"/>
          <w:sz w:val="32"/>
          <w:szCs w:val="32"/>
        </w:rPr>
        <w:t>供应商须知前附表</w:t>
      </w:r>
    </w:p>
    <w:p>
      <w:pPr>
        <w:autoSpaceDE w:val="0"/>
        <w:autoSpaceDN w:val="0"/>
        <w:adjustRightInd w:val="0"/>
        <w:spacing w:line="700" w:lineRule="exact"/>
        <w:ind w:firstLine="560"/>
        <w:rPr>
          <w:rFonts w:asciiTheme="majorEastAsia" w:hAnsiTheme="majorEastAsia" w:eastAsiaTheme="majorEastAsia" w:cstheme="majorEastAsia"/>
          <w:b/>
          <w:kern w:val="0"/>
          <w:sz w:val="32"/>
          <w:szCs w:val="32"/>
        </w:rPr>
      </w:pPr>
      <w:r>
        <w:rPr>
          <w:rFonts w:hint="eastAsia" w:asciiTheme="majorEastAsia" w:hAnsiTheme="majorEastAsia" w:eastAsiaTheme="majorEastAsia" w:cstheme="majorEastAsia"/>
          <w:b/>
          <w:bCs/>
          <w:sz w:val="32"/>
          <w:szCs w:val="32"/>
          <w:lang w:val="zh-CN"/>
        </w:rPr>
        <w:t xml:space="preserve">第四章 </w:t>
      </w:r>
      <w:r>
        <w:rPr>
          <w:rFonts w:hint="eastAsia" w:asciiTheme="majorEastAsia" w:hAnsiTheme="majorEastAsia" w:eastAsiaTheme="majorEastAsia" w:cstheme="majorEastAsia"/>
          <w:b/>
          <w:kern w:val="0"/>
          <w:sz w:val="32"/>
          <w:szCs w:val="32"/>
        </w:rPr>
        <w:t>供应商须知</w:t>
      </w:r>
    </w:p>
    <w:p>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一、概念释义</w:t>
      </w:r>
    </w:p>
    <w:p>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二、采购文件说明</w:t>
      </w:r>
    </w:p>
    <w:p>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三、响应文件的编制</w:t>
      </w:r>
    </w:p>
    <w:p>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四、响应文件的递交</w:t>
      </w:r>
    </w:p>
    <w:p>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五、谈判和评审</w:t>
      </w:r>
    </w:p>
    <w:p>
      <w:pPr>
        <w:autoSpaceDE w:val="0"/>
        <w:autoSpaceDN w:val="0"/>
        <w:adjustRightInd w:val="0"/>
        <w:spacing w:line="700" w:lineRule="exact"/>
        <w:ind w:firstLine="551"/>
        <w:rPr>
          <w:rFonts w:asciiTheme="majorEastAsia" w:hAnsiTheme="majorEastAsia" w:eastAsiaTheme="majorEastAsia" w:cstheme="majorEastAsia"/>
          <w:b/>
          <w:bCs/>
          <w:sz w:val="30"/>
          <w:szCs w:val="30"/>
          <w:lang w:val="zh-CN"/>
        </w:rPr>
      </w:pPr>
      <w:r>
        <w:rPr>
          <w:rFonts w:hint="eastAsia" w:asciiTheme="majorEastAsia" w:hAnsiTheme="majorEastAsia" w:eastAsiaTheme="majorEastAsia" w:cstheme="majorEastAsia"/>
          <w:sz w:val="30"/>
          <w:szCs w:val="30"/>
          <w:lang w:val="zh-CN"/>
        </w:rPr>
        <w:t>六、确认成交供应商和授予合同</w:t>
      </w:r>
    </w:p>
    <w:p>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 xml:space="preserve">第五章 </w:t>
      </w:r>
      <w:r>
        <w:rPr>
          <w:rFonts w:hint="eastAsia" w:asciiTheme="majorEastAsia" w:hAnsiTheme="majorEastAsia" w:eastAsiaTheme="majorEastAsia" w:cstheme="majorEastAsia"/>
          <w:b/>
          <w:kern w:val="0"/>
          <w:sz w:val="32"/>
          <w:szCs w:val="32"/>
        </w:rPr>
        <w:t>政府采购政策功能</w:t>
      </w:r>
    </w:p>
    <w:p>
      <w:pPr>
        <w:autoSpaceDE w:val="0"/>
        <w:autoSpaceDN w:val="0"/>
        <w:adjustRightInd w:val="0"/>
        <w:spacing w:line="700" w:lineRule="exact"/>
        <w:ind w:firstLine="551"/>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 xml:space="preserve">第六章 </w:t>
      </w:r>
      <w:r>
        <w:rPr>
          <w:rFonts w:hint="eastAsia" w:asciiTheme="majorEastAsia" w:hAnsiTheme="majorEastAsia" w:eastAsiaTheme="majorEastAsia" w:cstheme="majorEastAsia"/>
          <w:b/>
          <w:kern w:val="0"/>
          <w:sz w:val="32"/>
          <w:szCs w:val="32"/>
        </w:rPr>
        <w:t>资格审查与评审</w:t>
      </w:r>
    </w:p>
    <w:p>
      <w:pPr>
        <w:autoSpaceDE w:val="0"/>
        <w:autoSpaceDN w:val="0"/>
        <w:adjustRightInd w:val="0"/>
        <w:spacing w:line="700" w:lineRule="exact"/>
        <w:ind w:firstLine="551"/>
        <w:outlineLvl w:val="0"/>
        <w:rPr>
          <w:rFonts w:asciiTheme="majorEastAsia" w:hAnsiTheme="majorEastAsia" w:eastAsiaTheme="majorEastAsia" w:cstheme="majorEastAsia"/>
          <w:b/>
          <w:bCs/>
          <w:sz w:val="32"/>
          <w:szCs w:val="32"/>
          <w:lang w:val="zh-CN"/>
        </w:rPr>
      </w:pPr>
      <w:r>
        <w:rPr>
          <w:rFonts w:hint="eastAsia" w:asciiTheme="majorEastAsia" w:hAnsiTheme="majorEastAsia" w:eastAsiaTheme="majorEastAsia" w:cstheme="majorEastAsia"/>
          <w:b/>
          <w:bCs/>
          <w:sz w:val="32"/>
          <w:szCs w:val="32"/>
          <w:lang w:val="zh-CN"/>
        </w:rPr>
        <w:t xml:space="preserve">第七章 </w:t>
      </w:r>
      <w:r>
        <w:rPr>
          <w:rFonts w:hint="eastAsia" w:asciiTheme="majorEastAsia" w:hAnsiTheme="majorEastAsia" w:eastAsiaTheme="majorEastAsia" w:cstheme="majorEastAsia"/>
          <w:b/>
          <w:kern w:val="0"/>
          <w:sz w:val="30"/>
          <w:szCs w:val="30"/>
        </w:rPr>
        <w:t>合同书格式及合同条款</w:t>
      </w:r>
    </w:p>
    <w:p>
      <w:pPr>
        <w:autoSpaceDE w:val="0"/>
        <w:autoSpaceDN w:val="0"/>
        <w:adjustRightInd w:val="0"/>
        <w:spacing w:line="700" w:lineRule="exact"/>
        <w:ind w:firstLine="551"/>
        <w:rPr>
          <w:rFonts w:asciiTheme="majorEastAsia" w:hAnsiTheme="majorEastAsia" w:eastAsiaTheme="majorEastAsia" w:cstheme="majorEastAsia"/>
          <w:b/>
          <w:kern w:val="0"/>
          <w:sz w:val="32"/>
          <w:szCs w:val="32"/>
        </w:rPr>
      </w:pPr>
      <w:r>
        <w:rPr>
          <w:rFonts w:hint="eastAsia" w:asciiTheme="majorEastAsia" w:hAnsiTheme="majorEastAsia" w:eastAsiaTheme="majorEastAsia" w:cstheme="majorEastAsia"/>
          <w:b/>
          <w:bCs/>
          <w:sz w:val="32"/>
          <w:szCs w:val="32"/>
          <w:lang w:val="zh-CN"/>
        </w:rPr>
        <w:t xml:space="preserve">第八章 </w:t>
      </w:r>
      <w:r>
        <w:rPr>
          <w:rFonts w:hint="eastAsia" w:asciiTheme="majorEastAsia" w:hAnsiTheme="majorEastAsia" w:eastAsiaTheme="majorEastAsia" w:cstheme="majorEastAsia"/>
          <w:b/>
          <w:kern w:val="0"/>
          <w:sz w:val="32"/>
          <w:szCs w:val="32"/>
        </w:rPr>
        <w:t>响应文件有关格式</w:t>
      </w:r>
    </w:p>
    <w:p>
      <w:pPr>
        <w:autoSpaceDE w:val="0"/>
        <w:autoSpaceDN w:val="0"/>
        <w:adjustRightInd w:val="0"/>
        <w:spacing w:line="700" w:lineRule="exact"/>
        <w:ind w:firstLine="551"/>
        <w:rPr>
          <w:rFonts w:asciiTheme="majorEastAsia" w:hAnsiTheme="majorEastAsia" w:eastAsiaTheme="majorEastAsia" w:cstheme="majorEastAsia"/>
          <w:b/>
          <w:kern w:val="0"/>
          <w:sz w:val="32"/>
          <w:szCs w:val="32"/>
        </w:rPr>
      </w:pPr>
    </w:p>
    <w:p>
      <w:pPr>
        <w:widowControl/>
        <w:jc w:val="left"/>
        <w:rPr>
          <w:rFonts w:ascii="宋体" w:hAnsi="宋体" w:eastAsia="宋体" w:cs="宋体"/>
          <w:b/>
          <w:sz w:val="36"/>
          <w:szCs w:val="36"/>
          <w:shd w:val="clear" w:color="auto" w:fill="FFFFFF"/>
        </w:rPr>
      </w:pPr>
      <w:r>
        <w:rPr>
          <w:rFonts w:ascii="宋体" w:hAnsi="宋体" w:cs="宋体"/>
          <w:b/>
          <w:sz w:val="36"/>
          <w:szCs w:val="36"/>
          <w:shd w:val="clear" w:color="auto" w:fill="FFFFFF"/>
        </w:rPr>
        <w:br w:type="page"/>
      </w:r>
    </w:p>
    <w:p>
      <w:pPr>
        <w:numPr>
          <w:ilvl w:val="0"/>
          <w:numId w:val="4"/>
        </w:numPr>
        <w:jc w:val="center"/>
        <w:rPr>
          <w:rFonts w:hint="eastAsia"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谈判邀请</w:t>
      </w:r>
    </w:p>
    <w:p>
      <w:pPr>
        <w:numPr>
          <w:ilvl w:val="0"/>
          <w:numId w:val="0"/>
        </w:numPr>
        <w:jc w:val="both"/>
        <w:rPr>
          <w:rFonts w:hint="eastAsia" w:cs="宋体" w:asciiTheme="majorEastAsia" w:hAnsiTheme="majorEastAsia" w:eastAsiaTheme="majorEastAsia"/>
          <w:b/>
          <w:kern w:val="0"/>
          <w:sz w:val="32"/>
          <w:szCs w:val="32"/>
        </w:rPr>
      </w:pPr>
    </w:p>
    <w:p>
      <w:pPr>
        <w:spacing w:line="600" w:lineRule="exact"/>
        <w:jc w:val="center"/>
        <w:rPr>
          <w:rFonts w:hint="eastAsia"/>
          <w:b/>
          <w:bCs/>
          <w:sz w:val="36"/>
          <w:szCs w:val="36"/>
          <w:lang w:eastAsia="zh-CN"/>
        </w:rPr>
      </w:pPr>
      <w:r>
        <w:rPr>
          <w:rFonts w:hint="eastAsia"/>
          <w:b/>
          <w:bCs/>
          <w:sz w:val="36"/>
          <w:szCs w:val="36"/>
          <w:lang w:eastAsia="zh-CN"/>
        </w:rPr>
        <w:t>禹州市市直第四幼儿园教学设备采购项目</w:t>
      </w:r>
    </w:p>
    <w:p>
      <w:pPr>
        <w:spacing w:line="600" w:lineRule="exact"/>
        <w:jc w:val="center"/>
        <w:rPr>
          <w:rFonts w:hint="eastAsia"/>
          <w:b/>
          <w:bCs/>
          <w:sz w:val="36"/>
          <w:szCs w:val="36"/>
          <w:lang w:eastAsia="zh-CN"/>
        </w:rPr>
      </w:pPr>
      <w:r>
        <w:rPr>
          <w:rFonts w:hint="eastAsia"/>
          <w:b/>
          <w:bCs/>
          <w:sz w:val="36"/>
          <w:szCs w:val="36"/>
          <w:lang w:eastAsia="zh-CN"/>
        </w:rPr>
        <w:t>谈判邀请函</w:t>
      </w:r>
    </w:p>
    <w:p>
      <w:pPr>
        <w:spacing w:line="600" w:lineRule="exact"/>
        <w:jc w:val="center"/>
        <w:rPr>
          <w:rFonts w:hint="eastAsia"/>
          <w:b/>
          <w:bCs/>
          <w:sz w:val="36"/>
          <w:szCs w:val="36"/>
          <w:lang w:eastAsia="zh-CN"/>
        </w:rPr>
      </w:pPr>
    </w:p>
    <w:p>
      <w:pPr>
        <w:keepNext w:val="0"/>
        <w:keepLines w:val="0"/>
        <w:pageBreakBefore w:val="0"/>
        <w:kinsoku/>
        <w:overflowPunct/>
        <w:bidi w:val="0"/>
        <w:spacing w:line="440" w:lineRule="exact"/>
        <w:ind w:firstLine="480" w:firstLineChars="200"/>
        <w:jc w:val="left"/>
        <w:textAlignment w:val="auto"/>
        <w:rPr>
          <w:rFonts w:hint="eastAsia" w:ascii="新宋体" w:hAnsi="新宋体" w:eastAsia="新宋体" w:cs="新宋体"/>
          <w:sz w:val="24"/>
          <w:szCs w:val="24"/>
        </w:rPr>
      </w:pPr>
      <w:r>
        <w:rPr>
          <w:rFonts w:hint="eastAsia" w:ascii="新宋体" w:hAnsi="新宋体" w:eastAsia="新宋体" w:cs="新宋体"/>
          <w:sz w:val="24"/>
          <w:szCs w:val="24"/>
        </w:rPr>
        <w:t>禹州市政府采购中心受禹州市</w:t>
      </w:r>
      <w:r>
        <w:rPr>
          <w:rFonts w:hint="eastAsia" w:ascii="新宋体" w:hAnsi="新宋体" w:eastAsia="新宋体" w:cs="新宋体"/>
          <w:sz w:val="24"/>
          <w:szCs w:val="24"/>
          <w:lang w:eastAsia="zh-CN"/>
        </w:rPr>
        <w:t>教育体育局</w:t>
      </w:r>
      <w:r>
        <w:rPr>
          <w:rFonts w:hint="eastAsia" w:ascii="新宋体" w:hAnsi="新宋体" w:eastAsia="新宋体" w:cs="新宋体"/>
          <w:sz w:val="24"/>
          <w:szCs w:val="24"/>
        </w:rPr>
        <w:t>的委托，就“禹州市市直第四幼儿园教学设备采购项目”进行竞争性谈判，欢迎合格的投标人前来投标。</w:t>
      </w:r>
    </w:p>
    <w:p>
      <w:pPr>
        <w:keepNext w:val="0"/>
        <w:keepLines w:val="0"/>
        <w:pageBreakBefore w:val="0"/>
        <w:widowControl/>
        <w:numPr>
          <w:ilvl w:val="0"/>
          <w:numId w:val="5"/>
        </w:numPr>
        <w:shd w:val="clear" w:color="auto" w:fill="FFFFFF"/>
        <w:kinsoku/>
        <w:overflowPunct/>
        <w:bidi w:val="0"/>
        <w:spacing w:line="440" w:lineRule="exact"/>
        <w:ind w:firstLine="482"/>
        <w:jc w:val="left"/>
        <w:textAlignment w:val="auto"/>
        <w:rPr>
          <w:rFonts w:hint="eastAsia" w:ascii="新宋体" w:hAnsi="新宋体" w:eastAsia="新宋体" w:cs="新宋体"/>
          <w:b/>
          <w:color w:val="000000"/>
          <w:kern w:val="0"/>
          <w:sz w:val="24"/>
          <w:szCs w:val="24"/>
        </w:rPr>
      </w:pPr>
      <w:r>
        <w:rPr>
          <w:rFonts w:hint="eastAsia" w:ascii="新宋体" w:hAnsi="新宋体" w:eastAsia="新宋体" w:cs="新宋体"/>
          <w:b/>
          <w:color w:val="000000"/>
          <w:kern w:val="0"/>
          <w:sz w:val="24"/>
          <w:szCs w:val="24"/>
        </w:rPr>
        <w:t>项目基本情况</w:t>
      </w:r>
    </w:p>
    <w:p>
      <w:pPr>
        <w:keepNext w:val="0"/>
        <w:keepLines w:val="0"/>
        <w:pageBreakBefore w:val="0"/>
        <w:widowControl/>
        <w:shd w:val="clear" w:color="auto" w:fill="FFFFFF"/>
        <w:kinsoku/>
        <w:overflowPunct/>
        <w:bidi w:val="0"/>
        <w:spacing w:line="440" w:lineRule="exact"/>
        <w:jc w:val="left"/>
        <w:textAlignment w:val="auto"/>
        <w:rPr>
          <w:rFonts w:hint="eastAsia" w:ascii="新宋体" w:hAnsi="新宋体" w:eastAsia="新宋体" w:cs="新宋体"/>
          <w:sz w:val="24"/>
          <w:szCs w:val="24"/>
        </w:rPr>
      </w:pPr>
      <w:r>
        <w:rPr>
          <w:rFonts w:hint="eastAsia" w:ascii="新宋体" w:hAnsi="新宋体" w:eastAsia="新宋体" w:cs="新宋体"/>
          <w:b/>
          <w:color w:val="000000"/>
          <w:kern w:val="0"/>
          <w:sz w:val="24"/>
          <w:szCs w:val="24"/>
        </w:rPr>
        <w:t xml:space="preserve">  </w:t>
      </w:r>
      <w:r>
        <w:rPr>
          <w:rFonts w:hint="eastAsia" w:ascii="新宋体" w:hAnsi="新宋体" w:eastAsia="新宋体" w:cs="新宋体"/>
          <w:sz w:val="24"/>
          <w:szCs w:val="24"/>
        </w:rPr>
        <w:t xml:space="preserve"> 1、采购人：禹州市教育体育局</w:t>
      </w:r>
    </w:p>
    <w:p>
      <w:pPr>
        <w:keepNext w:val="0"/>
        <w:keepLines w:val="0"/>
        <w:pageBreakBefore w:val="0"/>
        <w:widowControl/>
        <w:shd w:val="clear" w:color="auto" w:fill="FFFFFF"/>
        <w:kinsoku/>
        <w:overflowPunct/>
        <w:bidi w:val="0"/>
        <w:spacing w:line="440" w:lineRule="exact"/>
        <w:ind w:firstLine="360" w:firstLineChars="150"/>
        <w:jc w:val="left"/>
        <w:textAlignment w:val="auto"/>
        <w:rPr>
          <w:rFonts w:hint="eastAsia" w:ascii="新宋体" w:hAnsi="新宋体" w:eastAsia="新宋体" w:cs="新宋体"/>
          <w:color w:val="000000"/>
          <w:kern w:val="0"/>
          <w:sz w:val="24"/>
          <w:szCs w:val="24"/>
        </w:rPr>
      </w:pPr>
      <w:r>
        <w:rPr>
          <w:rFonts w:hint="eastAsia" w:ascii="新宋体" w:hAnsi="新宋体" w:eastAsia="新宋体" w:cs="新宋体"/>
          <w:color w:val="000000"/>
          <w:kern w:val="0"/>
          <w:sz w:val="24"/>
          <w:szCs w:val="24"/>
        </w:rPr>
        <w:t>2、项目名称：禹州市市直第四幼儿园教学设备采购项目</w:t>
      </w:r>
    </w:p>
    <w:p>
      <w:pPr>
        <w:keepNext w:val="0"/>
        <w:keepLines w:val="0"/>
        <w:pageBreakBefore w:val="0"/>
        <w:widowControl/>
        <w:shd w:val="clear" w:color="auto" w:fill="FFFFFF"/>
        <w:kinsoku/>
        <w:overflowPunct/>
        <w:bidi w:val="0"/>
        <w:spacing w:line="440" w:lineRule="exact"/>
        <w:ind w:firstLine="482"/>
        <w:jc w:val="left"/>
        <w:textAlignment w:val="auto"/>
        <w:rPr>
          <w:rFonts w:hint="eastAsia" w:ascii="新宋体" w:hAnsi="新宋体" w:eastAsia="新宋体" w:cs="新宋体"/>
          <w:sz w:val="24"/>
          <w:szCs w:val="24"/>
          <w:lang w:val="en-US" w:eastAsia="zh-CN"/>
        </w:rPr>
      </w:pPr>
      <w:r>
        <w:rPr>
          <w:rFonts w:hint="eastAsia" w:ascii="新宋体" w:hAnsi="新宋体" w:eastAsia="新宋体" w:cs="新宋体"/>
          <w:color w:val="000000"/>
          <w:kern w:val="0"/>
          <w:sz w:val="24"/>
          <w:szCs w:val="24"/>
        </w:rPr>
        <w:t>3、采购编号：</w:t>
      </w:r>
      <w:r>
        <w:rPr>
          <w:rFonts w:hint="eastAsia" w:ascii="新宋体" w:hAnsi="新宋体" w:eastAsia="新宋体" w:cs="新宋体"/>
          <w:sz w:val="24"/>
          <w:szCs w:val="24"/>
        </w:rPr>
        <w:t>YZCG-T2019</w:t>
      </w:r>
      <w:r>
        <w:rPr>
          <w:rFonts w:hint="eastAsia" w:ascii="新宋体" w:hAnsi="新宋体" w:eastAsia="新宋体" w:cs="新宋体"/>
          <w:sz w:val="24"/>
          <w:szCs w:val="24"/>
          <w:lang w:val="en-US" w:eastAsia="zh-CN"/>
        </w:rPr>
        <w:t>183</w:t>
      </w:r>
    </w:p>
    <w:p>
      <w:pPr>
        <w:keepNext w:val="0"/>
        <w:keepLines w:val="0"/>
        <w:pageBreakBefore w:val="0"/>
        <w:widowControl/>
        <w:shd w:val="clear" w:color="auto" w:fill="FFFFFF"/>
        <w:kinsoku/>
        <w:overflowPunct/>
        <w:bidi w:val="0"/>
        <w:spacing w:line="440" w:lineRule="exact"/>
        <w:ind w:firstLine="482"/>
        <w:jc w:val="left"/>
        <w:textAlignment w:val="auto"/>
        <w:rPr>
          <w:rFonts w:hint="eastAsia" w:ascii="新宋体" w:hAnsi="新宋体" w:eastAsia="新宋体" w:cs="新宋体"/>
          <w:sz w:val="24"/>
          <w:szCs w:val="24"/>
        </w:rPr>
      </w:pPr>
      <w:r>
        <w:rPr>
          <w:rFonts w:hint="eastAsia" w:ascii="新宋体" w:hAnsi="新宋体" w:eastAsia="新宋体" w:cs="新宋体"/>
          <w:color w:val="000000"/>
          <w:kern w:val="0"/>
          <w:sz w:val="24"/>
          <w:szCs w:val="24"/>
        </w:rPr>
        <w:t>4、项目需求：</w:t>
      </w:r>
      <w:r>
        <w:rPr>
          <w:rFonts w:hint="eastAsia" w:ascii="新宋体" w:hAnsi="新宋体" w:eastAsia="新宋体" w:cs="新宋体"/>
          <w:color w:val="000000"/>
          <w:kern w:val="0"/>
          <w:sz w:val="24"/>
          <w:szCs w:val="24"/>
          <w:lang w:eastAsia="zh-CN"/>
        </w:rPr>
        <w:t>教学设备一批</w:t>
      </w:r>
      <w:r>
        <w:rPr>
          <w:rFonts w:hint="eastAsia" w:ascii="新宋体" w:hAnsi="新宋体" w:eastAsia="新宋体" w:cs="新宋体"/>
          <w:sz w:val="24"/>
          <w:szCs w:val="24"/>
        </w:rPr>
        <w:t>（详见谈判文件）</w:t>
      </w:r>
    </w:p>
    <w:p>
      <w:pPr>
        <w:keepNext w:val="0"/>
        <w:keepLines w:val="0"/>
        <w:pageBreakBefore w:val="0"/>
        <w:widowControl/>
        <w:shd w:val="clear" w:color="auto" w:fill="FFFFFF"/>
        <w:kinsoku/>
        <w:overflowPunct/>
        <w:bidi w:val="0"/>
        <w:spacing w:line="440" w:lineRule="exact"/>
        <w:ind w:firstLine="482"/>
        <w:jc w:val="left"/>
        <w:textAlignment w:val="auto"/>
        <w:rPr>
          <w:rFonts w:hint="eastAsia" w:ascii="新宋体" w:hAnsi="新宋体" w:eastAsia="新宋体" w:cs="新宋体"/>
          <w:sz w:val="24"/>
          <w:szCs w:val="24"/>
        </w:rPr>
      </w:pPr>
      <w:r>
        <w:rPr>
          <w:rFonts w:hint="eastAsia" w:ascii="新宋体" w:hAnsi="新宋体" w:eastAsia="新宋体" w:cs="新宋体"/>
          <w:sz w:val="24"/>
          <w:szCs w:val="24"/>
        </w:rPr>
        <w:t>5、采购预算：</w:t>
      </w:r>
      <w:r>
        <w:rPr>
          <w:rFonts w:hint="eastAsia" w:ascii="新宋体" w:hAnsi="新宋体" w:eastAsia="新宋体" w:cs="新宋体"/>
          <w:sz w:val="24"/>
          <w:szCs w:val="24"/>
          <w:lang w:val="en-US" w:eastAsia="zh-CN"/>
        </w:rPr>
        <w:t>49</w:t>
      </w:r>
      <w:r>
        <w:rPr>
          <w:rFonts w:hint="eastAsia" w:ascii="新宋体" w:hAnsi="新宋体" w:eastAsia="新宋体" w:cs="新宋体"/>
          <w:sz w:val="24"/>
          <w:szCs w:val="24"/>
        </w:rPr>
        <w:t>万元</w:t>
      </w:r>
    </w:p>
    <w:p>
      <w:pPr>
        <w:keepNext w:val="0"/>
        <w:keepLines w:val="0"/>
        <w:pageBreakBefore w:val="0"/>
        <w:widowControl/>
        <w:shd w:val="clear" w:color="auto" w:fill="FFFFFF"/>
        <w:kinsoku/>
        <w:overflowPunct/>
        <w:bidi w:val="0"/>
        <w:spacing w:line="440" w:lineRule="exact"/>
        <w:ind w:firstLine="354" w:firstLineChars="147"/>
        <w:jc w:val="left"/>
        <w:textAlignment w:val="auto"/>
        <w:rPr>
          <w:rFonts w:hint="eastAsia" w:ascii="新宋体" w:hAnsi="新宋体" w:eastAsia="新宋体" w:cs="新宋体"/>
          <w:b/>
          <w:color w:val="000000"/>
          <w:kern w:val="0"/>
          <w:sz w:val="24"/>
          <w:szCs w:val="24"/>
        </w:rPr>
      </w:pPr>
      <w:r>
        <w:rPr>
          <w:rFonts w:hint="eastAsia" w:ascii="新宋体" w:hAnsi="新宋体" w:eastAsia="新宋体" w:cs="新宋体"/>
          <w:b/>
          <w:color w:val="000000"/>
          <w:kern w:val="0"/>
          <w:sz w:val="24"/>
          <w:szCs w:val="24"/>
        </w:rPr>
        <w:t>二、需要落实的政府采购政策</w:t>
      </w:r>
    </w:p>
    <w:p>
      <w:pPr>
        <w:keepNext w:val="0"/>
        <w:keepLines w:val="0"/>
        <w:pageBreakBefore w:val="0"/>
        <w:widowControl/>
        <w:shd w:val="clear" w:color="auto" w:fill="FFFFFF"/>
        <w:kinsoku/>
        <w:overflowPunct/>
        <w:bidi w:val="0"/>
        <w:spacing w:line="440" w:lineRule="exact"/>
        <w:ind w:firstLine="480" w:firstLineChars="200"/>
        <w:jc w:val="left"/>
        <w:textAlignment w:val="auto"/>
        <w:rPr>
          <w:rFonts w:hint="eastAsia" w:ascii="新宋体" w:hAnsi="新宋体" w:eastAsia="新宋体" w:cs="新宋体"/>
          <w:color w:val="000000"/>
          <w:kern w:val="0"/>
          <w:sz w:val="24"/>
          <w:szCs w:val="24"/>
        </w:rPr>
      </w:pPr>
      <w:r>
        <w:rPr>
          <w:rFonts w:hint="eastAsia" w:ascii="新宋体" w:hAnsi="新宋体" w:eastAsia="新宋体" w:cs="新宋体"/>
          <w:color w:val="000000"/>
          <w:kern w:val="0"/>
          <w:sz w:val="24"/>
          <w:szCs w:val="24"/>
        </w:rPr>
        <w:t>本项目落实节约能源、保护环境、扶持不发达地区和少数民族地区、促进中小企业、监狱企业发展等政府采购政策。（详见谈判文件）</w:t>
      </w:r>
    </w:p>
    <w:p>
      <w:pPr>
        <w:keepNext w:val="0"/>
        <w:keepLines w:val="0"/>
        <w:pageBreakBefore w:val="0"/>
        <w:widowControl/>
        <w:numPr>
          <w:ilvl w:val="0"/>
          <w:numId w:val="0"/>
        </w:numPr>
        <w:shd w:val="clear" w:color="auto" w:fill="FFFFFF"/>
        <w:kinsoku/>
        <w:overflowPunct/>
        <w:bidi w:val="0"/>
        <w:spacing w:line="440" w:lineRule="exact"/>
        <w:ind w:left="482" w:leftChars="0"/>
        <w:jc w:val="left"/>
        <w:textAlignment w:val="auto"/>
        <w:rPr>
          <w:rFonts w:hint="eastAsia" w:ascii="新宋体" w:hAnsi="新宋体" w:eastAsia="新宋体" w:cs="新宋体"/>
          <w:b/>
          <w:color w:val="000000"/>
          <w:kern w:val="0"/>
          <w:sz w:val="24"/>
          <w:szCs w:val="24"/>
        </w:rPr>
      </w:pPr>
      <w:r>
        <w:rPr>
          <w:rFonts w:hint="eastAsia" w:ascii="新宋体" w:hAnsi="新宋体" w:eastAsia="新宋体" w:cs="新宋体"/>
          <w:b/>
          <w:color w:val="000000"/>
          <w:kern w:val="0"/>
          <w:sz w:val="24"/>
          <w:szCs w:val="24"/>
          <w:lang w:eastAsia="zh-CN"/>
        </w:rPr>
        <w:t>三、</w:t>
      </w:r>
      <w:r>
        <w:rPr>
          <w:rFonts w:hint="eastAsia" w:ascii="新宋体" w:hAnsi="新宋体" w:eastAsia="新宋体" w:cs="新宋体"/>
          <w:b/>
          <w:color w:val="000000"/>
          <w:kern w:val="0"/>
          <w:sz w:val="24"/>
          <w:szCs w:val="24"/>
        </w:rPr>
        <w:t>供应商资格要求</w:t>
      </w:r>
    </w:p>
    <w:p>
      <w:pPr>
        <w:keepNext w:val="0"/>
        <w:keepLines w:val="0"/>
        <w:pageBreakBefore w:val="0"/>
        <w:widowControl/>
        <w:shd w:val="clear" w:color="auto" w:fill="FFFFFF"/>
        <w:kinsoku/>
        <w:overflowPunct/>
        <w:bidi w:val="0"/>
        <w:spacing w:line="440" w:lineRule="exact"/>
        <w:ind w:firstLine="480" w:firstLineChars="200"/>
        <w:jc w:val="left"/>
        <w:textAlignment w:val="auto"/>
        <w:rPr>
          <w:rFonts w:hint="eastAsia" w:ascii="新宋体" w:hAnsi="新宋体" w:eastAsia="新宋体" w:cs="新宋体"/>
          <w:color w:val="000000"/>
          <w:kern w:val="0"/>
          <w:sz w:val="24"/>
          <w:szCs w:val="24"/>
        </w:rPr>
      </w:pPr>
      <w:r>
        <w:rPr>
          <w:rFonts w:hint="eastAsia" w:ascii="新宋体" w:hAnsi="新宋体" w:eastAsia="新宋体" w:cs="新宋体"/>
          <w:color w:val="000000"/>
          <w:kern w:val="0"/>
          <w:sz w:val="24"/>
          <w:szCs w:val="24"/>
        </w:rPr>
        <w:t>1、符合《政府采购法》第二十二条之规定，具有独立法人资格及相应的经营范围（</w:t>
      </w:r>
      <w:r>
        <w:rPr>
          <w:rFonts w:hint="eastAsia" w:ascii="新宋体" w:hAnsi="新宋体" w:eastAsia="新宋体" w:cs="新宋体"/>
          <w:color w:val="000000"/>
          <w:kern w:val="0"/>
          <w:sz w:val="24"/>
          <w:szCs w:val="24"/>
          <w:lang w:eastAsia="zh-CN"/>
        </w:rPr>
        <w:t>以营业执照为准</w:t>
      </w:r>
      <w:r>
        <w:rPr>
          <w:rFonts w:hint="eastAsia" w:ascii="新宋体" w:hAnsi="新宋体" w:eastAsia="新宋体" w:cs="新宋体"/>
          <w:color w:val="000000"/>
          <w:kern w:val="0"/>
          <w:sz w:val="24"/>
          <w:szCs w:val="24"/>
        </w:rPr>
        <w:t>）；</w:t>
      </w:r>
    </w:p>
    <w:p>
      <w:pPr>
        <w:keepNext w:val="0"/>
        <w:keepLines w:val="0"/>
        <w:pageBreakBefore w:val="0"/>
        <w:widowControl/>
        <w:shd w:val="clear" w:color="auto" w:fill="FFFFFF"/>
        <w:kinsoku/>
        <w:overflowPunct/>
        <w:bidi w:val="0"/>
        <w:spacing w:line="440" w:lineRule="exact"/>
        <w:ind w:firstLine="480" w:firstLineChars="200"/>
        <w:jc w:val="left"/>
        <w:textAlignment w:val="auto"/>
        <w:rPr>
          <w:rFonts w:hint="eastAsia" w:ascii="新宋体" w:hAnsi="新宋体" w:eastAsia="新宋体" w:cs="新宋体"/>
          <w:color w:val="000000"/>
          <w:kern w:val="0"/>
          <w:sz w:val="24"/>
          <w:szCs w:val="24"/>
        </w:rPr>
      </w:pPr>
      <w:r>
        <w:rPr>
          <w:rFonts w:hint="eastAsia" w:ascii="新宋体" w:hAnsi="新宋体" w:eastAsia="新宋体" w:cs="新宋体"/>
          <w:color w:val="000000"/>
          <w:kern w:val="0"/>
          <w:sz w:val="24"/>
          <w:szCs w:val="24"/>
        </w:rPr>
        <w:t>2、被委托人是须是本单位职工，须提供公司为本人缴纳社会保险证明；</w:t>
      </w:r>
    </w:p>
    <w:p>
      <w:pPr>
        <w:keepNext w:val="0"/>
        <w:keepLines w:val="0"/>
        <w:pageBreakBefore w:val="0"/>
        <w:widowControl/>
        <w:shd w:val="clear" w:color="auto" w:fill="FFFFFF"/>
        <w:kinsoku/>
        <w:overflowPunct/>
        <w:bidi w:val="0"/>
        <w:spacing w:line="440" w:lineRule="exact"/>
        <w:ind w:firstLine="480" w:firstLineChars="200"/>
        <w:jc w:val="left"/>
        <w:textAlignment w:val="auto"/>
        <w:rPr>
          <w:rFonts w:hint="eastAsia" w:ascii="新宋体" w:hAnsi="新宋体" w:eastAsia="新宋体" w:cs="新宋体"/>
          <w:color w:val="000000"/>
          <w:kern w:val="0"/>
          <w:sz w:val="24"/>
          <w:szCs w:val="24"/>
        </w:rPr>
      </w:pPr>
      <w:r>
        <w:rPr>
          <w:rFonts w:hint="eastAsia" w:ascii="新宋体" w:hAnsi="新宋体" w:eastAsia="新宋体" w:cs="新宋体"/>
          <w:color w:val="000000"/>
          <w:kern w:val="0"/>
          <w:sz w:val="24"/>
          <w:szCs w:val="24"/>
        </w:rPr>
        <w:t>3、本项目不接受联合体投标。</w:t>
      </w:r>
    </w:p>
    <w:p>
      <w:pPr>
        <w:keepNext w:val="0"/>
        <w:keepLines w:val="0"/>
        <w:pageBreakBefore w:val="0"/>
        <w:widowControl/>
        <w:shd w:val="clear" w:color="auto" w:fill="FFFFFF"/>
        <w:kinsoku/>
        <w:overflowPunct/>
        <w:bidi w:val="0"/>
        <w:spacing w:line="440" w:lineRule="exact"/>
        <w:ind w:firstLine="482"/>
        <w:jc w:val="left"/>
        <w:textAlignment w:val="auto"/>
        <w:rPr>
          <w:rFonts w:hint="eastAsia" w:ascii="新宋体" w:hAnsi="新宋体" w:eastAsia="新宋体" w:cs="新宋体"/>
          <w:b/>
          <w:color w:val="000000"/>
          <w:kern w:val="0"/>
          <w:sz w:val="24"/>
          <w:szCs w:val="24"/>
        </w:rPr>
      </w:pPr>
      <w:r>
        <w:rPr>
          <w:rFonts w:hint="eastAsia" w:ascii="新宋体" w:hAnsi="新宋体" w:eastAsia="新宋体" w:cs="新宋体"/>
          <w:b/>
          <w:color w:val="000000"/>
          <w:kern w:val="0"/>
          <w:sz w:val="24"/>
          <w:szCs w:val="24"/>
        </w:rPr>
        <w:t>四、获取谈判文件的方式、时间、地点</w:t>
      </w:r>
    </w:p>
    <w:p>
      <w:pPr>
        <w:keepNext w:val="0"/>
        <w:keepLines w:val="0"/>
        <w:pageBreakBefore w:val="0"/>
        <w:kinsoku/>
        <w:wordWrap w:val="0"/>
        <w:overflowPunct/>
        <w:topLinePunct/>
        <w:bidi w:val="0"/>
        <w:snapToGrid w:val="0"/>
        <w:spacing w:line="440" w:lineRule="exact"/>
        <w:ind w:firstLine="480" w:firstLineChars="200"/>
        <w:textAlignment w:val="auto"/>
        <w:rPr>
          <w:rFonts w:hint="eastAsia" w:ascii="新宋体" w:hAnsi="新宋体" w:eastAsia="新宋体" w:cs="新宋体"/>
          <w:sz w:val="24"/>
          <w:szCs w:val="24"/>
          <w:lang w:val="zh-CN"/>
        </w:rPr>
      </w:pPr>
      <w:r>
        <w:rPr>
          <w:rFonts w:hint="eastAsia" w:ascii="新宋体" w:hAnsi="新宋体" w:eastAsia="新宋体" w:cs="新宋体"/>
          <w:sz w:val="24"/>
          <w:szCs w:val="24"/>
          <w:lang w:val="zh-CN"/>
        </w:rPr>
        <w:t>1、持CA数字认证证书，登录</w:t>
      </w: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 HYPERLINK "http://221.14.6.70:8088/ggzy/eps/public/RegistAllJcxx.html" </w:instrText>
      </w:r>
      <w:r>
        <w:rPr>
          <w:rFonts w:hint="eastAsia" w:ascii="新宋体" w:hAnsi="新宋体" w:eastAsia="新宋体" w:cs="新宋体"/>
          <w:sz w:val="24"/>
          <w:szCs w:val="24"/>
        </w:rPr>
        <w:fldChar w:fldCharType="separate"/>
      </w:r>
      <w:r>
        <w:rPr>
          <w:rFonts w:hint="eastAsia" w:ascii="新宋体" w:hAnsi="新宋体" w:eastAsia="新宋体" w:cs="新宋体"/>
          <w:sz w:val="24"/>
          <w:szCs w:val="24"/>
          <w:lang w:val="zh-CN"/>
        </w:rPr>
        <w:t>http://221.14.6.70:8088/ggzy/eps/public/RegistAllJcxx.html</w:t>
      </w:r>
      <w:r>
        <w:rPr>
          <w:rFonts w:hint="eastAsia" w:ascii="新宋体" w:hAnsi="新宋体" w:eastAsia="新宋体" w:cs="新宋体"/>
          <w:sz w:val="24"/>
          <w:szCs w:val="24"/>
          <w:lang w:val="zh-CN"/>
        </w:rPr>
        <w:fldChar w:fldCharType="end"/>
      </w:r>
      <w:r>
        <w:rPr>
          <w:rFonts w:hint="eastAsia" w:ascii="新宋体" w:hAnsi="新宋体" w:eastAsia="新宋体" w:cs="新宋体"/>
          <w:sz w:val="24"/>
          <w:szCs w:val="24"/>
          <w:lang w:val="zh-CN"/>
        </w:rPr>
        <w:t>进行免费注册登记（详见全国公共资源交易平台（河南省·许昌市）“常见问题解答-诚信库网上注册相关资料下载”）；</w:t>
      </w:r>
    </w:p>
    <w:p>
      <w:pPr>
        <w:keepNext w:val="0"/>
        <w:keepLines w:val="0"/>
        <w:pageBreakBefore w:val="0"/>
        <w:kinsoku/>
        <w:wordWrap w:val="0"/>
        <w:overflowPunct/>
        <w:topLinePunct/>
        <w:autoSpaceDE w:val="0"/>
        <w:autoSpaceDN w:val="0"/>
        <w:bidi w:val="0"/>
        <w:adjustRightInd w:val="0"/>
        <w:snapToGrid w:val="0"/>
        <w:spacing w:line="440" w:lineRule="exact"/>
        <w:ind w:firstLine="482"/>
        <w:textAlignment w:val="auto"/>
        <w:rPr>
          <w:rFonts w:hint="eastAsia" w:ascii="新宋体" w:hAnsi="新宋体" w:eastAsia="新宋体" w:cs="新宋体"/>
          <w:sz w:val="24"/>
          <w:szCs w:val="24"/>
          <w:lang w:val="zh-CN"/>
        </w:rPr>
      </w:pPr>
      <w:r>
        <w:rPr>
          <w:rFonts w:hint="eastAsia" w:ascii="新宋体" w:hAnsi="新宋体" w:eastAsia="新宋体" w:cs="新宋体"/>
          <w:sz w:val="24"/>
          <w:szCs w:val="24"/>
          <w:lang w:val="zh-CN"/>
        </w:rPr>
        <w:t>　2、在投标截止时间前登录</w:t>
      </w:r>
      <w:r>
        <w:rPr>
          <w:rFonts w:hint="eastAsia" w:ascii="新宋体" w:hAnsi="新宋体" w:eastAsia="新宋体" w:cs="新宋体"/>
          <w:sz w:val="24"/>
          <w:szCs w:val="24"/>
        </w:rPr>
        <w:fldChar w:fldCharType="begin"/>
      </w:r>
      <w:r>
        <w:rPr>
          <w:rFonts w:hint="eastAsia" w:ascii="新宋体" w:hAnsi="新宋体" w:eastAsia="新宋体" w:cs="新宋体"/>
          <w:sz w:val="24"/>
          <w:szCs w:val="24"/>
        </w:rPr>
        <w:instrText xml:space="preserve"> HYPERLINK "http://221.14.6.70:8088/ggzy/" </w:instrText>
      </w:r>
      <w:r>
        <w:rPr>
          <w:rFonts w:hint="eastAsia" w:ascii="新宋体" w:hAnsi="新宋体" w:eastAsia="新宋体" w:cs="新宋体"/>
          <w:sz w:val="24"/>
          <w:szCs w:val="24"/>
        </w:rPr>
        <w:fldChar w:fldCharType="separate"/>
      </w:r>
      <w:r>
        <w:rPr>
          <w:rFonts w:hint="eastAsia" w:ascii="新宋体" w:hAnsi="新宋体" w:eastAsia="新宋体" w:cs="新宋体"/>
          <w:sz w:val="24"/>
          <w:szCs w:val="24"/>
          <w:lang w:val="zh-CN"/>
        </w:rPr>
        <w:t>http://</w:t>
      </w:r>
      <w:r>
        <w:rPr>
          <w:rFonts w:hint="eastAsia" w:ascii="新宋体" w:hAnsi="新宋体" w:eastAsia="新宋体" w:cs="新宋体"/>
          <w:sz w:val="24"/>
          <w:szCs w:val="24"/>
          <w:lang w:val="en-US" w:eastAsia="zh-CN"/>
        </w:rPr>
        <w:t>ggzy.xuchang.gov.cn</w:t>
      </w:r>
      <w:r>
        <w:rPr>
          <w:rFonts w:hint="eastAsia" w:ascii="新宋体" w:hAnsi="新宋体" w:eastAsia="新宋体" w:cs="新宋体"/>
          <w:sz w:val="24"/>
          <w:szCs w:val="24"/>
          <w:lang w:val="zh-CN"/>
        </w:rPr>
        <w:t>/</w:t>
      </w:r>
      <w:r>
        <w:rPr>
          <w:rFonts w:hint="eastAsia" w:ascii="新宋体" w:hAnsi="新宋体" w:eastAsia="新宋体" w:cs="新宋体"/>
          <w:sz w:val="24"/>
          <w:szCs w:val="24"/>
          <w:lang w:val="zh-CN"/>
        </w:rPr>
        <w:fldChar w:fldCharType="end"/>
      </w:r>
      <w:r>
        <w:rPr>
          <w:rFonts w:hint="eastAsia" w:ascii="新宋体" w:hAnsi="新宋体" w:eastAsia="新宋体" w:cs="新宋体"/>
          <w:sz w:val="24"/>
          <w:szCs w:val="24"/>
          <w:lang w:val="zh-CN"/>
        </w:rPr>
        <w:t>，自行下载</w:t>
      </w:r>
      <w:r>
        <w:rPr>
          <w:rFonts w:hint="eastAsia" w:ascii="新宋体" w:hAnsi="新宋体" w:eastAsia="新宋体" w:cs="新宋体"/>
          <w:sz w:val="24"/>
          <w:szCs w:val="24"/>
          <w:lang w:val="zh-CN" w:eastAsia="zh-CN"/>
        </w:rPr>
        <w:t>谈判</w:t>
      </w:r>
      <w:r>
        <w:rPr>
          <w:rFonts w:hint="eastAsia" w:ascii="新宋体" w:hAnsi="新宋体" w:eastAsia="新宋体" w:cs="新宋体"/>
          <w:sz w:val="24"/>
          <w:szCs w:val="24"/>
          <w:lang w:val="zh-CN"/>
        </w:rPr>
        <w:t>文件（详见全国公共资源交易平台（河南省·许昌市）“常见问题解答-交易系统操作手册”）。</w:t>
      </w:r>
    </w:p>
    <w:p>
      <w:pPr>
        <w:keepNext w:val="0"/>
        <w:keepLines w:val="0"/>
        <w:pageBreakBefore w:val="0"/>
        <w:kinsoku/>
        <w:overflowPunct/>
        <w:bidi w:val="0"/>
        <w:spacing w:line="440" w:lineRule="exact"/>
        <w:textAlignment w:val="auto"/>
        <w:rPr>
          <w:rFonts w:hint="eastAsia" w:ascii="新宋体" w:hAnsi="新宋体" w:eastAsia="新宋体" w:cs="新宋体"/>
          <w:sz w:val="24"/>
          <w:szCs w:val="24"/>
        </w:rPr>
      </w:pPr>
      <w:r>
        <w:rPr>
          <w:rFonts w:hint="eastAsia" w:ascii="新宋体" w:hAnsi="新宋体" w:eastAsia="新宋体" w:cs="新宋体"/>
          <w:sz w:val="24"/>
          <w:szCs w:val="24"/>
        </w:rPr>
        <w:t>　　3、未通过全国公共资源交易平台（河南省·许昌市）下载招标文件的投标企业，拒收其递交的投标文件。</w:t>
      </w:r>
    </w:p>
    <w:p>
      <w:pPr>
        <w:keepNext w:val="0"/>
        <w:keepLines w:val="0"/>
        <w:pageBreakBefore w:val="0"/>
        <w:kinsoku/>
        <w:overflowPunct/>
        <w:bidi w:val="0"/>
        <w:spacing w:line="440" w:lineRule="exact"/>
        <w:ind w:firstLine="640"/>
        <w:textAlignment w:val="auto"/>
        <w:rPr>
          <w:rFonts w:hint="eastAsia" w:ascii="新宋体" w:hAnsi="新宋体" w:eastAsia="新宋体" w:cs="新宋体"/>
          <w:sz w:val="24"/>
          <w:szCs w:val="24"/>
        </w:rPr>
      </w:pPr>
      <w:r>
        <w:rPr>
          <w:rFonts w:hint="eastAsia" w:ascii="新宋体" w:hAnsi="新宋体" w:eastAsia="新宋体" w:cs="新宋体"/>
          <w:sz w:val="24"/>
          <w:szCs w:val="24"/>
        </w:rPr>
        <w:t>4、谈判文件每份售价人民币300元</w:t>
      </w:r>
      <w:r>
        <w:rPr>
          <w:rFonts w:hint="eastAsia" w:ascii="新宋体" w:hAnsi="新宋体" w:eastAsia="新宋体" w:cs="新宋体"/>
          <w:sz w:val="24"/>
          <w:szCs w:val="24"/>
          <w:lang w:eastAsia="zh-CN"/>
        </w:rPr>
        <w:t>（谈判现场现金收取）</w:t>
      </w:r>
      <w:r>
        <w:rPr>
          <w:rFonts w:hint="eastAsia" w:ascii="新宋体" w:hAnsi="新宋体" w:eastAsia="新宋体" w:cs="新宋体"/>
          <w:sz w:val="24"/>
          <w:szCs w:val="24"/>
        </w:rPr>
        <w:t>，于递交投标文件时缴纳给采购代理机构，售后不退。</w:t>
      </w:r>
    </w:p>
    <w:p>
      <w:pPr>
        <w:keepNext w:val="0"/>
        <w:keepLines w:val="0"/>
        <w:pageBreakBefore w:val="0"/>
        <w:widowControl/>
        <w:shd w:val="clear" w:color="auto" w:fill="FFFFFF"/>
        <w:kinsoku/>
        <w:overflowPunct/>
        <w:bidi w:val="0"/>
        <w:spacing w:line="440" w:lineRule="exact"/>
        <w:ind w:firstLine="482"/>
        <w:jc w:val="left"/>
        <w:textAlignment w:val="auto"/>
        <w:rPr>
          <w:rFonts w:hint="eastAsia" w:ascii="新宋体" w:hAnsi="新宋体" w:eastAsia="新宋体" w:cs="新宋体"/>
          <w:color w:val="000000"/>
          <w:kern w:val="0"/>
          <w:sz w:val="24"/>
          <w:szCs w:val="24"/>
        </w:rPr>
      </w:pPr>
      <w:r>
        <w:rPr>
          <w:rFonts w:hint="eastAsia" w:ascii="新宋体" w:hAnsi="新宋体" w:eastAsia="新宋体" w:cs="新宋体"/>
          <w:color w:val="000000"/>
          <w:kern w:val="0"/>
          <w:sz w:val="24"/>
          <w:szCs w:val="24"/>
        </w:rPr>
        <w:t>五、谈判截止时间、谈判时间及地点：</w:t>
      </w:r>
    </w:p>
    <w:p>
      <w:pPr>
        <w:keepNext w:val="0"/>
        <w:keepLines w:val="0"/>
        <w:pageBreakBefore w:val="0"/>
        <w:widowControl/>
        <w:shd w:val="clear" w:color="auto" w:fill="FFFFFF"/>
        <w:kinsoku/>
        <w:overflowPunct/>
        <w:bidi w:val="0"/>
        <w:spacing w:line="440" w:lineRule="exact"/>
        <w:ind w:firstLine="480" w:firstLineChars="200"/>
        <w:jc w:val="left"/>
        <w:textAlignment w:val="auto"/>
        <w:rPr>
          <w:rFonts w:hint="eastAsia" w:ascii="新宋体" w:hAnsi="新宋体" w:eastAsia="新宋体" w:cs="新宋体"/>
          <w:color w:val="000000"/>
          <w:kern w:val="0"/>
          <w:sz w:val="24"/>
          <w:szCs w:val="24"/>
        </w:rPr>
      </w:pPr>
      <w:r>
        <w:rPr>
          <w:rFonts w:hint="eastAsia" w:ascii="新宋体" w:hAnsi="新宋体" w:eastAsia="新宋体" w:cs="新宋体"/>
          <w:color w:val="000000"/>
          <w:kern w:val="0"/>
          <w:sz w:val="24"/>
          <w:szCs w:val="24"/>
        </w:rPr>
        <w:t>1、谈判截止及谈判时间：2019年</w:t>
      </w:r>
      <w:r>
        <w:rPr>
          <w:rFonts w:hint="eastAsia" w:ascii="新宋体" w:hAnsi="新宋体" w:eastAsia="新宋体" w:cs="新宋体"/>
          <w:color w:val="000000"/>
          <w:kern w:val="0"/>
          <w:sz w:val="24"/>
          <w:szCs w:val="24"/>
          <w:lang w:val="en-US" w:eastAsia="zh-CN"/>
        </w:rPr>
        <w:t>8</w:t>
      </w:r>
      <w:r>
        <w:rPr>
          <w:rFonts w:hint="eastAsia" w:ascii="新宋体" w:hAnsi="新宋体" w:eastAsia="新宋体" w:cs="新宋体"/>
          <w:color w:val="000000"/>
          <w:kern w:val="0"/>
          <w:sz w:val="24"/>
          <w:szCs w:val="24"/>
        </w:rPr>
        <w:t>月</w:t>
      </w:r>
      <w:r>
        <w:rPr>
          <w:rFonts w:hint="eastAsia" w:ascii="新宋体" w:hAnsi="新宋体" w:eastAsia="新宋体" w:cs="新宋体"/>
          <w:color w:val="000000"/>
          <w:kern w:val="0"/>
          <w:sz w:val="24"/>
          <w:szCs w:val="24"/>
          <w:lang w:val="en-US" w:eastAsia="zh-CN"/>
        </w:rPr>
        <w:t>15</w:t>
      </w:r>
      <w:r>
        <w:rPr>
          <w:rFonts w:hint="eastAsia" w:ascii="新宋体" w:hAnsi="新宋体" w:eastAsia="新宋体" w:cs="新宋体"/>
          <w:color w:val="000000"/>
          <w:kern w:val="0"/>
          <w:sz w:val="24"/>
          <w:szCs w:val="24"/>
        </w:rPr>
        <w:t>日</w:t>
      </w:r>
      <w:r>
        <w:rPr>
          <w:rFonts w:hint="eastAsia" w:ascii="新宋体" w:hAnsi="新宋体" w:eastAsia="新宋体" w:cs="新宋体"/>
          <w:color w:val="000000"/>
          <w:kern w:val="0"/>
          <w:sz w:val="24"/>
          <w:szCs w:val="24"/>
          <w:lang w:val="en-US" w:eastAsia="zh-CN"/>
        </w:rPr>
        <w:t xml:space="preserve"> 9：00 </w:t>
      </w:r>
      <w:r>
        <w:rPr>
          <w:rFonts w:hint="eastAsia" w:ascii="新宋体" w:hAnsi="新宋体" w:eastAsia="新宋体" w:cs="新宋体"/>
          <w:color w:val="000000"/>
          <w:kern w:val="0"/>
          <w:sz w:val="24"/>
          <w:szCs w:val="24"/>
        </w:rPr>
        <w:t>（北京时间），逾期送达或不符合规定的投标文件不予接受。</w:t>
      </w:r>
    </w:p>
    <w:p>
      <w:pPr>
        <w:keepNext w:val="0"/>
        <w:keepLines w:val="0"/>
        <w:pageBreakBefore w:val="0"/>
        <w:widowControl/>
        <w:shd w:val="clear" w:color="auto" w:fill="FFFFFF"/>
        <w:kinsoku/>
        <w:overflowPunct/>
        <w:bidi w:val="0"/>
        <w:spacing w:line="440" w:lineRule="exact"/>
        <w:ind w:firstLine="480" w:firstLineChars="200"/>
        <w:jc w:val="left"/>
        <w:textAlignment w:val="auto"/>
        <w:rPr>
          <w:rFonts w:hint="eastAsia" w:ascii="新宋体" w:hAnsi="新宋体" w:eastAsia="新宋体" w:cs="新宋体"/>
          <w:color w:val="000000"/>
          <w:kern w:val="0"/>
          <w:sz w:val="24"/>
          <w:szCs w:val="24"/>
        </w:rPr>
      </w:pPr>
      <w:r>
        <w:rPr>
          <w:rFonts w:hint="eastAsia" w:ascii="新宋体" w:hAnsi="新宋体" w:eastAsia="新宋体" w:cs="新宋体"/>
          <w:color w:val="000000"/>
          <w:kern w:val="0"/>
          <w:sz w:val="24"/>
          <w:szCs w:val="24"/>
        </w:rPr>
        <w:t>2、谈判地点：</w:t>
      </w:r>
      <w:r>
        <w:rPr>
          <w:rFonts w:hint="eastAsia" w:ascii="新宋体" w:hAnsi="新宋体" w:eastAsia="新宋体" w:cs="新宋体"/>
          <w:sz w:val="24"/>
          <w:szCs w:val="24"/>
        </w:rPr>
        <w:t>禹州市公共资源交易中心第二开标室（禹州市</w:t>
      </w:r>
      <w:r>
        <w:rPr>
          <w:rFonts w:hint="eastAsia" w:ascii="新宋体" w:hAnsi="新宋体" w:eastAsia="新宋体" w:cs="新宋体"/>
          <w:color w:val="000000"/>
          <w:kern w:val="0"/>
          <w:sz w:val="24"/>
          <w:szCs w:val="24"/>
        </w:rPr>
        <w:t xml:space="preserve">行政服务中心楼9楼） </w:t>
      </w:r>
    </w:p>
    <w:p>
      <w:pPr>
        <w:keepNext w:val="0"/>
        <w:keepLines w:val="0"/>
        <w:pageBreakBefore w:val="0"/>
        <w:kinsoku/>
        <w:overflowPunct/>
        <w:bidi w:val="0"/>
        <w:spacing w:line="440" w:lineRule="exact"/>
        <w:ind w:firstLine="480" w:firstLineChars="200"/>
        <w:textAlignment w:val="auto"/>
        <w:rPr>
          <w:rFonts w:hint="eastAsia" w:ascii="新宋体" w:hAnsi="新宋体" w:eastAsia="新宋体" w:cs="新宋体"/>
          <w:color w:val="000000"/>
          <w:kern w:val="0"/>
          <w:sz w:val="24"/>
          <w:szCs w:val="24"/>
        </w:rPr>
      </w:pPr>
      <w:r>
        <w:rPr>
          <w:rFonts w:hint="eastAsia" w:ascii="新宋体" w:hAnsi="新宋体" w:eastAsia="新宋体" w:cs="新宋体"/>
          <w:color w:val="000000"/>
          <w:kern w:val="0"/>
          <w:sz w:val="24"/>
          <w:szCs w:val="24"/>
        </w:rPr>
        <w:t>3、本项目为全流程电子化交易项目，投标人须提交电子投标文件和纸质投标文件。</w:t>
      </w:r>
    </w:p>
    <w:p>
      <w:pPr>
        <w:keepNext w:val="0"/>
        <w:keepLines w:val="0"/>
        <w:pageBreakBefore w:val="0"/>
        <w:kinsoku/>
        <w:overflowPunct/>
        <w:bidi w:val="0"/>
        <w:spacing w:line="440" w:lineRule="exact"/>
        <w:ind w:firstLine="480" w:firstLineChars="200"/>
        <w:textAlignment w:val="auto"/>
        <w:rPr>
          <w:rFonts w:hint="eastAsia" w:ascii="新宋体" w:hAnsi="新宋体" w:eastAsia="新宋体" w:cs="新宋体"/>
          <w:color w:val="000000"/>
          <w:kern w:val="0"/>
          <w:sz w:val="24"/>
          <w:szCs w:val="24"/>
        </w:rPr>
      </w:pPr>
      <w:r>
        <w:rPr>
          <w:rFonts w:hint="eastAsia" w:ascii="新宋体" w:hAnsi="新宋体" w:eastAsia="新宋体" w:cs="新宋体"/>
          <w:color w:val="000000"/>
          <w:kern w:val="0"/>
          <w:sz w:val="24"/>
          <w:szCs w:val="24"/>
        </w:rPr>
        <w:t>（1）加密电子投标文件（.file格式）须在投标截止时间（开标时间）前通过《全国公共资源交易平台(河南省▪许昌市)》公共资源交易系统成功上传。</w:t>
      </w:r>
    </w:p>
    <w:p>
      <w:pPr>
        <w:keepNext w:val="0"/>
        <w:keepLines w:val="0"/>
        <w:pageBreakBefore w:val="0"/>
        <w:kinsoku/>
        <w:overflowPunct/>
        <w:bidi w:val="0"/>
        <w:spacing w:line="440" w:lineRule="exact"/>
        <w:ind w:firstLine="480" w:firstLineChars="200"/>
        <w:textAlignment w:val="auto"/>
        <w:rPr>
          <w:rFonts w:hint="eastAsia" w:ascii="新宋体" w:hAnsi="新宋体" w:eastAsia="新宋体" w:cs="新宋体"/>
          <w:color w:val="000000"/>
          <w:kern w:val="0"/>
          <w:sz w:val="24"/>
          <w:szCs w:val="24"/>
        </w:rPr>
      </w:pPr>
      <w:r>
        <w:rPr>
          <w:rFonts w:hint="eastAsia" w:ascii="新宋体" w:hAnsi="新宋体" w:eastAsia="新宋体" w:cs="新宋体"/>
          <w:color w:val="000000"/>
          <w:kern w:val="0"/>
          <w:sz w:val="24"/>
          <w:szCs w:val="24"/>
        </w:rPr>
        <w:t>（2）纸质投标文件（正本1份、副本1份）和备份文件1份（使用电子介质存储）在投标截止时间（开标时间）前递交至本项目开标地点。</w:t>
      </w:r>
    </w:p>
    <w:p>
      <w:pPr>
        <w:keepNext w:val="0"/>
        <w:keepLines w:val="0"/>
        <w:pageBreakBefore w:val="0"/>
        <w:widowControl/>
        <w:shd w:val="clear" w:color="auto" w:fill="FFFFFF"/>
        <w:kinsoku/>
        <w:overflowPunct/>
        <w:bidi w:val="0"/>
        <w:spacing w:line="440" w:lineRule="exact"/>
        <w:ind w:firstLine="482" w:firstLineChars="200"/>
        <w:jc w:val="left"/>
        <w:textAlignment w:val="auto"/>
        <w:rPr>
          <w:rFonts w:hint="eastAsia" w:ascii="新宋体" w:hAnsi="新宋体" w:eastAsia="新宋体" w:cs="新宋体"/>
          <w:color w:val="000000"/>
          <w:kern w:val="0"/>
          <w:sz w:val="24"/>
          <w:szCs w:val="24"/>
        </w:rPr>
      </w:pPr>
      <w:r>
        <w:rPr>
          <w:rFonts w:hint="eastAsia" w:ascii="新宋体" w:hAnsi="新宋体" w:eastAsia="新宋体" w:cs="新宋体"/>
          <w:b/>
          <w:bCs/>
          <w:color w:val="000000"/>
          <w:kern w:val="0"/>
          <w:sz w:val="24"/>
          <w:szCs w:val="24"/>
          <w:lang w:eastAsia="zh-CN"/>
        </w:rPr>
        <w:t>六</w:t>
      </w:r>
      <w:r>
        <w:rPr>
          <w:rFonts w:hint="eastAsia" w:ascii="新宋体" w:hAnsi="新宋体" w:eastAsia="新宋体" w:cs="新宋体"/>
          <w:color w:val="000000"/>
          <w:kern w:val="0"/>
          <w:sz w:val="24"/>
          <w:szCs w:val="24"/>
        </w:rPr>
        <w:t>、本次招标公告同时在《中国政府采购网》、《河南省政府采购网》、《全国公共资源交易平台（河南省·许昌市）》发布等。</w:t>
      </w:r>
    </w:p>
    <w:p>
      <w:pPr>
        <w:keepNext w:val="0"/>
        <w:keepLines w:val="0"/>
        <w:pageBreakBefore w:val="0"/>
        <w:widowControl/>
        <w:shd w:val="clear" w:color="auto" w:fill="FFFFFF"/>
        <w:kinsoku/>
        <w:overflowPunct/>
        <w:bidi w:val="0"/>
        <w:spacing w:line="440" w:lineRule="exact"/>
        <w:ind w:firstLine="482"/>
        <w:jc w:val="left"/>
        <w:textAlignment w:val="auto"/>
        <w:rPr>
          <w:rFonts w:hint="eastAsia" w:ascii="新宋体" w:hAnsi="新宋体" w:eastAsia="新宋体" w:cs="新宋体"/>
          <w:color w:val="000000"/>
          <w:kern w:val="0"/>
          <w:sz w:val="24"/>
          <w:szCs w:val="24"/>
        </w:rPr>
      </w:pPr>
      <w:r>
        <w:rPr>
          <w:rFonts w:hint="eastAsia" w:ascii="新宋体" w:hAnsi="新宋体" w:eastAsia="新宋体" w:cs="新宋体"/>
          <w:color w:val="000000"/>
          <w:kern w:val="0"/>
          <w:sz w:val="24"/>
          <w:szCs w:val="24"/>
          <w:lang w:eastAsia="zh-CN"/>
        </w:rPr>
        <w:t>七</w:t>
      </w:r>
      <w:r>
        <w:rPr>
          <w:rFonts w:hint="eastAsia" w:ascii="新宋体" w:hAnsi="新宋体" w:eastAsia="新宋体" w:cs="新宋体"/>
          <w:color w:val="000000"/>
          <w:kern w:val="0"/>
          <w:sz w:val="24"/>
          <w:szCs w:val="24"/>
        </w:rPr>
        <w:t>、代理机构及采购单位地址、联系人、联系电话</w:t>
      </w:r>
    </w:p>
    <w:p>
      <w:pPr>
        <w:keepNext w:val="0"/>
        <w:keepLines w:val="0"/>
        <w:pageBreakBefore w:val="0"/>
        <w:widowControl/>
        <w:shd w:val="clear" w:color="auto" w:fill="FFFFFF"/>
        <w:kinsoku/>
        <w:overflowPunct/>
        <w:bidi w:val="0"/>
        <w:spacing w:line="440" w:lineRule="exact"/>
        <w:ind w:firstLine="641"/>
        <w:jc w:val="left"/>
        <w:textAlignment w:val="auto"/>
        <w:rPr>
          <w:rFonts w:hint="eastAsia" w:ascii="新宋体" w:hAnsi="新宋体" w:eastAsia="新宋体" w:cs="新宋体"/>
          <w:color w:val="000000"/>
          <w:kern w:val="0"/>
          <w:sz w:val="24"/>
          <w:szCs w:val="24"/>
        </w:rPr>
      </w:pPr>
      <w:r>
        <w:rPr>
          <w:rFonts w:hint="eastAsia" w:ascii="新宋体" w:hAnsi="新宋体" w:eastAsia="新宋体" w:cs="新宋体"/>
          <w:color w:val="000000"/>
          <w:kern w:val="0"/>
          <w:sz w:val="24"/>
          <w:szCs w:val="24"/>
        </w:rPr>
        <w:t>（一）代理机构：禹州市政府采购中心</w:t>
      </w:r>
    </w:p>
    <w:p>
      <w:pPr>
        <w:keepNext w:val="0"/>
        <w:keepLines w:val="0"/>
        <w:pageBreakBefore w:val="0"/>
        <w:widowControl/>
        <w:shd w:val="clear" w:color="auto" w:fill="FFFFFF"/>
        <w:kinsoku/>
        <w:overflowPunct/>
        <w:bidi w:val="0"/>
        <w:spacing w:line="440" w:lineRule="exact"/>
        <w:ind w:firstLine="641"/>
        <w:jc w:val="left"/>
        <w:textAlignment w:val="auto"/>
        <w:rPr>
          <w:rFonts w:hint="eastAsia" w:ascii="新宋体" w:hAnsi="新宋体" w:eastAsia="新宋体" w:cs="新宋体"/>
          <w:color w:val="000000"/>
          <w:kern w:val="0"/>
          <w:sz w:val="24"/>
          <w:szCs w:val="24"/>
        </w:rPr>
      </w:pPr>
      <w:r>
        <w:rPr>
          <w:rFonts w:hint="eastAsia" w:ascii="新宋体" w:hAnsi="新宋体" w:eastAsia="新宋体" w:cs="新宋体"/>
          <w:color w:val="000000"/>
          <w:kern w:val="0"/>
          <w:sz w:val="24"/>
          <w:szCs w:val="24"/>
        </w:rPr>
        <w:t>地址：</w:t>
      </w:r>
      <w:r>
        <w:rPr>
          <w:rFonts w:hint="eastAsia" w:ascii="新宋体" w:hAnsi="新宋体" w:eastAsia="新宋体" w:cs="新宋体"/>
          <w:sz w:val="24"/>
          <w:szCs w:val="24"/>
        </w:rPr>
        <w:t>禹州市行政服务中心楼917房间</w:t>
      </w:r>
    </w:p>
    <w:p>
      <w:pPr>
        <w:keepNext w:val="0"/>
        <w:keepLines w:val="0"/>
        <w:pageBreakBefore w:val="0"/>
        <w:widowControl/>
        <w:shd w:val="clear" w:color="auto" w:fill="FFFFFF"/>
        <w:kinsoku/>
        <w:overflowPunct/>
        <w:bidi w:val="0"/>
        <w:spacing w:line="440" w:lineRule="exact"/>
        <w:ind w:firstLine="641"/>
        <w:jc w:val="left"/>
        <w:textAlignment w:val="auto"/>
        <w:rPr>
          <w:rFonts w:hint="eastAsia" w:ascii="新宋体" w:hAnsi="新宋体" w:eastAsia="新宋体" w:cs="新宋体"/>
          <w:color w:val="000000"/>
          <w:kern w:val="0"/>
          <w:sz w:val="24"/>
          <w:szCs w:val="24"/>
        </w:rPr>
      </w:pPr>
      <w:r>
        <w:rPr>
          <w:rFonts w:hint="eastAsia" w:ascii="新宋体" w:hAnsi="新宋体" w:eastAsia="新宋体" w:cs="新宋体"/>
          <w:color w:val="000000"/>
          <w:kern w:val="0"/>
          <w:sz w:val="24"/>
          <w:szCs w:val="24"/>
        </w:rPr>
        <w:t>联系人：侯女士  联系电话：0374-2077111</w:t>
      </w:r>
    </w:p>
    <w:p>
      <w:pPr>
        <w:keepNext w:val="0"/>
        <w:keepLines w:val="0"/>
        <w:pageBreakBefore w:val="0"/>
        <w:widowControl/>
        <w:shd w:val="clear" w:color="auto" w:fill="FFFFFF"/>
        <w:kinsoku/>
        <w:overflowPunct/>
        <w:bidi w:val="0"/>
        <w:spacing w:line="440" w:lineRule="exact"/>
        <w:ind w:firstLine="480" w:firstLineChars="200"/>
        <w:jc w:val="left"/>
        <w:textAlignment w:val="auto"/>
        <w:rPr>
          <w:rFonts w:hint="eastAsia" w:ascii="新宋体" w:hAnsi="新宋体" w:eastAsia="新宋体" w:cs="新宋体"/>
          <w:color w:val="000000"/>
          <w:kern w:val="0"/>
          <w:sz w:val="24"/>
          <w:szCs w:val="24"/>
          <w:lang w:val="en-US" w:eastAsia="zh-CN"/>
        </w:rPr>
      </w:pPr>
      <w:r>
        <w:rPr>
          <w:rFonts w:hint="eastAsia" w:ascii="新宋体" w:hAnsi="新宋体" w:eastAsia="新宋体" w:cs="新宋体"/>
          <w:color w:val="000000"/>
          <w:kern w:val="0"/>
          <w:sz w:val="24"/>
          <w:szCs w:val="24"/>
        </w:rPr>
        <w:t>(二)采购单位：</w:t>
      </w:r>
      <w:r>
        <w:rPr>
          <w:rFonts w:hint="eastAsia" w:ascii="新宋体" w:hAnsi="新宋体" w:eastAsia="新宋体" w:cs="新宋体"/>
          <w:sz w:val="24"/>
          <w:szCs w:val="24"/>
        </w:rPr>
        <w:t>禹州市</w:t>
      </w:r>
      <w:r>
        <w:rPr>
          <w:rFonts w:hint="eastAsia" w:ascii="新宋体" w:hAnsi="新宋体" w:eastAsia="新宋体" w:cs="新宋体"/>
          <w:sz w:val="24"/>
          <w:szCs w:val="24"/>
          <w:lang w:eastAsia="zh-CN"/>
        </w:rPr>
        <w:t>教育体育局</w:t>
      </w:r>
    </w:p>
    <w:p>
      <w:pPr>
        <w:keepNext w:val="0"/>
        <w:keepLines w:val="0"/>
        <w:pageBreakBefore w:val="0"/>
        <w:widowControl/>
        <w:shd w:val="clear" w:color="auto" w:fill="FFFFFF"/>
        <w:kinsoku/>
        <w:overflowPunct/>
        <w:bidi w:val="0"/>
        <w:spacing w:line="440" w:lineRule="exact"/>
        <w:ind w:firstLine="720" w:firstLineChars="300"/>
        <w:jc w:val="left"/>
        <w:textAlignment w:val="auto"/>
        <w:rPr>
          <w:rFonts w:hint="eastAsia" w:ascii="新宋体" w:hAnsi="新宋体" w:eastAsia="新宋体" w:cs="新宋体"/>
          <w:color w:val="000000"/>
          <w:kern w:val="0"/>
          <w:sz w:val="24"/>
          <w:szCs w:val="24"/>
          <w:lang w:val="en-US" w:eastAsia="zh-CN"/>
        </w:rPr>
      </w:pPr>
      <w:r>
        <w:rPr>
          <w:rFonts w:hint="eastAsia" w:ascii="新宋体" w:hAnsi="新宋体" w:eastAsia="新宋体" w:cs="新宋体"/>
          <w:color w:val="000000"/>
          <w:kern w:val="0"/>
          <w:sz w:val="24"/>
          <w:szCs w:val="24"/>
        </w:rPr>
        <w:t>地址：禹州市</w:t>
      </w:r>
      <w:r>
        <w:rPr>
          <w:rFonts w:hint="eastAsia" w:ascii="新宋体" w:hAnsi="新宋体" w:eastAsia="新宋体" w:cs="新宋体"/>
          <w:color w:val="000000"/>
          <w:kern w:val="0"/>
          <w:sz w:val="24"/>
          <w:szCs w:val="24"/>
          <w:lang w:eastAsia="zh-CN"/>
        </w:rPr>
        <w:t>王大道</w:t>
      </w:r>
    </w:p>
    <w:p>
      <w:pPr>
        <w:keepNext w:val="0"/>
        <w:keepLines w:val="0"/>
        <w:pageBreakBefore w:val="0"/>
        <w:widowControl/>
        <w:shd w:val="clear" w:color="auto" w:fill="FFFFFF"/>
        <w:kinsoku/>
        <w:overflowPunct/>
        <w:bidi w:val="0"/>
        <w:spacing w:line="440" w:lineRule="exact"/>
        <w:ind w:firstLine="972" w:firstLineChars="405"/>
        <w:jc w:val="left"/>
        <w:textAlignment w:val="auto"/>
        <w:rPr>
          <w:rFonts w:hint="eastAsia" w:ascii="新宋体" w:hAnsi="新宋体" w:eastAsia="新宋体" w:cs="新宋体"/>
          <w:color w:val="000000"/>
          <w:kern w:val="0"/>
          <w:sz w:val="24"/>
          <w:szCs w:val="24"/>
          <w:lang w:val="en-US" w:eastAsia="zh-CN"/>
        </w:rPr>
      </w:pPr>
      <w:r>
        <w:rPr>
          <w:rFonts w:hint="eastAsia" w:ascii="新宋体" w:hAnsi="新宋体" w:eastAsia="新宋体" w:cs="新宋体"/>
          <w:color w:val="000000"/>
          <w:kern w:val="0"/>
          <w:sz w:val="24"/>
          <w:szCs w:val="24"/>
        </w:rPr>
        <w:t>联系人：</w:t>
      </w:r>
      <w:r>
        <w:rPr>
          <w:rFonts w:hint="eastAsia" w:ascii="新宋体" w:hAnsi="新宋体" w:eastAsia="新宋体" w:cs="新宋体"/>
          <w:color w:val="000000"/>
          <w:kern w:val="0"/>
          <w:sz w:val="24"/>
          <w:szCs w:val="24"/>
          <w:lang w:eastAsia="zh-CN"/>
        </w:rPr>
        <w:t>任先生</w:t>
      </w:r>
      <w:r>
        <w:rPr>
          <w:rFonts w:hint="eastAsia" w:ascii="新宋体" w:hAnsi="新宋体" w:eastAsia="新宋体" w:cs="新宋体"/>
          <w:color w:val="000000"/>
          <w:kern w:val="0"/>
          <w:sz w:val="24"/>
          <w:szCs w:val="24"/>
        </w:rPr>
        <w:t xml:space="preserve">   联系电话：</w:t>
      </w:r>
      <w:r>
        <w:rPr>
          <w:rFonts w:hint="eastAsia" w:ascii="新宋体" w:hAnsi="新宋体" w:eastAsia="新宋体" w:cs="新宋体"/>
          <w:color w:val="000000"/>
          <w:kern w:val="0"/>
          <w:sz w:val="24"/>
          <w:szCs w:val="24"/>
          <w:lang w:val="en-US" w:eastAsia="zh-CN"/>
        </w:rPr>
        <w:t>15936376268</w:t>
      </w:r>
    </w:p>
    <w:p>
      <w:pPr>
        <w:keepNext w:val="0"/>
        <w:keepLines w:val="0"/>
        <w:pageBreakBefore w:val="0"/>
        <w:widowControl/>
        <w:shd w:val="clear" w:color="auto" w:fill="FFFFFF"/>
        <w:kinsoku/>
        <w:overflowPunct/>
        <w:bidi w:val="0"/>
        <w:spacing w:line="440" w:lineRule="exact"/>
        <w:ind w:firstLine="4329" w:firstLineChars="1804"/>
        <w:jc w:val="left"/>
        <w:textAlignment w:val="auto"/>
        <w:rPr>
          <w:rFonts w:hint="eastAsia" w:ascii="新宋体" w:hAnsi="新宋体" w:eastAsia="新宋体" w:cs="新宋体"/>
          <w:sz w:val="24"/>
          <w:szCs w:val="24"/>
        </w:rPr>
      </w:pPr>
    </w:p>
    <w:p>
      <w:pPr>
        <w:keepNext w:val="0"/>
        <w:keepLines w:val="0"/>
        <w:pageBreakBefore w:val="0"/>
        <w:widowControl/>
        <w:shd w:val="clear" w:color="auto" w:fill="FFFFFF"/>
        <w:kinsoku/>
        <w:overflowPunct/>
        <w:bidi w:val="0"/>
        <w:spacing w:line="440" w:lineRule="exact"/>
        <w:ind w:firstLine="4329" w:firstLineChars="1804"/>
        <w:jc w:val="left"/>
        <w:textAlignment w:val="auto"/>
        <w:rPr>
          <w:rFonts w:hint="eastAsia" w:ascii="新宋体" w:hAnsi="新宋体" w:eastAsia="新宋体" w:cs="新宋体"/>
          <w:sz w:val="24"/>
          <w:szCs w:val="24"/>
        </w:rPr>
      </w:pPr>
    </w:p>
    <w:p>
      <w:pPr>
        <w:keepNext w:val="0"/>
        <w:keepLines w:val="0"/>
        <w:pageBreakBefore w:val="0"/>
        <w:widowControl/>
        <w:shd w:val="clear" w:color="auto" w:fill="FFFFFF"/>
        <w:kinsoku/>
        <w:overflowPunct/>
        <w:bidi w:val="0"/>
        <w:spacing w:line="440" w:lineRule="exact"/>
        <w:ind w:firstLine="4080" w:firstLineChars="1700"/>
        <w:jc w:val="left"/>
        <w:textAlignment w:val="auto"/>
        <w:rPr>
          <w:rFonts w:hint="eastAsia" w:ascii="新宋体" w:hAnsi="新宋体" w:eastAsia="新宋体" w:cs="新宋体"/>
          <w:sz w:val="24"/>
          <w:szCs w:val="24"/>
        </w:rPr>
      </w:pPr>
      <w:r>
        <w:rPr>
          <w:rFonts w:hint="eastAsia" w:ascii="新宋体" w:hAnsi="新宋体" w:eastAsia="新宋体" w:cs="新宋体"/>
          <w:sz w:val="24"/>
          <w:szCs w:val="24"/>
        </w:rPr>
        <w:t xml:space="preserve">2019年 </w:t>
      </w:r>
      <w:r>
        <w:rPr>
          <w:rFonts w:hint="eastAsia" w:ascii="新宋体" w:hAnsi="新宋体" w:eastAsia="新宋体" w:cs="新宋体"/>
          <w:sz w:val="24"/>
          <w:szCs w:val="24"/>
          <w:lang w:val="en-US" w:eastAsia="zh-CN"/>
        </w:rPr>
        <w:t>8</w:t>
      </w:r>
      <w:r>
        <w:rPr>
          <w:rFonts w:hint="eastAsia" w:ascii="新宋体" w:hAnsi="新宋体" w:eastAsia="新宋体" w:cs="新宋体"/>
          <w:sz w:val="24"/>
          <w:szCs w:val="24"/>
        </w:rPr>
        <w:t>月</w:t>
      </w:r>
      <w:r>
        <w:rPr>
          <w:rFonts w:hint="eastAsia" w:ascii="新宋体" w:hAnsi="新宋体" w:eastAsia="新宋体" w:cs="新宋体"/>
          <w:sz w:val="24"/>
          <w:szCs w:val="24"/>
          <w:lang w:val="en-US" w:eastAsia="zh-CN"/>
        </w:rPr>
        <w:t>7</w:t>
      </w:r>
      <w:r>
        <w:rPr>
          <w:rFonts w:hint="eastAsia" w:ascii="新宋体" w:hAnsi="新宋体" w:eastAsia="新宋体" w:cs="新宋体"/>
          <w:sz w:val="24"/>
          <w:szCs w:val="24"/>
        </w:rPr>
        <w:t>日</w:t>
      </w:r>
    </w:p>
    <w:p>
      <w:pPr>
        <w:spacing w:line="360" w:lineRule="auto"/>
        <w:rPr>
          <w:rFonts w:hint="eastAsia" w:ascii="新宋体" w:hAnsi="新宋体" w:eastAsia="新宋体" w:cs="新宋体"/>
          <w:b/>
          <w:sz w:val="28"/>
          <w:szCs w:val="28"/>
        </w:rPr>
      </w:pPr>
    </w:p>
    <w:p>
      <w:pPr>
        <w:spacing w:line="360" w:lineRule="auto"/>
        <w:rPr>
          <w:rFonts w:hAnsi="宋体"/>
          <w:b/>
          <w:sz w:val="28"/>
          <w:szCs w:val="28"/>
        </w:rPr>
      </w:pPr>
      <w:r>
        <w:rPr>
          <w:rFonts w:hint="eastAsia" w:hAnsi="宋体"/>
          <w:b/>
          <w:sz w:val="28"/>
          <w:szCs w:val="28"/>
        </w:rPr>
        <w:t>温馨提示：</w:t>
      </w:r>
    </w:p>
    <w:p>
      <w:pPr>
        <w:spacing w:line="360" w:lineRule="auto"/>
        <w:ind w:firstLine="562" w:firstLineChars="200"/>
        <w:rPr>
          <w:rFonts w:hAnsi="宋体"/>
          <w:b/>
          <w:sz w:val="28"/>
          <w:szCs w:val="28"/>
        </w:rPr>
      </w:pPr>
      <w:r>
        <w:rPr>
          <w:rFonts w:hint="eastAsia" w:hAnsi="宋体"/>
          <w:b/>
          <w:sz w:val="28"/>
          <w:szCs w:val="28"/>
        </w:rPr>
        <w:t>本项目为全流程电子化交易项目，请认真阅读谈判文件，并注意以下事项。</w:t>
      </w:r>
    </w:p>
    <w:p>
      <w:pPr>
        <w:pStyle w:val="22"/>
        <w:ind w:firstLine="320"/>
        <w:rPr>
          <w:rFonts w:ascii="仿宋_GB2312" w:eastAsia="仿宋_GB2312"/>
          <w:b/>
          <w:sz w:val="32"/>
          <w:szCs w:val="32"/>
        </w:rPr>
      </w:pPr>
    </w:p>
    <w:p>
      <w:pPr>
        <w:tabs>
          <w:tab w:val="left" w:pos="7095"/>
        </w:tabs>
        <w:spacing w:line="360" w:lineRule="auto"/>
        <w:ind w:firstLine="422" w:firstLineChars="200"/>
        <w:contextualSpacing/>
        <w:rPr>
          <w:rFonts w:hAnsi="宋体"/>
          <w:b/>
          <w:color w:val="000000"/>
          <w:szCs w:val="21"/>
        </w:rPr>
      </w:pPr>
      <w:r>
        <w:rPr>
          <w:rFonts w:hint="eastAsia" w:asciiTheme="minorEastAsia" w:hAnsiTheme="minorEastAsia"/>
          <w:b/>
          <w:color w:val="000000"/>
          <w:szCs w:val="21"/>
        </w:rPr>
        <w:t>1.</w:t>
      </w:r>
      <w:r>
        <w:rPr>
          <w:rFonts w:hint="eastAsia" w:hAnsi="宋体"/>
          <w:b/>
          <w:color w:val="000000"/>
          <w:szCs w:val="21"/>
        </w:rPr>
        <w:t>供应商应按谈判文件规定编制、提交电子响应文件和纸质响应文件。谈判响应文件递交地点、谈判现场不接受供应商递交的备份电子响应文件和纸质响应文件以外的其他资料。</w:t>
      </w:r>
    </w:p>
    <w:p>
      <w:pPr>
        <w:tabs>
          <w:tab w:val="left" w:pos="7095"/>
        </w:tabs>
        <w:spacing w:line="360" w:lineRule="auto"/>
        <w:ind w:firstLine="422" w:firstLineChars="200"/>
        <w:contextualSpacing/>
        <w:rPr>
          <w:rFonts w:hAnsi="宋体"/>
          <w:b/>
          <w:color w:val="000000"/>
          <w:szCs w:val="21"/>
        </w:rPr>
      </w:pPr>
      <w:r>
        <w:rPr>
          <w:rFonts w:hint="eastAsia" w:asciiTheme="minorEastAsia" w:hAnsiTheme="minorEastAsia"/>
          <w:b/>
          <w:color w:val="000000"/>
          <w:szCs w:val="21"/>
        </w:rPr>
        <w:t>2</w:t>
      </w:r>
      <w:r>
        <w:rPr>
          <w:rFonts w:asciiTheme="minorEastAsia" w:hAnsiTheme="minorEastAsia"/>
          <w:b/>
          <w:color w:val="000000"/>
          <w:szCs w:val="21"/>
        </w:rPr>
        <w:t>.</w:t>
      </w:r>
      <w:r>
        <w:rPr>
          <w:rFonts w:hint="eastAsia" w:hAnsi="宋体"/>
          <w:b/>
          <w:color w:val="000000"/>
          <w:szCs w:val="21"/>
        </w:rPr>
        <w:t>电子文件下载、制作、提交期间和谈判响应文件递交（</w:t>
      </w:r>
      <w:r>
        <w:rPr>
          <w:rFonts w:hint="eastAsia" w:hAnsi="宋体"/>
          <w:szCs w:val="21"/>
        </w:rPr>
        <w:t>电子响应文件的解密</w:t>
      </w:r>
      <w:r>
        <w:rPr>
          <w:rFonts w:hint="eastAsia" w:hAnsi="宋体"/>
          <w:b/>
          <w:color w:val="000000"/>
          <w:szCs w:val="21"/>
        </w:rPr>
        <w:t>）环节，供应商须使用</w:t>
      </w:r>
      <w:r>
        <w:rPr>
          <w:rFonts w:hAnsi="宋体"/>
          <w:b/>
          <w:color w:val="000000"/>
          <w:szCs w:val="21"/>
        </w:rPr>
        <w:t>CA数字证书</w:t>
      </w:r>
      <w:r>
        <w:rPr>
          <w:rFonts w:hint="eastAsia" w:hAnsi="宋体"/>
          <w:b/>
          <w:color w:val="000000"/>
          <w:szCs w:val="21"/>
        </w:rPr>
        <w:t>（证书须在有效期内）</w:t>
      </w:r>
      <w:r>
        <w:rPr>
          <w:rFonts w:hAnsi="宋体"/>
          <w:b/>
          <w:color w:val="000000"/>
          <w:szCs w:val="21"/>
        </w:rPr>
        <w:t>。</w:t>
      </w:r>
    </w:p>
    <w:p>
      <w:pPr>
        <w:tabs>
          <w:tab w:val="left" w:pos="7095"/>
        </w:tabs>
        <w:spacing w:line="360" w:lineRule="auto"/>
        <w:ind w:firstLine="422" w:firstLineChars="200"/>
        <w:contextualSpacing/>
        <w:rPr>
          <w:rFonts w:hAnsi="宋体"/>
          <w:b/>
          <w:color w:val="000000"/>
          <w:szCs w:val="21"/>
        </w:rPr>
      </w:pPr>
      <w:r>
        <w:rPr>
          <w:rFonts w:asciiTheme="minorEastAsia" w:hAnsiTheme="minorEastAsia"/>
          <w:b/>
          <w:color w:val="000000"/>
          <w:szCs w:val="21"/>
        </w:rPr>
        <w:t>3</w:t>
      </w:r>
      <w:r>
        <w:rPr>
          <w:rFonts w:hint="eastAsia" w:asciiTheme="minorEastAsia" w:hAnsiTheme="minorEastAsia"/>
          <w:b/>
          <w:color w:val="000000"/>
          <w:szCs w:val="21"/>
        </w:rPr>
        <w:t>.</w:t>
      </w:r>
      <w:r>
        <w:rPr>
          <w:rFonts w:hint="eastAsia" w:hAnsi="宋体"/>
          <w:b/>
          <w:color w:val="000000"/>
          <w:szCs w:val="21"/>
        </w:rPr>
        <w:t>电子响应文件的制作</w:t>
      </w:r>
    </w:p>
    <w:p>
      <w:pPr>
        <w:tabs>
          <w:tab w:val="left" w:pos="7095"/>
        </w:tabs>
        <w:spacing w:line="360" w:lineRule="auto"/>
        <w:ind w:firstLine="480" w:firstLineChars="200"/>
        <w:contextualSpacing/>
        <w:rPr>
          <w:rFonts w:hAnsi="宋体"/>
          <w:color w:val="000000"/>
          <w:sz w:val="24"/>
          <w:szCs w:val="24"/>
        </w:rPr>
      </w:pPr>
      <w:r>
        <w:rPr>
          <w:rFonts w:asciiTheme="minorEastAsia" w:hAnsiTheme="minorEastAsia"/>
          <w:color w:val="000000"/>
          <w:sz w:val="24"/>
          <w:szCs w:val="24"/>
        </w:rPr>
        <w:t>3</w:t>
      </w:r>
      <w:r>
        <w:rPr>
          <w:rFonts w:hint="eastAsia" w:asciiTheme="minorEastAsia" w:hAnsiTheme="minorEastAsia"/>
          <w:color w:val="000000"/>
          <w:sz w:val="24"/>
          <w:szCs w:val="24"/>
        </w:rPr>
        <w:t>.1</w:t>
      </w:r>
      <w:r>
        <w:rPr>
          <w:rFonts w:hint="eastAsia" w:hAnsi="宋体"/>
          <w:color w:val="000000"/>
          <w:sz w:val="24"/>
          <w:szCs w:val="24"/>
        </w:rPr>
        <w:t xml:space="preserve"> 供应商登录《全国公共资源交易平台</w:t>
      </w:r>
      <w:r>
        <w:rPr>
          <w:rFonts w:hint="eastAsia" w:asciiTheme="majorEastAsia" w:hAnsiTheme="majorEastAsia" w:eastAsiaTheme="majorEastAsia"/>
          <w:color w:val="000000"/>
          <w:sz w:val="24"/>
          <w:szCs w:val="24"/>
        </w:rPr>
        <w:t>(</w:t>
      </w:r>
      <w:r>
        <w:rPr>
          <w:rFonts w:hint="eastAsia" w:hAnsi="宋体"/>
          <w:color w:val="000000"/>
          <w:sz w:val="24"/>
          <w:szCs w:val="24"/>
        </w:rPr>
        <w:t>河南省</w:t>
      </w:r>
      <w:r>
        <w:rPr>
          <w:rFonts w:hint="eastAsia" w:ascii="MS Mincho" w:hAnsi="MS Mincho" w:eastAsia="MS Mincho" w:cs="MS Mincho"/>
          <w:color w:val="000000"/>
          <w:sz w:val="24"/>
          <w:szCs w:val="24"/>
        </w:rPr>
        <w:t>▪</w:t>
      </w:r>
      <w:r>
        <w:rPr>
          <w:rFonts w:hint="eastAsia" w:ascii="宋体" w:hAnsi="宋体" w:eastAsia="宋体" w:cs="宋体"/>
          <w:color w:val="000000"/>
          <w:sz w:val="24"/>
          <w:szCs w:val="24"/>
        </w:rPr>
        <w:t>许昌市</w:t>
      </w:r>
      <w:r>
        <w:rPr>
          <w:rFonts w:hint="eastAsia" w:asciiTheme="minorEastAsia" w:hAnsiTheme="minorEastAsia"/>
          <w:color w:val="000000"/>
          <w:sz w:val="24"/>
          <w:szCs w:val="24"/>
        </w:rPr>
        <w:t>)</w:t>
      </w:r>
      <w:r>
        <w:rPr>
          <w:rFonts w:hint="eastAsia" w:hAnsi="宋体"/>
          <w:color w:val="000000"/>
          <w:sz w:val="24"/>
          <w:szCs w:val="24"/>
        </w:rPr>
        <w:t>》公共资源交易系统（</w:t>
      </w:r>
      <w:r>
        <w:rPr>
          <w:sz w:val="24"/>
          <w:szCs w:val="24"/>
        </w:rPr>
        <w:fldChar w:fldCharType="begin"/>
      </w:r>
      <w:r>
        <w:rPr>
          <w:sz w:val="24"/>
          <w:szCs w:val="24"/>
        </w:rPr>
        <w:instrText xml:space="preserve"> HYPERLINK "http://221.14.6.70:8088/ggzy/" </w:instrText>
      </w:r>
      <w:r>
        <w:rPr>
          <w:sz w:val="24"/>
          <w:szCs w:val="24"/>
        </w:rPr>
        <w:fldChar w:fldCharType="separate"/>
      </w:r>
      <w:r>
        <w:rPr>
          <w:rStyle w:val="29"/>
          <w:rFonts w:hAnsi="宋体"/>
          <w:sz w:val="24"/>
          <w:szCs w:val="24"/>
        </w:rPr>
        <w:t>http://221.14.6.70:8088/ggzy/</w:t>
      </w:r>
      <w:r>
        <w:rPr>
          <w:rStyle w:val="29"/>
          <w:rFonts w:hAnsi="宋体"/>
          <w:sz w:val="24"/>
          <w:szCs w:val="24"/>
        </w:rPr>
        <w:fldChar w:fldCharType="end"/>
      </w:r>
      <w:r>
        <w:rPr>
          <w:rFonts w:hint="eastAsia" w:hAnsi="宋体"/>
          <w:color w:val="000000"/>
          <w:sz w:val="24"/>
          <w:szCs w:val="24"/>
        </w:rPr>
        <w:t>）下载“许昌投标文件制作系统SEARUN 最新版本”，按谈判文件要求制作电子响应文件。</w:t>
      </w:r>
    </w:p>
    <w:p>
      <w:pPr>
        <w:tabs>
          <w:tab w:val="left" w:pos="7095"/>
        </w:tabs>
        <w:spacing w:line="360" w:lineRule="auto"/>
        <w:ind w:firstLine="480" w:firstLineChars="200"/>
        <w:contextualSpacing/>
        <w:rPr>
          <w:rFonts w:hAnsi="宋体"/>
          <w:color w:val="000000"/>
          <w:sz w:val="24"/>
          <w:szCs w:val="24"/>
        </w:rPr>
      </w:pPr>
      <w:r>
        <w:rPr>
          <w:rFonts w:hint="eastAsia" w:hAnsi="宋体"/>
          <w:color w:val="000000"/>
          <w:sz w:val="24"/>
          <w:szCs w:val="24"/>
        </w:rPr>
        <w:t>电子响应文件的制作，参考《全国公共资源交易平台</w:t>
      </w:r>
      <w:r>
        <w:rPr>
          <w:rFonts w:hint="eastAsia" w:asciiTheme="minorEastAsia" w:hAnsiTheme="minorEastAsia"/>
          <w:color w:val="000000"/>
          <w:sz w:val="24"/>
          <w:szCs w:val="24"/>
        </w:rPr>
        <w:t>(</w:t>
      </w:r>
      <w:r>
        <w:rPr>
          <w:rFonts w:hint="eastAsia" w:hAnsi="宋体"/>
          <w:color w:val="000000"/>
          <w:sz w:val="24"/>
          <w:szCs w:val="24"/>
        </w:rPr>
        <w:t>河南省</w:t>
      </w:r>
      <w:r>
        <w:rPr>
          <w:rFonts w:hint="eastAsia" w:ascii="MS Mincho" w:hAnsi="MS Mincho" w:eastAsia="MS Mincho" w:cs="MS Mincho"/>
          <w:color w:val="000000"/>
          <w:sz w:val="24"/>
          <w:szCs w:val="24"/>
        </w:rPr>
        <w:t>▪</w:t>
      </w:r>
      <w:r>
        <w:rPr>
          <w:rFonts w:hint="eastAsia" w:ascii="宋体" w:hAnsi="宋体" w:eastAsia="宋体" w:cs="宋体"/>
          <w:color w:val="000000"/>
          <w:sz w:val="24"/>
          <w:szCs w:val="24"/>
        </w:rPr>
        <w:t>许昌市</w:t>
      </w:r>
      <w:r>
        <w:rPr>
          <w:rFonts w:hint="eastAsia" w:asciiTheme="minorEastAsia" w:hAnsiTheme="minorEastAsia"/>
          <w:color w:val="000000"/>
          <w:sz w:val="24"/>
          <w:szCs w:val="24"/>
        </w:rPr>
        <w:t>)</w:t>
      </w:r>
      <w:r>
        <w:rPr>
          <w:rFonts w:hint="eastAsia" w:hAnsi="宋体"/>
          <w:color w:val="000000"/>
          <w:sz w:val="24"/>
          <w:szCs w:val="24"/>
        </w:rPr>
        <w:t>》公共资源交易系统——组件下载——交易系统操作手册（投标人、供应商）。</w:t>
      </w:r>
    </w:p>
    <w:p>
      <w:pPr>
        <w:tabs>
          <w:tab w:val="left" w:pos="7095"/>
        </w:tabs>
        <w:spacing w:line="360" w:lineRule="auto"/>
        <w:ind w:firstLine="480" w:firstLineChars="200"/>
        <w:contextualSpacing/>
        <w:rPr>
          <w:rFonts w:hAnsi="宋体"/>
          <w:color w:val="000000"/>
          <w:sz w:val="24"/>
          <w:szCs w:val="24"/>
        </w:rPr>
      </w:pPr>
      <w:r>
        <w:rPr>
          <w:rFonts w:asciiTheme="minorEastAsia" w:hAnsiTheme="minorEastAsia"/>
          <w:color w:val="000000"/>
          <w:sz w:val="24"/>
          <w:szCs w:val="24"/>
        </w:rPr>
        <w:t>3</w:t>
      </w:r>
      <w:r>
        <w:rPr>
          <w:rFonts w:hint="eastAsia" w:asciiTheme="minorEastAsia" w:hAnsiTheme="minorEastAsia"/>
          <w:color w:val="000000"/>
          <w:sz w:val="24"/>
          <w:szCs w:val="24"/>
        </w:rPr>
        <w:t>.</w:t>
      </w:r>
      <w:r>
        <w:rPr>
          <w:rFonts w:asciiTheme="minorEastAsia" w:hAnsiTheme="minorEastAsia"/>
          <w:color w:val="000000"/>
          <w:sz w:val="24"/>
          <w:szCs w:val="24"/>
        </w:rPr>
        <w:t>2</w:t>
      </w:r>
      <w:r>
        <w:rPr>
          <w:rFonts w:hint="eastAsia" w:hAnsi="宋体"/>
          <w:color w:val="000000"/>
          <w:sz w:val="24"/>
          <w:szCs w:val="24"/>
        </w:rPr>
        <w:t xml:space="preserve"> 供应商须将谈判文件要求的资质、业绩、荣誉及相关人员证明材料等资料原件扫描件（或图片）制作到所提交的电子响应文件中。</w:t>
      </w:r>
    </w:p>
    <w:p>
      <w:pPr>
        <w:tabs>
          <w:tab w:val="left" w:pos="7095"/>
        </w:tabs>
        <w:spacing w:line="360" w:lineRule="auto"/>
        <w:ind w:firstLine="480" w:firstLineChars="200"/>
        <w:contextualSpacing/>
        <w:rPr>
          <w:rFonts w:hAnsi="宋体"/>
          <w:color w:val="000000"/>
          <w:sz w:val="24"/>
          <w:szCs w:val="24"/>
        </w:rPr>
      </w:pPr>
      <w:r>
        <w:rPr>
          <w:rFonts w:asciiTheme="minorEastAsia" w:hAnsiTheme="minorEastAsia"/>
          <w:color w:val="000000"/>
          <w:sz w:val="24"/>
          <w:szCs w:val="24"/>
        </w:rPr>
        <w:t>3.3</w:t>
      </w:r>
      <w:r>
        <w:rPr>
          <w:rFonts w:hint="eastAsia" w:hAnsi="宋体"/>
          <w:color w:val="000000"/>
          <w:sz w:val="24"/>
          <w:szCs w:val="24"/>
        </w:rPr>
        <w:t>供应商对同一项目多个标段进行报价的，应分别下载所响应标段的谈判文件，按标段制作电子响应文件，并</w:t>
      </w:r>
      <w:r>
        <w:rPr>
          <w:rFonts w:hAnsi="宋体"/>
          <w:color w:val="000000"/>
          <w:sz w:val="24"/>
          <w:szCs w:val="24"/>
        </w:rPr>
        <w:t>按</w:t>
      </w:r>
      <w:r>
        <w:rPr>
          <w:rFonts w:hint="eastAsia" w:hAnsi="宋体"/>
          <w:color w:val="000000"/>
          <w:sz w:val="24"/>
          <w:szCs w:val="24"/>
        </w:rPr>
        <w:t>谈判</w:t>
      </w:r>
      <w:r>
        <w:rPr>
          <w:rFonts w:hAnsi="宋体"/>
          <w:color w:val="000000"/>
          <w:sz w:val="24"/>
          <w:szCs w:val="24"/>
        </w:rPr>
        <w:t>文件要求在相应位置加盖</w:t>
      </w:r>
      <w:r>
        <w:rPr>
          <w:rFonts w:hint="eastAsia" w:hAnsi="宋体"/>
          <w:color w:val="000000"/>
          <w:sz w:val="24"/>
          <w:szCs w:val="24"/>
        </w:rPr>
        <w:t>供应商</w:t>
      </w:r>
      <w:r>
        <w:rPr>
          <w:rFonts w:hAnsi="宋体"/>
          <w:color w:val="000000"/>
          <w:sz w:val="24"/>
          <w:szCs w:val="24"/>
        </w:rPr>
        <w:t>电子印章</w:t>
      </w:r>
      <w:r>
        <w:rPr>
          <w:rFonts w:hint="eastAsia" w:hAnsi="宋体"/>
          <w:color w:val="000000"/>
          <w:sz w:val="24"/>
          <w:szCs w:val="24"/>
        </w:rPr>
        <w:t>和法人电子印章。</w:t>
      </w:r>
    </w:p>
    <w:p>
      <w:pPr>
        <w:tabs>
          <w:tab w:val="left" w:pos="7095"/>
        </w:tabs>
        <w:spacing w:line="360" w:lineRule="auto"/>
        <w:ind w:left="105" w:leftChars="50" w:firstLine="360" w:firstLineChars="150"/>
        <w:contextualSpacing/>
        <w:rPr>
          <w:rFonts w:hAnsi="宋体"/>
          <w:color w:val="000000"/>
          <w:sz w:val="24"/>
          <w:szCs w:val="24"/>
        </w:rPr>
      </w:pPr>
      <w:r>
        <w:rPr>
          <w:rFonts w:hint="eastAsia" w:hAnsi="宋体"/>
          <w:color w:val="000000"/>
          <w:sz w:val="24"/>
          <w:szCs w:val="24"/>
        </w:rPr>
        <w:t>一个标段对应生成一个文件夹（xxxx项目xx标段）, 其中包含2个文件和1个文件夹。后缀名为“</w:t>
      </w:r>
      <w:r>
        <w:rPr>
          <w:rFonts w:hAnsi="宋体"/>
          <w:color w:val="000000"/>
          <w:sz w:val="24"/>
          <w:szCs w:val="24"/>
        </w:rPr>
        <w:t>.file</w:t>
      </w:r>
      <w:r>
        <w:rPr>
          <w:rFonts w:hint="eastAsia" w:hAnsi="宋体"/>
          <w:color w:val="000000"/>
          <w:sz w:val="24"/>
          <w:szCs w:val="24"/>
        </w:rPr>
        <w:t>”的文件用于电子响应使用，后缀名为“.PDF”的文件用于打印纸质响应文件，名称为“备份”的文件夹使用电子介质存储，供谈判响应文件递交现场备用。</w:t>
      </w:r>
    </w:p>
    <w:p>
      <w:pPr>
        <w:tabs>
          <w:tab w:val="left" w:pos="7095"/>
        </w:tabs>
        <w:spacing w:line="360" w:lineRule="auto"/>
        <w:ind w:firstLine="482" w:firstLineChars="200"/>
        <w:contextualSpacing/>
        <w:rPr>
          <w:rFonts w:hAnsi="宋体"/>
          <w:b/>
          <w:color w:val="000000"/>
          <w:sz w:val="24"/>
          <w:szCs w:val="24"/>
        </w:rPr>
      </w:pPr>
      <w:r>
        <w:rPr>
          <w:rFonts w:asciiTheme="minorEastAsia" w:hAnsiTheme="minorEastAsia"/>
          <w:b/>
          <w:color w:val="000000"/>
          <w:sz w:val="24"/>
          <w:szCs w:val="24"/>
        </w:rPr>
        <w:t>4</w:t>
      </w:r>
      <w:r>
        <w:rPr>
          <w:rFonts w:hint="eastAsia" w:asciiTheme="minorEastAsia" w:hAnsiTheme="minorEastAsia"/>
          <w:b/>
          <w:color w:val="000000"/>
          <w:sz w:val="24"/>
          <w:szCs w:val="24"/>
        </w:rPr>
        <w:t>.加密</w:t>
      </w:r>
      <w:r>
        <w:rPr>
          <w:rFonts w:hint="eastAsia" w:hAnsi="宋体"/>
          <w:b/>
          <w:color w:val="000000"/>
          <w:sz w:val="24"/>
          <w:szCs w:val="24"/>
        </w:rPr>
        <w:t>电子响应文件的提交</w:t>
      </w:r>
    </w:p>
    <w:p>
      <w:pPr>
        <w:tabs>
          <w:tab w:val="left" w:pos="7095"/>
        </w:tabs>
        <w:spacing w:line="360" w:lineRule="auto"/>
        <w:contextualSpacing/>
        <w:rPr>
          <w:rFonts w:hAnsi="宋体"/>
          <w:color w:val="000000"/>
          <w:sz w:val="24"/>
          <w:szCs w:val="24"/>
        </w:rPr>
      </w:pPr>
      <w:r>
        <w:rPr>
          <w:rFonts w:asciiTheme="minorEastAsia" w:hAnsiTheme="minorEastAsia"/>
          <w:color w:val="000000"/>
          <w:sz w:val="24"/>
          <w:szCs w:val="24"/>
        </w:rPr>
        <w:t>4</w:t>
      </w:r>
      <w:r>
        <w:rPr>
          <w:rFonts w:hint="eastAsia" w:asciiTheme="minorEastAsia" w:hAnsiTheme="minorEastAsia"/>
          <w:color w:val="000000"/>
          <w:sz w:val="24"/>
          <w:szCs w:val="24"/>
        </w:rPr>
        <w:t>.1加密</w:t>
      </w:r>
      <w:r>
        <w:rPr>
          <w:rFonts w:hint="eastAsia" w:hAnsi="宋体"/>
          <w:color w:val="000000"/>
          <w:sz w:val="24"/>
          <w:szCs w:val="24"/>
        </w:rPr>
        <w:t>电子响应文件应在谈判文件规定的谈判响应截止时间（谈判时间）之前成功提交至《全国公共资源交易平台(河南省</w:t>
      </w:r>
      <w:r>
        <w:rPr>
          <w:rFonts w:hint="eastAsia" w:ascii="MS Mincho" w:hAnsi="MS Mincho" w:eastAsia="MS Mincho" w:cs="MS Mincho"/>
          <w:color w:val="000000"/>
          <w:sz w:val="24"/>
          <w:szCs w:val="24"/>
        </w:rPr>
        <w:t>▪</w:t>
      </w:r>
      <w:r>
        <w:rPr>
          <w:rFonts w:hint="eastAsia" w:ascii="宋体" w:hAnsi="宋体" w:eastAsia="宋体" w:cs="宋体"/>
          <w:color w:val="000000"/>
          <w:sz w:val="24"/>
          <w:szCs w:val="24"/>
        </w:rPr>
        <w:t>许昌市</w:t>
      </w:r>
      <w:r>
        <w:rPr>
          <w:rFonts w:hint="eastAsia" w:hAnsi="宋体"/>
          <w:color w:val="000000"/>
          <w:sz w:val="24"/>
          <w:szCs w:val="24"/>
        </w:rPr>
        <w:t>)》公共资源交易系统（</w:t>
      </w:r>
      <w:r>
        <w:rPr>
          <w:sz w:val="24"/>
          <w:szCs w:val="24"/>
        </w:rPr>
        <w:fldChar w:fldCharType="begin"/>
      </w:r>
      <w:r>
        <w:rPr>
          <w:sz w:val="24"/>
          <w:szCs w:val="24"/>
        </w:rPr>
        <w:instrText xml:space="preserve"> HYPERLINK "http://221.14.6.70:8088/ggzy/" </w:instrText>
      </w:r>
      <w:r>
        <w:rPr>
          <w:sz w:val="24"/>
          <w:szCs w:val="24"/>
        </w:rPr>
        <w:fldChar w:fldCharType="separate"/>
      </w:r>
      <w:r>
        <w:rPr>
          <w:rStyle w:val="29"/>
          <w:rFonts w:hAnsi="宋体"/>
          <w:sz w:val="24"/>
          <w:szCs w:val="24"/>
        </w:rPr>
        <w:t>http://221.14.6.70:8088/ggzy/</w:t>
      </w:r>
      <w:r>
        <w:rPr>
          <w:rStyle w:val="29"/>
          <w:rFonts w:hAnsi="宋体"/>
          <w:sz w:val="24"/>
          <w:szCs w:val="24"/>
        </w:rPr>
        <w:fldChar w:fldCharType="end"/>
      </w:r>
      <w:r>
        <w:rPr>
          <w:rFonts w:hint="eastAsia" w:hAnsi="宋体"/>
          <w:color w:val="000000"/>
          <w:sz w:val="24"/>
          <w:szCs w:val="24"/>
        </w:rPr>
        <w:t>）。</w:t>
      </w:r>
    </w:p>
    <w:p>
      <w:pPr>
        <w:tabs>
          <w:tab w:val="left" w:pos="7095"/>
        </w:tabs>
        <w:spacing w:line="360" w:lineRule="auto"/>
        <w:ind w:firstLine="480" w:firstLineChars="200"/>
        <w:contextualSpacing/>
        <w:rPr>
          <w:rFonts w:hAnsi="宋体"/>
          <w:color w:val="000000"/>
          <w:sz w:val="24"/>
          <w:szCs w:val="24"/>
        </w:rPr>
      </w:pPr>
      <w:r>
        <w:rPr>
          <w:rFonts w:hint="eastAsia" w:hAnsi="宋体"/>
          <w:color w:val="000000"/>
          <w:sz w:val="24"/>
          <w:szCs w:val="24"/>
        </w:rPr>
        <w:t>供应商应充分考虑并预留技术处理和上传数据所需时间。</w:t>
      </w:r>
    </w:p>
    <w:p>
      <w:pPr>
        <w:tabs>
          <w:tab w:val="left" w:pos="7095"/>
        </w:tabs>
        <w:spacing w:line="360" w:lineRule="auto"/>
        <w:ind w:firstLine="480" w:firstLineChars="200"/>
        <w:contextualSpacing/>
        <w:rPr>
          <w:rFonts w:hAnsi="宋体"/>
          <w:color w:val="000000"/>
          <w:sz w:val="24"/>
          <w:szCs w:val="24"/>
        </w:rPr>
      </w:pPr>
      <w:r>
        <w:rPr>
          <w:rFonts w:asciiTheme="minorEastAsia" w:hAnsiTheme="minorEastAsia"/>
          <w:color w:val="000000"/>
          <w:sz w:val="24"/>
          <w:szCs w:val="24"/>
        </w:rPr>
        <w:t>4.</w:t>
      </w:r>
      <w:r>
        <w:rPr>
          <w:rFonts w:hint="eastAsia" w:asciiTheme="minorEastAsia" w:hAnsiTheme="minorEastAsia"/>
          <w:color w:val="000000"/>
          <w:sz w:val="24"/>
          <w:szCs w:val="24"/>
        </w:rPr>
        <w:t xml:space="preserve">2 </w:t>
      </w:r>
      <w:r>
        <w:rPr>
          <w:rFonts w:hint="eastAsia" w:hAnsi="宋体"/>
          <w:color w:val="000000"/>
          <w:sz w:val="24"/>
          <w:szCs w:val="24"/>
        </w:rPr>
        <w:t>供应商对同一项目多个标段进行报价的，加密电子响应文件应按标段分别提交。</w:t>
      </w:r>
    </w:p>
    <w:p>
      <w:pPr>
        <w:tabs>
          <w:tab w:val="left" w:pos="7095"/>
        </w:tabs>
        <w:spacing w:line="360" w:lineRule="auto"/>
        <w:ind w:firstLine="480" w:firstLineChars="200"/>
        <w:contextualSpacing/>
        <w:rPr>
          <w:rFonts w:hAnsi="宋体"/>
          <w:color w:val="000000"/>
          <w:sz w:val="24"/>
          <w:szCs w:val="24"/>
        </w:rPr>
      </w:pPr>
      <w:r>
        <w:rPr>
          <w:rFonts w:asciiTheme="minorEastAsia" w:hAnsiTheme="minorEastAsia"/>
          <w:color w:val="000000"/>
          <w:sz w:val="24"/>
          <w:szCs w:val="24"/>
        </w:rPr>
        <w:t>4</w:t>
      </w:r>
      <w:r>
        <w:rPr>
          <w:rFonts w:hint="eastAsia" w:asciiTheme="minorEastAsia" w:hAnsiTheme="minorEastAsia"/>
          <w:color w:val="000000"/>
          <w:sz w:val="24"/>
          <w:szCs w:val="24"/>
        </w:rPr>
        <w:t>.</w:t>
      </w:r>
      <w:r>
        <w:rPr>
          <w:rFonts w:asciiTheme="minorEastAsia" w:hAnsiTheme="minorEastAsia"/>
          <w:color w:val="000000"/>
          <w:sz w:val="24"/>
          <w:szCs w:val="24"/>
        </w:rPr>
        <w:t>3</w:t>
      </w:r>
      <w:r>
        <w:rPr>
          <w:rFonts w:hint="eastAsia" w:asciiTheme="minorEastAsia" w:hAnsiTheme="minorEastAsia"/>
          <w:color w:val="000000"/>
          <w:sz w:val="24"/>
          <w:szCs w:val="24"/>
        </w:rPr>
        <w:t xml:space="preserve"> 加密</w:t>
      </w:r>
      <w:r>
        <w:rPr>
          <w:rFonts w:hint="eastAsia" w:hAnsi="宋体"/>
          <w:color w:val="000000"/>
          <w:sz w:val="24"/>
          <w:szCs w:val="24"/>
        </w:rPr>
        <w:t>电子响应文件成功提交后，供应商应打印“投标文件提交回执单”供谈判响应文件递交现场备查。</w:t>
      </w:r>
    </w:p>
    <w:p>
      <w:pPr>
        <w:tabs>
          <w:tab w:val="left" w:pos="7095"/>
        </w:tabs>
        <w:spacing w:line="360" w:lineRule="auto"/>
        <w:ind w:firstLine="482" w:firstLineChars="200"/>
        <w:contextualSpacing/>
        <w:rPr>
          <w:rFonts w:hAnsi="宋体"/>
          <w:b/>
          <w:color w:val="000000"/>
          <w:sz w:val="24"/>
          <w:szCs w:val="24"/>
        </w:rPr>
      </w:pPr>
      <w:r>
        <w:rPr>
          <w:rFonts w:asciiTheme="minorEastAsia" w:hAnsiTheme="minorEastAsia"/>
          <w:b/>
          <w:color w:val="000000"/>
          <w:sz w:val="24"/>
          <w:szCs w:val="24"/>
        </w:rPr>
        <w:t>5</w:t>
      </w:r>
      <w:r>
        <w:rPr>
          <w:rFonts w:hint="eastAsia" w:asciiTheme="minorEastAsia" w:hAnsiTheme="minorEastAsia"/>
          <w:b/>
          <w:color w:val="000000"/>
          <w:sz w:val="24"/>
          <w:szCs w:val="24"/>
        </w:rPr>
        <w:t>.</w:t>
      </w:r>
      <w:r>
        <w:rPr>
          <w:rFonts w:hint="eastAsia" w:hAnsi="宋体"/>
          <w:b/>
          <w:color w:val="000000"/>
          <w:sz w:val="24"/>
          <w:szCs w:val="24"/>
        </w:rPr>
        <w:t>评审依据</w:t>
      </w:r>
    </w:p>
    <w:p>
      <w:pPr>
        <w:tabs>
          <w:tab w:val="left" w:pos="7095"/>
        </w:tabs>
        <w:spacing w:line="360" w:lineRule="auto"/>
        <w:ind w:firstLine="480" w:firstLineChars="200"/>
        <w:contextualSpacing/>
        <w:rPr>
          <w:rFonts w:hAnsi="宋体"/>
          <w:color w:val="000000"/>
          <w:sz w:val="24"/>
          <w:szCs w:val="24"/>
        </w:rPr>
      </w:pPr>
      <w:r>
        <w:rPr>
          <w:rFonts w:hint="eastAsia" w:asciiTheme="minorEastAsia" w:hAnsiTheme="minorEastAsia"/>
          <w:color w:val="000000"/>
          <w:sz w:val="24"/>
          <w:szCs w:val="24"/>
        </w:rPr>
        <w:t>5.1</w:t>
      </w:r>
      <w:r>
        <w:rPr>
          <w:rFonts w:hint="eastAsia" w:hAnsi="宋体"/>
          <w:color w:val="000000"/>
          <w:sz w:val="24"/>
          <w:szCs w:val="24"/>
        </w:rPr>
        <w:t>采用全流程电子化交易评审时，谈判小组以电子响应文件为依据评审。</w:t>
      </w:r>
    </w:p>
    <w:p>
      <w:pPr>
        <w:tabs>
          <w:tab w:val="left" w:pos="7095"/>
        </w:tabs>
        <w:spacing w:line="360" w:lineRule="auto"/>
        <w:ind w:firstLine="480" w:firstLineChars="200"/>
        <w:contextualSpacing/>
        <w:rPr>
          <w:rFonts w:hAnsi="宋体"/>
          <w:color w:val="000000"/>
          <w:sz w:val="24"/>
          <w:szCs w:val="24"/>
        </w:rPr>
      </w:pPr>
      <w:r>
        <w:rPr>
          <w:rFonts w:hint="eastAsia" w:asciiTheme="minorEastAsia" w:hAnsiTheme="minorEastAsia"/>
          <w:color w:val="000000"/>
          <w:sz w:val="24"/>
          <w:szCs w:val="24"/>
        </w:rPr>
        <w:t>5.2</w:t>
      </w:r>
      <w:r>
        <w:rPr>
          <w:rFonts w:hint="eastAsia" w:hAnsi="宋体"/>
          <w:color w:val="000000"/>
          <w:sz w:val="24"/>
          <w:szCs w:val="24"/>
        </w:rPr>
        <w:t>全流程电子化交易如因系统异常情况无法完成，将以人工方式进行。谈判小组以纸质响应文件为依据评审。</w:t>
      </w:r>
    </w:p>
    <w:p>
      <w:pPr>
        <w:autoSpaceDE w:val="0"/>
        <w:autoSpaceDN w:val="0"/>
        <w:adjustRightInd w:val="0"/>
        <w:spacing w:line="700" w:lineRule="exact"/>
        <w:ind w:firstLine="560"/>
        <w:rPr>
          <w:rFonts w:cs="仿宋_GB2312" w:asciiTheme="minorEastAsia" w:hAnsiTheme="minorEastAsia"/>
          <w:color w:val="000000"/>
          <w:sz w:val="24"/>
          <w:szCs w:val="24"/>
        </w:rPr>
      </w:pPr>
    </w:p>
    <w:p>
      <w:pPr>
        <w:autoSpaceDE w:val="0"/>
        <w:autoSpaceDN w:val="0"/>
        <w:adjustRightInd w:val="0"/>
        <w:spacing w:line="700" w:lineRule="exact"/>
        <w:ind w:firstLine="560"/>
        <w:rPr>
          <w:rFonts w:cs="仿宋_GB2312" w:asciiTheme="minorEastAsia" w:hAnsiTheme="minorEastAsia"/>
          <w:color w:val="000000"/>
          <w:sz w:val="24"/>
          <w:szCs w:val="24"/>
        </w:rPr>
      </w:pPr>
    </w:p>
    <w:p>
      <w:pPr>
        <w:autoSpaceDE w:val="0"/>
        <w:autoSpaceDN w:val="0"/>
        <w:adjustRightInd w:val="0"/>
        <w:spacing w:line="700" w:lineRule="exact"/>
        <w:ind w:firstLine="560"/>
        <w:rPr>
          <w:rFonts w:cs="仿宋_GB2312" w:asciiTheme="minorEastAsia" w:hAnsiTheme="minorEastAsia"/>
          <w:color w:val="000000"/>
          <w:sz w:val="24"/>
          <w:szCs w:val="24"/>
        </w:rPr>
      </w:pPr>
    </w:p>
    <w:p>
      <w:pPr>
        <w:autoSpaceDE w:val="0"/>
        <w:autoSpaceDN w:val="0"/>
        <w:adjustRightInd w:val="0"/>
        <w:spacing w:line="700" w:lineRule="exact"/>
        <w:ind w:firstLine="560"/>
        <w:rPr>
          <w:rFonts w:cs="仿宋_GB2312" w:asciiTheme="minorEastAsia" w:hAnsiTheme="minorEastAsia"/>
          <w:color w:val="000000"/>
          <w:sz w:val="24"/>
          <w:szCs w:val="24"/>
        </w:rPr>
      </w:pPr>
    </w:p>
    <w:p>
      <w:pPr>
        <w:jc w:val="center"/>
        <w:rPr>
          <w:rFonts w:cs="宋体" w:asciiTheme="majorEastAsia" w:hAnsiTheme="majorEastAsia" w:eastAsiaTheme="majorEastAsia"/>
          <w:b/>
          <w:kern w:val="0"/>
          <w:sz w:val="24"/>
          <w:szCs w:val="24"/>
        </w:rPr>
      </w:pPr>
    </w:p>
    <w:p>
      <w:pPr>
        <w:jc w:val="center"/>
        <w:rPr>
          <w:rFonts w:hint="eastAsia" w:cs="宋体" w:asciiTheme="majorEastAsia" w:hAnsiTheme="majorEastAsia" w:eastAsiaTheme="majorEastAsia"/>
          <w:b/>
          <w:kern w:val="0"/>
          <w:sz w:val="32"/>
          <w:szCs w:val="32"/>
        </w:rPr>
      </w:pPr>
    </w:p>
    <w:p>
      <w:pPr>
        <w:jc w:val="center"/>
        <w:rPr>
          <w:rFonts w:hint="eastAsia" w:cs="宋体" w:asciiTheme="majorEastAsia" w:hAnsiTheme="majorEastAsia" w:eastAsiaTheme="majorEastAsia"/>
          <w:b/>
          <w:kern w:val="0"/>
          <w:sz w:val="32"/>
          <w:szCs w:val="32"/>
        </w:rPr>
      </w:pPr>
    </w:p>
    <w:p>
      <w:pPr>
        <w:jc w:val="center"/>
        <w:rPr>
          <w:rFonts w:hint="eastAsia" w:cs="宋体" w:asciiTheme="majorEastAsia" w:hAnsiTheme="majorEastAsia" w:eastAsiaTheme="majorEastAsia"/>
          <w:b/>
          <w:kern w:val="0"/>
          <w:sz w:val="32"/>
          <w:szCs w:val="32"/>
        </w:rPr>
      </w:pPr>
    </w:p>
    <w:p>
      <w:pPr>
        <w:jc w:val="center"/>
        <w:rPr>
          <w:rFonts w:hint="eastAsia" w:cs="宋体" w:asciiTheme="majorEastAsia" w:hAnsiTheme="majorEastAsia" w:eastAsiaTheme="majorEastAsia"/>
          <w:b/>
          <w:kern w:val="0"/>
          <w:sz w:val="32"/>
          <w:szCs w:val="32"/>
        </w:rPr>
      </w:pPr>
    </w:p>
    <w:p>
      <w:pPr>
        <w:jc w:val="center"/>
        <w:rPr>
          <w:rFonts w:hint="eastAsia" w:cs="宋体" w:asciiTheme="majorEastAsia" w:hAnsiTheme="majorEastAsia" w:eastAsiaTheme="majorEastAsia"/>
          <w:b/>
          <w:kern w:val="0"/>
          <w:sz w:val="32"/>
          <w:szCs w:val="32"/>
        </w:rPr>
      </w:pPr>
    </w:p>
    <w:p>
      <w:pPr>
        <w:jc w:val="center"/>
        <w:rPr>
          <w:rFonts w:hint="eastAsia" w:cs="宋体" w:asciiTheme="majorEastAsia" w:hAnsiTheme="majorEastAsia" w:eastAsiaTheme="majorEastAsia"/>
          <w:b/>
          <w:kern w:val="0"/>
          <w:sz w:val="32"/>
          <w:szCs w:val="32"/>
        </w:rPr>
      </w:pPr>
    </w:p>
    <w:p>
      <w:pPr>
        <w:jc w:val="both"/>
        <w:rPr>
          <w:rFonts w:hint="eastAsia" w:cs="宋体" w:asciiTheme="majorEastAsia" w:hAnsiTheme="majorEastAsia" w:eastAsiaTheme="majorEastAsia"/>
          <w:b/>
          <w:kern w:val="0"/>
          <w:sz w:val="32"/>
          <w:szCs w:val="32"/>
        </w:rPr>
      </w:pPr>
    </w:p>
    <w:p>
      <w:pPr>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第二章 采购需求</w:t>
      </w:r>
    </w:p>
    <w:p>
      <w:pPr>
        <w:rPr>
          <w:rFonts w:cs="宋体" w:asciiTheme="majorEastAsia" w:hAnsiTheme="majorEastAsia" w:eastAsiaTheme="majorEastAsia"/>
          <w:b/>
          <w:kern w:val="0"/>
          <w:sz w:val="32"/>
          <w:szCs w:val="32"/>
        </w:rPr>
      </w:pPr>
    </w:p>
    <w:p>
      <w:pPr>
        <w:widowControl/>
        <w:numPr>
          <w:ilvl w:val="0"/>
          <w:numId w:val="6"/>
        </w:numPr>
        <w:shd w:val="clear" w:color="auto" w:fill="FFFFFF"/>
        <w:spacing w:line="360" w:lineRule="auto"/>
        <w:ind w:firstLine="482" w:firstLineChars="200"/>
        <w:contextualSpacing/>
        <w:jc w:val="left"/>
        <w:rPr>
          <w:rFonts w:cs="黑体" w:asciiTheme="minorEastAsia" w:hAnsiTheme="minorEastAsia"/>
          <w:b/>
          <w:bCs/>
          <w:color w:val="000000"/>
          <w:sz w:val="24"/>
          <w:szCs w:val="24"/>
          <w:shd w:val="clear" w:color="auto" w:fill="FFFFFF"/>
        </w:rPr>
      </w:pPr>
      <w:r>
        <w:rPr>
          <w:rFonts w:hint="eastAsia" w:cs="黑体" w:asciiTheme="minorEastAsia" w:hAnsiTheme="minorEastAsia"/>
          <w:b/>
          <w:bCs/>
          <w:color w:val="000000"/>
          <w:sz w:val="24"/>
          <w:szCs w:val="24"/>
          <w:shd w:val="clear" w:color="auto" w:fill="FFFFFF"/>
        </w:rPr>
        <w:t>本项目需实现的功能或者目标</w:t>
      </w:r>
    </w:p>
    <w:p>
      <w:pPr>
        <w:pStyle w:val="10"/>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新宋体" w:hAnsi="新宋体" w:eastAsia="新宋体" w:cs="新宋体"/>
          <w:sz w:val="24"/>
          <w:szCs w:val="24"/>
        </w:rPr>
      </w:pPr>
      <w:r>
        <w:rPr>
          <w:rFonts w:hint="eastAsia" w:ascii="新宋体" w:hAnsi="新宋体" w:eastAsia="新宋体" w:cs="新宋体"/>
          <w:sz w:val="24"/>
          <w:szCs w:val="24"/>
        </w:rPr>
        <w:t>幼儿园设施设备应符合国家安全和卫生标准,适应不同年龄儿童的生活能力、学习方式差异和行为反应水平,充分体现儿童积极探索、自主构建的主体地位,满足保育教育需要和儿童主动活动的需求,克服小学化、成人化倾向。</w:t>
      </w:r>
    </w:p>
    <w:p>
      <w:pPr>
        <w:widowControl/>
        <w:numPr>
          <w:ilvl w:val="0"/>
          <w:numId w:val="6"/>
        </w:numPr>
        <w:shd w:val="clear" w:color="auto" w:fill="FFFFFF"/>
        <w:spacing w:line="360" w:lineRule="auto"/>
        <w:ind w:left="0" w:leftChars="0" w:firstLine="482" w:firstLineChars="200"/>
        <w:contextualSpacing/>
        <w:jc w:val="left"/>
        <w:rPr>
          <w:rFonts w:hint="eastAsia" w:cs="黑体" w:asciiTheme="minorEastAsia" w:hAnsiTheme="minorEastAsia"/>
          <w:b/>
          <w:bCs/>
          <w:color w:val="000000"/>
          <w:sz w:val="24"/>
          <w:szCs w:val="24"/>
          <w:shd w:val="clear" w:color="auto" w:fill="FFFFFF"/>
          <w:lang w:eastAsia="zh-CN"/>
        </w:rPr>
      </w:pPr>
      <w:r>
        <w:rPr>
          <w:rFonts w:hint="eastAsia" w:cs="黑体" w:asciiTheme="minorEastAsia" w:hAnsiTheme="minorEastAsia"/>
          <w:b/>
          <w:bCs/>
          <w:color w:val="000000"/>
          <w:sz w:val="24"/>
          <w:szCs w:val="24"/>
          <w:shd w:val="clear" w:color="auto" w:fill="FFFFFF"/>
          <w:lang w:eastAsia="zh-CN"/>
        </w:rPr>
        <w:t>采购清单</w:t>
      </w:r>
    </w:p>
    <w:tbl>
      <w:tblPr>
        <w:tblStyle w:val="24"/>
        <w:tblW w:w="9090" w:type="dxa"/>
        <w:tblInd w:w="0" w:type="dxa"/>
        <w:shd w:val="clear" w:color="auto" w:fill="auto"/>
        <w:tblLayout w:type="fixed"/>
        <w:tblCellMar>
          <w:top w:w="0" w:type="dxa"/>
          <w:left w:w="0" w:type="dxa"/>
          <w:bottom w:w="0" w:type="dxa"/>
          <w:right w:w="0" w:type="dxa"/>
        </w:tblCellMar>
      </w:tblPr>
      <w:tblGrid>
        <w:gridCol w:w="704"/>
        <w:gridCol w:w="598"/>
        <w:gridCol w:w="4250"/>
        <w:gridCol w:w="739"/>
        <w:gridCol w:w="617"/>
        <w:gridCol w:w="2182"/>
      </w:tblGrid>
      <w:tr>
        <w:tblPrEx>
          <w:shd w:val="clear" w:color="auto" w:fill="auto"/>
          <w:tblLayout w:type="fixed"/>
          <w:tblCellMar>
            <w:top w:w="0" w:type="dxa"/>
            <w:left w:w="0" w:type="dxa"/>
            <w:bottom w:w="0" w:type="dxa"/>
            <w:right w:w="0" w:type="dxa"/>
          </w:tblCellMar>
        </w:tblPrEx>
        <w:trPr>
          <w:trHeight w:val="285" w:hRule="atLeast"/>
        </w:trPr>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序号</w:t>
            </w:r>
          </w:p>
        </w:tc>
        <w:tc>
          <w:tcPr>
            <w:tcW w:w="59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项目名称</w:t>
            </w:r>
          </w:p>
        </w:tc>
        <w:tc>
          <w:tcPr>
            <w:tcW w:w="425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项目内容及规格</w:t>
            </w:r>
          </w:p>
        </w:tc>
        <w:tc>
          <w:tcPr>
            <w:tcW w:w="73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单位</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市直四园</w:t>
            </w:r>
          </w:p>
        </w:tc>
        <w:tc>
          <w:tcPr>
            <w:tcW w:w="218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备注</w:t>
            </w:r>
          </w:p>
        </w:tc>
      </w:tr>
      <w:tr>
        <w:tblPrEx>
          <w:tblLayout w:type="fixed"/>
          <w:tblCellMar>
            <w:top w:w="0" w:type="dxa"/>
            <w:left w:w="0" w:type="dxa"/>
            <w:bottom w:w="0" w:type="dxa"/>
            <w:right w:w="0" w:type="dxa"/>
          </w:tblCellMar>
        </w:tblPrEx>
        <w:trPr>
          <w:trHeight w:val="679" w:hRule="atLeast"/>
        </w:trPr>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rPr>
            </w:pPr>
          </w:p>
        </w:tc>
        <w:tc>
          <w:tcPr>
            <w:tcW w:w="5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rPr>
            </w:pPr>
          </w:p>
        </w:tc>
        <w:tc>
          <w:tcPr>
            <w:tcW w:w="425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rPr>
            </w:pPr>
          </w:p>
        </w:tc>
        <w:tc>
          <w:tcPr>
            <w:tcW w:w="73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rPr>
            </w:pPr>
          </w:p>
        </w:tc>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数量</w:t>
            </w:r>
          </w:p>
        </w:tc>
        <w:tc>
          <w:tcPr>
            <w:tcW w:w="218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新宋体" w:hAnsi="新宋体" w:eastAsia="新宋体" w:cs="新宋体"/>
                <w:i w:val="0"/>
                <w:color w:val="000000"/>
                <w:sz w:val="24"/>
                <w:szCs w:val="24"/>
                <w:u w:val="none"/>
              </w:rPr>
            </w:pPr>
          </w:p>
        </w:tc>
      </w:tr>
      <w:tr>
        <w:tblPrEx>
          <w:tblLayout w:type="fixed"/>
          <w:tblCellMar>
            <w:top w:w="0" w:type="dxa"/>
            <w:left w:w="0" w:type="dxa"/>
            <w:bottom w:w="0" w:type="dxa"/>
            <w:right w:w="0" w:type="dxa"/>
          </w:tblCellMar>
        </w:tblPrEx>
        <w:trPr>
          <w:trHeight w:val="53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w:t>
            </w:r>
          </w:p>
        </w:tc>
        <w:tc>
          <w:tcPr>
            <w:tcW w:w="5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幼儿课桌1</w:t>
            </w:r>
          </w:p>
        </w:tc>
        <w:tc>
          <w:tcPr>
            <w:tcW w:w="42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规格：1200*600*550mm，面板尺寸1200*600*20mm，优质橡木，无棱角，桌子高度550mm ,，桌腿尺寸不小于500*500mm，采用优质橡木，增加抗变形与压裂能力，无毒无味，表面光滑，造型美观。桌腿采用进口橡木全实木材料。木材拥有自然条纹，无死节、开裂、虫眼、腐眼现象。面板选用橡胶木指接板，木材无裂缝、结疤、腐朽、刀痕等。工艺：采用传统卯榫结构和现代加工工艺相结合，卯榫紧配合。油漆采用大宝 环保油漆，经二底三面喷漆，颜色为清水本色。</w:t>
            </w:r>
          </w:p>
        </w:tc>
        <w:tc>
          <w:tcPr>
            <w:tcW w:w="7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张</w:t>
            </w:r>
          </w:p>
        </w:tc>
        <w:tc>
          <w:tcPr>
            <w:tcW w:w="6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50</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189230</wp:posOffset>
                  </wp:positionH>
                  <wp:positionV relativeFrom="paragraph">
                    <wp:posOffset>881380</wp:posOffset>
                  </wp:positionV>
                  <wp:extent cx="1200150" cy="734695"/>
                  <wp:effectExtent l="0" t="0" r="0" b="8255"/>
                  <wp:wrapNone/>
                  <wp:docPr id="100" name="图片_52"/>
                  <wp:cNvGraphicFramePr/>
                  <a:graphic xmlns:a="http://schemas.openxmlformats.org/drawingml/2006/main">
                    <a:graphicData uri="http://schemas.openxmlformats.org/drawingml/2006/picture">
                      <pic:pic xmlns:pic="http://schemas.openxmlformats.org/drawingml/2006/picture">
                        <pic:nvPicPr>
                          <pic:cNvPr id="100" name="图片_52"/>
                          <pic:cNvPicPr/>
                        </pic:nvPicPr>
                        <pic:blipFill>
                          <a:blip r:embed="rId5"/>
                          <a:stretch>
                            <a:fillRect/>
                          </a:stretch>
                        </pic:blipFill>
                        <pic:spPr>
                          <a:xfrm>
                            <a:off x="0" y="0"/>
                            <a:ext cx="1200150" cy="73469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7639"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w:t>
            </w:r>
          </w:p>
        </w:tc>
        <w:tc>
          <w:tcPr>
            <w:tcW w:w="5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幼儿课桌2</w:t>
            </w:r>
          </w:p>
        </w:tc>
        <w:tc>
          <w:tcPr>
            <w:tcW w:w="42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Style w:val="62"/>
                <w:rFonts w:hint="eastAsia" w:ascii="新宋体" w:hAnsi="新宋体" w:eastAsia="新宋体" w:cs="新宋体"/>
                <w:sz w:val="24"/>
                <w:szCs w:val="24"/>
                <w:lang w:val="en-US" w:eastAsia="zh-CN" w:bidi="ar"/>
              </w:rPr>
              <w:br w:type="textWrapping"/>
            </w:r>
            <w:r>
              <w:rPr>
                <w:rStyle w:val="62"/>
                <w:rFonts w:hint="eastAsia" w:ascii="新宋体" w:hAnsi="新宋体" w:eastAsia="新宋体" w:cs="新宋体"/>
                <w:sz w:val="24"/>
                <w:szCs w:val="24"/>
                <w:lang w:val="en-US" w:eastAsia="zh-CN" w:bidi="ar"/>
              </w:rPr>
              <w:t>1、材质：桌面采用25mm厚优质环保三聚氰胺贴面E1级高密度刨花板注塑封边，甲醛释放量符合GB18580-2001标准要求；桌脚直径≥50mm,采用 PE 塑料，环保材质，要求产品无毒、无味、无毛刺，材料环保、无邻苯二甲酸酯；颜色环保、其铅元素及其他重金属符合标准，无棱角；桌面下面为钢管框架结构，桌面与腿部连接处为正方型、双横档、三面电焊（全焊）表面塑粉喷涂，喷末涂料高温固化，表面光滑，抗紫外线，色彩鲜艳，不易脱落。</w:t>
            </w:r>
            <w:r>
              <w:rPr>
                <w:rStyle w:val="62"/>
                <w:rFonts w:hint="eastAsia" w:ascii="新宋体" w:hAnsi="新宋体" w:eastAsia="新宋体" w:cs="新宋体"/>
                <w:sz w:val="24"/>
                <w:szCs w:val="24"/>
                <w:lang w:val="en-US" w:eastAsia="zh-CN" w:bidi="ar"/>
              </w:rPr>
              <w:br w:type="textWrapping"/>
            </w:r>
            <w:r>
              <w:rPr>
                <w:rStyle w:val="62"/>
                <w:rFonts w:hint="eastAsia" w:ascii="新宋体" w:hAnsi="新宋体" w:eastAsia="新宋体" w:cs="新宋体"/>
                <w:sz w:val="24"/>
                <w:szCs w:val="24"/>
                <w:lang w:val="en-US" w:eastAsia="zh-CN" w:bidi="ar"/>
              </w:rPr>
              <w:br w:type="textWrapping"/>
            </w:r>
            <w:r>
              <w:rPr>
                <w:rStyle w:val="62"/>
                <w:rFonts w:hint="eastAsia" w:ascii="新宋体" w:hAnsi="新宋体" w:eastAsia="新宋体" w:cs="新宋体"/>
                <w:sz w:val="24"/>
                <w:szCs w:val="24"/>
                <w:lang w:val="en-US" w:eastAsia="zh-CN" w:bidi="ar"/>
              </w:rPr>
              <w:t>2、工艺：产品的外表面和内表面以及儿童手指可触及的隐蔽处，均不得有锐利的棱角、毛刺以及小五金部件稳定露出的锐利尖锐。颜色稳定、抗老化、抗油污、防渗、耐脏易清洗、耐高温、安全无毒环保材质。</w:t>
            </w:r>
            <w:r>
              <w:rPr>
                <w:rStyle w:val="62"/>
                <w:rFonts w:hint="eastAsia" w:ascii="新宋体" w:hAnsi="新宋体" w:eastAsia="新宋体" w:cs="新宋体"/>
                <w:sz w:val="24"/>
                <w:szCs w:val="24"/>
                <w:lang w:val="en-US" w:eastAsia="zh-CN" w:bidi="ar"/>
              </w:rPr>
              <w:br w:type="textWrapping"/>
            </w:r>
            <w:r>
              <w:rPr>
                <w:rStyle w:val="62"/>
                <w:rFonts w:hint="eastAsia" w:ascii="新宋体" w:hAnsi="新宋体" w:eastAsia="新宋体" w:cs="新宋体"/>
                <w:sz w:val="24"/>
                <w:szCs w:val="24"/>
                <w:lang w:val="en-US" w:eastAsia="zh-CN" w:bidi="ar"/>
              </w:rPr>
              <w:t>3、规格：桌子≥120*60*50cm，同时可坐6人；颜色：红黄蓝绿四色可选。                                                      提供塑料桌椅GB6675.4-2014可迁移元素检测报告，提供国家玩具检验中心出具的2019年度产品检验报告原件并提供官网查询截图。2.提供油漆8大重金属检测报告及并提供官网查询截图。3.提供五金件8大重金属检测报告原件及并提供官网查询截图。</w:t>
            </w:r>
          </w:p>
        </w:tc>
        <w:tc>
          <w:tcPr>
            <w:tcW w:w="7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张</w:t>
            </w:r>
          </w:p>
        </w:tc>
        <w:tc>
          <w:tcPr>
            <w:tcW w:w="6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40</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146050</wp:posOffset>
                  </wp:positionH>
                  <wp:positionV relativeFrom="paragraph">
                    <wp:posOffset>1685290</wp:posOffset>
                  </wp:positionV>
                  <wp:extent cx="1243330" cy="1068705"/>
                  <wp:effectExtent l="0" t="0" r="13970" b="17145"/>
                  <wp:wrapNone/>
                  <wp:docPr id="99" name="Picture_1"/>
                  <wp:cNvGraphicFramePr/>
                  <a:graphic xmlns:a="http://schemas.openxmlformats.org/drawingml/2006/main">
                    <a:graphicData uri="http://schemas.openxmlformats.org/drawingml/2006/picture">
                      <pic:pic xmlns:pic="http://schemas.openxmlformats.org/drawingml/2006/picture">
                        <pic:nvPicPr>
                          <pic:cNvPr id="99" name="Picture_1"/>
                          <pic:cNvPicPr/>
                        </pic:nvPicPr>
                        <pic:blipFill>
                          <a:blip r:embed="rId6"/>
                          <a:stretch>
                            <a:fillRect/>
                          </a:stretch>
                        </pic:blipFill>
                        <pic:spPr>
                          <a:xfrm>
                            <a:off x="0" y="0"/>
                            <a:ext cx="1243330" cy="106870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322"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3</w:t>
            </w:r>
          </w:p>
        </w:tc>
        <w:tc>
          <w:tcPr>
            <w:tcW w:w="5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幼儿课桌</w:t>
            </w:r>
          </w:p>
        </w:tc>
        <w:tc>
          <w:tcPr>
            <w:tcW w:w="42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after="240" w:afterAutospacing="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 xml:space="preserve">品牌：产品名称：塑料月亮桌 </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产品规格：155*85*50cm ,产品材质：采用环保材料，无毒无味，色彩丰富，耐用可升降，桌腿为铁质。</w:t>
            </w:r>
            <w:r>
              <w:rPr>
                <w:rFonts w:hint="eastAsia" w:ascii="新宋体" w:hAnsi="新宋体" w:eastAsia="新宋体" w:cs="新宋体"/>
                <w:i w:val="0"/>
                <w:color w:val="000000"/>
                <w:kern w:val="0"/>
                <w:sz w:val="24"/>
                <w:szCs w:val="24"/>
                <w:u w:val="none"/>
                <w:lang w:val="en-US" w:eastAsia="zh-CN" w:bidi="ar"/>
              </w:rPr>
              <w:br w:type="textWrapping"/>
            </w:r>
          </w:p>
        </w:tc>
        <w:tc>
          <w:tcPr>
            <w:tcW w:w="7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张</w:t>
            </w:r>
          </w:p>
        </w:tc>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6</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238125</wp:posOffset>
                  </wp:positionH>
                  <wp:positionV relativeFrom="paragraph">
                    <wp:posOffset>66675</wp:posOffset>
                  </wp:positionV>
                  <wp:extent cx="1189990" cy="951230"/>
                  <wp:effectExtent l="0" t="0" r="10160" b="1270"/>
                  <wp:wrapNone/>
                  <wp:docPr id="101" name="Picture_1249"/>
                  <wp:cNvGraphicFramePr/>
                  <a:graphic xmlns:a="http://schemas.openxmlformats.org/drawingml/2006/main">
                    <a:graphicData uri="http://schemas.openxmlformats.org/drawingml/2006/picture">
                      <pic:pic xmlns:pic="http://schemas.openxmlformats.org/drawingml/2006/picture">
                        <pic:nvPicPr>
                          <pic:cNvPr id="101" name="Picture_1249"/>
                          <pic:cNvPicPr/>
                        </pic:nvPicPr>
                        <pic:blipFill>
                          <a:blip r:embed="rId7"/>
                          <a:stretch>
                            <a:fillRect/>
                          </a:stretch>
                        </pic:blipFill>
                        <pic:spPr>
                          <a:xfrm>
                            <a:off x="0" y="0"/>
                            <a:ext cx="1189990" cy="95123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6000"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4</w:t>
            </w:r>
          </w:p>
        </w:tc>
        <w:tc>
          <w:tcPr>
            <w:tcW w:w="5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幼儿凳子1</w:t>
            </w:r>
          </w:p>
        </w:tc>
        <w:tc>
          <w:tcPr>
            <w:tcW w:w="42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椅子：规格：300*300*570mm（坐高280mm），采用优质橡木，增加抗变形与压裂能力，无毒无味，表面光滑，造型美观。面板尺寸300*300*20mm，椅面高度280mm，后腿尺寸570*50*20mm，橡木为自然色，无瑕疵，均经过刨光、砂光、倒角、圆角处理，成品无毛刺、无裂纹，接缝自然，无明显缺口和缝隙；喷漆均匀，表面漆膜平整光亮、无皱皮、发粘和漏漆现象。油漆采用大宝环保油漆，经二底三面喷漆，均为整体喷涂漆面。榫接部分采用环保白乳胶做加固处理。</w:t>
            </w:r>
          </w:p>
        </w:tc>
        <w:tc>
          <w:tcPr>
            <w:tcW w:w="7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张</w:t>
            </w:r>
          </w:p>
        </w:tc>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250</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492760</wp:posOffset>
                  </wp:positionH>
                  <wp:positionV relativeFrom="paragraph">
                    <wp:posOffset>307340</wp:posOffset>
                  </wp:positionV>
                  <wp:extent cx="652145" cy="836295"/>
                  <wp:effectExtent l="0" t="0" r="14605" b="1905"/>
                  <wp:wrapNone/>
                  <wp:docPr id="95" name="图片_1"/>
                  <wp:cNvGraphicFramePr/>
                  <a:graphic xmlns:a="http://schemas.openxmlformats.org/drawingml/2006/main">
                    <a:graphicData uri="http://schemas.openxmlformats.org/drawingml/2006/picture">
                      <pic:pic xmlns:pic="http://schemas.openxmlformats.org/drawingml/2006/picture">
                        <pic:nvPicPr>
                          <pic:cNvPr id="95" name="图片_1"/>
                          <pic:cNvPicPr/>
                        </pic:nvPicPr>
                        <pic:blipFill>
                          <a:blip r:embed="rId8"/>
                          <a:stretch>
                            <a:fillRect/>
                          </a:stretch>
                        </pic:blipFill>
                        <pic:spPr>
                          <a:xfrm>
                            <a:off x="0" y="0"/>
                            <a:ext cx="652145" cy="83629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3679"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5</w:t>
            </w:r>
          </w:p>
        </w:tc>
        <w:tc>
          <w:tcPr>
            <w:tcW w:w="5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幼儿凳子2</w:t>
            </w:r>
          </w:p>
        </w:tc>
        <w:tc>
          <w:tcPr>
            <w:tcW w:w="42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kern w:val="0"/>
                <w:sz w:val="24"/>
                <w:szCs w:val="24"/>
                <w:u w:val="none"/>
                <w:lang w:val="en-US" w:eastAsia="zh-CN" w:bidi="ar"/>
              </w:rPr>
            </w:pPr>
            <w:r>
              <w:rPr>
                <w:rFonts w:hint="eastAsia" w:ascii="新宋体" w:hAnsi="新宋体" w:eastAsia="新宋体" w:cs="新宋体"/>
                <w:i w:val="0"/>
                <w:color w:val="000000"/>
                <w:kern w:val="0"/>
                <w:sz w:val="24"/>
                <w:szCs w:val="24"/>
                <w:u w:val="none"/>
                <w:lang w:val="en-US" w:eastAsia="zh-CN" w:bidi="ar"/>
              </w:rPr>
              <w:t>椅子：采用优质工程塑料模具注塑成型，表面磨砂无棱角，耐磨、耐高温、安全环保、无毒无味。</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 xml:space="preserve">椅子≥椅背高51×宽32×坐面高26cm，与儿童身高相适应。塑料桌椅高度升降可调。          </w:t>
            </w:r>
          </w:p>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提供塑料桌椅GB6675.4-2014可迁移元素检测报告，提供国家玩具检验中心出具的2019年度产品检验报告原件并提供官网查询截图。2.提供油漆8大重金属检测报告原件及并提供官网查询截图。3.提供五金件8大重金属检测报告原件及并提供官网查询截图</w:t>
            </w:r>
          </w:p>
        </w:tc>
        <w:tc>
          <w:tcPr>
            <w:tcW w:w="7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张</w:t>
            </w:r>
          </w:p>
        </w:tc>
        <w:tc>
          <w:tcPr>
            <w:tcW w:w="6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150</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121920</wp:posOffset>
                  </wp:positionH>
                  <wp:positionV relativeFrom="paragraph">
                    <wp:posOffset>499110</wp:posOffset>
                  </wp:positionV>
                  <wp:extent cx="1267460" cy="1042670"/>
                  <wp:effectExtent l="0" t="0" r="8890" b="5080"/>
                  <wp:wrapNone/>
                  <wp:docPr id="94" name="图片_4"/>
                  <wp:cNvGraphicFramePr/>
                  <a:graphic xmlns:a="http://schemas.openxmlformats.org/drawingml/2006/main">
                    <a:graphicData uri="http://schemas.openxmlformats.org/drawingml/2006/picture">
                      <pic:pic xmlns:pic="http://schemas.openxmlformats.org/drawingml/2006/picture">
                        <pic:nvPicPr>
                          <pic:cNvPr id="94" name="图片_4"/>
                          <pic:cNvPicPr/>
                        </pic:nvPicPr>
                        <pic:blipFill>
                          <a:blip r:embed="rId9"/>
                          <a:stretch>
                            <a:fillRect/>
                          </a:stretch>
                        </pic:blipFill>
                        <pic:spPr>
                          <a:xfrm>
                            <a:off x="0" y="0"/>
                            <a:ext cx="1267460" cy="104267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4279"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6</w:t>
            </w:r>
          </w:p>
        </w:tc>
        <w:tc>
          <w:tcPr>
            <w:tcW w:w="5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幼儿床</w:t>
            </w:r>
          </w:p>
        </w:tc>
        <w:tc>
          <w:tcPr>
            <w:tcW w:w="42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numPr>
                <w:ilvl w:val="0"/>
                <w:numId w:val="7"/>
              </w:numPr>
              <w:suppressLineNumbers w:val="0"/>
              <w:jc w:val="left"/>
              <w:textAlignment w:val="center"/>
              <w:rPr>
                <w:rFonts w:hint="eastAsia" w:ascii="新宋体" w:hAnsi="新宋体" w:eastAsia="新宋体" w:cs="新宋体"/>
                <w:i w:val="0"/>
                <w:color w:val="000000"/>
                <w:kern w:val="0"/>
                <w:sz w:val="24"/>
                <w:szCs w:val="24"/>
                <w:u w:val="none"/>
                <w:lang w:val="en-US" w:eastAsia="zh-CN" w:bidi="ar"/>
              </w:rPr>
            </w:pPr>
            <w:r>
              <w:rPr>
                <w:rFonts w:hint="eastAsia" w:ascii="新宋体" w:hAnsi="新宋体" w:eastAsia="新宋体" w:cs="新宋体"/>
                <w:i w:val="0"/>
                <w:color w:val="000000"/>
                <w:kern w:val="0"/>
                <w:sz w:val="24"/>
                <w:szCs w:val="24"/>
                <w:u w:val="none"/>
                <w:lang w:val="en-US" w:eastAsia="zh-CN" w:bidi="ar"/>
              </w:rPr>
              <w:t>规格：138（长）*58（宽）*19（高）cm；2.松木材质表面用清漆涂层、表面抛光处理，圆角打磨，表面无毛刺，有效避免对幼儿的伤害；结实耐用，稳定性强，抗压性强。3.五金件选用环保五金，安全无毒。符合国家标准规范的要求，钡、铅、镉、锑、硒、铬、汞、砷等含量控制指标完全符合要求。</w:t>
            </w:r>
          </w:p>
          <w:p>
            <w:pPr>
              <w:keepNext w:val="0"/>
              <w:keepLines w:val="0"/>
              <w:widowControl/>
              <w:numPr>
                <w:numId w:val="0"/>
              </w:numPr>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提供幼儿床GB6675.4-2014可迁移元素检测报告，提供国家玩具检验中心出具的产品检验报告原件并提供官网查询截图。。提供油漆8大重金属检测报告原件及并提供官网查询截图。3.提供五金件8大重金属检测报告原件及并提供官网查询截图。</w:t>
            </w:r>
          </w:p>
        </w:tc>
        <w:tc>
          <w:tcPr>
            <w:tcW w:w="73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220</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160020</wp:posOffset>
                  </wp:positionH>
                  <wp:positionV relativeFrom="paragraph">
                    <wp:posOffset>219710</wp:posOffset>
                  </wp:positionV>
                  <wp:extent cx="1229360" cy="765810"/>
                  <wp:effectExtent l="0" t="0" r="8890" b="15240"/>
                  <wp:wrapNone/>
                  <wp:docPr id="85" name="图片_35"/>
                  <wp:cNvGraphicFramePr/>
                  <a:graphic xmlns:a="http://schemas.openxmlformats.org/drawingml/2006/main">
                    <a:graphicData uri="http://schemas.openxmlformats.org/drawingml/2006/picture">
                      <pic:pic xmlns:pic="http://schemas.openxmlformats.org/drawingml/2006/picture">
                        <pic:nvPicPr>
                          <pic:cNvPr id="85" name="图片_35"/>
                          <pic:cNvPicPr/>
                        </pic:nvPicPr>
                        <pic:blipFill>
                          <a:blip r:embed="rId10"/>
                          <a:stretch>
                            <a:fillRect/>
                          </a:stretch>
                        </pic:blipFill>
                        <pic:spPr>
                          <a:xfrm>
                            <a:off x="0" y="0"/>
                            <a:ext cx="1229360" cy="76581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602"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7</w:t>
            </w:r>
          </w:p>
        </w:tc>
        <w:tc>
          <w:tcPr>
            <w:tcW w:w="5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多功能玩具柜1</w:t>
            </w:r>
          </w:p>
        </w:tc>
        <w:tc>
          <w:tcPr>
            <w:tcW w:w="42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Style w:val="62"/>
                <w:rFonts w:hint="eastAsia" w:ascii="新宋体" w:hAnsi="新宋体" w:eastAsia="新宋体" w:cs="新宋体"/>
                <w:sz w:val="24"/>
                <w:szCs w:val="24"/>
                <w:lang w:val="en-US" w:eastAsia="zh-CN" w:bidi="ar"/>
              </w:rPr>
              <w:t>多功能玩具柜，规格：80*30*120CM，无背板，材质：实木，杉木，上面三格，下面两个柜子。须提供包含幼儿玩具及教具的守合同重信用企业荣誉证书.</w:t>
            </w:r>
          </w:p>
        </w:tc>
        <w:tc>
          <w:tcPr>
            <w:tcW w:w="73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6</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431800</wp:posOffset>
                  </wp:positionH>
                  <wp:positionV relativeFrom="paragraph">
                    <wp:posOffset>86995</wp:posOffset>
                  </wp:positionV>
                  <wp:extent cx="755015" cy="803910"/>
                  <wp:effectExtent l="0" t="0" r="6985" b="15240"/>
                  <wp:wrapNone/>
                  <wp:docPr id="97" name="图片_1_SpCnt_1"/>
                  <wp:cNvGraphicFramePr/>
                  <a:graphic xmlns:a="http://schemas.openxmlformats.org/drawingml/2006/main">
                    <a:graphicData uri="http://schemas.openxmlformats.org/drawingml/2006/picture">
                      <pic:pic xmlns:pic="http://schemas.openxmlformats.org/drawingml/2006/picture">
                        <pic:nvPicPr>
                          <pic:cNvPr id="97" name="图片_1_SpCnt_1"/>
                          <pic:cNvPicPr/>
                        </pic:nvPicPr>
                        <pic:blipFill>
                          <a:blip r:embed="rId11"/>
                          <a:stretch>
                            <a:fillRect/>
                          </a:stretch>
                        </pic:blipFill>
                        <pic:spPr>
                          <a:xfrm>
                            <a:off x="0" y="0"/>
                            <a:ext cx="755015" cy="80391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4782"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8</w:t>
            </w:r>
          </w:p>
        </w:tc>
        <w:tc>
          <w:tcPr>
            <w:tcW w:w="5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多功能玩具柜2</w:t>
            </w:r>
          </w:p>
        </w:tc>
        <w:tc>
          <w:tcPr>
            <w:tcW w:w="42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numPr>
                <w:ilvl w:val="0"/>
                <w:numId w:val="8"/>
              </w:numPr>
              <w:suppressLineNumbers w:val="0"/>
              <w:jc w:val="left"/>
              <w:textAlignment w:val="center"/>
              <w:rPr>
                <w:rStyle w:val="62"/>
                <w:rFonts w:hint="eastAsia" w:ascii="新宋体" w:hAnsi="新宋体" w:eastAsia="新宋体" w:cs="新宋体"/>
                <w:sz w:val="24"/>
                <w:szCs w:val="24"/>
                <w:lang w:val="en-US" w:eastAsia="zh-CN" w:bidi="ar"/>
              </w:rPr>
            </w:pPr>
            <w:r>
              <w:rPr>
                <w:rStyle w:val="62"/>
                <w:rFonts w:hint="eastAsia" w:ascii="新宋体" w:hAnsi="新宋体" w:eastAsia="新宋体" w:cs="新宋体"/>
                <w:sz w:val="24"/>
                <w:szCs w:val="24"/>
                <w:lang w:val="en-US" w:eastAsia="zh-CN" w:bidi="ar"/>
              </w:rPr>
              <w:t>规格: ≥120厘米*30厘米*90厘米,松木材质,板材厚度≥1.42厘米,≥5格。2.松木材质表面用清漆涂层、表面光洁、无毒、无害、无刺激性气味,特点:经久耐用,不褪色;安全环保,产品质量不受气候温差影响,符合玩具安全标准、国家玩具安全技术规范(GB6675)的规定。3.五金件选用环保五金，安全无毒。符合国家标准规范的要求，钡、铅、镉、锑、硒、铬、汞、砷等含量控制指标完全符合要求。</w:t>
            </w:r>
          </w:p>
          <w:p>
            <w:pPr>
              <w:keepNext w:val="0"/>
              <w:keepLines w:val="0"/>
              <w:widowControl/>
              <w:numPr>
                <w:numId w:val="0"/>
              </w:numPr>
              <w:suppressLineNumbers w:val="0"/>
              <w:jc w:val="left"/>
              <w:textAlignment w:val="center"/>
              <w:rPr>
                <w:rStyle w:val="62"/>
                <w:rFonts w:hint="eastAsia" w:ascii="新宋体" w:hAnsi="新宋体" w:eastAsia="新宋体" w:cs="新宋体"/>
                <w:sz w:val="24"/>
                <w:szCs w:val="24"/>
                <w:lang w:val="en-US" w:eastAsia="zh-CN" w:bidi="ar"/>
              </w:rPr>
            </w:pPr>
            <w:r>
              <w:rPr>
                <w:rStyle w:val="62"/>
                <w:rFonts w:hint="eastAsia" w:ascii="新宋体" w:hAnsi="新宋体" w:eastAsia="新宋体" w:cs="新宋体"/>
                <w:sz w:val="24"/>
                <w:szCs w:val="24"/>
                <w:lang w:val="en-US" w:eastAsia="zh-CN" w:bidi="ar"/>
              </w:rPr>
              <w:t>提供玩具柜GB6675.4-2014可迁移元素检测报告，提供国家玩具检验中心出具的2019年度产品检验报告原件并提供官网查询截图。</w:t>
            </w:r>
          </w:p>
          <w:p>
            <w:pPr>
              <w:keepNext w:val="0"/>
              <w:keepLines w:val="0"/>
              <w:widowControl/>
              <w:numPr>
                <w:numId w:val="0"/>
              </w:numPr>
              <w:suppressLineNumbers w:val="0"/>
              <w:jc w:val="left"/>
              <w:textAlignment w:val="center"/>
              <w:rPr>
                <w:rFonts w:hint="eastAsia" w:ascii="新宋体" w:hAnsi="新宋体" w:eastAsia="新宋体" w:cs="新宋体"/>
                <w:i w:val="0"/>
                <w:color w:val="000000"/>
                <w:sz w:val="24"/>
                <w:szCs w:val="24"/>
                <w:u w:val="none"/>
              </w:rPr>
            </w:pPr>
            <w:r>
              <w:rPr>
                <w:rStyle w:val="62"/>
                <w:rFonts w:hint="eastAsia" w:ascii="新宋体" w:hAnsi="新宋体" w:eastAsia="新宋体" w:cs="新宋体"/>
                <w:sz w:val="24"/>
                <w:szCs w:val="24"/>
                <w:lang w:val="en-US" w:eastAsia="zh-CN" w:bidi="ar"/>
              </w:rPr>
              <w:t>提供油漆8大重金属检测报告原件及并提供官网查询截图。3.提供五金件8大重金属检测报告原件及并提供官网查询截图。</w:t>
            </w:r>
          </w:p>
        </w:tc>
        <w:tc>
          <w:tcPr>
            <w:tcW w:w="73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52</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157480</wp:posOffset>
                  </wp:positionH>
                  <wp:positionV relativeFrom="paragraph">
                    <wp:posOffset>470535</wp:posOffset>
                  </wp:positionV>
                  <wp:extent cx="1402080" cy="1012825"/>
                  <wp:effectExtent l="0" t="0" r="7620" b="15875"/>
                  <wp:wrapNone/>
                  <wp:docPr id="86" name="图片_24"/>
                  <wp:cNvGraphicFramePr/>
                  <a:graphic xmlns:a="http://schemas.openxmlformats.org/drawingml/2006/main">
                    <a:graphicData uri="http://schemas.openxmlformats.org/drawingml/2006/picture">
                      <pic:pic xmlns:pic="http://schemas.openxmlformats.org/drawingml/2006/picture">
                        <pic:nvPicPr>
                          <pic:cNvPr id="86" name="图片_24"/>
                          <pic:cNvPicPr/>
                        </pic:nvPicPr>
                        <pic:blipFill>
                          <a:blip r:embed="rId12"/>
                          <a:stretch>
                            <a:fillRect/>
                          </a:stretch>
                        </pic:blipFill>
                        <pic:spPr>
                          <a:xfrm>
                            <a:off x="0" y="0"/>
                            <a:ext cx="1402080" cy="101282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339"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9</w:t>
            </w:r>
          </w:p>
        </w:tc>
        <w:tc>
          <w:tcPr>
            <w:tcW w:w="5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衣帽柜</w:t>
            </w:r>
          </w:p>
        </w:tc>
        <w:tc>
          <w:tcPr>
            <w:tcW w:w="42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120*40*120cm，樟子木，12格带门柜</w:t>
            </w:r>
          </w:p>
        </w:tc>
        <w:tc>
          <w:tcPr>
            <w:tcW w:w="73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18</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247650</wp:posOffset>
                  </wp:positionH>
                  <wp:positionV relativeFrom="paragraph">
                    <wp:posOffset>81915</wp:posOffset>
                  </wp:positionV>
                  <wp:extent cx="998220" cy="726440"/>
                  <wp:effectExtent l="0" t="0" r="11430" b="16510"/>
                  <wp:wrapNone/>
                  <wp:docPr id="98" name="图片_39"/>
                  <wp:cNvGraphicFramePr/>
                  <a:graphic xmlns:a="http://schemas.openxmlformats.org/drawingml/2006/main">
                    <a:graphicData uri="http://schemas.openxmlformats.org/drawingml/2006/picture">
                      <pic:pic xmlns:pic="http://schemas.openxmlformats.org/drawingml/2006/picture">
                        <pic:nvPicPr>
                          <pic:cNvPr id="98" name="图片_39"/>
                          <pic:cNvPicPr/>
                        </pic:nvPicPr>
                        <pic:blipFill>
                          <a:blip r:embed="rId13"/>
                          <a:stretch>
                            <a:fillRect/>
                          </a:stretch>
                        </pic:blipFill>
                        <pic:spPr>
                          <a:xfrm>
                            <a:off x="0" y="0"/>
                            <a:ext cx="998220" cy="72644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4579"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10</w:t>
            </w:r>
          </w:p>
        </w:tc>
        <w:tc>
          <w:tcPr>
            <w:tcW w:w="5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儿童书架</w:t>
            </w:r>
          </w:p>
        </w:tc>
        <w:tc>
          <w:tcPr>
            <w:tcW w:w="42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numPr>
                <w:ilvl w:val="0"/>
                <w:numId w:val="9"/>
              </w:numPr>
              <w:suppressLineNumbers w:val="0"/>
              <w:jc w:val="left"/>
              <w:textAlignment w:val="center"/>
              <w:rPr>
                <w:rStyle w:val="63"/>
                <w:rFonts w:hint="eastAsia" w:ascii="新宋体" w:hAnsi="新宋体" w:eastAsia="新宋体" w:cs="新宋体"/>
                <w:sz w:val="24"/>
                <w:szCs w:val="24"/>
                <w:lang w:val="en-US" w:eastAsia="zh-CN" w:bidi="ar"/>
              </w:rPr>
            </w:pPr>
            <w:r>
              <w:rPr>
                <w:rStyle w:val="63"/>
                <w:rFonts w:hint="eastAsia" w:ascii="新宋体" w:hAnsi="新宋体" w:eastAsia="新宋体" w:cs="新宋体"/>
                <w:sz w:val="24"/>
                <w:szCs w:val="24"/>
                <w:lang w:val="en-US" w:eastAsia="zh-CN" w:bidi="ar"/>
              </w:rPr>
              <w:t>规格：≥80*39*80cm，松木材质,板材厚度≥1.42厘米。2.松木材质表面用清漆涂层、表面光洁、无毒、无害、无刺激性气味,特点:经久耐用,不褪色;安全环保,产品质量不受气候温差影响,符合玩具安全标准、国家玩具安全技术规范(GB6675)的规定。3.五金件选用环保五金，安全无毒。符合国家标准规范的要求，钡、铅、镉、锑、硒、铬、汞、砷等含量控制指标完全符合要求。</w:t>
            </w:r>
          </w:p>
          <w:p>
            <w:pPr>
              <w:keepNext w:val="0"/>
              <w:keepLines w:val="0"/>
              <w:widowControl/>
              <w:numPr>
                <w:numId w:val="0"/>
              </w:numPr>
              <w:suppressLineNumbers w:val="0"/>
              <w:jc w:val="left"/>
              <w:textAlignment w:val="center"/>
              <w:rPr>
                <w:rStyle w:val="63"/>
                <w:rFonts w:hint="eastAsia" w:ascii="新宋体" w:hAnsi="新宋体" w:eastAsia="新宋体" w:cs="新宋体"/>
                <w:sz w:val="24"/>
                <w:szCs w:val="24"/>
                <w:lang w:val="en-US" w:eastAsia="zh-CN" w:bidi="ar"/>
              </w:rPr>
            </w:pPr>
            <w:r>
              <w:rPr>
                <w:rStyle w:val="63"/>
                <w:rFonts w:hint="eastAsia" w:ascii="新宋体" w:hAnsi="新宋体" w:eastAsia="新宋体" w:cs="新宋体"/>
                <w:sz w:val="24"/>
                <w:szCs w:val="24"/>
                <w:lang w:val="en-US" w:eastAsia="zh-CN" w:bidi="ar"/>
              </w:rPr>
              <w:t>提供儿童书架GB6675.4-2014可迁移元素检测报告，提供国家玩具检验中心出具的2019年度产品检验报告原件并提供官网查询截图。</w:t>
            </w:r>
          </w:p>
          <w:p>
            <w:pPr>
              <w:keepNext w:val="0"/>
              <w:keepLines w:val="0"/>
              <w:widowControl/>
              <w:numPr>
                <w:numId w:val="0"/>
              </w:numPr>
              <w:suppressLineNumbers w:val="0"/>
              <w:jc w:val="left"/>
              <w:textAlignment w:val="center"/>
              <w:rPr>
                <w:rFonts w:hint="eastAsia" w:ascii="新宋体" w:hAnsi="新宋体" w:eastAsia="新宋体" w:cs="新宋体"/>
                <w:i w:val="0"/>
                <w:color w:val="000000"/>
                <w:sz w:val="24"/>
                <w:szCs w:val="24"/>
                <w:u w:val="none"/>
              </w:rPr>
            </w:pPr>
            <w:r>
              <w:rPr>
                <w:rStyle w:val="63"/>
                <w:rFonts w:hint="eastAsia" w:ascii="新宋体" w:hAnsi="新宋体" w:eastAsia="新宋体" w:cs="新宋体"/>
                <w:sz w:val="24"/>
                <w:szCs w:val="24"/>
                <w:lang w:val="en-US" w:eastAsia="zh-CN" w:bidi="ar"/>
              </w:rPr>
              <w:t>提供油漆8大重金属检测报告原件及并提供官网查询截图。3.提供五金件8大重金属检测报告原件及并提供官网查询截图。</w:t>
            </w:r>
          </w:p>
        </w:tc>
        <w:tc>
          <w:tcPr>
            <w:tcW w:w="73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30</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269240</wp:posOffset>
                  </wp:positionH>
                  <wp:positionV relativeFrom="paragraph">
                    <wp:posOffset>552450</wp:posOffset>
                  </wp:positionV>
                  <wp:extent cx="1189355" cy="842645"/>
                  <wp:effectExtent l="0" t="0" r="10795" b="14605"/>
                  <wp:wrapNone/>
                  <wp:docPr id="96" name="图片_22"/>
                  <wp:cNvGraphicFramePr/>
                  <a:graphic xmlns:a="http://schemas.openxmlformats.org/drawingml/2006/main">
                    <a:graphicData uri="http://schemas.openxmlformats.org/drawingml/2006/picture">
                      <pic:pic xmlns:pic="http://schemas.openxmlformats.org/drawingml/2006/picture">
                        <pic:nvPicPr>
                          <pic:cNvPr id="96" name="图片_22"/>
                          <pic:cNvPicPr/>
                        </pic:nvPicPr>
                        <pic:blipFill>
                          <a:blip r:embed="rId14"/>
                          <a:stretch>
                            <a:fillRect/>
                          </a:stretch>
                        </pic:blipFill>
                        <pic:spPr>
                          <a:xfrm>
                            <a:off x="0" y="0"/>
                            <a:ext cx="1189355" cy="84264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939"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11</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移动小黑板</w:t>
            </w:r>
          </w:p>
        </w:tc>
        <w:tc>
          <w:tcPr>
            <w:tcW w:w="4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移动双面翻转磁性黑板，外形尺寸：125*75，单面绿板、单面白板，带有粉笔槽；铁脚架高度1.1，可自由升降，脚架材质圆管；四个轱辘可自由活动。</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6</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381000</wp:posOffset>
                  </wp:positionH>
                  <wp:positionV relativeFrom="paragraph">
                    <wp:posOffset>10160</wp:posOffset>
                  </wp:positionV>
                  <wp:extent cx="876300" cy="578485"/>
                  <wp:effectExtent l="0" t="0" r="0" b="12065"/>
                  <wp:wrapNone/>
                  <wp:docPr id="113" name="Picture_10"/>
                  <wp:cNvGraphicFramePr/>
                  <a:graphic xmlns:a="http://schemas.openxmlformats.org/drawingml/2006/main">
                    <a:graphicData uri="http://schemas.openxmlformats.org/drawingml/2006/picture">
                      <pic:pic xmlns:pic="http://schemas.openxmlformats.org/drawingml/2006/picture">
                        <pic:nvPicPr>
                          <pic:cNvPr id="113" name="Picture_10"/>
                          <pic:cNvPicPr/>
                        </pic:nvPicPr>
                        <pic:blipFill>
                          <a:blip r:embed="rId15"/>
                          <a:stretch>
                            <a:fillRect/>
                          </a:stretch>
                        </pic:blipFill>
                        <pic:spPr>
                          <a:xfrm>
                            <a:off x="0" y="0"/>
                            <a:ext cx="876300" cy="57848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920"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12</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玩具柜</w:t>
            </w:r>
          </w:p>
        </w:tc>
        <w:tc>
          <w:tcPr>
            <w:tcW w:w="42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Style w:val="62"/>
                <w:rFonts w:hint="eastAsia" w:ascii="新宋体" w:hAnsi="新宋体" w:eastAsia="新宋体" w:cs="新宋体"/>
                <w:sz w:val="24"/>
                <w:szCs w:val="24"/>
                <w:lang w:val="en-US" w:eastAsia="zh-CN" w:bidi="ar"/>
              </w:rPr>
            </w:pPr>
            <w:r>
              <w:rPr>
                <w:rStyle w:val="62"/>
                <w:rFonts w:hint="eastAsia" w:ascii="新宋体" w:hAnsi="新宋体" w:eastAsia="新宋体" w:cs="新宋体"/>
                <w:sz w:val="24"/>
                <w:szCs w:val="24"/>
                <w:lang w:val="en-US" w:eastAsia="zh-CN" w:bidi="ar"/>
              </w:rPr>
              <w:t>幼儿玩具柜，超大造型组合柜，材质密度板，色彩多样，亮丽，A柜：L100*W35*H70CM，B柜：L55*W35*H127CM，C柜：L120*W30*H95CM，D柜：L120*W30*H95CM。</w:t>
            </w:r>
          </w:p>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Style w:val="62"/>
                <w:rFonts w:hint="eastAsia" w:ascii="新宋体" w:hAnsi="新宋体" w:eastAsia="新宋体" w:cs="新宋体"/>
                <w:sz w:val="24"/>
                <w:szCs w:val="24"/>
                <w:lang w:val="en-US" w:eastAsia="zh-CN" w:bidi="ar"/>
              </w:rPr>
              <w:t>须提供2019年中国及省级教育装备行业协会会员证书.</w:t>
            </w:r>
          </w:p>
        </w:tc>
        <w:tc>
          <w:tcPr>
            <w:tcW w:w="7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组</w:t>
            </w:r>
          </w:p>
        </w:tc>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6</w:t>
            </w:r>
          </w:p>
        </w:tc>
        <w:tc>
          <w:tcPr>
            <w:tcW w:w="21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294640</wp:posOffset>
                  </wp:positionH>
                  <wp:positionV relativeFrom="paragraph">
                    <wp:posOffset>55245</wp:posOffset>
                  </wp:positionV>
                  <wp:extent cx="1266825" cy="590550"/>
                  <wp:effectExtent l="0" t="0" r="9525" b="0"/>
                  <wp:wrapNone/>
                  <wp:docPr id="112" name="图片_3"/>
                  <wp:cNvGraphicFramePr/>
                  <a:graphic xmlns:a="http://schemas.openxmlformats.org/drawingml/2006/main">
                    <a:graphicData uri="http://schemas.openxmlformats.org/drawingml/2006/picture">
                      <pic:pic xmlns:pic="http://schemas.openxmlformats.org/drawingml/2006/picture">
                        <pic:nvPicPr>
                          <pic:cNvPr id="112" name="图片_3"/>
                          <pic:cNvPicPr/>
                        </pic:nvPicPr>
                        <pic:blipFill>
                          <a:blip r:embed="rId16"/>
                          <a:stretch>
                            <a:fillRect/>
                          </a:stretch>
                        </pic:blipFill>
                        <pic:spPr>
                          <a:xfrm>
                            <a:off x="0" y="0"/>
                            <a:ext cx="1266825" cy="59055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260"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13</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幼儿园玩具筐</w:t>
            </w:r>
          </w:p>
        </w:tc>
        <w:tc>
          <w:tcPr>
            <w:tcW w:w="4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品牌型，加厚优质环保塑料玩具筐（带盖），尺寸：720*520*400CM</w:t>
            </w:r>
          </w:p>
        </w:tc>
        <w:tc>
          <w:tcPr>
            <w:tcW w:w="7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50</w:t>
            </w:r>
          </w:p>
        </w:tc>
        <w:tc>
          <w:tcPr>
            <w:tcW w:w="21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224155</wp:posOffset>
                  </wp:positionH>
                  <wp:positionV relativeFrom="paragraph">
                    <wp:posOffset>121920</wp:posOffset>
                  </wp:positionV>
                  <wp:extent cx="1313815" cy="669290"/>
                  <wp:effectExtent l="0" t="0" r="635" b="16510"/>
                  <wp:wrapNone/>
                  <wp:docPr id="114" name="图片_45"/>
                  <wp:cNvGraphicFramePr/>
                  <a:graphic xmlns:a="http://schemas.openxmlformats.org/drawingml/2006/main">
                    <a:graphicData uri="http://schemas.openxmlformats.org/drawingml/2006/picture">
                      <pic:pic xmlns:pic="http://schemas.openxmlformats.org/drawingml/2006/picture">
                        <pic:nvPicPr>
                          <pic:cNvPr id="114" name="图片_45"/>
                          <pic:cNvPicPr/>
                        </pic:nvPicPr>
                        <pic:blipFill>
                          <a:blip r:embed="rId17"/>
                          <a:stretch>
                            <a:fillRect/>
                          </a:stretch>
                        </pic:blipFill>
                        <pic:spPr>
                          <a:xfrm>
                            <a:off x="0" y="0"/>
                            <a:ext cx="1313815" cy="66929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200"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14</w:t>
            </w:r>
          </w:p>
        </w:tc>
        <w:tc>
          <w:tcPr>
            <w:tcW w:w="5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桌面玩具1</w:t>
            </w:r>
          </w:p>
        </w:tc>
        <w:tc>
          <w:tcPr>
            <w:tcW w:w="42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品牌型，名称:大串珠积木玩具,尺寸:直径3厘米左右,材质:环保塑料,收纳箱尺寸：30*21*19,色彩多样,不同形状串珠带穿绳.480粒32根绳子.</w:t>
            </w:r>
          </w:p>
        </w:tc>
        <w:tc>
          <w:tcPr>
            <w:tcW w:w="73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箱</w:t>
            </w:r>
          </w:p>
        </w:tc>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6</w:t>
            </w:r>
          </w:p>
        </w:tc>
        <w:tc>
          <w:tcPr>
            <w:tcW w:w="218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shd w:val="clear" w:fill="FFFFFF"/>
                <w:lang w:val="en-US" w:eastAsia="zh-CN" w:bidi="ar"/>
              </w:rPr>
              <w:drawing>
                <wp:anchor distT="0" distB="0" distL="114300" distR="114300" simplePos="0" relativeHeight="251658240" behindDoc="0" locked="0" layoutInCell="1" allowOverlap="1">
                  <wp:simplePos x="0" y="0"/>
                  <wp:positionH relativeFrom="column">
                    <wp:posOffset>80645</wp:posOffset>
                  </wp:positionH>
                  <wp:positionV relativeFrom="paragraph">
                    <wp:posOffset>63500</wp:posOffset>
                  </wp:positionV>
                  <wp:extent cx="802005" cy="615315"/>
                  <wp:effectExtent l="0" t="0" r="17145" b="13335"/>
                  <wp:wrapNone/>
                  <wp:docPr id="110" name="图片_4_SpCnt_1"/>
                  <wp:cNvGraphicFramePr/>
                  <a:graphic xmlns:a="http://schemas.openxmlformats.org/drawingml/2006/main">
                    <a:graphicData uri="http://schemas.openxmlformats.org/drawingml/2006/picture">
                      <pic:pic xmlns:pic="http://schemas.openxmlformats.org/drawingml/2006/picture">
                        <pic:nvPicPr>
                          <pic:cNvPr id="110" name="图片_4_SpCnt_1"/>
                          <pic:cNvPicPr/>
                        </pic:nvPicPr>
                        <pic:blipFill>
                          <a:blip r:embed="rId18"/>
                          <a:stretch>
                            <a:fillRect/>
                          </a:stretch>
                        </pic:blipFill>
                        <pic:spPr>
                          <a:xfrm>
                            <a:off x="0" y="0"/>
                            <a:ext cx="802005" cy="615315"/>
                          </a:xfrm>
                          <a:prstGeom prst="rect">
                            <a:avLst/>
                          </a:prstGeom>
                          <a:noFill/>
                          <a:ln>
                            <a:noFill/>
                          </a:ln>
                        </pic:spPr>
                      </pic:pic>
                    </a:graphicData>
                  </a:graphic>
                </wp:anchor>
              </w:drawing>
            </w:r>
            <w:r>
              <w:rPr>
                <w:rFonts w:hint="eastAsia" w:ascii="新宋体" w:hAnsi="新宋体" w:eastAsia="新宋体" w:cs="新宋体"/>
                <w:i w:val="0"/>
                <w:color w:val="000000"/>
                <w:kern w:val="0"/>
                <w:sz w:val="24"/>
                <w:szCs w:val="24"/>
                <w:u w:val="none"/>
                <w:bdr w:val="single" w:color="000000" w:sz="4" w:space="0"/>
                <w:shd w:val="clear" w:fill="FFFFFF"/>
                <w:lang w:val="en-US" w:eastAsia="zh-CN" w:bidi="ar"/>
              </w:rPr>
              <w:drawing>
                <wp:anchor distT="0" distB="0" distL="114300" distR="114300" simplePos="0" relativeHeight="251658240" behindDoc="0" locked="0" layoutInCell="1" allowOverlap="1">
                  <wp:simplePos x="0" y="0"/>
                  <wp:positionH relativeFrom="column">
                    <wp:posOffset>906780</wp:posOffset>
                  </wp:positionH>
                  <wp:positionV relativeFrom="paragraph">
                    <wp:posOffset>118110</wp:posOffset>
                  </wp:positionV>
                  <wp:extent cx="777875" cy="532130"/>
                  <wp:effectExtent l="0" t="0" r="3175" b="1270"/>
                  <wp:wrapNone/>
                  <wp:docPr id="111" name="图片_5"/>
                  <wp:cNvGraphicFramePr/>
                  <a:graphic xmlns:a="http://schemas.openxmlformats.org/drawingml/2006/main">
                    <a:graphicData uri="http://schemas.openxmlformats.org/drawingml/2006/picture">
                      <pic:pic xmlns:pic="http://schemas.openxmlformats.org/drawingml/2006/picture">
                        <pic:nvPicPr>
                          <pic:cNvPr id="111" name="图片_5"/>
                          <pic:cNvPicPr/>
                        </pic:nvPicPr>
                        <pic:blipFill>
                          <a:blip r:embed="rId19"/>
                          <a:stretch>
                            <a:fillRect/>
                          </a:stretch>
                        </pic:blipFill>
                        <pic:spPr>
                          <a:xfrm>
                            <a:off x="0" y="0"/>
                            <a:ext cx="777875" cy="53213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320"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15</w:t>
            </w:r>
          </w:p>
        </w:tc>
        <w:tc>
          <w:tcPr>
            <w:tcW w:w="5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桌面玩具2</w:t>
            </w:r>
          </w:p>
        </w:tc>
        <w:tc>
          <w:tcPr>
            <w:tcW w:w="42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,环保塑料儿童雪花片积木桶装1000片加厚宝宝益智积木拼插玩具, 色彩丰富,颜色好看,数字雪花片,材质:环保塑料,无毒无味.</w:t>
            </w:r>
          </w:p>
        </w:tc>
        <w:tc>
          <w:tcPr>
            <w:tcW w:w="73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箱</w:t>
            </w:r>
          </w:p>
        </w:tc>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6</w:t>
            </w:r>
          </w:p>
        </w:tc>
        <w:tc>
          <w:tcPr>
            <w:tcW w:w="218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shd w:val="clear" w:fill="FFFFFF"/>
                <w:lang w:val="en-US" w:eastAsia="zh-CN" w:bidi="ar"/>
              </w:rPr>
              <w:drawing>
                <wp:anchor distT="0" distB="0" distL="114300" distR="114300" simplePos="0" relativeHeight="251658240" behindDoc="0" locked="0" layoutInCell="1" allowOverlap="1">
                  <wp:simplePos x="0" y="0"/>
                  <wp:positionH relativeFrom="column">
                    <wp:posOffset>249555</wp:posOffset>
                  </wp:positionH>
                  <wp:positionV relativeFrom="paragraph">
                    <wp:posOffset>105410</wp:posOffset>
                  </wp:positionV>
                  <wp:extent cx="1083310" cy="676275"/>
                  <wp:effectExtent l="0" t="0" r="2540" b="9525"/>
                  <wp:wrapNone/>
                  <wp:docPr id="115" name="图片_1_SpCnt_2"/>
                  <wp:cNvGraphicFramePr/>
                  <a:graphic xmlns:a="http://schemas.openxmlformats.org/drawingml/2006/main">
                    <a:graphicData uri="http://schemas.openxmlformats.org/drawingml/2006/picture">
                      <pic:pic xmlns:pic="http://schemas.openxmlformats.org/drawingml/2006/picture">
                        <pic:nvPicPr>
                          <pic:cNvPr id="115" name="图片_1_SpCnt_2"/>
                          <pic:cNvPicPr/>
                        </pic:nvPicPr>
                        <pic:blipFill>
                          <a:blip r:embed="rId20"/>
                          <a:stretch>
                            <a:fillRect/>
                          </a:stretch>
                        </pic:blipFill>
                        <pic:spPr>
                          <a:xfrm>
                            <a:off x="0" y="0"/>
                            <a:ext cx="1083310" cy="67627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242"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16</w:t>
            </w:r>
          </w:p>
        </w:tc>
        <w:tc>
          <w:tcPr>
            <w:tcW w:w="5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桌面玩具3</w:t>
            </w:r>
          </w:p>
        </w:tc>
        <w:tc>
          <w:tcPr>
            <w:tcW w:w="42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Style w:val="62"/>
                <w:rFonts w:hint="eastAsia" w:ascii="新宋体" w:hAnsi="新宋体" w:eastAsia="新宋体" w:cs="新宋体"/>
                <w:sz w:val="24"/>
                <w:szCs w:val="24"/>
                <w:lang w:val="en-US" w:eastAsia="zh-CN" w:bidi="ar"/>
              </w:rPr>
              <w:t>，玩具类型</w:t>
            </w:r>
            <w:r>
              <w:rPr>
                <w:rFonts w:hint="eastAsia" w:ascii="新宋体" w:hAnsi="新宋体" w:eastAsia="新宋体" w:cs="新宋体"/>
                <w:i w:val="0"/>
                <w:color w:val="000000"/>
                <w:kern w:val="0"/>
                <w:sz w:val="24"/>
                <w:szCs w:val="24"/>
                <w:u w:val="none"/>
                <w:lang w:val="en-US" w:eastAsia="zh-CN" w:bidi="ar"/>
              </w:rPr>
              <w:t xml:space="preserve">: </w:t>
            </w:r>
            <w:r>
              <w:rPr>
                <w:rStyle w:val="62"/>
                <w:rFonts w:hint="eastAsia" w:ascii="新宋体" w:hAnsi="新宋体" w:eastAsia="新宋体" w:cs="新宋体"/>
                <w:sz w:val="24"/>
                <w:szCs w:val="24"/>
                <w:lang w:val="en-US" w:eastAsia="zh-CN" w:bidi="ar"/>
              </w:rPr>
              <w:t>拼插积木，大颗粒塑料拼插积木，产品材质：环保塑料，色彩丰富，无毒无味，无毛刺，不同形状。</w:t>
            </w:r>
            <w:r>
              <w:rPr>
                <w:rFonts w:hint="eastAsia" w:ascii="新宋体" w:hAnsi="新宋体" w:eastAsia="新宋体" w:cs="新宋体"/>
                <w:i w:val="0"/>
                <w:color w:val="000000"/>
                <w:kern w:val="0"/>
                <w:sz w:val="24"/>
                <w:szCs w:val="24"/>
                <w:u w:val="none"/>
                <w:lang w:val="en-US" w:eastAsia="zh-CN" w:bidi="ar"/>
              </w:rPr>
              <w:t>170</w:t>
            </w:r>
            <w:r>
              <w:rPr>
                <w:rStyle w:val="62"/>
                <w:rFonts w:hint="eastAsia" w:ascii="新宋体" w:hAnsi="新宋体" w:eastAsia="新宋体" w:cs="新宋体"/>
                <w:sz w:val="24"/>
                <w:szCs w:val="24"/>
                <w:lang w:val="en-US" w:eastAsia="zh-CN" w:bidi="ar"/>
              </w:rPr>
              <w:t>粒中桶装。</w:t>
            </w:r>
          </w:p>
        </w:tc>
        <w:tc>
          <w:tcPr>
            <w:tcW w:w="73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箱</w:t>
            </w:r>
          </w:p>
        </w:tc>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12</w:t>
            </w:r>
          </w:p>
        </w:tc>
        <w:tc>
          <w:tcPr>
            <w:tcW w:w="218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shd w:val="clear" w:fill="FFFFFF"/>
                <w:lang w:val="en-US" w:eastAsia="zh-CN" w:bidi="ar"/>
              </w:rPr>
              <w:drawing>
                <wp:anchor distT="0" distB="0" distL="114300" distR="114300" simplePos="0" relativeHeight="251658240" behindDoc="0" locked="0" layoutInCell="1" allowOverlap="1">
                  <wp:simplePos x="0" y="0"/>
                  <wp:positionH relativeFrom="column">
                    <wp:posOffset>90170</wp:posOffset>
                  </wp:positionH>
                  <wp:positionV relativeFrom="paragraph">
                    <wp:posOffset>49530</wp:posOffset>
                  </wp:positionV>
                  <wp:extent cx="638175" cy="701040"/>
                  <wp:effectExtent l="0" t="0" r="9525" b="3810"/>
                  <wp:wrapNone/>
                  <wp:docPr id="108" name="Picture_1247"/>
                  <wp:cNvGraphicFramePr/>
                  <a:graphic xmlns:a="http://schemas.openxmlformats.org/drawingml/2006/main">
                    <a:graphicData uri="http://schemas.openxmlformats.org/drawingml/2006/picture">
                      <pic:pic xmlns:pic="http://schemas.openxmlformats.org/drawingml/2006/picture">
                        <pic:nvPicPr>
                          <pic:cNvPr id="108" name="Picture_1247"/>
                          <pic:cNvPicPr/>
                        </pic:nvPicPr>
                        <pic:blipFill>
                          <a:blip r:embed="rId21"/>
                          <a:stretch>
                            <a:fillRect/>
                          </a:stretch>
                        </pic:blipFill>
                        <pic:spPr>
                          <a:xfrm>
                            <a:off x="0" y="0"/>
                            <a:ext cx="638175" cy="701040"/>
                          </a:xfrm>
                          <a:prstGeom prst="rect">
                            <a:avLst/>
                          </a:prstGeom>
                          <a:noFill/>
                          <a:ln>
                            <a:noFill/>
                          </a:ln>
                        </pic:spPr>
                      </pic:pic>
                    </a:graphicData>
                  </a:graphic>
                </wp:anchor>
              </w:drawing>
            </w:r>
            <w:r>
              <w:rPr>
                <w:rFonts w:hint="eastAsia" w:ascii="新宋体" w:hAnsi="新宋体" w:eastAsia="新宋体" w:cs="新宋体"/>
                <w:i w:val="0"/>
                <w:color w:val="000000"/>
                <w:kern w:val="0"/>
                <w:sz w:val="24"/>
                <w:szCs w:val="24"/>
                <w:u w:val="none"/>
                <w:bdr w:val="single" w:color="000000" w:sz="4" w:space="0"/>
                <w:shd w:val="clear" w:fill="FFFFFF"/>
                <w:lang w:val="en-US" w:eastAsia="zh-CN" w:bidi="ar"/>
              </w:rPr>
              <w:drawing>
                <wp:anchor distT="0" distB="0" distL="114300" distR="114300" simplePos="0" relativeHeight="251658240" behindDoc="0" locked="0" layoutInCell="1" allowOverlap="1">
                  <wp:simplePos x="0" y="0"/>
                  <wp:positionH relativeFrom="column">
                    <wp:posOffset>922020</wp:posOffset>
                  </wp:positionH>
                  <wp:positionV relativeFrom="paragraph">
                    <wp:posOffset>34290</wp:posOffset>
                  </wp:positionV>
                  <wp:extent cx="694055" cy="702310"/>
                  <wp:effectExtent l="0" t="0" r="10795" b="2540"/>
                  <wp:wrapNone/>
                  <wp:docPr id="107" name="Picture_1248"/>
                  <wp:cNvGraphicFramePr/>
                  <a:graphic xmlns:a="http://schemas.openxmlformats.org/drawingml/2006/main">
                    <a:graphicData uri="http://schemas.openxmlformats.org/drawingml/2006/picture">
                      <pic:pic xmlns:pic="http://schemas.openxmlformats.org/drawingml/2006/picture">
                        <pic:nvPicPr>
                          <pic:cNvPr id="107" name="Picture_1248"/>
                          <pic:cNvPicPr/>
                        </pic:nvPicPr>
                        <pic:blipFill>
                          <a:blip r:embed="rId22"/>
                          <a:stretch>
                            <a:fillRect/>
                          </a:stretch>
                        </pic:blipFill>
                        <pic:spPr>
                          <a:xfrm>
                            <a:off x="0" y="0"/>
                            <a:ext cx="694055" cy="70231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459"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17</w:t>
            </w:r>
          </w:p>
        </w:tc>
        <w:tc>
          <w:tcPr>
            <w:tcW w:w="5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磁性小玩具</w:t>
            </w:r>
          </w:p>
        </w:tc>
        <w:tc>
          <w:tcPr>
            <w:tcW w:w="42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可爱磁性小动物，12种动物，材质：塑料。颜色多样，规格：12*12CM,168件一箱</w:t>
            </w:r>
          </w:p>
        </w:tc>
        <w:tc>
          <w:tcPr>
            <w:tcW w:w="73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箱</w:t>
            </w:r>
          </w:p>
        </w:tc>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6</w:t>
            </w:r>
          </w:p>
        </w:tc>
        <w:tc>
          <w:tcPr>
            <w:tcW w:w="2182"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shd w:val="clear" w:fill="FFFFFF"/>
                <w:lang w:val="en-US" w:eastAsia="zh-CN" w:bidi="ar"/>
              </w:rPr>
              <w:drawing>
                <wp:anchor distT="0" distB="0" distL="114300" distR="114300" simplePos="0" relativeHeight="251658240" behindDoc="0" locked="0" layoutInCell="1" allowOverlap="1">
                  <wp:simplePos x="0" y="0"/>
                  <wp:positionH relativeFrom="column">
                    <wp:posOffset>31115</wp:posOffset>
                  </wp:positionH>
                  <wp:positionV relativeFrom="paragraph">
                    <wp:posOffset>128270</wp:posOffset>
                  </wp:positionV>
                  <wp:extent cx="1358265" cy="723900"/>
                  <wp:effectExtent l="0" t="0" r="13335" b="0"/>
                  <wp:wrapNone/>
                  <wp:docPr id="109" name="图片_30"/>
                  <wp:cNvGraphicFramePr/>
                  <a:graphic xmlns:a="http://schemas.openxmlformats.org/drawingml/2006/main">
                    <a:graphicData uri="http://schemas.openxmlformats.org/drawingml/2006/picture">
                      <pic:pic xmlns:pic="http://schemas.openxmlformats.org/drawingml/2006/picture">
                        <pic:nvPicPr>
                          <pic:cNvPr id="109" name="图片_30"/>
                          <pic:cNvPicPr/>
                        </pic:nvPicPr>
                        <pic:blipFill>
                          <a:blip r:embed="rId23"/>
                          <a:stretch>
                            <a:fillRect/>
                          </a:stretch>
                        </pic:blipFill>
                        <pic:spPr>
                          <a:xfrm>
                            <a:off x="0" y="0"/>
                            <a:ext cx="1358265" cy="72390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680"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18</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校园大垃圾车</w:t>
            </w:r>
          </w:p>
        </w:tc>
        <w:tc>
          <w:tcPr>
            <w:tcW w:w="4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品牌: ，可容量240L，商品成分：箱体，实心轮，材质：高密度聚乙烯，开合方式：封闭式带盖结构</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辆</w:t>
            </w:r>
          </w:p>
        </w:tc>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5</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304800" cy="304800"/>
                  <wp:effectExtent l="0" t="0" r="0" b="0"/>
                  <wp:wrapNone/>
                  <wp:docPr id="105" name="Picture_1253"/>
                  <wp:cNvGraphicFramePr/>
                  <a:graphic xmlns:a="http://schemas.openxmlformats.org/drawingml/2006/main">
                    <a:graphicData uri="http://schemas.openxmlformats.org/drawingml/2006/picture">
                      <pic:pic xmlns:pic="http://schemas.openxmlformats.org/drawingml/2006/picture">
                        <pic:nvPicPr>
                          <pic:cNvPr id="105" name="Picture_1253"/>
                          <pic:cNvPicPr/>
                        </pic:nvPicPr>
                        <pic:blipFill>
                          <a:blip r:embed="rId24"/>
                          <a:stretch>
                            <a:fillRect/>
                          </a:stretch>
                        </pic:blipFill>
                        <pic:spPr>
                          <a:xfrm>
                            <a:off x="0" y="0"/>
                            <a:ext cx="304800" cy="304800"/>
                          </a:xfrm>
                          <a:prstGeom prst="rect">
                            <a:avLst/>
                          </a:prstGeom>
                          <a:noFill/>
                          <a:ln>
                            <a:noFill/>
                          </a:ln>
                        </pic:spPr>
                      </pic:pic>
                    </a:graphicData>
                  </a:graphic>
                </wp:anchor>
              </w:drawing>
            </w: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304800" cy="304800"/>
                  <wp:effectExtent l="0" t="0" r="0" b="0"/>
                  <wp:wrapNone/>
                  <wp:docPr id="104" name="Picture_1252"/>
                  <wp:cNvGraphicFramePr/>
                  <a:graphic xmlns:a="http://schemas.openxmlformats.org/drawingml/2006/main">
                    <a:graphicData uri="http://schemas.openxmlformats.org/drawingml/2006/picture">
                      <pic:pic xmlns:pic="http://schemas.openxmlformats.org/drawingml/2006/picture">
                        <pic:nvPicPr>
                          <pic:cNvPr id="104" name="Picture_1252"/>
                          <pic:cNvPicPr/>
                        </pic:nvPicPr>
                        <pic:blipFill>
                          <a:blip r:embed="rId24"/>
                          <a:stretch>
                            <a:fillRect/>
                          </a:stretch>
                        </pic:blipFill>
                        <pic:spPr>
                          <a:xfrm>
                            <a:off x="0" y="0"/>
                            <a:ext cx="304800" cy="304800"/>
                          </a:xfrm>
                          <a:prstGeom prst="rect">
                            <a:avLst/>
                          </a:prstGeom>
                          <a:noFill/>
                          <a:ln>
                            <a:noFill/>
                          </a:ln>
                        </pic:spPr>
                      </pic:pic>
                    </a:graphicData>
                  </a:graphic>
                </wp:anchor>
              </w:drawing>
            </w: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142240</wp:posOffset>
                  </wp:positionH>
                  <wp:positionV relativeFrom="paragraph">
                    <wp:posOffset>78740</wp:posOffset>
                  </wp:positionV>
                  <wp:extent cx="1467485" cy="885190"/>
                  <wp:effectExtent l="0" t="0" r="18415" b="10160"/>
                  <wp:wrapNone/>
                  <wp:docPr id="106" name="图片_28"/>
                  <wp:cNvGraphicFramePr/>
                  <a:graphic xmlns:a="http://schemas.openxmlformats.org/drawingml/2006/main">
                    <a:graphicData uri="http://schemas.openxmlformats.org/drawingml/2006/picture">
                      <pic:pic xmlns:pic="http://schemas.openxmlformats.org/drawingml/2006/picture">
                        <pic:nvPicPr>
                          <pic:cNvPr id="106" name="图片_28"/>
                          <pic:cNvPicPr/>
                        </pic:nvPicPr>
                        <pic:blipFill>
                          <a:blip r:embed="rId25"/>
                          <a:stretch>
                            <a:fillRect/>
                          </a:stretch>
                        </pic:blipFill>
                        <pic:spPr>
                          <a:xfrm>
                            <a:off x="0" y="0"/>
                            <a:ext cx="1467485" cy="88519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8179"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19</w:t>
            </w:r>
          </w:p>
        </w:tc>
        <w:tc>
          <w:tcPr>
            <w:tcW w:w="59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户外大型玩具</w:t>
            </w:r>
          </w:p>
        </w:tc>
        <w:tc>
          <w:tcPr>
            <w:tcW w:w="42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规格：8.5*3.6*4.0m原野滑梯系列，表面处理：CO2 保护焊、经喷丸技术处理、然后经过抛光处理、室外聚酯系树脂粉体涂装高温电磁烤漆、高温固化、表面光滑、抗紫外线、抗腐蚀、色彩鲜艳、不易脱落。</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平台楼梯：材质：高强度冷轧钢板，厚度2.2mm。经特殊工艺表面处理表面显微波浪状冲孔防滑板，不积水，安全美观防滑性好。</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钢管配件：材质：外径25/28/32/38/48/60，镀锌钢管。</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塑 料 件：材质：塑料粒子为韩国三星进口工程塑料，食品级，并添加抗紫外线稳定剂、静电防止剂及抗老化剂，经大型正反流水线滚塑机一次性成型。表面光滑，安全环保，不易褪色。</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表面处理：模铸面、亚光处理。</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柱盖底盘：材质：铸铝合金</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表面处理：室外聚酯系树脂粉体涂装高温电磁烤漆。</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五金零件：材质：不锈钢半圆头，防滑螺帽，T型平头螺丝。</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表面处理：机械抛光。</w:t>
            </w:r>
          </w:p>
        </w:tc>
        <w:tc>
          <w:tcPr>
            <w:tcW w:w="739"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61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73660</wp:posOffset>
                  </wp:positionH>
                  <wp:positionV relativeFrom="paragraph">
                    <wp:posOffset>2044700</wp:posOffset>
                  </wp:positionV>
                  <wp:extent cx="1315720" cy="1085850"/>
                  <wp:effectExtent l="0" t="0" r="17780" b="0"/>
                  <wp:wrapNone/>
                  <wp:docPr id="103" name="图片_3_SpCnt_1"/>
                  <wp:cNvGraphicFramePr/>
                  <a:graphic xmlns:a="http://schemas.openxmlformats.org/drawingml/2006/main">
                    <a:graphicData uri="http://schemas.openxmlformats.org/drawingml/2006/picture">
                      <pic:pic xmlns:pic="http://schemas.openxmlformats.org/drawingml/2006/picture">
                        <pic:nvPicPr>
                          <pic:cNvPr id="103" name="图片_3_SpCnt_1"/>
                          <pic:cNvPicPr/>
                        </pic:nvPicPr>
                        <pic:blipFill>
                          <a:blip r:embed="rId26"/>
                          <a:stretch>
                            <a:fillRect/>
                          </a:stretch>
                        </pic:blipFill>
                        <pic:spPr>
                          <a:xfrm>
                            <a:off x="0" y="0"/>
                            <a:ext cx="1315720" cy="1085850"/>
                          </a:xfrm>
                          <a:prstGeom prst="rect">
                            <a:avLst/>
                          </a:prstGeom>
                          <a:noFill/>
                          <a:ln>
                            <a:noFill/>
                          </a:ln>
                        </pic:spPr>
                      </pic:pic>
                    </a:graphicData>
                  </a:graphic>
                </wp:anchor>
              </w:drawing>
            </w: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90170</wp:posOffset>
                  </wp:positionH>
                  <wp:positionV relativeFrom="paragraph">
                    <wp:posOffset>2102485</wp:posOffset>
                  </wp:positionV>
                  <wp:extent cx="1299210" cy="904240"/>
                  <wp:effectExtent l="0" t="0" r="15240" b="10160"/>
                  <wp:wrapNone/>
                  <wp:docPr id="102" name="图片_42"/>
                  <wp:cNvGraphicFramePr/>
                  <a:graphic xmlns:a="http://schemas.openxmlformats.org/drawingml/2006/main">
                    <a:graphicData uri="http://schemas.openxmlformats.org/drawingml/2006/picture">
                      <pic:pic xmlns:pic="http://schemas.openxmlformats.org/drawingml/2006/picture">
                        <pic:nvPicPr>
                          <pic:cNvPr id="102" name="图片_42"/>
                          <pic:cNvPicPr/>
                        </pic:nvPicPr>
                        <pic:blipFill>
                          <a:blip r:embed="rId27"/>
                          <a:stretch>
                            <a:fillRect/>
                          </a:stretch>
                        </pic:blipFill>
                        <pic:spPr>
                          <a:xfrm>
                            <a:off x="0" y="0"/>
                            <a:ext cx="1299210" cy="90424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235"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20</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动物蘑菇小屋</w:t>
            </w:r>
          </w:p>
        </w:tc>
        <w:tc>
          <w:tcPr>
            <w:tcW w:w="42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spacing w:after="240" w:afterAutospacing="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宝贝名称:室内游戏屋蘑菇小屋</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宝贝尺寸:126*120*150cm</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适用年龄:1.5岁上</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生产工艺:大型吹塑一次性成型</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宝贝材质:采用HDPE注塑一次成型，环保、安全、耐用.须提供包含幼儿玩具及教具的中国绿色环保产品荣誉证书.</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505460</wp:posOffset>
                  </wp:positionH>
                  <wp:positionV relativeFrom="paragraph">
                    <wp:posOffset>51435</wp:posOffset>
                  </wp:positionV>
                  <wp:extent cx="914400" cy="933450"/>
                  <wp:effectExtent l="0" t="0" r="0" b="0"/>
                  <wp:wrapNone/>
                  <wp:docPr id="83" name="图片_24_SpCnt_1"/>
                  <wp:cNvGraphicFramePr/>
                  <a:graphic xmlns:a="http://schemas.openxmlformats.org/drawingml/2006/main">
                    <a:graphicData uri="http://schemas.openxmlformats.org/drawingml/2006/picture">
                      <pic:pic xmlns:pic="http://schemas.openxmlformats.org/drawingml/2006/picture">
                        <pic:nvPicPr>
                          <pic:cNvPr id="83" name="图片_24_SpCnt_1"/>
                          <pic:cNvPicPr/>
                        </pic:nvPicPr>
                        <pic:blipFill>
                          <a:blip r:embed="rId28"/>
                          <a:stretch>
                            <a:fillRect/>
                          </a:stretch>
                        </pic:blipFill>
                        <pic:spPr>
                          <a:xfrm>
                            <a:off x="0" y="0"/>
                            <a:ext cx="914400" cy="93345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859"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21</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中型积木</w:t>
            </w:r>
          </w:p>
        </w:tc>
        <w:tc>
          <w:tcPr>
            <w:tcW w:w="4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全塑料，采用ABS，PE材料制作，无毒，无味，不断裂。</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21</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410210</wp:posOffset>
                  </wp:positionH>
                  <wp:positionV relativeFrom="paragraph">
                    <wp:posOffset>143510</wp:posOffset>
                  </wp:positionV>
                  <wp:extent cx="723265" cy="401955"/>
                  <wp:effectExtent l="0" t="0" r="635" b="17145"/>
                  <wp:wrapNone/>
                  <wp:docPr id="92" name="图片_14"/>
                  <wp:cNvGraphicFramePr/>
                  <a:graphic xmlns:a="http://schemas.openxmlformats.org/drawingml/2006/main">
                    <a:graphicData uri="http://schemas.openxmlformats.org/drawingml/2006/picture">
                      <pic:pic xmlns:pic="http://schemas.openxmlformats.org/drawingml/2006/picture">
                        <pic:nvPicPr>
                          <pic:cNvPr id="92" name="图片_14"/>
                          <pic:cNvPicPr/>
                        </pic:nvPicPr>
                        <pic:blipFill>
                          <a:blip r:embed="rId29"/>
                          <a:stretch>
                            <a:fillRect/>
                          </a:stretch>
                        </pic:blipFill>
                        <pic:spPr>
                          <a:xfrm>
                            <a:off x="0" y="0"/>
                            <a:ext cx="723265" cy="40195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4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22</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小神童俱乐部</w:t>
            </w:r>
          </w:p>
        </w:tc>
        <w:tc>
          <w:tcPr>
            <w:tcW w:w="4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小型房子带滑梯，规格：300*178*170cm；材质：应采用进口工程塑料；工艺：吹塑；产品无毒、无味、无毛刺；防脱色，韧性好，高强度，两面光滑不退色。</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400050</wp:posOffset>
                  </wp:positionH>
                  <wp:positionV relativeFrom="paragraph">
                    <wp:posOffset>112395</wp:posOffset>
                  </wp:positionV>
                  <wp:extent cx="905510" cy="299085"/>
                  <wp:effectExtent l="0" t="0" r="8890" b="5715"/>
                  <wp:wrapNone/>
                  <wp:docPr id="84" name="图片_18"/>
                  <wp:cNvGraphicFramePr/>
                  <a:graphic xmlns:a="http://schemas.openxmlformats.org/drawingml/2006/main">
                    <a:graphicData uri="http://schemas.openxmlformats.org/drawingml/2006/picture">
                      <pic:pic xmlns:pic="http://schemas.openxmlformats.org/drawingml/2006/picture">
                        <pic:nvPicPr>
                          <pic:cNvPr id="84" name="图片_18"/>
                          <pic:cNvPicPr/>
                        </pic:nvPicPr>
                        <pic:blipFill>
                          <a:blip r:embed="rId30"/>
                          <a:stretch>
                            <a:fillRect/>
                          </a:stretch>
                        </pic:blipFill>
                        <pic:spPr>
                          <a:xfrm>
                            <a:off x="0" y="0"/>
                            <a:ext cx="905510" cy="29908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099"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23</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立体钻山洞</w:t>
            </w:r>
          </w:p>
        </w:tc>
        <w:tc>
          <w:tcPr>
            <w:tcW w:w="4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Style w:val="62"/>
                <w:rFonts w:hint="eastAsia" w:ascii="新宋体" w:hAnsi="新宋体" w:eastAsia="新宋体" w:cs="新宋体"/>
                <w:sz w:val="24"/>
                <w:szCs w:val="24"/>
                <w:lang w:val="en-US" w:eastAsia="zh-CN" w:bidi="ar"/>
              </w:rPr>
              <w:t>塑料</w:t>
            </w:r>
            <w:r>
              <w:rPr>
                <w:rFonts w:hint="eastAsia" w:ascii="新宋体" w:hAnsi="新宋体" w:eastAsia="新宋体" w:cs="新宋体"/>
                <w:i w:val="0"/>
                <w:color w:val="000000"/>
                <w:kern w:val="0"/>
                <w:sz w:val="24"/>
                <w:szCs w:val="24"/>
                <w:u w:val="none"/>
                <w:lang w:val="en-US" w:eastAsia="zh-CN" w:bidi="ar"/>
              </w:rPr>
              <w:t>8</w:t>
            </w:r>
            <w:r>
              <w:rPr>
                <w:rStyle w:val="62"/>
                <w:rFonts w:hint="eastAsia" w:ascii="新宋体" w:hAnsi="新宋体" w:eastAsia="新宋体" w:cs="新宋体"/>
                <w:sz w:val="24"/>
                <w:szCs w:val="24"/>
                <w:lang w:val="en-US" w:eastAsia="zh-CN" w:bidi="ar"/>
              </w:rPr>
              <w:t>个一套，采用工程塑料，添加抗紫外线剂，抗氧剂，抗静电剂，经高温滚制而成，保证产品十年以内不褪色，不老化</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6</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297180</wp:posOffset>
                  </wp:positionH>
                  <wp:positionV relativeFrom="paragraph">
                    <wp:posOffset>18415</wp:posOffset>
                  </wp:positionV>
                  <wp:extent cx="1075690" cy="554355"/>
                  <wp:effectExtent l="0" t="0" r="10160" b="17145"/>
                  <wp:wrapNone/>
                  <wp:docPr id="93" name="图片_22_SpCnt_1"/>
                  <wp:cNvGraphicFramePr/>
                  <a:graphic xmlns:a="http://schemas.openxmlformats.org/drawingml/2006/main">
                    <a:graphicData uri="http://schemas.openxmlformats.org/drawingml/2006/picture">
                      <pic:pic xmlns:pic="http://schemas.openxmlformats.org/drawingml/2006/picture">
                        <pic:nvPicPr>
                          <pic:cNvPr id="93" name="图片_22_SpCnt_1"/>
                          <pic:cNvPicPr/>
                        </pic:nvPicPr>
                        <pic:blipFill>
                          <a:blip r:embed="rId31"/>
                          <a:stretch>
                            <a:fillRect/>
                          </a:stretch>
                        </pic:blipFill>
                        <pic:spPr>
                          <a:xfrm>
                            <a:off x="0" y="0"/>
                            <a:ext cx="1075690" cy="55435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200"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24</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跷跷板</w:t>
            </w:r>
          </w:p>
        </w:tc>
        <w:tc>
          <w:tcPr>
            <w:tcW w:w="4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室外，规格136×32×40cm，采用食品工程塑料精制而成，可锻炼幼儿身体平衡性及团体合作性等。</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10</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315595</wp:posOffset>
                  </wp:positionH>
                  <wp:positionV relativeFrom="paragraph">
                    <wp:posOffset>200660</wp:posOffset>
                  </wp:positionV>
                  <wp:extent cx="914400" cy="434340"/>
                  <wp:effectExtent l="0" t="0" r="0" b="3810"/>
                  <wp:wrapNone/>
                  <wp:docPr id="90" name="图片_20"/>
                  <wp:cNvGraphicFramePr/>
                  <a:graphic xmlns:a="http://schemas.openxmlformats.org/drawingml/2006/main">
                    <a:graphicData uri="http://schemas.openxmlformats.org/drawingml/2006/picture">
                      <pic:pic xmlns:pic="http://schemas.openxmlformats.org/drawingml/2006/picture">
                        <pic:nvPicPr>
                          <pic:cNvPr id="90" name="图片_20"/>
                          <pic:cNvPicPr/>
                        </pic:nvPicPr>
                        <pic:blipFill>
                          <a:blip r:embed="rId32"/>
                          <a:stretch>
                            <a:fillRect/>
                          </a:stretch>
                        </pic:blipFill>
                        <pic:spPr>
                          <a:xfrm>
                            <a:off x="0" y="0"/>
                            <a:ext cx="914400" cy="43434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819"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25</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摇摇马或琼鱼</w:t>
            </w:r>
          </w:p>
        </w:tc>
        <w:tc>
          <w:tcPr>
            <w:tcW w:w="4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规格73×30×50cm，采用食品工程塑料，严格按标准渗入抗紫外线，防静电及防脱色原素，强度大，表面光滑，色彩鲜艳，安全环保，耐候性好，不易褪色。无毒无害。锻炼幼儿手的抓握能力和手臂肌肉及前庭平衡能力、手脚的协调。</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15</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428625</wp:posOffset>
                  </wp:positionH>
                  <wp:positionV relativeFrom="paragraph">
                    <wp:posOffset>226060</wp:posOffset>
                  </wp:positionV>
                  <wp:extent cx="800100" cy="459740"/>
                  <wp:effectExtent l="0" t="0" r="0" b="16510"/>
                  <wp:wrapNone/>
                  <wp:docPr id="89" name="图片_26"/>
                  <wp:cNvGraphicFramePr/>
                  <a:graphic xmlns:a="http://schemas.openxmlformats.org/drawingml/2006/main">
                    <a:graphicData uri="http://schemas.openxmlformats.org/drawingml/2006/picture">
                      <pic:pic xmlns:pic="http://schemas.openxmlformats.org/drawingml/2006/picture">
                        <pic:nvPicPr>
                          <pic:cNvPr id="89" name="图片_26"/>
                          <pic:cNvPicPr/>
                        </pic:nvPicPr>
                        <pic:blipFill>
                          <a:blip r:embed="rId33"/>
                          <a:stretch>
                            <a:fillRect/>
                          </a:stretch>
                        </pic:blipFill>
                        <pic:spPr>
                          <a:xfrm>
                            <a:off x="0" y="0"/>
                            <a:ext cx="800100" cy="45974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362"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26</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小推车</w:t>
            </w:r>
          </w:p>
        </w:tc>
        <w:tc>
          <w:tcPr>
            <w:tcW w:w="4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Style w:val="62"/>
                <w:rFonts w:hint="eastAsia" w:ascii="新宋体" w:hAnsi="新宋体" w:eastAsia="新宋体" w:cs="新宋体"/>
                <w:sz w:val="24"/>
                <w:szCs w:val="24"/>
                <w:lang w:val="en-US" w:eastAsia="zh-CN" w:bidi="ar"/>
              </w:rPr>
              <w:t>规格：长</w:t>
            </w:r>
            <w:r>
              <w:rPr>
                <w:rFonts w:hint="eastAsia" w:ascii="新宋体" w:hAnsi="新宋体" w:eastAsia="新宋体" w:cs="新宋体"/>
                <w:i w:val="0"/>
                <w:color w:val="000000"/>
                <w:kern w:val="0"/>
                <w:sz w:val="24"/>
                <w:szCs w:val="24"/>
                <w:u w:val="none"/>
                <w:lang w:val="en-US" w:eastAsia="zh-CN" w:bidi="ar"/>
              </w:rPr>
              <w:t>90*</w:t>
            </w:r>
            <w:r>
              <w:rPr>
                <w:rStyle w:val="62"/>
                <w:rFonts w:hint="eastAsia" w:ascii="新宋体" w:hAnsi="新宋体" w:eastAsia="新宋体" w:cs="新宋体"/>
                <w:sz w:val="24"/>
                <w:szCs w:val="24"/>
                <w:lang w:val="en-US" w:eastAsia="zh-CN" w:bidi="ar"/>
              </w:rPr>
              <w:t>宽</w:t>
            </w:r>
            <w:r>
              <w:rPr>
                <w:rFonts w:hint="eastAsia" w:ascii="新宋体" w:hAnsi="新宋体" w:eastAsia="新宋体" w:cs="新宋体"/>
                <w:i w:val="0"/>
                <w:color w:val="000000"/>
                <w:kern w:val="0"/>
                <w:sz w:val="24"/>
                <w:szCs w:val="24"/>
                <w:u w:val="none"/>
                <w:lang w:val="en-US" w:eastAsia="zh-CN" w:bidi="ar"/>
              </w:rPr>
              <w:t>34*</w:t>
            </w:r>
            <w:r>
              <w:rPr>
                <w:rStyle w:val="62"/>
                <w:rFonts w:hint="eastAsia" w:ascii="新宋体" w:hAnsi="新宋体" w:eastAsia="新宋体" w:cs="新宋体"/>
                <w:sz w:val="24"/>
                <w:szCs w:val="24"/>
                <w:lang w:val="en-US" w:eastAsia="zh-CN" w:bidi="ar"/>
              </w:rPr>
              <w:t>高</w:t>
            </w:r>
            <w:r>
              <w:rPr>
                <w:rFonts w:hint="eastAsia" w:ascii="新宋体" w:hAnsi="新宋体" w:eastAsia="新宋体" w:cs="新宋体"/>
                <w:i w:val="0"/>
                <w:color w:val="000000"/>
                <w:kern w:val="0"/>
                <w:sz w:val="24"/>
                <w:szCs w:val="24"/>
                <w:u w:val="none"/>
                <w:lang w:val="en-US" w:eastAsia="zh-CN" w:bidi="ar"/>
              </w:rPr>
              <w:t>40cm</w:t>
            </w:r>
            <w:r>
              <w:rPr>
                <w:rStyle w:val="62"/>
                <w:rFonts w:hint="eastAsia" w:ascii="新宋体" w:hAnsi="新宋体" w:eastAsia="新宋体" w:cs="新宋体"/>
                <w:sz w:val="24"/>
                <w:szCs w:val="24"/>
                <w:lang w:val="en-US" w:eastAsia="zh-CN" w:bidi="ar"/>
              </w:rPr>
              <w:t>（约</w:t>
            </w:r>
            <w:r>
              <w:rPr>
                <w:rFonts w:hint="eastAsia" w:ascii="新宋体" w:hAnsi="新宋体" w:eastAsia="新宋体" w:cs="新宋体"/>
                <w:i w:val="0"/>
                <w:color w:val="000000"/>
                <w:kern w:val="0"/>
                <w:sz w:val="24"/>
                <w:szCs w:val="24"/>
                <w:u w:val="none"/>
                <w:lang w:val="en-US" w:eastAsia="zh-CN" w:bidi="ar"/>
              </w:rPr>
              <w:t>4KG</w:t>
            </w:r>
            <w:r>
              <w:rPr>
                <w:rStyle w:val="62"/>
                <w:rFonts w:hint="eastAsia" w:ascii="新宋体" w:hAnsi="新宋体" w:eastAsia="新宋体" w:cs="新宋体"/>
                <w:sz w:val="24"/>
                <w:szCs w:val="24"/>
                <w:lang w:val="en-US" w:eastAsia="zh-CN" w:bidi="ar"/>
              </w:rPr>
              <w:t>）。材质：环保</w:t>
            </w:r>
            <w:r>
              <w:rPr>
                <w:rFonts w:hint="eastAsia" w:ascii="新宋体" w:hAnsi="新宋体" w:eastAsia="新宋体" w:cs="新宋体"/>
                <w:i w:val="0"/>
                <w:color w:val="000000"/>
                <w:kern w:val="0"/>
                <w:sz w:val="24"/>
                <w:szCs w:val="24"/>
                <w:u w:val="none"/>
                <w:lang w:val="en-US" w:eastAsia="zh-CN" w:bidi="ar"/>
              </w:rPr>
              <w:t>PE</w:t>
            </w:r>
            <w:r>
              <w:rPr>
                <w:rStyle w:val="62"/>
                <w:rFonts w:hint="eastAsia" w:ascii="新宋体" w:hAnsi="新宋体" w:eastAsia="新宋体" w:cs="新宋体"/>
                <w:sz w:val="24"/>
                <w:szCs w:val="24"/>
                <w:lang w:val="en-US" w:eastAsia="zh-CN" w:bidi="ar"/>
              </w:rPr>
              <w:t>塑料，滚塑工艺，颜色：红黄蓝绿，保证产品不褪色，不老化。</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15</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346710</wp:posOffset>
                  </wp:positionH>
                  <wp:positionV relativeFrom="paragraph">
                    <wp:posOffset>129540</wp:posOffset>
                  </wp:positionV>
                  <wp:extent cx="972185" cy="628650"/>
                  <wp:effectExtent l="0" t="0" r="18415" b="0"/>
                  <wp:wrapNone/>
                  <wp:docPr id="91" name="图片_29"/>
                  <wp:cNvGraphicFramePr/>
                  <a:graphic xmlns:a="http://schemas.openxmlformats.org/drawingml/2006/main">
                    <a:graphicData uri="http://schemas.openxmlformats.org/drawingml/2006/picture">
                      <pic:pic xmlns:pic="http://schemas.openxmlformats.org/drawingml/2006/picture">
                        <pic:nvPicPr>
                          <pic:cNvPr id="91" name="图片_29"/>
                          <pic:cNvPicPr/>
                        </pic:nvPicPr>
                        <pic:blipFill>
                          <a:blip r:embed="rId34"/>
                          <a:stretch>
                            <a:fillRect/>
                          </a:stretch>
                        </pic:blipFill>
                        <pic:spPr>
                          <a:xfrm>
                            <a:off x="0" y="0"/>
                            <a:ext cx="972185" cy="62865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7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27</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平衡台组合</w:t>
            </w:r>
          </w:p>
        </w:tc>
        <w:tc>
          <w:tcPr>
            <w:tcW w:w="42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优质黄花梨，无异味，环保清漆，尺寸：400*400*120cm,实物与图片相符。须提供包含幼儿玩具及教具的中国绿色环保产品荣誉证书.</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227965</wp:posOffset>
                  </wp:positionH>
                  <wp:positionV relativeFrom="paragraph">
                    <wp:posOffset>171450</wp:posOffset>
                  </wp:positionV>
                  <wp:extent cx="1219835" cy="839470"/>
                  <wp:effectExtent l="0" t="0" r="18415" b="17780"/>
                  <wp:wrapNone/>
                  <wp:docPr id="88" name="图片_41"/>
                  <wp:cNvGraphicFramePr/>
                  <a:graphic xmlns:a="http://schemas.openxmlformats.org/drawingml/2006/main">
                    <a:graphicData uri="http://schemas.openxmlformats.org/drawingml/2006/picture">
                      <pic:pic xmlns:pic="http://schemas.openxmlformats.org/drawingml/2006/picture">
                        <pic:nvPicPr>
                          <pic:cNvPr id="88" name="图片_41"/>
                          <pic:cNvPicPr/>
                        </pic:nvPicPr>
                        <pic:blipFill>
                          <a:blip r:embed="rId35"/>
                          <a:stretch>
                            <a:fillRect/>
                          </a:stretch>
                        </pic:blipFill>
                        <pic:spPr>
                          <a:xfrm>
                            <a:off x="0" y="0"/>
                            <a:ext cx="1219835" cy="83947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500"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28</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自然角柜</w:t>
            </w:r>
          </w:p>
        </w:tc>
        <w:tc>
          <w:tcPr>
            <w:tcW w:w="4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both"/>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材料：松木，规格：100*35*120cm</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21</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337185</wp:posOffset>
                  </wp:positionH>
                  <wp:positionV relativeFrom="paragraph">
                    <wp:posOffset>50165</wp:posOffset>
                  </wp:positionV>
                  <wp:extent cx="1014095" cy="730250"/>
                  <wp:effectExtent l="0" t="0" r="14605" b="12700"/>
                  <wp:wrapNone/>
                  <wp:docPr id="87" name="图片_29_SpCnt_1"/>
                  <wp:cNvGraphicFramePr/>
                  <a:graphic xmlns:a="http://schemas.openxmlformats.org/drawingml/2006/main">
                    <a:graphicData uri="http://schemas.openxmlformats.org/drawingml/2006/picture">
                      <pic:pic xmlns:pic="http://schemas.openxmlformats.org/drawingml/2006/picture">
                        <pic:nvPicPr>
                          <pic:cNvPr id="87" name="图片_29_SpCnt_1"/>
                          <pic:cNvPicPr/>
                        </pic:nvPicPr>
                        <pic:blipFill>
                          <a:blip r:embed="rId36"/>
                          <a:stretch>
                            <a:fillRect/>
                          </a:stretch>
                        </pic:blipFill>
                        <pic:spPr>
                          <a:xfrm>
                            <a:off x="0" y="0"/>
                            <a:ext cx="1014095" cy="73025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7362"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29</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攀登架</w:t>
            </w:r>
          </w:p>
        </w:tc>
        <w:tc>
          <w:tcPr>
            <w:tcW w:w="42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333333"/>
                <w:sz w:val="24"/>
                <w:szCs w:val="24"/>
                <w:u w:val="none"/>
              </w:rPr>
            </w:pPr>
            <w:r>
              <w:rPr>
                <w:rFonts w:hint="eastAsia" w:ascii="新宋体" w:hAnsi="新宋体" w:eastAsia="新宋体" w:cs="新宋体"/>
                <w:i w:val="0"/>
                <w:color w:val="333333"/>
                <w:kern w:val="0"/>
                <w:sz w:val="24"/>
                <w:szCs w:val="24"/>
                <w:u w:val="none"/>
                <w:lang w:val="en-US" w:eastAsia="zh-CN" w:bidi="ar"/>
              </w:rPr>
              <w:t>规格：4300*1600*2000mm，一半为攀爬结构，一半为两个秋千座，秋千底座为轴承结构，经久耐用，材质：1.采用天然防腐木材沙比利实木材料，木材含水率≤12%。2.油漆：油漆采用环保聚酯漆，经二底三面喷漆，颜色为清水本色。框架站柱与横梁截面不低于60*90mm，3.环保：甲醛释放≤1.5mg/L。.塑料配件材质：工程塑料添加抗紫外线稳定及静电防止剂，表面处理：模铸面；要求采用原生工程塑料不添加回收料.</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600075</wp:posOffset>
                  </wp:positionH>
                  <wp:positionV relativeFrom="paragraph">
                    <wp:posOffset>140970</wp:posOffset>
                  </wp:positionV>
                  <wp:extent cx="962660" cy="989965"/>
                  <wp:effectExtent l="0" t="0" r="8890" b="635"/>
                  <wp:wrapNone/>
                  <wp:docPr id="123" name="图片_26_SpCnt_1"/>
                  <wp:cNvGraphicFramePr/>
                  <a:graphic xmlns:a="http://schemas.openxmlformats.org/drawingml/2006/main">
                    <a:graphicData uri="http://schemas.openxmlformats.org/drawingml/2006/picture">
                      <pic:pic xmlns:pic="http://schemas.openxmlformats.org/drawingml/2006/picture">
                        <pic:nvPicPr>
                          <pic:cNvPr id="123" name="图片_26_SpCnt_1"/>
                          <pic:cNvPicPr/>
                        </pic:nvPicPr>
                        <pic:blipFill>
                          <a:blip r:embed="rId37"/>
                          <a:stretch>
                            <a:fillRect/>
                          </a:stretch>
                        </pic:blipFill>
                        <pic:spPr>
                          <a:xfrm>
                            <a:off x="0" y="0"/>
                            <a:ext cx="962660" cy="98996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082"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30</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彩色轮胎</w:t>
            </w:r>
          </w:p>
        </w:tc>
        <w:tc>
          <w:tcPr>
            <w:tcW w:w="4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一组十只彩色轮胎，带固定架一套</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4</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228600</wp:posOffset>
                  </wp:positionH>
                  <wp:positionV relativeFrom="paragraph">
                    <wp:posOffset>171450</wp:posOffset>
                  </wp:positionV>
                  <wp:extent cx="1162050" cy="833755"/>
                  <wp:effectExtent l="0" t="0" r="0" b="4445"/>
                  <wp:wrapNone/>
                  <wp:docPr id="122" name="图片_43"/>
                  <wp:cNvGraphicFramePr/>
                  <a:graphic xmlns:a="http://schemas.openxmlformats.org/drawingml/2006/main">
                    <a:graphicData uri="http://schemas.openxmlformats.org/drawingml/2006/picture">
                      <pic:pic xmlns:pic="http://schemas.openxmlformats.org/drawingml/2006/picture">
                        <pic:nvPicPr>
                          <pic:cNvPr id="122" name="图片_43"/>
                          <pic:cNvPicPr/>
                        </pic:nvPicPr>
                        <pic:blipFill>
                          <a:blip r:embed="rId38"/>
                          <a:stretch>
                            <a:fillRect/>
                          </a:stretch>
                        </pic:blipFill>
                        <pic:spPr>
                          <a:xfrm>
                            <a:off x="0" y="0"/>
                            <a:ext cx="1162050" cy="83375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302"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31</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投篮架</w:t>
            </w:r>
          </w:p>
        </w:tc>
        <w:tc>
          <w:tcPr>
            <w:tcW w:w="4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333333"/>
                <w:sz w:val="24"/>
                <w:szCs w:val="24"/>
                <w:u w:val="none"/>
              </w:rPr>
            </w:pPr>
            <w:r>
              <w:rPr>
                <w:rFonts w:hint="eastAsia" w:ascii="新宋体" w:hAnsi="新宋体" w:eastAsia="新宋体" w:cs="新宋体"/>
                <w:i w:val="0"/>
                <w:color w:val="333333"/>
                <w:kern w:val="0"/>
                <w:sz w:val="24"/>
                <w:szCs w:val="24"/>
                <w:u w:val="none"/>
                <w:lang w:val="en-US" w:eastAsia="zh-CN" w:bidi="ar"/>
              </w:rPr>
              <w:t>塑料高160cm可以升降</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4</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485140</wp:posOffset>
                  </wp:positionH>
                  <wp:positionV relativeFrom="paragraph">
                    <wp:posOffset>76200</wp:posOffset>
                  </wp:positionV>
                  <wp:extent cx="869315" cy="663575"/>
                  <wp:effectExtent l="0" t="0" r="6985" b="3175"/>
                  <wp:wrapNone/>
                  <wp:docPr id="124" name="图片_31"/>
                  <wp:cNvGraphicFramePr/>
                  <a:graphic xmlns:a="http://schemas.openxmlformats.org/drawingml/2006/main">
                    <a:graphicData uri="http://schemas.openxmlformats.org/drawingml/2006/picture">
                      <pic:pic xmlns:pic="http://schemas.openxmlformats.org/drawingml/2006/picture">
                        <pic:nvPicPr>
                          <pic:cNvPr id="124" name="图片_31"/>
                          <pic:cNvPicPr/>
                        </pic:nvPicPr>
                        <pic:blipFill>
                          <a:blip r:embed="rId39"/>
                          <a:stretch>
                            <a:fillRect/>
                          </a:stretch>
                        </pic:blipFill>
                        <pic:spPr>
                          <a:xfrm>
                            <a:off x="0" y="0"/>
                            <a:ext cx="869315" cy="66357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380"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32</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建构积木</w:t>
            </w:r>
          </w:p>
        </w:tc>
        <w:tc>
          <w:tcPr>
            <w:tcW w:w="42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木质200件优质环保</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6</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324485</wp:posOffset>
                  </wp:positionH>
                  <wp:positionV relativeFrom="paragraph">
                    <wp:posOffset>5080</wp:posOffset>
                  </wp:positionV>
                  <wp:extent cx="1039495" cy="789305"/>
                  <wp:effectExtent l="0" t="0" r="8255" b="10795"/>
                  <wp:wrapNone/>
                  <wp:docPr id="120" name="图片_32"/>
                  <wp:cNvGraphicFramePr/>
                  <a:graphic xmlns:a="http://schemas.openxmlformats.org/drawingml/2006/main">
                    <a:graphicData uri="http://schemas.openxmlformats.org/drawingml/2006/picture">
                      <pic:pic xmlns:pic="http://schemas.openxmlformats.org/drawingml/2006/picture">
                        <pic:nvPicPr>
                          <pic:cNvPr id="120" name="图片_32"/>
                          <pic:cNvPicPr/>
                        </pic:nvPicPr>
                        <pic:blipFill>
                          <a:blip r:embed="rId40"/>
                          <a:stretch>
                            <a:fillRect/>
                          </a:stretch>
                        </pic:blipFill>
                        <pic:spPr>
                          <a:xfrm>
                            <a:off x="0" y="0"/>
                            <a:ext cx="1039495" cy="78930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902"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33</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室外储物柜</w:t>
            </w:r>
          </w:p>
        </w:tc>
        <w:tc>
          <w:tcPr>
            <w:tcW w:w="4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户外玩具储物柜，也是户外环创储物柜，尺寸：长3米 宽0.75 高1.2；误差不能超过1厘米，承重350公斤；内有三层或两层或定制一层；三门推拉带锁扣；带万向轮带和刹车；材质：高强度不锈钢，全身包裹镀锌铁板，最外层是户外防雨布！</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组</w:t>
            </w:r>
          </w:p>
        </w:tc>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6</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95250</wp:posOffset>
                  </wp:positionH>
                  <wp:positionV relativeFrom="paragraph">
                    <wp:posOffset>238125</wp:posOffset>
                  </wp:positionV>
                  <wp:extent cx="1294130" cy="845185"/>
                  <wp:effectExtent l="0" t="0" r="1270" b="12065"/>
                  <wp:wrapNone/>
                  <wp:docPr id="121" name="图片_44"/>
                  <wp:cNvGraphicFramePr/>
                  <a:graphic xmlns:a="http://schemas.openxmlformats.org/drawingml/2006/main">
                    <a:graphicData uri="http://schemas.openxmlformats.org/drawingml/2006/picture">
                      <pic:pic xmlns:pic="http://schemas.openxmlformats.org/drawingml/2006/picture">
                        <pic:nvPicPr>
                          <pic:cNvPr id="121" name="图片_44"/>
                          <pic:cNvPicPr/>
                        </pic:nvPicPr>
                        <pic:blipFill>
                          <a:blip r:embed="rId41"/>
                          <a:stretch>
                            <a:fillRect/>
                          </a:stretch>
                        </pic:blipFill>
                        <pic:spPr>
                          <a:xfrm>
                            <a:off x="0" y="0"/>
                            <a:ext cx="1294130" cy="84518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920"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34</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单人脚踏车</w:t>
            </w:r>
          </w:p>
        </w:tc>
        <w:tc>
          <w:tcPr>
            <w:tcW w:w="42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单人黄色，橡胶轮，高碳钢车架，须提供包含幼儿玩具及教具的中国著名品牌荣誉证书.</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辆</w:t>
            </w:r>
          </w:p>
        </w:tc>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5</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323215</wp:posOffset>
                  </wp:positionH>
                  <wp:positionV relativeFrom="paragraph">
                    <wp:posOffset>213995</wp:posOffset>
                  </wp:positionV>
                  <wp:extent cx="909955" cy="825500"/>
                  <wp:effectExtent l="0" t="0" r="4445" b="12700"/>
                  <wp:wrapNone/>
                  <wp:docPr id="125" name="图片_45_SpCnt_1"/>
                  <wp:cNvGraphicFramePr/>
                  <a:graphic xmlns:a="http://schemas.openxmlformats.org/drawingml/2006/main">
                    <a:graphicData uri="http://schemas.openxmlformats.org/drawingml/2006/picture">
                      <pic:pic xmlns:pic="http://schemas.openxmlformats.org/drawingml/2006/picture">
                        <pic:nvPicPr>
                          <pic:cNvPr id="125" name="图片_45_SpCnt_1"/>
                          <pic:cNvPicPr/>
                        </pic:nvPicPr>
                        <pic:blipFill>
                          <a:blip r:embed="rId42"/>
                          <a:stretch>
                            <a:fillRect/>
                          </a:stretch>
                        </pic:blipFill>
                        <pic:spPr>
                          <a:xfrm>
                            <a:off x="0" y="0"/>
                            <a:ext cx="909955" cy="82550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602"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35</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双人脚踏车</w:t>
            </w:r>
          </w:p>
        </w:tc>
        <w:tc>
          <w:tcPr>
            <w:tcW w:w="42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双人红色，橡胶轮，高碳钢车架，</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辆</w:t>
            </w:r>
          </w:p>
        </w:tc>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5</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276860</wp:posOffset>
                  </wp:positionH>
                  <wp:positionV relativeFrom="paragraph">
                    <wp:posOffset>48895</wp:posOffset>
                  </wp:positionV>
                  <wp:extent cx="984885" cy="857885"/>
                  <wp:effectExtent l="0" t="0" r="5715" b="18415"/>
                  <wp:wrapNone/>
                  <wp:docPr id="119" name="图片_46"/>
                  <wp:cNvGraphicFramePr/>
                  <a:graphic xmlns:a="http://schemas.openxmlformats.org/drawingml/2006/main">
                    <a:graphicData uri="http://schemas.openxmlformats.org/drawingml/2006/picture">
                      <pic:pic xmlns:pic="http://schemas.openxmlformats.org/drawingml/2006/picture">
                        <pic:nvPicPr>
                          <pic:cNvPr id="119" name="图片_46"/>
                          <pic:cNvPicPr/>
                        </pic:nvPicPr>
                        <pic:blipFill>
                          <a:blip r:embed="rId43"/>
                          <a:stretch>
                            <a:fillRect/>
                          </a:stretch>
                        </pic:blipFill>
                        <pic:spPr>
                          <a:xfrm>
                            <a:off x="0" y="0"/>
                            <a:ext cx="984885" cy="85788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560"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36</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旋转六人脚踏车</w:t>
            </w:r>
          </w:p>
        </w:tc>
        <w:tc>
          <w:tcPr>
            <w:tcW w:w="425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六人黄色，橡胶轮，高碳钢车架，</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辆</w:t>
            </w:r>
          </w:p>
        </w:tc>
        <w:tc>
          <w:tcPr>
            <w:tcW w:w="61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142875</wp:posOffset>
                  </wp:positionH>
                  <wp:positionV relativeFrom="paragraph">
                    <wp:posOffset>48260</wp:posOffset>
                  </wp:positionV>
                  <wp:extent cx="1403350" cy="902335"/>
                  <wp:effectExtent l="0" t="0" r="6350" b="12065"/>
                  <wp:wrapNone/>
                  <wp:docPr id="118" name="图片_47"/>
                  <wp:cNvGraphicFramePr/>
                  <a:graphic xmlns:a="http://schemas.openxmlformats.org/drawingml/2006/main">
                    <a:graphicData uri="http://schemas.openxmlformats.org/drawingml/2006/picture">
                      <pic:pic xmlns:pic="http://schemas.openxmlformats.org/drawingml/2006/picture">
                        <pic:nvPicPr>
                          <pic:cNvPr id="118" name="图片_47"/>
                          <pic:cNvPicPr/>
                        </pic:nvPicPr>
                        <pic:blipFill>
                          <a:blip r:embed="rId44"/>
                          <a:stretch>
                            <a:fillRect/>
                          </a:stretch>
                        </pic:blipFill>
                        <pic:spPr>
                          <a:xfrm>
                            <a:off x="0" y="0"/>
                            <a:ext cx="1403350" cy="90233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262"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37</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大号蘑菇大象爬山坡</w:t>
            </w:r>
          </w:p>
        </w:tc>
        <w:tc>
          <w:tcPr>
            <w:tcW w:w="4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大号蘑菇大象爬山坡，规格：3.7*2.3m，采用环保工程塑料，商品工艺：滚塑，结实耐用</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414655</wp:posOffset>
                  </wp:positionH>
                  <wp:positionV relativeFrom="paragraph">
                    <wp:posOffset>180975</wp:posOffset>
                  </wp:positionV>
                  <wp:extent cx="980440" cy="1205865"/>
                  <wp:effectExtent l="0" t="0" r="10160" b="13335"/>
                  <wp:wrapNone/>
                  <wp:docPr id="117" name="图片_4_SpCnt_2"/>
                  <wp:cNvGraphicFramePr/>
                  <a:graphic xmlns:a="http://schemas.openxmlformats.org/drawingml/2006/main">
                    <a:graphicData uri="http://schemas.openxmlformats.org/drawingml/2006/picture">
                      <pic:pic xmlns:pic="http://schemas.openxmlformats.org/drawingml/2006/picture">
                        <pic:nvPicPr>
                          <pic:cNvPr id="117" name="图片_4_SpCnt_2"/>
                          <pic:cNvPicPr/>
                        </pic:nvPicPr>
                        <pic:blipFill>
                          <a:blip r:embed="rId45"/>
                          <a:stretch>
                            <a:fillRect/>
                          </a:stretch>
                        </pic:blipFill>
                        <pic:spPr>
                          <a:xfrm>
                            <a:off x="0" y="0"/>
                            <a:ext cx="980440" cy="120586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220"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38</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儿童滚铁环</w:t>
            </w:r>
          </w:p>
        </w:tc>
        <w:tc>
          <w:tcPr>
            <w:tcW w:w="4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材质：ABS+铁，尺寸：直径30CM，优质钢管，坚固耐用，平衡性好，符合人体工程学的舒适手柄，双侧有螺纹的挂钩设计</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30</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409575</wp:posOffset>
                  </wp:positionH>
                  <wp:positionV relativeFrom="paragraph">
                    <wp:posOffset>171450</wp:posOffset>
                  </wp:positionV>
                  <wp:extent cx="898525" cy="775335"/>
                  <wp:effectExtent l="0" t="0" r="15875" b="5715"/>
                  <wp:wrapNone/>
                  <wp:docPr id="116" name="图片_3_SpCnt_2"/>
                  <wp:cNvGraphicFramePr/>
                  <a:graphic xmlns:a="http://schemas.openxmlformats.org/drawingml/2006/main">
                    <a:graphicData uri="http://schemas.openxmlformats.org/drawingml/2006/picture">
                      <pic:pic xmlns:pic="http://schemas.openxmlformats.org/drawingml/2006/picture">
                        <pic:nvPicPr>
                          <pic:cNvPr id="116" name="图片_3_SpCnt_2"/>
                          <pic:cNvPicPr/>
                        </pic:nvPicPr>
                        <pic:blipFill>
                          <a:blip r:embed="rId46"/>
                          <a:stretch>
                            <a:fillRect/>
                          </a:stretch>
                        </pic:blipFill>
                        <pic:spPr>
                          <a:xfrm>
                            <a:off x="0" y="0"/>
                            <a:ext cx="898525" cy="77533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519"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39</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儿童笑脸高跷</w:t>
            </w:r>
          </w:p>
        </w:tc>
        <w:tc>
          <w:tcPr>
            <w:tcW w:w="4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材质：塑料，尺寸：底11*9CM 顶10*6CM 高约7CM，科称重120斤，特点：笑脸外形，颜色鲜艳，坚固耐用，精编棉线绳，对折总长约63CM，触觉按摩点，既可按摩脚底，还可以防滑</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30</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480695</wp:posOffset>
                  </wp:positionH>
                  <wp:positionV relativeFrom="paragraph">
                    <wp:posOffset>171450</wp:posOffset>
                  </wp:positionV>
                  <wp:extent cx="881380" cy="638175"/>
                  <wp:effectExtent l="0" t="0" r="13970" b="9525"/>
                  <wp:wrapNone/>
                  <wp:docPr id="153" name="图片_4_SpCnt_3"/>
                  <wp:cNvGraphicFramePr/>
                  <a:graphic xmlns:a="http://schemas.openxmlformats.org/drawingml/2006/main">
                    <a:graphicData uri="http://schemas.openxmlformats.org/drawingml/2006/picture">
                      <pic:pic xmlns:pic="http://schemas.openxmlformats.org/drawingml/2006/picture">
                        <pic:nvPicPr>
                          <pic:cNvPr id="153" name="图片_4_SpCnt_3"/>
                          <pic:cNvPicPr/>
                        </pic:nvPicPr>
                        <pic:blipFill>
                          <a:blip r:embed="rId47"/>
                          <a:stretch>
                            <a:fillRect/>
                          </a:stretch>
                        </pic:blipFill>
                        <pic:spPr>
                          <a:xfrm>
                            <a:off x="0" y="0"/>
                            <a:ext cx="881380" cy="63817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285"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40</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太空舱攀爬</w:t>
            </w:r>
          </w:p>
        </w:tc>
        <w:tc>
          <w:tcPr>
            <w:tcW w:w="4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采用环保工程塑料，无任何气味，没有任何有毒物质，健康环保，安放在室内外均可色彩鲜艳、不褪色、高强度、防静电、耐磨、耐晒、耐老化、防裂，尺寸：2.65*1.3m</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386080</wp:posOffset>
                  </wp:positionH>
                  <wp:positionV relativeFrom="paragraph">
                    <wp:posOffset>171450</wp:posOffset>
                  </wp:positionV>
                  <wp:extent cx="993140" cy="747395"/>
                  <wp:effectExtent l="0" t="0" r="16510" b="14605"/>
                  <wp:wrapNone/>
                  <wp:docPr id="152" name="图片_5_SpCnt_1"/>
                  <wp:cNvGraphicFramePr/>
                  <a:graphic xmlns:a="http://schemas.openxmlformats.org/drawingml/2006/main">
                    <a:graphicData uri="http://schemas.openxmlformats.org/drawingml/2006/picture">
                      <pic:pic xmlns:pic="http://schemas.openxmlformats.org/drawingml/2006/picture">
                        <pic:nvPicPr>
                          <pic:cNvPr id="152" name="图片_5_SpCnt_1"/>
                          <pic:cNvPicPr/>
                        </pic:nvPicPr>
                        <pic:blipFill>
                          <a:blip r:embed="rId48"/>
                          <a:stretch>
                            <a:fillRect/>
                          </a:stretch>
                        </pic:blipFill>
                        <pic:spPr>
                          <a:xfrm>
                            <a:off x="0" y="0"/>
                            <a:ext cx="993140" cy="74739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229"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41</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不锈钢篮球车</w:t>
            </w:r>
          </w:p>
        </w:tc>
        <w:tc>
          <w:tcPr>
            <w:tcW w:w="4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110*65*85CM不锈钢加厚带盖带轮子可推</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21</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314960</wp:posOffset>
                  </wp:positionH>
                  <wp:positionV relativeFrom="paragraph">
                    <wp:posOffset>188595</wp:posOffset>
                  </wp:positionV>
                  <wp:extent cx="1010285" cy="1073785"/>
                  <wp:effectExtent l="0" t="0" r="18415" b="12065"/>
                  <wp:wrapNone/>
                  <wp:docPr id="154" name="图片_1_SpCnt_3"/>
                  <wp:cNvGraphicFramePr/>
                  <a:graphic xmlns:a="http://schemas.openxmlformats.org/drawingml/2006/main">
                    <a:graphicData uri="http://schemas.openxmlformats.org/drawingml/2006/picture">
                      <pic:pic xmlns:pic="http://schemas.openxmlformats.org/drawingml/2006/picture">
                        <pic:nvPicPr>
                          <pic:cNvPr id="154" name="图片_1_SpCnt_3"/>
                          <pic:cNvPicPr/>
                        </pic:nvPicPr>
                        <pic:blipFill>
                          <a:blip r:embed="rId49"/>
                          <a:stretch>
                            <a:fillRect/>
                          </a:stretch>
                        </pic:blipFill>
                        <pic:spPr>
                          <a:xfrm>
                            <a:off x="0" y="0"/>
                            <a:ext cx="1010285" cy="107378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722"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42</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太阳花凳</w:t>
            </w:r>
          </w:p>
        </w:tc>
        <w:tc>
          <w:tcPr>
            <w:tcW w:w="4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50*30cm,1组有五个,果绿色</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组</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3</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524510</wp:posOffset>
                  </wp:positionH>
                  <wp:positionV relativeFrom="paragraph">
                    <wp:posOffset>168275</wp:posOffset>
                  </wp:positionV>
                  <wp:extent cx="633095" cy="840740"/>
                  <wp:effectExtent l="0" t="0" r="14605" b="16510"/>
                  <wp:wrapNone/>
                  <wp:docPr id="150" name="图片_11"/>
                  <wp:cNvGraphicFramePr/>
                  <a:graphic xmlns:a="http://schemas.openxmlformats.org/drawingml/2006/main">
                    <a:graphicData uri="http://schemas.openxmlformats.org/drawingml/2006/picture">
                      <pic:pic xmlns:pic="http://schemas.openxmlformats.org/drawingml/2006/picture">
                        <pic:nvPicPr>
                          <pic:cNvPr id="150" name="图片_11"/>
                          <pic:cNvPicPr/>
                        </pic:nvPicPr>
                        <pic:blipFill>
                          <a:blip r:embed="rId50"/>
                          <a:stretch>
                            <a:fillRect/>
                          </a:stretch>
                        </pic:blipFill>
                        <pic:spPr>
                          <a:xfrm>
                            <a:off x="0" y="0"/>
                            <a:ext cx="633095" cy="84074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280"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43</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备用课桌</w:t>
            </w:r>
          </w:p>
        </w:tc>
        <w:tc>
          <w:tcPr>
            <w:tcW w:w="4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精选樟子松，</w:t>
            </w:r>
            <w:r>
              <w:rPr>
                <w:rStyle w:val="64"/>
                <w:rFonts w:hint="eastAsia" w:ascii="新宋体" w:hAnsi="新宋体" w:eastAsia="新宋体" w:cs="新宋体"/>
                <w:sz w:val="24"/>
                <w:szCs w:val="24"/>
                <w:lang w:val="en-US" w:eastAsia="zh-CN" w:bidi="ar"/>
              </w:rPr>
              <w:t>100%</w:t>
            </w:r>
            <w:r>
              <w:rPr>
                <w:rFonts w:hint="eastAsia" w:ascii="新宋体" w:hAnsi="新宋体" w:eastAsia="新宋体" w:cs="新宋体"/>
                <w:i w:val="0"/>
                <w:color w:val="000000"/>
                <w:kern w:val="0"/>
                <w:sz w:val="24"/>
                <w:szCs w:val="24"/>
                <w:u w:val="none"/>
                <w:lang w:val="en-US" w:eastAsia="zh-CN" w:bidi="ar"/>
              </w:rPr>
              <w:t>纯实木，不含指接材；圆形桌子高度</w:t>
            </w:r>
            <w:r>
              <w:rPr>
                <w:rStyle w:val="64"/>
                <w:rFonts w:hint="eastAsia" w:ascii="新宋体" w:hAnsi="新宋体" w:eastAsia="新宋体" w:cs="新宋体"/>
                <w:sz w:val="24"/>
                <w:szCs w:val="24"/>
                <w:lang w:val="en-US" w:eastAsia="zh-CN" w:bidi="ar"/>
              </w:rPr>
              <w:t>55cm</w:t>
            </w:r>
            <w:r>
              <w:rPr>
                <w:rFonts w:hint="eastAsia" w:ascii="新宋体" w:hAnsi="新宋体" w:eastAsia="新宋体" w:cs="新宋体"/>
                <w:i w:val="0"/>
                <w:color w:val="000000"/>
                <w:kern w:val="0"/>
                <w:sz w:val="24"/>
                <w:szCs w:val="24"/>
                <w:u w:val="none"/>
                <w:lang w:val="en-US" w:eastAsia="zh-CN" w:bidi="ar"/>
              </w:rPr>
              <w:t>，适合</w:t>
            </w:r>
            <w:r>
              <w:rPr>
                <w:rStyle w:val="64"/>
                <w:rFonts w:hint="eastAsia" w:ascii="新宋体" w:hAnsi="新宋体" w:eastAsia="新宋体" w:cs="新宋体"/>
                <w:sz w:val="24"/>
                <w:szCs w:val="24"/>
                <w:lang w:val="en-US" w:eastAsia="zh-CN" w:bidi="ar"/>
              </w:rPr>
              <w:t>135cm</w:t>
            </w:r>
            <w:r>
              <w:rPr>
                <w:rFonts w:hint="eastAsia" w:ascii="新宋体" w:hAnsi="新宋体" w:eastAsia="新宋体" w:cs="新宋体"/>
                <w:i w:val="0"/>
                <w:color w:val="000000"/>
                <w:kern w:val="0"/>
                <w:sz w:val="24"/>
                <w:szCs w:val="24"/>
                <w:u w:val="none"/>
                <w:lang w:val="en-US" w:eastAsia="zh-CN" w:bidi="ar"/>
              </w:rPr>
              <w:t>以下宝宝用；环保清水漆，无毛刺，无异味，优质五金，超强承重力，耐久使用；</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张</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24</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343535</wp:posOffset>
                  </wp:positionH>
                  <wp:positionV relativeFrom="paragraph">
                    <wp:posOffset>517525</wp:posOffset>
                  </wp:positionV>
                  <wp:extent cx="1048385" cy="801370"/>
                  <wp:effectExtent l="0" t="0" r="18415" b="17780"/>
                  <wp:wrapNone/>
                  <wp:docPr id="151" name="Picture_8"/>
                  <wp:cNvGraphicFramePr/>
                  <a:graphic xmlns:a="http://schemas.openxmlformats.org/drawingml/2006/main">
                    <a:graphicData uri="http://schemas.openxmlformats.org/drawingml/2006/picture">
                      <pic:pic xmlns:pic="http://schemas.openxmlformats.org/drawingml/2006/picture">
                        <pic:nvPicPr>
                          <pic:cNvPr id="151" name="Picture_8"/>
                          <pic:cNvPicPr/>
                        </pic:nvPicPr>
                        <pic:blipFill>
                          <a:blip r:embed="rId51"/>
                          <a:stretch>
                            <a:fillRect/>
                          </a:stretch>
                        </pic:blipFill>
                        <pic:spPr>
                          <a:xfrm>
                            <a:off x="0" y="0"/>
                            <a:ext cx="1048385" cy="80137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0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44</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毛巾架</w:t>
            </w:r>
          </w:p>
        </w:tc>
        <w:tc>
          <w:tcPr>
            <w:tcW w:w="4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规格：107*44*80*44cm，动物造型采用工程塑料吹塑一次成型，加厚，横杆优质塑料，不易变形，高低档可调节挂钩，可挂40个，</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12</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443865</wp:posOffset>
                  </wp:positionH>
                  <wp:positionV relativeFrom="paragraph">
                    <wp:posOffset>434975</wp:posOffset>
                  </wp:positionV>
                  <wp:extent cx="707390" cy="706755"/>
                  <wp:effectExtent l="0" t="0" r="16510" b="17145"/>
                  <wp:wrapNone/>
                  <wp:docPr id="149" name="图片_2"/>
                  <wp:cNvGraphicFramePr/>
                  <a:graphic xmlns:a="http://schemas.openxmlformats.org/drawingml/2006/main">
                    <a:graphicData uri="http://schemas.openxmlformats.org/drawingml/2006/picture">
                      <pic:pic xmlns:pic="http://schemas.openxmlformats.org/drawingml/2006/picture">
                        <pic:nvPicPr>
                          <pic:cNvPr id="149" name="图片_2"/>
                          <pic:cNvPicPr/>
                        </pic:nvPicPr>
                        <pic:blipFill>
                          <a:blip r:embed="rId52"/>
                          <a:stretch>
                            <a:fillRect/>
                          </a:stretch>
                        </pic:blipFill>
                        <pic:spPr>
                          <a:xfrm>
                            <a:off x="0" y="0"/>
                            <a:ext cx="707390" cy="70675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999"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45</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口杯架</w:t>
            </w:r>
          </w:p>
        </w:tc>
        <w:tc>
          <w:tcPr>
            <w:tcW w:w="4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带茶桶口杯架，实木：杉木</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6</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408940</wp:posOffset>
                  </wp:positionH>
                  <wp:positionV relativeFrom="paragraph">
                    <wp:posOffset>260985</wp:posOffset>
                  </wp:positionV>
                  <wp:extent cx="694690" cy="966470"/>
                  <wp:effectExtent l="0" t="0" r="10160" b="5080"/>
                  <wp:wrapNone/>
                  <wp:docPr id="147" name="Picture_5226"/>
                  <wp:cNvGraphicFramePr/>
                  <a:graphic xmlns:a="http://schemas.openxmlformats.org/drawingml/2006/main">
                    <a:graphicData uri="http://schemas.openxmlformats.org/drawingml/2006/picture">
                      <pic:pic xmlns:pic="http://schemas.openxmlformats.org/drawingml/2006/picture">
                        <pic:nvPicPr>
                          <pic:cNvPr id="147" name="Picture_5226"/>
                          <pic:cNvPicPr/>
                        </pic:nvPicPr>
                        <pic:blipFill>
                          <a:blip r:embed="rId53"/>
                          <a:stretch>
                            <a:fillRect/>
                          </a:stretch>
                        </pic:blipFill>
                        <pic:spPr>
                          <a:xfrm>
                            <a:off x="0" y="0"/>
                            <a:ext cx="694690" cy="96647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059"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46</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袋鼠跳布袋</w:t>
            </w:r>
          </w:p>
        </w:tc>
        <w:tc>
          <w:tcPr>
            <w:tcW w:w="4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袋鼠跳跳袋幼儿园儿童早教跳袋子户外感统训练器材，颜色红黄蓝相间，数字1-6个布袋，适合身高80-120CM，材质：加厚牛津布，双层防滑，低圆直径30CM，平铺宽45CM，平铺高不含提手，56CM。</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21</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426720</wp:posOffset>
                  </wp:positionH>
                  <wp:positionV relativeFrom="paragraph">
                    <wp:posOffset>142240</wp:posOffset>
                  </wp:positionV>
                  <wp:extent cx="858520" cy="876935"/>
                  <wp:effectExtent l="0" t="0" r="17780" b="18415"/>
                  <wp:wrapNone/>
                  <wp:docPr id="146" name="图片_3_SpCnt_3"/>
                  <wp:cNvGraphicFramePr/>
                  <a:graphic xmlns:a="http://schemas.openxmlformats.org/drawingml/2006/main">
                    <a:graphicData uri="http://schemas.openxmlformats.org/drawingml/2006/picture">
                      <pic:pic xmlns:pic="http://schemas.openxmlformats.org/drawingml/2006/picture">
                        <pic:nvPicPr>
                          <pic:cNvPr id="146" name="图片_3_SpCnt_3"/>
                          <pic:cNvPicPr/>
                        </pic:nvPicPr>
                        <pic:blipFill>
                          <a:blip r:embed="rId54"/>
                          <a:stretch>
                            <a:fillRect/>
                          </a:stretch>
                        </pic:blipFill>
                        <pic:spPr>
                          <a:xfrm>
                            <a:off x="0" y="0"/>
                            <a:ext cx="858520" cy="87693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842"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47</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感统训练器材跨栏</w:t>
            </w:r>
          </w:p>
        </w:tc>
        <w:tc>
          <w:tcPr>
            <w:tcW w:w="4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材质: 环保PE，无毒无味，安全环保，颜色丰富，光滑无毛刺，尺寸：长83CM，脚腿长20CM，高25CM，8个为一套</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6</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267335</wp:posOffset>
                  </wp:positionH>
                  <wp:positionV relativeFrom="paragraph">
                    <wp:posOffset>154305</wp:posOffset>
                  </wp:positionV>
                  <wp:extent cx="1056005" cy="664845"/>
                  <wp:effectExtent l="0" t="0" r="10795" b="1905"/>
                  <wp:wrapNone/>
                  <wp:docPr id="148" name="图片_4_SpCnt_4"/>
                  <wp:cNvGraphicFramePr/>
                  <a:graphic xmlns:a="http://schemas.openxmlformats.org/drawingml/2006/main">
                    <a:graphicData uri="http://schemas.openxmlformats.org/drawingml/2006/picture">
                      <pic:pic xmlns:pic="http://schemas.openxmlformats.org/drawingml/2006/picture">
                        <pic:nvPicPr>
                          <pic:cNvPr id="148" name="图片_4_SpCnt_4"/>
                          <pic:cNvPicPr/>
                        </pic:nvPicPr>
                        <pic:blipFill>
                          <a:blip r:embed="rId55"/>
                          <a:stretch>
                            <a:fillRect/>
                          </a:stretch>
                        </pic:blipFill>
                        <pic:spPr>
                          <a:xfrm>
                            <a:off x="0" y="0"/>
                            <a:ext cx="1056005" cy="66484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579"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48</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交通信号标志牌</w:t>
            </w:r>
          </w:p>
        </w:tc>
        <w:tc>
          <w:tcPr>
            <w:tcW w:w="4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塑料交通标志，塑料交通标志，配置：标配12块，基座24块，杆子12根，卡扣12个   12个为一套</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3</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256540</wp:posOffset>
                  </wp:positionH>
                  <wp:positionV relativeFrom="paragraph">
                    <wp:posOffset>138430</wp:posOffset>
                  </wp:positionV>
                  <wp:extent cx="1170305" cy="881380"/>
                  <wp:effectExtent l="0" t="0" r="10795" b="13970"/>
                  <wp:wrapNone/>
                  <wp:docPr id="144" name="图片_6"/>
                  <wp:cNvGraphicFramePr/>
                  <a:graphic xmlns:a="http://schemas.openxmlformats.org/drawingml/2006/main">
                    <a:graphicData uri="http://schemas.openxmlformats.org/drawingml/2006/picture">
                      <pic:pic xmlns:pic="http://schemas.openxmlformats.org/drawingml/2006/picture">
                        <pic:nvPicPr>
                          <pic:cNvPr id="144" name="图片_6"/>
                          <pic:cNvPicPr/>
                        </pic:nvPicPr>
                        <pic:blipFill>
                          <a:blip r:embed="rId56"/>
                          <a:stretch>
                            <a:fillRect/>
                          </a:stretch>
                        </pic:blipFill>
                        <pic:spPr>
                          <a:xfrm>
                            <a:off x="0" y="0"/>
                            <a:ext cx="1170305" cy="88138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502"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49</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带网轮胎板车</w:t>
            </w:r>
          </w:p>
        </w:tc>
        <w:tc>
          <w:tcPr>
            <w:tcW w:w="4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轮胎口有密度网，结实耐用，两端有粗绳子，安全牢固，底端有加大4.5CM直径脚轮，轮胎颜色：红、黄、蓝、绿、粉、紫，汽车烤漆工艺保证10年不掉色</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10</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379095</wp:posOffset>
                  </wp:positionH>
                  <wp:positionV relativeFrom="paragraph">
                    <wp:posOffset>171450</wp:posOffset>
                  </wp:positionV>
                  <wp:extent cx="830580" cy="809625"/>
                  <wp:effectExtent l="0" t="0" r="7620" b="9525"/>
                  <wp:wrapNone/>
                  <wp:docPr id="143" name="图片_9"/>
                  <wp:cNvGraphicFramePr/>
                  <a:graphic xmlns:a="http://schemas.openxmlformats.org/drawingml/2006/main">
                    <a:graphicData uri="http://schemas.openxmlformats.org/drawingml/2006/picture">
                      <pic:pic xmlns:pic="http://schemas.openxmlformats.org/drawingml/2006/picture">
                        <pic:nvPicPr>
                          <pic:cNvPr id="143" name="图片_9"/>
                          <pic:cNvPicPr/>
                        </pic:nvPicPr>
                        <pic:blipFill>
                          <a:blip r:embed="rId57"/>
                          <a:stretch>
                            <a:fillRect/>
                          </a:stretch>
                        </pic:blipFill>
                        <pic:spPr>
                          <a:xfrm>
                            <a:off x="0" y="0"/>
                            <a:ext cx="830580" cy="80962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3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50</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儿童哑铃</w:t>
            </w:r>
          </w:p>
        </w:tc>
        <w:tc>
          <w:tcPr>
            <w:tcW w:w="4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幼儿园早操哑铃彩色，重量: 75g，材质：木质，木质哑铃经久耐用，颜色鲜亮、表面光滑，分圆头、方头，总长约18CM，手柄约长9.1CM，头部两端上下：4.66CM，两端直径4.75，中间手柄直径1.8CM，颜色为黄色、红色</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100</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332740</wp:posOffset>
                  </wp:positionH>
                  <wp:positionV relativeFrom="paragraph">
                    <wp:posOffset>124460</wp:posOffset>
                  </wp:positionV>
                  <wp:extent cx="887095" cy="895985"/>
                  <wp:effectExtent l="0" t="0" r="8255" b="18415"/>
                  <wp:wrapNone/>
                  <wp:docPr id="145" name="图片_10"/>
                  <wp:cNvGraphicFramePr/>
                  <a:graphic xmlns:a="http://schemas.openxmlformats.org/drawingml/2006/main">
                    <a:graphicData uri="http://schemas.openxmlformats.org/drawingml/2006/picture">
                      <pic:pic xmlns:pic="http://schemas.openxmlformats.org/drawingml/2006/picture">
                        <pic:nvPicPr>
                          <pic:cNvPr id="145" name="图片_10"/>
                          <pic:cNvPicPr/>
                        </pic:nvPicPr>
                        <pic:blipFill>
                          <a:blip r:embed="rId58"/>
                          <a:stretch>
                            <a:fillRect/>
                          </a:stretch>
                        </pic:blipFill>
                        <pic:spPr>
                          <a:xfrm>
                            <a:off x="0" y="0"/>
                            <a:ext cx="887095" cy="89598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542"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51</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平衡脚踏车</w:t>
            </w:r>
          </w:p>
        </w:tc>
        <w:tc>
          <w:tcPr>
            <w:tcW w:w="4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材质: 塑料+铁，单人平衡脚踏车，尺寸：35*43.5*56CM，承重约50公斤，产品毛重3.3KG，黄色</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5</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219075</wp:posOffset>
                  </wp:positionH>
                  <wp:positionV relativeFrom="paragraph">
                    <wp:posOffset>162560</wp:posOffset>
                  </wp:positionV>
                  <wp:extent cx="868680" cy="685165"/>
                  <wp:effectExtent l="0" t="0" r="7620" b="635"/>
                  <wp:wrapNone/>
                  <wp:docPr id="141" name="图片_11_SpCnt_1"/>
                  <wp:cNvGraphicFramePr/>
                  <a:graphic xmlns:a="http://schemas.openxmlformats.org/drawingml/2006/main">
                    <a:graphicData uri="http://schemas.openxmlformats.org/drawingml/2006/picture">
                      <pic:pic xmlns:pic="http://schemas.openxmlformats.org/drawingml/2006/picture">
                        <pic:nvPicPr>
                          <pic:cNvPr id="141" name="图片_11_SpCnt_1"/>
                          <pic:cNvPicPr/>
                        </pic:nvPicPr>
                        <pic:blipFill>
                          <a:blip r:embed="rId59"/>
                          <a:stretch>
                            <a:fillRect/>
                          </a:stretch>
                        </pic:blipFill>
                        <pic:spPr>
                          <a:xfrm>
                            <a:off x="0" y="0"/>
                            <a:ext cx="868680" cy="685165"/>
                          </a:xfrm>
                          <a:prstGeom prst="rect">
                            <a:avLst/>
                          </a:prstGeom>
                          <a:noFill/>
                          <a:ln>
                            <a:noFill/>
                          </a:ln>
                        </pic:spPr>
                      </pic:pic>
                    </a:graphicData>
                  </a:graphic>
                </wp:anchor>
              </w:drawing>
            </w: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278130</wp:posOffset>
                  </wp:positionH>
                  <wp:positionV relativeFrom="paragraph">
                    <wp:posOffset>911860</wp:posOffset>
                  </wp:positionV>
                  <wp:extent cx="982345" cy="979170"/>
                  <wp:effectExtent l="0" t="0" r="8255" b="11430"/>
                  <wp:wrapNone/>
                  <wp:docPr id="140" name="图片_6_SpCnt_1"/>
                  <wp:cNvGraphicFramePr/>
                  <a:graphic xmlns:a="http://schemas.openxmlformats.org/drawingml/2006/main">
                    <a:graphicData uri="http://schemas.openxmlformats.org/drawingml/2006/picture">
                      <pic:pic xmlns:pic="http://schemas.openxmlformats.org/drawingml/2006/picture">
                        <pic:nvPicPr>
                          <pic:cNvPr id="140" name="图片_6_SpCnt_1"/>
                          <pic:cNvPicPr/>
                        </pic:nvPicPr>
                        <pic:blipFill>
                          <a:blip r:embed="rId60"/>
                          <a:stretch>
                            <a:fillRect/>
                          </a:stretch>
                        </pic:blipFill>
                        <pic:spPr>
                          <a:xfrm>
                            <a:off x="0" y="0"/>
                            <a:ext cx="982345" cy="97917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962"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52</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蘑菇钉</w:t>
            </w:r>
          </w:p>
        </w:tc>
        <w:tc>
          <w:tcPr>
            <w:tcW w:w="4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3C3C3C"/>
                <w:sz w:val="24"/>
                <w:szCs w:val="24"/>
                <w:u w:val="none"/>
              </w:rPr>
            </w:pPr>
            <w:r>
              <w:rPr>
                <w:rFonts w:hint="eastAsia" w:ascii="新宋体" w:hAnsi="新宋体" w:eastAsia="新宋体" w:cs="新宋体"/>
                <w:i w:val="0"/>
                <w:color w:val="3C3C3C"/>
                <w:kern w:val="0"/>
                <w:sz w:val="24"/>
                <w:szCs w:val="24"/>
                <w:u w:val="none"/>
                <w:lang w:val="en-US" w:eastAsia="zh-CN" w:bidi="ar"/>
              </w:rPr>
              <w:t>智慧魔盘蘑菇钉组合拼插版玩具儿童益智早教拼图积木3-6岁幼儿园，材质：ＰＶＣ塑料，适合年龄：３岁以上，产品有４５０粒蘑菇钉、２个插板、图纸，使用安全环保塑料，光滑处理，颜色鲜艳柔和，加合理的收纳盒设计</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6</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新宋体" w:hAnsi="新宋体" w:eastAsia="新宋体" w:cs="新宋体"/>
                <w:i w:val="0"/>
                <w:color w:val="000000"/>
                <w:sz w:val="24"/>
                <w:szCs w:val="24"/>
                <w:u w:val="none"/>
              </w:rPr>
            </w:pPr>
          </w:p>
        </w:tc>
      </w:tr>
      <w:tr>
        <w:tblPrEx>
          <w:tblLayout w:type="fixed"/>
          <w:tblCellMar>
            <w:top w:w="0" w:type="dxa"/>
            <w:left w:w="0" w:type="dxa"/>
            <w:bottom w:w="0" w:type="dxa"/>
            <w:right w:w="0" w:type="dxa"/>
          </w:tblCellMar>
        </w:tblPrEx>
        <w:trPr>
          <w:trHeight w:val="1782"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53</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奥尔夫乐器8寸双排铃鼓</w:t>
            </w:r>
          </w:p>
        </w:tc>
        <w:tc>
          <w:tcPr>
            <w:tcW w:w="4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333333"/>
                <w:sz w:val="24"/>
                <w:szCs w:val="24"/>
                <w:u w:val="none"/>
              </w:rPr>
            </w:pPr>
            <w:r>
              <w:rPr>
                <w:rFonts w:hint="eastAsia" w:ascii="新宋体" w:hAnsi="新宋体" w:eastAsia="新宋体" w:cs="新宋体"/>
                <w:i w:val="0"/>
                <w:color w:val="333333"/>
                <w:kern w:val="0"/>
                <w:sz w:val="24"/>
                <w:szCs w:val="24"/>
                <w:u w:val="none"/>
                <w:lang w:val="en-US" w:eastAsia="zh-CN" w:bidi="ar"/>
              </w:rPr>
              <w:t>奥尔夫乐器8寸双排铃鼓，鼓面：羊皮款 和 超结实款聚酯皮款 ，边圈：光滑木质材料，8寸（20cm） 高：5.6cm ，红色光圈，白色皮面，</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40</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292735</wp:posOffset>
                  </wp:positionH>
                  <wp:positionV relativeFrom="paragraph">
                    <wp:posOffset>160655</wp:posOffset>
                  </wp:positionV>
                  <wp:extent cx="946785" cy="750570"/>
                  <wp:effectExtent l="0" t="0" r="5715" b="11430"/>
                  <wp:wrapNone/>
                  <wp:docPr id="142" name="Picture_28"/>
                  <wp:cNvGraphicFramePr/>
                  <a:graphic xmlns:a="http://schemas.openxmlformats.org/drawingml/2006/main">
                    <a:graphicData uri="http://schemas.openxmlformats.org/drawingml/2006/picture">
                      <pic:pic xmlns:pic="http://schemas.openxmlformats.org/drawingml/2006/picture">
                        <pic:nvPicPr>
                          <pic:cNvPr id="142" name="Picture_28"/>
                          <pic:cNvPicPr/>
                        </pic:nvPicPr>
                        <pic:blipFill>
                          <a:blip r:embed="rId61"/>
                          <a:stretch>
                            <a:fillRect/>
                          </a:stretch>
                        </pic:blipFill>
                        <pic:spPr>
                          <a:xfrm>
                            <a:off x="0" y="0"/>
                            <a:ext cx="946785" cy="75057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980"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54</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7寸牛皮鼓</w:t>
            </w:r>
          </w:p>
        </w:tc>
        <w:tc>
          <w:tcPr>
            <w:tcW w:w="4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333333"/>
                <w:sz w:val="24"/>
                <w:szCs w:val="24"/>
                <w:u w:val="none"/>
              </w:rPr>
            </w:pPr>
            <w:r>
              <w:rPr>
                <w:rFonts w:hint="eastAsia" w:ascii="新宋体" w:hAnsi="新宋体" w:eastAsia="新宋体" w:cs="新宋体"/>
                <w:i w:val="0"/>
                <w:color w:val="333333"/>
                <w:kern w:val="0"/>
                <w:sz w:val="24"/>
                <w:szCs w:val="24"/>
                <w:u w:val="none"/>
                <w:lang w:val="en-US" w:eastAsia="zh-CN" w:bidi="ar"/>
              </w:rPr>
              <w:t>奥尔夫音乐7寸牛皮鼓，直径24CM，高度17CM，鼓面采用优质天然纯牛皮，结实耐用，鼓身为PP树脂材质一次成型，鼓身内外均为红色，免喷红漆，后期只喷清漆，鼓身光滑美观，配备木质鼓槌一对，背带一条</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40</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314960</wp:posOffset>
                  </wp:positionH>
                  <wp:positionV relativeFrom="paragraph">
                    <wp:posOffset>171450</wp:posOffset>
                  </wp:positionV>
                  <wp:extent cx="799465" cy="858520"/>
                  <wp:effectExtent l="0" t="0" r="635" b="17780"/>
                  <wp:wrapNone/>
                  <wp:docPr id="138" name="图片_1_SpCnt_4"/>
                  <wp:cNvGraphicFramePr/>
                  <a:graphic xmlns:a="http://schemas.openxmlformats.org/drawingml/2006/main">
                    <a:graphicData uri="http://schemas.openxmlformats.org/drawingml/2006/picture">
                      <pic:pic xmlns:pic="http://schemas.openxmlformats.org/drawingml/2006/picture">
                        <pic:nvPicPr>
                          <pic:cNvPr id="138" name="图片_1_SpCnt_4"/>
                          <pic:cNvPicPr/>
                        </pic:nvPicPr>
                        <pic:blipFill>
                          <a:blip r:embed="rId62"/>
                          <a:stretch>
                            <a:fillRect/>
                          </a:stretch>
                        </pic:blipFill>
                        <pic:spPr>
                          <a:xfrm>
                            <a:off x="0" y="0"/>
                            <a:ext cx="799465" cy="85852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800"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55</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小铜擦</w:t>
            </w:r>
          </w:p>
        </w:tc>
        <w:tc>
          <w:tcPr>
            <w:tcW w:w="4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333333"/>
                <w:sz w:val="24"/>
                <w:szCs w:val="24"/>
                <w:u w:val="none"/>
              </w:rPr>
            </w:pPr>
            <w:r>
              <w:rPr>
                <w:rFonts w:hint="eastAsia" w:ascii="新宋体" w:hAnsi="新宋体" w:eastAsia="新宋体" w:cs="新宋体"/>
                <w:i w:val="0"/>
                <w:color w:val="333333"/>
                <w:kern w:val="0"/>
                <w:sz w:val="24"/>
                <w:szCs w:val="24"/>
                <w:u w:val="none"/>
                <w:lang w:val="en-US" w:eastAsia="zh-CN" w:bidi="ar"/>
              </w:rPr>
              <w:t>奥尔夫乐器幼儿园乐器儿童乐器打击乐器铜擦，直径9CM，铜擦为纯铜质</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对</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35</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381000</wp:posOffset>
                  </wp:positionH>
                  <wp:positionV relativeFrom="paragraph">
                    <wp:posOffset>13335</wp:posOffset>
                  </wp:positionV>
                  <wp:extent cx="948055" cy="867410"/>
                  <wp:effectExtent l="0" t="0" r="4445" b="8890"/>
                  <wp:wrapNone/>
                  <wp:docPr id="137" name="图片_2_SpCnt_1"/>
                  <wp:cNvGraphicFramePr/>
                  <a:graphic xmlns:a="http://schemas.openxmlformats.org/drawingml/2006/main">
                    <a:graphicData uri="http://schemas.openxmlformats.org/drawingml/2006/picture">
                      <pic:pic xmlns:pic="http://schemas.openxmlformats.org/drawingml/2006/picture">
                        <pic:nvPicPr>
                          <pic:cNvPr id="137" name="图片_2_SpCnt_1"/>
                          <pic:cNvPicPr/>
                        </pic:nvPicPr>
                        <pic:blipFill>
                          <a:blip r:embed="rId63"/>
                          <a:stretch>
                            <a:fillRect/>
                          </a:stretch>
                        </pic:blipFill>
                        <pic:spPr>
                          <a:xfrm>
                            <a:off x="0" y="0"/>
                            <a:ext cx="948055" cy="86741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819"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56</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非洲鼓1</w:t>
            </w:r>
          </w:p>
        </w:tc>
        <w:tc>
          <w:tcPr>
            <w:tcW w:w="4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333333"/>
                <w:sz w:val="24"/>
                <w:szCs w:val="24"/>
                <w:u w:val="none"/>
              </w:rPr>
            </w:pPr>
            <w:r>
              <w:rPr>
                <w:rFonts w:hint="eastAsia" w:ascii="新宋体" w:hAnsi="新宋体" w:eastAsia="新宋体" w:cs="新宋体"/>
                <w:i w:val="0"/>
                <w:color w:val="333333"/>
                <w:kern w:val="0"/>
                <w:sz w:val="24"/>
                <w:szCs w:val="24"/>
                <w:u w:val="none"/>
                <w:lang w:val="en-US" w:eastAsia="zh-CN" w:bidi="ar"/>
              </w:rPr>
              <w:t>奥尔夫音乐非洲鼓，标准8寸红雕大象，3——6岁使用，采用老山羊皮非洲鼓，无漂白只经过简单的腿毛处理，手感舒适，音质好，鼓身选用优质印尼桃花心木，鼓身硬度大，密度大，音质更好，配备两用精致防雨鼓包，尼龙背带，电子版教程，演奏手铃</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40</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406400</wp:posOffset>
                  </wp:positionH>
                  <wp:positionV relativeFrom="paragraph">
                    <wp:posOffset>314325</wp:posOffset>
                  </wp:positionV>
                  <wp:extent cx="784860" cy="772795"/>
                  <wp:effectExtent l="0" t="0" r="15240" b="8255"/>
                  <wp:wrapNone/>
                  <wp:docPr id="139" name="图片_4_SpCnt_5"/>
                  <wp:cNvGraphicFramePr/>
                  <a:graphic xmlns:a="http://schemas.openxmlformats.org/drawingml/2006/main">
                    <a:graphicData uri="http://schemas.openxmlformats.org/drawingml/2006/picture">
                      <pic:pic xmlns:pic="http://schemas.openxmlformats.org/drawingml/2006/picture">
                        <pic:nvPicPr>
                          <pic:cNvPr id="139" name="图片_4_SpCnt_5"/>
                          <pic:cNvPicPr/>
                        </pic:nvPicPr>
                        <pic:blipFill>
                          <a:blip r:embed="rId64"/>
                          <a:stretch>
                            <a:fillRect/>
                          </a:stretch>
                        </pic:blipFill>
                        <pic:spPr>
                          <a:xfrm>
                            <a:off x="0" y="0"/>
                            <a:ext cx="784860" cy="77279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340"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57</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非洲鼓2</w:t>
            </w:r>
          </w:p>
        </w:tc>
        <w:tc>
          <w:tcPr>
            <w:tcW w:w="4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333333"/>
                <w:sz w:val="24"/>
                <w:szCs w:val="24"/>
                <w:u w:val="none"/>
              </w:rPr>
            </w:pPr>
            <w:r>
              <w:rPr>
                <w:rFonts w:hint="eastAsia" w:ascii="新宋体" w:hAnsi="新宋体" w:eastAsia="新宋体" w:cs="新宋体"/>
                <w:i w:val="0"/>
                <w:color w:val="333333"/>
                <w:kern w:val="0"/>
                <w:sz w:val="24"/>
                <w:szCs w:val="24"/>
                <w:u w:val="none"/>
                <w:lang w:val="en-US" w:eastAsia="zh-CN" w:bidi="ar"/>
              </w:rPr>
              <w:t>奥尔夫音乐非洲鼓，小12寸红雕大象，成人使用，采用老山羊皮非洲鼓，无漂白只经过简单的腿毛处理，手感舒适，音质好，鼓身选用优质印尼桃花心木，鼓身硬度大，密度大，音质更好，配备两用精致防雨鼓包，尼龙背带，电子版教程，演奏手铃</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6</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379730</wp:posOffset>
                  </wp:positionH>
                  <wp:positionV relativeFrom="paragraph">
                    <wp:posOffset>367665</wp:posOffset>
                  </wp:positionV>
                  <wp:extent cx="814070" cy="806450"/>
                  <wp:effectExtent l="0" t="0" r="5080" b="12700"/>
                  <wp:wrapNone/>
                  <wp:docPr id="135" name="图片_5_SpCnt_2"/>
                  <wp:cNvGraphicFramePr/>
                  <a:graphic xmlns:a="http://schemas.openxmlformats.org/drawingml/2006/main">
                    <a:graphicData uri="http://schemas.openxmlformats.org/drawingml/2006/picture">
                      <pic:pic xmlns:pic="http://schemas.openxmlformats.org/drawingml/2006/picture">
                        <pic:nvPicPr>
                          <pic:cNvPr id="135" name="图片_5_SpCnt_2"/>
                          <pic:cNvPicPr/>
                        </pic:nvPicPr>
                        <pic:blipFill>
                          <a:blip r:embed="rId65"/>
                          <a:stretch>
                            <a:fillRect/>
                          </a:stretch>
                        </pic:blipFill>
                        <pic:spPr>
                          <a:xfrm>
                            <a:off x="0" y="0"/>
                            <a:ext cx="814070" cy="80645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680"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58</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铜锣</w:t>
            </w:r>
          </w:p>
        </w:tc>
        <w:tc>
          <w:tcPr>
            <w:tcW w:w="4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333333"/>
                <w:sz w:val="24"/>
                <w:szCs w:val="24"/>
                <w:u w:val="none"/>
              </w:rPr>
            </w:pPr>
            <w:r>
              <w:rPr>
                <w:rFonts w:hint="eastAsia" w:ascii="新宋体" w:hAnsi="新宋体" w:eastAsia="新宋体" w:cs="新宋体"/>
                <w:i w:val="0"/>
                <w:color w:val="333333"/>
                <w:kern w:val="0"/>
                <w:sz w:val="24"/>
                <w:szCs w:val="24"/>
                <w:u w:val="none"/>
                <w:lang w:val="en-US" w:eastAsia="zh-CN" w:bidi="ar"/>
              </w:rPr>
              <w:t>奥尔夫音乐铜锣，直径15CM，材质：纯铜，配备实木棒</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20</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66040</wp:posOffset>
                  </wp:positionH>
                  <wp:positionV relativeFrom="paragraph">
                    <wp:posOffset>188595</wp:posOffset>
                  </wp:positionV>
                  <wp:extent cx="1553845" cy="870585"/>
                  <wp:effectExtent l="0" t="0" r="8255" b="5715"/>
                  <wp:wrapNone/>
                  <wp:docPr id="134" name="图片_6_SpCnt_2"/>
                  <wp:cNvGraphicFramePr/>
                  <a:graphic xmlns:a="http://schemas.openxmlformats.org/drawingml/2006/main">
                    <a:graphicData uri="http://schemas.openxmlformats.org/drawingml/2006/picture">
                      <pic:pic xmlns:pic="http://schemas.openxmlformats.org/drawingml/2006/picture">
                        <pic:nvPicPr>
                          <pic:cNvPr id="134" name="图片_6_SpCnt_2"/>
                          <pic:cNvPicPr/>
                        </pic:nvPicPr>
                        <pic:blipFill>
                          <a:blip r:embed="rId66"/>
                          <a:stretch>
                            <a:fillRect/>
                          </a:stretch>
                        </pic:blipFill>
                        <pic:spPr>
                          <a:xfrm>
                            <a:off x="0" y="0"/>
                            <a:ext cx="1553845" cy="87058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620"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59</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沙锤</w:t>
            </w:r>
          </w:p>
        </w:tc>
        <w:tc>
          <w:tcPr>
            <w:tcW w:w="4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333333"/>
                <w:sz w:val="24"/>
                <w:szCs w:val="24"/>
                <w:u w:val="none"/>
              </w:rPr>
            </w:pPr>
            <w:r>
              <w:rPr>
                <w:rFonts w:hint="eastAsia" w:ascii="新宋体" w:hAnsi="新宋体" w:eastAsia="新宋体" w:cs="新宋体"/>
                <w:i w:val="0"/>
                <w:color w:val="333333"/>
                <w:kern w:val="0"/>
                <w:sz w:val="24"/>
                <w:szCs w:val="24"/>
                <w:u w:val="none"/>
                <w:lang w:val="en-US" w:eastAsia="zh-CN" w:bidi="ar"/>
              </w:rPr>
              <w:t>奥尔夫乐器 大沙锤，规格：圆头直径9cm*9cm,长度26CM，材质：木头手把，吹塑球体，铁沙，产品颜色：黄色、红色</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对</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40</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271780</wp:posOffset>
                  </wp:positionH>
                  <wp:positionV relativeFrom="paragraph">
                    <wp:posOffset>150495</wp:posOffset>
                  </wp:positionV>
                  <wp:extent cx="905510" cy="664210"/>
                  <wp:effectExtent l="0" t="0" r="8890" b="2540"/>
                  <wp:wrapNone/>
                  <wp:docPr id="136" name="Picture_29"/>
                  <wp:cNvGraphicFramePr/>
                  <a:graphic xmlns:a="http://schemas.openxmlformats.org/drawingml/2006/main">
                    <a:graphicData uri="http://schemas.openxmlformats.org/drawingml/2006/picture">
                      <pic:pic xmlns:pic="http://schemas.openxmlformats.org/drawingml/2006/picture">
                        <pic:nvPicPr>
                          <pic:cNvPr id="136" name="Picture_29"/>
                          <pic:cNvPicPr/>
                        </pic:nvPicPr>
                        <pic:blipFill>
                          <a:blip r:embed="rId67"/>
                          <a:stretch>
                            <a:fillRect/>
                          </a:stretch>
                        </pic:blipFill>
                        <pic:spPr>
                          <a:xfrm>
                            <a:off x="0" y="0"/>
                            <a:ext cx="905510" cy="66421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100"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60</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响板</w:t>
            </w:r>
          </w:p>
        </w:tc>
        <w:tc>
          <w:tcPr>
            <w:tcW w:w="4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333333"/>
                <w:sz w:val="24"/>
                <w:szCs w:val="24"/>
                <w:u w:val="none"/>
              </w:rPr>
            </w:pPr>
            <w:r>
              <w:rPr>
                <w:rFonts w:hint="eastAsia" w:ascii="新宋体" w:hAnsi="新宋体" w:eastAsia="新宋体" w:cs="新宋体"/>
                <w:i w:val="0"/>
                <w:color w:val="333333"/>
                <w:kern w:val="0"/>
                <w:sz w:val="24"/>
                <w:szCs w:val="24"/>
                <w:u w:val="none"/>
                <w:lang w:val="en-US" w:eastAsia="zh-CN" w:bidi="ar"/>
              </w:rPr>
              <w:t>奥尔夫乐器  响板，宝贝材质：木制，宝贝规格： 5.5cm，宝贝描述</w:t>
            </w:r>
            <w:r>
              <w:rPr>
                <w:rFonts w:hint="eastAsia" w:ascii="新宋体" w:hAnsi="新宋体" w:eastAsia="新宋体" w:cs="新宋体"/>
                <w:i w:val="0"/>
                <w:color w:val="333333"/>
                <w:kern w:val="0"/>
                <w:sz w:val="24"/>
                <w:szCs w:val="24"/>
                <w:u w:val="none"/>
                <w:lang w:val="en-US" w:eastAsia="zh-CN" w:bidi="ar"/>
              </w:rPr>
              <w:br w:type="textWrapping"/>
            </w:r>
            <w:r>
              <w:rPr>
                <w:rFonts w:hint="eastAsia" w:ascii="新宋体" w:hAnsi="新宋体" w:eastAsia="新宋体" w:cs="新宋体"/>
                <w:i w:val="0"/>
                <w:color w:val="333333"/>
                <w:kern w:val="0"/>
                <w:sz w:val="24"/>
                <w:szCs w:val="24"/>
                <w:u w:val="none"/>
                <w:lang w:val="en-US" w:eastAsia="zh-CN" w:bidi="ar"/>
              </w:rPr>
              <w:t>木制,两个圆片为一个，用橡皮筋系在一起，碰击发音，声音清脆响亮，经常在舞蹈时，左右手各持一个边舞边击，能训练儿童听力及加强儿童音乐方面的培养</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对</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40</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372110</wp:posOffset>
                  </wp:positionH>
                  <wp:positionV relativeFrom="paragraph">
                    <wp:posOffset>171450</wp:posOffset>
                  </wp:positionV>
                  <wp:extent cx="838200" cy="707390"/>
                  <wp:effectExtent l="0" t="0" r="0" b="16510"/>
                  <wp:wrapNone/>
                  <wp:docPr id="132" name="Picture_30"/>
                  <wp:cNvGraphicFramePr/>
                  <a:graphic xmlns:a="http://schemas.openxmlformats.org/drawingml/2006/main">
                    <a:graphicData uri="http://schemas.openxmlformats.org/drawingml/2006/picture">
                      <pic:pic xmlns:pic="http://schemas.openxmlformats.org/drawingml/2006/picture">
                        <pic:nvPicPr>
                          <pic:cNvPr id="132" name="Picture_30"/>
                          <pic:cNvPicPr/>
                        </pic:nvPicPr>
                        <pic:blipFill>
                          <a:blip r:embed="rId68"/>
                          <a:stretch>
                            <a:fillRect/>
                          </a:stretch>
                        </pic:blipFill>
                        <pic:spPr>
                          <a:xfrm>
                            <a:off x="0" y="0"/>
                            <a:ext cx="838200" cy="70739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119"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61</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奥尔夫乐器  七彩棒铃</w:t>
            </w:r>
          </w:p>
        </w:tc>
        <w:tc>
          <w:tcPr>
            <w:tcW w:w="4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奥尔夫乐器 七彩棒铃，主要材质：优质枫木，铁皮铃铛，棒身木制，安全环保。上面的铃铛是固定在上面的，不会掉下来的，对宝宝来说是绝对安全的。，每个棒铃上面有10个铃铛</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60</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246380</wp:posOffset>
                  </wp:positionH>
                  <wp:positionV relativeFrom="paragraph">
                    <wp:posOffset>171450</wp:posOffset>
                  </wp:positionV>
                  <wp:extent cx="1106805" cy="745490"/>
                  <wp:effectExtent l="0" t="0" r="17145" b="16510"/>
                  <wp:wrapNone/>
                  <wp:docPr id="131" name="Picture_34"/>
                  <wp:cNvGraphicFramePr/>
                  <a:graphic xmlns:a="http://schemas.openxmlformats.org/drawingml/2006/main">
                    <a:graphicData uri="http://schemas.openxmlformats.org/drawingml/2006/picture">
                      <pic:pic xmlns:pic="http://schemas.openxmlformats.org/drawingml/2006/picture">
                        <pic:nvPicPr>
                          <pic:cNvPr id="131" name="Picture_34"/>
                          <pic:cNvPicPr/>
                        </pic:nvPicPr>
                        <pic:blipFill>
                          <a:blip r:embed="rId69"/>
                          <a:stretch>
                            <a:fillRect/>
                          </a:stretch>
                        </pic:blipFill>
                        <pic:spPr>
                          <a:xfrm>
                            <a:off x="0" y="0"/>
                            <a:ext cx="1106805" cy="74549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362"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62</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奥尔夫乐器  双响筒</w:t>
            </w:r>
          </w:p>
        </w:tc>
        <w:tc>
          <w:tcPr>
            <w:tcW w:w="4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奥尔夫乐器 加沟双响筒，材质：木质，双响筒总长19Cm，筒直径为4.5Cm，带木棒，环保、无味、无毒、无毛刺</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40</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381000</wp:posOffset>
                  </wp:positionH>
                  <wp:positionV relativeFrom="paragraph">
                    <wp:posOffset>57150</wp:posOffset>
                  </wp:positionV>
                  <wp:extent cx="827405" cy="753110"/>
                  <wp:effectExtent l="0" t="0" r="10795" b="8890"/>
                  <wp:wrapNone/>
                  <wp:docPr id="133" name="Picture_36"/>
                  <wp:cNvGraphicFramePr/>
                  <a:graphic xmlns:a="http://schemas.openxmlformats.org/drawingml/2006/main">
                    <a:graphicData uri="http://schemas.openxmlformats.org/drawingml/2006/picture">
                      <pic:pic xmlns:pic="http://schemas.openxmlformats.org/drawingml/2006/picture">
                        <pic:nvPicPr>
                          <pic:cNvPr id="133" name="Picture_36"/>
                          <pic:cNvPicPr/>
                        </pic:nvPicPr>
                        <pic:blipFill>
                          <a:blip r:embed="rId70"/>
                          <a:stretch>
                            <a:fillRect/>
                          </a:stretch>
                        </pic:blipFill>
                        <pic:spPr>
                          <a:xfrm>
                            <a:off x="0" y="0"/>
                            <a:ext cx="827405" cy="75311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680"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63</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奥尔夫乐器 碰钟</w:t>
            </w:r>
          </w:p>
        </w:tc>
        <w:tc>
          <w:tcPr>
            <w:tcW w:w="4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奥尔夫乐器  碰钟大号碰钟口径 4.6厘米 长大概20厘米，纯铜碰钟，手把为木质。</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对</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40</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438150</wp:posOffset>
                  </wp:positionH>
                  <wp:positionV relativeFrom="paragraph">
                    <wp:posOffset>171450</wp:posOffset>
                  </wp:positionV>
                  <wp:extent cx="734695" cy="614045"/>
                  <wp:effectExtent l="0" t="0" r="8255" b="14605"/>
                  <wp:wrapNone/>
                  <wp:docPr id="129" name="Picture_37"/>
                  <wp:cNvGraphicFramePr/>
                  <a:graphic xmlns:a="http://schemas.openxmlformats.org/drawingml/2006/main">
                    <a:graphicData uri="http://schemas.openxmlformats.org/drawingml/2006/picture">
                      <pic:pic xmlns:pic="http://schemas.openxmlformats.org/drawingml/2006/picture">
                        <pic:nvPicPr>
                          <pic:cNvPr id="129" name="Picture_37"/>
                          <pic:cNvPicPr/>
                        </pic:nvPicPr>
                        <pic:blipFill>
                          <a:blip r:embed="rId71"/>
                          <a:stretch>
                            <a:fillRect/>
                          </a:stretch>
                        </pic:blipFill>
                        <pic:spPr>
                          <a:xfrm>
                            <a:off x="0" y="0"/>
                            <a:ext cx="734695" cy="61404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680"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64</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校园不锈钢垃圾桶</w:t>
            </w:r>
          </w:p>
        </w:tc>
        <w:tc>
          <w:tcPr>
            <w:tcW w:w="4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不锈钢户外垃圾桶，产品介绍：采用优质的钢材所制，产品在户外使用耐侯性久，具备收集垃 圾的同时美化环境。内桶由镀锌板材制造，防止生锈。规格：40*90（加厚版），圆形</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304165" cy="304165"/>
                  <wp:effectExtent l="0" t="0" r="0" b="0"/>
                  <wp:wrapNone/>
                  <wp:docPr id="130" name="Picture_1252_SpCnt_1"/>
                  <wp:cNvGraphicFramePr/>
                  <a:graphic xmlns:a="http://schemas.openxmlformats.org/drawingml/2006/main">
                    <a:graphicData uri="http://schemas.openxmlformats.org/drawingml/2006/picture">
                      <pic:pic xmlns:pic="http://schemas.openxmlformats.org/drawingml/2006/picture">
                        <pic:nvPicPr>
                          <pic:cNvPr id="130" name="Picture_1252_SpCnt_1"/>
                          <pic:cNvPicPr/>
                        </pic:nvPicPr>
                        <pic:blipFill>
                          <a:blip r:embed="rId72"/>
                          <a:stretch>
                            <a:fillRect/>
                          </a:stretch>
                        </pic:blipFill>
                        <pic:spPr>
                          <a:xfrm>
                            <a:off x="0" y="0"/>
                            <a:ext cx="304165" cy="304165"/>
                          </a:xfrm>
                          <a:prstGeom prst="rect">
                            <a:avLst/>
                          </a:prstGeom>
                          <a:noFill/>
                          <a:ln>
                            <a:noFill/>
                          </a:ln>
                        </pic:spPr>
                      </pic:pic>
                    </a:graphicData>
                  </a:graphic>
                </wp:anchor>
              </w:drawing>
            </w: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304165" cy="304165"/>
                  <wp:effectExtent l="0" t="0" r="0" b="0"/>
                  <wp:wrapNone/>
                  <wp:docPr id="127" name="Picture_1253_SpCnt_1"/>
                  <wp:cNvGraphicFramePr/>
                  <a:graphic xmlns:a="http://schemas.openxmlformats.org/drawingml/2006/main">
                    <a:graphicData uri="http://schemas.openxmlformats.org/drawingml/2006/picture">
                      <pic:pic xmlns:pic="http://schemas.openxmlformats.org/drawingml/2006/picture">
                        <pic:nvPicPr>
                          <pic:cNvPr id="127" name="Picture_1253_SpCnt_1"/>
                          <pic:cNvPicPr/>
                        </pic:nvPicPr>
                        <pic:blipFill>
                          <a:blip r:embed="rId73"/>
                          <a:stretch>
                            <a:fillRect/>
                          </a:stretch>
                        </pic:blipFill>
                        <pic:spPr>
                          <a:xfrm>
                            <a:off x="0" y="0"/>
                            <a:ext cx="304165" cy="304165"/>
                          </a:xfrm>
                          <a:prstGeom prst="rect">
                            <a:avLst/>
                          </a:prstGeom>
                          <a:noFill/>
                          <a:ln>
                            <a:noFill/>
                          </a:ln>
                        </pic:spPr>
                      </pic:pic>
                    </a:graphicData>
                  </a:graphic>
                </wp:anchor>
              </w:drawing>
            </w:r>
            <w:r>
              <w:rPr>
                <w:rFonts w:hint="eastAsia" w:ascii="新宋体" w:hAnsi="新宋体" w:eastAsia="新宋体" w:cs="新宋体"/>
                <w:i w:val="0"/>
                <w:color w:val="000000"/>
                <w:kern w:val="0"/>
                <w:sz w:val="24"/>
                <w:szCs w:val="24"/>
                <w:u w:val="none"/>
                <w:lang w:val="en-US" w:eastAsia="zh-CN" w:bidi="ar"/>
              </w:rPr>
              <w:t>15</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523875</wp:posOffset>
                  </wp:positionH>
                  <wp:positionV relativeFrom="paragraph">
                    <wp:posOffset>171450</wp:posOffset>
                  </wp:positionV>
                  <wp:extent cx="553085" cy="624205"/>
                  <wp:effectExtent l="0" t="0" r="18415" b="4445"/>
                  <wp:wrapNone/>
                  <wp:docPr id="128" name="Picture_10981"/>
                  <wp:cNvGraphicFramePr/>
                  <a:graphic xmlns:a="http://schemas.openxmlformats.org/drawingml/2006/main">
                    <a:graphicData uri="http://schemas.openxmlformats.org/drawingml/2006/picture">
                      <pic:pic xmlns:pic="http://schemas.openxmlformats.org/drawingml/2006/picture">
                        <pic:nvPicPr>
                          <pic:cNvPr id="128" name="Picture_10981"/>
                          <pic:cNvPicPr/>
                        </pic:nvPicPr>
                        <pic:blipFill>
                          <a:blip r:embed="rId74"/>
                          <a:stretch>
                            <a:fillRect/>
                          </a:stretch>
                        </pic:blipFill>
                        <pic:spPr>
                          <a:xfrm>
                            <a:off x="0" y="0"/>
                            <a:ext cx="553085" cy="624205"/>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059"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65</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平衡木</w:t>
            </w:r>
          </w:p>
        </w:tc>
        <w:tc>
          <w:tcPr>
            <w:tcW w:w="4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A型17件平衡木，拱形钻洞2个、滑道梯2个、障碍墩5个、圆圈钻洞1个、三角链接台1个、H桥墩1个、钻洞桥1个、跷跷板桥2个、平衡木1个、摇摆桥1个、采用全新PE环保材料，回转成型、稳固结实，圆滑修边。颜色：黄色、红色、绿色、蓝色、紫色、橙色、草绿。</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6</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267335</wp:posOffset>
                  </wp:positionH>
                  <wp:positionV relativeFrom="paragraph">
                    <wp:posOffset>171450</wp:posOffset>
                  </wp:positionV>
                  <wp:extent cx="1047115" cy="727710"/>
                  <wp:effectExtent l="0" t="0" r="635" b="15240"/>
                  <wp:wrapNone/>
                  <wp:docPr id="126" name="图片_7"/>
                  <wp:cNvGraphicFramePr/>
                  <a:graphic xmlns:a="http://schemas.openxmlformats.org/drawingml/2006/main">
                    <a:graphicData uri="http://schemas.openxmlformats.org/drawingml/2006/picture">
                      <pic:pic xmlns:pic="http://schemas.openxmlformats.org/drawingml/2006/picture">
                        <pic:nvPicPr>
                          <pic:cNvPr id="126" name="图片_7"/>
                          <pic:cNvPicPr/>
                        </pic:nvPicPr>
                        <pic:blipFill>
                          <a:blip r:embed="rId75"/>
                          <a:stretch>
                            <a:fillRect/>
                          </a:stretch>
                        </pic:blipFill>
                        <pic:spPr>
                          <a:xfrm>
                            <a:off x="0" y="0"/>
                            <a:ext cx="1047115" cy="72771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2160"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66</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哈哈镜</w:t>
            </w:r>
          </w:p>
        </w:tc>
        <w:tc>
          <w:tcPr>
            <w:tcW w:w="4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名称：哈哈镜，【产品规格】：60*157cm</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 xml:space="preserve"> 4个为一套</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 xml:space="preserve">【包装尺寸】：62*160cm      </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【产品重量】：10公斤左右</w:t>
            </w:r>
            <w:r>
              <w:rPr>
                <w:rFonts w:hint="eastAsia" w:ascii="新宋体" w:hAnsi="新宋体" w:eastAsia="新宋体" w:cs="新宋体"/>
                <w:i w:val="0"/>
                <w:color w:val="000000"/>
                <w:kern w:val="0"/>
                <w:sz w:val="24"/>
                <w:szCs w:val="24"/>
                <w:u w:val="none"/>
                <w:lang w:val="en-US" w:eastAsia="zh-CN" w:bidi="ar"/>
              </w:rPr>
              <w:br w:type="textWrapping"/>
            </w:r>
            <w:r>
              <w:rPr>
                <w:rFonts w:hint="eastAsia" w:ascii="新宋体" w:hAnsi="新宋体" w:eastAsia="新宋体" w:cs="新宋体"/>
                <w:i w:val="0"/>
                <w:color w:val="000000"/>
                <w:kern w:val="0"/>
                <w:sz w:val="24"/>
                <w:szCs w:val="24"/>
                <w:u w:val="none"/>
                <w:lang w:val="en-US" w:eastAsia="zh-CN" w:bidi="ar"/>
              </w:rPr>
              <w:t xml:space="preserve">【产品材质】：LLDPE工程塑料 +不锈钢镜面 </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套</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4</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342265</wp:posOffset>
                  </wp:positionH>
                  <wp:positionV relativeFrom="paragraph">
                    <wp:posOffset>171450</wp:posOffset>
                  </wp:positionV>
                  <wp:extent cx="1032510" cy="681990"/>
                  <wp:effectExtent l="0" t="0" r="15240" b="3810"/>
                  <wp:wrapNone/>
                  <wp:docPr id="82" name="图片_9_SpCnt_1"/>
                  <wp:cNvGraphicFramePr/>
                  <a:graphic xmlns:a="http://schemas.openxmlformats.org/drawingml/2006/main">
                    <a:graphicData uri="http://schemas.openxmlformats.org/drawingml/2006/picture">
                      <pic:pic xmlns:pic="http://schemas.openxmlformats.org/drawingml/2006/picture">
                        <pic:nvPicPr>
                          <pic:cNvPr id="82" name="图片_9_SpCnt_1"/>
                          <pic:cNvPicPr/>
                        </pic:nvPicPr>
                        <pic:blipFill>
                          <a:blip r:embed="rId76"/>
                          <a:stretch>
                            <a:fillRect/>
                          </a:stretch>
                        </pic:blipFill>
                        <pic:spPr>
                          <a:xfrm>
                            <a:off x="0" y="0"/>
                            <a:ext cx="1032510" cy="681990"/>
                          </a:xfrm>
                          <a:prstGeom prst="rect">
                            <a:avLst/>
                          </a:prstGeom>
                          <a:noFill/>
                          <a:ln>
                            <a:noFill/>
                          </a:ln>
                        </pic:spPr>
                      </pic:pic>
                    </a:graphicData>
                  </a:graphic>
                </wp:anchor>
              </w:drawing>
            </w:r>
          </w:p>
        </w:tc>
      </w:tr>
      <w:tr>
        <w:tblPrEx>
          <w:tblLayout w:type="fixed"/>
          <w:tblCellMar>
            <w:top w:w="0" w:type="dxa"/>
            <w:left w:w="0" w:type="dxa"/>
            <w:bottom w:w="0" w:type="dxa"/>
            <w:right w:w="0" w:type="dxa"/>
          </w:tblCellMar>
        </w:tblPrEx>
        <w:trPr>
          <w:trHeight w:val="1602" w:hRule="atLeast"/>
        </w:trPr>
        <w:tc>
          <w:tcPr>
            <w:tcW w:w="70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67</w:t>
            </w:r>
          </w:p>
        </w:tc>
        <w:tc>
          <w:tcPr>
            <w:tcW w:w="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篮球</w:t>
            </w:r>
          </w:p>
        </w:tc>
        <w:tc>
          <w:tcPr>
            <w:tcW w:w="42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篮球材质：PU，篮球规格：6号（标准球），配备打气筒、球袋、气针、网兜等，出色耐磨型，防尘防滑，高弹性，至强手感，柑红色。</w:t>
            </w:r>
          </w:p>
        </w:tc>
        <w:tc>
          <w:tcPr>
            <w:tcW w:w="7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个</w:t>
            </w:r>
          </w:p>
        </w:tc>
        <w:tc>
          <w:tcPr>
            <w:tcW w:w="6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lang w:val="en-US" w:eastAsia="zh-CN" w:bidi="ar"/>
              </w:rPr>
              <w:t>600</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新宋体" w:hAnsi="新宋体" w:eastAsia="新宋体" w:cs="新宋体"/>
                <w:i w:val="0"/>
                <w:color w:val="000000"/>
                <w:sz w:val="24"/>
                <w:szCs w:val="24"/>
                <w:u w:val="none"/>
              </w:rPr>
            </w:pPr>
            <w:r>
              <w:rPr>
                <w:rFonts w:hint="eastAsia" w:ascii="新宋体" w:hAnsi="新宋体" w:eastAsia="新宋体" w:cs="新宋体"/>
                <w:i w:val="0"/>
                <w:color w:val="000000"/>
                <w:kern w:val="0"/>
                <w:sz w:val="24"/>
                <w:szCs w:val="24"/>
                <w:u w:val="none"/>
                <w:bdr w:val="single" w:color="000000" w:sz="4" w:space="0"/>
                <w:lang w:val="en-US" w:eastAsia="zh-CN" w:bidi="ar"/>
              </w:rPr>
              <w:drawing>
                <wp:anchor distT="0" distB="0" distL="114300" distR="114300" simplePos="0" relativeHeight="251658240" behindDoc="0" locked="0" layoutInCell="1" allowOverlap="1">
                  <wp:simplePos x="0" y="0"/>
                  <wp:positionH relativeFrom="column">
                    <wp:posOffset>417830</wp:posOffset>
                  </wp:positionH>
                  <wp:positionV relativeFrom="paragraph">
                    <wp:posOffset>171450</wp:posOffset>
                  </wp:positionV>
                  <wp:extent cx="821690" cy="820420"/>
                  <wp:effectExtent l="0" t="0" r="16510" b="17780"/>
                  <wp:wrapNone/>
                  <wp:docPr id="155" name="图片_7_SpCnt_1"/>
                  <wp:cNvGraphicFramePr/>
                  <a:graphic xmlns:a="http://schemas.openxmlformats.org/drawingml/2006/main">
                    <a:graphicData uri="http://schemas.openxmlformats.org/drawingml/2006/picture">
                      <pic:pic xmlns:pic="http://schemas.openxmlformats.org/drawingml/2006/picture">
                        <pic:nvPicPr>
                          <pic:cNvPr id="155" name="图片_7_SpCnt_1"/>
                          <pic:cNvPicPr/>
                        </pic:nvPicPr>
                        <pic:blipFill>
                          <a:blip r:embed="rId77"/>
                          <a:stretch>
                            <a:fillRect/>
                          </a:stretch>
                        </pic:blipFill>
                        <pic:spPr>
                          <a:xfrm>
                            <a:off x="0" y="0"/>
                            <a:ext cx="821690" cy="820420"/>
                          </a:xfrm>
                          <a:prstGeom prst="rect">
                            <a:avLst/>
                          </a:prstGeom>
                          <a:noFill/>
                          <a:ln>
                            <a:noFill/>
                          </a:ln>
                        </pic:spPr>
                      </pic:pic>
                    </a:graphicData>
                  </a:graphic>
                </wp:anchor>
              </w:drawing>
            </w:r>
          </w:p>
        </w:tc>
      </w:tr>
    </w:tbl>
    <w:p>
      <w:pPr>
        <w:pStyle w:val="10"/>
        <w:rPr>
          <w:rFonts w:hint="eastAsia" w:ascii="新宋体" w:hAnsi="新宋体" w:eastAsia="新宋体" w:cs="新宋体"/>
          <w:sz w:val="24"/>
          <w:szCs w:val="24"/>
          <w:lang w:eastAsia="zh-CN"/>
        </w:rPr>
      </w:pPr>
    </w:p>
    <w:p>
      <w:pPr>
        <w:spacing w:line="360" w:lineRule="auto"/>
        <w:ind w:firstLine="482" w:firstLineChars="200"/>
        <w:contextualSpacing/>
        <w:rPr>
          <w:rFonts w:cs="微软雅黑" w:asciiTheme="minorEastAsia" w:hAnsiTheme="minorEastAsia"/>
          <w:b/>
          <w:color w:val="FF0000"/>
          <w:sz w:val="24"/>
          <w:szCs w:val="24"/>
        </w:rPr>
      </w:pPr>
      <w:r>
        <w:rPr>
          <w:rFonts w:hint="eastAsia" w:cs="微软雅黑" w:asciiTheme="minorEastAsia" w:hAnsiTheme="minorEastAsia"/>
          <w:b/>
          <w:color w:val="FF0000"/>
          <w:sz w:val="24"/>
          <w:szCs w:val="24"/>
          <w:lang w:eastAsia="zh-CN"/>
        </w:rPr>
        <w:t>注：</w:t>
      </w:r>
      <w:r>
        <w:rPr>
          <w:rFonts w:hint="eastAsia" w:cs="微软雅黑" w:asciiTheme="minorEastAsia" w:hAnsiTheme="minorEastAsia"/>
          <w:b/>
          <w:color w:val="FF0000"/>
          <w:sz w:val="24"/>
          <w:szCs w:val="24"/>
        </w:rPr>
        <w:t>本采购清单中所列技术规格或主要参数为最低要求，不允许负偏离，否则为无效响应文件。</w:t>
      </w:r>
    </w:p>
    <w:p>
      <w:pPr>
        <w:spacing w:line="360" w:lineRule="auto"/>
        <w:ind w:firstLine="482" w:firstLineChars="200"/>
        <w:contextualSpacing/>
        <w:rPr>
          <w:rFonts w:ascii="楷体" w:hAnsi="楷体" w:eastAsia="楷体" w:cs="宋体"/>
          <w:color w:val="000000"/>
          <w:kern w:val="0"/>
          <w:szCs w:val="21"/>
          <w:lang w:val="zh-CN"/>
        </w:rPr>
      </w:pPr>
      <w:r>
        <w:rPr>
          <w:rFonts w:hint="eastAsia" w:cs="宋体" w:asciiTheme="minorEastAsia" w:hAnsiTheme="minorEastAsia"/>
          <w:b/>
          <w:color w:val="000000"/>
          <w:kern w:val="0"/>
          <w:sz w:val="24"/>
          <w:szCs w:val="24"/>
          <w:lang w:val="zh-CN"/>
        </w:rPr>
        <w:t>（三）采购标的执行标准</w:t>
      </w:r>
    </w:p>
    <w:p>
      <w:pPr>
        <w:spacing w:line="360" w:lineRule="auto"/>
        <w:ind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1、国家标准：</w:t>
      </w:r>
    </w:p>
    <w:p>
      <w:pPr>
        <w:spacing w:line="360" w:lineRule="auto"/>
        <w:ind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（1）</w:t>
      </w:r>
      <w:r>
        <w:rPr>
          <w:rFonts w:cs="仿宋_GB2312" w:asciiTheme="minorEastAsia" w:hAnsiTheme="minorEastAsia"/>
          <w:sz w:val="24"/>
          <w:szCs w:val="24"/>
          <w:lang w:val="zh-CN"/>
        </w:rPr>
        <w:t>强制性产品认证</w:t>
      </w:r>
    </w:p>
    <w:p>
      <w:pPr>
        <w:spacing w:line="360" w:lineRule="auto"/>
        <w:ind w:firstLine="480" w:firstLineChars="200"/>
        <w:contextualSpacing/>
        <w:rPr>
          <w:rFonts w:cs="宋体" w:asciiTheme="minorEastAsia" w:hAnsiTheme="minorEastAsia"/>
          <w:kern w:val="0"/>
          <w:sz w:val="24"/>
          <w:szCs w:val="24"/>
        </w:rPr>
      </w:pPr>
      <w:r>
        <w:rPr>
          <w:rFonts w:hint="eastAsia" w:cs="仿宋_GB2312" w:asciiTheme="minorEastAsia" w:hAnsiTheme="minorEastAsia"/>
          <w:sz w:val="24"/>
          <w:szCs w:val="24"/>
          <w:lang w:val="zh-CN"/>
        </w:rPr>
        <w:t>如供应商所投产品属于“中国强制性产品认证”（3C认证）范围内,则必须承诺采用</w:t>
      </w:r>
      <w:r>
        <w:rPr>
          <w:rFonts w:cs="仿宋_GB2312" w:asciiTheme="minorEastAsia" w:hAnsiTheme="minorEastAsia"/>
          <w:sz w:val="24"/>
          <w:szCs w:val="24"/>
          <w:lang w:val="zh-CN"/>
        </w:rPr>
        <w:t>《中华人民共和国实施强制性产品认证的产品目录》</w:t>
      </w:r>
      <w:r>
        <w:rPr>
          <w:rFonts w:hint="eastAsia" w:cs="仿宋_GB2312" w:asciiTheme="minorEastAsia" w:hAnsiTheme="minorEastAsia"/>
          <w:sz w:val="24"/>
          <w:szCs w:val="24"/>
          <w:lang w:val="zh-CN"/>
        </w:rPr>
        <w:t>并在有效期内的产品，应在响应文件中提供“所投产品符合国家强制性要求承诺函”并加盖投标人公章，否则将承担其响应被视为非实质性响应的风险。</w:t>
      </w:r>
    </w:p>
    <w:p>
      <w:pPr>
        <w:spacing w:line="360" w:lineRule="auto"/>
        <w:ind w:firstLine="480" w:firstLineChars="200"/>
        <w:contextualSpacing/>
        <w:rPr>
          <w:rFonts w:cs="宋体" w:asciiTheme="minorEastAsia" w:hAnsiTheme="minorEastAsia"/>
          <w:kern w:val="0"/>
          <w:sz w:val="24"/>
          <w:szCs w:val="24"/>
        </w:rPr>
      </w:pPr>
      <w:r>
        <w:rPr>
          <w:rFonts w:hint="eastAsia" w:cs="宋体" w:asciiTheme="minorEastAsia" w:hAnsiTheme="minorEastAsia"/>
          <w:kern w:val="0"/>
          <w:sz w:val="24"/>
          <w:szCs w:val="24"/>
        </w:rPr>
        <w:t>（2）</w:t>
      </w:r>
      <w:r>
        <w:rPr>
          <w:rFonts w:cs="宋体" w:asciiTheme="minorEastAsia" w:hAnsiTheme="minorEastAsia"/>
          <w:kern w:val="0"/>
          <w:sz w:val="24"/>
          <w:szCs w:val="24"/>
        </w:rPr>
        <w:t>信息安全产品强制性</w:t>
      </w:r>
      <w:r>
        <w:rPr>
          <w:rFonts w:hint="eastAsia" w:cs="宋体" w:asciiTheme="minorEastAsia" w:hAnsiTheme="minorEastAsia"/>
          <w:kern w:val="0"/>
          <w:sz w:val="24"/>
          <w:szCs w:val="24"/>
        </w:rPr>
        <w:t>认证</w:t>
      </w:r>
    </w:p>
    <w:p>
      <w:pPr>
        <w:spacing w:line="360" w:lineRule="auto"/>
        <w:ind w:firstLine="480" w:firstLineChars="200"/>
        <w:contextualSpacing/>
        <w:rPr>
          <w:rFonts w:cs="宋体" w:asciiTheme="minorEastAsia" w:hAnsiTheme="minorEastAsia"/>
          <w:kern w:val="0"/>
          <w:sz w:val="24"/>
          <w:szCs w:val="24"/>
        </w:rPr>
      </w:pPr>
      <w:r>
        <w:rPr>
          <w:rFonts w:hint="eastAsia" w:cs="仿宋_GB2312" w:asciiTheme="minorEastAsia" w:hAnsiTheme="minorEastAsia"/>
          <w:sz w:val="24"/>
          <w:szCs w:val="24"/>
          <w:lang w:val="zh-CN"/>
        </w:rPr>
        <w:t>如供应商所投产品</w:t>
      </w:r>
      <w:r>
        <w:rPr>
          <w:rFonts w:hint="eastAsia" w:cs="宋体" w:asciiTheme="minorEastAsia" w:hAnsiTheme="minorEastAsia"/>
          <w:kern w:val="0"/>
          <w:sz w:val="24"/>
          <w:szCs w:val="24"/>
        </w:rPr>
        <w:t>被列入</w:t>
      </w:r>
      <w:r>
        <w:rPr>
          <w:rFonts w:cs="宋体" w:asciiTheme="minorEastAsia" w:hAnsiTheme="minorEastAsia"/>
          <w:kern w:val="0"/>
          <w:sz w:val="24"/>
          <w:szCs w:val="24"/>
        </w:rPr>
        <w:t>《信息安全产品强制性认证目录》，</w:t>
      </w:r>
      <w:r>
        <w:rPr>
          <w:rFonts w:hint="eastAsia" w:cs="宋体" w:asciiTheme="minorEastAsia" w:hAnsiTheme="minorEastAsia"/>
          <w:kern w:val="0"/>
          <w:sz w:val="24"/>
          <w:szCs w:val="24"/>
        </w:rPr>
        <w:t>供应商</w:t>
      </w:r>
      <w:r>
        <w:rPr>
          <w:rFonts w:cs="宋体" w:asciiTheme="minorEastAsia" w:hAnsiTheme="minorEastAsia"/>
          <w:kern w:val="0"/>
          <w:sz w:val="24"/>
          <w:szCs w:val="24"/>
        </w:rPr>
        <w:t>不能提供超出此目录范畴外的替代品</w:t>
      </w:r>
      <w:r>
        <w:rPr>
          <w:rFonts w:hint="eastAsia" w:cs="宋体" w:asciiTheme="minorEastAsia" w:hAnsiTheme="minorEastAsia"/>
          <w:kern w:val="0"/>
          <w:sz w:val="24"/>
          <w:szCs w:val="24"/>
        </w:rPr>
        <w:t>并须在响应文件中提供：</w:t>
      </w:r>
    </w:p>
    <w:p>
      <w:pPr>
        <w:wordWrap w:val="0"/>
        <w:spacing w:line="360" w:lineRule="auto"/>
        <w:ind w:firstLine="480" w:firstLineChars="200"/>
        <w:contextualSpacing/>
        <w:rPr>
          <w:rFonts w:cs="仿宋_GB2312" w:asciiTheme="minorEastAsia" w:hAnsiTheme="minorEastAsia"/>
          <w:sz w:val="24"/>
          <w:szCs w:val="24"/>
        </w:rPr>
      </w:pPr>
      <w:r>
        <w:rPr>
          <w:rFonts w:hint="eastAsia" w:cs="仿宋_GB2312" w:asciiTheme="minorEastAsia" w:hAnsiTheme="minorEastAsia"/>
          <w:sz w:val="24"/>
          <w:szCs w:val="24"/>
        </w:rPr>
        <w:t>①</w:t>
      </w:r>
      <w:r>
        <w:rPr>
          <w:rFonts w:hint="eastAsia" w:cs="仿宋_GB2312" w:asciiTheme="minorEastAsia" w:hAnsiTheme="minorEastAsia"/>
          <w:sz w:val="24"/>
          <w:szCs w:val="24"/>
          <w:lang w:val="zh-CN"/>
        </w:rPr>
        <w:t>中国信息安全认证中心官网</w:t>
      </w:r>
      <w:r>
        <w:rPr>
          <w:rFonts w:hint="eastAsia" w:cs="仿宋_GB2312" w:asciiTheme="minorEastAsia" w:hAnsiTheme="minorEastAsia"/>
          <w:sz w:val="24"/>
          <w:szCs w:val="24"/>
        </w:rPr>
        <w:t>（</w:t>
      </w:r>
      <w:r>
        <w:rPr>
          <w:rFonts w:cs="仿宋_GB2312" w:asciiTheme="minorEastAsia" w:hAnsiTheme="minorEastAsia"/>
          <w:sz w:val="24"/>
          <w:szCs w:val="24"/>
        </w:rPr>
        <w:t>http://www.isccc.gov.cn/index.shtml</w:t>
      </w:r>
      <w:r>
        <w:rPr>
          <w:rFonts w:hint="eastAsia" w:cs="仿宋_GB2312" w:asciiTheme="minorEastAsia" w:hAnsiTheme="minorEastAsia"/>
          <w:sz w:val="24"/>
          <w:szCs w:val="24"/>
        </w:rPr>
        <w:t>）</w:t>
      </w:r>
      <w:r>
        <w:rPr>
          <w:rFonts w:hint="eastAsia" w:cs="仿宋_GB2312" w:asciiTheme="minorEastAsia" w:hAnsiTheme="minorEastAsia"/>
          <w:sz w:val="24"/>
          <w:szCs w:val="24"/>
          <w:lang w:val="zh-CN"/>
        </w:rPr>
        <w:t>产品查询结果截图并加盖供应商公章</w:t>
      </w:r>
      <w:r>
        <w:rPr>
          <w:rFonts w:hint="eastAsia" w:cs="仿宋_GB2312" w:asciiTheme="minorEastAsia" w:hAnsiTheme="minorEastAsia"/>
          <w:sz w:val="24"/>
          <w:szCs w:val="24"/>
        </w:rPr>
        <w:t>；</w:t>
      </w:r>
    </w:p>
    <w:p>
      <w:pPr>
        <w:wordWrap w:val="0"/>
        <w:spacing w:line="360" w:lineRule="auto"/>
        <w:ind w:firstLine="480" w:firstLineChars="200"/>
        <w:contextualSpacing/>
        <w:rPr>
          <w:rFonts w:cs="仿宋_GB2312" w:asciiTheme="minorEastAsia" w:hAnsiTheme="minorEastAsia"/>
          <w:sz w:val="24"/>
          <w:szCs w:val="24"/>
          <w:lang w:val="zh-CN"/>
        </w:rPr>
      </w:pPr>
      <w:r>
        <w:rPr>
          <w:rFonts w:hint="eastAsia" w:cs="仿宋_GB2312" w:asciiTheme="minorEastAsia" w:hAnsiTheme="minorEastAsia"/>
          <w:sz w:val="24"/>
          <w:szCs w:val="24"/>
          <w:lang w:val="zh-CN"/>
        </w:rPr>
        <w:t>②中国信息安全认证中心颁发的</w:t>
      </w:r>
      <w:r>
        <w:rPr>
          <w:rFonts w:cs="仿宋_GB2312" w:asciiTheme="minorEastAsia" w:hAnsiTheme="minorEastAsia"/>
          <w:sz w:val="24"/>
          <w:szCs w:val="24"/>
          <w:lang w:val="zh-CN"/>
        </w:rPr>
        <w:t>《</w:t>
      </w:r>
      <w:r>
        <w:fldChar w:fldCharType="begin"/>
      </w:r>
      <w:r>
        <w:instrText xml:space="preserve"> HYPERLINK "http://www.cnca.gov.cn/cnca/zwxx/ggxx/images/2010/07/19/A6C32D2A507AC2A38326896013A67542.doc" \t "_blank" </w:instrText>
      </w:r>
      <w:r>
        <w:fldChar w:fldCharType="separate"/>
      </w:r>
      <w:r>
        <w:rPr>
          <w:rFonts w:hint="eastAsia" w:cs="仿宋_GB2312" w:asciiTheme="minorEastAsia" w:hAnsiTheme="minorEastAsia"/>
          <w:sz w:val="24"/>
          <w:szCs w:val="24"/>
          <w:lang w:val="zh-CN"/>
        </w:rPr>
        <w:t>中国国家信息安全产品认证证书</w:t>
      </w:r>
      <w:r>
        <w:rPr>
          <w:rFonts w:hint="eastAsia" w:cs="仿宋_GB2312" w:asciiTheme="minorEastAsia" w:hAnsiTheme="minorEastAsia"/>
          <w:sz w:val="24"/>
          <w:szCs w:val="24"/>
          <w:lang w:val="zh-CN"/>
        </w:rPr>
        <w:fldChar w:fldCharType="end"/>
      </w:r>
      <w:r>
        <w:rPr>
          <w:rFonts w:cs="仿宋_GB2312" w:asciiTheme="minorEastAsia" w:hAnsiTheme="minorEastAsia"/>
          <w:sz w:val="24"/>
          <w:szCs w:val="24"/>
          <w:lang w:val="zh-CN"/>
        </w:rPr>
        <w:t>》</w:t>
      </w:r>
      <w:r>
        <w:rPr>
          <w:rFonts w:hint="eastAsia" w:cs="仿宋_GB2312" w:asciiTheme="minorEastAsia" w:hAnsiTheme="minorEastAsia"/>
          <w:sz w:val="24"/>
          <w:szCs w:val="24"/>
          <w:lang w:val="zh-CN"/>
        </w:rPr>
        <w:t>的原件扫描件（或图片）并加盖供应商公章。</w:t>
      </w:r>
    </w:p>
    <w:p>
      <w:pPr>
        <w:wordWrap w:val="0"/>
        <w:spacing w:line="360" w:lineRule="auto"/>
        <w:ind w:firstLine="480" w:firstLineChars="200"/>
        <w:contextualSpacing/>
        <w:rPr>
          <w:rFonts w:hint="eastAsia" w:ascii="楷体" w:hAnsi="楷体" w:eastAsia="楷体"/>
          <w:color w:val="000000"/>
          <w:sz w:val="24"/>
          <w:szCs w:val="24"/>
        </w:rPr>
      </w:pPr>
      <w:r>
        <w:rPr>
          <w:rFonts w:hint="eastAsia" w:ascii="楷体" w:hAnsi="楷体" w:eastAsia="楷体" w:cs="仿宋_GB2312"/>
          <w:sz w:val="24"/>
          <w:szCs w:val="24"/>
          <w:lang w:val="zh-CN"/>
        </w:rPr>
        <w:t>注：仅需提供序号</w:t>
      </w:r>
      <w:r>
        <w:rPr>
          <w:rFonts w:hint="eastAsia" w:ascii="楷体" w:hAnsi="楷体" w:eastAsia="楷体"/>
          <w:color w:val="000000"/>
          <w:sz w:val="24"/>
          <w:szCs w:val="24"/>
        </w:rPr>
        <w:t>①～②其中之一即可。</w:t>
      </w:r>
    </w:p>
    <w:p>
      <w:pPr>
        <w:pStyle w:val="10"/>
        <w:numPr>
          <w:ilvl w:val="0"/>
          <w:numId w:val="10"/>
        </w:numPr>
        <w:rPr>
          <w:rFonts w:hint="eastAsia" w:cs="宋体" w:asciiTheme="minorEastAsia" w:hAnsiTheme="minorEastAsia"/>
          <w:kern w:val="0"/>
          <w:sz w:val="24"/>
          <w:szCs w:val="24"/>
        </w:rPr>
      </w:pPr>
      <w:r>
        <w:rPr>
          <w:rFonts w:hint="eastAsia" w:cs="宋体" w:asciiTheme="minorEastAsia" w:hAnsiTheme="minorEastAsia"/>
          <w:kern w:val="0"/>
          <w:sz w:val="24"/>
          <w:szCs w:val="24"/>
          <w:lang w:val="en-US" w:eastAsia="zh-CN"/>
        </w:rPr>
        <w:t>其他</w:t>
      </w:r>
      <w:r>
        <w:rPr>
          <w:rFonts w:hint="eastAsia" w:cs="宋体" w:asciiTheme="minorEastAsia" w:hAnsiTheme="minorEastAsia"/>
          <w:kern w:val="0"/>
          <w:sz w:val="24"/>
          <w:szCs w:val="24"/>
        </w:rPr>
        <w:t>国家标准</w:t>
      </w:r>
    </w:p>
    <w:p>
      <w:pPr>
        <w:pStyle w:val="10"/>
        <w:numPr>
          <w:ilvl w:val="0"/>
          <w:numId w:val="0"/>
        </w:numPr>
        <w:rPr>
          <w:rFonts w:hint="eastAsia" w:cs="宋体" w:asciiTheme="minorEastAsia" w:hAnsiTheme="minorEastAsia"/>
          <w:kern w:val="0"/>
          <w:sz w:val="24"/>
          <w:szCs w:val="24"/>
        </w:rPr>
      </w:pPr>
      <w:r>
        <w:rPr>
          <w:rFonts w:hint="eastAsia" w:cs="宋体" w:asciiTheme="minorEastAsia" w:hAnsiTheme="minorEastAsia"/>
          <w:kern w:val="0"/>
          <w:sz w:val="24"/>
          <w:szCs w:val="24"/>
        </w:rPr>
        <w:t>GB15629.11-2006 无线局域网媒体访问和物理层规范;</w:t>
      </w:r>
    </w:p>
    <w:p>
      <w:pPr>
        <w:pStyle w:val="10"/>
        <w:numPr>
          <w:ilvl w:val="0"/>
          <w:numId w:val="0"/>
        </w:numPr>
        <w:rPr>
          <w:rFonts w:hint="eastAsia" w:cs="宋体" w:asciiTheme="minorEastAsia" w:hAnsiTheme="minorEastAsia"/>
          <w:kern w:val="0"/>
          <w:sz w:val="24"/>
          <w:szCs w:val="24"/>
        </w:rPr>
      </w:pPr>
      <w:r>
        <w:rPr>
          <w:rFonts w:hint="eastAsia" w:cs="宋体" w:asciiTheme="minorEastAsia" w:hAnsiTheme="minorEastAsia"/>
          <w:kern w:val="0"/>
          <w:sz w:val="24"/>
          <w:szCs w:val="24"/>
        </w:rPr>
        <w:t>GB50348-2004《安全防范工程技术规范》；</w:t>
      </w:r>
    </w:p>
    <w:p>
      <w:pPr>
        <w:pStyle w:val="10"/>
        <w:numPr>
          <w:ilvl w:val="0"/>
          <w:numId w:val="0"/>
        </w:numPr>
        <w:rPr>
          <w:rFonts w:hint="eastAsia" w:cs="宋体" w:asciiTheme="minorEastAsia" w:hAnsiTheme="minorEastAsia"/>
          <w:kern w:val="0"/>
          <w:sz w:val="24"/>
          <w:szCs w:val="24"/>
        </w:rPr>
      </w:pPr>
      <w:r>
        <w:rPr>
          <w:rFonts w:hint="eastAsia" w:cs="宋体" w:asciiTheme="minorEastAsia" w:hAnsiTheme="minorEastAsia"/>
          <w:kern w:val="0"/>
          <w:sz w:val="24"/>
          <w:szCs w:val="24"/>
        </w:rPr>
        <w:t>GB50526—2010 公共广播系统工程技术规范。</w:t>
      </w:r>
    </w:p>
    <w:p>
      <w:pPr>
        <w:widowControl/>
        <w:numPr>
          <w:ilvl w:val="0"/>
          <w:numId w:val="0"/>
        </w:numPr>
        <w:shd w:val="clear" w:color="auto" w:fill="FFFFFF"/>
        <w:spacing w:line="360" w:lineRule="auto"/>
        <w:contextualSpacing/>
        <w:jc w:val="left"/>
        <w:rPr>
          <w:rFonts w:hint="eastAsia" w:cs="宋体" w:asciiTheme="minorEastAsia" w:hAnsiTheme="minorEastAsia"/>
          <w:b/>
          <w:color w:val="000000"/>
          <w:kern w:val="0"/>
          <w:sz w:val="24"/>
          <w:szCs w:val="24"/>
          <w:lang w:val="zh-CN"/>
        </w:rPr>
      </w:pPr>
      <w:r>
        <w:rPr>
          <w:rFonts w:hint="eastAsia" w:ascii="宋体" w:cs="宋体"/>
          <w:sz w:val="24"/>
          <w:lang w:val="en-US" w:eastAsia="zh-CN"/>
        </w:rPr>
        <w:t xml:space="preserve"> </w:t>
      </w:r>
      <w:r>
        <w:rPr>
          <w:rFonts w:hint="eastAsia" w:cs="宋体" w:asciiTheme="minorEastAsia" w:hAnsiTheme="minorEastAsia"/>
          <w:b/>
          <w:color w:val="000000"/>
          <w:kern w:val="0"/>
          <w:sz w:val="24"/>
          <w:szCs w:val="24"/>
          <w:lang w:val="en-US" w:eastAsia="zh-CN"/>
        </w:rPr>
        <w:t xml:space="preserve">  （四）</w:t>
      </w:r>
      <w:r>
        <w:rPr>
          <w:rFonts w:hint="eastAsia" w:cs="宋体" w:asciiTheme="minorEastAsia" w:hAnsiTheme="minorEastAsia"/>
          <w:b/>
          <w:color w:val="000000"/>
          <w:kern w:val="0"/>
          <w:sz w:val="24"/>
          <w:szCs w:val="24"/>
          <w:lang w:val="zh-CN"/>
        </w:rPr>
        <w:t>服务标准、期限、效率等要求</w:t>
      </w:r>
    </w:p>
    <w:p>
      <w:pPr>
        <w:widowControl/>
        <w:numPr>
          <w:ilvl w:val="0"/>
          <w:numId w:val="0"/>
        </w:numPr>
        <w:shd w:val="clear" w:color="auto" w:fill="FFFFFF"/>
        <w:spacing w:line="360" w:lineRule="auto"/>
        <w:contextualSpacing/>
        <w:jc w:val="left"/>
        <w:rPr>
          <w:rFonts w:hint="eastAsia" w:ascii="新宋体" w:hAnsi="新宋体" w:eastAsia="新宋体" w:cs="新宋体"/>
          <w:color w:val="000000"/>
          <w:kern w:val="0"/>
          <w:sz w:val="24"/>
          <w:szCs w:val="24"/>
          <w:lang w:val="en-US" w:eastAsia="zh-CN"/>
        </w:rPr>
      </w:pPr>
      <w:r>
        <w:rPr>
          <w:rFonts w:hint="eastAsia" w:ascii="仿宋" w:hAnsi="仿宋" w:eastAsia="仿宋" w:cs="仿宋"/>
          <w:color w:val="000000"/>
          <w:kern w:val="0"/>
          <w:sz w:val="32"/>
          <w:szCs w:val="32"/>
          <w:lang w:val="en-US" w:eastAsia="zh-CN"/>
        </w:rPr>
        <w:t xml:space="preserve">  </w:t>
      </w:r>
      <w:r>
        <w:rPr>
          <w:rFonts w:hint="eastAsia" w:ascii="新宋体" w:hAnsi="新宋体" w:eastAsia="新宋体" w:cs="新宋体"/>
          <w:color w:val="000000"/>
          <w:kern w:val="0"/>
          <w:sz w:val="24"/>
          <w:szCs w:val="24"/>
          <w:lang w:val="en-US" w:eastAsia="zh-CN"/>
        </w:rPr>
        <w:t>1、质保期要求：本项目的质量保证期不低于行业标准（自验收合格之日起算）。</w:t>
      </w:r>
    </w:p>
    <w:p>
      <w:pPr>
        <w:widowControl/>
        <w:numPr>
          <w:ilvl w:val="0"/>
          <w:numId w:val="0"/>
        </w:numPr>
        <w:shd w:val="clear" w:color="auto" w:fill="FFFFFF"/>
        <w:spacing w:line="360" w:lineRule="auto"/>
        <w:ind w:firstLine="240" w:firstLineChars="100"/>
        <w:contextualSpacing/>
        <w:jc w:val="left"/>
        <w:rPr>
          <w:rFonts w:hint="eastAsia" w:ascii="新宋体" w:hAnsi="新宋体" w:eastAsia="新宋体" w:cs="新宋体"/>
          <w:color w:val="000000"/>
          <w:kern w:val="0"/>
          <w:sz w:val="24"/>
          <w:szCs w:val="24"/>
          <w:lang w:val="en-US" w:eastAsia="zh-CN"/>
        </w:rPr>
      </w:pPr>
      <w:r>
        <w:rPr>
          <w:rFonts w:hint="eastAsia" w:ascii="新宋体" w:hAnsi="新宋体" w:eastAsia="新宋体" w:cs="新宋体"/>
          <w:color w:val="000000"/>
          <w:kern w:val="0"/>
          <w:sz w:val="24"/>
          <w:szCs w:val="24"/>
          <w:lang w:val="en-US" w:eastAsia="zh-CN"/>
        </w:rPr>
        <w:t>2、服务要求：质保期内，所有货物保维修服务方式均为投标人上门服务，由此产生的一切费用均由投标人承担。在质保期结束后，投标人应提供终身维修服务，发生的相关费用由采购人承担。</w:t>
      </w:r>
    </w:p>
    <w:p>
      <w:pPr>
        <w:widowControl/>
        <w:shd w:val="clear" w:color="auto" w:fill="FFFFFF"/>
        <w:spacing w:line="360" w:lineRule="auto"/>
        <w:ind w:firstLine="482" w:firstLineChars="200"/>
        <w:contextualSpacing/>
        <w:jc w:val="left"/>
        <w:rPr>
          <w:rFonts w:hint="eastAsia" w:ascii="宋体" w:cs="宋体"/>
          <w:sz w:val="24"/>
          <w:lang w:val="zh-CN"/>
        </w:rPr>
      </w:pPr>
      <w:r>
        <w:rPr>
          <w:rFonts w:hint="eastAsia" w:cs="宋体" w:asciiTheme="minorEastAsia" w:hAnsiTheme="minorEastAsia"/>
          <w:b/>
          <w:color w:val="000000"/>
          <w:kern w:val="0"/>
          <w:sz w:val="24"/>
          <w:szCs w:val="24"/>
          <w:lang w:val="zh-CN"/>
        </w:rPr>
        <w:t>（五）采购标的的其他技术、服务等要求</w:t>
      </w:r>
    </w:p>
    <w:p>
      <w:pPr>
        <w:wordWrap w:val="0"/>
        <w:topLinePunct/>
        <w:spacing w:line="360" w:lineRule="auto"/>
        <w:rPr>
          <w:rFonts w:hint="eastAsia"/>
          <w:lang w:val="zh-CN"/>
        </w:rPr>
      </w:pPr>
      <w:r>
        <w:rPr>
          <w:rFonts w:hint="eastAsia" w:ascii="宋体" w:cs="宋体"/>
          <w:sz w:val="24"/>
          <w:lang w:val="zh-CN"/>
        </w:rPr>
        <w:t>1、供应商须明确响应产品的厂家、产地、品牌、型号、详细参数，</w:t>
      </w:r>
      <w:r>
        <w:rPr>
          <w:rFonts w:hint="eastAsia" w:ascii="宋体" w:cs="宋体"/>
          <w:b/>
          <w:sz w:val="24"/>
          <w:lang w:val="zh-CN"/>
        </w:rPr>
        <w:t>否则为无效响应。</w:t>
      </w:r>
    </w:p>
    <w:p>
      <w:pPr>
        <w:wordWrap w:val="0"/>
        <w:topLinePunct/>
        <w:spacing w:line="360" w:lineRule="auto"/>
        <w:rPr>
          <w:rFonts w:hint="eastAsia" w:ascii="宋体" w:cs="宋体"/>
          <w:sz w:val="24"/>
          <w:lang w:val="zh-CN"/>
        </w:rPr>
      </w:pPr>
      <w:r>
        <w:rPr>
          <w:rFonts w:hint="eastAsia" w:ascii="宋体" w:cs="宋体"/>
          <w:sz w:val="24"/>
          <w:lang w:val="en-US" w:eastAsia="zh-CN"/>
        </w:rPr>
        <w:t>2</w:t>
      </w:r>
      <w:r>
        <w:rPr>
          <w:rFonts w:hint="eastAsia" w:ascii="宋体" w:cs="宋体"/>
          <w:sz w:val="24"/>
          <w:lang w:val="zh-CN"/>
        </w:rPr>
        <w:t>、投标人应就该项目完整投标（报价含运输费、税费等综合费用），否则为无效响应文件。</w:t>
      </w:r>
    </w:p>
    <w:p>
      <w:pPr>
        <w:pStyle w:val="10"/>
        <w:rPr>
          <w:rFonts w:hint="eastAsia" w:ascii="宋体" w:cs="宋体"/>
          <w:b/>
          <w:bCs/>
          <w:color w:val="FF0000"/>
          <w:sz w:val="24"/>
          <w:lang w:val="zh-CN"/>
        </w:rPr>
      </w:pPr>
      <w:r>
        <w:rPr>
          <w:rFonts w:hint="eastAsia" w:ascii="宋体" w:cs="宋体"/>
          <w:bCs/>
          <w:color w:val="FF0000"/>
          <w:sz w:val="24"/>
          <w:lang w:val="en-US" w:eastAsia="zh-CN"/>
        </w:rPr>
        <w:t>3.</w:t>
      </w:r>
      <w:r>
        <w:rPr>
          <w:rFonts w:hint="eastAsia" w:ascii="宋体" w:cs="宋体"/>
          <w:bCs/>
          <w:color w:val="FF0000"/>
          <w:sz w:val="24"/>
          <w:lang w:val="zh-CN"/>
        </w:rPr>
        <w:t>投标文件中须有详细的实施（技术）方案</w:t>
      </w:r>
      <w:r>
        <w:rPr>
          <w:rFonts w:hint="eastAsia" w:ascii="宋体" w:cs="宋体"/>
          <w:b/>
          <w:bCs/>
          <w:color w:val="FF0000"/>
          <w:sz w:val="24"/>
          <w:lang w:val="zh-CN"/>
        </w:rPr>
        <w:t>，否则为无效投标。</w:t>
      </w:r>
    </w:p>
    <w:p>
      <w:pPr>
        <w:pStyle w:val="10"/>
        <w:rPr>
          <w:rFonts w:hint="eastAsia" w:ascii="宋体" w:cs="宋体" w:hAnsiTheme="minorHAnsi" w:eastAsiaTheme="minorEastAsia"/>
          <w:kern w:val="2"/>
          <w:sz w:val="24"/>
          <w:szCs w:val="22"/>
          <w:lang w:val="en-US" w:eastAsia="zh-CN" w:bidi="ar-SA"/>
        </w:rPr>
      </w:pPr>
      <w:r>
        <w:rPr>
          <w:rFonts w:hint="eastAsia" w:ascii="宋体" w:cs="宋体" w:hAnsiTheme="minorHAnsi" w:eastAsiaTheme="minorEastAsia"/>
          <w:kern w:val="2"/>
          <w:sz w:val="24"/>
          <w:szCs w:val="22"/>
          <w:lang w:val="en-US" w:eastAsia="zh-CN" w:bidi="ar-SA"/>
        </w:rPr>
        <w:t>4、本项目为交钥匙工程（包括运输、安装调试、专业培训等一切费用）</w:t>
      </w:r>
      <w:r>
        <w:rPr>
          <w:rFonts w:hint="eastAsia" w:ascii="宋体" w:cs="宋体"/>
          <w:kern w:val="2"/>
          <w:sz w:val="24"/>
          <w:szCs w:val="22"/>
          <w:lang w:val="en-US" w:eastAsia="zh-CN" w:bidi="ar-SA"/>
        </w:rPr>
        <w:t>。</w:t>
      </w:r>
    </w:p>
    <w:p>
      <w:pPr>
        <w:pStyle w:val="10"/>
        <w:rPr>
          <w:rFonts w:hint="eastAsia" w:ascii="宋体" w:cs="宋体" w:hAnsiTheme="minorHAnsi" w:eastAsiaTheme="minorEastAsia"/>
          <w:kern w:val="2"/>
          <w:sz w:val="24"/>
          <w:szCs w:val="22"/>
          <w:lang w:val="en-US" w:eastAsia="zh-CN" w:bidi="ar-SA"/>
        </w:rPr>
      </w:pPr>
      <w:r>
        <w:rPr>
          <w:rFonts w:hint="eastAsia" w:ascii="宋体" w:cs="宋体" w:hAnsiTheme="minorHAnsi" w:eastAsiaTheme="minorEastAsia"/>
          <w:kern w:val="2"/>
          <w:sz w:val="24"/>
          <w:szCs w:val="22"/>
          <w:lang w:val="en-US" w:eastAsia="zh-CN" w:bidi="ar-SA"/>
        </w:rPr>
        <w:t>5、投标人须明确维修点地址、负责人、联系人和联系电话，维修点具备什么样的维修能力等详细资料。</w:t>
      </w:r>
    </w:p>
    <w:p>
      <w:pPr>
        <w:wordWrap w:val="0"/>
        <w:topLinePunct/>
        <w:spacing w:line="360" w:lineRule="auto"/>
        <w:rPr>
          <w:rFonts w:hint="eastAsia" w:ascii="宋体" w:cs="宋体"/>
          <w:sz w:val="24"/>
          <w:lang w:val="zh-CN"/>
        </w:rPr>
      </w:pPr>
      <w:r>
        <w:rPr>
          <w:rFonts w:hint="eastAsia" w:ascii="宋体" w:cs="宋体"/>
          <w:sz w:val="24"/>
          <w:lang w:val="en-US" w:eastAsia="zh-CN"/>
        </w:rPr>
        <w:t>6、</w:t>
      </w:r>
      <w:r>
        <w:rPr>
          <w:rFonts w:hint="eastAsia" w:ascii="宋体" w:cs="宋体"/>
          <w:sz w:val="24"/>
          <w:lang w:val="zh-CN"/>
        </w:rPr>
        <w:t>投标商必须由法定代表人或其授权代表参加开标会议，随时接受谈判小组询问，并予作出书面解答。</w:t>
      </w:r>
    </w:p>
    <w:p>
      <w:pPr>
        <w:widowControl/>
        <w:shd w:val="clear" w:color="auto" w:fill="FFFFFF"/>
        <w:spacing w:line="360" w:lineRule="auto"/>
        <w:ind w:firstLine="482" w:firstLineChars="200"/>
        <w:contextualSpacing/>
        <w:jc w:val="left"/>
        <w:rPr>
          <w:rFonts w:ascii="楷体" w:hAnsi="楷体" w:eastAsia="楷体" w:cs="宋体"/>
          <w:color w:val="000000"/>
          <w:kern w:val="0"/>
          <w:szCs w:val="21"/>
          <w:lang w:val="zh-CN"/>
        </w:rPr>
      </w:pPr>
      <w:r>
        <w:rPr>
          <w:rFonts w:hint="eastAsia" w:cs="宋体" w:asciiTheme="minorEastAsia" w:hAnsiTheme="minorEastAsia"/>
          <w:b/>
          <w:color w:val="000000"/>
          <w:kern w:val="0"/>
          <w:sz w:val="24"/>
          <w:szCs w:val="24"/>
          <w:lang w:val="zh-CN"/>
        </w:rPr>
        <w:t>六、验收标准</w:t>
      </w:r>
    </w:p>
    <w:p>
      <w:pPr>
        <w:wordWrap w:val="0"/>
        <w:topLinePunct/>
        <w:spacing w:line="360" w:lineRule="auto"/>
        <w:ind w:firstLine="480" w:firstLineChars="200"/>
        <w:rPr>
          <w:rFonts w:ascii="宋体" w:cs="宋体"/>
          <w:sz w:val="24"/>
          <w:lang w:val="zh-CN"/>
        </w:rPr>
      </w:pPr>
      <w:r>
        <w:rPr>
          <w:rFonts w:hint="eastAsia" w:ascii="宋体" w:cs="宋体"/>
          <w:sz w:val="24"/>
          <w:lang w:val="zh-CN"/>
        </w:rPr>
        <w:t>由采购人成立验收小组,按照采购合同的约定对成交人履约情况进行验收。验收时,按照采购合同的约定对每一项技术、服务、安全标准的履约情况进行确认。验收结束后,出具验收书,列明各项标准的验收情况及项目总体评价,由验收双方共同签署。</w:t>
      </w:r>
    </w:p>
    <w:p>
      <w:pPr>
        <w:wordWrap w:val="0"/>
        <w:topLinePunct/>
        <w:spacing w:line="360" w:lineRule="auto"/>
        <w:ind w:firstLine="480" w:firstLineChars="200"/>
        <w:rPr>
          <w:rFonts w:ascii="宋体" w:cs="宋体"/>
          <w:sz w:val="24"/>
          <w:lang w:val="zh-CN"/>
        </w:rPr>
      </w:pPr>
      <w:r>
        <w:rPr>
          <w:rFonts w:hint="eastAsia" w:ascii="宋体" w:cs="宋体"/>
          <w:sz w:val="24"/>
          <w:lang w:val="zh-CN"/>
        </w:rPr>
        <w:t>1、按照采购标的相关国家标准规范验收；</w:t>
      </w:r>
    </w:p>
    <w:p>
      <w:pPr>
        <w:wordWrap w:val="0"/>
        <w:topLinePunct/>
        <w:spacing w:line="360" w:lineRule="auto"/>
        <w:ind w:firstLine="480" w:firstLineChars="200"/>
        <w:rPr>
          <w:rFonts w:hint="eastAsia" w:ascii="宋体" w:cs="宋体"/>
          <w:sz w:val="24"/>
          <w:lang w:val="zh-CN"/>
        </w:rPr>
      </w:pPr>
      <w:r>
        <w:rPr>
          <w:rFonts w:hint="eastAsia" w:ascii="宋体" w:cs="宋体"/>
          <w:sz w:val="24"/>
          <w:lang w:val="zh-CN"/>
        </w:rPr>
        <w:t>2、按照谈判文件要求、投标文件响应和承诺验收。</w:t>
      </w:r>
    </w:p>
    <w:p>
      <w:pPr>
        <w:pStyle w:val="10"/>
        <w:ind w:firstLine="241" w:firstLineChars="100"/>
        <w:rPr>
          <w:rFonts w:hint="eastAsia" w:cs="宋体" w:asciiTheme="minorEastAsia" w:hAnsiTheme="minorEastAsia" w:eastAsiaTheme="minorEastAsia"/>
          <w:b/>
          <w:color w:val="000000"/>
          <w:kern w:val="0"/>
          <w:sz w:val="24"/>
          <w:szCs w:val="24"/>
          <w:lang w:val="zh-CN" w:eastAsia="zh-CN" w:bidi="ar-SA"/>
        </w:rPr>
      </w:pPr>
    </w:p>
    <w:p>
      <w:pPr>
        <w:pStyle w:val="10"/>
        <w:ind w:firstLine="241" w:firstLineChars="100"/>
        <w:rPr>
          <w:rFonts w:hint="default" w:cs="宋体" w:asciiTheme="minorEastAsia" w:hAnsiTheme="minorEastAsia" w:eastAsiaTheme="minorEastAsia"/>
          <w:b/>
          <w:color w:val="000000"/>
          <w:kern w:val="0"/>
          <w:sz w:val="24"/>
          <w:szCs w:val="24"/>
          <w:lang w:val="en-US" w:eastAsia="zh-CN" w:bidi="ar-SA"/>
        </w:rPr>
      </w:pPr>
      <w:r>
        <w:rPr>
          <w:rFonts w:hint="eastAsia" w:cs="宋体" w:asciiTheme="minorEastAsia" w:hAnsiTheme="minorEastAsia" w:eastAsiaTheme="minorEastAsia"/>
          <w:b/>
          <w:color w:val="000000"/>
          <w:kern w:val="0"/>
          <w:sz w:val="24"/>
          <w:szCs w:val="24"/>
          <w:lang w:val="zh-CN" w:eastAsia="zh-CN" w:bidi="ar-SA"/>
        </w:rPr>
        <w:t>七、付款方式：以签订合同为准</w:t>
      </w:r>
      <w:r>
        <w:rPr>
          <w:rFonts w:hint="eastAsia" w:cs="宋体" w:asciiTheme="minorEastAsia" w:hAnsiTheme="minorEastAsia"/>
          <w:b/>
          <w:color w:val="000000"/>
          <w:kern w:val="0"/>
          <w:sz w:val="24"/>
          <w:szCs w:val="24"/>
          <w:lang w:val="en-US" w:eastAsia="zh-CN" w:bidi="ar-SA"/>
        </w:rPr>
        <w:t>.</w:t>
      </w:r>
    </w:p>
    <w:p>
      <w:pPr>
        <w:spacing w:line="500" w:lineRule="exact"/>
        <w:jc w:val="left"/>
        <w:rPr>
          <w:rFonts w:hint="eastAsia" w:ascii="仿宋_GB2312" w:hAnsi="仿宋_GB2312" w:eastAsia="仿宋_GB2312" w:cs="仿宋_GB2312"/>
          <w:b/>
          <w:sz w:val="44"/>
          <w:lang w:val="en-US" w:eastAsia="zh-CN"/>
        </w:rPr>
      </w:pPr>
    </w:p>
    <w:p>
      <w:pPr>
        <w:pStyle w:val="10"/>
        <w:rPr>
          <w:rFonts w:hint="eastAsia" w:ascii="仿宋_GB2312" w:hAnsi="仿宋_GB2312" w:eastAsia="仿宋_GB2312" w:cs="仿宋_GB2312"/>
          <w:b/>
          <w:sz w:val="44"/>
          <w:lang w:val="en-US" w:eastAsia="zh-CN"/>
        </w:rPr>
      </w:pPr>
    </w:p>
    <w:p>
      <w:pPr>
        <w:pStyle w:val="10"/>
        <w:rPr>
          <w:rFonts w:hint="eastAsia" w:ascii="仿宋_GB2312" w:hAnsi="仿宋_GB2312" w:eastAsia="仿宋_GB2312" w:cs="仿宋_GB2312"/>
          <w:b/>
          <w:sz w:val="44"/>
          <w:lang w:val="en-US" w:eastAsia="zh-CN"/>
        </w:rPr>
      </w:pPr>
    </w:p>
    <w:p>
      <w:pPr>
        <w:pStyle w:val="10"/>
        <w:rPr>
          <w:rFonts w:hint="eastAsia" w:ascii="仿宋_GB2312" w:hAnsi="仿宋_GB2312" w:eastAsia="仿宋_GB2312" w:cs="仿宋_GB2312"/>
          <w:b/>
          <w:sz w:val="44"/>
          <w:lang w:val="en-US" w:eastAsia="zh-CN"/>
        </w:rPr>
      </w:pPr>
    </w:p>
    <w:p>
      <w:pPr>
        <w:autoSpaceDE w:val="0"/>
        <w:autoSpaceDN w:val="0"/>
        <w:adjustRightInd w:val="0"/>
        <w:jc w:val="both"/>
        <w:rPr>
          <w:rFonts w:cs="宋体" w:asciiTheme="majorEastAsia" w:hAnsiTheme="majorEastAsia" w:eastAsiaTheme="majorEastAsia"/>
          <w:b/>
          <w:kern w:val="0"/>
          <w:sz w:val="32"/>
          <w:szCs w:val="32"/>
        </w:rPr>
      </w:pPr>
    </w:p>
    <w:p>
      <w:pPr>
        <w:pStyle w:val="10"/>
        <w:rPr>
          <w:rFonts w:cs="宋体" w:asciiTheme="majorEastAsia" w:hAnsiTheme="majorEastAsia" w:eastAsiaTheme="majorEastAsia"/>
          <w:b/>
          <w:kern w:val="0"/>
          <w:sz w:val="32"/>
          <w:szCs w:val="32"/>
        </w:rPr>
      </w:pPr>
    </w:p>
    <w:p>
      <w:pPr>
        <w:pStyle w:val="10"/>
        <w:rPr>
          <w:rFonts w:cs="宋体" w:asciiTheme="majorEastAsia" w:hAnsiTheme="majorEastAsia" w:eastAsiaTheme="majorEastAsia"/>
          <w:b/>
          <w:kern w:val="0"/>
          <w:sz w:val="32"/>
          <w:szCs w:val="32"/>
        </w:rPr>
      </w:pPr>
    </w:p>
    <w:p>
      <w:pPr>
        <w:pStyle w:val="10"/>
        <w:rPr>
          <w:rFonts w:cs="宋体" w:asciiTheme="majorEastAsia" w:hAnsiTheme="majorEastAsia" w:eastAsiaTheme="majorEastAsia"/>
          <w:b/>
          <w:kern w:val="0"/>
          <w:sz w:val="32"/>
          <w:szCs w:val="32"/>
        </w:rPr>
      </w:pPr>
    </w:p>
    <w:p>
      <w:pPr>
        <w:pStyle w:val="10"/>
        <w:rPr>
          <w:rFonts w:cs="宋体" w:asciiTheme="majorEastAsia" w:hAnsiTheme="majorEastAsia" w:eastAsiaTheme="majorEastAsia"/>
          <w:b/>
          <w:kern w:val="0"/>
          <w:sz w:val="32"/>
          <w:szCs w:val="32"/>
        </w:rPr>
      </w:pPr>
    </w:p>
    <w:p>
      <w:pPr>
        <w:pStyle w:val="10"/>
        <w:rPr>
          <w:rFonts w:cs="宋体" w:asciiTheme="majorEastAsia" w:hAnsiTheme="majorEastAsia" w:eastAsiaTheme="majorEastAsia"/>
          <w:b/>
          <w:kern w:val="0"/>
          <w:sz w:val="32"/>
          <w:szCs w:val="32"/>
        </w:rPr>
      </w:pPr>
    </w:p>
    <w:p>
      <w:pPr>
        <w:pStyle w:val="10"/>
        <w:rPr>
          <w:rFonts w:cs="宋体" w:asciiTheme="majorEastAsia" w:hAnsiTheme="majorEastAsia" w:eastAsiaTheme="majorEastAsia"/>
          <w:b/>
          <w:kern w:val="0"/>
          <w:sz w:val="32"/>
          <w:szCs w:val="32"/>
        </w:rPr>
      </w:pPr>
    </w:p>
    <w:p>
      <w:pPr>
        <w:pStyle w:val="10"/>
        <w:rPr>
          <w:rFonts w:cs="宋体" w:asciiTheme="majorEastAsia" w:hAnsiTheme="majorEastAsia" w:eastAsiaTheme="majorEastAsia"/>
          <w:b/>
          <w:kern w:val="0"/>
          <w:sz w:val="32"/>
          <w:szCs w:val="32"/>
        </w:rPr>
      </w:pPr>
    </w:p>
    <w:p>
      <w:pPr>
        <w:pStyle w:val="10"/>
        <w:rPr>
          <w:rFonts w:cs="宋体" w:asciiTheme="majorEastAsia" w:hAnsiTheme="majorEastAsia" w:eastAsiaTheme="majorEastAsia"/>
          <w:b/>
          <w:kern w:val="0"/>
          <w:sz w:val="32"/>
          <w:szCs w:val="32"/>
        </w:rPr>
      </w:pPr>
    </w:p>
    <w:p>
      <w:pPr>
        <w:pStyle w:val="10"/>
        <w:rPr>
          <w:rFonts w:cs="宋体" w:asciiTheme="majorEastAsia" w:hAnsiTheme="majorEastAsia" w:eastAsiaTheme="majorEastAsia"/>
          <w:b/>
          <w:kern w:val="0"/>
          <w:sz w:val="32"/>
          <w:szCs w:val="32"/>
        </w:rPr>
      </w:pPr>
    </w:p>
    <w:p>
      <w:pPr>
        <w:pStyle w:val="10"/>
        <w:rPr>
          <w:rFonts w:cs="宋体" w:asciiTheme="majorEastAsia" w:hAnsiTheme="majorEastAsia" w:eastAsiaTheme="majorEastAsia"/>
          <w:b/>
          <w:kern w:val="0"/>
          <w:sz w:val="32"/>
          <w:szCs w:val="32"/>
        </w:rPr>
      </w:pPr>
    </w:p>
    <w:p>
      <w:pPr>
        <w:numPr>
          <w:ilvl w:val="0"/>
          <w:numId w:val="4"/>
        </w:numPr>
        <w:autoSpaceDE w:val="0"/>
        <w:autoSpaceDN w:val="0"/>
        <w:adjustRightInd w:val="0"/>
        <w:ind w:left="0" w:leftChars="0" w:firstLine="0" w:firstLineChars="0"/>
        <w:jc w:val="center"/>
        <w:rPr>
          <w:rFonts w:hint="eastAsia"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供应商须知前附表</w:t>
      </w:r>
    </w:p>
    <w:p>
      <w:pPr>
        <w:numPr>
          <w:ilvl w:val="0"/>
          <w:numId w:val="0"/>
        </w:numPr>
        <w:autoSpaceDE w:val="0"/>
        <w:autoSpaceDN w:val="0"/>
        <w:adjustRightInd w:val="0"/>
        <w:ind w:leftChars="0"/>
        <w:jc w:val="both"/>
        <w:rPr>
          <w:rFonts w:hint="eastAsia" w:cs="宋体" w:asciiTheme="majorEastAsia" w:hAnsiTheme="majorEastAsia" w:eastAsiaTheme="majorEastAsia"/>
          <w:b/>
          <w:kern w:val="0"/>
          <w:sz w:val="32"/>
          <w:szCs w:val="32"/>
        </w:rPr>
      </w:pPr>
    </w:p>
    <w:p>
      <w:pPr>
        <w:autoSpaceDE w:val="0"/>
        <w:autoSpaceDN w:val="0"/>
        <w:adjustRightInd w:val="0"/>
        <w:spacing w:line="360" w:lineRule="auto"/>
        <w:ind w:right="-11"/>
        <w:jc w:val="left"/>
        <w:rPr>
          <w:rFonts w:cs="宋体" w:asciiTheme="minorEastAsia" w:hAnsiTheme="minorEastAsia"/>
          <w:b/>
          <w:kern w:val="0"/>
          <w:szCs w:val="21"/>
        </w:rPr>
      </w:pPr>
      <w:r>
        <w:rPr>
          <w:rFonts w:hint="eastAsia" w:cs="微软雅黑"/>
          <w:b/>
          <w:color w:val="FF0000"/>
          <w:szCs w:val="21"/>
        </w:rPr>
        <w:t>谈判文件中凡标有</w:t>
      </w:r>
      <w:r>
        <w:rPr>
          <w:rFonts w:hint="eastAsia" w:cs="微软雅黑" w:asciiTheme="minorEastAsia" w:hAnsiTheme="minorEastAsia"/>
          <w:b/>
          <w:color w:val="FF0000"/>
          <w:szCs w:val="21"/>
        </w:rPr>
        <w:t>★</w:t>
      </w:r>
      <w:r>
        <w:rPr>
          <w:rFonts w:hint="eastAsia" w:cs="微软雅黑"/>
          <w:b/>
          <w:color w:val="FF0000"/>
          <w:szCs w:val="21"/>
        </w:rPr>
        <w:t>条款均为实质性要求条款，响应文件须完全响应，未实质响应的，按照无效报价处理。</w:t>
      </w:r>
    </w:p>
    <w:tbl>
      <w:tblPr>
        <w:tblStyle w:val="24"/>
        <w:tblW w:w="98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2268"/>
        <w:gridCol w:w="6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6" w:hRule="atLeast"/>
          <w:jc w:val="center"/>
        </w:trPr>
        <w:tc>
          <w:tcPr>
            <w:tcW w:w="806" w:type="dxa"/>
            <w:vAlign w:val="center"/>
          </w:tcPr>
          <w:p>
            <w:pPr>
              <w:autoSpaceDE w:val="0"/>
              <w:autoSpaceDN w:val="0"/>
              <w:adjustRightInd w:val="0"/>
              <w:spacing w:line="276" w:lineRule="auto"/>
              <w:jc w:val="center"/>
              <w:rPr>
                <w:rFonts w:cs="仿宋_GB2312" w:asciiTheme="minorEastAsia" w:hAnsiTheme="minorEastAsia"/>
                <w:b/>
                <w:szCs w:val="21"/>
              </w:rPr>
            </w:pPr>
            <w:r>
              <w:rPr>
                <w:rFonts w:hint="eastAsia" w:cs="仿宋_GB2312" w:asciiTheme="minorEastAsia" w:hAnsiTheme="minorEastAsia"/>
                <w:b/>
                <w:szCs w:val="21"/>
              </w:rPr>
              <w:t>序号</w:t>
            </w:r>
          </w:p>
        </w:tc>
        <w:tc>
          <w:tcPr>
            <w:tcW w:w="2268" w:type="dxa"/>
            <w:vAlign w:val="center"/>
          </w:tcPr>
          <w:p>
            <w:pPr>
              <w:autoSpaceDE w:val="0"/>
              <w:autoSpaceDN w:val="0"/>
              <w:adjustRightInd w:val="0"/>
              <w:spacing w:line="276" w:lineRule="auto"/>
              <w:jc w:val="center"/>
              <w:rPr>
                <w:rFonts w:cs="仿宋_GB2312" w:asciiTheme="minorEastAsia" w:hAnsiTheme="minorEastAsia"/>
                <w:b/>
                <w:szCs w:val="21"/>
              </w:rPr>
            </w:pPr>
            <w:r>
              <w:rPr>
                <w:rFonts w:hint="eastAsia" w:cs="仿宋_GB2312" w:asciiTheme="minorEastAsia" w:hAnsiTheme="minorEastAsia"/>
                <w:b/>
                <w:szCs w:val="21"/>
              </w:rPr>
              <w:t>条款名称</w:t>
            </w:r>
          </w:p>
        </w:tc>
        <w:tc>
          <w:tcPr>
            <w:tcW w:w="6813" w:type="dxa"/>
            <w:vAlign w:val="center"/>
          </w:tcPr>
          <w:p>
            <w:pPr>
              <w:autoSpaceDE w:val="0"/>
              <w:autoSpaceDN w:val="0"/>
              <w:adjustRightInd w:val="0"/>
              <w:spacing w:line="276" w:lineRule="auto"/>
              <w:jc w:val="center"/>
              <w:rPr>
                <w:rFonts w:cs="仿宋_GB2312" w:asciiTheme="minorEastAsia" w:hAnsiTheme="minorEastAsia"/>
                <w:b/>
                <w:szCs w:val="21"/>
              </w:rPr>
            </w:pPr>
            <w:r>
              <w:rPr>
                <w:rFonts w:hint="eastAsia" w:cs="仿宋_GB2312" w:asciiTheme="minorEastAsia" w:hAnsiTheme="minorEastAsia"/>
                <w:b/>
                <w:szCs w:val="21"/>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8"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w:t>
            </w:r>
          </w:p>
        </w:tc>
        <w:tc>
          <w:tcPr>
            <w:tcW w:w="2268" w:type="dxa"/>
            <w:vAlign w:val="center"/>
          </w:tcPr>
          <w:p>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采购项目</w:t>
            </w:r>
          </w:p>
        </w:tc>
        <w:tc>
          <w:tcPr>
            <w:tcW w:w="6813" w:type="dxa"/>
          </w:tcPr>
          <w:p>
            <w:pPr>
              <w:autoSpaceDE w:val="0"/>
              <w:autoSpaceDN w:val="0"/>
              <w:adjustRightInd w:val="0"/>
              <w:spacing w:line="360" w:lineRule="auto"/>
              <w:jc w:val="left"/>
              <w:rPr>
                <w:rFonts w:hint="eastAsia" w:cs="仿宋_GB2312" w:asciiTheme="minorEastAsia" w:hAnsiTheme="minorEastAsia"/>
                <w:szCs w:val="21"/>
              </w:rPr>
            </w:pPr>
            <w:r>
              <w:rPr>
                <w:rFonts w:hint="eastAsia" w:cs="仿宋_GB2312" w:asciiTheme="minorEastAsia" w:hAnsiTheme="minorEastAsia"/>
                <w:szCs w:val="21"/>
              </w:rPr>
              <w:t>项目名称：禹州市市直第四幼儿园教学设备采购项目</w:t>
            </w:r>
          </w:p>
          <w:p>
            <w:pPr>
              <w:autoSpaceDE w:val="0"/>
              <w:autoSpaceDN w:val="0"/>
              <w:adjustRightInd w:val="0"/>
              <w:spacing w:line="360" w:lineRule="auto"/>
              <w:jc w:val="left"/>
              <w:rPr>
                <w:rFonts w:hint="eastAsia" w:cs="仿宋_GB2312" w:asciiTheme="minorEastAsia" w:hAnsiTheme="minorEastAsia"/>
                <w:szCs w:val="21"/>
                <w:lang w:val="en-US" w:eastAsia="zh-CN"/>
              </w:rPr>
            </w:pPr>
            <w:r>
              <w:rPr>
                <w:rFonts w:hint="eastAsia" w:cs="仿宋_GB2312" w:asciiTheme="minorEastAsia" w:hAnsiTheme="minorEastAsia"/>
                <w:szCs w:val="21"/>
              </w:rPr>
              <w:t>项目编号：</w:t>
            </w:r>
            <w:r>
              <w:rPr>
                <w:rFonts w:hint="eastAsia" w:cs="仿宋_GB2312" w:asciiTheme="minorEastAsia" w:hAnsiTheme="minorEastAsia"/>
                <w:szCs w:val="21"/>
                <w:lang w:val="en-US" w:eastAsia="zh-CN"/>
              </w:rPr>
              <w:t>YZCG-T2019183</w:t>
            </w:r>
          </w:p>
          <w:p>
            <w:pPr>
              <w:autoSpaceDE w:val="0"/>
              <w:autoSpaceDN w:val="0"/>
              <w:adjustRightInd w:val="0"/>
              <w:spacing w:line="360" w:lineRule="auto"/>
              <w:jc w:val="left"/>
              <w:rPr>
                <w:rFonts w:hint="default" w:cs="仿宋_GB2312" w:asciiTheme="minorEastAsia" w:hAnsiTheme="minorEastAsia" w:eastAsiaTheme="minorEastAsia"/>
                <w:szCs w:val="21"/>
                <w:lang w:val="en-US" w:eastAsia="zh-CN"/>
              </w:rPr>
            </w:pPr>
            <w:r>
              <w:rPr>
                <w:rFonts w:hint="eastAsia" w:cs="仿宋_GB2312" w:asciiTheme="minorEastAsia" w:hAnsiTheme="minorEastAsia"/>
                <w:szCs w:val="21"/>
                <w:lang w:eastAsia="zh-CN"/>
              </w:rPr>
              <w:t>工期：签订合同后</w:t>
            </w:r>
            <w:r>
              <w:rPr>
                <w:rFonts w:hint="eastAsia" w:cs="仿宋_GB2312" w:asciiTheme="minorEastAsia" w:hAnsiTheme="minorEastAsia"/>
                <w:szCs w:val="21"/>
                <w:lang w:val="en-US" w:eastAsia="zh-CN"/>
              </w:rPr>
              <w:t>20天。</w:t>
            </w:r>
          </w:p>
          <w:p>
            <w:pPr>
              <w:autoSpaceDE w:val="0"/>
              <w:autoSpaceDN w:val="0"/>
              <w:adjustRightInd w:val="0"/>
              <w:spacing w:line="360" w:lineRule="auto"/>
              <w:jc w:val="left"/>
              <w:rPr>
                <w:rFonts w:hint="default" w:cs="仿宋_GB2312" w:asciiTheme="minorEastAsia" w:hAnsiTheme="minorEastAsia"/>
                <w:szCs w:val="21"/>
                <w:lang w:val="en-US"/>
              </w:rPr>
            </w:pPr>
            <w:r>
              <w:rPr>
                <w:rFonts w:hint="eastAsia" w:cs="仿宋_GB2312" w:asciiTheme="minorEastAsia" w:hAnsiTheme="minorEastAsia"/>
                <w:szCs w:val="21"/>
              </w:rPr>
              <w:t>项目地址：</w:t>
            </w:r>
            <w:r>
              <w:rPr>
                <w:rFonts w:hint="eastAsia" w:cs="仿宋_GB2312" w:asciiTheme="minorEastAsia" w:hAnsiTheme="minorEastAsia"/>
                <w:szCs w:val="21"/>
                <w:lang w:eastAsia="zh-CN"/>
              </w:rPr>
              <w:t>禹州市禹王大道东段</w:t>
            </w:r>
            <w:r>
              <w:rPr>
                <w:rFonts w:hint="eastAsia" w:cs="仿宋_GB2312" w:asciiTheme="minorEastAsia" w:hAnsiTheme="minorEastAsia"/>
                <w:szCs w:val="21"/>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1" w:hRule="atLeast"/>
          <w:jc w:val="center"/>
        </w:trPr>
        <w:tc>
          <w:tcPr>
            <w:tcW w:w="806" w:type="dxa"/>
            <w:vAlign w:val="center"/>
          </w:tcPr>
          <w:p>
            <w:pPr>
              <w:autoSpaceDE w:val="0"/>
              <w:autoSpaceDN w:val="0"/>
              <w:adjustRightInd w:val="0"/>
              <w:spacing w:line="276" w:lineRule="auto"/>
              <w:jc w:val="center"/>
              <w:rPr>
                <w:rFonts w:cs="TimesNewRomanPSMT" w:asciiTheme="minorEastAsia" w:hAnsiTheme="minorEastAsia"/>
                <w:szCs w:val="21"/>
              </w:rPr>
            </w:pPr>
            <w:r>
              <w:rPr>
                <w:rFonts w:hint="eastAsia" w:cs="TimesNewRomanPSMT" w:asciiTheme="minorEastAsia" w:hAnsiTheme="minorEastAsia"/>
                <w:szCs w:val="21"/>
              </w:rPr>
              <w:t>2</w:t>
            </w:r>
          </w:p>
        </w:tc>
        <w:tc>
          <w:tcPr>
            <w:tcW w:w="2268" w:type="dxa"/>
            <w:vAlign w:val="center"/>
          </w:tcPr>
          <w:p>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采购人</w:t>
            </w:r>
          </w:p>
        </w:tc>
        <w:tc>
          <w:tcPr>
            <w:tcW w:w="6813" w:type="dxa"/>
            <w:vAlign w:val="center"/>
          </w:tcPr>
          <w:p>
            <w:pPr>
              <w:autoSpaceDE w:val="0"/>
              <w:autoSpaceDN w:val="0"/>
              <w:adjustRightInd w:val="0"/>
              <w:spacing w:line="360" w:lineRule="auto"/>
              <w:jc w:val="left"/>
              <w:rPr>
                <w:rFonts w:hint="eastAsia" w:cs="仿宋_GB2312" w:asciiTheme="minorEastAsia" w:hAnsiTheme="minorEastAsia"/>
                <w:szCs w:val="21"/>
              </w:rPr>
            </w:pPr>
            <w:r>
              <w:rPr>
                <w:rFonts w:hint="eastAsia" w:cs="仿宋_GB2312" w:asciiTheme="minorEastAsia" w:hAnsiTheme="minorEastAsia"/>
                <w:szCs w:val="21"/>
              </w:rPr>
              <w:t>名称：禹州市</w:t>
            </w:r>
            <w:r>
              <w:rPr>
                <w:rFonts w:hint="eastAsia" w:cs="仿宋_GB2312" w:asciiTheme="minorEastAsia" w:hAnsiTheme="minorEastAsia"/>
                <w:szCs w:val="21"/>
                <w:lang w:eastAsia="zh-CN"/>
              </w:rPr>
              <w:t>教育体育局</w:t>
            </w:r>
          </w:p>
          <w:p>
            <w:pPr>
              <w:autoSpaceDE w:val="0"/>
              <w:autoSpaceDN w:val="0"/>
              <w:adjustRightInd w:val="0"/>
              <w:spacing w:line="360" w:lineRule="auto"/>
              <w:jc w:val="left"/>
              <w:rPr>
                <w:rFonts w:hint="default" w:cs="仿宋_GB2312" w:asciiTheme="minorEastAsia" w:hAnsiTheme="minorEastAsia" w:eastAsiaTheme="minorEastAsia"/>
                <w:szCs w:val="21"/>
                <w:lang w:val="en-US" w:eastAsia="zh-CN"/>
              </w:rPr>
            </w:pPr>
            <w:r>
              <w:rPr>
                <w:rFonts w:hint="eastAsia" w:cs="仿宋_GB2312" w:asciiTheme="minorEastAsia" w:hAnsiTheme="minorEastAsia"/>
                <w:szCs w:val="21"/>
              </w:rPr>
              <w:t>联系人：</w:t>
            </w:r>
            <w:r>
              <w:rPr>
                <w:rFonts w:hint="eastAsia" w:cs="仿宋_GB2312" w:asciiTheme="minorEastAsia" w:hAnsiTheme="minorEastAsia"/>
                <w:szCs w:val="21"/>
                <w:lang w:eastAsia="zh-CN"/>
              </w:rPr>
              <w:t>任朝选</w:t>
            </w:r>
            <w:r>
              <w:rPr>
                <w:rFonts w:hint="eastAsia" w:cs="仿宋_GB2312" w:asciiTheme="minorEastAsia" w:hAnsiTheme="minorEastAsia"/>
                <w:szCs w:val="21"/>
              </w:rPr>
              <w:t xml:space="preserve">                 电话：</w:t>
            </w:r>
            <w:r>
              <w:rPr>
                <w:rFonts w:hint="eastAsia" w:cs="仿宋_GB2312" w:asciiTheme="minorEastAsia" w:hAnsiTheme="minorEastAsia"/>
                <w:szCs w:val="21"/>
                <w:lang w:val="en-US" w:eastAsia="zh-CN"/>
              </w:rPr>
              <w:t>15936376268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3</w:t>
            </w:r>
          </w:p>
        </w:tc>
        <w:tc>
          <w:tcPr>
            <w:tcW w:w="2268" w:type="dxa"/>
            <w:vAlign w:val="center"/>
          </w:tcPr>
          <w:p>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lang w:eastAsia="zh-CN"/>
              </w:rPr>
              <w:t>代理</w:t>
            </w:r>
            <w:r>
              <w:rPr>
                <w:rFonts w:hint="eastAsia" w:cs="仿宋_GB2312" w:asciiTheme="minorEastAsia" w:hAnsiTheme="minorEastAsia"/>
                <w:szCs w:val="21"/>
              </w:rPr>
              <w:t>机构</w:t>
            </w:r>
          </w:p>
        </w:tc>
        <w:tc>
          <w:tcPr>
            <w:tcW w:w="6813" w:type="dxa"/>
            <w:vAlign w:val="center"/>
          </w:tcPr>
          <w:p>
            <w:pPr>
              <w:autoSpaceDE w:val="0"/>
              <w:autoSpaceDN w:val="0"/>
              <w:adjustRightInd w:val="0"/>
              <w:spacing w:line="360" w:lineRule="auto"/>
              <w:jc w:val="left"/>
              <w:rPr>
                <w:rFonts w:cs="仿宋_GB2312" w:asciiTheme="minorEastAsia" w:hAnsiTheme="minorEastAsia"/>
                <w:sz w:val="24"/>
                <w:szCs w:val="24"/>
              </w:rPr>
            </w:pPr>
            <w:r>
              <w:rPr>
                <w:rFonts w:hint="eastAsia" w:cs="仿宋_GB2312" w:asciiTheme="minorEastAsia" w:hAnsiTheme="minorEastAsia"/>
                <w:szCs w:val="21"/>
              </w:rPr>
              <w:t>名</w:t>
            </w:r>
            <w:r>
              <w:rPr>
                <w:rFonts w:hint="eastAsia" w:cs="仿宋_GB2312" w:asciiTheme="minorEastAsia" w:hAnsiTheme="minorEastAsia"/>
                <w:sz w:val="24"/>
                <w:szCs w:val="24"/>
              </w:rPr>
              <w:t>地址：禹州市行政服务中心楼9楼</w:t>
            </w:r>
          </w:p>
          <w:p>
            <w:pPr>
              <w:autoSpaceDE w:val="0"/>
              <w:autoSpaceDN w:val="0"/>
              <w:adjustRightInd w:val="0"/>
              <w:spacing w:line="360" w:lineRule="auto"/>
              <w:jc w:val="left"/>
              <w:rPr>
                <w:rFonts w:cs="仿宋_GB2312" w:asciiTheme="minorEastAsia" w:hAnsiTheme="minorEastAsia"/>
                <w:szCs w:val="21"/>
              </w:rPr>
            </w:pPr>
            <w:r>
              <w:rPr>
                <w:rFonts w:hint="eastAsia" w:cs="仿宋_GB2312" w:asciiTheme="minorEastAsia" w:hAnsiTheme="minorEastAsia"/>
                <w:sz w:val="24"/>
                <w:szCs w:val="24"/>
              </w:rPr>
              <w:t>联系人：艾先生               电话：0374-2077111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4</w:t>
            </w:r>
          </w:p>
        </w:tc>
        <w:tc>
          <w:tcPr>
            <w:tcW w:w="2268" w:type="dxa"/>
            <w:vAlign w:val="center"/>
          </w:tcPr>
          <w:p>
            <w:pPr>
              <w:autoSpaceDE w:val="0"/>
              <w:autoSpaceDN w:val="0"/>
              <w:adjustRightInd w:val="0"/>
              <w:spacing w:line="276" w:lineRule="auto"/>
              <w:jc w:val="center"/>
              <w:rPr>
                <w:rFonts w:cs="仿宋_GB2312" w:asciiTheme="minorEastAsia" w:hAnsiTheme="minorEastAsia"/>
                <w:szCs w:val="21"/>
              </w:rPr>
            </w:pPr>
            <w:r>
              <w:rPr>
                <w:rFonts w:hint="eastAsia" w:cs="微软雅黑" w:asciiTheme="minorEastAsia" w:hAnsiTheme="minorEastAsia"/>
                <w:b/>
                <w:color w:val="FF0000"/>
                <w:szCs w:val="21"/>
              </w:rPr>
              <w:t>★</w:t>
            </w:r>
            <w:r>
              <w:rPr>
                <w:rFonts w:hint="eastAsia" w:cs="仿宋_GB2312" w:asciiTheme="minorEastAsia" w:hAnsiTheme="minorEastAsia"/>
                <w:szCs w:val="21"/>
              </w:rPr>
              <w:t>供应商资格</w:t>
            </w:r>
          </w:p>
        </w:tc>
        <w:tc>
          <w:tcPr>
            <w:tcW w:w="6813" w:type="dxa"/>
            <w:vAlign w:val="center"/>
          </w:tcPr>
          <w:p>
            <w:pPr>
              <w:autoSpaceDE w:val="0"/>
              <w:autoSpaceDN w:val="0"/>
              <w:adjustRightInd w:val="0"/>
              <w:spacing w:line="360" w:lineRule="auto"/>
              <w:ind w:right="-11"/>
              <w:rPr>
                <w:rFonts w:cs="宋体" w:asciiTheme="minorEastAsia" w:hAnsiTheme="minorEastAsia"/>
                <w:b/>
                <w:bCs/>
                <w:szCs w:val="21"/>
                <w:lang w:val="zh-CN"/>
              </w:rPr>
            </w:pPr>
            <w:r>
              <w:rPr>
                <w:rFonts w:hint="eastAsia" w:cs="宋体" w:asciiTheme="minorEastAsia" w:hAnsiTheme="minorEastAsia"/>
                <w:b/>
                <w:bCs/>
                <w:szCs w:val="21"/>
                <w:lang w:val="zh-CN"/>
              </w:rPr>
              <w:t>一、</w:t>
            </w:r>
            <w:r>
              <w:rPr>
                <w:rFonts w:cs="宋体" w:asciiTheme="minorEastAsia" w:hAnsiTheme="minorEastAsia"/>
                <w:b/>
                <w:bCs/>
                <w:szCs w:val="21"/>
                <w:lang w:val="zh-CN"/>
              </w:rPr>
              <w:t>法人或者其他组织的营业执照等证明文件，自然人的身份证明</w:t>
            </w:r>
          </w:p>
          <w:p>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1、企业法人营业执照或营业执照。（企业提供）</w:t>
            </w:r>
          </w:p>
          <w:p>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2、事业单位法人证书。（事业单位提供）</w:t>
            </w:r>
          </w:p>
          <w:p>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3、执业许可证。（非企业专业服务机构提供）</w:t>
            </w:r>
          </w:p>
          <w:p>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4、个体工商户营业执照。（个体工商户提供）</w:t>
            </w:r>
          </w:p>
          <w:p>
            <w:pPr>
              <w:autoSpaceDE w:val="0"/>
              <w:autoSpaceDN w:val="0"/>
              <w:adjustRightInd w:val="0"/>
              <w:spacing w:line="360" w:lineRule="auto"/>
              <w:jc w:val="left"/>
              <w:rPr>
                <w:rFonts w:cs="宋体" w:asciiTheme="minorEastAsia" w:hAnsiTheme="minorEastAsia"/>
                <w:bCs/>
                <w:szCs w:val="21"/>
                <w:lang w:val="zh-CN"/>
              </w:rPr>
            </w:pPr>
            <w:r>
              <w:rPr>
                <w:rFonts w:hint="eastAsia" w:cs="宋体" w:asciiTheme="minorEastAsia" w:hAnsiTheme="minorEastAsia"/>
                <w:bCs/>
                <w:szCs w:val="21"/>
                <w:lang w:val="zh-CN"/>
              </w:rPr>
              <w:t>5、自然人身份证明。（自然人提供）</w:t>
            </w:r>
          </w:p>
          <w:p>
            <w:pPr>
              <w:autoSpaceDE w:val="0"/>
              <w:autoSpaceDN w:val="0"/>
              <w:adjustRightInd w:val="0"/>
              <w:spacing w:line="360" w:lineRule="auto"/>
              <w:jc w:val="left"/>
              <w:rPr>
                <w:rFonts w:cs="宋体" w:asciiTheme="minorEastAsia" w:hAnsiTheme="minorEastAsia"/>
                <w:bCs/>
                <w:szCs w:val="21"/>
                <w:lang w:val="zh-CN"/>
              </w:rPr>
            </w:pPr>
            <w:r>
              <w:rPr>
                <w:rFonts w:hint="eastAsia" w:cs="宋体" w:asciiTheme="minorEastAsia" w:hAnsiTheme="minorEastAsia"/>
                <w:bCs/>
                <w:szCs w:val="21"/>
                <w:lang w:val="zh-CN"/>
              </w:rPr>
              <w:t>6、民办非企业单位登记证书。（民办非企业单位提供）</w:t>
            </w:r>
          </w:p>
          <w:p>
            <w:pPr>
              <w:autoSpaceDE w:val="0"/>
              <w:autoSpaceDN w:val="0"/>
              <w:adjustRightInd w:val="0"/>
              <w:spacing w:line="360" w:lineRule="auto"/>
              <w:jc w:val="left"/>
              <w:rPr>
                <w:rFonts w:hint="eastAsia" w:cs="仿宋_GB2312" w:asciiTheme="minorEastAsia" w:hAnsiTheme="minorEastAsia"/>
                <w:b/>
                <w:szCs w:val="21"/>
              </w:rPr>
            </w:pPr>
            <w:r>
              <w:rPr>
                <w:rFonts w:hint="eastAsia" w:cs="仿宋_GB2312" w:asciiTheme="minorEastAsia" w:hAnsiTheme="minorEastAsia"/>
                <w:b/>
                <w:szCs w:val="21"/>
              </w:rPr>
              <w:t>二、财务状况报告相关材料</w:t>
            </w:r>
          </w:p>
          <w:p>
            <w:pPr>
              <w:autoSpaceDE w:val="0"/>
              <w:autoSpaceDN w:val="0"/>
              <w:adjustRightInd w:val="0"/>
              <w:spacing w:line="360" w:lineRule="auto"/>
              <w:jc w:val="left"/>
              <w:rPr>
                <w:rFonts w:asciiTheme="minorEastAsia" w:hAnsiTheme="minorEastAsia"/>
                <w:bCs/>
                <w:szCs w:val="21"/>
              </w:rPr>
            </w:pPr>
            <w:r>
              <w:rPr>
                <w:rFonts w:hint="eastAsia" w:asciiTheme="minorEastAsia" w:hAnsiTheme="minorEastAsia"/>
                <w:bCs/>
                <w:szCs w:val="21"/>
              </w:rPr>
              <w:t>（1）供应商是法人（法人包括企业法人、机关法人、事业单位法人和社会团体法人），提供本单位：</w:t>
            </w:r>
          </w:p>
          <w:p>
            <w:pPr>
              <w:spacing w:line="360" w:lineRule="auto"/>
              <w:rPr>
                <w:rFonts w:asciiTheme="minorEastAsia" w:hAnsiTheme="minorEastAsia"/>
                <w:bCs/>
                <w:szCs w:val="21"/>
              </w:rPr>
            </w:pPr>
            <w:r>
              <w:rPr>
                <w:rFonts w:hint="eastAsia" w:asciiTheme="minorEastAsia" w:hAnsiTheme="minorEastAsia"/>
                <w:bCs/>
                <w:szCs w:val="21"/>
              </w:rPr>
              <w:t>①2018年度经审计的财务报告，包括资产负债表、利润表、现金流量表、所有者权益变动表及其附注；</w:t>
            </w:r>
          </w:p>
          <w:p>
            <w:pPr>
              <w:spacing w:line="360" w:lineRule="auto"/>
              <w:rPr>
                <w:rFonts w:asciiTheme="minorEastAsia" w:hAnsiTheme="minorEastAsia"/>
                <w:bCs/>
                <w:szCs w:val="21"/>
              </w:rPr>
            </w:pPr>
            <w:r>
              <w:rPr>
                <w:rFonts w:hint="eastAsia" w:asciiTheme="minorEastAsia" w:hAnsiTheme="minorEastAsia"/>
                <w:bCs/>
                <w:szCs w:val="21"/>
              </w:rPr>
              <w:t>②基本开户银行出具的资信证明；</w:t>
            </w:r>
          </w:p>
          <w:p>
            <w:pPr>
              <w:spacing w:line="360" w:lineRule="auto"/>
              <w:rPr>
                <w:rFonts w:asciiTheme="minorEastAsia" w:hAnsiTheme="minorEastAsia"/>
                <w:bCs/>
                <w:szCs w:val="21"/>
              </w:rPr>
            </w:pPr>
            <w:r>
              <w:rPr>
                <w:rFonts w:hint="eastAsia" w:asciiTheme="minorEastAsia" w:hAnsiTheme="minorEastAsia"/>
                <w:bCs/>
                <w:szCs w:val="21"/>
              </w:rPr>
              <w:t>③财政部门认可的政府采购专业担保机构的证明文件和担保机构出具的投标担保函。</w:t>
            </w:r>
          </w:p>
          <w:p>
            <w:pPr>
              <w:spacing w:line="360" w:lineRule="auto"/>
              <w:rPr>
                <w:rFonts w:asciiTheme="minorEastAsia" w:hAnsiTheme="minorEastAsia"/>
                <w:bCs/>
                <w:szCs w:val="21"/>
              </w:rPr>
            </w:pPr>
            <w:r>
              <w:rPr>
                <w:rFonts w:hint="eastAsia" w:ascii="楷体" w:hAnsi="楷体" w:eastAsia="楷体" w:cs="仿宋_GB2312"/>
                <w:sz w:val="24"/>
                <w:szCs w:val="24"/>
                <w:lang w:val="zh-CN"/>
              </w:rPr>
              <w:t>注：仅需提供序号</w:t>
            </w:r>
            <w:r>
              <w:rPr>
                <w:rFonts w:hint="eastAsia" w:ascii="楷体" w:hAnsi="楷体" w:eastAsia="楷体"/>
                <w:color w:val="000000"/>
                <w:sz w:val="24"/>
                <w:szCs w:val="24"/>
              </w:rPr>
              <w:t>①～③其中之一即可。</w:t>
            </w:r>
          </w:p>
          <w:p>
            <w:pPr>
              <w:spacing w:line="360" w:lineRule="auto"/>
              <w:rPr>
                <w:rFonts w:asciiTheme="minorEastAsia" w:hAnsiTheme="minorEastAsia"/>
                <w:bCs/>
                <w:szCs w:val="21"/>
              </w:rPr>
            </w:pPr>
            <w:r>
              <w:rPr>
                <w:rFonts w:hint="eastAsia" w:asciiTheme="minorEastAsia" w:hAnsiTheme="minorEastAsia"/>
                <w:bCs/>
                <w:szCs w:val="21"/>
              </w:rPr>
              <w:t>（2）供应商（其他组织和自然人）提供本单位：</w:t>
            </w:r>
          </w:p>
          <w:p>
            <w:pPr>
              <w:spacing w:line="360" w:lineRule="auto"/>
              <w:rPr>
                <w:rFonts w:asciiTheme="minorEastAsia" w:hAnsiTheme="minorEastAsia"/>
                <w:bCs/>
                <w:szCs w:val="21"/>
              </w:rPr>
            </w:pPr>
            <w:r>
              <w:rPr>
                <w:rFonts w:hint="eastAsia" w:asciiTheme="minorEastAsia" w:hAnsiTheme="minorEastAsia"/>
                <w:bCs/>
                <w:szCs w:val="21"/>
              </w:rPr>
              <w:t>①2018年度经审计的财务报告，包括资产负债表、利润表、现金流量表、所有者权益变动表及其附注；</w:t>
            </w:r>
          </w:p>
          <w:p>
            <w:pPr>
              <w:spacing w:line="360" w:lineRule="auto"/>
              <w:rPr>
                <w:rFonts w:asciiTheme="minorEastAsia" w:hAnsiTheme="minorEastAsia"/>
                <w:bCs/>
                <w:szCs w:val="21"/>
              </w:rPr>
            </w:pPr>
            <w:r>
              <w:rPr>
                <w:rFonts w:hint="eastAsia" w:asciiTheme="minorEastAsia" w:hAnsiTheme="minorEastAsia"/>
                <w:bCs/>
                <w:szCs w:val="21"/>
              </w:rPr>
              <w:t>②银行出具的资信证明；</w:t>
            </w:r>
          </w:p>
          <w:p>
            <w:pPr>
              <w:spacing w:line="360" w:lineRule="auto"/>
              <w:rPr>
                <w:rFonts w:asciiTheme="minorEastAsia" w:hAnsiTheme="minorEastAsia"/>
                <w:bCs/>
                <w:szCs w:val="21"/>
              </w:rPr>
            </w:pPr>
            <w:r>
              <w:rPr>
                <w:rFonts w:hint="eastAsia" w:asciiTheme="minorEastAsia" w:hAnsiTheme="minorEastAsia"/>
                <w:bCs/>
                <w:szCs w:val="21"/>
              </w:rPr>
              <w:t>③财政部门认可的政府采购专业担保机构的证明文件和担保机构出具的投标担保函。</w:t>
            </w:r>
          </w:p>
          <w:p>
            <w:pPr>
              <w:autoSpaceDE w:val="0"/>
              <w:autoSpaceDN w:val="0"/>
              <w:adjustRightInd w:val="0"/>
              <w:spacing w:line="360" w:lineRule="auto"/>
              <w:ind w:right="-11"/>
              <w:rPr>
                <w:rFonts w:cs="宋体" w:asciiTheme="minorEastAsia" w:hAnsiTheme="minorEastAsia"/>
                <w:bCs/>
                <w:szCs w:val="21"/>
                <w:lang w:val="zh-CN"/>
              </w:rPr>
            </w:pPr>
            <w:r>
              <w:rPr>
                <w:rFonts w:hint="eastAsia" w:ascii="楷体" w:hAnsi="楷体" w:eastAsia="楷体" w:cs="仿宋_GB2312"/>
                <w:sz w:val="24"/>
                <w:szCs w:val="24"/>
                <w:lang w:val="zh-CN"/>
              </w:rPr>
              <w:t>注：仅需提供序号</w:t>
            </w:r>
            <w:r>
              <w:rPr>
                <w:rFonts w:hint="eastAsia" w:ascii="楷体" w:hAnsi="楷体" w:eastAsia="楷体"/>
                <w:color w:val="000000"/>
                <w:sz w:val="24"/>
                <w:szCs w:val="24"/>
              </w:rPr>
              <w:t>①～③其中之一即可。</w:t>
            </w:r>
          </w:p>
          <w:p>
            <w:pPr>
              <w:autoSpaceDE w:val="0"/>
              <w:autoSpaceDN w:val="0"/>
              <w:adjustRightInd w:val="0"/>
              <w:spacing w:line="360" w:lineRule="auto"/>
              <w:ind w:right="-11"/>
              <w:rPr>
                <w:rFonts w:cs="宋体" w:asciiTheme="minorEastAsia" w:hAnsiTheme="minorEastAsia"/>
                <w:bCs/>
                <w:szCs w:val="21"/>
                <w:lang w:val="zh-CN"/>
              </w:rPr>
            </w:pPr>
            <w:r>
              <w:rPr>
                <w:rFonts w:hint="eastAsia" w:cs="仿宋_GB2312" w:asciiTheme="minorEastAsia" w:hAnsiTheme="minorEastAsia"/>
                <w:b/>
                <w:szCs w:val="21"/>
              </w:rPr>
              <w:t>三、依法缴纳税收相关材料</w:t>
            </w:r>
          </w:p>
          <w:p>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参加本次政府采购项目谈判响应截止时间前</w:t>
            </w:r>
            <w:r>
              <w:rPr>
                <w:rFonts w:hint="eastAsia" w:cs="宋体" w:asciiTheme="minorEastAsia" w:hAnsiTheme="minorEastAsia"/>
                <w:bCs/>
                <w:szCs w:val="21"/>
                <w:lang w:val="zh-CN" w:eastAsia="zh-CN"/>
              </w:rPr>
              <w:t>三</w:t>
            </w:r>
            <w:r>
              <w:rPr>
                <w:rFonts w:hint="eastAsia" w:cs="宋体" w:asciiTheme="minorEastAsia" w:hAnsiTheme="minorEastAsia"/>
                <w:bCs/>
                <w:szCs w:val="21"/>
                <w:lang w:val="zh-CN"/>
              </w:rPr>
              <w:t>个月内任意一个月缴纳税收凭据。（依法免税的供应商，应提供相应文件证明依法免税）</w:t>
            </w:r>
          </w:p>
          <w:p>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四、依法缴纳社会保障资金的证明材料</w:t>
            </w:r>
          </w:p>
          <w:p>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参加本次政府采购项目谈判响应截止时间前三个月内任意一个月缴纳社会保险凭据。（依法不需要缴纳社会保障资金的供应商，应提供相应文件证明依法不需要缴纳社会保障资金）</w:t>
            </w:r>
          </w:p>
          <w:p>
            <w:pPr>
              <w:autoSpaceDE w:val="0"/>
              <w:autoSpaceDN w:val="0"/>
              <w:adjustRightInd w:val="0"/>
              <w:spacing w:line="360" w:lineRule="auto"/>
              <w:ind w:right="-11"/>
              <w:rPr>
                <w:rFonts w:cs="宋体" w:asciiTheme="minorEastAsia" w:hAnsiTheme="minorEastAsia"/>
                <w:b/>
                <w:bCs/>
                <w:szCs w:val="21"/>
                <w:lang w:val="zh-CN"/>
              </w:rPr>
            </w:pPr>
            <w:r>
              <w:rPr>
                <w:rFonts w:hint="eastAsia" w:cs="宋体" w:asciiTheme="minorEastAsia" w:hAnsiTheme="minorEastAsia"/>
                <w:b/>
                <w:bCs/>
                <w:szCs w:val="21"/>
                <w:lang w:val="zh-CN"/>
              </w:rPr>
              <w:t>五、履行合同所必须的设备和专业技术能力的证明材料</w:t>
            </w:r>
          </w:p>
          <w:p>
            <w:pPr>
              <w:autoSpaceDE w:val="0"/>
              <w:autoSpaceDN w:val="0"/>
              <w:adjustRightInd w:val="0"/>
              <w:spacing w:line="360" w:lineRule="auto"/>
              <w:jc w:val="left"/>
              <w:rPr>
                <w:rFonts w:cs="宋体" w:asciiTheme="minorEastAsia" w:hAnsiTheme="minorEastAsia"/>
                <w:bCs/>
                <w:szCs w:val="21"/>
                <w:lang w:val="zh-CN"/>
              </w:rPr>
            </w:pPr>
            <w:r>
              <w:rPr>
                <w:rFonts w:hint="eastAsia" w:cs="宋体" w:asciiTheme="minorEastAsia" w:hAnsiTheme="minorEastAsia"/>
                <w:bCs/>
                <w:szCs w:val="21"/>
                <w:lang w:val="zh-CN"/>
              </w:rPr>
              <w:t>①相关设备的购置发票、专业技术人员职称证书、用工合同等；</w:t>
            </w:r>
          </w:p>
          <w:p>
            <w:pPr>
              <w:spacing w:line="360" w:lineRule="auto"/>
              <w:rPr>
                <w:rFonts w:asciiTheme="minorEastAsia" w:hAnsiTheme="minorEastAsia"/>
                <w:bCs/>
                <w:szCs w:val="21"/>
              </w:rPr>
            </w:pPr>
            <w:r>
              <w:rPr>
                <w:rFonts w:hint="eastAsia" w:asciiTheme="minorEastAsia" w:hAnsiTheme="minorEastAsia"/>
                <w:bCs/>
                <w:szCs w:val="21"/>
              </w:rPr>
              <w:t>②供应商具备履行合同所必须的设备和专业技术能力承诺函或声明（承诺函或声明格式自拟）。</w:t>
            </w:r>
          </w:p>
          <w:p>
            <w:pPr>
              <w:autoSpaceDE w:val="0"/>
              <w:autoSpaceDN w:val="0"/>
              <w:adjustRightInd w:val="0"/>
              <w:spacing w:line="360" w:lineRule="auto"/>
              <w:ind w:right="-11"/>
              <w:rPr>
                <w:rFonts w:ascii="楷体" w:hAnsi="楷体" w:eastAsia="楷体"/>
                <w:color w:val="000000"/>
                <w:sz w:val="24"/>
                <w:szCs w:val="24"/>
              </w:rPr>
            </w:pPr>
            <w:r>
              <w:rPr>
                <w:rFonts w:hint="eastAsia" w:ascii="楷体" w:hAnsi="楷体" w:eastAsia="楷体" w:cs="仿宋_GB2312"/>
                <w:sz w:val="24"/>
                <w:szCs w:val="24"/>
                <w:lang w:val="zh-CN"/>
              </w:rPr>
              <w:t>注：仅需提供序号</w:t>
            </w:r>
            <w:r>
              <w:rPr>
                <w:rFonts w:hint="eastAsia" w:ascii="楷体" w:hAnsi="楷体" w:eastAsia="楷体"/>
                <w:color w:val="000000"/>
                <w:sz w:val="24"/>
                <w:szCs w:val="24"/>
              </w:rPr>
              <w:t>①～②其中之一即可。</w:t>
            </w:r>
          </w:p>
          <w:p>
            <w:pPr>
              <w:autoSpaceDE w:val="0"/>
              <w:autoSpaceDN w:val="0"/>
              <w:adjustRightInd w:val="0"/>
              <w:spacing w:line="360" w:lineRule="auto"/>
              <w:ind w:right="-11"/>
              <w:rPr>
                <w:rFonts w:cs="宋体" w:asciiTheme="minorEastAsia" w:hAnsiTheme="minorEastAsia"/>
                <w:b/>
                <w:bCs/>
                <w:szCs w:val="21"/>
                <w:lang w:val="zh-CN"/>
              </w:rPr>
            </w:pPr>
            <w:r>
              <w:rPr>
                <w:rFonts w:hint="eastAsia" w:cs="宋体" w:asciiTheme="minorEastAsia" w:hAnsiTheme="minorEastAsia"/>
                <w:b/>
                <w:kern w:val="0"/>
                <w:szCs w:val="21"/>
              </w:rPr>
              <w:t>六、</w:t>
            </w:r>
            <w:r>
              <w:rPr>
                <w:rFonts w:cs="宋体" w:asciiTheme="minorEastAsia" w:hAnsiTheme="minorEastAsia"/>
                <w:b/>
                <w:bCs/>
                <w:szCs w:val="21"/>
                <w:lang w:val="zh-CN"/>
              </w:rPr>
              <w:t>参加政府采购活动前3年内在经营活动中没有重大违法记录的声明</w:t>
            </w:r>
          </w:p>
          <w:p>
            <w:pPr>
              <w:autoSpaceDE w:val="0"/>
              <w:autoSpaceDN w:val="0"/>
              <w:spacing w:line="360" w:lineRule="auto"/>
              <w:contextualSpacing/>
              <w:jc w:val="left"/>
              <w:rPr>
                <w:rFonts w:cs="宋体" w:asciiTheme="minorEastAsia" w:hAnsiTheme="minorEastAsia"/>
                <w:bCs/>
                <w:szCs w:val="21"/>
                <w:lang w:val="zh-CN"/>
              </w:rPr>
            </w:pPr>
            <w:r>
              <w:rPr>
                <w:rFonts w:hint="eastAsia" w:cs="宋体" w:asciiTheme="minorEastAsia" w:hAnsiTheme="minorEastAsia"/>
                <w:bCs/>
                <w:szCs w:val="21"/>
                <w:lang w:val="zh-CN"/>
              </w:rPr>
              <w:t>供应商“</w:t>
            </w:r>
            <w:r>
              <w:rPr>
                <w:rFonts w:cs="宋体" w:asciiTheme="minorEastAsia" w:hAnsiTheme="minorEastAsia"/>
                <w:bCs/>
                <w:szCs w:val="21"/>
                <w:lang w:val="zh-CN"/>
              </w:rPr>
              <w:t>参加政府采购活动前3年内在经营活动中没有重大违法记录的书面声明</w:t>
            </w:r>
            <w:r>
              <w:rPr>
                <w:rFonts w:hint="eastAsia" w:cs="宋体" w:asciiTheme="minorEastAsia" w:hAnsiTheme="minorEastAsia"/>
                <w:bCs/>
                <w:szCs w:val="21"/>
                <w:lang w:val="zh-CN"/>
              </w:rPr>
              <w:t>”。 重大违法记录，是指供应商因违法经营受到刑事处罚或者责令停产停业、吊销许可证或者执照、较大数额罚款等行政处罚。</w:t>
            </w:r>
          </w:p>
          <w:p>
            <w:pPr>
              <w:autoSpaceDE w:val="0"/>
              <w:autoSpaceDN w:val="0"/>
              <w:spacing w:line="360" w:lineRule="auto"/>
              <w:contextualSpacing/>
              <w:jc w:val="left"/>
              <w:rPr>
                <w:rFonts w:cs="宋体" w:asciiTheme="minorEastAsia" w:hAnsiTheme="minorEastAsia"/>
                <w:kern w:val="0"/>
                <w:szCs w:val="21"/>
              </w:rPr>
            </w:pPr>
            <w:r>
              <w:rPr>
                <w:rFonts w:hint="eastAsia" w:cs="宋体" w:asciiTheme="minorEastAsia" w:hAnsiTheme="minorEastAsia"/>
                <w:b/>
                <w:bCs/>
                <w:szCs w:val="21"/>
                <w:lang w:val="zh-CN"/>
              </w:rPr>
              <w:t>七、</w:t>
            </w:r>
            <w:r>
              <w:rPr>
                <w:rFonts w:cs="仿宋_GB2312" w:asciiTheme="minorEastAsia" w:hAnsiTheme="minorEastAsia"/>
                <w:b/>
                <w:color w:val="000000"/>
                <w:szCs w:val="21"/>
                <w:shd w:val="clear" w:color="auto" w:fill="FFFFFF"/>
              </w:rPr>
              <w:t>未被列入“信用中国”网站(www.creditchina.gov.cn)失信被执行人、重大税收违法案件当事人名单、政府采购严重违法失信名单的</w:t>
            </w:r>
            <w:r>
              <w:rPr>
                <w:rFonts w:hint="eastAsia" w:cs="仿宋_GB2312" w:asciiTheme="minorEastAsia" w:hAnsiTheme="minorEastAsia"/>
                <w:b/>
                <w:color w:val="000000"/>
                <w:szCs w:val="21"/>
                <w:shd w:val="clear" w:color="auto" w:fill="FFFFFF"/>
              </w:rPr>
              <w:t>供应商</w:t>
            </w:r>
            <w:r>
              <w:rPr>
                <w:rFonts w:cs="仿宋_GB2312" w:asciiTheme="minorEastAsia" w:hAnsiTheme="minorEastAsia"/>
                <w:b/>
                <w:color w:val="000000"/>
                <w:szCs w:val="21"/>
                <w:shd w:val="clear" w:color="auto" w:fill="FFFFFF"/>
              </w:rPr>
              <w:t>；</w:t>
            </w:r>
            <w:r>
              <w:rPr>
                <w:rFonts w:hint="eastAsia" w:cs="仿宋_GB2312" w:asciiTheme="minorEastAsia" w:hAnsiTheme="minorEastAsia"/>
                <w:b/>
                <w:color w:val="000000"/>
                <w:szCs w:val="21"/>
                <w:shd w:val="clear" w:color="auto" w:fill="FFFFFF"/>
              </w:rPr>
              <w:t>“</w:t>
            </w:r>
            <w:r>
              <w:rPr>
                <w:rFonts w:cs="仿宋_GB2312" w:asciiTheme="minorEastAsia" w:hAnsiTheme="minorEastAsia"/>
                <w:b/>
                <w:color w:val="000000"/>
                <w:szCs w:val="21"/>
                <w:shd w:val="clear" w:color="auto" w:fill="FFFFFF"/>
              </w:rPr>
              <w:t>中国政府采购网</w:t>
            </w:r>
            <w:r>
              <w:rPr>
                <w:rFonts w:hint="eastAsia" w:cs="仿宋_GB2312" w:asciiTheme="minorEastAsia" w:hAnsiTheme="minorEastAsia"/>
                <w:b/>
                <w:color w:val="000000"/>
                <w:szCs w:val="21"/>
                <w:shd w:val="clear" w:color="auto" w:fill="FFFFFF"/>
              </w:rPr>
              <w:t>”</w:t>
            </w:r>
            <w:r>
              <w:rPr>
                <w:rFonts w:cs="仿宋_GB2312" w:asciiTheme="minorEastAsia" w:hAnsiTheme="minorEastAsia"/>
                <w:b/>
                <w:color w:val="000000"/>
                <w:szCs w:val="21"/>
                <w:shd w:val="clear" w:color="auto" w:fill="FFFFFF"/>
              </w:rPr>
              <w:t xml:space="preserve"> (www.ccgp.gov.cn)政府采购严重违法失信行为记录名单的</w:t>
            </w:r>
            <w:r>
              <w:rPr>
                <w:rFonts w:hint="eastAsia" w:cs="仿宋_GB2312" w:asciiTheme="minorEastAsia" w:hAnsiTheme="minorEastAsia"/>
                <w:b/>
                <w:color w:val="000000"/>
                <w:szCs w:val="21"/>
                <w:shd w:val="clear" w:color="auto" w:fill="FFFFFF"/>
              </w:rPr>
              <w:t>供应商</w:t>
            </w:r>
            <w:r>
              <w:rPr>
                <w:rFonts w:hint="eastAsia" w:cs="宋体" w:asciiTheme="minorEastAsia" w:hAnsiTheme="minorEastAsia"/>
                <w:b/>
                <w:bCs/>
                <w:szCs w:val="21"/>
                <w:lang w:val="zh-CN"/>
              </w:rPr>
              <w:t>；</w:t>
            </w:r>
            <w:r>
              <w:rPr>
                <w:rFonts w:hint="eastAsia" w:cs="仿宋_GB2312" w:asciiTheme="minorEastAsia" w:hAnsiTheme="minorEastAsia"/>
                <w:b/>
                <w:color w:val="000000"/>
                <w:szCs w:val="21"/>
                <w:shd w:val="clear" w:color="auto" w:fill="FFFFFF"/>
              </w:rPr>
              <w:t>“国家企业信用公示系统”网站（</w:t>
            </w:r>
            <w:r>
              <w:rPr>
                <w:rFonts w:cs="仿宋_GB2312" w:asciiTheme="minorEastAsia" w:hAnsiTheme="minorEastAsia"/>
                <w:b/>
                <w:color w:val="000000"/>
                <w:szCs w:val="21"/>
                <w:shd w:val="clear" w:color="auto" w:fill="FFFFFF"/>
              </w:rPr>
              <w:t>www.gsxt.gov.cn</w:t>
            </w:r>
            <w:r>
              <w:rPr>
                <w:rFonts w:hint="eastAsia" w:cs="仿宋_GB2312" w:asciiTheme="minorEastAsia" w:hAnsiTheme="minorEastAsia"/>
                <w:b/>
                <w:color w:val="000000"/>
                <w:szCs w:val="21"/>
                <w:shd w:val="clear" w:color="auto" w:fill="FFFFFF"/>
              </w:rPr>
              <w:t>）严重违法失信企业名单（黑名单）的供应商；“中国社会组织公共服务平台”网站（</w:t>
            </w:r>
            <w:r>
              <w:rPr>
                <w:rFonts w:cs="仿宋_GB2312" w:asciiTheme="minorEastAsia" w:hAnsiTheme="minorEastAsia"/>
                <w:b/>
                <w:color w:val="000000"/>
                <w:szCs w:val="21"/>
                <w:shd w:val="clear" w:color="auto" w:fill="FFFFFF"/>
              </w:rPr>
              <w:t>www.chinanpo.gov.cn</w:t>
            </w:r>
            <w:r>
              <w:rPr>
                <w:rFonts w:hint="eastAsia" w:cs="仿宋_GB2312" w:asciiTheme="minorEastAsia" w:hAnsiTheme="minorEastAsia"/>
                <w:b/>
                <w:color w:val="000000"/>
                <w:szCs w:val="21"/>
                <w:shd w:val="clear" w:color="auto" w:fill="FFFFFF"/>
              </w:rPr>
              <w:t>）严重违法失信社会组织名单的供应商（</w:t>
            </w:r>
            <w:r>
              <w:rPr>
                <w:rFonts w:hint="eastAsia" w:cs="宋体" w:asciiTheme="minorEastAsia" w:hAnsiTheme="minorEastAsia"/>
                <w:kern w:val="0"/>
                <w:szCs w:val="21"/>
              </w:rPr>
              <w:t>联合体形式响应的，联合体成员存在不良信用记录，视同联合体存在不良信用记录）。</w:t>
            </w:r>
          </w:p>
          <w:p>
            <w:pPr>
              <w:spacing w:line="360" w:lineRule="auto"/>
              <w:rPr>
                <w:rFonts w:cs="宋体" w:asciiTheme="minorEastAsia" w:hAnsiTheme="minorEastAsia"/>
                <w:kern w:val="0"/>
                <w:szCs w:val="21"/>
              </w:rPr>
            </w:pPr>
            <w:r>
              <w:rPr>
                <w:rFonts w:hint="eastAsia" w:cs="宋体" w:asciiTheme="minorEastAsia" w:hAnsiTheme="minorEastAsia"/>
                <w:kern w:val="0"/>
                <w:szCs w:val="21"/>
              </w:rPr>
              <w:t>1、查询渠道：</w:t>
            </w:r>
          </w:p>
          <w:p>
            <w:pPr>
              <w:spacing w:line="360" w:lineRule="auto"/>
              <w:rPr>
                <w:rFonts w:cs="宋体" w:asciiTheme="minorEastAsia" w:hAnsiTheme="minorEastAsia"/>
                <w:kern w:val="0"/>
                <w:szCs w:val="21"/>
              </w:rPr>
            </w:pPr>
            <w:r>
              <w:rPr>
                <w:rFonts w:hint="eastAsia" w:cs="宋体" w:asciiTheme="minorEastAsia" w:hAnsiTheme="minorEastAsia"/>
                <w:kern w:val="0"/>
                <w:szCs w:val="21"/>
              </w:rPr>
              <w:t>①“信用中国”网站（</w:t>
            </w:r>
            <w:r>
              <w:fldChar w:fldCharType="begin"/>
            </w:r>
            <w:r>
              <w:instrText xml:space="preserve"> HYPERLINK "http://www.creditchina.gov.cn" </w:instrText>
            </w:r>
            <w:r>
              <w:fldChar w:fldCharType="separate"/>
            </w:r>
            <w:r>
              <w:rPr>
                <w:rFonts w:hint="eastAsia" w:cs="宋体"/>
                <w:kern w:val="0"/>
              </w:rPr>
              <w:t>www.creditchina.gov.cn</w:t>
            </w:r>
            <w:r>
              <w:rPr>
                <w:rFonts w:hint="eastAsia" w:cs="宋体"/>
                <w:kern w:val="0"/>
              </w:rPr>
              <w:fldChar w:fldCharType="end"/>
            </w:r>
            <w:r>
              <w:rPr>
                <w:rFonts w:hint="eastAsia" w:cs="宋体" w:asciiTheme="minorEastAsia" w:hAnsiTheme="minorEastAsia"/>
                <w:kern w:val="0"/>
                <w:szCs w:val="21"/>
              </w:rPr>
              <w:t>）</w:t>
            </w:r>
          </w:p>
          <w:p>
            <w:pPr>
              <w:spacing w:line="360" w:lineRule="auto"/>
              <w:rPr>
                <w:rFonts w:cs="宋体" w:asciiTheme="minorEastAsia" w:hAnsiTheme="minorEastAsia"/>
                <w:kern w:val="0"/>
                <w:szCs w:val="21"/>
              </w:rPr>
            </w:pPr>
            <w:r>
              <w:rPr>
                <w:rFonts w:hint="eastAsia" w:cs="宋体" w:asciiTheme="minorEastAsia" w:hAnsiTheme="minorEastAsia"/>
                <w:kern w:val="0"/>
                <w:szCs w:val="21"/>
              </w:rPr>
              <w:t>②“中国政府采购网”（www.ccgp.gov.cn）</w:t>
            </w:r>
          </w:p>
          <w:p>
            <w:pPr>
              <w:spacing w:line="360" w:lineRule="auto"/>
              <w:rPr>
                <w:rFonts w:cs="宋体" w:asciiTheme="minorEastAsia" w:hAnsiTheme="minorEastAsia"/>
                <w:kern w:val="0"/>
                <w:szCs w:val="21"/>
              </w:rPr>
            </w:pPr>
            <w:r>
              <w:rPr>
                <w:rFonts w:hint="eastAsia" w:cs="宋体" w:asciiTheme="minorEastAsia" w:hAnsiTheme="minorEastAsia"/>
                <w:kern w:val="0"/>
                <w:szCs w:val="21"/>
              </w:rPr>
              <w:t>③“国家企业信用公示系统”网站（</w:t>
            </w:r>
            <w:r>
              <w:fldChar w:fldCharType="begin"/>
            </w:r>
            <w:r>
              <w:instrText xml:space="preserve"> HYPERLINK "http://www.gsxt.gov.cn" </w:instrText>
            </w:r>
            <w:r>
              <w:fldChar w:fldCharType="separate"/>
            </w:r>
            <w:r>
              <w:rPr>
                <w:rFonts w:cs="宋体"/>
                <w:kern w:val="0"/>
              </w:rPr>
              <w:t>www.gsxt.gov.cn</w:t>
            </w:r>
            <w:r>
              <w:rPr>
                <w:rFonts w:cs="宋体"/>
                <w:kern w:val="0"/>
              </w:rPr>
              <w:fldChar w:fldCharType="end"/>
            </w:r>
            <w:r>
              <w:rPr>
                <w:rFonts w:hint="eastAsia" w:cs="宋体" w:asciiTheme="minorEastAsia" w:hAnsiTheme="minorEastAsia"/>
                <w:kern w:val="0"/>
                <w:szCs w:val="21"/>
              </w:rPr>
              <w:t>）</w:t>
            </w:r>
          </w:p>
          <w:p>
            <w:pPr>
              <w:spacing w:line="360" w:lineRule="auto"/>
              <w:rPr>
                <w:rFonts w:cs="宋体" w:asciiTheme="minorEastAsia" w:hAnsiTheme="minorEastAsia"/>
                <w:kern w:val="0"/>
                <w:szCs w:val="21"/>
              </w:rPr>
            </w:pPr>
            <w:r>
              <w:rPr>
                <w:rFonts w:hint="eastAsia" w:cs="宋体" w:asciiTheme="minorEastAsia" w:hAnsiTheme="minorEastAsia"/>
                <w:kern w:val="0"/>
                <w:szCs w:val="21"/>
              </w:rPr>
              <w:t>④“中国社会组织公共服务平台”网站（</w:t>
            </w:r>
            <w:r>
              <w:rPr>
                <w:rFonts w:cs="宋体" w:asciiTheme="minorEastAsia" w:hAnsiTheme="minorEastAsia"/>
                <w:kern w:val="0"/>
                <w:szCs w:val="21"/>
              </w:rPr>
              <w:t>www.chinanpo.gov.cn</w:t>
            </w:r>
            <w:r>
              <w:rPr>
                <w:rFonts w:hint="eastAsia" w:cs="宋体" w:asciiTheme="minorEastAsia" w:hAnsiTheme="minorEastAsia"/>
                <w:kern w:val="0"/>
                <w:szCs w:val="21"/>
              </w:rPr>
              <w:t>）（仅查询社会组织）；</w:t>
            </w:r>
          </w:p>
          <w:p>
            <w:pPr>
              <w:autoSpaceDE w:val="0"/>
              <w:autoSpaceDN w:val="0"/>
              <w:spacing w:line="360" w:lineRule="auto"/>
              <w:contextualSpacing/>
              <w:rPr>
                <w:rFonts w:cs="宋体" w:asciiTheme="minorEastAsia" w:hAnsiTheme="minorEastAsia"/>
                <w:kern w:val="0"/>
                <w:szCs w:val="21"/>
              </w:rPr>
            </w:pPr>
            <w:r>
              <w:rPr>
                <w:rFonts w:hint="eastAsia" w:cs="宋体" w:asciiTheme="minorEastAsia" w:hAnsiTheme="minorEastAsia"/>
                <w:kern w:val="0"/>
                <w:szCs w:val="21"/>
              </w:rPr>
              <w:t>2、截止时间：同谈判响应截止时间；</w:t>
            </w:r>
          </w:p>
          <w:p>
            <w:pPr>
              <w:autoSpaceDE w:val="0"/>
              <w:autoSpaceDN w:val="0"/>
              <w:spacing w:line="360" w:lineRule="auto"/>
              <w:contextualSpacing/>
              <w:rPr>
                <w:rFonts w:cs="宋体" w:asciiTheme="minorEastAsia" w:hAnsiTheme="minorEastAsia"/>
                <w:kern w:val="0"/>
                <w:szCs w:val="21"/>
              </w:rPr>
            </w:pPr>
            <w:r>
              <w:rPr>
                <w:rFonts w:hint="eastAsia" w:cs="宋体" w:asciiTheme="minorEastAsia" w:hAnsiTheme="minorEastAsia"/>
                <w:kern w:val="0"/>
                <w:szCs w:val="21"/>
              </w:rPr>
              <w:t>3、信用信息查询记录和证据留存具体方式：经谈判小组确认的查询结果网页截图作为查询记录和证据，与其他采购文件一并保存；</w:t>
            </w:r>
          </w:p>
          <w:p>
            <w:pPr>
              <w:autoSpaceDE w:val="0"/>
              <w:autoSpaceDN w:val="0"/>
              <w:spacing w:line="360" w:lineRule="auto"/>
              <w:contextualSpacing/>
              <w:rPr>
                <w:rFonts w:cs="宋体" w:asciiTheme="minorEastAsia" w:hAnsiTheme="minorEastAsia"/>
                <w:kern w:val="0"/>
                <w:szCs w:val="21"/>
              </w:rPr>
            </w:pPr>
            <w:r>
              <w:rPr>
                <w:rFonts w:hint="eastAsia" w:cs="宋体" w:asciiTheme="minorEastAsia" w:hAnsiTheme="minorEastAsia"/>
                <w:kern w:val="0"/>
                <w:szCs w:val="21"/>
              </w:rPr>
              <w:t>4、信用信息的使用原则：经谈判小组认定的被列入失信被执行人、重大税收违法案件当事人名单、政府采购严重违法失信行为记录名单的供应商、严重违法失信企业名单（黑名单）、严重违法失信社会组织名单的供应商，将拒绝其参与本次政府采购活动。</w:t>
            </w:r>
          </w:p>
          <w:p>
            <w:pPr>
              <w:autoSpaceDE w:val="0"/>
              <w:autoSpaceDN w:val="0"/>
              <w:spacing w:line="360" w:lineRule="auto"/>
              <w:contextualSpacing/>
              <w:rPr>
                <w:rFonts w:hint="default" w:cs="宋体" w:asciiTheme="minorEastAsia" w:hAnsiTheme="minorEastAsia"/>
                <w:kern w:val="0"/>
                <w:szCs w:val="21"/>
                <w:lang w:val="en-US" w:eastAsia="zh-CN"/>
              </w:rPr>
            </w:pPr>
            <w:r>
              <w:rPr>
                <w:rFonts w:hint="eastAsia" w:cs="宋体" w:asciiTheme="minorEastAsia" w:hAnsiTheme="minorEastAsia"/>
                <w:kern w:val="0"/>
                <w:szCs w:val="21"/>
              </w:rPr>
              <w:t>5、供应商不良信用记录以谈判小组查询结果为准，谈判小组查询之后，网站信息发生的任何变更不再作为评审依据，供应商自行提供的与网站信息不一致的其他证明材料亦不作为评审依据。</w:t>
            </w:r>
          </w:p>
          <w:p>
            <w:pPr>
              <w:autoSpaceDE w:val="0"/>
              <w:autoSpaceDN w:val="0"/>
              <w:spacing w:line="360" w:lineRule="auto"/>
              <w:contextualSpacing/>
              <w:rPr>
                <w:rFonts w:cs="仿宋_GB2312" w:asciiTheme="minorEastAsia" w:hAnsiTheme="minorEastAsia"/>
                <w:szCs w:val="21"/>
              </w:rPr>
            </w:pPr>
            <w:r>
              <w:rPr>
                <w:rFonts w:hint="eastAsia" w:cs="宋体" w:asciiTheme="minorEastAsia" w:hAnsiTheme="minorEastAsia"/>
                <w:kern w:val="0"/>
                <w:szCs w:val="21"/>
                <w:lang w:eastAsia="zh-CN"/>
              </w:rPr>
              <w:t>八</w:t>
            </w:r>
            <w:r>
              <w:rPr>
                <w:rFonts w:hint="eastAsia" w:cs="宋体" w:asciiTheme="minorEastAsia" w:hAnsiTheme="minorEastAsia"/>
                <w:kern w:val="0"/>
                <w:szCs w:val="21"/>
              </w:rPr>
              <w:t>、被委托人是须是本单位职工，须提供公司为本人缴纳社会保险证明；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5</w:t>
            </w:r>
          </w:p>
        </w:tc>
        <w:tc>
          <w:tcPr>
            <w:tcW w:w="2268" w:type="dxa"/>
            <w:vAlign w:val="center"/>
          </w:tcPr>
          <w:p>
            <w:pPr>
              <w:autoSpaceDE w:val="0"/>
              <w:autoSpaceDN w:val="0"/>
              <w:adjustRightInd w:val="0"/>
              <w:spacing w:line="276" w:lineRule="auto"/>
              <w:jc w:val="center"/>
              <w:rPr>
                <w:rFonts w:cs="宋体" w:asciiTheme="minorEastAsia" w:hAnsiTheme="minorEastAsia"/>
                <w:bCs/>
                <w:szCs w:val="21"/>
                <w:lang w:val="zh-CN"/>
              </w:rPr>
            </w:pPr>
            <w:r>
              <w:rPr>
                <w:rFonts w:hint="eastAsia" w:cs="微软雅黑" w:asciiTheme="minorEastAsia" w:hAnsiTheme="minorEastAsia"/>
                <w:b/>
                <w:color w:val="FF0000"/>
                <w:szCs w:val="21"/>
              </w:rPr>
              <w:t>★</w:t>
            </w:r>
            <w:r>
              <w:rPr>
                <w:rFonts w:hint="eastAsia" w:cs="宋体" w:asciiTheme="minorEastAsia" w:hAnsiTheme="minorEastAsia"/>
                <w:bCs/>
                <w:szCs w:val="21"/>
                <w:lang w:val="zh-CN"/>
              </w:rPr>
              <w:t>联合体响应</w:t>
            </w:r>
          </w:p>
        </w:tc>
        <w:tc>
          <w:tcPr>
            <w:tcW w:w="6813" w:type="dxa"/>
            <w:vAlign w:val="center"/>
          </w:tcPr>
          <w:p>
            <w:pPr>
              <w:autoSpaceDE w:val="0"/>
              <w:autoSpaceDN w:val="0"/>
              <w:adjustRightInd w:val="0"/>
              <w:spacing w:line="276" w:lineRule="auto"/>
              <w:rPr>
                <w:rFonts w:cs="宋体" w:asciiTheme="minorEastAsia" w:hAnsiTheme="minorEastAsia"/>
                <w:bCs/>
                <w:szCs w:val="21"/>
                <w:lang w:val="zh-CN"/>
              </w:rPr>
            </w:pPr>
            <w:r>
              <w:rPr>
                <w:rFonts w:hint="eastAsia" w:cs="宋体" w:asciiTheme="minorEastAsia" w:hAnsiTheme="minorEastAsia"/>
                <w:kern w:val="0"/>
                <w:szCs w:val="21"/>
              </w:rPr>
              <w:t>本项目</w:t>
            </w:r>
            <w:r>
              <w:rPr>
                <w:rFonts w:hint="eastAsia" w:cs="宋体" w:asciiTheme="minorEastAsia" w:hAnsiTheme="minorEastAsia"/>
                <w:kern w:val="0"/>
                <w:szCs w:val="21"/>
                <w:lang w:val="en-US" w:eastAsia="zh-CN"/>
              </w:rPr>
              <w:t xml:space="preserve"> </w:t>
            </w:r>
            <w:r>
              <w:rPr>
                <w:rFonts w:cs="宋体" w:asciiTheme="minorEastAsia" w:hAnsiTheme="minorEastAsia"/>
                <w:b/>
                <w:color w:val="000000"/>
                <w:kern w:val="0"/>
                <w:szCs w:val="21"/>
                <w:lang w:val="zh-CN"/>
              </w:rPr>
              <w:fldChar w:fldCharType="begin"/>
            </w:r>
            <w:r>
              <w:rPr>
                <w:rFonts w:hint="eastAsia" w:cs="宋体" w:asciiTheme="minorEastAsia" w:hAnsiTheme="minorEastAsia"/>
                <w:b/>
                <w:color w:val="000000"/>
                <w:kern w:val="0"/>
                <w:szCs w:val="21"/>
                <w:lang w:val="zh-CN"/>
              </w:rPr>
              <w:instrText xml:space="preserve">eq \o\ac(□,</w:instrText>
            </w:r>
            <w:r>
              <w:rPr>
                <w:rFonts w:hint="eastAsia" w:cs="宋体" w:asciiTheme="minorEastAsia" w:hAnsiTheme="minorEastAsia"/>
                <w:b/>
                <w:color w:val="000000"/>
                <w:kern w:val="0"/>
                <w:position w:val="2"/>
                <w:szCs w:val="21"/>
                <w:lang w:val="zh-CN"/>
              </w:rPr>
              <w:instrText xml:space="preserve">√</w:instrText>
            </w:r>
            <w:r>
              <w:rPr>
                <w:rFonts w:hint="eastAsia" w:cs="宋体" w:asciiTheme="minorEastAsia" w:hAnsiTheme="minorEastAsia"/>
                <w:b/>
                <w:color w:val="000000"/>
                <w:kern w:val="0"/>
                <w:szCs w:val="21"/>
                <w:lang w:val="zh-CN"/>
              </w:rPr>
              <w:instrText xml:space="preserve">)</w:instrText>
            </w:r>
            <w:r>
              <w:rPr>
                <w:rFonts w:cs="宋体" w:asciiTheme="minorEastAsia" w:hAnsiTheme="minorEastAsia"/>
                <w:b/>
                <w:color w:val="000000"/>
                <w:kern w:val="0"/>
                <w:szCs w:val="21"/>
                <w:lang w:val="zh-CN"/>
              </w:rPr>
              <w:fldChar w:fldCharType="end"/>
            </w:r>
            <w:r>
              <w:rPr>
                <w:rFonts w:hint="eastAsia" w:cs="宋体" w:asciiTheme="minorEastAsia" w:hAnsiTheme="minorEastAsia"/>
                <w:kern w:val="0"/>
                <w:szCs w:val="21"/>
              </w:rPr>
              <w:t>不接受</w:t>
            </w:r>
            <w:r>
              <w:rPr>
                <w:rFonts w:hint="eastAsia" w:cs="宋体" w:asciiTheme="minorEastAsia" w:hAnsiTheme="minorEastAsia"/>
                <w:bCs/>
                <w:szCs w:val="21"/>
                <w:lang w:val="zh-CN"/>
              </w:rPr>
              <w:t>□接受</w:t>
            </w:r>
            <w:r>
              <w:rPr>
                <w:rFonts w:hint="eastAsia" w:cs="宋体" w:asciiTheme="minorEastAsia" w:hAnsiTheme="minorEastAsia"/>
                <w:kern w:val="0"/>
                <w:szCs w:val="21"/>
              </w:rPr>
              <w:t>联合体响应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6</w:t>
            </w:r>
          </w:p>
        </w:tc>
        <w:tc>
          <w:tcPr>
            <w:tcW w:w="2268" w:type="dxa"/>
            <w:vAlign w:val="center"/>
          </w:tcPr>
          <w:p>
            <w:pPr>
              <w:autoSpaceDE w:val="0"/>
              <w:autoSpaceDN w:val="0"/>
              <w:adjustRightInd w:val="0"/>
              <w:spacing w:line="276" w:lineRule="auto"/>
              <w:jc w:val="center"/>
              <w:rPr>
                <w:rFonts w:cs="宋体" w:asciiTheme="minorEastAsia" w:hAnsiTheme="minorEastAsia"/>
                <w:bCs/>
                <w:szCs w:val="21"/>
                <w:lang w:val="zh-CN"/>
              </w:rPr>
            </w:pPr>
            <w:r>
              <w:rPr>
                <w:rFonts w:hint="eastAsia" w:cs="微软雅黑" w:asciiTheme="minorEastAsia" w:hAnsiTheme="minorEastAsia"/>
                <w:b/>
                <w:color w:val="FF0000"/>
                <w:szCs w:val="21"/>
              </w:rPr>
              <w:t>★</w:t>
            </w:r>
            <w:r>
              <w:rPr>
                <w:rFonts w:hint="eastAsia" w:cs="宋体" w:asciiTheme="minorEastAsia" w:hAnsiTheme="minorEastAsia"/>
                <w:bCs/>
                <w:szCs w:val="21"/>
                <w:lang w:val="zh-CN"/>
              </w:rPr>
              <w:t>预算金额</w:t>
            </w:r>
          </w:p>
        </w:tc>
        <w:tc>
          <w:tcPr>
            <w:tcW w:w="6813" w:type="dxa"/>
            <w:vAlign w:val="center"/>
          </w:tcPr>
          <w:p>
            <w:pPr>
              <w:autoSpaceDE w:val="0"/>
              <w:autoSpaceDN w:val="0"/>
              <w:adjustRightInd w:val="0"/>
              <w:spacing w:line="276" w:lineRule="auto"/>
              <w:rPr>
                <w:rFonts w:cs="宋体" w:asciiTheme="minorEastAsia" w:hAnsiTheme="minorEastAsia"/>
                <w:bCs/>
                <w:szCs w:val="21"/>
                <w:lang w:val="zh-CN"/>
              </w:rPr>
            </w:pPr>
            <w:r>
              <w:rPr>
                <w:rFonts w:hint="eastAsia" w:cs="宋体" w:asciiTheme="minorEastAsia" w:hAnsiTheme="minorEastAsia"/>
                <w:bCs/>
                <w:szCs w:val="21"/>
                <w:lang w:val="en-US" w:eastAsia="zh-CN"/>
              </w:rPr>
              <w:t>49</w:t>
            </w:r>
            <w:r>
              <w:rPr>
                <w:rFonts w:hint="eastAsia" w:cs="宋体" w:asciiTheme="minorEastAsia" w:hAnsiTheme="minorEastAsia"/>
                <w:bCs/>
                <w:szCs w:val="21"/>
              </w:rPr>
              <w:t>万</w:t>
            </w:r>
            <w:r>
              <w:rPr>
                <w:rFonts w:hint="eastAsia" w:cs="宋体" w:asciiTheme="minorEastAsia" w:hAnsiTheme="minorEastAsia"/>
                <w:bCs/>
                <w:szCs w:val="21"/>
                <w:lang w:val="zh-CN"/>
              </w:rPr>
              <w:t>元，超出预算金额的响应无效。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7</w:t>
            </w:r>
          </w:p>
        </w:tc>
        <w:tc>
          <w:tcPr>
            <w:tcW w:w="2268" w:type="dxa"/>
            <w:vAlign w:val="center"/>
          </w:tcPr>
          <w:p>
            <w:pPr>
              <w:autoSpaceDE w:val="0"/>
              <w:autoSpaceDN w:val="0"/>
              <w:adjustRightInd w:val="0"/>
              <w:spacing w:line="276" w:lineRule="auto"/>
              <w:jc w:val="center"/>
              <w:rPr>
                <w:rFonts w:cs="宋体" w:asciiTheme="minorEastAsia" w:hAnsiTheme="minorEastAsia"/>
                <w:bCs/>
                <w:szCs w:val="21"/>
                <w:lang w:val="zh-CN"/>
              </w:rPr>
            </w:pPr>
            <w:r>
              <w:rPr>
                <w:rFonts w:cs="宋体" w:asciiTheme="minorEastAsia" w:hAnsiTheme="minorEastAsia"/>
                <w:bCs/>
                <w:szCs w:val="21"/>
                <w:lang w:val="zh-CN"/>
              </w:rPr>
              <w:t>现场考察</w:t>
            </w:r>
          </w:p>
        </w:tc>
        <w:tc>
          <w:tcPr>
            <w:tcW w:w="6813" w:type="dxa"/>
            <w:vAlign w:val="center"/>
          </w:tcPr>
          <w:p>
            <w:pPr>
              <w:autoSpaceDE w:val="0"/>
              <w:autoSpaceDN w:val="0"/>
              <w:adjustRightInd w:val="0"/>
              <w:spacing w:line="360" w:lineRule="auto"/>
              <w:rPr>
                <w:rFonts w:cs="宋体" w:asciiTheme="minorEastAsia" w:hAnsiTheme="minorEastAsia"/>
                <w:color w:val="000000"/>
                <w:kern w:val="0"/>
                <w:szCs w:val="21"/>
                <w:lang w:val="zh-CN"/>
              </w:rPr>
            </w:pPr>
            <w:r>
              <w:rPr>
                <w:rFonts w:cs="宋体" w:asciiTheme="minorEastAsia" w:hAnsiTheme="minorEastAsia"/>
                <w:b/>
                <w:color w:val="000000"/>
                <w:kern w:val="0"/>
                <w:szCs w:val="21"/>
                <w:lang w:val="zh-CN"/>
              </w:rPr>
              <w:fldChar w:fldCharType="begin"/>
            </w:r>
            <w:r>
              <w:rPr>
                <w:rFonts w:hint="eastAsia" w:cs="宋体" w:asciiTheme="minorEastAsia" w:hAnsiTheme="minorEastAsia"/>
                <w:b/>
                <w:color w:val="000000"/>
                <w:kern w:val="0"/>
                <w:szCs w:val="21"/>
                <w:lang w:val="zh-CN"/>
              </w:rPr>
              <w:instrText xml:space="preserve">eq \o\ac(□,</w:instrText>
            </w:r>
            <w:r>
              <w:rPr>
                <w:rFonts w:hint="eastAsia" w:cs="宋体" w:asciiTheme="minorEastAsia" w:hAnsiTheme="minorEastAsia"/>
                <w:b/>
                <w:color w:val="000000"/>
                <w:kern w:val="0"/>
                <w:position w:val="2"/>
                <w:szCs w:val="21"/>
                <w:lang w:val="zh-CN"/>
              </w:rPr>
              <w:instrText xml:space="preserve">√</w:instrText>
            </w:r>
            <w:r>
              <w:rPr>
                <w:rFonts w:hint="eastAsia" w:cs="宋体" w:asciiTheme="minorEastAsia" w:hAnsiTheme="minorEastAsia"/>
                <w:b/>
                <w:color w:val="000000"/>
                <w:kern w:val="0"/>
                <w:szCs w:val="21"/>
                <w:lang w:val="zh-CN"/>
              </w:rPr>
              <w:instrText xml:space="preserve">)</w:instrText>
            </w:r>
            <w:r>
              <w:rPr>
                <w:rFonts w:cs="宋体" w:asciiTheme="minorEastAsia" w:hAnsiTheme="minorEastAsia"/>
                <w:b/>
                <w:color w:val="000000"/>
                <w:kern w:val="0"/>
                <w:szCs w:val="21"/>
                <w:lang w:val="zh-CN"/>
              </w:rPr>
              <w:fldChar w:fldCharType="end"/>
            </w:r>
            <w:r>
              <w:rPr>
                <w:rFonts w:hint="eastAsia" w:cs="宋体" w:asciiTheme="minorEastAsia" w:hAnsiTheme="minorEastAsia"/>
                <w:bCs/>
                <w:szCs w:val="21"/>
                <w:lang w:val="zh-CN"/>
              </w:rPr>
              <w:t>不组织</w:t>
            </w:r>
          </w:p>
          <w:p>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
                <w:bCs/>
                <w:szCs w:val="21"/>
                <w:lang w:val="zh-CN"/>
              </w:rPr>
              <w:t>□</w:t>
            </w:r>
            <w:r>
              <w:rPr>
                <w:rFonts w:hint="eastAsia" w:cs="宋体" w:asciiTheme="minorEastAsia" w:hAnsiTheme="minorEastAsia"/>
                <w:bCs/>
                <w:szCs w:val="21"/>
                <w:lang w:val="zh-CN"/>
              </w:rPr>
              <w:t>组织，时间：      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8</w:t>
            </w:r>
          </w:p>
        </w:tc>
        <w:tc>
          <w:tcPr>
            <w:tcW w:w="2268" w:type="dxa"/>
            <w:vAlign w:val="center"/>
          </w:tcPr>
          <w:p>
            <w:pPr>
              <w:autoSpaceDE w:val="0"/>
              <w:autoSpaceDN w:val="0"/>
              <w:adjustRightInd w:val="0"/>
              <w:spacing w:line="276" w:lineRule="auto"/>
              <w:jc w:val="center"/>
              <w:rPr>
                <w:rFonts w:cs="宋体" w:asciiTheme="minorEastAsia" w:hAnsiTheme="minorEastAsia"/>
                <w:bCs/>
                <w:szCs w:val="21"/>
                <w:lang w:val="zh-CN"/>
              </w:rPr>
            </w:pPr>
            <w:r>
              <w:rPr>
                <w:rFonts w:hint="eastAsia" w:cs="宋体" w:asciiTheme="minorEastAsia" w:hAnsiTheme="minorEastAsia"/>
                <w:bCs/>
                <w:szCs w:val="21"/>
                <w:lang w:val="zh-CN"/>
              </w:rPr>
              <w:t>谈判</w:t>
            </w:r>
            <w:r>
              <w:rPr>
                <w:rFonts w:cs="宋体" w:asciiTheme="minorEastAsia" w:hAnsiTheme="minorEastAsia"/>
                <w:bCs/>
                <w:szCs w:val="21"/>
                <w:lang w:val="zh-CN"/>
              </w:rPr>
              <w:t>前答疑会</w:t>
            </w:r>
          </w:p>
        </w:tc>
        <w:tc>
          <w:tcPr>
            <w:tcW w:w="6813" w:type="dxa"/>
            <w:vAlign w:val="center"/>
          </w:tcPr>
          <w:p>
            <w:pPr>
              <w:autoSpaceDE w:val="0"/>
              <w:autoSpaceDN w:val="0"/>
              <w:adjustRightInd w:val="0"/>
              <w:spacing w:line="360" w:lineRule="auto"/>
              <w:rPr>
                <w:rFonts w:cs="宋体" w:asciiTheme="minorEastAsia" w:hAnsiTheme="minorEastAsia"/>
                <w:color w:val="000000"/>
                <w:kern w:val="0"/>
                <w:szCs w:val="21"/>
                <w:lang w:val="zh-CN"/>
              </w:rPr>
            </w:pPr>
            <w:r>
              <w:rPr>
                <w:rFonts w:cs="宋体" w:asciiTheme="minorEastAsia" w:hAnsiTheme="minorEastAsia"/>
                <w:b/>
                <w:color w:val="000000"/>
                <w:kern w:val="0"/>
                <w:szCs w:val="21"/>
                <w:lang w:val="zh-CN"/>
              </w:rPr>
              <w:fldChar w:fldCharType="begin"/>
            </w:r>
            <w:r>
              <w:rPr>
                <w:rFonts w:hint="eastAsia" w:cs="宋体" w:asciiTheme="minorEastAsia" w:hAnsiTheme="minorEastAsia"/>
                <w:b/>
                <w:color w:val="000000"/>
                <w:kern w:val="0"/>
                <w:szCs w:val="21"/>
                <w:lang w:val="zh-CN"/>
              </w:rPr>
              <w:instrText xml:space="preserve">eq \o\ac(□,</w:instrText>
            </w:r>
            <w:r>
              <w:rPr>
                <w:rFonts w:hint="eastAsia" w:cs="宋体" w:asciiTheme="minorEastAsia" w:hAnsiTheme="minorEastAsia"/>
                <w:b/>
                <w:color w:val="000000"/>
                <w:kern w:val="0"/>
                <w:position w:val="2"/>
                <w:szCs w:val="21"/>
                <w:lang w:val="zh-CN"/>
              </w:rPr>
              <w:instrText xml:space="preserve">√</w:instrText>
            </w:r>
            <w:r>
              <w:rPr>
                <w:rFonts w:hint="eastAsia" w:cs="宋体" w:asciiTheme="minorEastAsia" w:hAnsiTheme="minorEastAsia"/>
                <w:b/>
                <w:color w:val="000000"/>
                <w:kern w:val="0"/>
                <w:szCs w:val="21"/>
                <w:lang w:val="zh-CN"/>
              </w:rPr>
              <w:instrText xml:space="preserve">)</w:instrText>
            </w:r>
            <w:r>
              <w:rPr>
                <w:rFonts w:cs="宋体" w:asciiTheme="minorEastAsia" w:hAnsiTheme="minorEastAsia"/>
                <w:b/>
                <w:color w:val="000000"/>
                <w:kern w:val="0"/>
                <w:szCs w:val="21"/>
                <w:lang w:val="zh-CN"/>
              </w:rPr>
              <w:fldChar w:fldCharType="end"/>
            </w:r>
            <w:r>
              <w:rPr>
                <w:rFonts w:hint="eastAsia" w:cs="宋体" w:asciiTheme="minorEastAsia" w:hAnsiTheme="minorEastAsia"/>
                <w:bCs/>
                <w:szCs w:val="21"/>
                <w:lang w:val="zh-CN"/>
              </w:rPr>
              <w:t>不召开</w:t>
            </w:r>
          </w:p>
          <w:p>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Cs/>
                <w:szCs w:val="21"/>
                <w:lang w:val="zh-CN"/>
              </w:rPr>
              <w:t>□召开，时间：      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9</w:t>
            </w:r>
          </w:p>
        </w:tc>
        <w:tc>
          <w:tcPr>
            <w:tcW w:w="2268" w:type="dxa"/>
            <w:vAlign w:val="center"/>
          </w:tcPr>
          <w:p>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进口产品参与</w:t>
            </w:r>
          </w:p>
        </w:tc>
        <w:tc>
          <w:tcPr>
            <w:tcW w:w="6813" w:type="dxa"/>
            <w:vAlign w:val="center"/>
          </w:tcPr>
          <w:p>
            <w:pPr>
              <w:autoSpaceDE w:val="0"/>
              <w:autoSpaceDN w:val="0"/>
              <w:adjustRightInd w:val="0"/>
              <w:spacing w:line="276" w:lineRule="auto"/>
              <w:rPr>
                <w:rFonts w:asciiTheme="minorEastAsia" w:hAnsiTheme="minorEastAsia"/>
                <w:szCs w:val="21"/>
              </w:rPr>
            </w:pPr>
            <w:r>
              <w:rPr>
                <w:rFonts w:cs="宋体" w:asciiTheme="minorEastAsia" w:hAnsiTheme="minorEastAsia"/>
                <w:b/>
                <w:color w:val="000000"/>
                <w:kern w:val="0"/>
                <w:szCs w:val="21"/>
                <w:lang w:val="zh-CN"/>
              </w:rPr>
              <w:fldChar w:fldCharType="begin"/>
            </w:r>
            <w:r>
              <w:rPr>
                <w:rFonts w:hint="eastAsia" w:cs="宋体" w:asciiTheme="minorEastAsia" w:hAnsiTheme="minorEastAsia"/>
                <w:b/>
                <w:color w:val="000000"/>
                <w:kern w:val="0"/>
                <w:szCs w:val="21"/>
                <w:lang w:val="zh-CN"/>
              </w:rPr>
              <w:instrText xml:space="preserve">eq \o\ac(□,</w:instrText>
            </w:r>
            <w:r>
              <w:rPr>
                <w:rFonts w:hint="eastAsia" w:cs="宋体" w:asciiTheme="minorEastAsia" w:hAnsiTheme="minorEastAsia"/>
                <w:b/>
                <w:color w:val="000000"/>
                <w:kern w:val="0"/>
                <w:position w:val="2"/>
                <w:szCs w:val="21"/>
                <w:lang w:val="zh-CN"/>
              </w:rPr>
              <w:instrText xml:space="preserve">√</w:instrText>
            </w:r>
            <w:r>
              <w:rPr>
                <w:rFonts w:hint="eastAsia" w:cs="宋体" w:asciiTheme="minorEastAsia" w:hAnsiTheme="minorEastAsia"/>
                <w:b/>
                <w:color w:val="000000"/>
                <w:kern w:val="0"/>
                <w:szCs w:val="21"/>
                <w:lang w:val="zh-CN"/>
              </w:rPr>
              <w:instrText xml:space="preserve">)</w:instrText>
            </w:r>
            <w:r>
              <w:rPr>
                <w:rFonts w:cs="宋体" w:asciiTheme="minorEastAsia" w:hAnsiTheme="minorEastAsia"/>
                <w:b/>
                <w:color w:val="000000"/>
                <w:kern w:val="0"/>
                <w:szCs w:val="21"/>
                <w:lang w:val="zh-CN"/>
              </w:rPr>
              <w:fldChar w:fldCharType="end"/>
            </w:r>
            <w:r>
              <w:rPr>
                <w:rFonts w:hint="eastAsia" w:cs="宋体" w:asciiTheme="minorEastAsia" w:hAnsiTheme="minorEastAsia"/>
                <w:bCs/>
                <w:szCs w:val="21"/>
                <w:lang w:val="zh-CN"/>
              </w:rPr>
              <w:t xml:space="preserve">不允许    </w:t>
            </w:r>
            <w:r>
              <w:rPr>
                <w:rFonts w:hint="eastAsia" w:cs="宋体" w:asciiTheme="minorEastAsia" w:hAnsiTheme="minorEastAsia"/>
                <w:b/>
                <w:bCs/>
                <w:szCs w:val="21"/>
                <w:lang w:val="zh-CN"/>
              </w:rPr>
              <w:t>□</w:t>
            </w:r>
            <w:r>
              <w:rPr>
                <w:rFonts w:hint="eastAsia" w:asciiTheme="minorEastAsia" w:hAnsiTheme="minorEastAsia"/>
                <w:szCs w:val="21"/>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10</w:t>
            </w:r>
          </w:p>
        </w:tc>
        <w:tc>
          <w:tcPr>
            <w:tcW w:w="2268" w:type="dxa"/>
            <w:vAlign w:val="center"/>
          </w:tcPr>
          <w:p>
            <w:pPr>
              <w:autoSpaceDE w:val="0"/>
              <w:autoSpaceDN w:val="0"/>
              <w:adjustRightInd w:val="0"/>
              <w:spacing w:line="276" w:lineRule="auto"/>
              <w:jc w:val="center"/>
              <w:rPr>
                <w:rFonts w:cs="仿宋_GB2312" w:asciiTheme="minorEastAsia" w:hAnsiTheme="minorEastAsia"/>
                <w:szCs w:val="21"/>
              </w:rPr>
            </w:pPr>
            <w:r>
              <w:rPr>
                <w:rFonts w:hint="eastAsia" w:cs="微软雅黑" w:asciiTheme="minorEastAsia" w:hAnsiTheme="minorEastAsia"/>
                <w:b/>
                <w:color w:val="FF0000"/>
                <w:szCs w:val="21"/>
              </w:rPr>
              <w:t>★</w:t>
            </w:r>
            <w:r>
              <w:rPr>
                <w:rFonts w:hint="eastAsia" w:cs="仿宋_GB2312" w:asciiTheme="minorEastAsia" w:hAnsiTheme="minorEastAsia"/>
                <w:szCs w:val="21"/>
              </w:rPr>
              <w:t>谈判有效期</w:t>
            </w:r>
          </w:p>
        </w:tc>
        <w:tc>
          <w:tcPr>
            <w:tcW w:w="6813" w:type="dxa"/>
            <w:vAlign w:val="center"/>
          </w:tcPr>
          <w:p>
            <w:pPr>
              <w:autoSpaceDE w:val="0"/>
              <w:autoSpaceDN w:val="0"/>
              <w:adjustRightInd w:val="0"/>
              <w:spacing w:line="360" w:lineRule="auto"/>
              <w:rPr>
                <w:rFonts w:cs="仿宋_GB2312" w:asciiTheme="minorEastAsia" w:hAnsiTheme="minorEastAsia"/>
                <w:szCs w:val="21"/>
              </w:rPr>
            </w:pPr>
            <w:r>
              <w:rPr>
                <w:rFonts w:hint="eastAsia" w:cs="仿宋_GB2312" w:asciiTheme="minorEastAsia" w:hAnsiTheme="minorEastAsia"/>
                <w:szCs w:val="21"/>
                <w:lang w:val="en-US" w:eastAsia="zh-CN"/>
              </w:rPr>
              <w:t>6</w:t>
            </w:r>
            <w:r>
              <w:rPr>
                <w:rFonts w:hint="eastAsia" w:cs="仿宋_GB2312" w:asciiTheme="minorEastAsia" w:hAnsiTheme="minorEastAsia"/>
                <w:szCs w:val="21"/>
              </w:rPr>
              <w:t>0天（自</w:t>
            </w:r>
            <w:r>
              <w:rPr>
                <w:rFonts w:hint="eastAsia" w:cs="宋体" w:asciiTheme="minorEastAsia" w:hAnsiTheme="minorEastAsia"/>
                <w:kern w:val="0"/>
                <w:szCs w:val="21"/>
              </w:rPr>
              <w:t>提交谈判响应文件的截止之日起算</w:t>
            </w:r>
            <w:r>
              <w:rPr>
                <w:rFonts w:hint="eastAsia" w:cs="仿宋_GB2312" w:asciiTheme="minorEastAsia" w:hAnsi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11</w:t>
            </w:r>
          </w:p>
        </w:tc>
        <w:tc>
          <w:tcPr>
            <w:tcW w:w="2268" w:type="dxa"/>
            <w:vAlign w:val="center"/>
          </w:tcPr>
          <w:p>
            <w:pPr>
              <w:autoSpaceDE w:val="0"/>
              <w:autoSpaceDN w:val="0"/>
              <w:adjustRightInd w:val="0"/>
              <w:spacing w:line="360" w:lineRule="auto"/>
              <w:rPr>
                <w:rFonts w:cs="仿宋_GB2312" w:asciiTheme="minorEastAsia" w:hAnsiTheme="minorEastAsia"/>
                <w:szCs w:val="21"/>
              </w:rPr>
            </w:pPr>
            <w:r>
              <w:rPr>
                <w:rFonts w:hint="eastAsia" w:cs="宋体" w:asciiTheme="minorEastAsia" w:hAnsiTheme="minorEastAsia"/>
                <w:bCs/>
                <w:szCs w:val="21"/>
                <w:lang w:val="zh-CN"/>
              </w:rPr>
              <w:t>成交供应商</w:t>
            </w:r>
            <w:r>
              <w:rPr>
                <w:rFonts w:cs="宋体" w:asciiTheme="minorEastAsia" w:hAnsiTheme="minorEastAsia"/>
                <w:bCs/>
                <w:szCs w:val="21"/>
                <w:lang w:val="zh-CN"/>
              </w:rPr>
              <w:t>将本项目非主体、非关键性工作分包</w:t>
            </w:r>
          </w:p>
        </w:tc>
        <w:tc>
          <w:tcPr>
            <w:tcW w:w="6813" w:type="dxa"/>
            <w:vAlign w:val="center"/>
          </w:tcPr>
          <w:p>
            <w:pPr>
              <w:autoSpaceDE w:val="0"/>
              <w:autoSpaceDN w:val="0"/>
              <w:adjustRightInd w:val="0"/>
              <w:spacing w:line="276" w:lineRule="auto"/>
              <w:rPr>
                <w:rFonts w:cs="仿宋_GB2312" w:asciiTheme="minorEastAsia" w:hAnsiTheme="minorEastAsia"/>
                <w:szCs w:val="21"/>
              </w:rPr>
            </w:pPr>
            <w:r>
              <w:rPr>
                <w:rFonts w:cs="宋体" w:asciiTheme="minorEastAsia" w:hAnsiTheme="minorEastAsia"/>
                <w:b/>
                <w:color w:val="000000"/>
                <w:kern w:val="0"/>
                <w:szCs w:val="21"/>
                <w:lang w:val="zh-CN"/>
              </w:rPr>
              <w:fldChar w:fldCharType="begin"/>
            </w:r>
            <w:r>
              <w:rPr>
                <w:rFonts w:hint="eastAsia" w:cs="宋体" w:asciiTheme="minorEastAsia" w:hAnsiTheme="minorEastAsia"/>
                <w:b/>
                <w:color w:val="000000"/>
                <w:kern w:val="0"/>
                <w:szCs w:val="21"/>
                <w:lang w:val="zh-CN"/>
              </w:rPr>
              <w:instrText xml:space="preserve">eq \o\ac(□,</w:instrText>
            </w:r>
            <w:r>
              <w:rPr>
                <w:rFonts w:hint="eastAsia" w:cs="宋体" w:asciiTheme="minorEastAsia" w:hAnsiTheme="minorEastAsia"/>
                <w:b/>
                <w:color w:val="000000"/>
                <w:kern w:val="0"/>
                <w:position w:val="2"/>
                <w:szCs w:val="21"/>
                <w:lang w:val="zh-CN"/>
              </w:rPr>
              <w:instrText xml:space="preserve">√</w:instrText>
            </w:r>
            <w:r>
              <w:rPr>
                <w:rFonts w:hint="eastAsia" w:cs="宋体" w:asciiTheme="minorEastAsia" w:hAnsiTheme="minorEastAsia"/>
                <w:b/>
                <w:color w:val="000000"/>
                <w:kern w:val="0"/>
                <w:szCs w:val="21"/>
                <w:lang w:val="zh-CN"/>
              </w:rPr>
              <w:instrText xml:space="preserve">)</w:instrText>
            </w:r>
            <w:r>
              <w:rPr>
                <w:rFonts w:cs="宋体" w:asciiTheme="minorEastAsia" w:hAnsiTheme="minorEastAsia"/>
                <w:b/>
                <w:color w:val="000000"/>
                <w:kern w:val="0"/>
                <w:szCs w:val="21"/>
                <w:lang w:val="zh-CN"/>
              </w:rPr>
              <w:fldChar w:fldCharType="end"/>
            </w:r>
            <w:r>
              <w:rPr>
                <w:rFonts w:hint="eastAsia" w:cs="宋体" w:asciiTheme="minorEastAsia" w:hAnsiTheme="minorEastAsia"/>
                <w:bCs/>
                <w:szCs w:val="21"/>
                <w:lang w:val="zh-CN"/>
              </w:rPr>
              <w:t xml:space="preserve">不允许   </w:t>
            </w:r>
            <w:r>
              <w:rPr>
                <w:rFonts w:hint="eastAsia" w:cs="宋体" w:asciiTheme="minorEastAsia" w:hAnsiTheme="minorEastAsia"/>
                <w:b/>
                <w:bCs/>
                <w:szCs w:val="21"/>
                <w:lang w:val="zh-CN"/>
              </w:rPr>
              <w:t>□</w:t>
            </w:r>
            <w:r>
              <w:rPr>
                <w:rFonts w:hint="eastAsia" w:cs="仿宋_GB2312" w:asciiTheme="minorEastAsia" w:hAnsiTheme="minorEastAsia"/>
                <w:szCs w:val="21"/>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12</w:t>
            </w:r>
          </w:p>
        </w:tc>
        <w:tc>
          <w:tcPr>
            <w:tcW w:w="2268" w:type="dxa"/>
            <w:vAlign w:val="center"/>
          </w:tcPr>
          <w:p>
            <w:pPr>
              <w:autoSpaceDE w:val="0"/>
              <w:autoSpaceDN w:val="0"/>
              <w:adjustRightInd w:val="0"/>
              <w:spacing w:line="360" w:lineRule="auto"/>
              <w:jc w:val="center"/>
              <w:rPr>
                <w:rFonts w:hint="eastAsia" w:cs="宋体" w:asciiTheme="minorEastAsia" w:hAnsiTheme="minorEastAsia"/>
                <w:bCs/>
                <w:szCs w:val="21"/>
                <w:lang w:val="zh-CN"/>
              </w:rPr>
            </w:pPr>
            <w:r>
              <w:rPr>
                <w:rFonts w:hint="eastAsia" w:cs="宋体" w:asciiTheme="minorEastAsia" w:hAnsiTheme="minorEastAsia"/>
                <w:bCs/>
                <w:szCs w:val="21"/>
                <w:lang w:val="zh-CN"/>
              </w:rPr>
              <w:t>谈判响应截止及</w:t>
            </w:r>
          </w:p>
          <w:p>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谈判时间</w:t>
            </w:r>
          </w:p>
        </w:tc>
        <w:tc>
          <w:tcPr>
            <w:tcW w:w="6813" w:type="dxa"/>
            <w:vAlign w:val="center"/>
          </w:tcPr>
          <w:p>
            <w:pPr>
              <w:autoSpaceDE w:val="0"/>
              <w:autoSpaceDN w:val="0"/>
              <w:adjustRightInd w:val="0"/>
              <w:spacing w:line="360" w:lineRule="auto"/>
              <w:ind w:firstLine="210" w:firstLineChars="100"/>
              <w:rPr>
                <w:rFonts w:cs="宋体" w:asciiTheme="minorEastAsia" w:hAnsiTheme="minorEastAsia"/>
                <w:bCs/>
                <w:szCs w:val="21"/>
                <w:lang w:val="zh-CN"/>
              </w:rPr>
            </w:pPr>
            <w:r>
              <w:rPr>
                <w:rFonts w:hint="eastAsia" w:cs="宋体" w:asciiTheme="minorEastAsia" w:hAnsiTheme="minorEastAsia"/>
                <w:bCs/>
                <w:szCs w:val="21"/>
                <w:lang w:val="zh-CN"/>
              </w:rPr>
              <w:t>2019年</w:t>
            </w:r>
            <w:r>
              <w:rPr>
                <w:rFonts w:hint="eastAsia" w:cs="宋体" w:asciiTheme="minorEastAsia" w:hAnsiTheme="minorEastAsia"/>
                <w:bCs/>
                <w:szCs w:val="21"/>
                <w:lang w:val="en-US" w:eastAsia="zh-CN"/>
              </w:rPr>
              <w:t>8</w:t>
            </w:r>
            <w:r>
              <w:rPr>
                <w:rFonts w:hint="eastAsia" w:cs="宋体" w:asciiTheme="minorEastAsia" w:hAnsiTheme="minorEastAsia"/>
                <w:bCs/>
                <w:szCs w:val="21"/>
                <w:lang w:val="zh-CN"/>
              </w:rPr>
              <w:t>月</w:t>
            </w:r>
            <w:r>
              <w:rPr>
                <w:rFonts w:hint="eastAsia" w:cs="宋体" w:asciiTheme="minorEastAsia" w:hAnsiTheme="minorEastAsia"/>
                <w:bCs/>
                <w:szCs w:val="21"/>
                <w:lang w:val="en-US" w:eastAsia="zh-CN"/>
              </w:rPr>
              <w:t>15</w:t>
            </w:r>
            <w:r>
              <w:rPr>
                <w:rFonts w:hint="eastAsia" w:cs="宋体" w:asciiTheme="minorEastAsia" w:hAnsiTheme="minorEastAsia"/>
                <w:bCs/>
                <w:szCs w:val="21"/>
                <w:lang w:val="zh-CN"/>
              </w:rPr>
              <w:t>日</w:t>
            </w:r>
            <w:r>
              <w:rPr>
                <w:rFonts w:hint="eastAsia" w:cs="宋体" w:asciiTheme="minorEastAsia" w:hAnsiTheme="minorEastAsia"/>
                <w:bCs/>
                <w:szCs w:val="21"/>
                <w:lang w:val="en-US" w:eastAsia="zh-CN"/>
              </w:rPr>
              <w:t>9</w:t>
            </w:r>
            <w:r>
              <w:rPr>
                <w:rFonts w:hint="eastAsia" w:cs="宋体" w:asciiTheme="minorEastAsia" w:hAnsiTheme="minorEastAsia"/>
                <w:bCs/>
                <w:szCs w:val="21"/>
                <w:lang w:val="zh-CN"/>
              </w:rPr>
              <w:t>：</w:t>
            </w:r>
            <w:r>
              <w:rPr>
                <w:rFonts w:hint="eastAsia" w:cs="宋体" w:asciiTheme="minorEastAsia" w:hAnsiTheme="minorEastAsia"/>
                <w:bCs/>
                <w:szCs w:val="21"/>
                <w:lang w:val="en-US" w:eastAsia="zh-CN"/>
              </w:rPr>
              <w:t>00</w:t>
            </w:r>
            <w:r>
              <w:rPr>
                <w:rFonts w:hint="eastAsia" w:cs="宋体" w:asciiTheme="minorEastAsia" w:hAnsiTheme="minorEastAsia"/>
                <w:bCs/>
                <w:szCs w:val="21"/>
                <w:lang w:val="zh-CN"/>
              </w:rPr>
              <w:t>（北京时间）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13</w:t>
            </w:r>
          </w:p>
        </w:tc>
        <w:tc>
          <w:tcPr>
            <w:tcW w:w="2268" w:type="dxa"/>
            <w:vAlign w:val="center"/>
          </w:tcPr>
          <w:p>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递交谈判响应文件</w:t>
            </w:r>
          </w:p>
        </w:tc>
        <w:tc>
          <w:tcPr>
            <w:tcW w:w="6813" w:type="dxa"/>
            <w:vAlign w:val="center"/>
          </w:tcPr>
          <w:p>
            <w:pPr>
              <w:autoSpaceDE w:val="0"/>
              <w:autoSpaceDN w:val="0"/>
              <w:adjustRightInd w:val="0"/>
              <w:spacing w:line="360" w:lineRule="auto"/>
              <w:rPr>
                <w:rFonts w:hint="eastAsia" w:cs="宋体" w:asciiTheme="minorEastAsia" w:hAnsiTheme="minorEastAsia"/>
                <w:bCs/>
                <w:szCs w:val="21"/>
                <w:lang w:val="zh-CN" w:eastAsia="zh-CN"/>
              </w:rPr>
            </w:pPr>
            <w:r>
              <w:rPr>
                <w:rFonts w:hint="eastAsia" w:cs="宋体" w:asciiTheme="minorEastAsia" w:hAnsiTheme="minorEastAsia"/>
                <w:bCs/>
                <w:szCs w:val="21"/>
                <w:lang w:val="zh-CN" w:eastAsia="zh-CN"/>
              </w:rPr>
              <w:t>禹州市公共资源交易中心开标二室（地址：禹州市行政服务中心楼九楼）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14</w:t>
            </w:r>
          </w:p>
        </w:tc>
        <w:tc>
          <w:tcPr>
            <w:tcW w:w="2268" w:type="dxa"/>
            <w:vAlign w:val="center"/>
          </w:tcPr>
          <w:p>
            <w:pPr>
              <w:autoSpaceDE w:val="0"/>
              <w:autoSpaceDN w:val="0"/>
              <w:adjustRightInd w:val="0"/>
              <w:spacing w:line="276" w:lineRule="auto"/>
              <w:jc w:val="center"/>
              <w:rPr>
                <w:rFonts w:cs="宋体" w:asciiTheme="minorEastAsia" w:hAnsiTheme="minorEastAsia"/>
                <w:bCs/>
                <w:szCs w:val="21"/>
                <w:lang w:val="zh-CN"/>
              </w:rPr>
            </w:pPr>
            <w:r>
              <w:rPr>
                <w:rFonts w:hint="eastAsia" w:cs="宋体" w:asciiTheme="minorEastAsia" w:hAnsiTheme="minorEastAsia"/>
                <w:kern w:val="0"/>
                <w:szCs w:val="21"/>
              </w:rPr>
              <w:t>谈判保证金</w:t>
            </w:r>
          </w:p>
        </w:tc>
        <w:tc>
          <w:tcPr>
            <w:tcW w:w="6813" w:type="dxa"/>
            <w:vAlign w:val="center"/>
          </w:tcPr>
          <w:p>
            <w:pPr>
              <w:tabs>
                <w:tab w:val="left" w:pos="1260"/>
              </w:tabs>
              <w:autoSpaceDE w:val="0"/>
              <w:autoSpaceDN w:val="0"/>
              <w:spacing w:line="360" w:lineRule="auto"/>
              <w:contextualSpacing/>
              <w:rPr>
                <w:rFonts w:hint="eastAsia"/>
                <w:lang w:val="zh-CN"/>
              </w:rPr>
            </w:pPr>
            <w:r>
              <w:rPr>
                <w:rFonts w:hint="eastAsia"/>
                <w:lang w:val="zh-CN"/>
              </w:rPr>
              <w:t>不收取</w:t>
            </w:r>
          </w:p>
          <w:p>
            <w:pPr>
              <w:pStyle w:val="2"/>
              <w:ind w:left="0" w:leftChars="0" w:firstLine="0" w:firstLineChars="0"/>
              <w:rPr>
                <w:lang w:val="zh-CN"/>
              </w:rPr>
            </w:pPr>
            <w:r>
              <w:rPr>
                <w:rFonts w:hint="eastAsia" w:cs="仿宋_GB2312" w:asciiTheme="minorEastAsia" w:hAnsiTheme="minorEastAsia"/>
                <w:szCs w:val="21"/>
                <w:lang w:val="zh-CN"/>
              </w:rPr>
              <w:t>但投标人须做出承诺。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15</w:t>
            </w:r>
          </w:p>
        </w:tc>
        <w:tc>
          <w:tcPr>
            <w:tcW w:w="2268" w:type="dxa"/>
            <w:vAlign w:val="center"/>
          </w:tcPr>
          <w:p>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公告发布</w:t>
            </w:r>
          </w:p>
        </w:tc>
        <w:tc>
          <w:tcPr>
            <w:tcW w:w="6813" w:type="dxa"/>
            <w:tcBorders>
              <w:top w:val="single" w:color="auto" w:sz="4" w:space="0"/>
            </w:tcBorders>
            <w:vAlign w:val="center"/>
          </w:tcPr>
          <w:p>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color w:val="000000"/>
                <w:szCs w:val="21"/>
              </w:rPr>
              <w:t>谈判公告、成交公告、变更（更正）公告、现场勘察答复等相关信息同时在以下网站发布：《中国政府采购网》、《河南省政府采购网》、《全国公共资源交易平台（河南省·许昌市）》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16</w:t>
            </w:r>
          </w:p>
        </w:tc>
        <w:tc>
          <w:tcPr>
            <w:tcW w:w="2268" w:type="dxa"/>
            <w:vAlign w:val="center"/>
          </w:tcPr>
          <w:p>
            <w:pPr>
              <w:autoSpaceDE w:val="0"/>
              <w:autoSpaceDN w:val="0"/>
              <w:adjustRightInd w:val="0"/>
              <w:spacing w:line="360" w:lineRule="auto"/>
              <w:jc w:val="center"/>
              <w:rPr>
                <w:rFonts w:cs="仿宋_GB2312" w:asciiTheme="minorEastAsia" w:hAnsiTheme="minorEastAsia"/>
                <w:szCs w:val="21"/>
              </w:rPr>
            </w:pPr>
            <w:r>
              <w:rPr>
                <w:rFonts w:hint="eastAsia" w:cs="仿宋_GB2312" w:asciiTheme="minorEastAsia" w:hAnsiTheme="minorEastAsia"/>
                <w:szCs w:val="21"/>
              </w:rPr>
              <w:t>采购人澄清或修改</w:t>
            </w:r>
          </w:p>
          <w:p>
            <w:pPr>
              <w:autoSpaceDE w:val="0"/>
              <w:autoSpaceDN w:val="0"/>
              <w:adjustRightInd w:val="0"/>
              <w:spacing w:line="360" w:lineRule="auto"/>
              <w:jc w:val="center"/>
              <w:rPr>
                <w:rFonts w:cs="黑体" w:asciiTheme="minorEastAsia" w:hAnsiTheme="minorEastAsia"/>
                <w:szCs w:val="21"/>
              </w:rPr>
            </w:pPr>
            <w:r>
              <w:rPr>
                <w:rFonts w:hint="eastAsia" w:cs="仿宋_GB2312" w:asciiTheme="minorEastAsia" w:hAnsiTheme="minorEastAsia"/>
                <w:szCs w:val="21"/>
              </w:rPr>
              <w:t>谈判文件时间</w:t>
            </w:r>
          </w:p>
        </w:tc>
        <w:tc>
          <w:tcPr>
            <w:tcW w:w="6813" w:type="dxa"/>
            <w:vAlign w:val="center"/>
          </w:tcPr>
          <w:p>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Cs/>
                <w:szCs w:val="21"/>
                <w:lang w:val="zh-CN"/>
              </w:rPr>
              <w:t>谈判响应截止时间3个工作日前（</w:t>
            </w:r>
            <w:r>
              <w:rPr>
                <w:rFonts w:hint="eastAsia" w:cs="仿宋_GB2312" w:asciiTheme="minorEastAsia" w:hAnsiTheme="minorEastAsia"/>
                <w:szCs w:val="21"/>
                <w:lang w:val="zh-CN"/>
              </w:rPr>
              <w:t>澄清内容可能影响谈判响应文件编制的）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17</w:t>
            </w:r>
          </w:p>
        </w:tc>
        <w:tc>
          <w:tcPr>
            <w:tcW w:w="2268" w:type="dxa"/>
            <w:vAlign w:val="center"/>
          </w:tcPr>
          <w:p>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供应商对采购文件</w:t>
            </w:r>
          </w:p>
          <w:p>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质疑截止时间</w:t>
            </w:r>
          </w:p>
        </w:tc>
        <w:tc>
          <w:tcPr>
            <w:tcW w:w="6813" w:type="dxa"/>
            <w:vAlign w:val="center"/>
          </w:tcPr>
          <w:p>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Cs/>
                <w:szCs w:val="21"/>
                <w:lang w:val="zh-CN"/>
              </w:rPr>
              <w:t>谈判公告期满之日起七个工作日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18</w:t>
            </w:r>
          </w:p>
        </w:tc>
        <w:tc>
          <w:tcPr>
            <w:tcW w:w="2268" w:type="dxa"/>
            <w:vAlign w:val="center"/>
          </w:tcPr>
          <w:p>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响应文件份数</w:t>
            </w:r>
          </w:p>
        </w:tc>
        <w:tc>
          <w:tcPr>
            <w:tcW w:w="6813" w:type="dxa"/>
            <w:vAlign w:val="center"/>
          </w:tcPr>
          <w:p>
            <w:pPr>
              <w:autoSpaceDE w:val="0"/>
              <w:autoSpaceDN w:val="0"/>
              <w:adjustRightInd w:val="0"/>
              <w:spacing w:line="360" w:lineRule="auto"/>
              <w:rPr>
                <w:rFonts w:cs="宋体" w:asciiTheme="minorEastAsia" w:hAnsiTheme="minorEastAsia"/>
                <w:color w:val="000000"/>
                <w:szCs w:val="21"/>
              </w:rPr>
            </w:pPr>
            <w:r>
              <w:rPr>
                <w:rFonts w:ascii="新宋体" w:hAnsi="新宋体" w:eastAsia="新宋体"/>
                <w:b/>
                <w:szCs w:val="21"/>
              </w:rPr>
              <w:fldChar w:fldCharType="begin"/>
            </w:r>
            <w:r>
              <w:rPr>
                <w:rFonts w:hint="eastAsia" w:ascii="新宋体" w:hAnsi="新宋体" w:eastAsia="新宋体"/>
                <w:b/>
                <w:szCs w:val="21"/>
              </w:rPr>
              <w:instrText xml:space="preserve">eq \o\ac(□,√)</w:instrText>
            </w:r>
            <w:r>
              <w:rPr>
                <w:rFonts w:ascii="新宋体" w:hAnsi="新宋体" w:eastAsia="新宋体"/>
                <w:b/>
                <w:szCs w:val="21"/>
              </w:rPr>
              <w:fldChar w:fldCharType="end"/>
            </w:r>
            <w:r>
              <w:rPr>
                <w:rFonts w:hint="eastAsia" w:ascii="新宋体" w:hAnsi="新宋体" w:eastAsia="新宋体"/>
                <w:szCs w:val="21"/>
              </w:rPr>
              <w:t>电子响应文件：成功上传至《全国公共资源交易平台（河南省·许昌市）》公共资源交易系统加密电子响应文件1份</w:t>
            </w:r>
            <w:r>
              <w:rPr>
                <w:rFonts w:hint="eastAsia" w:hAnsi="宋体" w:cs="宋体"/>
                <w:szCs w:val="21"/>
                <w:lang w:val="zh-CN"/>
              </w:rPr>
              <w:t>（文件格式为： XXX公司XXX项目编号.file）。</w:t>
            </w:r>
            <w:r>
              <w:rPr>
                <w:rFonts w:hint="eastAsia" w:ascii="新宋体" w:hAnsi="新宋体" w:eastAsia="新宋体"/>
                <w:szCs w:val="21"/>
              </w:rPr>
              <w:t>使用电子介质存储的备份文件1份（文件格式为：名称为“备份”的文件夹）。</w:t>
            </w:r>
          </w:p>
          <w:p>
            <w:pPr>
              <w:autoSpaceDE w:val="0"/>
              <w:autoSpaceDN w:val="0"/>
              <w:adjustRightInd w:val="0"/>
              <w:spacing w:line="360" w:lineRule="auto"/>
              <w:rPr>
                <w:rFonts w:ascii="新宋体" w:hAnsi="新宋体" w:eastAsia="新宋体"/>
                <w:szCs w:val="21"/>
              </w:rPr>
            </w:pPr>
            <w:r>
              <w:rPr>
                <w:rFonts w:ascii="新宋体" w:hAnsi="新宋体" w:eastAsia="新宋体"/>
                <w:b/>
                <w:szCs w:val="21"/>
              </w:rPr>
              <w:fldChar w:fldCharType="begin"/>
            </w:r>
            <w:r>
              <w:rPr>
                <w:rFonts w:hint="eastAsia" w:ascii="新宋体" w:hAnsi="新宋体" w:eastAsia="新宋体"/>
                <w:b/>
                <w:szCs w:val="21"/>
              </w:rPr>
              <w:instrText xml:space="preserve">eq \o\ac(□,√)</w:instrText>
            </w:r>
            <w:r>
              <w:rPr>
                <w:rFonts w:ascii="新宋体" w:hAnsi="新宋体" w:eastAsia="新宋体"/>
                <w:b/>
                <w:szCs w:val="21"/>
              </w:rPr>
              <w:fldChar w:fldCharType="end"/>
            </w:r>
            <w:r>
              <w:rPr>
                <w:rFonts w:hint="eastAsia" w:ascii="新宋体" w:hAnsi="新宋体" w:eastAsia="新宋体"/>
                <w:szCs w:val="21"/>
              </w:rPr>
              <w:t>纸质响应文件：</w:t>
            </w:r>
            <w:r>
              <w:rPr>
                <w:rFonts w:hint="eastAsia" w:cs="仿宋_GB2312" w:asciiTheme="minorEastAsia" w:hAnsiTheme="minorEastAsia"/>
                <w:szCs w:val="21"/>
              </w:rPr>
              <w:t>正本</w:t>
            </w:r>
            <w:r>
              <w:rPr>
                <w:rFonts w:hint="eastAsia" w:cs="仿宋_GB2312" w:asciiTheme="minorEastAsia" w:hAnsiTheme="minorEastAsia"/>
                <w:b/>
                <w:szCs w:val="21"/>
              </w:rPr>
              <w:t>一</w:t>
            </w:r>
            <w:r>
              <w:rPr>
                <w:rFonts w:hint="eastAsia" w:cs="仿宋_GB2312" w:asciiTheme="minorEastAsia" w:hAnsiTheme="minorEastAsia"/>
                <w:szCs w:val="21"/>
              </w:rPr>
              <w:t>份，</w:t>
            </w:r>
            <w:r>
              <w:rPr>
                <w:rFonts w:hint="eastAsia" w:ascii="新宋体" w:hAnsi="新宋体" w:eastAsia="新宋体"/>
                <w:szCs w:val="21"/>
              </w:rPr>
              <w:t>副本一份</w:t>
            </w:r>
            <w:r>
              <w:rPr>
                <w:rFonts w:hint="eastAsia" w:cs="仿宋_GB2312" w:asciiTheme="minorEastAsia" w:hAnsiTheme="minorEastAsia"/>
                <w:szCs w:val="21"/>
              </w:rPr>
              <w:t>。使用</w:t>
            </w:r>
            <w:r>
              <w:rPr>
                <w:rFonts w:hint="eastAsia" w:ascii="新宋体" w:hAnsi="新宋体" w:eastAsia="新宋体"/>
                <w:szCs w:val="21"/>
              </w:rPr>
              <w:t>格式为“投标文件（供打印）.PDF”的文件</w:t>
            </w:r>
          </w:p>
          <w:p>
            <w:pPr>
              <w:autoSpaceDE w:val="0"/>
              <w:autoSpaceDN w:val="0"/>
              <w:adjustRightInd w:val="0"/>
              <w:spacing w:line="360" w:lineRule="auto"/>
              <w:rPr>
                <w:rFonts w:cs="宋体" w:asciiTheme="minorEastAsia" w:hAnsiTheme="minorEastAsia"/>
                <w:bCs/>
                <w:szCs w:val="21"/>
                <w:highlight w:val="lightGray"/>
                <w:lang w:val="zh-CN"/>
              </w:rPr>
            </w:pPr>
            <w:r>
              <w:rPr>
                <w:rFonts w:hint="eastAsia" w:ascii="新宋体" w:hAnsi="新宋体" w:eastAsia="新宋体"/>
                <w:szCs w:val="21"/>
              </w:rPr>
              <w:t>电子响应文件和纸质响应文件的内容、格式、水印码、签章应一致。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19</w:t>
            </w:r>
          </w:p>
        </w:tc>
        <w:tc>
          <w:tcPr>
            <w:tcW w:w="2268" w:type="dxa"/>
            <w:vAlign w:val="center"/>
          </w:tcPr>
          <w:p>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响应文件的</w:t>
            </w:r>
          </w:p>
          <w:p>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签署盖章</w:t>
            </w:r>
          </w:p>
        </w:tc>
        <w:tc>
          <w:tcPr>
            <w:tcW w:w="6813" w:type="dxa"/>
            <w:vAlign w:val="center"/>
          </w:tcPr>
          <w:p>
            <w:pPr>
              <w:autoSpaceDE w:val="0"/>
              <w:autoSpaceDN w:val="0"/>
              <w:adjustRightInd w:val="0"/>
              <w:spacing w:line="420" w:lineRule="exact"/>
              <w:rPr>
                <w:rFonts w:ascii="新宋体" w:hAnsi="新宋体" w:eastAsia="新宋体"/>
                <w:szCs w:val="21"/>
              </w:rPr>
            </w:pPr>
            <w:r>
              <w:rPr>
                <w:rFonts w:ascii="新宋体" w:hAnsi="新宋体" w:eastAsia="新宋体"/>
                <w:b/>
                <w:szCs w:val="21"/>
              </w:rPr>
              <w:fldChar w:fldCharType="begin"/>
            </w:r>
            <w:r>
              <w:rPr>
                <w:rFonts w:hint="eastAsia" w:ascii="新宋体" w:hAnsi="新宋体" w:eastAsia="新宋体"/>
                <w:b/>
                <w:szCs w:val="21"/>
              </w:rPr>
              <w:instrText xml:space="preserve">eq \o\ac(□,√)</w:instrText>
            </w:r>
            <w:r>
              <w:rPr>
                <w:rFonts w:ascii="新宋体" w:hAnsi="新宋体" w:eastAsia="新宋体"/>
                <w:b/>
                <w:szCs w:val="21"/>
              </w:rPr>
              <w:fldChar w:fldCharType="end"/>
            </w:r>
            <w:r>
              <w:rPr>
                <w:rFonts w:hint="eastAsia" w:ascii="新宋体" w:hAnsi="新宋体" w:eastAsia="新宋体"/>
                <w:szCs w:val="21"/>
              </w:rPr>
              <w:t>电子响应文件：按谈判文件要求加盖供应商电子印章和法人电子印章。</w:t>
            </w:r>
          </w:p>
          <w:p>
            <w:pPr>
              <w:autoSpaceDE w:val="0"/>
              <w:autoSpaceDN w:val="0"/>
              <w:adjustRightInd w:val="0"/>
              <w:spacing w:line="420" w:lineRule="exact"/>
              <w:rPr>
                <w:rFonts w:cs="仿宋_GB2312" w:asciiTheme="minorEastAsia" w:hAnsiTheme="minorEastAsia"/>
                <w:szCs w:val="21"/>
                <w:highlight w:val="lightGray"/>
              </w:rPr>
            </w:pPr>
            <w:r>
              <w:rPr>
                <w:rFonts w:ascii="新宋体" w:hAnsi="新宋体" w:eastAsia="新宋体"/>
                <w:b/>
                <w:szCs w:val="21"/>
              </w:rPr>
              <w:fldChar w:fldCharType="begin"/>
            </w:r>
            <w:r>
              <w:rPr>
                <w:rFonts w:hint="eastAsia" w:ascii="新宋体" w:hAnsi="新宋体" w:eastAsia="新宋体"/>
                <w:b/>
                <w:szCs w:val="21"/>
              </w:rPr>
              <w:instrText xml:space="preserve">eq \o\ac(□,√)</w:instrText>
            </w:r>
            <w:r>
              <w:rPr>
                <w:rFonts w:ascii="新宋体" w:hAnsi="新宋体" w:eastAsia="新宋体"/>
                <w:b/>
                <w:szCs w:val="21"/>
              </w:rPr>
              <w:fldChar w:fldCharType="end"/>
            </w:r>
            <w:r>
              <w:rPr>
                <w:rFonts w:hint="eastAsia" w:ascii="新宋体" w:hAnsi="新宋体" w:eastAsia="新宋体"/>
                <w:szCs w:val="21"/>
              </w:rPr>
              <w:t>纸质响应文件：投标文件封面加盖供应商公章（响应文件是指供应商电子响应文件制作完成后生成的后缀名为</w:t>
            </w:r>
            <w:r>
              <w:rPr>
                <w:rFonts w:hint="eastAsia" w:hAnsi="宋体"/>
                <w:color w:val="000000"/>
                <w:szCs w:val="21"/>
              </w:rPr>
              <w:t>“.PDF”的文件</w:t>
            </w:r>
            <w:r>
              <w:rPr>
                <w:rFonts w:hint="eastAsia" w:ascii="新宋体" w:hAnsi="新宋体" w:eastAsia="新宋体"/>
                <w:szCs w:val="21"/>
              </w:rPr>
              <w:t>打印的纸质响应文件）。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TimesNewRomanPSMT" w:asciiTheme="minorEastAsia" w:hAnsiTheme="minorEastAsia"/>
                <w:szCs w:val="21"/>
              </w:rPr>
            </w:pPr>
            <w:r>
              <w:rPr>
                <w:rFonts w:hint="eastAsia" w:cs="TimesNewRomanPSMT" w:asciiTheme="minorEastAsia" w:hAnsiTheme="minorEastAsia"/>
                <w:szCs w:val="21"/>
              </w:rPr>
              <w:t>20</w:t>
            </w:r>
          </w:p>
        </w:tc>
        <w:tc>
          <w:tcPr>
            <w:tcW w:w="2268" w:type="dxa"/>
            <w:vAlign w:val="center"/>
          </w:tcPr>
          <w:p>
            <w:pPr>
              <w:autoSpaceDE w:val="0"/>
              <w:autoSpaceDN w:val="0"/>
              <w:adjustRightInd w:val="0"/>
              <w:spacing w:line="360" w:lineRule="auto"/>
              <w:jc w:val="center"/>
              <w:rPr>
                <w:rFonts w:cs="仿宋_GB2312" w:asciiTheme="minorEastAsia" w:hAnsiTheme="minorEastAsia"/>
                <w:szCs w:val="21"/>
              </w:rPr>
            </w:pPr>
            <w:r>
              <w:rPr>
                <w:rFonts w:hint="eastAsia" w:cs="黑体" w:asciiTheme="minorEastAsia" w:hAnsiTheme="minorEastAsia"/>
                <w:szCs w:val="21"/>
              </w:rPr>
              <w:t>谈判小组组建</w:t>
            </w:r>
          </w:p>
        </w:tc>
        <w:tc>
          <w:tcPr>
            <w:tcW w:w="6813" w:type="dxa"/>
            <w:vAlign w:val="center"/>
          </w:tcPr>
          <w:p>
            <w:pPr>
              <w:autoSpaceDE w:val="0"/>
              <w:autoSpaceDN w:val="0"/>
              <w:adjustRightInd w:val="0"/>
              <w:spacing w:line="360" w:lineRule="auto"/>
              <w:rPr>
                <w:rFonts w:cs="仿宋_GB2312" w:asciiTheme="minorEastAsia" w:hAnsiTheme="minorEastAsia"/>
                <w:szCs w:val="21"/>
                <w:lang w:val="zh-CN"/>
              </w:rPr>
            </w:pPr>
            <w:r>
              <w:rPr>
                <w:rFonts w:ascii="新宋体" w:hAnsi="新宋体" w:eastAsia="新宋体"/>
                <w:b/>
                <w:szCs w:val="21"/>
              </w:rPr>
              <w:fldChar w:fldCharType="begin"/>
            </w:r>
            <w:r>
              <w:rPr>
                <w:rFonts w:hint="eastAsia" w:ascii="新宋体" w:hAnsi="新宋体" w:eastAsia="新宋体"/>
                <w:b/>
                <w:szCs w:val="21"/>
              </w:rPr>
              <w:instrText xml:space="preserve">eq \o\ac(□,√)</w:instrText>
            </w:r>
            <w:r>
              <w:rPr>
                <w:rFonts w:ascii="新宋体" w:hAnsi="新宋体" w:eastAsia="新宋体"/>
                <w:b/>
                <w:szCs w:val="21"/>
              </w:rPr>
              <w:fldChar w:fldCharType="end"/>
            </w:r>
            <w:r>
              <w:rPr>
                <w:rFonts w:hint="eastAsia" w:cs="仿宋_GB2312" w:asciiTheme="minorEastAsia" w:hAnsiTheme="minorEastAsia"/>
                <w:szCs w:val="21"/>
                <w:lang w:val="zh-CN"/>
              </w:rPr>
              <w:t>由采购人代表和评审专家组成，其中评审专家的人数不少于谈判小组成员总数的三分之二。评审专家从政府采购评审专家库中随机抽取。</w:t>
            </w:r>
          </w:p>
          <w:p>
            <w:pPr>
              <w:autoSpaceDE w:val="0"/>
              <w:autoSpaceDN w:val="0"/>
              <w:adjustRightInd w:val="0"/>
              <w:spacing w:line="360" w:lineRule="auto"/>
              <w:rPr>
                <w:rFonts w:cs="宋体" w:asciiTheme="minorEastAsia" w:hAnsiTheme="minorEastAsia"/>
                <w:bCs/>
                <w:szCs w:val="21"/>
                <w:lang w:val="zh-CN"/>
              </w:rPr>
            </w:pPr>
            <w:r>
              <w:rPr>
                <w:rFonts w:hint="eastAsia" w:cs="仿宋_GB2312" w:asciiTheme="minorEastAsia" w:hAnsiTheme="minorEastAsia"/>
                <w:szCs w:val="21"/>
                <w:lang w:val="zh-CN"/>
              </w:rPr>
              <w:t>□由评审专家组成。评审专家从政府采购评审专家库中随机抽取。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TimesNewRomanPSMT" w:asciiTheme="minorEastAsia" w:hAnsiTheme="minorEastAsia"/>
                <w:szCs w:val="21"/>
              </w:rPr>
            </w:pPr>
            <w:r>
              <w:rPr>
                <w:rFonts w:hint="eastAsia" w:cs="TimesNewRomanPSMT" w:asciiTheme="minorEastAsia" w:hAnsiTheme="minorEastAsia"/>
                <w:szCs w:val="21"/>
              </w:rPr>
              <w:t>21</w:t>
            </w:r>
          </w:p>
        </w:tc>
        <w:tc>
          <w:tcPr>
            <w:tcW w:w="2268" w:type="dxa"/>
            <w:vAlign w:val="center"/>
          </w:tcPr>
          <w:p>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评审方法</w:t>
            </w:r>
          </w:p>
        </w:tc>
        <w:tc>
          <w:tcPr>
            <w:tcW w:w="6813" w:type="dxa"/>
            <w:vAlign w:val="center"/>
          </w:tcPr>
          <w:p>
            <w:pPr>
              <w:autoSpaceDE w:val="0"/>
              <w:autoSpaceDN w:val="0"/>
              <w:adjustRightInd w:val="0"/>
              <w:spacing w:line="360" w:lineRule="auto"/>
              <w:rPr>
                <w:rFonts w:ascii="新宋体" w:hAnsi="新宋体" w:eastAsia="新宋体"/>
                <w:szCs w:val="21"/>
              </w:rPr>
            </w:pPr>
            <w:r>
              <w:rPr>
                <w:rFonts w:hint="eastAsia"/>
                <w:color w:val="000000"/>
              </w:rPr>
              <w:t>质量和服务均能满足谈判文件实质性响应要求且最后报价最低的原则确定成交供应商</w:t>
            </w:r>
            <w:r>
              <w:rPr>
                <w:rFonts w:hint="eastAsia" w:ascii="新宋体" w:hAnsi="新宋体" w:eastAsia="新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22</w:t>
            </w:r>
          </w:p>
        </w:tc>
        <w:tc>
          <w:tcPr>
            <w:tcW w:w="2268" w:type="dxa"/>
            <w:vAlign w:val="center"/>
          </w:tcPr>
          <w:p>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授权函</w:t>
            </w:r>
          </w:p>
        </w:tc>
        <w:tc>
          <w:tcPr>
            <w:tcW w:w="6813" w:type="dxa"/>
            <w:vAlign w:val="center"/>
          </w:tcPr>
          <w:p>
            <w:pPr>
              <w:autoSpaceDE w:val="0"/>
              <w:autoSpaceDN w:val="0"/>
              <w:adjustRightInd w:val="0"/>
              <w:spacing w:line="360" w:lineRule="auto"/>
              <w:rPr>
                <w:rFonts w:cs="宋体" w:asciiTheme="minorEastAsia" w:hAnsiTheme="minorEastAsia"/>
                <w:bCs/>
                <w:szCs w:val="21"/>
                <w:lang w:val="zh-CN"/>
              </w:rPr>
            </w:pPr>
            <w:r>
              <w:rPr>
                <w:rFonts w:hint="eastAsia" w:cs="仿宋_GB2312" w:asciiTheme="minorEastAsia" w:hAnsiTheme="minorEastAsia"/>
                <w:szCs w:val="21"/>
                <w:lang w:val="zh-CN"/>
              </w:rPr>
              <w:t>采购单位委派代表参加谈判小组的，须向集中采购机构出具授权函。除授权代表外，采购单位委派纪检监察人员对谈判过程实施监督的须进入</w:t>
            </w:r>
            <w:r>
              <w:rPr>
                <w:rFonts w:hint="eastAsia" w:cs="仿宋_GB2312" w:asciiTheme="minorEastAsia" w:hAnsiTheme="minorEastAsia"/>
                <w:szCs w:val="21"/>
                <w:lang w:val="en-US" w:eastAsia="zh-CN"/>
              </w:rPr>
              <w:t>g禹州</w:t>
            </w:r>
            <w:r>
              <w:rPr>
                <w:rFonts w:hint="eastAsia" w:cs="仿宋_GB2312" w:asciiTheme="minorEastAsia" w:hAnsiTheme="minorEastAsia"/>
                <w:szCs w:val="21"/>
                <w:lang w:val="zh-CN"/>
              </w:rPr>
              <w:t>市公共资源交易中心九楼电子监督室，并向集中采购机构机构出具授权函，且不得超过2人。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23</w:t>
            </w:r>
          </w:p>
        </w:tc>
        <w:tc>
          <w:tcPr>
            <w:tcW w:w="2268" w:type="dxa"/>
            <w:vAlign w:val="center"/>
          </w:tcPr>
          <w:p>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履约保证金</w:t>
            </w:r>
          </w:p>
        </w:tc>
        <w:tc>
          <w:tcPr>
            <w:tcW w:w="6813" w:type="dxa"/>
            <w:vAlign w:val="center"/>
          </w:tcPr>
          <w:p>
            <w:pPr>
              <w:autoSpaceDE w:val="0"/>
              <w:autoSpaceDN w:val="0"/>
              <w:adjustRightInd w:val="0"/>
              <w:spacing w:line="360" w:lineRule="auto"/>
              <w:rPr>
                <w:rFonts w:cs="宋体" w:asciiTheme="minorEastAsia" w:hAnsiTheme="minorEastAsia"/>
                <w:color w:val="000000"/>
                <w:kern w:val="0"/>
                <w:szCs w:val="21"/>
                <w:lang w:val="zh-CN"/>
              </w:rPr>
            </w:pPr>
            <w:r>
              <w:rPr>
                <w:rFonts w:cs="宋体" w:asciiTheme="minorEastAsia" w:hAnsiTheme="minorEastAsia"/>
                <w:b/>
                <w:color w:val="000000"/>
                <w:kern w:val="0"/>
                <w:szCs w:val="21"/>
                <w:lang w:val="zh-CN"/>
              </w:rPr>
              <w:fldChar w:fldCharType="begin"/>
            </w:r>
            <w:r>
              <w:rPr>
                <w:rFonts w:hint="eastAsia" w:cs="宋体" w:asciiTheme="minorEastAsia" w:hAnsiTheme="minorEastAsia"/>
                <w:b/>
                <w:color w:val="000000"/>
                <w:kern w:val="0"/>
                <w:szCs w:val="21"/>
                <w:lang w:val="zh-CN"/>
              </w:rPr>
              <w:instrText xml:space="preserve">eq \o\ac(□,</w:instrText>
            </w:r>
            <w:r>
              <w:rPr>
                <w:rFonts w:hint="eastAsia" w:cs="宋体" w:asciiTheme="minorEastAsia" w:hAnsiTheme="minorEastAsia"/>
                <w:b/>
                <w:color w:val="000000"/>
                <w:kern w:val="0"/>
                <w:position w:val="2"/>
                <w:szCs w:val="21"/>
                <w:lang w:val="zh-CN"/>
              </w:rPr>
              <w:instrText xml:space="preserve">√</w:instrText>
            </w:r>
            <w:r>
              <w:rPr>
                <w:rFonts w:hint="eastAsia" w:cs="宋体" w:asciiTheme="minorEastAsia" w:hAnsiTheme="minorEastAsia"/>
                <w:b/>
                <w:color w:val="000000"/>
                <w:kern w:val="0"/>
                <w:szCs w:val="21"/>
                <w:lang w:val="zh-CN"/>
              </w:rPr>
              <w:instrText xml:space="preserve">)</w:instrText>
            </w:r>
            <w:r>
              <w:rPr>
                <w:rFonts w:cs="宋体" w:asciiTheme="minorEastAsia" w:hAnsiTheme="minorEastAsia"/>
                <w:b/>
                <w:color w:val="000000"/>
                <w:kern w:val="0"/>
                <w:szCs w:val="21"/>
                <w:lang w:val="zh-CN"/>
              </w:rPr>
              <w:fldChar w:fldCharType="end"/>
            </w:r>
            <w:r>
              <w:rPr>
                <w:rFonts w:hint="eastAsia" w:cs="宋体" w:asciiTheme="minorEastAsia" w:hAnsiTheme="minorEastAsia"/>
                <w:bCs/>
                <w:szCs w:val="21"/>
                <w:lang w:val="zh-CN"/>
              </w:rPr>
              <w:t>无要求</w:t>
            </w:r>
          </w:p>
          <w:p>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
                <w:bCs/>
                <w:szCs w:val="21"/>
                <w:lang w:val="zh-CN"/>
              </w:rPr>
              <w:t>□</w:t>
            </w:r>
            <w:r>
              <w:rPr>
                <w:rFonts w:hint="eastAsia" w:cs="宋体" w:asciiTheme="minorEastAsia" w:hAnsiTheme="minorEastAsia"/>
                <w:color w:val="333333"/>
                <w:szCs w:val="21"/>
              </w:rPr>
              <w:t>要求提交。履约保证金的数额为合同金额</w:t>
            </w:r>
            <w:r>
              <w:rPr>
                <w:rFonts w:hint="eastAsia" w:ascii="新宋体" w:hAnsi="新宋体" w:eastAsia="新宋体"/>
                <w:szCs w:val="21"/>
              </w:rPr>
              <w:t>的10%</w:t>
            </w:r>
            <w:r>
              <w:rPr>
                <w:rFonts w:hint="eastAsia" w:cs="宋体" w:asciiTheme="minorEastAsia" w:hAnsiTheme="minorEastAsia"/>
                <w:color w:val="333333"/>
                <w:szCs w:val="21"/>
              </w:rPr>
              <w:t>。成交供应商以支票、汇票、本票或者金融机构、担保机构出具的保函等非现金形式向采购人提交。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24</w:t>
            </w:r>
          </w:p>
        </w:tc>
        <w:tc>
          <w:tcPr>
            <w:tcW w:w="2268" w:type="dxa"/>
            <w:vAlign w:val="center"/>
          </w:tcPr>
          <w:p>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代理服务费</w:t>
            </w:r>
          </w:p>
        </w:tc>
        <w:tc>
          <w:tcPr>
            <w:tcW w:w="6813" w:type="dxa"/>
            <w:vAlign w:val="center"/>
          </w:tcPr>
          <w:p>
            <w:pPr>
              <w:autoSpaceDE w:val="0"/>
              <w:autoSpaceDN w:val="0"/>
              <w:spacing w:line="360" w:lineRule="auto"/>
              <w:contextualSpacing/>
              <w:rPr>
                <w:rFonts w:cs="宋体" w:asciiTheme="minorEastAsia" w:hAnsiTheme="minorEastAsia"/>
                <w:bCs/>
                <w:szCs w:val="21"/>
                <w:lang w:val="zh-CN"/>
              </w:rPr>
            </w:pPr>
            <w:r>
              <w:rPr>
                <w:rFonts w:cs="宋体" w:asciiTheme="minorEastAsia" w:hAnsiTheme="minorEastAsia"/>
                <w:b/>
                <w:color w:val="000000"/>
                <w:kern w:val="0"/>
                <w:szCs w:val="21"/>
                <w:lang w:val="zh-CN"/>
              </w:rPr>
              <w:fldChar w:fldCharType="begin"/>
            </w:r>
            <w:r>
              <w:rPr>
                <w:rFonts w:hint="eastAsia" w:cs="宋体" w:asciiTheme="minorEastAsia" w:hAnsiTheme="minorEastAsia"/>
                <w:b/>
                <w:color w:val="000000"/>
                <w:kern w:val="0"/>
                <w:szCs w:val="21"/>
                <w:lang w:val="zh-CN"/>
              </w:rPr>
              <w:instrText xml:space="preserve">eq \o\ac(□,</w:instrText>
            </w:r>
            <w:r>
              <w:rPr>
                <w:rFonts w:hint="eastAsia" w:cs="宋体" w:asciiTheme="minorEastAsia" w:hAnsiTheme="minorEastAsia"/>
                <w:b/>
                <w:color w:val="000000"/>
                <w:kern w:val="0"/>
                <w:position w:val="2"/>
                <w:szCs w:val="21"/>
                <w:lang w:val="zh-CN"/>
              </w:rPr>
              <w:instrText xml:space="preserve">√</w:instrText>
            </w:r>
            <w:r>
              <w:rPr>
                <w:rFonts w:hint="eastAsia" w:cs="宋体" w:asciiTheme="minorEastAsia" w:hAnsiTheme="minorEastAsia"/>
                <w:b/>
                <w:color w:val="000000"/>
                <w:kern w:val="0"/>
                <w:szCs w:val="21"/>
                <w:lang w:val="zh-CN"/>
              </w:rPr>
              <w:instrText xml:space="preserve">)</w:instrText>
            </w:r>
            <w:r>
              <w:rPr>
                <w:rFonts w:cs="宋体" w:asciiTheme="minorEastAsia" w:hAnsiTheme="minorEastAsia"/>
                <w:b/>
                <w:color w:val="000000"/>
                <w:kern w:val="0"/>
                <w:szCs w:val="21"/>
                <w:lang w:val="zh-CN"/>
              </w:rPr>
              <w:fldChar w:fldCharType="end"/>
            </w:r>
            <w:r>
              <w:rPr>
                <w:rFonts w:hint="eastAsia" w:cs="宋体" w:asciiTheme="minorEastAsia" w:hAnsiTheme="minorEastAsia"/>
                <w:bCs/>
                <w:szCs w:val="21"/>
                <w:lang w:val="zh-CN"/>
              </w:rPr>
              <w:t>不收取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25</w:t>
            </w:r>
          </w:p>
        </w:tc>
        <w:tc>
          <w:tcPr>
            <w:tcW w:w="2268" w:type="dxa"/>
            <w:vAlign w:val="center"/>
          </w:tcPr>
          <w:p>
            <w:pPr>
              <w:autoSpaceDE w:val="0"/>
              <w:autoSpaceDN w:val="0"/>
              <w:adjustRightInd w:val="0"/>
              <w:spacing w:line="360" w:lineRule="auto"/>
              <w:jc w:val="center"/>
              <w:rPr>
                <w:rFonts w:hint="eastAsia" w:cs="宋体" w:asciiTheme="minorEastAsia" w:hAnsiTheme="minorEastAsia"/>
                <w:bCs/>
                <w:szCs w:val="21"/>
                <w:lang w:val="zh-CN"/>
              </w:rPr>
            </w:pPr>
            <w:r>
              <w:rPr>
                <w:rFonts w:hint="eastAsia" w:cs="宋体" w:asciiTheme="minorEastAsia" w:hAnsiTheme="minorEastAsia"/>
                <w:bCs/>
                <w:szCs w:val="21"/>
                <w:lang w:val="zh-CN"/>
              </w:rPr>
              <w:t>成交供应商</w:t>
            </w:r>
          </w:p>
          <w:p>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需提交的资料</w:t>
            </w:r>
          </w:p>
        </w:tc>
        <w:tc>
          <w:tcPr>
            <w:tcW w:w="6813" w:type="dxa"/>
            <w:vAlign w:val="center"/>
          </w:tcPr>
          <w:p>
            <w:pPr>
              <w:autoSpaceDE w:val="0"/>
              <w:autoSpaceDN w:val="0"/>
              <w:adjustRightInd w:val="0"/>
              <w:spacing w:line="360" w:lineRule="auto"/>
              <w:rPr>
                <w:rFonts w:hint="eastAsia" w:cs="宋体" w:asciiTheme="minorEastAsia" w:hAnsiTheme="minorEastAsia"/>
                <w:bCs/>
                <w:szCs w:val="21"/>
                <w:lang w:val="zh-CN"/>
              </w:rPr>
            </w:pPr>
            <w:r>
              <w:rPr>
                <w:rFonts w:hint="eastAsia" w:cs="宋体" w:asciiTheme="minorEastAsia" w:hAnsiTheme="minorEastAsia"/>
                <w:bCs/>
                <w:szCs w:val="21"/>
                <w:lang w:val="zh-CN"/>
              </w:rPr>
              <w:t>成交供应商在接到成交通知时，须</w:t>
            </w:r>
            <w:r>
              <w:rPr>
                <w:rFonts w:hint="eastAsia" w:ascii="新宋体" w:hAnsi="新宋体" w:eastAsia="新宋体"/>
                <w:szCs w:val="21"/>
              </w:rPr>
              <w:t>向</w:t>
            </w:r>
            <w:r>
              <w:rPr>
                <w:rFonts w:hint="eastAsia" w:ascii="新宋体" w:hAnsi="新宋体" w:eastAsia="新宋体"/>
                <w:szCs w:val="21"/>
                <w:lang w:eastAsia="zh-CN"/>
              </w:rPr>
              <w:t>禹州</w:t>
            </w:r>
            <w:r>
              <w:rPr>
                <w:rFonts w:hint="eastAsia" w:ascii="新宋体" w:hAnsi="新宋体" w:eastAsia="新宋体"/>
                <w:szCs w:val="21"/>
              </w:rPr>
              <w:t>市公共资源交易中心交易见证部发</w:t>
            </w:r>
            <w:r>
              <w:rPr>
                <w:rFonts w:hint="eastAsia" w:cs="宋体" w:asciiTheme="minorEastAsia" w:hAnsiTheme="minorEastAsia"/>
                <w:bCs/>
                <w:szCs w:val="21"/>
                <w:lang w:val="zh-CN"/>
              </w:rPr>
              <w:t>送响应报价及分项报价一览表（包含主要成交标的的名称、规格型号、数量、单价、服务要求等）电子文档，并同时电话告知交易见证部。</w:t>
            </w:r>
          </w:p>
          <w:p>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Cs/>
                <w:szCs w:val="21"/>
                <w:lang w:val="zh-CN"/>
              </w:rPr>
              <w:t xml:space="preserve"> </w:t>
            </w:r>
            <w:r>
              <w:rPr>
                <w:rFonts w:hint="eastAsia" w:cs="宋体" w:asciiTheme="minorEastAsia" w:hAnsiTheme="minorEastAsia"/>
                <w:bCs/>
                <w:sz w:val="24"/>
                <w:szCs w:val="24"/>
                <w:lang w:val="zh-CN"/>
              </w:rPr>
              <w:t>联系电话：</w:t>
            </w:r>
            <w:r>
              <w:rPr>
                <w:rFonts w:hint="eastAsia" w:cs="宋体" w:asciiTheme="minorEastAsia" w:hAnsiTheme="minorEastAsia"/>
                <w:bCs/>
                <w:color w:val="FF0000"/>
                <w:sz w:val="24"/>
                <w:szCs w:val="24"/>
                <w:lang w:val="zh-CN"/>
              </w:rPr>
              <w:t>0374-</w:t>
            </w:r>
            <w:r>
              <w:rPr>
                <w:rFonts w:hint="eastAsia" w:cs="宋体" w:asciiTheme="minorEastAsia" w:hAnsiTheme="minorEastAsia"/>
                <w:bCs/>
                <w:color w:val="FF0000"/>
                <w:sz w:val="24"/>
                <w:szCs w:val="24"/>
              </w:rPr>
              <w:t>2077772</w:t>
            </w:r>
            <w:r>
              <w:rPr>
                <w:rFonts w:hint="eastAsia" w:cs="宋体" w:asciiTheme="minorEastAsia" w:hAnsiTheme="minorEastAsia"/>
                <w:bCs/>
                <w:color w:val="FF0000"/>
                <w:sz w:val="24"/>
                <w:szCs w:val="24"/>
                <w:lang w:val="zh-CN"/>
              </w:rPr>
              <w:t>，邮箱：</w:t>
            </w:r>
            <w:r>
              <w:rPr>
                <w:rFonts w:hint="eastAsia" w:cs="宋体" w:asciiTheme="minorEastAsia" w:hAnsiTheme="minorEastAsia"/>
                <w:bCs/>
                <w:color w:val="FF0000"/>
                <w:sz w:val="24"/>
                <w:szCs w:val="24"/>
              </w:rPr>
              <w:t>YCGGZY2076770</w:t>
            </w:r>
            <w:r>
              <w:rPr>
                <w:rFonts w:hint="eastAsia" w:cs="宋体" w:asciiTheme="minorEastAsia" w:hAnsiTheme="minorEastAsia"/>
                <w:bCs/>
                <w:color w:val="FF0000"/>
                <w:sz w:val="24"/>
                <w:szCs w:val="24"/>
                <w:lang w:val="zh-CN"/>
              </w:rPr>
              <w:t>@163.com。</w:t>
            </w:r>
            <w:r>
              <w:rPr>
                <w:rFonts w:hint="eastAsia" w:cs="宋体" w:asciiTheme="minorEastAsia" w:hAnsiTheme="minorEastAsia"/>
                <w:bCs/>
                <w:szCs w:val="21"/>
                <w:lang w:val="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26</w:t>
            </w:r>
          </w:p>
        </w:tc>
        <w:tc>
          <w:tcPr>
            <w:tcW w:w="2268" w:type="dxa"/>
            <w:vAlign w:val="center"/>
          </w:tcPr>
          <w:p>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电子化采购模式</w:t>
            </w:r>
          </w:p>
        </w:tc>
        <w:tc>
          <w:tcPr>
            <w:tcW w:w="6813" w:type="dxa"/>
            <w:vAlign w:val="center"/>
          </w:tcPr>
          <w:p>
            <w:pPr>
              <w:autoSpaceDE w:val="0"/>
              <w:autoSpaceDN w:val="0"/>
              <w:adjustRightInd w:val="0"/>
              <w:spacing w:line="360" w:lineRule="auto"/>
              <w:contextualSpacing/>
              <w:rPr>
                <w:rFonts w:hAnsi="宋体" w:cs="宋体"/>
                <w:szCs w:val="21"/>
                <w:lang w:val="zh-CN"/>
              </w:rPr>
            </w:pPr>
            <w:r>
              <w:rPr>
                <w:rFonts w:cs="宋体" w:asciiTheme="minorEastAsia" w:hAnsiTheme="minorEastAsia"/>
                <w:b/>
                <w:color w:val="000000"/>
                <w:kern w:val="0"/>
                <w:szCs w:val="21"/>
                <w:lang w:val="zh-CN"/>
              </w:rPr>
              <w:fldChar w:fldCharType="begin"/>
            </w:r>
            <w:r>
              <w:rPr>
                <w:rFonts w:hint="eastAsia" w:cs="宋体" w:asciiTheme="minorEastAsia" w:hAnsiTheme="minorEastAsia"/>
                <w:b/>
                <w:color w:val="000000"/>
                <w:kern w:val="0"/>
                <w:szCs w:val="21"/>
                <w:lang w:val="zh-CN"/>
              </w:rPr>
              <w:instrText xml:space="preserve">eq \o\ac(□,</w:instrText>
            </w:r>
            <w:r>
              <w:rPr>
                <w:rFonts w:hint="eastAsia" w:cs="宋体" w:asciiTheme="minorEastAsia" w:hAnsiTheme="minorEastAsia"/>
                <w:b/>
                <w:color w:val="000000"/>
                <w:kern w:val="0"/>
                <w:position w:val="2"/>
                <w:szCs w:val="21"/>
                <w:lang w:val="zh-CN"/>
              </w:rPr>
              <w:instrText xml:space="preserve">√</w:instrText>
            </w:r>
            <w:r>
              <w:rPr>
                <w:rFonts w:hint="eastAsia" w:cs="宋体" w:asciiTheme="minorEastAsia" w:hAnsiTheme="minorEastAsia"/>
                <w:b/>
                <w:color w:val="000000"/>
                <w:kern w:val="0"/>
                <w:szCs w:val="21"/>
                <w:lang w:val="zh-CN"/>
              </w:rPr>
              <w:instrText xml:space="preserve">)</w:instrText>
            </w:r>
            <w:r>
              <w:rPr>
                <w:rFonts w:cs="宋体" w:asciiTheme="minorEastAsia" w:hAnsiTheme="minorEastAsia"/>
                <w:b/>
                <w:color w:val="000000"/>
                <w:kern w:val="0"/>
                <w:szCs w:val="21"/>
                <w:lang w:val="zh-CN"/>
              </w:rPr>
              <w:fldChar w:fldCharType="end"/>
            </w:r>
            <w:r>
              <w:rPr>
                <w:rFonts w:hint="eastAsia" w:cs="宋体" w:asciiTheme="minorEastAsia" w:hAnsiTheme="minorEastAsia"/>
                <w:bCs/>
                <w:szCs w:val="21"/>
                <w:lang w:val="zh-CN"/>
              </w:rPr>
              <w:t>是。</w:t>
            </w:r>
            <w:r>
              <w:rPr>
                <w:rFonts w:hint="eastAsia" w:hAnsi="宋体" w:cs="宋体"/>
                <w:szCs w:val="21"/>
                <w:lang w:val="zh-CN"/>
              </w:rPr>
              <w:t>供应商响应时须提供加密电子响应文件、备份文件（使用电子介质存储）、纸质响应文件。供应商资质、业绩、荣誉及相关人员证明材料等资料原件谈判响应文件递交现场不再提供（本谈判文件第六章另有要求提供原件的除外）。</w:t>
            </w:r>
          </w:p>
          <w:p>
            <w:pPr>
              <w:autoSpaceDE w:val="0"/>
              <w:autoSpaceDN w:val="0"/>
              <w:adjustRightInd w:val="0"/>
              <w:spacing w:line="360" w:lineRule="auto"/>
              <w:contextualSpacing/>
              <w:rPr>
                <w:rFonts w:cs="宋体" w:asciiTheme="minorEastAsia" w:hAnsiTheme="minorEastAsia"/>
                <w:bCs/>
                <w:szCs w:val="21"/>
                <w:lang w:val="zh-CN"/>
              </w:rPr>
            </w:pPr>
            <w:r>
              <w:rPr>
                <w:rFonts w:hint="eastAsia" w:hAnsi="宋体" w:cs="宋体"/>
                <w:szCs w:val="21"/>
                <w:lang w:val="zh-CN"/>
              </w:rPr>
              <w:t>□否。供应商响应时须提供纸质响应文件。供应商资质、业绩、荣誉及相关人员证明材料等资料原件根据谈判文件要求提供。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806" w:type="dxa"/>
            <w:vAlign w:val="center"/>
          </w:tcPr>
          <w:p>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27</w:t>
            </w:r>
          </w:p>
        </w:tc>
        <w:tc>
          <w:tcPr>
            <w:tcW w:w="2268" w:type="dxa"/>
            <w:vAlign w:val="center"/>
          </w:tcPr>
          <w:p>
            <w:pPr>
              <w:autoSpaceDE w:val="0"/>
              <w:autoSpaceDN w:val="0"/>
              <w:adjustRightInd w:val="0"/>
              <w:spacing w:line="360" w:lineRule="auto"/>
              <w:jc w:val="center"/>
              <w:rPr>
                <w:rFonts w:cs="宋体" w:asciiTheme="minorEastAsia" w:hAnsiTheme="minorEastAsia"/>
                <w:bCs/>
                <w:color w:val="FF0000"/>
                <w:szCs w:val="21"/>
                <w:lang w:val="zh-CN"/>
              </w:rPr>
            </w:pPr>
            <w:r>
              <w:rPr>
                <w:rFonts w:hint="eastAsia" w:cs="宋体" w:asciiTheme="minorEastAsia" w:hAnsiTheme="minorEastAsia"/>
                <w:bCs/>
                <w:color w:val="FF0000"/>
                <w:szCs w:val="21"/>
                <w:lang w:val="zh-CN"/>
              </w:rPr>
              <w:t>特别提示</w:t>
            </w:r>
          </w:p>
        </w:tc>
        <w:tc>
          <w:tcPr>
            <w:tcW w:w="6813" w:type="dxa"/>
            <w:vAlign w:val="center"/>
          </w:tcPr>
          <w:p>
            <w:pPr>
              <w:autoSpaceDE w:val="0"/>
              <w:autoSpaceDN w:val="0"/>
              <w:adjustRightInd w:val="0"/>
              <w:spacing w:line="360" w:lineRule="auto"/>
              <w:contextualSpacing/>
              <w:rPr>
                <w:rFonts w:ascii="ˎ̥" w:hAnsi="ˎ̥"/>
                <w:color w:val="FF0000"/>
              </w:rPr>
            </w:pPr>
            <w:r>
              <w:rPr>
                <w:rFonts w:hint="eastAsia" w:ascii="ˎ̥" w:hAnsi="ˎ̥"/>
                <w:color w:val="FF0000"/>
              </w:rPr>
              <w:t>按照《关于推进全流程电子化交易和在线监管工作有关问题的通知》（许公管办[2019]3号）规定：</w:t>
            </w:r>
          </w:p>
          <w:p>
            <w:pPr>
              <w:autoSpaceDE w:val="0"/>
              <w:autoSpaceDN w:val="0"/>
              <w:adjustRightInd w:val="0"/>
              <w:spacing w:line="360" w:lineRule="auto"/>
              <w:contextualSpacing/>
              <w:rPr>
                <w:rFonts w:ascii="ˎ̥" w:hAnsi="ˎ̥"/>
                <w:color w:val="FF0000"/>
              </w:rPr>
            </w:pPr>
            <w:r>
              <w:rPr>
                <w:rFonts w:hint="eastAsia" w:ascii="ˎ̥" w:hAnsi="ˎ̥"/>
                <w:color w:val="FF0000"/>
              </w:rPr>
              <w:t>不同供应商电子响应文件制作硬件特征码（网卡MAC地址、CPU序号、硬盘序列号等）雷同时，视为‘</w:t>
            </w:r>
            <w:r>
              <w:rPr>
                <w:rFonts w:ascii="ˎ̥" w:hAnsi="ˎ̥"/>
                <w:color w:val="FF0000"/>
              </w:rPr>
              <w:t>不同</w:t>
            </w:r>
            <w:r>
              <w:rPr>
                <w:rFonts w:hint="eastAsia" w:ascii="ˎ̥" w:hAnsi="ˎ̥"/>
                <w:color w:val="FF0000"/>
              </w:rPr>
              <w:t>供应商</w:t>
            </w:r>
            <w:r>
              <w:rPr>
                <w:rFonts w:ascii="ˎ̥" w:hAnsi="ˎ̥"/>
                <w:color w:val="FF0000"/>
              </w:rPr>
              <w:t>的</w:t>
            </w:r>
            <w:r>
              <w:rPr>
                <w:rFonts w:hint="eastAsia" w:ascii="ˎ̥" w:hAnsi="ˎ̥"/>
                <w:color w:val="FF0000"/>
              </w:rPr>
              <w:t>响应</w:t>
            </w:r>
            <w:r>
              <w:rPr>
                <w:rFonts w:ascii="ˎ̥" w:hAnsi="ˎ̥"/>
                <w:color w:val="FF0000"/>
              </w:rPr>
              <w:t>文件由同一单位或者个人编制</w:t>
            </w:r>
            <w:r>
              <w:rPr>
                <w:rFonts w:hint="eastAsia" w:ascii="ˎ̥" w:hAnsi="ˎ̥"/>
                <w:color w:val="FF0000"/>
              </w:rPr>
              <w:t>’或‘</w:t>
            </w:r>
            <w:r>
              <w:rPr>
                <w:rFonts w:ascii="ˎ̥" w:hAnsi="ˎ̥"/>
                <w:color w:val="FF0000"/>
              </w:rPr>
              <w:t>不同</w:t>
            </w:r>
            <w:r>
              <w:rPr>
                <w:rFonts w:hint="eastAsia" w:ascii="ˎ̥" w:hAnsi="ˎ̥"/>
                <w:color w:val="FF0000"/>
              </w:rPr>
              <w:t>供应商</w:t>
            </w:r>
            <w:r>
              <w:rPr>
                <w:rFonts w:ascii="ˎ̥" w:hAnsi="ˎ̥"/>
                <w:color w:val="FF0000"/>
              </w:rPr>
              <w:t>委托同一单位或者个人办理</w:t>
            </w:r>
            <w:r>
              <w:rPr>
                <w:rFonts w:hint="eastAsia" w:ascii="ˎ̥" w:hAnsi="ˎ̥"/>
                <w:color w:val="FF0000"/>
              </w:rPr>
              <w:t>响应</w:t>
            </w:r>
            <w:r>
              <w:rPr>
                <w:rFonts w:ascii="ˎ̥" w:hAnsi="ˎ̥"/>
                <w:color w:val="FF0000"/>
              </w:rPr>
              <w:t>事宜</w:t>
            </w:r>
            <w:r>
              <w:rPr>
                <w:rFonts w:hint="eastAsia" w:ascii="ˎ̥" w:hAnsi="ˎ̥"/>
                <w:color w:val="FF0000"/>
              </w:rPr>
              <w:t>’，其谈判响应无效。</w:t>
            </w:r>
          </w:p>
          <w:p>
            <w:pPr>
              <w:autoSpaceDE w:val="0"/>
              <w:autoSpaceDN w:val="0"/>
              <w:adjustRightInd w:val="0"/>
              <w:spacing w:line="360" w:lineRule="auto"/>
              <w:contextualSpacing/>
              <w:rPr>
                <w:rFonts w:hAnsi="宋体" w:cs="宋体"/>
                <w:color w:val="FF0000"/>
                <w:szCs w:val="21"/>
                <w:lang w:val="zh-CN"/>
              </w:rPr>
            </w:pPr>
            <w:r>
              <w:rPr>
                <w:rFonts w:hint="eastAsia" w:ascii="ˎ̥" w:hAnsi="ˎ̥"/>
                <w:color w:val="FF0000"/>
              </w:rPr>
              <w:t>评审专家应严格按照要求查看“硬件特征码”相关信息并进行评审，在评审报告中显示“不同供应商电子响应文件制作硬件特征码”是否雷同的分析及判定结果。</w:t>
            </w:r>
          </w:p>
        </w:tc>
      </w:tr>
    </w:tbl>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第四章 供应商须知</w:t>
      </w:r>
    </w:p>
    <w:p>
      <w:pPr>
        <w:tabs>
          <w:tab w:val="left" w:pos="1260"/>
        </w:tabs>
        <w:autoSpaceDE w:val="0"/>
        <w:autoSpaceDN w:val="0"/>
        <w:adjustRightInd w:val="0"/>
        <w:spacing w:line="360" w:lineRule="auto"/>
        <w:contextualSpacing/>
        <w:jc w:val="center"/>
        <w:rPr>
          <w:rFonts w:cs="宋体" w:asciiTheme="minorEastAsia" w:hAnsiTheme="minorEastAsia"/>
          <w:b/>
          <w:kern w:val="0"/>
          <w:sz w:val="28"/>
          <w:szCs w:val="28"/>
        </w:rPr>
      </w:pPr>
    </w:p>
    <w:p>
      <w:pPr>
        <w:tabs>
          <w:tab w:val="left" w:pos="1260"/>
        </w:tabs>
        <w:autoSpaceDE w:val="0"/>
        <w:autoSpaceDN w:val="0"/>
        <w:adjustRightInd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一、概念释义</w:t>
      </w:r>
    </w:p>
    <w:p>
      <w:pPr>
        <w:pStyle w:val="45"/>
        <w:numPr>
          <w:ilvl w:val="0"/>
          <w:numId w:val="11"/>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适用范围</w:t>
      </w:r>
    </w:p>
    <w:p>
      <w:pPr>
        <w:pStyle w:val="45"/>
        <w:numPr>
          <w:ilvl w:val="0"/>
          <w:numId w:val="12"/>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本谈判文件仅适用于本次“采购邀请”</w:t>
      </w:r>
      <w:r>
        <w:rPr>
          <w:rFonts w:hint="eastAsia" w:ascii="宋体" w:hAnsi="宋体"/>
          <w:szCs w:val="21"/>
        </w:rPr>
        <w:t xml:space="preserve"> 和“供应商须知前附表”中所述采购项目的采购。</w:t>
      </w:r>
    </w:p>
    <w:p>
      <w:pPr>
        <w:pStyle w:val="45"/>
        <w:numPr>
          <w:ilvl w:val="1"/>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本谈判文件解释权属于“采购邀请”</w:t>
      </w:r>
      <w:r>
        <w:rPr>
          <w:rFonts w:hint="eastAsia" w:ascii="宋体" w:hAnsi="宋体"/>
          <w:szCs w:val="21"/>
        </w:rPr>
        <w:t xml:space="preserve"> 和“供应商须知前附表”</w:t>
      </w:r>
      <w:r>
        <w:rPr>
          <w:rFonts w:hint="eastAsia" w:cs="宋体" w:asciiTheme="minorEastAsia" w:hAnsiTheme="minorEastAsia"/>
          <w:kern w:val="0"/>
          <w:szCs w:val="21"/>
        </w:rPr>
        <w:t>所述的采购人、集中采购机构。</w:t>
      </w:r>
    </w:p>
    <w:p>
      <w:pPr>
        <w:pStyle w:val="45"/>
        <w:numPr>
          <w:ilvl w:val="0"/>
          <w:numId w:val="11"/>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定义</w:t>
      </w:r>
    </w:p>
    <w:p>
      <w:pPr>
        <w:pStyle w:val="45"/>
        <w:numPr>
          <w:ilvl w:val="0"/>
          <w:numId w:val="12"/>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“采购项目”：</w:t>
      </w:r>
      <w:r>
        <w:rPr>
          <w:rFonts w:hint="eastAsia" w:ascii="宋体" w:hAnsi="宋体"/>
          <w:szCs w:val="21"/>
        </w:rPr>
        <w:t xml:space="preserve"> 系指</w:t>
      </w:r>
      <w:r>
        <w:rPr>
          <w:rFonts w:hint="eastAsia" w:cs="宋体" w:asciiTheme="minorEastAsia" w:hAnsiTheme="minorEastAsia"/>
          <w:kern w:val="0"/>
          <w:szCs w:val="21"/>
        </w:rPr>
        <w:t>“供应商须知前附表”中所述的采购项目。</w:t>
      </w:r>
    </w:p>
    <w:p>
      <w:pPr>
        <w:pStyle w:val="45"/>
        <w:numPr>
          <w:ilvl w:val="1"/>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“采购人、集中采购机构”：</w:t>
      </w:r>
      <w:r>
        <w:rPr>
          <w:rFonts w:hint="eastAsia" w:ascii="宋体" w:hAnsi="宋体"/>
          <w:szCs w:val="21"/>
        </w:rPr>
        <w:t>系指“供应商须知前附表”中所述的组织本次采购的集中采购机构和采购人。</w:t>
      </w:r>
    </w:p>
    <w:p>
      <w:pPr>
        <w:pStyle w:val="45"/>
        <w:numPr>
          <w:ilvl w:val="1"/>
          <w:numId w:val="11"/>
        </w:numPr>
        <w:autoSpaceDE w:val="0"/>
        <w:autoSpaceDN w:val="0"/>
        <w:spacing w:line="360" w:lineRule="auto"/>
        <w:ind w:firstLineChars="0"/>
        <w:contextualSpacing/>
        <w:rPr>
          <w:rFonts w:cs="宋体" w:asciiTheme="minorEastAsia" w:hAnsiTheme="minorEastAsia"/>
          <w:kern w:val="0"/>
          <w:szCs w:val="21"/>
        </w:rPr>
      </w:pPr>
      <w:r>
        <w:rPr>
          <w:rFonts w:hint="eastAsia" w:ascii="宋体" w:hAnsi="宋体"/>
          <w:szCs w:val="21"/>
        </w:rPr>
        <w:t>“供应商”系指从采购人、集中采购机构处按规定获取谈判文件，并按照谈判文件向采购人、集中采购机构提交响应文件的供应商。</w:t>
      </w:r>
    </w:p>
    <w:p>
      <w:pPr>
        <w:pStyle w:val="45"/>
        <w:numPr>
          <w:ilvl w:val="1"/>
          <w:numId w:val="11"/>
        </w:numPr>
        <w:autoSpaceDE w:val="0"/>
        <w:autoSpaceDN w:val="0"/>
        <w:spacing w:line="360" w:lineRule="auto"/>
        <w:ind w:firstLineChars="0"/>
        <w:contextualSpacing/>
        <w:rPr>
          <w:rFonts w:cs="宋体" w:asciiTheme="minorEastAsia" w:hAnsiTheme="minorEastAsia"/>
          <w:kern w:val="0"/>
          <w:szCs w:val="21"/>
        </w:rPr>
      </w:pPr>
      <w:r>
        <w:rPr>
          <w:rFonts w:hint="eastAsia" w:ascii="宋体" w:hAnsi="宋体"/>
          <w:szCs w:val="21"/>
        </w:rPr>
        <w:t>“成交供应商”系指成交的供应商。</w:t>
      </w:r>
    </w:p>
    <w:p>
      <w:pPr>
        <w:pStyle w:val="45"/>
        <w:numPr>
          <w:ilvl w:val="1"/>
          <w:numId w:val="11"/>
        </w:numPr>
        <w:autoSpaceDE w:val="0"/>
        <w:autoSpaceDN w:val="0"/>
        <w:spacing w:line="360" w:lineRule="auto"/>
        <w:ind w:firstLineChars="0"/>
        <w:contextualSpacing/>
        <w:rPr>
          <w:rFonts w:cs="宋体" w:asciiTheme="minorEastAsia" w:hAnsiTheme="minorEastAsia"/>
          <w:kern w:val="0"/>
          <w:szCs w:val="21"/>
        </w:rPr>
      </w:pPr>
      <w:r>
        <w:rPr>
          <w:rFonts w:hint="eastAsia" w:ascii="宋体" w:hAnsi="宋体"/>
          <w:color w:val="000000"/>
          <w:szCs w:val="21"/>
        </w:rPr>
        <w:t>“甲方”系指采购人。</w:t>
      </w:r>
    </w:p>
    <w:p>
      <w:pPr>
        <w:pStyle w:val="45"/>
        <w:numPr>
          <w:ilvl w:val="1"/>
          <w:numId w:val="11"/>
        </w:numPr>
        <w:autoSpaceDE w:val="0"/>
        <w:autoSpaceDN w:val="0"/>
        <w:spacing w:line="360" w:lineRule="auto"/>
        <w:ind w:firstLineChars="0"/>
        <w:contextualSpacing/>
        <w:rPr>
          <w:rFonts w:cs="宋体" w:asciiTheme="minorEastAsia" w:hAnsiTheme="minorEastAsia"/>
          <w:kern w:val="0"/>
          <w:szCs w:val="21"/>
        </w:rPr>
      </w:pPr>
      <w:r>
        <w:rPr>
          <w:rFonts w:hint="eastAsia" w:ascii="宋体" w:hAnsi="宋体"/>
          <w:szCs w:val="21"/>
        </w:rPr>
        <w:t>“乙方”系指成交并向采购人提供服务的供应商。</w:t>
      </w:r>
    </w:p>
    <w:p>
      <w:pPr>
        <w:pStyle w:val="45"/>
        <w:numPr>
          <w:ilvl w:val="1"/>
          <w:numId w:val="11"/>
        </w:numPr>
        <w:autoSpaceDE w:val="0"/>
        <w:autoSpaceDN w:val="0"/>
        <w:spacing w:line="360" w:lineRule="auto"/>
        <w:ind w:firstLineChars="0"/>
        <w:contextualSpacing/>
        <w:rPr>
          <w:rFonts w:cs="宋体" w:asciiTheme="minorEastAsia" w:hAnsiTheme="minorEastAsia"/>
          <w:kern w:val="0"/>
          <w:szCs w:val="21"/>
        </w:rPr>
      </w:pPr>
      <w:r>
        <w:rPr>
          <w:rFonts w:hint="eastAsia" w:ascii="宋体" w:hAnsi="宋体"/>
          <w:szCs w:val="21"/>
        </w:rPr>
        <w:t>“服务”系指磋商文件规定的供应商为完成采购项目所需承担的全部义务。</w:t>
      </w:r>
    </w:p>
    <w:p>
      <w:pPr>
        <w:pStyle w:val="45"/>
        <w:numPr>
          <w:ilvl w:val="1"/>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“进口产品”：是指通过中国海关报关验放进入中国境内且产自关境外的产品，包括已经进入中国境内的进口产品。详见《</w:t>
      </w:r>
      <w:r>
        <w:rPr>
          <w:rFonts w:cs="宋体" w:asciiTheme="minorEastAsia" w:hAnsiTheme="minorEastAsia"/>
          <w:kern w:val="0"/>
          <w:szCs w:val="21"/>
        </w:rPr>
        <w:t>关于政府采购进口产品管理有关问题的通知</w:t>
      </w:r>
      <w:r>
        <w:rPr>
          <w:rFonts w:hint="eastAsia" w:cs="宋体" w:asciiTheme="minorEastAsia" w:hAnsiTheme="minorEastAsia"/>
          <w:kern w:val="0"/>
          <w:szCs w:val="21"/>
        </w:rPr>
        <w:t>》(财库[2007]119号)、《关于政府采购进口产品管理有关问题的通知》（财办库［</w:t>
      </w:r>
      <w:r>
        <w:rPr>
          <w:rFonts w:cs="宋体" w:asciiTheme="minorEastAsia" w:hAnsiTheme="minorEastAsia"/>
          <w:kern w:val="0"/>
          <w:szCs w:val="21"/>
        </w:rPr>
        <w:t>2008</w:t>
      </w:r>
      <w:r>
        <w:rPr>
          <w:rFonts w:hint="eastAsia" w:cs="宋体" w:asciiTheme="minorEastAsia" w:hAnsiTheme="minorEastAsia"/>
          <w:kern w:val="0"/>
          <w:szCs w:val="21"/>
        </w:rPr>
        <w:t>］</w:t>
      </w:r>
      <w:r>
        <w:rPr>
          <w:rFonts w:cs="宋体" w:asciiTheme="minorEastAsia" w:hAnsiTheme="minorEastAsia"/>
          <w:kern w:val="0"/>
          <w:szCs w:val="21"/>
        </w:rPr>
        <w:t xml:space="preserve">248 </w:t>
      </w:r>
      <w:r>
        <w:rPr>
          <w:rFonts w:hint="eastAsia" w:cs="宋体" w:asciiTheme="minorEastAsia" w:hAnsiTheme="minorEastAsia"/>
          <w:kern w:val="0"/>
          <w:szCs w:val="21"/>
        </w:rPr>
        <w:t>号）。</w:t>
      </w:r>
    </w:p>
    <w:p>
      <w:pPr>
        <w:autoSpaceDE w:val="0"/>
        <w:autoSpaceDN w:val="0"/>
        <w:spacing w:line="360" w:lineRule="auto"/>
        <w:ind w:left="840" w:leftChars="400"/>
        <w:contextualSpacing/>
        <w:rPr>
          <w:rFonts w:cs="宋体" w:asciiTheme="minorEastAsia" w:hAnsiTheme="minorEastAsia"/>
          <w:kern w:val="0"/>
          <w:szCs w:val="21"/>
        </w:rPr>
      </w:pPr>
      <w:r>
        <w:rPr>
          <w:rFonts w:hint="eastAsia" w:cs="宋体" w:asciiTheme="minorEastAsia" w:hAnsiTheme="minorEastAsia"/>
          <w:kern w:val="0"/>
          <w:szCs w:val="21"/>
        </w:rPr>
        <w:t>2.8.1  谈判</w:t>
      </w:r>
      <w:r>
        <w:rPr>
          <w:rFonts w:cs="宋体" w:asciiTheme="minorEastAsia" w:hAnsiTheme="minorEastAsia"/>
          <w:kern w:val="0"/>
          <w:szCs w:val="21"/>
        </w:rPr>
        <w:t>文件列明不允许或未列明允许进口产品参加</w:t>
      </w:r>
      <w:r>
        <w:rPr>
          <w:rFonts w:hint="eastAsia" w:cs="宋体" w:asciiTheme="minorEastAsia" w:hAnsiTheme="minorEastAsia"/>
          <w:kern w:val="0"/>
          <w:szCs w:val="21"/>
        </w:rPr>
        <w:t>响应</w:t>
      </w:r>
      <w:r>
        <w:rPr>
          <w:rFonts w:cs="宋体" w:asciiTheme="minorEastAsia" w:hAnsiTheme="minorEastAsia"/>
          <w:kern w:val="0"/>
          <w:szCs w:val="21"/>
        </w:rPr>
        <w:t>的，均视为拒绝进口产品参加</w:t>
      </w:r>
      <w:r>
        <w:rPr>
          <w:rFonts w:hint="eastAsia" w:cs="宋体" w:asciiTheme="minorEastAsia" w:hAnsiTheme="minorEastAsia"/>
          <w:kern w:val="0"/>
          <w:szCs w:val="21"/>
        </w:rPr>
        <w:t>响应</w:t>
      </w:r>
      <w:r>
        <w:rPr>
          <w:rFonts w:cs="宋体" w:asciiTheme="minorEastAsia" w:hAnsiTheme="minorEastAsia"/>
          <w:kern w:val="0"/>
          <w:szCs w:val="21"/>
        </w:rPr>
        <w:t>。</w:t>
      </w:r>
    </w:p>
    <w:p>
      <w:pPr>
        <w:autoSpaceDE w:val="0"/>
        <w:autoSpaceDN w:val="0"/>
        <w:spacing w:line="360" w:lineRule="auto"/>
        <w:ind w:left="943" w:leftChars="449"/>
        <w:contextualSpacing/>
        <w:rPr>
          <w:rFonts w:cs="宋体" w:asciiTheme="minorEastAsia" w:hAnsiTheme="minorEastAsia"/>
          <w:kern w:val="0"/>
          <w:szCs w:val="21"/>
        </w:rPr>
      </w:pPr>
      <w:r>
        <w:rPr>
          <w:rFonts w:hint="eastAsia" w:cs="宋体" w:asciiTheme="minorEastAsia" w:hAnsiTheme="minorEastAsia"/>
          <w:kern w:val="0"/>
          <w:szCs w:val="21"/>
        </w:rPr>
        <w:t xml:space="preserve">2.8.2  </w:t>
      </w:r>
      <w:r>
        <w:rPr>
          <w:rFonts w:cs="宋体" w:asciiTheme="minorEastAsia" w:hAnsiTheme="minorEastAsia"/>
          <w:kern w:val="0"/>
          <w:szCs w:val="21"/>
        </w:rPr>
        <w:t>如</w:t>
      </w:r>
      <w:r>
        <w:rPr>
          <w:rFonts w:hint="eastAsia" w:cs="宋体" w:asciiTheme="minorEastAsia" w:hAnsiTheme="minorEastAsia"/>
          <w:kern w:val="0"/>
          <w:szCs w:val="21"/>
        </w:rPr>
        <w:t>响应</w:t>
      </w:r>
      <w:r>
        <w:rPr>
          <w:rFonts w:cs="宋体" w:asciiTheme="minorEastAsia" w:hAnsiTheme="minorEastAsia"/>
          <w:kern w:val="0"/>
          <w:szCs w:val="21"/>
        </w:rPr>
        <w:t>文件中已说明，经财政部门审核同意，允许部分或全部产品采购进口产品，</w:t>
      </w:r>
      <w:r>
        <w:rPr>
          <w:rFonts w:hint="eastAsia" w:cs="宋体" w:asciiTheme="minorEastAsia" w:hAnsiTheme="minorEastAsia"/>
          <w:kern w:val="0"/>
          <w:szCs w:val="21"/>
        </w:rPr>
        <w:t>供应商</w:t>
      </w:r>
      <w:r>
        <w:rPr>
          <w:rFonts w:cs="宋体" w:asciiTheme="minorEastAsia" w:hAnsiTheme="minorEastAsia"/>
          <w:kern w:val="0"/>
          <w:szCs w:val="21"/>
        </w:rPr>
        <w:t>既可提供本国产品，也可以提供进口产品。</w:t>
      </w:r>
    </w:p>
    <w:p>
      <w:pPr>
        <w:pStyle w:val="45"/>
        <w:numPr>
          <w:ilvl w:val="1"/>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谈判文件中凡标有“</w:t>
      </w:r>
      <w:r>
        <w:rPr>
          <w:rFonts w:hint="eastAsia" w:cs="宋体" w:asciiTheme="minorEastAsia" w:hAnsiTheme="minorEastAsia"/>
          <w:color w:val="FF0000"/>
          <w:kern w:val="0"/>
          <w:szCs w:val="21"/>
        </w:rPr>
        <w:t>★</w:t>
      </w:r>
      <w:r>
        <w:rPr>
          <w:rFonts w:hint="eastAsia" w:cs="宋体" w:asciiTheme="minorEastAsia" w:hAnsiTheme="minorEastAsia"/>
          <w:kern w:val="0"/>
          <w:szCs w:val="21"/>
        </w:rPr>
        <w:t>”的条款均系实质性要求条款。</w:t>
      </w:r>
    </w:p>
    <w:p>
      <w:pPr>
        <w:pStyle w:val="45"/>
        <w:numPr>
          <w:ilvl w:val="0"/>
          <w:numId w:val="11"/>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合格的供应商</w:t>
      </w:r>
    </w:p>
    <w:p>
      <w:pPr>
        <w:pStyle w:val="45"/>
        <w:numPr>
          <w:ilvl w:val="0"/>
          <w:numId w:val="12"/>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在中华人民共和国境内注册，具有本项目生产、制造、供应或实施能力，符合、承认并承诺履行本磋商文件各项规定的法人、其他组织或者自然人。</w:t>
      </w:r>
    </w:p>
    <w:p>
      <w:pPr>
        <w:pStyle w:val="45"/>
        <w:numPr>
          <w:ilvl w:val="1"/>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符合本项目“采购邀请”和“供应商须知前附表”中规定的合格供应商所必须具备的条件。</w:t>
      </w:r>
    </w:p>
    <w:p>
      <w:pPr>
        <w:pStyle w:val="45"/>
        <w:numPr>
          <w:ilvl w:val="1"/>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政府采购活动中查询及使用响应人信用记录的具体要求为：响应人未被列入失信被执行人、重大税收违法案件当事人名单、</w:t>
      </w:r>
      <w:r>
        <w:rPr>
          <w:rFonts w:cs="宋体" w:asciiTheme="minorEastAsia" w:hAnsiTheme="minorEastAsia"/>
          <w:kern w:val="0"/>
          <w:szCs w:val="21"/>
        </w:rPr>
        <w:t>政府采购严重违法失信名单</w:t>
      </w:r>
      <w:r>
        <w:rPr>
          <w:rFonts w:hint="eastAsia" w:cs="宋体" w:asciiTheme="minorEastAsia" w:hAnsiTheme="minorEastAsia"/>
          <w:kern w:val="0"/>
          <w:szCs w:val="21"/>
        </w:rPr>
        <w:t>、政府采购严重违法失信行为记录名单、严重违法失信企业名单（黑名单）、严重违法失信社会组织名单（联合体形式响应的，联合体成员存在不良信用记录，视同联合体存在不良信用记录）。</w:t>
      </w:r>
    </w:p>
    <w:p>
      <w:pPr>
        <w:pStyle w:val="45"/>
        <w:autoSpaceDE w:val="0"/>
        <w:autoSpaceDN w:val="0"/>
        <w:spacing w:line="360" w:lineRule="auto"/>
        <w:ind w:left="991" w:leftChars="472" w:firstLine="0" w:firstLineChars="0"/>
        <w:contextualSpacing/>
        <w:rPr>
          <w:rFonts w:cs="宋体" w:asciiTheme="minorEastAsia" w:hAnsiTheme="minorEastAsia"/>
          <w:kern w:val="0"/>
          <w:szCs w:val="21"/>
        </w:rPr>
      </w:pPr>
      <w:r>
        <w:rPr>
          <w:rFonts w:hint="eastAsia" w:cs="宋体" w:asciiTheme="minorEastAsia" w:hAnsiTheme="minorEastAsia"/>
          <w:kern w:val="0"/>
          <w:szCs w:val="21"/>
        </w:rPr>
        <w:t>（1）查询渠道：“信用中国”网站（</w:t>
      </w:r>
      <w:r>
        <w:rPr>
          <w:rFonts w:cs="宋体" w:asciiTheme="minorEastAsia" w:hAnsiTheme="minorEastAsia"/>
          <w:kern w:val="0"/>
          <w:szCs w:val="21"/>
        </w:rPr>
        <w:t>www.creditchina.gov.cn</w:t>
      </w:r>
      <w:r>
        <w:rPr>
          <w:rFonts w:hint="eastAsia" w:cs="宋体" w:asciiTheme="minorEastAsia" w:hAnsiTheme="minorEastAsia"/>
          <w:kern w:val="0"/>
          <w:szCs w:val="21"/>
        </w:rPr>
        <w:t>）、“中国政府采购网”（</w:t>
      </w:r>
      <w:r>
        <w:rPr>
          <w:rFonts w:cs="宋体" w:asciiTheme="minorEastAsia" w:hAnsiTheme="minorEastAsia"/>
          <w:kern w:val="0"/>
          <w:szCs w:val="21"/>
        </w:rPr>
        <w:t>www.ccgp.gov.cn</w:t>
      </w:r>
      <w:r>
        <w:rPr>
          <w:rFonts w:hint="eastAsia" w:cs="宋体" w:asciiTheme="minorEastAsia" w:hAnsiTheme="minorEastAsia"/>
          <w:kern w:val="0"/>
          <w:szCs w:val="21"/>
        </w:rPr>
        <w:t>）、</w:t>
      </w:r>
      <w:r>
        <w:rPr>
          <w:rFonts w:hint="eastAsia" w:cs="仿宋_GB2312" w:asciiTheme="minorEastAsia" w:hAnsiTheme="minorEastAsia"/>
          <w:color w:val="000000"/>
          <w:szCs w:val="21"/>
          <w:shd w:val="clear" w:color="auto" w:fill="FFFFFF"/>
        </w:rPr>
        <w:t>“国家企业信用公示系统”网站（</w:t>
      </w:r>
      <w:r>
        <w:rPr>
          <w:rFonts w:cs="仿宋_GB2312" w:asciiTheme="minorEastAsia" w:hAnsiTheme="minorEastAsia"/>
          <w:color w:val="000000"/>
          <w:szCs w:val="21"/>
          <w:shd w:val="clear" w:color="auto" w:fill="FFFFFF"/>
        </w:rPr>
        <w:t>www.gsxt.gov.cn</w:t>
      </w:r>
      <w:r>
        <w:rPr>
          <w:rFonts w:hint="eastAsia" w:cs="仿宋_GB2312" w:asciiTheme="minorEastAsia" w:hAnsiTheme="minorEastAsia"/>
          <w:color w:val="000000"/>
          <w:szCs w:val="21"/>
          <w:shd w:val="clear" w:color="auto" w:fill="FFFFFF"/>
        </w:rPr>
        <w:t>）</w:t>
      </w:r>
      <w:r>
        <w:rPr>
          <w:rFonts w:hint="eastAsia" w:cs="宋体" w:asciiTheme="minorEastAsia" w:hAnsiTheme="minorEastAsia"/>
          <w:kern w:val="0"/>
          <w:szCs w:val="21"/>
        </w:rPr>
        <w:t>；“中国社会组织公共服务平台”网站（</w:t>
      </w:r>
      <w:r>
        <w:rPr>
          <w:rFonts w:cs="宋体" w:asciiTheme="minorEastAsia" w:hAnsiTheme="minorEastAsia"/>
          <w:kern w:val="0"/>
          <w:szCs w:val="21"/>
        </w:rPr>
        <w:t>www.chinanpo.gov.cn</w:t>
      </w:r>
      <w:r>
        <w:rPr>
          <w:rFonts w:hint="eastAsia" w:cs="宋体" w:asciiTheme="minorEastAsia" w:hAnsiTheme="minorEastAsia"/>
          <w:kern w:val="0"/>
          <w:szCs w:val="21"/>
        </w:rPr>
        <w:t>）。</w:t>
      </w:r>
    </w:p>
    <w:p>
      <w:pPr>
        <w:pStyle w:val="45"/>
        <w:autoSpaceDE w:val="0"/>
        <w:autoSpaceDN w:val="0"/>
        <w:spacing w:line="360" w:lineRule="auto"/>
        <w:ind w:left="420"/>
        <w:contextualSpacing/>
        <w:rPr>
          <w:rFonts w:cs="宋体" w:asciiTheme="minorEastAsia" w:hAnsiTheme="minorEastAsia"/>
          <w:kern w:val="0"/>
          <w:szCs w:val="21"/>
        </w:rPr>
      </w:pPr>
      <w:r>
        <w:rPr>
          <w:rFonts w:hint="eastAsia" w:cs="宋体" w:asciiTheme="minorEastAsia" w:hAnsiTheme="minorEastAsia"/>
          <w:kern w:val="0"/>
          <w:szCs w:val="21"/>
        </w:rPr>
        <w:t>（2）截止时间：同响应截止时间。</w:t>
      </w:r>
    </w:p>
    <w:p>
      <w:pPr>
        <w:pStyle w:val="45"/>
        <w:autoSpaceDE w:val="0"/>
        <w:autoSpaceDN w:val="0"/>
        <w:spacing w:line="360" w:lineRule="auto"/>
        <w:ind w:left="990" w:leftChars="403" w:hanging="144" w:hangingChars="69"/>
        <w:contextualSpacing/>
        <w:rPr>
          <w:rFonts w:cs="宋体" w:asciiTheme="minorEastAsia" w:hAnsiTheme="minorEastAsia"/>
          <w:kern w:val="0"/>
          <w:szCs w:val="21"/>
        </w:rPr>
      </w:pPr>
      <w:r>
        <w:rPr>
          <w:rFonts w:hint="eastAsia" w:cs="宋体" w:asciiTheme="minorEastAsia" w:hAnsiTheme="minorEastAsia"/>
          <w:kern w:val="0"/>
          <w:szCs w:val="21"/>
        </w:rPr>
        <w:t>（3）信用信息查询记录和证据留存具体方式：经谈判小组确认的查询结果网页截图作为查询记录和证据，与其他采购文件一并保存。</w:t>
      </w:r>
    </w:p>
    <w:p>
      <w:pPr>
        <w:pStyle w:val="45"/>
        <w:autoSpaceDE w:val="0"/>
        <w:autoSpaceDN w:val="0"/>
        <w:spacing w:line="360" w:lineRule="auto"/>
        <w:ind w:left="990" w:leftChars="403" w:hanging="144" w:hangingChars="69"/>
        <w:contextualSpacing/>
        <w:rPr>
          <w:rFonts w:cs="宋体" w:asciiTheme="minorEastAsia" w:hAnsiTheme="minorEastAsia"/>
          <w:kern w:val="0"/>
          <w:szCs w:val="21"/>
        </w:rPr>
      </w:pPr>
      <w:r>
        <w:rPr>
          <w:rFonts w:hint="eastAsia" w:cs="宋体" w:asciiTheme="minorEastAsia" w:hAnsiTheme="minorEastAsia"/>
          <w:kern w:val="0"/>
          <w:szCs w:val="21"/>
        </w:rPr>
        <w:t>（4）信用信息的使用原则：经谈判小组认定的被列入失信被执行人、重大税收违法案件当事人名单、政府采购严重违法失信行为记录名单、严重违法失信企业名单（黑名单）、严重违法失信社会组织名单的响应人，将拒绝其参与本次政府采购活动。</w:t>
      </w:r>
    </w:p>
    <w:p>
      <w:pPr>
        <w:pStyle w:val="45"/>
        <w:autoSpaceDE w:val="0"/>
        <w:autoSpaceDN w:val="0"/>
        <w:spacing w:line="360" w:lineRule="auto"/>
        <w:ind w:left="850" w:leftChars="405" w:firstLine="0" w:firstLineChars="0"/>
        <w:contextualSpacing/>
        <w:rPr>
          <w:rFonts w:cs="宋体" w:asciiTheme="minorEastAsia" w:hAnsiTheme="minorEastAsia"/>
          <w:kern w:val="0"/>
          <w:szCs w:val="21"/>
        </w:rPr>
      </w:pPr>
      <w:r>
        <w:rPr>
          <w:rFonts w:hint="eastAsia" w:cs="宋体" w:asciiTheme="minorEastAsia" w:hAnsiTheme="minorEastAsia"/>
          <w:kern w:val="0"/>
          <w:szCs w:val="21"/>
        </w:rPr>
        <w:t>（5）供应商不良信用记录以谈判小组查询结果为准，谈判小组查询之后，网站信息发生的任何变更不再作为评审依据，供应商自行提供的与网站信息不一致的其他证明材料亦不作为评审依据。</w:t>
      </w:r>
    </w:p>
    <w:p>
      <w:pPr>
        <w:pStyle w:val="45"/>
        <w:numPr>
          <w:ilvl w:val="1"/>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单位负责人为同一人或者存在直接控股、管理关系的不同供应商，不得同时参加本项目报价。违反规定的，相关响应均无效。</w:t>
      </w:r>
    </w:p>
    <w:p>
      <w:pPr>
        <w:pStyle w:val="45"/>
        <w:numPr>
          <w:ilvl w:val="1"/>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为采购项目提供整体设计、规范编制或者项目管理、监理、检测等服务的供应商，不得再参加该采购项目的其他采购活动。</w:t>
      </w:r>
    </w:p>
    <w:p>
      <w:pPr>
        <w:pStyle w:val="45"/>
        <w:numPr>
          <w:ilvl w:val="1"/>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“采购邀请”和“供应商须知前附表”规定接受联合体响应的，除应符合本章第</w:t>
      </w:r>
      <w:r>
        <w:rPr>
          <w:rFonts w:cs="宋体" w:asciiTheme="minorEastAsia" w:hAnsiTheme="minorEastAsia"/>
          <w:kern w:val="0"/>
          <w:szCs w:val="21"/>
        </w:rPr>
        <w:t>3.1</w:t>
      </w:r>
      <w:r>
        <w:rPr>
          <w:rFonts w:hint="eastAsia" w:cs="宋体" w:asciiTheme="minorEastAsia" w:hAnsiTheme="minorEastAsia"/>
          <w:kern w:val="0"/>
          <w:szCs w:val="21"/>
        </w:rPr>
        <w:t>项和3.2项要求外，还应遵守以下规定：</w:t>
      </w:r>
    </w:p>
    <w:p>
      <w:pPr>
        <w:pStyle w:val="45"/>
        <w:autoSpaceDE w:val="0"/>
        <w:autoSpaceDN w:val="0"/>
        <w:spacing w:line="360" w:lineRule="auto"/>
        <w:ind w:left="1984" w:leftChars="474" w:hanging="989" w:hangingChars="471"/>
        <w:contextualSpacing/>
        <w:rPr>
          <w:rFonts w:cs="宋体" w:asciiTheme="minorEastAsia" w:hAnsiTheme="minorEastAsia"/>
          <w:kern w:val="0"/>
          <w:szCs w:val="21"/>
        </w:rPr>
      </w:pPr>
      <w:r>
        <w:rPr>
          <w:rFonts w:hint="eastAsia" w:cs="宋体" w:asciiTheme="minorEastAsia" w:hAnsiTheme="minorEastAsia"/>
          <w:kern w:val="0"/>
          <w:szCs w:val="21"/>
        </w:rPr>
        <w:t>3.6.1    在响应文件中向采购人提交联合体协议书，明确联合体各方承担的工作和义务；</w:t>
      </w:r>
    </w:p>
    <w:p>
      <w:pPr>
        <w:pStyle w:val="45"/>
        <w:autoSpaceDE w:val="0"/>
        <w:autoSpaceDN w:val="0"/>
        <w:spacing w:line="360" w:lineRule="auto"/>
        <w:ind w:left="1984" w:leftChars="474" w:hanging="989" w:hangingChars="471"/>
        <w:contextualSpacing/>
        <w:rPr>
          <w:rFonts w:cs="宋体" w:asciiTheme="minorEastAsia" w:hAnsiTheme="minorEastAsia"/>
          <w:kern w:val="0"/>
          <w:szCs w:val="21"/>
        </w:rPr>
      </w:pPr>
      <w:r>
        <w:rPr>
          <w:rFonts w:hint="eastAsia" w:cs="宋体" w:asciiTheme="minorEastAsia" w:hAnsiTheme="minorEastAsia"/>
          <w:kern w:val="0"/>
          <w:szCs w:val="21"/>
        </w:rPr>
        <w:t>3.6.2    联合体中有同类资质的供应商按联合体分工承担相同工作的，应当按照资质等级较低的供应商确定资质等级；</w:t>
      </w:r>
    </w:p>
    <w:p>
      <w:pPr>
        <w:pStyle w:val="45"/>
        <w:autoSpaceDE w:val="0"/>
        <w:autoSpaceDN w:val="0"/>
        <w:spacing w:line="360" w:lineRule="auto"/>
        <w:ind w:left="1984" w:leftChars="474" w:hanging="989" w:hangingChars="471"/>
        <w:contextualSpacing/>
        <w:rPr>
          <w:rFonts w:cs="宋体" w:asciiTheme="minorEastAsia" w:hAnsiTheme="minorEastAsia"/>
          <w:kern w:val="0"/>
          <w:szCs w:val="21"/>
        </w:rPr>
      </w:pPr>
      <w:r>
        <w:rPr>
          <w:rFonts w:hint="eastAsia" w:cs="宋体" w:asciiTheme="minorEastAsia" w:hAnsiTheme="minorEastAsia"/>
          <w:kern w:val="0"/>
          <w:szCs w:val="21"/>
        </w:rPr>
        <w:t>3.6.3    采购人根据采购项目的特殊要求规定供应商特定条件的，联合体各方中至少应当有一方符合采购规定的特定条件。</w:t>
      </w:r>
    </w:p>
    <w:p>
      <w:pPr>
        <w:pStyle w:val="45"/>
        <w:autoSpaceDE w:val="0"/>
        <w:autoSpaceDN w:val="0"/>
        <w:spacing w:line="360" w:lineRule="auto"/>
        <w:ind w:left="1984" w:leftChars="474" w:hanging="989" w:hangingChars="471"/>
        <w:contextualSpacing/>
        <w:rPr>
          <w:rFonts w:cs="宋体" w:asciiTheme="minorEastAsia" w:hAnsiTheme="minorEastAsia"/>
          <w:kern w:val="0"/>
          <w:szCs w:val="21"/>
        </w:rPr>
      </w:pPr>
      <w:r>
        <w:rPr>
          <w:rFonts w:hint="eastAsia" w:cs="宋体" w:asciiTheme="minorEastAsia" w:hAnsiTheme="minorEastAsia"/>
          <w:kern w:val="0"/>
          <w:szCs w:val="21"/>
        </w:rPr>
        <w:t>3.6.4    联合体各方不得再单独参加或者与其他供应商另外组成联合体参加同一合同项下的政府采购活动。</w:t>
      </w:r>
    </w:p>
    <w:p>
      <w:pPr>
        <w:pStyle w:val="45"/>
        <w:autoSpaceDE w:val="0"/>
        <w:autoSpaceDN w:val="0"/>
        <w:spacing w:line="360" w:lineRule="auto"/>
        <w:ind w:left="1984" w:leftChars="474" w:hanging="989" w:hangingChars="471"/>
        <w:contextualSpacing/>
        <w:rPr>
          <w:rFonts w:cs="宋体" w:asciiTheme="minorEastAsia" w:hAnsiTheme="minorEastAsia"/>
          <w:kern w:val="0"/>
          <w:szCs w:val="21"/>
        </w:rPr>
      </w:pPr>
      <w:r>
        <w:rPr>
          <w:rFonts w:hint="eastAsia" w:cs="宋体" w:asciiTheme="minorEastAsia" w:hAnsiTheme="minorEastAsia"/>
          <w:kern w:val="0"/>
          <w:szCs w:val="21"/>
        </w:rPr>
        <w:t xml:space="preserve">3.6.5    </w:t>
      </w:r>
      <w:r>
        <w:rPr>
          <w:rFonts w:cs="宋体" w:asciiTheme="minorEastAsia" w:hAnsiTheme="minorEastAsia"/>
          <w:kern w:val="0"/>
          <w:szCs w:val="21"/>
        </w:rPr>
        <w:t>联合体各方应当共同与采购人签订采购合同，就采购合同约定的事项对采购人</w:t>
      </w:r>
      <w:r>
        <w:fldChar w:fldCharType="begin"/>
      </w:r>
      <w:r>
        <w:instrText xml:space="preserve"> HYPERLINK "https://baike.baidu.com/item/%E6%89%BF%E6%8B%85%E8%BF%9E%E5%B8%A6%E8%B4%A3%E4%BB%BB" \t "_blank" </w:instrText>
      </w:r>
      <w:r>
        <w:fldChar w:fldCharType="separate"/>
      </w:r>
      <w:r>
        <w:rPr>
          <w:rFonts w:cs="宋体" w:asciiTheme="minorEastAsia" w:hAnsiTheme="minorEastAsia"/>
          <w:kern w:val="0"/>
          <w:szCs w:val="21"/>
        </w:rPr>
        <w:t>承担连带责任</w:t>
      </w:r>
      <w:r>
        <w:rPr>
          <w:rFonts w:cs="宋体" w:asciiTheme="minorEastAsia" w:hAnsiTheme="minorEastAsia"/>
          <w:kern w:val="0"/>
          <w:szCs w:val="21"/>
        </w:rPr>
        <w:fldChar w:fldCharType="end"/>
      </w:r>
      <w:r>
        <w:rPr>
          <w:rFonts w:cs="宋体" w:asciiTheme="minorEastAsia" w:hAnsiTheme="minorEastAsia"/>
          <w:kern w:val="0"/>
          <w:szCs w:val="21"/>
        </w:rPr>
        <w:t>。</w:t>
      </w:r>
    </w:p>
    <w:p>
      <w:pPr>
        <w:pStyle w:val="45"/>
        <w:numPr>
          <w:ilvl w:val="1"/>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法律、行政法规规定的其他条件。</w:t>
      </w:r>
    </w:p>
    <w:p>
      <w:pPr>
        <w:pStyle w:val="45"/>
        <w:numPr>
          <w:ilvl w:val="0"/>
          <w:numId w:val="11"/>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合格的货物和服务</w:t>
      </w:r>
    </w:p>
    <w:p>
      <w:pPr>
        <w:pStyle w:val="45"/>
        <w:numPr>
          <w:ilvl w:val="0"/>
          <w:numId w:val="12"/>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提供的货物和服务应当符合谈判文件的要求，并且其质量完全符合国家标准、行业标准或地方标准，均有标准的以高（严格）者为准。没有国家标准、行业标准和企业标准的，按照通常标准或者符合采购目的的特定标准确定。</w:t>
      </w:r>
    </w:p>
    <w:p>
      <w:pPr>
        <w:pStyle w:val="45"/>
        <w:numPr>
          <w:ilvl w:val="1"/>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供应商所提供的服务应当没有侵犯任何第三方的知识产权、技术秘密等合法权利。</w:t>
      </w:r>
    </w:p>
    <w:p>
      <w:pPr>
        <w:pStyle w:val="45"/>
        <w:numPr>
          <w:ilvl w:val="1"/>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如供应商所投产品被列入</w:t>
      </w:r>
      <w:r>
        <w:rPr>
          <w:rFonts w:cs="宋体" w:asciiTheme="minorEastAsia" w:hAnsiTheme="minorEastAsia"/>
          <w:kern w:val="0"/>
          <w:szCs w:val="21"/>
        </w:rPr>
        <w:t>《中华人民共和国实施强制性产品认证的产品目录》，</w:t>
      </w:r>
      <w:r>
        <w:rPr>
          <w:rFonts w:hint="eastAsia" w:cs="宋体" w:asciiTheme="minorEastAsia" w:hAnsiTheme="minorEastAsia"/>
          <w:kern w:val="0"/>
          <w:szCs w:val="21"/>
        </w:rPr>
        <w:t>则该产品应</w:t>
      </w:r>
      <w:r>
        <w:rPr>
          <w:rFonts w:cs="宋体" w:asciiTheme="minorEastAsia" w:hAnsiTheme="minorEastAsia"/>
          <w:kern w:val="0"/>
          <w:szCs w:val="21"/>
        </w:rPr>
        <w:t>具备国家认监委</w:t>
      </w:r>
      <w:r>
        <w:rPr>
          <w:rFonts w:hint="eastAsia" w:cs="宋体" w:asciiTheme="minorEastAsia" w:hAnsiTheme="minorEastAsia"/>
          <w:kern w:val="0"/>
          <w:szCs w:val="21"/>
        </w:rPr>
        <w:t>指定强制性产品认证机构</w:t>
      </w:r>
      <w:r>
        <w:rPr>
          <w:rFonts w:cs="宋体" w:asciiTheme="minorEastAsia" w:hAnsiTheme="minorEastAsia"/>
          <w:kern w:val="0"/>
          <w:szCs w:val="21"/>
        </w:rPr>
        <w:t>颁</w:t>
      </w:r>
      <w:r>
        <w:rPr>
          <w:rFonts w:hint="eastAsia" w:cs="宋体" w:asciiTheme="minorEastAsia" w:hAnsiTheme="minorEastAsia"/>
          <w:kern w:val="0"/>
          <w:szCs w:val="21"/>
        </w:rPr>
        <w:t>发的</w:t>
      </w:r>
      <w:r>
        <w:rPr>
          <w:rFonts w:cs="宋体" w:asciiTheme="minorEastAsia" w:hAnsiTheme="minorEastAsia"/>
          <w:kern w:val="0"/>
          <w:szCs w:val="21"/>
        </w:rPr>
        <w:t>《中国</w:t>
      </w:r>
      <w:r>
        <w:rPr>
          <w:rFonts w:hint="eastAsia" w:cs="宋体" w:asciiTheme="minorEastAsia" w:hAnsiTheme="minorEastAsia"/>
          <w:kern w:val="0"/>
          <w:szCs w:val="21"/>
        </w:rPr>
        <w:t>国家</w:t>
      </w:r>
      <w:r>
        <w:rPr>
          <w:rFonts w:cs="宋体" w:asciiTheme="minorEastAsia" w:hAnsiTheme="minorEastAsia"/>
          <w:kern w:val="0"/>
          <w:szCs w:val="21"/>
        </w:rPr>
        <w:t>强制</w:t>
      </w:r>
      <w:r>
        <w:rPr>
          <w:rFonts w:hint="eastAsia" w:cs="宋体" w:asciiTheme="minorEastAsia" w:hAnsiTheme="minorEastAsia"/>
          <w:kern w:val="0"/>
          <w:szCs w:val="21"/>
        </w:rPr>
        <w:t>性产品</w:t>
      </w:r>
      <w:r>
        <w:rPr>
          <w:rFonts w:cs="宋体" w:asciiTheme="minorEastAsia" w:hAnsiTheme="minorEastAsia"/>
          <w:kern w:val="0"/>
          <w:szCs w:val="21"/>
        </w:rPr>
        <w:t>认证</w:t>
      </w:r>
      <w:r>
        <w:rPr>
          <w:rFonts w:hint="eastAsia" w:cs="宋体" w:asciiTheme="minorEastAsia" w:hAnsiTheme="minorEastAsia"/>
          <w:kern w:val="0"/>
          <w:szCs w:val="21"/>
        </w:rPr>
        <w:t>证书</w:t>
      </w:r>
      <w:r>
        <w:rPr>
          <w:rFonts w:cs="宋体" w:asciiTheme="minorEastAsia" w:hAnsiTheme="minorEastAsia"/>
          <w:kern w:val="0"/>
          <w:szCs w:val="21"/>
        </w:rPr>
        <w:t>》（CCC 认证）。</w:t>
      </w:r>
      <w:r>
        <w:rPr>
          <w:rFonts w:hint="eastAsia" w:cs="宋体" w:asciiTheme="minorEastAsia" w:hAnsiTheme="minorEastAsia"/>
          <w:kern w:val="0"/>
          <w:szCs w:val="21"/>
        </w:rPr>
        <w:t>供应商</w:t>
      </w:r>
      <w:r>
        <w:rPr>
          <w:rFonts w:cs="宋体" w:asciiTheme="minorEastAsia" w:hAnsiTheme="minorEastAsia"/>
          <w:kern w:val="0"/>
          <w:szCs w:val="21"/>
        </w:rPr>
        <w:t>不能提供超出此目录范畴外的替代品</w:t>
      </w:r>
      <w:r>
        <w:rPr>
          <w:rFonts w:hint="eastAsia" w:cs="宋体" w:asciiTheme="minorEastAsia" w:hAnsiTheme="minorEastAsia"/>
          <w:kern w:val="0"/>
          <w:szCs w:val="21"/>
        </w:rPr>
        <w:t>。</w:t>
      </w:r>
    </w:p>
    <w:p>
      <w:pPr>
        <w:pStyle w:val="45"/>
        <w:autoSpaceDE w:val="0"/>
        <w:autoSpaceDN w:val="0"/>
        <w:spacing w:line="360" w:lineRule="auto"/>
        <w:ind w:left="964" w:firstLine="0" w:firstLineChars="0"/>
        <w:contextualSpacing/>
        <w:rPr>
          <w:rFonts w:cs="宋体" w:asciiTheme="minorEastAsia" w:hAnsiTheme="minorEastAsia"/>
          <w:kern w:val="0"/>
          <w:szCs w:val="21"/>
        </w:rPr>
      </w:pPr>
      <w:r>
        <w:rPr>
          <w:rFonts w:hint="eastAsia" w:cs="宋体" w:asciiTheme="minorEastAsia" w:hAnsiTheme="minorEastAsia"/>
          <w:kern w:val="0"/>
          <w:szCs w:val="21"/>
        </w:rPr>
        <w:t>供应商所投产品如被列入</w:t>
      </w:r>
      <w:r>
        <w:rPr>
          <w:rFonts w:cs="宋体" w:asciiTheme="minorEastAsia" w:hAnsiTheme="minorEastAsia"/>
          <w:kern w:val="0"/>
          <w:szCs w:val="21"/>
        </w:rPr>
        <w:t>《信息安全产品强制性认证目录》，</w:t>
      </w:r>
      <w:r>
        <w:rPr>
          <w:rFonts w:hint="eastAsia" w:cs="宋体" w:asciiTheme="minorEastAsia" w:hAnsiTheme="minorEastAsia"/>
          <w:kern w:val="0"/>
          <w:szCs w:val="21"/>
        </w:rPr>
        <w:t>则该产品应</w:t>
      </w:r>
      <w:r>
        <w:rPr>
          <w:rFonts w:cs="宋体" w:asciiTheme="minorEastAsia" w:hAnsiTheme="minorEastAsia"/>
          <w:kern w:val="0"/>
          <w:szCs w:val="21"/>
        </w:rPr>
        <w:t>具备</w:t>
      </w:r>
      <w:r>
        <w:rPr>
          <w:rFonts w:hint="eastAsia" w:cs="宋体" w:asciiTheme="minorEastAsia" w:hAnsiTheme="minorEastAsia"/>
          <w:kern w:val="0"/>
          <w:szCs w:val="21"/>
        </w:rPr>
        <w:t>中国信息安全认证中心</w:t>
      </w:r>
      <w:r>
        <w:rPr>
          <w:rFonts w:cs="宋体" w:asciiTheme="minorEastAsia" w:hAnsiTheme="minorEastAsia"/>
          <w:kern w:val="0"/>
          <w:szCs w:val="21"/>
        </w:rPr>
        <w:t>颁</w:t>
      </w:r>
      <w:r>
        <w:rPr>
          <w:rFonts w:hint="eastAsia" w:cs="宋体" w:asciiTheme="minorEastAsia" w:hAnsiTheme="minorEastAsia"/>
          <w:kern w:val="0"/>
          <w:szCs w:val="21"/>
        </w:rPr>
        <w:t>发的</w:t>
      </w:r>
      <w:r>
        <w:rPr>
          <w:rFonts w:cs="宋体" w:asciiTheme="minorEastAsia" w:hAnsiTheme="minorEastAsia"/>
          <w:kern w:val="0"/>
          <w:szCs w:val="21"/>
        </w:rPr>
        <w:t>《</w:t>
      </w:r>
      <w:r>
        <w:fldChar w:fldCharType="begin"/>
      </w:r>
      <w:r>
        <w:instrText xml:space="preserve"> HYPERLINK "http://www.cnca.gov.cn/cnca/zwxx/ggxx/images/2010/07/19/A6C32D2A507AC2A38326896013A67542.doc" \t "_blank" </w:instrText>
      </w:r>
      <w:r>
        <w:fldChar w:fldCharType="separate"/>
      </w:r>
      <w:r>
        <w:rPr>
          <w:rFonts w:hint="eastAsia" w:cs="宋体" w:asciiTheme="minorEastAsia" w:hAnsiTheme="minorEastAsia"/>
          <w:kern w:val="0"/>
          <w:szCs w:val="21"/>
        </w:rPr>
        <w:t>中国国家信息安全产品认证证书</w:t>
      </w:r>
      <w:r>
        <w:rPr>
          <w:rFonts w:hint="eastAsia" w:cs="宋体" w:asciiTheme="minorEastAsia" w:hAnsiTheme="minorEastAsia"/>
          <w:kern w:val="0"/>
          <w:szCs w:val="21"/>
        </w:rPr>
        <w:fldChar w:fldCharType="end"/>
      </w:r>
      <w:r>
        <w:rPr>
          <w:rFonts w:cs="宋体" w:asciiTheme="minorEastAsia" w:hAnsiTheme="minorEastAsia"/>
          <w:kern w:val="0"/>
          <w:szCs w:val="21"/>
        </w:rPr>
        <w:t>》。</w:t>
      </w:r>
      <w:r>
        <w:rPr>
          <w:rFonts w:hint="eastAsia" w:cs="宋体" w:asciiTheme="minorEastAsia" w:hAnsiTheme="minorEastAsia"/>
          <w:kern w:val="0"/>
          <w:szCs w:val="21"/>
        </w:rPr>
        <w:t>供应商</w:t>
      </w:r>
      <w:r>
        <w:rPr>
          <w:rFonts w:cs="宋体" w:asciiTheme="minorEastAsia" w:hAnsiTheme="minorEastAsia"/>
          <w:kern w:val="0"/>
          <w:szCs w:val="21"/>
        </w:rPr>
        <w:t>不能提供超出此目录范畴外的替代品</w:t>
      </w:r>
      <w:r>
        <w:rPr>
          <w:rFonts w:hint="eastAsia" w:cs="宋体" w:asciiTheme="minorEastAsia" w:hAnsiTheme="minorEastAsia"/>
          <w:kern w:val="0"/>
          <w:szCs w:val="21"/>
        </w:rPr>
        <w:t>。</w:t>
      </w:r>
    </w:p>
    <w:p>
      <w:pPr>
        <w:pStyle w:val="45"/>
        <w:numPr>
          <w:ilvl w:val="0"/>
          <w:numId w:val="11"/>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谈判费用</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不论采购的结果如何，供应商均应自行承担所有与谈判有关的全部费用，采购人、集中采购机构在任何情况下均无义务和责任承担这些费用。</w:t>
      </w:r>
    </w:p>
    <w:p>
      <w:pPr>
        <w:autoSpaceDE w:val="0"/>
        <w:autoSpaceDN w:val="0"/>
        <w:spacing w:line="360" w:lineRule="auto"/>
        <w:ind w:left="964"/>
        <w:contextualSpacing/>
        <w:rPr>
          <w:rFonts w:cs="宋体" w:asciiTheme="minorEastAsia" w:hAnsiTheme="minorEastAsia"/>
          <w:kern w:val="0"/>
          <w:szCs w:val="21"/>
        </w:rPr>
      </w:pPr>
    </w:p>
    <w:p>
      <w:pPr>
        <w:pStyle w:val="45"/>
        <w:numPr>
          <w:ilvl w:val="0"/>
          <w:numId w:val="11"/>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信息发布</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本采购项目需要公开的有关信息，包括谈判公告、谈判文件澄清或修改公告、成交公告以及延长响应文件提交截止时间等与采购活动有关的通知，采购人、集中采购机构均将通过在《中国政府采购网》、《河南省政府采购网》、《全国公共资源交易平台（河南省·许昌市）》公开发布。供应商在参与本采购项目采购活动期间，请及时关注以上媒体上的相关信息，供应商因没有及时关注而未能如期获取相关信息，及因此所产生的一切后果和责任，由供应商自行承担，采购人、集中采购机构在任何情况下均不对此承担任何责任。</w:t>
      </w:r>
    </w:p>
    <w:p>
      <w:pPr>
        <w:pStyle w:val="45"/>
        <w:numPr>
          <w:ilvl w:val="0"/>
          <w:numId w:val="11"/>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代理费用</w:t>
      </w:r>
    </w:p>
    <w:p>
      <w:pPr>
        <w:pStyle w:val="45"/>
        <w:autoSpaceDE w:val="0"/>
        <w:autoSpaceDN w:val="0"/>
        <w:spacing w:line="360" w:lineRule="auto"/>
        <w:contextualSpacing/>
        <w:rPr>
          <w:rFonts w:cs="宋体" w:asciiTheme="minorEastAsia" w:hAnsiTheme="minorEastAsia"/>
          <w:kern w:val="0"/>
          <w:szCs w:val="21"/>
        </w:rPr>
      </w:pPr>
      <w:r>
        <w:rPr>
          <w:rFonts w:hint="eastAsia" w:cs="微软雅黑"/>
          <w:color w:val="000000"/>
        </w:rPr>
        <w:t>集中采购机构</w:t>
      </w:r>
      <w:r>
        <w:rPr>
          <w:rFonts w:hint="eastAsia" w:cs="微软雅黑"/>
          <w:color w:val="000000"/>
          <w:lang w:eastAsia="zh-CN"/>
        </w:rPr>
        <w:t>除收取标书费用外</w:t>
      </w:r>
      <w:r>
        <w:rPr>
          <w:rFonts w:hint="eastAsia" w:cs="微软雅黑"/>
          <w:color w:val="000000"/>
        </w:rPr>
        <w:t>，不收取费</w:t>
      </w:r>
      <w:r>
        <w:rPr>
          <w:rFonts w:hint="eastAsia" w:cs="微软雅黑"/>
          <w:color w:val="000000"/>
          <w:lang w:eastAsia="zh-CN"/>
        </w:rPr>
        <w:t>用</w:t>
      </w:r>
      <w:r>
        <w:rPr>
          <w:rFonts w:hint="eastAsia" w:cs="宋体" w:asciiTheme="minorEastAsia" w:hAnsiTheme="minorEastAsia"/>
          <w:kern w:val="0"/>
          <w:szCs w:val="21"/>
        </w:rPr>
        <w:t>。</w:t>
      </w:r>
    </w:p>
    <w:p>
      <w:pPr>
        <w:pStyle w:val="45"/>
        <w:numPr>
          <w:ilvl w:val="0"/>
          <w:numId w:val="11"/>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其他</w:t>
      </w:r>
    </w:p>
    <w:p>
      <w:pPr>
        <w:numPr>
          <w:ilvl w:val="0"/>
          <w:numId w:val="0"/>
        </w:numPr>
        <w:autoSpaceDE w:val="0"/>
        <w:autoSpaceDN w:val="0"/>
        <w:spacing w:line="360" w:lineRule="auto"/>
        <w:contextualSpacing/>
        <w:rPr>
          <w:rFonts w:hint="eastAsia" w:cs="宋体" w:asciiTheme="minorEastAsia" w:hAnsiTheme="minorEastAsia"/>
          <w:kern w:val="0"/>
          <w:szCs w:val="21"/>
        </w:rPr>
      </w:pPr>
      <w:r>
        <w:rPr>
          <w:rFonts w:hint="eastAsia" w:cs="宋体" w:asciiTheme="minorEastAsia" w:hAnsiTheme="minorEastAsia"/>
          <w:kern w:val="0"/>
          <w:szCs w:val="21"/>
          <w:lang w:val="en-US" w:eastAsia="zh-CN"/>
        </w:rPr>
        <w:t>1、</w:t>
      </w:r>
      <w:r>
        <w:rPr>
          <w:rFonts w:hint="eastAsia" w:cs="宋体" w:asciiTheme="minorEastAsia" w:hAnsiTheme="minorEastAsia"/>
          <w:kern w:val="0"/>
          <w:szCs w:val="21"/>
        </w:rPr>
        <w:t>本“供应商须知”的条款如与“采购邀请”、“采购需求”、“供应商须知前附表”和“谈判和评审”就同一内容的表述不一致的，以“采购邀请”、“ 采购需求”、“供应商须知前附表”和“谈判和评审”中规定的内容为准。</w:t>
      </w:r>
    </w:p>
    <w:p>
      <w:pPr>
        <w:autoSpaceDE w:val="0"/>
        <w:autoSpaceDN w:val="0"/>
        <w:adjustRightInd w:val="0"/>
        <w:spacing w:line="360" w:lineRule="auto"/>
        <w:jc w:val="left"/>
        <w:rPr>
          <w:rFonts w:hint="eastAsia" w:cs="宋体" w:asciiTheme="minorEastAsia" w:hAnsiTheme="minorEastAsia"/>
          <w:kern w:val="0"/>
          <w:szCs w:val="21"/>
        </w:rPr>
      </w:pPr>
      <w:r>
        <w:rPr>
          <w:rFonts w:hint="eastAsia" w:cs="宋体" w:asciiTheme="minorEastAsia" w:hAnsiTheme="minorEastAsia"/>
          <w:kern w:val="0"/>
          <w:szCs w:val="21"/>
          <w:lang w:val="en-US" w:eastAsia="zh-CN"/>
        </w:rPr>
        <w:t>2、</w:t>
      </w:r>
      <w:r>
        <w:rPr>
          <w:rFonts w:hint="eastAsia" w:cs="宋体" w:asciiTheme="minorEastAsia" w:hAnsiTheme="minorEastAsia"/>
          <w:kern w:val="0"/>
          <w:szCs w:val="21"/>
          <w:lang w:eastAsia="zh-CN"/>
        </w:rPr>
        <w:t>如“谈判邀请函</w:t>
      </w:r>
      <w:r>
        <w:rPr>
          <w:rFonts w:hint="default" w:cs="宋体" w:asciiTheme="minorEastAsia" w:hAnsiTheme="minorEastAsia"/>
          <w:kern w:val="0"/>
          <w:szCs w:val="21"/>
          <w:lang w:val="en-US" w:eastAsia="zh-CN"/>
        </w:rPr>
        <w:t>”</w:t>
      </w:r>
      <w:r>
        <w:rPr>
          <w:rFonts w:hint="eastAsia" w:cs="宋体" w:asciiTheme="minorEastAsia" w:hAnsiTheme="minorEastAsia"/>
          <w:kern w:val="0"/>
          <w:szCs w:val="21"/>
          <w:lang w:val="en-US" w:eastAsia="zh-CN"/>
        </w:rPr>
        <w:t>中“</w:t>
      </w:r>
      <w:r>
        <w:rPr>
          <w:rFonts w:hint="eastAsia" w:cs="宋体" w:asciiTheme="minorEastAsia" w:hAnsiTheme="minorEastAsia"/>
          <w:kern w:val="0"/>
          <w:szCs w:val="21"/>
          <w:lang w:eastAsia="zh-CN"/>
        </w:rPr>
        <w:t>谈判截止时间及谈判时间”和“投标人须知前附表”中</w:t>
      </w:r>
      <w:r>
        <w:rPr>
          <w:rFonts w:hint="eastAsia" w:ascii="黑体" w:hAnsi="黑体" w:eastAsia="黑体" w:cs="Arial"/>
          <w:color w:val="000000"/>
          <w:kern w:val="0"/>
          <w:sz w:val="32"/>
          <w:szCs w:val="32"/>
          <w:lang w:eastAsia="zh-CN"/>
        </w:rPr>
        <w:t>“</w:t>
      </w:r>
      <w:r>
        <w:rPr>
          <w:rFonts w:hint="eastAsia" w:cs="宋体" w:asciiTheme="minorEastAsia" w:hAnsiTheme="minorEastAsia"/>
          <w:bCs/>
          <w:szCs w:val="21"/>
          <w:lang w:val="zh-CN"/>
        </w:rPr>
        <w:t>谈判响应截止及谈判时间”不一致的，以《河南省政府采购网》发布的“谈判响应截止及谈判时间”为准。</w:t>
      </w:r>
    </w:p>
    <w:p>
      <w:pPr>
        <w:autoSpaceDE w:val="0"/>
        <w:autoSpaceDN w:val="0"/>
        <w:spacing w:line="360" w:lineRule="auto"/>
        <w:contextualSpacing/>
        <w:rPr>
          <w:rFonts w:cs="宋体" w:asciiTheme="minorEastAsia" w:hAnsiTheme="minorEastAsia"/>
          <w:kern w:val="0"/>
          <w:szCs w:val="21"/>
        </w:rPr>
      </w:pPr>
    </w:p>
    <w:p>
      <w:pPr>
        <w:tabs>
          <w:tab w:val="left" w:pos="1260"/>
        </w:tabs>
        <w:autoSpaceDE w:val="0"/>
        <w:autoSpaceDN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二、谈判文件说明</w:t>
      </w:r>
    </w:p>
    <w:p>
      <w:pPr>
        <w:pStyle w:val="45"/>
        <w:numPr>
          <w:ilvl w:val="0"/>
          <w:numId w:val="11"/>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谈判文件构成</w:t>
      </w:r>
    </w:p>
    <w:p>
      <w:pPr>
        <w:pStyle w:val="45"/>
        <w:numPr>
          <w:ilvl w:val="0"/>
          <w:numId w:val="13"/>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谈判文件由以下部分组成：</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（1）采购邀请（竞争性谈判公告）</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（2）采购需求</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（3）供应商须知前附表</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（4）供应商须知</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（5）政府采购政策功能</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（6）资格审查与评审</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（7）合同书格式及合同条款</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（8）响应文件有关格式</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（9）本项目谈判文件的澄清、答复、修改、补充内容（如有的话）</w:t>
      </w:r>
    </w:p>
    <w:p>
      <w:pPr>
        <w:pStyle w:val="45"/>
        <w:numPr>
          <w:ilvl w:val="1"/>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应认真阅读、并充分理解谈判文件的全部内容（包括所有的补充、修改内容、重要事项、格式、条款和技术规范、参数及要求等），按谈判文件要求和规定编制响应文件，并保证所提供的全部资料的真实性，否则有可能导致响应被拒绝，其风险由供应商自行承担。</w:t>
      </w:r>
    </w:p>
    <w:p>
      <w:pPr>
        <w:pStyle w:val="45"/>
        <w:numPr>
          <w:ilvl w:val="1"/>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应认真了解本次采购的具体工作要求、工作范围以及职责，了解一切可能影响响应报价的资料。一经成交，不得以不完全了解项目要求、项目情况等为借口而提出额外补偿等要求，否则，由此引起的一切后果由成交供应商负责。</w:t>
      </w:r>
    </w:p>
    <w:p>
      <w:pPr>
        <w:pStyle w:val="45"/>
        <w:numPr>
          <w:ilvl w:val="0"/>
          <w:numId w:val="11"/>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谈判文件的澄清或修改</w:t>
      </w:r>
    </w:p>
    <w:p>
      <w:pPr>
        <w:autoSpaceDE w:val="0"/>
        <w:autoSpaceDN w:val="0"/>
        <w:spacing w:line="360" w:lineRule="auto"/>
        <w:ind w:left="991" w:leftChars="202" w:hanging="567" w:hangingChars="270"/>
        <w:contextualSpacing/>
        <w:rPr>
          <w:rFonts w:cs="宋体" w:asciiTheme="minorEastAsia" w:hAnsiTheme="minorEastAsia"/>
          <w:kern w:val="0"/>
          <w:szCs w:val="21"/>
        </w:rPr>
      </w:pPr>
      <w:r>
        <w:rPr>
          <w:rFonts w:hint="eastAsia" w:cs="宋体" w:asciiTheme="minorEastAsia" w:hAnsiTheme="minorEastAsia"/>
          <w:kern w:val="0"/>
          <w:szCs w:val="21"/>
        </w:rPr>
        <w:t>10.1 在谈判响应截止期前，无论出于何种原因，采购人可主动地或在解答供应商提出的澄清问题时对谈判文件进行修改。</w:t>
      </w:r>
    </w:p>
    <w:p>
      <w:pPr>
        <w:pStyle w:val="45"/>
        <w:numPr>
          <w:ilvl w:val="1"/>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人、集中采购机构可以对已发出的谈判文件进行必要的澄清或者修改。澄清或者修改的内容可能影响响应文件编制的，采购人将在响应文件提交截止之日3个工作日前，在财政部门指定的政府采购信息发布媒体和《全国公共资源交易平台（河南省·许昌市）》发布更正公告。</w:t>
      </w:r>
    </w:p>
    <w:p>
      <w:pPr>
        <w:pStyle w:val="45"/>
        <w:numPr>
          <w:ilvl w:val="1"/>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澄清或修改公告的内容为谈判文件的组成部分，并对供应商具有约束力。当谈判文件与澄清或修改公告就同一内容的表述不一致时，以最后发出的文件内容为准。</w:t>
      </w:r>
    </w:p>
    <w:p>
      <w:pPr>
        <w:pStyle w:val="45"/>
        <w:numPr>
          <w:ilvl w:val="1"/>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如果澄清或者修改发出的时间距规定的谈判响应截止时间不足3个工作日的，采购人、集中采购机构将顺延提交响应文件的截止时间。</w:t>
      </w:r>
    </w:p>
    <w:p>
      <w:pPr>
        <w:autoSpaceDE w:val="0"/>
        <w:autoSpaceDN w:val="0"/>
        <w:spacing w:line="360" w:lineRule="auto"/>
        <w:contextualSpacing/>
        <w:rPr>
          <w:rFonts w:cs="宋体" w:asciiTheme="minorEastAsia" w:hAnsiTheme="minorEastAsia"/>
          <w:kern w:val="0"/>
          <w:szCs w:val="21"/>
        </w:rPr>
      </w:pPr>
    </w:p>
    <w:p>
      <w:pPr>
        <w:tabs>
          <w:tab w:val="left" w:pos="1260"/>
        </w:tabs>
        <w:autoSpaceDE w:val="0"/>
        <w:autoSpaceDN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三、响应文件的编制</w:t>
      </w:r>
    </w:p>
    <w:p>
      <w:pPr>
        <w:pStyle w:val="45"/>
        <w:numPr>
          <w:ilvl w:val="0"/>
          <w:numId w:val="11"/>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响应文件的语言及计量单位</w:t>
      </w:r>
    </w:p>
    <w:p>
      <w:pPr>
        <w:pStyle w:val="45"/>
        <w:numPr>
          <w:ilvl w:val="0"/>
          <w:numId w:val="1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供应商提交的响应文件以及供应商与采购人、集中采购机构就有关采购事宜的所有来往书面文件均应使用中文。除签名、盖章、专用名称等特殊情形外，以中文以外的文字表述的响应文件视同未提供。</w:t>
      </w:r>
    </w:p>
    <w:p>
      <w:pPr>
        <w:pStyle w:val="45"/>
        <w:numPr>
          <w:ilvl w:val="1"/>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响应文件计量单位，谈判文件已有明确规定的，使用谈判文件规定的计量单位；谈判文件没有规定的，一律采用中华人民共和国法定计量单位。</w:t>
      </w:r>
    </w:p>
    <w:p>
      <w:pPr>
        <w:pStyle w:val="45"/>
        <w:autoSpaceDE w:val="0"/>
        <w:autoSpaceDN w:val="0"/>
        <w:spacing w:line="360" w:lineRule="auto"/>
        <w:ind w:left="964" w:firstLine="0" w:firstLineChars="0"/>
        <w:contextualSpacing/>
        <w:rPr>
          <w:rFonts w:cs="宋体" w:asciiTheme="minorEastAsia" w:hAnsiTheme="minorEastAsia"/>
          <w:kern w:val="0"/>
          <w:szCs w:val="21"/>
        </w:rPr>
      </w:pPr>
    </w:p>
    <w:p>
      <w:pPr>
        <w:pStyle w:val="45"/>
        <w:numPr>
          <w:ilvl w:val="0"/>
          <w:numId w:val="11"/>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报价</w:t>
      </w:r>
    </w:p>
    <w:p>
      <w:pPr>
        <w:pStyle w:val="45"/>
        <w:numPr>
          <w:ilvl w:val="0"/>
          <w:numId w:val="1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本次谈判项目的报价均以人民币为计算单位。</w:t>
      </w:r>
    </w:p>
    <w:p>
      <w:pPr>
        <w:pStyle w:val="45"/>
        <w:numPr>
          <w:ilvl w:val="1"/>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采购人不得向供应商索要或者接受其给予的赠品、回扣或者与采购无关的其他商品、服务。</w:t>
      </w:r>
    </w:p>
    <w:p>
      <w:pPr>
        <w:pStyle w:val="45"/>
        <w:numPr>
          <w:ilvl w:val="1"/>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供应商应对项目要求的全部内容进行报价，少报漏报将导致其响应为非实质性响应予以拒绝。</w:t>
      </w:r>
    </w:p>
    <w:p>
      <w:pPr>
        <w:pStyle w:val="45"/>
        <w:numPr>
          <w:ilvl w:val="1"/>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供应商应当按照国家相关规定，结合自身服务水平和承受能力进行</w:t>
      </w:r>
      <w:r>
        <w:rPr>
          <w:rFonts w:hint="eastAsia" w:cs="宋体" w:asciiTheme="minorEastAsia" w:hAnsiTheme="minorEastAsia"/>
          <w:kern w:val="0"/>
          <w:szCs w:val="21"/>
          <w:lang w:eastAsia="zh-CN"/>
        </w:rPr>
        <w:t>第二次</w:t>
      </w:r>
      <w:r>
        <w:rPr>
          <w:rFonts w:hint="eastAsia" w:cs="宋体" w:asciiTheme="minorEastAsia" w:hAnsiTheme="minorEastAsia"/>
          <w:kern w:val="0"/>
          <w:szCs w:val="21"/>
        </w:rPr>
        <w:t>报价</w:t>
      </w:r>
      <w:r>
        <w:rPr>
          <w:rFonts w:hint="eastAsia" w:cs="宋体" w:asciiTheme="minorEastAsia" w:hAnsiTheme="minorEastAsia"/>
          <w:kern w:val="0"/>
          <w:szCs w:val="21"/>
          <w:lang w:eastAsia="zh-CN"/>
        </w:rPr>
        <w:t>（即最终报价）</w:t>
      </w:r>
      <w:r>
        <w:rPr>
          <w:rFonts w:hint="eastAsia" w:cs="宋体" w:asciiTheme="minorEastAsia" w:hAnsiTheme="minorEastAsia"/>
          <w:kern w:val="0"/>
          <w:szCs w:val="21"/>
        </w:rPr>
        <w:t>。响应报价应是履行合同的最终价格，除“采购需求”中另有说明外，响应报价应当是供应商为提供本项目所要求的全部服务所发生的一切成本、税费和利润，包括人工（含工资、社会统筹保险金、加班工资、工作餐、相关福利、关于人员聘用的费用等）、设备、国家规定检测、外发包、材料（含辅材）、管理、税费及利润等。</w:t>
      </w:r>
      <w:r>
        <w:rPr>
          <w:rFonts w:hint="eastAsia" w:ascii="宋体" w:hAnsi="宋体"/>
          <w:color w:val="000000"/>
          <w:szCs w:val="21"/>
        </w:rPr>
        <w:t>经通知参加</w:t>
      </w:r>
      <w:r>
        <w:rPr>
          <w:rFonts w:hint="eastAsia" w:ascii="宋体" w:hAnsi="宋体"/>
          <w:color w:val="000000"/>
          <w:szCs w:val="21"/>
          <w:lang w:eastAsia="zh-CN"/>
        </w:rPr>
        <w:t>谈判</w:t>
      </w:r>
      <w:r>
        <w:rPr>
          <w:rFonts w:hint="eastAsia" w:ascii="宋体" w:hAnsi="宋体"/>
          <w:color w:val="000000"/>
          <w:szCs w:val="21"/>
        </w:rPr>
        <w:t>的供应商，在谈判结束后还有一次最终报价的机会</w:t>
      </w:r>
      <w:r>
        <w:rPr>
          <w:rFonts w:hint="eastAsia" w:cs="宋体" w:asciiTheme="minorEastAsia" w:hAnsiTheme="minorEastAsia"/>
          <w:kern w:val="0"/>
          <w:szCs w:val="21"/>
        </w:rPr>
        <w:t>。</w:t>
      </w:r>
    </w:p>
    <w:p>
      <w:pPr>
        <w:pStyle w:val="45"/>
        <w:numPr>
          <w:ilvl w:val="1"/>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本项目所涉及的运输、施工、安装、集成、调试、验收、备品和工具等费用均包含在响应报价中。</w:t>
      </w:r>
    </w:p>
    <w:p>
      <w:pPr>
        <w:pStyle w:val="45"/>
        <w:numPr>
          <w:ilvl w:val="1"/>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报价不得高于本项目预算金额，且不低于成本价。供应商的响应报价高于预算金额（项目控制金额上限）的，该供应商的响应文件将被视为非实质性响应予以拒绝。</w:t>
      </w:r>
    </w:p>
    <w:p>
      <w:pPr>
        <w:pStyle w:val="45"/>
        <w:numPr>
          <w:ilvl w:val="1"/>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最低报价不能做为成交的保证。</w:t>
      </w:r>
    </w:p>
    <w:p>
      <w:pPr>
        <w:pStyle w:val="45"/>
        <w:numPr>
          <w:ilvl w:val="0"/>
          <w:numId w:val="11"/>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响应文件有效期</w:t>
      </w:r>
    </w:p>
    <w:p>
      <w:pPr>
        <w:pStyle w:val="45"/>
        <w:numPr>
          <w:ilvl w:val="0"/>
          <w:numId w:val="1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响应文件有效期从提交响应文件的截止之日起算。本项目响应文件有效期详见供应商须知前附表。响应文件中承诺的有效期应当不少于“供应商须知前附表”载明的响应文件有效期。响应文件有效期比谈判文件规定短的属于非实质性响应，将被认定为报价无效。</w:t>
      </w:r>
    </w:p>
    <w:p>
      <w:pPr>
        <w:pStyle w:val="45"/>
        <w:numPr>
          <w:ilvl w:val="1"/>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采购人</w:t>
      </w:r>
      <w:r>
        <w:rPr>
          <w:rFonts w:hint="eastAsia" w:cs="微软雅黑"/>
          <w:color w:val="000000"/>
        </w:rPr>
        <w:t>可根据实际情况，在原报价有效期截止之前，征询供应商是否同意延长响应文件的有效期，供应商同意延长的须作出书面答复。在延长的报价有效期内，供应商将不会被要求和允许修正其报价</w:t>
      </w:r>
      <w:r>
        <w:rPr>
          <w:rFonts w:hint="eastAsia" w:cs="宋体" w:asciiTheme="minorEastAsia" w:hAnsiTheme="minorEastAsia"/>
          <w:kern w:val="0"/>
          <w:szCs w:val="21"/>
        </w:rPr>
        <w:t>。</w:t>
      </w:r>
    </w:p>
    <w:p>
      <w:pPr>
        <w:pStyle w:val="45"/>
        <w:numPr>
          <w:ilvl w:val="1"/>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成交供应商的响应文件作为项目合同的附件，其有效期至成交供应商全部合同义务履行完毕为止。</w:t>
      </w:r>
    </w:p>
    <w:p>
      <w:pPr>
        <w:pStyle w:val="45"/>
        <w:numPr>
          <w:ilvl w:val="0"/>
          <w:numId w:val="11"/>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响应文件构成</w:t>
      </w:r>
    </w:p>
    <w:p>
      <w:pPr>
        <w:pStyle w:val="45"/>
        <w:numPr>
          <w:ilvl w:val="0"/>
          <w:numId w:val="1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响应文件的构成应符合法律法规及谈判文件的要求。</w:t>
      </w:r>
    </w:p>
    <w:p>
      <w:pPr>
        <w:pStyle w:val="45"/>
        <w:numPr>
          <w:ilvl w:val="1"/>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供应商应当按照谈判文件的要求编制响应文件。响应文件应当对谈判文件提出的要求和条件作出明确响应。</w:t>
      </w:r>
    </w:p>
    <w:p>
      <w:pPr>
        <w:pStyle w:val="45"/>
        <w:numPr>
          <w:ilvl w:val="1"/>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响应文件由资格证明材料、符合性证明材料、其它材料等组成。</w:t>
      </w:r>
    </w:p>
    <w:p>
      <w:pPr>
        <w:pStyle w:val="45"/>
        <w:numPr>
          <w:ilvl w:val="1"/>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供应商根据谈判文件的规定和采购项目的实际情况，拟在成交后将成交项目的非主体、非关键性工作分包的，应当在响应文件中载明分包承担主体，分包承担主体应当具备相应资质条件且不得再次分包。</w:t>
      </w:r>
    </w:p>
    <w:p>
      <w:pPr>
        <w:pStyle w:val="45"/>
        <w:numPr>
          <w:ilvl w:val="1"/>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供应商登录许昌公共资源交易系统下载“许昌投标文件制作系统SEARUN 最新版本”，按谈判文件要求根据所响应标段制作电子响应文件。 一个标段对应生成一个文件夹（xxxx项目xx标段）, 其中包含2个文件和1个文件夹。后缀名为“</w:t>
      </w:r>
      <w:r>
        <w:rPr>
          <w:rFonts w:cs="宋体" w:asciiTheme="minorEastAsia" w:hAnsiTheme="minorEastAsia"/>
          <w:kern w:val="0"/>
          <w:szCs w:val="21"/>
        </w:rPr>
        <w:t>.file</w:t>
      </w:r>
      <w:r>
        <w:rPr>
          <w:rFonts w:hint="eastAsia" w:cs="宋体" w:asciiTheme="minorEastAsia" w:hAnsiTheme="minorEastAsia"/>
          <w:kern w:val="0"/>
          <w:szCs w:val="21"/>
        </w:rPr>
        <w:t>”的文件用于电子响应使用，后缀名为“.PDF”的文件用于打印纸质响应文件，名称为“备份”的文件夹使用电子介质存储，供谈判响应文件递交现场备用。</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电子响应文件制作技术咨询：</w:t>
      </w:r>
      <w:r>
        <w:rPr>
          <w:rFonts w:hint="eastAsia" w:cs="宋体" w:asciiTheme="minorEastAsia" w:hAnsiTheme="minorEastAsia"/>
          <w:b/>
          <w:kern w:val="0"/>
          <w:szCs w:val="21"/>
        </w:rPr>
        <w:t>0374-2961598</w:t>
      </w:r>
      <w:r>
        <w:rPr>
          <w:rFonts w:hint="eastAsia" w:cs="宋体" w:asciiTheme="minorEastAsia" w:hAnsiTheme="minorEastAsia"/>
          <w:kern w:val="0"/>
          <w:szCs w:val="21"/>
        </w:rPr>
        <w:t>。</w:t>
      </w:r>
    </w:p>
    <w:p>
      <w:pPr>
        <w:pStyle w:val="45"/>
        <w:numPr>
          <w:ilvl w:val="0"/>
          <w:numId w:val="11"/>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响应文件格式</w:t>
      </w:r>
    </w:p>
    <w:p>
      <w:pPr>
        <w:pStyle w:val="45"/>
        <w:numPr>
          <w:ilvl w:val="0"/>
          <w:numId w:val="1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响应文件应参照谈判文件第七部分（响应文件有关格式）的内容要求、编排顺序和格式要求，供应商应按照以上要求将响应文件编上唯一的连贯页码并以A4幅面装订成册，并在响应文件封面上注明：正本/副本、所投项目名称、项目编号、供应商名称、日期等字样。</w:t>
      </w:r>
    </w:p>
    <w:p>
      <w:pPr>
        <w:pStyle w:val="45"/>
        <w:numPr>
          <w:ilvl w:val="1"/>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供应商应按谈判文件提供的格式编写响应文件。谈判文件未提供标准格式的供应商可自行拟定。</w:t>
      </w:r>
    </w:p>
    <w:p>
      <w:pPr>
        <w:pStyle w:val="45"/>
        <w:numPr>
          <w:ilvl w:val="0"/>
          <w:numId w:val="11"/>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谈判保证金</w:t>
      </w:r>
    </w:p>
    <w:p>
      <w:pPr>
        <w:pStyle w:val="45"/>
        <w:numPr>
          <w:ilvl w:val="1"/>
          <w:numId w:val="11"/>
        </w:numPr>
        <w:autoSpaceDE w:val="0"/>
        <w:autoSpaceDN w:val="0"/>
        <w:spacing w:line="360" w:lineRule="auto"/>
        <w:ind w:left="964" w:leftChars="0" w:hanging="544" w:firstLineChars="0"/>
        <w:contextualSpacing/>
        <w:rPr>
          <w:rFonts w:hint="eastAsia" w:cs="宋体" w:asciiTheme="minorEastAsia" w:hAnsiTheme="minorEastAsia"/>
          <w:b/>
          <w:kern w:val="0"/>
          <w:szCs w:val="21"/>
          <w:lang w:eastAsia="zh-CN"/>
        </w:rPr>
      </w:pPr>
      <w:r>
        <w:rPr>
          <w:rFonts w:hint="eastAsia" w:cs="宋体" w:asciiTheme="minorEastAsia" w:hAnsiTheme="minorEastAsia"/>
          <w:b/>
          <w:kern w:val="0"/>
          <w:szCs w:val="21"/>
          <w:lang w:eastAsia="zh-CN"/>
        </w:rPr>
        <w:t>不收取</w:t>
      </w:r>
    </w:p>
    <w:p>
      <w:pPr>
        <w:pStyle w:val="45"/>
        <w:numPr>
          <w:numId w:val="0"/>
        </w:numPr>
        <w:autoSpaceDE w:val="0"/>
        <w:autoSpaceDN w:val="0"/>
        <w:spacing w:line="360" w:lineRule="auto"/>
        <w:ind w:left="420" w:leftChars="0"/>
        <w:contextualSpacing/>
        <w:rPr>
          <w:rFonts w:hint="default" w:cs="宋体" w:asciiTheme="minorEastAsia" w:hAnsiTheme="minorEastAsia"/>
          <w:b/>
          <w:kern w:val="0"/>
          <w:szCs w:val="21"/>
          <w:lang w:val="en-US" w:eastAsia="zh-CN"/>
        </w:rPr>
      </w:pPr>
      <w:r>
        <w:rPr>
          <w:rFonts w:hint="eastAsia" w:cs="宋体" w:asciiTheme="minorEastAsia" w:hAnsiTheme="minorEastAsia"/>
          <w:b/>
          <w:kern w:val="0"/>
          <w:szCs w:val="21"/>
          <w:lang w:val="en-US" w:eastAsia="zh-CN"/>
        </w:rPr>
        <w:t>16.2 投标人须做出承诺</w:t>
      </w:r>
    </w:p>
    <w:p>
      <w:pPr>
        <w:pStyle w:val="45"/>
        <w:numPr>
          <w:ilvl w:val="0"/>
          <w:numId w:val="11"/>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谈判文件的数量和签署盖章</w:t>
      </w:r>
    </w:p>
    <w:p>
      <w:pPr>
        <w:pStyle w:val="45"/>
        <w:numPr>
          <w:ilvl w:val="0"/>
          <w:numId w:val="1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供应商应提交响应文件份数见“供应商须知前附表”。</w:t>
      </w:r>
    </w:p>
    <w:p>
      <w:pPr>
        <w:pStyle w:val="45"/>
        <w:numPr>
          <w:ilvl w:val="1"/>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在谈判文件中已明示需盖章及签名之处，电子响应文件应按谈判文件要求加盖供应商电子印章和法人电子印章或授权代表电子印章。</w:t>
      </w:r>
    </w:p>
    <w:p>
      <w:pPr>
        <w:pStyle w:val="45"/>
        <w:numPr>
          <w:ilvl w:val="1"/>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纸质响应文件是指供应商电子响应文件制作完成后生成的后缀名为“.PDF”的文件打印的响应文件。纸质响应文件正本和副本封面上应清楚标明</w:t>
      </w:r>
      <w:r>
        <w:rPr>
          <w:rFonts w:cs="宋体" w:asciiTheme="minorEastAsia" w:hAnsiTheme="minorEastAsia"/>
          <w:kern w:val="0"/>
          <w:szCs w:val="21"/>
        </w:rPr>
        <w:t>“</w:t>
      </w:r>
      <w:r>
        <w:rPr>
          <w:rFonts w:hint="eastAsia" w:cs="宋体" w:asciiTheme="minorEastAsia" w:hAnsiTheme="minorEastAsia"/>
          <w:kern w:val="0"/>
          <w:szCs w:val="21"/>
        </w:rPr>
        <w:t>正本</w:t>
      </w:r>
      <w:r>
        <w:rPr>
          <w:rFonts w:cs="宋体" w:asciiTheme="minorEastAsia" w:hAnsiTheme="minorEastAsia"/>
          <w:kern w:val="0"/>
          <w:szCs w:val="21"/>
        </w:rPr>
        <w:t>”</w:t>
      </w:r>
      <w:r>
        <w:rPr>
          <w:rFonts w:hint="eastAsia" w:cs="宋体" w:asciiTheme="minorEastAsia" w:hAnsiTheme="minorEastAsia"/>
          <w:kern w:val="0"/>
          <w:szCs w:val="21"/>
        </w:rPr>
        <w:t>或</w:t>
      </w:r>
      <w:r>
        <w:rPr>
          <w:rFonts w:cs="宋体" w:asciiTheme="minorEastAsia" w:hAnsiTheme="minorEastAsia"/>
          <w:kern w:val="0"/>
          <w:szCs w:val="21"/>
        </w:rPr>
        <w:t>“</w:t>
      </w:r>
      <w:r>
        <w:rPr>
          <w:rFonts w:hint="eastAsia" w:cs="宋体" w:asciiTheme="minorEastAsia" w:hAnsiTheme="minorEastAsia"/>
          <w:kern w:val="0"/>
          <w:szCs w:val="21"/>
        </w:rPr>
        <w:t>副本</w:t>
      </w:r>
      <w:r>
        <w:rPr>
          <w:rFonts w:cs="宋体" w:asciiTheme="minorEastAsia" w:hAnsiTheme="minorEastAsia"/>
          <w:kern w:val="0"/>
          <w:szCs w:val="21"/>
        </w:rPr>
        <w:t>”</w:t>
      </w:r>
      <w:r>
        <w:rPr>
          <w:rFonts w:hint="eastAsia" w:cs="宋体" w:asciiTheme="minorEastAsia" w:hAnsiTheme="minorEastAsia"/>
          <w:kern w:val="0"/>
          <w:szCs w:val="21"/>
        </w:rPr>
        <w:t>字样；一旦正本和副本内容不一致时，以正本为准。纸质响应文件的正本及所有副本的封面均须由供应商加盖供应商公章。</w:t>
      </w:r>
    </w:p>
    <w:p>
      <w:pPr>
        <w:pStyle w:val="45"/>
        <w:numPr>
          <w:ilvl w:val="1"/>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纸质响应文件副本可以是纸质响应文件的正本复印而成。</w:t>
      </w:r>
    </w:p>
    <w:p>
      <w:pPr>
        <w:tabs>
          <w:tab w:val="left" w:pos="1260"/>
        </w:tabs>
        <w:autoSpaceDE w:val="0"/>
        <w:autoSpaceDN w:val="0"/>
        <w:spacing w:line="360" w:lineRule="auto"/>
        <w:contextualSpacing/>
        <w:rPr>
          <w:rFonts w:cs="仿宋_GB2312" w:asciiTheme="minorEastAsia" w:hAnsiTheme="minorEastAsia"/>
          <w:szCs w:val="21"/>
          <w:lang w:val="zh-CN"/>
        </w:rPr>
      </w:pPr>
    </w:p>
    <w:p>
      <w:pPr>
        <w:tabs>
          <w:tab w:val="left" w:pos="1260"/>
        </w:tabs>
        <w:autoSpaceDE w:val="0"/>
        <w:autoSpaceDN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四、响应文件的递交</w:t>
      </w:r>
    </w:p>
    <w:p>
      <w:pPr>
        <w:pStyle w:val="45"/>
        <w:numPr>
          <w:ilvl w:val="0"/>
          <w:numId w:val="11"/>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响应文件的密封</w:t>
      </w:r>
    </w:p>
    <w:p>
      <w:pPr>
        <w:pStyle w:val="45"/>
        <w:numPr>
          <w:ilvl w:val="0"/>
          <w:numId w:val="1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供应商应将纸质响应文件“正本”、“ 副本”密封包装。使用电子介质存储的响应文件单独密封包装，并随纸质响应文件一并提交。</w:t>
      </w:r>
    </w:p>
    <w:p>
      <w:pPr>
        <w:pStyle w:val="45"/>
        <w:numPr>
          <w:ilvl w:val="1"/>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响应文件如果未按规定密封，采购人、集中采购机构将拒绝接收。</w:t>
      </w:r>
    </w:p>
    <w:p>
      <w:pPr>
        <w:pStyle w:val="45"/>
        <w:numPr>
          <w:ilvl w:val="0"/>
          <w:numId w:val="11"/>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谈判响应截止时间</w:t>
      </w:r>
    </w:p>
    <w:p>
      <w:pPr>
        <w:pStyle w:val="45"/>
        <w:numPr>
          <w:ilvl w:val="0"/>
          <w:numId w:val="1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供应商必须在“采购邀请”和“供应商须知前附表”中规定的谈判响应文件截止时间前，将所有响应文件送达谈判文件指定的地点。</w:t>
      </w:r>
      <w:r>
        <w:rPr>
          <w:rFonts w:hint="eastAsia" w:cs="微软雅黑"/>
          <w:color w:val="000000"/>
        </w:rPr>
        <w:t>在递交截止时间以后送达的响应文件，</w:t>
      </w:r>
      <w:r>
        <w:rPr>
          <w:rFonts w:hint="eastAsia" w:cs="宋体" w:asciiTheme="minorEastAsia" w:hAnsiTheme="minorEastAsia"/>
          <w:kern w:val="0"/>
          <w:szCs w:val="21"/>
        </w:rPr>
        <w:t>采购人、集中采购机构</w:t>
      </w:r>
      <w:r>
        <w:rPr>
          <w:rFonts w:hint="eastAsia" w:cs="微软雅黑"/>
          <w:color w:val="000000"/>
        </w:rPr>
        <w:t>将予以拒绝。</w:t>
      </w:r>
    </w:p>
    <w:p>
      <w:pPr>
        <w:pStyle w:val="45"/>
        <w:numPr>
          <w:ilvl w:val="1"/>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人、集中采购机构可以按本须知第10条规定，通过修改谈判文件自行决定酌情延长谈判响应截止期。在此情况下，采购人和供应商受谈判响应截止期制约的所有权利和义务均应延长至新的截止日期和时间。供应商按采购人修改通知规定的时间递交响应文件。</w:t>
      </w:r>
    </w:p>
    <w:p>
      <w:pPr>
        <w:pStyle w:val="45"/>
        <w:numPr>
          <w:ilvl w:val="0"/>
          <w:numId w:val="11"/>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迟交的响应文件</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谈判响应文件截止时间之后送达/上传的响应文件，采购人、集中采购机构将将拒绝接收。</w:t>
      </w:r>
    </w:p>
    <w:p>
      <w:pPr>
        <w:pStyle w:val="45"/>
        <w:numPr>
          <w:ilvl w:val="0"/>
          <w:numId w:val="11"/>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响应文件的修改和撤回</w:t>
      </w:r>
    </w:p>
    <w:p>
      <w:pPr>
        <w:pStyle w:val="45"/>
        <w:numPr>
          <w:ilvl w:val="0"/>
          <w:numId w:val="15"/>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供应商在谈判响应截止时间前，对所递交的纸质响应文件进行补充、修改或者撤回的，须书面通知采购人和集中采购机构。</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供应商应当在谈判响应截止时间前完成电子响应文件的提交，可以补充、修改或撤回。谈判响应截止时间前未完成电子响应文件提交、取得“投标文件提交回执单”的，视为撤回响应文件。</w:t>
      </w:r>
    </w:p>
    <w:p>
      <w:pPr>
        <w:pStyle w:val="45"/>
        <w:numPr>
          <w:ilvl w:val="1"/>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供应商补充、修改的内容并作为响应文件的组成部分。补充或修改应当按谈判文件要求签署、盖章、密封、递交，并应注明“修改</w:t>
      </w:r>
      <w:r>
        <w:rPr>
          <w:rFonts w:cs="宋体" w:asciiTheme="minorEastAsia" w:hAnsiTheme="minorEastAsia"/>
          <w:kern w:val="0"/>
          <w:szCs w:val="21"/>
        </w:rPr>
        <w:t>”</w:t>
      </w:r>
      <w:r>
        <w:rPr>
          <w:rFonts w:hint="eastAsia" w:cs="宋体" w:asciiTheme="minorEastAsia" w:hAnsiTheme="minorEastAsia"/>
          <w:kern w:val="0"/>
          <w:szCs w:val="21"/>
        </w:rPr>
        <w:t>或“补充</w:t>
      </w:r>
      <w:r>
        <w:rPr>
          <w:rFonts w:cs="宋体" w:asciiTheme="minorEastAsia" w:hAnsiTheme="minorEastAsia"/>
          <w:kern w:val="0"/>
          <w:szCs w:val="21"/>
        </w:rPr>
        <w:t>”</w:t>
      </w:r>
      <w:r>
        <w:rPr>
          <w:rFonts w:hint="eastAsia" w:cs="宋体" w:asciiTheme="minorEastAsia" w:hAnsiTheme="minorEastAsia"/>
          <w:kern w:val="0"/>
          <w:szCs w:val="21"/>
        </w:rPr>
        <w:t>字样。</w:t>
      </w:r>
    </w:p>
    <w:p>
      <w:pPr>
        <w:pStyle w:val="45"/>
        <w:numPr>
          <w:ilvl w:val="1"/>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供应商不得在投标有效期内撤销响应文件</w:t>
      </w:r>
      <w:r>
        <w:rPr>
          <w:rFonts w:hint="eastAsia" w:cs="宋体" w:asciiTheme="minorEastAsia" w:hAnsiTheme="minorEastAsia"/>
          <w:kern w:val="0"/>
          <w:szCs w:val="21"/>
          <w:lang w:eastAsia="zh-CN"/>
        </w:rPr>
        <w:t>，</w:t>
      </w:r>
      <w:r>
        <w:rPr>
          <w:rFonts w:hint="eastAsia" w:cs="宋体" w:asciiTheme="minorEastAsia" w:hAnsiTheme="minorEastAsia"/>
          <w:kern w:val="0"/>
          <w:szCs w:val="21"/>
        </w:rPr>
        <w:t>否则招标人将不退还其谈判保证金。</w:t>
      </w:r>
    </w:p>
    <w:p>
      <w:pPr>
        <w:pStyle w:val="45"/>
        <w:numPr>
          <w:ilvl w:val="0"/>
          <w:numId w:val="11"/>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除供应商须知前附表另有规定外，供应商所提交的电子响应文件、纸质响应文件及电子介质存储的备份文件不予退还。</w:t>
      </w:r>
    </w:p>
    <w:p>
      <w:pPr>
        <w:autoSpaceDE w:val="0"/>
        <w:autoSpaceDN w:val="0"/>
        <w:spacing w:line="360" w:lineRule="auto"/>
        <w:contextualSpacing/>
        <w:rPr>
          <w:rFonts w:cs="宋体" w:asciiTheme="minorEastAsia" w:hAnsiTheme="minorEastAsia"/>
          <w:kern w:val="0"/>
          <w:szCs w:val="21"/>
        </w:rPr>
      </w:pPr>
    </w:p>
    <w:p>
      <w:pPr>
        <w:tabs>
          <w:tab w:val="left" w:pos="1260"/>
        </w:tabs>
        <w:autoSpaceDE w:val="0"/>
        <w:autoSpaceDN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五、谈判和评审</w:t>
      </w:r>
    </w:p>
    <w:p>
      <w:pPr>
        <w:pStyle w:val="45"/>
        <w:numPr>
          <w:ilvl w:val="0"/>
          <w:numId w:val="11"/>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响应文件密封情况检查及解密</w:t>
      </w:r>
    </w:p>
    <w:p>
      <w:pPr>
        <w:pStyle w:val="45"/>
        <w:numPr>
          <w:ilvl w:val="1"/>
          <w:numId w:val="16"/>
        </w:numPr>
        <w:autoSpaceDE w:val="0"/>
        <w:autoSpaceDN w:val="0"/>
        <w:spacing w:line="360" w:lineRule="auto"/>
        <w:ind w:firstLineChars="0"/>
        <w:contextualSpacing/>
        <w:rPr>
          <w:rFonts w:cs="宋体" w:asciiTheme="minorEastAsia" w:hAnsiTheme="minorEastAsia"/>
          <w:kern w:val="0"/>
          <w:szCs w:val="21"/>
        </w:rPr>
      </w:pPr>
      <w:r>
        <w:rPr>
          <w:rFonts w:hint="eastAsia" w:cs="仿宋_GB2312" w:asciiTheme="minorEastAsia" w:hAnsiTheme="minorEastAsia"/>
          <w:color w:val="000000"/>
          <w:szCs w:val="21"/>
        </w:rPr>
        <w:t>谈判响应截止时间</w:t>
      </w:r>
      <w:r>
        <w:rPr>
          <w:rFonts w:hint="eastAsia" w:cs="宋体" w:asciiTheme="minorEastAsia" w:hAnsiTheme="minorEastAsia"/>
          <w:kern w:val="0"/>
          <w:szCs w:val="21"/>
        </w:rPr>
        <w:t>，由供应商或者其推选的代表检查纸质谈判文件和备份文件（使用电子介质存储）的密封情况；经确认无误后进行电子谈判文件的解密。解密后宣布供应商名称、修改和撤回响应的通知（如有的话）和谈判文件规定的需要宣布的其他内容。</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（1）电子谈判文件的解密</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全流程电子化交易项目电子谈判文件采用双重加密。解密需分标段进行两次解密。</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a. 供应商解密：供应商使用本单位CA数字证书远程或现场进行解密。需递交响应文件现场使用一体机进行解密的，请在集中采购机构引导下进行。</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b. 集中采购机构解密：集中采购机构</w:t>
      </w:r>
      <w:r>
        <w:rPr>
          <w:rFonts w:cs="宋体" w:asciiTheme="minorEastAsia" w:hAnsiTheme="minorEastAsia"/>
          <w:kern w:val="0"/>
          <w:szCs w:val="21"/>
        </w:rPr>
        <w:t>按</w:t>
      </w:r>
      <w:r>
        <w:rPr>
          <w:rFonts w:hint="eastAsia" w:cs="宋体" w:asciiTheme="minorEastAsia" w:hAnsiTheme="minorEastAsia"/>
          <w:kern w:val="0"/>
          <w:szCs w:val="21"/>
        </w:rPr>
        <w:t>电子响应文件到达交易系统</w:t>
      </w:r>
      <w:r>
        <w:rPr>
          <w:rFonts w:cs="宋体" w:asciiTheme="minorEastAsia" w:hAnsiTheme="minorEastAsia"/>
          <w:kern w:val="0"/>
          <w:szCs w:val="21"/>
        </w:rPr>
        <w:t>的先后顺序</w:t>
      </w:r>
      <w:r>
        <w:rPr>
          <w:rFonts w:hint="eastAsia" w:cs="宋体" w:asciiTheme="minorEastAsia" w:hAnsiTheme="minorEastAsia"/>
          <w:kern w:val="0"/>
          <w:szCs w:val="21"/>
        </w:rPr>
        <w:t>，使用本单位CA数字证书进行再次解密。</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（2） 电子响应文件解密异常情况处理</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a. 因电子交易系统异常无法解密电子响应文件的，使用纸质响应文件以人工方式进行。</w:t>
      </w:r>
    </w:p>
    <w:p>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b. 因供应商原因电子响应文件解密失败的，由交易系统技术人员协助供应商将备份文件（电子介质存储）导入系统。若备份文件（电子介质存储）无法导入系统或导入系统仍无法解密的，其响应将被拒绝。</w:t>
      </w:r>
    </w:p>
    <w:p>
      <w:pPr>
        <w:pStyle w:val="45"/>
        <w:numPr>
          <w:ilvl w:val="1"/>
          <w:numId w:val="1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供应商不足3家的，本项目谈判活动终止。</w:t>
      </w:r>
    </w:p>
    <w:p>
      <w:pPr>
        <w:pStyle w:val="45"/>
        <w:numPr>
          <w:ilvl w:val="0"/>
          <w:numId w:val="1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谈判小组组成</w:t>
      </w:r>
    </w:p>
    <w:p>
      <w:pPr>
        <w:pStyle w:val="45"/>
        <w:numPr>
          <w:ilvl w:val="0"/>
          <w:numId w:val="17"/>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采购人将依法组建谈判小组，谈判小组</w:t>
      </w:r>
      <w:r>
        <w:rPr>
          <w:rFonts w:ascii="ˎ̥" w:hAnsi="ˎ̥"/>
        </w:rPr>
        <w:t>由采购人代表和评审专家共3人以上单数组成，其中评审专家人数不得少于竞争性谈判小组成员总数</w:t>
      </w:r>
      <w:r>
        <w:rPr>
          <w:rFonts w:hint="eastAsia" w:cs="宋体" w:asciiTheme="minorEastAsia" w:hAnsiTheme="minorEastAsia"/>
          <w:kern w:val="0"/>
          <w:szCs w:val="21"/>
        </w:rPr>
        <w:t>的三分之二。评审专家依法从政府采购评审专家库中随机抽取。</w:t>
      </w:r>
    </w:p>
    <w:p>
      <w:pPr>
        <w:autoSpaceDE w:val="0"/>
        <w:autoSpaceDN w:val="0"/>
        <w:spacing w:line="360" w:lineRule="auto"/>
        <w:ind w:left="2156" w:leftChars="452" w:hanging="1207" w:hangingChars="575"/>
        <w:contextualSpacing/>
        <w:rPr>
          <w:rFonts w:cs="宋体" w:asciiTheme="minorEastAsia" w:hAnsiTheme="minorEastAsia"/>
          <w:kern w:val="0"/>
          <w:szCs w:val="21"/>
        </w:rPr>
      </w:pPr>
      <w:r>
        <w:rPr>
          <w:rFonts w:hint="eastAsia" w:cs="宋体" w:asciiTheme="minorEastAsia" w:hAnsiTheme="minorEastAsia"/>
          <w:kern w:val="0"/>
          <w:szCs w:val="21"/>
        </w:rPr>
        <w:t>24.1.1     采购人将依法组建谈判小组，谈判小组由评审专家组成，成员人数应当为</w:t>
      </w:r>
      <w:r>
        <w:rPr>
          <w:rFonts w:ascii="ˎ̥" w:hAnsi="ˎ̥"/>
        </w:rPr>
        <w:t>3人以上单数组成</w:t>
      </w:r>
      <w:r>
        <w:rPr>
          <w:rFonts w:hint="eastAsia" w:cs="宋体" w:asciiTheme="minorEastAsia" w:hAnsiTheme="minorEastAsia"/>
          <w:kern w:val="0"/>
          <w:szCs w:val="21"/>
        </w:rPr>
        <w:t>。评审专家依法从政府采购评审专家库中随机抽取。</w:t>
      </w:r>
    </w:p>
    <w:p>
      <w:pPr>
        <w:autoSpaceDE w:val="0"/>
        <w:autoSpaceDN w:val="0"/>
        <w:spacing w:line="360" w:lineRule="auto"/>
        <w:ind w:left="2156" w:leftChars="473" w:hanging="1163" w:hangingChars="554"/>
        <w:contextualSpacing/>
        <w:rPr>
          <w:rFonts w:cs="宋体" w:asciiTheme="minorEastAsia" w:hAnsiTheme="minorEastAsia"/>
          <w:kern w:val="0"/>
          <w:szCs w:val="21"/>
        </w:rPr>
      </w:pPr>
      <w:r>
        <w:rPr>
          <w:rFonts w:hint="eastAsia" w:cs="宋体" w:asciiTheme="minorEastAsia" w:hAnsiTheme="minorEastAsia"/>
          <w:kern w:val="0"/>
          <w:szCs w:val="21"/>
        </w:rPr>
        <w:t xml:space="preserve">24.1.2     </w:t>
      </w:r>
      <w:r>
        <w:rPr>
          <w:rFonts w:ascii="ˎ̥" w:hAnsi="ˎ̥"/>
        </w:rPr>
        <w:t>达到公开招标数额标准的货物或者服务采购项目，或者达到招标规模标准的政府采购工程，竞争性谈判小组应当由5人以上单数组成</w:t>
      </w:r>
      <w:r>
        <w:rPr>
          <w:rFonts w:hint="eastAsia" w:ascii="ˎ̥" w:hAnsi="ˎ̥"/>
        </w:rPr>
        <w:t>。</w:t>
      </w:r>
    </w:p>
    <w:p>
      <w:pPr>
        <w:pStyle w:val="45"/>
        <w:numPr>
          <w:ilvl w:val="1"/>
          <w:numId w:val="16"/>
        </w:numPr>
        <w:autoSpaceDE w:val="0"/>
        <w:autoSpaceDN w:val="0"/>
        <w:spacing w:line="360" w:lineRule="auto"/>
        <w:ind w:firstLineChars="0"/>
        <w:contextualSpacing/>
        <w:rPr>
          <w:rFonts w:ascii="ˎ̥" w:hAnsi="ˎ̥"/>
          <w:vanish/>
        </w:rPr>
      </w:pPr>
    </w:p>
    <w:p>
      <w:pPr>
        <w:pStyle w:val="45"/>
        <w:numPr>
          <w:ilvl w:val="1"/>
          <w:numId w:val="16"/>
        </w:numPr>
        <w:autoSpaceDE w:val="0"/>
        <w:autoSpaceDN w:val="0"/>
        <w:spacing w:line="360" w:lineRule="auto"/>
        <w:ind w:firstLineChars="0"/>
        <w:contextualSpacing/>
        <w:rPr>
          <w:rFonts w:cs="宋体" w:asciiTheme="minorEastAsia" w:hAnsiTheme="minorEastAsia"/>
          <w:kern w:val="0"/>
          <w:szCs w:val="21"/>
        </w:rPr>
      </w:pPr>
      <w:r>
        <w:rPr>
          <w:rFonts w:ascii="ˎ̥" w:hAnsi="ˎ̥"/>
        </w:rPr>
        <w:t>采购人不得以评审专家身份参加本部门或本单位采购项目的评审</w:t>
      </w:r>
      <w:r>
        <w:rPr>
          <w:rFonts w:hint="eastAsia" w:cs="宋体" w:asciiTheme="minorEastAsia" w:hAnsiTheme="minorEastAsia"/>
          <w:kern w:val="0"/>
          <w:szCs w:val="21"/>
        </w:rPr>
        <w:t>。</w:t>
      </w:r>
    </w:p>
    <w:p>
      <w:pPr>
        <w:pStyle w:val="45"/>
        <w:numPr>
          <w:ilvl w:val="1"/>
          <w:numId w:val="1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谈判小组成员与供应商存在下列利害关系之一的,应当回避:</w:t>
      </w:r>
    </w:p>
    <w:p>
      <w:pPr>
        <w:autoSpaceDE w:val="0"/>
        <w:autoSpaceDN w:val="0"/>
        <w:spacing w:line="360" w:lineRule="auto"/>
        <w:ind w:left="2156" w:leftChars="452" w:hanging="1207" w:hangingChars="575"/>
        <w:contextualSpacing/>
        <w:rPr>
          <w:rFonts w:ascii="ˎ̥" w:hAnsi="ˎ̥"/>
        </w:rPr>
      </w:pPr>
      <w:r>
        <w:rPr>
          <w:rFonts w:hint="eastAsia" w:cs="宋体" w:asciiTheme="minorEastAsia" w:hAnsiTheme="minorEastAsia"/>
          <w:kern w:val="0"/>
          <w:szCs w:val="21"/>
        </w:rPr>
        <w:t xml:space="preserve">24.3.1     </w:t>
      </w:r>
      <w:r>
        <w:rPr>
          <w:rFonts w:hint="eastAsia" w:ascii="ˎ̥" w:hAnsi="ˎ̥"/>
        </w:rPr>
        <w:t>参加采购活动前三年内,与供应商存在劳动关系,或者担任过供应商的董事、监事,或者是供应商的控股股东或实际控制人；</w:t>
      </w:r>
    </w:p>
    <w:p>
      <w:pPr>
        <w:autoSpaceDE w:val="0"/>
        <w:autoSpaceDN w:val="0"/>
        <w:spacing w:line="360" w:lineRule="auto"/>
        <w:ind w:left="2123" w:leftChars="451" w:hanging="1176" w:hangingChars="560"/>
        <w:contextualSpacing/>
        <w:rPr>
          <w:rFonts w:ascii="ˎ̥" w:hAnsi="ˎ̥"/>
        </w:rPr>
      </w:pPr>
      <w:r>
        <w:rPr>
          <w:rFonts w:hint="eastAsia" w:cs="宋体" w:asciiTheme="minorEastAsia" w:hAnsiTheme="minorEastAsia"/>
          <w:kern w:val="0"/>
          <w:szCs w:val="21"/>
        </w:rPr>
        <w:t xml:space="preserve">24.3.2     </w:t>
      </w:r>
      <w:r>
        <w:rPr>
          <w:rFonts w:hint="eastAsia" w:ascii="ˎ̥" w:hAnsi="ˎ̥"/>
        </w:rPr>
        <w:t>与供应商的法定代表人或者负责人有夫妻、直系血亲、三代以内旁系血亲或者近姻亲关系；</w:t>
      </w:r>
    </w:p>
    <w:p>
      <w:pPr>
        <w:autoSpaceDE w:val="0"/>
        <w:autoSpaceDN w:val="0"/>
        <w:spacing w:line="360" w:lineRule="auto"/>
        <w:ind w:left="2156" w:leftChars="452" w:hanging="1207" w:hangingChars="575"/>
        <w:contextualSpacing/>
        <w:rPr>
          <w:rFonts w:ascii="ˎ̥" w:hAnsi="ˎ̥"/>
        </w:rPr>
      </w:pPr>
      <w:r>
        <w:rPr>
          <w:rFonts w:hint="eastAsia" w:cs="宋体" w:asciiTheme="minorEastAsia" w:hAnsiTheme="minorEastAsia"/>
          <w:kern w:val="0"/>
          <w:szCs w:val="21"/>
        </w:rPr>
        <w:t xml:space="preserve">24.3.3     </w:t>
      </w:r>
      <w:r>
        <w:rPr>
          <w:rFonts w:hint="eastAsia" w:ascii="ˎ̥" w:hAnsi="ˎ̥"/>
        </w:rPr>
        <w:t>与供应商有其他可能影响政府采购活动公平、公正进行的关系。</w:t>
      </w:r>
    </w:p>
    <w:p>
      <w:pPr>
        <w:pStyle w:val="45"/>
        <w:numPr>
          <w:ilvl w:val="1"/>
          <w:numId w:val="1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评审专家发现本人与参加采购活动的供应商有利害关系的,应当主动提出回避。采购人或者集中采购机构发现评审专家与参加采购活动的供应商有利害关系的,应当要求其回避。</w:t>
      </w:r>
    </w:p>
    <w:p>
      <w:pPr>
        <w:pStyle w:val="45"/>
        <w:numPr>
          <w:ilvl w:val="1"/>
          <w:numId w:val="1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采购人不得担任谈判小组组长。</w:t>
      </w:r>
    </w:p>
    <w:p>
      <w:pPr>
        <w:pStyle w:val="45"/>
        <w:numPr>
          <w:ilvl w:val="1"/>
          <w:numId w:val="1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谈判小组成员名单在成交结果公告前应当保密。</w:t>
      </w:r>
    </w:p>
    <w:p>
      <w:pPr>
        <w:pStyle w:val="45"/>
        <w:numPr>
          <w:ilvl w:val="0"/>
          <w:numId w:val="1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资格审查和符合性审查</w:t>
      </w:r>
    </w:p>
    <w:p>
      <w:pPr>
        <w:pStyle w:val="45"/>
        <w:numPr>
          <w:ilvl w:val="0"/>
          <w:numId w:val="18"/>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资格审查：谈判小组依据有关法律法规和谈判文件的规定对供应商的资格进行审查。</w:t>
      </w:r>
    </w:p>
    <w:p>
      <w:pPr>
        <w:pStyle w:val="45"/>
        <w:autoSpaceDE w:val="0"/>
        <w:autoSpaceDN w:val="0"/>
        <w:spacing w:line="360" w:lineRule="auto"/>
        <w:ind w:left="964" w:firstLine="0" w:firstLineChars="0"/>
        <w:contextualSpacing/>
        <w:rPr>
          <w:rFonts w:cs="宋体" w:asciiTheme="minorEastAsia" w:hAnsiTheme="minorEastAsia"/>
          <w:kern w:val="0"/>
          <w:szCs w:val="21"/>
        </w:rPr>
      </w:pPr>
      <w:r>
        <w:rPr>
          <w:rFonts w:hint="eastAsia" w:cs="宋体" w:asciiTheme="minorEastAsia" w:hAnsiTheme="minorEastAsia"/>
          <w:b/>
          <w:kern w:val="0"/>
          <w:szCs w:val="21"/>
        </w:rPr>
        <w:t>本项目具体资格审查详见（第六章 资格审查与评审）</w:t>
      </w:r>
      <w:r>
        <w:rPr>
          <w:rFonts w:hint="eastAsia" w:cs="宋体" w:asciiTheme="minorEastAsia" w:hAnsiTheme="minorEastAsia"/>
          <w:kern w:val="0"/>
          <w:szCs w:val="21"/>
        </w:rPr>
        <w:t>。</w:t>
      </w:r>
    </w:p>
    <w:p>
      <w:pPr>
        <w:pStyle w:val="45"/>
        <w:numPr>
          <w:ilvl w:val="0"/>
          <w:numId w:val="11"/>
        </w:numPr>
        <w:autoSpaceDE w:val="0"/>
        <w:autoSpaceDN w:val="0"/>
        <w:spacing w:line="360" w:lineRule="auto"/>
        <w:ind w:firstLineChars="0"/>
        <w:contextualSpacing/>
        <w:rPr>
          <w:rFonts w:cs="宋体" w:asciiTheme="minorEastAsia" w:hAnsiTheme="minorEastAsia"/>
          <w:vanish/>
          <w:kern w:val="0"/>
          <w:szCs w:val="21"/>
        </w:rPr>
      </w:pPr>
    </w:p>
    <w:p>
      <w:pPr>
        <w:pStyle w:val="45"/>
        <w:numPr>
          <w:ilvl w:val="0"/>
          <w:numId w:val="11"/>
        </w:numPr>
        <w:autoSpaceDE w:val="0"/>
        <w:autoSpaceDN w:val="0"/>
        <w:spacing w:line="360" w:lineRule="auto"/>
        <w:ind w:firstLineChars="0"/>
        <w:contextualSpacing/>
        <w:rPr>
          <w:rFonts w:cs="宋体" w:asciiTheme="minorEastAsia" w:hAnsiTheme="minorEastAsia"/>
          <w:vanish/>
          <w:kern w:val="0"/>
          <w:szCs w:val="21"/>
        </w:rPr>
      </w:pPr>
    </w:p>
    <w:p>
      <w:pPr>
        <w:pStyle w:val="45"/>
        <w:numPr>
          <w:ilvl w:val="1"/>
          <w:numId w:val="11"/>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符合性审查：</w:t>
      </w:r>
      <w:r>
        <w:rPr>
          <w:rFonts w:hint="eastAsia" w:ascii="宋体" w:hAnsi="宋体" w:cs="微软雅黑"/>
          <w:szCs w:val="21"/>
        </w:rPr>
        <w:t>依据谈判文件的规定，从响应文件的有效性、完整性和对谈判文件的响应程度进行审查，以确定是否对谈判文件的全部实质性要求作出响应。</w:t>
      </w:r>
    </w:p>
    <w:p>
      <w:pPr>
        <w:pStyle w:val="45"/>
        <w:autoSpaceDE w:val="0"/>
        <w:autoSpaceDN w:val="0"/>
        <w:spacing w:line="360" w:lineRule="auto"/>
        <w:ind w:left="964" w:firstLine="0" w:firstLineChars="0"/>
        <w:contextualSpacing/>
        <w:rPr>
          <w:rFonts w:cs="宋体" w:asciiTheme="minorEastAsia" w:hAnsiTheme="minorEastAsia"/>
          <w:kern w:val="0"/>
          <w:szCs w:val="21"/>
        </w:rPr>
      </w:pPr>
    </w:p>
    <w:p>
      <w:pPr>
        <w:pStyle w:val="45"/>
        <w:numPr>
          <w:ilvl w:val="0"/>
          <w:numId w:val="1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响应文件的澄清</w:t>
      </w:r>
    </w:p>
    <w:p>
      <w:pPr>
        <w:pStyle w:val="45"/>
        <w:numPr>
          <w:ilvl w:val="0"/>
          <w:numId w:val="19"/>
        </w:numPr>
        <w:autoSpaceDE w:val="0"/>
        <w:autoSpaceDN w:val="0"/>
        <w:spacing w:line="360" w:lineRule="auto"/>
        <w:ind w:firstLineChars="0"/>
        <w:contextualSpacing/>
        <w:rPr>
          <w:rFonts w:cs="宋体" w:asciiTheme="minorEastAsia" w:hAnsiTheme="minorEastAsia"/>
          <w:kern w:val="0"/>
          <w:szCs w:val="21"/>
        </w:rPr>
      </w:pPr>
      <w:r>
        <w:rPr>
          <w:rFonts w:ascii="ˎ̥" w:hAnsi="ˎ̥"/>
        </w:rPr>
        <w:t>谈判小组在对响应文件的有效性、完整性和响应程度进行审查时，可以要求供应商对响应文件中含义不明确、同类问题表述不一致或者有明显文字和计算错误的内容等作出必要的澄清、说明或者更正</w:t>
      </w:r>
      <w:r>
        <w:rPr>
          <w:rFonts w:hint="eastAsia" w:cs="宋体" w:asciiTheme="minorEastAsia" w:hAnsiTheme="minorEastAsia"/>
          <w:kern w:val="0"/>
          <w:szCs w:val="21"/>
        </w:rPr>
        <w:t>。</w:t>
      </w:r>
      <w:r>
        <w:rPr>
          <w:rFonts w:ascii="ˎ̥" w:hAnsi="ˎ̥"/>
        </w:rPr>
        <w:t>供应商的澄清、说明或者更正不得超出响应文件的范围或者改变响应文件的实质性内容</w:t>
      </w:r>
      <w:r>
        <w:rPr>
          <w:rFonts w:hint="eastAsia" w:ascii="ˎ̥" w:hAnsi="ˎ̥"/>
          <w:lang w:eastAsia="zh-CN"/>
        </w:rPr>
        <w:t>。</w:t>
      </w:r>
    </w:p>
    <w:p>
      <w:pPr>
        <w:pStyle w:val="45"/>
        <w:numPr>
          <w:ilvl w:val="1"/>
          <w:numId w:val="16"/>
        </w:numPr>
        <w:autoSpaceDE w:val="0"/>
        <w:autoSpaceDN w:val="0"/>
        <w:spacing w:line="360" w:lineRule="auto"/>
        <w:ind w:firstLineChars="0"/>
        <w:contextualSpacing/>
        <w:rPr>
          <w:rFonts w:cs="宋体" w:asciiTheme="minorEastAsia" w:hAnsiTheme="minorEastAsia"/>
          <w:vanish/>
          <w:kern w:val="0"/>
          <w:szCs w:val="21"/>
        </w:rPr>
      </w:pPr>
    </w:p>
    <w:p>
      <w:pPr>
        <w:pStyle w:val="45"/>
        <w:numPr>
          <w:ilvl w:val="1"/>
          <w:numId w:val="1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投标人的澄清、说明或者更正应当采用书面</w:t>
      </w:r>
      <w:r>
        <w:rPr>
          <w:rFonts w:hint="eastAsia" w:ascii="ˎ̥" w:hAnsi="ˎ̥"/>
        </w:rPr>
        <w:t>形式，</w:t>
      </w:r>
      <w:r>
        <w:rPr>
          <w:rFonts w:ascii="ˎ̥" w:hAnsi="ˎ̥"/>
        </w:rPr>
        <w:t>供应商的澄清、说明或者更正应当由法定代表人或其授权代表签字或者加盖公章。由授权代表签字的，应当附法定代表人授权书。供应商为自然人的，应当由本人签字并附身份证明</w:t>
      </w:r>
      <w:r>
        <w:rPr>
          <w:rFonts w:hint="eastAsia" w:ascii="ˎ̥" w:hAnsi="ˎ̥"/>
        </w:rPr>
        <w:t>。投标人的澄清、说明或者补正不得超出</w:t>
      </w:r>
      <w:r>
        <w:rPr>
          <w:rFonts w:hint="eastAsia" w:cs="宋体" w:asciiTheme="minorEastAsia" w:hAnsiTheme="minorEastAsia"/>
          <w:kern w:val="0"/>
          <w:szCs w:val="21"/>
        </w:rPr>
        <w:t>投标文件的范围或者改变投标文件的实质性内容。</w:t>
      </w:r>
    </w:p>
    <w:p>
      <w:pPr>
        <w:pStyle w:val="45"/>
        <w:numPr>
          <w:ilvl w:val="1"/>
          <w:numId w:val="1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供应商的澄清文件是其响应文件的组成部分。</w:t>
      </w:r>
    </w:p>
    <w:p>
      <w:pPr>
        <w:pStyle w:val="45"/>
        <w:autoSpaceDE w:val="0"/>
        <w:autoSpaceDN w:val="0"/>
        <w:spacing w:line="360" w:lineRule="auto"/>
        <w:ind w:left="964" w:firstLine="0" w:firstLineChars="0"/>
        <w:contextualSpacing/>
        <w:rPr>
          <w:rFonts w:cs="宋体" w:asciiTheme="minorEastAsia" w:hAnsiTheme="minorEastAsia"/>
          <w:kern w:val="0"/>
          <w:szCs w:val="21"/>
        </w:rPr>
      </w:pPr>
    </w:p>
    <w:p>
      <w:pPr>
        <w:pStyle w:val="45"/>
        <w:numPr>
          <w:ilvl w:val="0"/>
          <w:numId w:val="1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响应文件报价出现前后不一致的修正</w:t>
      </w:r>
    </w:p>
    <w:p>
      <w:pPr>
        <w:pStyle w:val="45"/>
        <w:numPr>
          <w:ilvl w:val="1"/>
          <w:numId w:val="1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大写金额和小写金额不一致的，以大写金额为准；</w:t>
      </w:r>
    </w:p>
    <w:p>
      <w:pPr>
        <w:pStyle w:val="45"/>
        <w:numPr>
          <w:ilvl w:val="1"/>
          <w:numId w:val="1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单价金额小数点或者百分比有明显错位的，以开标一览表的总价为准，并修改单价；</w:t>
      </w:r>
    </w:p>
    <w:p>
      <w:pPr>
        <w:pStyle w:val="45"/>
        <w:numPr>
          <w:ilvl w:val="1"/>
          <w:numId w:val="1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总价金额与按单价汇总金额不一致的，以单价金额计算结果为准。同时出现两种以上不一致的，按照前款规定的顺序修正。修正后的报价按照“供应商须知”26.2规定经供应商确认后产生约束力，供应商不确认的，为无效报价。</w:t>
      </w:r>
    </w:p>
    <w:p>
      <w:pPr>
        <w:autoSpaceDE w:val="0"/>
        <w:autoSpaceDN w:val="0"/>
        <w:spacing w:line="360" w:lineRule="auto"/>
        <w:ind w:left="964"/>
        <w:contextualSpacing/>
        <w:rPr>
          <w:rFonts w:cs="宋体" w:asciiTheme="minorEastAsia" w:hAnsiTheme="minorEastAsia"/>
          <w:kern w:val="0"/>
          <w:szCs w:val="21"/>
        </w:rPr>
      </w:pPr>
    </w:p>
    <w:p>
      <w:pPr>
        <w:pStyle w:val="45"/>
        <w:numPr>
          <w:ilvl w:val="0"/>
          <w:numId w:val="1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响应无效情形</w:t>
      </w:r>
    </w:p>
    <w:p>
      <w:pPr>
        <w:pStyle w:val="45"/>
        <w:numPr>
          <w:ilvl w:val="1"/>
          <w:numId w:val="1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响应文件属下列情况之一的，按照无效响应处理：</w:t>
      </w:r>
    </w:p>
    <w:p>
      <w:pPr>
        <w:pStyle w:val="45"/>
        <w:numPr>
          <w:ilvl w:val="0"/>
          <w:numId w:val="20"/>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20"/>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20"/>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20"/>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20"/>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20"/>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20"/>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20"/>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20"/>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20"/>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20"/>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20"/>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20"/>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20"/>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20"/>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20"/>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20"/>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20"/>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20"/>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20"/>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20"/>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20"/>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20"/>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20"/>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20"/>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20"/>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20"/>
        </w:numPr>
        <w:autoSpaceDE w:val="0"/>
        <w:autoSpaceDN w:val="0"/>
        <w:spacing w:line="360" w:lineRule="auto"/>
        <w:ind w:firstLine="0" w:firstLineChars="0"/>
        <w:contextualSpacing/>
        <w:rPr>
          <w:rFonts w:cs="宋体" w:asciiTheme="minorEastAsia" w:hAnsiTheme="minorEastAsia"/>
          <w:vanish/>
          <w:kern w:val="0"/>
          <w:szCs w:val="21"/>
        </w:rPr>
      </w:pPr>
    </w:p>
    <w:p>
      <w:pPr>
        <w:pStyle w:val="45"/>
        <w:numPr>
          <w:ilvl w:val="0"/>
          <w:numId w:val="20"/>
        </w:numPr>
        <w:autoSpaceDE w:val="0"/>
        <w:autoSpaceDN w:val="0"/>
        <w:spacing w:line="360" w:lineRule="auto"/>
        <w:ind w:firstLine="0" w:firstLineChars="0"/>
        <w:contextualSpacing/>
        <w:rPr>
          <w:rFonts w:cs="宋体" w:asciiTheme="minorEastAsia" w:hAnsiTheme="minorEastAsia"/>
          <w:kern w:val="0"/>
          <w:szCs w:val="21"/>
        </w:rPr>
      </w:pPr>
      <w:r>
        <w:rPr>
          <w:rFonts w:hint="eastAsia" w:cs="宋体" w:asciiTheme="minorEastAsia" w:hAnsiTheme="minorEastAsia"/>
          <w:kern w:val="0"/>
          <w:szCs w:val="21"/>
        </w:rPr>
        <w:t>未按照谈判文件的规定提交投标保证金的；</w:t>
      </w:r>
    </w:p>
    <w:p>
      <w:pPr>
        <w:pStyle w:val="45"/>
        <w:autoSpaceDE w:val="0"/>
        <w:autoSpaceDN w:val="0"/>
        <w:spacing w:line="360" w:lineRule="auto"/>
        <w:ind w:left="964" w:firstLine="0" w:firstLineChars="0"/>
        <w:contextualSpacing/>
        <w:rPr>
          <w:rFonts w:cs="宋体" w:asciiTheme="minorEastAsia" w:hAnsiTheme="minorEastAsia"/>
          <w:kern w:val="0"/>
          <w:szCs w:val="21"/>
        </w:rPr>
      </w:pPr>
      <w:r>
        <w:rPr>
          <w:rFonts w:hint="eastAsia" w:cs="宋体" w:asciiTheme="minorEastAsia" w:hAnsiTheme="minorEastAsia"/>
          <w:kern w:val="0"/>
          <w:szCs w:val="21"/>
        </w:rPr>
        <w:t>28.1.2     响应文件未按招标文件要求签署、盖章的；</w:t>
      </w:r>
    </w:p>
    <w:p>
      <w:pPr>
        <w:pStyle w:val="45"/>
        <w:autoSpaceDE w:val="0"/>
        <w:autoSpaceDN w:val="0"/>
        <w:spacing w:line="360" w:lineRule="auto"/>
        <w:ind w:left="964" w:firstLine="0" w:firstLineChars="0"/>
        <w:contextualSpacing/>
        <w:rPr>
          <w:rFonts w:cs="宋体" w:asciiTheme="minorEastAsia" w:hAnsiTheme="minorEastAsia"/>
          <w:kern w:val="0"/>
          <w:szCs w:val="21"/>
        </w:rPr>
      </w:pPr>
      <w:r>
        <w:rPr>
          <w:rFonts w:hint="eastAsia" w:cs="宋体" w:asciiTheme="minorEastAsia" w:hAnsiTheme="minorEastAsia"/>
          <w:kern w:val="0"/>
          <w:szCs w:val="21"/>
        </w:rPr>
        <w:t>28.1.3     不具备谈判文件中规定的资格要求的；</w:t>
      </w:r>
    </w:p>
    <w:p>
      <w:pPr>
        <w:pStyle w:val="45"/>
        <w:autoSpaceDE w:val="0"/>
        <w:autoSpaceDN w:val="0"/>
        <w:spacing w:line="360" w:lineRule="auto"/>
        <w:ind w:left="964" w:firstLine="0" w:firstLineChars="0"/>
        <w:contextualSpacing/>
        <w:rPr>
          <w:rFonts w:hint="eastAsia" w:cs="宋体" w:asciiTheme="minorEastAsia" w:hAnsiTheme="minorEastAsia"/>
          <w:kern w:val="0"/>
          <w:szCs w:val="21"/>
        </w:rPr>
      </w:pPr>
      <w:r>
        <w:rPr>
          <w:rFonts w:hint="eastAsia" w:cs="宋体" w:asciiTheme="minorEastAsia" w:hAnsiTheme="minorEastAsia"/>
          <w:kern w:val="0"/>
          <w:szCs w:val="21"/>
        </w:rPr>
        <w:t>28.1.4     报价超过谈判文件中规定的预算金额的；</w:t>
      </w:r>
    </w:p>
    <w:p>
      <w:pPr>
        <w:pStyle w:val="45"/>
        <w:autoSpaceDE w:val="0"/>
        <w:autoSpaceDN w:val="0"/>
        <w:spacing w:line="360" w:lineRule="auto"/>
        <w:ind w:left="964" w:firstLine="0" w:firstLineChars="0"/>
        <w:contextualSpacing/>
        <w:rPr>
          <w:rFonts w:hint="default" w:cs="宋体" w:asciiTheme="minorEastAsia" w:hAnsiTheme="minorEastAsia" w:eastAsiaTheme="minorEastAsia"/>
          <w:kern w:val="0"/>
          <w:szCs w:val="21"/>
          <w:lang w:val="en-US" w:eastAsia="zh-CN"/>
        </w:rPr>
      </w:pPr>
      <w:r>
        <w:rPr>
          <w:rFonts w:hint="eastAsia" w:cs="宋体" w:asciiTheme="minorEastAsia" w:hAnsiTheme="minorEastAsia"/>
          <w:kern w:val="0"/>
          <w:szCs w:val="21"/>
          <w:lang w:val="en-US" w:eastAsia="zh-CN"/>
        </w:rPr>
        <w:t>28.1.5    响应文件内容模糊不清，无法辨认的；</w:t>
      </w:r>
    </w:p>
    <w:p>
      <w:pPr>
        <w:pStyle w:val="45"/>
        <w:autoSpaceDE w:val="0"/>
        <w:autoSpaceDN w:val="0"/>
        <w:spacing w:line="360" w:lineRule="auto"/>
        <w:ind w:left="964" w:firstLine="0" w:firstLineChars="0"/>
        <w:contextualSpacing/>
        <w:rPr>
          <w:rFonts w:cs="宋体" w:asciiTheme="minorEastAsia" w:hAnsiTheme="minorEastAsia"/>
          <w:kern w:val="0"/>
          <w:szCs w:val="21"/>
        </w:rPr>
      </w:pPr>
      <w:r>
        <w:rPr>
          <w:rFonts w:hint="eastAsia" w:cs="宋体" w:asciiTheme="minorEastAsia" w:hAnsiTheme="minorEastAsia"/>
          <w:kern w:val="0"/>
          <w:szCs w:val="21"/>
        </w:rPr>
        <w:t>28.1.</w:t>
      </w:r>
      <w:r>
        <w:rPr>
          <w:rFonts w:hint="eastAsia" w:cs="宋体" w:asciiTheme="minorEastAsia" w:hAnsiTheme="minorEastAsia"/>
          <w:kern w:val="0"/>
          <w:szCs w:val="21"/>
          <w:lang w:val="en-US" w:eastAsia="zh-CN"/>
        </w:rPr>
        <w:t>6</w:t>
      </w:r>
      <w:r>
        <w:rPr>
          <w:rFonts w:hint="eastAsia" w:cs="宋体" w:asciiTheme="minorEastAsia" w:hAnsiTheme="minorEastAsia"/>
          <w:kern w:val="0"/>
          <w:szCs w:val="21"/>
        </w:rPr>
        <w:t xml:space="preserve">    响应</w:t>
      </w:r>
      <w:r>
        <w:rPr>
          <w:rFonts w:cs="宋体" w:asciiTheme="minorEastAsia" w:hAnsiTheme="minorEastAsia"/>
          <w:kern w:val="0"/>
          <w:szCs w:val="21"/>
        </w:rPr>
        <w:t>文件含有采购人不能接受的附加条件的</w:t>
      </w:r>
      <w:r>
        <w:rPr>
          <w:rFonts w:hint="eastAsia" w:cs="宋体" w:asciiTheme="minorEastAsia" w:hAnsiTheme="minorEastAsia"/>
          <w:kern w:val="0"/>
          <w:szCs w:val="21"/>
        </w:rPr>
        <w:t>。</w:t>
      </w:r>
    </w:p>
    <w:p>
      <w:pPr>
        <w:pStyle w:val="45"/>
        <w:numPr>
          <w:ilvl w:val="1"/>
          <w:numId w:val="1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有下列情形之一的，视为供应商串通谈判，其响应无效：</w:t>
      </w:r>
    </w:p>
    <w:p>
      <w:pPr>
        <w:pStyle w:val="45"/>
        <w:autoSpaceDE w:val="0"/>
        <w:autoSpaceDN w:val="0"/>
        <w:spacing w:line="360" w:lineRule="auto"/>
        <w:ind w:left="964" w:firstLine="0" w:firstLineChars="0"/>
        <w:contextualSpacing/>
        <w:rPr>
          <w:rFonts w:cs="宋体" w:asciiTheme="minorEastAsia" w:hAnsiTheme="minorEastAsia"/>
          <w:kern w:val="0"/>
          <w:szCs w:val="21"/>
        </w:rPr>
      </w:pPr>
      <w:r>
        <w:rPr>
          <w:rFonts w:hint="eastAsia" w:cs="宋体" w:asciiTheme="minorEastAsia" w:hAnsiTheme="minorEastAsia"/>
          <w:kern w:val="0"/>
          <w:szCs w:val="21"/>
        </w:rPr>
        <w:t>28.2.1     不同供应商的响应文件由同一单位或者个人编制；</w:t>
      </w:r>
    </w:p>
    <w:p>
      <w:pPr>
        <w:pStyle w:val="45"/>
        <w:autoSpaceDE w:val="0"/>
        <w:autoSpaceDN w:val="0"/>
        <w:spacing w:line="360" w:lineRule="auto"/>
        <w:ind w:left="964" w:firstLine="0" w:firstLineChars="0"/>
        <w:contextualSpacing/>
        <w:rPr>
          <w:rFonts w:cs="宋体" w:asciiTheme="minorEastAsia" w:hAnsiTheme="minorEastAsia"/>
          <w:kern w:val="0"/>
          <w:szCs w:val="21"/>
        </w:rPr>
      </w:pPr>
      <w:r>
        <w:rPr>
          <w:rFonts w:hint="eastAsia" w:cs="宋体" w:asciiTheme="minorEastAsia" w:hAnsiTheme="minorEastAsia"/>
          <w:kern w:val="0"/>
          <w:szCs w:val="21"/>
        </w:rPr>
        <w:t>28.2.2     不同供应商委托同一单位或者个人办理响应事宜；</w:t>
      </w:r>
    </w:p>
    <w:p>
      <w:pPr>
        <w:pStyle w:val="45"/>
        <w:autoSpaceDE w:val="0"/>
        <w:autoSpaceDN w:val="0"/>
        <w:spacing w:line="360" w:lineRule="auto"/>
        <w:ind w:left="964" w:firstLine="0" w:firstLineChars="0"/>
        <w:contextualSpacing/>
        <w:rPr>
          <w:rFonts w:cs="宋体" w:asciiTheme="minorEastAsia" w:hAnsiTheme="minorEastAsia"/>
          <w:kern w:val="0"/>
          <w:szCs w:val="21"/>
        </w:rPr>
      </w:pPr>
      <w:r>
        <w:rPr>
          <w:rFonts w:hint="eastAsia" w:cs="宋体" w:asciiTheme="minorEastAsia" w:hAnsiTheme="minorEastAsia"/>
          <w:kern w:val="0"/>
          <w:szCs w:val="21"/>
        </w:rPr>
        <w:t>28.2.3     不同供应商的响应文件载明的项目管理成员或者联系人员为同一人；</w:t>
      </w:r>
    </w:p>
    <w:p>
      <w:pPr>
        <w:pStyle w:val="45"/>
        <w:autoSpaceDE w:val="0"/>
        <w:autoSpaceDN w:val="0"/>
        <w:spacing w:line="360" w:lineRule="auto"/>
        <w:ind w:left="964" w:firstLine="0" w:firstLineChars="0"/>
        <w:contextualSpacing/>
        <w:rPr>
          <w:rFonts w:cs="宋体" w:asciiTheme="minorEastAsia" w:hAnsiTheme="minorEastAsia"/>
          <w:kern w:val="0"/>
          <w:szCs w:val="21"/>
        </w:rPr>
      </w:pPr>
      <w:r>
        <w:rPr>
          <w:rFonts w:hint="eastAsia" w:cs="宋体" w:asciiTheme="minorEastAsia" w:hAnsiTheme="minorEastAsia"/>
          <w:kern w:val="0"/>
          <w:szCs w:val="21"/>
        </w:rPr>
        <w:t>28.2.4     不同供应商的响应文件异常一致或者投标报价呈规律性差异；</w:t>
      </w:r>
    </w:p>
    <w:p>
      <w:pPr>
        <w:pStyle w:val="45"/>
        <w:autoSpaceDE w:val="0"/>
        <w:autoSpaceDN w:val="0"/>
        <w:spacing w:line="360" w:lineRule="auto"/>
        <w:ind w:left="964" w:firstLine="0" w:firstLineChars="0"/>
        <w:contextualSpacing/>
        <w:rPr>
          <w:rFonts w:cs="宋体" w:asciiTheme="minorEastAsia" w:hAnsiTheme="minorEastAsia"/>
          <w:kern w:val="0"/>
          <w:szCs w:val="21"/>
        </w:rPr>
      </w:pPr>
      <w:r>
        <w:rPr>
          <w:rFonts w:hint="eastAsia" w:cs="宋体" w:asciiTheme="minorEastAsia" w:hAnsiTheme="minorEastAsia"/>
          <w:kern w:val="0"/>
          <w:szCs w:val="21"/>
        </w:rPr>
        <w:t>28.2.5     不同供应商的响应文件相互混装；</w:t>
      </w:r>
    </w:p>
    <w:p>
      <w:pPr>
        <w:pStyle w:val="45"/>
        <w:autoSpaceDE w:val="0"/>
        <w:autoSpaceDN w:val="0"/>
        <w:spacing w:line="360" w:lineRule="auto"/>
        <w:ind w:left="964" w:firstLine="0" w:firstLineChars="0"/>
        <w:contextualSpacing/>
        <w:rPr>
          <w:rFonts w:cs="宋体" w:asciiTheme="minorEastAsia" w:hAnsiTheme="minorEastAsia"/>
          <w:kern w:val="0"/>
          <w:szCs w:val="21"/>
        </w:rPr>
      </w:pPr>
      <w:r>
        <w:rPr>
          <w:rFonts w:hint="eastAsia" w:cs="宋体" w:asciiTheme="minorEastAsia" w:hAnsiTheme="minorEastAsia"/>
          <w:kern w:val="0"/>
          <w:szCs w:val="21"/>
        </w:rPr>
        <w:t>28.2.6     不同供应商的谈判保证金从同一单位或者个人的账户转出。</w:t>
      </w:r>
    </w:p>
    <w:p>
      <w:pPr>
        <w:pStyle w:val="45"/>
        <w:numPr>
          <w:ilvl w:val="1"/>
          <w:numId w:val="16"/>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谈判小组认为供应商的报价明显低于其他通过符合性审查供应商的报价，有可能影响产品质量或者不能诚信履约的，应当要求其在谈判现场合理的时间内提供书面说明，必要时提交相关证明材料；供应商不能证明其报价合理性的，谈判小组应当将其作为无效响应处理。</w:t>
      </w:r>
    </w:p>
    <w:p>
      <w:pPr>
        <w:pStyle w:val="45"/>
        <w:numPr>
          <w:ilvl w:val="1"/>
          <w:numId w:val="16"/>
        </w:numPr>
        <w:autoSpaceDE w:val="0"/>
        <w:autoSpaceDN w:val="0"/>
        <w:spacing w:line="360" w:lineRule="auto"/>
        <w:ind w:firstLineChars="0"/>
        <w:contextualSpacing/>
        <w:rPr>
          <w:rFonts w:cs="宋体" w:asciiTheme="minorEastAsia" w:hAnsiTheme="minorEastAsia"/>
          <w:kern w:val="0"/>
          <w:szCs w:val="21"/>
        </w:rPr>
      </w:pPr>
      <w:r>
        <w:rPr>
          <w:rFonts w:hint="eastAsia" w:ascii="ˎ̥" w:hAnsi="ˎ̥"/>
        </w:rPr>
        <w:t>按照《关于推进全流程电子化交易和在线监管工作有关问题的通知》（许公管办[2019]3号）规定，不同供应商电子响应文件制作硬件特征码（网卡MAC地址、CPU序号、硬盘序列号等）雷同时，视为‘</w:t>
      </w:r>
      <w:r>
        <w:rPr>
          <w:rFonts w:ascii="ˎ̥" w:hAnsi="ˎ̥"/>
        </w:rPr>
        <w:t>不同</w:t>
      </w:r>
      <w:r>
        <w:rPr>
          <w:rFonts w:hint="eastAsia" w:ascii="ˎ̥" w:hAnsi="ˎ̥"/>
        </w:rPr>
        <w:t>供应商</w:t>
      </w:r>
      <w:r>
        <w:rPr>
          <w:rFonts w:ascii="ˎ̥" w:hAnsi="ˎ̥"/>
        </w:rPr>
        <w:t>的</w:t>
      </w:r>
      <w:r>
        <w:rPr>
          <w:rFonts w:hint="eastAsia" w:ascii="ˎ̥" w:hAnsi="ˎ̥"/>
        </w:rPr>
        <w:t>响应</w:t>
      </w:r>
      <w:r>
        <w:rPr>
          <w:rFonts w:ascii="ˎ̥" w:hAnsi="ˎ̥"/>
        </w:rPr>
        <w:t>文件由同一单位或者个人编制</w:t>
      </w:r>
      <w:r>
        <w:rPr>
          <w:rFonts w:hint="eastAsia" w:ascii="ˎ̥" w:hAnsi="ˎ̥"/>
        </w:rPr>
        <w:t>’或‘</w:t>
      </w:r>
      <w:r>
        <w:rPr>
          <w:rFonts w:ascii="ˎ̥" w:hAnsi="ˎ̥"/>
        </w:rPr>
        <w:t>不同</w:t>
      </w:r>
      <w:r>
        <w:rPr>
          <w:rFonts w:hint="eastAsia" w:ascii="ˎ̥" w:hAnsi="ˎ̥"/>
        </w:rPr>
        <w:t>供应商</w:t>
      </w:r>
      <w:r>
        <w:rPr>
          <w:rFonts w:ascii="ˎ̥" w:hAnsi="ˎ̥"/>
        </w:rPr>
        <w:t>委托同一单位或者个人办理</w:t>
      </w:r>
      <w:r>
        <w:rPr>
          <w:rFonts w:hint="eastAsia" w:ascii="ˎ̥" w:hAnsi="ˎ̥"/>
        </w:rPr>
        <w:t>响应</w:t>
      </w:r>
      <w:r>
        <w:rPr>
          <w:rFonts w:ascii="ˎ̥" w:hAnsi="ˎ̥"/>
        </w:rPr>
        <w:t>事宜</w:t>
      </w:r>
      <w:r>
        <w:rPr>
          <w:rFonts w:hint="eastAsia" w:ascii="ˎ̥" w:hAnsi="ˎ̥"/>
        </w:rPr>
        <w:t>’，其谈判响应无效。</w:t>
      </w:r>
    </w:p>
    <w:p>
      <w:pPr>
        <w:pStyle w:val="45"/>
        <w:numPr>
          <w:ilvl w:val="1"/>
          <w:numId w:val="16"/>
        </w:numPr>
        <w:autoSpaceDE w:val="0"/>
        <w:autoSpaceDN w:val="0"/>
        <w:spacing w:line="360" w:lineRule="auto"/>
        <w:ind w:firstLineChars="0"/>
        <w:contextualSpacing/>
        <w:rPr>
          <w:rFonts w:cs="宋体" w:asciiTheme="minorEastAsia" w:hAnsiTheme="minorEastAsia"/>
          <w:kern w:val="0"/>
          <w:szCs w:val="21"/>
        </w:rPr>
      </w:pPr>
      <w:r>
        <w:rPr>
          <w:rFonts w:cs="宋体" w:asciiTheme="minorEastAsia" w:hAnsiTheme="minorEastAsia"/>
          <w:kern w:val="0"/>
          <w:szCs w:val="21"/>
        </w:rPr>
        <w:t>法律、法规和</w:t>
      </w:r>
      <w:r>
        <w:rPr>
          <w:rFonts w:hint="eastAsia" w:cs="宋体" w:asciiTheme="minorEastAsia" w:hAnsiTheme="minorEastAsia"/>
          <w:kern w:val="0"/>
          <w:szCs w:val="21"/>
        </w:rPr>
        <w:t>响应</w:t>
      </w:r>
      <w:r>
        <w:rPr>
          <w:rFonts w:cs="宋体" w:asciiTheme="minorEastAsia" w:hAnsiTheme="minorEastAsia"/>
          <w:kern w:val="0"/>
          <w:szCs w:val="21"/>
        </w:rPr>
        <w:t>文件规定的其他无效情形。</w:t>
      </w:r>
    </w:p>
    <w:p>
      <w:pPr>
        <w:pStyle w:val="45"/>
        <w:numPr>
          <w:ilvl w:val="0"/>
          <w:numId w:val="1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响应文件评审与谈判</w:t>
      </w:r>
    </w:p>
    <w:p>
      <w:pPr>
        <w:pStyle w:val="45"/>
        <w:numPr>
          <w:ilvl w:val="1"/>
          <w:numId w:val="16"/>
        </w:numPr>
        <w:autoSpaceDE w:val="0"/>
        <w:autoSpaceDN w:val="0"/>
        <w:spacing w:line="360" w:lineRule="auto"/>
        <w:ind w:firstLineChars="0"/>
        <w:contextualSpacing/>
        <w:rPr>
          <w:rFonts w:cs="宋体" w:asciiTheme="minorEastAsia" w:hAnsiTheme="minorEastAsia"/>
          <w:kern w:val="0"/>
          <w:szCs w:val="21"/>
        </w:rPr>
      </w:pPr>
      <w:r>
        <w:rPr>
          <w:rFonts w:cs="宋体" w:asciiTheme="minorEastAsia" w:hAnsiTheme="minorEastAsia"/>
          <w:kern w:val="0"/>
          <w:szCs w:val="21"/>
        </w:rPr>
        <w:t>谈判小组应当对响应文件进行评审，并根据谈判文件规定的程序、评定成交的标准等事项与实质性响应谈判文件要求的供应商进行谈判。未实质性响应谈判文件的响应文件按无效处理，谈判小组应当告知有关供应商</w:t>
      </w:r>
      <w:r>
        <w:rPr>
          <w:rFonts w:hint="eastAsia" w:cs="宋体" w:asciiTheme="minorEastAsia" w:hAnsiTheme="minorEastAsia"/>
          <w:kern w:val="0"/>
          <w:szCs w:val="21"/>
        </w:rPr>
        <w:t>。</w:t>
      </w:r>
    </w:p>
    <w:p>
      <w:pPr>
        <w:pStyle w:val="45"/>
        <w:numPr>
          <w:ilvl w:val="1"/>
          <w:numId w:val="16"/>
        </w:numPr>
        <w:autoSpaceDE w:val="0"/>
        <w:autoSpaceDN w:val="0"/>
        <w:spacing w:line="360" w:lineRule="auto"/>
        <w:ind w:firstLineChars="0"/>
        <w:contextualSpacing/>
        <w:rPr>
          <w:rFonts w:cs="宋体" w:asciiTheme="minorEastAsia" w:hAnsiTheme="minorEastAsia"/>
          <w:kern w:val="0"/>
          <w:szCs w:val="21"/>
        </w:rPr>
      </w:pPr>
      <w:r>
        <w:rPr>
          <w:rFonts w:ascii="ˎ̥" w:hAnsi="ˎ̥"/>
        </w:rPr>
        <w:t>谈判小组所有成员应当集中与单一供应商分别进行谈判，并给予所有参加谈判的供应商平等的谈判机会</w:t>
      </w:r>
      <w:r>
        <w:rPr>
          <w:rFonts w:hint="eastAsia" w:ascii="ˎ̥" w:hAnsi="ˎ̥"/>
        </w:rPr>
        <w:t>。</w:t>
      </w:r>
    </w:p>
    <w:p>
      <w:pPr>
        <w:pStyle w:val="51"/>
        <w:numPr>
          <w:ilvl w:val="1"/>
          <w:numId w:val="16"/>
        </w:numPr>
        <w:spacing w:line="400" w:lineRule="exact"/>
        <w:rPr>
          <w:rFonts w:cs="微软雅黑"/>
          <w:color w:val="000000"/>
        </w:rPr>
      </w:pPr>
      <w:r>
        <w:rPr>
          <w:rFonts w:hint="eastAsia" w:cs="微软雅黑"/>
          <w:color w:val="000000"/>
        </w:rPr>
        <w:t>在谈判中，谈判的任何一方不得透露与谈判有关的其他供应商的技术资料、价格和其他信息。</w:t>
      </w:r>
    </w:p>
    <w:p>
      <w:pPr>
        <w:pStyle w:val="45"/>
        <w:numPr>
          <w:ilvl w:val="1"/>
          <w:numId w:val="16"/>
        </w:numPr>
        <w:autoSpaceDE w:val="0"/>
        <w:autoSpaceDN w:val="0"/>
        <w:spacing w:line="360" w:lineRule="auto"/>
        <w:ind w:firstLineChars="0"/>
        <w:contextualSpacing/>
        <w:rPr>
          <w:rFonts w:cs="宋体" w:asciiTheme="minorEastAsia" w:hAnsiTheme="minorEastAsia"/>
          <w:kern w:val="0"/>
          <w:szCs w:val="21"/>
        </w:rPr>
      </w:pPr>
      <w:r>
        <w:rPr>
          <w:rFonts w:ascii="ˎ̥" w:hAnsi="ˎ̥"/>
        </w:rPr>
        <w:t>在谈判过程中，谈判小组可以根据谈判文件和谈判情况实质性变动采购需求中的技术、服务要求以及合同草案条款，但不得变动谈判文件中的其他内容。实质性变动的内容，须经采购人代表确认</w:t>
      </w:r>
      <w:r>
        <w:rPr>
          <w:rFonts w:hint="eastAsia" w:ascii="ˎ̥" w:hAnsi="ˎ̥"/>
        </w:rPr>
        <w:t>。</w:t>
      </w:r>
    </w:p>
    <w:p>
      <w:pPr>
        <w:autoSpaceDE w:val="0"/>
        <w:autoSpaceDN w:val="0"/>
        <w:spacing w:line="360" w:lineRule="auto"/>
        <w:ind w:left="964"/>
        <w:contextualSpacing/>
        <w:rPr>
          <w:rFonts w:ascii="ˎ̥" w:hAnsi="ˎ̥"/>
        </w:rPr>
      </w:pPr>
      <w:r>
        <w:rPr>
          <w:rFonts w:ascii="ˎ̥" w:hAnsi="ˎ̥"/>
        </w:rPr>
        <w:t>对谈判文件作出的实质性变动是谈判文件的有效组成部分，谈判小组应当及时以书面形式同时通知所有参加谈判的供应商</w:t>
      </w:r>
      <w:r>
        <w:rPr>
          <w:rFonts w:hint="eastAsia" w:ascii="ˎ̥" w:hAnsi="ˎ̥"/>
        </w:rPr>
        <w:t>。</w:t>
      </w:r>
    </w:p>
    <w:p>
      <w:pPr>
        <w:autoSpaceDE w:val="0"/>
        <w:autoSpaceDN w:val="0"/>
        <w:spacing w:line="360" w:lineRule="auto"/>
        <w:ind w:left="964"/>
        <w:contextualSpacing/>
        <w:rPr>
          <w:rFonts w:ascii="ˎ̥" w:hAnsi="ˎ̥"/>
        </w:rPr>
      </w:pPr>
      <w:r>
        <w:rPr>
          <w:rFonts w:ascii="ˎ̥" w:hAnsi="ˎ̥"/>
        </w:rPr>
        <w:t>供应商应当按照谈判文件的变动情况和谈判小组的要求重新提交响应文件，并由其法定代表人或授权代表签字或者加盖公章。由授权代表签字的，应当附法定代表人授权书。供应商为自然人的，应当由本人签字并附身份证明</w:t>
      </w:r>
      <w:r>
        <w:rPr>
          <w:rFonts w:hint="eastAsia" w:ascii="ˎ̥" w:hAnsi="ˎ̥"/>
        </w:rPr>
        <w:t>。</w:t>
      </w:r>
    </w:p>
    <w:p>
      <w:pPr>
        <w:pStyle w:val="45"/>
        <w:numPr>
          <w:ilvl w:val="1"/>
          <w:numId w:val="16"/>
        </w:numPr>
        <w:autoSpaceDE w:val="0"/>
        <w:autoSpaceDN w:val="0"/>
        <w:spacing w:line="360" w:lineRule="auto"/>
        <w:ind w:firstLineChars="0"/>
        <w:contextualSpacing/>
        <w:rPr>
          <w:rFonts w:ascii="ˎ̥" w:hAnsi="ˎ̥"/>
        </w:rPr>
      </w:pPr>
      <w:r>
        <w:rPr>
          <w:rFonts w:ascii="ˎ̥" w:hAnsi="ˎ̥"/>
        </w:rPr>
        <w:t>谈判文件能够详细列明采购标的的技术、服务要求的，谈判结束后，谈判小组应当要求所有继续参加谈判的供应商在规定时间内提交最后报价</w:t>
      </w:r>
      <w:r>
        <w:rPr>
          <w:rFonts w:hint="eastAsia" w:ascii="ˎ̥" w:hAnsi="ˎ̥"/>
          <w:lang w:eastAsia="zh-CN"/>
        </w:rPr>
        <w:t>（供应商最终报价不能高于第一次报价，采购人改变技术需求的除外）</w:t>
      </w:r>
      <w:r>
        <w:rPr>
          <w:rFonts w:ascii="ˎ̥" w:hAnsi="ˎ̥"/>
        </w:rPr>
        <w:t>，提交最后报价的供应商不得少于3家</w:t>
      </w:r>
      <w:r>
        <w:rPr>
          <w:rFonts w:hint="eastAsia" w:ascii="ˎ̥" w:hAnsi="ˎ̥"/>
        </w:rPr>
        <w:t>。</w:t>
      </w:r>
    </w:p>
    <w:p>
      <w:pPr>
        <w:autoSpaceDE w:val="0"/>
        <w:autoSpaceDN w:val="0"/>
        <w:spacing w:line="360" w:lineRule="auto"/>
        <w:ind w:left="964"/>
        <w:contextualSpacing/>
        <w:rPr>
          <w:rFonts w:hint="eastAsia" w:ascii="ˎ̥" w:hAnsi="ˎ̥" w:eastAsiaTheme="minorEastAsia"/>
          <w:lang w:eastAsia="zh-CN"/>
        </w:rPr>
      </w:pPr>
      <w:r>
        <w:rPr>
          <w:rFonts w:ascii="ˎ̥" w:hAnsi="ˎ̥"/>
        </w:rPr>
        <w:t>谈判文件不能详细列明采购标的的技术、服务要求，需经谈判由供应商提供最终设计方案或解决方案的，谈判结束后，谈判小组应当按照少数服从多数的原则投票推荐3家以上供应商的设计方案或者解决方案，并要求其在规定时间内提交最后报价</w:t>
      </w:r>
      <w:r>
        <w:rPr>
          <w:rFonts w:hint="eastAsia" w:ascii="ˎ̥" w:hAnsi="ˎ̥"/>
        </w:rPr>
        <w:t>。</w:t>
      </w:r>
    </w:p>
    <w:p>
      <w:pPr>
        <w:pStyle w:val="45"/>
        <w:numPr>
          <w:ilvl w:val="1"/>
          <w:numId w:val="16"/>
        </w:numPr>
        <w:autoSpaceDE w:val="0"/>
        <w:autoSpaceDN w:val="0"/>
        <w:spacing w:line="360" w:lineRule="auto"/>
        <w:ind w:firstLineChars="0"/>
        <w:contextualSpacing/>
        <w:rPr>
          <w:rFonts w:ascii="ˎ̥" w:hAnsi="ˎ̥"/>
        </w:rPr>
      </w:pPr>
      <w:r>
        <w:rPr>
          <w:rFonts w:ascii="ˎ̥" w:hAnsi="ˎ̥"/>
        </w:rPr>
        <w:t>最后报价是供应商响应文件的有效组成部分。</w:t>
      </w:r>
    </w:p>
    <w:p>
      <w:pPr>
        <w:pStyle w:val="45"/>
        <w:numPr>
          <w:ilvl w:val="1"/>
          <w:numId w:val="16"/>
        </w:numPr>
        <w:autoSpaceDE w:val="0"/>
        <w:autoSpaceDN w:val="0"/>
        <w:spacing w:line="360" w:lineRule="auto"/>
        <w:ind w:firstLineChars="0"/>
        <w:contextualSpacing/>
        <w:rPr>
          <w:rFonts w:ascii="ˎ̥" w:hAnsi="ˎ̥"/>
        </w:rPr>
      </w:pPr>
      <w:r>
        <w:rPr>
          <w:rFonts w:ascii="ˎ̥" w:hAnsi="ˎ̥"/>
        </w:rPr>
        <w:t>已提交响应文件的供应商，在提交最后报价之前，可以根据谈判情况退出谈判。</w:t>
      </w:r>
    </w:p>
    <w:p>
      <w:pPr>
        <w:pStyle w:val="45"/>
        <w:numPr>
          <w:ilvl w:val="1"/>
          <w:numId w:val="16"/>
        </w:numPr>
        <w:autoSpaceDE w:val="0"/>
        <w:autoSpaceDN w:val="0"/>
        <w:spacing w:line="360" w:lineRule="auto"/>
        <w:ind w:firstLineChars="0"/>
        <w:contextualSpacing/>
        <w:rPr>
          <w:rFonts w:ascii="ˎ̥" w:hAnsi="ˎ̥"/>
        </w:rPr>
      </w:pPr>
      <w:r>
        <w:rPr>
          <w:rFonts w:hint="eastAsia" w:ascii="ˎ̥" w:hAnsi="ˎ̥"/>
        </w:rPr>
        <w:t>按照《关于推进全流程电子化交易和在线监管工作有关问题的通知》（许公管办[2019]3号）规定，评审专家应严格按照要求查看“硬件特征码相” 关信息并进行评审。</w:t>
      </w:r>
    </w:p>
    <w:p>
      <w:pPr>
        <w:pStyle w:val="45"/>
        <w:numPr>
          <w:ilvl w:val="0"/>
          <w:numId w:val="1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评审方法与提出成交候选人</w:t>
      </w:r>
    </w:p>
    <w:p>
      <w:pPr>
        <w:pStyle w:val="45"/>
        <w:autoSpaceDE w:val="0"/>
        <w:autoSpaceDN w:val="0"/>
        <w:spacing w:line="360" w:lineRule="auto"/>
        <w:ind w:left="424" w:leftChars="202" w:firstLine="0" w:firstLineChars="0"/>
        <w:contextualSpacing/>
        <w:rPr>
          <w:rFonts w:cs="宋体" w:asciiTheme="minorEastAsia" w:hAnsiTheme="minorEastAsia"/>
          <w:kern w:val="0"/>
          <w:szCs w:val="21"/>
        </w:rPr>
      </w:pPr>
      <w:r>
        <w:rPr>
          <w:rFonts w:ascii="ˎ̥" w:hAnsi="ˎ̥"/>
        </w:rPr>
        <w:t>谈判小组应当从质量和服务均能满足采购文件实质性响应要求的供应商中，按照最后报价由低到高的顺序</w:t>
      </w:r>
      <w:r>
        <w:rPr>
          <w:rFonts w:hint="eastAsia" w:ascii="ˎ̥" w:hAnsi="ˎ̥"/>
          <w:lang w:eastAsia="zh-CN"/>
        </w:rPr>
        <w:t>提出</w:t>
      </w:r>
      <w:r>
        <w:rPr>
          <w:rFonts w:hint="eastAsia" w:ascii="ˎ̥" w:hAnsi="ˎ̥"/>
          <w:lang w:val="en-US" w:eastAsia="zh-CN"/>
        </w:rPr>
        <w:t>3</w:t>
      </w:r>
      <w:r>
        <w:rPr>
          <w:rFonts w:ascii="ˎ̥" w:hAnsi="ˎ̥"/>
        </w:rPr>
        <w:t>名成交候选人，并编写评审报告。</w:t>
      </w:r>
    </w:p>
    <w:p>
      <w:pPr>
        <w:tabs>
          <w:tab w:val="left" w:pos="1260"/>
        </w:tabs>
        <w:autoSpaceDE w:val="0"/>
        <w:autoSpaceDN w:val="0"/>
        <w:spacing w:line="360" w:lineRule="auto"/>
        <w:contextualSpacing/>
        <w:jc w:val="both"/>
        <w:rPr>
          <w:rFonts w:cs="宋体" w:asciiTheme="minorEastAsia" w:hAnsiTheme="minorEastAsia"/>
          <w:b/>
          <w:kern w:val="0"/>
          <w:szCs w:val="21"/>
        </w:rPr>
      </w:pPr>
    </w:p>
    <w:p>
      <w:pPr>
        <w:numPr>
          <w:ilvl w:val="0"/>
          <w:numId w:val="21"/>
        </w:numPr>
        <w:tabs>
          <w:tab w:val="left" w:pos="1260"/>
        </w:tabs>
        <w:autoSpaceDE w:val="0"/>
        <w:autoSpaceDN w:val="0"/>
        <w:spacing w:line="360" w:lineRule="auto"/>
        <w:contextualSpacing/>
        <w:jc w:val="center"/>
        <w:rPr>
          <w:rFonts w:hint="eastAsia" w:cs="宋体" w:asciiTheme="minorEastAsia" w:hAnsiTheme="minorEastAsia"/>
          <w:b/>
          <w:kern w:val="0"/>
          <w:szCs w:val="21"/>
        </w:rPr>
      </w:pPr>
      <w:r>
        <w:rPr>
          <w:rFonts w:hint="eastAsia" w:cs="宋体" w:asciiTheme="minorEastAsia" w:hAnsiTheme="minorEastAsia"/>
          <w:b/>
          <w:kern w:val="0"/>
          <w:szCs w:val="21"/>
        </w:rPr>
        <w:t>确定成交供应商和授予合同</w:t>
      </w:r>
    </w:p>
    <w:p>
      <w:pPr>
        <w:numPr>
          <w:ilvl w:val="0"/>
          <w:numId w:val="0"/>
        </w:numPr>
        <w:tabs>
          <w:tab w:val="left" w:pos="1260"/>
        </w:tabs>
        <w:autoSpaceDE w:val="0"/>
        <w:autoSpaceDN w:val="0"/>
        <w:spacing w:line="360" w:lineRule="auto"/>
        <w:contextualSpacing/>
        <w:jc w:val="both"/>
        <w:rPr>
          <w:rFonts w:hint="eastAsia" w:cs="宋体" w:asciiTheme="minorEastAsia" w:hAnsiTheme="minorEastAsia"/>
          <w:b/>
          <w:kern w:val="0"/>
          <w:szCs w:val="21"/>
        </w:rPr>
      </w:pPr>
    </w:p>
    <w:p>
      <w:pPr>
        <w:pStyle w:val="45"/>
        <w:numPr>
          <w:ilvl w:val="0"/>
          <w:numId w:val="1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确定成交供应商</w:t>
      </w:r>
    </w:p>
    <w:p>
      <w:pPr>
        <w:pStyle w:val="45"/>
        <w:numPr>
          <w:ilvl w:val="0"/>
          <w:numId w:val="22"/>
        </w:numPr>
        <w:autoSpaceDE w:val="0"/>
        <w:autoSpaceDN w:val="0"/>
        <w:spacing w:line="360" w:lineRule="auto"/>
        <w:ind w:firstLineChars="0"/>
        <w:contextualSpacing/>
        <w:rPr>
          <w:rFonts w:cs="宋体" w:asciiTheme="minorEastAsia" w:hAnsiTheme="minorEastAsia"/>
          <w:kern w:val="0"/>
          <w:szCs w:val="21"/>
        </w:rPr>
      </w:pPr>
      <w:r>
        <w:rPr>
          <w:rFonts w:ascii="ˎ̥" w:hAnsi="ˎ̥"/>
        </w:rPr>
        <w:t>采购人应当在收到评审报告后5个工作日内，从评审报告提出的成交候选人中，根据质量和服务均能满足采购文件实质性响应要求且最后报价最低的原则确定成交供应商</w:t>
      </w:r>
      <w:r>
        <w:rPr>
          <w:rFonts w:hint="eastAsia" w:cs="宋体" w:asciiTheme="minorEastAsia" w:hAnsiTheme="minorEastAsia"/>
          <w:kern w:val="0"/>
          <w:szCs w:val="21"/>
        </w:rPr>
        <w:t>。</w:t>
      </w:r>
    </w:p>
    <w:p>
      <w:pPr>
        <w:pStyle w:val="45"/>
        <w:numPr>
          <w:ilvl w:val="1"/>
          <w:numId w:val="23"/>
        </w:numPr>
        <w:autoSpaceDE w:val="0"/>
        <w:autoSpaceDN w:val="0"/>
        <w:spacing w:line="360" w:lineRule="auto"/>
        <w:ind w:firstLineChars="0"/>
        <w:contextualSpacing/>
        <w:rPr>
          <w:rFonts w:cs="宋体" w:asciiTheme="minorEastAsia" w:hAnsiTheme="minorEastAsia"/>
          <w:kern w:val="0"/>
          <w:szCs w:val="21"/>
        </w:rPr>
      </w:pPr>
      <w:r>
        <w:rPr>
          <w:rFonts w:ascii="ˎ̥" w:hAnsi="ˎ̥"/>
        </w:rPr>
        <w:t>采购人逾期未确定成交供应商且不提出异议的，视为确定评审报告提出的最后报价最低的供应商为成交供应商</w:t>
      </w:r>
      <w:r>
        <w:rPr>
          <w:rFonts w:hint="eastAsia" w:ascii="ˎ̥" w:hAnsi="ˎ̥"/>
        </w:rPr>
        <w:t>。</w:t>
      </w:r>
    </w:p>
    <w:p>
      <w:pPr>
        <w:pStyle w:val="45"/>
        <w:numPr>
          <w:ilvl w:val="0"/>
          <w:numId w:val="23"/>
        </w:numPr>
        <w:autoSpaceDE w:val="0"/>
        <w:autoSpaceDN w:val="0"/>
        <w:spacing w:line="360" w:lineRule="auto"/>
        <w:ind w:firstLineChars="0"/>
        <w:contextualSpacing/>
        <w:rPr>
          <w:rFonts w:cs="宋体" w:asciiTheme="minorEastAsia" w:hAnsiTheme="minorEastAsia"/>
          <w:b/>
          <w:kern w:val="0"/>
          <w:szCs w:val="21"/>
        </w:rPr>
      </w:pPr>
      <w:r>
        <w:rPr>
          <w:rFonts w:hint="eastAsia" w:cs="微软雅黑"/>
        </w:rPr>
        <w:t>在谈判采购中，出现下列情形之一的，采购人应当终止竞争性谈判采购活动，发布项目终止公告并说明原因，重新开展采购活动：</w:t>
      </w:r>
    </w:p>
    <w:p>
      <w:pPr>
        <w:pStyle w:val="45"/>
        <w:numPr>
          <w:ilvl w:val="0"/>
          <w:numId w:val="16"/>
        </w:numPr>
        <w:autoSpaceDE w:val="0"/>
        <w:autoSpaceDN w:val="0"/>
        <w:spacing w:line="360" w:lineRule="auto"/>
        <w:ind w:firstLineChars="0"/>
        <w:contextualSpacing/>
        <w:rPr>
          <w:rFonts w:cs="宋体" w:asciiTheme="minorEastAsia" w:hAnsiTheme="minorEastAsia"/>
          <w:vanish/>
          <w:kern w:val="0"/>
          <w:szCs w:val="21"/>
        </w:rPr>
      </w:pPr>
    </w:p>
    <w:p>
      <w:pPr>
        <w:pStyle w:val="45"/>
        <w:numPr>
          <w:ilvl w:val="1"/>
          <w:numId w:val="16"/>
        </w:numPr>
        <w:autoSpaceDE w:val="0"/>
        <w:autoSpaceDN w:val="0"/>
        <w:spacing w:line="360" w:lineRule="auto"/>
        <w:ind w:firstLineChars="0"/>
        <w:contextualSpacing/>
        <w:rPr>
          <w:rFonts w:cs="宋体" w:asciiTheme="minorEastAsia" w:hAnsiTheme="minorEastAsia"/>
          <w:kern w:val="0"/>
          <w:szCs w:val="21"/>
        </w:rPr>
      </w:pPr>
      <w:r>
        <w:rPr>
          <w:rFonts w:cs="宋体" w:asciiTheme="minorEastAsia" w:hAnsiTheme="minorEastAsia"/>
          <w:kern w:val="0"/>
          <w:szCs w:val="21"/>
        </w:rPr>
        <w:t>因情况变化，不再符合规定的竞争性谈判采购方式适用情形的；</w:t>
      </w:r>
    </w:p>
    <w:p>
      <w:pPr>
        <w:pStyle w:val="45"/>
        <w:numPr>
          <w:ilvl w:val="1"/>
          <w:numId w:val="16"/>
        </w:numPr>
        <w:autoSpaceDE w:val="0"/>
        <w:autoSpaceDN w:val="0"/>
        <w:spacing w:line="360" w:lineRule="auto"/>
        <w:ind w:firstLineChars="0"/>
        <w:contextualSpacing/>
        <w:rPr>
          <w:rFonts w:cs="宋体" w:asciiTheme="minorEastAsia" w:hAnsiTheme="minorEastAsia"/>
          <w:kern w:val="0"/>
          <w:szCs w:val="21"/>
        </w:rPr>
      </w:pPr>
      <w:r>
        <w:rPr>
          <w:rFonts w:cs="宋体" w:asciiTheme="minorEastAsia" w:hAnsiTheme="minorEastAsia"/>
          <w:kern w:val="0"/>
          <w:szCs w:val="21"/>
        </w:rPr>
        <w:t>出现影响采购公正的违法、违规行为的</w:t>
      </w:r>
      <w:r>
        <w:rPr>
          <w:rFonts w:hint="eastAsia" w:cs="宋体" w:asciiTheme="minorEastAsia" w:hAnsiTheme="minorEastAsia"/>
          <w:kern w:val="0"/>
          <w:szCs w:val="21"/>
        </w:rPr>
        <w:t>；</w:t>
      </w:r>
    </w:p>
    <w:p>
      <w:pPr>
        <w:pStyle w:val="45"/>
        <w:numPr>
          <w:ilvl w:val="1"/>
          <w:numId w:val="16"/>
        </w:numPr>
        <w:autoSpaceDE w:val="0"/>
        <w:autoSpaceDN w:val="0"/>
        <w:spacing w:line="360" w:lineRule="auto"/>
        <w:ind w:firstLineChars="0"/>
        <w:contextualSpacing/>
        <w:rPr>
          <w:rFonts w:ascii="ˎ̥" w:hAnsi="ˎ̥"/>
        </w:rPr>
      </w:pPr>
      <w:r>
        <w:rPr>
          <w:rFonts w:hint="eastAsia" w:ascii="ˎ̥" w:hAnsi="ˎ̥"/>
        </w:rPr>
        <w:t>在采购过程中符合竞争要求的供应商或者报价未超过采购预算的供应商不足3家的，但《政府采购非招标采购方式管理办法》第二十七条第二款规定的情形除外。</w:t>
      </w:r>
    </w:p>
    <w:p>
      <w:pPr>
        <w:pStyle w:val="45"/>
        <w:numPr>
          <w:ilvl w:val="0"/>
          <w:numId w:val="23"/>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成交公告、发出成交通知书</w:t>
      </w:r>
    </w:p>
    <w:p>
      <w:pPr>
        <w:pStyle w:val="45"/>
        <w:numPr>
          <w:ilvl w:val="0"/>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采购人确认成交供应商后，采购人在公告成交结果的同时，向成交供应商发出成交通知书。</w:t>
      </w:r>
    </w:p>
    <w:p>
      <w:pPr>
        <w:pStyle w:val="45"/>
        <w:numPr>
          <w:ilvl w:val="1"/>
          <w:numId w:val="23"/>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成交通知书发出后，采购人不得违法改变成交结果，成交供应商无正当理由不得放弃成交。</w:t>
      </w:r>
    </w:p>
    <w:p>
      <w:pPr>
        <w:pStyle w:val="45"/>
        <w:numPr>
          <w:ilvl w:val="1"/>
          <w:numId w:val="23"/>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成交供应商在接到成交通知时，须向集中采购机构发送谈判报价及分项报价一览表（包含主要成交标的的名称、规格型号、数量、单价、服务要求等）电子文档，并同时电话告知集中采购机构联系人。</w:t>
      </w:r>
    </w:p>
    <w:p>
      <w:pPr>
        <w:pStyle w:val="45"/>
        <w:numPr>
          <w:ilvl w:val="0"/>
          <w:numId w:val="23"/>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质疑提出与答复</w:t>
      </w:r>
    </w:p>
    <w:p>
      <w:pPr>
        <w:pStyle w:val="45"/>
        <w:numPr>
          <w:ilvl w:val="0"/>
          <w:numId w:val="24"/>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供应商认为谈判文件、采购过程和成交结果使自己的权益受到损害的，可以按照《政府采购质疑和投诉办法》（财政部令第94号）提出质疑。</w:t>
      </w:r>
      <w:r>
        <w:rPr>
          <w:rFonts w:cs="宋体" w:asciiTheme="minorEastAsia" w:hAnsiTheme="minorEastAsia"/>
          <w:kern w:val="0"/>
          <w:szCs w:val="21"/>
        </w:rPr>
        <w:t>提出质疑的供应商应当是参与</w:t>
      </w:r>
      <w:r>
        <w:rPr>
          <w:rFonts w:hint="eastAsia" w:cs="宋体" w:asciiTheme="minorEastAsia" w:hAnsiTheme="minorEastAsia"/>
          <w:kern w:val="0"/>
          <w:szCs w:val="21"/>
        </w:rPr>
        <w:t>本</w:t>
      </w:r>
      <w:r>
        <w:rPr>
          <w:rFonts w:cs="宋体" w:asciiTheme="minorEastAsia" w:hAnsiTheme="minorEastAsia"/>
          <w:kern w:val="0"/>
          <w:szCs w:val="21"/>
        </w:rPr>
        <w:t>项目采购活动的供应商。</w:t>
      </w:r>
    </w:p>
    <w:p>
      <w:pPr>
        <w:pStyle w:val="45"/>
        <w:numPr>
          <w:ilvl w:val="0"/>
          <w:numId w:val="25"/>
        </w:numPr>
        <w:autoSpaceDE w:val="0"/>
        <w:autoSpaceDN w:val="0"/>
        <w:spacing w:line="360" w:lineRule="auto"/>
        <w:ind w:left="2127" w:hanging="1134" w:firstLineChars="0"/>
        <w:contextualSpacing/>
        <w:rPr>
          <w:rFonts w:cs="宋体" w:asciiTheme="minorEastAsia" w:hAnsiTheme="minorEastAsia"/>
          <w:kern w:val="0"/>
          <w:szCs w:val="21"/>
        </w:rPr>
      </w:pPr>
      <w:r>
        <w:rPr>
          <w:rFonts w:hint="eastAsia" w:cs="宋体" w:asciiTheme="minorEastAsia" w:hAnsiTheme="minorEastAsia"/>
          <w:kern w:val="0"/>
          <w:szCs w:val="21"/>
        </w:rPr>
        <w:t>对谈判文件提出质疑的，供应商应</w:t>
      </w:r>
      <w:r>
        <w:rPr>
          <w:rFonts w:cs="宋体" w:asciiTheme="minorEastAsia" w:hAnsiTheme="minorEastAsia"/>
          <w:kern w:val="0"/>
          <w:szCs w:val="21"/>
        </w:rPr>
        <w:t>已依法获取</w:t>
      </w:r>
      <w:r>
        <w:rPr>
          <w:rFonts w:hint="eastAsia" w:cs="宋体" w:asciiTheme="minorEastAsia" w:hAnsiTheme="minorEastAsia"/>
          <w:kern w:val="0"/>
          <w:szCs w:val="21"/>
        </w:rPr>
        <w:t>谈判</w:t>
      </w:r>
      <w:r>
        <w:rPr>
          <w:rFonts w:cs="宋体" w:asciiTheme="minorEastAsia" w:hAnsiTheme="minorEastAsia"/>
          <w:kern w:val="0"/>
          <w:szCs w:val="21"/>
        </w:rPr>
        <w:t>文件</w:t>
      </w:r>
      <w:r>
        <w:rPr>
          <w:rFonts w:hint="eastAsia" w:cs="宋体" w:asciiTheme="minorEastAsia" w:hAnsiTheme="minorEastAsia"/>
          <w:kern w:val="0"/>
          <w:szCs w:val="21"/>
        </w:rPr>
        <w:t>，且应当在</w:t>
      </w:r>
      <w:r>
        <w:rPr>
          <w:rFonts w:cs="宋体" w:asciiTheme="minorEastAsia" w:hAnsiTheme="minorEastAsia"/>
          <w:kern w:val="0"/>
          <w:szCs w:val="21"/>
        </w:rPr>
        <w:t>获取</w:t>
      </w:r>
      <w:r>
        <w:rPr>
          <w:rFonts w:hint="eastAsia" w:cs="宋体" w:asciiTheme="minorEastAsia" w:hAnsiTheme="minorEastAsia"/>
          <w:kern w:val="0"/>
          <w:szCs w:val="21"/>
        </w:rPr>
        <w:t>谈判</w:t>
      </w:r>
      <w:r>
        <w:rPr>
          <w:rFonts w:cs="宋体" w:asciiTheme="minorEastAsia" w:hAnsiTheme="minorEastAsia"/>
          <w:kern w:val="0"/>
          <w:szCs w:val="21"/>
        </w:rPr>
        <w:t>文件或者</w:t>
      </w:r>
      <w:r>
        <w:rPr>
          <w:rFonts w:hint="eastAsia" w:cs="宋体" w:asciiTheme="minorEastAsia" w:hAnsiTheme="minorEastAsia"/>
          <w:kern w:val="0"/>
          <w:szCs w:val="21"/>
        </w:rPr>
        <w:t>谈判</w:t>
      </w:r>
      <w:r>
        <w:rPr>
          <w:rFonts w:cs="宋体" w:asciiTheme="minorEastAsia" w:hAnsiTheme="minorEastAsia"/>
          <w:kern w:val="0"/>
          <w:szCs w:val="21"/>
        </w:rPr>
        <w:t>文件公告期限届满之日起7个工作日内</w:t>
      </w:r>
      <w:r>
        <w:rPr>
          <w:rFonts w:hint="eastAsia" w:cs="宋体" w:asciiTheme="minorEastAsia" w:hAnsiTheme="minorEastAsia"/>
          <w:kern w:val="0"/>
          <w:szCs w:val="21"/>
        </w:rPr>
        <w:t>通过《全国公共资源交易平台（河南省·许昌市）》一次性提出，提出后电话联系本项目谈判公告中集采机构联系人查看，并同时将符合《政府采购质疑和投诉办法》第十二条规定的纸质质疑函和必要的证明材料一式两份送采购单位，如未提出视为全面接受；</w:t>
      </w:r>
    </w:p>
    <w:p>
      <w:pPr>
        <w:autoSpaceDE w:val="0"/>
        <w:autoSpaceDN w:val="0"/>
        <w:spacing w:line="360" w:lineRule="auto"/>
        <w:ind w:left="2125" w:leftChars="472" w:hanging="1134" w:hangingChars="540"/>
        <w:contextualSpacing/>
        <w:rPr>
          <w:rFonts w:cs="宋体" w:asciiTheme="minorEastAsia" w:hAnsiTheme="minorEastAsia"/>
          <w:kern w:val="0"/>
          <w:szCs w:val="21"/>
        </w:rPr>
      </w:pPr>
      <w:r>
        <w:rPr>
          <w:rFonts w:hint="eastAsia" w:cs="宋体" w:asciiTheme="minorEastAsia" w:hAnsiTheme="minorEastAsia"/>
          <w:kern w:val="0"/>
          <w:szCs w:val="21"/>
        </w:rPr>
        <w:t>34.1.2     对采购过程提出质疑的，为各采购程序环节结束之日起七个工作日内，以书面形式向采购人和采购代理机构一次性提出；</w:t>
      </w:r>
    </w:p>
    <w:p>
      <w:pPr>
        <w:autoSpaceDE w:val="0"/>
        <w:autoSpaceDN w:val="0"/>
        <w:spacing w:line="360" w:lineRule="auto"/>
        <w:ind w:left="2125" w:leftChars="472" w:hanging="1134" w:hangingChars="540"/>
        <w:contextualSpacing/>
        <w:rPr>
          <w:rFonts w:cs="宋体" w:asciiTheme="minorEastAsia" w:hAnsiTheme="minorEastAsia"/>
          <w:kern w:val="0"/>
          <w:szCs w:val="21"/>
        </w:rPr>
      </w:pPr>
      <w:r>
        <w:rPr>
          <w:rFonts w:hint="eastAsia" w:cs="宋体" w:asciiTheme="minorEastAsia" w:hAnsiTheme="minorEastAsia"/>
          <w:kern w:val="0"/>
          <w:szCs w:val="21"/>
        </w:rPr>
        <w:t>34.1.3     对成交结果提出质疑的，为成交结果公告期限届满之日起七个工作日内，以书面形式向采购人和采购代理机构一次性提出。</w:t>
      </w:r>
    </w:p>
    <w:p>
      <w:pPr>
        <w:pStyle w:val="45"/>
        <w:numPr>
          <w:ilvl w:val="1"/>
          <w:numId w:val="23"/>
        </w:numPr>
        <w:autoSpaceDE w:val="0"/>
        <w:autoSpaceDN w:val="0"/>
        <w:spacing w:line="360" w:lineRule="auto"/>
        <w:ind w:firstLineChars="0"/>
        <w:contextualSpacing/>
        <w:rPr>
          <w:rFonts w:cs="宋体" w:asciiTheme="minorEastAsia" w:hAnsiTheme="minorEastAsia"/>
          <w:kern w:val="0"/>
          <w:szCs w:val="21"/>
        </w:rPr>
      </w:pPr>
      <w:r>
        <w:rPr>
          <w:rFonts w:cs="宋体" w:asciiTheme="minorEastAsia" w:hAnsiTheme="minorEastAsia"/>
          <w:kern w:val="0"/>
          <w:szCs w:val="21"/>
        </w:rPr>
        <w:t>采购人、采购代理机构认为供应商质疑不成立，或者成立但未对</w:t>
      </w:r>
      <w:r>
        <w:rPr>
          <w:rFonts w:hint="eastAsia" w:cs="宋体" w:asciiTheme="minorEastAsia" w:hAnsiTheme="minorEastAsia"/>
          <w:kern w:val="0"/>
          <w:szCs w:val="21"/>
        </w:rPr>
        <w:t>成交</w:t>
      </w:r>
      <w:r>
        <w:rPr>
          <w:rFonts w:cs="宋体" w:asciiTheme="minorEastAsia" w:hAnsiTheme="minorEastAsia"/>
          <w:kern w:val="0"/>
          <w:szCs w:val="21"/>
        </w:rPr>
        <w:t>结果构成影响的，继续开展采购活动；认为供应商质疑成立且影响或者可能影响</w:t>
      </w:r>
      <w:r>
        <w:rPr>
          <w:rFonts w:hint="eastAsia" w:cs="宋体" w:asciiTheme="minorEastAsia" w:hAnsiTheme="minorEastAsia"/>
          <w:kern w:val="0"/>
          <w:szCs w:val="21"/>
        </w:rPr>
        <w:t>成交</w:t>
      </w:r>
      <w:r>
        <w:rPr>
          <w:rFonts w:cs="宋体" w:asciiTheme="minorEastAsia" w:hAnsiTheme="minorEastAsia"/>
          <w:kern w:val="0"/>
          <w:szCs w:val="21"/>
        </w:rPr>
        <w:t>结果的，按照下列情况处理：</w:t>
      </w:r>
    </w:p>
    <w:p>
      <w:pPr>
        <w:autoSpaceDE w:val="0"/>
        <w:autoSpaceDN w:val="0"/>
        <w:spacing w:line="360" w:lineRule="auto"/>
        <w:ind w:left="2125" w:leftChars="450" w:hanging="1180" w:hangingChars="562"/>
        <w:contextualSpacing/>
        <w:rPr>
          <w:rFonts w:cs="宋体" w:asciiTheme="minorEastAsia" w:hAnsiTheme="minorEastAsia"/>
          <w:kern w:val="0"/>
          <w:szCs w:val="21"/>
        </w:rPr>
      </w:pPr>
      <w:r>
        <w:rPr>
          <w:rFonts w:hint="eastAsia" w:cs="宋体" w:asciiTheme="minorEastAsia" w:hAnsiTheme="minorEastAsia"/>
          <w:kern w:val="0"/>
          <w:szCs w:val="21"/>
        </w:rPr>
        <w:t xml:space="preserve">34.2.1     </w:t>
      </w:r>
      <w:r>
        <w:rPr>
          <w:rFonts w:cs="宋体" w:asciiTheme="minorEastAsia" w:hAnsiTheme="minorEastAsia"/>
          <w:kern w:val="0"/>
          <w:szCs w:val="21"/>
        </w:rPr>
        <w:t>对</w:t>
      </w:r>
      <w:r>
        <w:rPr>
          <w:rFonts w:hint="eastAsia" w:cs="宋体" w:asciiTheme="minorEastAsia" w:hAnsiTheme="minorEastAsia"/>
          <w:kern w:val="0"/>
          <w:szCs w:val="21"/>
        </w:rPr>
        <w:t>谈判</w:t>
      </w:r>
      <w:r>
        <w:rPr>
          <w:rFonts w:cs="宋体" w:asciiTheme="minorEastAsia" w:hAnsiTheme="minorEastAsia"/>
          <w:kern w:val="0"/>
          <w:szCs w:val="21"/>
        </w:rPr>
        <w:t>文件提出的质疑，依法通过澄清或者修改可以继续开展采购活动的，澄清或者修改</w:t>
      </w:r>
      <w:r>
        <w:rPr>
          <w:rFonts w:hint="eastAsia" w:cs="宋体" w:asciiTheme="minorEastAsia" w:hAnsiTheme="minorEastAsia"/>
          <w:kern w:val="0"/>
          <w:szCs w:val="21"/>
        </w:rPr>
        <w:t>谈判</w:t>
      </w:r>
      <w:r>
        <w:rPr>
          <w:rFonts w:cs="宋体" w:asciiTheme="minorEastAsia" w:hAnsiTheme="minorEastAsia"/>
          <w:kern w:val="0"/>
          <w:szCs w:val="21"/>
        </w:rPr>
        <w:t>文件后继续开展采购活动；否则应当修改</w:t>
      </w:r>
      <w:r>
        <w:rPr>
          <w:rFonts w:hint="eastAsia" w:cs="宋体" w:asciiTheme="minorEastAsia" w:hAnsiTheme="minorEastAsia"/>
          <w:kern w:val="0"/>
          <w:szCs w:val="21"/>
        </w:rPr>
        <w:t>谈判</w:t>
      </w:r>
      <w:r>
        <w:rPr>
          <w:rFonts w:cs="宋体" w:asciiTheme="minorEastAsia" w:hAnsiTheme="minorEastAsia"/>
          <w:kern w:val="0"/>
          <w:szCs w:val="21"/>
        </w:rPr>
        <w:t>文件后重新开展采购活动。</w:t>
      </w:r>
    </w:p>
    <w:p>
      <w:pPr>
        <w:autoSpaceDE w:val="0"/>
        <w:autoSpaceDN w:val="0"/>
        <w:spacing w:line="360" w:lineRule="auto"/>
        <w:ind w:left="2125" w:leftChars="472" w:hanging="1134" w:hangingChars="540"/>
        <w:contextualSpacing/>
        <w:rPr>
          <w:rFonts w:cs="宋体" w:asciiTheme="minorEastAsia" w:hAnsiTheme="minorEastAsia"/>
          <w:kern w:val="0"/>
          <w:szCs w:val="21"/>
        </w:rPr>
      </w:pPr>
      <w:r>
        <w:rPr>
          <w:rFonts w:hint="eastAsia" w:cs="宋体" w:asciiTheme="minorEastAsia" w:hAnsiTheme="minorEastAsia"/>
          <w:kern w:val="0"/>
          <w:szCs w:val="21"/>
        </w:rPr>
        <w:t xml:space="preserve">34.2.2     </w:t>
      </w:r>
      <w:r>
        <w:rPr>
          <w:rFonts w:cs="宋体" w:asciiTheme="minorEastAsia" w:hAnsiTheme="minorEastAsia"/>
          <w:kern w:val="0"/>
          <w:szCs w:val="21"/>
        </w:rPr>
        <w:t>对采购过程、</w:t>
      </w:r>
      <w:r>
        <w:rPr>
          <w:rFonts w:hint="eastAsia" w:cs="宋体" w:asciiTheme="minorEastAsia" w:hAnsiTheme="minorEastAsia"/>
          <w:kern w:val="0"/>
          <w:szCs w:val="21"/>
        </w:rPr>
        <w:t>成交</w:t>
      </w:r>
      <w:r>
        <w:rPr>
          <w:rFonts w:cs="宋体" w:asciiTheme="minorEastAsia" w:hAnsiTheme="minorEastAsia"/>
          <w:kern w:val="0"/>
          <w:szCs w:val="21"/>
        </w:rPr>
        <w:t>结果提出的质疑，合格供应商符合法定数量时，可以从合格的</w:t>
      </w:r>
      <w:r>
        <w:rPr>
          <w:rFonts w:hint="eastAsia" w:cs="宋体" w:asciiTheme="minorEastAsia" w:hAnsiTheme="minorEastAsia"/>
          <w:kern w:val="0"/>
          <w:szCs w:val="21"/>
        </w:rPr>
        <w:t>成交候选人</w:t>
      </w:r>
      <w:r>
        <w:rPr>
          <w:rFonts w:cs="宋体" w:asciiTheme="minorEastAsia" w:hAnsiTheme="minorEastAsia"/>
          <w:kern w:val="0"/>
          <w:szCs w:val="21"/>
        </w:rPr>
        <w:t>中另行确定</w:t>
      </w:r>
      <w:r>
        <w:rPr>
          <w:rFonts w:hint="eastAsia" w:cs="宋体" w:asciiTheme="minorEastAsia" w:hAnsiTheme="minorEastAsia"/>
          <w:kern w:val="0"/>
          <w:szCs w:val="21"/>
        </w:rPr>
        <w:t>成交</w:t>
      </w:r>
      <w:r>
        <w:rPr>
          <w:rFonts w:cs="宋体" w:asciiTheme="minorEastAsia" w:hAnsiTheme="minorEastAsia"/>
          <w:kern w:val="0"/>
          <w:szCs w:val="21"/>
        </w:rPr>
        <w:t>供应商的，应当依法另行确定</w:t>
      </w:r>
      <w:r>
        <w:rPr>
          <w:rFonts w:hint="eastAsia" w:cs="宋体" w:asciiTheme="minorEastAsia" w:hAnsiTheme="minorEastAsia"/>
          <w:kern w:val="0"/>
          <w:szCs w:val="21"/>
        </w:rPr>
        <w:t>成交</w:t>
      </w:r>
      <w:r>
        <w:rPr>
          <w:rFonts w:cs="宋体" w:asciiTheme="minorEastAsia" w:hAnsiTheme="minorEastAsia"/>
          <w:kern w:val="0"/>
          <w:szCs w:val="21"/>
        </w:rPr>
        <w:t>供应商；否则应当重新开展采购活动。</w:t>
      </w:r>
    </w:p>
    <w:p>
      <w:pPr>
        <w:pStyle w:val="45"/>
        <w:numPr>
          <w:ilvl w:val="0"/>
          <w:numId w:val="23"/>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签订合同</w:t>
      </w:r>
    </w:p>
    <w:p>
      <w:pPr>
        <w:pStyle w:val="45"/>
        <w:numPr>
          <w:ilvl w:val="0"/>
          <w:numId w:val="24"/>
        </w:numPr>
        <w:autoSpaceDE w:val="0"/>
        <w:autoSpaceDN w:val="0"/>
        <w:spacing w:line="360" w:lineRule="auto"/>
        <w:ind w:firstLineChars="0"/>
        <w:contextualSpacing/>
        <w:rPr>
          <w:rFonts w:cs="宋体" w:asciiTheme="minorEastAsia" w:hAnsiTheme="minorEastAsia"/>
          <w:kern w:val="0"/>
          <w:szCs w:val="21"/>
        </w:rPr>
      </w:pPr>
      <w:r>
        <w:rPr>
          <w:rFonts w:cs="宋体" w:asciiTheme="minorEastAsia" w:hAnsiTheme="minorEastAsia"/>
          <w:kern w:val="0"/>
          <w:szCs w:val="21"/>
        </w:rPr>
        <w:t>采购人与成交供应商应当在成交通知书发出之日起30日内，按照</w:t>
      </w:r>
      <w:r>
        <w:rPr>
          <w:rFonts w:hint="eastAsia" w:cs="宋体" w:asciiTheme="minorEastAsia" w:hAnsiTheme="minorEastAsia"/>
          <w:kern w:val="0"/>
          <w:szCs w:val="21"/>
        </w:rPr>
        <w:t>谈判</w:t>
      </w:r>
      <w:r>
        <w:rPr>
          <w:rFonts w:cs="宋体" w:asciiTheme="minorEastAsia" w:hAnsiTheme="minorEastAsia"/>
          <w:kern w:val="0"/>
          <w:szCs w:val="21"/>
        </w:rPr>
        <w:t>文件确定的合同文本以及采购标的、规格型号、采购金额、采购数量、技术和服务要求等事项签订政府采购合同</w:t>
      </w:r>
      <w:r>
        <w:rPr>
          <w:rFonts w:hint="eastAsia" w:cs="宋体" w:asciiTheme="minorEastAsia" w:hAnsiTheme="minorEastAsia"/>
          <w:kern w:val="0"/>
          <w:szCs w:val="21"/>
        </w:rPr>
        <w:t>。</w:t>
      </w:r>
    </w:p>
    <w:p>
      <w:pPr>
        <w:pStyle w:val="45"/>
        <w:numPr>
          <w:ilvl w:val="1"/>
          <w:numId w:val="23"/>
        </w:numPr>
        <w:autoSpaceDE w:val="0"/>
        <w:autoSpaceDN w:val="0"/>
        <w:spacing w:line="360" w:lineRule="auto"/>
        <w:ind w:firstLineChars="0"/>
        <w:contextualSpacing/>
        <w:rPr>
          <w:rFonts w:cs="宋体" w:asciiTheme="minorEastAsia" w:hAnsiTheme="minorEastAsia"/>
          <w:kern w:val="0"/>
          <w:szCs w:val="21"/>
        </w:rPr>
      </w:pPr>
      <w:r>
        <w:rPr>
          <w:rFonts w:cs="宋体" w:asciiTheme="minorEastAsia" w:hAnsiTheme="minorEastAsia"/>
          <w:kern w:val="0"/>
          <w:szCs w:val="21"/>
        </w:rPr>
        <w:t>采购人不得向成交供应商提出超出采购文件以外的任何要求作为签订合同的条件，不得与成交供应商订立背离</w:t>
      </w:r>
      <w:r>
        <w:rPr>
          <w:rFonts w:hint="eastAsia" w:cs="宋体" w:asciiTheme="minorEastAsia" w:hAnsiTheme="minorEastAsia"/>
          <w:kern w:val="0"/>
          <w:szCs w:val="21"/>
        </w:rPr>
        <w:t>谈判</w:t>
      </w:r>
      <w:r>
        <w:rPr>
          <w:rFonts w:cs="宋体" w:asciiTheme="minorEastAsia" w:hAnsiTheme="minorEastAsia"/>
          <w:kern w:val="0"/>
          <w:szCs w:val="21"/>
        </w:rPr>
        <w:t>文件确定的合同文本以及采购标的、规格型号、采购金额、采购数量、技术和服务要求等实质性内容的协议</w:t>
      </w:r>
      <w:r>
        <w:rPr>
          <w:rFonts w:hint="eastAsia" w:cs="宋体" w:asciiTheme="minorEastAsia" w:hAnsiTheme="minorEastAsia"/>
          <w:kern w:val="0"/>
          <w:szCs w:val="21"/>
        </w:rPr>
        <w:t>。</w:t>
      </w:r>
    </w:p>
    <w:p>
      <w:pPr>
        <w:pStyle w:val="45"/>
        <w:numPr>
          <w:ilvl w:val="0"/>
          <w:numId w:val="23"/>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履约保证金</w:t>
      </w:r>
    </w:p>
    <w:p>
      <w:pPr>
        <w:autoSpaceDE w:val="0"/>
        <w:autoSpaceDN w:val="0"/>
        <w:spacing w:line="360" w:lineRule="auto"/>
        <w:ind w:left="964"/>
        <w:contextualSpacing/>
        <w:rPr>
          <w:rFonts w:cs="宋体" w:asciiTheme="majorEastAsia" w:hAnsiTheme="majorEastAsia" w:eastAsiaTheme="majorEastAsia"/>
          <w:b/>
          <w:kern w:val="0"/>
          <w:sz w:val="36"/>
          <w:szCs w:val="36"/>
        </w:rPr>
      </w:pPr>
      <w:r>
        <w:rPr>
          <w:rFonts w:hint="eastAsia" w:cs="宋体" w:asciiTheme="minorEastAsia" w:hAnsiTheme="minorEastAsia"/>
          <w:kern w:val="0"/>
          <w:szCs w:val="21"/>
        </w:rPr>
        <w:t>“供应商须知前附表”中规定成交供应商提交履约保证金的，成交供应商应当以支票、汇票、本票或者金融机构、担保机构出具的保函等非现金形式向采购人提交。履约保证金的数额不得超过政府采购合同金额的10%。</w:t>
      </w:r>
      <w:r>
        <w:rPr>
          <w:rFonts w:hint="eastAsia" w:ascii="宋体" w:hAnsi="宋体" w:eastAsia="宋体" w:cs="宋体"/>
          <w:color w:val="333333"/>
          <w:sz w:val="24"/>
          <w:szCs w:val="24"/>
        </w:rPr>
        <w:br w:type="textWrapping"/>
      </w: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both"/>
        <w:rPr>
          <w:rFonts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 xml:space="preserve">第五章 </w:t>
      </w:r>
      <w:r>
        <w:rPr>
          <w:rFonts w:hint="eastAsia" w:cs="宋体" w:asciiTheme="majorEastAsia" w:hAnsiTheme="majorEastAsia" w:eastAsiaTheme="majorEastAsia"/>
          <w:b/>
          <w:kern w:val="0"/>
          <w:sz w:val="32"/>
          <w:szCs w:val="32"/>
          <w:lang w:val="en-US" w:eastAsia="zh-CN"/>
        </w:rPr>
        <w:t xml:space="preserve"> </w:t>
      </w:r>
      <w:r>
        <w:rPr>
          <w:rFonts w:hint="eastAsia" w:cs="宋体" w:asciiTheme="majorEastAsia" w:hAnsiTheme="majorEastAsia" w:eastAsiaTheme="majorEastAsia"/>
          <w:b/>
          <w:kern w:val="0"/>
          <w:sz w:val="32"/>
          <w:szCs w:val="32"/>
        </w:rPr>
        <w:t>政府采购政策功能</w:t>
      </w:r>
    </w:p>
    <w:p>
      <w:pPr>
        <w:jc w:val="center"/>
        <w:rPr>
          <w:rFonts w:cs="宋体" w:asciiTheme="majorEastAsia" w:hAnsiTheme="majorEastAsia" w:eastAsiaTheme="majorEastAsia"/>
          <w:b/>
          <w:kern w:val="0"/>
          <w:sz w:val="36"/>
          <w:szCs w:val="36"/>
        </w:rPr>
      </w:pPr>
    </w:p>
    <w:p>
      <w:pPr>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根据《中华人民共和国政府采购法》、《中华人民共和国政府采购法实施条例》、《政府采购货物和服务招标投标管理办法》等规定，本项目落实促进中小企业发展、支持监狱企业发展、促进残疾人就业等政府采购政策。</w:t>
      </w:r>
    </w:p>
    <w:p>
      <w:pPr>
        <w:pStyle w:val="14"/>
        <w:spacing w:line="360" w:lineRule="auto"/>
        <w:ind w:firstLine="422" w:firstLineChars="200"/>
        <w:contextualSpacing/>
        <w:rPr>
          <w:rFonts w:cs="仿宋_GB2312" w:asciiTheme="minorEastAsia" w:hAnsiTheme="minorEastAsia"/>
          <w:b/>
          <w:sz w:val="21"/>
          <w:szCs w:val="21"/>
          <w:lang w:val="zh-CN"/>
        </w:rPr>
      </w:pPr>
      <w:r>
        <w:rPr>
          <w:rFonts w:hint="eastAsia" w:cs="仿宋_GB2312" w:asciiTheme="minorEastAsia" w:hAnsiTheme="minorEastAsia" w:eastAsiaTheme="minorEastAsia"/>
          <w:b/>
          <w:sz w:val="21"/>
          <w:szCs w:val="21"/>
          <w:lang w:val="zh-CN"/>
        </w:rPr>
        <w:t>一、</w:t>
      </w:r>
      <w:r>
        <w:rPr>
          <w:rFonts w:hint="eastAsia" w:cs="仿宋_GB2312" w:asciiTheme="minorEastAsia" w:hAnsiTheme="minorEastAsia"/>
          <w:b/>
          <w:sz w:val="21"/>
          <w:szCs w:val="21"/>
          <w:lang w:val="zh-CN"/>
        </w:rPr>
        <w:t>促进中小企业发展（不含民办非企业）</w:t>
      </w:r>
    </w:p>
    <w:p>
      <w:pPr>
        <w:topLinePunct/>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1、按照财政部、工业和信息化部发布的《政府采购促进中小企业发展暂行办法》（财库[2011]181号）规定，本项目为非专门面向中小企业采购的项目，对小型和微型企业产品的价格给予6%-10%的扣除，用扣除后的价格参与评审。</w:t>
      </w:r>
    </w:p>
    <w:p>
      <w:pPr>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2、如果本项目为非专门面向中小企业采购且接受联合体投标，联合协议中约定小型或微型企业的协议合同金额占到联合体协议合同总金额30%以上的，给予联合体2%-3%的价格扣除，用扣除后的价格参与评审。</w:t>
      </w:r>
    </w:p>
    <w:p>
      <w:pPr>
        <w:topLinePunct/>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3、联合体各方均为小型或微型企业的，联合体视同为小型、微型企业。组成联合体的大中型企业或者其他自然人、法人或其他组织，与小型、微型企业之间不得存在投资关系。</w:t>
      </w:r>
    </w:p>
    <w:p>
      <w:pPr>
        <w:topLinePunct/>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4、中小企业投标应提供《中小企业声明函》，如为联合投标的，联合体各方需分别填写《中小企业声明函》。</w:t>
      </w:r>
    </w:p>
    <w:p>
      <w:pPr>
        <w:topLinePunct/>
        <w:spacing w:line="360" w:lineRule="auto"/>
        <w:ind w:firstLine="422" w:firstLineChars="200"/>
        <w:contextualSpacing/>
        <w:rPr>
          <w:rFonts w:cs="仿宋_GB2312" w:asciiTheme="minorEastAsia" w:hAnsiTheme="minorEastAsia"/>
          <w:b/>
          <w:szCs w:val="21"/>
          <w:lang w:val="zh-CN"/>
        </w:rPr>
      </w:pPr>
      <w:r>
        <w:rPr>
          <w:rFonts w:hint="eastAsia" w:cs="仿宋_GB2312" w:asciiTheme="minorEastAsia" w:hAnsiTheme="minorEastAsia"/>
          <w:b/>
          <w:szCs w:val="21"/>
          <w:lang w:val="zh-CN"/>
        </w:rPr>
        <w:t>二、支持监狱企业发展</w:t>
      </w:r>
    </w:p>
    <w:p>
      <w:pPr>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按照财政部、司法部发布的《关于政府采购支持监狱企业发展有关问题的通知》（财库[2014]68号）规定，在政府采购活动中，监狱企业视同小型、微型企业，享受评审中价格扣除的政府采购政策，用扣除后的价格参与评审。监狱企业应当提供由省级以上监狱管理局、戒毒管理局(含新疆生产建设兵团)出具的属于监狱企业的证明文件。</w:t>
      </w:r>
    </w:p>
    <w:p>
      <w:pPr>
        <w:spacing w:line="360" w:lineRule="auto"/>
        <w:ind w:firstLine="422" w:firstLineChars="200"/>
        <w:contextualSpacing/>
        <w:rPr>
          <w:rFonts w:cs="仿宋_GB2312" w:asciiTheme="minorEastAsia" w:hAnsiTheme="minorEastAsia"/>
          <w:b/>
          <w:szCs w:val="21"/>
          <w:lang w:val="zh-CN"/>
        </w:rPr>
      </w:pPr>
      <w:r>
        <w:rPr>
          <w:rFonts w:hint="eastAsia" w:cs="仿宋_GB2312" w:asciiTheme="minorEastAsia" w:hAnsiTheme="minorEastAsia"/>
          <w:b/>
          <w:szCs w:val="21"/>
          <w:lang w:val="zh-CN"/>
        </w:rPr>
        <w:t>三、促进残疾人就业</w:t>
      </w:r>
    </w:p>
    <w:p>
      <w:pPr>
        <w:pStyle w:val="14"/>
        <w:spacing w:line="360" w:lineRule="auto"/>
        <w:ind w:firstLine="420" w:firstLineChars="200"/>
        <w:contextualSpacing/>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1、按照财政部、民政部、中国残疾人联合会和残疾人发布的《三部门联合发布关于促进残疾人就业政府采购政策的通知》（财库[2017]141号）规定，在政府采购活动中，残疾人福利性单位视同小型、微型企业，享受评审中价格扣除的政府采购政策。对残疾人福利性单位提供本单位制造的货物、承担的工程或者服务，或者提供其他残疾人福利性单位制造的货物（不包括使用非残疾人福利性单位注册商标的货物）用扣除后的价格参与评审。</w:t>
      </w:r>
      <w:r>
        <w:rPr>
          <w:rFonts w:hint="eastAsia" w:asciiTheme="minorEastAsia" w:hAnsiTheme="minorEastAsia" w:eastAsiaTheme="minorEastAsia"/>
          <w:color w:val="000000"/>
          <w:sz w:val="21"/>
          <w:szCs w:val="21"/>
        </w:rPr>
        <w:t>残疾人福利性单位属于小型、微型企业的，不重复享受政策。</w:t>
      </w:r>
    </w:p>
    <w:p>
      <w:pPr>
        <w:pStyle w:val="14"/>
        <w:spacing w:line="360" w:lineRule="auto"/>
        <w:ind w:firstLine="420" w:firstLineChars="200"/>
        <w:contextualSpacing/>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2、符合条件的残疾人福利性单位在参加政府采购活动时，应当提供《三部门联合发布关于促进残疾人就业政府采购政策的通知》规定的《残疾人福利性单位声明函》，并对声明的真实性负责。任何单位或者个人在政府采购活动中均不得要求残疾人福利性单位提供其他证明声明函内容的材料。</w:t>
      </w:r>
    </w:p>
    <w:p>
      <w:pPr>
        <w:pStyle w:val="14"/>
        <w:spacing w:line="360" w:lineRule="auto"/>
        <w:ind w:firstLine="420" w:firstLineChars="200"/>
        <w:contextualSpacing/>
        <w:rPr>
          <w:rFonts w:cs="仿宋_GB2312" w:asciiTheme="minorEastAsia" w:hAnsiTheme="minorEastAsia" w:eastAsiaTheme="minorEastAsia"/>
          <w:szCs w:val="24"/>
          <w:lang w:val="zh-CN"/>
        </w:rPr>
      </w:pPr>
      <w:r>
        <w:rPr>
          <w:rFonts w:hint="eastAsia" w:cs="仿宋_GB2312" w:asciiTheme="minorEastAsia" w:hAnsiTheme="minorEastAsia" w:eastAsiaTheme="minorEastAsia"/>
          <w:sz w:val="21"/>
          <w:szCs w:val="21"/>
          <w:lang w:val="zh-CN"/>
        </w:rPr>
        <w:t>3、成交人为残疾人福利性单位的，招标人应当随成交结果同时公告其《残疾人福利性单位声明函》，接受社会监督。</w:t>
      </w:r>
    </w:p>
    <w:p>
      <w:pPr>
        <w:pStyle w:val="14"/>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4"/>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4"/>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4"/>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4"/>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4"/>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4"/>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4"/>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4"/>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4"/>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4"/>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4"/>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4"/>
        <w:spacing w:line="360" w:lineRule="auto"/>
        <w:ind w:left="282" w:hanging="282" w:hangingChars="78"/>
        <w:contextualSpacing/>
        <w:jc w:val="center"/>
        <w:rPr>
          <w:rFonts w:cs="宋体" w:asciiTheme="majorEastAsia" w:hAnsiTheme="majorEastAsia" w:eastAsiaTheme="majorEastAsia"/>
          <w:b/>
          <w:kern w:val="0"/>
          <w:sz w:val="36"/>
          <w:szCs w:val="36"/>
        </w:rPr>
      </w:pPr>
    </w:p>
    <w:p>
      <w:pPr>
        <w:pStyle w:val="14"/>
        <w:spacing w:line="360" w:lineRule="auto"/>
        <w:ind w:left="282" w:hanging="282" w:hangingChars="78"/>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第六章 资格审查与评标</w:t>
      </w:r>
    </w:p>
    <w:p>
      <w:pPr>
        <w:pStyle w:val="14"/>
        <w:spacing w:line="360" w:lineRule="auto"/>
        <w:contextualSpacing/>
        <w:rPr>
          <w:rFonts w:cs="仿宋_GB2312" w:asciiTheme="minorEastAsia" w:hAnsiTheme="minorEastAsia"/>
          <w:lang w:val="zh-CN"/>
        </w:rPr>
      </w:pPr>
    </w:p>
    <w:p>
      <w:pPr>
        <w:pStyle w:val="14"/>
        <w:spacing w:line="360" w:lineRule="auto"/>
        <w:contextualSpacing/>
        <w:rPr>
          <w:rFonts w:asciiTheme="minorEastAsia" w:hAnsiTheme="minorEastAsia" w:eastAsiaTheme="minorEastAsia"/>
          <w:bCs/>
          <w:sz w:val="21"/>
          <w:szCs w:val="21"/>
        </w:rPr>
      </w:pPr>
      <w:r>
        <w:rPr>
          <w:rFonts w:cs="仿宋_GB2312" w:asciiTheme="minorEastAsia" w:hAnsiTheme="minorEastAsia" w:eastAsiaTheme="minorEastAsia"/>
          <w:b/>
          <w:sz w:val="21"/>
          <w:szCs w:val="21"/>
          <w:lang w:val="zh-CN"/>
        </w:rPr>
        <w:t>一、资格审查</w:t>
      </w:r>
    </w:p>
    <w:p>
      <w:pPr>
        <w:spacing w:line="360" w:lineRule="auto"/>
        <w:ind w:right="420" w:rightChars="200" w:firstLine="420" w:firstLineChars="200"/>
        <w:contextualSpacing/>
        <w:rPr>
          <w:rFonts w:cs="仿宋_GB2312" w:asciiTheme="minorEastAsia" w:hAnsiTheme="minorEastAsia"/>
          <w:szCs w:val="21"/>
          <w:lang w:val="zh-CN"/>
        </w:rPr>
      </w:pPr>
      <w:r>
        <w:rPr>
          <w:rFonts w:hint="eastAsia" w:asciiTheme="minorEastAsia" w:hAnsiTheme="minorEastAsia"/>
          <w:bCs/>
          <w:szCs w:val="21"/>
        </w:rPr>
        <w:t>（一）谈判小组依法对供应商资格进行审查</w:t>
      </w:r>
      <w:r>
        <w:rPr>
          <w:rFonts w:cs="仿宋_GB2312" w:asciiTheme="minorEastAsia" w:hAnsiTheme="minorEastAsia"/>
          <w:szCs w:val="21"/>
          <w:lang w:val="zh-CN"/>
        </w:rPr>
        <w:t>。</w:t>
      </w:r>
      <w:r>
        <w:rPr>
          <w:rFonts w:hint="eastAsia" w:cs="仿宋_GB2312" w:asciiTheme="minorEastAsia" w:hAnsiTheme="minorEastAsia"/>
          <w:szCs w:val="21"/>
          <w:lang w:val="zh-CN"/>
        </w:rPr>
        <w:t>确定符合资格的供应商不少于3家，将</w:t>
      </w:r>
      <w:r>
        <w:rPr>
          <w:rFonts w:ascii="ˎ̥" w:hAnsi="ˎ̥"/>
        </w:rPr>
        <w:t>对响应文件的有效性、完整性和响应程度进行审查</w:t>
      </w:r>
      <w:r>
        <w:rPr>
          <w:rFonts w:hint="eastAsia" w:ascii="ˎ̥" w:hAnsi="ˎ̥"/>
        </w:rPr>
        <w:t>并对响应文件进行评审</w:t>
      </w:r>
      <w:r>
        <w:rPr>
          <w:rFonts w:hint="eastAsia" w:cs="仿宋_GB2312" w:asciiTheme="minorEastAsia" w:hAnsiTheme="minorEastAsia"/>
          <w:szCs w:val="21"/>
          <w:lang w:val="zh-CN"/>
        </w:rPr>
        <w:t>。</w:t>
      </w:r>
    </w:p>
    <w:p>
      <w:pPr>
        <w:spacing w:line="360" w:lineRule="auto"/>
        <w:ind w:right="420" w:rightChars="200"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（二）资格证明材料（本栏所列内容为本项目的资格审查条件，如有一项不符合要求，则不能进入下一步评审）。</w:t>
      </w:r>
    </w:p>
    <w:p>
      <w:pPr>
        <w:spacing w:line="360" w:lineRule="auto"/>
        <w:ind w:right="420" w:rightChars="200"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（三）资格审查中所涉及到的证书及材料，均须在电子投标文件中提供原件扫描件（或图片）。</w:t>
      </w:r>
    </w:p>
    <w:tbl>
      <w:tblPr>
        <w:tblStyle w:val="24"/>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410"/>
        <w:gridCol w:w="5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75" w:type="dxa"/>
            <w:vAlign w:val="center"/>
          </w:tcPr>
          <w:p>
            <w:pPr>
              <w:spacing w:line="360" w:lineRule="auto"/>
              <w:jc w:val="center"/>
              <w:rPr>
                <w:rFonts w:asciiTheme="minorEastAsia" w:hAnsiTheme="minorEastAsia"/>
                <w:b/>
                <w:szCs w:val="21"/>
              </w:rPr>
            </w:pPr>
            <w:r>
              <w:rPr>
                <w:rFonts w:hint="eastAsia" w:asciiTheme="minorEastAsia" w:hAnsiTheme="minorEastAsia"/>
                <w:b/>
                <w:szCs w:val="21"/>
              </w:rPr>
              <w:t>序号</w:t>
            </w:r>
          </w:p>
        </w:tc>
        <w:tc>
          <w:tcPr>
            <w:tcW w:w="2410" w:type="dxa"/>
            <w:vAlign w:val="center"/>
          </w:tcPr>
          <w:p>
            <w:pPr>
              <w:spacing w:line="360" w:lineRule="auto"/>
              <w:jc w:val="center"/>
              <w:rPr>
                <w:rFonts w:asciiTheme="minorEastAsia" w:hAnsiTheme="minorEastAsia"/>
                <w:b/>
                <w:szCs w:val="21"/>
              </w:rPr>
            </w:pPr>
            <w:r>
              <w:rPr>
                <w:rFonts w:hint="eastAsia" w:asciiTheme="minorEastAsia" w:hAnsiTheme="minorEastAsia"/>
                <w:b/>
                <w:szCs w:val="21"/>
              </w:rPr>
              <w:t>资格审查</w:t>
            </w:r>
            <w:r>
              <w:rPr>
                <w:rFonts w:asciiTheme="minorEastAsia" w:hAnsiTheme="minorEastAsia"/>
                <w:b/>
                <w:szCs w:val="21"/>
              </w:rPr>
              <w:t>因素</w:t>
            </w:r>
          </w:p>
        </w:tc>
        <w:tc>
          <w:tcPr>
            <w:tcW w:w="5954" w:type="dxa"/>
            <w:vAlign w:val="center"/>
          </w:tcPr>
          <w:p>
            <w:pPr>
              <w:spacing w:line="360" w:lineRule="auto"/>
              <w:jc w:val="center"/>
              <w:rPr>
                <w:rFonts w:asciiTheme="minorEastAsia" w:hAnsiTheme="minorEastAsia"/>
                <w:b/>
                <w:szCs w:val="21"/>
              </w:rPr>
            </w:pPr>
            <w:r>
              <w:rPr>
                <w:rFonts w:hint="eastAsia" w:asciiTheme="minorEastAsia" w:hAnsiTheme="minorEastAsia"/>
                <w:b/>
                <w:szCs w:val="21"/>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75" w:type="dxa"/>
            <w:vAlign w:val="center"/>
          </w:tcPr>
          <w:p>
            <w:pPr>
              <w:spacing w:line="360" w:lineRule="auto"/>
              <w:jc w:val="center"/>
              <w:rPr>
                <w:rFonts w:asciiTheme="minorEastAsia" w:hAnsiTheme="minorEastAsia"/>
                <w:b/>
                <w:szCs w:val="21"/>
              </w:rPr>
            </w:pPr>
            <w:r>
              <w:rPr>
                <w:rFonts w:hint="eastAsia" w:asciiTheme="minorEastAsia" w:hAnsiTheme="minorEastAsia"/>
                <w:b/>
                <w:szCs w:val="21"/>
              </w:rPr>
              <w:t>1</w:t>
            </w:r>
          </w:p>
        </w:tc>
        <w:tc>
          <w:tcPr>
            <w:tcW w:w="2410" w:type="dxa"/>
            <w:vAlign w:val="center"/>
          </w:tcPr>
          <w:p>
            <w:pPr>
              <w:spacing w:line="360" w:lineRule="auto"/>
              <w:jc w:val="center"/>
              <w:rPr>
                <w:rFonts w:asciiTheme="minorEastAsia" w:hAnsiTheme="minorEastAsia"/>
                <w:b/>
                <w:szCs w:val="21"/>
              </w:rPr>
            </w:pPr>
            <w:r>
              <w:rPr>
                <w:rFonts w:hint="eastAsia" w:asciiTheme="minorEastAsia" w:hAnsiTheme="minorEastAsia"/>
                <w:b/>
                <w:szCs w:val="21"/>
              </w:rPr>
              <w:t>投标函</w:t>
            </w:r>
          </w:p>
        </w:tc>
        <w:tc>
          <w:tcPr>
            <w:tcW w:w="5954" w:type="dxa"/>
            <w:vAlign w:val="center"/>
          </w:tcPr>
          <w:p>
            <w:pPr>
              <w:spacing w:line="360" w:lineRule="auto"/>
              <w:rPr>
                <w:rFonts w:asciiTheme="minorEastAsia" w:hAnsiTheme="minorEastAsia"/>
                <w:b/>
                <w:szCs w:val="21"/>
              </w:rPr>
            </w:pPr>
            <w:r>
              <w:rPr>
                <w:rFonts w:hint="eastAsia" w:ascii="宋体" w:hAnsi="宋体" w:cs="微软雅黑"/>
                <w:bCs/>
                <w:szCs w:val="21"/>
              </w:rPr>
              <w:t>参考招标文件第八章3.1格式填写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2</w:t>
            </w:r>
          </w:p>
        </w:tc>
        <w:tc>
          <w:tcPr>
            <w:tcW w:w="2410" w:type="dxa"/>
            <w:vAlign w:val="center"/>
          </w:tcPr>
          <w:p>
            <w:pPr>
              <w:spacing w:line="360" w:lineRule="auto"/>
              <w:rPr>
                <w:rFonts w:asciiTheme="minorEastAsia" w:hAnsiTheme="minorEastAsia"/>
                <w:b/>
                <w:szCs w:val="21"/>
              </w:rPr>
            </w:pPr>
            <w:r>
              <w:rPr>
                <w:rFonts w:hint="eastAsia" w:asciiTheme="minorEastAsia" w:hAnsiTheme="minorEastAsia"/>
                <w:b/>
                <w:bCs/>
                <w:szCs w:val="21"/>
              </w:rPr>
              <w:t>法人或者其他组织的营业执照等证明文件，自然人的身份证明</w:t>
            </w:r>
          </w:p>
        </w:tc>
        <w:tc>
          <w:tcPr>
            <w:tcW w:w="5954" w:type="dxa"/>
            <w:vAlign w:val="center"/>
          </w:tcPr>
          <w:p>
            <w:pPr>
              <w:spacing w:line="360" w:lineRule="auto"/>
              <w:jc w:val="left"/>
              <w:rPr>
                <w:rFonts w:asciiTheme="minorEastAsia" w:hAnsiTheme="minorEastAsia"/>
                <w:bCs/>
                <w:szCs w:val="21"/>
              </w:rPr>
            </w:pPr>
            <w:r>
              <w:rPr>
                <w:rFonts w:hint="eastAsia" w:asciiTheme="minorEastAsia" w:hAnsiTheme="minorEastAsia"/>
                <w:bCs/>
                <w:szCs w:val="21"/>
              </w:rPr>
              <w:t>（1）企业法人营业执照或营业执照。（企业提供）</w:t>
            </w:r>
          </w:p>
          <w:p>
            <w:pPr>
              <w:spacing w:line="360" w:lineRule="auto"/>
              <w:jc w:val="left"/>
              <w:rPr>
                <w:rFonts w:asciiTheme="minorEastAsia" w:hAnsiTheme="minorEastAsia"/>
                <w:bCs/>
                <w:szCs w:val="21"/>
              </w:rPr>
            </w:pPr>
            <w:r>
              <w:rPr>
                <w:rFonts w:hint="eastAsia" w:asciiTheme="minorEastAsia" w:hAnsiTheme="minorEastAsia"/>
                <w:bCs/>
                <w:szCs w:val="21"/>
              </w:rPr>
              <w:t>（2）事业单位法人证书。（事业单位提供）</w:t>
            </w:r>
          </w:p>
          <w:p>
            <w:pPr>
              <w:spacing w:line="360" w:lineRule="auto"/>
              <w:jc w:val="left"/>
              <w:rPr>
                <w:rFonts w:asciiTheme="minorEastAsia" w:hAnsiTheme="minorEastAsia"/>
                <w:bCs/>
                <w:szCs w:val="21"/>
              </w:rPr>
            </w:pPr>
            <w:r>
              <w:rPr>
                <w:rFonts w:hint="eastAsia" w:asciiTheme="minorEastAsia" w:hAnsiTheme="minorEastAsia"/>
                <w:bCs/>
                <w:szCs w:val="21"/>
              </w:rPr>
              <w:t>（3）执业许可证。（非企业专业服务机构提供）</w:t>
            </w:r>
          </w:p>
          <w:p>
            <w:pPr>
              <w:spacing w:line="360" w:lineRule="auto"/>
              <w:jc w:val="left"/>
              <w:rPr>
                <w:rFonts w:asciiTheme="minorEastAsia" w:hAnsiTheme="minorEastAsia"/>
                <w:bCs/>
                <w:szCs w:val="21"/>
              </w:rPr>
            </w:pPr>
            <w:r>
              <w:rPr>
                <w:rFonts w:hint="eastAsia" w:asciiTheme="minorEastAsia" w:hAnsiTheme="minorEastAsia"/>
                <w:bCs/>
                <w:szCs w:val="21"/>
              </w:rPr>
              <w:t>（4）个体工商户营业执照。（个体工商户提供）</w:t>
            </w:r>
          </w:p>
          <w:p>
            <w:pPr>
              <w:spacing w:line="360" w:lineRule="auto"/>
              <w:jc w:val="left"/>
              <w:rPr>
                <w:rFonts w:asciiTheme="minorEastAsia" w:hAnsiTheme="minorEastAsia"/>
                <w:bCs/>
                <w:szCs w:val="21"/>
              </w:rPr>
            </w:pPr>
            <w:r>
              <w:rPr>
                <w:rFonts w:hint="eastAsia" w:asciiTheme="minorEastAsia" w:hAnsiTheme="minorEastAsia"/>
                <w:bCs/>
                <w:szCs w:val="21"/>
              </w:rPr>
              <w:t>（5）自然人身份证明。（自然人提供）</w:t>
            </w:r>
          </w:p>
          <w:p>
            <w:pPr>
              <w:spacing w:line="360" w:lineRule="auto"/>
              <w:jc w:val="left"/>
              <w:rPr>
                <w:rFonts w:asciiTheme="minorEastAsia" w:hAnsiTheme="minorEastAsia"/>
                <w:b/>
                <w:bCs/>
                <w:szCs w:val="21"/>
              </w:rPr>
            </w:pPr>
            <w:r>
              <w:rPr>
                <w:rFonts w:hint="eastAsia" w:asciiTheme="minorEastAsia" w:hAnsiTheme="minorEastAsia"/>
                <w:bCs/>
                <w:szCs w:val="21"/>
              </w:rPr>
              <w:t>（6）民办非企业单位登记证书。（民办非企业单位提供）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3</w:t>
            </w:r>
          </w:p>
        </w:tc>
        <w:tc>
          <w:tcPr>
            <w:tcW w:w="2410" w:type="dxa"/>
            <w:vAlign w:val="center"/>
          </w:tcPr>
          <w:p>
            <w:pPr>
              <w:spacing w:line="360" w:lineRule="auto"/>
              <w:rPr>
                <w:rFonts w:asciiTheme="minorEastAsia" w:hAnsiTheme="minorEastAsia"/>
                <w:b/>
                <w:szCs w:val="21"/>
              </w:rPr>
            </w:pPr>
            <w:r>
              <w:rPr>
                <w:rFonts w:hint="eastAsia" w:asciiTheme="minorEastAsia" w:hAnsiTheme="minorEastAsia"/>
                <w:b/>
                <w:bCs/>
                <w:szCs w:val="21"/>
              </w:rPr>
              <w:t>财务状况报告相关材料</w:t>
            </w:r>
          </w:p>
        </w:tc>
        <w:tc>
          <w:tcPr>
            <w:tcW w:w="5954" w:type="dxa"/>
          </w:tcPr>
          <w:p>
            <w:pPr>
              <w:spacing w:line="360" w:lineRule="auto"/>
              <w:rPr>
                <w:rFonts w:asciiTheme="minorEastAsia" w:hAnsiTheme="minorEastAsia"/>
                <w:bCs/>
                <w:szCs w:val="21"/>
              </w:rPr>
            </w:pPr>
            <w:r>
              <w:rPr>
                <w:rFonts w:hint="eastAsia" w:asciiTheme="minorEastAsia" w:hAnsiTheme="minorEastAsia"/>
                <w:bCs/>
                <w:szCs w:val="21"/>
              </w:rPr>
              <w:t>（1）供应商是法人（法人包括企业法人、机关法人、事业单位法人和社会团体法人），提供本单位：</w:t>
            </w:r>
          </w:p>
          <w:p>
            <w:pPr>
              <w:spacing w:line="360" w:lineRule="auto"/>
              <w:rPr>
                <w:rFonts w:asciiTheme="minorEastAsia" w:hAnsiTheme="minorEastAsia"/>
                <w:bCs/>
                <w:szCs w:val="21"/>
              </w:rPr>
            </w:pPr>
            <w:r>
              <w:rPr>
                <w:rFonts w:hint="eastAsia" w:asciiTheme="minorEastAsia" w:hAnsiTheme="minorEastAsia"/>
                <w:bCs/>
                <w:szCs w:val="21"/>
              </w:rPr>
              <w:t>①2018年度经审计的财务报告，包括资产负债表、利润表、现金流量表、所有者权益变动表及其附注；</w:t>
            </w:r>
          </w:p>
          <w:p>
            <w:pPr>
              <w:spacing w:line="360" w:lineRule="auto"/>
              <w:rPr>
                <w:rFonts w:asciiTheme="minorEastAsia" w:hAnsiTheme="minorEastAsia"/>
                <w:bCs/>
                <w:szCs w:val="21"/>
              </w:rPr>
            </w:pPr>
            <w:r>
              <w:rPr>
                <w:rFonts w:hint="eastAsia" w:asciiTheme="minorEastAsia" w:hAnsiTheme="minorEastAsia"/>
                <w:bCs/>
                <w:szCs w:val="21"/>
              </w:rPr>
              <w:t>②基本开户银行出具的资信证明；</w:t>
            </w:r>
          </w:p>
          <w:p>
            <w:pPr>
              <w:spacing w:line="360" w:lineRule="auto"/>
              <w:rPr>
                <w:rFonts w:asciiTheme="minorEastAsia" w:hAnsiTheme="minorEastAsia"/>
                <w:bCs/>
                <w:szCs w:val="21"/>
              </w:rPr>
            </w:pPr>
            <w:r>
              <w:rPr>
                <w:rFonts w:hint="eastAsia" w:asciiTheme="minorEastAsia" w:hAnsiTheme="minorEastAsia"/>
                <w:bCs/>
                <w:szCs w:val="21"/>
              </w:rPr>
              <w:t>③财政部门认可的政府采购专业担保机构的证明文件和担保机构出具的投标担保函。</w:t>
            </w:r>
          </w:p>
          <w:p>
            <w:pPr>
              <w:spacing w:line="360" w:lineRule="auto"/>
              <w:rPr>
                <w:rFonts w:asciiTheme="minorEastAsia" w:hAnsiTheme="minorEastAsia"/>
                <w:bCs/>
                <w:szCs w:val="21"/>
              </w:rPr>
            </w:pPr>
            <w:r>
              <w:rPr>
                <w:rFonts w:hint="eastAsia" w:ascii="楷体" w:hAnsi="楷体" w:eastAsia="楷体" w:cs="仿宋_GB2312"/>
                <w:sz w:val="24"/>
                <w:szCs w:val="24"/>
                <w:lang w:val="zh-CN"/>
              </w:rPr>
              <w:t>注：仅需提供序号</w:t>
            </w:r>
            <w:r>
              <w:rPr>
                <w:rFonts w:hint="eastAsia" w:ascii="楷体" w:hAnsi="楷体" w:eastAsia="楷体"/>
                <w:color w:val="000000"/>
                <w:sz w:val="24"/>
                <w:szCs w:val="24"/>
              </w:rPr>
              <w:t>①～③其中之一即可。</w:t>
            </w:r>
          </w:p>
          <w:p>
            <w:pPr>
              <w:spacing w:line="360" w:lineRule="auto"/>
              <w:rPr>
                <w:rFonts w:asciiTheme="minorEastAsia" w:hAnsiTheme="minorEastAsia"/>
                <w:bCs/>
                <w:szCs w:val="21"/>
              </w:rPr>
            </w:pPr>
            <w:r>
              <w:rPr>
                <w:rFonts w:hint="eastAsia" w:asciiTheme="minorEastAsia" w:hAnsiTheme="minorEastAsia"/>
                <w:bCs/>
                <w:szCs w:val="21"/>
              </w:rPr>
              <w:t>（2）供应商（其他组织和自然人）提供本单位：</w:t>
            </w:r>
          </w:p>
          <w:p>
            <w:pPr>
              <w:spacing w:line="360" w:lineRule="auto"/>
              <w:rPr>
                <w:rFonts w:asciiTheme="minorEastAsia" w:hAnsiTheme="minorEastAsia"/>
                <w:bCs/>
                <w:szCs w:val="21"/>
              </w:rPr>
            </w:pPr>
            <w:r>
              <w:rPr>
                <w:rFonts w:hint="eastAsia" w:asciiTheme="minorEastAsia" w:hAnsiTheme="minorEastAsia"/>
                <w:bCs/>
                <w:szCs w:val="21"/>
              </w:rPr>
              <w:t>①2018年度经审计的财务报告，包括资产负债表、利润表、现金流量表、所有者权益变动表及其附注；</w:t>
            </w:r>
          </w:p>
          <w:p>
            <w:pPr>
              <w:spacing w:line="360" w:lineRule="auto"/>
              <w:rPr>
                <w:rFonts w:asciiTheme="minorEastAsia" w:hAnsiTheme="minorEastAsia"/>
                <w:bCs/>
                <w:szCs w:val="21"/>
              </w:rPr>
            </w:pPr>
            <w:r>
              <w:rPr>
                <w:rFonts w:hint="eastAsia" w:asciiTheme="minorEastAsia" w:hAnsiTheme="minorEastAsia"/>
                <w:bCs/>
                <w:szCs w:val="21"/>
              </w:rPr>
              <w:t>②银行出具的资信证明；</w:t>
            </w:r>
          </w:p>
          <w:p>
            <w:pPr>
              <w:spacing w:line="360" w:lineRule="auto"/>
              <w:rPr>
                <w:rFonts w:asciiTheme="minorEastAsia" w:hAnsiTheme="minorEastAsia"/>
                <w:bCs/>
                <w:szCs w:val="21"/>
              </w:rPr>
            </w:pPr>
            <w:r>
              <w:rPr>
                <w:rFonts w:hint="eastAsia" w:asciiTheme="minorEastAsia" w:hAnsiTheme="minorEastAsia"/>
                <w:bCs/>
                <w:szCs w:val="21"/>
              </w:rPr>
              <w:t>③财政部门认可的政府采购专业担保机构的证明文件和担保机构出具的投标担保函。</w:t>
            </w:r>
          </w:p>
          <w:p>
            <w:pPr>
              <w:spacing w:line="360" w:lineRule="auto"/>
              <w:rPr>
                <w:rFonts w:asciiTheme="minorEastAsia" w:hAnsiTheme="minorEastAsia"/>
                <w:b/>
                <w:bCs/>
                <w:szCs w:val="21"/>
              </w:rPr>
            </w:pPr>
            <w:r>
              <w:rPr>
                <w:rFonts w:hint="eastAsia" w:ascii="楷体" w:hAnsi="楷体" w:eastAsia="楷体" w:cs="仿宋_GB2312"/>
                <w:sz w:val="24"/>
                <w:szCs w:val="24"/>
                <w:lang w:val="zh-CN"/>
              </w:rPr>
              <w:t>注：仅需提供序号</w:t>
            </w:r>
            <w:r>
              <w:rPr>
                <w:rFonts w:hint="eastAsia" w:ascii="楷体" w:hAnsi="楷体" w:eastAsia="楷体"/>
                <w:color w:val="000000"/>
                <w:sz w:val="24"/>
                <w:szCs w:val="24"/>
              </w:rPr>
              <w:t>①～③其中之一即可。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4</w:t>
            </w:r>
          </w:p>
        </w:tc>
        <w:tc>
          <w:tcPr>
            <w:tcW w:w="2410" w:type="dxa"/>
            <w:vAlign w:val="center"/>
          </w:tcPr>
          <w:p>
            <w:pPr>
              <w:spacing w:line="360" w:lineRule="auto"/>
              <w:rPr>
                <w:rFonts w:asciiTheme="minorEastAsia" w:hAnsiTheme="minorEastAsia"/>
                <w:b/>
                <w:szCs w:val="21"/>
              </w:rPr>
            </w:pPr>
            <w:r>
              <w:rPr>
                <w:rFonts w:hint="eastAsia" w:asciiTheme="minorEastAsia" w:hAnsiTheme="minorEastAsia"/>
                <w:b/>
                <w:bCs/>
                <w:szCs w:val="21"/>
              </w:rPr>
              <w:t>依法缴纳税收相关材料</w:t>
            </w:r>
          </w:p>
        </w:tc>
        <w:tc>
          <w:tcPr>
            <w:tcW w:w="5954" w:type="dxa"/>
          </w:tcPr>
          <w:p>
            <w:pPr>
              <w:spacing w:line="360" w:lineRule="auto"/>
              <w:rPr>
                <w:rFonts w:asciiTheme="minorEastAsia" w:hAnsiTheme="minorEastAsia"/>
                <w:b/>
                <w:bCs/>
                <w:szCs w:val="21"/>
              </w:rPr>
            </w:pPr>
            <w:r>
              <w:rPr>
                <w:rFonts w:hint="eastAsia" w:ascii="宋体" w:hAnsi="宋体" w:cs="微软雅黑"/>
                <w:bCs/>
                <w:szCs w:val="21"/>
              </w:rPr>
              <w:t>供应商提供参加本次政府采购项目</w:t>
            </w:r>
            <w:r>
              <w:rPr>
                <w:rFonts w:hint="eastAsia" w:asciiTheme="minorEastAsia" w:hAnsiTheme="minorEastAsia"/>
                <w:bCs/>
                <w:szCs w:val="21"/>
              </w:rPr>
              <w:t>投标截止时间前</w:t>
            </w:r>
            <w:r>
              <w:rPr>
                <w:rFonts w:hint="eastAsia" w:asciiTheme="minorEastAsia" w:hAnsiTheme="minorEastAsia"/>
                <w:bCs/>
                <w:szCs w:val="21"/>
                <w:lang w:eastAsia="zh-CN"/>
              </w:rPr>
              <w:t>三</w:t>
            </w:r>
            <w:r>
              <w:rPr>
                <w:rFonts w:hint="eastAsia" w:asciiTheme="minorEastAsia" w:hAnsiTheme="minorEastAsia"/>
                <w:bCs/>
                <w:szCs w:val="21"/>
              </w:rPr>
              <w:t>个月内任意一个月缴纳税收凭据。（依法免税的供应商，应提供相应文件证明依法免税）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5</w:t>
            </w:r>
          </w:p>
        </w:tc>
        <w:tc>
          <w:tcPr>
            <w:tcW w:w="2410" w:type="dxa"/>
            <w:vAlign w:val="center"/>
          </w:tcPr>
          <w:p>
            <w:pPr>
              <w:spacing w:line="360" w:lineRule="auto"/>
              <w:rPr>
                <w:rFonts w:asciiTheme="minorEastAsia" w:hAnsiTheme="minorEastAsia"/>
                <w:bCs/>
                <w:szCs w:val="21"/>
              </w:rPr>
            </w:pPr>
            <w:r>
              <w:rPr>
                <w:rFonts w:hint="eastAsia" w:asciiTheme="minorEastAsia" w:hAnsiTheme="minorEastAsia"/>
                <w:b/>
                <w:bCs/>
                <w:szCs w:val="21"/>
              </w:rPr>
              <w:t>依法缴纳社会保障资金的证明材料</w:t>
            </w:r>
          </w:p>
        </w:tc>
        <w:tc>
          <w:tcPr>
            <w:tcW w:w="5954" w:type="dxa"/>
          </w:tcPr>
          <w:p>
            <w:pPr>
              <w:spacing w:line="360" w:lineRule="auto"/>
              <w:rPr>
                <w:rFonts w:asciiTheme="minorEastAsia" w:hAnsiTheme="minorEastAsia"/>
                <w:b/>
                <w:bCs/>
                <w:szCs w:val="21"/>
              </w:rPr>
            </w:pPr>
            <w:r>
              <w:rPr>
                <w:rFonts w:hint="eastAsia" w:ascii="宋体" w:hAnsi="宋体" w:cs="微软雅黑"/>
                <w:bCs/>
                <w:szCs w:val="21"/>
              </w:rPr>
              <w:t>供应商提供参加本次政府采购项目</w:t>
            </w:r>
            <w:r>
              <w:rPr>
                <w:rFonts w:hint="eastAsia" w:asciiTheme="minorEastAsia" w:hAnsiTheme="minorEastAsia"/>
                <w:bCs/>
                <w:szCs w:val="21"/>
              </w:rPr>
              <w:t>投标截止时间前</w:t>
            </w:r>
            <w:r>
              <w:rPr>
                <w:rFonts w:hint="eastAsia" w:asciiTheme="minorEastAsia" w:hAnsiTheme="minorEastAsia"/>
                <w:bCs/>
                <w:szCs w:val="21"/>
                <w:lang w:eastAsia="zh-CN"/>
              </w:rPr>
              <w:t>三</w:t>
            </w:r>
            <w:r>
              <w:rPr>
                <w:rFonts w:hint="eastAsia" w:asciiTheme="minorEastAsia" w:hAnsiTheme="minorEastAsia"/>
                <w:bCs/>
                <w:szCs w:val="21"/>
              </w:rPr>
              <w:t>个月内任意一个月缴纳社会保险凭据。（依法不需要缴纳社会保障资金的供应商，应提供相应文件证明依法不需要缴纳社会保障资金）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6</w:t>
            </w:r>
          </w:p>
        </w:tc>
        <w:tc>
          <w:tcPr>
            <w:tcW w:w="2410" w:type="dxa"/>
            <w:vAlign w:val="center"/>
          </w:tcPr>
          <w:p>
            <w:pPr>
              <w:spacing w:line="360" w:lineRule="auto"/>
              <w:rPr>
                <w:rFonts w:asciiTheme="minorEastAsia" w:hAnsiTheme="minorEastAsia"/>
                <w:b/>
                <w:szCs w:val="21"/>
              </w:rPr>
            </w:pPr>
            <w:r>
              <w:rPr>
                <w:rFonts w:hint="eastAsia" w:asciiTheme="minorEastAsia" w:hAnsiTheme="minorEastAsia"/>
                <w:b/>
                <w:bCs/>
                <w:szCs w:val="21"/>
              </w:rPr>
              <w:t>履行合同所必须的设备和专业技术能力的证明材料</w:t>
            </w:r>
          </w:p>
        </w:tc>
        <w:tc>
          <w:tcPr>
            <w:tcW w:w="5954" w:type="dxa"/>
          </w:tcPr>
          <w:p>
            <w:pPr>
              <w:spacing w:line="360" w:lineRule="auto"/>
              <w:rPr>
                <w:rFonts w:asciiTheme="minorEastAsia" w:hAnsiTheme="minorEastAsia"/>
                <w:bCs/>
                <w:szCs w:val="21"/>
              </w:rPr>
            </w:pPr>
            <w:r>
              <w:rPr>
                <w:rFonts w:hint="eastAsia" w:asciiTheme="minorEastAsia" w:hAnsiTheme="minorEastAsia"/>
                <w:bCs/>
                <w:szCs w:val="21"/>
              </w:rPr>
              <w:t>①与本项目投标相关设备的购置发票、专业技术人员职称证书、用工合同等；</w:t>
            </w:r>
          </w:p>
          <w:p>
            <w:pPr>
              <w:spacing w:line="360" w:lineRule="auto"/>
              <w:rPr>
                <w:rFonts w:asciiTheme="minorEastAsia" w:hAnsiTheme="minorEastAsia"/>
                <w:bCs/>
                <w:szCs w:val="21"/>
              </w:rPr>
            </w:pPr>
            <w:r>
              <w:rPr>
                <w:rFonts w:hint="eastAsia" w:asciiTheme="minorEastAsia" w:hAnsiTheme="minorEastAsia"/>
                <w:bCs/>
                <w:szCs w:val="21"/>
              </w:rPr>
              <w:t>②供应商具备履行合同所必须的设备和专业技术能力承诺函或声明（承诺函或声明格式自拟）。</w:t>
            </w:r>
          </w:p>
          <w:p>
            <w:pPr>
              <w:spacing w:line="360" w:lineRule="auto"/>
              <w:rPr>
                <w:rFonts w:asciiTheme="minorEastAsia" w:hAnsiTheme="minorEastAsia"/>
                <w:b/>
                <w:bCs/>
                <w:szCs w:val="21"/>
              </w:rPr>
            </w:pPr>
            <w:r>
              <w:rPr>
                <w:rFonts w:hint="eastAsia" w:ascii="楷体" w:hAnsi="楷体" w:eastAsia="楷体" w:cs="仿宋_GB2312"/>
                <w:sz w:val="24"/>
                <w:szCs w:val="24"/>
                <w:lang w:val="zh-CN"/>
              </w:rPr>
              <w:t>注：仅需提供序号</w:t>
            </w:r>
            <w:r>
              <w:rPr>
                <w:rFonts w:hint="eastAsia" w:ascii="楷体" w:hAnsi="楷体" w:eastAsia="楷体"/>
                <w:color w:val="000000"/>
                <w:sz w:val="24"/>
                <w:szCs w:val="24"/>
              </w:rPr>
              <w:t>①～②其中之一即可。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7</w:t>
            </w:r>
          </w:p>
        </w:tc>
        <w:tc>
          <w:tcPr>
            <w:tcW w:w="2410" w:type="dxa"/>
            <w:vAlign w:val="center"/>
          </w:tcPr>
          <w:p>
            <w:pPr>
              <w:spacing w:line="360" w:lineRule="auto"/>
              <w:rPr>
                <w:rFonts w:asciiTheme="minorEastAsia" w:hAnsiTheme="minorEastAsia"/>
                <w:bCs/>
                <w:szCs w:val="21"/>
              </w:rPr>
            </w:pPr>
            <w:r>
              <w:rPr>
                <w:rFonts w:hint="eastAsia" w:asciiTheme="minorEastAsia" w:hAnsiTheme="minorEastAsia"/>
                <w:b/>
                <w:bCs/>
                <w:szCs w:val="21"/>
              </w:rPr>
              <w:t>参加政府采购活动前3年内在经营活动中没有重大违法记录的声明</w:t>
            </w:r>
          </w:p>
        </w:tc>
        <w:tc>
          <w:tcPr>
            <w:tcW w:w="5954" w:type="dxa"/>
            <w:vAlign w:val="center"/>
          </w:tcPr>
          <w:p>
            <w:pPr>
              <w:spacing w:line="360" w:lineRule="auto"/>
              <w:jc w:val="left"/>
              <w:rPr>
                <w:rFonts w:ascii="宋体" w:hAnsi="宋体" w:cs="微软雅黑"/>
                <w:bCs/>
                <w:szCs w:val="21"/>
              </w:rPr>
            </w:pPr>
            <w:r>
              <w:rPr>
                <w:rFonts w:hint="eastAsia" w:ascii="宋体" w:hAnsi="宋体" w:cs="微软雅黑"/>
                <w:bCs/>
                <w:szCs w:val="21"/>
              </w:rPr>
              <w:t>如无重大违法记录请按照谈判文件提供格式填写。</w:t>
            </w:r>
          </w:p>
          <w:p>
            <w:pPr>
              <w:spacing w:line="360" w:lineRule="auto"/>
              <w:jc w:val="left"/>
              <w:rPr>
                <w:rFonts w:asciiTheme="minorEastAsia" w:hAnsiTheme="minorEastAsia"/>
                <w:b/>
                <w:bCs/>
                <w:szCs w:val="21"/>
              </w:rPr>
            </w:pPr>
            <w:r>
              <w:rPr>
                <w:rFonts w:hint="eastAsia" w:asciiTheme="minorEastAsia" w:hAnsiTheme="minorEastAsia"/>
                <w:bCs/>
                <w:szCs w:val="21"/>
              </w:rPr>
              <w:t>供应商“参加政府采购活动前3年内在经营活动中没有重大违法记录的书面声明”。 重大违法记录，是指供应商因违法经营受到刑事处罚或者责令停产停业、吊销许可证或者执照、较大数额罚款等行政处罚。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8</w:t>
            </w:r>
          </w:p>
        </w:tc>
        <w:tc>
          <w:tcPr>
            <w:tcW w:w="2410" w:type="dxa"/>
            <w:vAlign w:val="center"/>
          </w:tcPr>
          <w:p>
            <w:pPr>
              <w:spacing w:line="360" w:lineRule="auto"/>
              <w:rPr>
                <w:rFonts w:asciiTheme="minorEastAsia" w:hAnsiTheme="minorEastAsia"/>
                <w:bCs/>
                <w:szCs w:val="21"/>
              </w:rPr>
            </w:pPr>
            <w:r>
              <w:rPr>
                <w:rFonts w:hint="eastAsia" w:asciiTheme="minorEastAsia" w:hAnsiTheme="minorEastAsia"/>
                <w:b/>
                <w:bCs/>
                <w:szCs w:val="21"/>
              </w:rPr>
              <w:t>信用记录查询及使用</w:t>
            </w:r>
          </w:p>
        </w:tc>
        <w:tc>
          <w:tcPr>
            <w:tcW w:w="5954" w:type="dxa"/>
          </w:tcPr>
          <w:p>
            <w:pPr>
              <w:spacing w:line="360" w:lineRule="auto"/>
              <w:rPr>
                <w:rFonts w:asciiTheme="minorEastAsia" w:hAnsiTheme="minorEastAsia"/>
                <w:bCs/>
                <w:szCs w:val="21"/>
              </w:rPr>
            </w:pPr>
            <w:r>
              <w:rPr>
                <w:rFonts w:hint="eastAsia" w:asciiTheme="minorEastAsia" w:hAnsiTheme="minorEastAsia"/>
                <w:bCs/>
                <w:szCs w:val="21"/>
              </w:rPr>
              <w:t>政府采购活动中查询及使用供应商信用记录的具体要求为：供应商未被列入</w:t>
            </w:r>
            <w:r>
              <w:rPr>
                <w:rFonts w:asciiTheme="minorEastAsia" w:hAnsiTheme="minorEastAsia"/>
                <w:bCs/>
                <w:szCs w:val="21"/>
              </w:rPr>
              <w:t>“信用中国”网站</w:t>
            </w:r>
            <w:r>
              <w:rPr>
                <w:rFonts w:hint="eastAsia" w:asciiTheme="minorEastAsia" w:hAnsiTheme="minorEastAsia"/>
                <w:bCs/>
                <w:szCs w:val="21"/>
              </w:rPr>
              <w:t>失信被执行人、重大税收违法案件当事人名单、</w:t>
            </w:r>
            <w:r>
              <w:rPr>
                <w:rFonts w:asciiTheme="minorEastAsia" w:hAnsiTheme="minorEastAsia"/>
                <w:bCs/>
                <w:szCs w:val="21"/>
              </w:rPr>
              <w:t>政府采购严重违法失信名单</w:t>
            </w:r>
            <w:r>
              <w:rPr>
                <w:rFonts w:hint="eastAsia" w:asciiTheme="minorEastAsia" w:hAnsiTheme="minorEastAsia"/>
                <w:bCs/>
                <w:szCs w:val="21"/>
              </w:rPr>
              <w:t>、“</w:t>
            </w:r>
            <w:r>
              <w:rPr>
                <w:rFonts w:asciiTheme="minorEastAsia" w:hAnsiTheme="minorEastAsia"/>
                <w:bCs/>
                <w:szCs w:val="21"/>
              </w:rPr>
              <w:t>中国政府采购网</w:t>
            </w:r>
            <w:r>
              <w:rPr>
                <w:rFonts w:hint="eastAsia" w:asciiTheme="minorEastAsia" w:hAnsiTheme="minorEastAsia"/>
                <w:bCs/>
                <w:szCs w:val="21"/>
              </w:rPr>
              <w:t>”政府采购严重违法失信行为记录名单、“国家企业信用公示系统”网站严重违法失信企业名单（黑名单）、</w:t>
            </w:r>
            <w:r>
              <w:rPr>
                <w:rFonts w:hint="eastAsia" w:cs="仿宋_GB2312" w:asciiTheme="minorEastAsia" w:hAnsiTheme="minorEastAsia"/>
                <w:color w:val="000000"/>
                <w:szCs w:val="21"/>
              </w:rPr>
              <w:t>“中国社会组织公共服务平台”网站（</w:t>
            </w:r>
            <w:r>
              <w:rPr>
                <w:rFonts w:cs="仿宋_GB2312" w:asciiTheme="minorEastAsia" w:hAnsiTheme="minorEastAsia"/>
                <w:color w:val="000000"/>
                <w:szCs w:val="21"/>
              </w:rPr>
              <w:t>www.chinanpo.gov.cn</w:t>
            </w:r>
            <w:r>
              <w:rPr>
                <w:rFonts w:hint="eastAsia" w:cs="仿宋_GB2312" w:asciiTheme="minorEastAsia" w:hAnsiTheme="minorEastAsia"/>
                <w:color w:val="000000"/>
                <w:szCs w:val="21"/>
              </w:rPr>
              <w:t>）严重违法失信社会组织名单的供应商</w:t>
            </w:r>
            <w:r>
              <w:rPr>
                <w:rFonts w:hint="eastAsia" w:cs="仿宋_GB2312" w:asciiTheme="minorEastAsia" w:hAnsiTheme="minorEastAsia"/>
                <w:b/>
                <w:color w:val="000000"/>
                <w:szCs w:val="21"/>
              </w:rPr>
              <w:t>；</w:t>
            </w:r>
            <w:r>
              <w:rPr>
                <w:rFonts w:hint="eastAsia" w:asciiTheme="minorEastAsia" w:hAnsiTheme="minorEastAsia"/>
                <w:bCs/>
                <w:szCs w:val="21"/>
              </w:rPr>
              <w:t>（联合体形式投标的，联合体成员存在不良信用记录，视同联合体存在不良信用记录）。</w:t>
            </w:r>
          </w:p>
          <w:p>
            <w:pPr>
              <w:spacing w:line="360" w:lineRule="auto"/>
              <w:rPr>
                <w:rFonts w:asciiTheme="minorEastAsia" w:hAnsiTheme="minorEastAsia"/>
                <w:bCs/>
                <w:szCs w:val="21"/>
              </w:rPr>
            </w:pPr>
            <w:r>
              <w:rPr>
                <w:rFonts w:hint="eastAsia" w:asciiTheme="minorEastAsia" w:hAnsiTheme="minorEastAsia"/>
                <w:bCs/>
                <w:szCs w:val="21"/>
              </w:rPr>
              <w:t>（1）查询渠道：</w:t>
            </w:r>
          </w:p>
          <w:p>
            <w:pPr>
              <w:spacing w:line="360" w:lineRule="auto"/>
              <w:rPr>
                <w:rFonts w:asciiTheme="minorEastAsia" w:hAnsiTheme="minorEastAsia"/>
                <w:bCs/>
                <w:szCs w:val="21"/>
              </w:rPr>
            </w:pPr>
            <w:r>
              <w:rPr>
                <w:rFonts w:hint="eastAsia" w:asciiTheme="minorEastAsia" w:hAnsiTheme="minorEastAsia"/>
                <w:bCs/>
                <w:szCs w:val="21"/>
              </w:rPr>
              <w:t>①“信用中国”网站（</w:t>
            </w:r>
            <w:r>
              <w:fldChar w:fldCharType="begin"/>
            </w:r>
            <w:r>
              <w:instrText xml:space="preserve"> HYPERLINK "http://www.creditchina.gov.cn" </w:instrText>
            </w:r>
            <w:r>
              <w:fldChar w:fldCharType="separate"/>
            </w:r>
            <w:r>
              <w:rPr>
                <w:rStyle w:val="29"/>
                <w:rFonts w:hint="eastAsia" w:asciiTheme="minorEastAsia" w:hAnsiTheme="minorEastAsia"/>
                <w:szCs w:val="21"/>
              </w:rPr>
              <w:t>www.creditchina.gov.cn</w:t>
            </w:r>
            <w:r>
              <w:rPr>
                <w:rStyle w:val="29"/>
                <w:rFonts w:hint="eastAsia" w:asciiTheme="minorEastAsia" w:hAnsiTheme="minorEastAsia"/>
                <w:szCs w:val="21"/>
              </w:rPr>
              <w:fldChar w:fldCharType="end"/>
            </w:r>
            <w:r>
              <w:rPr>
                <w:rFonts w:hint="eastAsia" w:asciiTheme="minorEastAsia" w:hAnsiTheme="minorEastAsia"/>
                <w:bCs/>
                <w:szCs w:val="21"/>
              </w:rPr>
              <w:t>）</w:t>
            </w:r>
          </w:p>
          <w:p>
            <w:pPr>
              <w:spacing w:line="360" w:lineRule="auto"/>
              <w:rPr>
                <w:rFonts w:asciiTheme="minorEastAsia" w:hAnsiTheme="minorEastAsia"/>
                <w:bCs/>
                <w:szCs w:val="21"/>
              </w:rPr>
            </w:pPr>
            <w:r>
              <w:rPr>
                <w:rFonts w:hint="eastAsia" w:asciiTheme="minorEastAsia" w:hAnsiTheme="minorEastAsia"/>
                <w:bCs/>
                <w:szCs w:val="21"/>
              </w:rPr>
              <w:t>②“中国政府采购网”（www.ccgp.gov.cn）</w:t>
            </w:r>
          </w:p>
          <w:p>
            <w:pPr>
              <w:spacing w:line="360" w:lineRule="auto"/>
              <w:rPr>
                <w:rFonts w:asciiTheme="minorEastAsia" w:hAnsiTheme="minorEastAsia"/>
                <w:bCs/>
                <w:szCs w:val="21"/>
              </w:rPr>
            </w:pPr>
            <w:r>
              <w:rPr>
                <w:rFonts w:hint="eastAsia" w:asciiTheme="minorEastAsia" w:hAnsiTheme="minorEastAsia"/>
                <w:bCs/>
                <w:szCs w:val="21"/>
              </w:rPr>
              <w:t>③“国家企业信用公示系统”网站（</w:t>
            </w:r>
            <w:r>
              <w:fldChar w:fldCharType="begin"/>
            </w:r>
            <w:r>
              <w:instrText xml:space="preserve"> HYPERLINK "http://www.gsxt.gov.cn" </w:instrText>
            </w:r>
            <w:r>
              <w:fldChar w:fldCharType="separate"/>
            </w:r>
            <w:r>
              <w:rPr>
                <w:rStyle w:val="29"/>
                <w:rFonts w:asciiTheme="minorEastAsia" w:hAnsiTheme="minorEastAsia"/>
                <w:szCs w:val="21"/>
              </w:rPr>
              <w:t>www.gsxt.gov.cn</w:t>
            </w:r>
            <w:r>
              <w:rPr>
                <w:rStyle w:val="29"/>
                <w:rFonts w:asciiTheme="minorEastAsia" w:hAnsiTheme="minorEastAsia"/>
                <w:szCs w:val="21"/>
              </w:rPr>
              <w:fldChar w:fldCharType="end"/>
            </w:r>
            <w:r>
              <w:rPr>
                <w:rFonts w:hint="eastAsia" w:asciiTheme="minorEastAsia" w:hAnsiTheme="minorEastAsia"/>
                <w:bCs/>
                <w:szCs w:val="21"/>
              </w:rPr>
              <w:t>）</w:t>
            </w:r>
          </w:p>
          <w:p>
            <w:pPr>
              <w:spacing w:line="360" w:lineRule="auto"/>
              <w:rPr>
                <w:rFonts w:asciiTheme="minorEastAsia" w:hAnsiTheme="minorEastAsia"/>
                <w:bCs/>
                <w:szCs w:val="21"/>
              </w:rPr>
            </w:pPr>
            <w:r>
              <w:rPr>
                <w:rFonts w:hint="eastAsia" w:asciiTheme="minorEastAsia" w:hAnsiTheme="minorEastAsia"/>
                <w:bCs/>
                <w:szCs w:val="21"/>
              </w:rPr>
              <w:t>④</w:t>
            </w:r>
            <w:r>
              <w:rPr>
                <w:rFonts w:hint="eastAsia" w:cs="仿宋_GB2312" w:asciiTheme="minorEastAsia" w:hAnsiTheme="minorEastAsia"/>
                <w:color w:val="000000"/>
                <w:szCs w:val="21"/>
              </w:rPr>
              <w:t>“中国社会组织公共服务平台”网站（</w:t>
            </w:r>
            <w:r>
              <w:rPr>
                <w:rFonts w:cs="仿宋_GB2312" w:asciiTheme="minorEastAsia" w:hAnsiTheme="minorEastAsia"/>
                <w:color w:val="000000"/>
                <w:szCs w:val="21"/>
              </w:rPr>
              <w:t>www.chinanpo.gov.cn</w:t>
            </w:r>
            <w:r>
              <w:rPr>
                <w:rFonts w:hint="eastAsia" w:cs="仿宋_GB2312" w:asciiTheme="minorEastAsia" w:hAnsiTheme="minorEastAsia"/>
                <w:color w:val="000000"/>
                <w:szCs w:val="21"/>
              </w:rPr>
              <w:t>）（仅查询社会组织）</w:t>
            </w:r>
            <w:r>
              <w:rPr>
                <w:rFonts w:hint="eastAsia" w:asciiTheme="minorEastAsia" w:hAnsiTheme="minorEastAsia"/>
                <w:bCs/>
                <w:szCs w:val="21"/>
              </w:rPr>
              <w:t>；</w:t>
            </w:r>
          </w:p>
          <w:p>
            <w:pPr>
              <w:spacing w:line="360" w:lineRule="auto"/>
              <w:rPr>
                <w:rFonts w:asciiTheme="minorEastAsia" w:hAnsiTheme="minorEastAsia"/>
                <w:bCs/>
                <w:szCs w:val="21"/>
              </w:rPr>
            </w:pPr>
            <w:r>
              <w:rPr>
                <w:rFonts w:hint="eastAsia" w:asciiTheme="minorEastAsia" w:hAnsiTheme="minorEastAsia"/>
                <w:bCs/>
                <w:szCs w:val="21"/>
              </w:rPr>
              <w:t>（2）截止时间：同</w:t>
            </w:r>
            <w:r>
              <w:rPr>
                <w:rFonts w:hint="eastAsia" w:asciiTheme="minorEastAsia" w:hAnsiTheme="minorEastAsia"/>
                <w:bCs/>
                <w:szCs w:val="21"/>
                <w:lang w:eastAsia="zh-CN"/>
              </w:rPr>
              <w:t>谈判</w:t>
            </w:r>
            <w:r>
              <w:rPr>
                <w:rFonts w:hint="eastAsia" w:asciiTheme="minorEastAsia" w:hAnsiTheme="minorEastAsia"/>
                <w:bCs/>
                <w:szCs w:val="21"/>
              </w:rPr>
              <w:t>截止时间；</w:t>
            </w:r>
          </w:p>
          <w:p>
            <w:pPr>
              <w:spacing w:line="360" w:lineRule="auto"/>
              <w:rPr>
                <w:rFonts w:asciiTheme="minorEastAsia" w:hAnsiTheme="minorEastAsia"/>
                <w:bCs/>
                <w:szCs w:val="21"/>
              </w:rPr>
            </w:pPr>
            <w:r>
              <w:rPr>
                <w:rFonts w:hint="eastAsia" w:asciiTheme="minorEastAsia" w:hAnsiTheme="minorEastAsia"/>
                <w:bCs/>
                <w:szCs w:val="21"/>
              </w:rPr>
              <w:t>（3）信用信息查询记录和证据留存具体方式：经</w:t>
            </w:r>
            <w:r>
              <w:rPr>
                <w:rFonts w:hint="eastAsia" w:cs="宋体" w:asciiTheme="minorEastAsia" w:hAnsiTheme="minorEastAsia"/>
                <w:kern w:val="0"/>
                <w:szCs w:val="21"/>
              </w:rPr>
              <w:t>谈判小组</w:t>
            </w:r>
            <w:r>
              <w:rPr>
                <w:rFonts w:hint="eastAsia" w:asciiTheme="minorEastAsia" w:hAnsiTheme="minorEastAsia"/>
                <w:bCs/>
                <w:szCs w:val="21"/>
              </w:rPr>
              <w:t>确认确认的查询结果网页截图作为查询记录和证据，与其他采购文件一并保存；</w:t>
            </w:r>
          </w:p>
          <w:p>
            <w:pPr>
              <w:spacing w:line="360" w:lineRule="auto"/>
              <w:rPr>
                <w:rFonts w:asciiTheme="minorEastAsia" w:hAnsiTheme="minorEastAsia"/>
                <w:b/>
                <w:bCs/>
                <w:szCs w:val="21"/>
              </w:rPr>
            </w:pPr>
            <w:r>
              <w:rPr>
                <w:rFonts w:hint="eastAsia" w:asciiTheme="minorEastAsia" w:hAnsiTheme="minorEastAsia"/>
                <w:bCs/>
                <w:szCs w:val="21"/>
              </w:rPr>
              <w:t>（4）信用信息的使用原则：经</w:t>
            </w:r>
            <w:r>
              <w:rPr>
                <w:rFonts w:hint="eastAsia" w:cs="宋体" w:asciiTheme="minorEastAsia" w:hAnsiTheme="minorEastAsia"/>
                <w:kern w:val="0"/>
                <w:szCs w:val="21"/>
              </w:rPr>
              <w:t>谈判小组</w:t>
            </w:r>
            <w:r>
              <w:rPr>
                <w:rFonts w:hint="eastAsia" w:asciiTheme="minorEastAsia" w:hAnsiTheme="minorEastAsia"/>
                <w:bCs/>
                <w:szCs w:val="21"/>
              </w:rPr>
              <w:t>确认认定的被列入失信被执行人、重大税收违法案件当事人名单、政府采购严重违法失信行为记录名单的供应商，严重违法失信企业名单（黑名单）、</w:t>
            </w:r>
            <w:r>
              <w:rPr>
                <w:rFonts w:hint="eastAsia" w:cs="仿宋_GB2312" w:asciiTheme="minorEastAsia" w:hAnsiTheme="minorEastAsia"/>
                <w:color w:val="000000"/>
                <w:szCs w:val="21"/>
              </w:rPr>
              <w:t>严重违法失信社会组织</w:t>
            </w:r>
            <w:r>
              <w:rPr>
                <w:rFonts w:hint="eastAsia" w:asciiTheme="minorEastAsia" w:hAnsiTheme="minorEastAsia"/>
                <w:bCs/>
                <w:szCs w:val="21"/>
              </w:rPr>
              <w:t>的供应商，将拒绝其参与本次政府采购活动。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9</w:t>
            </w:r>
          </w:p>
        </w:tc>
        <w:tc>
          <w:tcPr>
            <w:tcW w:w="2410" w:type="dxa"/>
            <w:vAlign w:val="center"/>
          </w:tcPr>
          <w:p>
            <w:pPr>
              <w:spacing w:line="360" w:lineRule="auto"/>
              <w:rPr>
                <w:rFonts w:asciiTheme="minorEastAsia" w:hAnsiTheme="minorEastAsia"/>
                <w:b/>
                <w:szCs w:val="21"/>
              </w:rPr>
            </w:pPr>
            <w:r>
              <w:rPr>
                <w:rFonts w:hint="eastAsia" w:asciiTheme="minorEastAsia" w:hAnsiTheme="minorEastAsia"/>
                <w:b/>
                <w:szCs w:val="21"/>
              </w:rPr>
              <w:t>供应商须具备的特殊</w:t>
            </w:r>
          </w:p>
          <w:p>
            <w:pPr>
              <w:spacing w:line="360" w:lineRule="auto"/>
              <w:rPr>
                <w:rFonts w:asciiTheme="minorEastAsia" w:hAnsiTheme="minorEastAsia"/>
                <w:b/>
                <w:bCs/>
                <w:szCs w:val="21"/>
              </w:rPr>
            </w:pPr>
            <w:r>
              <w:rPr>
                <w:rFonts w:hint="eastAsia" w:asciiTheme="minorEastAsia" w:hAnsiTheme="minorEastAsia"/>
                <w:b/>
                <w:szCs w:val="21"/>
              </w:rPr>
              <w:t>资质证书</w:t>
            </w:r>
          </w:p>
        </w:tc>
        <w:tc>
          <w:tcPr>
            <w:tcW w:w="5954" w:type="dxa"/>
            <w:vAlign w:val="center"/>
          </w:tcPr>
          <w:p>
            <w:pPr>
              <w:spacing w:line="360" w:lineRule="auto"/>
              <w:rPr>
                <w:rFonts w:hint="eastAsia" w:asciiTheme="minorEastAsia" w:hAnsiTheme="minorEastAsia"/>
                <w:bCs/>
                <w:szCs w:val="21"/>
              </w:rPr>
            </w:pPr>
            <w:r>
              <w:rPr>
                <w:rFonts w:hint="eastAsia" w:asciiTheme="minorEastAsia" w:hAnsiTheme="minorEastAsia"/>
                <w:bCs/>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10</w:t>
            </w:r>
          </w:p>
        </w:tc>
        <w:tc>
          <w:tcPr>
            <w:tcW w:w="2410" w:type="dxa"/>
            <w:vAlign w:val="center"/>
          </w:tcPr>
          <w:p>
            <w:pPr>
              <w:spacing w:line="360" w:lineRule="auto"/>
              <w:rPr>
                <w:rFonts w:asciiTheme="minorEastAsia" w:hAnsiTheme="minorEastAsia"/>
                <w:b/>
                <w:bCs/>
                <w:szCs w:val="21"/>
              </w:rPr>
            </w:pPr>
            <w:r>
              <w:rPr>
                <w:rFonts w:hint="eastAsia" w:asciiTheme="minorEastAsia" w:hAnsiTheme="minorEastAsia"/>
                <w:b/>
                <w:bCs/>
                <w:szCs w:val="21"/>
              </w:rPr>
              <w:t>谈判</w:t>
            </w:r>
            <w:r>
              <w:rPr>
                <w:rFonts w:hint="eastAsia" w:cs="仿宋_GB2312" w:asciiTheme="minorEastAsia" w:hAnsiTheme="minorEastAsia"/>
                <w:b/>
                <w:szCs w:val="21"/>
                <w:lang w:val="zh-CN"/>
              </w:rPr>
              <w:t>报价</w:t>
            </w:r>
          </w:p>
        </w:tc>
        <w:tc>
          <w:tcPr>
            <w:tcW w:w="5954" w:type="dxa"/>
          </w:tcPr>
          <w:p>
            <w:pPr>
              <w:spacing w:line="360" w:lineRule="auto"/>
              <w:rPr>
                <w:rFonts w:asciiTheme="minorEastAsia" w:hAnsiTheme="minorEastAsia"/>
                <w:b/>
                <w:bCs/>
                <w:szCs w:val="21"/>
              </w:rPr>
            </w:pPr>
            <w:r>
              <w:rPr>
                <w:rFonts w:hint="eastAsia" w:cs="仿宋_GB2312" w:asciiTheme="minorEastAsia" w:hAnsiTheme="minorEastAsia"/>
                <w:szCs w:val="21"/>
                <w:lang w:val="zh-CN"/>
              </w:rPr>
              <w:t>投标报价是否超出谈判文件中规定的预算金额，超出预算金额的报价无效。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675" w:type="dxa"/>
            <w:vAlign w:val="center"/>
          </w:tcPr>
          <w:p>
            <w:pPr>
              <w:spacing w:line="360" w:lineRule="auto"/>
              <w:jc w:val="center"/>
              <w:rPr>
                <w:rFonts w:asciiTheme="minorEastAsia" w:hAnsiTheme="minorEastAsia"/>
                <w:b/>
                <w:bCs/>
                <w:szCs w:val="21"/>
              </w:rPr>
            </w:pPr>
            <w:r>
              <w:rPr>
                <w:rFonts w:hint="eastAsia" w:asciiTheme="minorEastAsia" w:hAnsiTheme="minorEastAsia"/>
                <w:b/>
                <w:bCs/>
                <w:szCs w:val="21"/>
              </w:rPr>
              <w:t>11</w:t>
            </w:r>
          </w:p>
        </w:tc>
        <w:tc>
          <w:tcPr>
            <w:tcW w:w="2410" w:type="dxa"/>
            <w:vAlign w:val="center"/>
          </w:tcPr>
          <w:p>
            <w:pPr>
              <w:spacing w:line="360" w:lineRule="auto"/>
              <w:rPr>
                <w:rFonts w:hint="eastAsia" w:asciiTheme="minorEastAsia" w:hAnsiTheme="minorEastAsia" w:eastAsiaTheme="minorEastAsia"/>
                <w:szCs w:val="21"/>
                <w:lang w:eastAsia="zh-CN"/>
              </w:rPr>
            </w:pPr>
            <w:r>
              <w:rPr>
                <w:rFonts w:hint="eastAsia" w:asciiTheme="minorEastAsia" w:hAnsiTheme="minorEastAsia"/>
                <w:b/>
                <w:szCs w:val="21"/>
                <w:lang w:eastAsia="zh-CN"/>
              </w:rPr>
              <w:t>投标承诺函</w:t>
            </w:r>
          </w:p>
        </w:tc>
        <w:tc>
          <w:tcPr>
            <w:tcW w:w="5954" w:type="dxa"/>
            <w:vAlign w:val="center"/>
          </w:tcPr>
          <w:p>
            <w:pPr>
              <w:spacing w:line="360" w:lineRule="auto"/>
              <w:rPr>
                <w:rFonts w:hint="eastAsia" w:asciiTheme="minorEastAsia" w:hAnsiTheme="minorEastAsia" w:eastAsiaTheme="minorEastAsia"/>
                <w:b/>
                <w:szCs w:val="21"/>
                <w:lang w:eastAsia="zh-CN"/>
              </w:rPr>
            </w:pPr>
            <w:r>
              <w:rPr>
                <w:rFonts w:hint="eastAsia" w:asciiTheme="minorEastAsia" w:hAnsiTheme="minorEastAsia"/>
                <w:szCs w:val="21"/>
                <w:lang w:eastAsia="zh-CN"/>
              </w:rPr>
              <w:t>按照谈判文件在谈判响应文件中承诺</w:t>
            </w:r>
            <w:bookmarkStart w:id="81" w:name="_GoBack"/>
            <w:bookmarkEnd w:id="8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675" w:type="dxa"/>
            <w:vAlign w:val="center"/>
          </w:tcPr>
          <w:p>
            <w:pPr>
              <w:spacing w:line="360" w:lineRule="auto"/>
              <w:jc w:val="center"/>
              <w:rPr>
                <w:rFonts w:asciiTheme="minorEastAsia" w:hAnsiTheme="minorEastAsia"/>
                <w:b/>
                <w:szCs w:val="21"/>
              </w:rPr>
            </w:pPr>
            <w:r>
              <w:rPr>
                <w:rFonts w:hint="eastAsia" w:asciiTheme="minorEastAsia" w:hAnsiTheme="minorEastAsia"/>
                <w:b/>
                <w:szCs w:val="21"/>
              </w:rPr>
              <w:t>12</w:t>
            </w:r>
          </w:p>
        </w:tc>
        <w:tc>
          <w:tcPr>
            <w:tcW w:w="2410" w:type="dxa"/>
            <w:vAlign w:val="center"/>
          </w:tcPr>
          <w:p>
            <w:pPr>
              <w:spacing w:line="360" w:lineRule="auto"/>
              <w:rPr>
                <w:rFonts w:asciiTheme="minorEastAsia" w:hAnsiTheme="minorEastAsia"/>
                <w:b/>
                <w:bCs/>
                <w:szCs w:val="21"/>
              </w:rPr>
            </w:pPr>
            <w:r>
              <w:rPr>
                <w:rFonts w:hint="eastAsia" w:asciiTheme="minorEastAsia" w:hAnsiTheme="minorEastAsia"/>
                <w:b/>
                <w:bCs/>
                <w:szCs w:val="21"/>
              </w:rPr>
              <w:t>联合体协议</w:t>
            </w:r>
          </w:p>
        </w:tc>
        <w:tc>
          <w:tcPr>
            <w:tcW w:w="5954" w:type="dxa"/>
          </w:tcPr>
          <w:p>
            <w:pPr>
              <w:spacing w:line="360" w:lineRule="auto"/>
              <w:rPr>
                <w:rFonts w:asciiTheme="minorEastAsia" w:hAnsiTheme="minorEastAsia"/>
                <w:b/>
                <w:bCs/>
                <w:szCs w:val="21"/>
              </w:rPr>
            </w:pPr>
            <w:r>
              <w:rPr>
                <w:rFonts w:hint="eastAsia" w:asciiTheme="minorEastAsia" w:hAnsiTheme="minorEastAsia"/>
                <w:bCs/>
                <w:szCs w:val="21"/>
              </w:rPr>
              <w:t>谈判文件接受联合体投标且供应商为联合体的，供应商应提供本协议；否则无须提供。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75" w:type="dxa"/>
            <w:vAlign w:val="center"/>
          </w:tcPr>
          <w:p>
            <w:pPr>
              <w:spacing w:line="360" w:lineRule="auto"/>
              <w:rPr>
                <w:rFonts w:hint="eastAsia" w:cs="仿宋_GB2312" w:asciiTheme="minorEastAsia" w:hAnsiTheme="minorEastAsia"/>
                <w:szCs w:val="21"/>
                <w:lang w:val="zh-CN"/>
              </w:rPr>
            </w:pPr>
            <w:r>
              <w:rPr>
                <w:rFonts w:hint="eastAsia" w:cs="仿宋_GB2312" w:asciiTheme="minorEastAsia" w:hAnsiTheme="minorEastAsia"/>
                <w:szCs w:val="21"/>
                <w:lang w:val="zh-CN"/>
              </w:rPr>
              <w:t>13</w:t>
            </w:r>
          </w:p>
        </w:tc>
        <w:tc>
          <w:tcPr>
            <w:tcW w:w="2410" w:type="dxa"/>
            <w:vAlign w:val="center"/>
          </w:tcPr>
          <w:p>
            <w:pPr>
              <w:spacing w:line="360" w:lineRule="auto"/>
              <w:rPr>
                <w:rFonts w:hint="eastAsia" w:cs="仿宋_GB2312" w:asciiTheme="minorEastAsia" w:hAnsiTheme="minorEastAsia"/>
                <w:szCs w:val="21"/>
                <w:lang w:val="zh-CN"/>
              </w:rPr>
            </w:pPr>
            <w:r>
              <w:rPr>
                <w:rFonts w:hint="eastAsia" w:cs="仿宋_GB2312" w:asciiTheme="minorEastAsia" w:hAnsiTheme="minorEastAsia"/>
                <w:szCs w:val="21"/>
                <w:lang w:val="zh-CN"/>
              </w:rPr>
              <w:t>供应商身份证明及授权</w:t>
            </w:r>
          </w:p>
        </w:tc>
        <w:tc>
          <w:tcPr>
            <w:tcW w:w="5954" w:type="dxa"/>
          </w:tcPr>
          <w:p>
            <w:pPr>
              <w:spacing w:line="360" w:lineRule="auto"/>
              <w:rPr>
                <w:rFonts w:hint="eastAsia" w:cs="仿宋_GB2312" w:asciiTheme="minorEastAsia" w:hAnsiTheme="minorEastAsia"/>
                <w:szCs w:val="21"/>
                <w:lang w:val="zh-CN"/>
              </w:rPr>
            </w:pPr>
            <w:r>
              <w:rPr>
                <w:rFonts w:hint="eastAsia" w:cs="仿宋_GB2312" w:asciiTheme="minorEastAsia" w:hAnsiTheme="minorEastAsia"/>
                <w:szCs w:val="21"/>
                <w:lang w:val="zh-CN"/>
              </w:rPr>
              <w:t>（1）法定代表人身份证明或提供法定代表人授权委托书及被授权人身份证明和社保证明。（法人提供）</w:t>
            </w:r>
          </w:p>
          <w:p>
            <w:pPr>
              <w:spacing w:line="360" w:lineRule="auto"/>
              <w:rPr>
                <w:rFonts w:hint="eastAsia" w:cs="仿宋_GB2312" w:asciiTheme="minorEastAsia" w:hAnsiTheme="minorEastAsia"/>
                <w:szCs w:val="21"/>
                <w:lang w:val="zh-CN"/>
              </w:rPr>
            </w:pPr>
            <w:r>
              <w:rPr>
                <w:rFonts w:hint="eastAsia" w:cs="仿宋_GB2312" w:asciiTheme="minorEastAsia" w:hAnsiTheme="minorEastAsia"/>
                <w:szCs w:val="21"/>
                <w:lang w:val="zh-CN"/>
              </w:rPr>
              <w:t>（2）单位负责人身份证明或提供单位负责人授权委托书及被授权人身份证明和社保证明。（非法人提供）</w:t>
            </w:r>
          </w:p>
          <w:p>
            <w:pPr>
              <w:spacing w:line="360" w:lineRule="auto"/>
              <w:rPr>
                <w:rFonts w:hint="eastAsia" w:cs="仿宋_GB2312" w:asciiTheme="minorEastAsia" w:hAnsiTheme="minorEastAsia"/>
                <w:szCs w:val="21"/>
                <w:lang w:val="zh-CN"/>
              </w:rPr>
            </w:pPr>
            <w:r>
              <w:rPr>
                <w:rFonts w:hint="eastAsia" w:cs="仿宋_GB2312" w:asciiTheme="minorEastAsia" w:hAnsiTheme="minorEastAsia"/>
                <w:szCs w:val="21"/>
                <w:lang w:val="zh-CN"/>
              </w:rPr>
              <w:t>①企业（银行、保险、石油石化、电力、电信等行业除外）、事业单位和社会团体以法人身份参加谈判的，法定代表人应与实际提交的“营业执照等证明文件”载明的一致。</w:t>
            </w:r>
          </w:p>
          <w:p>
            <w:pPr>
              <w:spacing w:line="360" w:lineRule="auto"/>
              <w:rPr>
                <w:rFonts w:hint="eastAsia" w:cs="仿宋_GB2312" w:asciiTheme="minorEastAsia" w:hAnsiTheme="minorEastAsia"/>
                <w:szCs w:val="21"/>
                <w:lang w:val="zh-CN"/>
              </w:rPr>
            </w:pPr>
            <w:r>
              <w:rPr>
                <w:rFonts w:hint="eastAsia" w:cs="仿宋_GB2312" w:asciiTheme="minorEastAsia" w:hAnsiTheme="minorEastAsia"/>
                <w:szCs w:val="21"/>
                <w:lang w:val="zh-CN"/>
              </w:rPr>
              <w:t>②银行、保险、石油石化、电力、电信等行业：以法人身份参加谈判的，法定代表人应与实际提交的“营业执照等证明文件”载明的一致；以非法人身份参加谈判的，“单位负责人”指代表单位行使职权的主要负责人，应与实际提交的“营业执照等证明文件”载明的一致。</w:t>
            </w:r>
          </w:p>
          <w:p>
            <w:pPr>
              <w:spacing w:line="360" w:lineRule="auto"/>
              <w:rPr>
                <w:rFonts w:hint="eastAsia" w:cs="仿宋_GB2312" w:asciiTheme="minorEastAsia" w:hAnsiTheme="minorEastAsia"/>
                <w:szCs w:val="21"/>
                <w:lang w:val="zh-CN"/>
              </w:rPr>
            </w:pPr>
            <w:r>
              <w:rPr>
                <w:rFonts w:hint="eastAsia" w:cs="仿宋_GB2312" w:asciiTheme="minorEastAsia" w:hAnsiTheme="minorEastAsia"/>
                <w:szCs w:val="21"/>
                <w:lang w:val="zh-CN"/>
              </w:rPr>
              <w:t>③供应商为自然人的，无需填写法定代表人授权书。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75" w:type="dxa"/>
            <w:vAlign w:val="center"/>
          </w:tcPr>
          <w:p>
            <w:pPr>
              <w:spacing w:line="360" w:lineRule="auto"/>
              <w:contextualSpacing/>
              <w:jc w:val="center"/>
              <w:rPr>
                <w:rFonts w:asciiTheme="minorEastAsia" w:hAnsiTheme="minorEastAsia"/>
                <w:b/>
                <w:szCs w:val="21"/>
              </w:rPr>
            </w:pPr>
            <w:r>
              <w:rPr>
                <w:rFonts w:hint="eastAsia" w:asciiTheme="minorEastAsia" w:hAnsiTheme="minorEastAsia"/>
                <w:b/>
                <w:szCs w:val="21"/>
              </w:rPr>
              <w:t>14</w:t>
            </w:r>
          </w:p>
        </w:tc>
        <w:tc>
          <w:tcPr>
            <w:tcW w:w="2410" w:type="dxa"/>
            <w:vAlign w:val="center"/>
          </w:tcPr>
          <w:p>
            <w:pPr>
              <w:spacing w:line="360" w:lineRule="auto"/>
              <w:rPr>
                <w:rFonts w:asciiTheme="minorEastAsia" w:hAnsiTheme="minorEastAsia"/>
                <w:b/>
                <w:bCs/>
                <w:szCs w:val="21"/>
              </w:rPr>
            </w:pPr>
            <w:r>
              <w:rPr>
                <w:rFonts w:hint="eastAsia" w:asciiTheme="minorEastAsia" w:hAnsiTheme="minorEastAsia"/>
                <w:b/>
                <w:bCs/>
                <w:szCs w:val="21"/>
              </w:rPr>
              <w:t>单位负责人为同一人或者存在直接控股、管理关系的不同供应商，不得参加同一合同项下的政府采购活动</w:t>
            </w:r>
          </w:p>
        </w:tc>
        <w:tc>
          <w:tcPr>
            <w:tcW w:w="5954" w:type="dxa"/>
          </w:tcPr>
          <w:p>
            <w:pPr>
              <w:spacing w:line="360" w:lineRule="auto"/>
              <w:rPr>
                <w:rFonts w:cs="仿宋_GB2312" w:asciiTheme="minorEastAsia" w:hAnsiTheme="minorEastAsia"/>
                <w:szCs w:val="21"/>
                <w:lang w:val="zh-CN"/>
              </w:rPr>
            </w:pPr>
            <w:r>
              <w:rPr>
                <w:rFonts w:hint="eastAsia" w:cs="仿宋_GB2312" w:asciiTheme="minorEastAsia" w:hAnsiTheme="minorEastAsia"/>
                <w:szCs w:val="21"/>
                <w:lang w:val="zh-CN"/>
              </w:rPr>
              <w:t>供应商提供与参加本项目投标的其他供应商之间，单位负责人不为同一人并且不存在直接控股、管理关系承诺函（承诺函格式自拟）。</w:t>
            </w:r>
          </w:p>
          <w:p>
            <w:pPr>
              <w:spacing w:line="360" w:lineRule="auto"/>
              <w:rPr>
                <w:rFonts w:cs="仿宋_GB2312" w:asciiTheme="minorEastAsia" w:hAnsiTheme="minorEastAsia"/>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75" w:type="dxa"/>
            <w:vAlign w:val="center"/>
          </w:tcPr>
          <w:p>
            <w:pPr>
              <w:spacing w:line="360" w:lineRule="auto"/>
              <w:contextualSpacing/>
              <w:jc w:val="center"/>
              <w:rPr>
                <w:rFonts w:asciiTheme="minorEastAsia" w:hAnsiTheme="minorEastAsia"/>
                <w:b/>
                <w:szCs w:val="21"/>
              </w:rPr>
            </w:pPr>
            <w:r>
              <w:rPr>
                <w:rFonts w:hint="eastAsia" w:asciiTheme="minorEastAsia" w:hAnsiTheme="minorEastAsia"/>
                <w:b/>
                <w:szCs w:val="21"/>
              </w:rPr>
              <w:t>15</w:t>
            </w:r>
          </w:p>
        </w:tc>
        <w:tc>
          <w:tcPr>
            <w:tcW w:w="2410" w:type="dxa"/>
            <w:vAlign w:val="center"/>
          </w:tcPr>
          <w:p>
            <w:pPr>
              <w:spacing w:line="360" w:lineRule="auto"/>
              <w:rPr>
                <w:rFonts w:asciiTheme="minorEastAsia" w:hAnsiTheme="minorEastAsia"/>
                <w:b/>
                <w:bCs/>
                <w:szCs w:val="21"/>
              </w:rPr>
            </w:pPr>
            <w:r>
              <w:rPr>
                <w:rFonts w:hint="eastAsia" w:asciiTheme="minorEastAsia" w:hAnsiTheme="minorEastAsia"/>
                <w:b/>
                <w:bCs/>
                <w:szCs w:val="21"/>
              </w:rPr>
              <w:t>为本项目提供整体设计、规范编制或者项目管理、监理、检测等服务的供应商不得参加本项目投标</w:t>
            </w:r>
          </w:p>
        </w:tc>
        <w:tc>
          <w:tcPr>
            <w:tcW w:w="5954" w:type="dxa"/>
          </w:tcPr>
          <w:p>
            <w:pPr>
              <w:spacing w:line="360" w:lineRule="auto"/>
              <w:rPr>
                <w:rFonts w:cs="仿宋_GB2312" w:asciiTheme="minorEastAsia" w:hAnsiTheme="minorEastAsia"/>
                <w:szCs w:val="21"/>
                <w:lang w:val="zh-CN"/>
              </w:rPr>
            </w:pPr>
            <w:r>
              <w:rPr>
                <w:rFonts w:hint="eastAsia" w:cs="仿宋_GB2312" w:asciiTheme="minorEastAsia" w:hAnsiTheme="minorEastAsia"/>
                <w:szCs w:val="21"/>
                <w:lang w:val="zh-CN"/>
              </w:rPr>
              <w:t>供应商提供未为本项目提供整体设计、规范编制或者项目管理、监理、检测等服务承诺函（承诺函格式自拟）。</w:t>
            </w:r>
          </w:p>
          <w:p>
            <w:pPr>
              <w:spacing w:line="360" w:lineRule="auto"/>
              <w:rPr>
                <w:rFonts w:asciiTheme="minorEastAsia" w:hAnsiTheme="minorEastAsia"/>
                <w:bCs/>
                <w:szCs w:val="21"/>
              </w:rPr>
            </w:pPr>
          </w:p>
        </w:tc>
      </w:tr>
    </w:tbl>
    <w:p>
      <w:pPr>
        <w:pStyle w:val="14"/>
        <w:spacing w:line="360" w:lineRule="auto"/>
        <w:ind w:firstLine="482" w:firstLineChars="200"/>
        <w:contextualSpacing/>
        <w:rPr>
          <w:rFonts w:cs="仿宋_GB2312" w:asciiTheme="minorEastAsia" w:hAnsiTheme="minorEastAsia" w:eastAsiaTheme="minorEastAsia"/>
          <w:b/>
          <w:szCs w:val="24"/>
          <w:lang w:val="zh-CN"/>
        </w:rPr>
      </w:pPr>
    </w:p>
    <w:p>
      <w:pPr>
        <w:pStyle w:val="14"/>
        <w:spacing w:line="360" w:lineRule="auto"/>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二、评审</w:t>
      </w:r>
    </w:p>
    <w:p>
      <w:pPr>
        <w:pStyle w:val="14"/>
        <w:spacing w:line="360" w:lineRule="auto"/>
        <w:ind w:firstLine="422" w:firstLineChars="200"/>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（一）评审方法</w:t>
      </w:r>
    </w:p>
    <w:p>
      <w:pPr>
        <w:pStyle w:val="14"/>
        <w:spacing w:line="360" w:lineRule="auto"/>
        <w:ind w:firstLine="420" w:firstLineChars="200"/>
        <w:contextualSpacing/>
        <w:jc w:val="left"/>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所有谈判和最终报价结束后，由谈判小组根据最终报价文件，对最终报价文件进行评审，从质量和服务均能满足采购文件实质性响应要求的供应商中，按照最后报价由低到高的顺序提出</w:t>
      </w:r>
      <w:r>
        <w:rPr>
          <w:rFonts w:cs="仿宋_GB2312" w:asciiTheme="minorEastAsia" w:hAnsiTheme="minorEastAsia" w:eastAsiaTheme="minorEastAsia"/>
          <w:sz w:val="21"/>
          <w:szCs w:val="21"/>
          <w:lang w:val="zh-CN"/>
        </w:rPr>
        <w:t>3</w:t>
      </w:r>
      <w:r>
        <w:rPr>
          <w:rFonts w:hint="eastAsia" w:cs="仿宋_GB2312" w:asciiTheme="minorEastAsia" w:hAnsiTheme="minorEastAsia" w:eastAsiaTheme="minorEastAsia"/>
          <w:sz w:val="21"/>
          <w:szCs w:val="21"/>
          <w:lang w:val="zh-CN"/>
        </w:rPr>
        <w:t>名成交候选人。根据规定</w:t>
      </w:r>
      <w:r>
        <w:rPr>
          <w:rFonts w:cs="仿宋_GB2312" w:asciiTheme="minorEastAsia" w:hAnsiTheme="minorEastAsia" w:eastAsiaTheme="minorEastAsia"/>
          <w:sz w:val="21"/>
          <w:szCs w:val="21"/>
          <w:lang w:val="zh-CN"/>
        </w:rPr>
        <w:t>,</w:t>
      </w:r>
      <w:r>
        <w:rPr>
          <w:rFonts w:hint="eastAsia" w:cs="仿宋_GB2312" w:asciiTheme="minorEastAsia" w:hAnsiTheme="minorEastAsia" w:eastAsiaTheme="minorEastAsia"/>
          <w:sz w:val="21"/>
          <w:szCs w:val="21"/>
          <w:lang w:val="zh-CN"/>
        </w:rPr>
        <w:t>采购人按照成交候选人排名顺序确定成交供应商。</w:t>
      </w:r>
    </w:p>
    <w:p>
      <w:pPr>
        <w:pStyle w:val="14"/>
        <w:spacing w:line="360" w:lineRule="auto"/>
        <w:ind w:firstLine="422" w:firstLineChars="200"/>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（二）落实政府采购政策及强制性认证</w:t>
      </w:r>
    </w:p>
    <w:p>
      <w:pPr>
        <w:pStyle w:val="14"/>
        <w:spacing w:line="360" w:lineRule="auto"/>
        <w:ind w:firstLine="422" w:firstLineChars="200"/>
        <w:contextualSpacing/>
        <w:jc w:val="left"/>
        <w:rPr>
          <w:rFonts w:cs="仿宋_GB2312" w:asciiTheme="minorEastAsia" w:hAnsiTheme="minorEastAsia"/>
          <w:sz w:val="21"/>
          <w:szCs w:val="21"/>
          <w:lang w:val="zh-CN"/>
        </w:rPr>
      </w:pPr>
      <w:r>
        <w:rPr>
          <w:rFonts w:hint="eastAsia" w:cs="仿宋_GB2312" w:asciiTheme="minorEastAsia" w:hAnsiTheme="minorEastAsia" w:eastAsiaTheme="minorEastAsia"/>
          <w:b/>
          <w:sz w:val="21"/>
          <w:szCs w:val="21"/>
          <w:lang w:val="zh-CN"/>
        </w:rPr>
        <w:t>1、</w:t>
      </w:r>
      <w:r>
        <w:rPr>
          <w:rFonts w:cs="仿宋_GB2312" w:asciiTheme="minorEastAsia" w:hAnsiTheme="minorEastAsia" w:eastAsiaTheme="minorEastAsia"/>
          <w:b/>
          <w:sz w:val="21"/>
          <w:szCs w:val="21"/>
          <w:lang w:val="zh-CN"/>
        </w:rPr>
        <w:t>因落实政府采购政策进行价格调整的，以调整后的价格计算报价。</w:t>
      </w:r>
    </w:p>
    <w:p>
      <w:pPr>
        <w:pStyle w:val="14"/>
        <w:spacing w:line="360" w:lineRule="auto"/>
        <w:ind w:firstLine="420" w:firstLineChars="200"/>
        <w:contextualSpacing/>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1）如果本项目非专门面向中小企业采购，对小型和微型企业产品的价格给予6%的扣除，用扣除后的价格参与评审。如果本项目非专门面向中小企业采购且接受联合体响应，联合协议中约定小型或微型企业的协议合同金额占到联合体协议合同总金额30%以上的，给予联合体2%的价格扣除，用扣除后的价格参与评审。联合体各方均为小型或微型企业的，联合体视同为小型、微型企业。组成联合体的大中型企业或者其他自然人、法人或其他组织，与小型、微型企业之间不得存在投资关系。中小企业响应应提供《中小企业声明函》，如为联合响应的，联合体各方需分别填写《中小企业声明函》。</w:t>
      </w:r>
    </w:p>
    <w:p>
      <w:pPr>
        <w:pStyle w:val="14"/>
        <w:spacing w:line="360" w:lineRule="auto"/>
        <w:ind w:firstLine="420" w:firstLineChars="200"/>
        <w:contextualSpacing/>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小型和微型企业不包含民办非企业单位。</w:t>
      </w:r>
    </w:p>
    <w:p>
      <w:pPr>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（2）监狱企业视同小型、微型企业，对监狱企业价格给予6%的扣除，用扣除后的价格参与评审。监狱企业应当提供由省级以上监狱管理局、戒毒管理局(含新疆生产建设兵团)出具的属于监狱企业的证明文件。</w:t>
      </w:r>
    </w:p>
    <w:p>
      <w:pPr>
        <w:pStyle w:val="14"/>
        <w:spacing w:line="360" w:lineRule="auto"/>
        <w:ind w:firstLine="420" w:firstLineChars="200"/>
        <w:contextualSpacing/>
        <w:rPr>
          <w:rFonts w:asciiTheme="minorEastAsia" w:hAnsiTheme="minorEastAsia" w:eastAsiaTheme="minorEastAsia"/>
          <w:color w:val="000000"/>
          <w:sz w:val="21"/>
          <w:szCs w:val="21"/>
        </w:rPr>
      </w:pPr>
      <w:r>
        <w:rPr>
          <w:rFonts w:hint="eastAsia" w:cs="仿宋_GB2312" w:asciiTheme="minorEastAsia" w:hAnsiTheme="minorEastAsia" w:eastAsiaTheme="minorEastAsia"/>
          <w:sz w:val="21"/>
          <w:szCs w:val="21"/>
          <w:lang w:val="zh-CN"/>
        </w:rPr>
        <w:t>（3）残疾人福利性单位视同小型、微型企业，对残疾人福利性单位提供本单位制造的货物、承担的工程或者服务，或者提供其他残疾人福利性单位制造的货物（不包括使用非残疾人福利性单位注册商标的货物）价格给予6%的扣除，用扣除后的价格参与评审。符合条件的残疾人福利性单位在参加政府采购活动时，应当提供《三部门联合发布关于促进残疾人就业政府采购政策的通知》规定的《残疾人福利性单位声明函》，并对声明的真实性负责。</w:t>
      </w:r>
      <w:r>
        <w:rPr>
          <w:rFonts w:hint="eastAsia" w:asciiTheme="minorEastAsia" w:hAnsiTheme="minorEastAsia" w:eastAsiaTheme="minorEastAsia"/>
          <w:color w:val="000000"/>
          <w:sz w:val="21"/>
          <w:szCs w:val="21"/>
        </w:rPr>
        <w:t>残疾人福利性单位属于小型、微型企业的，不重复享受政策。</w:t>
      </w:r>
    </w:p>
    <w:p>
      <w:pPr>
        <w:spacing w:line="360" w:lineRule="auto"/>
        <w:ind w:firstLine="422" w:firstLineChars="200"/>
        <w:rPr>
          <w:rFonts w:cs="仿宋_GB2312" w:asciiTheme="minorEastAsia" w:hAnsiTheme="minorEastAsia"/>
          <w:b/>
          <w:szCs w:val="21"/>
          <w:lang w:val="zh-CN"/>
        </w:rPr>
      </w:pPr>
      <w:r>
        <w:rPr>
          <w:rFonts w:hint="eastAsia" w:cs="仿宋_GB2312" w:asciiTheme="minorEastAsia" w:hAnsiTheme="minorEastAsia"/>
          <w:b/>
          <w:szCs w:val="21"/>
          <w:lang w:val="zh-CN"/>
        </w:rPr>
        <w:t>落实政府采购政策计算报价</w:t>
      </w:r>
    </w:p>
    <w:tbl>
      <w:tblPr>
        <w:tblStyle w:val="24"/>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823"/>
        <w:gridCol w:w="2552"/>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721" w:type="dxa"/>
            <w:vAlign w:val="center"/>
          </w:tcPr>
          <w:p>
            <w:pPr>
              <w:jc w:val="center"/>
              <w:rPr>
                <w:rFonts w:ascii="宋体" w:hAnsi="宋体"/>
                <w:b/>
                <w:color w:val="000000"/>
                <w:szCs w:val="21"/>
                <w:lang w:val="en-GB"/>
              </w:rPr>
            </w:pPr>
            <w:r>
              <w:rPr>
                <w:rFonts w:hint="eastAsia" w:ascii="宋体" w:hAnsi="宋体"/>
                <w:b/>
                <w:color w:val="000000"/>
                <w:szCs w:val="21"/>
                <w:lang w:val="en-GB"/>
              </w:rPr>
              <w:t>序号</w:t>
            </w:r>
          </w:p>
        </w:tc>
        <w:tc>
          <w:tcPr>
            <w:tcW w:w="2823" w:type="dxa"/>
            <w:vAlign w:val="center"/>
          </w:tcPr>
          <w:p>
            <w:pPr>
              <w:jc w:val="center"/>
              <w:rPr>
                <w:rFonts w:ascii="宋体" w:hAnsi="宋体"/>
                <w:b/>
                <w:color w:val="000000"/>
                <w:szCs w:val="21"/>
                <w:lang w:val="en-GB"/>
              </w:rPr>
            </w:pPr>
            <w:r>
              <w:rPr>
                <w:rFonts w:hint="eastAsia" w:ascii="宋体" w:hAnsi="宋体"/>
                <w:b/>
                <w:color w:val="000000"/>
                <w:szCs w:val="21"/>
                <w:lang w:val="en-GB"/>
              </w:rPr>
              <w:t>情形</w:t>
            </w:r>
          </w:p>
        </w:tc>
        <w:tc>
          <w:tcPr>
            <w:tcW w:w="2552" w:type="dxa"/>
            <w:vAlign w:val="center"/>
          </w:tcPr>
          <w:p>
            <w:pPr>
              <w:jc w:val="center"/>
              <w:rPr>
                <w:rFonts w:ascii="宋体" w:hAnsi="宋体"/>
                <w:b/>
                <w:color w:val="000000"/>
                <w:szCs w:val="21"/>
                <w:lang w:val="en-GB"/>
              </w:rPr>
            </w:pPr>
            <w:r>
              <w:rPr>
                <w:rFonts w:hint="eastAsia" w:ascii="宋体" w:hAnsi="宋体"/>
                <w:b/>
                <w:color w:val="000000"/>
                <w:szCs w:val="21"/>
              </w:rPr>
              <w:t>价格扣除</w:t>
            </w:r>
            <w:r>
              <w:rPr>
                <w:rFonts w:hint="eastAsia" w:ascii="宋体" w:hAnsi="宋体"/>
                <w:b/>
                <w:color w:val="000000"/>
                <w:szCs w:val="21"/>
                <w:lang w:val="en-GB"/>
              </w:rPr>
              <w:t>比例</w:t>
            </w:r>
          </w:p>
        </w:tc>
        <w:tc>
          <w:tcPr>
            <w:tcW w:w="2835" w:type="dxa"/>
            <w:vAlign w:val="center"/>
          </w:tcPr>
          <w:p>
            <w:pPr>
              <w:jc w:val="center"/>
              <w:rPr>
                <w:rFonts w:ascii="宋体" w:hAnsi="宋体"/>
                <w:b/>
                <w:color w:val="000000"/>
                <w:szCs w:val="21"/>
                <w:lang w:val="en-GB"/>
              </w:rPr>
            </w:pPr>
            <w:r>
              <w:rPr>
                <w:rFonts w:hint="eastAsia" w:ascii="宋体" w:hAnsi="宋体"/>
                <w:b/>
                <w:color w:val="000000"/>
                <w:szCs w:val="21"/>
                <w:lang w:val="en-GB"/>
              </w:rPr>
              <w:t>计算公式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1" w:hRule="atLeast"/>
        </w:trPr>
        <w:tc>
          <w:tcPr>
            <w:tcW w:w="721" w:type="dxa"/>
            <w:vAlign w:val="center"/>
          </w:tcPr>
          <w:p>
            <w:pPr>
              <w:jc w:val="center"/>
              <w:rPr>
                <w:rFonts w:ascii="宋体" w:hAnsi="宋体"/>
                <w:b/>
                <w:color w:val="000000"/>
                <w:szCs w:val="21"/>
                <w:lang w:val="en-GB"/>
              </w:rPr>
            </w:pPr>
            <w:r>
              <w:rPr>
                <w:rFonts w:hint="eastAsia" w:ascii="宋体" w:hAnsi="宋体"/>
                <w:b/>
                <w:color w:val="000000"/>
                <w:szCs w:val="21"/>
                <w:lang w:val="en-GB"/>
              </w:rPr>
              <w:t>1</w:t>
            </w:r>
          </w:p>
        </w:tc>
        <w:tc>
          <w:tcPr>
            <w:tcW w:w="2823" w:type="dxa"/>
            <w:vAlign w:val="center"/>
          </w:tcPr>
          <w:p>
            <w:pPr>
              <w:jc w:val="center"/>
              <w:rPr>
                <w:rFonts w:ascii="宋体" w:hAnsi="宋体"/>
                <w:b/>
                <w:color w:val="000000"/>
                <w:szCs w:val="21"/>
                <w:lang w:val="en-GB"/>
              </w:rPr>
            </w:pPr>
            <w:r>
              <w:rPr>
                <w:rFonts w:hint="eastAsia" w:ascii="宋体" w:hAnsi="宋体"/>
                <w:color w:val="000000"/>
                <w:szCs w:val="21"/>
                <w:lang w:val="en-GB"/>
              </w:rPr>
              <w:t>非联合体供应商</w:t>
            </w:r>
          </w:p>
        </w:tc>
        <w:tc>
          <w:tcPr>
            <w:tcW w:w="2552" w:type="dxa"/>
            <w:vAlign w:val="center"/>
          </w:tcPr>
          <w:p>
            <w:pPr>
              <w:jc w:val="center"/>
              <w:rPr>
                <w:rFonts w:ascii="宋体" w:hAnsi="宋体"/>
                <w:b/>
                <w:szCs w:val="21"/>
                <w:lang w:val="en-GB"/>
              </w:rPr>
            </w:pPr>
            <w:r>
              <w:rPr>
                <w:rFonts w:hint="eastAsia" w:ascii="宋体" w:hAnsi="宋体"/>
                <w:color w:val="000000"/>
                <w:szCs w:val="21"/>
              </w:rPr>
              <w:t>对小型和微型企业产品的价格扣除</w:t>
            </w:r>
            <w:r>
              <w:rPr>
                <w:rFonts w:ascii="宋体" w:hAnsi="宋体"/>
                <w:szCs w:val="21"/>
                <w:u w:val="single"/>
              </w:rPr>
              <w:t>6</w:t>
            </w:r>
            <w:r>
              <w:rPr>
                <w:rFonts w:hint="eastAsia" w:ascii="宋体" w:hAnsi="宋体"/>
                <w:szCs w:val="21"/>
              </w:rPr>
              <w:t>%</w:t>
            </w:r>
          </w:p>
        </w:tc>
        <w:tc>
          <w:tcPr>
            <w:tcW w:w="2835" w:type="dxa"/>
            <w:vMerge w:val="restart"/>
            <w:shd w:val="clear" w:color="auto" w:fill="auto"/>
            <w:vAlign w:val="center"/>
          </w:tcPr>
          <w:p>
            <w:pPr>
              <w:jc w:val="center"/>
              <w:rPr>
                <w:color w:val="000000"/>
                <w:szCs w:val="21"/>
                <w:lang w:val="en-GB"/>
              </w:rPr>
            </w:pPr>
            <w:r>
              <w:rPr>
                <w:rFonts w:hint="eastAsia"/>
                <w:color w:val="000000"/>
                <w:szCs w:val="21"/>
                <w:lang w:val="en-GB"/>
              </w:rPr>
              <w:t>评审价格＝响应最终报价—</w:t>
            </w:r>
            <w:r>
              <w:rPr>
                <w:rFonts w:hint="eastAsia"/>
                <w:color w:val="000000"/>
                <w:szCs w:val="21"/>
              </w:rPr>
              <w:t>小型和微型企业产品的价格</w:t>
            </w:r>
            <w:r>
              <w:rPr>
                <w:rFonts w:hint="eastAsia" w:ascii="宋体" w:hAnsi="宋体"/>
                <w:color w:val="000000"/>
                <w:szCs w:val="21"/>
                <w:lang w:val="en-GB"/>
              </w:rPr>
              <w:t>×</w:t>
            </w:r>
            <w:r>
              <w:rPr>
                <w:rFonts w:hint="eastAsia"/>
                <w:color w:val="000000"/>
                <w:szCs w:val="21"/>
                <w:lang w:val="en-GB"/>
              </w:rPr>
              <w:t>6%</w:t>
            </w:r>
          </w:p>
          <w:p>
            <w:pPr>
              <w:jc w:val="center"/>
              <w:rPr>
                <w:rFonts w:ascii="宋体" w:hAnsi="宋体"/>
                <w:b/>
                <w:color w:val="000000"/>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721" w:type="dxa"/>
            <w:vAlign w:val="center"/>
          </w:tcPr>
          <w:p>
            <w:pPr>
              <w:jc w:val="center"/>
              <w:rPr>
                <w:rFonts w:ascii="宋体" w:hAnsi="宋体"/>
                <w:b/>
                <w:color w:val="000000"/>
                <w:szCs w:val="21"/>
                <w:lang w:val="en-GB"/>
              </w:rPr>
            </w:pPr>
            <w:r>
              <w:rPr>
                <w:rFonts w:hint="eastAsia" w:ascii="宋体" w:hAnsi="宋体"/>
                <w:b/>
                <w:color w:val="000000"/>
                <w:szCs w:val="21"/>
                <w:lang w:val="en-GB"/>
              </w:rPr>
              <w:t>2</w:t>
            </w:r>
          </w:p>
        </w:tc>
        <w:tc>
          <w:tcPr>
            <w:tcW w:w="2823" w:type="dxa"/>
            <w:vAlign w:val="center"/>
          </w:tcPr>
          <w:p>
            <w:pPr>
              <w:jc w:val="center"/>
              <w:rPr>
                <w:rFonts w:ascii="宋体" w:hAnsi="宋体"/>
                <w:b/>
                <w:color w:val="000000"/>
                <w:szCs w:val="21"/>
              </w:rPr>
            </w:pPr>
            <w:r>
              <w:rPr>
                <w:rFonts w:hint="eastAsia" w:ascii="宋体" w:hAnsi="宋体"/>
                <w:color w:val="000000"/>
                <w:szCs w:val="21"/>
                <w:lang w:val="en-GB"/>
              </w:rPr>
              <w:t>联合体各方均为小型、微型企业</w:t>
            </w:r>
          </w:p>
        </w:tc>
        <w:tc>
          <w:tcPr>
            <w:tcW w:w="2552" w:type="dxa"/>
            <w:vAlign w:val="center"/>
          </w:tcPr>
          <w:p>
            <w:pPr>
              <w:jc w:val="center"/>
              <w:rPr>
                <w:rFonts w:ascii="宋体" w:hAnsi="宋体"/>
                <w:szCs w:val="21"/>
              </w:rPr>
            </w:pPr>
            <w:r>
              <w:rPr>
                <w:rFonts w:hint="eastAsia" w:ascii="宋体" w:hAnsi="宋体"/>
                <w:color w:val="000000"/>
                <w:szCs w:val="21"/>
              </w:rPr>
              <w:t>对小型和微型企业产品的价格扣除</w:t>
            </w:r>
            <w:r>
              <w:rPr>
                <w:rFonts w:ascii="宋体" w:hAnsi="宋体"/>
                <w:szCs w:val="21"/>
                <w:u w:val="single"/>
              </w:rPr>
              <w:t>6</w:t>
            </w:r>
            <w:r>
              <w:rPr>
                <w:rFonts w:hint="eastAsia" w:ascii="宋体" w:hAnsi="宋体"/>
                <w:szCs w:val="21"/>
              </w:rPr>
              <w:t>%</w:t>
            </w:r>
          </w:p>
          <w:p>
            <w:pPr>
              <w:jc w:val="center"/>
              <w:rPr>
                <w:rFonts w:ascii="宋体" w:hAnsi="宋体"/>
                <w:b/>
                <w:szCs w:val="21"/>
                <w:lang w:val="en-GB"/>
              </w:rPr>
            </w:pPr>
            <w:r>
              <w:rPr>
                <w:rFonts w:hint="eastAsia" w:ascii="宋体" w:hAnsi="宋体"/>
                <w:szCs w:val="21"/>
              </w:rPr>
              <w:t>（不再享受序号3的价格折扣）</w:t>
            </w:r>
          </w:p>
        </w:tc>
        <w:tc>
          <w:tcPr>
            <w:tcW w:w="2835" w:type="dxa"/>
            <w:vMerge w:val="continue"/>
            <w:shd w:val="clear" w:color="auto" w:fill="auto"/>
          </w:tcPr>
          <w:p>
            <w:pPr>
              <w:rPr>
                <w:rFonts w:ascii="宋体" w:hAnsi="宋体"/>
                <w:color w:val="000000"/>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trPr>
        <w:tc>
          <w:tcPr>
            <w:tcW w:w="721" w:type="dxa"/>
            <w:vAlign w:val="center"/>
          </w:tcPr>
          <w:p>
            <w:pPr>
              <w:jc w:val="center"/>
              <w:rPr>
                <w:rFonts w:ascii="宋体" w:hAnsi="宋体"/>
                <w:b/>
                <w:color w:val="000000"/>
                <w:szCs w:val="21"/>
                <w:lang w:val="en-GB"/>
              </w:rPr>
            </w:pPr>
            <w:r>
              <w:rPr>
                <w:rFonts w:hint="eastAsia" w:ascii="宋体" w:hAnsi="宋体"/>
                <w:b/>
                <w:color w:val="000000"/>
                <w:szCs w:val="21"/>
                <w:lang w:val="en-GB"/>
              </w:rPr>
              <w:t>3</w:t>
            </w:r>
          </w:p>
        </w:tc>
        <w:tc>
          <w:tcPr>
            <w:tcW w:w="2823" w:type="dxa"/>
            <w:vAlign w:val="center"/>
          </w:tcPr>
          <w:p>
            <w:pPr>
              <w:jc w:val="center"/>
              <w:rPr>
                <w:rFonts w:ascii="宋体" w:hAnsi="宋体"/>
                <w:b/>
                <w:color w:val="000000"/>
                <w:szCs w:val="21"/>
                <w:lang w:val="en-GB"/>
              </w:rPr>
            </w:pPr>
            <w:r>
              <w:rPr>
                <w:rFonts w:hint="eastAsia" w:ascii="宋体" w:hAnsi="宋体"/>
                <w:color w:val="000000"/>
                <w:szCs w:val="21"/>
                <w:lang w:val="en-GB"/>
              </w:rPr>
              <w:t>联合体一方为小型、微型企业且小型、微型企业协议合同金额占联合体协议合同总金额30%以上的</w:t>
            </w:r>
          </w:p>
        </w:tc>
        <w:tc>
          <w:tcPr>
            <w:tcW w:w="2552" w:type="dxa"/>
            <w:vAlign w:val="center"/>
          </w:tcPr>
          <w:p>
            <w:pPr>
              <w:jc w:val="center"/>
              <w:rPr>
                <w:rFonts w:ascii="宋体" w:hAnsi="宋体"/>
                <w:color w:val="000000"/>
                <w:szCs w:val="21"/>
                <w:lang w:val="en-GB"/>
              </w:rPr>
            </w:pPr>
            <w:r>
              <w:rPr>
                <w:rFonts w:hint="eastAsia" w:ascii="宋体" w:hAnsi="宋体"/>
                <w:color w:val="000000"/>
                <w:szCs w:val="21"/>
                <w:lang w:val="en-GB"/>
              </w:rPr>
              <w:t>对联合体总金额扣除</w:t>
            </w:r>
          </w:p>
          <w:p>
            <w:pPr>
              <w:jc w:val="center"/>
              <w:rPr>
                <w:rFonts w:ascii="宋体" w:hAnsi="宋体"/>
                <w:b/>
                <w:szCs w:val="21"/>
                <w:lang w:val="en-GB"/>
              </w:rPr>
            </w:pPr>
            <w:r>
              <w:rPr>
                <w:rFonts w:ascii="宋体" w:hAnsi="宋体"/>
                <w:szCs w:val="21"/>
                <w:u w:val="single"/>
              </w:rPr>
              <w:t>2</w:t>
            </w:r>
            <w:r>
              <w:rPr>
                <w:rFonts w:hint="eastAsia" w:ascii="宋体" w:hAnsi="宋体"/>
                <w:szCs w:val="21"/>
              </w:rPr>
              <w:t>%</w:t>
            </w:r>
          </w:p>
        </w:tc>
        <w:tc>
          <w:tcPr>
            <w:tcW w:w="2835" w:type="dxa"/>
            <w:shd w:val="clear" w:color="auto" w:fill="auto"/>
            <w:vAlign w:val="center"/>
          </w:tcPr>
          <w:p>
            <w:pPr>
              <w:jc w:val="center"/>
              <w:rPr>
                <w:rFonts w:ascii="宋体" w:hAnsi="宋体"/>
                <w:color w:val="FF0000"/>
                <w:szCs w:val="21"/>
                <w:u w:val="single"/>
              </w:rPr>
            </w:pPr>
            <w:r>
              <w:rPr>
                <w:rFonts w:hint="eastAsia" w:ascii="宋体" w:hAnsi="宋体"/>
                <w:color w:val="000000"/>
                <w:szCs w:val="21"/>
                <w:lang w:val="en-GB"/>
              </w:rPr>
              <w:t>评审价格＝响应最终报价×</w:t>
            </w:r>
            <w:r>
              <w:rPr>
                <w:rFonts w:hint="eastAsia" w:ascii="宋体" w:hAnsi="宋体"/>
                <w:color w:val="000000" w:themeColor="text1"/>
                <w:szCs w:val="21"/>
                <w14:textFill>
                  <w14:solidFill>
                    <w14:schemeClr w14:val="tx1"/>
                  </w14:solidFill>
                </w14:textFill>
              </w:rPr>
              <w:t>(1-</w:t>
            </w:r>
            <w:r>
              <w:rPr>
                <w:rFonts w:ascii="宋体" w:hAnsi="宋体"/>
                <w:color w:val="000000" w:themeColor="text1"/>
                <w:szCs w:val="21"/>
                <w:u w:val="single"/>
                <w14:textFill>
                  <w14:solidFill>
                    <w14:schemeClr w14:val="tx1"/>
                  </w14:solidFill>
                </w14:textFill>
              </w:rPr>
              <w:t>2</w:t>
            </w:r>
            <w:r>
              <w:rPr>
                <w:rFonts w:hint="eastAsia" w:ascii="宋体" w:hAnsi="宋体"/>
                <w:color w:val="000000" w:themeColor="text1"/>
                <w:szCs w:val="21"/>
                <w:u w:val="single"/>
                <w14:textFill>
                  <w14:solidFill>
                    <w14:schemeClr w14:val="tx1"/>
                  </w14:solidFill>
                </w14:textFill>
              </w:rPr>
              <w:t>%)</w:t>
            </w:r>
          </w:p>
          <w:p>
            <w:pPr>
              <w:jc w:val="center"/>
              <w:rPr>
                <w:rFonts w:ascii="宋体" w:hAnsi="宋体"/>
                <w:b/>
                <w:color w:val="000000"/>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trPr>
        <w:tc>
          <w:tcPr>
            <w:tcW w:w="721" w:type="dxa"/>
            <w:vAlign w:val="center"/>
          </w:tcPr>
          <w:p>
            <w:pPr>
              <w:jc w:val="center"/>
              <w:rPr>
                <w:rFonts w:ascii="宋体" w:hAnsi="宋体"/>
                <w:b/>
                <w:color w:val="000000"/>
                <w:szCs w:val="21"/>
                <w:lang w:val="en-GB"/>
              </w:rPr>
            </w:pPr>
            <w:r>
              <w:rPr>
                <w:rFonts w:hint="eastAsia" w:ascii="宋体" w:hAnsi="宋体"/>
                <w:b/>
                <w:color w:val="000000"/>
                <w:szCs w:val="21"/>
                <w:lang w:val="en-GB"/>
              </w:rPr>
              <w:t>4</w:t>
            </w:r>
          </w:p>
        </w:tc>
        <w:tc>
          <w:tcPr>
            <w:tcW w:w="2823" w:type="dxa"/>
            <w:vAlign w:val="center"/>
          </w:tcPr>
          <w:p>
            <w:pPr>
              <w:jc w:val="center"/>
              <w:rPr>
                <w:rFonts w:ascii="宋体" w:hAnsi="宋体"/>
                <w:color w:val="000000"/>
                <w:szCs w:val="21"/>
                <w:lang w:val="en-GB"/>
              </w:rPr>
            </w:pPr>
            <w:r>
              <w:rPr>
                <w:rFonts w:hint="eastAsia" w:ascii="宋体" w:hAnsi="宋体"/>
                <w:color w:val="000000"/>
                <w:szCs w:val="21"/>
                <w:lang w:val="en-GB"/>
              </w:rPr>
              <w:t>监狱企业</w:t>
            </w:r>
          </w:p>
        </w:tc>
        <w:tc>
          <w:tcPr>
            <w:tcW w:w="2552" w:type="dxa"/>
            <w:vAlign w:val="center"/>
          </w:tcPr>
          <w:p>
            <w:pPr>
              <w:jc w:val="center"/>
              <w:rPr>
                <w:rFonts w:ascii="宋体" w:hAnsi="宋体"/>
                <w:color w:val="000000"/>
                <w:szCs w:val="21"/>
                <w:lang w:val="en-GB"/>
              </w:rPr>
            </w:pPr>
            <w:r>
              <w:rPr>
                <w:rFonts w:hint="eastAsia" w:ascii="宋体" w:hAnsi="宋体"/>
                <w:color w:val="000000"/>
                <w:szCs w:val="21"/>
                <w:lang w:val="en-GB"/>
              </w:rPr>
              <w:t>视同小型、微型企业</w:t>
            </w:r>
          </w:p>
          <w:p>
            <w:pPr>
              <w:jc w:val="center"/>
              <w:rPr>
                <w:rFonts w:ascii="宋体" w:hAnsi="宋体"/>
                <w:color w:val="000000"/>
                <w:szCs w:val="21"/>
                <w:lang w:val="en-GB"/>
              </w:rPr>
            </w:pPr>
            <w:r>
              <w:rPr>
                <w:rFonts w:hint="eastAsia" w:ascii="宋体" w:hAnsi="宋体"/>
                <w:color w:val="000000"/>
                <w:szCs w:val="21"/>
                <w:lang w:val="en-GB"/>
              </w:rPr>
              <w:t>对监狱企业产品价格扣除</w:t>
            </w:r>
            <w:r>
              <w:rPr>
                <w:rFonts w:ascii="宋体" w:hAnsi="宋体"/>
                <w:szCs w:val="21"/>
                <w:u w:val="single"/>
              </w:rPr>
              <w:t>6</w:t>
            </w:r>
            <w:r>
              <w:rPr>
                <w:rFonts w:hint="eastAsia" w:ascii="宋体" w:hAnsi="宋体"/>
                <w:szCs w:val="21"/>
              </w:rPr>
              <w:t>%</w:t>
            </w:r>
          </w:p>
        </w:tc>
        <w:tc>
          <w:tcPr>
            <w:tcW w:w="2835" w:type="dxa"/>
            <w:shd w:val="clear" w:color="auto" w:fill="auto"/>
            <w:vAlign w:val="center"/>
          </w:tcPr>
          <w:p>
            <w:pPr>
              <w:jc w:val="center"/>
              <w:rPr>
                <w:rFonts w:ascii="宋体" w:hAnsi="宋体"/>
                <w:color w:val="000000"/>
                <w:szCs w:val="21"/>
                <w:lang w:val="en-GB"/>
              </w:rPr>
            </w:pPr>
            <w:r>
              <w:rPr>
                <w:rFonts w:hint="eastAsia"/>
                <w:color w:val="000000"/>
                <w:szCs w:val="21"/>
                <w:lang w:val="en-GB"/>
              </w:rPr>
              <w:t>评审价格＝响应最终报价—</w:t>
            </w:r>
            <w:r>
              <w:rPr>
                <w:rFonts w:hint="eastAsia"/>
                <w:color w:val="000000"/>
                <w:szCs w:val="21"/>
              </w:rPr>
              <w:t>监狱企业产品的价格</w:t>
            </w:r>
            <w:r>
              <w:rPr>
                <w:rFonts w:hint="eastAsia" w:ascii="宋体" w:hAnsi="宋体"/>
                <w:color w:val="000000"/>
                <w:szCs w:val="21"/>
                <w:lang w:val="en-GB"/>
              </w:rPr>
              <w:t>×</w:t>
            </w:r>
            <w:r>
              <w:rPr>
                <w:rFonts w:hint="eastAsia"/>
                <w:color w:val="000000"/>
                <w:szCs w:val="21"/>
                <w:lang w:val="en-GB"/>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trPr>
        <w:tc>
          <w:tcPr>
            <w:tcW w:w="721" w:type="dxa"/>
            <w:vAlign w:val="center"/>
          </w:tcPr>
          <w:p>
            <w:pPr>
              <w:jc w:val="center"/>
              <w:rPr>
                <w:rFonts w:ascii="宋体" w:hAnsi="宋体"/>
                <w:b/>
                <w:color w:val="000000"/>
                <w:szCs w:val="21"/>
                <w:lang w:val="en-GB"/>
              </w:rPr>
            </w:pPr>
            <w:r>
              <w:rPr>
                <w:rFonts w:hint="eastAsia" w:ascii="宋体" w:hAnsi="宋体"/>
                <w:b/>
                <w:color w:val="000000"/>
                <w:szCs w:val="21"/>
                <w:lang w:val="en-GB"/>
              </w:rPr>
              <w:t>5</w:t>
            </w:r>
          </w:p>
        </w:tc>
        <w:tc>
          <w:tcPr>
            <w:tcW w:w="2823" w:type="dxa"/>
            <w:vAlign w:val="center"/>
          </w:tcPr>
          <w:p>
            <w:pPr>
              <w:jc w:val="center"/>
              <w:rPr>
                <w:rFonts w:ascii="宋体" w:hAnsi="宋体"/>
                <w:color w:val="000000"/>
                <w:szCs w:val="21"/>
                <w:lang w:val="en-GB"/>
              </w:rPr>
            </w:pPr>
            <w:r>
              <w:rPr>
                <w:rFonts w:hint="eastAsia" w:ascii="宋体" w:hAnsi="宋体"/>
                <w:color w:val="000000"/>
                <w:szCs w:val="21"/>
                <w:lang w:val="en-GB"/>
              </w:rPr>
              <w:t>残疾人福利性单位</w:t>
            </w:r>
          </w:p>
        </w:tc>
        <w:tc>
          <w:tcPr>
            <w:tcW w:w="2552" w:type="dxa"/>
            <w:vAlign w:val="center"/>
          </w:tcPr>
          <w:p>
            <w:pPr>
              <w:jc w:val="center"/>
              <w:rPr>
                <w:rFonts w:ascii="宋体" w:hAnsi="宋体"/>
                <w:color w:val="000000"/>
                <w:szCs w:val="21"/>
                <w:lang w:val="en-GB"/>
              </w:rPr>
            </w:pPr>
            <w:r>
              <w:rPr>
                <w:rFonts w:hint="eastAsia" w:ascii="宋体" w:hAnsi="宋体"/>
                <w:color w:val="000000"/>
                <w:szCs w:val="21"/>
                <w:lang w:val="en-GB"/>
              </w:rPr>
              <w:t>视同小型、微型企业</w:t>
            </w:r>
          </w:p>
          <w:p>
            <w:pPr>
              <w:jc w:val="center"/>
              <w:rPr>
                <w:rFonts w:ascii="宋体" w:hAnsi="宋体"/>
                <w:color w:val="000000"/>
                <w:szCs w:val="21"/>
                <w:lang w:val="en-GB"/>
              </w:rPr>
            </w:pPr>
            <w:r>
              <w:rPr>
                <w:rFonts w:hint="eastAsia" w:ascii="宋体" w:hAnsi="宋体"/>
                <w:color w:val="000000"/>
                <w:szCs w:val="21"/>
                <w:lang w:val="en-GB"/>
              </w:rPr>
              <w:t>对残疾人福利性单位产品价格扣除</w:t>
            </w:r>
            <w:r>
              <w:rPr>
                <w:rFonts w:ascii="宋体" w:hAnsi="宋体"/>
                <w:szCs w:val="21"/>
                <w:u w:val="single"/>
              </w:rPr>
              <w:t>6</w:t>
            </w:r>
            <w:r>
              <w:rPr>
                <w:rFonts w:hint="eastAsia" w:ascii="宋体" w:hAnsi="宋体"/>
                <w:szCs w:val="21"/>
              </w:rPr>
              <w:t>%</w:t>
            </w:r>
          </w:p>
        </w:tc>
        <w:tc>
          <w:tcPr>
            <w:tcW w:w="2835" w:type="dxa"/>
            <w:shd w:val="clear" w:color="auto" w:fill="auto"/>
            <w:vAlign w:val="center"/>
          </w:tcPr>
          <w:p>
            <w:pPr>
              <w:jc w:val="center"/>
              <w:rPr>
                <w:color w:val="000000"/>
                <w:szCs w:val="21"/>
                <w:lang w:val="en-GB"/>
              </w:rPr>
            </w:pPr>
            <w:r>
              <w:rPr>
                <w:rFonts w:hint="eastAsia"/>
                <w:color w:val="000000"/>
                <w:szCs w:val="21"/>
                <w:lang w:val="en-GB"/>
              </w:rPr>
              <w:t>评审价格＝响应最终报价—</w:t>
            </w:r>
            <w:r>
              <w:rPr>
                <w:rFonts w:hint="eastAsia"/>
                <w:color w:val="000000"/>
                <w:szCs w:val="21"/>
              </w:rPr>
              <w:t>残疾人福利性单位产品的价格</w:t>
            </w:r>
            <w:r>
              <w:rPr>
                <w:rFonts w:hint="eastAsia" w:ascii="宋体" w:hAnsi="宋体"/>
                <w:color w:val="000000"/>
                <w:szCs w:val="21"/>
                <w:lang w:val="en-GB"/>
              </w:rPr>
              <w:t>×</w:t>
            </w:r>
            <w:r>
              <w:rPr>
                <w:rFonts w:hint="eastAsia"/>
                <w:color w:val="000000"/>
                <w:szCs w:val="21"/>
                <w:lang w:val="en-GB"/>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82" w:hRule="atLeast"/>
        </w:trPr>
        <w:tc>
          <w:tcPr>
            <w:tcW w:w="8931" w:type="dxa"/>
            <w:gridSpan w:val="4"/>
            <w:vAlign w:val="center"/>
          </w:tcPr>
          <w:p>
            <w:pPr>
              <w:widowControl/>
              <w:adjustRightInd w:val="0"/>
              <w:spacing w:line="360" w:lineRule="auto"/>
              <w:ind w:left="-2" w:leftChars="-1" w:firstLine="420" w:firstLineChars="200"/>
              <w:jc w:val="left"/>
              <w:rPr>
                <w:rFonts w:cs="仿宋_GB2312" w:asciiTheme="minorEastAsia" w:hAnsiTheme="minorEastAsia"/>
                <w:szCs w:val="21"/>
                <w:lang w:val="zh-CN"/>
              </w:rPr>
            </w:pPr>
            <w:r>
              <w:rPr>
                <w:rFonts w:hint="eastAsia" w:cs="仿宋_GB2312" w:asciiTheme="minorEastAsia" w:hAnsiTheme="minorEastAsia"/>
                <w:szCs w:val="21"/>
                <w:lang w:val="zh-CN"/>
              </w:rPr>
              <w:t>1、中小企业应在响应文件提供《中小企业声明函》。监狱企业应当在响应文件中提供由省级以上监狱管理局、戒毒管理局(含新疆生产建设兵团)出具的属于监狱企业的证明文件。残疾人福利性单位应当在响应文件中提供《残疾人福利性单位声明函》。</w:t>
            </w:r>
          </w:p>
          <w:p>
            <w:pPr>
              <w:adjustRightInd w:val="0"/>
              <w:spacing w:line="360" w:lineRule="auto"/>
              <w:ind w:left="-88" w:leftChars="-42" w:firstLine="449" w:firstLineChars="214"/>
              <w:jc w:val="left"/>
              <w:rPr>
                <w:rFonts w:cs="仿宋_GB2312" w:asciiTheme="minorEastAsia" w:hAnsiTheme="minorEastAsia"/>
                <w:szCs w:val="21"/>
                <w:lang w:val="zh-CN"/>
              </w:rPr>
            </w:pPr>
            <w:r>
              <w:rPr>
                <w:rFonts w:hint="eastAsia" w:cs="仿宋_GB2312" w:asciiTheme="minorEastAsia" w:hAnsiTheme="minorEastAsia"/>
                <w:szCs w:val="21"/>
                <w:lang w:val="zh-CN"/>
              </w:rPr>
              <w:t>2、</w:t>
            </w:r>
            <w:r>
              <w:rPr>
                <w:rFonts w:cs="仿宋_GB2312" w:asciiTheme="minorEastAsia" w:hAnsiTheme="minorEastAsia"/>
                <w:szCs w:val="21"/>
                <w:lang w:val="zh-CN"/>
              </w:rPr>
              <w:t>经</w:t>
            </w:r>
            <w:r>
              <w:rPr>
                <w:rFonts w:hint="eastAsia" w:cs="仿宋_GB2312" w:asciiTheme="minorEastAsia" w:hAnsiTheme="minorEastAsia"/>
                <w:szCs w:val="21"/>
                <w:lang w:val="zh-CN"/>
              </w:rPr>
              <w:t>谈判小组审查、评价</w:t>
            </w:r>
            <w:r>
              <w:rPr>
                <w:rFonts w:cs="仿宋_GB2312" w:asciiTheme="minorEastAsia" w:hAnsiTheme="minorEastAsia"/>
                <w:szCs w:val="21"/>
                <w:lang w:val="zh-CN"/>
              </w:rPr>
              <w:t>，</w:t>
            </w:r>
            <w:r>
              <w:rPr>
                <w:rFonts w:hint="eastAsia" w:cs="仿宋_GB2312" w:asciiTheme="minorEastAsia" w:hAnsiTheme="minorEastAsia"/>
                <w:szCs w:val="21"/>
                <w:lang w:val="zh-CN"/>
              </w:rPr>
              <w:t>响应文件符合谈判</w:t>
            </w:r>
            <w:r>
              <w:rPr>
                <w:rFonts w:cs="仿宋_GB2312" w:asciiTheme="minorEastAsia" w:hAnsiTheme="minorEastAsia"/>
                <w:szCs w:val="21"/>
                <w:lang w:val="zh-CN"/>
              </w:rPr>
              <w:t>文件</w:t>
            </w:r>
            <w:r>
              <w:rPr>
                <w:rFonts w:hint="eastAsia" w:cs="仿宋_GB2312" w:asciiTheme="minorEastAsia" w:hAnsiTheme="minorEastAsia"/>
                <w:szCs w:val="21"/>
                <w:lang w:val="zh-CN"/>
              </w:rPr>
              <w:t>实质性</w:t>
            </w:r>
            <w:r>
              <w:rPr>
                <w:rFonts w:cs="仿宋_GB2312" w:asciiTheme="minorEastAsia" w:hAnsiTheme="minorEastAsia"/>
                <w:szCs w:val="21"/>
                <w:lang w:val="zh-CN"/>
              </w:rPr>
              <w:t>要求且</w:t>
            </w:r>
            <w:r>
              <w:rPr>
                <w:rFonts w:hint="eastAsia" w:cs="仿宋_GB2312" w:asciiTheme="minorEastAsia" w:hAnsiTheme="minorEastAsia"/>
                <w:szCs w:val="21"/>
                <w:lang w:val="zh-CN"/>
              </w:rPr>
              <w:t>进行了政策性价格扣除后，</w:t>
            </w:r>
            <w:r>
              <w:rPr>
                <w:rFonts w:cs="仿宋_GB2312" w:asciiTheme="minorEastAsia" w:hAnsiTheme="minorEastAsia"/>
                <w:szCs w:val="21"/>
                <w:lang w:val="zh-CN"/>
              </w:rPr>
              <w:t>以</w:t>
            </w:r>
            <w:r>
              <w:rPr>
                <w:rFonts w:hint="eastAsia" w:cs="仿宋_GB2312" w:asciiTheme="minorEastAsia" w:hAnsiTheme="minorEastAsia"/>
                <w:szCs w:val="21"/>
                <w:lang w:val="zh-CN"/>
              </w:rPr>
              <w:t>评审价格由低到高的顺序提出</w:t>
            </w:r>
            <w:r>
              <w:rPr>
                <w:rFonts w:cs="仿宋_GB2312" w:asciiTheme="minorEastAsia" w:hAnsiTheme="minorEastAsia"/>
                <w:szCs w:val="21"/>
                <w:lang w:val="zh-CN"/>
              </w:rPr>
              <w:t>3</w:t>
            </w:r>
            <w:r>
              <w:rPr>
                <w:rFonts w:hint="eastAsia" w:cs="仿宋_GB2312" w:asciiTheme="minorEastAsia" w:hAnsiTheme="minorEastAsia"/>
                <w:szCs w:val="21"/>
                <w:lang w:val="zh-CN"/>
              </w:rPr>
              <w:t>名成交候选人。</w:t>
            </w:r>
          </w:p>
        </w:tc>
      </w:tr>
    </w:tbl>
    <w:p>
      <w:pPr>
        <w:tabs>
          <w:tab w:val="left" w:pos="1260"/>
        </w:tabs>
        <w:autoSpaceDE w:val="0"/>
        <w:autoSpaceDN w:val="0"/>
        <w:spacing w:line="360" w:lineRule="auto"/>
        <w:contextualSpacing/>
        <w:rPr>
          <w:rFonts w:cs="仿宋_GB2312" w:asciiTheme="minorEastAsia" w:hAnsiTheme="minorEastAsia"/>
          <w:szCs w:val="21"/>
          <w:lang w:val="zh-CN"/>
        </w:rPr>
      </w:pPr>
      <w:r>
        <w:rPr>
          <w:rFonts w:hint="eastAsia" w:cs="仿宋_GB2312" w:asciiTheme="minorEastAsia" w:hAnsiTheme="minorEastAsia"/>
          <w:szCs w:val="21"/>
          <w:lang w:val="zh-CN"/>
        </w:rPr>
        <w:t>备注：</w:t>
      </w:r>
    </w:p>
    <w:p>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a、不接受联合体响应的项目，本表中第2项、第3项情形不适用。</w:t>
      </w:r>
    </w:p>
    <w:p>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b、小型和微型企业产品包括货物及其提供的服务与工程。</w:t>
      </w:r>
    </w:p>
    <w:p>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c、中小企业、残疾人福利性单位提供其他企业制造的货物的，则该货物的制造商也必须为上述企业，否则不能享受价格优惠。</w:t>
      </w:r>
    </w:p>
    <w:p>
      <w:pPr>
        <w:tabs>
          <w:tab w:val="left" w:pos="1260"/>
        </w:tabs>
        <w:autoSpaceDE w:val="0"/>
        <w:autoSpaceDN w:val="0"/>
        <w:spacing w:line="360" w:lineRule="auto"/>
        <w:ind w:firstLine="420" w:firstLineChars="200"/>
        <w:contextualSpacing/>
        <w:rPr>
          <w:rFonts w:ascii="宋体" w:hAnsi="宋体"/>
          <w:bCs/>
          <w:color w:val="FF0000"/>
          <w:szCs w:val="21"/>
          <w:lang w:val="en-GB"/>
        </w:rPr>
      </w:pPr>
      <w:r>
        <w:rPr>
          <w:rFonts w:hint="eastAsia" w:cs="仿宋_GB2312" w:asciiTheme="minorEastAsia" w:hAnsiTheme="minorEastAsia"/>
          <w:szCs w:val="21"/>
          <w:lang w:val="zh-CN"/>
        </w:rPr>
        <w:t>d、残疾人福利性单位属于小型、微型企业的，不重复享受政策</w:t>
      </w:r>
      <w:r>
        <w:rPr>
          <w:rFonts w:hint="eastAsia" w:ascii="宋体" w:hAnsi="宋体"/>
          <w:bCs/>
          <w:color w:val="FF0000"/>
          <w:szCs w:val="21"/>
          <w:lang w:val="en-GB"/>
        </w:rPr>
        <w:t>。</w:t>
      </w:r>
    </w:p>
    <w:p>
      <w:pPr>
        <w:spacing w:line="360" w:lineRule="auto"/>
        <w:ind w:firstLine="420" w:firstLineChars="200"/>
        <w:rPr>
          <w:rFonts w:cs="仿宋_GB2312" w:asciiTheme="minorEastAsia" w:hAnsiTheme="minorEastAsia"/>
          <w:szCs w:val="21"/>
          <w:lang w:val="zh-CN"/>
        </w:rPr>
      </w:pPr>
      <w:r>
        <w:rPr>
          <w:rFonts w:cs="仿宋_GB2312" w:asciiTheme="minorEastAsia" w:hAnsiTheme="minorEastAsia"/>
          <w:szCs w:val="21"/>
          <w:lang w:val="zh-CN"/>
        </w:rPr>
        <w:t>E</w:t>
      </w:r>
      <w:r>
        <w:rPr>
          <w:rFonts w:hint="eastAsia" w:cs="仿宋_GB2312" w:asciiTheme="minorEastAsia" w:hAnsiTheme="minorEastAsia"/>
          <w:szCs w:val="21"/>
          <w:lang w:val="zh-CN"/>
        </w:rPr>
        <w:t>、小型和微型企业不包括民办非企业单位。</w:t>
      </w:r>
    </w:p>
    <w:p>
      <w:pPr>
        <w:pStyle w:val="14"/>
        <w:spacing w:line="360" w:lineRule="auto"/>
        <w:ind w:firstLine="422" w:firstLineChars="200"/>
        <w:contextualSpacing/>
        <w:rPr>
          <w:rFonts w:cs="仿宋_GB2312" w:asciiTheme="minorEastAsia" w:hAnsiTheme="minorEastAsia" w:eastAsiaTheme="minorEastAsia"/>
          <w:b/>
          <w:sz w:val="21"/>
          <w:szCs w:val="21"/>
          <w:lang w:val="zh-CN"/>
        </w:rPr>
      </w:pPr>
      <w:r>
        <w:rPr>
          <w:rFonts w:hint="eastAsia" w:asciiTheme="minorEastAsia" w:hAnsiTheme="minorEastAsia" w:eastAsiaTheme="minorEastAsia"/>
          <w:b/>
          <w:color w:val="000000"/>
          <w:sz w:val="21"/>
          <w:szCs w:val="21"/>
        </w:rPr>
        <w:t>2、</w:t>
      </w:r>
      <w:r>
        <w:rPr>
          <w:rFonts w:hint="eastAsia" w:cs="仿宋_GB2312" w:asciiTheme="minorEastAsia" w:hAnsiTheme="minorEastAsia" w:eastAsiaTheme="minorEastAsia"/>
          <w:b/>
          <w:sz w:val="21"/>
          <w:szCs w:val="21"/>
          <w:lang w:val="zh-CN"/>
        </w:rPr>
        <w:t>关于强制性产品认证</w:t>
      </w:r>
    </w:p>
    <w:p>
      <w:pPr>
        <w:spacing w:line="360" w:lineRule="auto"/>
        <w:ind w:firstLine="420" w:firstLineChars="200"/>
        <w:contextualSpacing/>
        <w:rPr>
          <w:rFonts w:cs="宋体" w:asciiTheme="minorEastAsia" w:hAnsiTheme="minorEastAsia"/>
          <w:kern w:val="0"/>
          <w:szCs w:val="21"/>
        </w:rPr>
      </w:pPr>
      <w:r>
        <w:rPr>
          <w:rFonts w:hint="eastAsia" w:cs="仿宋_GB2312" w:asciiTheme="minorEastAsia" w:hAnsiTheme="minorEastAsia"/>
          <w:szCs w:val="21"/>
          <w:lang w:val="zh-CN"/>
        </w:rPr>
        <w:t>（1）如供应商所响应产品属于“中国强制性产品认证”（3C认证）范围内,则必须承诺采用</w:t>
      </w:r>
      <w:r>
        <w:rPr>
          <w:rFonts w:cs="仿宋_GB2312" w:asciiTheme="minorEastAsia" w:hAnsiTheme="minorEastAsia"/>
          <w:szCs w:val="21"/>
          <w:lang w:val="zh-CN"/>
        </w:rPr>
        <w:t>《中华人民共和国实施强制性产品认证的产品目录》</w:t>
      </w:r>
      <w:r>
        <w:rPr>
          <w:rFonts w:hint="eastAsia" w:cs="仿宋_GB2312" w:asciiTheme="minorEastAsia" w:hAnsiTheme="minorEastAsia"/>
          <w:szCs w:val="21"/>
          <w:lang w:val="zh-CN"/>
        </w:rPr>
        <w:t>并在有效期内的产品，应在响应文件中提供“所投产品符合国家强制性要求承诺函”并加盖供应商公章，否则将承担其响应被视为非实质性响应的风险。</w:t>
      </w:r>
    </w:p>
    <w:p>
      <w:pPr>
        <w:wordWrap w:val="0"/>
        <w:autoSpaceDE w:val="0"/>
        <w:autoSpaceDN w:val="0"/>
        <w:spacing w:line="360" w:lineRule="auto"/>
        <w:ind w:firstLine="420" w:firstLineChars="200"/>
        <w:contextualSpacing/>
        <w:rPr>
          <w:rFonts w:cs="仿宋_GB2312" w:asciiTheme="minorEastAsia" w:hAnsiTheme="minorEastAsia"/>
          <w:szCs w:val="21"/>
          <w:lang w:val="zh-CN"/>
        </w:rPr>
      </w:pPr>
      <w:r>
        <w:rPr>
          <w:rFonts w:hint="eastAsia" w:cs="宋体" w:asciiTheme="minorEastAsia" w:hAnsiTheme="minorEastAsia"/>
          <w:kern w:val="0"/>
          <w:szCs w:val="21"/>
        </w:rPr>
        <w:t>（2）供应商所响应产品如被列入</w:t>
      </w:r>
      <w:r>
        <w:rPr>
          <w:rFonts w:cs="宋体" w:asciiTheme="minorEastAsia" w:hAnsiTheme="minorEastAsia"/>
          <w:kern w:val="0"/>
          <w:szCs w:val="21"/>
        </w:rPr>
        <w:t>《信息安全产品强制性认证目录》，</w:t>
      </w:r>
      <w:r>
        <w:rPr>
          <w:rFonts w:hint="eastAsia" w:cs="仿宋_GB2312" w:asciiTheme="minorEastAsia" w:hAnsiTheme="minorEastAsia"/>
          <w:szCs w:val="21"/>
          <w:lang w:val="zh-CN"/>
        </w:rPr>
        <w:t>则响应文件中应根据本项目谈判文件“第二章 采购需求”</w:t>
      </w:r>
      <w:r>
        <w:rPr>
          <w:rFonts w:cs="仿宋_GB2312" w:asciiTheme="minorEastAsia" w:hAnsiTheme="minorEastAsia"/>
          <w:szCs w:val="21"/>
          <w:lang w:val="zh-CN"/>
        </w:rPr>
        <w:t>提供</w:t>
      </w:r>
      <w:r>
        <w:rPr>
          <w:rFonts w:hint="eastAsia" w:cs="仿宋_GB2312" w:asciiTheme="minorEastAsia" w:hAnsiTheme="minorEastAsia"/>
          <w:szCs w:val="21"/>
          <w:lang w:val="zh-CN"/>
        </w:rPr>
        <w:t>：</w:t>
      </w:r>
    </w:p>
    <w:p>
      <w:pPr>
        <w:wordWrap w:val="0"/>
        <w:autoSpaceDE w:val="0"/>
        <w:autoSpaceDN w:val="0"/>
        <w:spacing w:line="360" w:lineRule="auto"/>
        <w:ind w:firstLine="420" w:firstLineChars="200"/>
        <w:contextualSpacing/>
        <w:rPr>
          <w:rFonts w:cs="宋体" w:asciiTheme="minorEastAsia" w:hAnsiTheme="minorEastAsia"/>
          <w:kern w:val="0"/>
          <w:szCs w:val="21"/>
        </w:rPr>
      </w:pPr>
      <w:r>
        <w:rPr>
          <w:rFonts w:hint="eastAsia" w:cs="宋体" w:asciiTheme="minorEastAsia" w:hAnsiTheme="minorEastAsia"/>
          <w:kern w:val="0"/>
          <w:szCs w:val="21"/>
        </w:rPr>
        <w:t>①中国信息安全认证中心官网（</w:t>
      </w:r>
      <w:r>
        <w:rPr>
          <w:rFonts w:cs="宋体" w:asciiTheme="minorEastAsia" w:hAnsiTheme="minorEastAsia"/>
          <w:kern w:val="0"/>
          <w:szCs w:val="21"/>
        </w:rPr>
        <w:t>http://www.isccc.gov.cn/index.shtml</w:t>
      </w:r>
      <w:r>
        <w:rPr>
          <w:rFonts w:hint="eastAsia" w:cs="宋体" w:asciiTheme="minorEastAsia" w:hAnsiTheme="minorEastAsia"/>
          <w:kern w:val="0"/>
          <w:szCs w:val="21"/>
        </w:rPr>
        <w:t>）产品查询结果截图并加盖供应商公章；</w:t>
      </w:r>
    </w:p>
    <w:p>
      <w:pPr>
        <w:wordWrap w:val="0"/>
        <w:autoSpaceDE w:val="0"/>
        <w:autoSpaceDN w:val="0"/>
        <w:spacing w:line="360" w:lineRule="auto"/>
        <w:ind w:firstLine="420" w:firstLineChars="200"/>
        <w:contextualSpacing/>
        <w:rPr>
          <w:rFonts w:cs="仿宋_GB2312" w:asciiTheme="minorEastAsia" w:hAnsiTheme="minorEastAsia"/>
          <w:szCs w:val="21"/>
          <w:lang w:val="zh-CN"/>
        </w:rPr>
      </w:pPr>
      <w:r>
        <w:rPr>
          <w:rFonts w:hint="eastAsia" w:cs="宋体" w:asciiTheme="minorEastAsia" w:hAnsiTheme="minorEastAsia"/>
          <w:kern w:val="0"/>
          <w:szCs w:val="21"/>
        </w:rPr>
        <w:t>②中国信息安全认证中心</w:t>
      </w:r>
      <w:r>
        <w:rPr>
          <w:rFonts w:hint="eastAsia" w:cs="仿宋_GB2312" w:asciiTheme="minorEastAsia" w:hAnsiTheme="minorEastAsia"/>
          <w:szCs w:val="21"/>
          <w:lang w:val="zh-CN"/>
        </w:rPr>
        <w:t>颁发的《中国国家信息安全产品认证证书》加盖供应商公章的原件扫描件（或图片）。</w:t>
      </w:r>
    </w:p>
    <w:p>
      <w:pPr>
        <w:wordWrap w:val="0"/>
        <w:spacing w:line="360" w:lineRule="auto"/>
        <w:ind w:firstLine="480" w:firstLineChars="200"/>
        <w:contextualSpacing/>
        <w:rPr>
          <w:rFonts w:cs="宋体" w:asciiTheme="minorEastAsia" w:hAnsiTheme="minorEastAsia"/>
          <w:kern w:val="0"/>
          <w:sz w:val="24"/>
          <w:szCs w:val="24"/>
        </w:rPr>
      </w:pPr>
      <w:r>
        <w:rPr>
          <w:rFonts w:hint="eastAsia" w:ascii="楷体" w:hAnsi="楷体" w:eastAsia="楷体" w:cs="仿宋_GB2312"/>
          <w:sz w:val="24"/>
          <w:szCs w:val="24"/>
          <w:lang w:val="zh-CN"/>
        </w:rPr>
        <w:t>注：仅需提供序号</w:t>
      </w:r>
      <w:r>
        <w:rPr>
          <w:rFonts w:hint="eastAsia" w:ascii="楷体" w:hAnsi="楷体" w:eastAsia="楷体"/>
          <w:color w:val="000000"/>
          <w:sz w:val="24"/>
          <w:szCs w:val="24"/>
        </w:rPr>
        <w:t>①～②其中之一即可。</w:t>
      </w:r>
    </w:p>
    <w:p>
      <w:pPr>
        <w:pStyle w:val="14"/>
        <w:numPr>
          <w:ilvl w:val="0"/>
          <w:numId w:val="26"/>
        </w:numPr>
        <w:spacing w:line="360" w:lineRule="auto"/>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谈判小组编写评审报告。</w:t>
      </w:r>
    </w:p>
    <w:p>
      <w:pPr>
        <w:wordWrap w:val="0"/>
        <w:spacing w:line="360" w:lineRule="auto"/>
        <w:ind w:firstLine="480" w:firstLineChars="200"/>
        <w:contextualSpacing/>
        <w:rPr>
          <w:rFonts w:ascii="楷体" w:hAnsi="楷体" w:eastAsia="楷体" w:cs="仿宋_GB2312"/>
          <w:color w:val="FF0000"/>
          <w:sz w:val="24"/>
          <w:szCs w:val="24"/>
          <w:lang w:val="zh-CN"/>
        </w:rPr>
      </w:pPr>
      <w:r>
        <w:rPr>
          <w:rFonts w:hint="eastAsia" w:ascii="楷体" w:hAnsi="楷体" w:eastAsia="楷体" w:cs="仿宋_GB2312"/>
          <w:color w:val="FF0000"/>
          <w:sz w:val="24"/>
          <w:szCs w:val="24"/>
          <w:lang w:val="zh-CN"/>
        </w:rPr>
        <w:t>注：按照《关于推进全流程电子化交易和在线监管工作有关问题的通知》（许公管办[2019]3号）规定：评审专家应严格按照要求查看“硬件特征码” 相关信息并进行评审，在评审报告中显示“不同供应商电子响应文件制作硬件特征码”是否雷同的分析及判定结果。</w:t>
      </w:r>
    </w:p>
    <w:p>
      <w:pPr>
        <w:pStyle w:val="14"/>
        <w:spacing w:line="360" w:lineRule="auto"/>
        <w:contextualSpacing/>
        <w:rPr>
          <w:rFonts w:cs="仿宋_GB2312" w:asciiTheme="minorEastAsia" w:hAnsiTheme="minorEastAsia" w:eastAsiaTheme="minorEastAsia"/>
          <w:b/>
          <w:sz w:val="21"/>
          <w:szCs w:val="21"/>
          <w:lang w:val="zh-CN"/>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adjustRightInd w:val="0"/>
        <w:snapToGrid w:val="0"/>
        <w:spacing w:line="360" w:lineRule="auto"/>
        <w:ind w:firstLine="420" w:firstLineChars="200"/>
        <w:rPr>
          <w:rFonts w:ascii="宋体" w:hAnsi="宋体" w:cs="Courier New"/>
          <w:szCs w:val="21"/>
        </w:rPr>
      </w:pPr>
    </w:p>
    <w:p>
      <w:pPr>
        <w:tabs>
          <w:tab w:val="left" w:pos="1260"/>
        </w:tabs>
        <w:autoSpaceDE w:val="0"/>
        <w:autoSpaceDN w:val="0"/>
        <w:adjustRightInd w:val="0"/>
        <w:spacing w:line="360" w:lineRule="auto"/>
        <w:contextualSpacing/>
        <w:jc w:val="both"/>
        <w:rPr>
          <w:rFonts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第七章 合同条款及格式</w:t>
      </w:r>
    </w:p>
    <w:p>
      <w:pPr>
        <w:pStyle w:val="14"/>
        <w:spacing w:line="360" w:lineRule="auto"/>
        <w:contextualSpacing/>
        <w:jc w:val="center"/>
        <w:rPr>
          <w:rFonts w:cs="宋体" w:asciiTheme="majorEastAsia" w:hAnsiTheme="majorEastAsia" w:eastAsiaTheme="majorEastAsia"/>
          <w:b/>
          <w:kern w:val="0"/>
          <w:sz w:val="36"/>
          <w:szCs w:val="36"/>
        </w:rPr>
      </w:pPr>
    </w:p>
    <w:p>
      <w:pPr>
        <w:spacing w:line="360" w:lineRule="auto"/>
        <w:jc w:val="center"/>
        <w:rPr>
          <w:rFonts w:ascii="宋体" w:hAnsi="宋体" w:cs="微软雅黑"/>
          <w:b/>
          <w:bCs/>
          <w:szCs w:val="21"/>
        </w:rPr>
      </w:pPr>
      <w:r>
        <w:rPr>
          <w:rFonts w:hint="eastAsia" w:ascii="宋体" w:hAnsi="宋体" w:cs="微软雅黑"/>
          <w:b/>
          <w:bCs/>
          <w:szCs w:val="21"/>
        </w:rPr>
        <w:t>（此合同仅供参考。以最终采购人与中标人签定的合同条款为准进行公示，</w:t>
      </w:r>
    </w:p>
    <w:p>
      <w:pPr>
        <w:spacing w:line="360" w:lineRule="auto"/>
        <w:jc w:val="center"/>
        <w:rPr>
          <w:rFonts w:ascii="宋体" w:hAnsi="宋体" w:cs="微软雅黑"/>
          <w:b/>
          <w:bCs/>
          <w:szCs w:val="21"/>
        </w:rPr>
      </w:pPr>
      <w:r>
        <w:rPr>
          <w:rFonts w:hint="eastAsia" w:ascii="宋体" w:hAnsi="宋体" w:cs="微软雅黑"/>
          <w:b/>
          <w:bCs/>
          <w:szCs w:val="21"/>
        </w:rPr>
        <w:t>最终签定合同的主要条款不能与招标文件有冲突）</w:t>
      </w:r>
    </w:p>
    <w:p>
      <w:pPr>
        <w:pStyle w:val="21"/>
        <w:spacing w:before="75" w:after="75" w:line="360" w:lineRule="auto"/>
        <w:rPr>
          <w:rFonts w:ascii="宋体" w:hAnsi="宋体" w:eastAsia="微软雅黑"/>
          <w:color w:val="000000"/>
          <w:u w:val="single"/>
        </w:rPr>
      </w:pPr>
    </w:p>
    <w:p>
      <w:pPr>
        <w:pStyle w:val="14"/>
        <w:spacing w:line="360" w:lineRule="auto"/>
        <w:contextualSpacing/>
        <w:jc w:val="center"/>
        <w:rPr>
          <w:rFonts w:cs="宋体" w:asciiTheme="majorEastAsia" w:hAnsiTheme="majorEastAsia" w:eastAsiaTheme="majorEastAsia"/>
          <w:b/>
          <w:kern w:val="0"/>
          <w:sz w:val="36"/>
          <w:szCs w:val="36"/>
        </w:rPr>
      </w:pPr>
    </w:p>
    <w:p>
      <w:pPr>
        <w:pStyle w:val="5"/>
        <w:spacing w:line="500" w:lineRule="exact"/>
        <w:jc w:val="center"/>
        <w:rPr>
          <w:rFonts w:hint="eastAsia" w:ascii="仿宋" w:hAnsi="仿宋" w:eastAsia="仿宋"/>
          <w:bCs w:val="0"/>
          <w:color w:val="000000"/>
          <w:sz w:val="24"/>
          <w:szCs w:val="24"/>
        </w:rPr>
      </w:pPr>
      <w:bookmarkStart w:id="0" w:name="_Toc354922980"/>
      <w:bookmarkStart w:id="1" w:name="_Toc354923119"/>
      <w:bookmarkStart w:id="2" w:name="_Toc355649942"/>
      <w:bookmarkStart w:id="3" w:name="_Toc326060505"/>
      <w:bookmarkStart w:id="4" w:name="_Toc364457259"/>
      <w:bookmarkStart w:id="5" w:name="_Toc357868214"/>
      <w:bookmarkStart w:id="6" w:name="_Toc356744034"/>
      <w:bookmarkStart w:id="7" w:name="_Toc329278149"/>
      <w:bookmarkStart w:id="8" w:name="_Toc354404029"/>
      <w:r>
        <w:rPr>
          <w:rFonts w:hint="eastAsia" w:ascii="仿宋" w:hAnsi="仿宋" w:eastAsia="仿宋"/>
          <w:bCs w:val="0"/>
          <w:color w:val="000000"/>
          <w:sz w:val="24"/>
          <w:szCs w:val="24"/>
        </w:rPr>
        <w:t>一、词语定义及合同文件</w:t>
      </w:r>
      <w:bookmarkEnd w:id="0"/>
      <w:bookmarkEnd w:id="1"/>
      <w:bookmarkEnd w:id="2"/>
      <w:bookmarkEnd w:id="3"/>
      <w:bookmarkEnd w:id="4"/>
      <w:bookmarkEnd w:id="5"/>
      <w:bookmarkEnd w:id="6"/>
      <w:bookmarkEnd w:id="7"/>
      <w:bookmarkEnd w:id="8"/>
    </w:p>
    <w:p>
      <w:pPr>
        <w:pStyle w:val="14"/>
        <w:spacing w:line="500" w:lineRule="exact"/>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    1、合同文件及解释顺序</w:t>
      </w:r>
    </w:p>
    <w:p>
      <w:pPr>
        <w:pStyle w:val="14"/>
        <w:spacing w:line="500" w:lineRule="exact"/>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    合同文件组成及解释顺序:       按照通用条款执行  </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2、语言文字和适用法律、标准及规范</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2．1本合同除使用汉语外，还使用       无                  语言文字。</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2．2适用法律和法规</w:t>
      </w:r>
    </w:p>
    <w:p>
      <w:pPr>
        <w:spacing w:line="500" w:lineRule="exact"/>
        <w:ind w:firstLine="482"/>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需要明示的法律、行政法规:  国家及省、市的法律、法规、规章、规范性文件及协议条款约定的规章。</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2．3适用标准、规范</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适用标准、规范的名称:</w:t>
      </w:r>
    </w:p>
    <w:p>
      <w:pPr>
        <w:numPr>
          <w:ilvl w:val="1"/>
          <w:numId w:val="27"/>
        </w:numPr>
        <w:tabs>
          <w:tab w:val="left" w:pos="0"/>
          <w:tab w:val="clear" w:pos="1200"/>
        </w:tabs>
        <w:spacing w:line="500" w:lineRule="exact"/>
        <w:ind w:left="0" w:firstLine="54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工程设计要求</w:t>
      </w:r>
    </w:p>
    <w:p>
      <w:pPr>
        <w:numPr>
          <w:ilvl w:val="1"/>
          <w:numId w:val="27"/>
        </w:numPr>
        <w:tabs>
          <w:tab w:val="left" w:pos="0"/>
          <w:tab w:val="clear" w:pos="1200"/>
        </w:tabs>
        <w:spacing w:line="500" w:lineRule="exact"/>
        <w:ind w:left="0" w:firstLine="54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国家、河南省、许昌市现行有关工程的施工及验收规定、规程和标准</w:t>
      </w:r>
    </w:p>
    <w:p>
      <w:pPr>
        <w:numPr>
          <w:ilvl w:val="1"/>
          <w:numId w:val="27"/>
        </w:numPr>
        <w:tabs>
          <w:tab w:val="left" w:pos="0"/>
          <w:tab w:val="clear" w:pos="1200"/>
        </w:tabs>
        <w:spacing w:line="500" w:lineRule="exact"/>
        <w:ind w:left="0" w:firstLine="54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对不在规范验评范围内项目，执行设计院、制造厂家或发包人和承包人双方议定的补充技术标准及本标书的施工技术要求；</w:t>
      </w:r>
    </w:p>
    <w:p>
      <w:pPr>
        <w:numPr>
          <w:ilvl w:val="1"/>
          <w:numId w:val="27"/>
        </w:numPr>
        <w:tabs>
          <w:tab w:val="left" w:pos="0"/>
          <w:tab w:val="clear" w:pos="1200"/>
        </w:tabs>
        <w:spacing w:line="500" w:lineRule="exact"/>
        <w:ind w:left="0" w:firstLine="54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新材料、新工艺必须具有省级以上行业主管部门技术鉴定并须征得发包人和监理单位同意。</w:t>
      </w:r>
    </w:p>
    <w:p>
      <w:pPr>
        <w:pStyle w:val="14"/>
        <w:spacing w:line="500" w:lineRule="exact"/>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发包人提供标准、规范的时间: 无。</w:t>
      </w:r>
    </w:p>
    <w:p>
      <w:pPr>
        <w:pStyle w:val="14"/>
        <w:spacing w:line="500" w:lineRule="exact"/>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国内没有相应标准、规范时的约定: 由承包人提供并经发包人和设计单位认可后执行。</w:t>
      </w:r>
    </w:p>
    <w:p>
      <w:pPr>
        <w:pStyle w:val="14"/>
        <w:spacing w:line="500" w:lineRule="exact"/>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3、图纸</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3．1发包人向承包人提供图纸日期和套数: 合同约定。</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3. 2发包人对图纸的保密要求: 施工图纸应保密  。</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3. 3使用国外图纸的要求及费用承担:  无  </w:t>
      </w:r>
    </w:p>
    <w:p>
      <w:pPr>
        <w:pStyle w:val="5"/>
        <w:spacing w:line="500" w:lineRule="exact"/>
        <w:jc w:val="center"/>
        <w:rPr>
          <w:rFonts w:hint="eastAsia" w:cs="宋体" w:asciiTheme="minorEastAsia" w:hAnsiTheme="minorEastAsia" w:eastAsiaTheme="minorEastAsia"/>
          <w:kern w:val="0"/>
          <w:sz w:val="21"/>
          <w:szCs w:val="21"/>
          <w:lang w:val="en-US" w:eastAsia="zh-CN" w:bidi="ar-SA"/>
        </w:rPr>
      </w:pPr>
      <w:bookmarkStart w:id="9" w:name="_Toc364457260"/>
      <w:bookmarkStart w:id="10" w:name="_Toc354404030"/>
      <w:bookmarkStart w:id="11" w:name="_Toc354922981"/>
      <w:bookmarkStart w:id="12" w:name="_Toc356744035"/>
      <w:bookmarkStart w:id="13" w:name="_Toc355649943"/>
      <w:bookmarkStart w:id="14" w:name="_Toc326060506"/>
      <w:bookmarkStart w:id="15" w:name="_Toc329278150"/>
      <w:bookmarkStart w:id="16" w:name="_Toc357868215"/>
      <w:bookmarkStart w:id="17" w:name="_Toc354923120"/>
      <w:r>
        <w:rPr>
          <w:rFonts w:hint="eastAsia" w:cs="宋体" w:asciiTheme="minorEastAsia" w:hAnsiTheme="minorEastAsia" w:eastAsiaTheme="minorEastAsia"/>
          <w:kern w:val="0"/>
          <w:sz w:val="21"/>
          <w:szCs w:val="21"/>
          <w:lang w:val="en-US" w:eastAsia="zh-CN" w:bidi="ar-SA"/>
        </w:rPr>
        <w:t>二、双方一般权利和义务</w:t>
      </w:r>
      <w:bookmarkEnd w:id="9"/>
      <w:bookmarkEnd w:id="10"/>
      <w:bookmarkEnd w:id="11"/>
      <w:bookmarkEnd w:id="12"/>
      <w:bookmarkEnd w:id="13"/>
      <w:bookmarkEnd w:id="14"/>
      <w:bookmarkEnd w:id="15"/>
      <w:bookmarkEnd w:id="16"/>
      <w:bookmarkEnd w:id="17"/>
    </w:p>
    <w:p>
      <w:pPr>
        <w:pStyle w:val="14"/>
        <w:spacing w:line="500" w:lineRule="exact"/>
        <w:ind w:firstLine="48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4．工程师</w:t>
      </w:r>
    </w:p>
    <w:p>
      <w:pPr>
        <w:pStyle w:val="14"/>
        <w:spacing w:line="500" w:lineRule="exact"/>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4．1监理单位委派的工程师</w:t>
      </w:r>
    </w:p>
    <w:p>
      <w:pPr>
        <w:pStyle w:val="14"/>
        <w:spacing w:line="500" w:lineRule="exact"/>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姓名：   (待定)      职务:    (待定)    </w:t>
      </w:r>
    </w:p>
    <w:p>
      <w:pPr>
        <w:pStyle w:val="60"/>
        <w:spacing w:line="500" w:lineRule="exact"/>
        <w:ind w:left="0" w:right="9"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发包人委托的职权: 按《建设工程监理规范》(GB50319-2000)执行</w:t>
      </w:r>
    </w:p>
    <w:p>
      <w:pPr>
        <w:spacing w:line="500" w:lineRule="exact"/>
        <w:ind w:firstLine="48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需要取得发包人批准才能行使的职权：设计变更、发布开(停)工令、工期顺延签认、工程量及费用增减的签认、主要材料的确定、不称职技术(管理)人员撤换建议权、发包人认为须取得批准方可实施的其它重要事项等监理合同中赋予监理工程师的职权。 </w:t>
      </w:r>
    </w:p>
    <w:p>
      <w:pPr>
        <w:pStyle w:val="14"/>
        <w:spacing w:line="500" w:lineRule="exact"/>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4．2发包人派驻的工程师</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姓名：  (待定)         职务:   (待定)     </w:t>
      </w:r>
    </w:p>
    <w:p>
      <w:pPr>
        <w:spacing w:line="500" w:lineRule="exact"/>
        <w:ind w:firstLine="48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职权: 全权负责施工现场的管理和协调工作，并代表发包人对施工中所用材料(设备)的质量进行检验。</w:t>
      </w:r>
    </w:p>
    <w:p>
      <w:pPr>
        <w:pStyle w:val="14"/>
        <w:spacing w:line="500" w:lineRule="exact"/>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4．3不实行监理的，工程师的职权:  //    </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5．项目经理(建造师)</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姓名:  (中标项目经理/建造师)      职务:  (待定)  _</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6、发包人工作</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6．1发包人应按约定的时间和要求完成以下工作:</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(1)施工场地具备施工条件的要求及完成的时间： 合同签订后7日内 </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(2)将施工所需的水、电、电讯线路接至施工场地的时间、地点和供应要求：施工所需的水、电、电讯线路已经具备条件，施工中所产生的费用由承包人负担。</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(3)施工场地与道路的通道开通时间和要求: 已具备。</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(4)工程地质和地下管线资料的提供时间：合同签订日。</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(5)由发包人办理的施工所需证件、批件的名称和完成时间:  合同开工日期前，由承包方负责办理进场的相关手续，发包方配合。</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(6)水准点与坐标控制点交验要求：合同开工日期前7天。</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(7)图纸会审和设计交底时间: 合同开工日期前7天。 </w:t>
      </w:r>
    </w:p>
    <w:p>
      <w:pPr>
        <w:pStyle w:val="14"/>
        <w:spacing w:line="500" w:lineRule="exact"/>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    (8)双方约定发包人应做的其他工作：      无     </w:t>
      </w:r>
    </w:p>
    <w:p>
      <w:pPr>
        <w:pStyle w:val="14"/>
        <w:spacing w:line="500" w:lineRule="exact"/>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    6．2发包人委托承包人办理的工作：       无      </w:t>
      </w:r>
    </w:p>
    <w:p>
      <w:pPr>
        <w:pStyle w:val="14"/>
        <w:spacing w:line="500" w:lineRule="exact"/>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    7．承包人工作</w:t>
      </w:r>
    </w:p>
    <w:p>
      <w:pPr>
        <w:pStyle w:val="14"/>
        <w:spacing w:line="500" w:lineRule="exact"/>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           招标范围，具体有招标人与中标人协商                    。</w:t>
      </w:r>
    </w:p>
    <w:p>
      <w:pPr>
        <w:pStyle w:val="14"/>
        <w:spacing w:line="500" w:lineRule="exact"/>
        <w:ind w:left="338" w:leftChars="86" w:hanging="157" w:hangingChars="7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   7．1承包人应按约定时间和要求，完成以下工作:</w:t>
      </w:r>
    </w:p>
    <w:p>
      <w:pPr>
        <w:pStyle w:val="14"/>
        <w:numPr>
          <w:ilvl w:val="0"/>
          <w:numId w:val="28"/>
        </w:numPr>
        <w:tabs>
          <w:tab w:val="left" w:pos="900"/>
          <w:tab w:val="left" w:pos="1620"/>
        </w:tabs>
        <w:spacing w:line="500" w:lineRule="exact"/>
        <w:ind w:firstLine="454"/>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需自设计资质等级和业务范围允许的承包人完成的设计文件提交时间：          无      </w:t>
      </w:r>
    </w:p>
    <w:p>
      <w:pPr>
        <w:pStyle w:val="14"/>
        <w:numPr>
          <w:ilvl w:val="0"/>
          <w:numId w:val="28"/>
        </w:numPr>
        <w:tabs>
          <w:tab w:val="left" w:pos="900"/>
          <w:tab w:val="left" w:pos="1620"/>
        </w:tabs>
        <w:spacing w:line="500" w:lineRule="exact"/>
        <w:ind w:firstLine="454"/>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应提供计划、报表的名称及完成时间:</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开工前7日提交施工组织设计、总进度计划、施工机械和人员使用计划、主要材料供应计划。</w:t>
      </w:r>
    </w:p>
    <w:p>
      <w:pPr>
        <w:pStyle w:val="14"/>
        <w:numPr>
          <w:ilvl w:val="0"/>
          <w:numId w:val="28"/>
        </w:numPr>
        <w:tabs>
          <w:tab w:val="left" w:pos="900"/>
          <w:tab w:val="left" w:pos="1620"/>
        </w:tabs>
        <w:spacing w:line="500" w:lineRule="exact"/>
        <w:ind w:firstLine="454"/>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承担施工安全保卫工作及非夜间施工照明的责任和要求:设专职安全保卫人员和安全防护设施，负责施工现场安全保卫，费用自理。</w:t>
      </w:r>
    </w:p>
    <w:p>
      <w:pPr>
        <w:pStyle w:val="14"/>
        <w:numPr>
          <w:ilvl w:val="0"/>
          <w:numId w:val="28"/>
        </w:numPr>
        <w:tabs>
          <w:tab w:val="left" w:pos="900"/>
          <w:tab w:val="left" w:pos="1620"/>
        </w:tabs>
        <w:spacing w:line="500" w:lineRule="exact"/>
        <w:ind w:firstLine="454"/>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向发包人提供的办公和生活房屋及设施的要求:  无   </w:t>
      </w:r>
    </w:p>
    <w:p>
      <w:pPr>
        <w:pStyle w:val="14"/>
        <w:spacing w:line="500" w:lineRule="exact"/>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需承包人办理的有关施工场地交通、住建、环卫和施工噪音管理等手续: 按照国家、省、市、县有关规定执行。</w:t>
      </w:r>
    </w:p>
    <w:p>
      <w:pPr>
        <w:pStyle w:val="14"/>
        <w:numPr>
          <w:ilvl w:val="0"/>
          <w:numId w:val="28"/>
        </w:numPr>
        <w:tabs>
          <w:tab w:val="left" w:pos="900"/>
          <w:tab w:val="left" w:pos="1620"/>
        </w:tabs>
        <w:spacing w:line="500" w:lineRule="exact"/>
        <w:ind w:firstLine="454"/>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完工工程成品保护的特殊要求及费用承担:由承包人负责。</w:t>
      </w:r>
    </w:p>
    <w:p>
      <w:pPr>
        <w:pStyle w:val="14"/>
        <w:numPr>
          <w:ilvl w:val="0"/>
          <w:numId w:val="28"/>
        </w:numPr>
        <w:tabs>
          <w:tab w:val="left" w:pos="900"/>
          <w:tab w:val="left" w:pos="1620"/>
        </w:tabs>
        <w:spacing w:line="500" w:lineRule="exact"/>
        <w:ind w:firstLine="454"/>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施工场地周围地下管线和邻近建筑物、构筑物(含文物保护建筑)、古树名木的保护要求及费用承担: 按照按照国家、省、市有关规定和投标文件的有关承诺执行。由于承包人造成的一切损失由承包人承担。</w:t>
      </w:r>
    </w:p>
    <w:p>
      <w:pPr>
        <w:pStyle w:val="14"/>
        <w:numPr>
          <w:ilvl w:val="0"/>
          <w:numId w:val="28"/>
        </w:numPr>
        <w:tabs>
          <w:tab w:val="left" w:pos="900"/>
          <w:tab w:val="left" w:pos="1620"/>
        </w:tabs>
        <w:spacing w:line="500" w:lineRule="exact"/>
        <w:ind w:firstLine="454"/>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施工现场清洁卫生的要求：按通用条款，保证每日清理，符合当地有关文明施工的规定，费用由承包方承担。</w:t>
      </w:r>
    </w:p>
    <w:p>
      <w:pPr>
        <w:pStyle w:val="14"/>
        <w:spacing w:line="500" w:lineRule="exact"/>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(8)协调处理施工场地周围地下管线和邻近建筑物、构筑物(含文物保护建筑)、古树名木的保护工作: 场地周围地下管线和邻近建筑物、构筑物的保护工作由承包人负责并承担费用；文物保护建筑、古树名木的保护由施工单位负责，保护费用由承包人承担。</w:t>
      </w:r>
    </w:p>
    <w:p>
      <w:pPr>
        <w:pStyle w:val="14"/>
        <w:tabs>
          <w:tab w:val="left" w:pos="1620"/>
        </w:tabs>
        <w:spacing w:line="500" w:lineRule="exact"/>
        <w:ind w:firstLine="210" w:firstLineChars="1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(9)双方约定承包人应做的其他工作：① 投标文件中确定的项目部的成员必须坚守工作岗位，不得更换。对发包人提出的不合格的项目部工作人员，承包人必须及时更换，所更换人员的资质应不低于被更换人员。项目部组成人员的资格证书、岗位证书必须经过考核备案。② 投标人拟投入现场的施工机械设备必须满足施工要求，并保证及时到位，其主要设备应为承包人自己的设备。承包人投入现场的施工机械和设备必须经过检验或审验合格，并提交检验报告原件。③ 负责竣工资料的整理并完成向档案馆的归档工作。④ 本工程在施工过程中如存在多个单位同时作业，承包人必须顾全大局，相互协作，在人员、设备、工序、时间等方面密切配合，严格服从发包人和监理单位的协调指挥；承包人须积极协调单位工程内各分包人的施工，积极协调解决施工过程中存在的各类问题，确保工程顺利进行；承包人应处理好与相邻施工单位的施工接口关系，否则，发包人有权要求承包人整改或另行指定其他单位来完成相关配合工作，其发生的费用从承包人的工程进度款中扣除，并不需要承包人同意；承包人应始终采取各种合理的预防措施，保证正常的施工秩序，保证现场及第三人的财产和人身安全，若在施工现场发生的一切损失赔偿责任，由承包人承担。 </w:t>
      </w:r>
    </w:p>
    <w:p>
      <w:pPr>
        <w:pStyle w:val="14"/>
        <w:tabs>
          <w:tab w:val="left" w:pos="1620"/>
        </w:tabs>
        <w:spacing w:line="500" w:lineRule="exact"/>
        <w:ind w:firstLine="210" w:firstLineChars="1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(10)按计划完成施工任务。</w:t>
      </w:r>
    </w:p>
    <w:p>
      <w:pPr>
        <w:pStyle w:val="5"/>
        <w:spacing w:line="500" w:lineRule="exact"/>
        <w:jc w:val="center"/>
        <w:rPr>
          <w:rFonts w:hint="eastAsia" w:cs="宋体" w:asciiTheme="minorEastAsia" w:hAnsiTheme="minorEastAsia" w:eastAsiaTheme="minorEastAsia"/>
          <w:kern w:val="0"/>
          <w:sz w:val="21"/>
          <w:szCs w:val="21"/>
          <w:lang w:val="en-US" w:eastAsia="zh-CN" w:bidi="ar-SA"/>
        </w:rPr>
      </w:pPr>
      <w:bookmarkStart w:id="18" w:name="_Toc357868216"/>
      <w:bookmarkStart w:id="19" w:name="_Toc354923121"/>
      <w:bookmarkStart w:id="20" w:name="_Toc329278151"/>
      <w:bookmarkStart w:id="21" w:name="_Toc354404031"/>
      <w:bookmarkStart w:id="22" w:name="_Toc354922982"/>
      <w:bookmarkStart w:id="23" w:name="_Toc356744036"/>
      <w:bookmarkStart w:id="24" w:name="_Toc326060507"/>
      <w:bookmarkStart w:id="25" w:name="_Toc355649944"/>
      <w:bookmarkStart w:id="26" w:name="_Toc364457261"/>
      <w:r>
        <w:rPr>
          <w:rFonts w:hint="eastAsia" w:cs="宋体" w:asciiTheme="minorEastAsia" w:hAnsiTheme="minorEastAsia" w:eastAsiaTheme="minorEastAsia"/>
          <w:kern w:val="0"/>
          <w:sz w:val="21"/>
          <w:szCs w:val="21"/>
          <w:lang w:val="en-US" w:eastAsia="zh-CN" w:bidi="ar-SA"/>
        </w:rPr>
        <w:t>三、施工组织设计和工期</w:t>
      </w:r>
      <w:bookmarkEnd w:id="18"/>
      <w:bookmarkEnd w:id="19"/>
      <w:bookmarkEnd w:id="20"/>
      <w:bookmarkEnd w:id="21"/>
      <w:bookmarkEnd w:id="22"/>
      <w:bookmarkEnd w:id="23"/>
      <w:bookmarkEnd w:id="24"/>
      <w:bookmarkEnd w:id="25"/>
      <w:bookmarkEnd w:id="26"/>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8．进度计划</w:t>
      </w:r>
    </w:p>
    <w:p>
      <w:pPr>
        <w:pStyle w:val="14"/>
        <w:spacing w:line="500" w:lineRule="exact"/>
        <w:ind w:left="1012" w:leftChars="258" w:hanging="470" w:hangingChars="224"/>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8．1承包人提供施工组织设计(施工方案)和进度计划的时间：合同开工日期前7天。工程师确认的时间：7个工作日</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8.2群体工程中有关进度计划的要求：    无      </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8.3如发包人需要调整施工顺序时，承包人应无条件响应，额外发生的费用视为已包含在合同价内。</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9．工期延误</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9．1双方约定工期顺延的其他情况:1.重大设计变更和经监理工程师及发包人代表确认的情况。2.招标人提供的地下管网，地下构筑物等资料与现场实际情况不符而增加的工期；3.由于自然及社会因素造成的不可抗力原因而影响工程施工时。</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9.2由于承包人的原因造成工期延误，每延迟一天扣除工程款的     ‰。</w:t>
      </w:r>
    </w:p>
    <w:p>
      <w:pPr>
        <w:pStyle w:val="5"/>
        <w:spacing w:line="500" w:lineRule="exact"/>
        <w:jc w:val="center"/>
        <w:rPr>
          <w:rFonts w:hint="eastAsia" w:cs="宋体" w:asciiTheme="minorEastAsia" w:hAnsiTheme="minorEastAsia" w:eastAsiaTheme="minorEastAsia"/>
          <w:kern w:val="0"/>
          <w:sz w:val="21"/>
          <w:szCs w:val="21"/>
          <w:lang w:val="en-US" w:eastAsia="zh-CN" w:bidi="ar-SA"/>
        </w:rPr>
      </w:pPr>
      <w:bookmarkStart w:id="27" w:name="_Toc354922983"/>
      <w:bookmarkStart w:id="28" w:name="_Toc354923122"/>
      <w:bookmarkStart w:id="29" w:name="_Toc326060508"/>
      <w:bookmarkStart w:id="30" w:name="_Toc329278152"/>
      <w:bookmarkStart w:id="31" w:name="_Toc355649945"/>
      <w:bookmarkStart w:id="32" w:name="_Toc356744037"/>
      <w:bookmarkStart w:id="33" w:name="_Toc357868217"/>
      <w:bookmarkStart w:id="34" w:name="_Toc354404032"/>
      <w:bookmarkStart w:id="35" w:name="_Toc364457262"/>
      <w:r>
        <w:rPr>
          <w:rFonts w:hint="eastAsia" w:cs="宋体" w:asciiTheme="minorEastAsia" w:hAnsiTheme="minorEastAsia" w:eastAsiaTheme="minorEastAsia"/>
          <w:kern w:val="0"/>
          <w:sz w:val="21"/>
          <w:szCs w:val="21"/>
          <w:lang w:val="en-US" w:eastAsia="zh-CN" w:bidi="ar-SA"/>
        </w:rPr>
        <w:t>四、质量与验收</w:t>
      </w:r>
      <w:bookmarkEnd w:id="27"/>
      <w:bookmarkEnd w:id="28"/>
      <w:bookmarkEnd w:id="29"/>
      <w:bookmarkEnd w:id="30"/>
      <w:bookmarkEnd w:id="31"/>
      <w:bookmarkEnd w:id="32"/>
      <w:bookmarkEnd w:id="33"/>
      <w:bookmarkEnd w:id="34"/>
      <w:bookmarkEnd w:id="35"/>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10．隐蔽工程验收和执行规范及适用范围</w:t>
      </w:r>
    </w:p>
    <w:p>
      <w:pPr>
        <w:pStyle w:val="14"/>
        <w:numPr>
          <w:ilvl w:val="1"/>
          <w:numId w:val="29"/>
        </w:numPr>
        <w:spacing w:line="500" w:lineRule="exact"/>
        <w:ind w:hanging="27"/>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双方约定隐蔽工程验收部位：按照国家施工及验收规范要求的执行。</w:t>
      </w:r>
    </w:p>
    <w:p>
      <w:pPr>
        <w:spacing w:line="500" w:lineRule="exact"/>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10.2 适用范围：使用于本项目工程施工。</w:t>
      </w:r>
    </w:p>
    <w:p>
      <w:pPr>
        <w:pStyle w:val="5"/>
        <w:spacing w:line="500" w:lineRule="exact"/>
        <w:jc w:val="center"/>
        <w:rPr>
          <w:rFonts w:hint="eastAsia" w:cs="宋体" w:asciiTheme="minorEastAsia" w:hAnsiTheme="minorEastAsia" w:eastAsiaTheme="minorEastAsia"/>
          <w:kern w:val="0"/>
          <w:sz w:val="21"/>
          <w:szCs w:val="21"/>
          <w:lang w:val="en-US" w:eastAsia="zh-CN" w:bidi="ar-SA"/>
        </w:rPr>
      </w:pPr>
      <w:bookmarkStart w:id="36" w:name="_Toc364457263"/>
      <w:bookmarkStart w:id="37" w:name="_Toc329278153"/>
      <w:bookmarkStart w:id="38" w:name="_Toc354404033"/>
      <w:bookmarkStart w:id="39" w:name="_Toc357868218"/>
      <w:bookmarkStart w:id="40" w:name="_Toc354923123"/>
      <w:bookmarkStart w:id="41" w:name="_Toc326060509"/>
      <w:bookmarkStart w:id="42" w:name="_Toc354922984"/>
      <w:bookmarkStart w:id="43" w:name="_Toc355649946"/>
      <w:bookmarkStart w:id="44" w:name="_Toc356744038"/>
      <w:r>
        <w:rPr>
          <w:rFonts w:hint="eastAsia" w:cs="宋体" w:asciiTheme="minorEastAsia" w:hAnsiTheme="minorEastAsia" w:eastAsiaTheme="minorEastAsia"/>
          <w:kern w:val="0"/>
          <w:sz w:val="21"/>
          <w:szCs w:val="21"/>
          <w:lang w:val="en-US" w:eastAsia="zh-CN" w:bidi="ar-SA"/>
        </w:rPr>
        <w:t>五、安全施工</w:t>
      </w:r>
      <w:bookmarkEnd w:id="36"/>
      <w:bookmarkEnd w:id="37"/>
      <w:bookmarkEnd w:id="38"/>
      <w:bookmarkEnd w:id="39"/>
      <w:bookmarkEnd w:id="40"/>
      <w:bookmarkEnd w:id="41"/>
      <w:bookmarkEnd w:id="42"/>
      <w:bookmarkEnd w:id="43"/>
      <w:bookmarkEnd w:id="44"/>
    </w:p>
    <w:p>
      <w:pPr>
        <w:pStyle w:val="14"/>
        <w:spacing w:line="500" w:lineRule="exact"/>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按合同文本通用条款执行</w:t>
      </w:r>
    </w:p>
    <w:p>
      <w:pPr>
        <w:pStyle w:val="5"/>
        <w:spacing w:line="500" w:lineRule="exact"/>
        <w:jc w:val="center"/>
        <w:rPr>
          <w:rFonts w:hint="eastAsia" w:cs="宋体" w:asciiTheme="minorEastAsia" w:hAnsiTheme="minorEastAsia" w:eastAsiaTheme="minorEastAsia"/>
          <w:kern w:val="0"/>
          <w:sz w:val="21"/>
          <w:szCs w:val="21"/>
          <w:lang w:val="en-US" w:eastAsia="zh-CN" w:bidi="ar-SA"/>
        </w:rPr>
      </w:pPr>
      <w:bookmarkStart w:id="45" w:name="_Toc354404034"/>
      <w:bookmarkStart w:id="46" w:name="_Toc357868219"/>
      <w:bookmarkStart w:id="47" w:name="_Toc329278154"/>
      <w:bookmarkStart w:id="48" w:name="_Toc326060510"/>
      <w:bookmarkStart w:id="49" w:name="_Toc354923124"/>
      <w:bookmarkStart w:id="50" w:name="_Toc364457264"/>
      <w:bookmarkStart w:id="51" w:name="_Toc355649947"/>
      <w:bookmarkStart w:id="52" w:name="_Toc354922985"/>
      <w:bookmarkStart w:id="53" w:name="_Toc356744039"/>
      <w:r>
        <w:rPr>
          <w:rFonts w:hint="eastAsia" w:cs="宋体" w:asciiTheme="minorEastAsia" w:hAnsiTheme="minorEastAsia" w:eastAsiaTheme="minorEastAsia"/>
          <w:kern w:val="0"/>
          <w:sz w:val="21"/>
          <w:szCs w:val="21"/>
          <w:lang w:val="en-US" w:eastAsia="zh-CN" w:bidi="ar-SA"/>
        </w:rPr>
        <w:t>六、合同价款与支付</w:t>
      </w:r>
      <w:bookmarkEnd w:id="45"/>
      <w:bookmarkEnd w:id="46"/>
      <w:bookmarkEnd w:id="47"/>
      <w:bookmarkEnd w:id="48"/>
      <w:bookmarkEnd w:id="49"/>
      <w:bookmarkEnd w:id="50"/>
      <w:bookmarkEnd w:id="51"/>
      <w:bookmarkEnd w:id="52"/>
      <w:bookmarkEnd w:id="53"/>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11．合同价款及调整</w:t>
      </w:r>
    </w:p>
    <w:p>
      <w:pPr>
        <w:pStyle w:val="14"/>
        <w:spacing w:line="360" w:lineRule="auto"/>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11．1本合同价款采用  固定单价  方式确定。措施费用、其他费用中的总包服务费及承包人为施工便利做出的变更及洽商产生的费用不得调整。实际发生的分部分项工程的工程量与招标文件及答疑提供的相应清单工程量增减工程量清单按实核增核减。</w:t>
      </w:r>
    </w:p>
    <w:p>
      <w:pPr>
        <w:pStyle w:val="14"/>
        <w:spacing w:line="360" w:lineRule="auto"/>
        <w:ind w:firstLine="525" w:firstLineChars="25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当发生下列情况时，合同价可作调整：</w:t>
      </w:r>
    </w:p>
    <w:p>
      <w:pPr>
        <w:pStyle w:val="14"/>
        <w:numPr>
          <w:ilvl w:val="2"/>
          <w:numId w:val="30"/>
        </w:numPr>
        <w:spacing w:line="360" w:lineRule="auto"/>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发包人相应部门签证后报主管领导批准后的工程变更及工程洽商；</w:t>
      </w:r>
    </w:p>
    <w:p>
      <w:pPr>
        <w:pStyle w:val="14"/>
        <w:numPr>
          <w:ilvl w:val="2"/>
          <w:numId w:val="30"/>
        </w:numPr>
        <w:spacing w:line="360" w:lineRule="auto"/>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暂估价项目、暂估材料设备及发包人指定的产品价在实际发生前由发包人认可后，按实际发生予以调整，仅计取税金；</w:t>
      </w:r>
    </w:p>
    <w:p>
      <w:pPr>
        <w:pStyle w:val="14"/>
        <w:numPr>
          <w:ilvl w:val="2"/>
          <w:numId w:val="30"/>
        </w:numPr>
        <w:spacing w:line="360" w:lineRule="auto"/>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发包人提供的地下管网、地下构筑物等资料与现场实际情况不符，而引起的工程处理费用增加，据实调整；</w:t>
      </w:r>
    </w:p>
    <w:p>
      <w:pPr>
        <w:pStyle w:val="14"/>
        <w:numPr>
          <w:ilvl w:val="2"/>
          <w:numId w:val="30"/>
        </w:numPr>
        <w:spacing w:line="360" w:lineRule="auto"/>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法律、行政法规和国家有关政策变化影响合同价款。</w:t>
      </w:r>
    </w:p>
    <w:p>
      <w:pPr>
        <w:pStyle w:val="14"/>
        <w:spacing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 11．2合同价款调整原则及方法：</w:t>
      </w:r>
    </w:p>
    <w:p>
      <w:pPr>
        <w:numPr>
          <w:ilvl w:val="0"/>
          <w:numId w:val="31"/>
        </w:numPr>
        <w:spacing w:line="500" w:lineRule="exact"/>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增减工程量清单按11.1执行；</w:t>
      </w:r>
    </w:p>
    <w:p>
      <w:pPr>
        <w:numPr>
          <w:ilvl w:val="0"/>
          <w:numId w:val="31"/>
        </w:numPr>
        <w:spacing w:line="500" w:lineRule="exact"/>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除专用合同条款应有约定外，因变更引起的价格调整按照本款约定处理：①已标价工程量清单中有适用于变更工作的子目的，采用该子目的单价；②已标价工程量清单中无适用于变更工作的子目的，但有类似子目的，可在合理范围内参照类似子目的单价，由监理人与承包人商定变更工作的单价后，报发包人审核批准(发包人批准前应由造价部门出具审核意见)；③已标价工程量清单中无适用或类似子目的单价，即新增项目，参照省定额站颁布的施工期间的定额、费用标准、价格信息，由监理人与承包人商定变更工作的单价后，报发包人审核批准(发包人批准前应由造价部门出具审核意见)。以上价格调整均应考虑承包人中标价与投标总价相比的优惠率，以及不予计取的措施费用。</w:t>
      </w:r>
    </w:p>
    <w:p>
      <w:pPr>
        <w:numPr>
          <w:ilvl w:val="0"/>
          <w:numId w:val="31"/>
        </w:numPr>
        <w:spacing w:line="500" w:lineRule="exact"/>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材料变更时价格确定：①承包人在投标文件中价格明细表已有的材料，按承包人材料价格明细所列的材料单价计算(风险范围以外的，按(5)款确定)；②承包人材料价格明细表中没有的材料，参照许昌市造价办发布的《许昌市建设工程材料基准价格信息》在施工期间发布的材料单价计算；③许昌市造价办发布的《许昌市建设工程材料基准价格信息》没有公布的材料，由承包人提出适当的价格，经发包人确认签字后，予以认可。</w:t>
      </w:r>
    </w:p>
    <w:p>
      <w:pPr>
        <w:pStyle w:val="61"/>
        <w:spacing w:line="500" w:lineRule="exact"/>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11．3双方约定合同价款的其他调整因素: 双方协商解决。</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12．工程付款</w:t>
      </w:r>
    </w:p>
    <w:p>
      <w:pPr>
        <w:pStyle w:val="14"/>
        <w:spacing w:line="500" w:lineRule="exact"/>
        <w:ind w:firstLine="525" w:firstLineChars="25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12．1工程款的支付方式：采取银行转帐结算的形式，由项目所属单位支付；</w:t>
      </w:r>
    </w:p>
    <w:p>
      <w:pPr>
        <w:pStyle w:val="14"/>
        <w:spacing w:line="500" w:lineRule="exact"/>
        <w:ind w:firstLine="525" w:firstLineChars="25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12．2设计变更和现场经济签证引起的费用在拨付进度款时暂不予考虑。</w:t>
      </w:r>
    </w:p>
    <w:p>
      <w:pPr>
        <w:pStyle w:val="14"/>
        <w:spacing w:line="500" w:lineRule="exact"/>
        <w:ind w:firstLine="577" w:firstLineChars="27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12．3双方约定的工程款(进度款)支付方式： 工程竣工验收之前，可申请已完成工程量的80% ；竣工验收完成后支付至总合同价的80%，在决算报告通过审计后支付至审定金额的95%；剩余5%做为质量保证金，待质保期满后支付。</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13.工程量增减</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因发包人或设计单位提出的设计变更，导致工程内容的任何变化，承包人均须无条件先执行，其工程量增减按实计算、综合单价按本合同专用条款有关规定执行。</w:t>
      </w:r>
    </w:p>
    <w:p>
      <w:pPr>
        <w:spacing w:line="500" w:lineRule="exact"/>
        <w:ind w:firstLine="499" w:firstLineChars="238"/>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14. 投标报价</w:t>
      </w:r>
    </w:p>
    <w:p>
      <w:pPr>
        <w:spacing w:line="500" w:lineRule="exact"/>
        <w:ind w:firstLine="454"/>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14.1 投标报价应包括招标文件所确定的招标范围内相应图纸的全部内容，以及为完成上述内容所必须的临时工程、材料、劳务及所需的全部费用；</w:t>
      </w:r>
    </w:p>
    <w:p>
      <w:pPr>
        <w:spacing w:line="500" w:lineRule="exact"/>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14.2 投标人应充分考虑施工期间政策和价格风险，以及所有根据合同或其它原因应由投标人支付的税金和其它应交纳的费用一并计入总报价，中标后不作调整；</w:t>
      </w:r>
    </w:p>
    <w:p>
      <w:pPr>
        <w:adjustRightInd w:val="0"/>
        <w:spacing w:line="500" w:lineRule="exact"/>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    14.3 投标人只能提出一个不变价格，招标人不接受任何选择价。</w:t>
      </w:r>
    </w:p>
    <w:p>
      <w:pPr>
        <w:pStyle w:val="5"/>
        <w:spacing w:line="500" w:lineRule="exact"/>
        <w:jc w:val="center"/>
        <w:rPr>
          <w:rFonts w:hint="eastAsia" w:cs="宋体" w:asciiTheme="minorEastAsia" w:hAnsiTheme="minorEastAsia" w:eastAsiaTheme="minorEastAsia"/>
          <w:kern w:val="0"/>
          <w:sz w:val="21"/>
          <w:szCs w:val="21"/>
          <w:lang w:val="en-US" w:eastAsia="zh-CN" w:bidi="ar-SA"/>
        </w:rPr>
      </w:pPr>
      <w:bookmarkStart w:id="54" w:name="_Toc329278155"/>
      <w:bookmarkStart w:id="55" w:name="_Toc355649948"/>
      <w:bookmarkStart w:id="56" w:name="_Toc364457265"/>
      <w:bookmarkStart w:id="57" w:name="_Toc357868220"/>
      <w:bookmarkStart w:id="58" w:name="_Toc326060511"/>
      <w:bookmarkStart w:id="59" w:name="_Toc354923125"/>
      <w:bookmarkStart w:id="60" w:name="_Toc354922986"/>
      <w:bookmarkStart w:id="61" w:name="_Toc354404035"/>
      <w:bookmarkStart w:id="62" w:name="_Toc356744040"/>
      <w:r>
        <w:rPr>
          <w:rFonts w:hint="eastAsia" w:cs="宋体" w:asciiTheme="minorEastAsia" w:hAnsiTheme="minorEastAsia" w:eastAsiaTheme="minorEastAsia"/>
          <w:kern w:val="0"/>
          <w:sz w:val="21"/>
          <w:szCs w:val="21"/>
          <w:lang w:val="en-US" w:eastAsia="zh-CN" w:bidi="ar-SA"/>
        </w:rPr>
        <w:t>七、竣工验收与结算</w:t>
      </w:r>
      <w:bookmarkEnd w:id="54"/>
      <w:bookmarkEnd w:id="55"/>
      <w:bookmarkEnd w:id="56"/>
      <w:bookmarkEnd w:id="57"/>
      <w:bookmarkEnd w:id="58"/>
      <w:bookmarkEnd w:id="59"/>
      <w:bookmarkEnd w:id="60"/>
      <w:bookmarkEnd w:id="61"/>
      <w:bookmarkEnd w:id="62"/>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15．竣工验收</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15．1承包人提供竣工图的约定：        (待定)                  </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                                     //                        </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15．2中间交工工程的范围和竣工时间：                            </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15．3竣工结算：审减金额超过报审金额10%时，超过部分审计费用由施工单位承担，并承担一定的违约责任。</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p>
    <w:p>
      <w:pPr>
        <w:pStyle w:val="5"/>
        <w:spacing w:line="500" w:lineRule="exact"/>
        <w:jc w:val="center"/>
        <w:rPr>
          <w:rFonts w:hint="eastAsia" w:cs="宋体" w:asciiTheme="minorEastAsia" w:hAnsiTheme="minorEastAsia" w:eastAsiaTheme="minorEastAsia"/>
          <w:kern w:val="0"/>
          <w:sz w:val="21"/>
          <w:szCs w:val="21"/>
          <w:lang w:val="en-US" w:eastAsia="zh-CN" w:bidi="ar-SA"/>
        </w:rPr>
      </w:pPr>
      <w:bookmarkStart w:id="63" w:name="_Toc357868221"/>
      <w:bookmarkStart w:id="64" w:name="_Toc355649949"/>
      <w:bookmarkStart w:id="65" w:name="_Toc356744041"/>
      <w:bookmarkStart w:id="66" w:name="_Toc364457266"/>
      <w:bookmarkStart w:id="67" w:name="_Toc329278156"/>
      <w:bookmarkStart w:id="68" w:name="_Toc354404036"/>
      <w:bookmarkStart w:id="69" w:name="_Toc326060512"/>
      <w:bookmarkStart w:id="70" w:name="_Toc354922987"/>
      <w:bookmarkStart w:id="71" w:name="_Toc354923126"/>
      <w:r>
        <w:rPr>
          <w:rFonts w:hint="eastAsia" w:cs="宋体" w:asciiTheme="minorEastAsia" w:hAnsiTheme="minorEastAsia" w:eastAsiaTheme="minorEastAsia"/>
          <w:kern w:val="0"/>
          <w:sz w:val="21"/>
          <w:szCs w:val="21"/>
          <w:lang w:val="en-US" w:eastAsia="zh-CN" w:bidi="ar-SA"/>
        </w:rPr>
        <w:t>八、违约、索赔和争议</w:t>
      </w:r>
      <w:bookmarkEnd w:id="63"/>
      <w:bookmarkEnd w:id="64"/>
      <w:bookmarkEnd w:id="65"/>
      <w:bookmarkEnd w:id="66"/>
      <w:bookmarkEnd w:id="67"/>
      <w:bookmarkEnd w:id="68"/>
      <w:bookmarkEnd w:id="69"/>
      <w:bookmarkEnd w:id="70"/>
      <w:bookmarkEnd w:id="71"/>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16．违约</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16．1本合同中关于发包人违约的具体责任如下，</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本合同通用条款第24条约定发包人违约应承担的违约责任：甲方根据实际情况决定采取处罚措施。</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本合同通用条款第26.4款约定发包人违约应承担的违约责任:     //            </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本合同通用条款第33.3款约定发包人违约应承担的违约责任:     //            </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双方约定的发包人其他违约责任: 见补充条款。</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16．2本合同中关于承包人违约的具体责任如下:</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本合同通用条款第14.2款约定承包人违约承担的违约责任:  (待定)        </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本合同通用条款第15.1款约定承包人违约应承担的违约责任:  (待定)                                       </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双方约定的承包人其他违约责任:   (待定)                                 </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17．争议</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17．1双方约定，在履行合同过程中产生争议时:</w:t>
      </w:r>
    </w:p>
    <w:p>
      <w:pPr>
        <w:pStyle w:val="14"/>
        <w:numPr>
          <w:ilvl w:val="0"/>
          <w:numId w:val="32"/>
        </w:numPr>
        <w:spacing w:line="500" w:lineRule="exact"/>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双方本着友好协商方式解决。</w:t>
      </w:r>
    </w:p>
    <w:p>
      <w:pPr>
        <w:pStyle w:val="14"/>
        <w:numPr>
          <w:ilvl w:val="0"/>
          <w:numId w:val="32"/>
        </w:numPr>
        <w:spacing w:line="500" w:lineRule="exact"/>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协商不成的，向  工程所在地  人民法院提起诉讼。</w:t>
      </w:r>
    </w:p>
    <w:p>
      <w:pPr>
        <w:pStyle w:val="5"/>
        <w:spacing w:line="500" w:lineRule="exact"/>
        <w:jc w:val="center"/>
        <w:rPr>
          <w:rFonts w:hint="eastAsia" w:cs="宋体" w:asciiTheme="minorEastAsia" w:hAnsiTheme="minorEastAsia" w:eastAsiaTheme="minorEastAsia"/>
          <w:kern w:val="0"/>
          <w:sz w:val="21"/>
          <w:szCs w:val="21"/>
          <w:lang w:val="en-US" w:eastAsia="zh-CN" w:bidi="ar-SA"/>
        </w:rPr>
      </w:pPr>
      <w:bookmarkStart w:id="72" w:name="_Toc364457267"/>
      <w:bookmarkStart w:id="73" w:name="_Toc357868222"/>
      <w:bookmarkStart w:id="74" w:name="_Toc354923127"/>
      <w:bookmarkStart w:id="75" w:name="_Toc354922988"/>
      <w:bookmarkStart w:id="76" w:name="_Toc356744042"/>
      <w:bookmarkStart w:id="77" w:name="_Toc355649950"/>
      <w:bookmarkStart w:id="78" w:name="_Toc354404037"/>
      <w:bookmarkStart w:id="79" w:name="_Toc326060513"/>
      <w:bookmarkStart w:id="80" w:name="_Toc329278157"/>
      <w:r>
        <w:rPr>
          <w:rFonts w:hint="eastAsia" w:cs="宋体" w:asciiTheme="minorEastAsia" w:hAnsiTheme="minorEastAsia" w:eastAsiaTheme="minorEastAsia"/>
          <w:kern w:val="0"/>
          <w:sz w:val="21"/>
          <w:szCs w:val="21"/>
          <w:lang w:val="en-US" w:eastAsia="zh-CN" w:bidi="ar-SA"/>
        </w:rPr>
        <w:t>九、其他</w:t>
      </w:r>
      <w:bookmarkEnd w:id="72"/>
      <w:bookmarkEnd w:id="73"/>
      <w:bookmarkEnd w:id="74"/>
      <w:bookmarkEnd w:id="75"/>
      <w:bookmarkEnd w:id="76"/>
      <w:bookmarkEnd w:id="77"/>
      <w:bookmarkEnd w:id="78"/>
      <w:bookmarkEnd w:id="79"/>
      <w:bookmarkEnd w:id="80"/>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18．工程分包</w:t>
      </w:r>
    </w:p>
    <w:p>
      <w:pPr>
        <w:pStyle w:val="11"/>
        <w:spacing w:line="500" w:lineRule="exact"/>
        <w:ind w:left="680"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18．1本工程主体工程不允许分包。其他配套专业若确需分包，分包商须经得发包人同意。</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19．不可抗力</w:t>
      </w:r>
    </w:p>
    <w:p>
      <w:pPr>
        <w:pStyle w:val="11"/>
        <w:spacing w:line="500" w:lineRule="exact"/>
        <w:ind w:left="680"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19．1双方关于不可抗力的约定:  所发生的工期相应顺延，但涉及的费用根据国家有关规定由双方分担。 </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20．保险</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20．1本工程双方约定投保内容如下:</w:t>
      </w:r>
    </w:p>
    <w:p>
      <w:pPr>
        <w:pStyle w:val="14"/>
        <w:spacing w:line="500" w:lineRule="exact"/>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(l)发包人投保内容:      无            </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发包人委托承包人办理的保险事项:    无          </w:t>
      </w:r>
    </w:p>
    <w:p>
      <w:pPr>
        <w:pStyle w:val="14"/>
        <w:spacing w:line="500" w:lineRule="exact"/>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    (2)承包人投保内容:       无         </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21．担保</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21．1本工程双方约定担保事项如下:</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(l)发包人向承包人提供履约担保，担保方式为:    (待定)     担保合同作为本合同附件。</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(2)承包人向发包人提供履约担保，担保方式为:   中标人在接到中标通知书后10日内，按中标价的5%交纳履约保证金，以转账或电汇交纳至到招标人指定账户。    </w:t>
      </w:r>
    </w:p>
    <w:p>
      <w:pPr>
        <w:pStyle w:val="14"/>
        <w:spacing w:line="500" w:lineRule="exact"/>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    (3)双方约定的其他担保事项:               (待定)                          </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22．合同份数</w:t>
      </w:r>
    </w:p>
    <w:p>
      <w:pPr>
        <w:pStyle w:val="14"/>
        <w:spacing w:line="500" w:lineRule="exact"/>
        <w:ind w:firstLine="472" w:firstLineChars="225"/>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22．1双方约定合同副本份数:正本2份，副本4份</w:t>
      </w:r>
    </w:p>
    <w:p>
      <w:pPr>
        <w:pStyle w:val="14"/>
        <w:spacing w:line="500" w:lineRule="exact"/>
        <w:ind w:firstLine="470" w:firstLineChars="224"/>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23．补充条款</w:t>
      </w:r>
    </w:p>
    <w:p>
      <w:pPr>
        <w:pStyle w:val="14"/>
        <w:spacing w:line="500" w:lineRule="exact"/>
        <w:ind w:firstLine="48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审减金额超过报审金额10%时，超过部分审计费用由施工单位承担，并承担一定的违约责任。</w:t>
      </w:r>
    </w:p>
    <w:p>
      <w:pPr>
        <w:spacing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24．其他未尽事宜由双方协商后确定：</w:t>
      </w:r>
    </w:p>
    <w:p>
      <w:pPr>
        <w:spacing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(1)若承包方未达到双方约定的工程质量要求，承担其由此产生的一切责任。</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(2)经甲乙双方签字盖章后方可生效。</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p>
    <w:p>
      <w:pPr>
        <w:spacing w:line="360" w:lineRule="auto"/>
        <w:jc w:val="center"/>
        <w:outlineLvl w:val="1"/>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br w:type="page"/>
      </w:r>
    </w:p>
    <w:p>
      <w:pPr>
        <w:spacing w:line="440" w:lineRule="exact"/>
        <w:ind w:firstLine="482" w:firstLineChars="200"/>
        <w:jc w:val="center"/>
        <w:rPr>
          <w:rFonts w:hint="eastAsia" w:ascii="仿宋" w:hAnsi="仿宋" w:eastAsia="仿宋"/>
          <w:b/>
          <w:sz w:val="24"/>
          <w:szCs w:val="24"/>
        </w:rPr>
      </w:pPr>
      <w:r>
        <w:rPr>
          <w:rFonts w:hint="eastAsia" w:ascii="仿宋" w:hAnsi="仿宋" w:eastAsia="仿宋"/>
          <w:b/>
          <w:sz w:val="24"/>
          <w:szCs w:val="24"/>
        </w:rPr>
        <w:t>合同协议书</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                     (发包人名称，以下简称“发包人” )为实施           (项目名称)，己接受                  (承包人名称，以下简称“承包人” )对该项目工程施工的投标。发包人和承包人共同达成如下协议。</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1．本协议书与下列文件一起构成合同文件：</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(l)中标通知书；</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(2)投标函及投标函附录；</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(3)专用合同条款；</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(4)通用合同条款；</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(5)技术标准和要求；</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(6) 已标价的工程量清单；</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(7)图纸；</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(8)其他合同文件。</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2．上述文件互相补充和解释，如有不明确或不一致之处，以合同约定次序在先者为准。</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3．签约合同价：人民币(大写)                元(￥              )。</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4．承包人项目经理(建造师)：                     </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5．工程质量符合                     标准。</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6．承包人承诺按合同约定承担工程的实施、完成及缺陷修复。</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7．发包人承诺按合同约定的条件、时间和方式向承包人支付合同价款。</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8．承包人应按照监理人指示开工，工期为      日历天。</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9．本协议书一式     份，合同双方各执      份。</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10.双方签字盖章后生效。</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11．合同未尽事宜，双方另行签订补充协议。补充协议是合同的组成部分。</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发包人：             (单位盖章)             </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法定代表人或其委托代理人：     (签字)     </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承包人：             (单位盖章)           </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法定代表人或其委托代理人：     (签字)     </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r>
        <w:rPr>
          <w:rFonts w:hint="eastAsia" w:cs="宋体" w:asciiTheme="minorEastAsia" w:hAnsiTheme="minorEastAsia" w:eastAsiaTheme="minorEastAsia"/>
          <w:kern w:val="0"/>
          <w:sz w:val="21"/>
          <w:szCs w:val="21"/>
          <w:lang w:val="en-US" w:eastAsia="zh-CN" w:bidi="ar-SA"/>
        </w:rPr>
        <w:t xml:space="preserve">  </w:t>
      </w: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p>
    <w:p>
      <w:pPr>
        <w:autoSpaceDE w:val="0"/>
        <w:autoSpaceDN w:val="0"/>
        <w:adjustRightInd w:val="0"/>
        <w:spacing w:before="156" w:beforeLines="50" w:after="156" w:afterLines="50" w:line="360" w:lineRule="auto"/>
        <w:ind w:firstLine="420" w:firstLineChars="200"/>
        <w:rPr>
          <w:rFonts w:hint="eastAsia" w:cs="宋体" w:asciiTheme="minorEastAsia" w:hAnsiTheme="minorEastAsia" w:eastAsiaTheme="minorEastAsia"/>
          <w:kern w:val="0"/>
          <w:sz w:val="21"/>
          <w:szCs w:val="21"/>
          <w:lang w:val="en-US" w:eastAsia="zh-CN" w:bidi="ar-SA"/>
        </w:rPr>
      </w:pPr>
    </w:p>
    <w:p>
      <w:pPr>
        <w:pStyle w:val="14"/>
        <w:spacing w:line="360" w:lineRule="auto"/>
        <w:contextualSpacing/>
        <w:jc w:val="center"/>
        <w:rPr>
          <w:rFonts w:cs="宋体" w:asciiTheme="majorEastAsia" w:hAnsiTheme="majorEastAsia" w:eastAsiaTheme="majorEastAsia"/>
          <w:b/>
          <w:kern w:val="0"/>
          <w:sz w:val="36"/>
          <w:szCs w:val="36"/>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pPr>
        <w:tabs>
          <w:tab w:val="left" w:pos="1260"/>
        </w:tabs>
        <w:autoSpaceDE w:val="0"/>
        <w:autoSpaceDN w:val="0"/>
        <w:adjustRightInd w:val="0"/>
        <w:spacing w:line="360" w:lineRule="auto"/>
        <w:contextualSpacing/>
        <w:jc w:val="center"/>
        <w:rPr>
          <w:rFonts w:cs="黑体" w:asciiTheme="minorEastAsia" w:hAnsiTheme="minorEastAsia"/>
          <w:b/>
          <w:bCs/>
          <w:sz w:val="44"/>
          <w:szCs w:val="44"/>
          <w:lang w:val="zh-CN"/>
        </w:rPr>
      </w:pPr>
      <w:r>
        <w:rPr>
          <w:rFonts w:hint="eastAsia" w:cs="宋体" w:asciiTheme="majorEastAsia" w:hAnsiTheme="majorEastAsia" w:eastAsiaTheme="majorEastAsia"/>
          <w:b/>
          <w:kern w:val="0"/>
          <w:sz w:val="32"/>
          <w:szCs w:val="32"/>
        </w:rPr>
        <w:t>第八章 响应文件有关格式</w:t>
      </w:r>
    </w:p>
    <w:p>
      <w:pPr>
        <w:autoSpaceDE w:val="0"/>
        <w:autoSpaceDN w:val="0"/>
        <w:adjustRightInd w:val="0"/>
        <w:spacing w:line="700" w:lineRule="exact"/>
        <w:ind w:firstLine="551"/>
        <w:jc w:val="center"/>
        <w:rPr>
          <w:rFonts w:cs="黑体" w:asciiTheme="minorEastAsia" w:hAnsiTheme="minorEastAsia"/>
          <w:b/>
          <w:bCs/>
          <w:sz w:val="44"/>
          <w:szCs w:val="44"/>
          <w:lang w:val="zh-CN"/>
        </w:rPr>
      </w:pPr>
    </w:p>
    <w:p>
      <w:pPr>
        <w:pStyle w:val="55"/>
        <w:numPr>
          <w:ilvl w:val="0"/>
          <w:numId w:val="0"/>
        </w:numPr>
        <w:tabs>
          <w:tab w:val="left" w:pos="660"/>
        </w:tabs>
        <w:snapToGrid w:val="0"/>
        <w:spacing w:before="0" w:line="400" w:lineRule="exact"/>
        <w:rPr>
          <w:rFonts w:cs="黑体" w:asciiTheme="minorEastAsia" w:hAnsiTheme="minorEastAsia" w:eastAsiaTheme="minorEastAsia"/>
          <w:color w:val="auto"/>
          <w:kern w:val="2"/>
          <w:sz w:val="28"/>
          <w:szCs w:val="28"/>
          <w:lang w:val="zh-CN"/>
        </w:rPr>
      </w:pPr>
      <w:r>
        <w:rPr>
          <w:rFonts w:hint="eastAsia" w:cs="黑体" w:asciiTheme="minorEastAsia" w:hAnsiTheme="minorEastAsia" w:eastAsiaTheme="minorEastAsia"/>
          <w:color w:val="auto"/>
          <w:kern w:val="2"/>
          <w:sz w:val="28"/>
          <w:szCs w:val="28"/>
          <w:lang w:val="zh-CN"/>
        </w:rPr>
        <w:t>一、投标人应答索引表</w:t>
      </w:r>
    </w:p>
    <w:tbl>
      <w:tblPr>
        <w:tblStyle w:val="24"/>
        <w:tblW w:w="9356"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68"/>
        <w:gridCol w:w="774"/>
        <w:gridCol w:w="284"/>
        <w:gridCol w:w="425"/>
        <w:gridCol w:w="2268"/>
        <w:gridCol w:w="1559"/>
        <w:gridCol w:w="1560"/>
        <w:gridCol w:w="20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468" w:type="dxa"/>
            <w:vAlign w:val="center"/>
          </w:tcPr>
          <w:p>
            <w:pPr>
              <w:snapToGrid w:val="0"/>
              <w:spacing w:line="400" w:lineRule="exact"/>
              <w:jc w:val="center"/>
              <w:rPr>
                <w:rFonts w:ascii="宋体" w:hAnsi="宋体" w:cs="微软雅黑"/>
                <w:b/>
                <w:szCs w:val="21"/>
              </w:rPr>
            </w:pPr>
            <w:r>
              <w:rPr>
                <w:rFonts w:hint="eastAsia" w:ascii="宋体" w:hAnsi="宋体" w:cs="微软雅黑"/>
                <w:b/>
                <w:szCs w:val="21"/>
              </w:rPr>
              <w:t>序号</w:t>
            </w:r>
          </w:p>
        </w:tc>
        <w:tc>
          <w:tcPr>
            <w:tcW w:w="3751" w:type="dxa"/>
            <w:gridSpan w:val="4"/>
            <w:vAlign w:val="center"/>
          </w:tcPr>
          <w:p>
            <w:pPr>
              <w:snapToGrid w:val="0"/>
              <w:spacing w:line="400" w:lineRule="exact"/>
              <w:jc w:val="center"/>
              <w:rPr>
                <w:rFonts w:ascii="宋体" w:hAnsi="宋体" w:cs="微软雅黑"/>
                <w:b/>
                <w:szCs w:val="21"/>
              </w:rPr>
            </w:pPr>
            <w:r>
              <w:rPr>
                <w:rFonts w:hint="eastAsia" w:ascii="宋体" w:hAnsi="宋体" w:cs="微软雅黑"/>
                <w:b/>
                <w:szCs w:val="21"/>
              </w:rPr>
              <w:t>项  目</w:t>
            </w:r>
          </w:p>
        </w:tc>
        <w:tc>
          <w:tcPr>
            <w:tcW w:w="1559" w:type="dxa"/>
            <w:vAlign w:val="center"/>
          </w:tcPr>
          <w:p>
            <w:pPr>
              <w:snapToGrid w:val="0"/>
              <w:spacing w:line="400" w:lineRule="exact"/>
              <w:jc w:val="center"/>
              <w:rPr>
                <w:rFonts w:ascii="宋体" w:hAnsi="宋体" w:cs="微软雅黑"/>
                <w:b/>
                <w:szCs w:val="21"/>
              </w:rPr>
            </w:pPr>
            <w:r>
              <w:rPr>
                <w:rFonts w:hint="eastAsia" w:ascii="宋体" w:hAnsi="宋体" w:cs="微软雅黑"/>
                <w:b/>
                <w:szCs w:val="21"/>
              </w:rPr>
              <w:t>投标人应答</w:t>
            </w:r>
          </w:p>
          <w:p>
            <w:pPr>
              <w:snapToGrid w:val="0"/>
              <w:spacing w:line="400" w:lineRule="exact"/>
              <w:jc w:val="center"/>
              <w:rPr>
                <w:rFonts w:ascii="宋体" w:hAnsi="宋体" w:cs="微软雅黑"/>
                <w:b/>
                <w:szCs w:val="21"/>
              </w:rPr>
            </w:pPr>
            <w:r>
              <w:rPr>
                <w:rFonts w:hint="eastAsia" w:ascii="宋体" w:hAnsi="宋体" w:cs="微软雅黑"/>
                <w:b/>
                <w:szCs w:val="21"/>
              </w:rPr>
              <w:t>（有/没有）</w:t>
            </w:r>
          </w:p>
        </w:tc>
        <w:tc>
          <w:tcPr>
            <w:tcW w:w="1560" w:type="dxa"/>
            <w:vAlign w:val="center"/>
          </w:tcPr>
          <w:p>
            <w:pPr>
              <w:snapToGrid w:val="0"/>
              <w:spacing w:line="400" w:lineRule="exact"/>
              <w:jc w:val="center"/>
              <w:rPr>
                <w:rFonts w:ascii="宋体" w:hAnsi="宋体" w:cs="微软雅黑"/>
                <w:b/>
                <w:szCs w:val="21"/>
              </w:rPr>
            </w:pPr>
            <w:r>
              <w:rPr>
                <w:rFonts w:hint="eastAsia" w:ascii="宋体" w:hAnsi="宋体" w:cs="微软雅黑"/>
                <w:b/>
                <w:szCs w:val="21"/>
              </w:rPr>
              <w:t>投标文件中所在页码</w:t>
            </w:r>
          </w:p>
        </w:tc>
        <w:tc>
          <w:tcPr>
            <w:tcW w:w="2018" w:type="dxa"/>
            <w:vAlign w:val="center"/>
          </w:tcPr>
          <w:p>
            <w:pPr>
              <w:snapToGrid w:val="0"/>
              <w:spacing w:line="400" w:lineRule="exact"/>
              <w:jc w:val="center"/>
              <w:rPr>
                <w:rFonts w:ascii="宋体" w:hAnsi="宋体" w:cs="微软雅黑"/>
                <w:b/>
                <w:szCs w:val="21"/>
              </w:rPr>
            </w:pPr>
            <w:r>
              <w:rPr>
                <w:rFonts w:hint="eastAsia" w:ascii="宋体" w:hAnsi="宋体" w:cs="微软雅黑"/>
                <w:b/>
                <w:szCs w:val="21"/>
              </w:rPr>
              <w:t>备注说明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w:t>
            </w:r>
          </w:p>
        </w:tc>
        <w:tc>
          <w:tcPr>
            <w:tcW w:w="3751" w:type="dxa"/>
            <w:gridSpan w:val="4"/>
            <w:vAlign w:val="center"/>
          </w:tcPr>
          <w:p>
            <w:pPr>
              <w:pStyle w:val="14"/>
              <w:kinsoku w:val="0"/>
              <w:overflowPunct w:val="0"/>
              <w:autoSpaceDE w:val="0"/>
              <w:autoSpaceDN w:val="0"/>
              <w:spacing w:line="320" w:lineRule="exact"/>
              <w:rPr>
                <w:rFonts w:hAnsi="宋体" w:cs="微软雅黑"/>
                <w:bCs/>
                <w:kern w:val="0"/>
                <w:sz w:val="21"/>
                <w:szCs w:val="21"/>
              </w:rPr>
            </w:pPr>
            <w:r>
              <w:rPr>
                <w:rFonts w:hint="eastAsia" w:hAnsi="宋体"/>
                <w:kern w:val="0"/>
                <w:sz w:val="21"/>
                <w:szCs w:val="21"/>
              </w:rPr>
              <w:t>供应商应答索引表</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w:t>
            </w:r>
          </w:p>
        </w:tc>
        <w:tc>
          <w:tcPr>
            <w:tcW w:w="3751" w:type="dxa"/>
            <w:gridSpan w:val="4"/>
            <w:vAlign w:val="center"/>
          </w:tcPr>
          <w:p>
            <w:pPr>
              <w:pStyle w:val="14"/>
              <w:kinsoku w:val="0"/>
              <w:overflowPunct w:val="0"/>
              <w:autoSpaceDE w:val="0"/>
              <w:autoSpaceDN w:val="0"/>
              <w:spacing w:line="320" w:lineRule="exact"/>
              <w:rPr>
                <w:rFonts w:hAnsi="宋体"/>
                <w:kern w:val="0"/>
                <w:sz w:val="21"/>
                <w:szCs w:val="21"/>
              </w:rPr>
            </w:pPr>
            <w:r>
              <w:rPr>
                <w:rFonts w:hint="eastAsia" w:hAnsi="宋体"/>
                <w:kern w:val="0"/>
                <w:sz w:val="21"/>
                <w:szCs w:val="21"/>
              </w:rPr>
              <w:t>报价一览表</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3</w:t>
            </w:r>
          </w:p>
        </w:tc>
        <w:tc>
          <w:tcPr>
            <w:tcW w:w="3751" w:type="dxa"/>
            <w:gridSpan w:val="4"/>
            <w:vAlign w:val="center"/>
          </w:tcPr>
          <w:p>
            <w:pPr>
              <w:pStyle w:val="14"/>
              <w:kinsoku w:val="0"/>
              <w:overflowPunct w:val="0"/>
              <w:autoSpaceDE w:val="0"/>
              <w:autoSpaceDN w:val="0"/>
              <w:spacing w:line="320" w:lineRule="exact"/>
              <w:rPr>
                <w:rFonts w:hAnsi="宋体" w:cs="微软雅黑"/>
                <w:bCs/>
                <w:kern w:val="0"/>
                <w:sz w:val="21"/>
                <w:szCs w:val="21"/>
              </w:rPr>
            </w:pPr>
            <w:r>
              <w:rPr>
                <w:rFonts w:hint="eastAsia" w:hAnsi="宋体"/>
                <w:kern w:val="0"/>
                <w:sz w:val="21"/>
                <w:szCs w:val="21"/>
              </w:rPr>
              <w:t>投标函</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4</w:t>
            </w:r>
          </w:p>
        </w:tc>
        <w:tc>
          <w:tcPr>
            <w:tcW w:w="3751" w:type="dxa"/>
            <w:gridSpan w:val="4"/>
            <w:vAlign w:val="center"/>
          </w:tcPr>
          <w:p>
            <w:pPr>
              <w:pStyle w:val="14"/>
              <w:kinsoku w:val="0"/>
              <w:overflowPunct w:val="0"/>
              <w:autoSpaceDE w:val="0"/>
              <w:autoSpaceDN w:val="0"/>
              <w:spacing w:line="320" w:lineRule="exact"/>
              <w:rPr>
                <w:rFonts w:hAnsi="宋体"/>
                <w:kern w:val="0"/>
                <w:sz w:val="21"/>
                <w:szCs w:val="21"/>
              </w:rPr>
            </w:pPr>
            <w:r>
              <w:rPr>
                <w:rFonts w:hint="eastAsia" w:asciiTheme="majorEastAsia" w:hAnsiTheme="majorEastAsia" w:eastAsiaTheme="majorEastAsia" w:cstheme="majorEastAsia"/>
                <w:bCs/>
                <w:sz w:val="21"/>
                <w:szCs w:val="21"/>
                <w:lang w:val="zh-CN"/>
              </w:rPr>
              <w:t>法定代表人（单位负责人）</w:t>
            </w:r>
            <w:r>
              <w:rPr>
                <w:rFonts w:asciiTheme="majorEastAsia" w:hAnsiTheme="majorEastAsia" w:eastAsiaTheme="majorEastAsia" w:cstheme="majorEastAsia"/>
                <w:bCs/>
                <w:sz w:val="21"/>
                <w:szCs w:val="21"/>
                <w:lang w:val="zh-CN"/>
              </w:rPr>
              <w:t>资</w:t>
            </w:r>
            <w:r>
              <w:rPr>
                <w:rFonts w:hint="eastAsia" w:asciiTheme="majorEastAsia" w:hAnsiTheme="majorEastAsia" w:eastAsiaTheme="majorEastAsia" w:cstheme="majorEastAsia"/>
                <w:bCs/>
                <w:sz w:val="21"/>
                <w:szCs w:val="21"/>
                <w:lang w:val="zh-CN"/>
              </w:rPr>
              <w:t>格</w:t>
            </w:r>
            <w:r>
              <w:rPr>
                <w:rFonts w:asciiTheme="majorEastAsia" w:hAnsiTheme="majorEastAsia" w:eastAsiaTheme="majorEastAsia" w:cstheme="majorEastAsia"/>
                <w:bCs/>
                <w:sz w:val="21"/>
                <w:szCs w:val="21"/>
                <w:lang w:val="zh-CN"/>
              </w:rPr>
              <w:t>证</w:t>
            </w:r>
            <w:r>
              <w:rPr>
                <w:rFonts w:hint="eastAsia" w:asciiTheme="majorEastAsia" w:hAnsiTheme="majorEastAsia" w:eastAsiaTheme="majorEastAsia" w:cstheme="majorEastAsia"/>
                <w:bCs/>
                <w:sz w:val="21"/>
                <w:szCs w:val="21"/>
                <w:lang w:val="zh-CN"/>
              </w:rPr>
              <w:t>明</w:t>
            </w:r>
            <w:r>
              <w:rPr>
                <w:rFonts w:asciiTheme="majorEastAsia" w:hAnsiTheme="majorEastAsia" w:eastAsiaTheme="majorEastAsia" w:cstheme="majorEastAsia"/>
                <w:bCs/>
                <w:sz w:val="21"/>
                <w:szCs w:val="21"/>
                <w:lang w:val="zh-CN"/>
              </w:rPr>
              <w:t>书</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5</w:t>
            </w:r>
          </w:p>
        </w:tc>
        <w:tc>
          <w:tcPr>
            <w:tcW w:w="3751" w:type="dxa"/>
            <w:gridSpan w:val="4"/>
            <w:vAlign w:val="center"/>
          </w:tcPr>
          <w:p>
            <w:pPr>
              <w:pStyle w:val="14"/>
              <w:kinsoku w:val="0"/>
              <w:overflowPunct w:val="0"/>
              <w:autoSpaceDE w:val="0"/>
              <w:autoSpaceDN w:val="0"/>
              <w:spacing w:line="320" w:lineRule="exact"/>
              <w:rPr>
                <w:rFonts w:hAnsi="宋体"/>
                <w:kern w:val="0"/>
                <w:sz w:val="21"/>
                <w:szCs w:val="21"/>
              </w:rPr>
            </w:pPr>
            <w:r>
              <w:rPr>
                <w:rFonts w:hint="eastAsia" w:hAnsi="宋体"/>
                <w:kern w:val="0"/>
                <w:sz w:val="21"/>
                <w:szCs w:val="21"/>
              </w:rPr>
              <w:t>法定代表人（单位负责人）授权书</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6</w:t>
            </w:r>
          </w:p>
        </w:tc>
        <w:tc>
          <w:tcPr>
            <w:tcW w:w="3751" w:type="dxa"/>
            <w:gridSpan w:val="4"/>
            <w:vAlign w:val="center"/>
          </w:tcPr>
          <w:p>
            <w:pPr>
              <w:pStyle w:val="14"/>
              <w:kinsoku w:val="0"/>
              <w:overflowPunct w:val="0"/>
              <w:autoSpaceDE w:val="0"/>
              <w:autoSpaceDN w:val="0"/>
              <w:spacing w:line="320" w:lineRule="exact"/>
              <w:rPr>
                <w:rFonts w:hAnsi="宋体"/>
                <w:kern w:val="0"/>
                <w:sz w:val="21"/>
                <w:szCs w:val="21"/>
              </w:rPr>
            </w:pPr>
            <w:r>
              <w:rPr>
                <w:rFonts w:hint="eastAsia" w:hAnsi="宋体"/>
                <w:kern w:val="0"/>
                <w:sz w:val="21"/>
                <w:szCs w:val="21"/>
              </w:rPr>
              <w:t>营业执照等证明</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7</w:t>
            </w:r>
          </w:p>
        </w:tc>
        <w:tc>
          <w:tcPr>
            <w:tcW w:w="3751" w:type="dxa"/>
            <w:gridSpan w:val="4"/>
            <w:vAlign w:val="center"/>
          </w:tcPr>
          <w:p>
            <w:pPr>
              <w:pStyle w:val="14"/>
              <w:kinsoku w:val="0"/>
              <w:overflowPunct w:val="0"/>
              <w:autoSpaceDE w:val="0"/>
              <w:autoSpaceDN w:val="0"/>
              <w:spacing w:line="320" w:lineRule="exact"/>
              <w:rPr>
                <w:rFonts w:hAnsi="宋体"/>
                <w:kern w:val="0"/>
                <w:sz w:val="21"/>
                <w:szCs w:val="21"/>
              </w:rPr>
            </w:pPr>
            <w:r>
              <w:rPr>
                <w:rFonts w:hint="eastAsia" w:asciiTheme="minorEastAsia" w:hAnsiTheme="minorEastAsia"/>
                <w:bCs/>
                <w:sz w:val="21"/>
                <w:szCs w:val="21"/>
              </w:rPr>
              <w:t>依法纳税凭据复印件</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Merge w:val="restart"/>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8</w:t>
            </w:r>
          </w:p>
        </w:tc>
        <w:tc>
          <w:tcPr>
            <w:tcW w:w="774" w:type="dxa"/>
            <w:vMerge w:val="restart"/>
            <w:tcBorders>
              <w:right w:val="single" w:color="auto" w:sz="4" w:space="0"/>
            </w:tcBorders>
            <w:vAlign w:val="center"/>
          </w:tcPr>
          <w:p>
            <w:pPr>
              <w:snapToGrid w:val="0"/>
              <w:spacing w:line="400" w:lineRule="exact"/>
              <w:jc w:val="center"/>
              <w:rPr>
                <w:rFonts w:ascii="宋体" w:hAnsi="宋体" w:cs="微软雅黑"/>
                <w:szCs w:val="21"/>
              </w:rPr>
            </w:pPr>
            <w:r>
              <w:rPr>
                <w:rFonts w:hint="eastAsia" w:ascii="宋体" w:hAnsi="宋体" w:cs="微软雅黑"/>
                <w:szCs w:val="21"/>
              </w:rPr>
              <w:t>财务状况报告</w:t>
            </w:r>
          </w:p>
        </w:tc>
        <w:tc>
          <w:tcPr>
            <w:tcW w:w="709" w:type="dxa"/>
            <w:gridSpan w:val="2"/>
            <w:vMerge w:val="restart"/>
            <w:tcBorders>
              <w:left w:val="single" w:color="auto" w:sz="4" w:space="0"/>
              <w:right w:val="single" w:color="auto" w:sz="6" w:space="0"/>
            </w:tcBorders>
            <w:vAlign w:val="center"/>
          </w:tcPr>
          <w:p>
            <w:pPr>
              <w:snapToGrid w:val="0"/>
              <w:spacing w:line="400" w:lineRule="exact"/>
              <w:rPr>
                <w:rFonts w:ascii="宋体" w:hAnsi="宋体" w:cs="微软雅黑"/>
                <w:szCs w:val="21"/>
              </w:rPr>
            </w:pPr>
            <w:r>
              <w:rPr>
                <w:rFonts w:hint="eastAsia" w:ascii="宋体" w:hAnsi="宋体" w:cs="微软雅黑"/>
                <w:szCs w:val="21"/>
              </w:rPr>
              <w:t>经审计财务报告</w:t>
            </w:r>
          </w:p>
        </w:tc>
        <w:tc>
          <w:tcPr>
            <w:tcW w:w="2268" w:type="dxa"/>
            <w:tcBorders>
              <w:left w:val="single" w:color="auto" w:sz="6" w:space="0"/>
            </w:tcBorders>
            <w:vAlign w:val="center"/>
          </w:tcPr>
          <w:p>
            <w:pPr>
              <w:snapToGrid w:val="0"/>
              <w:spacing w:line="400" w:lineRule="exact"/>
              <w:rPr>
                <w:rFonts w:ascii="宋体" w:hAnsi="宋体" w:cs="微软雅黑"/>
                <w:szCs w:val="21"/>
              </w:rPr>
            </w:pPr>
            <w:r>
              <w:rPr>
                <w:rFonts w:hint="eastAsia" w:ascii="宋体" w:hAnsi="宋体" w:cs="微软雅黑"/>
                <w:szCs w:val="21"/>
              </w:rPr>
              <w:t>资产负债表</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Merge w:val="continue"/>
            <w:vAlign w:val="center"/>
          </w:tcPr>
          <w:p>
            <w:pPr>
              <w:numPr>
                <w:ilvl w:val="0"/>
                <w:numId w:val="33"/>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szCs w:val="21"/>
              </w:rPr>
            </w:pPr>
          </w:p>
        </w:tc>
        <w:tc>
          <w:tcPr>
            <w:tcW w:w="709" w:type="dxa"/>
            <w:gridSpan w:val="2"/>
            <w:vMerge w:val="continue"/>
            <w:tcBorders>
              <w:left w:val="single" w:color="auto" w:sz="4" w:space="0"/>
              <w:right w:val="single" w:color="auto" w:sz="6" w:space="0"/>
            </w:tcBorders>
            <w:vAlign w:val="center"/>
          </w:tcPr>
          <w:p>
            <w:pPr>
              <w:snapToGrid w:val="0"/>
              <w:spacing w:line="400" w:lineRule="exact"/>
              <w:rPr>
                <w:rFonts w:ascii="宋体" w:hAnsi="宋体" w:cs="微软雅黑"/>
                <w:szCs w:val="21"/>
              </w:rPr>
            </w:pPr>
          </w:p>
        </w:tc>
        <w:tc>
          <w:tcPr>
            <w:tcW w:w="2268" w:type="dxa"/>
            <w:tcBorders>
              <w:left w:val="single" w:color="auto" w:sz="6" w:space="0"/>
            </w:tcBorders>
            <w:vAlign w:val="center"/>
          </w:tcPr>
          <w:p>
            <w:pPr>
              <w:snapToGrid w:val="0"/>
              <w:spacing w:line="400" w:lineRule="exact"/>
              <w:rPr>
                <w:rFonts w:ascii="宋体" w:hAnsi="宋体" w:cs="微软雅黑"/>
                <w:szCs w:val="21"/>
              </w:rPr>
            </w:pPr>
            <w:r>
              <w:rPr>
                <w:rFonts w:hint="eastAsia" w:ascii="宋体" w:hAnsi="宋体" w:cs="微软雅黑"/>
                <w:szCs w:val="21"/>
              </w:rPr>
              <w:t>利润表</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Merge w:val="continue"/>
            <w:vAlign w:val="center"/>
          </w:tcPr>
          <w:p>
            <w:pPr>
              <w:numPr>
                <w:ilvl w:val="0"/>
                <w:numId w:val="33"/>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szCs w:val="21"/>
              </w:rPr>
            </w:pPr>
          </w:p>
        </w:tc>
        <w:tc>
          <w:tcPr>
            <w:tcW w:w="709" w:type="dxa"/>
            <w:gridSpan w:val="2"/>
            <w:vMerge w:val="continue"/>
            <w:tcBorders>
              <w:left w:val="single" w:color="auto" w:sz="4" w:space="0"/>
              <w:right w:val="single" w:color="auto" w:sz="6" w:space="0"/>
            </w:tcBorders>
            <w:vAlign w:val="center"/>
          </w:tcPr>
          <w:p>
            <w:pPr>
              <w:snapToGrid w:val="0"/>
              <w:spacing w:line="400" w:lineRule="exact"/>
              <w:rPr>
                <w:rFonts w:ascii="宋体" w:hAnsi="宋体" w:cs="微软雅黑"/>
                <w:szCs w:val="21"/>
              </w:rPr>
            </w:pPr>
          </w:p>
        </w:tc>
        <w:tc>
          <w:tcPr>
            <w:tcW w:w="2268" w:type="dxa"/>
            <w:tcBorders>
              <w:left w:val="single" w:color="auto" w:sz="6" w:space="0"/>
            </w:tcBorders>
            <w:vAlign w:val="center"/>
          </w:tcPr>
          <w:p>
            <w:pPr>
              <w:snapToGrid w:val="0"/>
              <w:spacing w:line="400" w:lineRule="exact"/>
              <w:rPr>
                <w:rFonts w:ascii="宋体" w:hAnsi="宋体" w:cs="微软雅黑"/>
                <w:szCs w:val="21"/>
              </w:rPr>
            </w:pPr>
            <w:r>
              <w:rPr>
                <w:rFonts w:hint="eastAsia" w:ascii="宋体" w:hAnsi="宋体" w:cs="微软雅黑"/>
                <w:szCs w:val="21"/>
              </w:rPr>
              <w:t>现金流量表</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Merge w:val="continue"/>
            <w:vAlign w:val="center"/>
          </w:tcPr>
          <w:p>
            <w:pPr>
              <w:numPr>
                <w:ilvl w:val="0"/>
                <w:numId w:val="33"/>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szCs w:val="21"/>
              </w:rPr>
            </w:pPr>
          </w:p>
        </w:tc>
        <w:tc>
          <w:tcPr>
            <w:tcW w:w="709" w:type="dxa"/>
            <w:gridSpan w:val="2"/>
            <w:vMerge w:val="continue"/>
            <w:tcBorders>
              <w:left w:val="single" w:color="auto" w:sz="4" w:space="0"/>
              <w:right w:val="single" w:color="auto" w:sz="6" w:space="0"/>
            </w:tcBorders>
            <w:vAlign w:val="center"/>
          </w:tcPr>
          <w:p>
            <w:pPr>
              <w:snapToGrid w:val="0"/>
              <w:spacing w:line="400" w:lineRule="exact"/>
              <w:rPr>
                <w:rFonts w:ascii="宋体" w:hAnsi="宋体" w:cs="微软雅黑"/>
                <w:szCs w:val="21"/>
              </w:rPr>
            </w:pPr>
          </w:p>
        </w:tc>
        <w:tc>
          <w:tcPr>
            <w:tcW w:w="2268" w:type="dxa"/>
            <w:tcBorders>
              <w:left w:val="single" w:color="auto" w:sz="6" w:space="0"/>
            </w:tcBorders>
            <w:vAlign w:val="center"/>
          </w:tcPr>
          <w:p>
            <w:pPr>
              <w:snapToGrid w:val="0"/>
              <w:spacing w:line="400" w:lineRule="exact"/>
              <w:rPr>
                <w:rFonts w:ascii="宋体" w:hAnsi="宋体" w:cs="微软雅黑"/>
                <w:szCs w:val="21"/>
              </w:rPr>
            </w:pPr>
            <w:r>
              <w:rPr>
                <w:rFonts w:hint="eastAsia" w:ascii="宋体" w:hAnsi="宋体" w:cs="微软雅黑"/>
                <w:szCs w:val="21"/>
              </w:rPr>
              <w:t>所有者权益变动表</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Merge w:val="continue"/>
            <w:vAlign w:val="center"/>
          </w:tcPr>
          <w:p>
            <w:pPr>
              <w:numPr>
                <w:ilvl w:val="0"/>
                <w:numId w:val="33"/>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szCs w:val="21"/>
              </w:rPr>
            </w:pPr>
          </w:p>
        </w:tc>
        <w:tc>
          <w:tcPr>
            <w:tcW w:w="709" w:type="dxa"/>
            <w:gridSpan w:val="2"/>
            <w:vMerge w:val="continue"/>
            <w:tcBorders>
              <w:left w:val="single" w:color="auto" w:sz="4" w:space="0"/>
              <w:right w:val="single" w:color="auto" w:sz="6" w:space="0"/>
            </w:tcBorders>
            <w:vAlign w:val="center"/>
          </w:tcPr>
          <w:p>
            <w:pPr>
              <w:snapToGrid w:val="0"/>
              <w:spacing w:line="400" w:lineRule="exact"/>
              <w:rPr>
                <w:rFonts w:ascii="宋体" w:hAnsi="宋体" w:cs="微软雅黑"/>
                <w:szCs w:val="21"/>
              </w:rPr>
            </w:pPr>
          </w:p>
        </w:tc>
        <w:tc>
          <w:tcPr>
            <w:tcW w:w="2268" w:type="dxa"/>
            <w:tcBorders>
              <w:left w:val="single" w:color="auto" w:sz="6" w:space="0"/>
            </w:tcBorders>
            <w:vAlign w:val="center"/>
          </w:tcPr>
          <w:p>
            <w:pPr>
              <w:snapToGrid w:val="0"/>
              <w:spacing w:line="400" w:lineRule="exact"/>
              <w:rPr>
                <w:rFonts w:ascii="宋体" w:hAnsi="宋体" w:cs="微软雅黑"/>
                <w:szCs w:val="21"/>
              </w:rPr>
            </w:pPr>
            <w:r>
              <w:rPr>
                <w:rFonts w:hint="eastAsia" w:ascii="宋体" w:hAnsi="宋体" w:cs="微软雅黑"/>
                <w:szCs w:val="21"/>
              </w:rPr>
              <w:t>附注</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Merge w:val="continue"/>
            <w:vAlign w:val="center"/>
          </w:tcPr>
          <w:p>
            <w:pPr>
              <w:numPr>
                <w:ilvl w:val="0"/>
                <w:numId w:val="33"/>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szCs w:val="21"/>
              </w:rPr>
            </w:pPr>
          </w:p>
        </w:tc>
        <w:tc>
          <w:tcPr>
            <w:tcW w:w="2977" w:type="dxa"/>
            <w:gridSpan w:val="3"/>
            <w:tcBorders>
              <w:left w:val="single" w:color="auto" w:sz="4" w:space="0"/>
            </w:tcBorders>
            <w:vAlign w:val="center"/>
          </w:tcPr>
          <w:p>
            <w:pPr>
              <w:snapToGrid w:val="0"/>
              <w:spacing w:line="400" w:lineRule="exact"/>
              <w:rPr>
                <w:rFonts w:ascii="宋体" w:hAnsi="宋体" w:cs="微软雅黑"/>
                <w:szCs w:val="21"/>
              </w:rPr>
            </w:pPr>
            <w:r>
              <w:rPr>
                <w:rFonts w:hint="eastAsia" w:ascii="宋体" w:hAnsi="宋体" w:cs="微软雅黑"/>
                <w:szCs w:val="21"/>
              </w:rPr>
              <w:t>基本开户银行资信证明</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Merge w:val="continue"/>
            <w:vAlign w:val="center"/>
          </w:tcPr>
          <w:p>
            <w:pPr>
              <w:numPr>
                <w:ilvl w:val="0"/>
                <w:numId w:val="33"/>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szCs w:val="21"/>
              </w:rPr>
            </w:pPr>
          </w:p>
        </w:tc>
        <w:tc>
          <w:tcPr>
            <w:tcW w:w="2977" w:type="dxa"/>
            <w:gridSpan w:val="3"/>
            <w:tcBorders>
              <w:left w:val="single" w:color="auto" w:sz="4" w:space="0"/>
            </w:tcBorders>
            <w:vAlign w:val="center"/>
          </w:tcPr>
          <w:p>
            <w:pPr>
              <w:snapToGrid w:val="0"/>
              <w:spacing w:line="400" w:lineRule="exact"/>
              <w:rPr>
                <w:rFonts w:ascii="宋体" w:hAnsi="宋体" w:cs="微软雅黑"/>
                <w:szCs w:val="21"/>
              </w:rPr>
            </w:pPr>
            <w:r>
              <w:rPr>
                <w:rFonts w:hint="eastAsia" w:ascii="宋体" w:hAnsi="宋体" w:cs="微软雅黑"/>
                <w:szCs w:val="21"/>
              </w:rPr>
              <w:t>银行资信证明</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Merge w:val="continue"/>
            <w:vAlign w:val="center"/>
          </w:tcPr>
          <w:p>
            <w:pPr>
              <w:numPr>
                <w:ilvl w:val="0"/>
                <w:numId w:val="33"/>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4" w:space="0"/>
            </w:tcBorders>
            <w:vAlign w:val="center"/>
          </w:tcPr>
          <w:p>
            <w:pPr>
              <w:snapToGrid w:val="0"/>
              <w:spacing w:line="400" w:lineRule="exact"/>
              <w:rPr>
                <w:rFonts w:ascii="宋体" w:hAnsi="宋体" w:cs="微软雅黑"/>
                <w:szCs w:val="21"/>
              </w:rPr>
            </w:pPr>
          </w:p>
        </w:tc>
        <w:tc>
          <w:tcPr>
            <w:tcW w:w="2977" w:type="dxa"/>
            <w:gridSpan w:val="3"/>
            <w:tcBorders>
              <w:left w:val="single" w:color="auto" w:sz="4" w:space="0"/>
            </w:tcBorders>
            <w:vAlign w:val="center"/>
          </w:tcPr>
          <w:p>
            <w:pPr>
              <w:snapToGrid w:val="0"/>
              <w:spacing w:line="400" w:lineRule="exact"/>
              <w:rPr>
                <w:rFonts w:ascii="宋体" w:hAnsi="宋体" w:cs="微软雅黑"/>
                <w:szCs w:val="21"/>
              </w:rPr>
            </w:pPr>
            <w:r>
              <w:rPr>
                <w:rFonts w:hint="eastAsia" w:ascii="宋体" w:hAnsi="宋体" w:cs="微软雅黑"/>
                <w:szCs w:val="21"/>
              </w:rPr>
              <w:t>政府采购投标担保函</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exac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9</w:t>
            </w:r>
          </w:p>
        </w:tc>
        <w:tc>
          <w:tcPr>
            <w:tcW w:w="3751" w:type="dxa"/>
            <w:gridSpan w:val="4"/>
            <w:vAlign w:val="center"/>
          </w:tcPr>
          <w:p>
            <w:pPr>
              <w:snapToGrid w:val="0"/>
              <w:spacing w:line="400" w:lineRule="exact"/>
              <w:rPr>
                <w:rFonts w:ascii="宋体" w:hAnsi="宋体" w:cs="微软雅黑"/>
                <w:szCs w:val="21"/>
              </w:rPr>
            </w:pPr>
            <w:r>
              <w:rPr>
                <w:rFonts w:hint="eastAsia" w:asciiTheme="minorEastAsia" w:hAnsiTheme="minorEastAsia"/>
                <w:bCs/>
                <w:szCs w:val="21"/>
              </w:rPr>
              <w:t>依法缴纳社会保险凭据复印件</w:t>
            </w:r>
          </w:p>
        </w:tc>
        <w:tc>
          <w:tcPr>
            <w:tcW w:w="1559" w:type="dxa"/>
            <w:vAlign w:val="center"/>
          </w:tcPr>
          <w:p>
            <w:pPr>
              <w:snapToGrid w:val="0"/>
              <w:spacing w:line="400" w:lineRule="exact"/>
              <w:jc w:val="center"/>
              <w:rPr>
                <w:rFonts w:ascii="宋体" w:hAnsi="宋体" w:cs="微软雅黑"/>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468" w:type="dxa"/>
            <w:vMerge w:val="restart"/>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10</w:t>
            </w:r>
          </w:p>
        </w:tc>
        <w:tc>
          <w:tcPr>
            <w:tcW w:w="774" w:type="dxa"/>
            <w:vMerge w:val="restart"/>
            <w:tcBorders>
              <w:right w:val="single" w:color="auto" w:sz="6" w:space="0"/>
            </w:tcBorders>
            <w:vAlign w:val="center"/>
          </w:tcPr>
          <w:p>
            <w:pPr>
              <w:snapToGrid w:val="0"/>
              <w:spacing w:line="400" w:lineRule="exact"/>
              <w:jc w:val="center"/>
              <w:rPr>
                <w:rFonts w:ascii="宋体" w:hAnsi="宋体" w:cs="微软雅黑"/>
                <w:szCs w:val="21"/>
              </w:rPr>
            </w:pPr>
            <w:r>
              <w:rPr>
                <w:rFonts w:hint="eastAsia" w:ascii="宋体" w:hAnsi="宋体" w:cs="微软雅黑"/>
                <w:szCs w:val="21"/>
              </w:rPr>
              <w:t>履行合同能力</w:t>
            </w:r>
          </w:p>
        </w:tc>
        <w:tc>
          <w:tcPr>
            <w:tcW w:w="709" w:type="dxa"/>
            <w:gridSpan w:val="2"/>
            <w:vMerge w:val="restart"/>
            <w:tcBorders>
              <w:left w:val="single" w:color="auto" w:sz="6" w:space="0"/>
              <w:right w:val="single" w:color="auto" w:sz="6" w:space="0"/>
            </w:tcBorders>
            <w:vAlign w:val="center"/>
          </w:tcPr>
          <w:p>
            <w:pPr>
              <w:snapToGrid w:val="0"/>
              <w:spacing w:line="400" w:lineRule="exact"/>
              <w:jc w:val="left"/>
              <w:rPr>
                <w:rFonts w:ascii="宋体" w:hAnsi="宋体" w:cs="微软雅黑"/>
                <w:szCs w:val="21"/>
              </w:rPr>
            </w:pPr>
            <w:r>
              <w:rPr>
                <w:rFonts w:hint="eastAsia" w:ascii="宋体" w:hAnsi="宋体" w:cs="微软雅黑"/>
                <w:szCs w:val="21"/>
              </w:rPr>
              <w:t>证明材料</w:t>
            </w:r>
          </w:p>
        </w:tc>
        <w:tc>
          <w:tcPr>
            <w:tcW w:w="2268" w:type="dxa"/>
            <w:tcBorders>
              <w:left w:val="single" w:color="auto" w:sz="6" w:space="0"/>
            </w:tcBorders>
            <w:vAlign w:val="center"/>
          </w:tcPr>
          <w:p>
            <w:pPr>
              <w:snapToGrid w:val="0"/>
              <w:spacing w:line="400" w:lineRule="exact"/>
              <w:rPr>
                <w:rFonts w:ascii="宋体" w:hAnsi="宋体" w:cs="微软雅黑"/>
                <w:szCs w:val="21"/>
              </w:rPr>
            </w:pPr>
            <w:r>
              <w:rPr>
                <w:rFonts w:hint="eastAsia" w:ascii="宋体" w:hAnsi="宋体" w:cs="微软雅黑"/>
                <w:szCs w:val="21"/>
              </w:rPr>
              <w:t>设备购置发票</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468" w:type="dxa"/>
            <w:vMerge w:val="continue"/>
            <w:vAlign w:val="center"/>
          </w:tcPr>
          <w:p>
            <w:pPr>
              <w:numPr>
                <w:ilvl w:val="0"/>
                <w:numId w:val="33"/>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6" w:space="0"/>
            </w:tcBorders>
            <w:vAlign w:val="center"/>
          </w:tcPr>
          <w:p>
            <w:pPr>
              <w:pStyle w:val="14"/>
              <w:kinsoku w:val="0"/>
              <w:overflowPunct w:val="0"/>
              <w:autoSpaceDE w:val="0"/>
              <w:autoSpaceDN w:val="0"/>
              <w:spacing w:line="320" w:lineRule="exact"/>
              <w:rPr>
                <w:rFonts w:hAnsi="宋体" w:cs="微软雅黑"/>
                <w:bCs/>
                <w:kern w:val="0"/>
                <w:sz w:val="21"/>
                <w:szCs w:val="21"/>
              </w:rPr>
            </w:pPr>
          </w:p>
        </w:tc>
        <w:tc>
          <w:tcPr>
            <w:tcW w:w="709" w:type="dxa"/>
            <w:gridSpan w:val="2"/>
            <w:vMerge w:val="continue"/>
            <w:tcBorders>
              <w:left w:val="single" w:color="auto" w:sz="6" w:space="0"/>
              <w:right w:val="single" w:color="auto" w:sz="6" w:space="0"/>
            </w:tcBorders>
            <w:vAlign w:val="center"/>
          </w:tcPr>
          <w:p>
            <w:pPr>
              <w:pStyle w:val="14"/>
              <w:kinsoku w:val="0"/>
              <w:overflowPunct w:val="0"/>
              <w:autoSpaceDE w:val="0"/>
              <w:autoSpaceDN w:val="0"/>
              <w:spacing w:line="320" w:lineRule="exact"/>
              <w:rPr>
                <w:rFonts w:hAnsi="宋体" w:cs="微软雅黑"/>
                <w:bCs/>
                <w:kern w:val="0"/>
                <w:sz w:val="21"/>
                <w:szCs w:val="21"/>
              </w:rPr>
            </w:pPr>
          </w:p>
        </w:tc>
        <w:tc>
          <w:tcPr>
            <w:tcW w:w="2268" w:type="dxa"/>
            <w:tcBorders>
              <w:left w:val="single" w:color="auto" w:sz="6" w:space="0"/>
            </w:tcBorders>
            <w:vAlign w:val="center"/>
          </w:tcPr>
          <w:p>
            <w:pPr>
              <w:pStyle w:val="14"/>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技术人员职称证书</w:t>
            </w:r>
          </w:p>
        </w:tc>
        <w:tc>
          <w:tcPr>
            <w:tcW w:w="1559" w:type="dxa"/>
            <w:vAlign w:val="center"/>
          </w:tcPr>
          <w:p>
            <w:pPr>
              <w:pStyle w:val="14"/>
              <w:rPr>
                <w:sz w:val="21"/>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pStyle w:val="14"/>
              <w:kinsoku w:val="0"/>
              <w:overflowPunct w:val="0"/>
              <w:autoSpaceDE w:val="0"/>
              <w:autoSpaceDN w:val="0"/>
              <w:spacing w:line="320" w:lineRule="exact"/>
              <w:rPr>
                <w:rFonts w:hAnsi="宋体" w:cs="微软雅黑"/>
                <w:bCs/>
                <w:kern w:val="0"/>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468" w:type="dxa"/>
            <w:vMerge w:val="continue"/>
            <w:vAlign w:val="center"/>
          </w:tcPr>
          <w:p>
            <w:pPr>
              <w:numPr>
                <w:ilvl w:val="0"/>
                <w:numId w:val="33"/>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6" w:space="0"/>
            </w:tcBorders>
            <w:vAlign w:val="center"/>
          </w:tcPr>
          <w:p>
            <w:pPr>
              <w:pStyle w:val="14"/>
              <w:kinsoku w:val="0"/>
              <w:overflowPunct w:val="0"/>
              <w:autoSpaceDE w:val="0"/>
              <w:autoSpaceDN w:val="0"/>
              <w:spacing w:line="320" w:lineRule="exact"/>
              <w:rPr>
                <w:rFonts w:hAnsi="宋体" w:cs="微软雅黑"/>
                <w:bCs/>
                <w:kern w:val="0"/>
                <w:sz w:val="21"/>
                <w:szCs w:val="21"/>
              </w:rPr>
            </w:pPr>
          </w:p>
        </w:tc>
        <w:tc>
          <w:tcPr>
            <w:tcW w:w="709" w:type="dxa"/>
            <w:gridSpan w:val="2"/>
            <w:vMerge w:val="continue"/>
            <w:tcBorders>
              <w:left w:val="single" w:color="auto" w:sz="6" w:space="0"/>
              <w:right w:val="single" w:color="auto" w:sz="6" w:space="0"/>
            </w:tcBorders>
            <w:vAlign w:val="center"/>
          </w:tcPr>
          <w:p>
            <w:pPr>
              <w:pStyle w:val="14"/>
              <w:kinsoku w:val="0"/>
              <w:overflowPunct w:val="0"/>
              <w:autoSpaceDE w:val="0"/>
              <w:autoSpaceDN w:val="0"/>
              <w:spacing w:line="320" w:lineRule="exact"/>
              <w:rPr>
                <w:rFonts w:hAnsi="宋体" w:cs="微软雅黑"/>
                <w:bCs/>
                <w:kern w:val="0"/>
                <w:sz w:val="21"/>
                <w:szCs w:val="21"/>
              </w:rPr>
            </w:pPr>
          </w:p>
        </w:tc>
        <w:tc>
          <w:tcPr>
            <w:tcW w:w="2268" w:type="dxa"/>
            <w:tcBorders>
              <w:left w:val="single" w:color="auto" w:sz="6" w:space="0"/>
            </w:tcBorders>
            <w:vAlign w:val="center"/>
          </w:tcPr>
          <w:p>
            <w:pPr>
              <w:pStyle w:val="14"/>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用工合同</w:t>
            </w:r>
          </w:p>
        </w:tc>
        <w:tc>
          <w:tcPr>
            <w:tcW w:w="1559" w:type="dxa"/>
            <w:vAlign w:val="center"/>
          </w:tcPr>
          <w:p>
            <w:pPr>
              <w:pStyle w:val="14"/>
              <w:rPr>
                <w:sz w:val="21"/>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pStyle w:val="14"/>
              <w:kinsoku w:val="0"/>
              <w:overflowPunct w:val="0"/>
              <w:autoSpaceDE w:val="0"/>
              <w:autoSpaceDN w:val="0"/>
              <w:spacing w:line="320" w:lineRule="exact"/>
              <w:rPr>
                <w:rFonts w:hAnsi="宋体" w:cs="微软雅黑"/>
                <w:bCs/>
                <w:kern w:val="0"/>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468" w:type="dxa"/>
            <w:vMerge w:val="continue"/>
            <w:vAlign w:val="center"/>
          </w:tcPr>
          <w:p>
            <w:pPr>
              <w:numPr>
                <w:ilvl w:val="0"/>
                <w:numId w:val="33"/>
              </w:numPr>
              <w:adjustRightInd w:val="0"/>
              <w:snapToGrid w:val="0"/>
              <w:spacing w:line="400" w:lineRule="exact"/>
              <w:jc w:val="center"/>
              <w:textAlignment w:val="baseline"/>
              <w:rPr>
                <w:rFonts w:ascii="宋体" w:hAnsi="宋体" w:cs="微软雅黑"/>
                <w:szCs w:val="21"/>
              </w:rPr>
            </w:pPr>
          </w:p>
        </w:tc>
        <w:tc>
          <w:tcPr>
            <w:tcW w:w="774" w:type="dxa"/>
            <w:vMerge w:val="continue"/>
            <w:tcBorders>
              <w:right w:val="single" w:color="auto" w:sz="6" w:space="0"/>
            </w:tcBorders>
            <w:vAlign w:val="center"/>
          </w:tcPr>
          <w:p>
            <w:pPr>
              <w:pStyle w:val="14"/>
              <w:kinsoku w:val="0"/>
              <w:overflowPunct w:val="0"/>
              <w:autoSpaceDE w:val="0"/>
              <w:autoSpaceDN w:val="0"/>
              <w:spacing w:line="320" w:lineRule="exact"/>
              <w:rPr>
                <w:rFonts w:hAnsi="宋体" w:cs="微软雅黑"/>
                <w:bCs/>
                <w:kern w:val="0"/>
                <w:sz w:val="21"/>
                <w:szCs w:val="21"/>
              </w:rPr>
            </w:pPr>
          </w:p>
        </w:tc>
        <w:tc>
          <w:tcPr>
            <w:tcW w:w="2977" w:type="dxa"/>
            <w:gridSpan w:val="3"/>
            <w:tcBorders>
              <w:left w:val="single" w:color="auto" w:sz="6" w:space="0"/>
            </w:tcBorders>
            <w:vAlign w:val="center"/>
          </w:tcPr>
          <w:p>
            <w:pPr>
              <w:pStyle w:val="14"/>
              <w:kinsoku w:val="0"/>
              <w:overflowPunct w:val="0"/>
              <w:autoSpaceDE w:val="0"/>
              <w:autoSpaceDN w:val="0"/>
              <w:spacing w:line="320" w:lineRule="exact"/>
              <w:rPr>
                <w:rFonts w:hAnsi="宋体" w:cs="微软雅黑"/>
                <w:bCs/>
                <w:kern w:val="0"/>
                <w:sz w:val="21"/>
                <w:szCs w:val="21"/>
              </w:rPr>
            </w:pPr>
            <w:r>
              <w:rPr>
                <w:rFonts w:hint="eastAsia" w:asciiTheme="minorEastAsia" w:hAnsiTheme="minorEastAsia"/>
                <w:bCs/>
                <w:sz w:val="21"/>
                <w:szCs w:val="21"/>
              </w:rPr>
              <w:t>供应商相关承诺函或声明</w:t>
            </w:r>
          </w:p>
        </w:tc>
        <w:tc>
          <w:tcPr>
            <w:tcW w:w="1559" w:type="dxa"/>
            <w:vAlign w:val="center"/>
          </w:tcPr>
          <w:p>
            <w:pPr>
              <w:pStyle w:val="14"/>
              <w:rPr>
                <w:sz w:val="21"/>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11</w:t>
            </w:r>
          </w:p>
        </w:tc>
        <w:tc>
          <w:tcPr>
            <w:tcW w:w="3751" w:type="dxa"/>
            <w:gridSpan w:val="4"/>
            <w:vAlign w:val="center"/>
          </w:tcPr>
          <w:p>
            <w:pPr>
              <w:pStyle w:val="14"/>
              <w:kinsoku w:val="0"/>
              <w:overflowPunct w:val="0"/>
              <w:autoSpaceDE w:val="0"/>
              <w:autoSpaceDN w:val="0"/>
              <w:spacing w:line="320" w:lineRule="exact"/>
              <w:rPr>
                <w:rFonts w:hAnsi="宋体" w:cs="微软雅黑"/>
                <w:bCs/>
                <w:kern w:val="0"/>
                <w:sz w:val="21"/>
                <w:szCs w:val="21"/>
              </w:rPr>
            </w:pPr>
            <w:r>
              <w:rPr>
                <w:rFonts w:hint="eastAsia" w:hAnsi="宋体"/>
                <w:kern w:val="0"/>
                <w:sz w:val="21"/>
                <w:szCs w:val="21"/>
              </w:rPr>
              <w:t>没有重大违法记录的声明</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12</w:t>
            </w:r>
          </w:p>
        </w:tc>
        <w:tc>
          <w:tcPr>
            <w:tcW w:w="3751" w:type="dxa"/>
            <w:gridSpan w:val="4"/>
            <w:vAlign w:val="center"/>
          </w:tcPr>
          <w:p>
            <w:pPr>
              <w:pStyle w:val="14"/>
              <w:kinsoku w:val="0"/>
              <w:overflowPunct w:val="0"/>
              <w:autoSpaceDE w:val="0"/>
              <w:autoSpaceDN w:val="0"/>
              <w:spacing w:line="320" w:lineRule="exact"/>
              <w:rPr>
                <w:rFonts w:hAnsi="宋体"/>
                <w:kern w:val="0"/>
                <w:sz w:val="21"/>
                <w:szCs w:val="21"/>
              </w:rPr>
            </w:pPr>
            <w:r>
              <w:rPr>
                <w:rFonts w:hint="eastAsia" w:hAnsi="宋体" w:cs="微软雅黑"/>
                <w:bCs/>
                <w:kern w:val="0"/>
                <w:sz w:val="21"/>
                <w:szCs w:val="21"/>
              </w:rPr>
              <w:t>供应商须具备的特殊资质证书</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13</w:t>
            </w:r>
          </w:p>
        </w:tc>
        <w:tc>
          <w:tcPr>
            <w:tcW w:w="3751" w:type="dxa"/>
            <w:gridSpan w:val="4"/>
            <w:vAlign w:val="center"/>
          </w:tcPr>
          <w:p>
            <w:pPr>
              <w:pStyle w:val="14"/>
              <w:kinsoku w:val="0"/>
              <w:overflowPunct w:val="0"/>
              <w:autoSpaceDE w:val="0"/>
              <w:autoSpaceDN w:val="0"/>
              <w:spacing w:line="320" w:lineRule="exact"/>
              <w:rPr>
                <w:rFonts w:hAnsi="宋体" w:cs="微软雅黑"/>
                <w:bCs/>
                <w:kern w:val="0"/>
                <w:sz w:val="21"/>
                <w:szCs w:val="21"/>
              </w:rPr>
            </w:pPr>
            <w:r>
              <w:rPr>
                <w:rFonts w:hint="eastAsia" w:asciiTheme="majorEastAsia" w:hAnsiTheme="majorEastAsia" w:eastAsiaTheme="majorEastAsia" w:cstheme="majorEastAsia"/>
                <w:bCs/>
                <w:sz w:val="21"/>
                <w:szCs w:val="21"/>
                <w:lang w:val="zh-CN"/>
              </w:rPr>
              <w:t>投标承诺函</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Theme="majorEastAsia" w:hAnsiTheme="majorEastAsia" w:eastAsiaTheme="majorEastAsia" w:cstheme="majorEastAsia"/>
                <w:bCs/>
                <w:szCs w:val="21"/>
                <w:lang w:val="zh-CN"/>
              </w:rPr>
            </w:pPr>
            <w:r>
              <w:rPr>
                <w:rFonts w:hint="eastAsia" w:asciiTheme="majorEastAsia" w:hAnsiTheme="majorEastAsia" w:eastAsiaTheme="majorEastAsia" w:cstheme="majorEastAsia"/>
                <w:bCs/>
                <w:szCs w:val="21"/>
                <w:lang w:val="zh-CN"/>
              </w:rPr>
              <w:t>14</w:t>
            </w:r>
          </w:p>
        </w:tc>
        <w:tc>
          <w:tcPr>
            <w:tcW w:w="3751" w:type="dxa"/>
            <w:gridSpan w:val="4"/>
            <w:vAlign w:val="center"/>
          </w:tcPr>
          <w:p>
            <w:pPr>
              <w:pStyle w:val="14"/>
              <w:kinsoku w:val="0"/>
              <w:overflowPunct w:val="0"/>
              <w:autoSpaceDE w:val="0"/>
              <w:autoSpaceDN w:val="0"/>
              <w:spacing w:line="320" w:lineRule="exact"/>
              <w:rPr>
                <w:rFonts w:asciiTheme="majorEastAsia" w:hAnsiTheme="majorEastAsia" w:eastAsiaTheme="majorEastAsia" w:cstheme="majorEastAsia"/>
                <w:bCs/>
                <w:sz w:val="21"/>
                <w:szCs w:val="21"/>
                <w:lang w:val="zh-CN"/>
              </w:rPr>
            </w:pPr>
            <w:r>
              <w:rPr>
                <w:rFonts w:hint="eastAsia" w:asciiTheme="majorEastAsia" w:hAnsiTheme="majorEastAsia" w:eastAsiaTheme="majorEastAsia" w:cstheme="majorEastAsia"/>
                <w:bCs/>
                <w:sz w:val="21"/>
                <w:szCs w:val="21"/>
                <w:lang w:val="zh-CN"/>
              </w:rPr>
              <w:t>联合体协议</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Theme="majorEastAsia" w:hAnsiTheme="majorEastAsia" w:eastAsiaTheme="majorEastAsia" w:cstheme="majorEastAsia"/>
                <w:bCs/>
                <w:szCs w:val="21"/>
                <w:lang w:val="zh-CN"/>
              </w:rPr>
            </w:pPr>
            <w:r>
              <w:rPr>
                <w:rFonts w:hint="eastAsia" w:asciiTheme="majorEastAsia" w:hAnsiTheme="majorEastAsia" w:eastAsiaTheme="majorEastAsia" w:cstheme="majorEastAsia"/>
                <w:bCs/>
                <w:szCs w:val="21"/>
                <w:lang w:val="zh-CN"/>
              </w:rPr>
              <w:t>15</w:t>
            </w:r>
          </w:p>
        </w:tc>
        <w:tc>
          <w:tcPr>
            <w:tcW w:w="3751" w:type="dxa"/>
            <w:gridSpan w:val="4"/>
            <w:vAlign w:val="center"/>
          </w:tcPr>
          <w:p>
            <w:pPr>
              <w:pStyle w:val="14"/>
              <w:kinsoku w:val="0"/>
              <w:overflowPunct w:val="0"/>
              <w:autoSpaceDE w:val="0"/>
              <w:autoSpaceDN w:val="0"/>
              <w:spacing w:line="320" w:lineRule="exact"/>
              <w:rPr>
                <w:rFonts w:asciiTheme="majorEastAsia" w:hAnsiTheme="majorEastAsia" w:eastAsiaTheme="majorEastAsia" w:cstheme="majorEastAsia"/>
                <w:bCs/>
                <w:sz w:val="21"/>
                <w:szCs w:val="21"/>
                <w:lang w:val="zh-CN"/>
              </w:rPr>
            </w:pPr>
            <w:r>
              <w:rPr>
                <w:rFonts w:hint="eastAsia" w:asciiTheme="majorEastAsia" w:hAnsiTheme="majorEastAsia" w:eastAsiaTheme="majorEastAsia" w:cstheme="majorEastAsia"/>
                <w:bCs/>
                <w:sz w:val="21"/>
                <w:szCs w:val="21"/>
                <w:lang w:val="zh-CN"/>
              </w:rPr>
              <w:t>供应商与参加本项目投标的其他供应商之间，单位负责人不为同一人并且不存在直接控股、管理关系承诺函</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Theme="majorEastAsia" w:hAnsiTheme="majorEastAsia" w:eastAsiaTheme="majorEastAsia" w:cstheme="majorEastAsia"/>
                <w:bCs/>
                <w:szCs w:val="21"/>
                <w:lang w:val="zh-CN"/>
              </w:rPr>
            </w:pPr>
            <w:r>
              <w:rPr>
                <w:rFonts w:hint="eastAsia" w:asciiTheme="majorEastAsia" w:hAnsiTheme="majorEastAsia" w:eastAsiaTheme="majorEastAsia" w:cstheme="majorEastAsia"/>
                <w:bCs/>
                <w:szCs w:val="21"/>
                <w:lang w:val="zh-CN"/>
              </w:rPr>
              <w:t>16</w:t>
            </w:r>
          </w:p>
        </w:tc>
        <w:tc>
          <w:tcPr>
            <w:tcW w:w="3751" w:type="dxa"/>
            <w:gridSpan w:val="4"/>
            <w:vAlign w:val="center"/>
          </w:tcPr>
          <w:p>
            <w:pPr>
              <w:pStyle w:val="14"/>
              <w:kinsoku w:val="0"/>
              <w:overflowPunct w:val="0"/>
              <w:autoSpaceDE w:val="0"/>
              <w:autoSpaceDN w:val="0"/>
              <w:spacing w:line="320" w:lineRule="exact"/>
              <w:rPr>
                <w:rFonts w:asciiTheme="majorEastAsia" w:hAnsiTheme="majorEastAsia" w:eastAsiaTheme="majorEastAsia" w:cstheme="majorEastAsia"/>
                <w:bCs/>
                <w:sz w:val="21"/>
                <w:szCs w:val="21"/>
                <w:lang w:val="zh-CN"/>
              </w:rPr>
            </w:pPr>
            <w:r>
              <w:rPr>
                <w:rFonts w:hint="eastAsia" w:cs="仿宋_GB2312" w:asciiTheme="minorEastAsia" w:hAnsiTheme="minorEastAsia"/>
                <w:sz w:val="21"/>
                <w:szCs w:val="21"/>
                <w:lang w:val="zh-CN"/>
              </w:rPr>
              <w:t>供应商未为本项目提供整体设计、规范编制或者项目管理、监理、检测等服务承诺函</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tcBorders>
              <w:top w:val="double" w:color="auto" w:sz="4" w:space="0"/>
            </w:tcBorders>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17</w:t>
            </w:r>
          </w:p>
        </w:tc>
        <w:tc>
          <w:tcPr>
            <w:tcW w:w="3751" w:type="dxa"/>
            <w:gridSpan w:val="4"/>
            <w:tcBorders>
              <w:top w:val="double" w:color="auto" w:sz="4" w:space="0"/>
            </w:tcBorders>
            <w:vAlign w:val="center"/>
          </w:tcPr>
          <w:p>
            <w:pPr>
              <w:pStyle w:val="14"/>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投标分项报价表</w:t>
            </w:r>
          </w:p>
        </w:tc>
        <w:tc>
          <w:tcPr>
            <w:tcW w:w="1559" w:type="dxa"/>
            <w:tcBorders>
              <w:top w:val="double" w:color="auto" w:sz="4" w:space="0"/>
            </w:tcBorders>
            <w:vAlign w:val="center"/>
          </w:tcPr>
          <w:p>
            <w:pPr>
              <w:jc w:val="center"/>
              <w:rPr>
                <w:szCs w:val="21"/>
              </w:rPr>
            </w:pPr>
          </w:p>
        </w:tc>
        <w:tc>
          <w:tcPr>
            <w:tcW w:w="1560" w:type="dxa"/>
            <w:tcBorders>
              <w:top w:val="double" w:color="auto" w:sz="4" w:space="0"/>
            </w:tcBorders>
            <w:vAlign w:val="center"/>
          </w:tcPr>
          <w:p>
            <w:pPr>
              <w:snapToGrid w:val="0"/>
              <w:spacing w:line="400" w:lineRule="exact"/>
              <w:rPr>
                <w:rFonts w:ascii="宋体" w:hAnsi="宋体" w:cs="微软雅黑"/>
                <w:szCs w:val="21"/>
              </w:rPr>
            </w:pPr>
          </w:p>
        </w:tc>
        <w:tc>
          <w:tcPr>
            <w:tcW w:w="2018" w:type="dxa"/>
            <w:tcBorders>
              <w:top w:val="double" w:color="auto" w:sz="4" w:space="0"/>
            </w:tcBorders>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18</w:t>
            </w:r>
          </w:p>
        </w:tc>
        <w:tc>
          <w:tcPr>
            <w:tcW w:w="3751" w:type="dxa"/>
            <w:gridSpan w:val="4"/>
            <w:vAlign w:val="center"/>
          </w:tcPr>
          <w:p>
            <w:pPr>
              <w:pStyle w:val="14"/>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技术规格偏离表</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19</w:t>
            </w:r>
          </w:p>
        </w:tc>
        <w:tc>
          <w:tcPr>
            <w:tcW w:w="3751" w:type="dxa"/>
            <w:gridSpan w:val="4"/>
            <w:vAlign w:val="center"/>
          </w:tcPr>
          <w:p>
            <w:pPr>
              <w:pStyle w:val="14"/>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技术方案（实施方案）</w:t>
            </w:r>
          </w:p>
        </w:tc>
        <w:tc>
          <w:tcPr>
            <w:tcW w:w="1559" w:type="dxa"/>
            <w:vAlign w:val="center"/>
          </w:tcPr>
          <w:p>
            <w:pPr>
              <w:jc w:val="center"/>
              <w:rPr>
                <w:szCs w:val="21"/>
              </w:rPr>
            </w:pPr>
          </w:p>
        </w:tc>
        <w:tc>
          <w:tcPr>
            <w:tcW w:w="1560" w:type="dxa"/>
            <w:tcBorders>
              <w:top w:val="single" w:color="auto" w:sz="4" w:space="0"/>
            </w:tcBorders>
            <w:vAlign w:val="center"/>
          </w:tcPr>
          <w:p>
            <w:pPr>
              <w:snapToGrid w:val="0"/>
              <w:spacing w:line="400" w:lineRule="exact"/>
              <w:rPr>
                <w:rFonts w:ascii="宋体" w:hAnsi="宋体" w:cs="微软雅黑"/>
                <w:szCs w:val="21"/>
              </w:rPr>
            </w:pPr>
          </w:p>
        </w:tc>
        <w:tc>
          <w:tcPr>
            <w:tcW w:w="2018" w:type="dxa"/>
            <w:tcBorders>
              <w:top w:val="single" w:color="auto" w:sz="4" w:space="0"/>
            </w:tcBorders>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20</w:t>
            </w:r>
          </w:p>
        </w:tc>
        <w:tc>
          <w:tcPr>
            <w:tcW w:w="3751" w:type="dxa"/>
            <w:gridSpan w:val="4"/>
            <w:vAlign w:val="center"/>
          </w:tcPr>
          <w:p>
            <w:pPr>
              <w:pStyle w:val="14"/>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售后服务方案</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21</w:t>
            </w:r>
          </w:p>
        </w:tc>
        <w:tc>
          <w:tcPr>
            <w:tcW w:w="3751" w:type="dxa"/>
            <w:gridSpan w:val="4"/>
            <w:vAlign w:val="center"/>
          </w:tcPr>
          <w:p>
            <w:pPr>
              <w:pStyle w:val="14"/>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业绩情况表</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22</w:t>
            </w:r>
          </w:p>
        </w:tc>
        <w:tc>
          <w:tcPr>
            <w:tcW w:w="3751" w:type="dxa"/>
            <w:gridSpan w:val="4"/>
            <w:vAlign w:val="center"/>
          </w:tcPr>
          <w:p>
            <w:pPr>
              <w:pStyle w:val="14"/>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中小企业声明函</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23</w:t>
            </w:r>
          </w:p>
        </w:tc>
        <w:tc>
          <w:tcPr>
            <w:tcW w:w="3751" w:type="dxa"/>
            <w:gridSpan w:val="4"/>
            <w:vAlign w:val="center"/>
          </w:tcPr>
          <w:p>
            <w:pPr>
              <w:pStyle w:val="14"/>
              <w:kinsoku w:val="0"/>
              <w:overflowPunct w:val="0"/>
              <w:autoSpaceDE w:val="0"/>
              <w:autoSpaceDN w:val="0"/>
              <w:spacing w:line="320" w:lineRule="exact"/>
              <w:rPr>
                <w:rFonts w:hAnsi="宋体" w:cs="微软雅黑"/>
                <w:bCs/>
                <w:kern w:val="0"/>
                <w:sz w:val="21"/>
                <w:szCs w:val="21"/>
              </w:rPr>
            </w:pPr>
            <w:r>
              <w:rPr>
                <w:rFonts w:hint="eastAsia" w:cs="仿宋_GB2312" w:asciiTheme="minorEastAsia" w:hAnsiTheme="minorEastAsia" w:eastAsiaTheme="minorEastAsia"/>
                <w:sz w:val="21"/>
                <w:szCs w:val="21"/>
                <w:lang w:val="zh-CN"/>
              </w:rPr>
              <w:t>残疾人福利性单位声明函</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24</w:t>
            </w:r>
          </w:p>
        </w:tc>
        <w:tc>
          <w:tcPr>
            <w:tcW w:w="3751" w:type="dxa"/>
            <w:gridSpan w:val="4"/>
            <w:vAlign w:val="center"/>
          </w:tcPr>
          <w:p>
            <w:pPr>
              <w:pStyle w:val="14"/>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监狱企业证明文件</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1089"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25</w:t>
            </w:r>
          </w:p>
        </w:tc>
        <w:tc>
          <w:tcPr>
            <w:tcW w:w="1058" w:type="dxa"/>
            <w:gridSpan w:val="2"/>
            <w:tcBorders>
              <w:right w:val="single" w:color="auto" w:sz="4" w:space="0"/>
            </w:tcBorders>
            <w:vAlign w:val="center"/>
          </w:tcPr>
          <w:p>
            <w:pPr>
              <w:pStyle w:val="14"/>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CCC强制性产品认证</w:t>
            </w:r>
          </w:p>
        </w:tc>
        <w:tc>
          <w:tcPr>
            <w:tcW w:w="2693" w:type="dxa"/>
            <w:gridSpan w:val="2"/>
            <w:tcBorders>
              <w:left w:val="single" w:color="auto" w:sz="4" w:space="0"/>
            </w:tcBorders>
            <w:vAlign w:val="center"/>
          </w:tcPr>
          <w:p>
            <w:pPr>
              <w:pStyle w:val="14"/>
              <w:kinsoku w:val="0"/>
              <w:overflowPunct w:val="0"/>
              <w:autoSpaceDE w:val="0"/>
              <w:autoSpaceDN w:val="0"/>
              <w:spacing w:line="320" w:lineRule="exact"/>
              <w:rPr>
                <w:rFonts w:hAnsi="宋体" w:cs="微软雅黑"/>
                <w:bCs/>
                <w:kern w:val="0"/>
                <w:sz w:val="21"/>
                <w:szCs w:val="21"/>
              </w:rPr>
            </w:pPr>
            <w:r>
              <w:rPr>
                <w:rFonts w:hint="eastAsia" w:asciiTheme="majorEastAsia" w:hAnsiTheme="majorEastAsia" w:eastAsiaTheme="majorEastAsia" w:cstheme="majorEastAsia"/>
                <w:bCs/>
                <w:sz w:val="21"/>
                <w:szCs w:val="21"/>
                <w:lang w:val="zh-CN"/>
              </w:rPr>
              <w:t>所投产品符合国家强制性要求承诺函</w:t>
            </w:r>
          </w:p>
        </w:tc>
        <w:tc>
          <w:tcPr>
            <w:tcW w:w="1559" w:type="dxa"/>
            <w:vAlign w:val="center"/>
          </w:tcPr>
          <w:p>
            <w:pPr>
              <w:pStyle w:val="14"/>
              <w:rPr>
                <w:sz w:val="21"/>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Merge w:val="restart"/>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26</w:t>
            </w:r>
          </w:p>
        </w:tc>
        <w:tc>
          <w:tcPr>
            <w:tcW w:w="1058" w:type="dxa"/>
            <w:gridSpan w:val="2"/>
            <w:vMerge w:val="restart"/>
            <w:tcBorders>
              <w:right w:val="single" w:color="auto" w:sz="4" w:space="0"/>
            </w:tcBorders>
            <w:vAlign w:val="center"/>
          </w:tcPr>
          <w:p>
            <w:pPr>
              <w:pStyle w:val="14"/>
              <w:kinsoku w:val="0"/>
              <w:overflowPunct w:val="0"/>
              <w:autoSpaceDE w:val="0"/>
              <w:autoSpaceDN w:val="0"/>
              <w:spacing w:line="320" w:lineRule="exact"/>
              <w:rPr>
                <w:rFonts w:cs="宋体" w:asciiTheme="minorEastAsia" w:hAnsiTheme="minorEastAsia"/>
                <w:kern w:val="0"/>
                <w:sz w:val="21"/>
                <w:szCs w:val="21"/>
              </w:rPr>
            </w:pPr>
            <w:r>
              <w:rPr>
                <w:rFonts w:cs="宋体" w:asciiTheme="minorEastAsia" w:hAnsiTheme="minorEastAsia"/>
                <w:kern w:val="0"/>
                <w:sz w:val="21"/>
                <w:szCs w:val="21"/>
              </w:rPr>
              <w:t>信息安全产品强制性认证</w:t>
            </w:r>
          </w:p>
        </w:tc>
        <w:tc>
          <w:tcPr>
            <w:tcW w:w="2693" w:type="dxa"/>
            <w:gridSpan w:val="2"/>
            <w:tcBorders>
              <w:left w:val="single" w:color="auto" w:sz="4" w:space="0"/>
            </w:tcBorders>
            <w:vAlign w:val="center"/>
          </w:tcPr>
          <w:p>
            <w:pPr>
              <w:pStyle w:val="14"/>
              <w:kinsoku w:val="0"/>
              <w:overflowPunct w:val="0"/>
              <w:autoSpaceDE w:val="0"/>
              <w:autoSpaceDN w:val="0"/>
              <w:spacing w:line="320" w:lineRule="exact"/>
              <w:rPr>
                <w:rFonts w:asciiTheme="majorEastAsia" w:hAnsiTheme="majorEastAsia" w:eastAsiaTheme="majorEastAsia" w:cstheme="majorEastAsia"/>
                <w:bCs/>
                <w:sz w:val="21"/>
                <w:szCs w:val="21"/>
                <w:lang w:val="zh-CN"/>
              </w:rPr>
            </w:pPr>
            <w:r>
              <w:rPr>
                <w:rFonts w:hint="eastAsia" w:cs="宋体" w:asciiTheme="minorEastAsia" w:hAnsiTheme="minorEastAsia"/>
                <w:kern w:val="0"/>
                <w:sz w:val="21"/>
                <w:szCs w:val="21"/>
              </w:rPr>
              <w:t>认证机构颁发的认证证书</w:t>
            </w:r>
          </w:p>
        </w:tc>
        <w:tc>
          <w:tcPr>
            <w:tcW w:w="1559" w:type="dxa"/>
            <w:vAlign w:val="center"/>
          </w:tcPr>
          <w:p>
            <w:pPr>
              <w:pStyle w:val="14"/>
              <w:rPr>
                <w:sz w:val="21"/>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Merge w:val="continue"/>
            <w:vAlign w:val="center"/>
          </w:tcPr>
          <w:p>
            <w:pPr>
              <w:adjustRightInd w:val="0"/>
              <w:snapToGrid w:val="0"/>
              <w:spacing w:line="400" w:lineRule="exact"/>
              <w:jc w:val="center"/>
              <w:textAlignment w:val="baseline"/>
              <w:rPr>
                <w:rFonts w:ascii="宋体" w:hAnsi="宋体" w:cs="微软雅黑"/>
                <w:szCs w:val="21"/>
              </w:rPr>
            </w:pPr>
          </w:p>
        </w:tc>
        <w:tc>
          <w:tcPr>
            <w:tcW w:w="1058" w:type="dxa"/>
            <w:gridSpan w:val="2"/>
            <w:vMerge w:val="continue"/>
            <w:tcBorders>
              <w:right w:val="single" w:color="auto" w:sz="4" w:space="0"/>
            </w:tcBorders>
            <w:vAlign w:val="center"/>
          </w:tcPr>
          <w:p>
            <w:pPr>
              <w:pStyle w:val="14"/>
              <w:kinsoku w:val="0"/>
              <w:overflowPunct w:val="0"/>
              <w:autoSpaceDE w:val="0"/>
              <w:autoSpaceDN w:val="0"/>
              <w:spacing w:line="320" w:lineRule="exact"/>
              <w:rPr>
                <w:rFonts w:asciiTheme="majorEastAsia" w:hAnsiTheme="majorEastAsia" w:eastAsiaTheme="majorEastAsia" w:cstheme="majorEastAsia"/>
                <w:bCs/>
                <w:sz w:val="21"/>
                <w:szCs w:val="21"/>
                <w:lang w:val="zh-CN"/>
              </w:rPr>
            </w:pPr>
          </w:p>
        </w:tc>
        <w:tc>
          <w:tcPr>
            <w:tcW w:w="2693" w:type="dxa"/>
            <w:gridSpan w:val="2"/>
            <w:tcBorders>
              <w:left w:val="single" w:color="auto" w:sz="4" w:space="0"/>
            </w:tcBorders>
            <w:vAlign w:val="center"/>
          </w:tcPr>
          <w:p>
            <w:pPr>
              <w:pStyle w:val="14"/>
              <w:kinsoku w:val="0"/>
              <w:overflowPunct w:val="0"/>
              <w:autoSpaceDE w:val="0"/>
              <w:autoSpaceDN w:val="0"/>
              <w:spacing w:line="320" w:lineRule="exact"/>
              <w:rPr>
                <w:rFonts w:asciiTheme="majorEastAsia" w:hAnsiTheme="majorEastAsia" w:eastAsiaTheme="majorEastAsia" w:cstheme="majorEastAsia"/>
                <w:bCs/>
                <w:sz w:val="21"/>
                <w:szCs w:val="21"/>
                <w:lang w:val="zh-CN"/>
              </w:rPr>
            </w:pPr>
            <w:r>
              <w:rPr>
                <w:rFonts w:hint="eastAsia" w:cs="宋体" w:asciiTheme="minorEastAsia" w:hAnsiTheme="minorEastAsia"/>
                <w:kern w:val="0"/>
                <w:sz w:val="21"/>
                <w:szCs w:val="21"/>
              </w:rPr>
              <w:t>中国信息安全认证中心官网产品查询结果截图</w:t>
            </w:r>
          </w:p>
        </w:tc>
        <w:tc>
          <w:tcPr>
            <w:tcW w:w="1559" w:type="dxa"/>
            <w:vAlign w:val="center"/>
          </w:tcPr>
          <w:p>
            <w:pPr>
              <w:pStyle w:val="14"/>
              <w:rPr>
                <w:sz w:val="21"/>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468" w:type="dxa"/>
            <w:vAlign w:val="center"/>
          </w:tcPr>
          <w:p>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27</w:t>
            </w:r>
          </w:p>
        </w:tc>
        <w:tc>
          <w:tcPr>
            <w:tcW w:w="3751" w:type="dxa"/>
            <w:gridSpan w:val="4"/>
            <w:vAlign w:val="center"/>
          </w:tcPr>
          <w:p>
            <w:pPr>
              <w:pStyle w:val="14"/>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其它资料</w:t>
            </w:r>
          </w:p>
        </w:tc>
        <w:tc>
          <w:tcPr>
            <w:tcW w:w="1559" w:type="dxa"/>
            <w:vAlign w:val="center"/>
          </w:tcPr>
          <w:p>
            <w:pPr>
              <w:jc w:val="center"/>
              <w:rPr>
                <w:szCs w:val="21"/>
              </w:rPr>
            </w:pPr>
          </w:p>
        </w:tc>
        <w:tc>
          <w:tcPr>
            <w:tcW w:w="1560" w:type="dxa"/>
            <w:vAlign w:val="center"/>
          </w:tcPr>
          <w:p>
            <w:pPr>
              <w:snapToGrid w:val="0"/>
              <w:spacing w:line="400" w:lineRule="exact"/>
              <w:rPr>
                <w:rFonts w:ascii="宋体" w:hAnsi="宋体" w:cs="微软雅黑"/>
                <w:szCs w:val="21"/>
              </w:rPr>
            </w:pPr>
          </w:p>
        </w:tc>
        <w:tc>
          <w:tcPr>
            <w:tcW w:w="2018" w:type="dxa"/>
            <w:vAlign w:val="center"/>
          </w:tcPr>
          <w:p>
            <w:pPr>
              <w:snapToGrid w:val="0"/>
              <w:spacing w:line="400" w:lineRule="exact"/>
              <w:rPr>
                <w:rFonts w:ascii="宋体" w:hAnsi="宋体" w:cs="微软雅黑"/>
                <w:szCs w:val="21"/>
              </w:rPr>
            </w:pPr>
          </w:p>
        </w:tc>
      </w:tr>
    </w:tbl>
    <w:p>
      <w:pPr>
        <w:tabs>
          <w:tab w:val="left" w:pos="1260"/>
        </w:tabs>
        <w:autoSpaceDE w:val="0"/>
        <w:autoSpaceDN w:val="0"/>
        <w:adjustRightInd w:val="0"/>
        <w:spacing w:line="360" w:lineRule="auto"/>
        <w:ind w:left="420" w:leftChars="-1" w:hanging="422" w:hangingChars="176"/>
        <w:contextualSpacing/>
        <w:rPr>
          <w:rFonts w:ascii="楷体" w:hAnsi="楷体" w:eastAsia="楷体"/>
          <w:color w:val="000000"/>
          <w:sz w:val="24"/>
          <w:szCs w:val="24"/>
        </w:rPr>
      </w:pPr>
      <w:r>
        <w:rPr>
          <w:rFonts w:hint="eastAsia" w:ascii="楷体" w:hAnsi="楷体" w:eastAsia="楷体"/>
          <w:color w:val="000000"/>
          <w:sz w:val="24"/>
          <w:szCs w:val="24"/>
        </w:rPr>
        <w:t>注：①本表序号8请按照本谈判文件 “第六章资格审查与评审”资格审查表中序号3要求，根据所提供经审计财务报告、基本开户银行资信证明、银行资信证明、政府采购投标担保函情况填写其中一项即可。</w:t>
      </w:r>
    </w:p>
    <w:p>
      <w:pPr>
        <w:tabs>
          <w:tab w:val="left" w:pos="1260"/>
        </w:tabs>
        <w:autoSpaceDE w:val="0"/>
        <w:autoSpaceDN w:val="0"/>
        <w:adjustRightInd w:val="0"/>
        <w:spacing w:line="360" w:lineRule="auto"/>
        <w:ind w:left="424" w:leftChars="202"/>
        <w:contextualSpacing/>
        <w:rPr>
          <w:rFonts w:ascii="楷体" w:hAnsi="楷体" w:eastAsia="楷体"/>
          <w:color w:val="000000"/>
          <w:sz w:val="24"/>
          <w:szCs w:val="24"/>
        </w:rPr>
      </w:pPr>
      <w:r>
        <w:rPr>
          <w:rFonts w:hint="eastAsia" w:ascii="楷体" w:hAnsi="楷体" w:eastAsia="楷体"/>
          <w:color w:val="000000"/>
          <w:sz w:val="24"/>
          <w:szCs w:val="24"/>
        </w:rPr>
        <w:t>②本表序号10请按照本谈判文件 “第六章资格审查与评审”资格审查表中序号6要求提供，根据所提供证明材料或承诺函（声明）情况填写其中一项即可。</w:t>
      </w:r>
    </w:p>
    <w:p>
      <w:pPr>
        <w:tabs>
          <w:tab w:val="left" w:pos="1260"/>
        </w:tabs>
        <w:autoSpaceDE w:val="0"/>
        <w:autoSpaceDN w:val="0"/>
        <w:adjustRightInd w:val="0"/>
        <w:spacing w:line="360" w:lineRule="auto"/>
        <w:ind w:left="424" w:leftChars="202"/>
        <w:contextualSpacing/>
        <w:rPr>
          <w:rFonts w:ascii="楷体" w:hAnsi="楷体" w:eastAsia="楷体"/>
          <w:color w:val="000000"/>
          <w:sz w:val="24"/>
          <w:szCs w:val="24"/>
        </w:rPr>
      </w:pPr>
      <w:r>
        <w:rPr>
          <w:rFonts w:hint="eastAsia" w:ascii="楷体" w:hAnsi="楷体" w:eastAsia="楷体"/>
          <w:color w:val="000000"/>
          <w:sz w:val="24"/>
          <w:szCs w:val="24"/>
        </w:rPr>
        <w:t>③本表序号26请根据所投产品提供证书或截图情况填写其中一项即可。</w:t>
      </w:r>
    </w:p>
    <w:p>
      <w:pPr>
        <w:pStyle w:val="14"/>
        <w:spacing w:line="360" w:lineRule="auto"/>
        <w:jc w:val="center"/>
        <w:rPr>
          <w:rFonts w:hint="eastAsia" w:asciiTheme="majorEastAsia" w:hAnsiTheme="majorEastAsia" w:eastAsiaTheme="majorEastAsia"/>
          <w:b/>
          <w:snapToGrid w:val="0"/>
          <w:kern w:val="0"/>
          <w:sz w:val="28"/>
          <w:szCs w:val="28"/>
        </w:rPr>
      </w:pPr>
    </w:p>
    <w:p>
      <w:pPr>
        <w:pStyle w:val="14"/>
        <w:spacing w:line="360" w:lineRule="auto"/>
        <w:jc w:val="center"/>
        <w:rPr>
          <w:rFonts w:asciiTheme="majorEastAsia" w:hAnsiTheme="majorEastAsia" w:eastAsiaTheme="majorEastAsia"/>
          <w:b/>
          <w:snapToGrid w:val="0"/>
          <w:kern w:val="0"/>
          <w:sz w:val="28"/>
          <w:szCs w:val="28"/>
        </w:rPr>
      </w:pPr>
      <w:r>
        <w:rPr>
          <w:rFonts w:hint="eastAsia" w:asciiTheme="majorEastAsia" w:hAnsiTheme="majorEastAsia" w:eastAsiaTheme="majorEastAsia"/>
          <w:b/>
          <w:snapToGrid w:val="0"/>
          <w:kern w:val="0"/>
          <w:sz w:val="28"/>
          <w:szCs w:val="28"/>
        </w:rPr>
        <w:t>二、</w:t>
      </w:r>
      <w:r>
        <w:rPr>
          <w:rFonts w:hint="eastAsia" w:asciiTheme="majorEastAsia" w:hAnsiTheme="majorEastAsia" w:eastAsiaTheme="majorEastAsia"/>
          <w:b/>
          <w:snapToGrid w:val="0"/>
          <w:kern w:val="0"/>
          <w:sz w:val="28"/>
          <w:szCs w:val="28"/>
          <w:lang w:eastAsia="zh-CN"/>
        </w:rPr>
        <w:t>第一次</w:t>
      </w:r>
      <w:r>
        <w:rPr>
          <w:rFonts w:hint="eastAsia" w:asciiTheme="majorEastAsia" w:hAnsiTheme="majorEastAsia" w:eastAsiaTheme="majorEastAsia"/>
          <w:b/>
          <w:snapToGrid w:val="0"/>
          <w:kern w:val="0"/>
          <w:sz w:val="28"/>
          <w:szCs w:val="28"/>
        </w:rPr>
        <w:t>报价一览表</w:t>
      </w:r>
    </w:p>
    <w:p>
      <w:pPr>
        <w:pStyle w:val="14"/>
        <w:spacing w:line="360" w:lineRule="auto"/>
        <w:jc w:val="center"/>
        <w:rPr>
          <w:rFonts w:asciiTheme="majorEastAsia" w:hAnsiTheme="majorEastAsia" w:eastAsiaTheme="majorEastAsia"/>
          <w:b/>
          <w:snapToGrid w:val="0"/>
          <w:kern w:val="0"/>
          <w:sz w:val="28"/>
          <w:szCs w:val="28"/>
        </w:rPr>
      </w:pPr>
    </w:p>
    <w:p>
      <w:pPr>
        <w:spacing w:before="50" w:afterLines="50" w:line="360" w:lineRule="auto"/>
        <w:contextualSpacing/>
        <w:jc w:val="left"/>
        <w:rPr>
          <w:rFonts w:asciiTheme="minorEastAsia" w:hAnsiTheme="minorEastAsia"/>
          <w:color w:val="000000"/>
          <w:szCs w:val="21"/>
        </w:rPr>
      </w:pPr>
      <w:r>
        <w:rPr>
          <w:rFonts w:hint="eastAsia" w:asciiTheme="minorEastAsia" w:hAnsiTheme="minorEastAsia"/>
          <w:color w:val="000000"/>
          <w:szCs w:val="21"/>
        </w:rPr>
        <w:t>项目编号：</w:t>
      </w:r>
    </w:p>
    <w:p>
      <w:pPr>
        <w:spacing w:line="360" w:lineRule="auto"/>
        <w:contextualSpacing/>
        <w:rPr>
          <w:rFonts w:asciiTheme="minorEastAsia" w:hAnsiTheme="minorEastAsia"/>
          <w:color w:val="000000"/>
          <w:szCs w:val="21"/>
        </w:rPr>
      </w:pPr>
      <w:r>
        <w:rPr>
          <w:rFonts w:hint="eastAsia" w:asciiTheme="minorEastAsia" w:hAnsiTheme="minorEastAsia"/>
          <w:color w:val="000000"/>
          <w:szCs w:val="21"/>
        </w:rPr>
        <w:t xml:space="preserve">项目名称：                                                      </w:t>
      </w:r>
      <w:r>
        <w:rPr>
          <w:rFonts w:hint="eastAsia" w:cs="Arial" w:asciiTheme="minorEastAsia" w:hAnsiTheme="minorEastAsia"/>
          <w:szCs w:val="21"/>
        </w:rPr>
        <w:t>单位：元（人民币）</w:t>
      </w:r>
    </w:p>
    <w:tbl>
      <w:tblPr>
        <w:tblStyle w:val="24"/>
        <w:tblW w:w="9180" w:type="dxa"/>
        <w:tblInd w:w="0" w:type="dxa"/>
        <w:tblLayout w:type="fixed"/>
        <w:tblCellMar>
          <w:top w:w="0" w:type="dxa"/>
          <w:left w:w="108" w:type="dxa"/>
          <w:bottom w:w="0" w:type="dxa"/>
          <w:right w:w="108" w:type="dxa"/>
        </w:tblCellMar>
      </w:tblPr>
      <w:tblGrid>
        <w:gridCol w:w="959"/>
        <w:gridCol w:w="1843"/>
        <w:gridCol w:w="3685"/>
        <w:gridCol w:w="1843"/>
        <w:gridCol w:w="850"/>
      </w:tblGrid>
      <w:tr>
        <w:tblPrEx>
          <w:tblLayout w:type="fixed"/>
          <w:tblCellMar>
            <w:top w:w="0" w:type="dxa"/>
            <w:left w:w="108" w:type="dxa"/>
            <w:bottom w:w="0" w:type="dxa"/>
            <w:right w:w="108" w:type="dxa"/>
          </w:tblCellMar>
        </w:tblPrEx>
        <w:trPr>
          <w:trHeight w:val="851" w:hRule="atLeast"/>
        </w:trPr>
        <w:tc>
          <w:tcPr>
            <w:tcW w:w="959"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标段</w:t>
            </w:r>
          </w:p>
        </w:tc>
        <w:tc>
          <w:tcPr>
            <w:tcW w:w="1843"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项目名称</w:t>
            </w:r>
          </w:p>
        </w:tc>
        <w:tc>
          <w:tcPr>
            <w:tcW w:w="3685"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投标报价</w:t>
            </w:r>
          </w:p>
        </w:tc>
        <w:tc>
          <w:tcPr>
            <w:tcW w:w="1843"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交付日期</w:t>
            </w:r>
          </w:p>
        </w:tc>
        <w:tc>
          <w:tcPr>
            <w:tcW w:w="85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备注</w:t>
            </w:r>
          </w:p>
        </w:tc>
      </w:tr>
      <w:tr>
        <w:tblPrEx>
          <w:tblLayout w:type="fixed"/>
          <w:tblCellMar>
            <w:top w:w="0" w:type="dxa"/>
            <w:left w:w="108" w:type="dxa"/>
            <w:bottom w:w="0" w:type="dxa"/>
            <w:right w:w="108" w:type="dxa"/>
          </w:tblCellMar>
        </w:tblPrEx>
        <w:trPr>
          <w:trHeight w:val="851" w:hRule="atLeast"/>
        </w:trPr>
        <w:tc>
          <w:tcPr>
            <w:tcW w:w="95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Theme="minorEastAsia" w:hAnsiTheme="minorEastAsia"/>
                <w:szCs w:val="21"/>
              </w:rPr>
            </w:pPr>
          </w:p>
        </w:tc>
        <w:tc>
          <w:tcPr>
            <w:tcW w:w="184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Theme="minorEastAsia" w:hAnsiTheme="minorEastAsia"/>
                <w:szCs w:val="21"/>
              </w:rPr>
            </w:pPr>
          </w:p>
        </w:tc>
        <w:tc>
          <w:tcPr>
            <w:tcW w:w="368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rPr>
                <w:rFonts w:cs="宋体" w:asciiTheme="minorEastAsia" w:hAnsiTheme="minorEastAsia"/>
                <w:szCs w:val="21"/>
                <w:lang w:val="zh-CN"/>
              </w:rPr>
            </w:pPr>
            <w:r>
              <w:rPr>
                <w:rFonts w:hint="eastAsia" w:cs="宋体" w:asciiTheme="minorEastAsia" w:hAnsiTheme="minorEastAsia"/>
                <w:szCs w:val="21"/>
                <w:lang w:val="zh-CN"/>
              </w:rPr>
              <w:t>大写：　　　　　　小写：</w:t>
            </w:r>
          </w:p>
        </w:tc>
        <w:tc>
          <w:tcPr>
            <w:tcW w:w="184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cs="宋体" w:asciiTheme="minorEastAsia" w:hAnsiTheme="minorEastAsia"/>
                <w:szCs w:val="21"/>
                <w:lang w:val="zh-CN"/>
              </w:rPr>
            </w:pPr>
          </w:p>
        </w:tc>
        <w:tc>
          <w:tcPr>
            <w:tcW w:w="85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cs="宋体" w:asciiTheme="minorEastAsia" w:hAnsiTheme="minorEastAsia"/>
                <w:szCs w:val="21"/>
                <w:lang w:val="zh-CN"/>
              </w:rPr>
            </w:pPr>
          </w:p>
        </w:tc>
      </w:tr>
      <w:tr>
        <w:tblPrEx>
          <w:tblLayout w:type="fixed"/>
          <w:tblCellMar>
            <w:top w:w="0" w:type="dxa"/>
            <w:left w:w="108" w:type="dxa"/>
            <w:bottom w:w="0" w:type="dxa"/>
            <w:right w:w="108" w:type="dxa"/>
          </w:tblCellMar>
        </w:tblPrEx>
        <w:trPr>
          <w:trHeight w:val="851" w:hRule="atLeast"/>
        </w:trPr>
        <w:tc>
          <w:tcPr>
            <w:tcW w:w="95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Theme="minorEastAsia" w:hAnsiTheme="minorEastAsia"/>
                <w:szCs w:val="21"/>
              </w:rPr>
            </w:pPr>
            <w:r>
              <w:rPr>
                <w:rFonts w:cs="Arial" w:asciiTheme="minorEastAsia" w:hAnsiTheme="minorEastAsia"/>
                <w:szCs w:val="21"/>
              </w:rPr>
              <w:t>…</w:t>
            </w:r>
          </w:p>
        </w:tc>
        <w:tc>
          <w:tcPr>
            <w:tcW w:w="184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asciiTheme="minorEastAsia" w:hAnsiTheme="minorEastAsia"/>
                <w:szCs w:val="21"/>
              </w:rPr>
            </w:pPr>
          </w:p>
        </w:tc>
        <w:tc>
          <w:tcPr>
            <w:tcW w:w="368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rPr>
                <w:rFonts w:cs="宋体" w:asciiTheme="minorEastAsia" w:hAnsiTheme="minorEastAsia"/>
                <w:szCs w:val="21"/>
                <w:lang w:val="zh-CN"/>
              </w:rPr>
            </w:pPr>
            <w:r>
              <w:rPr>
                <w:rFonts w:hint="eastAsia" w:cs="宋体" w:asciiTheme="minorEastAsia" w:hAnsiTheme="minorEastAsia"/>
                <w:szCs w:val="21"/>
                <w:lang w:val="zh-CN"/>
              </w:rPr>
              <w:t>大写：　　　　　　小写：</w:t>
            </w:r>
          </w:p>
        </w:tc>
        <w:tc>
          <w:tcPr>
            <w:tcW w:w="184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cs="宋体" w:asciiTheme="minorEastAsia" w:hAnsiTheme="minorEastAsia"/>
                <w:szCs w:val="21"/>
                <w:lang w:val="zh-CN"/>
              </w:rPr>
            </w:pPr>
          </w:p>
        </w:tc>
        <w:tc>
          <w:tcPr>
            <w:tcW w:w="85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ind w:firstLine="240"/>
              <w:rPr>
                <w:rFonts w:cs="宋体" w:asciiTheme="minorEastAsia" w:hAnsiTheme="minorEastAsia"/>
                <w:szCs w:val="21"/>
                <w:lang w:val="zh-CN"/>
              </w:rPr>
            </w:pPr>
          </w:p>
        </w:tc>
      </w:tr>
    </w:tbl>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供应商名称：</w:t>
      </w:r>
      <w:r>
        <w:rPr>
          <w:rFonts w:hint="eastAsia" w:cs="宋体" w:asciiTheme="minorEastAsia" w:hAnsiTheme="minorEastAsia"/>
          <w:szCs w:val="21"/>
          <w:u w:val="single"/>
          <w:lang w:val="zh-CN"/>
        </w:rPr>
        <w:t xml:space="preserve">     （全称）   </w:t>
      </w:r>
      <w:r>
        <w:rPr>
          <w:rFonts w:hint="eastAsia" w:cs="宋体" w:asciiTheme="minorEastAsia" w:hAnsiTheme="minorEastAsia"/>
          <w:szCs w:val="21"/>
          <w:lang w:val="zh-CN"/>
        </w:rPr>
        <w:t>（公章）：</w:t>
      </w:r>
    </w:p>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供应商法定代表人（单位负责人）或授权代表签字：</w:t>
      </w:r>
    </w:p>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日期：年月日</w:t>
      </w:r>
    </w:p>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注：1、交付日期指完成该项目的最终时间（日历天）。</w:t>
      </w:r>
    </w:p>
    <w:p>
      <w:pPr>
        <w:autoSpaceDE w:val="0"/>
        <w:autoSpaceDN w:val="0"/>
        <w:adjustRightInd w:val="0"/>
        <w:spacing w:line="480" w:lineRule="auto"/>
        <w:ind w:firstLine="420" w:firstLineChars="200"/>
        <w:rPr>
          <w:rFonts w:cs="宋体" w:asciiTheme="minorEastAsia" w:hAnsiTheme="minorEastAsia"/>
          <w:szCs w:val="21"/>
          <w:lang w:val="zh-CN"/>
        </w:rPr>
      </w:pPr>
      <w:r>
        <w:rPr>
          <w:rFonts w:hint="eastAsia" w:cs="宋体" w:asciiTheme="minorEastAsia" w:hAnsiTheme="minorEastAsia"/>
          <w:szCs w:val="21"/>
          <w:lang w:val="zh-CN"/>
        </w:rPr>
        <w:t>2、如谈判公告明确项目交付日期以年为单位，本表应填写完成该项目的年限。</w:t>
      </w: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rPr>
          <w:rFonts w:ascii="宋体" w:cs="宋体"/>
          <w:sz w:val="24"/>
          <w:lang w:val="zh-CN"/>
        </w:rPr>
      </w:pPr>
    </w:p>
    <w:p>
      <w:pPr>
        <w:autoSpaceDE w:val="0"/>
        <w:autoSpaceDN w:val="0"/>
        <w:adjustRightInd w:val="0"/>
        <w:spacing w:line="360" w:lineRule="auto"/>
        <w:jc w:val="both"/>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28"/>
          <w:szCs w:val="28"/>
          <w:lang w:val="zh-CN"/>
        </w:rPr>
      </w:pPr>
      <w:r>
        <w:rPr>
          <w:rFonts w:hint="eastAsia" w:cs="黑体" w:asciiTheme="minorEastAsia" w:hAnsiTheme="minorEastAsia"/>
          <w:b/>
          <w:bCs/>
          <w:sz w:val="28"/>
          <w:szCs w:val="28"/>
          <w:lang w:val="zh-CN"/>
        </w:rPr>
        <w:t>三、资格审查证明材料</w:t>
      </w:r>
    </w:p>
    <w:p>
      <w:pPr>
        <w:pStyle w:val="14"/>
        <w:spacing w:line="360" w:lineRule="auto"/>
        <w:jc w:val="center"/>
        <w:rPr>
          <w:rFonts w:asciiTheme="majorEastAsia" w:hAnsiTheme="majorEastAsia" w:eastAsiaTheme="majorEastAsia"/>
          <w:b/>
          <w:snapToGrid w:val="0"/>
          <w:kern w:val="0"/>
          <w:sz w:val="36"/>
          <w:szCs w:val="36"/>
        </w:rPr>
      </w:pPr>
    </w:p>
    <w:p>
      <w:pPr>
        <w:pStyle w:val="14"/>
        <w:spacing w:line="360" w:lineRule="auto"/>
        <w:jc w:val="center"/>
        <w:rPr>
          <w:rFonts w:asciiTheme="majorEastAsia" w:hAnsiTheme="majorEastAsia" w:eastAsiaTheme="majorEastAsia"/>
          <w:b/>
          <w:snapToGrid w:val="0"/>
          <w:kern w:val="0"/>
          <w:sz w:val="36"/>
          <w:szCs w:val="36"/>
        </w:rPr>
      </w:pPr>
    </w:p>
    <w:p>
      <w:pPr>
        <w:pStyle w:val="14"/>
        <w:spacing w:line="360" w:lineRule="auto"/>
        <w:jc w:val="center"/>
        <w:rPr>
          <w:rFonts w:asciiTheme="majorEastAsia" w:hAnsiTheme="majorEastAsia" w:eastAsiaTheme="majorEastAsia"/>
          <w:b/>
          <w:snapToGrid w:val="0"/>
          <w:kern w:val="0"/>
          <w:sz w:val="36"/>
          <w:szCs w:val="36"/>
        </w:rPr>
      </w:pPr>
    </w:p>
    <w:p>
      <w:pPr>
        <w:pStyle w:val="14"/>
        <w:spacing w:line="360" w:lineRule="auto"/>
        <w:jc w:val="both"/>
        <w:rPr>
          <w:rFonts w:asciiTheme="majorEastAsia" w:hAnsiTheme="majorEastAsia" w:eastAsiaTheme="majorEastAsia"/>
          <w:b/>
          <w:snapToGrid w:val="0"/>
          <w:kern w:val="0"/>
          <w:sz w:val="36"/>
          <w:szCs w:val="36"/>
        </w:rPr>
      </w:pPr>
    </w:p>
    <w:p>
      <w:pPr>
        <w:pStyle w:val="14"/>
        <w:spacing w:line="360" w:lineRule="auto"/>
        <w:jc w:val="center"/>
        <w:rPr>
          <w:rFonts w:asciiTheme="majorEastAsia" w:hAnsiTheme="majorEastAsia" w:eastAsiaTheme="majorEastAsia"/>
          <w:b/>
          <w:snapToGrid w:val="0"/>
          <w:kern w:val="0"/>
          <w:sz w:val="36"/>
          <w:szCs w:val="36"/>
        </w:rPr>
      </w:pPr>
    </w:p>
    <w:p>
      <w:pPr>
        <w:pStyle w:val="14"/>
        <w:spacing w:line="360" w:lineRule="auto"/>
        <w:jc w:val="center"/>
        <w:rPr>
          <w:rFonts w:asciiTheme="majorEastAsia" w:hAnsiTheme="majorEastAsia" w:eastAsiaTheme="majorEastAsia"/>
          <w:b/>
          <w:snapToGrid w:val="0"/>
          <w:kern w:val="0"/>
          <w:sz w:val="36"/>
          <w:szCs w:val="36"/>
        </w:rPr>
      </w:pPr>
    </w:p>
    <w:p>
      <w:pPr>
        <w:pStyle w:val="14"/>
        <w:spacing w:line="360" w:lineRule="auto"/>
        <w:jc w:val="center"/>
        <w:rPr>
          <w:rFonts w:asciiTheme="majorEastAsia" w:hAnsiTheme="majorEastAsia" w:eastAsiaTheme="majorEastAsia"/>
          <w:b/>
          <w:snapToGrid w:val="0"/>
          <w:kern w:val="0"/>
          <w:szCs w:val="24"/>
        </w:rPr>
      </w:pPr>
    </w:p>
    <w:p>
      <w:pPr>
        <w:pStyle w:val="14"/>
        <w:spacing w:line="360" w:lineRule="auto"/>
        <w:jc w:val="center"/>
        <w:rPr>
          <w:rFonts w:asciiTheme="majorEastAsia" w:hAnsiTheme="majorEastAsia" w:eastAsiaTheme="majorEastAsia"/>
          <w:b/>
          <w:snapToGrid w:val="0"/>
          <w:kern w:val="0"/>
          <w:szCs w:val="24"/>
        </w:rPr>
      </w:pPr>
      <w:r>
        <w:rPr>
          <w:rFonts w:hint="eastAsia" w:asciiTheme="majorEastAsia" w:hAnsiTheme="majorEastAsia" w:eastAsiaTheme="majorEastAsia"/>
          <w:b/>
          <w:snapToGrid w:val="0"/>
          <w:kern w:val="0"/>
          <w:szCs w:val="24"/>
        </w:rPr>
        <w:t>3.1 投 标 函</w:t>
      </w:r>
    </w:p>
    <w:p>
      <w:pPr>
        <w:pStyle w:val="14"/>
        <w:spacing w:line="360" w:lineRule="auto"/>
        <w:jc w:val="center"/>
        <w:rPr>
          <w:rFonts w:asciiTheme="majorEastAsia" w:hAnsiTheme="majorEastAsia" w:eastAsiaTheme="majorEastAsia"/>
          <w:b/>
          <w:snapToGrid w:val="0"/>
          <w:kern w:val="0"/>
          <w:sz w:val="28"/>
          <w:szCs w:val="28"/>
        </w:rPr>
      </w:pPr>
    </w:p>
    <w:p>
      <w:pPr>
        <w:adjustRightInd w:val="0"/>
        <w:spacing w:line="360" w:lineRule="auto"/>
        <w:contextualSpacing/>
        <w:rPr>
          <w:rFonts w:asciiTheme="minorEastAsia" w:hAnsiTheme="minorEastAsia"/>
          <w:b/>
          <w:snapToGrid w:val="0"/>
          <w:kern w:val="0"/>
          <w:szCs w:val="21"/>
        </w:rPr>
      </w:pPr>
      <w:r>
        <w:rPr>
          <w:rFonts w:hint="eastAsia" w:asciiTheme="minorEastAsia" w:hAnsiTheme="minorEastAsia"/>
          <w:snapToGrid w:val="0"/>
          <w:kern w:val="0"/>
          <w:szCs w:val="21"/>
        </w:rPr>
        <w:t>致：</w:t>
      </w:r>
      <w:r>
        <w:rPr>
          <w:rFonts w:hint="eastAsia" w:asciiTheme="minorEastAsia" w:hAnsiTheme="minorEastAsia"/>
          <w:b/>
          <w:snapToGrid w:val="0"/>
          <w:kern w:val="0"/>
          <w:szCs w:val="21"/>
        </w:rPr>
        <w:t>（采购人）</w:t>
      </w:r>
    </w:p>
    <w:p>
      <w:pPr>
        <w:adjustRightInd w:val="0"/>
        <w:spacing w:line="360" w:lineRule="auto"/>
        <w:ind w:firstLine="420" w:firstLineChars="200"/>
        <w:contextualSpacing/>
        <w:outlineLvl w:val="0"/>
        <w:rPr>
          <w:rFonts w:asciiTheme="minorEastAsia" w:hAnsiTheme="minorEastAsia"/>
          <w:snapToGrid w:val="0"/>
          <w:kern w:val="0"/>
          <w:szCs w:val="21"/>
        </w:rPr>
      </w:pPr>
      <w:r>
        <w:rPr>
          <w:rFonts w:hint="eastAsia" w:asciiTheme="minorEastAsia" w:hAnsiTheme="minorEastAsia"/>
          <w:snapToGrid w:val="0"/>
          <w:kern w:val="0"/>
          <w:szCs w:val="21"/>
        </w:rPr>
        <w:t>根据贵方_</w:t>
      </w:r>
      <w:r>
        <w:rPr>
          <w:rFonts w:hint="eastAsia" w:asciiTheme="minorEastAsia" w:hAnsiTheme="minorEastAsia"/>
          <w:snapToGrid w:val="0"/>
          <w:kern w:val="0"/>
          <w:szCs w:val="21"/>
          <w:u w:val="single"/>
        </w:rPr>
        <w:t xml:space="preserve">_    </w:t>
      </w:r>
      <w:r>
        <w:rPr>
          <w:rFonts w:hint="eastAsia" w:asciiTheme="minorEastAsia" w:hAnsiTheme="minorEastAsia"/>
          <w:snapToGrid w:val="0"/>
          <w:kern w:val="0"/>
          <w:szCs w:val="21"/>
        </w:rPr>
        <w:t>_（项目名称、招标编号）采购的竞争性谈判公告及谈判邀请，_______（姓名和职务）被正式授权并代表供应商（供应商名称、地址）提交。</w:t>
      </w:r>
    </w:p>
    <w:p>
      <w:pPr>
        <w:pStyle w:val="14"/>
        <w:adjustRightInd w:val="0"/>
        <w:spacing w:line="360" w:lineRule="auto"/>
        <w:ind w:firstLine="420" w:firstLineChars="200"/>
        <w:contextualSpacing/>
        <w:rPr>
          <w:rFonts w:asciiTheme="minorEastAsia" w:hAnsiTheme="minorEastAsia" w:eastAsiaTheme="minorEastAsia"/>
          <w:snapToGrid w:val="0"/>
          <w:kern w:val="0"/>
          <w:sz w:val="21"/>
          <w:szCs w:val="21"/>
        </w:rPr>
      </w:pPr>
      <w:r>
        <w:rPr>
          <w:rFonts w:hint="eastAsia" w:asciiTheme="minorEastAsia" w:hAnsiTheme="minorEastAsia" w:eastAsiaTheme="minorEastAsia"/>
          <w:snapToGrid w:val="0"/>
          <w:kern w:val="0"/>
          <w:sz w:val="21"/>
          <w:szCs w:val="21"/>
        </w:rPr>
        <w:t>我方确认收到贵方提供的（项目名称、招标编号）谈判文件的全部内容。</w:t>
      </w:r>
    </w:p>
    <w:p>
      <w:pPr>
        <w:pStyle w:val="14"/>
        <w:adjustRightInd w:val="0"/>
        <w:spacing w:line="360" w:lineRule="auto"/>
        <w:ind w:firstLine="420" w:firstLineChars="200"/>
        <w:contextualSpacing/>
        <w:rPr>
          <w:rFonts w:asciiTheme="minorEastAsia" w:hAnsiTheme="minorEastAsia" w:eastAsiaTheme="minorEastAsia"/>
          <w:snapToGrid w:val="0"/>
          <w:kern w:val="0"/>
          <w:sz w:val="21"/>
          <w:szCs w:val="21"/>
        </w:rPr>
      </w:pPr>
      <w:r>
        <w:rPr>
          <w:rFonts w:hint="eastAsia" w:asciiTheme="minorEastAsia" w:hAnsiTheme="minorEastAsia" w:eastAsiaTheme="minorEastAsia"/>
          <w:snapToGrid w:val="0"/>
          <w:kern w:val="0"/>
          <w:sz w:val="21"/>
          <w:szCs w:val="21"/>
        </w:rPr>
        <w:t>我方在参与投标前已详细研究了谈判文件的所有内容，包括澄清、修改文件（如果有）和所有已提供的参考资料以及有关附件，我方完全明白并认为此谈判文件没有倾向性，也不存在排斥潜在投标供应商的内容，我方同意谈判文件的相关条款和</w:t>
      </w:r>
      <w:r>
        <w:rPr>
          <w:rFonts w:hint="eastAsia" w:asciiTheme="minorEastAsia" w:hAnsiTheme="minorEastAsia" w:eastAsiaTheme="minorEastAsia"/>
          <w:sz w:val="21"/>
          <w:szCs w:val="21"/>
        </w:rPr>
        <w:t>已完全理解并接受谈判文件的各项规定和要求及资金支付规定，对谈判文件的合理性、合法性不再有异议。</w:t>
      </w:r>
    </w:p>
    <w:p>
      <w:pPr>
        <w:adjustRightInd w:val="0"/>
        <w:spacing w:line="360" w:lineRule="auto"/>
        <w:ind w:firstLine="420" w:firstLineChars="200"/>
        <w:contextualSpacing/>
        <w:rPr>
          <w:rFonts w:asciiTheme="minorEastAsia" w:hAnsiTheme="minorEastAsia"/>
          <w:snapToGrid w:val="0"/>
          <w:kern w:val="0"/>
          <w:szCs w:val="21"/>
        </w:rPr>
      </w:pPr>
      <w:r>
        <w:rPr>
          <w:rFonts w:hint="eastAsia" w:asciiTheme="minorEastAsia" w:hAnsiTheme="minorEastAsia"/>
          <w:i/>
          <w:snapToGrid w:val="0"/>
          <w:kern w:val="0"/>
          <w:szCs w:val="21"/>
          <w:u w:val="single"/>
        </w:rPr>
        <w:t xml:space="preserve">(供应商名称)     </w:t>
      </w:r>
      <w:r>
        <w:rPr>
          <w:rFonts w:hint="eastAsia" w:asciiTheme="minorEastAsia" w:hAnsiTheme="minorEastAsia"/>
          <w:snapToGrid w:val="0"/>
          <w:kern w:val="0"/>
          <w:szCs w:val="21"/>
        </w:rPr>
        <w:t>正式授权</w:t>
      </w:r>
      <w:r>
        <w:rPr>
          <w:rFonts w:hint="eastAsia" w:asciiTheme="minorEastAsia" w:hAnsiTheme="minorEastAsia"/>
          <w:i/>
          <w:snapToGrid w:val="0"/>
          <w:kern w:val="0"/>
          <w:szCs w:val="21"/>
          <w:u w:val="single"/>
        </w:rPr>
        <w:t xml:space="preserve">(授权代表全名, 职务)       </w:t>
      </w:r>
      <w:r>
        <w:rPr>
          <w:rFonts w:hint="eastAsia" w:asciiTheme="minorEastAsia" w:hAnsiTheme="minorEastAsia"/>
          <w:snapToGrid w:val="0"/>
          <w:kern w:val="0"/>
          <w:szCs w:val="21"/>
        </w:rPr>
        <w:t>代表我方全权处理有关本项目谈判响应的一切事宜。</w:t>
      </w:r>
    </w:p>
    <w:p>
      <w:pPr>
        <w:adjustRightInd w:val="0"/>
        <w:spacing w:line="360" w:lineRule="auto"/>
        <w:ind w:firstLine="420" w:firstLineChars="200"/>
        <w:contextualSpacing/>
        <w:rPr>
          <w:rFonts w:asciiTheme="minorEastAsia" w:hAnsiTheme="minorEastAsia"/>
          <w:snapToGrid w:val="0"/>
          <w:kern w:val="0"/>
          <w:szCs w:val="21"/>
        </w:rPr>
      </w:pPr>
      <w:r>
        <w:rPr>
          <w:rFonts w:hint="eastAsia" w:asciiTheme="minorEastAsia" w:hAnsiTheme="minorEastAsia"/>
          <w:snapToGrid w:val="0"/>
          <w:kern w:val="0"/>
          <w:szCs w:val="21"/>
        </w:rPr>
        <w:t>在此提交的响应文件，正本一份，副本一份。</w:t>
      </w:r>
    </w:p>
    <w:p>
      <w:pPr>
        <w:adjustRightInd w:val="0"/>
        <w:spacing w:line="360" w:lineRule="auto"/>
        <w:ind w:firstLine="420" w:firstLineChars="200"/>
        <w:contextualSpacing/>
        <w:rPr>
          <w:rFonts w:cs="Courier New" w:asciiTheme="minorEastAsia" w:hAnsiTheme="minorEastAsia"/>
          <w:szCs w:val="21"/>
        </w:rPr>
      </w:pPr>
      <w:r>
        <w:rPr>
          <w:rFonts w:hint="eastAsia" w:cs="Courier New" w:asciiTheme="minorEastAsia" w:hAnsiTheme="minorEastAsia"/>
          <w:szCs w:val="21"/>
        </w:rPr>
        <w:t>我方已完全明白谈判文件的所有条款要求，并申明如下：</w:t>
      </w:r>
    </w:p>
    <w:p>
      <w:pPr>
        <w:adjustRightInd w:val="0"/>
        <w:spacing w:line="360" w:lineRule="auto"/>
        <w:ind w:firstLine="420" w:firstLineChars="200"/>
        <w:contextualSpacing/>
        <w:rPr>
          <w:rFonts w:cs="Courier New" w:asciiTheme="minorEastAsia" w:hAnsiTheme="minorEastAsia"/>
          <w:szCs w:val="21"/>
        </w:rPr>
      </w:pPr>
      <w:r>
        <w:rPr>
          <w:rFonts w:hint="eastAsia" w:cs="Courier New" w:asciiTheme="minorEastAsia" w:hAnsiTheme="minorEastAsia"/>
          <w:szCs w:val="21"/>
        </w:rPr>
        <w:t>一、按谈判文件提供的全部货物与相关服务的响应总价详见《报价一览表》。</w:t>
      </w:r>
    </w:p>
    <w:p>
      <w:pPr>
        <w:adjustRightInd w:val="0"/>
        <w:spacing w:line="360" w:lineRule="auto"/>
        <w:ind w:firstLine="420" w:firstLineChars="200"/>
        <w:contextualSpacing/>
        <w:rPr>
          <w:rFonts w:cs="Courier New" w:asciiTheme="minorEastAsia" w:hAnsiTheme="minorEastAsia"/>
          <w:szCs w:val="21"/>
        </w:rPr>
      </w:pPr>
      <w:r>
        <w:rPr>
          <w:rFonts w:hint="eastAsia" w:cs="Courier New" w:asciiTheme="minorEastAsia" w:hAnsiTheme="minorEastAsia"/>
          <w:szCs w:val="21"/>
        </w:rPr>
        <w:t>二、本谈判文件的有效期为谈判响应截止时间起天。如成交，有效期将延至供货终止日为止。在此提交的资格证明文件均至谈判响应文件有效期截止日有效，如有在有效期内失效的，我方承诺在成交后补齐一切手续，保证所有资格证明文件能在签订采购合同时直至采购合同终止日有效。</w:t>
      </w:r>
    </w:p>
    <w:p>
      <w:pPr>
        <w:pStyle w:val="21"/>
        <w:adjustRightInd w:val="0"/>
        <w:spacing w:line="360" w:lineRule="auto"/>
        <w:ind w:firstLine="420" w:firstLineChars="200"/>
        <w:contextualSpacing/>
        <w:rPr>
          <w:rFonts w:cs="Courier New" w:asciiTheme="minorEastAsia" w:hAnsiTheme="minorEastAsia" w:eastAsiaTheme="minorEastAsia"/>
          <w:sz w:val="21"/>
          <w:szCs w:val="21"/>
        </w:rPr>
      </w:pPr>
      <w:r>
        <w:rPr>
          <w:rFonts w:hint="eastAsia" w:cs="Courier New" w:asciiTheme="minorEastAsia" w:hAnsiTheme="minorEastAsia" w:eastAsiaTheme="minorEastAsia"/>
          <w:sz w:val="21"/>
          <w:szCs w:val="21"/>
        </w:rPr>
        <w:t>三、我方明白并同意，在规定的谈判响应时间截止之后，响应有效期之内撤销谈判响应的，则贵方将不予退还谈判保证金。</w:t>
      </w:r>
    </w:p>
    <w:p>
      <w:pPr>
        <w:pStyle w:val="21"/>
        <w:adjustRightInd w:val="0"/>
        <w:spacing w:line="360" w:lineRule="auto"/>
        <w:ind w:firstLine="420" w:firstLineChars="200"/>
        <w:contextualSpacing/>
        <w:rPr>
          <w:rFonts w:cs="Courier New" w:asciiTheme="minorEastAsia" w:hAnsiTheme="minorEastAsia" w:eastAsiaTheme="minorEastAsia"/>
          <w:sz w:val="21"/>
          <w:szCs w:val="21"/>
        </w:rPr>
      </w:pPr>
      <w:r>
        <w:rPr>
          <w:rFonts w:hint="eastAsia" w:cs="Courier New" w:asciiTheme="minorEastAsia" w:hAnsiTheme="minorEastAsia" w:eastAsiaTheme="minorEastAsia"/>
          <w:sz w:val="21"/>
          <w:szCs w:val="21"/>
        </w:rPr>
        <w:t>四、我方同意按照贵方可能提出的要求而提供与谈判响应有关的任何其它数据、信息或资料。</w:t>
      </w:r>
    </w:p>
    <w:p>
      <w:pPr>
        <w:pStyle w:val="21"/>
        <w:adjustRightInd w:val="0"/>
        <w:spacing w:line="360" w:lineRule="auto"/>
        <w:ind w:firstLine="420" w:firstLineChars="200"/>
        <w:contextualSpacing/>
        <w:rPr>
          <w:rFonts w:cs="Courier New" w:asciiTheme="minorEastAsia" w:hAnsiTheme="minorEastAsia" w:eastAsiaTheme="minorEastAsia"/>
          <w:sz w:val="21"/>
          <w:szCs w:val="21"/>
        </w:rPr>
      </w:pPr>
      <w:r>
        <w:rPr>
          <w:rFonts w:hint="eastAsia" w:cs="Courier New" w:asciiTheme="minorEastAsia" w:hAnsiTheme="minorEastAsia" w:eastAsiaTheme="minorEastAsia"/>
          <w:sz w:val="21"/>
          <w:szCs w:val="21"/>
        </w:rPr>
        <w:t>五、我方理解贵方不一定接受最低响应价或任何贵方可能收到的谈判响应。</w:t>
      </w:r>
    </w:p>
    <w:p>
      <w:pPr>
        <w:pStyle w:val="21"/>
        <w:adjustRightInd w:val="0"/>
        <w:spacing w:line="360" w:lineRule="auto"/>
        <w:ind w:firstLine="420" w:firstLineChars="200"/>
        <w:contextualSpacing/>
        <w:rPr>
          <w:rFonts w:cs="Courier New" w:asciiTheme="minorEastAsia" w:hAnsiTheme="minorEastAsia" w:eastAsiaTheme="minorEastAsia"/>
          <w:sz w:val="21"/>
          <w:szCs w:val="21"/>
        </w:rPr>
      </w:pPr>
      <w:r>
        <w:rPr>
          <w:rFonts w:hint="eastAsia" w:cs="Courier New" w:asciiTheme="minorEastAsia" w:hAnsiTheme="minorEastAsia" w:eastAsiaTheme="minorEastAsia"/>
          <w:sz w:val="21"/>
          <w:szCs w:val="21"/>
        </w:rPr>
        <w:t>六、我方如果成交，将保证履行谈判文件及其澄清、修改文件（如果有）中的全部责任和义务，按质、按量、按期完成《采购需求》及《合同书》中的全部任务。</w:t>
      </w:r>
    </w:p>
    <w:p>
      <w:pPr>
        <w:pStyle w:val="21"/>
        <w:adjustRightInd w:val="0"/>
        <w:spacing w:line="360" w:lineRule="auto"/>
        <w:ind w:firstLine="420" w:firstLineChars="200"/>
        <w:contextualSpacing/>
        <w:rPr>
          <w:rFonts w:cs="宋体" w:asciiTheme="minorEastAsia" w:hAnsiTheme="minorEastAsia" w:eastAsiaTheme="minorEastAsia"/>
          <w:sz w:val="21"/>
          <w:szCs w:val="21"/>
        </w:rPr>
      </w:pPr>
      <w:r>
        <w:rPr>
          <w:rFonts w:hint="eastAsia" w:cs="Courier New" w:asciiTheme="minorEastAsia" w:hAnsiTheme="minorEastAsia" w:eastAsiaTheme="minorEastAsia"/>
          <w:sz w:val="21"/>
          <w:szCs w:val="21"/>
        </w:rPr>
        <w:t>七、我方在此保证所提交的所有文件和全部说明是真实的和正确的。</w:t>
      </w:r>
    </w:p>
    <w:p>
      <w:pPr>
        <w:pStyle w:val="14"/>
        <w:adjustRightInd w:val="0"/>
        <w:spacing w:line="360" w:lineRule="auto"/>
        <w:ind w:firstLine="420" w:firstLineChars="200"/>
        <w:contextualSpacing/>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八、我方响应报价已包含应向知识产权所有权人支付的所有相关税费，并保证采购人在中国使用我方提供的货物时，如有第三方提出侵犯其知识产权主张的，责任由我方承担。 </w:t>
      </w:r>
    </w:p>
    <w:p>
      <w:pPr>
        <w:pStyle w:val="14"/>
        <w:adjustRightInd w:val="0"/>
        <w:spacing w:line="360" w:lineRule="auto"/>
        <w:ind w:firstLine="420" w:firstLineChars="200"/>
        <w:contextualSpacing/>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九、我方具备《政府采购法》第二十二条规定的条件；承诺如下：</w:t>
      </w:r>
    </w:p>
    <w:p>
      <w:pPr>
        <w:pStyle w:val="14"/>
        <w:adjustRightInd w:val="0"/>
        <w:spacing w:line="360" w:lineRule="auto"/>
        <w:ind w:firstLine="420" w:firstLineChars="200"/>
        <w:contextualSpacing/>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 具有独立承担民事责任能力的在中华人民共和国境内注册的法人或其他组织或自然人，有效的营业执照（或事业法人登记证或身份证等相关证明）。</w:t>
      </w: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2. 我方已依法缴纳了各项税费及社会保险费用，如有需要，可随时向采购人提供近三个月内的相关缴费证明，以便核查。</w:t>
      </w: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3. 我方已依法建立健全的财务会计制度，如有需要，可随时向采购人提供相关证明材料，以便核查。</w:t>
      </w: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4. 参加政府采购活动前三年内，在经营活动中没有重大违法记录。</w:t>
      </w: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5. 符合法律、行政法规规定的其他条件。</w:t>
      </w:r>
    </w:p>
    <w:p>
      <w:pPr>
        <w:adjustRightInd w:val="0"/>
        <w:spacing w:line="360" w:lineRule="auto"/>
        <w:ind w:firstLine="441" w:firstLineChars="210"/>
        <w:contextualSpacing/>
        <w:rPr>
          <w:rFonts w:cs="Arial" w:asciiTheme="minorEastAsia" w:hAnsiTheme="minorEastAsia"/>
          <w:szCs w:val="21"/>
        </w:rPr>
      </w:pPr>
      <w:r>
        <w:rPr>
          <w:rFonts w:hint="eastAsia" w:cs="宋体" w:asciiTheme="minorEastAsia" w:hAnsiTheme="minorEastAsia"/>
          <w:szCs w:val="21"/>
        </w:rPr>
        <w:t>以上内容如有虚假或与事实不符的，谈判小组可将</w:t>
      </w:r>
      <w:r>
        <w:rPr>
          <w:rFonts w:hint="eastAsia" w:cs="Arial" w:asciiTheme="minorEastAsia" w:hAnsiTheme="minorEastAsia"/>
          <w:szCs w:val="21"/>
        </w:rPr>
        <w:t>我方做无效投标处理，我方愿意承担相应的法律责任。</w:t>
      </w:r>
    </w:p>
    <w:p>
      <w:pPr>
        <w:pStyle w:val="14"/>
        <w:adjustRightInd w:val="0"/>
        <w:spacing w:line="360" w:lineRule="auto"/>
        <w:ind w:firstLine="420" w:firstLineChars="200"/>
        <w:contextualSpacing/>
        <w:rPr>
          <w:rFonts w:asciiTheme="minorEastAsia" w:hAnsiTheme="minorEastAsia" w:eastAsiaTheme="minorEastAsia"/>
          <w:sz w:val="21"/>
          <w:szCs w:val="21"/>
        </w:rPr>
      </w:pPr>
      <w:r>
        <w:rPr>
          <w:rFonts w:hint="eastAsia" w:asciiTheme="minorEastAsia" w:hAnsiTheme="minorEastAsia" w:eastAsiaTheme="minorEastAsia"/>
          <w:sz w:val="21"/>
          <w:szCs w:val="21"/>
        </w:rPr>
        <w:t>十、我方具备履行合同所必需的设备和专业技术能力。</w:t>
      </w:r>
    </w:p>
    <w:p>
      <w:pPr>
        <w:pStyle w:val="14"/>
        <w:adjustRightInd w:val="0"/>
        <w:spacing w:line="360" w:lineRule="auto"/>
        <w:ind w:firstLine="420" w:firstLineChars="200"/>
        <w:contextualSpacing/>
        <w:rPr>
          <w:rFonts w:asciiTheme="minorEastAsia" w:hAnsiTheme="minorEastAsia" w:eastAsiaTheme="minorEastAsia"/>
          <w:sz w:val="21"/>
          <w:szCs w:val="21"/>
        </w:rPr>
      </w:pPr>
      <w:r>
        <w:rPr>
          <w:rFonts w:hint="eastAsia" w:asciiTheme="minorEastAsia" w:hAnsiTheme="minorEastAsia" w:eastAsiaTheme="minorEastAsia"/>
          <w:snapToGrid w:val="0"/>
          <w:kern w:val="0"/>
          <w:sz w:val="21"/>
          <w:szCs w:val="21"/>
        </w:rPr>
        <w:t>十一、</w:t>
      </w:r>
      <w:r>
        <w:rPr>
          <w:rFonts w:hint="eastAsia" w:asciiTheme="minorEastAsia" w:hAnsiTheme="minorEastAsia" w:eastAsiaTheme="minorEastAsia"/>
          <w:sz w:val="21"/>
          <w:szCs w:val="21"/>
        </w:rPr>
        <w:t>我方对在本函及响应文件中所作的所有承诺承担法律责任。</w:t>
      </w:r>
    </w:p>
    <w:p>
      <w:pPr>
        <w:pStyle w:val="14"/>
        <w:adjustRightInd w:val="0"/>
        <w:snapToGrid w:val="0"/>
        <w:spacing w:line="360" w:lineRule="auto"/>
        <w:rPr>
          <w:rFonts w:asciiTheme="minorEastAsia" w:hAnsiTheme="minorEastAsia" w:eastAsiaTheme="minorEastAsia"/>
          <w:sz w:val="21"/>
          <w:szCs w:val="21"/>
        </w:rPr>
      </w:pPr>
    </w:p>
    <w:p>
      <w:pPr>
        <w:pStyle w:val="14"/>
        <w:adjustRightInd w:val="0"/>
        <w:snapToGrid w:val="0"/>
        <w:spacing w:line="360" w:lineRule="auto"/>
        <w:rPr>
          <w:rFonts w:asciiTheme="minorEastAsia" w:hAnsiTheme="minorEastAsia" w:eastAsiaTheme="minorEastAsia"/>
          <w:sz w:val="21"/>
          <w:szCs w:val="21"/>
        </w:rPr>
      </w:pPr>
    </w:p>
    <w:p>
      <w:pPr>
        <w:pStyle w:val="14"/>
        <w:adjustRightInd w:val="0"/>
        <w:snapToGrid w:val="0"/>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所有与本项目谈判有关的一切正式往来请寄：</w:t>
      </w:r>
    </w:p>
    <w:p>
      <w:pPr>
        <w:adjustRightInd w:val="0"/>
        <w:snapToGrid w:val="0"/>
        <w:spacing w:line="360" w:lineRule="auto"/>
        <w:rPr>
          <w:rFonts w:cs="宋体" w:asciiTheme="minorEastAsia" w:hAnsiTheme="minorEastAsia"/>
          <w:szCs w:val="21"/>
        </w:rPr>
      </w:pPr>
      <w:r>
        <w:rPr>
          <w:rFonts w:hint="eastAsia" w:cs="宋体" w:asciiTheme="minorEastAsia" w:hAnsiTheme="minorEastAsia"/>
          <w:szCs w:val="21"/>
        </w:rPr>
        <w:t>地    址：.  邮政编码：.</w:t>
      </w:r>
    </w:p>
    <w:p>
      <w:pPr>
        <w:adjustRightInd w:val="0"/>
        <w:snapToGrid w:val="0"/>
        <w:spacing w:line="360" w:lineRule="auto"/>
        <w:rPr>
          <w:rFonts w:cs="宋体" w:asciiTheme="minorEastAsia" w:hAnsiTheme="minorEastAsia"/>
          <w:szCs w:val="21"/>
        </w:rPr>
      </w:pPr>
      <w:r>
        <w:rPr>
          <w:rFonts w:hint="eastAsia" w:cs="宋体" w:asciiTheme="minorEastAsia" w:hAnsiTheme="minorEastAsia"/>
          <w:szCs w:val="21"/>
        </w:rPr>
        <w:t>电    话：.  传    真：.</w:t>
      </w:r>
    </w:p>
    <w:p>
      <w:pPr>
        <w:adjustRightInd w:val="0"/>
        <w:snapToGrid w:val="0"/>
        <w:spacing w:line="360" w:lineRule="auto"/>
        <w:rPr>
          <w:rFonts w:cs="宋体" w:asciiTheme="minorEastAsia" w:hAnsiTheme="minorEastAsia"/>
          <w:szCs w:val="21"/>
          <w:u w:val="single"/>
        </w:rPr>
      </w:pPr>
      <w:r>
        <w:rPr>
          <w:rFonts w:hint="eastAsia" w:cs="宋体" w:asciiTheme="minorEastAsia" w:hAnsiTheme="minorEastAsia"/>
          <w:szCs w:val="21"/>
        </w:rPr>
        <w:t>供应商代表姓名：.  职    务：.</w:t>
      </w:r>
    </w:p>
    <w:p>
      <w:pPr>
        <w:adjustRightInd w:val="0"/>
        <w:snapToGrid w:val="0"/>
        <w:spacing w:line="360" w:lineRule="auto"/>
        <w:rPr>
          <w:rFonts w:cs="宋体" w:asciiTheme="minorEastAsia" w:hAnsiTheme="minorEastAsia"/>
          <w:szCs w:val="21"/>
          <w:u w:val="single"/>
        </w:rPr>
      </w:pPr>
    </w:p>
    <w:p>
      <w:pPr>
        <w:adjustRightInd w:val="0"/>
        <w:snapToGrid w:val="0"/>
        <w:spacing w:line="360" w:lineRule="auto"/>
        <w:rPr>
          <w:rFonts w:cs="宋体" w:asciiTheme="minorEastAsia" w:hAnsiTheme="minorEastAsia"/>
          <w:szCs w:val="21"/>
          <w:u w:val="single"/>
        </w:rPr>
      </w:pPr>
    </w:p>
    <w:p>
      <w:pPr>
        <w:adjustRightInd w:val="0"/>
        <w:snapToGrid w:val="0"/>
        <w:spacing w:line="360" w:lineRule="auto"/>
        <w:rPr>
          <w:rFonts w:cs="宋体" w:asciiTheme="minorEastAsia" w:hAnsiTheme="minorEastAsia"/>
          <w:szCs w:val="21"/>
        </w:rPr>
      </w:pPr>
      <w:r>
        <w:rPr>
          <w:rFonts w:hint="eastAsia" w:cs="宋体" w:asciiTheme="minorEastAsia" w:hAnsiTheme="minorEastAsia"/>
          <w:szCs w:val="21"/>
        </w:rPr>
        <w:t>供应商法定代表人（单位负责人）或法定代表人（单位负责人）授权代表签字或盖章：</w:t>
      </w:r>
    </w:p>
    <w:p>
      <w:pPr>
        <w:adjustRightInd w:val="0"/>
        <w:snapToGrid w:val="0"/>
        <w:spacing w:line="360" w:lineRule="auto"/>
        <w:rPr>
          <w:rFonts w:cs="宋体" w:asciiTheme="minorEastAsia" w:hAnsiTheme="minorEastAsia"/>
          <w:szCs w:val="21"/>
        </w:rPr>
      </w:pPr>
      <w:r>
        <w:rPr>
          <w:rFonts w:hint="eastAsia" w:cs="宋体" w:asciiTheme="minorEastAsia" w:hAnsiTheme="minorEastAsia"/>
          <w:szCs w:val="21"/>
        </w:rPr>
        <w:t>供应商名称（盖章）：</w:t>
      </w:r>
    </w:p>
    <w:p>
      <w:pPr>
        <w:adjustRightInd w:val="0"/>
        <w:snapToGrid w:val="0"/>
        <w:spacing w:line="360" w:lineRule="auto"/>
        <w:ind w:firstLine="4305" w:firstLineChars="2050"/>
        <w:rPr>
          <w:rFonts w:cs="宋体" w:asciiTheme="minorEastAsia" w:hAnsiTheme="minorEastAsia"/>
          <w:szCs w:val="21"/>
        </w:rPr>
      </w:pPr>
    </w:p>
    <w:p>
      <w:pPr>
        <w:adjustRightInd w:val="0"/>
        <w:snapToGrid w:val="0"/>
        <w:spacing w:line="360" w:lineRule="auto"/>
        <w:ind w:firstLine="4305" w:firstLineChars="2050"/>
        <w:rPr>
          <w:rFonts w:cs="宋体" w:asciiTheme="minorEastAsia" w:hAnsiTheme="minorEastAsia"/>
          <w:szCs w:val="21"/>
        </w:rPr>
      </w:pPr>
    </w:p>
    <w:p>
      <w:pPr>
        <w:adjustRightInd w:val="0"/>
        <w:snapToGrid w:val="0"/>
        <w:spacing w:line="360" w:lineRule="auto"/>
        <w:ind w:firstLine="4305" w:firstLineChars="2050"/>
        <w:rPr>
          <w:rFonts w:cs="宋体" w:asciiTheme="minorEastAsia" w:hAnsiTheme="minorEastAsia"/>
          <w:szCs w:val="21"/>
        </w:rPr>
      </w:pPr>
    </w:p>
    <w:p>
      <w:pPr>
        <w:adjustRightInd w:val="0"/>
        <w:snapToGrid w:val="0"/>
        <w:spacing w:line="360" w:lineRule="auto"/>
        <w:ind w:firstLine="4305" w:firstLineChars="2050"/>
        <w:rPr>
          <w:rFonts w:cs="宋体" w:asciiTheme="minorEastAsia" w:hAnsiTheme="minorEastAsia"/>
          <w:szCs w:val="21"/>
        </w:rPr>
      </w:pPr>
      <w:r>
        <w:rPr>
          <w:rFonts w:hint="eastAsia" w:cs="宋体" w:asciiTheme="minorEastAsia" w:hAnsiTheme="minorEastAsia"/>
          <w:szCs w:val="21"/>
        </w:rPr>
        <w:t>日期：    年    月    日</w:t>
      </w:r>
    </w:p>
    <w:p>
      <w:pPr>
        <w:adjustRightInd w:val="0"/>
        <w:snapToGrid w:val="0"/>
        <w:spacing w:line="360" w:lineRule="auto"/>
        <w:ind w:firstLine="4305" w:firstLineChars="2050"/>
        <w:rPr>
          <w:rFonts w:cs="宋体" w:asciiTheme="minorEastAsia" w:hAnsiTheme="minorEastAsia"/>
          <w:szCs w:val="21"/>
        </w:rPr>
      </w:pPr>
    </w:p>
    <w:p>
      <w:pPr>
        <w:adjustRightInd w:val="0"/>
        <w:snapToGrid w:val="0"/>
        <w:spacing w:line="360" w:lineRule="auto"/>
        <w:ind w:firstLine="4305" w:firstLineChars="2050"/>
        <w:rPr>
          <w:rFonts w:cs="宋体" w:asciiTheme="minorEastAsia" w:hAnsiTheme="minorEastAsia"/>
          <w:szCs w:val="21"/>
        </w:rPr>
      </w:pPr>
    </w:p>
    <w:p>
      <w:pPr>
        <w:spacing w:line="480" w:lineRule="exact"/>
        <w:jc w:val="center"/>
        <w:rPr>
          <w:rFonts w:asciiTheme="majorEastAsia" w:hAnsiTheme="majorEastAsia" w:eastAsiaTheme="majorEastAsia"/>
          <w:b/>
          <w:bCs/>
          <w:color w:val="000000"/>
          <w:sz w:val="24"/>
          <w:szCs w:val="24"/>
        </w:rPr>
      </w:pPr>
      <w:r>
        <w:rPr>
          <w:rFonts w:hint="eastAsia" w:asciiTheme="majorEastAsia" w:hAnsiTheme="majorEastAsia" w:eastAsiaTheme="majorEastAsia"/>
          <w:b/>
          <w:bCs/>
          <w:color w:val="000000"/>
          <w:sz w:val="24"/>
          <w:szCs w:val="24"/>
        </w:rPr>
        <w:t>3.2 法定代表人（单位负责人）</w:t>
      </w:r>
      <w:r>
        <w:rPr>
          <w:rFonts w:asciiTheme="majorEastAsia" w:hAnsiTheme="majorEastAsia" w:eastAsiaTheme="majorEastAsia"/>
          <w:b/>
          <w:bCs/>
          <w:color w:val="000000"/>
          <w:sz w:val="24"/>
          <w:szCs w:val="24"/>
        </w:rPr>
        <w:t>资</w:t>
      </w:r>
      <w:r>
        <w:rPr>
          <w:rFonts w:hint="eastAsia" w:asciiTheme="majorEastAsia" w:hAnsiTheme="majorEastAsia" w:eastAsiaTheme="majorEastAsia"/>
          <w:b/>
          <w:bCs/>
          <w:color w:val="000000"/>
          <w:sz w:val="24"/>
          <w:szCs w:val="24"/>
        </w:rPr>
        <w:t>格</w:t>
      </w:r>
      <w:r>
        <w:rPr>
          <w:rFonts w:asciiTheme="majorEastAsia" w:hAnsiTheme="majorEastAsia" w:eastAsiaTheme="majorEastAsia"/>
          <w:b/>
          <w:bCs/>
          <w:color w:val="000000"/>
          <w:sz w:val="24"/>
          <w:szCs w:val="24"/>
        </w:rPr>
        <w:t>证</w:t>
      </w:r>
      <w:r>
        <w:rPr>
          <w:rFonts w:hint="eastAsia" w:asciiTheme="majorEastAsia" w:hAnsiTheme="majorEastAsia" w:eastAsiaTheme="majorEastAsia"/>
          <w:b/>
          <w:bCs/>
          <w:color w:val="000000"/>
          <w:sz w:val="24"/>
          <w:szCs w:val="24"/>
        </w:rPr>
        <w:t>明</w:t>
      </w:r>
      <w:r>
        <w:rPr>
          <w:rFonts w:asciiTheme="majorEastAsia" w:hAnsiTheme="majorEastAsia" w:eastAsiaTheme="majorEastAsia"/>
          <w:b/>
          <w:bCs/>
          <w:color w:val="000000"/>
          <w:sz w:val="24"/>
          <w:szCs w:val="24"/>
        </w:rPr>
        <w:t>书</w:t>
      </w:r>
    </w:p>
    <w:p>
      <w:pPr>
        <w:autoSpaceDE w:val="0"/>
        <w:autoSpaceDN w:val="0"/>
        <w:adjustRightInd w:val="0"/>
        <w:spacing w:line="480" w:lineRule="auto"/>
        <w:ind w:firstLine="616" w:firstLineChars="257"/>
        <w:rPr>
          <w:rFonts w:ascii="宋体" w:hAnsi="宋体"/>
          <w:color w:val="000000"/>
          <w:sz w:val="24"/>
          <w:szCs w:val="24"/>
        </w:rPr>
      </w:pPr>
    </w:p>
    <w:p>
      <w:pPr>
        <w:pStyle w:val="47"/>
        <w:spacing w:line="480" w:lineRule="auto"/>
        <w:ind w:firstLine="472" w:firstLineChars="225"/>
        <w:jc w:val="left"/>
        <w:rPr>
          <w:rFonts w:asciiTheme="minorEastAsia" w:hAnsiTheme="minorEastAsia"/>
          <w:color w:val="000000"/>
          <w:sz w:val="21"/>
          <w:szCs w:val="21"/>
        </w:rPr>
      </w:pPr>
      <w:r>
        <w:rPr>
          <w:rFonts w:asciiTheme="minorEastAsia" w:hAnsiTheme="minorEastAsia"/>
          <w:color w:val="000000"/>
          <w:sz w:val="21"/>
          <w:szCs w:val="21"/>
        </w:rPr>
        <w:t>单</w:t>
      </w:r>
      <w:r>
        <w:rPr>
          <w:rFonts w:hint="eastAsia" w:asciiTheme="minorEastAsia" w:hAnsiTheme="minorEastAsia"/>
          <w:color w:val="000000"/>
          <w:sz w:val="21"/>
          <w:szCs w:val="21"/>
        </w:rPr>
        <w:t>位名</w:t>
      </w:r>
      <w:r>
        <w:rPr>
          <w:rFonts w:asciiTheme="minorEastAsia" w:hAnsiTheme="minorEastAsia"/>
          <w:color w:val="000000"/>
          <w:sz w:val="21"/>
          <w:szCs w:val="21"/>
        </w:rPr>
        <w:t>称</w:t>
      </w:r>
      <w:r>
        <w:rPr>
          <w:rFonts w:hint="eastAsia" w:asciiTheme="minorEastAsia" w:hAnsiTheme="minorEastAsia"/>
          <w:color w:val="000000"/>
          <w:sz w:val="21"/>
          <w:szCs w:val="21"/>
        </w:rPr>
        <w:t>：</w:t>
      </w:r>
    </w:p>
    <w:p>
      <w:pPr>
        <w:pStyle w:val="47"/>
        <w:spacing w:line="480" w:lineRule="auto"/>
        <w:ind w:firstLine="472" w:firstLineChars="225"/>
        <w:jc w:val="left"/>
        <w:rPr>
          <w:rFonts w:asciiTheme="minorEastAsia" w:hAnsiTheme="minorEastAsia"/>
          <w:color w:val="000000"/>
          <w:sz w:val="21"/>
          <w:szCs w:val="21"/>
        </w:rPr>
      </w:pPr>
      <w:r>
        <w:rPr>
          <w:rFonts w:hint="eastAsia" w:asciiTheme="minorEastAsia" w:hAnsiTheme="minorEastAsia"/>
          <w:color w:val="000000"/>
          <w:sz w:val="21"/>
          <w:szCs w:val="21"/>
        </w:rPr>
        <w:t>地址：</w:t>
      </w:r>
    </w:p>
    <w:p>
      <w:pPr>
        <w:pStyle w:val="47"/>
        <w:spacing w:line="480" w:lineRule="auto"/>
        <w:ind w:firstLine="472" w:firstLineChars="225"/>
        <w:jc w:val="left"/>
        <w:rPr>
          <w:rFonts w:asciiTheme="minorEastAsia" w:hAnsiTheme="minorEastAsia"/>
          <w:color w:val="000000"/>
          <w:sz w:val="21"/>
          <w:szCs w:val="21"/>
        </w:rPr>
      </w:pPr>
      <w:r>
        <w:rPr>
          <w:rFonts w:hint="eastAsia" w:asciiTheme="minorEastAsia" w:hAnsiTheme="minorEastAsia"/>
          <w:color w:val="000000"/>
          <w:sz w:val="21"/>
          <w:szCs w:val="21"/>
        </w:rPr>
        <w:t>姓名：       性</w:t>
      </w:r>
      <w:r>
        <w:rPr>
          <w:rFonts w:asciiTheme="minorEastAsia" w:hAnsiTheme="minorEastAsia"/>
          <w:color w:val="000000"/>
          <w:sz w:val="21"/>
          <w:szCs w:val="21"/>
        </w:rPr>
        <w:t>别</w:t>
      </w:r>
      <w:r>
        <w:rPr>
          <w:rFonts w:hint="eastAsia" w:asciiTheme="minorEastAsia" w:hAnsiTheme="minorEastAsia"/>
          <w:color w:val="000000"/>
          <w:sz w:val="21"/>
          <w:szCs w:val="21"/>
        </w:rPr>
        <w:t>：     年</w:t>
      </w:r>
      <w:r>
        <w:rPr>
          <w:rFonts w:asciiTheme="minorEastAsia" w:hAnsiTheme="minorEastAsia"/>
          <w:color w:val="000000"/>
          <w:sz w:val="21"/>
          <w:szCs w:val="21"/>
        </w:rPr>
        <w:t>龄</w:t>
      </w:r>
      <w:r>
        <w:rPr>
          <w:rFonts w:hint="eastAsia" w:asciiTheme="minorEastAsia" w:hAnsiTheme="minorEastAsia"/>
          <w:color w:val="000000"/>
          <w:sz w:val="21"/>
          <w:szCs w:val="21"/>
        </w:rPr>
        <w:t>：</w:t>
      </w:r>
      <w:r>
        <w:rPr>
          <w:rFonts w:asciiTheme="minorEastAsia" w:hAnsiTheme="minorEastAsia"/>
          <w:color w:val="000000"/>
          <w:sz w:val="21"/>
          <w:szCs w:val="21"/>
        </w:rPr>
        <w:t xml:space="preserve">     职务</w:t>
      </w:r>
      <w:r>
        <w:rPr>
          <w:rFonts w:hint="eastAsia" w:asciiTheme="minorEastAsia" w:hAnsiTheme="minorEastAsia"/>
          <w:color w:val="000000"/>
          <w:sz w:val="21"/>
          <w:szCs w:val="21"/>
        </w:rPr>
        <w:t xml:space="preserve">：        </w:t>
      </w:r>
    </w:p>
    <w:p>
      <w:pPr>
        <w:pStyle w:val="47"/>
        <w:spacing w:line="480" w:lineRule="auto"/>
        <w:ind w:firstLine="472" w:firstLineChars="225"/>
        <w:jc w:val="left"/>
        <w:rPr>
          <w:rFonts w:asciiTheme="minorEastAsia" w:hAnsiTheme="minorEastAsia"/>
          <w:color w:val="000000"/>
          <w:sz w:val="21"/>
          <w:szCs w:val="21"/>
        </w:rPr>
      </w:pPr>
      <w:r>
        <w:rPr>
          <w:rFonts w:hint="eastAsia" w:asciiTheme="minorEastAsia" w:hAnsiTheme="minorEastAsia"/>
          <w:color w:val="000000"/>
          <w:sz w:val="21"/>
          <w:szCs w:val="21"/>
        </w:rPr>
        <w:t>本人系</w:t>
      </w:r>
      <w:r>
        <w:rPr>
          <w:rFonts w:hint="eastAsia" w:asciiTheme="minorEastAsia" w:hAnsiTheme="minorEastAsia"/>
          <w:i/>
          <w:snapToGrid w:val="0"/>
          <w:sz w:val="21"/>
          <w:szCs w:val="21"/>
          <w:u w:val="single"/>
        </w:rPr>
        <w:t>供应商名</w:t>
      </w:r>
      <w:r>
        <w:rPr>
          <w:rFonts w:asciiTheme="minorEastAsia" w:hAnsiTheme="minorEastAsia"/>
          <w:i/>
          <w:snapToGrid w:val="0"/>
          <w:sz w:val="21"/>
          <w:szCs w:val="21"/>
          <w:u w:val="single"/>
        </w:rPr>
        <w:t>称</w:t>
      </w:r>
      <w:r>
        <w:rPr>
          <w:rFonts w:hint="eastAsia" w:asciiTheme="minorEastAsia" w:hAnsiTheme="minorEastAsia"/>
          <w:color w:val="000000"/>
          <w:sz w:val="21"/>
          <w:szCs w:val="21"/>
        </w:rPr>
        <w:t>的法定代表人（单位负责人）。就</w:t>
      </w:r>
      <w:r>
        <w:rPr>
          <w:rFonts w:asciiTheme="minorEastAsia" w:hAnsiTheme="minorEastAsia"/>
          <w:color w:val="000000"/>
          <w:sz w:val="21"/>
          <w:szCs w:val="21"/>
        </w:rPr>
        <w:t>参</w:t>
      </w:r>
      <w:r>
        <w:rPr>
          <w:rFonts w:hint="eastAsia" w:asciiTheme="minorEastAsia" w:hAnsiTheme="minorEastAsia"/>
          <w:color w:val="000000"/>
          <w:sz w:val="21"/>
          <w:szCs w:val="21"/>
        </w:rPr>
        <w:t>加贵方招</w:t>
      </w:r>
      <w:r>
        <w:rPr>
          <w:rFonts w:asciiTheme="minorEastAsia" w:hAnsiTheme="minorEastAsia"/>
          <w:color w:val="000000"/>
          <w:sz w:val="21"/>
          <w:szCs w:val="21"/>
        </w:rPr>
        <w:t>标编号为</w:t>
      </w:r>
      <w:r>
        <w:rPr>
          <w:rFonts w:asciiTheme="minorEastAsia" w:hAnsiTheme="minorEastAsia"/>
          <w:i/>
          <w:color w:val="000000"/>
          <w:sz w:val="21"/>
          <w:szCs w:val="21"/>
          <w:u w:val="single"/>
        </w:rPr>
        <w:t>项目编号</w:t>
      </w:r>
      <w:r>
        <w:rPr>
          <w:rFonts w:hint="eastAsia" w:asciiTheme="minorEastAsia" w:hAnsiTheme="minorEastAsia"/>
          <w:color w:val="000000"/>
          <w:sz w:val="21"/>
          <w:szCs w:val="21"/>
        </w:rPr>
        <w:t>的</w:t>
      </w:r>
      <w:r>
        <w:rPr>
          <w:rFonts w:asciiTheme="minorEastAsia" w:hAnsiTheme="minorEastAsia"/>
          <w:i/>
          <w:color w:val="000000"/>
          <w:sz w:val="21"/>
          <w:szCs w:val="21"/>
          <w:u w:val="single"/>
        </w:rPr>
        <w:t>项目</w:t>
      </w:r>
      <w:r>
        <w:rPr>
          <w:rFonts w:hint="eastAsia" w:asciiTheme="minorEastAsia" w:hAnsiTheme="minorEastAsia"/>
          <w:i/>
          <w:color w:val="000000"/>
          <w:sz w:val="21"/>
          <w:szCs w:val="21"/>
          <w:u w:val="single"/>
        </w:rPr>
        <w:t>名</w:t>
      </w:r>
      <w:r>
        <w:rPr>
          <w:rFonts w:asciiTheme="minorEastAsia" w:hAnsiTheme="minorEastAsia"/>
          <w:i/>
          <w:color w:val="000000"/>
          <w:sz w:val="21"/>
          <w:szCs w:val="21"/>
          <w:u w:val="single"/>
        </w:rPr>
        <w:t>称</w:t>
      </w:r>
      <w:r>
        <w:rPr>
          <w:rFonts w:hint="eastAsia" w:asciiTheme="minorEastAsia" w:hAnsiTheme="minorEastAsia"/>
          <w:color w:val="000000"/>
          <w:sz w:val="21"/>
          <w:szCs w:val="21"/>
        </w:rPr>
        <w:t>竞争性谈判</w:t>
      </w:r>
      <w:r>
        <w:rPr>
          <w:rFonts w:asciiTheme="minorEastAsia" w:hAnsiTheme="minorEastAsia"/>
          <w:color w:val="000000"/>
          <w:sz w:val="21"/>
          <w:szCs w:val="21"/>
        </w:rPr>
        <w:t>项目</w:t>
      </w:r>
      <w:r>
        <w:rPr>
          <w:rFonts w:hint="eastAsia" w:asciiTheme="minorEastAsia" w:hAnsiTheme="minorEastAsia"/>
          <w:color w:val="000000"/>
          <w:sz w:val="21"/>
          <w:szCs w:val="21"/>
        </w:rPr>
        <w:t>的响应</w:t>
      </w:r>
      <w:r>
        <w:rPr>
          <w:rFonts w:asciiTheme="minorEastAsia" w:hAnsiTheme="minorEastAsia"/>
          <w:color w:val="000000"/>
          <w:sz w:val="21"/>
          <w:szCs w:val="21"/>
        </w:rPr>
        <w:t>报价</w:t>
      </w:r>
      <w:r>
        <w:rPr>
          <w:rFonts w:hint="eastAsia" w:asciiTheme="minorEastAsia" w:hAnsiTheme="minorEastAsia"/>
          <w:color w:val="000000"/>
          <w:sz w:val="21"/>
          <w:szCs w:val="21"/>
        </w:rPr>
        <w:t>，</w:t>
      </w:r>
      <w:r>
        <w:rPr>
          <w:rFonts w:asciiTheme="minorEastAsia" w:hAnsiTheme="minorEastAsia"/>
          <w:color w:val="000000"/>
          <w:sz w:val="21"/>
          <w:szCs w:val="21"/>
        </w:rPr>
        <w:t>签</w:t>
      </w:r>
      <w:r>
        <w:rPr>
          <w:rFonts w:hint="eastAsia" w:asciiTheme="minorEastAsia" w:hAnsiTheme="minorEastAsia"/>
          <w:color w:val="000000"/>
          <w:sz w:val="21"/>
          <w:szCs w:val="21"/>
        </w:rPr>
        <w:t>署上</w:t>
      </w:r>
      <w:r>
        <w:rPr>
          <w:rFonts w:asciiTheme="minorEastAsia" w:hAnsiTheme="minorEastAsia"/>
          <w:color w:val="000000"/>
          <w:sz w:val="21"/>
          <w:szCs w:val="21"/>
        </w:rPr>
        <w:t>述项目</w:t>
      </w:r>
      <w:r>
        <w:rPr>
          <w:rFonts w:hint="eastAsia" w:asciiTheme="minorEastAsia" w:hAnsiTheme="minorEastAsia"/>
          <w:color w:val="000000"/>
          <w:sz w:val="21"/>
          <w:szCs w:val="21"/>
        </w:rPr>
        <w:t>的响应文件及合同的</w:t>
      </w:r>
      <w:r>
        <w:rPr>
          <w:rFonts w:asciiTheme="minorEastAsia" w:hAnsiTheme="minorEastAsia"/>
          <w:color w:val="000000"/>
          <w:sz w:val="21"/>
          <w:szCs w:val="21"/>
        </w:rPr>
        <w:t>执</w:t>
      </w:r>
      <w:r>
        <w:rPr>
          <w:rFonts w:hint="eastAsia" w:asciiTheme="minorEastAsia" w:hAnsiTheme="minorEastAsia"/>
          <w:color w:val="000000"/>
          <w:sz w:val="21"/>
          <w:szCs w:val="21"/>
        </w:rPr>
        <w:t>行、完成、服</w:t>
      </w:r>
      <w:r>
        <w:rPr>
          <w:rFonts w:asciiTheme="minorEastAsia" w:hAnsiTheme="minorEastAsia"/>
          <w:color w:val="000000"/>
          <w:sz w:val="21"/>
          <w:szCs w:val="21"/>
        </w:rPr>
        <w:t>务</w:t>
      </w:r>
      <w:r>
        <w:rPr>
          <w:rFonts w:hint="eastAsia" w:asciiTheme="minorEastAsia" w:hAnsiTheme="minorEastAsia"/>
          <w:color w:val="000000"/>
          <w:sz w:val="21"/>
          <w:szCs w:val="21"/>
        </w:rPr>
        <w:t>和保修，</w:t>
      </w:r>
      <w:r>
        <w:rPr>
          <w:rFonts w:asciiTheme="minorEastAsia" w:hAnsiTheme="minorEastAsia"/>
          <w:color w:val="000000"/>
          <w:sz w:val="21"/>
          <w:szCs w:val="21"/>
        </w:rPr>
        <w:t>签</w:t>
      </w:r>
      <w:r>
        <w:rPr>
          <w:rFonts w:hint="eastAsia" w:asciiTheme="minorEastAsia" w:hAnsiTheme="minorEastAsia"/>
          <w:color w:val="000000"/>
          <w:sz w:val="21"/>
          <w:szCs w:val="21"/>
        </w:rPr>
        <w:t>署合同和</w:t>
      </w:r>
      <w:r>
        <w:rPr>
          <w:rFonts w:asciiTheme="minorEastAsia" w:hAnsiTheme="minorEastAsia"/>
          <w:color w:val="000000"/>
          <w:sz w:val="21"/>
          <w:szCs w:val="21"/>
        </w:rPr>
        <w:t>处</w:t>
      </w:r>
      <w:r>
        <w:rPr>
          <w:rFonts w:hint="eastAsia" w:asciiTheme="minorEastAsia" w:hAnsiTheme="minorEastAsia"/>
          <w:color w:val="000000"/>
          <w:sz w:val="21"/>
          <w:szCs w:val="21"/>
        </w:rPr>
        <w:t>理与之有</w:t>
      </w:r>
      <w:r>
        <w:rPr>
          <w:rFonts w:asciiTheme="minorEastAsia" w:hAnsiTheme="minorEastAsia"/>
          <w:color w:val="000000"/>
          <w:sz w:val="21"/>
          <w:szCs w:val="21"/>
        </w:rPr>
        <w:t>关的</w:t>
      </w:r>
      <w:r>
        <w:rPr>
          <w:rFonts w:hint="eastAsia" w:asciiTheme="minorEastAsia" w:hAnsiTheme="minorEastAsia"/>
          <w:color w:val="000000"/>
          <w:sz w:val="21"/>
          <w:szCs w:val="21"/>
        </w:rPr>
        <w:t>一切事</w:t>
      </w:r>
      <w:r>
        <w:rPr>
          <w:rFonts w:asciiTheme="minorEastAsia" w:hAnsiTheme="minorEastAsia"/>
          <w:color w:val="000000"/>
          <w:sz w:val="21"/>
          <w:szCs w:val="21"/>
        </w:rPr>
        <w:t>务</w:t>
      </w:r>
      <w:r>
        <w:rPr>
          <w:rFonts w:hint="eastAsia" w:asciiTheme="minorEastAsia" w:hAnsiTheme="minorEastAsia"/>
          <w:color w:val="000000"/>
          <w:sz w:val="21"/>
          <w:szCs w:val="21"/>
        </w:rPr>
        <w:t>。</w:t>
      </w:r>
    </w:p>
    <w:p>
      <w:pPr>
        <w:pStyle w:val="47"/>
        <w:spacing w:line="480" w:lineRule="auto"/>
        <w:ind w:firstLine="472" w:firstLineChars="225"/>
        <w:jc w:val="left"/>
        <w:rPr>
          <w:rFonts w:asciiTheme="minorEastAsia" w:hAnsiTheme="minorEastAsia"/>
          <w:color w:val="000000"/>
          <w:sz w:val="21"/>
          <w:szCs w:val="21"/>
        </w:rPr>
      </w:pPr>
      <w:r>
        <w:rPr>
          <w:rFonts w:hint="eastAsia" w:asciiTheme="minorEastAsia" w:hAnsiTheme="minorEastAsia"/>
          <w:color w:val="000000"/>
          <w:sz w:val="21"/>
          <w:szCs w:val="21"/>
        </w:rPr>
        <w:t>特此</w:t>
      </w:r>
      <w:r>
        <w:rPr>
          <w:rFonts w:asciiTheme="minorEastAsia" w:hAnsiTheme="minorEastAsia"/>
          <w:color w:val="000000"/>
          <w:sz w:val="21"/>
          <w:szCs w:val="21"/>
        </w:rPr>
        <w:t>证</w:t>
      </w:r>
      <w:r>
        <w:rPr>
          <w:rFonts w:hint="eastAsia" w:asciiTheme="minorEastAsia" w:hAnsiTheme="minorEastAsia"/>
          <w:color w:val="000000"/>
          <w:sz w:val="21"/>
          <w:szCs w:val="21"/>
        </w:rPr>
        <w:t>明。</w:t>
      </w:r>
    </w:p>
    <w:p>
      <w:pPr>
        <w:pStyle w:val="47"/>
        <w:spacing w:line="480" w:lineRule="auto"/>
        <w:ind w:firstLine="472" w:firstLineChars="225"/>
        <w:jc w:val="left"/>
        <w:rPr>
          <w:rFonts w:asciiTheme="minorEastAsia" w:hAnsiTheme="minorEastAsia"/>
          <w:color w:val="000000"/>
          <w:sz w:val="21"/>
          <w:szCs w:val="21"/>
        </w:rPr>
      </w:pPr>
    </w:p>
    <w:p>
      <w:pPr>
        <w:pStyle w:val="47"/>
        <w:spacing w:line="480" w:lineRule="auto"/>
        <w:ind w:firstLine="472" w:firstLineChars="225"/>
        <w:jc w:val="left"/>
        <w:rPr>
          <w:rFonts w:asciiTheme="minorEastAsia" w:hAnsiTheme="minorEastAsia"/>
          <w:color w:val="000000"/>
          <w:sz w:val="21"/>
          <w:szCs w:val="21"/>
        </w:rPr>
      </w:pPr>
    </w:p>
    <w:p>
      <w:pPr>
        <w:pStyle w:val="47"/>
        <w:spacing w:line="480" w:lineRule="auto"/>
        <w:ind w:left="-538" w:leftChars="-256" w:firstLine="539" w:firstLineChars="257"/>
        <w:jc w:val="center"/>
        <w:rPr>
          <w:rFonts w:asciiTheme="minorEastAsia" w:hAnsiTheme="minorEastAsia"/>
          <w:bCs/>
          <w:color w:val="000000"/>
          <w:sz w:val="21"/>
          <w:szCs w:val="21"/>
        </w:rPr>
      </w:pPr>
      <w:r>
        <w:rPr>
          <w:rFonts w:hint="eastAsia" w:asciiTheme="minorEastAsia" w:hAnsiTheme="minorEastAsia"/>
          <w:bCs/>
          <w:color w:val="000000"/>
          <w:sz w:val="21"/>
          <w:szCs w:val="21"/>
        </w:rPr>
        <w:t>【此</w:t>
      </w:r>
      <w:r>
        <w:rPr>
          <w:rFonts w:asciiTheme="minorEastAsia" w:hAnsiTheme="minorEastAsia"/>
          <w:bCs/>
          <w:color w:val="000000"/>
          <w:sz w:val="21"/>
          <w:szCs w:val="21"/>
        </w:rPr>
        <w:t>处请</w:t>
      </w:r>
      <w:r>
        <w:rPr>
          <w:rFonts w:hint="eastAsia" w:asciiTheme="minorEastAsia" w:hAnsiTheme="minorEastAsia"/>
          <w:bCs/>
          <w:color w:val="000000"/>
          <w:sz w:val="21"/>
          <w:szCs w:val="21"/>
        </w:rPr>
        <w:t>粘</w:t>
      </w:r>
      <w:r>
        <w:rPr>
          <w:rFonts w:asciiTheme="minorEastAsia" w:hAnsiTheme="minorEastAsia"/>
          <w:bCs/>
          <w:color w:val="000000"/>
          <w:sz w:val="21"/>
          <w:szCs w:val="21"/>
        </w:rPr>
        <w:t>贴</w:t>
      </w:r>
      <w:r>
        <w:rPr>
          <w:rFonts w:hint="eastAsia" w:asciiTheme="minorEastAsia" w:hAnsiTheme="minorEastAsia"/>
          <w:bCs/>
          <w:color w:val="000000"/>
          <w:sz w:val="21"/>
          <w:szCs w:val="21"/>
        </w:rPr>
        <w:t>法定代表人（单位负责人）身份</w:t>
      </w:r>
      <w:r>
        <w:rPr>
          <w:rFonts w:asciiTheme="minorEastAsia" w:hAnsiTheme="minorEastAsia"/>
          <w:bCs/>
          <w:color w:val="000000"/>
          <w:sz w:val="21"/>
          <w:szCs w:val="21"/>
        </w:rPr>
        <w:t>证复</w:t>
      </w:r>
      <w:r>
        <w:rPr>
          <w:rFonts w:hint="eastAsia" w:asciiTheme="minorEastAsia" w:hAnsiTheme="minorEastAsia"/>
          <w:bCs/>
          <w:color w:val="000000"/>
          <w:sz w:val="21"/>
          <w:szCs w:val="21"/>
        </w:rPr>
        <w:t>印件，需清晰反映身份证有效期限】</w:t>
      </w:r>
    </w:p>
    <w:p>
      <w:pPr>
        <w:pStyle w:val="47"/>
        <w:spacing w:line="480" w:lineRule="auto"/>
        <w:ind w:left="-538" w:leftChars="-256" w:firstLine="539" w:firstLineChars="257"/>
        <w:jc w:val="center"/>
        <w:rPr>
          <w:rFonts w:asciiTheme="minorEastAsia" w:hAnsiTheme="minorEastAsia"/>
          <w:bCs/>
          <w:color w:val="000000"/>
          <w:sz w:val="21"/>
          <w:szCs w:val="21"/>
        </w:rPr>
      </w:pPr>
    </w:p>
    <w:p>
      <w:pPr>
        <w:autoSpaceDE w:val="0"/>
        <w:autoSpaceDN w:val="0"/>
        <w:adjustRightInd w:val="0"/>
        <w:spacing w:line="360" w:lineRule="auto"/>
        <w:ind w:right="-11"/>
        <w:rPr>
          <w:rFonts w:cs="宋体" w:asciiTheme="minorEastAsia" w:hAnsiTheme="minorEastAsia"/>
          <w:szCs w:val="21"/>
          <w:lang w:val="zh-CN"/>
        </w:rPr>
      </w:pPr>
    </w:p>
    <w:p>
      <w:pPr>
        <w:autoSpaceDE w:val="0"/>
        <w:autoSpaceDN w:val="0"/>
        <w:adjustRightInd w:val="0"/>
        <w:spacing w:line="360" w:lineRule="auto"/>
        <w:ind w:right="-11"/>
        <w:rPr>
          <w:rFonts w:cs="宋体" w:asciiTheme="minorEastAsia" w:hAnsiTheme="minorEastAsia"/>
          <w:szCs w:val="21"/>
          <w:lang w:val="zh-CN"/>
        </w:rPr>
      </w:pPr>
    </w:p>
    <w:p>
      <w:pPr>
        <w:autoSpaceDE w:val="0"/>
        <w:autoSpaceDN w:val="0"/>
        <w:adjustRightInd w:val="0"/>
        <w:spacing w:line="360" w:lineRule="auto"/>
        <w:ind w:right="-11"/>
        <w:rPr>
          <w:rFonts w:cs="宋体" w:asciiTheme="minorEastAsia" w:hAnsiTheme="minorEastAsia"/>
          <w:szCs w:val="21"/>
          <w:lang w:val="zh-CN"/>
        </w:rPr>
      </w:pPr>
    </w:p>
    <w:p>
      <w:pPr>
        <w:spacing w:line="480" w:lineRule="auto"/>
        <w:ind w:firstLine="3937" w:firstLineChars="1875"/>
        <w:rPr>
          <w:rFonts w:cs="Arial" w:asciiTheme="minorEastAsia" w:hAnsiTheme="minorEastAsia"/>
          <w:color w:val="000000"/>
          <w:szCs w:val="21"/>
          <w:u w:val="single"/>
        </w:rPr>
      </w:pPr>
      <w:r>
        <w:rPr>
          <w:rFonts w:hint="eastAsia" w:cs="Arial" w:asciiTheme="minorEastAsia" w:hAnsiTheme="minorEastAsia"/>
          <w:color w:val="000000"/>
          <w:szCs w:val="21"/>
        </w:rPr>
        <w:t>供应商名称（并加盖公章）：</w:t>
      </w:r>
    </w:p>
    <w:p>
      <w:pPr>
        <w:pStyle w:val="50"/>
        <w:spacing w:before="60" w:line="480" w:lineRule="auto"/>
        <w:ind w:firstLine="3937" w:firstLineChars="1875"/>
        <w:rPr>
          <w:rFonts w:cs="Arial" w:asciiTheme="minorEastAsia" w:hAnsiTheme="minorEastAsia" w:eastAsiaTheme="minorEastAsia"/>
          <w:color w:val="000000"/>
          <w:sz w:val="21"/>
          <w:szCs w:val="21"/>
        </w:rPr>
      </w:pPr>
      <w:r>
        <w:rPr>
          <w:rFonts w:hint="eastAsia" w:cs="Arial" w:asciiTheme="minorEastAsia" w:hAnsiTheme="minorEastAsia" w:eastAsiaTheme="minorEastAsia"/>
          <w:color w:val="000000"/>
          <w:sz w:val="21"/>
          <w:szCs w:val="21"/>
        </w:rPr>
        <w:t>签署日期：   年   月  日</w:t>
      </w:r>
    </w:p>
    <w:p>
      <w:pPr>
        <w:pStyle w:val="49"/>
        <w:spacing w:line="480" w:lineRule="auto"/>
        <w:rPr>
          <w:rFonts w:cs="Arial" w:asciiTheme="minorEastAsia" w:hAnsiTheme="minorEastAsia"/>
          <w:color w:val="000000"/>
          <w:sz w:val="21"/>
          <w:szCs w:val="21"/>
        </w:rPr>
      </w:pPr>
    </w:p>
    <w:p>
      <w:pPr>
        <w:rPr>
          <w:szCs w:val="21"/>
        </w:rPr>
      </w:pPr>
    </w:p>
    <w:p>
      <w:pPr>
        <w:spacing w:line="320" w:lineRule="exact"/>
        <w:ind w:firstLine="420" w:firstLineChars="200"/>
        <w:rPr>
          <w:rFonts w:asciiTheme="minorEastAsia" w:hAnsiTheme="minorEastAsia"/>
          <w:bCs/>
          <w:color w:val="000000"/>
          <w:kern w:val="12"/>
          <w:szCs w:val="21"/>
        </w:rPr>
      </w:pPr>
      <w:r>
        <w:rPr>
          <w:rFonts w:hint="eastAsia" w:asciiTheme="minorEastAsia" w:hAnsiTheme="minorEastAsia"/>
          <w:bCs/>
          <w:color w:val="000000"/>
          <w:kern w:val="12"/>
          <w:szCs w:val="21"/>
        </w:rPr>
        <w:t>说明：法定代表人（单位负责人）</w:t>
      </w:r>
      <w:r>
        <w:rPr>
          <w:rFonts w:asciiTheme="minorEastAsia" w:hAnsiTheme="minorEastAsia"/>
          <w:bCs/>
          <w:color w:val="000000"/>
          <w:kern w:val="12"/>
          <w:szCs w:val="21"/>
        </w:rPr>
        <w:t>参</w:t>
      </w:r>
      <w:r>
        <w:rPr>
          <w:rFonts w:hint="eastAsia" w:asciiTheme="minorEastAsia" w:hAnsiTheme="minorEastAsia"/>
          <w:bCs/>
          <w:color w:val="000000"/>
          <w:kern w:val="12"/>
          <w:szCs w:val="21"/>
        </w:rPr>
        <w:t>加本竞争性谈判</w:t>
      </w:r>
      <w:r>
        <w:rPr>
          <w:rFonts w:asciiTheme="minorEastAsia" w:hAnsiTheme="minorEastAsia"/>
          <w:bCs/>
          <w:color w:val="000000"/>
          <w:kern w:val="12"/>
          <w:szCs w:val="21"/>
        </w:rPr>
        <w:t>项目</w:t>
      </w:r>
      <w:r>
        <w:rPr>
          <w:rFonts w:hint="eastAsia" w:asciiTheme="minorEastAsia" w:hAnsiTheme="minorEastAsia"/>
          <w:bCs/>
          <w:color w:val="000000"/>
          <w:kern w:val="12"/>
          <w:szCs w:val="21"/>
        </w:rPr>
        <w:t>响应的，</w:t>
      </w:r>
      <w:r>
        <w:rPr>
          <w:rFonts w:asciiTheme="minorEastAsia" w:hAnsiTheme="minorEastAsia"/>
          <w:bCs/>
          <w:color w:val="000000"/>
          <w:kern w:val="12"/>
          <w:szCs w:val="21"/>
        </w:rPr>
        <w:t>仅须</w:t>
      </w:r>
      <w:r>
        <w:rPr>
          <w:rFonts w:hint="eastAsia" w:asciiTheme="minorEastAsia" w:hAnsiTheme="minorEastAsia"/>
          <w:bCs/>
          <w:color w:val="000000"/>
          <w:kern w:val="12"/>
          <w:szCs w:val="21"/>
        </w:rPr>
        <w:t>出具此</w:t>
      </w:r>
      <w:r>
        <w:rPr>
          <w:rFonts w:asciiTheme="minorEastAsia" w:hAnsiTheme="minorEastAsia"/>
          <w:bCs/>
          <w:color w:val="000000"/>
          <w:kern w:val="12"/>
          <w:szCs w:val="21"/>
        </w:rPr>
        <w:t>证</w:t>
      </w:r>
      <w:r>
        <w:rPr>
          <w:rFonts w:hint="eastAsia" w:asciiTheme="minorEastAsia" w:hAnsiTheme="minorEastAsia"/>
          <w:bCs/>
          <w:color w:val="000000"/>
          <w:kern w:val="12"/>
          <w:szCs w:val="21"/>
        </w:rPr>
        <w:t>明</w:t>
      </w:r>
      <w:r>
        <w:rPr>
          <w:rFonts w:asciiTheme="minorEastAsia" w:hAnsiTheme="minorEastAsia"/>
          <w:bCs/>
          <w:color w:val="000000"/>
          <w:kern w:val="12"/>
          <w:szCs w:val="21"/>
        </w:rPr>
        <w:t>书</w:t>
      </w:r>
      <w:r>
        <w:rPr>
          <w:rFonts w:hint="eastAsia" w:asciiTheme="minorEastAsia" w:hAnsiTheme="minorEastAsia"/>
          <w:bCs/>
          <w:color w:val="000000"/>
          <w:kern w:val="12"/>
          <w:szCs w:val="21"/>
        </w:rPr>
        <w:t>。</w:t>
      </w:r>
    </w:p>
    <w:p>
      <w:pPr>
        <w:spacing w:line="480" w:lineRule="exact"/>
        <w:jc w:val="center"/>
        <w:rPr>
          <w:rFonts w:ascii="宋体" w:hAnsi="宋体"/>
          <w:b/>
          <w:bCs/>
          <w:color w:val="000000"/>
          <w:sz w:val="36"/>
          <w:szCs w:val="36"/>
        </w:rPr>
      </w:pPr>
    </w:p>
    <w:p>
      <w:pPr>
        <w:spacing w:line="480" w:lineRule="exact"/>
        <w:jc w:val="center"/>
        <w:rPr>
          <w:rFonts w:ascii="宋体" w:hAnsi="宋体"/>
          <w:b/>
          <w:bCs/>
          <w:color w:val="000000"/>
          <w:sz w:val="24"/>
          <w:szCs w:val="24"/>
        </w:rPr>
      </w:pPr>
      <w:r>
        <w:rPr>
          <w:rFonts w:hint="eastAsia" w:ascii="宋体" w:hAnsi="宋体"/>
          <w:b/>
          <w:bCs/>
          <w:color w:val="000000"/>
          <w:sz w:val="24"/>
          <w:szCs w:val="24"/>
        </w:rPr>
        <w:t>3.3 法定代表人（单位负责人）授权书</w:t>
      </w:r>
    </w:p>
    <w:p>
      <w:pPr>
        <w:spacing w:line="480" w:lineRule="exact"/>
        <w:jc w:val="center"/>
        <w:rPr>
          <w:rFonts w:ascii="宋体" w:hAnsi="宋体"/>
          <w:b/>
          <w:bCs/>
          <w:color w:val="000000"/>
          <w:sz w:val="36"/>
          <w:szCs w:val="36"/>
        </w:rPr>
      </w:pP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本人</w:t>
      </w:r>
      <w:r>
        <w:rPr>
          <w:rFonts w:hint="eastAsia" w:cs="Arial" w:asciiTheme="minorEastAsia" w:hAnsiTheme="minorEastAsia"/>
          <w:szCs w:val="21"/>
          <w:u w:val="single"/>
        </w:rPr>
        <w:t xml:space="preserve">　 </w:t>
      </w:r>
      <w:r>
        <w:rPr>
          <w:rFonts w:hint="eastAsia" w:asciiTheme="minorEastAsia" w:hAnsiTheme="minorEastAsia"/>
          <w:i/>
          <w:snapToGrid w:val="0"/>
          <w:szCs w:val="21"/>
          <w:u w:val="single"/>
        </w:rPr>
        <w:t>法人姓名</w:t>
      </w:r>
      <w:r>
        <w:rPr>
          <w:rFonts w:hint="eastAsia" w:cs="Arial" w:asciiTheme="minorEastAsia" w:hAnsiTheme="minorEastAsia"/>
          <w:szCs w:val="21"/>
        </w:rPr>
        <w:t>系</w:t>
      </w:r>
      <w:r>
        <w:rPr>
          <w:rFonts w:hint="eastAsia" w:cs="Arial" w:asciiTheme="minorEastAsia" w:hAnsiTheme="minorEastAsia"/>
          <w:szCs w:val="21"/>
          <w:u w:val="single"/>
        </w:rPr>
        <w:t>　</w:t>
      </w:r>
      <w:r>
        <w:rPr>
          <w:rFonts w:hint="eastAsia" w:asciiTheme="minorEastAsia" w:hAnsiTheme="minorEastAsia"/>
          <w:i/>
          <w:snapToGrid w:val="0"/>
          <w:szCs w:val="21"/>
          <w:u w:val="single"/>
        </w:rPr>
        <w:t xml:space="preserve">供应商名称  </w:t>
      </w:r>
      <w:r>
        <w:rPr>
          <w:rFonts w:hint="eastAsia" w:cs="Arial" w:asciiTheme="minorEastAsia" w:hAnsiTheme="minorEastAsia"/>
          <w:szCs w:val="21"/>
        </w:rPr>
        <w:t>的法定代表人（单位负责人），现委托</w:t>
      </w:r>
      <w:r>
        <w:rPr>
          <w:rFonts w:hint="eastAsia" w:cs="Arial" w:asciiTheme="minorEastAsia" w:hAnsiTheme="minorEastAsia"/>
          <w:szCs w:val="21"/>
          <w:u w:val="single"/>
        </w:rPr>
        <w:t xml:space="preserve">　 </w:t>
      </w:r>
      <w:r>
        <w:rPr>
          <w:rFonts w:hint="eastAsia" w:asciiTheme="minorEastAsia" w:hAnsiTheme="minorEastAsia"/>
          <w:i/>
          <w:snapToGrid w:val="0"/>
          <w:szCs w:val="21"/>
          <w:u w:val="single"/>
        </w:rPr>
        <w:t>姓名，职务</w:t>
      </w:r>
      <w:r>
        <w:rPr>
          <w:rFonts w:hint="eastAsia" w:cs="Arial" w:asciiTheme="minorEastAsia" w:hAnsiTheme="minorEastAsia"/>
          <w:szCs w:val="21"/>
        </w:rPr>
        <w:t>以我方的名义参加贵方______________________项目的谈判响应活动，并代表我方全权办理针对上述项目的谈判、响应文件澄清、签约等一切具体事务和签署相关文件。</w:t>
      </w: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我方对被授权人的签名事项负全部责任。</w:t>
      </w: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在贵方收到我方撤销授权的书面通知以前，本授权书一直有效。被授权人在授权书有效期内签署的所有文件不因授权的撤销而失效。除我方书面撤销授权外，本授权书自投标截止之日起直至我方的响应文件有效期结束前始终有效。</w:t>
      </w:r>
    </w:p>
    <w:p>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被授权人无转委托权，特此委托。</w:t>
      </w:r>
    </w:p>
    <w:p>
      <w:pPr>
        <w:spacing w:line="480" w:lineRule="auto"/>
        <w:ind w:firstLine="420" w:firstLineChars="200"/>
        <w:rPr>
          <w:rFonts w:asciiTheme="minorEastAsia" w:hAnsiTheme="minorEastAsia"/>
          <w:szCs w:val="21"/>
        </w:rPr>
      </w:pPr>
      <w:r>
        <w:rPr>
          <w:rFonts w:hint="eastAsia" w:asciiTheme="minorEastAsia" w:hAnsiTheme="minorEastAsia"/>
          <w:szCs w:val="21"/>
        </w:rPr>
        <w:t xml:space="preserve">投标人名称： </w:t>
      </w:r>
      <w:r>
        <w:rPr>
          <w:rFonts w:hint="eastAsia" w:asciiTheme="minorEastAsia" w:hAnsiTheme="minorEastAsia"/>
          <w:szCs w:val="21"/>
          <w:u w:val="single"/>
        </w:rPr>
        <w:t xml:space="preserve">       （全称）       </w:t>
      </w:r>
      <w:r>
        <w:rPr>
          <w:rFonts w:hint="eastAsia" w:asciiTheme="minorEastAsia" w:hAnsiTheme="minorEastAsia"/>
          <w:szCs w:val="21"/>
        </w:rPr>
        <w:t xml:space="preserve"> （盖单位公章）</w:t>
      </w:r>
    </w:p>
    <w:p>
      <w:pPr>
        <w:spacing w:line="480" w:lineRule="auto"/>
        <w:ind w:firstLine="420" w:firstLineChars="200"/>
        <w:rPr>
          <w:rFonts w:cs="Arial" w:asciiTheme="minorEastAsia" w:hAnsiTheme="minorEastAsia"/>
          <w:szCs w:val="21"/>
        </w:rPr>
      </w:pPr>
      <w:r>
        <w:rPr>
          <w:rFonts w:hint="eastAsia" w:cs="Arial" w:asciiTheme="minorEastAsia" w:hAnsiTheme="minorEastAsia"/>
          <w:szCs w:val="21"/>
        </w:rPr>
        <w:t>法定代表人（单位负责人）：              （签字或加盖名章）</w:t>
      </w:r>
    </w:p>
    <w:p>
      <w:pPr>
        <w:spacing w:line="480" w:lineRule="auto"/>
        <w:ind w:firstLine="420" w:firstLineChars="200"/>
        <w:rPr>
          <w:rFonts w:asciiTheme="minorEastAsia" w:hAnsiTheme="minorEastAsia"/>
          <w:szCs w:val="21"/>
        </w:rPr>
      </w:pPr>
      <w:r>
        <w:rPr>
          <w:rFonts w:hint="eastAsia" w:cs="Arial" w:asciiTheme="minorEastAsia" w:hAnsiTheme="minorEastAsia"/>
          <w:szCs w:val="21"/>
        </w:rPr>
        <w:t>法定代表人（单位负责人）</w:t>
      </w:r>
      <w:r>
        <w:rPr>
          <w:rFonts w:hint="eastAsia" w:asciiTheme="minorEastAsia" w:hAnsiTheme="minorEastAsia"/>
          <w:szCs w:val="21"/>
        </w:rPr>
        <w:t>授权代表：  （签字或加盖名章）</w:t>
      </w:r>
    </w:p>
    <w:tbl>
      <w:tblPr>
        <w:tblStyle w:val="24"/>
        <w:tblW w:w="89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4"/>
        <w:gridCol w:w="7"/>
        <w:gridCol w:w="4478"/>
        <w:gridCol w:w="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4" w:type="dxa"/>
          <w:trHeight w:val="2636" w:hRule="atLeast"/>
        </w:trPr>
        <w:tc>
          <w:tcPr>
            <w:tcW w:w="4484" w:type="dxa"/>
            <w:vAlign w:val="center"/>
          </w:tcPr>
          <w:p>
            <w:pPr>
              <w:jc w:val="center"/>
              <w:rPr>
                <w:rFonts w:asciiTheme="minorEastAsia" w:hAnsiTheme="minorEastAsia"/>
                <w:szCs w:val="21"/>
              </w:rPr>
            </w:pPr>
            <w:r>
              <w:rPr>
                <w:rFonts w:hint="eastAsia" w:asciiTheme="minorEastAsia" w:hAnsiTheme="minorEastAsia"/>
                <w:szCs w:val="21"/>
              </w:rPr>
              <w:t>法定代表人（单位负责人）身份证（正面）</w:t>
            </w:r>
          </w:p>
        </w:tc>
        <w:tc>
          <w:tcPr>
            <w:tcW w:w="4485" w:type="dxa"/>
            <w:gridSpan w:val="2"/>
            <w:vAlign w:val="center"/>
          </w:tcPr>
          <w:p>
            <w:pPr>
              <w:jc w:val="center"/>
              <w:rPr>
                <w:rFonts w:asciiTheme="minorEastAsia" w:hAnsiTheme="minorEastAsia"/>
                <w:szCs w:val="21"/>
              </w:rPr>
            </w:pPr>
            <w:r>
              <w:rPr>
                <w:rFonts w:hint="eastAsia" w:asciiTheme="minorEastAsia" w:hAnsiTheme="minorEastAsia"/>
                <w:szCs w:val="21"/>
              </w:rPr>
              <w:t>法定代表人（单位负责人）身份证（反面）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1" w:hRule="atLeast"/>
        </w:trPr>
        <w:tc>
          <w:tcPr>
            <w:tcW w:w="4491" w:type="dxa"/>
            <w:gridSpan w:val="2"/>
            <w:vAlign w:val="center"/>
          </w:tcPr>
          <w:p>
            <w:pPr>
              <w:jc w:val="center"/>
              <w:rPr>
                <w:rFonts w:asciiTheme="minorEastAsia" w:hAnsiTheme="minorEastAsia"/>
                <w:szCs w:val="21"/>
              </w:rPr>
            </w:pPr>
            <w:r>
              <w:rPr>
                <w:rFonts w:hint="eastAsia" w:asciiTheme="minorEastAsia" w:hAnsiTheme="minorEastAsia"/>
                <w:szCs w:val="21"/>
              </w:rPr>
              <w:t>法定代表人（单位负责人）授权代表身份证</w:t>
            </w:r>
          </w:p>
          <w:p>
            <w:pPr>
              <w:jc w:val="center"/>
              <w:rPr>
                <w:rFonts w:asciiTheme="minorEastAsia" w:hAnsiTheme="minorEastAsia"/>
                <w:szCs w:val="21"/>
              </w:rPr>
            </w:pPr>
            <w:r>
              <w:rPr>
                <w:rFonts w:hint="eastAsia" w:asciiTheme="minorEastAsia" w:hAnsiTheme="minorEastAsia"/>
                <w:szCs w:val="21"/>
              </w:rPr>
              <w:t>（正面）</w:t>
            </w:r>
          </w:p>
        </w:tc>
        <w:tc>
          <w:tcPr>
            <w:tcW w:w="4492" w:type="dxa"/>
            <w:gridSpan w:val="2"/>
            <w:vAlign w:val="center"/>
          </w:tcPr>
          <w:p>
            <w:pPr>
              <w:jc w:val="center"/>
              <w:rPr>
                <w:rFonts w:asciiTheme="minorEastAsia" w:hAnsiTheme="minorEastAsia"/>
                <w:szCs w:val="21"/>
              </w:rPr>
            </w:pPr>
            <w:r>
              <w:rPr>
                <w:rFonts w:hint="eastAsia" w:asciiTheme="minorEastAsia" w:hAnsiTheme="minorEastAsia"/>
                <w:szCs w:val="21"/>
              </w:rPr>
              <w:t>法定代表人（单位负责人）授权代表身份证</w:t>
            </w:r>
          </w:p>
          <w:p>
            <w:pPr>
              <w:jc w:val="center"/>
              <w:rPr>
                <w:rFonts w:asciiTheme="minorEastAsia" w:hAnsiTheme="minorEastAsia"/>
                <w:szCs w:val="21"/>
              </w:rPr>
            </w:pPr>
            <w:r>
              <w:rPr>
                <w:rFonts w:hint="eastAsia" w:asciiTheme="minorEastAsia" w:hAnsiTheme="minorEastAsia"/>
                <w:szCs w:val="21"/>
              </w:rPr>
              <w:t>（反面）</w:t>
            </w:r>
          </w:p>
        </w:tc>
      </w:tr>
    </w:tbl>
    <w:p>
      <w:pPr>
        <w:spacing w:line="320" w:lineRule="exact"/>
        <w:ind w:left="2" w:firstLine="357" w:firstLineChars="149"/>
        <w:rPr>
          <w:rFonts w:cs="Courier New" w:asciiTheme="minorEastAsia" w:hAnsiTheme="minorEastAsia"/>
          <w:sz w:val="24"/>
          <w:szCs w:val="24"/>
        </w:rPr>
      </w:pPr>
    </w:p>
    <w:p>
      <w:pPr>
        <w:widowControl/>
        <w:spacing w:before="100" w:beforeAutospacing="1" w:after="100" w:afterAutospacing="1" w:line="360" w:lineRule="auto"/>
        <w:jc w:val="center"/>
        <w:rPr>
          <w:rFonts w:ascii="宋体" w:hAnsi="宋体"/>
          <w:b/>
          <w:bCs/>
          <w:color w:val="000000"/>
          <w:sz w:val="24"/>
          <w:szCs w:val="24"/>
        </w:rPr>
      </w:pPr>
      <w:r>
        <w:rPr>
          <w:rFonts w:hint="eastAsia" w:ascii="宋体" w:hAnsi="宋体"/>
          <w:b/>
          <w:bCs/>
          <w:color w:val="000000"/>
          <w:sz w:val="24"/>
          <w:szCs w:val="24"/>
        </w:rPr>
        <w:t>3.4 没有重大违法记录的声明</w:t>
      </w:r>
    </w:p>
    <w:p>
      <w:pPr>
        <w:spacing w:beforeLines="50" w:afterLines="50"/>
        <w:jc w:val="center"/>
        <w:rPr>
          <w:rFonts w:ascii="宋体" w:hAnsi="宋体" w:cs="Arial"/>
          <w:color w:val="000000"/>
          <w:kern w:val="0"/>
          <w:sz w:val="28"/>
          <w:szCs w:val="28"/>
        </w:rPr>
      </w:pPr>
      <w:r>
        <w:rPr>
          <w:rFonts w:hint="eastAsia" w:ascii="宋体" w:hAnsi="宋体" w:cs="Arial"/>
          <w:color w:val="000000"/>
          <w:kern w:val="0"/>
          <w:sz w:val="28"/>
          <w:szCs w:val="28"/>
        </w:rPr>
        <w:t>声　   明</w:t>
      </w:r>
    </w:p>
    <w:p>
      <w:pPr>
        <w:spacing w:beforeLines="50" w:afterLines="50" w:line="360" w:lineRule="auto"/>
        <w:ind w:firstLine="420" w:firstLineChars="200"/>
        <w:rPr>
          <w:rFonts w:cs="宋体" w:asciiTheme="minorEastAsia" w:hAnsiTheme="minorEastAsia"/>
          <w:szCs w:val="21"/>
          <w:lang w:val="zh-CN"/>
        </w:rPr>
      </w:pPr>
      <w:r>
        <w:rPr>
          <w:rFonts w:hint="eastAsia" w:cs="宋体" w:asciiTheme="minorEastAsia" w:hAnsiTheme="minorEastAsia"/>
          <w:szCs w:val="21"/>
          <w:lang w:val="zh-CN"/>
        </w:rPr>
        <w:t>本公司参加本次政府采购活动前三年内，在经营活动中没有重大违法记录。（重大违法记录，是指因违法经营受到刑事处罚或者责令停产停业、吊销许可证或者执照、较大数额罚款等行政处罚。）</w:t>
      </w:r>
    </w:p>
    <w:p>
      <w:pPr>
        <w:spacing w:beforeLines="50" w:afterLines="50" w:line="360" w:lineRule="auto"/>
        <w:ind w:firstLine="420" w:firstLineChars="200"/>
        <w:rPr>
          <w:rFonts w:cs="宋体" w:asciiTheme="minorEastAsia" w:hAnsiTheme="minorEastAsia"/>
          <w:szCs w:val="21"/>
          <w:lang w:val="zh-CN"/>
        </w:rPr>
      </w:pPr>
      <w:r>
        <w:rPr>
          <w:rFonts w:hint="eastAsia" w:cs="宋体" w:asciiTheme="minorEastAsia" w:hAnsiTheme="minorEastAsia"/>
          <w:szCs w:val="21"/>
          <w:lang w:val="zh-CN"/>
        </w:rPr>
        <w:t>特此声明。</w:t>
      </w:r>
    </w:p>
    <w:p>
      <w:pPr>
        <w:spacing w:beforeLines="50" w:afterLines="50" w:line="360" w:lineRule="auto"/>
        <w:ind w:firstLine="420" w:firstLineChars="200"/>
        <w:rPr>
          <w:rFonts w:cs="宋体" w:asciiTheme="minorEastAsia" w:hAnsiTheme="minorEastAsia"/>
          <w:szCs w:val="21"/>
          <w:lang w:val="zh-CN"/>
        </w:rPr>
      </w:pPr>
      <w:r>
        <w:rPr>
          <w:rFonts w:hint="eastAsia" w:cs="宋体" w:asciiTheme="minorEastAsia" w:hAnsiTheme="minorEastAsia"/>
          <w:szCs w:val="21"/>
          <w:lang w:val="zh-CN"/>
        </w:rPr>
        <w:t>本公司对上述声明的真实性负责。如有虚假，将依法承担相应责任。</w:t>
      </w:r>
    </w:p>
    <w:p>
      <w:pPr>
        <w:spacing w:beforeLines="50" w:afterLines="50" w:line="360" w:lineRule="auto"/>
        <w:ind w:firstLine="495" w:firstLineChars="236"/>
        <w:rPr>
          <w:rFonts w:cs="宋体" w:asciiTheme="minorEastAsia" w:hAnsiTheme="minorEastAsia"/>
          <w:szCs w:val="21"/>
          <w:lang w:val="zh-CN"/>
        </w:rPr>
      </w:pPr>
    </w:p>
    <w:p>
      <w:pPr>
        <w:spacing w:beforeLines="50" w:afterLines="50" w:line="360" w:lineRule="auto"/>
        <w:ind w:right="420" w:firstLine="4800" w:firstLineChars="2286"/>
        <w:rPr>
          <w:rFonts w:cs="宋体" w:asciiTheme="minorEastAsia" w:hAnsiTheme="minorEastAsia"/>
          <w:szCs w:val="21"/>
          <w:lang w:val="zh-CN"/>
        </w:rPr>
      </w:pPr>
      <w:r>
        <w:rPr>
          <w:rFonts w:hint="eastAsia" w:cs="宋体" w:asciiTheme="minorEastAsia" w:hAnsiTheme="minorEastAsia"/>
          <w:szCs w:val="21"/>
          <w:lang w:val="zh-CN"/>
        </w:rPr>
        <w:t>单位名称（盖章）：</w:t>
      </w:r>
    </w:p>
    <w:p>
      <w:pPr>
        <w:spacing w:beforeLines="50" w:afterLines="50" w:line="360" w:lineRule="auto"/>
        <w:ind w:right="420" w:firstLine="4800" w:firstLineChars="2286"/>
        <w:rPr>
          <w:rFonts w:cs="宋体" w:asciiTheme="minorEastAsia" w:hAnsiTheme="minorEastAsia"/>
          <w:szCs w:val="21"/>
          <w:lang w:val="zh-CN"/>
        </w:rPr>
      </w:pPr>
      <w:r>
        <w:rPr>
          <w:rFonts w:hint="eastAsia" w:cs="宋体" w:asciiTheme="minorEastAsia" w:hAnsiTheme="minorEastAsia"/>
          <w:szCs w:val="21"/>
          <w:lang w:val="zh-CN"/>
        </w:rPr>
        <w:t xml:space="preserve">日    期：     </w:t>
      </w:r>
      <w:r>
        <w:rPr>
          <w:rFonts w:hint="eastAsia" w:cs="宋体" w:asciiTheme="minorEastAsia" w:hAnsiTheme="minorEastAsia"/>
          <w:szCs w:val="21"/>
        </w:rPr>
        <w:t>年    月    日</w:t>
      </w:r>
    </w:p>
    <w:p>
      <w:pPr>
        <w:spacing w:beforeLines="50" w:afterLines="50" w:line="360" w:lineRule="auto"/>
        <w:ind w:right="420" w:firstLine="5486" w:firstLineChars="2286"/>
        <w:rPr>
          <w:rFonts w:cs="宋体" w:asciiTheme="minorEastAsia" w:hAnsiTheme="minorEastAsia"/>
          <w:sz w:val="24"/>
          <w:szCs w:val="24"/>
          <w:lang w:val="zh-CN"/>
        </w:rPr>
      </w:pPr>
    </w:p>
    <w:p>
      <w:pPr>
        <w:autoSpaceDE w:val="0"/>
        <w:autoSpaceDN w:val="0"/>
        <w:adjustRightInd w:val="0"/>
        <w:spacing w:line="360" w:lineRule="auto"/>
        <w:ind w:firstLine="3373" w:firstLineChars="1400"/>
        <w:jc w:val="both"/>
        <w:outlineLvl w:val="0"/>
        <w:rPr>
          <w:rFonts w:hAnsi="宋体" w:eastAsia="宋体"/>
          <w:b/>
          <w:snapToGrid w:val="0"/>
          <w:kern w:val="0"/>
          <w:sz w:val="36"/>
          <w:szCs w:val="36"/>
        </w:rPr>
      </w:pPr>
      <w:r>
        <w:rPr>
          <w:rFonts w:hint="eastAsia" w:ascii="宋体" w:hAnsi="宋体"/>
          <w:b/>
          <w:bCs/>
          <w:color w:val="000000"/>
          <w:sz w:val="24"/>
          <w:szCs w:val="24"/>
        </w:rPr>
        <w:t xml:space="preserve"> 3.5 投标承诺函</w:t>
      </w:r>
    </w:p>
    <w:p>
      <w:pPr>
        <w:autoSpaceDE w:val="0"/>
        <w:autoSpaceDN w:val="0"/>
        <w:adjustRightInd w:val="0"/>
        <w:spacing w:line="360" w:lineRule="auto"/>
        <w:jc w:val="center"/>
        <w:outlineLvl w:val="0"/>
        <w:rPr>
          <w:rFonts w:hint="eastAsia" w:ascii="宋体" w:hAnsi="宋体"/>
          <w:b/>
          <w:bCs/>
          <w:color w:val="000000"/>
          <w:sz w:val="24"/>
          <w:szCs w:val="24"/>
          <w:lang w:val="zh-CN"/>
        </w:rPr>
      </w:pPr>
    </w:p>
    <w:p>
      <w:pPr>
        <w:autoSpaceDE w:val="0"/>
        <w:autoSpaceDN w:val="0"/>
        <w:adjustRightInd w:val="0"/>
        <w:spacing w:line="360" w:lineRule="auto"/>
        <w:jc w:val="center"/>
        <w:outlineLvl w:val="0"/>
        <w:rPr>
          <w:rFonts w:ascii="宋体" w:hAnsi="宋体"/>
          <w:b/>
          <w:bCs/>
          <w:color w:val="000000"/>
          <w:sz w:val="24"/>
          <w:szCs w:val="24"/>
          <w:lang w:val="zh-CN"/>
        </w:rPr>
      </w:pPr>
      <w:r>
        <w:rPr>
          <w:rFonts w:hint="eastAsia" w:ascii="宋体" w:hAnsi="宋体"/>
          <w:b/>
          <w:bCs/>
          <w:color w:val="000000"/>
          <w:sz w:val="24"/>
          <w:szCs w:val="24"/>
          <w:lang w:val="zh-CN"/>
        </w:rPr>
        <w:t>投标承诺函</w:t>
      </w:r>
    </w:p>
    <w:p>
      <w:pPr>
        <w:pStyle w:val="21"/>
        <w:widowControl/>
        <w:shd w:val="clear" w:color="auto" w:fill="FFFFFF"/>
        <w:spacing w:after="300" w:line="336" w:lineRule="atLeast"/>
        <w:ind w:firstLine="420" w:firstLineChars="200"/>
        <w:rPr>
          <w:rFonts w:asciiTheme="minorEastAsia" w:hAnsiTheme="minorEastAsia" w:eastAsiaTheme="minorEastAsia" w:cstheme="minorBidi"/>
          <w:color w:val="000000"/>
          <w:sz w:val="21"/>
          <w:szCs w:val="21"/>
        </w:rPr>
      </w:pPr>
      <w:r>
        <w:rPr>
          <w:rFonts w:hint="eastAsia" w:asciiTheme="minorEastAsia" w:hAnsiTheme="minorEastAsia" w:eastAsiaTheme="minorEastAsia" w:cstheme="minorBidi"/>
          <w:color w:val="000000"/>
          <w:sz w:val="21"/>
          <w:szCs w:val="21"/>
        </w:rPr>
        <w:t>本企业郑重承诺：</w:t>
      </w:r>
    </w:p>
    <w:p>
      <w:pPr>
        <w:pStyle w:val="21"/>
        <w:widowControl/>
        <w:shd w:val="clear" w:color="auto" w:fill="FFFFFF"/>
        <w:spacing w:after="300" w:line="336" w:lineRule="atLeast"/>
        <w:ind w:firstLine="420" w:firstLineChars="200"/>
        <w:rPr>
          <w:rFonts w:asciiTheme="minorEastAsia" w:hAnsiTheme="minorEastAsia" w:eastAsiaTheme="minorEastAsia" w:cstheme="minorBidi"/>
          <w:color w:val="000000"/>
          <w:sz w:val="21"/>
          <w:szCs w:val="21"/>
        </w:rPr>
      </w:pPr>
      <w:r>
        <w:rPr>
          <w:rFonts w:hint="eastAsia" w:asciiTheme="minorEastAsia" w:hAnsiTheme="minorEastAsia" w:eastAsiaTheme="minorEastAsia" w:cstheme="minorBidi"/>
          <w:color w:val="000000"/>
          <w:sz w:val="21"/>
          <w:szCs w:val="21"/>
        </w:rPr>
        <w:t>一、将遵循公开、公平、公正和诚实信用的原则参加(</w:t>
      </w:r>
      <w:r>
        <w:rPr>
          <w:rFonts w:hint="eastAsia" w:asciiTheme="minorEastAsia" w:hAnsiTheme="minorEastAsia" w:eastAsiaTheme="minorEastAsia" w:cstheme="minorBidi"/>
          <w:color w:val="FF0000"/>
          <w:sz w:val="21"/>
          <w:szCs w:val="21"/>
        </w:rPr>
        <w:t>具体政府采购项目名称</w:t>
      </w:r>
      <w:r>
        <w:rPr>
          <w:rFonts w:hint="eastAsia" w:asciiTheme="minorEastAsia" w:hAnsiTheme="minorEastAsia" w:eastAsiaTheme="minorEastAsia" w:cstheme="minorBidi"/>
          <w:color w:val="000000"/>
          <w:sz w:val="21"/>
          <w:szCs w:val="21"/>
        </w:rPr>
        <w:t>）的投标;</w:t>
      </w:r>
    </w:p>
    <w:p>
      <w:pPr>
        <w:pStyle w:val="21"/>
        <w:widowControl/>
        <w:shd w:val="clear" w:color="auto" w:fill="FFFFFF"/>
        <w:spacing w:after="300" w:line="336" w:lineRule="atLeast"/>
        <w:ind w:firstLine="420" w:firstLineChars="200"/>
        <w:rPr>
          <w:rFonts w:asciiTheme="minorEastAsia" w:hAnsiTheme="minorEastAsia" w:eastAsiaTheme="minorEastAsia" w:cstheme="minorBidi"/>
          <w:color w:val="000000"/>
          <w:sz w:val="21"/>
          <w:szCs w:val="21"/>
        </w:rPr>
      </w:pPr>
      <w:r>
        <w:rPr>
          <w:rFonts w:hint="eastAsia" w:asciiTheme="minorEastAsia" w:hAnsiTheme="minorEastAsia" w:eastAsiaTheme="minorEastAsia" w:cstheme="minorBidi"/>
          <w:color w:val="000000"/>
          <w:sz w:val="21"/>
          <w:szCs w:val="21"/>
        </w:rPr>
        <w:t xml:space="preserve">二、本次投标所提供的一切材料都是真实、有效、合法的; </w:t>
      </w:r>
    </w:p>
    <w:p>
      <w:pPr>
        <w:pStyle w:val="21"/>
        <w:widowControl/>
        <w:shd w:val="clear" w:color="auto" w:fill="FFFFFF"/>
        <w:spacing w:after="300" w:line="336" w:lineRule="atLeast"/>
        <w:ind w:firstLine="420" w:firstLineChars="200"/>
        <w:rPr>
          <w:rFonts w:asciiTheme="minorEastAsia" w:hAnsiTheme="minorEastAsia" w:eastAsiaTheme="minorEastAsia" w:cstheme="minorBidi"/>
          <w:color w:val="000000"/>
          <w:sz w:val="21"/>
          <w:szCs w:val="21"/>
        </w:rPr>
      </w:pPr>
      <w:r>
        <w:rPr>
          <w:rFonts w:hint="eastAsia" w:asciiTheme="minorEastAsia" w:hAnsiTheme="minorEastAsia" w:eastAsiaTheme="minorEastAsia" w:cstheme="minorBidi"/>
          <w:color w:val="000000"/>
          <w:sz w:val="21"/>
          <w:szCs w:val="21"/>
        </w:rPr>
        <w:t>三、不与其他投标人相互串通投标报价，不排挤其他投标人的公平竞争，不损害采购人或其他投标人的合法权益;</w:t>
      </w:r>
    </w:p>
    <w:p>
      <w:pPr>
        <w:pStyle w:val="21"/>
        <w:widowControl/>
        <w:shd w:val="clear" w:color="auto" w:fill="FFFFFF"/>
        <w:spacing w:after="300" w:line="336" w:lineRule="atLeast"/>
        <w:ind w:firstLine="420" w:firstLineChars="200"/>
        <w:rPr>
          <w:rFonts w:asciiTheme="minorEastAsia" w:hAnsiTheme="minorEastAsia" w:eastAsiaTheme="minorEastAsia" w:cstheme="minorBidi"/>
          <w:color w:val="000000"/>
          <w:sz w:val="21"/>
          <w:szCs w:val="21"/>
        </w:rPr>
      </w:pPr>
      <w:r>
        <w:rPr>
          <w:rFonts w:hint="eastAsia" w:asciiTheme="minorEastAsia" w:hAnsiTheme="minorEastAsia" w:eastAsiaTheme="minorEastAsia" w:cstheme="minorBidi"/>
          <w:color w:val="000000"/>
          <w:sz w:val="21"/>
          <w:szCs w:val="21"/>
        </w:rPr>
        <w:t>四、不与采购人或集中采购机构串通投标，不损害国家利益、社会公共利益或者他人的合法权益;</w:t>
      </w:r>
    </w:p>
    <w:p>
      <w:pPr>
        <w:pStyle w:val="21"/>
        <w:widowControl/>
        <w:shd w:val="clear" w:color="auto" w:fill="FFFFFF"/>
        <w:spacing w:after="300" w:line="336" w:lineRule="atLeast"/>
        <w:ind w:firstLine="420" w:firstLineChars="200"/>
        <w:rPr>
          <w:rFonts w:asciiTheme="minorEastAsia" w:hAnsiTheme="minorEastAsia" w:eastAsiaTheme="minorEastAsia" w:cstheme="minorBidi"/>
          <w:color w:val="000000"/>
          <w:sz w:val="21"/>
          <w:szCs w:val="21"/>
        </w:rPr>
      </w:pPr>
      <w:r>
        <w:rPr>
          <w:rFonts w:hint="eastAsia" w:asciiTheme="minorEastAsia" w:hAnsiTheme="minorEastAsia" w:eastAsiaTheme="minorEastAsia" w:cstheme="minorBidi"/>
          <w:color w:val="000000"/>
          <w:sz w:val="21"/>
          <w:szCs w:val="21"/>
        </w:rPr>
        <w:t>五、不向采购人或者</w:t>
      </w:r>
      <w:r>
        <w:fldChar w:fldCharType="begin"/>
      </w:r>
      <w:r>
        <w:instrText xml:space="preserve"> HYPERLINK "http://www.cbi360.net/hyjd/1zt102.html" \t "https://www.cbi360.net/hyjd/20170619/_blank" </w:instrText>
      </w:r>
      <w:r>
        <w:fldChar w:fldCharType="separate"/>
      </w:r>
      <w:r>
        <w:rPr>
          <w:rFonts w:hint="eastAsia" w:asciiTheme="minorEastAsia" w:hAnsiTheme="minorEastAsia" w:eastAsiaTheme="minorEastAsia" w:cstheme="minorBidi"/>
          <w:color w:val="000000"/>
          <w:sz w:val="21"/>
          <w:szCs w:val="21"/>
        </w:rPr>
        <w:t>评标</w:t>
      </w:r>
      <w:r>
        <w:rPr>
          <w:rFonts w:hint="eastAsia" w:asciiTheme="minorEastAsia" w:hAnsiTheme="minorEastAsia" w:eastAsiaTheme="minorEastAsia" w:cstheme="minorBidi"/>
          <w:color w:val="000000"/>
          <w:sz w:val="21"/>
          <w:szCs w:val="21"/>
        </w:rPr>
        <w:fldChar w:fldCharType="end"/>
      </w:r>
      <w:r>
        <w:rPr>
          <w:rFonts w:hint="eastAsia" w:asciiTheme="minorEastAsia" w:hAnsiTheme="minorEastAsia" w:eastAsiaTheme="minorEastAsia" w:cstheme="minorBidi"/>
          <w:color w:val="000000"/>
          <w:sz w:val="21"/>
          <w:szCs w:val="21"/>
        </w:rPr>
        <w:t>委员会成员行贿以牟取</w:t>
      </w:r>
      <w:r>
        <w:fldChar w:fldCharType="begin"/>
      </w:r>
      <w:r>
        <w:instrText xml:space="preserve"> HYPERLINK "http://hhb.cbi360.net/TenderBangSoso.aspx" \t "https://www.cbi360.net/hyjd/20170619/_blank" </w:instrText>
      </w:r>
      <w:r>
        <w:fldChar w:fldCharType="separate"/>
      </w:r>
      <w:r>
        <w:rPr>
          <w:rFonts w:hint="eastAsia" w:asciiTheme="minorEastAsia" w:hAnsiTheme="minorEastAsia" w:eastAsiaTheme="minorEastAsia" w:cstheme="minorBidi"/>
          <w:color w:val="000000"/>
          <w:sz w:val="21"/>
          <w:szCs w:val="21"/>
        </w:rPr>
        <w:t>中标</w:t>
      </w:r>
      <w:r>
        <w:rPr>
          <w:rFonts w:hint="eastAsia" w:asciiTheme="minorEastAsia" w:hAnsiTheme="minorEastAsia" w:eastAsiaTheme="minorEastAsia" w:cstheme="minorBidi"/>
          <w:color w:val="000000"/>
          <w:sz w:val="21"/>
          <w:szCs w:val="21"/>
        </w:rPr>
        <w:fldChar w:fldCharType="end"/>
      </w:r>
      <w:r>
        <w:rPr>
          <w:rFonts w:hint="eastAsia" w:asciiTheme="minorEastAsia" w:hAnsiTheme="minorEastAsia" w:eastAsiaTheme="minorEastAsia" w:cstheme="minorBidi"/>
          <w:color w:val="000000"/>
          <w:sz w:val="21"/>
          <w:szCs w:val="21"/>
        </w:rPr>
        <w:t>;</w:t>
      </w:r>
    </w:p>
    <w:p>
      <w:pPr>
        <w:pStyle w:val="21"/>
        <w:widowControl/>
        <w:shd w:val="clear" w:color="auto" w:fill="FFFFFF"/>
        <w:spacing w:after="300" w:line="336" w:lineRule="atLeast"/>
        <w:ind w:firstLine="420" w:firstLineChars="200"/>
        <w:rPr>
          <w:rFonts w:asciiTheme="minorEastAsia" w:hAnsiTheme="minorEastAsia" w:eastAsiaTheme="minorEastAsia" w:cstheme="minorBidi"/>
          <w:color w:val="000000"/>
          <w:sz w:val="21"/>
          <w:szCs w:val="21"/>
        </w:rPr>
      </w:pPr>
      <w:r>
        <w:rPr>
          <w:rFonts w:hint="eastAsia" w:asciiTheme="minorEastAsia" w:hAnsiTheme="minorEastAsia" w:eastAsiaTheme="minorEastAsia" w:cstheme="minorBidi"/>
          <w:color w:val="000000"/>
          <w:sz w:val="21"/>
          <w:szCs w:val="21"/>
        </w:rPr>
        <w:t>六、不以他人名义投标或者以其他方式弄虚作假，骗取中标;</w:t>
      </w:r>
    </w:p>
    <w:p>
      <w:pPr>
        <w:pStyle w:val="21"/>
        <w:widowControl/>
        <w:shd w:val="clear" w:color="auto" w:fill="FFFFFF"/>
        <w:spacing w:after="300" w:line="336" w:lineRule="atLeast"/>
        <w:ind w:firstLine="420" w:firstLineChars="200"/>
        <w:rPr>
          <w:rFonts w:asciiTheme="minorEastAsia" w:hAnsiTheme="minorEastAsia" w:eastAsiaTheme="minorEastAsia" w:cstheme="minorBidi"/>
          <w:color w:val="000000"/>
          <w:sz w:val="21"/>
          <w:szCs w:val="21"/>
        </w:rPr>
      </w:pPr>
      <w:r>
        <w:rPr>
          <w:rFonts w:hint="eastAsia" w:asciiTheme="minorEastAsia" w:hAnsiTheme="minorEastAsia" w:eastAsiaTheme="minorEastAsia" w:cstheme="minorBidi"/>
          <w:color w:val="000000"/>
          <w:sz w:val="21"/>
          <w:szCs w:val="21"/>
        </w:rPr>
        <w:t>七、不扰乱禹州市政府采购市场秩序;</w:t>
      </w:r>
    </w:p>
    <w:p>
      <w:pPr>
        <w:pStyle w:val="21"/>
        <w:widowControl/>
        <w:shd w:val="clear" w:color="auto" w:fill="FFFFFF"/>
        <w:spacing w:after="300" w:line="336" w:lineRule="atLeast"/>
        <w:ind w:firstLine="420" w:firstLineChars="200"/>
        <w:rPr>
          <w:rFonts w:asciiTheme="minorEastAsia" w:hAnsiTheme="minorEastAsia" w:eastAsiaTheme="minorEastAsia" w:cstheme="minorBidi"/>
          <w:color w:val="000000"/>
          <w:sz w:val="21"/>
          <w:szCs w:val="21"/>
        </w:rPr>
      </w:pPr>
      <w:r>
        <w:rPr>
          <w:rFonts w:hint="eastAsia" w:asciiTheme="minorEastAsia" w:hAnsiTheme="minorEastAsia" w:eastAsiaTheme="minorEastAsia" w:cstheme="minorBidi"/>
          <w:color w:val="000000"/>
          <w:sz w:val="21"/>
          <w:szCs w:val="21"/>
        </w:rPr>
        <w:t>八、不在</w:t>
      </w:r>
      <w:r>
        <w:fldChar w:fldCharType="begin"/>
      </w:r>
      <w:r>
        <w:instrText xml:space="preserve"> HYPERLINK "http://www.cbi360.net/hyjd/1zt99.html" \t "https://www.cbi360.net/hyjd/20170619/_blank" </w:instrText>
      </w:r>
      <w:r>
        <w:fldChar w:fldCharType="separate"/>
      </w:r>
      <w:r>
        <w:rPr>
          <w:rFonts w:hint="eastAsia" w:asciiTheme="minorEastAsia" w:hAnsiTheme="minorEastAsia" w:eastAsiaTheme="minorEastAsia" w:cstheme="minorBidi"/>
          <w:color w:val="000000"/>
          <w:sz w:val="21"/>
          <w:szCs w:val="21"/>
        </w:rPr>
        <w:t>开标</w:t>
      </w:r>
      <w:r>
        <w:rPr>
          <w:rFonts w:hint="eastAsia" w:asciiTheme="minorEastAsia" w:hAnsiTheme="minorEastAsia" w:eastAsiaTheme="minorEastAsia" w:cstheme="minorBidi"/>
          <w:color w:val="000000"/>
          <w:sz w:val="21"/>
          <w:szCs w:val="21"/>
        </w:rPr>
        <w:fldChar w:fldCharType="end"/>
      </w:r>
      <w:r>
        <w:rPr>
          <w:rFonts w:hint="eastAsia" w:asciiTheme="minorEastAsia" w:hAnsiTheme="minorEastAsia" w:eastAsiaTheme="minorEastAsia" w:cstheme="minorBidi"/>
          <w:color w:val="000000"/>
          <w:sz w:val="21"/>
          <w:szCs w:val="21"/>
        </w:rPr>
        <w:t>后进行虚假恶意投诉;</w:t>
      </w:r>
    </w:p>
    <w:p>
      <w:pPr>
        <w:pStyle w:val="21"/>
        <w:widowControl/>
        <w:shd w:val="clear" w:color="auto" w:fill="FFFFFF"/>
        <w:spacing w:after="300" w:line="336" w:lineRule="atLeast"/>
        <w:ind w:firstLine="420" w:firstLineChars="200"/>
        <w:rPr>
          <w:rFonts w:asciiTheme="minorEastAsia" w:hAnsiTheme="minorEastAsia" w:eastAsiaTheme="minorEastAsia" w:cstheme="minorBidi"/>
          <w:color w:val="000000"/>
          <w:sz w:val="21"/>
          <w:szCs w:val="21"/>
        </w:rPr>
      </w:pPr>
      <w:r>
        <w:rPr>
          <w:rFonts w:hint="eastAsia" w:asciiTheme="minorEastAsia" w:hAnsiTheme="minorEastAsia" w:eastAsiaTheme="minorEastAsia" w:cstheme="minorBidi"/>
          <w:color w:val="000000"/>
          <w:sz w:val="21"/>
          <w:szCs w:val="21"/>
        </w:rPr>
        <w:t>九、中标后不得将</w:t>
      </w:r>
      <w:r>
        <w:fldChar w:fldCharType="begin"/>
      </w:r>
      <w:r>
        <w:instrText xml:space="preserve"> HYPERLINK "http://www.cbi360.net/hyjd/1zt49.html" \t "https://www.cbi360.net/hyjd/20170619/_blank" </w:instrText>
      </w:r>
      <w:r>
        <w:fldChar w:fldCharType="separate"/>
      </w:r>
      <w:r>
        <w:rPr>
          <w:rFonts w:hint="eastAsia" w:asciiTheme="minorEastAsia" w:hAnsiTheme="minorEastAsia" w:eastAsiaTheme="minorEastAsia" w:cstheme="minorBidi"/>
          <w:color w:val="000000"/>
          <w:sz w:val="21"/>
          <w:szCs w:val="21"/>
        </w:rPr>
        <w:t>招标文件</w:t>
      </w:r>
      <w:r>
        <w:rPr>
          <w:rFonts w:hint="eastAsia" w:asciiTheme="minorEastAsia" w:hAnsiTheme="minorEastAsia" w:eastAsiaTheme="minorEastAsia" w:cstheme="minorBidi"/>
          <w:color w:val="000000"/>
          <w:sz w:val="21"/>
          <w:szCs w:val="21"/>
        </w:rPr>
        <w:fldChar w:fldCharType="end"/>
      </w:r>
      <w:r>
        <w:rPr>
          <w:rFonts w:hint="eastAsia" w:asciiTheme="minorEastAsia" w:hAnsiTheme="minorEastAsia" w:eastAsiaTheme="minorEastAsia" w:cstheme="minorBidi"/>
          <w:color w:val="000000"/>
          <w:sz w:val="21"/>
          <w:szCs w:val="21"/>
        </w:rPr>
        <w:t>规定不予转包、分包的项目转包、分包于他人。</w:t>
      </w:r>
    </w:p>
    <w:p>
      <w:pPr>
        <w:pStyle w:val="21"/>
        <w:keepNext w:val="0"/>
        <w:keepLines w:val="0"/>
        <w:pageBreakBefore w:val="0"/>
        <w:widowControl/>
        <w:shd w:val="clear" w:color="auto" w:fill="FFFFFF"/>
        <w:kinsoku/>
        <w:wordWrap/>
        <w:overflowPunct/>
        <w:topLinePunct w:val="0"/>
        <w:autoSpaceDE/>
        <w:autoSpaceDN/>
        <w:bidi w:val="0"/>
        <w:adjustRightInd/>
        <w:snapToGrid/>
        <w:spacing w:after="300" w:line="360" w:lineRule="auto"/>
        <w:ind w:firstLine="420" w:firstLineChars="200"/>
        <w:textAlignment w:val="auto"/>
        <w:rPr>
          <w:rFonts w:asciiTheme="minorEastAsia" w:hAnsiTheme="minorEastAsia" w:eastAsiaTheme="minorEastAsia" w:cstheme="minorBidi"/>
          <w:color w:val="000000"/>
          <w:sz w:val="21"/>
          <w:szCs w:val="21"/>
        </w:rPr>
      </w:pPr>
      <w:r>
        <w:rPr>
          <w:rFonts w:hint="eastAsia" w:asciiTheme="minorEastAsia" w:hAnsiTheme="minorEastAsia" w:eastAsiaTheme="minorEastAsia" w:cstheme="minorBidi"/>
          <w:color w:val="000000"/>
          <w:sz w:val="21"/>
          <w:szCs w:val="21"/>
        </w:rPr>
        <w:t>本公司若有违反本承诺内容的行为，愿意承担法律责任，包括：愿意接受相关行政主管部门作出的处罚，愿意接受禹州市政府采购监督管理办公室作出的罚没履约保证金或者现金处罚、限制交易和停止交易等市场准入与清出的处理。</w:t>
      </w:r>
    </w:p>
    <w:p>
      <w:pPr>
        <w:pStyle w:val="21"/>
        <w:widowControl/>
        <w:shd w:val="clear" w:color="auto" w:fill="FFFFFF"/>
        <w:spacing w:after="300" w:line="336" w:lineRule="atLeast"/>
        <w:rPr>
          <w:rFonts w:asciiTheme="minorEastAsia" w:hAnsiTheme="minorEastAsia" w:eastAsiaTheme="minorEastAsia" w:cstheme="minorBidi"/>
          <w:color w:val="000000"/>
          <w:sz w:val="21"/>
          <w:szCs w:val="21"/>
        </w:rPr>
      </w:pPr>
    </w:p>
    <w:p>
      <w:pPr>
        <w:pStyle w:val="21"/>
        <w:widowControl/>
        <w:shd w:val="clear" w:color="auto" w:fill="FFFFFF"/>
        <w:spacing w:after="300" w:line="336" w:lineRule="atLeast"/>
        <w:ind w:firstLine="3570" w:firstLineChars="1700"/>
        <w:rPr>
          <w:rFonts w:asciiTheme="minorEastAsia" w:hAnsiTheme="minorEastAsia" w:eastAsiaTheme="minorEastAsia" w:cstheme="minorBidi"/>
          <w:color w:val="000000"/>
          <w:sz w:val="21"/>
          <w:szCs w:val="21"/>
        </w:rPr>
      </w:pPr>
      <w:r>
        <w:rPr>
          <w:rFonts w:hint="eastAsia" w:asciiTheme="minorEastAsia" w:hAnsiTheme="minorEastAsia" w:eastAsiaTheme="minorEastAsia" w:cstheme="minorBidi"/>
          <w:color w:val="000000"/>
          <w:sz w:val="21"/>
          <w:szCs w:val="21"/>
        </w:rPr>
        <w:t>法定代表人或者被委托人（签字盖章)：</w:t>
      </w:r>
    </w:p>
    <w:p>
      <w:pPr>
        <w:pStyle w:val="21"/>
        <w:widowControl/>
        <w:shd w:val="clear" w:color="auto" w:fill="FFFFFF"/>
        <w:spacing w:after="300" w:line="336" w:lineRule="atLeast"/>
        <w:ind w:firstLine="3570" w:firstLineChars="1700"/>
        <w:rPr>
          <w:rFonts w:asciiTheme="minorEastAsia" w:hAnsiTheme="minorEastAsia" w:eastAsiaTheme="minorEastAsia" w:cstheme="minorBidi"/>
          <w:color w:val="000000"/>
          <w:sz w:val="21"/>
          <w:szCs w:val="21"/>
        </w:rPr>
      </w:pPr>
      <w:r>
        <w:rPr>
          <w:rFonts w:hint="eastAsia" w:asciiTheme="minorEastAsia" w:hAnsiTheme="minorEastAsia" w:eastAsiaTheme="minorEastAsia" w:cstheme="minorBidi"/>
          <w:color w:val="000000"/>
          <w:sz w:val="21"/>
          <w:szCs w:val="21"/>
        </w:rPr>
        <w:t>投标商名称(盖章)：</w:t>
      </w:r>
    </w:p>
    <w:p>
      <w:pPr>
        <w:pStyle w:val="21"/>
        <w:widowControl/>
        <w:shd w:val="clear" w:color="auto" w:fill="FFFFFF"/>
        <w:spacing w:after="300" w:line="336" w:lineRule="atLeast"/>
        <w:ind w:firstLine="6300" w:firstLineChars="3000"/>
        <w:rPr>
          <w:rFonts w:cs="宋体" w:asciiTheme="minorEastAsia" w:hAnsiTheme="minorEastAsia"/>
          <w:sz w:val="24"/>
          <w:szCs w:val="24"/>
          <w:lang w:val="zh-CN"/>
        </w:rPr>
      </w:pPr>
      <w:r>
        <w:rPr>
          <w:rFonts w:hint="eastAsia" w:asciiTheme="minorEastAsia" w:hAnsiTheme="minorEastAsia" w:eastAsiaTheme="minorEastAsia" w:cstheme="minorBidi"/>
          <w:color w:val="000000"/>
          <w:sz w:val="21"/>
          <w:szCs w:val="21"/>
        </w:rPr>
        <w:t>年  月  日</w:t>
      </w:r>
    </w:p>
    <w:p>
      <w:pPr>
        <w:autoSpaceDE w:val="0"/>
        <w:autoSpaceDN w:val="0"/>
        <w:adjustRightInd w:val="0"/>
        <w:spacing w:line="360" w:lineRule="auto"/>
        <w:jc w:val="both"/>
        <w:outlineLvl w:val="0"/>
        <w:rPr>
          <w:rFonts w:hint="eastAsia" w:ascii="宋体" w:hAnsi="宋体"/>
          <w:b/>
          <w:bCs/>
          <w:color w:val="000000"/>
          <w:sz w:val="24"/>
          <w:szCs w:val="24"/>
        </w:rPr>
      </w:pPr>
    </w:p>
    <w:p>
      <w:pPr>
        <w:autoSpaceDE w:val="0"/>
        <w:autoSpaceDN w:val="0"/>
        <w:adjustRightInd w:val="0"/>
        <w:spacing w:line="360" w:lineRule="auto"/>
        <w:jc w:val="center"/>
        <w:outlineLvl w:val="0"/>
        <w:rPr>
          <w:rFonts w:hint="eastAsia" w:ascii="宋体" w:hAnsi="宋体"/>
          <w:b/>
          <w:bCs/>
          <w:color w:val="000000"/>
          <w:sz w:val="24"/>
          <w:szCs w:val="24"/>
        </w:rPr>
      </w:pPr>
    </w:p>
    <w:p>
      <w:pPr>
        <w:autoSpaceDE w:val="0"/>
        <w:autoSpaceDN w:val="0"/>
        <w:adjustRightInd w:val="0"/>
        <w:spacing w:line="360" w:lineRule="auto"/>
        <w:jc w:val="center"/>
        <w:outlineLvl w:val="0"/>
        <w:rPr>
          <w:rFonts w:ascii="宋体" w:hAnsi="宋体"/>
          <w:b/>
          <w:bCs/>
          <w:color w:val="000000"/>
          <w:sz w:val="24"/>
          <w:szCs w:val="24"/>
        </w:rPr>
      </w:pPr>
      <w:r>
        <w:rPr>
          <w:rFonts w:hint="eastAsia" w:ascii="宋体" w:hAnsi="宋体"/>
          <w:b/>
          <w:bCs/>
          <w:color w:val="000000"/>
          <w:sz w:val="24"/>
          <w:szCs w:val="24"/>
        </w:rPr>
        <w:t xml:space="preserve">3.6 其他资格证书或材料 </w:t>
      </w: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both"/>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both"/>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cs="黑体" w:asciiTheme="minorEastAsia" w:hAnsiTheme="minorEastAsia"/>
          <w:b/>
          <w:bCs/>
          <w:sz w:val="28"/>
          <w:szCs w:val="28"/>
          <w:lang w:val="zh-CN"/>
        </w:rPr>
      </w:pPr>
      <w:r>
        <w:rPr>
          <w:rFonts w:hint="eastAsia" w:cs="黑体" w:asciiTheme="minorEastAsia" w:hAnsiTheme="minorEastAsia"/>
          <w:b/>
          <w:bCs/>
          <w:sz w:val="28"/>
          <w:szCs w:val="28"/>
          <w:lang w:val="zh-CN"/>
        </w:rPr>
        <w:t>四、符合性审查证明材料</w:t>
      </w: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hAnsi="宋体" w:eastAsia="宋体"/>
          <w:b/>
          <w:snapToGrid w:val="0"/>
          <w:kern w:val="0"/>
          <w:sz w:val="36"/>
          <w:szCs w:val="36"/>
        </w:rPr>
      </w:pPr>
    </w:p>
    <w:p>
      <w:pPr>
        <w:autoSpaceDE w:val="0"/>
        <w:autoSpaceDN w:val="0"/>
        <w:adjustRightInd w:val="0"/>
        <w:spacing w:line="360" w:lineRule="auto"/>
        <w:jc w:val="center"/>
        <w:outlineLvl w:val="0"/>
        <w:rPr>
          <w:rFonts w:ascii="宋体" w:hAnsi="宋体"/>
          <w:b/>
          <w:bCs/>
          <w:color w:val="000000"/>
          <w:sz w:val="24"/>
          <w:szCs w:val="24"/>
        </w:rPr>
      </w:pPr>
      <w:r>
        <w:rPr>
          <w:rFonts w:hint="eastAsia" w:ascii="仿宋" w:hAnsi="仿宋" w:eastAsia="仿宋" w:cs="仿宋"/>
          <w:sz w:val="24"/>
          <w:szCs w:val="24"/>
        </w:rPr>
        <w:t xml:space="preserve">                </w:t>
      </w:r>
      <w:r>
        <w:rPr>
          <w:rFonts w:hint="eastAsia" w:ascii="宋体" w:hAnsi="宋体"/>
          <w:b/>
          <w:bCs/>
          <w:color w:val="000000"/>
          <w:sz w:val="24"/>
          <w:szCs w:val="24"/>
        </w:rPr>
        <w:t>4.1分项报价表</w:t>
      </w:r>
    </w:p>
    <w:p>
      <w:pPr>
        <w:spacing w:before="50" w:afterLines="50" w:line="360" w:lineRule="auto"/>
        <w:contextualSpacing/>
        <w:jc w:val="left"/>
        <w:rPr>
          <w:rFonts w:asciiTheme="minorEastAsia" w:hAnsiTheme="minorEastAsia"/>
          <w:color w:val="000000"/>
          <w:szCs w:val="21"/>
        </w:rPr>
      </w:pPr>
      <w:r>
        <w:rPr>
          <w:rFonts w:hint="eastAsia" w:asciiTheme="minorEastAsia" w:hAnsiTheme="minorEastAsia"/>
          <w:color w:val="000000"/>
          <w:szCs w:val="21"/>
        </w:rPr>
        <w:t>项目编号：</w:t>
      </w:r>
    </w:p>
    <w:p>
      <w:pPr>
        <w:autoSpaceDE w:val="0"/>
        <w:autoSpaceDN w:val="0"/>
        <w:adjustRightInd w:val="0"/>
        <w:spacing w:line="360" w:lineRule="auto"/>
        <w:outlineLvl w:val="0"/>
        <w:rPr>
          <w:rFonts w:hAnsi="宋体" w:eastAsia="宋体"/>
          <w:b/>
          <w:snapToGrid w:val="0"/>
          <w:kern w:val="0"/>
          <w:szCs w:val="21"/>
        </w:rPr>
      </w:pPr>
      <w:r>
        <w:rPr>
          <w:rFonts w:hint="eastAsia" w:asciiTheme="minorEastAsia" w:hAnsiTheme="minorEastAsia"/>
          <w:color w:val="000000"/>
          <w:szCs w:val="21"/>
        </w:rPr>
        <w:t xml:space="preserve">项目名称：   </w:t>
      </w:r>
    </w:p>
    <w:tbl>
      <w:tblPr>
        <w:tblStyle w:val="24"/>
        <w:tblW w:w="9400" w:type="dxa"/>
        <w:tblInd w:w="0" w:type="dxa"/>
        <w:tblLayout w:type="fixed"/>
        <w:tblCellMar>
          <w:top w:w="0" w:type="dxa"/>
          <w:left w:w="108" w:type="dxa"/>
          <w:bottom w:w="0" w:type="dxa"/>
          <w:right w:w="108" w:type="dxa"/>
        </w:tblCellMar>
      </w:tblPr>
      <w:tblGrid>
        <w:gridCol w:w="534"/>
        <w:gridCol w:w="1134"/>
        <w:gridCol w:w="1500"/>
        <w:gridCol w:w="1260"/>
        <w:gridCol w:w="642"/>
        <w:gridCol w:w="992"/>
        <w:gridCol w:w="1066"/>
        <w:gridCol w:w="1080"/>
        <w:gridCol w:w="1192"/>
      </w:tblGrid>
      <w:tr>
        <w:tblPrEx>
          <w:tblLayout w:type="fixed"/>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280" w:lineRule="exact"/>
              <w:jc w:val="center"/>
              <w:rPr>
                <w:rFonts w:cs="宋体" w:asciiTheme="minorEastAsia" w:hAnsiTheme="minorEastAsia"/>
                <w:b/>
                <w:szCs w:val="21"/>
                <w:lang w:val="zh-CN"/>
              </w:rPr>
            </w:pPr>
            <w:r>
              <w:rPr>
                <w:rFonts w:hint="eastAsia" w:cs="宋体" w:asciiTheme="minorEastAsia" w:hAnsiTheme="minorEastAsia"/>
                <w:b/>
                <w:szCs w:val="21"/>
                <w:lang w:val="zh-CN"/>
              </w:rPr>
              <w:t>序号</w:t>
            </w:r>
          </w:p>
        </w:tc>
        <w:tc>
          <w:tcPr>
            <w:tcW w:w="1134"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名称</w:t>
            </w:r>
          </w:p>
        </w:tc>
        <w:tc>
          <w:tcPr>
            <w:tcW w:w="150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ind w:firstLine="120"/>
              <w:rPr>
                <w:rFonts w:cs="宋体" w:asciiTheme="minorEastAsia" w:hAnsiTheme="minorEastAsia"/>
                <w:b/>
                <w:szCs w:val="21"/>
                <w:lang w:val="zh-CN"/>
              </w:rPr>
            </w:pPr>
            <w:r>
              <w:rPr>
                <w:rFonts w:hint="eastAsia" w:cs="宋体" w:asciiTheme="minorEastAsia" w:hAnsiTheme="minorEastAsia"/>
                <w:b/>
                <w:szCs w:val="21"/>
                <w:lang w:val="zh-CN"/>
              </w:rPr>
              <w:t>规格型号</w:t>
            </w:r>
          </w:p>
        </w:tc>
        <w:tc>
          <w:tcPr>
            <w:tcW w:w="126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技术</w:t>
            </w:r>
          </w:p>
          <w:p>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参数</w:t>
            </w:r>
          </w:p>
        </w:tc>
        <w:tc>
          <w:tcPr>
            <w:tcW w:w="642"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单位</w:t>
            </w:r>
          </w:p>
        </w:tc>
        <w:tc>
          <w:tcPr>
            <w:tcW w:w="992"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数量</w:t>
            </w:r>
          </w:p>
        </w:tc>
        <w:tc>
          <w:tcPr>
            <w:tcW w:w="1066"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单价</w:t>
            </w:r>
          </w:p>
        </w:tc>
        <w:tc>
          <w:tcPr>
            <w:tcW w:w="108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ind w:firstLine="120"/>
              <w:rPr>
                <w:rFonts w:cs="宋体" w:asciiTheme="minorEastAsia" w:hAnsiTheme="minorEastAsia"/>
                <w:b/>
                <w:szCs w:val="21"/>
                <w:lang w:val="zh-CN"/>
              </w:rPr>
            </w:pPr>
            <w:r>
              <w:rPr>
                <w:rFonts w:hint="eastAsia" w:cs="宋体" w:asciiTheme="minorEastAsia" w:hAnsiTheme="minorEastAsia"/>
                <w:b/>
                <w:szCs w:val="21"/>
                <w:lang w:val="zh-CN"/>
              </w:rPr>
              <w:t>总价</w:t>
            </w:r>
          </w:p>
        </w:tc>
        <w:tc>
          <w:tcPr>
            <w:tcW w:w="1192"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autoSpaceDE w:val="0"/>
              <w:autoSpaceDN w:val="0"/>
              <w:adjustRightInd w:val="0"/>
              <w:spacing w:line="360" w:lineRule="auto"/>
              <w:ind w:left="120" w:hanging="120"/>
              <w:jc w:val="center"/>
              <w:rPr>
                <w:rFonts w:cs="宋体" w:asciiTheme="minorEastAsia" w:hAnsiTheme="minorEastAsia"/>
                <w:b/>
                <w:szCs w:val="21"/>
                <w:lang w:val="zh-CN"/>
              </w:rPr>
            </w:pPr>
            <w:r>
              <w:rPr>
                <w:rFonts w:hint="eastAsia" w:cs="宋体" w:asciiTheme="minorEastAsia" w:hAnsiTheme="minorEastAsia"/>
                <w:b/>
                <w:szCs w:val="21"/>
                <w:lang w:val="zh-CN"/>
              </w:rPr>
              <w:t>产地及</w:t>
            </w:r>
          </w:p>
          <w:p>
            <w:pPr>
              <w:autoSpaceDE w:val="0"/>
              <w:autoSpaceDN w:val="0"/>
              <w:adjustRightInd w:val="0"/>
              <w:spacing w:line="360" w:lineRule="auto"/>
              <w:ind w:left="120" w:hanging="120"/>
              <w:jc w:val="center"/>
              <w:rPr>
                <w:rFonts w:cs="宋体" w:asciiTheme="minorEastAsia" w:hAnsiTheme="minorEastAsia"/>
                <w:b/>
                <w:szCs w:val="21"/>
                <w:lang w:val="zh-CN"/>
              </w:rPr>
            </w:pPr>
            <w:r>
              <w:rPr>
                <w:rFonts w:hint="eastAsia" w:cs="宋体" w:asciiTheme="minorEastAsia" w:hAnsiTheme="minorEastAsia"/>
                <w:b/>
                <w:szCs w:val="21"/>
                <w:lang w:val="zh-CN"/>
              </w:rPr>
              <w:t>厂家</w:t>
            </w:r>
          </w:p>
        </w:tc>
      </w:tr>
      <w:tr>
        <w:tblPrEx>
          <w:tblLayout w:type="fixed"/>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szCs w:val="21"/>
              </w:rPr>
            </w:pPr>
            <w:r>
              <w:rPr>
                <w:rFonts w:hint="eastAsia" w:asciiTheme="minorEastAsia" w:hAnsiTheme="minorEastAsia"/>
                <w:szCs w:val="21"/>
              </w:rPr>
              <w:t>1</w:t>
            </w:r>
          </w:p>
        </w:tc>
        <w:tc>
          <w:tcPr>
            <w:tcW w:w="1134"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50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64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9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06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1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r>
      <w:tr>
        <w:tblPrEx>
          <w:tblLayout w:type="fixed"/>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szCs w:val="21"/>
              </w:rPr>
            </w:pPr>
            <w:r>
              <w:rPr>
                <w:rFonts w:hint="eastAsia" w:asciiTheme="minorEastAsia" w:hAnsiTheme="minorEastAsia"/>
                <w:szCs w:val="21"/>
              </w:rPr>
              <w:t>…</w:t>
            </w:r>
          </w:p>
        </w:tc>
        <w:tc>
          <w:tcPr>
            <w:tcW w:w="1134"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50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64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9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06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c>
          <w:tcPr>
            <w:tcW w:w="11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asciiTheme="minorEastAsia" w:hAnsiTheme="minorEastAsia"/>
                <w:szCs w:val="21"/>
              </w:rPr>
            </w:pPr>
          </w:p>
        </w:tc>
      </w:tr>
      <w:tr>
        <w:tblPrEx>
          <w:tblLayout w:type="fixed"/>
          <w:tblCellMar>
            <w:top w:w="0" w:type="dxa"/>
            <w:left w:w="108" w:type="dxa"/>
            <w:bottom w:w="0" w:type="dxa"/>
            <w:right w:w="108" w:type="dxa"/>
          </w:tblCellMar>
        </w:tblPrEx>
        <w:trPr>
          <w:trHeight w:val="851" w:hRule="atLeast"/>
        </w:trPr>
        <w:tc>
          <w:tcPr>
            <w:tcW w:w="1668"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asciiTheme="minorEastAsia" w:hAnsiTheme="minorEastAsia"/>
                <w:szCs w:val="21"/>
              </w:rPr>
            </w:pPr>
            <w:r>
              <w:rPr>
                <w:rFonts w:hint="eastAsia" w:cs="宋体" w:asciiTheme="minorEastAsia" w:hAnsiTheme="minorEastAsia"/>
                <w:szCs w:val="21"/>
                <w:lang w:val="zh-CN"/>
              </w:rPr>
              <w:t>合计</w:t>
            </w:r>
          </w:p>
        </w:tc>
        <w:tc>
          <w:tcPr>
            <w:tcW w:w="7732" w:type="dxa"/>
            <w:gridSpan w:val="7"/>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ind w:firstLine="105" w:firstLineChars="50"/>
              <w:rPr>
                <w:rFonts w:cs="宋体" w:asciiTheme="minorEastAsia" w:hAnsiTheme="minorEastAsia"/>
                <w:szCs w:val="21"/>
                <w:lang w:val="zh-CN"/>
              </w:rPr>
            </w:pPr>
            <w:r>
              <w:rPr>
                <w:rFonts w:hint="eastAsia" w:cs="宋体" w:asciiTheme="minorEastAsia" w:hAnsiTheme="minorEastAsia"/>
                <w:szCs w:val="21"/>
                <w:lang w:val="zh-CN"/>
              </w:rPr>
              <w:t>大写：　　　　　　小写：</w:t>
            </w:r>
          </w:p>
        </w:tc>
      </w:tr>
    </w:tbl>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供应商（公章）：</w:t>
      </w:r>
    </w:p>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供应商法定代表人（单位负责人）或授权代表签字：</w:t>
      </w:r>
    </w:p>
    <w:p>
      <w:pPr>
        <w:autoSpaceDE w:val="0"/>
        <w:autoSpaceDN w:val="0"/>
        <w:adjustRightInd w:val="0"/>
        <w:spacing w:line="480" w:lineRule="auto"/>
        <w:rPr>
          <w:rFonts w:cs="宋体" w:asciiTheme="minorEastAsia" w:hAnsiTheme="minorEastAsia"/>
          <w:sz w:val="24"/>
          <w:szCs w:val="24"/>
          <w:lang w:val="zh-CN"/>
        </w:rPr>
      </w:pPr>
    </w:p>
    <w:p>
      <w:pPr>
        <w:spacing w:line="300" w:lineRule="exact"/>
        <w:rPr>
          <w:rFonts w:asciiTheme="minorEastAsia" w:hAnsiTheme="minorEastAsia"/>
          <w:color w:val="000000"/>
          <w:sz w:val="24"/>
          <w:szCs w:val="24"/>
        </w:rPr>
      </w:pPr>
    </w:p>
    <w:p>
      <w:pPr>
        <w:autoSpaceDE w:val="0"/>
        <w:autoSpaceDN w:val="0"/>
        <w:adjustRightInd w:val="0"/>
        <w:spacing w:line="360" w:lineRule="auto"/>
        <w:jc w:val="center"/>
        <w:outlineLvl w:val="0"/>
        <w:rPr>
          <w:rFonts w:ascii="宋体" w:hAnsi="宋体"/>
          <w:b/>
          <w:bCs/>
          <w:color w:val="000000"/>
          <w:sz w:val="24"/>
          <w:szCs w:val="24"/>
        </w:rPr>
      </w:pPr>
      <w:r>
        <w:rPr>
          <w:rFonts w:hint="eastAsia" w:ascii="宋体" w:hAnsi="宋体"/>
          <w:b/>
          <w:bCs/>
          <w:color w:val="000000"/>
          <w:sz w:val="24"/>
          <w:szCs w:val="24"/>
        </w:rPr>
        <w:t>4.2 技术规格偏离表</w:t>
      </w:r>
    </w:p>
    <w:p>
      <w:pPr>
        <w:spacing w:before="50" w:afterLines="50" w:line="360" w:lineRule="auto"/>
        <w:contextualSpacing/>
        <w:jc w:val="left"/>
        <w:rPr>
          <w:rFonts w:asciiTheme="minorEastAsia" w:hAnsiTheme="minorEastAsia"/>
          <w:color w:val="000000"/>
          <w:szCs w:val="21"/>
        </w:rPr>
      </w:pPr>
      <w:r>
        <w:rPr>
          <w:rFonts w:hint="eastAsia" w:asciiTheme="minorEastAsia" w:hAnsiTheme="minorEastAsia"/>
          <w:color w:val="000000"/>
          <w:szCs w:val="21"/>
        </w:rPr>
        <w:t>项目编号：</w:t>
      </w:r>
    </w:p>
    <w:p>
      <w:pPr>
        <w:autoSpaceDE w:val="0"/>
        <w:autoSpaceDN w:val="0"/>
        <w:adjustRightInd w:val="0"/>
        <w:spacing w:line="360" w:lineRule="auto"/>
        <w:outlineLvl w:val="0"/>
        <w:rPr>
          <w:rFonts w:hAnsi="宋体" w:eastAsia="宋体"/>
          <w:b/>
          <w:snapToGrid w:val="0"/>
          <w:kern w:val="0"/>
          <w:szCs w:val="21"/>
        </w:rPr>
      </w:pPr>
      <w:r>
        <w:rPr>
          <w:rFonts w:hint="eastAsia" w:asciiTheme="minorEastAsia" w:hAnsiTheme="minorEastAsia"/>
          <w:color w:val="000000"/>
          <w:szCs w:val="21"/>
        </w:rPr>
        <w:t xml:space="preserve">项目名称：   </w:t>
      </w:r>
    </w:p>
    <w:tbl>
      <w:tblPr>
        <w:tblStyle w:val="24"/>
        <w:tblW w:w="9322" w:type="dxa"/>
        <w:tblInd w:w="0" w:type="dxa"/>
        <w:tblLayout w:type="fixed"/>
        <w:tblCellMar>
          <w:top w:w="0" w:type="dxa"/>
          <w:left w:w="108" w:type="dxa"/>
          <w:bottom w:w="0" w:type="dxa"/>
          <w:right w:w="108" w:type="dxa"/>
        </w:tblCellMar>
      </w:tblPr>
      <w:tblGrid>
        <w:gridCol w:w="675"/>
        <w:gridCol w:w="1418"/>
        <w:gridCol w:w="1276"/>
        <w:gridCol w:w="1559"/>
        <w:gridCol w:w="1417"/>
        <w:gridCol w:w="1560"/>
        <w:gridCol w:w="1417"/>
      </w:tblGrid>
      <w:tr>
        <w:tblPrEx>
          <w:tblLayout w:type="fixed"/>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1418"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货物服务</w:t>
            </w:r>
          </w:p>
          <w:p>
            <w:pPr>
              <w:pStyle w:val="8"/>
              <w:jc w:val="center"/>
              <w:rPr>
                <w:rFonts w:ascii="宋体" w:hAnsi="宋体" w:eastAsia="宋体" w:cs="宋体"/>
                <w:b/>
                <w:bCs/>
                <w:sz w:val="21"/>
                <w:szCs w:val="21"/>
              </w:rPr>
            </w:pPr>
            <w:r>
              <w:rPr>
                <w:rFonts w:hint="eastAsia" w:ascii="宋体" w:hAnsi="宋体" w:eastAsia="宋体" w:cs="宋体"/>
                <w:b/>
                <w:bCs/>
                <w:sz w:val="21"/>
                <w:szCs w:val="21"/>
              </w:rPr>
              <w:t>名称</w:t>
            </w:r>
          </w:p>
        </w:tc>
        <w:tc>
          <w:tcPr>
            <w:tcW w:w="1276"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规格型号</w:t>
            </w:r>
          </w:p>
        </w:tc>
        <w:tc>
          <w:tcPr>
            <w:tcW w:w="1559"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招标文件</w:t>
            </w:r>
          </w:p>
          <w:p>
            <w:pPr>
              <w:pStyle w:val="8"/>
              <w:jc w:val="center"/>
              <w:rPr>
                <w:rFonts w:ascii="宋体" w:hAnsi="宋体" w:eastAsia="宋体" w:cs="宋体"/>
                <w:b/>
                <w:bCs/>
                <w:sz w:val="21"/>
                <w:szCs w:val="21"/>
              </w:rPr>
            </w:pPr>
            <w:r>
              <w:rPr>
                <w:rFonts w:hint="eastAsia" w:ascii="宋体" w:hAnsi="宋体" w:eastAsia="宋体" w:cs="宋体"/>
                <w:b/>
                <w:bCs/>
                <w:sz w:val="21"/>
                <w:szCs w:val="21"/>
              </w:rPr>
              <w:t>技术参数</w:t>
            </w:r>
          </w:p>
        </w:tc>
        <w:tc>
          <w:tcPr>
            <w:tcW w:w="1417"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投标技术</w:t>
            </w:r>
          </w:p>
          <w:p>
            <w:pPr>
              <w:pStyle w:val="8"/>
              <w:jc w:val="center"/>
              <w:rPr>
                <w:rFonts w:ascii="宋体" w:hAnsi="宋体" w:eastAsia="宋体" w:cs="宋体"/>
                <w:b/>
                <w:bCs/>
                <w:sz w:val="21"/>
                <w:szCs w:val="21"/>
              </w:rPr>
            </w:pPr>
            <w:r>
              <w:rPr>
                <w:rFonts w:hint="eastAsia" w:ascii="宋体" w:hAnsi="宋体" w:eastAsia="宋体" w:cs="宋体"/>
                <w:b/>
                <w:bCs/>
                <w:sz w:val="21"/>
                <w:szCs w:val="21"/>
              </w:rPr>
              <w:t>参数</w:t>
            </w:r>
          </w:p>
        </w:tc>
        <w:tc>
          <w:tcPr>
            <w:tcW w:w="156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偏离</w:t>
            </w:r>
          </w:p>
          <w:p>
            <w:pPr>
              <w:jc w:val="center"/>
              <w:rPr>
                <w:rFonts w:ascii="宋体" w:hAnsi="宋体" w:eastAsia="宋体" w:cs="宋体"/>
                <w:b/>
                <w:bCs/>
                <w:szCs w:val="21"/>
              </w:rPr>
            </w:pPr>
            <w:r>
              <w:rPr>
                <w:rFonts w:hint="eastAsia" w:ascii="宋体" w:hAnsi="宋体" w:eastAsia="宋体" w:cs="宋体"/>
                <w:b/>
                <w:bCs/>
                <w:szCs w:val="21"/>
              </w:rPr>
              <w:t>（无偏离/正偏离/负偏离）</w:t>
            </w:r>
          </w:p>
        </w:tc>
        <w:tc>
          <w:tcPr>
            <w:tcW w:w="1417"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偏离内容</w:t>
            </w:r>
          </w:p>
          <w:p>
            <w:pPr>
              <w:pStyle w:val="8"/>
              <w:jc w:val="center"/>
              <w:rPr>
                <w:rFonts w:ascii="宋体" w:hAnsi="宋体" w:eastAsia="宋体" w:cs="宋体"/>
                <w:b/>
                <w:bCs/>
                <w:sz w:val="21"/>
                <w:szCs w:val="21"/>
              </w:rPr>
            </w:pPr>
            <w:r>
              <w:rPr>
                <w:rFonts w:hint="eastAsia" w:ascii="宋体" w:hAnsi="宋体" w:eastAsia="宋体" w:cs="宋体"/>
                <w:b/>
                <w:bCs/>
                <w:sz w:val="21"/>
                <w:szCs w:val="21"/>
              </w:rPr>
              <w:t>说明</w:t>
            </w:r>
          </w:p>
        </w:tc>
      </w:tr>
      <w:tr>
        <w:tblPrEx>
          <w:tblLayout w:type="fixed"/>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bCs/>
                <w:szCs w:val="21"/>
              </w:rPr>
            </w:pPr>
            <w:r>
              <w:rPr>
                <w:rFonts w:hint="eastAsia" w:asciiTheme="minorEastAsia" w:hAnsiTheme="minorEastAsia"/>
                <w:bCs/>
                <w:szCs w:val="21"/>
              </w:rPr>
              <w:t>1</w:t>
            </w:r>
          </w:p>
        </w:tc>
        <w:tc>
          <w:tcPr>
            <w:tcW w:w="141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27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559"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5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b/>
                <w:bCs/>
                <w:szCs w:val="21"/>
              </w:rPr>
            </w:pPr>
          </w:p>
        </w:tc>
      </w:tr>
      <w:tr>
        <w:tblPrEx>
          <w:tblLayout w:type="fixed"/>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bCs/>
                <w:szCs w:val="21"/>
              </w:rPr>
            </w:pPr>
            <w:r>
              <w:rPr>
                <w:rFonts w:hint="eastAsia" w:asciiTheme="minorEastAsia" w:hAnsiTheme="minorEastAsia"/>
                <w:szCs w:val="21"/>
              </w:rPr>
              <w:t>…</w:t>
            </w:r>
          </w:p>
        </w:tc>
        <w:tc>
          <w:tcPr>
            <w:tcW w:w="141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27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559"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5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asciiTheme="minorEastAsia" w:hAnsiTheme="minorEastAsia"/>
                <w:b/>
                <w:bCs/>
                <w:szCs w:val="21"/>
              </w:rPr>
            </w:pPr>
          </w:p>
        </w:tc>
      </w:tr>
    </w:tbl>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供应商（公章）：</w:t>
      </w:r>
    </w:p>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供应商法定代表人（单位负责人）或授权代表签字：</w:t>
      </w:r>
    </w:p>
    <w:p>
      <w:pPr>
        <w:autoSpaceDE w:val="0"/>
        <w:autoSpaceDN w:val="0"/>
        <w:adjustRightInd w:val="0"/>
        <w:spacing w:line="480" w:lineRule="auto"/>
        <w:rPr>
          <w:rFonts w:cs="宋体" w:asciiTheme="minorEastAsia" w:hAnsiTheme="minorEastAsia"/>
          <w:szCs w:val="21"/>
          <w:lang w:val="zh-CN"/>
        </w:rPr>
      </w:pPr>
    </w:p>
    <w:p>
      <w:pPr>
        <w:autoSpaceDE w:val="0"/>
        <w:autoSpaceDN w:val="0"/>
        <w:adjustRightInd w:val="0"/>
        <w:spacing w:line="360" w:lineRule="auto"/>
        <w:jc w:val="center"/>
        <w:outlineLvl w:val="0"/>
        <w:rPr>
          <w:rFonts w:hint="eastAsia" w:ascii="宋体" w:hAnsi="宋体" w:eastAsiaTheme="minorEastAsia"/>
          <w:b/>
          <w:bCs/>
          <w:color w:val="000000"/>
          <w:sz w:val="24"/>
          <w:szCs w:val="24"/>
          <w:lang w:eastAsia="zh-CN"/>
        </w:rPr>
      </w:pPr>
      <w:r>
        <w:rPr>
          <w:rFonts w:hint="eastAsia" w:ascii="宋体" w:hAnsi="宋体"/>
          <w:b/>
          <w:bCs/>
          <w:color w:val="000000"/>
          <w:sz w:val="24"/>
          <w:szCs w:val="24"/>
        </w:rPr>
        <w:t>4.3 技术方案（实施方案）</w:t>
      </w:r>
    </w:p>
    <w:p>
      <w:pPr>
        <w:snapToGrid w:val="0"/>
        <w:spacing w:line="360" w:lineRule="auto"/>
        <w:jc w:val="center"/>
        <w:rPr>
          <w:rFonts w:hAnsi="宋体" w:eastAsia="宋体"/>
          <w:b/>
          <w:snapToGrid w:val="0"/>
          <w:kern w:val="0"/>
          <w:sz w:val="36"/>
          <w:szCs w:val="36"/>
        </w:rPr>
      </w:pPr>
    </w:p>
    <w:p>
      <w:pPr>
        <w:autoSpaceDE w:val="0"/>
        <w:autoSpaceDN w:val="0"/>
        <w:adjustRightInd w:val="0"/>
        <w:spacing w:line="360" w:lineRule="auto"/>
        <w:jc w:val="center"/>
        <w:rPr>
          <w:rFonts w:cs="宋体" w:asciiTheme="minorEastAsia" w:hAnsiTheme="minorEastAsia"/>
          <w:szCs w:val="21"/>
          <w:lang w:val="zh-CN"/>
        </w:rPr>
      </w:pPr>
      <w:r>
        <w:rPr>
          <w:rFonts w:hint="eastAsia" w:cs="宋体" w:asciiTheme="minorEastAsia" w:hAnsiTheme="minorEastAsia"/>
          <w:szCs w:val="21"/>
          <w:lang w:val="zh-CN"/>
        </w:rPr>
        <w:t>（供应商根据谈判文件要求自行编制）</w:t>
      </w:r>
    </w:p>
    <w:p>
      <w:pPr>
        <w:snapToGrid w:val="0"/>
        <w:spacing w:line="360" w:lineRule="auto"/>
        <w:jc w:val="center"/>
        <w:rPr>
          <w:rFonts w:hAnsi="宋体" w:eastAsia="宋体"/>
          <w:b/>
          <w:snapToGrid w:val="0"/>
          <w:kern w:val="0"/>
          <w:sz w:val="36"/>
          <w:szCs w:val="36"/>
        </w:rPr>
      </w:pPr>
    </w:p>
    <w:p>
      <w:pPr>
        <w:snapToGrid w:val="0"/>
        <w:spacing w:line="360" w:lineRule="auto"/>
        <w:jc w:val="center"/>
        <w:rPr>
          <w:rFonts w:hAnsi="宋体" w:eastAsia="宋体"/>
          <w:b/>
          <w:snapToGrid w:val="0"/>
          <w:kern w:val="0"/>
          <w:sz w:val="36"/>
          <w:szCs w:val="36"/>
        </w:rPr>
      </w:pPr>
    </w:p>
    <w:p>
      <w:pPr>
        <w:snapToGrid w:val="0"/>
        <w:spacing w:line="360" w:lineRule="auto"/>
        <w:jc w:val="center"/>
        <w:rPr>
          <w:rFonts w:hAnsi="宋体" w:eastAsia="宋体"/>
          <w:b/>
          <w:snapToGrid w:val="0"/>
          <w:kern w:val="0"/>
          <w:sz w:val="36"/>
          <w:szCs w:val="36"/>
        </w:rPr>
      </w:pPr>
    </w:p>
    <w:p>
      <w:pPr>
        <w:snapToGrid w:val="0"/>
        <w:spacing w:line="360" w:lineRule="auto"/>
        <w:jc w:val="center"/>
        <w:rPr>
          <w:rFonts w:hAnsi="宋体" w:eastAsia="宋体"/>
          <w:b/>
          <w:snapToGrid w:val="0"/>
          <w:kern w:val="0"/>
          <w:sz w:val="36"/>
          <w:szCs w:val="36"/>
        </w:rPr>
      </w:pPr>
    </w:p>
    <w:p>
      <w:pPr>
        <w:autoSpaceDE w:val="0"/>
        <w:autoSpaceDN w:val="0"/>
        <w:adjustRightInd w:val="0"/>
        <w:spacing w:line="360" w:lineRule="auto"/>
        <w:jc w:val="center"/>
        <w:outlineLvl w:val="0"/>
        <w:rPr>
          <w:rFonts w:ascii="宋体" w:hAnsi="宋体"/>
          <w:b/>
          <w:bCs/>
          <w:color w:val="000000"/>
          <w:sz w:val="24"/>
          <w:szCs w:val="24"/>
        </w:rPr>
      </w:pPr>
      <w:r>
        <w:rPr>
          <w:rFonts w:hint="eastAsia" w:ascii="宋体" w:hAnsi="宋体"/>
          <w:b/>
          <w:bCs/>
          <w:color w:val="000000"/>
          <w:sz w:val="24"/>
          <w:szCs w:val="24"/>
        </w:rPr>
        <w:t>4.4 业绩情况表</w:t>
      </w:r>
    </w:p>
    <w:p>
      <w:pPr>
        <w:autoSpaceDE w:val="0"/>
        <w:autoSpaceDN w:val="0"/>
        <w:adjustRightInd w:val="0"/>
        <w:spacing w:line="360" w:lineRule="auto"/>
        <w:jc w:val="center"/>
        <w:outlineLvl w:val="0"/>
        <w:rPr>
          <w:rFonts w:ascii="宋体" w:hAnsi="宋体"/>
          <w:b/>
          <w:bCs/>
          <w:color w:val="000000"/>
          <w:sz w:val="28"/>
          <w:szCs w:val="28"/>
        </w:rPr>
      </w:pPr>
    </w:p>
    <w:p>
      <w:pPr>
        <w:spacing w:before="50" w:afterLines="50" w:line="360" w:lineRule="auto"/>
        <w:contextualSpacing/>
        <w:jc w:val="left"/>
        <w:rPr>
          <w:rFonts w:asciiTheme="minorEastAsia" w:hAnsiTheme="minorEastAsia"/>
          <w:color w:val="000000"/>
          <w:szCs w:val="21"/>
        </w:rPr>
      </w:pPr>
      <w:r>
        <w:rPr>
          <w:rFonts w:hint="eastAsia" w:asciiTheme="minorEastAsia" w:hAnsiTheme="minorEastAsia"/>
          <w:color w:val="000000"/>
          <w:szCs w:val="21"/>
        </w:rPr>
        <w:t>项目编号：</w:t>
      </w:r>
    </w:p>
    <w:p>
      <w:pPr>
        <w:snapToGrid w:val="0"/>
        <w:spacing w:line="360" w:lineRule="auto"/>
        <w:rPr>
          <w:rFonts w:hAnsi="宋体" w:eastAsia="宋体"/>
          <w:b/>
          <w:snapToGrid w:val="0"/>
          <w:kern w:val="0"/>
          <w:szCs w:val="21"/>
        </w:rPr>
      </w:pPr>
      <w:r>
        <w:rPr>
          <w:rFonts w:hint="eastAsia" w:asciiTheme="minorEastAsia" w:hAnsiTheme="minorEastAsia"/>
          <w:color w:val="000000"/>
          <w:szCs w:val="21"/>
        </w:rPr>
        <w:t xml:space="preserve">项目名称：   </w:t>
      </w:r>
    </w:p>
    <w:tbl>
      <w:tblPr>
        <w:tblStyle w:val="24"/>
        <w:tblW w:w="92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808"/>
        <w:gridCol w:w="3579"/>
        <w:gridCol w:w="1440"/>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7" w:hRule="atLeast"/>
        </w:trPr>
        <w:tc>
          <w:tcPr>
            <w:tcW w:w="712" w:type="dxa"/>
            <w:shd w:val="clear" w:color="auto" w:fill="F3F3F3"/>
            <w:vAlign w:val="center"/>
          </w:tcPr>
          <w:p>
            <w:pPr>
              <w:pStyle w:val="8"/>
              <w:jc w:val="center"/>
              <w:rPr>
                <w:rFonts w:ascii="宋体" w:hAnsi="宋体" w:eastAsia="宋体" w:cs="Times New Roman"/>
                <w:b/>
                <w:bCs/>
                <w:sz w:val="21"/>
                <w:szCs w:val="21"/>
              </w:rPr>
            </w:pPr>
            <w:r>
              <w:rPr>
                <w:rFonts w:hint="eastAsia" w:ascii="宋体" w:hAnsi="宋体" w:eastAsia="宋体" w:cs="宋体"/>
                <w:b/>
                <w:bCs/>
                <w:sz w:val="21"/>
                <w:szCs w:val="21"/>
              </w:rPr>
              <w:t>序号</w:t>
            </w:r>
          </w:p>
        </w:tc>
        <w:tc>
          <w:tcPr>
            <w:tcW w:w="1808" w:type="dxa"/>
            <w:shd w:val="clear" w:color="auto" w:fill="F3F3F3"/>
            <w:vAlign w:val="center"/>
          </w:tcPr>
          <w:p>
            <w:pPr>
              <w:pStyle w:val="8"/>
              <w:jc w:val="center"/>
              <w:rPr>
                <w:rFonts w:ascii="宋体" w:hAnsi="宋体" w:eastAsia="宋体" w:cs="Times New Roman"/>
                <w:b/>
                <w:bCs/>
                <w:sz w:val="21"/>
                <w:szCs w:val="21"/>
              </w:rPr>
            </w:pPr>
            <w:r>
              <w:rPr>
                <w:rFonts w:hint="eastAsia" w:ascii="宋体" w:hAnsi="宋体" w:eastAsia="宋体" w:cs="宋体"/>
                <w:b/>
                <w:bCs/>
                <w:sz w:val="21"/>
                <w:szCs w:val="21"/>
              </w:rPr>
              <w:t>客户单位名称</w:t>
            </w:r>
          </w:p>
        </w:tc>
        <w:tc>
          <w:tcPr>
            <w:tcW w:w="3579" w:type="dxa"/>
            <w:shd w:val="clear" w:color="auto" w:fill="F3F3F3"/>
            <w:vAlign w:val="center"/>
          </w:tcPr>
          <w:p>
            <w:pPr>
              <w:pStyle w:val="8"/>
              <w:jc w:val="center"/>
              <w:rPr>
                <w:rFonts w:ascii="宋体" w:hAnsi="宋体" w:eastAsia="宋体" w:cs="Times New Roman"/>
                <w:b/>
                <w:bCs/>
                <w:sz w:val="21"/>
                <w:szCs w:val="21"/>
              </w:rPr>
            </w:pPr>
            <w:r>
              <w:rPr>
                <w:rFonts w:hint="eastAsia" w:ascii="宋体" w:hAnsi="宋体" w:eastAsia="宋体" w:cs="宋体"/>
                <w:b/>
                <w:bCs/>
                <w:sz w:val="21"/>
                <w:szCs w:val="21"/>
              </w:rPr>
              <w:t>项目名称及主要内容</w:t>
            </w:r>
          </w:p>
        </w:tc>
        <w:tc>
          <w:tcPr>
            <w:tcW w:w="1440" w:type="dxa"/>
            <w:shd w:val="clear" w:color="auto" w:fill="F3F3F3"/>
            <w:vAlign w:val="center"/>
          </w:tcPr>
          <w:p>
            <w:pPr>
              <w:pStyle w:val="8"/>
              <w:jc w:val="center"/>
              <w:rPr>
                <w:rFonts w:ascii="宋体" w:hAnsi="宋体" w:eastAsia="宋体" w:cs="宋体"/>
                <w:b/>
                <w:bCs/>
                <w:sz w:val="21"/>
                <w:szCs w:val="21"/>
              </w:rPr>
            </w:pPr>
            <w:r>
              <w:rPr>
                <w:rFonts w:hint="eastAsia" w:ascii="宋体" w:hAnsi="宋体" w:eastAsia="宋体" w:cs="宋体"/>
                <w:b/>
                <w:bCs/>
                <w:sz w:val="21"/>
                <w:szCs w:val="21"/>
              </w:rPr>
              <w:t>合同金额</w:t>
            </w:r>
          </w:p>
          <w:p>
            <w:pPr>
              <w:pStyle w:val="8"/>
              <w:jc w:val="center"/>
              <w:rPr>
                <w:rFonts w:ascii="宋体" w:hAnsi="宋体" w:eastAsia="宋体" w:cs="Times New Roman"/>
                <w:b/>
                <w:bCs/>
                <w:sz w:val="21"/>
                <w:szCs w:val="21"/>
              </w:rPr>
            </w:pPr>
            <w:r>
              <w:rPr>
                <w:rFonts w:hint="eastAsia" w:ascii="宋体" w:hAnsi="宋体" w:eastAsia="宋体" w:cs="宋体"/>
                <w:b/>
                <w:bCs/>
                <w:sz w:val="21"/>
                <w:szCs w:val="21"/>
              </w:rPr>
              <w:t>（万元）</w:t>
            </w:r>
          </w:p>
        </w:tc>
        <w:tc>
          <w:tcPr>
            <w:tcW w:w="1706" w:type="dxa"/>
            <w:shd w:val="clear" w:color="auto" w:fill="F3F3F3"/>
            <w:vAlign w:val="center"/>
          </w:tcPr>
          <w:p>
            <w:pPr>
              <w:pStyle w:val="8"/>
              <w:jc w:val="center"/>
              <w:rPr>
                <w:rFonts w:ascii="宋体" w:hAnsi="宋体" w:eastAsia="宋体" w:cs="Times New Roman"/>
                <w:b/>
                <w:bCs/>
                <w:sz w:val="21"/>
                <w:szCs w:val="21"/>
              </w:rPr>
            </w:pPr>
            <w:r>
              <w:rPr>
                <w:rFonts w:hint="eastAsia" w:ascii="宋体" w:hAnsi="宋体" w:eastAsia="宋体" w:cs="宋体"/>
                <w:b/>
                <w:bCs/>
                <w:sz w:val="21"/>
                <w:szCs w:val="21"/>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12" w:type="dxa"/>
            <w:vAlign w:val="center"/>
          </w:tcPr>
          <w:p>
            <w:pPr>
              <w:pStyle w:val="8"/>
              <w:spacing w:line="360" w:lineRule="auto"/>
              <w:jc w:val="center"/>
              <w:rPr>
                <w:rFonts w:ascii="宋体" w:hAnsi="宋体" w:eastAsia="宋体" w:cs="宋体"/>
                <w:sz w:val="21"/>
                <w:szCs w:val="21"/>
              </w:rPr>
            </w:pPr>
            <w:r>
              <w:rPr>
                <w:rFonts w:ascii="宋体" w:hAnsi="宋体" w:eastAsia="宋体" w:cs="宋体"/>
                <w:sz w:val="21"/>
                <w:szCs w:val="21"/>
              </w:rPr>
              <w:t>1</w:t>
            </w:r>
          </w:p>
        </w:tc>
        <w:tc>
          <w:tcPr>
            <w:tcW w:w="1808" w:type="dxa"/>
            <w:vAlign w:val="center"/>
          </w:tcPr>
          <w:p>
            <w:pPr>
              <w:pStyle w:val="8"/>
              <w:spacing w:line="360" w:lineRule="auto"/>
              <w:rPr>
                <w:rFonts w:ascii="宋体" w:hAnsi="宋体" w:eastAsia="宋体" w:cs="Times New Roman"/>
                <w:sz w:val="21"/>
                <w:szCs w:val="21"/>
              </w:rPr>
            </w:pPr>
          </w:p>
        </w:tc>
        <w:tc>
          <w:tcPr>
            <w:tcW w:w="3579" w:type="dxa"/>
            <w:vAlign w:val="center"/>
          </w:tcPr>
          <w:p>
            <w:pPr>
              <w:pStyle w:val="8"/>
              <w:spacing w:line="360" w:lineRule="auto"/>
              <w:rPr>
                <w:rFonts w:ascii="宋体" w:hAnsi="宋体" w:eastAsia="宋体" w:cs="Times New Roman"/>
                <w:sz w:val="21"/>
                <w:szCs w:val="21"/>
              </w:rPr>
            </w:pPr>
          </w:p>
        </w:tc>
        <w:tc>
          <w:tcPr>
            <w:tcW w:w="1440" w:type="dxa"/>
            <w:vAlign w:val="center"/>
          </w:tcPr>
          <w:p>
            <w:pPr>
              <w:pStyle w:val="8"/>
              <w:spacing w:line="360" w:lineRule="auto"/>
              <w:rPr>
                <w:rFonts w:ascii="宋体" w:hAnsi="宋体" w:eastAsia="宋体" w:cs="Times New Roman"/>
                <w:sz w:val="21"/>
                <w:szCs w:val="21"/>
              </w:rPr>
            </w:pPr>
          </w:p>
        </w:tc>
        <w:tc>
          <w:tcPr>
            <w:tcW w:w="1706" w:type="dxa"/>
            <w:vAlign w:val="center"/>
          </w:tcPr>
          <w:p>
            <w:pPr>
              <w:pStyle w:val="8"/>
              <w:spacing w:line="360" w:lineRule="auto"/>
              <w:rPr>
                <w:rFonts w:ascii="宋体" w:hAnsi="宋体"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12" w:type="dxa"/>
            <w:vAlign w:val="center"/>
          </w:tcPr>
          <w:p>
            <w:pPr>
              <w:pStyle w:val="8"/>
              <w:spacing w:line="360" w:lineRule="auto"/>
              <w:jc w:val="center"/>
              <w:rPr>
                <w:rFonts w:ascii="宋体" w:hAnsi="宋体" w:eastAsia="宋体" w:cs="宋体"/>
                <w:sz w:val="21"/>
                <w:szCs w:val="21"/>
              </w:rPr>
            </w:pPr>
            <w:r>
              <w:rPr>
                <w:rFonts w:ascii="宋体" w:hAnsi="宋体" w:eastAsia="宋体" w:cs="宋体"/>
                <w:sz w:val="21"/>
                <w:szCs w:val="21"/>
              </w:rPr>
              <w:t>2</w:t>
            </w:r>
          </w:p>
        </w:tc>
        <w:tc>
          <w:tcPr>
            <w:tcW w:w="1808" w:type="dxa"/>
            <w:vAlign w:val="center"/>
          </w:tcPr>
          <w:p>
            <w:pPr>
              <w:pStyle w:val="8"/>
              <w:spacing w:line="360" w:lineRule="auto"/>
              <w:rPr>
                <w:rFonts w:ascii="宋体" w:hAnsi="宋体" w:eastAsia="宋体" w:cs="Times New Roman"/>
                <w:sz w:val="21"/>
                <w:szCs w:val="21"/>
              </w:rPr>
            </w:pPr>
          </w:p>
        </w:tc>
        <w:tc>
          <w:tcPr>
            <w:tcW w:w="3579" w:type="dxa"/>
            <w:vAlign w:val="center"/>
          </w:tcPr>
          <w:p>
            <w:pPr>
              <w:pStyle w:val="8"/>
              <w:spacing w:line="360" w:lineRule="auto"/>
              <w:rPr>
                <w:rFonts w:ascii="宋体" w:hAnsi="宋体" w:eastAsia="宋体" w:cs="Times New Roman"/>
                <w:sz w:val="21"/>
                <w:szCs w:val="21"/>
              </w:rPr>
            </w:pPr>
          </w:p>
        </w:tc>
        <w:tc>
          <w:tcPr>
            <w:tcW w:w="1440" w:type="dxa"/>
            <w:vAlign w:val="center"/>
          </w:tcPr>
          <w:p>
            <w:pPr>
              <w:pStyle w:val="8"/>
              <w:spacing w:line="360" w:lineRule="auto"/>
              <w:rPr>
                <w:rFonts w:ascii="宋体" w:hAnsi="宋体" w:eastAsia="宋体" w:cs="Times New Roman"/>
                <w:sz w:val="21"/>
                <w:szCs w:val="21"/>
              </w:rPr>
            </w:pPr>
          </w:p>
        </w:tc>
        <w:tc>
          <w:tcPr>
            <w:tcW w:w="1706" w:type="dxa"/>
            <w:vAlign w:val="center"/>
          </w:tcPr>
          <w:p>
            <w:pPr>
              <w:pStyle w:val="8"/>
              <w:spacing w:line="360" w:lineRule="auto"/>
              <w:rPr>
                <w:rFonts w:ascii="宋体" w:hAnsi="宋体"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12" w:type="dxa"/>
            <w:vAlign w:val="center"/>
          </w:tcPr>
          <w:p>
            <w:pPr>
              <w:pStyle w:val="8"/>
              <w:spacing w:line="360" w:lineRule="auto"/>
              <w:jc w:val="center"/>
              <w:rPr>
                <w:rFonts w:ascii="宋体" w:hAnsi="宋体" w:eastAsia="宋体" w:cs="宋体"/>
                <w:sz w:val="21"/>
                <w:szCs w:val="21"/>
              </w:rPr>
            </w:pPr>
            <w:r>
              <w:rPr>
                <w:rFonts w:ascii="宋体" w:hAnsi="宋体" w:eastAsia="宋体" w:cs="宋体"/>
                <w:sz w:val="21"/>
                <w:szCs w:val="21"/>
              </w:rPr>
              <w:t>3</w:t>
            </w:r>
          </w:p>
        </w:tc>
        <w:tc>
          <w:tcPr>
            <w:tcW w:w="1808" w:type="dxa"/>
            <w:vAlign w:val="center"/>
          </w:tcPr>
          <w:p>
            <w:pPr>
              <w:pStyle w:val="8"/>
              <w:spacing w:line="360" w:lineRule="auto"/>
              <w:rPr>
                <w:rFonts w:ascii="宋体" w:hAnsi="宋体" w:eastAsia="宋体" w:cs="Times New Roman"/>
                <w:sz w:val="21"/>
                <w:szCs w:val="21"/>
              </w:rPr>
            </w:pPr>
          </w:p>
        </w:tc>
        <w:tc>
          <w:tcPr>
            <w:tcW w:w="3579" w:type="dxa"/>
            <w:vAlign w:val="center"/>
          </w:tcPr>
          <w:p>
            <w:pPr>
              <w:pStyle w:val="8"/>
              <w:spacing w:line="360" w:lineRule="auto"/>
              <w:rPr>
                <w:rFonts w:ascii="宋体" w:hAnsi="宋体" w:eastAsia="宋体" w:cs="Times New Roman"/>
                <w:sz w:val="21"/>
                <w:szCs w:val="21"/>
              </w:rPr>
            </w:pPr>
          </w:p>
        </w:tc>
        <w:tc>
          <w:tcPr>
            <w:tcW w:w="1440" w:type="dxa"/>
            <w:vAlign w:val="center"/>
          </w:tcPr>
          <w:p>
            <w:pPr>
              <w:pStyle w:val="8"/>
              <w:spacing w:line="360" w:lineRule="auto"/>
              <w:rPr>
                <w:rFonts w:ascii="宋体" w:hAnsi="宋体" w:eastAsia="宋体" w:cs="Times New Roman"/>
                <w:sz w:val="21"/>
                <w:szCs w:val="21"/>
              </w:rPr>
            </w:pPr>
          </w:p>
        </w:tc>
        <w:tc>
          <w:tcPr>
            <w:tcW w:w="1706" w:type="dxa"/>
            <w:vAlign w:val="center"/>
          </w:tcPr>
          <w:p>
            <w:pPr>
              <w:pStyle w:val="8"/>
              <w:spacing w:line="360" w:lineRule="auto"/>
              <w:rPr>
                <w:rFonts w:ascii="宋体" w:hAnsi="宋体"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12" w:type="dxa"/>
            <w:vAlign w:val="center"/>
          </w:tcPr>
          <w:p>
            <w:pPr>
              <w:pStyle w:val="8"/>
              <w:spacing w:line="360" w:lineRule="auto"/>
              <w:jc w:val="center"/>
              <w:rPr>
                <w:rFonts w:ascii="宋体" w:hAnsi="宋体" w:eastAsia="宋体" w:cs="宋体"/>
                <w:sz w:val="21"/>
                <w:szCs w:val="21"/>
              </w:rPr>
            </w:pPr>
            <w:r>
              <w:rPr>
                <w:rFonts w:ascii="宋体" w:hAnsi="宋体" w:eastAsia="宋体" w:cs="宋体"/>
                <w:sz w:val="21"/>
                <w:szCs w:val="21"/>
              </w:rPr>
              <w:t>4</w:t>
            </w:r>
          </w:p>
        </w:tc>
        <w:tc>
          <w:tcPr>
            <w:tcW w:w="1808" w:type="dxa"/>
            <w:vAlign w:val="center"/>
          </w:tcPr>
          <w:p>
            <w:pPr>
              <w:rPr>
                <w:rFonts w:ascii="宋体"/>
                <w:szCs w:val="21"/>
              </w:rPr>
            </w:pPr>
          </w:p>
        </w:tc>
        <w:tc>
          <w:tcPr>
            <w:tcW w:w="3579" w:type="dxa"/>
            <w:vAlign w:val="center"/>
          </w:tcPr>
          <w:p>
            <w:pPr>
              <w:rPr>
                <w:rFonts w:ascii="宋体"/>
                <w:szCs w:val="21"/>
              </w:rPr>
            </w:pPr>
          </w:p>
        </w:tc>
        <w:tc>
          <w:tcPr>
            <w:tcW w:w="1440" w:type="dxa"/>
            <w:vAlign w:val="center"/>
          </w:tcPr>
          <w:p>
            <w:pPr>
              <w:rPr>
                <w:rFonts w:ascii="宋体"/>
                <w:szCs w:val="21"/>
              </w:rPr>
            </w:pPr>
          </w:p>
        </w:tc>
        <w:tc>
          <w:tcPr>
            <w:tcW w:w="1706" w:type="dxa"/>
            <w:vAlign w:val="center"/>
          </w:tcPr>
          <w:p>
            <w:pP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12" w:type="dxa"/>
            <w:vAlign w:val="center"/>
          </w:tcPr>
          <w:p>
            <w:pPr>
              <w:pStyle w:val="8"/>
              <w:spacing w:line="360" w:lineRule="auto"/>
              <w:jc w:val="center"/>
              <w:rPr>
                <w:rFonts w:ascii="宋体" w:hAnsi="宋体" w:eastAsia="宋体" w:cs="Times New Roman"/>
                <w:sz w:val="21"/>
                <w:szCs w:val="21"/>
              </w:rPr>
            </w:pPr>
            <w:r>
              <w:rPr>
                <w:rFonts w:hint="eastAsia" w:ascii="宋体" w:hAnsi="宋体" w:eastAsia="宋体" w:cs="宋体"/>
                <w:sz w:val="21"/>
                <w:szCs w:val="21"/>
              </w:rPr>
              <w:t>……</w:t>
            </w:r>
          </w:p>
        </w:tc>
        <w:tc>
          <w:tcPr>
            <w:tcW w:w="1808" w:type="dxa"/>
            <w:vAlign w:val="center"/>
          </w:tcPr>
          <w:p>
            <w:pPr>
              <w:rPr>
                <w:rFonts w:ascii="宋体"/>
                <w:szCs w:val="21"/>
              </w:rPr>
            </w:pPr>
          </w:p>
        </w:tc>
        <w:tc>
          <w:tcPr>
            <w:tcW w:w="3579" w:type="dxa"/>
            <w:vAlign w:val="center"/>
          </w:tcPr>
          <w:p>
            <w:pPr>
              <w:rPr>
                <w:rFonts w:ascii="宋体"/>
                <w:szCs w:val="21"/>
              </w:rPr>
            </w:pPr>
          </w:p>
        </w:tc>
        <w:tc>
          <w:tcPr>
            <w:tcW w:w="1440" w:type="dxa"/>
            <w:vAlign w:val="center"/>
          </w:tcPr>
          <w:p>
            <w:pPr>
              <w:rPr>
                <w:rFonts w:ascii="宋体"/>
                <w:szCs w:val="21"/>
              </w:rPr>
            </w:pPr>
          </w:p>
        </w:tc>
        <w:tc>
          <w:tcPr>
            <w:tcW w:w="1706" w:type="dxa"/>
            <w:vAlign w:val="center"/>
          </w:tcPr>
          <w:p>
            <w:pPr>
              <w:rPr>
                <w:rFonts w:ascii="宋体"/>
                <w:szCs w:val="21"/>
              </w:rPr>
            </w:pPr>
          </w:p>
        </w:tc>
      </w:tr>
    </w:tbl>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供应商（公章）：</w:t>
      </w:r>
    </w:p>
    <w:p>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供应商法定代表人（单位负责人）或授权代表签字：</w:t>
      </w:r>
    </w:p>
    <w:p>
      <w:pPr>
        <w:autoSpaceDE w:val="0"/>
        <w:autoSpaceDN w:val="0"/>
        <w:adjustRightInd w:val="0"/>
        <w:spacing w:line="480" w:lineRule="auto"/>
        <w:rPr>
          <w:rFonts w:cs="宋体" w:asciiTheme="minorEastAsia" w:hAnsiTheme="minorEastAsia"/>
          <w:sz w:val="24"/>
          <w:szCs w:val="24"/>
          <w:lang w:val="zh-CN"/>
        </w:rPr>
      </w:pPr>
    </w:p>
    <w:p>
      <w:pPr>
        <w:autoSpaceDE w:val="0"/>
        <w:autoSpaceDN w:val="0"/>
        <w:adjustRightInd w:val="0"/>
        <w:spacing w:line="360" w:lineRule="auto"/>
        <w:jc w:val="center"/>
        <w:outlineLvl w:val="0"/>
        <w:rPr>
          <w:rFonts w:ascii="宋体" w:hAnsi="宋体"/>
          <w:b/>
          <w:bCs/>
          <w:color w:val="000000"/>
          <w:sz w:val="24"/>
          <w:szCs w:val="24"/>
        </w:rPr>
      </w:pPr>
      <w:r>
        <w:rPr>
          <w:rFonts w:hint="eastAsia" w:ascii="宋体" w:hAnsi="宋体"/>
          <w:b/>
          <w:bCs/>
          <w:color w:val="000000"/>
          <w:sz w:val="24"/>
          <w:szCs w:val="24"/>
        </w:rPr>
        <w:t>4.5 售后服务方案</w:t>
      </w:r>
    </w:p>
    <w:p>
      <w:pPr>
        <w:autoSpaceDE w:val="0"/>
        <w:autoSpaceDN w:val="0"/>
        <w:adjustRightInd w:val="0"/>
        <w:spacing w:line="360" w:lineRule="auto"/>
        <w:jc w:val="center"/>
        <w:outlineLvl w:val="0"/>
        <w:rPr>
          <w:rFonts w:ascii="宋体" w:hAnsi="宋体"/>
          <w:b/>
          <w:bCs/>
          <w:color w:val="000000"/>
          <w:sz w:val="36"/>
          <w:szCs w:val="36"/>
        </w:rPr>
      </w:pPr>
    </w:p>
    <w:p>
      <w:pPr>
        <w:autoSpaceDE w:val="0"/>
        <w:autoSpaceDN w:val="0"/>
        <w:adjustRightInd w:val="0"/>
        <w:spacing w:line="360" w:lineRule="auto"/>
        <w:jc w:val="center"/>
        <w:rPr>
          <w:rFonts w:cs="宋体" w:asciiTheme="minorEastAsia" w:hAnsiTheme="minorEastAsia"/>
          <w:szCs w:val="21"/>
          <w:lang w:val="zh-CN"/>
        </w:rPr>
      </w:pPr>
      <w:r>
        <w:rPr>
          <w:rFonts w:hint="eastAsia" w:cs="宋体" w:asciiTheme="minorEastAsia" w:hAnsiTheme="minorEastAsia"/>
          <w:szCs w:val="21"/>
          <w:lang w:val="zh-CN"/>
        </w:rPr>
        <w:t>（供应商根据谈判文件要求自行编制）</w:t>
      </w:r>
    </w:p>
    <w:p>
      <w:pPr>
        <w:autoSpaceDE w:val="0"/>
        <w:autoSpaceDN w:val="0"/>
        <w:adjustRightInd w:val="0"/>
        <w:spacing w:line="360" w:lineRule="auto"/>
        <w:jc w:val="center"/>
        <w:outlineLvl w:val="0"/>
        <w:rPr>
          <w:rFonts w:ascii="宋体" w:hAnsi="宋体"/>
          <w:b/>
          <w:bCs/>
          <w:color w:val="000000"/>
          <w:sz w:val="36"/>
          <w:szCs w:val="36"/>
        </w:rPr>
      </w:pPr>
    </w:p>
    <w:p>
      <w:pPr>
        <w:autoSpaceDE w:val="0"/>
        <w:autoSpaceDN w:val="0"/>
        <w:adjustRightInd w:val="0"/>
        <w:spacing w:line="360" w:lineRule="auto"/>
        <w:jc w:val="center"/>
        <w:outlineLvl w:val="0"/>
        <w:rPr>
          <w:rFonts w:ascii="宋体" w:hAnsi="宋体"/>
          <w:b/>
          <w:bCs/>
          <w:color w:val="000000"/>
          <w:sz w:val="36"/>
          <w:szCs w:val="36"/>
        </w:rPr>
      </w:pPr>
    </w:p>
    <w:p>
      <w:pPr>
        <w:autoSpaceDE w:val="0"/>
        <w:autoSpaceDN w:val="0"/>
        <w:adjustRightInd w:val="0"/>
        <w:spacing w:line="360" w:lineRule="auto"/>
        <w:jc w:val="center"/>
        <w:outlineLvl w:val="0"/>
        <w:rPr>
          <w:rFonts w:ascii="宋体" w:hAnsi="宋体"/>
          <w:b/>
          <w:bCs/>
          <w:color w:val="000000"/>
          <w:sz w:val="24"/>
          <w:szCs w:val="24"/>
        </w:rPr>
      </w:pPr>
      <w:r>
        <w:rPr>
          <w:rFonts w:hint="eastAsia" w:ascii="宋体" w:hAnsi="宋体"/>
          <w:b/>
          <w:bCs/>
          <w:color w:val="000000"/>
          <w:sz w:val="24"/>
          <w:szCs w:val="24"/>
        </w:rPr>
        <w:t>4.6 中小企业声明函</w:t>
      </w:r>
    </w:p>
    <w:p>
      <w:pPr>
        <w:spacing w:line="360" w:lineRule="auto"/>
        <w:jc w:val="center"/>
        <w:rPr>
          <w:rFonts w:ascii="宋体" w:hAnsi="宋体"/>
          <w:b/>
          <w:bCs/>
          <w:color w:val="000000"/>
          <w:szCs w:val="21"/>
        </w:rPr>
      </w:pPr>
    </w:p>
    <w:p>
      <w:pPr>
        <w:widowControl/>
        <w:spacing w:before="100" w:beforeAutospacing="1" w:after="100" w:afterAutospacing="1" w:line="360" w:lineRule="auto"/>
        <w:ind w:firstLine="420"/>
        <w:contextualSpacing/>
        <w:jc w:val="left"/>
        <w:rPr>
          <w:rFonts w:ascii="宋体" w:hAnsi="宋体" w:cs="Arial"/>
          <w:color w:val="000000"/>
          <w:kern w:val="0"/>
          <w:szCs w:val="21"/>
        </w:rPr>
      </w:pPr>
      <w:r>
        <w:rPr>
          <w:rFonts w:hint="eastAsia" w:ascii="宋体" w:hAnsi="宋体" w:cs="Arial"/>
          <w:color w:val="000000"/>
          <w:kern w:val="0"/>
          <w:szCs w:val="21"/>
        </w:rPr>
        <w:t>本公司郑重声明，根据《政府采购促进中小企业发展暂行办法》（财库[2011]181号）的规定，本公司为______（请填写：中型、小型、微型）企业。即，本公司同时满足以下条件：</w:t>
      </w:r>
      <w:r>
        <w:rPr>
          <w:rFonts w:hint="eastAsia" w:ascii="宋体" w:hAnsi="宋体" w:cs="Arial"/>
          <w:color w:val="000000"/>
          <w:kern w:val="0"/>
          <w:szCs w:val="21"/>
        </w:rPr>
        <w:br w:type="textWrapping"/>
      </w:r>
      <w:r>
        <w:rPr>
          <w:rFonts w:hint="eastAsia" w:ascii="宋体" w:hAnsi="宋体" w:cs="Arial"/>
          <w:color w:val="000000"/>
          <w:kern w:val="0"/>
          <w:szCs w:val="21"/>
        </w:rPr>
        <w:t>　　根据《工业和信息化部、国家统计局、国家发展和改革委员会、财政部关于印发中小企业划型标准规定的通知》（工信部联企业[2011]300号）规定的划分标准，</w:t>
      </w:r>
      <w:r>
        <w:rPr>
          <w:rFonts w:hint="eastAsia"/>
          <w:color w:val="000000"/>
          <w:szCs w:val="21"/>
        </w:rPr>
        <w:t>按照《国家统计局关于印发统计上大中小微型企业划分办法的通知》（国统字</w:t>
      </w:r>
      <w:r>
        <w:rPr>
          <w:color w:val="000000"/>
          <w:szCs w:val="21"/>
        </w:rPr>
        <w:t>[2011] 75</w:t>
      </w:r>
      <w:r>
        <w:rPr>
          <w:rFonts w:hint="eastAsia"/>
          <w:color w:val="000000"/>
          <w:szCs w:val="21"/>
        </w:rPr>
        <w:t>号）规定，本公司所属行业为</w:t>
      </w:r>
      <w:r>
        <w:rPr>
          <w:color w:val="000000"/>
          <w:szCs w:val="21"/>
        </w:rPr>
        <w:t>______</w:t>
      </w:r>
      <w:r>
        <w:rPr>
          <w:rFonts w:hint="eastAsia"/>
          <w:color w:val="000000"/>
          <w:szCs w:val="21"/>
        </w:rPr>
        <w:t>，截至上一财年末，公司资产总额</w:t>
      </w:r>
      <w:r>
        <w:rPr>
          <w:color w:val="000000"/>
          <w:szCs w:val="21"/>
        </w:rPr>
        <w:t>______</w:t>
      </w:r>
      <w:r>
        <w:rPr>
          <w:rFonts w:hint="eastAsia"/>
          <w:color w:val="000000"/>
          <w:szCs w:val="21"/>
        </w:rPr>
        <w:t>万元，营业收入</w:t>
      </w:r>
      <w:r>
        <w:rPr>
          <w:color w:val="000000"/>
          <w:szCs w:val="21"/>
        </w:rPr>
        <w:t>______</w:t>
      </w:r>
      <w:r>
        <w:rPr>
          <w:rFonts w:hint="eastAsia"/>
          <w:color w:val="000000"/>
          <w:szCs w:val="21"/>
        </w:rPr>
        <w:t>万元，从业人员</w:t>
      </w:r>
      <w:r>
        <w:rPr>
          <w:color w:val="000000"/>
          <w:szCs w:val="21"/>
        </w:rPr>
        <w:t>______</w:t>
      </w:r>
      <w:r>
        <w:rPr>
          <w:rFonts w:hint="eastAsia"/>
          <w:color w:val="000000"/>
          <w:szCs w:val="21"/>
        </w:rPr>
        <w:t>人，</w:t>
      </w:r>
      <w:r>
        <w:rPr>
          <w:rFonts w:hint="eastAsia" w:ascii="宋体" w:hAnsi="宋体" w:cs="Arial"/>
          <w:color w:val="000000"/>
          <w:kern w:val="0"/>
          <w:szCs w:val="21"/>
        </w:rPr>
        <w:t>本公司为______（请填写：中型、小型、微型）企业。　　</w:t>
      </w:r>
    </w:p>
    <w:p>
      <w:pPr>
        <w:widowControl/>
        <w:spacing w:before="100" w:beforeAutospacing="1" w:after="100" w:afterAutospacing="1" w:line="360" w:lineRule="auto"/>
        <w:ind w:firstLine="420"/>
        <w:contextualSpacing/>
        <w:jc w:val="left"/>
        <w:rPr>
          <w:rFonts w:ascii="宋体" w:hAnsi="宋体" w:cs="Arial"/>
          <w:color w:val="000000"/>
          <w:kern w:val="0"/>
          <w:szCs w:val="21"/>
        </w:rPr>
      </w:pPr>
      <w:r>
        <w:rPr>
          <w:rFonts w:hint="eastAsia" w:ascii="宋体" w:hAnsi="宋体" w:cs="Arial"/>
          <w:color w:val="000000"/>
          <w:kern w:val="0"/>
          <w:szCs w:val="21"/>
        </w:rPr>
        <w:t>本公司对上述声明的真实性负责。如有虚假，将依法承担相应责任。</w:t>
      </w:r>
    </w:p>
    <w:p>
      <w:pPr>
        <w:widowControl/>
        <w:spacing w:before="100" w:beforeAutospacing="1" w:after="100" w:afterAutospacing="1" w:line="360" w:lineRule="auto"/>
        <w:ind w:left="3885" w:leftChars="1850"/>
        <w:jc w:val="left"/>
        <w:rPr>
          <w:rFonts w:ascii="宋体" w:hAnsi="宋体" w:cs="Arial"/>
          <w:color w:val="000000"/>
          <w:kern w:val="0"/>
          <w:szCs w:val="21"/>
        </w:rPr>
      </w:pPr>
    </w:p>
    <w:p>
      <w:pPr>
        <w:widowControl/>
        <w:spacing w:before="100" w:beforeAutospacing="1" w:after="100" w:afterAutospacing="1" w:line="360" w:lineRule="auto"/>
        <w:ind w:left="3885" w:leftChars="1850"/>
        <w:jc w:val="left"/>
        <w:rPr>
          <w:rFonts w:ascii="宋体" w:hAnsi="宋体" w:cs="Arial"/>
          <w:color w:val="000000"/>
          <w:kern w:val="0"/>
          <w:szCs w:val="21"/>
        </w:rPr>
      </w:pPr>
    </w:p>
    <w:p>
      <w:pPr>
        <w:widowControl/>
        <w:spacing w:before="100" w:beforeAutospacing="1" w:after="100" w:afterAutospacing="1" w:line="360" w:lineRule="auto"/>
        <w:ind w:left="3885" w:leftChars="1850"/>
        <w:jc w:val="left"/>
        <w:rPr>
          <w:rFonts w:ascii="宋体" w:hAnsi="宋体" w:cs="Arial"/>
          <w:color w:val="000000"/>
          <w:kern w:val="0"/>
          <w:szCs w:val="21"/>
        </w:rPr>
      </w:pPr>
      <w:r>
        <w:rPr>
          <w:rFonts w:hint="eastAsia" w:ascii="宋体" w:hAnsi="宋体" w:cs="Arial"/>
          <w:color w:val="000000"/>
          <w:kern w:val="0"/>
          <w:szCs w:val="21"/>
        </w:rPr>
        <w:t>企业名称（盖章）：　　　　　　　　　</w:t>
      </w:r>
      <w:r>
        <w:rPr>
          <w:rFonts w:hint="eastAsia" w:ascii="宋体" w:hAnsi="宋体" w:cs="Arial"/>
          <w:color w:val="000000"/>
          <w:kern w:val="0"/>
          <w:szCs w:val="21"/>
        </w:rPr>
        <w:br w:type="textWrapping"/>
      </w:r>
      <w:r>
        <w:rPr>
          <w:rFonts w:hint="eastAsia" w:ascii="宋体" w:hAnsi="宋体" w:cs="Arial"/>
          <w:color w:val="000000"/>
          <w:kern w:val="0"/>
          <w:szCs w:val="21"/>
        </w:rPr>
        <w:t xml:space="preserve">日　  期：      </w:t>
      </w:r>
      <w:r>
        <w:rPr>
          <w:rFonts w:hint="eastAsia" w:cs="宋体" w:asciiTheme="minorEastAsia" w:hAnsiTheme="minorEastAsia"/>
          <w:szCs w:val="21"/>
        </w:rPr>
        <w:t>年    月    日</w:t>
      </w:r>
    </w:p>
    <w:p>
      <w:pPr>
        <w:widowControl/>
        <w:spacing w:before="100" w:beforeAutospacing="1" w:after="100" w:afterAutospacing="1" w:line="360" w:lineRule="auto"/>
        <w:contextualSpacing/>
        <w:jc w:val="left"/>
        <w:rPr>
          <w:rFonts w:ascii="宋体" w:hAnsi="宋体"/>
          <w:color w:val="000000"/>
          <w:szCs w:val="21"/>
        </w:rPr>
      </w:pPr>
      <w:r>
        <w:rPr>
          <w:rFonts w:hint="eastAsia" w:ascii="宋体" w:hAnsi="宋体"/>
          <w:color w:val="000000"/>
          <w:szCs w:val="21"/>
        </w:rPr>
        <w:t>说明：</w:t>
      </w:r>
    </w:p>
    <w:p>
      <w:pPr>
        <w:widowControl/>
        <w:spacing w:before="100" w:beforeAutospacing="1" w:after="100" w:afterAutospacing="1" w:line="360" w:lineRule="auto"/>
        <w:contextualSpacing/>
        <w:jc w:val="left"/>
        <w:rPr>
          <w:rFonts w:ascii="宋体" w:hAnsi="宋体" w:cs="Arial"/>
          <w:color w:val="000000"/>
          <w:kern w:val="0"/>
          <w:szCs w:val="21"/>
        </w:rPr>
      </w:pPr>
      <w:r>
        <w:rPr>
          <w:rFonts w:hint="eastAsia" w:ascii="宋体" w:hAnsi="宋体" w:cs="Arial"/>
          <w:color w:val="000000"/>
          <w:kern w:val="0"/>
          <w:szCs w:val="21"/>
        </w:rPr>
        <w:t>1、不属于中小企业划型标准确定的中小企业，不得按《关于印发中小企业划型标准规定的通知》规定声明为中小微企业，也不适用《政府采购促进中小企业发展暂行办法》。</w:t>
      </w:r>
    </w:p>
    <w:p>
      <w:pPr>
        <w:widowControl/>
        <w:spacing w:before="100" w:beforeAutospacing="1" w:after="100" w:afterAutospacing="1" w:line="360" w:lineRule="auto"/>
        <w:contextualSpacing/>
        <w:jc w:val="left"/>
        <w:rPr>
          <w:rFonts w:ascii="宋体" w:hAnsi="宋体" w:cs="Arial"/>
          <w:color w:val="000000"/>
          <w:kern w:val="0"/>
          <w:szCs w:val="21"/>
        </w:rPr>
      </w:pPr>
      <w:r>
        <w:rPr>
          <w:rFonts w:hint="eastAsia" w:ascii="宋体" w:hAnsi="宋体" w:cs="Arial"/>
          <w:color w:val="000000"/>
          <w:kern w:val="0"/>
          <w:szCs w:val="21"/>
        </w:rPr>
        <w:t>2、如供应商为联合投标的，联合供应商需分别填写上述《中小企业声明函》。</w:t>
      </w:r>
    </w:p>
    <w:p>
      <w:pPr>
        <w:widowControl/>
        <w:spacing w:before="100" w:beforeAutospacing="1" w:after="100" w:afterAutospacing="1" w:line="360" w:lineRule="auto"/>
        <w:contextualSpacing/>
        <w:jc w:val="left"/>
        <w:rPr>
          <w:rFonts w:ascii="宋体" w:hAnsi="宋体" w:cs="Arial"/>
          <w:color w:val="000000"/>
          <w:kern w:val="0"/>
          <w:szCs w:val="21"/>
        </w:rPr>
      </w:pPr>
      <w:r>
        <w:rPr>
          <w:rFonts w:hint="eastAsia" w:ascii="宋体" w:hAnsi="宋体" w:cs="Arial"/>
          <w:color w:val="000000"/>
          <w:kern w:val="0"/>
          <w:szCs w:val="21"/>
        </w:rPr>
        <w:t>3、小型和微型企业不包括民办非企业。</w:t>
      </w:r>
    </w:p>
    <w:p>
      <w:pPr>
        <w:autoSpaceDE w:val="0"/>
        <w:autoSpaceDN w:val="0"/>
        <w:adjustRightInd w:val="0"/>
        <w:spacing w:line="360" w:lineRule="auto"/>
        <w:jc w:val="center"/>
        <w:outlineLvl w:val="0"/>
        <w:rPr>
          <w:rFonts w:ascii="宋体" w:hAnsi="宋体"/>
          <w:b/>
          <w:bCs/>
          <w:color w:val="000000"/>
          <w:sz w:val="24"/>
          <w:szCs w:val="24"/>
        </w:rPr>
      </w:pPr>
      <w:r>
        <w:rPr>
          <w:rFonts w:hint="eastAsia" w:ascii="宋体" w:hAnsi="宋体"/>
          <w:b/>
          <w:bCs/>
          <w:color w:val="000000"/>
          <w:sz w:val="24"/>
          <w:szCs w:val="24"/>
        </w:rPr>
        <w:t>4.7 残疾人福利性单位声明函</w:t>
      </w:r>
    </w:p>
    <w:p>
      <w:pPr>
        <w:spacing w:line="360" w:lineRule="auto"/>
        <w:rPr>
          <w:rFonts w:ascii="宋体" w:hAnsi="宋体"/>
          <w:szCs w:val="21"/>
        </w:rPr>
      </w:pPr>
    </w:p>
    <w:p>
      <w:pPr>
        <w:spacing w:line="360" w:lineRule="auto"/>
        <w:ind w:firstLine="420" w:firstLineChars="200"/>
        <w:rPr>
          <w:rFonts w:ascii="宋体" w:hAnsi="宋体"/>
          <w:szCs w:val="21"/>
        </w:rPr>
      </w:pPr>
      <w:r>
        <w:rPr>
          <w:rFonts w:hint="eastAsia" w:ascii="宋体" w:hAnsi="宋体"/>
          <w:szCs w:val="21"/>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pPr>
        <w:spacing w:line="360" w:lineRule="auto"/>
        <w:ind w:firstLine="420" w:firstLineChars="200"/>
        <w:rPr>
          <w:rFonts w:ascii="宋体" w:hAnsi="宋体"/>
          <w:szCs w:val="21"/>
        </w:rPr>
      </w:pPr>
      <w:r>
        <w:rPr>
          <w:rFonts w:hint="eastAsia" w:ascii="宋体" w:hAnsi="宋体"/>
          <w:szCs w:val="21"/>
        </w:rPr>
        <w:t>本单位对上述声明的真实性负责。如有虚假，将依法承担相应责任。</w:t>
      </w: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r>
        <w:rPr>
          <w:rFonts w:hint="eastAsia" w:ascii="宋体" w:hAnsi="宋体"/>
          <w:szCs w:val="21"/>
        </w:rPr>
        <w:t xml:space="preserve">                                    单位名称（盖章）：</w:t>
      </w:r>
    </w:p>
    <w:p>
      <w:pPr>
        <w:spacing w:line="360" w:lineRule="auto"/>
        <w:rPr>
          <w:rFonts w:ascii="宋体" w:hAnsi="宋体"/>
          <w:szCs w:val="21"/>
        </w:rPr>
      </w:pPr>
      <w:r>
        <w:rPr>
          <w:rFonts w:hint="eastAsia" w:ascii="宋体" w:hAnsi="宋体"/>
          <w:szCs w:val="21"/>
        </w:rPr>
        <w:t xml:space="preserve">                                    日    期：      </w:t>
      </w:r>
      <w:r>
        <w:rPr>
          <w:rFonts w:hint="eastAsia" w:cs="宋体" w:asciiTheme="minorEastAsia" w:hAnsiTheme="minorEastAsia"/>
          <w:szCs w:val="21"/>
        </w:rPr>
        <w:t>年    月    日</w:t>
      </w:r>
    </w:p>
    <w:p/>
    <w:p/>
    <w:p/>
    <w:p/>
    <w:p/>
    <w:p/>
    <w:p/>
    <w:p/>
    <w:p>
      <w:pPr>
        <w:autoSpaceDE w:val="0"/>
        <w:autoSpaceDN w:val="0"/>
        <w:adjustRightInd w:val="0"/>
        <w:spacing w:line="360" w:lineRule="auto"/>
        <w:jc w:val="center"/>
        <w:outlineLvl w:val="0"/>
        <w:rPr>
          <w:rFonts w:hint="eastAsia" w:ascii="宋体" w:hAnsi="宋体"/>
          <w:b/>
          <w:bCs/>
          <w:color w:val="000000"/>
          <w:sz w:val="24"/>
          <w:szCs w:val="24"/>
        </w:rPr>
      </w:pPr>
    </w:p>
    <w:p>
      <w:pPr>
        <w:autoSpaceDE w:val="0"/>
        <w:autoSpaceDN w:val="0"/>
        <w:adjustRightInd w:val="0"/>
        <w:spacing w:line="360" w:lineRule="auto"/>
        <w:jc w:val="center"/>
        <w:outlineLvl w:val="0"/>
        <w:rPr>
          <w:rFonts w:hint="eastAsia" w:ascii="宋体" w:hAnsi="宋体"/>
          <w:b/>
          <w:bCs/>
          <w:color w:val="000000"/>
          <w:sz w:val="24"/>
          <w:szCs w:val="24"/>
        </w:rPr>
      </w:pPr>
    </w:p>
    <w:p>
      <w:pPr>
        <w:autoSpaceDE w:val="0"/>
        <w:autoSpaceDN w:val="0"/>
        <w:adjustRightInd w:val="0"/>
        <w:spacing w:line="360" w:lineRule="auto"/>
        <w:jc w:val="center"/>
        <w:outlineLvl w:val="0"/>
        <w:rPr>
          <w:rFonts w:hint="eastAsia" w:ascii="宋体" w:hAnsi="宋体"/>
          <w:b/>
          <w:bCs/>
          <w:color w:val="000000"/>
          <w:sz w:val="24"/>
          <w:szCs w:val="24"/>
        </w:rPr>
      </w:pPr>
    </w:p>
    <w:p>
      <w:pPr>
        <w:autoSpaceDE w:val="0"/>
        <w:autoSpaceDN w:val="0"/>
        <w:adjustRightInd w:val="0"/>
        <w:spacing w:line="360" w:lineRule="auto"/>
        <w:jc w:val="center"/>
        <w:outlineLvl w:val="0"/>
        <w:rPr>
          <w:rFonts w:ascii="宋体" w:hAnsi="宋体"/>
          <w:b/>
          <w:bCs/>
          <w:color w:val="000000"/>
          <w:sz w:val="24"/>
          <w:szCs w:val="24"/>
        </w:rPr>
      </w:pPr>
      <w:r>
        <w:rPr>
          <w:rFonts w:hint="eastAsia" w:ascii="宋体" w:hAnsi="宋体"/>
          <w:b/>
          <w:bCs/>
          <w:color w:val="000000"/>
          <w:sz w:val="24"/>
          <w:szCs w:val="24"/>
        </w:rPr>
        <w:t xml:space="preserve">4.8 所投产品符合国家强制性要求承诺函 </w:t>
      </w:r>
    </w:p>
    <w:p>
      <w:pPr>
        <w:autoSpaceDE w:val="0"/>
        <w:autoSpaceDN w:val="0"/>
        <w:adjustRightInd w:val="0"/>
        <w:spacing w:line="360" w:lineRule="auto"/>
        <w:jc w:val="center"/>
        <w:outlineLvl w:val="0"/>
        <w:rPr>
          <w:rFonts w:ascii="宋体" w:hAnsi="宋体"/>
          <w:b/>
          <w:bCs/>
          <w:color w:val="000000"/>
          <w:sz w:val="28"/>
          <w:szCs w:val="28"/>
        </w:rPr>
      </w:pPr>
    </w:p>
    <w:p>
      <w:pPr>
        <w:spacing w:line="360" w:lineRule="auto"/>
        <w:jc w:val="center"/>
        <w:rPr>
          <w:rFonts w:ascii="宋体" w:hAnsi="宋体" w:cs="Arial"/>
          <w:color w:val="000000"/>
          <w:kern w:val="0"/>
          <w:szCs w:val="21"/>
        </w:rPr>
      </w:pPr>
      <w:r>
        <w:rPr>
          <w:rFonts w:hint="eastAsia" w:ascii="宋体" w:hAnsi="宋体" w:cs="Arial"/>
          <w:color w:val="000000"/>
          <w:kern w:val="0"/>
          <w:szCs w:val="21"/>
        </w:rPr>
        <w:t>供应商所投产品涉及国家有属强制性规定的，须承诺其所投产品符合国家强制性要求（如CCC认证，格式自拟）</w:t>
      </w:r>
    </w:p>
    <w:p>
      <w:pPr>
        <w:widowControl/>
        <w:spacing w:before="100" w:beforeAutospacing="1" w:after="100" w:afterAutospacing="1" w:line="360" w:lineRule="auto"/>
        <w:jc w:val="center"/>
        <w:rPr>
          <w:rFonts w:ascii="宋体" w:hAnsi="宋体"/>
          <w:b/>
          <w:bCs/>
          <w:color w:val="000000"/>
          <w:sz w:val="36"/>
          <w:szCs w:val="36"/>
        </w:rPr>
      </w:pPr>
    </w:p>
    <w:p>
      <w:pPr>
        <w:widowControl/>
        <w:spacing w:before="100" w:beforeAutospacing="1" w:after="100" w:afterAutospacing="1" w:line="360" w:lineRule="auto"/>
        <w:jc w:val="center"/>
        <w:rPr>
          <w:rFonts w:ascii="宋体" w:hAnsi="宋体"/>
          <w:b/>
          <w:bCs/>
          <w:color w:val="000000"/>
          <w:sz w:val="36"/>
          <w:szCs w:val="36"/>
        </w:rPr>
      </w:pPr>
    </w:p>
    <w:p/>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cs="黑体" w:asciiTheme="minorEastAsia" w:hAnsiTheme="minorEastAsia"/>
          <w:b/>
          <w:bCs/>
          <w:sz w:val="44"/>
          <w:szCs w:val="44"/>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hint="eastAsia" w:cs="黑体" w:asciiTheme="minorEastAsia" w:hAnsiTheme="minorEastAsia"/>
          <w:b/>
          <w:bCs/>
          <w:sz w:val="28"/>
          <w:szCs w:val="28"/>
          <w:lang w:val="zh-CN"/>
        </w:rPr>
      </w:pPr>
    </w:p>
    <w:p>
      <w:pPr>
        <w:autoSpaceDE w:val="0"/>
        <w:autoSpaceDN w:val="0"/>
        <w:adjustRightInd w:val="0"/>
        <w:spacing w:line="360" w:lineRule="auto"/>
        <w:jc w:val="center"/>
        <w:rPr>
          <w:rFonts w:cs="黑体" w:asciiTheme="minorEastAsia" w:hAnsiTheme="minorEastAsia"/>
          <w:b/>
          <w:bCs/>
          <w:sz w:val="28"/>
          <w:szCs w:val="28"/>
          <w:lang w:val="zh-CN"/>
        </w:rPr>
      </w:pPr>
      <w:r>
        <w:rPr>
          <w:rFonts w:hint="eastAsia" w:cs="黑体" w:asciiTheme="minorEastAsia" w:hAnsiTheme="minorEastAsia"/>
          <w:b/>
          <w:bCs/>
          <w:sz w:val="28"/>
          <w:szCs w:val="28"/>
          <w:lang w:val="zh-CN"/>
        </w:rPr>
        <w:t>五、</w:t>
      </w:r>
      <w:r>
        <w:rPr>
          <w:rFonts w:cs="黑体" w:asciiTheme="minorEastAsia" w:hAnsiTheme="minorEastAsia"/>
          <w:b/>
          <w:bCs/>
          <w:sz w:val="28"/>
          <w:szCs w:val="28"/>
          <w:lang w:val="zh-CN"/>
        </w:rPr>
        <w:t>其他资料（若有）</w:t>
      </w:r>
    </w:p>
    <w:p/>
    <w:p/>
    <w:p/>
    <w:p>
      <w:pPr>
        <w:spacing w:line="360" w:lineRule="auto"/>
        <w:jc w:val="center"/>
        <w:rPr>
          <w:rFonts w:ascii="宋体" w:hAnsi="宋体"/>
          <w:b/>
          <w:bCs/>
          <w:color w:val="000000"/>
          <w:sz w:val="28"/>
          <w:szCs w:val="28"/>
        </w:rPr>
      </w:pPr>
      <w:r>
        <w:rPr>
          <w:rFonts w:ascii="宋体" w:hAnsi="宋体"/>
          <w:b/>
          <w:bCs/>
          <w:color w:val="000000"/>
          <w:sz w:val="28"/>
          <w:szCs w:val="28"/>
        </w:rPr>
        <w:t>除</w:t>
      </w:r>
      <w:r>
        <w:rPr>
          <w:rFonts w:hint="eastAsia" w:ascii="宋体" w:hAnsi="宋体"/>
          <w:b/>
          <w:bCs/>
          <w:color w:val="000000"/>
          <w:sz w:val="28"/>
          <w:szCs w:val="28"/>
        </w:rPr>
        <w:t>谈判</w:t>
      </w:r>
      <w:r>
        <w:rPr>
          <w:rFonts w:ascii="宋体" w:hAnsi="宋体"/>
          <w:b/>
          <w:bCs/>
          <w:color w:val="000000"/>
          <w:sz w:val="28"/>
          <w:szCs w:val="28"/>
        </w:rPr>
        <w:t>文件另有规定外，</w:t>
      </w:r>
      <w:r>
        <w:rPr>
          <w:rFonts w:hint="eastAsia" w:ascii="宋体" w:hAnsi="宋体"/>
          <w:b/>
          <w:bCs/>
          <w:color w:val="000000"/>
          <w:sz w:val="28"/>
          <w:szCs w:val="28"/>
        </w:rPr>
        <w:t>供应商</w:t>
      </w:r>
      <w:r>
        <w:rPr>
          <w:rFonts w:ascii="宋体" w:hAnsi="宋体"/>
          <w:b/>
          <w:bCs/>
          <w:color w:val="000000"/>
          <w:sz w:val="28"/>
          <w:szCs w:val="28"/>
        </w:rPr>
        <w:t>认为需要提交的其他证明材料或资料加盖</w:t>
      </w:r>
      <w:r>
        <w:rPr>
          <w:rFonts w:hint="eastAsia" w:ascii="宋体" w:hAnsi="宋体"/>
          <w:b/>
          <w:bCs/>
          <w:color w:val="000000"/>
          <w:sz w:val="28"/>
          <w:szCs w:val="28"/>
        </w:rPr>
        <w:t>供应商</w:t>
      </w:r>
      <w:r>
        <w:rPr>
          <w:rFonts w:ascii="宋体" w:hAnsi="宋体"/>
          <w:b/>
          <w:bCs/>
          <w:color w:val="000000"/>
          <w:sz w:val="28"/>
          <w:szCs w:val="28"/>
        </w:rPr>
        <w:t>公章后应在此项下提交。</w:t>
      </w:r>
    </w:p>
    <w:p>
      <w:pPr>
        <w:spacing w:line="360" w:lineRule="auto"/>
        <w:jc w:val="center"/>
        <w:rPr>
          <w:rFonts w:ascii="宋体" w:hAnsi="宋体"/>
          <w:b/>
          <w:bCs/>
          <w:color w:val="000000"/>
          <w:sz w:val="28"/>
          <w:szCs w:val="28"/>
        </w:rPr>
      </w:pPr>
      <w:r>
        <w:rPr>
          <w:rFonts w:ascii="宋体" w:hAnsi="宋体"/>
          <w:b/>
          <w:bCs/>
          <w:color w:val="000000"/>
          <w:sz w:val="28"/>
          <w:szCs w:val="28"/>
        </w:rPr>
        <w:t> </w:t>
      </w:r>
    </w:p>
    <w:p/>
    <w:p/>
    <w:p/>
    <w:p/>
    <w:p/>
    <w:p/>
    <w:p/>
    <w:p/>
    <w:p/>
    <w:p/>
    <w:p/>
    <w:p/>
    <w:p/>
    <w:sectPr>
      <w:footerReference r:id="rId3" w:type="default"/>
      <w:pgSz w:w="11906" w:h="16838"/>
      <w:pgMar w:top="2098" w:right="1474" w:bottom="1928"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
    <w:altName w:val="Arial"/>
    <w:panose1 w:val="020B0604020202020204"/>
    <w:charset w:val="00"/>
    <w:family w:val="decorative"/>
    <w:pitch w:val="default"/>
    <w:sig w:usb0="00000000" w:usb1="00000000" w:usb2="00000000" w:usb3="00000000" w:csb0="00000001" w:csb1="00000000"/>
  </w:font>
  <w:font w:name="微软简隶书">
    <w:altName w:val="黑体"/>
    <w:panose1 w:val="00000000000000000000"/>
    <w:charset w:val="86"/>
    <w:family w:val="auto"/>
    <w:pitch w:val="default"/>
    <w:sig w:usb0="00000000" w:usb1="00000000" w:usb2="00000010" w:usb3="00000000" w:csb0="00040000" w:csb1="00000000"/>
  </w:font>
  <w:font w:name="华文隶书">
    <w:altName w:val="微软雅黑"/>
    <w:panose1 w:val="02010800040101010101"/>
    <w:charset w:val="86"/>
    <w:family w:val="auto"/>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仿宋_GB2312">
    <w:panose1 w:val="02010609030101010101"/>
    <w:charset w:val="86"/>
    <w:family w:val="auto"/>
    <w:pitch w:val="default"/>
    <w:sig w:usb0="00000001" w:usb1="080E0000" w:usb2="00000000" w:usb3="00000000" w:csb0="00040000" w:csb1="00000000"/>
  </w:font>
  <w:font w:name="MS Mincho">
    <w:panose1 w:val="02020609040205080304"/>
    <w:charset w:val="80"/>
    <w:family w:val="modern"/>
    <w:pitch w:val="default"/>
    <w:sig w:usb0="E00002FF" w:usb1="6AC7FDFB" w:usb2="00000012" w:usb3="00000000" w:csb0="4002009F" w:csb1="DFD7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00" w:usb3="00000000" w:csb0="00000001" w:csb1="00000000"/>
  </w:font>
  <w:font w:name="ˎ̥">
    <w:altName w:val="Times New Roman"/>
    <w:panose1 w:val="00000000000000000000"/>
    <w:charset w:val="00"/>
    <w:family w:val="roman"/>
    <w:pitch w:val="default"/>
    <w:sig w:usb0="00000000" w:usb1="00000000" w:usb2="00000000" w:usb3="00000000" w:csb0="00040001" w:csb1="00000000"/>
  </w:font>
  <w:font w:name="Gulim">
    <w:panose1 w:val="020B0600000101010101"/>
    <w:charset w:val="81"/>
    <w:family w:val="auto"/>
    <w:pitch w:val="default"/>
    <w:sig w:usb0="B00002AF" w:usb1="69D77CFB" w:usb2="00000030" w:usb3="00000000" w:csb0="4008009F" w:csb1="DFD70000"/>
  </w:font>
  <w:font w:name="Tahoma">
    <w:panose1 w:val="020B0604030504040204"/>
    <w:charset w:val="00"/>
    <w:family w:val="auto"/>
    <w:pitch w:val="default"/>
    <w:sig w:usb0="E1002EFF" w:usb1="C000605B" w:usb2="00000029" w:usb3="00000000" w:csb0="200101FF" w:csb1="20280000"/>
  </w:font>
  <w:font w:name="华文楷体">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7"/>
                          </w:pPr>
                          <w:r>
                            <w:fldChar w:fldCharType="begin"/>
                          </w:r>
                          <w:r>
                            <w:instrText xml:space="preserve"> PAGE  \* MERGEFORMAT </w:instrText>
                          </w:r>
                          <w:r>
                            <w:fldChar w:fldCharType="separate"/>
                          </w:r>
                          <w:r>
                            <w:t>18</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qXm5zwAAAAUBAAAPAAAAAAAAAAEAIAAAACIAAABkcnMvZG93bnJldi54bWxQSwECFAAUAAAACACH&#10;TuJAowRVqrsBAABiAwAADgAAAAAAAAABACAAAAAeAQAAZHJzL2Uyb0RvYy54bWxQSwUGAAAAAAYA&#10;BgBZAQAASw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18</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DB5BC2"/>
    <w:multiLevelType w:val="singleLevel"/>
    <w:tmpl w:val="89DB5BC2"/>
    <w:lvl w:ilvl="0" w:tentative="0">
      <w:start w:val="2"/>
      <w:numFmt w:val="decimal"/>
      <w:suff w:val="nothing"/>
      <w:lvlText w:val="%1、"/>
      <w:lvlJc w:val="left"/>
    </w:lvl>
  </w:abstractNum>
  <w:abstractNum w:abstractNumId="1">
    <w:nsid w:val="99054E63"/>
    <w:multiLevelType w:val="singleLevel"/>
    <w:tmpl w:val="99054E63"/>
    <w:lvl w:ilvl="0" w:tentative="0">
      <w:start w:val="3"/>
      <w:numFmt w:val="chineseCounting"/>
      <w:suff w:val="nothing"/>
      <w:lvlText w:val="%1、"/>
      <w:lvlJc w:val="left"/>
      <w:rPr>
        <w:rFonts w:hint="eastAsia"/>
      </w:rPr>
    </w:lvl>
  </w:abstractNum>
  <w:abstractNum w:abstractNumId="2">
    <w:nsid w:val="CAEE52C1"/>
    <w:multiLevelType w:val="singleLevel"/>
    <w:tmpl w:val="CAEE52C1"/>
    <w:lvl w:ilvl="0" w:tentative="0">
      <w:start w:val="1"/>
      <w:numFmt w:val="decimal"/>
      <w:lvlText w:val="%1."/>
      <w:lvlJc w:val="left"/>
      <w:pPr>
        <w:tabs>
          <w:tab w:val="left" w:pos="312"/>
        </w:tabs>
      </w:pPr>
    </w:lvl>
  </w:abstractNum>
  <w:abstractNum w:abstractNumId="3">
    <w:nsid w:val="DBD26914"/>
    <w:multiLevelType w:val="singleLevel"/>
    <w:tmpl w:val="DBD26914"/>
    <w:lvl w:ilvl="0" w:tentative="0">
      <w:start w:val="1"/>
      <w:numFmt w:val="chineseCounting"/>
      <w:suff w:val="space"/>
      <w:lvlText w:val="第%1章"/>
      <w:lvlJc w:val="left"/>
      <w:rPr>
        <w:rFonts w:hint="eastAsia"/>
      </w:rPr>
    </w:lvl>
  </w:abstractNum>
  <w:abstractNum w:abstractNumId="4">
    <w:nsid w:val="DC53B67C"/>
    <w:multiLevelType w:val="singleLevel"/>
    <w:tmpl w:val="DC53B67C"/>
    <w:lvl w:ilvl="0" w:tentative="0">
      <w:start w:val="1"/>
      <w:numFmt w:val="decimal"/>
      <w:lvlText w:val="%1."/>
      <w:lvlJc w:val="left"/>
      <w:pPr>
        <w:tabs>
          <w:tab w:val="left" w:pos="312"/>
        </w:tabs>
      </w:pPr>
    </w:lvl>
  </w:abstractNum>
  <w:abstractNum w:abstractNumId="5">
    <w:nsid w:val="E28AF825"/>
    <w:multiLevelType w:val="singleLevel"/>
    <w:tmpl w:val="E28AF825"/>
    <w:lvl w:ilvl="0" w:tentative="0">
      <w:start w:val="1"/>
      <w:numFmt w:val="decimal"/>
      <w:lvlText w:val="%1."/>
      <w:lvlJc w:val="left"/>
      <w:pPr>
        <w:tabs>
          <w:tab w:val="left" w:pos="312"/>
        </w:tabs>
      </w:pPr>
    </w:lvl>
  </w:abstractNum>
  <w:abstractNum w:abstractNumId="6">
    <w:nsid w:val="00000006"/>
    <w:multiLevelType w:val="multilevel"/>
    <w:tmpl w:val="00000006"/>
    <w:lvl w:ilvl="0" w:tentative="0">
      <w:start w:val="1"/>
      <w:numFmt w:val="chineseCountingThousand"/>
      <w:pStyle w:val="3"/>
      <w:suff w:val="nothing"/>
      <w:lvlText w:val="第%1部分"/>
      <w:lvlJc w:val="center"/>
      <w:pPr>
        <w:ind w:left="-288" w:firstLine="288"/>
      </w:pPr>
      <w:rPr>
        <w:rFonts w:hint="eastAsia"/>
        <w:sz w:val="28"/>
        <w:szCs w:val="28"/>
      </w:rPr>
    </w:lvl>
    <w:lvl w:ilvl="1" w:tentative="0">
      <w:start w:val="1"/>
      <w:numFmt w:val="chineseCountingThousand"/>
      <w:pStyle w:val="4"/>
      <w:suff w:val="nothing"/>
      <w:lvlText w:val="%2、"/>
      <w:lvlJc w:val="left"/>
      <w:pPr>
        <w:ind w:left="254" w:firstLine="0"/>
      </w:pPr>
      <w:rPr>
        <w:rFonts w:hint="eastAsia" w:ascii="宋体" w:hAnsi="宋体" w:eastAsia="宋体"/>
        <w:sz w:val="21"/>
        <w:szCs w:val="24"/>
      </w:rPr>
    </w:lvl>
    <w:lvl w:ilvl="2" w:tentative="0">
      <w:start w:val="1"/>
      <w:numFmt w:val="chineseCountingThousand"/>
      <w:suff w:val="nothing"/>
      <w:lvlText w:val="(%3)"/>
      <w:lvlJc w:val="left"/>
      <w:pPr>
        <w:ind w:left="0" w:firstLine="0"/>
      </w:pPr>
      <w:rPr>
        <w:rFonts w:hint="default" w:ascii="Times New Roman" w:hAnsi="Times New Roman" w:eastAsia="宋体"/>
        <w:b/>
        <w:i w:val="0"/>
        <w:spacing w:val="0"/>
        <w:w w:val="100"/>
        <w:position w:val="0"/>
        <w:sz w:val="21"/>
        <w:szCs w:val="21"/>
      </w:rPr>
    </w:lvl>
    <w:lvl w:ilvl="3" w:tentative="0">
      <w:start w:val="1"/>
      <w:numFmt w:val="decimal"/>
      <w:pStyle w:val="6"/>
      <w:suff w:val="nothing"/>
      <w:lvlText w:val="%4、"/>
      <w:lvlJc w:val="left"/>
      <w:pPr>
        <w:ind w:left="0" w:firstLine="0"/>
      </w:pPr>
      <w:rPr>
        <w:rFonts w:hint="eastAsia"/>
      </w:rPr>
    </w:lvl>
    <w:lvl w:ilvl="4" w:tentative="0">
      <w:start w:val="1"/>
      <w:numFmt w:val="upperLetter"/>
      <w:suff w:val="nothing"/>
      <w:lvlText w:val="%5、"/>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7">
    <w:nsid w:val="0000000A"/>
    <w:multiLevelType w:val="singleLevel"/>
    <w:tmpl w:val="0000000A"/>
    <w:lvl w:ilvl="0" w:tentative="0">
      <w:start w:val="1"/>
      <w:numFmt w:val="decimal"/>
      <w:suff w:val="nothing"/>
      <w:lvlText w:val="（%1）"/>
      <w:lvlJc w:val="left"/>
    </w:lvl>
  </w:abstractNum>
  <w:abstractNum w:abstractNumId="8">
    <w:nsid w:val="0000000D"/>
    <w:multiLevelType w:val="multilevel"/>
    <w:tmpl w:val="0000000D"/>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200"/>
        </w:tabs>
        <w:ind w:left="1200" w:hanging="420"/>
      </w:pPr>
    </w:lvl>
    <w:lvl w:ilvl="2" w:tentative="0">
      <w:start w:val="1"/>
      <w:numFmt w:val="lowerRoman"/>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9">
    <w:nsid w:val="0000000F"/>
    <w:multiLevelType w:val="multilevel"/>
    <w:tmpl w:val="0000000F"/>
    <w:lvl w:ilvl="0" w:tentative="0">
      <w:start w:val="1"/>
      <w:numFmt w:val="decimal"/>
      <w:lvlText w:val="%1."/>
      <w:lvlJc w:val="left"/>
      <w:pPr>
        <w:tabs>
          <w:tab w:val="left" w:pos="425"/>
        </w:tabs>
        <w:ind w:left="425" w:hanging="425"/>
      </w:pPr>
      <w:rPr>
        <w:rFonts w:hint="eastAsia"/>
      </w:rPr>
    </w:lvl>
    <w:lvl w:ilvl="1" w:tentative="0">
      <w:start w:val="1"/>
      <w:numFmt w:val="none"/>
      <w:lvlText w:val="10.1"/>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0">
    <w:nsid w:val="00000010"/>
    <w:multiLevelType w:val="multilevel"/>
    <w:tmpl w:val="00000010"/>
    <w:lvl w:ilvl="0" w:tentative="0">
      <w:start w:val="1"/>
      <w:numFmt w:val="decimal"/>
      <w:lvlText w:val="（%1）"/>
      <w:lvlJc w:val="left"/>
      <w:pPr>
        <w:tabs>
          <w:tab w:val="left" w:pos="1260"/>
        </w:tabs>
        <w:ind w:left="1260" w:hanging="720"/>
      </w:pPr>
      <w:rPr>
        <w:rFonts w:hint="default"/>
      </w:rPr>
    </w:lvl>
    <w:lvl w:ilvl="1" w:tentative="0">
      <w:start w:val="1"/>
      <w:numFmt w:val="lowerLetter"/>
      <w:lvlText w:val="%2)"/>
      <w:lvlJc w:val="left"/>
      <w:pPr>
        <w:tabs>
          <w:tab w:val="left" w:pos="1380"/>
        </w:tabs>
        <w:ind w:left="1380" w:hanging="420"/>
      </w:pPr>
    </w:lvl>
    <w:lvl w:ilvl="2" w:tentative="0">
      <w:start w:val="1"/>
      <w:numFmt w:val="lowerRoman"/>
      <w:lvlText w:val="%3."/>
      <w:lvlJc w:val="right"/>
      <w:pPr>
        <w:tabs>
          <w:tab w:val="left" w:pos="1800"/>
        </w:tabs>
        <w:ind w:left="1800" w:hanging="420"/>
      </w:p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abstractNum w:abstractNumId="11">
    <w:nsid w:val="00000011"/>
    <w:multiLevelType w:val="multilevel"/>
    <w:tmpl w:val="00000011"/>
    <w:lvl w:ilvl="0" w:tentative="0">
      <w:start w:val="1"/>
      <w:numFmt w:val="decimal"/>
      <w:lvlText w:val="%1、"/>
      <w:lvlJc w:val="left"/>
      <w:pPr>
        <w:tabs>
          <w:tab w:val="left" w:pos="720"/>
        </w:tabs>
        <w:ind w:left="720" w:hanging="720"/>
      </w:pPr>
      <w:rPr>
        <w:rFonts w:hint="eastAsia"/>
      </w:rPr>
    </w:lvl>
    <w:lvl w:ilvl="1" w:tentative="0">
      <w:start w:val="1"/>
      <w:numFmt w:val="decimal"/>
      <w:lvlText w:val="%2、"/>
      <w:lvlJc w:val="left"/>
      <w:pPr>
        <w:tabs>
          <w:tab w:val="left" w:pos="720"/>
        </w:tabs>
        <w:ind w:left="720" w:hanging="720"/>
      </w:pPr>
      <w:rPr>
        <w:rFonts w:hint="eastAsia"/>
      </w:rPr>
    </w:lvl>
    <w:lvl w:ilvl="2" w:tentative="0">
      <w:start w:val="1"/>
      <w:numFmt w:val="decimal"/>
      <w:lvlText w:val="（%3）"/>
      <w:lvlJc w:val="left"/>
      <w:pPr>
        <w:tabs>
          <w:tab w:val="left" w:pos="1140"/>
        </w:tabs>
        <w:ind w:left="1140" w:hanging="720"/>
      </w:pPr>
      <w:rPr>
        <w:rFonts w:hint="eastAsia"/>
      </w:rPr>
    </w:lvl>
    <w:lvl w:ilvl="3" w:tentative="0">
      <w:start w:val="1"/>
      <w:numFmt w:val="decimal"/>
      <w:lvlText w:val="%4."/>
      <w:lvlJc w:val="left"/>
      <w:pPr>
        <w:tabs>
          <w:tab w:val="left" w:pos="1260"/>
        </w:tabs>
        <w:ind w:left="1260" w:hanging="420"/>
      </w:pPr>
    </w:lvl>
    <w:lvl w:ilvl="4" w:tentative="0">
      <w:start w:val="1"/>
      <w:numFmt w:val="lowerLetter"/>
      <w:lvlText w:val="%5)"/>
      <w:lvlJc w:val="left"/>
      <w:pPr>
        <w:tabs>
          <w:tab w:val="left" w:pos="1680"/>
        </w:tabs>
        <w:ind w:left="1680" w:hanging="420"/>
      </w:pPr>
    </w:lvl>
    <w:lvl w:ilvl="5" w:tentative="0">
      <w:start w:val="1"/>
      <w:numFmt w:val="lowerRoman"/>
      <w:lvlText w:val="%6."/>
      <w:lvlJc w:val="right"/>
      <w:pPr>
        <w:tabs>
          <w:tab w:val="left" w:pos="2100"/>
        </w:tabs>
        <w:ind w:left="2100" w:hanging="420"/>
      </w:pPr>
    </w:lvl>
    <w:lvl w:ilvl="6" w:tentative="0">
      <w:start w:val="1"/>
      <w:numFmt w:val="decimal"/>
      <w:lvlText w:val="%7."/>
      <w:lvlJc w:val="left"/>
      <w:pPr>
        <w:tabs>
          <w:tab w:val="left" w:pos="2520"/>
        </w:tabs>
        <w:ind w:left="2520" w:hanging="420"/>
      </w:pPr>
    </w:lvl>
    <w:lvl w:ilvl="7" w:tentative="0">
      <w:start w:val="1"/>
      <w:numFmt w:val="lowerLetter"/>
      <w:lvlText w:val="%8)"/>
      <w:lvlJc w:val="left"/>
      <w:pPr>
        <w:tabs>
          <w:tab w:val="left" w:pos="2940"/>
        </w:tabs>
        <w:ind w:left="2940" w:hanging="420"/>
      </w:pPr>
    </w:lvl>
    <w:lvl w:ilvl="8" w:tentative="0">
      <w:start w:val="1"/>
      <w:numFmt w:val="lowerRoman"/>
      <w:lvlText w:val="%9."/>
      <w:lvlJc w:val="right"/>
      <w:pPr>
        <w:tabs>
          <w:tab w:val="left" w:pos="3360"/>
        </w:tabs>
        <w:ind w:left="3360" w:hanging="420"/>
      </w:pPr>
    </w:lvl>
  </w:abstractNum>
  <w:abstractNum w:abstractNumId="12">
    <w:nsid w:val="00000013"/>
    <w:multiLevelType w:val="singleLevel"/>
    <w:tmpl w:val="00000013"/>
    <w:lvl w:ilvl="0" w:tentative="0">
      <w:start w:val="17"/>
      <w:numFmt w:val="decimal"/>
      <w:suff w:val="nothing"/>
      <w:lvlText w:val="%1、"/>
      <w:lvlJc w:val="left"/>
    </w:lvl>
  </w:abstractNum>
  <w:abstractNum w:abstractNumId="13">
    <w:nsid w:val="00000014"/>
    <w:multiLevelType w:val="multilevel"/>
    <w:tmpl w:val="00000014"/>
    <w:lvl w:ilvl="0" w:tentative="0">
      <w:start w:val="1"/>
      <w:numFmt w:val="decimal"/>
      <w:pStyle w:val="51"/>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ascii="宋体" w:hAnsi="宋体" w:eastAsia="宋体"/>
        <w:b w:val="0"/>
        <w:color w:val="auto"/>
        <w:sz w:val="21"/>
        <w:szCs w:val="21"/>
      </w:rPr>
    </w:lvl>
    <w:lvl w:ilvl="2" w:tentative="0">
      <w:start w:val="1"/>
      <w:numFmt w:val="decimal"/>
      <w:lvlText w:val="%1.%2.%3."/>
      <w:lvlJc w:val="left"/>
      <w:pPr>
        <w:tabs>
          <w:tab w:val="left" w:pos="425"/>
        </w:tabs>
        <w:ind w:left="425" w:hanging="425"/>
      </w:pPr>
      <w:rPr>
        <w:rFonts w:hint="eastAsia"/>
        <w:sz w:val="21"/>
        <w:szCs w:val="21"/>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4">
    <w:nsid w:val="05EFCDC2"/>
    <w:multiLevelType w:val="singleLevel"/>
    <w:tmpl w:val="05EFCDC2"/>
    <w:lvl w:ilvl="0" w:tentative="0">
      <w:start w:val="6"/>
      <w:numFmt w:val="chineseCounting"/>
      <w:suff w:val="nothing"/>
      <w:lvlText w:val="%1、"/>
      <w:lvlJc w:val="left"/>
      <w:rPr>
        <w:rFonts w:hint="eastAsia"/>
      </w:rPr>
    </w:lvl>
  </w:abstractNum>
  <w:abstractNum w:abstractNumId="15">
    <w:nsid w:val="06F5198E"/>
    <w:multiLevelType w:val="multilevel"/>
    <w:tmpl w:val="06F5198E"/>
    <w:lvl w:ilvl="0" w:tentative="0">
      <w:start w:val="11"/>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AF92C7A"/>
    <w:multiLevelType w:val="multilevel"/>
    <w:tmpl w:val="0AF92C7A"/>
    <w:lvl w:ilvl="0" w:tentative="0">
      <w:start w:val="26"/>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0FD46054"/>
    <w:multiLevelType w:val="multilevel"/>
    <w:tmpl w:val="0FD46054"/>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12655F48"/>
    <w:multiLevelType w:val="multilevel"/>
    <w:tmpl w:val="12655F48"/>
    <w:lvl w:ilvl="0" w:tentative="0">
      <w:start w:val="31"/>
      <w:numFmt w:val="decimal"/>
      <w:lvlText w:val="%1."/>
      <w:lvlJc w:val="left"/>
      <w:pPr>
        <w:ind w:left="420" w:hanging="420"/>
      </w:pPr>
      <w:rPr>
        <w:rFonts w:hint="eastAsia"/>
      </w:rPr>
    </w:lvl>
    <w:lvl w:ilvl="1" w:tentative="0">
      <w:start w:val="2"/>
      <w:numFmt w:val="decimal"/>
      <w:isLgl/>
      <w:lvlText w:val="%1.%2"/>
      <w:lvlJc w:val="left"/>
      <w:pPr>
        <w:ind w:left="964" w:hanging="544"/>
      </w:pPr>
      <w:rPr>
        <w:rFonts w:hint="default" w:eastAsia="宋体" w:asciiTheme="minorEastAsia" w:hAnsiTheme="minorEastAsia"/>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19">
    <w:nsid w:val="14DF6468"/>
    <w:multiLevelType w:val="multilevel"/>
    <w:tmpl w:val="14DF6468"/>
    <w:lvl w:ilvl="0" w:tentative="0">
      <w:start w:val="25"/>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18F52A52"/>
    <w:multiLevelType w:val="multilevel"/>
    <w:tmpl w:val="18F52A52"/>
    <w:lvl w:ilvl="0" w:tentative="0">
      <w:start w:val="9"/>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1E3D4831"/>
    <w:multiLevelType w:val="multilevel"/>
    <w:tmpl w:val="1E3D4831"/>
    <w:lvl w:ilvl="0" w:tentative="0">
      <w:start w:val="21"/>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214802C3"/>
    <w:multiLevelType w:val="multilevel"/>
    <w:tmpl w:val="214802C3"/>
    <w:lvl w:ilvl="0" w:tentative="0">
      <w:start w:val="1"/>
      <w:numFmt w:val="decimal"/>
      <w:lvlText w:val="%1."/>
      <w:lvlJc w:val="left"/>
      <w:pPr>
        <w:ind w:left="420" w:hanging="420"/>
      </w:pPr>
      <w:rPr>
        <w:rFonts w:hint="eastAsia"/>
      </w:rPr>
    </w:lvl>
    <w:lvl w:ilvl="1" w:tentative="0">
      <w:start w:val="2"/>
      <w:numFmt w:val="decimal"/>
      <w:isLgl/>
      <w:lvlText w:val="%1.%2"/>
      <w:lvlJc w:val="left"/>
      <w:pPr>
        <w:ind w:left="964" w:hanging="544"/>
      </w:pPr>
      <w:rPr>
        <w:rFonts w:hint="default"/>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23">
    <w:nsid w:val="245B7142"/>
    <w:multiLevelType w:val="multilevel"/>
    <w:tmpl w:val="245B7142"/>
    <w:lvl w:ilvl="0" w:tentative="0">
      <w:start w:val="23"/>
      <w:numFmt w:val="decimal"/>
      <w:lvlText w:val="%1."/>
      <w:lvlJc w:val="left"/>
      <w:pPr>
        <w:ind w:left="420" w:hanging="420"/>
      </w:pPr>
      <w:rPr>
        <w:rFonts w:hint="eastAsia"/>
      </w:rPr>
    </w:lvl>
    <w:lvl w:ilvl="1" w:tentative="0">
      <w:start w:val="1"/>
      <w:numFmt w:val="decimal"/>
      <w:isLgl/>
      <w:lvlText w:val="%1.%2"/>
      <w:lvlJc w:val="left"/>
      <w:pPr>
        <w:ind w:left="964" w:hanging="544"/>
      </w:pPr>
      <w:rPr>
        <w:rFonts w:hint="default" w:asciiTheme="minorEastAsia" w:hAnsiTheme="minorEastAsia" w:eastAsiaTheme="minorEastAsia"/>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24">
    <w:nsid w:val="3E114617"/>
    <w:multiLevelType w:val="multilevel"/>
    <w:tmpl w:val="3E114617"/>
    <w:lvl w:ilvl="0" w:tentative="0">
      <w:start w:val="31"/>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59F817E8"/>
    <w:multiLevelType w:val="singleLevel"/>
    <w:tmpl w:val="59F817E8"/>
    <w:lvl w:ilvl="0" w:tentative="0">
      <w:start w:val="1"/>
      <w:numFmt w:val="chineseCounting"/>
      <w:pStyle w:val="55"/>
      <w:suff w:val="nothing"/>
      <w:lvlText w:val="%1、"/>
      <w:lvlJc w:val="left"/>
    </w:lvl>
  </w:abstractNum>
  <w:abstractNum w:abstractNumId="26">
    <w:nsid w:val="5A051E9E"/>
    <w:multiLevelType w:val="singleLevel"/>
    <w:tmpl w:val="5A051E9E"/>
    <w:lvl w:ilvl="0" w:tentative="0">
      <w:start w:val="1"/>
      <w:numFmt w:val="chineseCounting"/>
      <w:suff w:val="nothing"/>
      <w:lvlText w:val="%1、"/>
      <w:lvlJc w:val="left"/>
    </w:lvl>
  </w:abstractNum>
  <w:abstractNum w:abstractNumId="27">
    <w:nsid w:val="6A7B4455"/>
    <w:multiLevelType w:val="multilevel"/>
    <w:tmpl w:val="6A7B4455"/>
    <w:lvl w:ilvl="0" w:tentative="0">
      <w:start w:val="1"/>
      <w:numFmt w:val="decimal"/>
      <w:lvlText w:val="%1.1 "/>
      <w:lvlJc w:val="left"/>
      <w:pPr>
        <w:ind w:left="964" w:hanging="544"/>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8">
    <w:nsid w:val="6AAE699A"/>
    <w:multiLevelType w:val="multilevel"/>
    <w:tmpl w:val="6AAE699A"/>
    <w:lvl w:ilvl="0" w:tentative="0">
      <w:start w:val="1"/>
      <w:numFmt w:val="decimal"/>
      <w:lvlText w:val="%1.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74123228"/>
    <w:multiLevelType w:val="multilevel"/>
    <w:tmpl w:val="74123228"/>
    <w:lvl w:ilvl="0" w:tentative="0">
      <w:start w:val="33"/>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754E4703"/>
    <w:multiLevelType w:val="singleLevel"/>
    <w:tmpl w:val="754E4703"/>
    <w:lvl w:ilvl="0" w:tentative="0">
      <w:start w:val="1"/>
      <w:numFmt w:val="chineseCounting"/>
      <w:suff w:val="nothing"/>
      <w:lvlText w:val="%1、"/>
      <w:lvlJc w:val="left"/>
      <w:rPr>
        <w:rFonts w:hint="eastAsia"/>
      </w:rPr>
    </w:lvl>
  </w:abstractNum>
  <w:abstractNum w:abstractNumId="31">
    <w:nsid w:val="7D5C114A"/>
    <w:multiLevelType w:val="multilevel"/>
    <w:tmpl w:val="7D5C114A"/>
    <w:lvl w:ilvl="0" w:tentative="0">
      <w:start w:val="24"/>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7D767924"/>
    <w:multiLevelType w:val="multilevel"/>
    <w:tmpl w:val="7D767924"/>
    <w:lvl w:ilvl="0" w:tentative="0">
      <w:start w:val="34"/>
      <w:numFmt w:val="decimal"/>
      <w:lvlText w:val="%1.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13"/>
  </w:num>
  <w:num w:numId="3">
    <w:abstractNumId w:val="25"/>
  </w:num>
  <w:num w:numId="4">
    <w:abstractNumId w:val="3"/>
  </w:num>
  <w:num w:numId="5">
    <w:abstractNumId w:val="26"/>
  </w:num>
  <w:num w:numId="6">
    <w:abstractNumId w:val="30"/>
  </w:num>
  <w:num w:numId="7">
    <w:abstractNumId w:val="4"/>
  </w:num>
  <w:num w:numId="8">
    <w:abstractNumId w:val="2"/>
  </w:num>
  <w:num w:numId="9">
    <w:abstractNumId w:val="5"/>
  </w:num>
  <w:num w:numId="10">
    <w:abstractNumId w:val="0"/>
  </w:num>
  <w:num w:numId="11">
    <w:abstractNumId w:val="22"/>
  </w:num>
  <w:num w:numId="12">
    <w:abstractNumId w:val="27"/>
  </w:num>
  <w:num w:numId="13">
    <w:abstractNumId w:val="20"/>
  </w:num>
  <w:num w:numId="14">
    <w:abstractNumId w:val="15"/>
  </w:num>
  <w:num w:numId="15">
    <w:abstractNumId w:val="21"/>
  </w:num>
  <w:num w:numId="16">
    <w:abstractNumId w:val="23"/>
  </w:num>
  <w:num w:numId="17">
    <w:abstractNumId w:val="31"/>
  </w:num>
  <w:num w:numId="18">
    <w:abstractNumId w:val="19"/>
  </w:num>
  <w:num w:numId="19">
    <w:abstractNumId w:val="16"/>
  </w:num>
  <w:num w:numId="20">
    <w:abstractNumId w:val="28"/>
  </w:num>
  <w:num w:numId="21">
    <w:abstractNumId w:val="14"/>
  </w:num>
  <w:num w:numId="22">
    <w:abstractNumId w:val="24"/>
  </w:num>
  <w:num w:numId="23">
    <w:abstractNumId w:val="18"/>
  </w:num>
  <w:num w:numId="24">
    <w:abstractNumId w:val="29"/>
  </w:num>
  <w:num w:numId="25">
    <w:abstractNumId w:val="32"/>
  </w:num>
  <w:num w:numId="26">
    <w:abstractNumId w:val="1"/>
  </w:num>
  <w:num w:numId="27">
    <w:abstractNumId w:val="8"/>
  </w:num>
  <w:num w:numId="28">
    <w:abstractNumId w:val="12"/>
  </w:num>
  <w:num w:numId="29">
    <w:abstractNumId w:val="9"/>
  </w:num>
  <w:num w:numId="30">
    <w:abstractNumId w:val="11"/>
  </w:num>
  <w:num w:numId="31">
    <w:abstractNumId w:val="7"/>
  </w:num>
  <w:num w:numId="32">
    <w:abstractNumId w:val="10"/>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389"/>
    <w:rsid w:val="00001AAB"/>
    <w:rsid w:val="0000220B"/>
    <w:rsid w:val="000028B5"/>
    <w:rsid w:val="00003C00"/>
    <w:rsid w:val="00003D13"/>
    <w:rsid w:val="00006D15"/>
    <w:rsid w:val="00010A8E"/>
    <w:rsid w:val="00010FAB"/>
    <w:rsid w:val="000159BD"/>
    <w:rsid w:val="00015CB5"/>
    <w:rsid w:val="0001677B"/>
    <w:rsid w:val="00016ECB"/>
    <w:rsid w:val="00020755"/>
    <w:rsid w:val="00025E45"/>
    <w:rsid w:val="0003056A"/>
    <w:rsid w:val="000311FB"/>
    <w:rsid w:val="000327E2"/>
    <w:rsid w:val="000328B5"/>
    <w:rsid w:val="00032AF5"/>
    <w:rsid w:val="0003398D"/>
    <w:rsid w:val="0003470E"/>
    <w:rsid w:val="00034E53"/>
    <w:rsid w:val="0003556C"/>
    <w:rsid w:val="0003677A"/>
    <w:rsid w:val="000400E2"/>
    <w:rsid w:val="00040A19"/>
    <w:rsid w:val="00040F65"/>
    <w:rsid w:val="0004289A"/>
    <w:rsid w:val="00043FBC"/>
    <w:rsid w:val="000463C9"/>
    <w:rsid w:val="00047B44"/>
    <w:rsid w:val="00052D94"/>
    <w:rsid w:val="000530F0"/>
    <w:rsid w:val="000609FD"/>
    <w:rsid w:val="00061CC7"/>
    <w:rsid w:val="00063640"/>
    <w:rsid w:val="0007075F"/>
    <w:rsid w:val="00073DCF"/>
    <w:rsid w:val="00075875"/>
    <w:rsid w:val="000763D3"/>
    <w:rsid w:val="00077FF3"/>
    <w:rsid w:val="0008053A"/>
    <w:rsid w:val="00082C6E"/>
    <w:rsid w:val="00086DE9"/>
    <w:rsid w:val="00091C3D"/>
    <w:rsid w:val="00092652"/>
    <w:rsid w:val="00092FDB"/>
    <w:rsid w:val="000936D5"/>
    <w:rsid w:val="000939A1"/>
    <w:rsid w:val="00093BD2"/>
    <w:rsid w:val="00094806"/>
    <w:rsid w:val="00094A72"/>
    <w:rsid w:val="00097E57"/>
    <w:rsid w:val="000A2375"/>
    <w:rsid w:val="000A3042"/>
    <w:rsid w:val="000A6DB7"/>
    <w:rsid w:val="000B04D4"/>
    <w:rsid w:val="000B4684"/>
    <w:rsid w:val="000B59E9"/>
    <w:rsid w:val="000B74CC"/>
    <w:rsid w:val="000B7BA2"/>
    <w:rsid w:val="000C05E8"/>
    <w:rsid w:val="000C127F"/>
    <w:rsid w:val="000C2771"/>
    <w:rsid w:val="000C2E49"/>
    <w:rsid w:val="000C393F"/>
    <w:rsid w:val="000C5582"/>
    <w:rsid w:val="000C57C8"/>
    <w:rsid w:val="000C6651"/>
    <w:rsid w:val="000C6CC0"/>
    <w:rsid w:val="000C6E80"/>
    <w:rsid w:val="000D581B"/>
    <w:rsid w:val="000D74F9"/>
    <w:rsid w:val="000D7DD7"/>
    <w:rsid w:val="000E0A3C"/>
    <w:rsid w:val="000E263E"/>
    <w:rsid w:val="000E264F"/>
    <w:rsid w:val="000E3E48"/>
    <w:rsid w:val="000E4F3B"/>
    <w:rsid w:val="000F5266"/>
    <w:rsid w:val="000F7B6E"/>
    <w:rsid w:val="001008C2"/>
    <w:rsid w:val="00104301"/>
    <w:rsid w:val="001052E3"/>
    <w:rsid w:val="00110C26"/>
    <w:rsid w:val="00111A8C"/>
    <w:rsid w:val="00111C75"/>
    <w:rsid w:val="0011232C"/>
    <w:rsid w:val="0011325E"/>
    <w:rsid w:val="0011409A"/>
    <w:rsid w:val="00116DCD"/>
    <w:rsid w:val="00117D5D"/>
    <w:rsid w:val="001219B2"/>
    <w:rsid w:val="00122334"/>
    <w:rsid w:val="001236C4"/>
    <w:rsid w:val="00124CC1"/>
    <w:rsid w:val="001262C8"/>
    <w:rsid w:val="00126FB1"/>
    <w:rsid w:val="001276EF"/>
    <w:rsid w:val="00131FB7"/>
    <w:rsid w:val="00134C9E"/>
    <w:rsid w:val="00137DCA"/>
    <w:rsid w:val="00140426"/>
    <w:rsid w:val="00141B3F"/>
    <w:rsid w:val="00143A14"/>
    <w:rsid w:val="00147B7D"/>
    <w:rsid w:val="0015508F"/>
    <w:rsid w:val="00155287"/>
    <w:rsid w:val="001624C8"/>
    <w:rsid w:val="00163CBE"/>
    <w:rsid w:val="001645B9"/>
    <w:rsid w:val="001645C1"/>
    <w:rsid w:val="00165060"/>
    <w:rsid w:val="001650BA"/>
    <w:rsid w:val="0016721F"/>
    <w:rsid w:val="00170D72"/>
    <w:rsid w:val="00175D7E"/>
    <w:rsid w:val="00177313"/>
    <w:rsid w:val="00177750"/>
    <w:rsid w:val="001829C2"/>
    <w:rsid w:val="00183EF7"/>
    <w:rsid w:val="00184640"/>
    <w:rsid w:val="001858DD"/>
    <w:rsid w:val="00185C2F"/>
    <w:rsid w:val="00185ECD"/>
    <w:rsid w:val="00185F40"/>
    <w:rsid w:val="0018761C"/>
    <w:rsid w:val="001948F5"/>
    <w:rsid w:val="00195BD1"/>
    <w:rsid w:val="00195D1B"/>
    <w:rsid w:val="001977EA"/>
    <w:rsid w:val="001A00BA"/>
    <w:rsid w:val="001A0EDB"/>
    <w:rsid w:val="001A2150"/>
    <w:rsid w:val="001A4C92"/>
    <w:rsid w:val="001A70C2"/>
    <w:rsid w:val="001B2541"/>
    <w:rsid w:val="001B41AD"/>
    <w:rsid w:val="001B4E29"/>
    <w:rsid w:val="001B7057"/>
    <w:rsid w:val="001B7C18"/>
    <w:rsid w:val="001C0DE9"/>
    <w:rsid w:val="001C0F1B"/>
    <w:rsid w:val="001C10C9"/>
    <w:rsid w:val="001C309B"/>
    <w:rsid w:val="001C5048"/>
    <w:rsid w:val="001C6C61"/>
    <w:rsid w:val="001C73E4"/>
    <w:rsid w:val="001C7D64"/>
    <w:rsid w:val="001D0B78"/>
    <w:rsid w:val="001D357E"/>
    <w:rsid w:val="001D46FE"/>
    <w:rsid w:val="001D6E54"/>
    <w:rsid w:val="001E1B0A"/>
    <w:rsid w:val="001E407F"/>
    <w:rsid w:val="001E66A5"/>
    <w:rsid w:val="001E6C54"/>
    <w:rsid w:val="001E78EA"/>
    <w:rsid w:val="001F121D"/>
    <w:rsid w:val="001F202D"/>
    <w:rsid w:val="001F22AA"/>
    <w:rsid w:val="001F3326"/>
    <w:rsid w:val="001F375B"/>
    <w:rsid w:val="001F3AFD"/>
    <w:rsid w:val="001F4319"/>
    <w:rsid w:val="001F4B20"/>
    <w:rsid w:val="001F7E43"/>
    <w:rsid w:val="002026FE"/>
    <w:rsid w:val="00210D73"/>
    <w:rsid w:val="002121A9"/>
    <w:rsid w:val="00212788"/>
    <w:rsid w:val="00216728"/>
    <w:rsid w:val="00217EDF"/>
    <w:rsid w:val="002232E0"/>
    <w:rsid w:val="002237C7"/>
    <w:rsid w:val="00223E42"/>
    <w:rsid w:val="002274E5"/>
    <w:rsid w:val="0023037F"/>
    <w:rsid w:val="00235E0B"/>
    <w:rsid w:val="00237179"/>
    <w:rsid w:val="00237336"/>
    <w:rsid w:val="00243B01"/>
    <w:rsid w:val="00245322"/>
    <w:rsid w:val="00247570"/>
    <w:rsid w:val="00247938"/>
    <w:rsid w:val="00252EA6"/>
    <w:rsid w:val="002533E9"/>
    <w:rsid w:val="0025544A"/>
    <w:rsid w:val="002567BE"/>
    <w:rsid w:val="00257257"/>
    <w:rsid w:val="00257C33"/>
    <w:rsid w:val="00261A16"/>
    <w:rsid w:val="00263C0C"/>
    <w:rsid w:val="00264FDB"/>
    <w:rsid w:val="0026501C"/>
    <w:rsid w:val="00266A53"/>
    <w:rsid w:val="00266F38"/>
    <w:rsid w:val="002704F0"/>
    <w:rsid w:val="00272AE2"/>
    <w:rsid w:val="00273414"/>
    <w:rsid w:val="00273F1D"/>
    <w:rsid w:val="0027728C"/>
    <w:rsid w:val="002804A3"/>
    <w:rsid w:val="00281155"/>
    <w:rsid w:val="00281AD7"/>
    <w:rsid w:val="00282790"/>
    <w:rsid w:val="00285231"/>
    <w:rsid w:val="002907E6"/>
    <w:rsid w:val="00296074"/>
    <w:rsid w:val="002969B1"/>
    <w:rsid w:val="002A00B7"/>
    <w:rsid w:val="002A0347"/>
    <w:rsid w:val="002A0C31"/>
    <w:rsid w:val="002A2062"/>
    <w:rsid w:val="002A7921"/>
    <w:rsid w:val="002B2BE8"/>
    <w:rsid w:val="002B3C48"/>
    <w:rsid w:val="002B51C1"/>
    <w:rsid w:val="002B737D"/>
    <w:rsid w:val="002B75C6"/>
    <w:rsid w:val="002C12C3"/>
    <w:rsid w:val="002C3CC2"/>
    <w:rsid w:val="002C78F6"/>
    <w:rsid w:val="002D0D13"/>
    <w:rsid w:val="002D11F7"/>
    <w:rsid w:val="002D6B1C"/>
    <w:rsid w:val="002E1FAE"/>
    <w:rsid w:val="002E3055"/>
    <w:rsid w:val="002E60F6"/>
    <w:rsid w:val="002E744B"/>
    <w:rsid w:val="002F06BA"/>
    <w:rsid w:val="002F7C32"/>
    <w:rsid w:val="00302A87"/>
    <w:rsid w:val="0030425C"/>
    <w:rsid w:val="0030587D"/>
    <w:rsid w:val="003067AE"/>
    <w:rsid w:val="0031527C"/>
    <w:rsid w:val="00316537"/>
    <w:rsid w:val="00316973"/>
    <w:rsid w:val="00316D67"/>
    <w:rsid w:val="00317177"/>
    <w:rsid w:val="0032071E"/>
    <w:rsid w:val="00320855"/>
    <w:rsid w:val="00322774"/>
    <w:rsid w:val="00332254"/>
    <w:rsid w:val="00333113"/>
    <w:rsid w:val="00333AAE"/>
    <w:rsid w:val="00334874"/>
    <w:rsid w:val="00335C32"/>
    <w:rsid w:val="00336815"/>
    <w:rsid w:val="00337D9B"/>
    <w:rsid w:val="00341BE1"/>
    <w:rsid w:val="00345108"/>
    <w:rsid w:val="00345B36"/>
    <w:rsid w:val="00345E09"/>
    <w:rsid w:val="00350E1D"/>
    <w:rsid w:val="0035386D"/>
    <w:rsid w:val="00354B6F"/>
    <w:rsid w:val="00354DF6"/>
    <w:rsid w:val="00356510"/>
    <w:rsid w:val="00360DAD"/>
    <w:rsid w:val="003620CD"/>
    <w:rsid w:val="00362359"/>
    <w:rsid w:val="003650E5"/>
    <w:rsid w:val="00365286"/>
    <w:rsid w:val="00365BDD"/>
    <w:rsid w:val="00366838"/>
    <w:rsid w:val="003708B7"/>
    <w:rsid w:val="00370DFF"/>
    <w:rsid w:val="00372753"/>
    <w:rsid w:val="00373F74"/>
    <w:rsid w:val="00376F8E"/>
    <w:rsid w:val="0037723D"/>
    <w:rsid w:val="00380000"/>
    <w:rsid w:val="0038108B"/>
    <w:rsid w:val="003826A1"/>
    <w:rsid w:val="00383277"/>
    <w:rsid w:val="00383FA4"/>
    <w:rsid w:val="00383FF4"/>
    <w:rsid w:val="00390340"/>
    <w:rsid w:val="0039051F"/>
    <w:rsid w:val="00391CDE"/>
    <w:rsid w:val="00394229"/>
    <w:rsid w:val="00395FCE"/>
    <w:rsid w:val="00397761"/>
    <w:rsid w:val="003A02F1"/>
    <w:rsid w:val="003A14F9"/>
    <w:rsid w:val="003A2823"/>
    <w:rsid w:val="003A3878"/>
    <w:rsid w:val="003A4C56"/>
    <w:rsid w:val="003B5BE5"/>
    <w:rsid w:val="003B7DDB"/>
    <w:rsid w:val="003C013E"/>
    <w:rsid w:val="003C1A3D"/>
    <w:rsid w:val="003C3022"/>
    <w:rsid w:val="003C570D"/>
    <w:rsid w:val="003C669F"/>
    <w:rsid w:val="003C76DE"/>
    <w:rsid w:val="003D2326"/>
    <w:rsid w:val="003D2A39"/>
    <w:rsid w:val="003D400D"/>
    <w:rsid w:val="003D61F3"/>
    <w:rsid w:val="003D6EA0"/>
    <w:rsid w:val="003E05ED"/>
    <w:rsid w:val="003E0EF9"/>
    <w:rsid w:val="003E4CE5"/>
    <w:rsid w:val="003E5BA1"/>
    <w:rsid w:val="003E5D20"/>
    <w:rsid w:val="003E7330"/>
    <w:rsid w:val="003E7F48"/>
    <w:rsid w:val="003F0137"/>
    <w:rsid w:val="003F11AD"/>
    <w:rsid w:val="003F2076"/>
    <w:rsid w:val="003F635C"/>
    <w:rsid w:val="003F758F"/>
    <w:rsid w:val="00400336"/>
    <w:rsid w:val="00402250"/>
    <w:rsid w:val="004037DB"/>
    <w:rsid w:val="00403A82"/>
    <w:rsid w:val="004040EC"/>
    <w:rsid w:val="00405309"/>
    <w:rsid w:val="00405C0B"/>
    <w:rsid w:val="00410A25"/>
    <w:rsid w:val="004117D0"/>
    <w:rsid w:val="00411D64"/>
    <w:rsid w:val="00414D08"/>
    <w:rsid w:val="00416D0E"/>
    <w:rsid w:val="004179D8"/>
    <w:rsid w:val="00420293"/>
    <w:rsid w:val="004224AA"/>
    <w:rsid w:val="00423593"/>
    <w:rsid w:val="00427171"/>
    <w:rsid w:val="00431563"/>
    <w:rsid w:val="00431A4E"/>
    <w:rsid w:val="00431F06"/>
    <w:rsid w:val="0043314E"/>
    <w:rsid w:val="00435633"/>
    <w:rsid w:val="00436C3E"/>
    <w:rsid w:val="0043706F"/>
    <w:rsid w:val="004370BD"/>
    <w:rsid w:val="0044639D"/>
    <w:rsid w:val="004471CC"/>
    <w:rsid w:val="00447728"/>
    <w:rsid w:val="00447DB3"/>
    <w:rsid w:val="00450B7E"/>
    <w:rsid w:val="004511E4"/>
    <w:rsid w:val="00452FF0"/>
    <w:rsid w:val="00453B62"/>
    <w:rsid w:val="00454B40"/>
    <w:rsid w:val="00460FA6"/>
    <w:rsid w:val="00461772"/>
    <w:rsid w:val="0046214B"/>
    <w:rsid w:val="0046220D"/>
    <w:rsid w:val="004661DD"/>
    <w:rsid w:val="004661DE"/>
    <w:rsid w:val="00467546"/>
    <w:rsid w:val="004675C8"/>
    <w:rsid w:val="004676F5"/>
    <w:rsid w:val="004713E9"/>
    <w:rsid w:val="00472D4C"/>
    <w:rsid w:val="00475975"/>
    <w:rsid w:val="00475BC1"/>
    <w:rsid w:val="00477E2A"/>
    <w:rsid w:val="00483BBC"/>
    <w:rsid w:val="00486B9D"/>
    <w:rsid w:val="00490683"/>
    <w:rsid w:val="004931C7"/>
    <w:rsid w:val="00495F9F"/>
    <w:rsid w:val="004A1281"/>
    <w:rsid w:val="004A1CD2"/>
    <w:rsid w:val="004A2AE5"/>
    <w:rsid w:val="004A352D"/>
    <w:rsid w:val="004A35BF"/>
    <w:rsid w:val="004A3D12"/>
    <w:rsid w:val="004A57DB"/>
    <w:rsid w:val="004A65D0"/>
    <w:rsid w:val="004A69C6"/>
    <w:rsid w:val="004B0300"/>
    <w:rsid w:val="004B4A61"/>
    <w:rsid w:val="004B53B1"/>
    <w:rsid w:val="004C00FF"/>
    <w:rsid w:val="004C15CA"/>
    <w:rsid w:val="004C2A96"/>
    <w:rsid w:val="004C3610"/>
    <w:rsid w:val="004D109F"/>
    <w:rsid w:val="004D1A38"/>
    <w:rsid w:val="004D1E6E"/>
    <w:rsid w:val="004D796C"/>
    <w:rsid w:val="004D7FCC"/>
    <w:rsid w:val="004E38A8"/>
    <w:rsid w:val="004E3BC4"/>
    <w:rsid w:val="004E5A48"/>
    <w:rsid w:val="004E643B"/>
    <w:rsid w:val="004E680E"/>
    <w:rsid w:val="004F3FD7"/>
    <w:rsid w:val="004F551F"/>
    <w:rsid w:val="004F68CC"/>
    <w:rsid w:val="004F6FBD"/>
    <w:rsid w:val="004F7042"/>
    <w:rsid w:val="004F797A"/>
    <w:rsid w:val="004F7B53"/>
    <w:rsid w:val="0050133C"/>
    <w:rsid w:val="0050216B"/>
    <w:rsid w:val="005021E8"/>
    <w:rsid w:val="005034F7"/>
    <w:rsid w:val="005075CA"/>
    <w:rsid w:val="00510715"/>
    <w:rsid w:val="00510D29"/>
    <w:rsid w:val="005119C1"/>
    <w:rsid w:val="00512E1D"/>
    <w:rsid w:val="00513627"/>
    <w:rsid w:val="00515E0C"/>
    <w:rsid w:val="00520172"/>
    <w:rsid w:val="00523927"/>
    <w:rsid w:val="00523928"/>
    <w:rsid w:val="00526033"/>
    <w:rsid w:val="00527005"/>
    <w:rsid w:val="005314A3"/>
    <w:rsid w:val="0053374B"/>
    <w:rsid w:val="00533BD9"/>
    <w:rsid w:val="005366B4"/>
    <w:rsid w:val="00536ACD"/>
    <w:rsid w:val="0054064C"/>
    <w:rsid w:val="00540AEB"/>
    <w:rsid w:val="005415F6"/>
    <w:rsid w:val="00542031"/>
    <w:rsid w:val="005431B2"/>
    <w:rsid w:val="005442B8"/>
    <w:rsid w:val="00546002"/>
    <w:rsid w:val="005469B3"/>
    <w:rsid w:val="00551347"/>
    <w:rsid w:val="00552B4E"/>
    <w:rsid w:val="00553C25"/>
    <w:rsid w:val="00555840"/>
    <w:rsid w:val="00555C79"/>
    <w:rsid w:val="005601D7"/>
    <w:rsid w:val="00561BCD"/>
    <w:rsid w:val="00564009"/>
    <w:rsid w:val="005645C2"/>
    <w:rsid w:val="00570BD7"/>
    <w:rsid w:val="00572C46"/>
    <w:rsid w:val="00573136"/>
    <w:rsid w:val="005755F7"/>
    <w:rsid w:val="00576428"/>
    <w:rsid w:val="00577000"/>
    <w:rsid w:val="00581FC6"/>
    <w:rsid w:val="005828A9"/>
    <w:rsid w:val="00587160"/>
    <w:rsid w:val="005939AD"/>
    <w:rsid w:val="00594467"/>
    <w:rsid w:val="00594542"/>
    <w:rsid w:val="0059516F"/>
    <w:rsid w:val="005958C1"/>
    <w:rsid w:val="00597D5D"/>
    <w:rsid w:val="005A1288"/>
    <w:rsid w:val="005A1C0C"/>
    <w:rsid w:val="005A2D61"/>
    <w:rsid w:val="005A34CB"/>
    <w:rsid w:val="005A3987"/>
    <w:rsid w:val="005A7556"/>
    <w:rsid w:val="005B00B4"/>
    <w:rsid w:val="005B3594"/>
    <w:rsid w:val="005B439F"/>
    <w:rsid w:val="005B4519"/>
    <w:rsid w:val="005B6237"/>
    <w:rsid w:val="005B6B3A"/>
    <w:rsid w:val="005C10B0"/>
    <w:rsid w:val="005C2C3A"/>
    <w:rsid w:val="005C2DB6"/>
    <w:rsid w:val="005C36E0"/>
    <w:rsid w:val="005D272E"/>
    <w:rsid w:val="005D433F"/>
    <w:rsid w:val="005D5852"/>
    <w:rsid w:val="005D5E11"/>
    <w:rsid w:val="005D77CF"/>
    <w:rsid w:val="005E0D81"/>
    <w:rsid w:val="005E1286"/>
    <w:rsid w:val="005E4F9E"/>
    <w:rsid w:val="005E5F1F"/>
    <w:rsid w:val="005E6DCD"/>
    <w:rsid w:val="005E792E"/>
    <w:rsid w:val="005F149E"/>
    <w:rsid w:val="005F1C92"/>
    <w:rsid w:val="005F3918"/>
    <w:rsid w:val="005F403A"/>
    <w:rsid w:val="005F6298"/>
    <w:rsid w:val="005F70A3"/>
    <w:rsid w:val="005F730F"/>
    <w:rsid w:val="006010BB"/>
    <w:rsid w:val="006018A4"/>
    <w:rsid w:val="00601DC9"/>
    <w:rsid w:val="00603BB7"/>
    <w:rsid w:val="00604711"/>
    <w:rsid w:val="00605D7C"/>
    <w:rsid w:val="00606922"/>
    <w:rsid w:val="006070B9"/>
    <w:rsid w:val="006118DE"/>
    <w:rsid w:val="0061788D"/>
    <w:rsid w:val="006211BD"/>
    <w:rsid w:val="00621788"/>
    <w:rsid w:val="00622134"/>
    <w:rsid w:val="00622FF6"/>
    <w:rsid w:val="00626DBC"/>
    <w:rsid w:val="00633894"/>
    <w:rsid w:val="006341CB"/>
    <w:rsid w:val="00634E5F"/>
    <w:rsid w:val="00636AAD"/>
    <w:rsid w:val="006378BB"/>
    <w:rsid w:val="00637BD3"/>
    <w:rsid w:val="00644E97"/>
    <w:rsid w:val="00651415"/>
    <w:rsid w:val="00664B3B"/>
    <w:rsid w:val="006674B6"/>
    <w:rsid w:val="0066760C"/>
    <w:rsid w:val="00671218"/>
    <w:rsid w:val="00672CEE"/>
    <w:rsid w:val="006744B2"/>
    <w:rsid w:val="006775C1"/>
    <w:rsid w:val="00680403"/>
    <w:rsid w:val="006811AB"/>
    <w:rsid w:val="00681601"/>
    <w:rsid w:val="006822AF"/>
    <w:rsid w:val="0068441A"/>
    <w:rsid w:val="00685CAE"/>
    <w:rsid w:val="00687238"/>
    <w:rsid w:val="0069117B"/>
    <w:rsid w:val="006951C7"/>
    <w:rsid w:val="006A13FE"/>
    <w:rsid w:val="006B04B2"/>
    <w:rsid w:val="006B0B41"/>
    <w:rsid w:val="006B0DF4"/>
    <w:rsid w:val="006B3B14"/>
    <w:rsid w:val="006B6FCC"/>
    <w:rsid w:val="006C0258"/>
    <w:rsid w:val="006C2307"/>
    <w:rsid w:val="006C33F0"/>
    <w:rsid w:val="006C4D95"/>
    <w:rsid w:val="006C575E"/>
    <w:rsid w:val="006C7EC8"/>
    <w:rsid w:val="006D1C9F"/>
    <w:rsid w:val="006D24FE"/>
    <w:rsid w:val="006D3FBB"/>
    <w:rsid w:val="006D6526"/>
    <w:rsid w:val="006D77FA"/>
    <w:rsid w:val="006D7995"/>
    <w:rsid w:val="006E1073"/>
    <w:rsid w:val="006E14EB"/>
    <w:rsid w:val="006E2C2C"/>
    <w:rsid w:val="006E3CDB"/>
    <w:rsid w:val="006E42C7"/>
    <w:rsid w:val="006E49F1"/>
    <w:rsid w:val="006E5294"/>
    <w:rsid w:val="006E6699"/>
    <w:rsid w:val="006E69A9"/>
    <w:rsid w:val="006E7595"/>
    <w:rsid w:val="006E7D75"/>
    <w:rsid w:val="006F1560"/>
    <w:rsid w:val="006F3EF5"/>
    <w:rsid w:val="006F42BD"/>
    <w:rsid w:val="006F4C1F"/>
    <w:rsid w:val="006F6735"/>
    <w:rsid w:val="00702238"/>
    <w:rsid w:val="00703498"/>
    <w:rsid w:val="007106F8"/>
    <w:rsid w:val="00710BB7"/>
    <w:rsid w:val="00710DF8"/>
    <w:rsid w:val="007111C4"/>
    <w:rsid w:val="00712E6E"/>
    <w:rsid w:val="00714EA5"/>
    <w:rsid w:val="00716754"/>
    <w:rsid w:val="00717E8B"/>
    <w:rsid w:val="007232E6"/>
    <w:rsid w:val="00723ED1"/>
    <w:rsid w:val="0072488A"/>
    <w:rsid w:val="0072571C"/>
    <w:rsid w:val="00725743"/>
    <w:rsid w:val="00727688"/>
    <w:rsid w:val="00730668"/>
    <w:rsid w:val="0073118A"/>
    <w:rsid w:val="00734689"/>
    <w:rsid w:val="00734954"/>
    <w:rsid w:val="0073552F"/>
    <w:rsid w:val="0073735A"/>
    <w:rsid w:val="007373E3"/>
    <w:rsid w:val="00737B3F"/>
    <w:rsid w:val="00741C81"/>
    <w:rsid w:val="00742F47"/>
    <w:rsid w:val="00743379"/>
    <w:rsid w:val="007445B8"/>
    <w:rsid w:val="0075246E"/>
    <w:rsid w:val="007530A0"/>
    <w:rsid w:val="00754526"/>
    <w:rsid w:val="0075555D"/>
    <w:rsid w:val="00755EAC"/>
    <w:rsid w:val="00761164"/>
    <w:rsid w:val="007642BA"/>
    <w:rsid w:val="00770E07"/>
    <w:rsid w:val="00771B80"/>
    <w:rsid w:val="00772048"/>
    <w:rsid w:val="00773878"/>
    <w:rsid w:val="00773DC6"/>
    <w:rsid w:val="00775A7C"/>
    <w:rsid w:val="00775C43"/>
    <w:rsid w:val="00776295"/>
    <w:rsid w:val="00776FB7"/>
    <w:rsid w:val="00777D4F"/>
    <w:rsid w:val="00780BE0"/>
    <w:rsid w:val="00781395"/>
    <w:rsid w:val="00783B28"/>
    <w:rsid w:val="00784246"/>
    <w:rsid w:val="00784839"/>
    <w:rsid w:val="00784B9C"/>
    <w:rsid w:val="0078560B"/>
    <w:rsid w:val="0078733C"/>
    <w:rsid w:val="00792870"/>
    <w:rsid w:val="00793ADE"/>
    <w:rsid w:val="007942AC"/>
    <w:rsid w:val="007A05F2"/>
    <w:rsid w:val="007A0F7B"/>
    <w:rsid w:val="007A1777"/>
    <w:rsid w:val="007A7C77"/>
    <w:rsid w:val="007B1443"/>
    <w:rsid w:val="007B3355"/>
    <w:rsid w:val="007C0F76"/>
    <w:rsid w:val="007C23FB"/>
    <w:rsid w:val="007C2A45"/>
    <w:rsid w:val="007C325A"/>
    <w:rsid w:val="007C3465"/>
    <w:rsid w:val="007C4218"/>
    <w:rsid w:val="007C6809"/>
    <w:rsid w:val="007C7CA1"/>
    <w:rsid w:val="007D2628"/>
    <w:rsid w:val="007D2BA0"/>
    <w:rsid w:val="007D37EB"/>
    <w:rsid w:val="007D3BF6"/>
    <w:rsid w:val="007D6EF3"/>
    <w:rsid w:val="007D75B8"/>
    <w:rsid w:val="007E0167"/>
    <w:rsid w:val="007E24F9"/>
    <w:rsid w:val="007E2A0C"/>
    <w:rsid w:val="007E4337"/>
    <w:rsid w:val="007F1CC8"/>
    <w:rsid w:val="007F1D12"/>
    <w:rsid w:val="007F6309"/>
    <w:rsid w:val="007F7141"/>
    <w:rsid w:val="008048C6"/>
    <w:rsid w:val="00804FB3"/>
    <w:rsid w:val="00805456"/>
    <w:rsid w:val="00805CFD"/>
    <w:rsid w:val="008066AC"/>
    <w:rsid w:val="00810B9A"/>
    <w:rsid w:val="008123F9"/>
    <w:rsid w:val="00813462"/>
    <w:rsid w:val="008147AE"/>
    <w:rsid w:val="00814D8F"/>
    <w:rsid w:val="00815F3D"/>
    <w:rsid w:val="00815F60"/>
    <w:rsid w:val="008162F1"/>
    <w:rsid w:val="00820CAD"/>
    <w:rsid w:val="008219F4"/>
    <w:rsid w:val="00822AC8"/>
    <w:rsid w:val="00827FEC"/>
    <w:rsid w:val="00834D27"/>
    <w:rsid w:val="0083623B"/>
    <w:rsid w:val="00836566"/>
    <w:rsid w:val="008375D0"/>
    <w:rsid w:val="00837834"/>
    <w:rsid w:val="00847A1F"/>
    <w:rsid w:val="0085091C"/>
    <w:rsid w:val="008528A2"/>
    <w:rsid w:val="00856E26"/>
    <w:rsid w:val="00857412"/>
    <w:rsid w:val="008629A1"/>
    <w:rsid w:val="00865204"/>
    <w:rsid w:val="00870DCD"/>
    <w:rsid w:val="00875099"/>
    <w:rsid w:val="008824BB"/>
    <w:rsid w:val="0088488A"/>
    <w:rsid w:val="008868B3"/>
    <w:rsid w:val="00893816"/>
    <w:rsid w:val="00894121"/>
    <w:rsid w:val="0089532C"/>
    <w:rsid w:val="00895CD2"/>
    <w:rsid w:val="00896627"/>
    <w:rsid w:val="008A1317"/>
    <w:rsid w:val="008A532F"/>
    <w:rsid w:val="008A735D"/>
    <w:rsid w:val="008B1EBC"/>
    <w:rsid w:val="008B3760"/>
    <w:rsid w:val="008B3BF1"/>
    <w:rsid w:val="008B46D9"/>
    <w:rsid w:val="008B4CCA"/>
    <w:rsid w:val="008B62B1"/>
    <w:rsid w:val="008B6376"/>
    <w:rsid w:val="008B72C1"/>
    <w:rsid w:val="008C0905"/>
    <w:rsid w:val="008C380D"/>
    <w:rsid w:val="008C427B"/>
    <w:rsid w:val="008D0138"/>
    <w:rsid w:val="008D0251"/>
    <w:rsid w:val="008D25AE"/>
    <w:rsid w:val="008D37EF"/>
    <w:rsid w:val="008D4DB3"/>
    <w:rsid w:val="008E2454"/>
    <w:rsid w:val="008E7034"/>
    <w:rsid w:val="008F2CA7"/>
    <w:rsid w:val="00902012"/>
    <w:rsid w:val="009024C2"/>
    <w:rsid w:val="00903C60"/>
    <w:rsid w:val="00910FBF"/>
    <w:rsid w:val="00912E30"/>
    <w:rsid w:val="009130EC"/>
    <w:rsid w:val="00913638"/>
    <w:rsid w:val="00920741"/>
    <w:rsid w:val="00924304"/>
    <w:rsid w:val="009270F3"/>
    <w:rsid w:val="00932A01"/>
    <w:rsid w:val="00932BA0"/>
    <w:rsid w:val="009332CB"/>
    <w:rsid w:val="0093402B"/>
    <w:rsid w:val="009407DF"/>
    <w:rsid w:val="00943698"/>
    <w:rsid w:val="00944C89"/>
    <w:rsid w:val="009462A9"/>
    <w:rsid w:val="009471BE"/>
    <w:rsid w:val="00947FB1"/>
    <w:rsid w:val="00950BCD"/>
    <w:rsid w:val="0095149E"/>
    <w:rsid w:val="00951507"/>
    <w:rsid w:val="00951A0E"/>
    <w:rsid w:val="00951B79"/>
    <w:rsid w:val="00951C8E"/>
    <w:rsid w:val="0095351D"/>
    <w:rsid w:val="009574C6"/>
    <w:rsid w:val="00964173"/>
    <w:rsid w:val="009652AA"/>
    <w:rsid w:val="009653D9"/>
    <w:rsid w:val="00965E0E"/>
    <w:rsid w:val="00971754"/>
    <w:rsid w:val="009717EB"/>
    <w:rsid w:val="00971DFC"/>
    <w:rsid w:val="00973BD1"/>
    <w:rsid w:val="0097443E"/>
    <w:rsid w:val="00974710"/>
    <w:rsid w:val="00974B0A"/>
    <w:rsid w:val="00976022"/>
    <w:rsid w:val="00976944"/>
    <w:rsid w:val="00977773"/>
    <w:rsid w:val="00977ACB"/>
    <w:rsid w:val="00977CD0"/>
    <w:rsid w:val="00983891"/>
    <w:rsid w:val="00985444"/>
    <w:rsid w:val="0099196E"/>
    <w:rsid w:val="00992F1F"/>
    <w:rsid w:val="0099354B"/>
    <w:rsid w:val="00994A8A"/>
    <w:rsid w:val="00995231"/>
    <w:rsid w:val="009964B1"/>
    <w:rsid w:val="009A0AC7"/>
    <w:rsid w:val="009A1053"/>
    <w:rsid w:val="009A296B"/>
    <w:rsid w:val="009A2BC5"/>
    <w:rsid w:val="009A47E3"/>
    <w:rsid w:val="009A6F91"/>
    <w:rsid w:val="009B3ABA"/>
    <w:rsid w:val="009B3B64"/>
    <w:rsid w:val="009B4ECF"/>
    <w:rsid w:val="009B773A"/>
    <w:rsid w:val="009C12AB"/>
    <w:rsid w:val="009C35AA"/>
    <w:rsid w:val="009C46D1"/>
    <w:rsid w:val="009C5C9D"/>
    <w:rsid w:val="009D09DF"/>
    <w:rsid w:val="009D0D89"/>
    <w:rsid w:val="009D24B7"/>
    <w:rsid w:val="009D43BB"/>
    <w:rsid w:val="009D792B"/>
    <w:rsid w:val="009E037C"/>
    <w:rsid w:val="009E10B4"/>
    <w:rsid w:val="009E1FE4"/>
    <w:rsid w:val="009E2AB7"/>
    <w:rsid w:val="009E34DF"/>
    <w:rsid w:val="009E483D"/>
    <w:rsid w:val="009E4AE9"/>
    <w:rsid w:val="009E6006"/>
    <w:rsid w:val="009F55F0"/>
    <w:rsid w:val="009F6831"/>
    <w:rsid w:val="00A00CC2"/>
    <w:rsid w:val="00A0270D"/>
    <w:rsid w:val="00A03155"/>
    <w:rsid w:val="00A05160"/>
    <w:rsid w:val="00A0544A"/>
    <w:rsid w:val="00A06482"/>
    <w:rsid w:val="00A066DE"/>
    <w:rsid w:val="00A1226A"/>
    <w:rsid w:val="00A146D0"/>
    <w:rsid w:val="00A17134"/>
    <w:rsid w:val="00A244A9"/>
    <w:rsid w:val="00A2693F"/>
    <w:rsid w:val="00A26A2D"/>
    <w:rsid w:val="00A272CE"/>
    <w:rsid w:val="00A30773"/>
    <w:rsid w:val="00A323FD"/>
    <w:rsid w:val="00A34B3D"/>
    <w:rsid w:val="00A35E1D"/>
    <w:rsid w:val="00A36768"/>
    <w:rsid w:val="00A40597"/>
    <w:rsid w:val="00A409A7"/>
    <w:rsid w:val="00A44E4A"/>
    <w:rsid w:val="00A45511"/>
    <w:rsid w:val="00A45E7F"/>
    <w:rsid w:val="00A46195"/>
    <w:rsid w:val="00A502CD"/>
    <w:rsid w:val="00A5050D"/>
    <w:rsid w:val="00A51D09"/>
    <w:rsid w:val="00A53362"/>
    <w:rsid w:val="00A561F7"/>
    <w:rsid w:val="00A5620A"/>
    <w:rsid w:val="00A57099"/>
    <w:rsid w:val="00A577F4"/>
    <w:rsid w:val="00A57D69"/>
    <w:rsid w:val="00A608C5"/>
    <w:rsid w:val="00A630FF"/>
    <w:rsid w:val="00A634C2"/>
    <w:rsid w:val="00A64FE3"/>
    <w:rsid w:val="00A67F60"/>
    <w:rsid w:val="00A71479"/>
    <w:rsid w:val="00A72BD8"/>
    <w:rsid w:val="00A72EF1"/>
    <w:rsid w:val="00A73B7F"/>
    <w:rsid w:val="00A77E89"/>
    <w:rsid w:val="00A80539"/>
    <w:rsid w:val="00A82BFF"/>
    <w:rsid w:val="00A83081"/>
    <w:rsid w:val="00A85865"/>
    <w:rsid w:val="00A87546"/>
    <w:rsid w:val="00A9002A"/>
    <w:rsid w:val="00A94441"/>
    <w:rsid w:val="00A94C72"/>
    <w:rsid w:val="00A97D1D"/>
    <w:rsid w:val="00A97F1A"/>
    <w:rsid w:val="00AA0FE4"/>
    <w:rsid w:val="00AA16B6"/>
    <w:rsid w:val="00AA265E"/>
    <w:rsid w:val="00AB24BA"/>
    <w:rsid w:val="00AB2A56"/>
    <w:rsid w:val="00AB7551"/>
    <w:rsid w:val="00AC0D4D"/>
    <w:rsid w:val="00AC11DA"/>
    <w:rsid w:val="00AC1376"/>
    <w:rsid w:val="00AC4329"/>
    <w:rsid w:val="00AC5B3F"/>
    <w:rsid w:val="00AC62A0"/>
    <w:rsid w:val="00AC6B92"/>
    <w:rsid w:val="00AD1F5C"/>
    <w:rsid w:val="00AD30A0"/>
    <w:rsid w:val="00AD310A"/>
    <w:rsid w:val="00AD32B6"/>
    <w:rsid w:val="00AD43D5"/>
    <w:rsid w:val="00AD5C9F"/>
    <w:rsid w:val="00AE0428"/>
    <w:rsid w:val="00AE23CC"/>
    <w:rsid w:val="00AE36B8"/>
    <w:rsid w:val="00AE65F4"/>
    <w:rsid w:val="00AE77C7"/>
    <w:rsid w:val="00AF539A"/>
    <w:rsid w:val="00B0198A"/>
    <w:rsid w:val="00B0319F"/>
    <w:rsid w:val="00B03F40"/>
    <w:rsid w:val="00B04227"/>
    <w:rsid w:val="00B042A9"/>
    <w:rsid w:val="00B06717"/>
    <w:rsid w:val="00B06BE5"/>
    <w:rsid w:val="00B11B79"/>
    <w:rsid w:val="00B11F03"/>
    <w:rsid w:val="00B11F7A"/>
    <w:rsid w:val="00B14641"/>
    <w:rsid w:val="00B15931"/>
    <w:rsid w:val="00B16327"/>
    <w:rsid w:val="00B17370"/>
    <w:rsid w:val="00B2055A"/>
    <w:rsid w:val="00B2067D"/>
    <w:rsid w:val="00B24B86"/>
    <w:rsid w:val="00B25AF8"/>
    <w:rsid w:val="00B26A6E"/>
    <w:rsid w:val="00B3072F"/>
    <w:rsid w:val="00B30A6C"/>
    <w:rsid w:val="00B3107C"/>
    <w:rsid w:val="00B339F7"/>
    <w:rsid w:val="00B36E12"/>
    <w:rsid w:val="00B40771"/>
    <w:rsid w:val="00B40C10"/>
    <w:rsid w:val="00B40C7E"/>
    <w:rsid w:val="00B414C8"/>
    <w:rsid w:val="00B4170E"/>
    <w:rsid w:val="00B42CD4"/>
    <w:rsid w:val="00B43A28"/>
    <w:rsid w:val="00B45553"/>
    <w:rsid w:val="00B523B5"/>
    <w:rsid w:val="00B60910"/>
    <w:rsid w:val="00B61575"/>
    <w:rsid w:val="00B64EAB"/>
    <w:rsid w:val="00B65A0E"/>
    <w:rsid w:val="00B66E6E"/>
    <w:rsid w:val="00B7182E"/>
    <w:rsid w:val="00B71DD9"/>
    <w:rsid w:val="00B72742"/>
    <w:rsid w:val="00B72960"/>
    <w:rsid w:val="00B7312F"/>
    <w:rsid w:val="00B748F4"/>
    <w:rsid w:val="00B75416"/>
    <w:rsid w:val="00B80243"/>
    <w:rsid w:val="00B80297"/>
    <w:rsid w:val="00B80C52"/>
    <w:rsid w:val="00B8323E"/>
    <w:rsid w:val="00B902ED"/>
    <w:rsid w:val="00B90F7B"/>
    <w:rsid w:val="00B91885"/>
    <w:rsid w:val="00B91BF4"/>
    <w:rsid w:val="00B95A20"/>
    <w:rsid w:val="00BA6105"/>
    <w:rsid w:val="00BB0481"/>
    <w:rsid w:val="00BB17CE"/>
    <w:rsid w:val="00BB1EC0"/>
    <w:rsid w:val="00BB4D42"/>
    <w:rsid w:val="00BB4EA2"/>
    <w:rsid w:val="00BB6CC2"/>
    <w:rsid w:val="00BC01E9"/>
    <w:rsid w:val="00BC05E7"/>
    <w:rsid w:val="00BC31B0"/>
    <w:rsid w:val="00BC3FC1"/>
    <w:rsid w:val="00BC45E1"/>
    <w:rsid w:val="00BD0FE7"/>
    <w:rsid w:val="00BD2BC9"/>
    <w:rsid w:val="00BD3AFF"/>
    <w:rsid w:val="00BF1DA5"/>
    <w:rsid w:val="00BF21E1"/>
    <w:rsid w:val="00C00EB4"/>
    <w:rsid w:val="00C02C34"/>
    <w:rsid w:val="00C02DE2"/>
    <w:rsid w:val="00C06F9E"/>
    <w:rsid w:val="00C07CED"/>
    <w:rsid w:val="00C124C8"/>
    <w:rsid w:val="00C1466C"/>
    <w:rsid w:val="00C1514A"/>
    <w:rsid w:val="00C1518E"/>
    <w:rsid w:val="00C23622"/>
    <w:rsid w:val="00C23E9E"/>
    <w:rsid w:val="00C24818"/>
    <w:rsid w:val="00C30E18"/>
    <w:rsid w:val="00C3322D"/>
    <w:rsid w:val="00C36189"/>
    <w:rsid w:val="00C36302"/>
    <w:rsid w:val="00C36AF9"/>
    <w:rsid w:val="00C414AD"/>
    <w:rsid w:val="00C430C9"/>
    <w:rsid w:val="00C45EEC"/>
    <w:rsid w:val="00C46442"/>
    <w:rsid w:val="00C4751F"/>
    <w:rsid w:val="00C51319"/>
    <w:rsid w:val="00C556A9"/>
    <w:rsid w:val="00C638EC"/>
    <w:rsid w:val="00C658CC"/>
    <w:rsid w:val="00C70AB4"/>
    <w:rsid w:val="00C7189B"/>
    <w:rsid w:val="00C727B1"/>
    <w:rsid w:val="00C731CA"/>
    <w:rsid w:val="00C75A26"/>
    <w:rsid w:val="00C8587D"/>
    <w:rsid w:val="00C86AC5"/>
    <w:rsid w:val="00C87210"/>
    <w:rsid w:val="00C87865"/>
    <w:rsid w:val="00C9258B"/>
    <w:rsid w:val="00C932A1"/>
    <w:rsid w:val="00C9518E"/>
    <w:rsid w:val="00C956D7"/>
    <w:rsid w:val="00C9592D"/>
    <w:rsid w:val="00C970BB"/>
    <w:rsid w:val="00C97CAB"/>
    <w:rsid w:val="00CA0494"/>
    <w:rsid w:val="00CA2C12"/>
    <w:rsid w:val="00CB13C7"/>
    <w:rsid w:val="00CB1755"/>
    <w:rsid w:val="00CB3DB2"/>
    <w:rsid w:val="00CB5066"/>
    <w:rsid w:val="00CB5576"/>
    <w:rsid w:val="00CC43A2"/>
    <w:rsid w:val="00CC4FD6"/>
    <w:rsid w:val="00CC5DB4"/>
    <w:rsid w:val="00CD4CBE"/>
    <w:rsid w:val="00CD6E1B"/>
    <w:rsid w:val="00CD76D3"/>
    <w:rsid w:val="00CD7E6D"/>
    <w:rsid w:val="00CE0F39"/>
    <w:rsid w:val="00CE74A6"/>
    <w:rsid w:val="00CF0786"/>
    <w:rsid w:val="00CF0ADC"/>
    <w:rsid w:val="00CF4F24"/>
    <w:rsid w:val="00D00A03"/>
    <w:rsid w:val="00D03037"/>
    <w:rsid w:val="00D0553A"/>
    <w:rsid w:val="00D05D6B"/>
    <w:rsid w:val="00D10F92"/>
    <w:rsid w:val="00D11037"/>
    <w:rsid w:val="00D1649F"/>
    <w:rsid w:val="00D167E5"/>
    <w:rsid w:val="00D21019"/>
    <w:rsid w:val="00D227B2"/>
    <w:rsid w:val="00D228EB"/>
    <w:rsid w:val="00D23E27"/>
    <w:rsid w:val="00D26DDF"/>
    <w:rsid w:val="00D31F0B"/>
    <w:rsid w:val="00D33A35"/>
    <w:rsid w:val="00D35049"/>
    <w:rsid w:val="00D409E1"/>
    <w:rsid w:val="00D44821"/>
    <w:rsid w:val="00D461B1"/>
    <w:rsid w:val="00D5147A"/>
    <w:rsid w:val="00D54C29"/>
    <w:rsid w:val="00D56164"/>
    <w:rsid w:val="00D60BC1"/>
    <w:rsid w:val="00D6372E"/>
    <w:rsid w:val="00D65616"/>
    <w:rsid w:val="00D67B74"/>
    <w:rsid w:val="00D70CA0"/>
    <w:rsid w:val="00D717AC"/>
    <w:rsid w:val="00D74DC7"/>
    <w:rsid w:val="00D77D7D"/>
    <w:rsid w:val="00D8091D"/>
    <w:rsid w:val="00D80F3D"/>
    <w:rsid w:val="00D82C1F"/>
    <w:rsid w:val="00D8313B"/>
    <w:rsid w:val="00D85124"/>
    <w:rsid w:val="00D86D89"/>
    <w:rsid w:val="00D87AE5"/>
    <w:rsid w:val="00D87CA6"/>
    <w:rsid w:val="00D90604"/>
    <w:rsid w:val="00D90CE2"/>
    <w:rsid w:val="00D90F4C"/>
    <w:rsid w:val="00D932CA"/>
    <w:rsid w:val="00D95770"/>
    <w:rsid w:val="00DA3386"/>
    <w:rsid w:val="00DA3C6B"/>
    <w:rsid w:val="00DA5188"/>
    <w:rsid w:val="00DA70EB"/>
    <w:rsid w:val="00DB2AD7"/>
    <w:rsid w:val="00DB4C7C"/>
    <w:rsid w:val="00DB723C"/>
    <w:rsid w:val="00DB748A"/>
    <w:rsid w:val="00DC1CA1"/>
    <w:rsid w:val="00DC2987"/>
    <w:rsid w:val="00DC3DBB"/>
    <w:rsid w:val="00DC5A3D"/>
    <w:rsid w:val="00DD116A"/>
    <w:rsid w:val="00DD1648"/>
    <w:rsid w:val="00DD17E4"/>
    <w:rsid w:val="00DD1CF6"/>
    <w:rsid w:val="00DD1DAA"/>
    <w:rsid w:val="00DD43EB"/>
    <w:rsid w:val="00DD5441"/>
    <w:rsid w:val="00DD66CF"/>
    <w:rsid w:val="00DE0880"/>
    <w:rsid w:val="00DE35E7"/>
    <w:rsid w:val="00DE3E9A"/>
    <w:rsid w:val="00DE4F7B"/>
    <w:rsid w:val="00DE58C3"/>
    <w:rsid w:val="00DF233C"/>
    <w:rsid w:val="00DF493C"/>
    <w:rsid w:val="00DF664B"/>
    <w:rsid w:val="00E00A80"/>
    <w:rsid w:val="00E033A9"/>
    <w:rsid w:val="00E05333"/>
    <w:rsid w:val="00E07350"/>
    <w:rsid w:val="00E155B5"/>
    <w:rsid w:val="00E16A95"/>
    <w:rsid w:val="00E203D7"/>
    <w:rsid w:val="00E2286C"/>
    <w:rsid w:val="00E23924"/>
    <w:rsid w:val="00E2434C"/>
    <w:rsid w:val="00E24944"/>
    <w:rsid w:val="00E328ED"/>
    <w:rsid w:val="00E32D01"/>
    <w:rsid w:val="00E3418E"/>
    <w:rsid w:val="00E353E7"/>
    <w:rsid w:val="00E403D1"/>
    <w:rsid w:val="00E4131A"/>
    <w:rsid w:val="00E43378"/>
    <w:rsid w:val="00E52D68"/>
    <w:rsid w:val="00E544C0"/>
    <w:rsid w:val="00E60107"/>
    <w:rsid w:val="00E6072E"/>
    <w:rsid w:val="00E62376"/>
    <w:rsid w:val="00E62935"/>
    <w:rsid w:val="00E63001"/>
    <w:rsid w:val="00E63BD1"/>
    <w:rsid w:val="00E64CCF"/>
    <w:rsid w:val="00E65B96"/>
    <w:rsid w:val="00E71FE4"/>
    <w:rsid w:val="00E72B34"/>
    <w:rsid w:val="00E7506D"/>
    <w:rsid w:val="00E806C3"/>
    <w:rsid w:val="00E81BF2"/>
    <w:rsid w:val="00E85524"/>
    <w:rsid w:val="00E8670A"/>
    <w:rsid w:val="00E86D2C"/>
    <w:rsid w:val="00E8799C"/>
    <w:rsid w:val="00E87E2A"/>
    <w:rsid w:val="00E906B8"/>
    <w:rsid w:val="00E93908"/>
    <w:rsid w:val="00E956EC"/>
    <w:rsid w:val="00E95CE4"/>
    <w:rsid w:val="00E96283"/>
    <w:rsid w:val="00E97C42"/>
    <w:rsid w:val="00EA0782"/>
    <w:rsid w:val="00EA1F46"/>
    <w:rsid w:val="00EA20BB"/>
    <w:rsid w:val="00EA2CDE"/>
    <w:rsid w:val="00EB2412"/>
    <w:rsid w:val="00EB2492"/>
    <w:rsid w:val="00EB3AA0"/>
    <w:rsid w:val="00EB3D1C"/>
    <w:rsid w:val="00EB4C15"/>
    <w:rsid w:val="00EC0745"/>
    <w:rsid w:val="00EC2221"/>
    <w:rsid w:val="00EC2484"/>
    <w:rsid w:val="00EC2D14"/>
    <w:rsid w:val="00EC384C"/>
    <w:rsid w:val="00EC43BC"/>
    <w:rsid w:val="00EC6B05"/>
    <w:rsid w:val="00EC6B6D"/>
    <w:rsid w:val="00EC7F11"/>
    <w:rsid w:val="00ED1BA8"/>
    <w:rsid w:val="00ED4705"/>
    <w:rsid w:val="00ED4AF7"/>
    <w:rsid w:val="00ED5762"/>
    <w:rsid w:val="00ED6463"/>
    <w:rsid w:val="00EE20E3"/>
    <w:rsid w:val="00EE2534"/>
    <w:rsid w:val="00EE3384"/>
    <w:rsid w:val="00EE37D3"/>
    <w:rsid w:val="00EE38E4"/>
    <w:rsid w:val="00EE4B90"/>
    <w:rsid w:val="00EE51BD"/>
    <w:rsid w:val="00EF0AA9"/>
    <w:rsid w:val="00EF38CD"/>
    <w:rsid w:val="00EF43F2"/>
    <w:rsid w:val="00EF444C"/>
    <w:rsid w:val="00EF4CE3"/>
    <w:rsid w:val="00EF56E4"/>
    <w:rsid w:val="00EF5803"/>
    <w:rsid w:val="00EF684F"/>
    <w:rsid w:val="00EF69A2"/>
    <w:rsid w:val="00F011B0"/>
    <w:rsid w:val="00F01880"/>
    <w:rsid w:val="00F02578"/>
    <w:rsid w:val="00F033DE"/>
    <w:rsid w:val="00F06A23"/>
    <w:rsid w:val="00F10A3D"/>
    <w:rsid w:val="00F10A63"/>
    <w:rsid w:val="00F12CE8"/>
    <w:rsid w:val="00F13EFD"/>
    <w:rsid w:val="00F165A3"/>
    <w:rsid w:val="00F206B2"/>
    <w:rsid w:val="00F21791"/>
    <w:rsid w:val="00F21E3B"/>
    <w:rsid w:val="00F23C62"/>
    <w:rsid w:val="00F24831"/>
    <w:rsid w:val="00F30ABD"/>
    <w:rsid w:val="00F31EB3"/>
    <w:rsid w:val="00F3359B"/>
    <w:rsid w:val="00F43428"/>
    <w:rsid w:val="00F43DCE"/>
    <w:rsid w:val="00F44074"/>
    <w:rsid w:val="00F4626B"/>
    <w:rsid w:val="00F463EA"/>
    <w:rsid w:val="00F51389"/>
    <w:rsid w:val="00F51ED8"/>
    <w:rsid w:val="00F51FCE"/>
    <w:rsid w:val="00F54292"/>
    <w:rsid w:val="00F5466E"/>
    <w:rsid w:val="00F57519"/>
    <w:rsid w:val="00F602EB"/>
    <w:rsid w:val="00F61CEE"/>
    <w:rsid w:val="00F636B5"/>
    <w:rsid w:val="00F6392B"/>
    <w:rsid w:val="00F6477D"/>
    <w:rsid w:val="00F66293"/>
    <w:rsid w:val="00F66967"/>
    <w:rsid w:val="00F66D61"/>
    <w:rsid w:val="00F67F31"/>
    <w:rsid w:val="00F71411"/>
    <w:rsid w:val="00F74989"/>
    <w:rsid w:val="00F75216"/>
    <w:rsid w:val="00F82BD9"/>
    <w:rsid w:val="00F847FE"/>
    <w:rsid w:val="00F849D7"/>
    <w:rsid w:val="00F8547E"/>
    <w:rsid w:val="00F85FCF"/>
    <w:rsid w:val="00F8646D"/>
    <w:rsid w:val="00F86489"/>
    <w:rsid w:val="00F87042"/>
    <w:rsid w:val="00F8732C"/>
    <w:rsid w:val="00F908B9"/>
    <w:rsid w:val="00F90D82"/>
    <w:rsid w:val="00F92C08"/>
    <w:rsid w:val="00F95851"/>
    <w:rsid w:val="00F97918"/>
    <w:rsid w:val="00FA18CC"/>
    <w:rsid w:val="00FA1936"/>
    <w:rsid w:val="00FA2DF6"/>
    <w:rsid w:val="00FA2EC6"/>
    <w:rsid w:val="00FA3110"/>
    <w:rsid w:val="00FA5D51"/>
    <w:rsid w:val="00FA64E7"/>
    <w:rsid w:val="00FA774A"/>
    <w:rsid w:val="00FB0DF3"/>
    <w:rsid w:val="00FC0619"/>
    <w:rsid w:val="00FC0DEB"/>
    <w:rsid w:val="00FC15F1"/>
    <w:rsid w:val="00FC1902"/>
    <w:rsid w:val="00FC4909"/>
    <w:rsid w:val="00FC4962"/>
    <w:rsid w:val="00FC5ACC"/>
    <w:rsid w:val="00FD12DE"/>
    <w:rsid w:val="00FD37FE"/>
    <w:rsid w:val="00FD62FF"/>
    <w:rsid w:val="00FD676E"/>
    <w:rsid w:val="00FE2F78"/>
    <w:rsid w:val="00FE43E1"/>
    <w:rsid w:val="00FE6095"/>
    <w:rsid w:val="00FE61C6"/>
    <w:rsid w:val="00FF0578"/>
    <w:rsid w:val="00FF1858"/>
    <w:rsid w:val="00FF33EB"/>
    <w:rsid w:val="00FF3F01"/>
    <w:rsid w:val="00FF4EA4"/>
    <w:rsid w:val="00FF4F57"/>
    <w:rsid w:val="01087EB9"/>
    <w:rsid w:val="01C861C5"/>
    <w:rsid w:val="02042EF4"/>
    <w:rsid w:val="02314E41"/>
    <w:rsid w:val="02BB5D2E"/>
    <w:rsid w:val="032C493C"/>
    <w:rsid w:val="03B6440A"/>
    <w:rsid w:val="04A6236A"/>
    <w:rsid w:val="053F5432"/>
    <w:rsid w:val="064E7C45"/>
    <w:rsid w:val="07BF5E31"/>
    <w:rsid w:val="07F96DEB"/>
    <w:rsid w:val="08ED0258"/>
    <w:rsid w:val="08EF08AA"/>
    <w:rsid w:val="09097ED2"/>
    <w:rsid w:val="09611AE5"/>
    <w:rsid w:val="09B61E03"/>
    <w:rsid w:val="09C3175B"/>
    <w:rsid w:val="09F97BEC"/>
    <w:rsid w:val="0A1E34A8"/>
    <w:rsid w:val="0A962F1E"/>
    <w:rsid w:val="0AD81D4C"/>
    <w:rsid w:val="0AED524D"/>
    <w:rsid w:val="0B042130"/>
    <w:rsid w:val="0B391354"/>
    <w:rsid w:val="0CAE7D79"/>
    <w:rsid w:val="0CC81D6F"/>
    <w:rsid w:val="0CE7384B"/>
    <w:rsid w:val="0DAC0795"/>
    <w:rsid w:val="0E1D453B"/>
    <w:rsid w:val="0EA30502"/>
    <w:rsid w:val="0F492F98"/>
    <w:rsid w:val="10060191"/>
    <w:rsid w:val="100B4F00"/>
    <w:rsid w:val="10C20E4B"/>
    <w:rsid w:val="110E6C6E"/>
    <w:rsid w:val="115665C0"/>
    <w:rsid w:val="115D39B8"/>
    <w:rsid w:val="119243D7"/>
    <w:rsid w:val="122C725F"/>
    <w:rsid w:val="122E3BA3"/>
    <w:rsid w:val="12314E56"/>
    <w:rsid w:val="128E3D8E"/>
    <w:rsid w:val="12E50F51"/>
    <w:rsid w:val="13BF63D1"/>
    <w:rsid w:val="14214638"/>
    <w:rsid w:val="143F6CA5"/>
    <w:rsid w:val="149819C8"/>
    <w:rsid w:val="14D058A3"/>
    <w:rsid w:val="15E8716E"/>
    <w:rsid w:val="15EE44D7"/>
    <w:rsid w:val="16B051B6"/>
    <w:rsid w:val="175E24E1"/>
    <w:rsid w:val="17B078B6"/>
    <w:rsid w:val="18A75883"/>
    <w:rsid w:val="18C216D0"/>
    <w:rsid w:val="197B011F"/>
    <w:rsid w:val="198F1D07"/>
    <w:rsid w:val="19F01D1D"/>
    <w:rsid w:val="1B70335D"/>
    <w:rsid w:val="1BC27E34"/>
    <w:rsid w:val="1C317F37"/>
    <w:rsid w:val="1C527EEE"/>
    <w:rsid w:val="1D90357B"/>
    <w:rsid w:val="1EAC0576"/>
    <w:rsid w:val="1F457DEB"/>
    <w:rsid w:val="1F4F76D7"/>
    <w:rsid w:val="1F5E25BF"/>
    <w:rsid w:val="204C3CC9"/>
    <w:rsid w:val="20ED0E50"/>
    <w:rsid w:val="20FF154F"/>
    <w:rsid w:val="21DF17AC"/>
    <w:rsid w:val="22B643D4"/>
    <w:rsid w:val="2301785C"/>
    <w:rsid w:val="23177121"/>
    <w:rsid w:val="24326801"/>
    <w:rsid w:val="2461458C"/>
    <w:rsid w:val="24D83346"/>
    <w:rsid w:val="253C62DA"/>
    <w:rsid w:val="25720679"/>
    <w:rsid w:val="25D2539F"/>
    <w:rsid w:val="25DF5154"/>
    <w:rsid w:val="265B42DF"/>
    <w:rsid w:val="270A70F3"/>
    <w:rsid w:val="27553E85"/>
    <w:rsid w:val="27A229B2"/>
    <w:rsid w:val="27B5253B"/>
    <w:rsid w:val="283E3CD3"/>
    <w:rsid w:val="29C666A7"/>
    <w:rsid w:val="2B0C4E3D"/>
    <w:rsid w:val="2B3F5F01"/>
    <w:rsid w:val="2C0B7CF9"/>
    <w:rsid w:val="2C2E4C48"/>
    <w:rsid w:val="2D5F028F"/>
    <w:rsid w:val="2E6419C2"/>
    <w:rsid w:val="2EC5794C"/>
    <w:rsid w:val="2F124B1C"/>
    <w:rsid w:val="2F45482D"/>
    <w:rsid w:val="2F477084"/>
    <w:rsid w:val="2FE830BB"/>
    <w:rsid w:val="2FED62DF"/>
    <w:rsid w:val="2FF24A9E"/>
    <w:rsid w:val="305F0D15"/>
    <w:rsid w:val="307D673F"/>
    <w:rsid w:val="31324247"/>
    <w:rsid w:val="313D1FE0"/>
    <w:rsid w:val="320D3218"/>
    <w:rsid w:val="32985053"/>
    <w:rsid w:val="32B20743"/>
    <w:rsid w:val="32E31462"/>
    <w:rsid w:val="32E81473"/>
    <w:rsid w:val="34280373"/>
    <w:rsid w:val="3439458D"/>
    <w:rsid w:val="345D5D57"/>
    <w:rsid w:val="350A079B"/>
    <w:rsid w:val="35306958"/>
    <w:rsid w:val="35316934"/>
    <w:rsid w:val="35C15576"/>
    <w:rsid w:val="35C46C85"/>
    <w:rsid w:val="36D45DBC"/>
    <w:rsid w:val="37571F09"/>
    <w:rsid w:val="38014F46"/>
    <w:rsid w:val="38E97278"/>
    <w:rsid w:val="391E6950"/>
    <w:rsid w:val="3A1337DD"/>
    <w:rsid w:val="3A1A525E"/>
    <w:rsid w:val="3B380893"/>
    <w:rsid w:val="3BF00194"/>
    <w:rsid w:val="3C175755"/>
    <w:rsid w:val="3C725167"/>
    <w:rsid w:val="3C9839FA"/>
    <w:rsid w:val="3CB04E80"/>
    <w:rsid w:val="3CB15132"/>
    <w:rsid w:val="3CC67CD4"/>
    <w:rsid w:val="3D96637E"/>
    <w:rsid w:val="3DEC2498"/>
    <w:rsid w:val="3E4F494F"/>
    <w:rsid w:val="40A419F9"/>
    <w:rsid w:val="40BE3049"/>
    <w:rsid w:val="420665E2"/>
    <w:rsid w:val="42547D8B"/>
    <w:rsid w:val="42A75D9F"/>
    <w:rsid w:val="42F23437"/>
    <w:rsid w:val="43663E29"/>
    <w:rsid w:val="444769AF"/>
    <w:rsid w:val="44EA4606"/>
    <w:rsid w:val="458C667A"/>
    <w:rsid w:val="46366161"/>
    <w:rsid w:val="46465AAA"/>
    <w:rsid w:val="467D2F1A"/>
    <w:rsid w:val="46CE1703"/>
    <w:rsid w:val="46E35449"/>
    <w:rsid w:val="473960E8"/>
    <w:rsid w:val="47A07BC1"/>
    <w:rsid w:val="47A4555A"/>
    <w:rsid w:val="47E81A91"/>
    <w:rsid w:val="48080763"/>
    <w:rsid w:val="485128BA"/>
    <w:rsid w:val="48737219"/>
    <w:rsid w:val="48C0687E"/>
    <w:rsid w:val="48EE371C"/>
    <w:rsid w:val="49574371"/>
    <w:rsid w:val="49CF3E0F"/>
    <w:rsid w:val="49E32D62"/>
    <w:rsid w:val="4A222BB1"/>
    <w:rsid w:val="4D005CCE"/>
    <w:rsid w:val="4DE45808"/>
    <w:rsid w:val="4E053CA7"/>
    <w:rsid w:val="4E9448CD"/>
    <w:rsid w:val="4F374C6E"/>
    <w:rsid w:val="4FF65309"/>
    <w:rsid w:val="505F0174"/>
    <w:rsid w:val="50A050A3"/>
    <w:rsid w:val="51352836"/>
    <w:rsid w:val="51A13899"/>
    <w:rsid w:val="52581E68"/>
    <w:rsid w:val="528771C6"/>
    <w:rsid w:val="531600B4"/>
    <w:rsid w:val="535A1FCB"/>
    <w:rsid w:val="536561B2"/>
    <w:rsid w:val="53791B43"/>
    <w:rsid w:val="53FA012A"/>
    <w:rsid w:val="54150FD2"/>
    <w:rsid w:val="544C0545"/>
    <w:rsid w:val="55684A64"/>
    <w:rsid w:val="557F3457"/>
    <w:rsid w:val="565D0CAB"/>
    <w:rsid w:val="56626902"/>
    <w:rsid w:val="56886D20"/>
    <w:rsid w:val="57820645"/>
    <w:rsid w:val="57D2139A"/>
    <w:rsid w:val="57DF4B76"/>
    <w:rsid w:val="586B1477"/>
    <w:rsid w:val="58A31F4C"/>
    <w:rsid w:val="59484EC2"/>
    <w:rsid w:val="59D8788A"/>
    <w:rsid w:val="5A85418B"/>
    <w:rsid w:val="5BAE2A99"/>
    <w:rsid w:val="5C1717D9"/>
    <w:rsid w:val="5C1A7007"/>
    <w:rsid w:val="5C20031E"/>
    <w:rsid w:val="5C8222FF"/>
    <w:rsid w:val="5CB139A0"/>
    <w:rsid w:val="5CD938B8"/>
    <w:rsid w:val="5D823D4C"/>
    <w:rsid w:val="5D912123"/>
    <w:rsid w:val="5DD54801"/>
    <w:rsid w:val="5E8E5AC1"/>
    <w:rsid w:val="5E921C4D"/>
    <w:rsid w:val="5EE83EB0"/>
    <w:rsid w:val="5EFB17CA"/>
    <w:rsid w:val="5F4A434F"/>
    <w:rsid w:val="6001186C"/>
    <w:rsid w:val="60DB3FC7"/>
    <w:rsid w:val="614E3A65"/>
    <w:rsid w:val="617D2E49"/>
    <w:rsid w:val="61BC4DC2"/>
    <w:rsid w:val="634675E2"/>
    <w:rsid w:val="638962A8"/>
    <w:rsid w:val="63BF3CCD"/>
    <w:rsid w:val="63F4509F"/>
    <w:rsid w:val="6486046D"/>
    <w:rsid w:val="64BF36B4"/>
    <w:rsid w:val="64C76A4D"/>
    <w:rsid w:val="64FE6613"/>
    <w:rsid w:val="66980FBD"/>
    <w:rsid w:val="67341FB4"/>
    <w:rsid w:val="67F03A67"/>
    <w:rsid w:val="68D23C1D"/>
    <w:rsid w:val="69294622"/>
    <w:rsid w:val="69995CD6"/>
    <w:rsid w:val="69CA0494"/>
    <w:rsid w:val="69FB4D8B"/>
    <w:rsid w:val="6C2234CC"/>
    <w:rsid w:val="6D32159C"/>
    <w:rsid w:val="6D351CF7"/>
    <w:rsid w:val="6EB746A7"/>
    <w:rsid w:val="6F34277B"/>
    <w:rsid w:val="6F832092"/>
    <w:rsid w:val="7039129F"/>
    <w:rsid w:val="704D75D1"/>
    <w:rsid w:val="70506DB5"/>
    <w:rsid w:val="7072440C"/>
    <w:rsid w:val="7092622D"/>
    <w:rsid w:val="71CB356E"/>
    <w:rsid w:val="71EC2A56"/>
    <w:rsid w:val="737E090F"/>
    <w:rsid w:val="73E067CA"/>
    <w:rsid w:val="741756AE"/>
    <w:rsid w:val="741A563C"/>
    <w:rsid w:val="751414C1"/>
    <w:rsid w:val="755446EC"/>
    <w:rsid w:val="755E1E93"/>
    <w:rsid w:val="75752706"/>
    <w:rsid w:val="75AB4839"/>
    <w:rsid w:val="76015A01"/>
    <w:rsid w:val="76721B44"/>
    <w:rsid w:val="767C5E46"/>
    <w:rsid w:val="76B625A7"/>
    <w:rsid w:val="770C5354"/>
    <w:rsid w:val="782C7615"/>
    <w:rsid w:val="787D7581"/>
    <w:rsid w:val="78AF68A0"/>
    <w:rsid w:val="78C37659"/>
    <w:rsid w:val="790B56C3"/>
    <w:rsid w:val="7B0155BF"/>
    <w:rsid w:val="7BC16393"/>
    <w:rsid w:val="7C1D0C87"/>
    <w:rsid w:val="7CE65B0A"/>
    <w:rsid w:val="7DE1586C"/>
    <w:rsid w:val="7E4C7A10"/>
    <w:rsid w:val="7E4D2297"/>
    <w:rsid w:val="7E583278"/>
    <w:rsid w:val="7EB52D4A"/>
    <w:rsid w:val="7EC43622"/>
    <w:rsid w:val="7ECA7D27"/>
    <w:rsid w:val="7EEC1A19"/>
    <w:rsid w:val="7EF735F0"/>
    <w:rsid w:val="7F0A2998"/>
    <w:rsid w:val="7F0B0D76"/>
    <w:rsid w:val="7F130E11"/>
    <w:rsid w:val="7FF93B4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qFormat="1" w:unhideWhenUsed="0" w:uiPriority="39" w:semiHidden="0" w:name="toc 3"/>
    <w:lsdException w:uiPriority="39" w:name="toc 4"/>
    <w:lsdException w:qFormat="1" w:unhideWhenUsed="0" w:uiPriority="39" w:semiHidden="0"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0"/>
    <w:qFormat/>
    <w:uiPriority w:val="0"/>
    <w:pPr>
      <w:keepNext/>
      <w:keepLines/>
      <w:numPr>
        <w:ilvl w:val="0"/>
        <w:numId w:val="1"/>
      </w:numPr>
      <w:adjustRightInd w:val="0"/>
      <w:spacing w:before="340" w:after="330" w:line="578" w:lineRule="atLeast"/>
      <w:ind w:left="0"/>
      <w:jc w:val="left"/>
      <w:textAlignment w:val="baseline"/>
      <w:outlineLvl w:val="0"/>
    </w:pPr>
    <w:rPr>
      <w:rFonts w:ascii="Calibri" w:hAnsi="Calibri" w:eastAsia="宋体" w:cs="Times New Roman"/>
      <w:b/>
      <w:bCs/>
      <w:kern w:val="44"/>
      <w:sz w:val="44"/>
      <w:szCs w:val="44"/>
    </w:rPr>
  </w:style>
  <w:style w:type="paragraph" w:styleId="4">
    <w:name w:val="heading 2"/>
    <w:basedOn w:val="1"/>
    <w:next w:val="1"/>
    <w:link w:val="31"/>
    <w:qFormat/>
    <w:uiPriority w:val="0"/>
    <w:pPr>
      <w:keepNext/>
      <w:keepLines/>
      <w:numPr>
        <w:ilvl w:val="1"/>
        <w:numId w:val="1"/>
      </w:numPr>
      <w:adjustRightInd w:val="0"/>
      <w:spacing w:before="260" w:after="260" w:line="416" w:lineRule="atLeast"/>
      <w:jc w:val="left"/>
      <w:textAlignment w:val="baseline"/>
      <w:outlineLvl w:val="1"/>
    </w:pPr>
    <w:rPr>
      <w:rFonts w:ascii="Arial" w:hAnsi="Arial" w:eastAsia="黑体" w:cs="Times New Roman"/>
      <w:b/>
      <w:bCs/>
      <w:kern w:val="0"/>
      <w:sz w:val="32"/>
      <w:szCs w:val="32"/>
    </w:rPr>
  </w:style>
  <w:style w:type="paragraph" w:styleId="5">
    <w:name w:val="heading 3"/>
    <w:basedOn w:val="1"/>
    <w:next w:val="1"/>
    <w:link w:val="32"/>
    <w:qFormat/>
    <w:uiPriority w:val="0"/>
    <w:pPr>
      <w:autoSpaceDE w:val="0"/>
      <w:autoSpaceDN w:val="0"/>
      <w:adjustRightInd w:val="0"/>
      <w:spacing w:afterLines="50" w:line="360" w:lineRule="auto"/>
      <w:ind w:left="-4"/>
      <w:jc w:val="center"/>
      <w:outlineLvl w:val="2"/>
    </w:pPr>
    <w:rPr>
      <w:rFonts w:ascii="宋体" w:hAnsi="宋体" w:eastAsia="宋体" w:cs="Times New Roman"/>
      <w:b/>
      <w:color w:val="000000"/>
      <w:kern w:val="0"/>
      <w:sz w:val="24"/>
      <w:szCs w:val="20"/>
      <w:lang w:val="en-GB"/>
    </w:rPr>
  </w:style>
  <w:style w:type="paragraph" w:styleId="6">
    <w:name w:val="heading 4"/>
    <w:basedOn w:val="1"/>
    <w:next w:val="1"/>
    <w:link w:val="33"/>
    <w:qFormat/>
    <w:uiPriority w:val="0"/>
    <w:pPr>
      <w:keepNext/>
      <w:keepLines/>
      <w:numPr>
        <w:ilvl w:val="3"/>
        <w:numId w:val="1"/>
      </w:numPr>
      <w:adjustRightInd w:val="0"/>
      <w:spacing w:before="280" w:after="290" w:line="376" w:lineRule="atLeast"/>
      <w:jc w:val="left"/>
      <w:textAlignment w:val="baseline"/>
      <w:outlineLvl w:val="3"/>
    </w:pPr>
    <w:rPr>
      <w:rFonts w:ascii="Arial" w:hAnsi="Arial" w:eastAsia="黑体" w:cs="Times New Roman"/>
      <w:b/>
      <w:bCs/>
      <w:kern w:val="0"/>
      <w:sz w:val="28"/>
      <w:szCs w:val="28"/>
    </w:rPr>
  </w:style>
  <w:style w:type="character" w:default="1" w:styleId="25">
    <w:name w:val="Default Paragraph Font"/>
    <w:semiHidden/>
    <w:unhideWhenUsed/>
    <w:qFormat/>
    <w:uiPriority w:val="1"/>
  </w:style>
  <w:style w:type="table" w:default="1" w:styleId="24">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正文"/>
    <w:basedOn w:val="1"/>
    <w:qFormat/>
    <w:uiPriority w:val="0"/>
    <w:pPr>
      <w:keepNext/>
      <w:keepLines/>
      <w:spacing w:line="360" w:lineRule="auto"/>
      <w:ind w:firstLine="200" w:firstLineChars="200"/>
    </w:pPr>
    <w:rPr>
      <w:rFonts w:ascii="宋体" w:hAnsi="宋体"/>
    </w:rPr>
  </w:style>
  <w:style w:type="paragraph" w:styleId="7">
    <w:name w:val="Normal Indent"/>
    <w:basedOn w:val="1"/>
    <w:qFormat/>
    <w:uiPriority w:val="0"/>
    <w:pPr>
      <w:ind w:firstLine="425"/>
    </w:pPr>
    <w:rPr>
      <w:rFonts w:ascii="Times New Roman" w:hAnsi="Times New Roman" w:eastAsia="宋体" w:cs="Times New Roman"/>
      <w:szCs w:val="20"/>
    </w:rPr>
  </w:style>
  <w:style w:type="paragraph" w:styleId="8">
    <w:name w:val="caption"/>
    <w:basedOn w:val="1"/>
    <w:next w:val="1"/>
    <w:qFormat/>
    <w:uiPriority w:val="0"/>
    <w:rPr>
      <w:rFonts w:ascii="Arial" w:hAnsi="Arial" w:eastAsia="黑体" w:cs="Arial"/>
      <w:sz w:val="20"/>
      <w:szCs w:val="20"/>
    </w:rPr>
  </w:style>
  <w:style w:type="paragraph" w:styleId="9">
    <w:name w:val="Body Text 3"/>
    <w:basedOn w:val="1"/>
    <w:link w:val="34"/>
    <w:qFormat/>
    <w:uiPriority w:val="0"/>
    <w:rPr>
      <w:rFonts w:ascii="Times New Roman" w:hAnsi="Times New Roman" w:eastAsia="宋体" w:cs="Times New Roman"/>
      <w:color w:val="FF0000"/>
      <w:sz w:val="24"/>
      <w:szCs w:val="24"/>
    </w:rPr>
  </w:style>
  <w:style w:type="paragraph" w:styleId="10">
    <w:name w:val="Body Text"/>
    <w:basedOn w:val="1"/>
    <w:link w:val="35"/>
    <w:semiHidden/>
    <w:unhideWhenUsed/>
    <w:qFormat/>
    <w:uiPriority w:val="99"/>
    <w:pPr>
      <w:spacing w:after="120"/>
    </w:pPr>
  </w:style>
  <w:style w:type="paragraph" w:styleId="11">
    <w:name w:val="Body Text Indent"/>
    <w:basedOn w:val="1"/>
    <w:link w:val="57"/>
    <w:qFormat/>
    <w:uiPriority w:val="0"/>
    <w:pPr>
      <w:adjustRightInd w:val="0"/>
      <w:spacing w:after="120" w:line="360" w:lineRule="atLeast"/>
      <w:ind w:left="420" w:leftChars="200"/>
      <w:jc w:val="left"/>
      <w:textAlignment w:val="baseline"/>
    </w:pPr>
    <w:rPr>
      <w:kern w:val="0"/>
      <w:sz w:val="24"/>
      <w:szCs w:val="20"/>
    </w:rPr>
  </w:style>
  <w:style w:type="paragraph" w:styleId="12">
    <w:name w:val="toc 5"/>
    <w:basedOn w:val="1"/>
    <w:next w:val="1"/>
    <w:qFormat/>
    <w:uiPriority w:val="39"/>
    <w:pPr>
      <w:spacing w:line="276" w:lineRule="auto"/>
      <w:ind w:left="960"/>
      <w:jc w:val="center"/>
    </w:pPr>
    <w:rPr>
      <w:rFonts w:ascii="Times New Roman" w:hAnsi="Times New Roman" w:eastAsia="宋体" w:cs="Times New Roman"/>
      <w:b/>
      <w:color w:val="000000"/>
      <w:sz w:val="36"/>
      <w:szCs w:val="36"/>
    </w:rPr>
  </w:style>
  <w:style w:type="paragraph" w:styleId="13">
    <w:name w:val="toc 3"/>
    <w:basedOn w:val="1"/>
    <w:next w:val="1"/>
    <w:qFormat/>
    <w:uiPriority w:val="39"/>
    <w:pPr>
      <w:ind w:left="480"/>
      <w:jc w:val="left"/>
    </w:pPr>
    <w:rPr>
      <w:rFonts w:ascii="Times New Roman" w:hAnsi="Times New Roman" w:eastAsia="宋体" w:cs="Times New Roman"/>
      <w:i/>
      <w:iCs/>
      <w:color w:val="0000FF"/>
      <w:sz w:val="20"/>
      <w:szCs w:val="20"/>
    </w:rPr>
  </w:style>
  <w:style w:type="paragraph" w:styleId="14">
    <w:name w:val="Plain Text"/>
    <w:basedOn w:val="1"/>
    <w:link w:val="36"/>
    <w:qFormat/>
    <w:uiPriority w:val="0"/>
    <w:rPr>
      <w:rFonts w:eastAsia="宋体"/>
      <w:sz w:val="24"/>
    </w:rPr>
  </w:style>
  <w:style w:type="paragraph" w:styleId="15">
    <w:name w:val="Date"/>
    <w:basedOn w:val="1"/>
    <w:next w:val="1"/>
    <w:link w:val="37"/>
    <w:unhideWhenUsed/>
    <w:qFormat/>
    <w:uiPriority w:val="99"/>
    <w:pPr>
      <w:ind w:left="100" w:leftChars="2500"/>
    </w:pPr>
  </w:style>
  <w:style w:type="paragraph" w:styleId="16">
    <w:name w:val="Balloon Text"/>
    <w:basedOn w:val="1"/>
    <w:link w:val="58"/>
    <w:semiHidden/>
    <w:unhideWhenUsed/>
    <w:qFormat/>
    <w:uiPriority w:val="99"/>
    <w:rPr>
      <w:sz w:val="18"/>
      <w:szCs w:val="18"/>
    </w:rPr>
  </w:style>
  <w:style w:type="paragraph" w:styleId="17">
    <w:name w:val="footer"/>
    <w:basedOn w:val="1"/>
    <w:link w:val="38"/>
    <w:unhideWhenUsed/>
    <w:qFormat/>
    <w:uiPriority w:val="99"/>
    <w:pPr>
      <w:tabs>
        <w:tab w:val="center" w:pos="4153"/>
        <w:tab w:val="right" w:pos="8306"/>
      </w:tabs>
      <w:snapToGrid w:val="0"/>
      <w:jc w:val="left"/>
    </w:pPr>
    <w:rPr>
      <w:sz w:val="18"/>
      <w:szCs w:val="18"/>
    </w:rPr>
  </w:style>
  <w:style w:type="paragraph" w:styleId="18">
    <w:name w:val="header"/>
    <w:basedOn w:val="1"/>
    <w:link w:val="39"/>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pPr>
      <w:spacing w:before="120" w:after="120"/>
      <w:jc w:val="left"/>
    </w:pPr>
    <w:rPr>
      <w:rFonts w:ascii="Times New Roman" w:hAnsi="Times New Roman" w:eastAsia="宋体" w:cs="Times New Roman"/>
      <w:b/>
      <w:bCs/>
      <w:caps/>
      <w:color w:val="0000FF"/>
      <w:sz w:val="20"/>
      <w:szCs w:val="20"/>
    </w:rPr>
  </w:style>
  <w:style w:type="paragraph" w:styleId="20">
    <w:name w:val="HTML Preformatted"/>
    <w:basedOn w:val="1"/>
    <w:link w:val="40"/>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21">
    <w:name w:val="Normal (Web)"/>
    <w:basedOn w:val="1"/>
    <w:qFormat/>
    <w:uiPriority w:val="99"/>
    <w:rPr>
      <w:rFonts w:ascii="Calibri" w:hAnsi="Calibri" w:eastAsia="宋体" w:cs="Times New Roman"/>
      <w:sz w:val="24"/>
      <w:szCs w:val="24"/>
    </w:rPr>
  </w:style>
  <w:style w:type="paragraph" w:styleId="22">
    <w:name w:val="Body Text First Indent"/>
    <w:basedOn w:val="10"/>
    <w:next w:val="23"/>
    <w:link w:val="41"/>
    <w:qFormat/>
    <w:uiPriority w:val="0"/>
    <w:pPr>
      <w:ind w:firstLine="420" w:firstLineChars="100"/>
    </w:pPr>
    <w:rPr>
      <w:rFonts w:ascii="宋体" w:hAnsi="Times New Roman" w:eastAsia="宋体" w:cs="Times New Roman"/>
      <w:kern w:val="0"/>
      <w:sz w:val="34"/>
      <w:szCs w:val="20"/>
    </w:rPr>
  </w:style>
  <w:style w:type="paragraph" w:styleId="23">
    <w:name w:val="Body Text First Indent 2"/>
    <w:basedOn w:val="11"/>
    <w:qFormat/>
    <w:uiPriority w:val="0"/>
    <w:pPr>
      <w:ind w:firstLine="420" w:firstLineChars="200"/>
    </w:pPr>
    <w:rPr>
      <w:szCs w:val="24"/>
    </w:rPr>
  </w:style>
  <w:style w:type="character" w:styleId="26">
    <w:name w:val="Strong"/>
    <w:basedOn w:val="25"/>
    <w:qFormat/>
    <w:uiPriority w:val="22"/>
    <w:rPr>
      <w:b/>
      <w:bCs/>
    </w:rPr>
  </w:style>
  <w:style w:type="character" w:styleId="27">
    <w:name w:val="FollowedHyperlink"/>
    <w:basedOn w:val="25"/>
    <w:semiHidden/>
    <w:unhideWhenUsed/>
    <w:qFormat/>
    <w:uiPriority w:val="99"/>
    <w:rPr>
      <w:color w:val="800080" w:themeColor="followedHyperlink"/>
      <w:u w:val="single"/>
      <w14:textFill>
        <w14:solidFill>
          <w14:schemeClr w14:val="folHlink"/>
        </w14:solidFill>
      </w14:textFill>
    </w:rPr>
  </w:style>
  <w:style w:type="character" w:styleId="28">
    <w:name w:val="Emphasis"/>
    <w:basedOn w:val="25"/>
    <w:qFormat/>
    <w:uiPriority w:val="20"/>
    <w:rPr>
      <w:i/>
      <w:iCs/>
    </w:rPr>
  </w:style>
  <w:style w:type="character" w:styleId="29">
    <w:name w:val="Hyperlink"/>
    <w:basedOn w:val="25"/>
    <w:unhideWhenUsed/>
    <w:qFormat/>
    <w:uiPriority w:val="99"/>
    <w:rPr>
      <w:color w:val="0000FF"/>
      <w:u w:val="single"/>
    </w:rPr>
  </w:style>
  <w:style w:type="character" w:customStyle="1" w:styleId="30">
    <w:name w:val="标题 1 Char"/>
    <w:basedOn w:val="25"/>
    <w:link w:val="3"/>
    <w:qFormat/>
    <w:uiPriority w:val="0"/>
    <w:rPr>
      <w:rFonts w:ascii="Calibri" w:hAnsi="Calibri" w:eastAsia="宋体" w:cs="Times New Roman"/>
      <w:b/>
      <w:bCs/>
      <w:kern w:val="44"/>
      <w:sz w:val="44"/>
      <w:szCs w:val="44"/>
    </w:rPr>
  </w:style>
  <w:style w:type="character" w:customStyle="1" w:styleId="31">
    <w:name w:val="标题 2 Char"/>
    <w:basedOn w:val="25"/>
    <w:link w:val="4"/>
    <w:qFormat/>
    <w:uiPriority w:val="0"/>
    <w:rPr>
      <w:rFonts w:ascii="Arial" w:hAnsi="Arial" w:eastAsia="黑体" w:cs="Times New Roman"/>
      <w:b/>
      <w:bCs/>
      <w:sz w:val="32"/>
      <w:szCs w:val="32"/>
    </w:rPr>
  </w:style>
  <w:style w:type="character" w:customStyle="1" w:styleId="32">
    <w:name w:val="标题 3 Char"/>
    <w:basedOn w:val="25"/>
    <w:link w:val="5"/>
    <w:qFormat/>
    <w:uiPriority w:val="0"/>
    <w:rPr>
      <w:rFonts w:ascii="宋体" w:hAnsi="宋体" w:eastAsia="宋体" w:cs="Times New Roman"/>
      <w:b/>
      <w:color w:val="000000"/>
      <w:kern w:val="0"/>
      <w:sz w:val="24"/>
      <w:szCs w:val="20"/>
      <w:lang w:val="en-GB"/>
    </w:rPr>
  </w:style>
  <w:style w:type="character" w:customStyle="1" w:styleId="33">
    <w:name w:val="标题 4 Char"/>
    <w:basedOn w:val="25"/>
    <w:link w:val="6"/>
    <w:qFormat/>
    <w:uiPriority w:val="0"/>
    <w:rPr>
      <w:rFonts w:ascii="Arial" w:hAnsi="Arial" w:eastAsia="黑体" w:cs="Times New Roman"/>
      <w:b/>
      <w:bCs/>
      <w:sz w:val="28"/>
      <w:szCs w:val="28"/>
    </w:rPr>
  </w:style>
  <w:style w:type="character" w:customStyle="1" w:styleId="34">
    <w:name w:val="正文文本 3 Char"/>
    <w:basedOn w:val="25"/>
    <w:link w:val="9"/>
    <w:qFormat/>
    <w:uiPriority w:val="0"/>
    <w:rPr>
      <w:rFonts w:ascii="Times New Roman" w:hAnsi="Times New Roman" w:eastAsia="宋体" w:cs="Times New Roman"/>
      <w:color w:val="FF0000"/>
      <w:sz w:val="24"/>
      <w:szCs w:val="24"/>
    </w:rPr>
  </w:style>
  <w:style w:type="character" w:customStyle="1" w:styleId="35">
    <w:name w:val="正文文本 Char"/>
    <w:basedOn w:val="25"/>
    <w:link w:val="10"/>
    <w:semiHidden/>
    <w:qFormat/>
    <w:uiPriority w:val="99"/>
  </w:style>
  <w:style w:type="character" w:customStyle="1" w:styleId="36">
    <w:name w:val="纯文本 Char"/>
    <w:basedOn w:val="25"/>
    <w:link w:val="14"/>
    <w:qFormat/>
    <w:uiPriority w:val="0"/>
    <w:rPr>
      <w:rFonts w:eastAsia="宋体"/>
      <w:sz w:val="24"/>
    </w:rPr>
  </w:style>
  <w:style w:type="character" w:customStyle="1" w:styleId="37">
    <w:name w:val="日期 Char"/>
    <w:basedOn w:val="25"/>
    <w:link w:val="15"/>
    <w:qFormat/>
    <w:uiPriority w:val="99"/>
  </w:style>
  <w:style w:type="character" w:customStyle="1" w:styleId="38">
    <w:name w:val="页脚 Char"/>
    <w:basedOn w:val="25"/>
    <w:link w:val="17"/>
    <w:qFormat/>
    <w:uiPriority w:val="99"/>
    <w:rPr>
      <w:sz w:val="18"/>
      <w:szCs w:val="18"/>
    </w:rPr>
  </w:style>
  <w:style w:type="character" w:customStyle="1" w:styleId="39">
    <w:name w:val="页眉 Char"/>
    <w:basedOn w:val="25"/>
    <w:link w:val="18"/>
    <w:qFormat/>
    <w:uiPriority w:val="99"/>
    <w:rPr>
      <w:sz w:val="18"/>
      <w:szCs w:val="18"/>
    </w:rPr>
  </w:style>
  <w:style w:type="character" w:customStyle="1" w:styleId="40">
    <w:name w:val="HTML 预设格式 Char"/>
    <w:basedOn w:val="25"/>
    <w:link w:val="20"/>
    <w:semiHidden/>
    <w:qFormat/>
    <w:uiPriority w:val="99"/>
    <w:rPr>
      <w:rFonts w:ascii="宋体" w:hAnsi="宋体" w:eastAsia="宋体" w:cs="宋体"/>
      <w:kern w:val="0"/>
      <w:sz w:val="24"/>
      <w:szCs w:val="24"/>
    </w:rPr>
  </w:style>
  <w:style w:type="character" w:customStyle="1" w:styleId="41">
    <w:name w:val="正文首行缩进 Char"/>
    <w:basedOn w:val="35"/>
    <w:link w:val="22"/>
    <w:qFormat/>
    <w:uiPriority w:val="0"/>
    <w:rPr>
      <w:rFonts w:ascii="宋体" w:hAnsi="Times New Roman" w:eastAsia="宋体" w:cs="Times New Roman"/>
      <w:kern w:val="0"/>
      <w:sz w:val="34"/>
      <w:szCs w:val="20"/>
    </w:rPr>
  </w:style>
  <w:style w:type="character" w:customStyle="1" w:styleId="42">
    <w:name w:val="纯文本 Char1"/>
    <w:qFormat/>
    <w:uiPriority w:val="0"/>
    <w:rPr>
      <w:rFonts w:eastAsia="宋体"/>
      <w:sz w:val="24"/>
    </w:rPr>
  </w:style>
  <w:style w:type="paragraph" w:customStyle="1" w:styleId="43">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customStyle="1" w:styleId="44">
    <w:name w:val="列出段落1"/>
    <w:basedOn w:val="1"/>
    <w:qFormat/>
    <w:uiPriority w:val="34"/>
    <w:pPr>
      <w:ind w:firstLine="420" w:firstLineChars="200"/>
    </w:pPr>
  </w:style>
  <w:style w:type="paragraph" w:styleId="45">
    <w:name w:val="List Paragraph"/>
    <w:basedOn w:val="1"/>
    <w:unhideWhenUsed/>
    <w:qFormat/>
    <w:uiPriority w:val="99"/>
    <w:pPr>
      <w:ind w:firstLine="420" w:firstLineChars="200"/>
    </w:pPr>
  </w:style>
  <w:style w:type="character" w:customStyle="1" w:styleId="46">
    <w:name w:val="正文文本缩进 Char Char"/>
    <w:link w:val="47"/>
    <w:qFormat/>
    <w:uiPriority w:val="0"/>
    <w:rPr>
      <w:rFonts w:ascii="宋体"/>
      <w:sz w:val="24"/>
    </w:rPr>
  </w:style>
  <w:style w:type="paragraph" w:customStyle="1" w:styleId="47">
    <w:name w:val="正文文本缩进1"/>
    <w:basedOn w:val="1"/>
    <w:link w:val="46"/>
    <w:qFormat/>
    <w:uiPriority w:val="0"/>
    <w:pPr>
      <w:spacing w:line="360" w:lineRule="auto"/>
      <w:ind w:firstLine="480" w:firstLineChars="200"/>
    </w:pPr>
    <w:rPr>
      <w:rFonts w:ascii="宋体"/>
      <w:sz w:val="24"/>
    </w:rPr>
  </w:style>
  <w:style w:type="character" w:customStyle="1" w:styleId="48">
    <w:name w:val="日期 Char Char"/>
    <w:link w:val="49"/>
    <w:qFormat/>
    <w:uiPriority w:val="0"/>
    <w:rPr>
      <w:sz w:val="24"/>
    </w:rPr>
  </w:style>
  <w:style w:type="paragraph" w:customStyle="1" w:styleId="49">
    <w:name w:val="日期1"/>
    <w:basedOn w:val="1"/>
    <w:next w:val="1"/>
    <w:link w:val="48"/>
    <w:qFormat/>
    <w:uiPriority w:val="0"/>
    <w:rPr>
      <w:sz w:val="24"/>
    </w:rPr>
  </w:style>
  <w:style w:type="paragraph" w:customStyle="1" w:styleId="50">
    <w:name w:val="正文缩进1"/>
    <w:basedOn w:val="1"/>
    <w:qFormat/>
    <w:uiPriority w:val="0"/>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51">
    <w:name w:val="样式1"/>
    <w:basedOn w:val="1"/>
    <w:qFormat/>
    <w:uiPriority w:val="0"/>
    <w:pPr>
      <w:numPr>
        <w:ilvl w:val="0"/>
        <w:numId w:val="2"/>
      </w:numPr>
      <w:adjustRightInd w:val="0"/>
      <w:textAlignment w:val="baseline"/>
    </w:pPr>
    <w:rPr>
      <w:rFonts w:ascii="宋体" w:hAnsi="宋体" w:eastAsia="宋体" w:cs="Times New Roman"/>
      <w:kern w:val="0"/>
      <w:szCs w:val="21"/>
    </w:rPr>
  </w:style>
  <w:style w:type="paragraph" w:customStyle="1" w:styleId="52">
    <w:name w:val="图"/>
    <w:basedOn w:val="1"/>
    <w:qFormat/>
    <w:uiPriority w:val="0"/>
    <w:pPr>
      <w:keepNext/>
      <w:adjustRightInd w:val="0"/>
      <w:spacing w:before="60" w:after="60" w:line="300" w:lineRule="auto"/>
      <w:jc w:val="center"/>
      <w:textAlignment w:val="center"/>
    </w:pPr>
    <w:rPr>
      <w:rFonts w:ascii="Times New Roman" w:hAnsi="Times New Roman" w:eastAsia="宋体" w:cs="Times New Roman"/>
      <w:snapToGrid w:val="0"/>
      <w:color w:val="0000FF"/>
      <w:spacing w:val="20"/>
      <w:kern w:val="0"/>
      <w:sz w:val="24"/>
      <w:szCs w:val="20"/>
    </w:rPr>
  </w:style>
  <w:style w:type="character" w:customStyle="1" w:styleId="53">
    <w:name w:val="edittexttarea"/>
    <w:basedOn w:val="25"/>
    <w:qFormat/>
    <w:uiPriority w:val="0"/>
  </w:style>
  <w:style w:type="paragraph" w:customStyle="1" w:styleId="54">
    <w:name w:val="样式 标题 1 + 四号 居中 段前: 12 磅 段后: 12 磅 行距: 单倍行距"/>
    <w:basedOn w:val="3"/>
    <w:qFormat/>
    <w:uiPriority w:val="0"/>
    <w:pPr>
      <w:spacing w:before="240" w:after="240" w:line="240" w:lineRule="auto"/>
      <w:ind w:left="-288"/>
      <w:jc w:val="center"/>
    </w:pPr>
    <w:rPr>
      <w:rFonts w:cs="宋体"/>
      <w:sz w:val="28"/>
      <w:szCs w:val="20"/>
    </w:rPr>
  </w:style>
  <w:style w:type="paragraph" w:customStyle="1" w:styleId="55">
    <w:name w:val="样式 样式 样式 样式 标题 2 + 宋体 五号 非加粗 黑色 + 段前: 6 磅 段后: 0 磅 行距: 单倍行距 + 段前:..."/>
    <w:basedOn w:val="1"/>
    <w:qFormat/>
    <w:uiPriority w:val="0"/>
    <w:pPr>
      <w:keepNext/>
      <w:keepLines/>
      <w:numPr>
        <w:ilvl w:val="0"/>
        <w:numId w:val="3"/>
      </w:numPr>
      <w:adjustRightInd w:val="0"/>
      <w:spacing w:before="240"/>
      <w:jc w:val="left"/>
      <w:textAlignment w:val="baseline"/>
      <w:outlineLvl w:val="1"/>
    </w:pPr>
    <w:rPr>
      <w:rFonts w:ascii="宋体" w:hAnsi="宋体" w:eastAsia="宋体" w:cs="宋体"/>
      <w:b/>
      <w:bCs/>
      <w:color w:val="000000"/>
      <w:kern w:val="0"/>
      <w:szCs w:val="20"/>
    </w:rPr>
  </w:style>
  <w:style w:type="character" w:customStyle="1" w:styleId="56">
    <w:name w:val="正文文本缩进 Char"/>
    <w:link w:val="11"/>
    <w:qFormat/>
    <w:uiPriority w:val="0"/>
    <w:rPr>
      <w:sz w:val="24"/>
    </w:rPr>
  </w:style>
  <w:style w:type="character" w:customStyle="1" w:styleId="57">
    <w:name w:val="正文文本缩进 Char1"/>
    <w:basedOn w:val="25"/>
    <w:link w:val="11"/>
    <w:semiHidden/>
    <w:qFormat/>
    <w:uiPriority w:val="99"/>
    <w:rPr>
      <w:kern w:val="2"/>
      <w:sz w:val="21"/>
      <w:szCs w:val="22"/>
    </w:rPr>
  </w:style>
  <w:style w:type="character" w:customStyle="1" w:styleId="58">
    <w:name w:val="批注框文本 Char"/>
    <w:basedOn w:val="25"/>
    <w:link w:val="16"/>
    <w:semiHidden/>
    <w:qFormat/>
    <w:uiPriority w:val="99"/>
    <w:rPr>
      <w:kern w:val="2"/>
      <w:sz w:val="18"/>
      <w:szCs w:val="18"/>
    </w:rPr>
  </w:style>
  <w:style w:type="character" w:customStyle="1" w:styleId="59">
    <w:name w:val="样式 标书正文 + 下划线 Char"/>
    <w:qFormat/>
    <w:uiPriority w:val="0"/>
    <w:rPr>
      <w:rFonts w:eastAsia="Ari"/>
      <w:kern w:val="2"/>
      <w:sz w:val="28"/>
      <w:szCs w:val="28"/>
      <w:u w:val="single"/>
      <w:lang w:val="en-US" w:eastAsia="zh-CN"/>
    </w:rPr>
  </w:style>
  <w:style w:type="paragraph" w:customStyle="1" w:styleId="60">
    <w:name w:val="Blockquote"/>
    <w:basedOn w:val="1"/>
    <w:qFormat/>
    <w:uiPriority w:val="0"/>
    <w:pPr>
      <w:autoSpaceDE w:val="0"/>
      <w:autoSpaceDN w:val="0"/>
      <w:adjustRightInd w:val="0"/>
      <w:spacing w:before="100" w:after="100"/>
      <w:ind w:left="360" w:right="360"/>
      <w:jc w:val="left"/>
    </w:pPr>
    <w:rPr>
      <w:kern w:val="0"/>
      <w:sz w:val="24"/>
    </w:rPr>
  </w:style>
  <w:style w:type="paragraph" w:customStyle="1" w:styleId="61">
    <w:name w:val="Plain Text"/>
    <w:basedOn w:val="1"/>
    <w:qFormat/>
    <w:uiPriority w:val="0"/>
    <w:rPr>
      <w:rFonts w:ascii="宋体" w:hAnsi="Courier New"/>
      <w:kern w:val="0"/>
      <w:sz w:val="20"/>
      <w:szCs w:val="21"/>
    </w:rPr>
  </w:style>
  <w:style w:type="character" w:customStyle="1" w:styleId="62">
    <w:name w:val="font131"/>
    <w:basedOn w:val="25"/>
    <w:qFormat/>
    <w:uiPriority w:val="0"/>
    <w:rPr>
      <w:rFonts w:hint="eastAsia" w:ascii="宋体" w:hAnsi="宋体" w:eastAsia="宋体" w:cs="宋体"/>
      <w:color w:val="000000"/>
      <w:sz w:val="24"/>
      <w:szCs w:val="24"/>
      <w:u w:val="none"/>
    </w:rPr>
  </w:style>
  <w:style w:type="character" w:customStyle="1" w:styleId="63">
    <w:name w:val="font61"/>
    <w:basedOn w:val="25"/>
    <w:qFormat/>
    <w:uiPriority w:val="0"/>
    <w:rPr>
      <w:rFonts w:hint="eastAsia" w:ascii="宋体" w:hAnsi="宋体" w:eastAsia="宋体" w:cs="宋体"/>
      <w:color w:val="000000"/>
      <w:sz w:val="24"/>
      <w:szCs w:val="24"/>
      <w:u w:val="none"/>
    </w:rPr>
  </w:style>
  <w:style w:type="character" w:customStyle="1" w:styleId="64">
    <w:name w:val="font11"/>
    <w:basedOn w:val="25"/>
    <w:qFormat/>
    <w:uiPriority w:val="0"/>
    <w:rPr>
      <w:rFonts w:hint="default" w:ascii="Tahoma" w:hAnsi="Tahoma" w:eastAsia="Tahoma" w:cs="Tahoma"/>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1" Type="http://schemas.openxmlformats.org/officeDocument/2006/relationships/fontTable" Target="fontTable.xml"/><Relationship Id="rId80" Type="http://schemas.openxmlformats.org/officeDocument/2006/relationships/customXml" Target="../customXml/item2.xml"/><Relationship Id="rId8" Type="http://schemas.openxmlformats.org/officeDocument/2006/relationships/image" Target="media/image4.png"/><Relationship Id="rId79" Type="http://schemas.openxmlformats.org/officeDocument/2006/relationships/numbering" Target="numbering.xml"/><Relationship Id="rId78" Type="http://schemas.openxmlformats.org/officeDocument/2006/relationships/customXml" Target="../customXml/item1.xml"/><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55E6AB-26FF-4703-85F4-72F8C14235AC}">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64</Pages>
  <Words>5181</Words>
  <Characters>29533</Characters>
  <Lines>246</Lines>
  <Paragraphs>69</Paragraphs>
  <TotalTime>2</TotalTime>
  <ScaleCrop>false</ScaleCrop>
  <LinksUpToDate>false</LinksUpToDate>
  <CharactersWithSpaces>34645</CharactersWithSpaces>
  <Application>WPS Office_11.3.0.8632_F1E327BC-269C-435d-A152-05C5408002CA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2018-08-06T02:30:00Z</dcterms:created>
  <dc:creator>许昌市公共资源交易中心:孟莉</dc:creator>
  <cp:lastModifiedBy>禹州市公共资源交易中心:侯英红</cp:lastModifiedBy>
  <cp:lastPrinted>2018-03-20T03:26:00Z</cp:lastPrinted>
  <dcterms:modified xsi:type="dcterms:W3CDTF">2019-08-07T07:39:46Z</dcterms:modified>
  <cp:revision>539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