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sz w:val="52"/>
          <w:szCs w:val="28"/>
        </w:rPr>
      </w:pPr>
      <w:r>
        <w:rPr>
          <w:rFonts w:hint="eastAsia"/>
          <w:sz w:val="52"/>
          <w:szCs w:val="28"/>
        </w:rPr>
        <w:t>农村生活污水治理专项规划编制   单位的采购项目</w:t>
      </w:r>
    </w:p>
    <w:p>
      <w:pPr>
        <w:rPr>
          <w:sz w:val="48"/>
          <w:szCs w:val="24"/>
        </w:rPr>
      </w:pPr>
    </w:p>
    <w:p>
      <w:pPr>
        <w:pStyle w:val="2"/>
      </w:pPr>
    </w:p>
    <w:p/>
    <w:p>
      <w:pPr>
        <w:adjustRightInd w:val="0"/>
        <w:snapToGrid w:val="0"/>
        <w:jc w:val="center"/>
        <w:rPr>
          <w:rFonts w:hAnsi="宋体" w:cs="宋体"/>
          <w:b/>
          <w:bCs/>
          <w:sz w:val="96"/>
          <w:szCs w:val="96"/>
        </w:rPr>
      </w:pPr>
      <w:r>
        <w:rPr>
          <w:rFonts w:hint="eastAsia" w:hAnsi="宋体" w:cs="宋体"/>
          <w:b/>
          <w:sz w:val="96"/>
          <w:szCs w:val="96"/>
        </w:rPr>
        <w:t>竞争性</w:t>
      </w:r>
      <w:r>
        <w:rPr>
          <w:rFonts w:hint="eastAsia" w:hAnsi="宋体" w:cs="宋体"/>
          <w:b/>
          <w:bCs/>
          <w:sz w:val="96"/>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采购编号：长招采竞字[2019]079号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7"/>
        <w:rPr>
          <w:rFonts w:ascii="宋体" w:hAnsi="宋体"/>
          <w:b/>
          <w:bCs/>
          <w:sz w:val="28"/>
        </w:rPr>
      </w:pPr>
    </w:p>
    <w:p/>
    <w:p>
      <w:pPr>
        <w:adjustRightInd w:val="0"/>
        <w:snapToGrid w:val="0"/>
        <w:spacing w:line="300" w:lineRule="auto"/>
        <w:rPr>
          <w:rFonts w:hAnsi="宋体"/>
          <w:b/>
          <w:bCs/>
          <w:sz w:val="28"/>
        </w:rPr>
      </w:pPr>
    </w:p>
    <w:p>
      <w:pPr>
        <w:pStyle w:val="2"/>
      </w:pPr>
    </w:p>
    <w:p>
      <w:pPr>
        <w:widowControl/>
        <w:shd w:val="clear" w:color="auto" w:fill="FFFFFF"/>
        <w:spacing w:line="360" w:lineRule="auto"/>
        <w:ind w:firstLine="643" w:firstLineChars="200"/>
        <w:rPr>
          <w:rFonts w:hAnsi="宋体" w:cs="宋体"/>
          <w:b/>
          <w:sz w:val="32"/>
          <w:szCs w:val="32"/>
        </w:rPr>
      </w:pPr>
      <w:r>
        <w:rPr>
          <w:rFonts w:hint="eastAsia" w:hAnsi="宋体" w:cs="宋体"/>
          <w:b/>
          <w:bCs/>
          <w:sz w:val="32"/>
          <w:szCs w:val="32"/>
        </w:rPr>
        <w:t>采购人：</w:t>
      </w:r>
      <w:r>
        <w:rPr>
          <w:rFonts w:hint="eastAsia" w:hAnsi="宋体" w:cs="宋体"/>
          <w:b/>
          <w:sz w:val="32"/>
          <w:szCs w:val="32"/>
        </w:rPr>
        <w:t>长葛市住房和城乡规划建设局</w:t>
      </w:r>
    </w:p>
    <w:p>
      <w:pPr>
        <w:widowControl/>
        <w:shd w:val="clear" w:color="auto" w:fill="FFFFFF"/>
        <w:spacing w:line="360" w:lineRule="auto"/>
        <w:ind w:firstLine="643" w:firstLineChars="200"/>
        <w:rPr>
          <w:rFonts w:hAnsi="宋体" w:cs="宋体"/>
          <w:b/>
          <w:bCs/>
          <w:sz w:val="32"/>
          <w:szCs w:val="32"/>
        </w:rPr>
      </w:pPr>
      <w:r>
        <w:rPr>
          <w:rFonts w:hint="eastAsia" w:hAnsi="宋体" w:cs="宋体"/>
          <w:b/>
          <w:bCs/>
          <w:sz w:val="32"/>
          <w:szCs w:val="32"/>
        </w:rPr>
        <w:t>采购代理机构：</w:t>
      </w:r>
      <w:r>
        <w:rPr>
          <w:rFonts w:hint="eastAsia" w:hAnsi="宋体" w:cs="宋体"/>
          <w:b/>
          <w:w w:val="95"/>
          <w:sz w:val="32"/>
          <w:szCs w:val="32"/>
        </w:rPr>
        <w:t>北京中兴恒工程咨询有限公司</w:t>
      </w:r>
    </w:p>
    <w:p>
      <w:pPr>
        <w:widowControl/>
        <w:spacing w:line="480" w:lineRule="exact"/>
        <w:ind w:firstLine="643" w:firstLineChars="200"/>
        <w:rPr>
          <w:rFonts w:hAnsi="宋体"/>
          <w:b/>
          <w:bCs/>
          <w:kern w:val="36"/>
          <w:sz w:val="44"/>
          <w:szCs w:val="44"/>
        </w:rPr>
      </w:pPr>
      <w:r>
        <w:rPr>
          <w:rFonts w:hint="eastAsia" w:hAnsi="宋体" w:cs="宋体"/>
          <w:b/>
          <w:bCs/>
          <w:sz w:val="32"/>
          <w:szCs w:val="32"/>
        </w:rPr>
        <w:t>日期：二○一九年</w:t>
      </w:r>
      <w:r>
        <w:rPr>
          <w:rFonts w:hint="eastAsia" w:hAnsi="宋体" w:cs="宋体"/>
          <w:b/>
          <w:bCs/>
          <w:sz w:val="32"/>
          <w:szCs w:val="32"/>
          <w:lang w:eastAsia="zh-CN"/>
        </w:rPr>
        <w:t>八</w:t>
      </w:r>
      <w:r>
        <w:rPr>
          <w:rFonts w:hint="eastAsia" w:hAnsi="宋体" w:cs="宋体"/>
          <w:b/>
          <w:bCs/>
          <w:sz w:val="32"/>
          <w:szCs w:val="32"/>
        </w:rPr>
        <w:t>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jc w:val="center"/>
        <w:rPr>
          <w:rFonts w:hAnsi="宋体" w:cs="宋体"/>
          <w:b/>
          <w:bCs/>
          <w:sz w:val="28"/>
          <w:szCs w:val="28"/>
        </w:rPr>
      </w:pPr>
      <w:r>
        <w:rPr>
          <w:rFonts w:hint="eastAsia" w:hAnsi="宋体" w:cs="宋体"/>
          <w:b/>
          <w:bCs/>
          <w:sz w:val="28"/>
          <w:szCs w:val="28"/>
        </w:rPr>
        <w:t>供应商失信行为惩戒告知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 不符合投诉（举报）受理条件，被告知后仍进行重复投诉（举报），或多头投诉（举报）的。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3.其他虚假恶意投诉（举报）情况。</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三、供应商（供应商）及其从业人员的不良行为记录期限一般为6—24个月。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（一）存在下列行为之一的，记录期限为6个月：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1.采用不正当手段干扰交易活动正常进行的；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2.不服从现场工作人员管理，扰乱开评标秩序的；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3.在投标截止时间后撤回投标文件的；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4.质疑（异议）、投诉提供的证据证明系非法取得的。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5.一年内供应商质疑（异议）后无故撤销质疑（异议）2次（含2次）以上的；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（二）存在下列行为之一的，记录期限为12个月：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1.捏造、歪曲事实或提供虚假不实的证据恶意投诉，影响交易活动正常进行的；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2.质疑（异议）投诉（举报）双方当事人无正当理由拒不配合调查处理或不参加质证的；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3.未提供有效证明材料支持其主张，经行政监督部门2次及以上书面答复，仍缠诉或多方投诉的；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4.未按交易文件主要内容签订合同的；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（三）存在下列行为之一的，记录期限为18个月：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1.在确定中标人之前就投标价格、投标方案等实质性内容与招标人（采购人）进行合同谈判的；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2.无正当理由放弃中标（成交）资格的；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3.中标（成交）后，不按招标文件规定提交履约保证金的；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4.中标（成交）后，无正当理由未在规定期限内与招标人签订合同的；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5.拒绝接受或者阻挠公管办和行政监督部门依法进行监督检查的。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1.供应商互相串通投标或者与招标人串通投标，供应商以向招标人或者评标委员会成员行贿的手段谋取中标的；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2.投标时提供虚假材料，或以受让、借用、涂改、盗用、伪造资质证书或年检记录、图章、签名，使用虚假身份证件以及其他弄虚作假的方式参与投标的；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5.中标人不按照与招标人订立的合同履行义务，情节严重的；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7.其它违反诚信原则或公共资源交易管理规定影响恶劣的行为。</w:t>
      </w: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80" w:lineRule="auto"/>
        <w:jc w:val="center"/>
        <w:outlineLvl w:val="0"/>
        <w:rPr>
          <w:rFonts w:hAnsi="宋体"/>
          <w:b/>
          <w:bCs/>
          <w:sz w:val="44"/>
          <w:szCs w:val="44"/>
        </w:rPr>
      </w:pPr>
    </w:p>
    <w:p>
      <w:pPr>
        <w:spacing w:line="480" w:lineRule="auto"/>
        <w:jc w:val="center"/>
        <w:outlineLvl w:val="0"/>
        <w:rPr>
          <w:rFonts w:hAnsi="宋体"/>
          <w:b/>
          <w:bCs/>
          <w:sz w:val="44"/>
          <w:szCs w:val="44"/>
        </w:rPr>
      </w:pPr>
    </w:p>
    <w:p>
      <w:pPr>
        <w:spacing w:line="480" w:lineRule="auto"/>
        <w:ind w:firstLine="2650" w:firstLineChars="600"/>
        <w:outlineLvl w:val="0"/>
        <w:rPr>
          <w:rFonts w:hAnsi="宋体"/>
          <w:b/>
          <w:bCs/>
          <w:sz w:val="44"/>
          <w:szCs w:val="44"/>
        </w:rPr>
      </w:pPr>
      <w:r>
        <w:rPr>
          <w:rFonts w:hint="eastAsia" w:hAnsi="宋体"/>
          <w:b/>
          <w:bCs/>
          <w:sz w:val="44"/>
          <w:szCs w:val="44"/>
        </w:rPr>
        <w:br w:type="page"/>
      </w:r>
    </w:p>
    <w:p>
      <w:pPr>
        <w:spacing w:line="360" w:lineRule="auto"/>
        <w:ind w:right="-507" w:rightChars="-149"/>
        <w:jc w:val="center"/>
        <w:rPr>
          <w:rFonts w:hint="eastAsia" w:hAnsi="宋体" w:cs="宋体"/>
          <w:b/>
          <w:bCs/>
          <w:sz w:val="32"/>
          <w:szCs w:val="32"/>
          <w:lang w:eastAsia="zh-CN"/>
        </w:rPr>
      </w:pPr>
      <w:r>
        <w:rPr>
          <w:rFonts w:hint="eastAsia" w:hAnsi="宋体" w:cs="宋体"/>
          <w:b/>
          <w:bCs/>
          <w:sz w:val="32"/>
          <w:szCs w:val="32"/>
          <w:lang w:eastAsia="zh-CN"/>
        </w:rPr>
        <w:t>第一章</w:t>
      </w:r>
    </w:p>
    <w:p>
      <w:pPr>
        <w:spacing w:line="360" w:lineRule="auto"/>
        <w:ind w:right="-507" w:rightChars="-149"/>
        <w:jc w:val="center"/>
        <w:rPr>
          <w:rFonts w:hint="eastAsia" w:hAnsi="宋体" w:cs="宋体"/>
          <w:b/>
          <w:bCs/>
          <w:sz w:val="32"/>
          <w:szCs w:val="32"/>
        </w:rPr>
      </w:pPr>
      <w:r>
        <w:rPr>
          <w:rFonts w:hint="eastAsia" w:hAnsi="宋体" w:cs="宋体"/>
          <w:b/>
          <w:bCs/>
          <w:sz w:val="32"/>
          <w:szCs w:val="32"/>
        </w:rPr>
        <w:t>农村生活污水治理专项规划编制单位的采购项目</w:t>
      </w:r>
    </w:p>
    <w:p>
      <w:pPr>
        <w:spacing w:line="360" w:lineRule="auto"/>
        <w:ind w:right="-507" w:rightChars="-149"/>
        <w:jc w:val="center"/>
        <w:rPr>
          <w:rFonts w:ascii="仿宋" w:hAnsi="仿宋" w:eastAsia="仿宋" w:cs="仿宋"/>
          <w:sz w:val="32"/>
          <w:szCs w:val="32"/>
        </w:rPr>
      </w:pP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北京中兴恒工程咨询有限公司受长葛市住房和城乡规划建设局的委托，就农村生活污水治理专项规划编制单位的采购项目进行竞争性谈判，欢迎合格的投标人前来投标。</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360" w:lineRule="auto"/>
        <w:ind w:firstLine="480" w:firstLineChars="200"/>
        <w:rPr>
          <w:rFonts w:hAnsi="宋体" w:cs="宋体"/>
          <w:color w:val="000000"/>
          <w:kern w:val="2"/>
          <w:sz w:val="24"/>
          <w:szCs w:val="22"/>
        </w:rPr>
      </w:pPr>
      <w:r>
        <w:rPr>
          <w:rFonts w:hint="eastAsia" w:hAnsi="宋体" w:cs="宋体"/>
          <w:color w:val="000000"/>
          <w:kern w:val="2"/>
          <w:sz w:val="24"/>
          <w:szCs w:val="22"/>
        </w:rPr>
        <w:t>1.1、项目名称：农村生活污水治理专项规划编制单位的采购项目；</w:t>
      </w:r>
    </w:p>
    <w:p>
      <w:pPr>
        <w:spacing w:line="360" w:lineRule="auto"/>
        <w:ind w:firstLine="480" w:firstLineChars="200"/>
      </w:pPr>
      <w:r>
        <w:rPr>
          <w:rFonts w:hint="eastAsia" w:hAnsi="宋体" w:cs="宋体"/>
          <w:color w:val="000000"/>
          <w:kern w:val="2"/>
          <w:sz w:val="24"/>
          <w:szCs w:val="22"/>
        </w:rPr>
        <w:t>1.2、采购编号：长招采竞字[2019]079号</w:t>
      </w:r>
    </w:p>
    <w:p>
      <w:pPr>
        <w:widowControl/>
        <w:shd w:val="clear" w:color="auto" w:fill="FFFFFF"/>
        <w:spacing w:line="360" w:lineRule="auto"/>
        <w:ind w:firstLine="480" w:firstLineChars="200"/>
        <w:jc w:val="left"/>
        <w:rPr>
          <w:rFonts w:hAnsi="宋体" w:cs="宋体"/>
          <w:sz w:val="24"/>
        </w:rPr>
      </w:pPr>
      <w:r>
        <w:rPr>
          <w:rFonts w:hint="eastAsia" w:hAnsi="宋体" w:cs="宋体"/>
          <w:color w:val="000000"/>
          <w:sz w:val="24"/>
          <w:shd w:val="clear" w:color="auto" w:fill="FFFFFF"/>
        </w:rPr>
        <w:t>1.3、采购预算：69.60万元；最高限价：69.60万元；</w:t>
      </w:r>
    </w:p>
    <w:p>
      <w:pPr>
        <w:widowControl/>
        <w:shd w:val="clear" w:color="auto" w:fill="FFFFFF"/>
        <w:spacing w:line="360" w:lineRule="auto"/>
        <w:ind w:firstLine="480" w:firstLineChars="200"/>
        <w:jc w:val="left"/>
        <w:rPr>
          <w:rFonts w:hAnsi="宋体" w:cs="宋体"/>
          <w:bCs/>
          <w:sz w:val="24"/>
        </w:rPr>
      </w:pPr>
      <w:r>
        <w:rPr>
          <w:rFonts w:hint="eastAsia" w:hAnsi="宋体" w:cs="宋体"/>
          <w:sz w:val="24"/>
        </w:rPr>
        <w:t>1.4、</w:t>
      </w:r>
      <w:r>
        <w:rPr>
          <w:rFonts w:hint="eastAsia" w:hAnsi="宋体" w:cs="宋体"/>
          <w:bCs/>
          <w:sz w:val="24"/>
        </w:rPr>
        <w:t>质量要求：符合国家及行业规定要求；</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1.5、服务期限：签订合同之日起15日历天内完成编制任务；</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1.6、服务地点：采购人指定地点；</w:t>
      </w:r>
    </w:p>
    <w:p>
      <w:pPr>
        <w:pStyle w:val="16"/>
        <w:shd w:val="clear" w:color="auto" w:fill="FFFFFF"/>
        <w:spacing w:beforeAutospacing="0" w:afterAutospacing="0" w:line="360" w:lineRule="auto"/>
        <w:ind w:firstLine="480" w:firstLineChars="200"/>
        <w:rPr>
          <w:color w:val="000000"/>
          <w:shd w:val="clear" w:color="auto" w:fill="FFFFFF"/>
        </w:rPr>
      </w:pPr>
      <w:r>
        <w:rPr>
          <w:rFonts w:hint="eastAsia"/>
          <w:color w:val="000000"/>
          <w:shd w:val="clear" w:color="auto" w:fill="FFFFFF"/>
        </w:rPr>
        <w:t>1.7、标包划分：本项目共划分一个标包；</w:t>
      </w:r>
    </w:p>
    <w:p>
      <w:pPr>
        <w:pStyle w:val="16"/>
        <w:shd w:val="clear" w:color="auto" w:fill="FFFFFF"/>
        <w:spacing w:beforeAutospacing="0" w:afterAutospacing="0" w:line="360" w:lineRule="auto"/>
        <w:ind w:firstLine="480" w:firstLineChars="200"/>
        <w:rPr>
          <w:color w:val="000000"/>
          <w:shd w:val="clear" w:color="auto" w:fill="FFFFFF"/>
        </w:rPr>
      </w:pPr>
      <w:r>
        <w:rPr>
          <w:rFonts w:hint="eastAsia"/>
          <w:color w:val="000000"/>
          <w:shd w:val="clear" w:color="auto" w:fill="FFFFFF"/>
        </w:rPr>
        <w:t>1.8、采购内容：农村生活污水治理专项规划编制单位的采购项目（具体服务内容及需求详见采购文件）；</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szCs w:val="22"/>
        </w:rPr>
      </w:pPr>
      <w:r>
        <w:rPr>
          <w:rFonts w:hint="eastAsia" w:hAnsi="宋体" w:cs="宋体"/>
          <w:bCs/>
          <w:sz w:val="24"/>
          <w:szCs w:val="22"/>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三、投标人资格要求</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3.1、符合《中华人民共和国政府采购法》第二十二条规定；</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3.2、供应商须具有独立法人资格，具有有效的营业执照、组织机构代码证、税务登记证（或三证合一营业执照）及相应经营范围和实施该项目的能力；</w:t>
      </w:r>
    </w:p>
    <w:p>
      <w:pPr>
        <w:spacing w:line="360" w:lineRule="auto"/>
        <w:ind w:firstLine="540" w:firstLineChars="225"/>
        <w:rPr>
          <w:rFonts w:hint="eastAsia" w:hAnsi="宋体" w:eastAsia="宋体" w:cs="宋体"/>
          <w:color w:val="000000"/>
          <w:sz w:val="24"/>
          <w:szCs w:val="24"/>
          <w:highlight w:val="none"/>
          <w:shd w:val="clear" w:color="auto" w:fill="FFFFFF"/>
          <w:lang w:val="en-US" w:eastAsia="zh-CN"/>
        </w:rPr>
      </w:pPr>
      <w:r>
        <w:rPr>
          <w:rFonts w:hint="eastAsia" w:hAnsi="宋体" w:cs="宋体"/>
          <w:color w:val="000000"/>
          <w:sz w:val="24"/>
          <w:szCs w:val="24"/>
          <w:highlight w:val="none"/>
          <w:shd w:val="clear" w:color="auto" w:fill="FFFFFF"/>
        </w:rPr>
        <w:t>3.3、供应商应同时具备国家建设行政主管部门颁发的城乡规划编制</w:t>
      </w:r>
      <w:r>
        <w:rPr>
          <w:rFonts w:hint="eastAsia" w:hAnsi="宋体" w:cs="宋体"/>
          <w:color w:val="000000"/>
          <w:sz w:val="24"/>
          <w:szCs w:val="24"/>
          <w:highlight w:val="none"/>
          <w:shd w:val="clear" w:color="auto" w:fill="FFFFFF"/>
          <w:lang w:eastAsia="zh-CN"/>
        </w:rPr>
        <w:t>乙级</w:t>
      </w:r>
      <w:r>
        <w:rPr>
          <w:rFonts w:hint="eastAsia" w:hAnsi="宋体" w:cs="宋体"/>
          <w:color w:val="000000"/>
          <w:sz w:val="24"/>
          <w:szCs w:val="24"/>
          <w:highlight w:val="none"/>
          <w:shd w:val="clear" w:color="auto" w:fill="FFFFFF"/>
        </w:rPr>
        <w:t>及以上资质</w:t>
      </w:r>
      <w:r>
        <w:rPr>
          <w:rFonts w:hint="eastAsia" w:hAnsi="宋体" w:cs="宋体"/>
          <w:color w:val="000000"/>
          <w:sz w:val="24"/>
          <w:szCs w:val="24"/>
          <w:highlight w:val="none"/>
          <w:shd w:val="clear" w:color="auto" w:fill="FFFFFF"/>
          <w:lang w:eastAsia="zh-CN"/>
        </w:rPr>
        <w:t>、环境工程（水污染防治工程）乙级</w:t>
      </w:r>
      <w:r>
        <w:rPr>
          <w:rFonts w:hint="eastAsia" w:hAnsi="宋体" w:cs="宋体"/>
          <w:color w:val="000000"/>
          <w:sz w:val="24"/>
          <w:szCs w:val="24"/>
          <w:highlight w:val="none"/>
          <w:shd w:val="clear" w:color="auto" w:fill="FFFFFF"/>
        </w:rPr>
        <w:t>及以上资质及市政设计专业（给水工程、排水工程）乙级及以上资质</w:t>
      </w:r>
      <w:r>
        <w:rPr>
          <w:rFonts w:hint="eastAsia" w:hAnsi="宋体" w:cs="宋体"/>
          <w:color w:val="000000"/>
          <w:sz w:val="24"/>
          <w:szCs w:val="24"/>
          <w:highlight w:val="none"/>
          <w:shd w:val="clear" w:color="auto" w:fill="FFFFFF"/>
          <w:lang w:eastAsia="zh-CN"/>
        </w:rPr>
        <w:t>；</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3.4、拟派项目负责人同时具有国家注册城乡规划师资格和高级工程师及以上技术职称，为本单位在职人员，并提供项目负责人最近连续6个月在本单位养老保险缴纳证明材料。</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3.5、未被列入“信用中国”网站(www.creditchina.gov.cn)失信被执行人、重大税收违法案件当事人名单；“中国政府采购网” (www.ccgp.gov.cn)网站的政府采购严重违法失信行为记录名单的供应商。</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3.6、本项目不接受联合体投标。</w:t>
      </w:r>
    </w:p>
    <w:p>
      <w:pPr>
        <w:pStyle w:val="16"/>
        <w:shd w:val="clear" w:color="auto" w:fill="FFFFFF"/>
        <w:spacing w:line="360" w:lineRule="auto"/>
        <w:contextualSpacing/>
        <w:rPr>
          <w:rFonts w:cs="仿宋_GB2312"/>
        </w:rPr>
      </w:pPr>
      <w:r>
        <w:rPr>
          <w:rFonts w:hint="eastAsia"/>
          <w:b/>
          <w:bCs/>
          <w:shd w:val="clear" w:color="auto" w:fill="FFFFFF"/>
        </w:rPr>
        <w:t>四、</w:t>
      </w:r>
      <w:r>
        <w:rPr>
          <w:rFonts w:hint="eastAsia" w:cs="仿宋_GB2312"/>
        </w:rPr>
        <w:t>谈判文件的获取</w:t>
      </w:r>
    </w:p>
    <w:p>
      <w:pPr>
        <w:pStyle w:val="16"/>
        <w:shd w:val="clear" w:color="auto" w:fill="FFFFFF"/>
        <w:spacing w:line="360" w:lineRule="auto"/>
        <w:ind w:firstLine="420"/>
        <w:contextualSpacing/>
        <w:rPr>
          <w:rFonts w:cs="仿宋_GB2312"/>
        </w:rPr>
      </w:pPr>
      <w:r>
        <w:rPr>
          <w:rFonts w:hint="eastAsia" w:cs="仿宋_GB2312"/>
        </w:rPr>
        <w:t>（一）持CA数字认证证书，登录《全国公共资源交易平台（河南省•许昌市）》“系统用户注册”入口http://221.14.6.70:8088/ggzy/eps/public/RegistAllJcxx.html）进行免费注册登记（详见“常见问题解答-诚信库网上注册相关资料下载”）；</w:t>
      </w:r>
    </w:p>
    <w:p>
      <w:pPr>
        <w:pStyle w:val="16"/>
        <w:shd w:val="clear" w:color="auto" w:fill="FFFFFF"/>
        <w:spacing w:line="360" w:lineRule="auto"/>
        <w:ind w:firstLine="420"/>
        <w:contextualSpacing/>
        <w:rPr>
          <w:shd w:val="clear" w:color="auto" w:fill="FFFFFF"/>
        </w:rPr>
      </w:pPr>
      <w:r>
        <w:rPr>
          <w:rFonts w:hint="eastAsia" w:cs="仿宋_GB2312"/>
        </w:rPr>
        <w:t xml:space="preserve">（二）在谈判响应截止时间前均可登录《全国公共资源交易平台（河南省•许昌市）》“投标人/供应商登录”入口（http://221.14.6.70:8088/ggzy/）自行免费下载竞争性谈判文件（详见“常见问题解答-交易系统操作手册”）。 </w:t>
      </w:r>
    </w:p>
    <w:p>
      <w:pPr>
        <w:pStyle w:val="16"/>
        <w:shd w:val="clear" w:color="auto" w:fill="FFFFFF"/>
        <w:spacing w:line="360" w:lineRule="auto"/>
        <w:contextualSpacing/>
        <w:rPr>
          <w:rFonts w:cs="黑体"/>
          <w:b/>
          <w:bCs/>
          <w:shd w:val="clear" w:color="auto" w:fill="FFFFFF"/>
        </w:rPr>
      </w:pPr>
      <w:r>
        <w:rPr>
          <w:rFonts w:hint="eastAsia" w:cs="黑体"/>
          <w:b/>
          <w:bCs/>
          <w:shd w:val="clear" w:color="auto" w:fill="FFFFFF"/>
        </w:rPr>
        <w:t>五、投标截止时间、开标时间及地点</w:t>
      </w:r>
    </w:p>
    <w:p>
      <w:pPr>
        <w:pStyle w:val="16"/>
        <w:shd w:val="clear" w:color="auto" w:fill="FFFFFF"/>
        <w:spacing w:line="360" w:lineRule="auto"/>
        <w:ind w:firstLine="420"/>
        <w:contextualSpacing/>
        <w:rPr>
          <w:rFonts w:hint="eastAsia" w:cs="仿宋_GB2312"/>
        </w:rPr>
      </w:pPr>
      <w:r>
        <w:rPr>
          <w:rFonts w:hint="eastAsia" w:cs="仿宋_GB2312"/>
        </w:rPr>
        <w:t>（一）投标截止及开标时间：2019年</w:t>
      </w:r>
      <w:r>
        <w:rPr>
          <w:rFonts w:hint="eastAsia" w:cs="仿宋_GB2312"/>
          <w:lang w:val="en-US" w:eastAsia="zh-CN"/>
        </w:rPr>
        <w:t>8</w:t>
      </w:r>
      <w:r>
        <w:rPr>
          <w:rFonts w:hint="eastAsia" w:cs="仿宋_GB2312"/>
        </w:rPr>
        <w:t>月</w:t>
      </w:r>
      <w:r>
        <w:rPr>
          <w:rFonts w:hint="eastAsia" w:cs="仿宋_GB2312"/>
          <w:lang w:val="en-US" w:eastAsia="zh-CN"/>
        </w:rPr>
        <w:t>15</w:t>
      </w:r>
      <w:r>
        <w:rPr>
          <w:rFonts w:hint="eastAsia" w:cs="仿宋_GB2312"/>
        </w:rPr>
        <w:t>日</w:t>
      </w:r>
      <w:r>
        <w:rPr>
          <w:rFonts w:hint="eastAsia" w:cs="仿宋_GB2312"/>
          <w:lang w:eastAsia="zh-CN"/>
        </w:rPr>
        <w:t>上午</w:t>
      </w:r>
      <w:r>
        <w:rPr>
          <w:rFonts w:hint="eastAsia" w:cs="仿宋_GB2312"/>
          <w:lang w:val="en-US" w:eastAsia="zh-CN"/>
        </w:rPr>
        <w:t>10</w:t>
      </w:r>
      <w:r>
        <w:rPr>
          <w:rFonts w:hint="eastAsia" w:cs="仿宋_GB2312"/>
        </w:rPr>
        <w:t>时</w:t>
      </w:r>
      <w:r>
        <w:rPr>
          <w:rFonts w:hint="eastAsia" w:cs="仿宋_GB2312"/>
          <w:lang w:val="en-US" w:eastAsia="zh-CN"/>
        </w:rPr>
        <w:t>00</w:t>
      </w:r>
      <w:r>
        <w:rPr>
          <w:rFonts w:hint="eastAsia" w:cs="仿宋_GB2312"/>
        </w:rPr>
        <w:t>分（北京时间），逾期提交或不符合规定的投标文件不予接受。</w:t>
      </w:r>
    </w:p>
    <w:p>
      <w:pPr>
        <w:pStyle w:val="16"/>
        <w:shd w:val="clear" w:color="auto" w:fill="FFFFFF"/>
        <w:spacing w:line="360" w:lineRule="auto"/>
        <w:ind w:firstLine="420"/>
        <w:contextualSpacing/>
        <w:rPr>
          <w:rFonts w:hint="eastAsia" w:cs="仿宋_GB2312"/>
        </w:rPr>
      </w:pPr>
      <w:r>
        <w:rPr>
          <w:rFonts w:hint="eastAsia" w:cs="仿宋_GB2312"/>
        </w:rPr>
        <w:t>（二）开标地点：长葛市公共资源交易中心开标</w:t>
      </w:r>
      <w:r>
        <w:rPr>
          <w:rFonts w:hint="eastAsia" w:cs="仿宋_GB2312"/>
          <w:lang w:val="en-US" w:eastAsia="zh-CN"/>
        </w:rPr>
        <w:t>4</w:t>
      </w:r>
      <w:r>
        <w:rPr>
          <w:rFonts w:hint="eastAsia" w:cs="仿宋_GB2312"/>
        </w:rPr>
        <w:t>室（长葛市葛天大道东段商务区6#楼</w:t>
      </w:r>
      <w:r>
        <w:rPr>
          <w:rFonts w:hint="eastAsia" w:cs="仿宋_GB2312"/>
          <w:lang w:val="en-US" w:eastAsia="zh-CN"/>
        </w:rPr>
        <w:t>5</w:t>
      </w:r>
      <w:r>
        <w:rPr>
          <w:rFonts w:hint="eastAsia" w:cs="仿宋_GB2312"/>
        </w:rPr>
        <w:t>楼</w:t>
      </w:r>
      <w:r>
        <w:rPr>
          <w:rFonts w:hint="eastAsia" w:cs="仿宋_GB2312"/>
          <w:lang w:val="en-US" w:eastAsia="zh-CN"/>
        </w:rPr>
        <w:t>507</w:t>
      </w:r>
      <w:r>
        <w:rPr>
          <w:rFonts w:hint="eastAsia" w:cs="仿宋_GB2312"/>
        </w:rPr>
        <w:t>室）</w:t>
      </w:r>
    </w:p>
    <w:p>
      <w:pPr>
        <w:pStyle w:val="16"/>
        <w:shd w:val="clear" w:color="auto" w:fill="FFFFFF"/>
        <w:spacing w:line="360" w:lineRule="auto"/>
        <w:ind w:firstLine="420"/>
        <w:contextualSpacing/>
        <w:rPr>
          <w:rFonts w:cs="仿宋_GB2312"/>
        </w:rPr>
      </w:pPr>
      <w:r>
        <w:rPr>
          <w:rFonts w:hint="eastAsia" w:cs="仿宋_GB2312"/>
        </w:rPr>
        <w:t>（三）谈判响应文件开启及谈判地点：长葛市公共资源交易中心评标</w:t>
      </w:r>
      <w:r>
        <w:rPr>
          <w:rFonts w:hint="eastAsia" w:cs="仿宋_GB2312"/>
          <w:lang w:val="en-US" w:eastAsia="zh-CN"/>
        </w:rPr>
        <w:t>4</w:t>
      </w:r>
      <w:r>
        <w:rPr>
          <w:rFonts w:hint="eastAsia" w:cs="仿宋_GB2312"/>
        </w:rPr>
        <w:t>室。</w:t>
      </w:r>
    </w:p>
    <w:p>
      <w:pPr>
        <w:pStyle w:val="16"/>
        <w:shd w:val="clear" w:color="auto" w:fill="FFFFFF"/>
        <w:spacing w:line="360" w:lineRule="auto"/>
        <w:ind w:firstLine="420"/>
        <w:contextualSpacing/>
        <w:rPr>
          <w:rFonts w:cs="仿宋_GB2312"/>
        </w:rPr>
      </w:pPr>
      <w:r>
        <w:rPr>
          <w:rFonts w:hint="eastAsia" w:cs="仿宋_GB2312"/>
        </w:rPr>
        <w:t>（四） 本项目为全流程电子化交易项目，投标人须提交电子投标文件和纸质投标文件。</w:t>
      </w:r>
    </w:p>
    <w:p>
      <w:pPr>
        <w:pStyle w:val="16"/>
        <w:shd w:val="clear" w:color="auto" w:fill="FFFFFF"/>
        <w:spacing w:line="360" w:lineRule="auto"/>
        <w:ind w:firstLine="420"/>
        <w:contextualSpacing/>
        <w:rPr>
          <w:rFonts w:cs="仿宋_GB2312"/>
        </w:rPr>
      </w:pPr>
      <w:r>
        <w:rPr>
          <w:rFonts w:hint="eastAsia" w:cs="仿宋_GB2312"/>
        </w:rPr>
        <w:t>1、加密电子投标文件（.file格式）须在投标截止时间（开标时间）前通过《全国公共资源交易平台(河南省▪许昌市)》公共资源交易系统成功上传。</w:t>
      </w:r>
    </w:p>
    <w:p>
      <w:pPr>
        <w:pStyle w:val="16"/>
        <w:shd w:val="clear" w:color="auto" w:fill="FFFFFF"/>
        <w:spacing w:line="360" w:lineRule="auto"/>
        <w:ind w:firstLine="420"/>
        <w:contextualSpacing/>
        <w:rPr>
          <w:rFonts w:cs="仿宋_GB2312"/>
        </w:rPr>
      </w:pPr>
      <w:r>
        <w:rPr>
          <w:rFonts w:hint="eastAsia" w:cs="仿宋_GB2312"/>
        </w:rPr>
        <w:t>2、纸质投标文件（正本1份、副本1份）和备份文件1份（使用电子介质存储）在投标截止时间（开标时间）前递交至本项目开标地点。</w:t>
      </w:r>
    </w:p>
    <w:p>
      <w:pPr>
        <w:pStyle w:val="4"/>
        <w:shd w:val="clear" w:color="auto" w:fill="FFFFFF"/>
        <w:spacing w:after="156"/>
        <w:jc w:val="both"/>
        <w:rPr>
          <w:rFonts w:cs="黑体"/>
          <w:b w:val="0"/>
          <w:bCs/>
          <w:shd w:val="clear" w:color="auto" w:fill="FFFFFF"/>
        </w:rPr>
      </w:pPr>
      <w:r>
        <w:rPr>
          <w:rFonts w:hint="eastAsia" w:cs="黑体"/>
          <w:bCs/>
          <w:color w:val="auto"/>
          <w:shd w:val="clear" w:color="auto" w:fill="FFFFFF"/>
        </w:rPr>
        <w:t>六、本次采购公告同时在</w:t>
      </w:r>
      <w:r>
        <w:rPr>
          <w:rFonts w:hint="eastAsia" w:cs="黑体"/>
          <w:bCs/>
          <w:shd w:val="clear" w:color="auto" w:fill="FFFFFF"/>
        </w:rPr>
        <w:t>《河南省政府采购网》、《许昌市政府采购网》、《全国公共资源交易平台（河南省·许昌市）》</w:t>
      </w:r>
      <w:r>
        <w:rPr>
          <w:rFonts w:hint="eastAsia" w:cs="黑体"/>
          <w:bCs/>
          <w:shd w:val="clear" w:color="auto" w:fill="FFFFFF"/>
          <w:lang w:eastAsia="zh-CN"/>
        </w:rPr>
        <w:t>、</w:t>
      </w:r>
      <w:r>
        <w:rPr>
          <w:rFonts w:hint="eastAsia" w:ascii="宋体" w:hAnsi="宋体" w:cs="宋体"/>
          <w:color w:val="000000"/>
          <w:szCs w:val="21"/>
        </w:rPr>
        <w:t>《长葛市人民政府门户网站》</w:t>
      </w:r>
      <w:r>
        <w:rPr>
          <w:rFonts w:hint="eastAsia" w:cs="黑体"/>
          <w:bCs/>
          <w:shd w:val="clear" w:color="auto" w:fill="FFFFFF"/>
        </w:rPr>
        <w:t>发布。</w:t>
      </w:r>
    </w:p>
    <w:p>
      <w:pPr>
        <w:pStyle w:val="16"/>
        <w:shd w:val="clear" w:color="auto" w:fill="FFFFFF"/>
        <w:spacing w:line="360" w:lineRule="auto"/>
        <w:contextualSpacing/>
        <w:rPr>
          <w:rFonts w:cs="黑体"/>
          <w:b/>
          <w:bCs/>
          <w:shd w:val="clear" w:color="auto" w:fill="FFFFFF"/>
        </w:rPr>
      </w:pPr>
      <w:r>
        <w:rPr>
          <w:rFonts w:hint="eastAsia" w:cs="黑体"/>
          <w:b/>
          <w:bCs/>
          <w:shd w:val="clear" w:color="auto" w:fill="FFFFFF"/>
        </w:rPr>
        <w:t>七、公告期限</w:t>
      </w:r>
    </w:p>
    <w:p>
      <w:pPr>
        <w:pStyle w:val="16"/>
        <w:shd w:val="clear" w:color="auto" w:fill="FFFFFF"/>
        <w:spacing w:line="360" w:lineRule="auto"/>
        <w:ind w:firstLine="420"/>
        <w:contextualSpacing/>
        <w:rPr>
          <w:rFonts w:cs="仿宋_GB2312"/>
          <w:b/>
          <w:bCs/>
          <w:color w:val="000000"/>
        </w:rPr>
      </w:pPr>
      <w:r>
        <w:rPr>
          <w:rFonts w:hint="eastAsia" w:cs="仿宋_GB2312"/>
          <w:b/>
          <w:bCs/>
          <w:color w:val="000000"/>
        </w:rPr>
        <w:t>自本公告发布之日起3个工作日。</w:t>
      </w:r>
    </w:p>
    <w:p>
      <w:pPr>
        <w:pStyle w:val="16"/>
        <w:shd w:val="clear" w:color="auto" w:fill="FFFFFF"/>
        <w:spacing w:line="360" w:lineRule="auto"/>
        <w:contextualSpacing/>
        <w:rPr>
          <w:rFonts w:cs="黑体"/>
          <w:b/>
          <w:bCs/>
        </w:rPr>
      </w:pPr>
      <w:r>
        <w:rPr>
          <w:rFonts w:hint="eastAsia" w:cs="黑体"/>
          <w:b/>
          <w:bCs/>
        </w:rPr>
        <w:t>八、联系方式</w:t>
      </w:r>
    </w:p>
    <w:p>
      <w:pPr>
        <w:widowControl/>
        <w:shd w:val="clear" w:color="auto" w:fill="FFFFFF"/>
        <w:spacing w:line="360" w:lineRule="auto"/>
        <w:ind w:firstLine="480" w:firstLineChars="200"/>
        <w:jc w:val="left"/>
        <w:rPr>
          <w:rFonts w:hAnsi="宋体" w:cs="宋体"/>
          <w:bCs/>
          <w:sz w:val="24"/>
          <w:szCs w:val="24"/>
          <w:shd w:val="clear" w:color="auto" w:fill="FFFFFF"/>
        </w:rPr>
      </w:pPr>
      <w:r>
        <w:rPr>
          <w:rFonts w:hint="eastAsia" w:hAnsi="宋体" w:cs="宋体"/>
          <w:bCs/>
          <w:sz w:val="24"/>
          <w:szCs w:val="24"/>
          <w:shd w:val="clear" w:color="auto" w:fill="FFFFFF"/>
        </w:rPr>
        <w:t>采购人：长葛市住房和城乡规划建设局</w:t>
      </w:r>
    </w:p>
    <w:p>
      <w:pPr>
        <w:widowControl/>
        <w:shd w:val="clear" w:color="auto" w:fill="FFFFFF"/>
        <w:spacing w:line="360" w:lineRule="auto"/>
        <w:ind w:firstLine="480" w:firstLineChars="200"/>
        <w:jc w:val="left"/>
        <w:rPr>
          <w:rFonts w:hAnsi="宋体" w:cs="宋体"/>
          <w:bCs/>
          <w:sz w:val="24"/>
          <w:szCs w:val="24"/>
          <w:shd w:val="clear" w:color="auto" w:fill="FFFFFF"/>
        </w:rPr>
      </w:pPr>
      <w:r>
        <w:rPr>
          <w:rFonts w:hint="eastAsia" w:hAnsi="宋体" w:cs="宋体"/>
          <w:bCs/>
          <w:sz w:val="24"/>
          <w:szCs w:val="24"/>
          <w:shd w:val="clear" w:color="auto" w:fill="FFFFFF"/>
        </w:rPr>
        <w:t>联系人：董先生</w:t>
      </w:r>
    </w:p>
    <w:p>
      <w:pPr>
        <w:widowControl/>
        <w:shd w:val="clear" w:color="auto" w:fill="FFFFFF"/>
        <w:spacing w:line="360" w:lineRule="auto"/>
        <w:ind w:firstLine="480" w:firstLineChars="200"/>
        <w:jc w:val="left"/>
        <w:rPr>
          <w:rFonts w:hAnsi="宋体" w:cs="宋体"/>
          <w:bCs/>
          <w:sz w:val="24"/>
          <w:szCs w:val="24"/>
          <w:shd w:val="clear" w:color="auto" w:fill="FFFFFF"/>
        </w:rPr>
      </w:pPr>
      <w:r>
        <w:rPr>
          <w:rFonts w:hint="eastAsia" w:hAnsi="宋体" w:cs="宋体"/>
          <w:bCs/>
          <w:sz w:val="24"/>
          <w:szCs w:val="24"/>
          <w:shd w:val="clear" w:color="auto" w:fill="FFFFFF"/>
        </w:rPr>
        <w:t xml:space="preserve">电 话：0374-46896638 </w:t>
      </w:r>
    </w:p>
    <w:p>
      <w:pPr>
        <w:widowControl/>
        <w:shd w:val="clear" w:color="auto" w:fill="FFFFFF"/>
        <w:spacing w:line="360" w:lineRule="auto"/>
        <w:ind w:firstLine="480" w:firstLineChars="200"/>
        <w:jc w:val="left"/>
        <w:rPr>
          <w:rFonts w:hAnsi="宋体" w:cs="宋体"/>
          <w:bCs/>
          <w:sz w:val="24"/>
          <w:szCs w:val="24"/>
          <w:shd w:val="clear" w:color="auto" w:fill="FFFFFF"/>
        </w:rPr>
      </w:pPr>
      <w:r>
        <w:rPr>
          <w:rFonts w:hint="eastAsia" w:hAnsi="宋体" w:cs="宋体"/>
          <w:bCs/>
          <w:sz w:val="24"/>
          <w:szCs w:val="24"/>
          <w:shd w:val="clear" w:color="auto" w:fill="FFFFFF"/>
        </w:rPr>
        <w:t>地址：长葛市葛天大道东段6号11楼</w:t>
      </w:r>
    </w:p>
    <w:p>
      <w:pPr>
        <w:widowControl/>
        <w:shd w:val="clear" w:color="auto" w:fill="FFFFFF"/>
        <w:spacing w:line="360" w:lineRule="auto"/>
        <w:ind w:firstLine="480" w:firstLineChars="200"/>
        <w:jc w:val="left"/>
        <w:rPr>
          <w:rFonts w:hAnsi="宋体" w:cs="宋体"/>
          <w:bCs/>
          <w:sz w:val="24"/>
          <w:szCs w:val="24"/>
          <w:shd w:val="clear" w:color="auto" w:fill="FFFFFF"/>
        </w:rPr>
      </w:pPr>
      <w:r>
        <w:rPr>
          <w:rFonts w:hint="eastAsia" w:hAnsi="宋体" w:cs="宋体"/>
          <w:bCs/>
          <w:sz w:val="24"/>
          <w:szCs w:val="24"/>
          <w:shd w:val="clear" w:color="auto" w:fill="FFFFFF"/>
        </w:rPr>
        <w:t>招标代理机构：北京中兴恒工程咨询有限公司</w:t>
      </w:r>
    </w:p>
    <w:p>
      <w:pPr>
        <w:widowControl/>
        <w:shd w:val="clear" w:color="auto" w:fill="FFFFFF"/>
        <w:spacing w:line="360" w:lineRule="auto"/>
        <w:ind w:firstLine="480" w:firstLineChars="200"/>
        <w:jc w:val="left"/>
        <w:rPr>
          <w:rFonts w:hAnsi="宋体" w:cs="宋体"/>
          <w:bCs/>
          <w:sz w:val="24"/>
          <w:szCs w:val="24"/>
          <w:shd w:val="clear" w:color="auto" w:fill="FFFFFF"/>
        </w:rPr>
      </w:pPr>
      <w:r>
        <w:rPr>
          <w:rFonts w:hint="eastAsia" w:hAnsi="宋体" w:cs="宋体"/>
          <w:bCs/>
          <w:sz w:val="24"/>
          <w:szCs w:val="24"/>
          <w:shd w:val="clear" w:color="auto" w:fill="FFFFFF"/>
        </w:rPr>
        <w:t>联系人：孙女士</w:t>
      </w:r>
    </w:p>
    <w:p>
      <w:pPr>
        <w:widowControl/>
        <w:shd w:val="clear" w:color="auto" w:fill="FFFFFF"/>
        <w:spacing w:line="360" w:lineRule="auto"/>
        <w:ind w:left="476" w:leftChars="140" w:firstLine="0" w:firstLineChars="0"/>
        <w:jc w:val="left"/>
        <w:rPr>
          <w:rFonts w:hAnsi="宋体" w:cs="宋体"/>
          <w:b/>
          <w:sz w:val="24"/>
          <w:szCs w:val="24"/>
          <w:shd w:val="clear" w:color="auto" w:fill="FFFFFF"/>
        </w:rPr>
      </w:pPr>
      <w:r>
        <w:rPr>
          <w:rFonts w:hint="eastAsia" w:hAnsi="宋体" w:cs="宋体"/>
          <w:bCs/>
          <w:sz w:val="24"/>
          <w:szCs w:val="24"/>
          <w:shd w:val="clear" w:color="auto" w:fill="FFFFFF"/>
        </w:rPr>
        <w:t>地 址：</w:t>
      </w:r>
      <w:r>
        <w:rPr>
          <w:rFonts w:hint="eastAsia" w:ascii="宋体" w:hAnsi="宋体" w:eastAsia="宋体" w:cs="宋体"/>
          <w:sz w:val="24"/>
          <w:szCs w:val="24"/>
        </w:rPr>
        <w:t xml:space="preserve">郑州市黄河路经二路瀚海璞丽中心A座1106室  </w:t>
      </w:r>
      <w:r>
        <w:rPr>
          <w:rFonts w:hint="eastAsia" w:hAnsi="宋体" w:cs="宋体"/>
          <w:sz w:val="24"/>
          <w:szCs w:val="24"/>
          <w:lang w:val="en-US" w:eastAsia="zh-CN"/>
        </w:rPr>
        <w:t xml:space="preserve">                </w:t>
      </w:r>
      <w:r>
        <w:rPr>
          <w:rFonts w:hint="eastAsia" w:hAnsi="宋体" w:cs="宋体"/>
          <w:bCs/>
          <w:sz w:val="24"/>
          <w:szCs w:val="24"/>
          <w:shd w:val="clear" w:color="auto" w:fill="FFFFFF"/>
        </w:rPr>
        <w:t xml:space="preserve">电 话：0371-55613600 </w:t>
      </w: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》公共资源交易系统——组件下载——交易系统操作手册（投标人、供应商）。</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asciiTheme="minorEastAsia" w:hAnsiTheme="minorEastAsia"/>
          <w:b/>
          <w:color w:val="000000"/>
          <w:sz w:val="24"/>
          <w:szCs w:val="21"/>
        </w:rPr>
        <w:t>2</w:t>
      </w:r>
      <w:r>
        <w:rPr>
          <w:rFonts w:hint="eastAsia" w:hAnsi="宋体"/>
          <w:b/>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70"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pStyle w:val="16"/>
        <w:shd w:val="clear" w:color="auto" w:fill="FFFFFF"/>
        <w:spacing w:before="0" w:beforeAutospacing="0" w:after="0" w:afterAutospacing="0" w:line="360" w:lineRule="atLeast"/>
        <w:ind w:firstLine="640"/>
        <w:rPr>
          <w:szCs w:val="30"/>
          <w:shd w:val="clear" w:color="auto" w:fill="FFFFFF"/>
        </w:rPr>
      </w:pPr>
    </w:p>
    <w:p>
      <w:pPr>
        <w:pStyle w:val="16"/>
        <w:shd w:val="clear" w:color="auto" w:fill="FFFFFF"/>
        <w:spacing w:before="0" w:beforeAutospacing="0" w:after="0" w:afterAutospacing="0" w:line="360" w:lineRule="atLeast"/>
        <w:ind w:firstLine="640"/>
        <w:rPr>
          <w:szCs w:val="30"/>
          <w:shd w:val="clear" w:color="auto" w:fill="FFFFFF"/>
        </w:rPr>
      </w:pPr>
    </w:p>
    <w:p>
      <w:pPr>
        <w:pStyle w:val="16"/>
        <w:shd w:val="clear" w:color="auto" w:fill="FFFFFF"/>
        <w:spacing w:before="0" w:beforeAutospacing="0" w:after="0" w:afterAutospacing="0" w:line="360" w:lineRule="atLeast"/>
        <w:ind w:left="-282" w:leftChars="-83" w:right="-340" w:rightChars="-100"/>
        <w:rPr>
          <w:szCs w:val="30"/>
          <w:shd w:val="clear" w:color="auto" w:fill="FFFFFF"/>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服务内容及相关要求</w:t>
      </w:r>
    </w:p>
    <w:p>
      <w:pPr>
        <w:widowControl/>
        <w:shd w:val="clear" w:color="auto" w:fill="FFFFFF"/>
        <w:spacing w:line="360" w:lineRule="auto"/>
        <w:jc w:val="left"/>
        <w:rPr>
          <w:rFonts w:hint="eastAsia" w:hAnsi="宋体" w:cs="宋体"/>
          <w:b/>
          <w:bCs/>
          <w:sz w:val="24"/>
          <w:szCs w:val="24"/>
          <w:lang w:val="zh-CN"/>
        </w:rPr>
      </w:pPr>
      <w:r>
        <w:rPr>
          <w:rFonts w:hint="eastAsia" w:hAnsi="宋体"/>
          <w:b/>
          <w:bCs/>
          <w:color w:val="000000"/>
          <w:sz w:val="24"/>
          <w:szCs w:val="24"/>
        </w:rPr>
        <w:t xml:space="preserve">（一）本项目需实现的功能或者目标 </w:t>
      </w:r>
    </w:p>
    <w:p>
      <w:pPr>
        <w:spacing w:line="360" w:lineRule="auto"/>
        <w:ind w:firstLine="480" w:firstLineChars="200"/>
        <w:rPr>
          <w:rFonts w:hAnsi="宋体" w:cs="宋体"/>
          <w:sz w:val="24"/>
          <w:szCs w:val="24"/>
        </w:rPr>
      </w:pPr>
      <w:r>
        <w:rPr>
          <w:rFonts w:hint="eastAsia" w:hAnsi="宋体" w:cs="宋体"/>
          <w:sz w:val="24"/>
          <w:szCs w:val="24"/>
          <w:lang w:val="zh-CN"/>
        </w:rPr>
        <w:t>为深入贯彻落实党中央、国务院和省委、省政府关于改善农 村人居环境、加强生态文明建设的一系列决策部署，切实改善农 村生产生活条件，按照《中共中央国务院关于全面加强生态环境 保护坚决打好污染防治攻坚战的意见》、 《中共河南省委办公厅河南省人民政府办公厅关于印发 &lt; 河南省 农村人居环境整治三年行动实施方案&gt;的通知》和《2018年河南省农村生活污水治理工作实施方案》要求及市委、市政府关于农村人居环境整治工作的决策部署，结合</w:t>
      </w:r>
      <w:r>
        <w:rPr>
          <w:rFonts w:hint="eastAsia" w:hAnsi="宋体" w:cs="宋体"/>
          <w:sz w:val="24"/>
          <w:szCs w:val="24"/>
          <w:lang w:val="en-US" w:eastAsia="zh-CN"/>
        </w:rPr>
        <w:t>长葛</w:t>
      </w:r>
      <w:r>
        <w:rPr>
          <w:rFonts w:hint="eastAsia" w:hAnsi="宋体" w:cs="宋体"/>
          <w:sz w:val="24"/>
          <w:szCs w:val="24"/>
          <w:lang w:val="zh-CN"/>
        </w:rPr>
        <w:t>市实际</w:t>
      </w:r>
      <w:r>
        <w:rPr>
          <w:rFonts w:hint="eastAsia" w:hAnsi="宋体" w:cs="宋体"/>
          <w:sz w:val="24"/>
          <w:szCs w:val="24"/>
          <w:lang w:val="en-US" w:eastAsia="zh-CN"/>
        </w:rPr>
        <w:t>情况</w:t>
      </w:r>
      <w:r>
        <w:rPr>
          <w:rFonts w:hint="eastAsia" w:hAnsi="宋体" w:cs="宋体"/>
          <w:sz w:val="24"/>
          <w:szCs w:val="24"/>
          <w:lang w:val="zh-CN"/>
        </w:rPr>
        <w:t>，</w:t>
      </w:r>
      <w:r>
        <w:rPr>
          <w:rFonts w:hint="eastAsia" w:hAnsi="宋体"/>
          <w:color w:val="000000"/>
          <w:sz w:val="24"/>
          <w:szCs w:val="24"/>
        </w:rPr>
        <w:t>合理布局</w:t>
      </w:r>
      <w:r>
        <w:rPr>
          <w:rFonts w:hint="eastAsia" w:hAnsi="宋体"/>
          <w:color w:val="000000"/>
          <w:sz w:val="24"/>
          <w:szCs w:val="24"/>
          <w:lang w:val="en-US" w:eastAsia="zh-CN"/>
        </w:rPr>
        <w:t>长葛市</w:t>
      </w:r>
      <w:r>
        <w:rPr>
          <w:rFonts w:hint="eastAsia" w:hAnsi="宋体"/>
          <w:color w:val="000000"/>
          <w:sz w:val="24"/>
          <w:szCs w:val="24"/>
        </w:rPr>
        <w:t>市农村生活污水处理设施、统筹安排建设时序，列出</w:t>
      </w:r>
      <w:r>
        <w:rPr>
          <w:rFonts w:hint="eastAsia" w:hAnsi="宋体"/>
          <w:color w:val="000000"/>
          <w:sz w:val="24"/>
          <w:szCs w:val="24"/>
          <w:lang w:eastAsia="zh-CN"/>
        </w:rPr>
        <w:t>长葛市</w:t>
      </w:r>
      <w:r>
        <w:rPr>
          <w:rFonts w:hint="eastAsia" w:hAnsi="宋体"/>
          <w:color w:val="000000"/>
          <w:sz w:val="24"/>
          <w:szCs w:val="24"/>
        </w:rPr>
        <w:t>年度目标任务、建设方案、建设规模，做到有步骤、有计划开展农村生活污水治理工作。</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hAnsi="宋体"/>
          <w:b/>
          <w:bCs/>
          <w:color w:val="000000"/>
          <w:sz w:val="24"/>
          <w:szCs w:val="24"/>
        </w:rPr>
      </w:pPr>
      <w:r>
        <w:rPr>
          <w:rFonts w:hint="eastAsia" w:hAnsi="宋体"/>
          <w:b/>
          <w:bCs/>
          <w:color w:val="000000"/>
          <w:sz w:val="24"/>
          <w:szCs w:val="24"/>
          <w:lang w:eastAsia="zh-CN"/>
        </w:rPr>
        <w:t>（</w:t>
      </w:r>
      <w:r>
        <w:rPr>
          <w:rFonts w:hint="eastAsia" w:hAnsi="宋体"/>
          <w:b/>
          <w:bCs/>
          <w:color w:val="000000"/>
          <w:sz w:val="24"/>
          <w:szCs w:val="24"/>
          <w:lang w:val="en-US" w:eastAsia="zh-CN"/>
        </w:rPr>
        <w:t>二</w:t>
      </w:r>
      <w:r>
        <w:rPr>
          <w:rFonts w:hint="eastAsia" w:hAnsi="宋体"/>
          <w:b/>
          <w:bCs/>
          <w:color w:val="000000"/>
          <w:sz w:val="24"/>
          <w:szCs w:val="24"/>
          <w:lang w:eastAsia="zh-CN"/>
        </w:rPr>
        <w:t>）</w:t>
      </w:r>
      <w:r>
        <w:rPr>
          <w:rFonts w:hint="eastAsia" w:hAnsi="宋体"/>
          <w:b/>
          <w:bCs/>
          <w:color w:val="000000"/>
          <w:sz w:val="24"/>
          <w:szCs w:val="24"/>
        </w:rPr>
        <w:t>主要规划内容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hAnsi="宋体"/>
          <w:b w:val="0"/>
          <w:bCs w:val="0"/>
          <w:color w:val="000000"/>
          <w:sz w:val="24"/>
          <w:szCs w:val="24"/>
        </w:rPr>
      </w:pPr>
      <w:r>
        <w:rPr>
          <w:rFonts w:hint="eastAsia" w:hAnsi="宋体"/>
          <w:b w:val="0"/>
          <w:bCs w:val="0"/>
          <w:color w:val="000000"/>
          <w:sz w:val="24"/>
          <w:szCs w:val="24"/>
          <w:lang w:val="en-US" w:eastAsia="zh-CN"/>
        </w:rPr>
        <w:t>2.1</w:t>
      </w:r>
      <w:r>
        <w:rPr>
          <w:rFonts w:hint="eastAsia" w:hAnsi="宋体"/>
          <w:b w:val="0"/>
          <w:bCs w:val="0"/>
          <w:color w:val="000000"/>
          <w:sz w:val="24"/>
          <w:szCs w:val="24"/>
        </w:rPr>
        <w:t>规划范围及人口统计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hAnsi="宋体"/>
          <w:b w:val="0"/>
          <w:bCs w:val="0"/>
          <w:color w:val="000000"/>
          <w:sz w:val="24"/>
          <w:szCs w:val="24"/>
        </w:rPr>
      </w:pPr>
      <w:r>
        <w:rPr>
          <w:rFonts w:hint="eastAsia" w:hAnsi="宋体"/>
          <w:b w:val="0"/>
          <w:bCs w:val="0"/>
          <w:color w:val="000000"/>
          <w:sz w:val="24"/>
          <w:szCs w:val="24"/>
        </w:rPr>
        <w:t>《长葛市农村生活污水治理专项规划》编制项目的规划编制范围为长葛市市域内的农村区域，人口约为58万人（根据前期各乡镇的最新统计），编制深度按照国家相关规范要求。</w:t>
      </w:r>
    </w:p>
    <w:tbl>
      <w:tblPr>
        <w:tblStyle w:val="18"/>
        <w:tblW w:w="7720"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930"/>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720" w:type="dxa"/>
            <w:gridSpan w:val="4"/>
            <w:shd w:val="clear" w:color="auto" w:fill="auto"/>
            <w:noWrap/>
            <w:vAlign w:val="center"/>
          </w:tcPr>
          <w:p>
            <w:pPr>
              <w:pStyle w:val="9"/>
              <w:spacing w:line="360" w:lineRule="auto"/>
              <w:jc w:val="center"/>
              <w:rPr>
                <w:rFonts w:hint="eastAsia" w:hAnsi="宋体"/>
                <w:color w:val="000000"/>
                <w:sz w:val="24"/>
                <w:szCs w:val="24"/>
              </w:rPr>
            </w:pPr>
            <w:r>
              <w:rPr>
                <w:rFonts w:hint="eastAsia" w:hAnsi="宋体"/>
                <w:color w:val="000000"/>
                <w:sz w:val="24"/>
                <w:szCs w:val="24"/>
              </w:rPr>
              <w:t>人 口 统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930" w:type="dxa"/>
            <w:vMerge w:val="restart"/>
            <w:shd w:val="clear" w:color="auto" w:fill="auto"/>
            <w:noWrap w:val="0"/>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序号</w:t>
            </w:r>
          </w:p>
        </w:tc>
        <w:tc>
          <w:tcPr>
            <w:tcW w:w="1930" w:type="dxa"/>
            <w:vMerge w:val="restart"/>
            <w:shd w:val="clear" w:color="auto" w:fill="auto"/>
            <w:noWrap w:val="0"/>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乡镇办</w:t>
            </w:r>
          </w:p>
        </w:tc>
        <w:tc>
          <w:tcPr>
            <w:tcW w:w="1930" w:type="dxa"/>
            <w:vMerge w:val="restart"/>
            <w:shd w:val="clear" w:color="auto" w:fill="auto"/>
            <w:noWrap w:val="0"/>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户数(户)</w:t>
            </w:r>
          </w:p>
        </w:tc>
        <w:tc>
          <w:tcPr>
            <w:tcW w:w="1930" w:type="dxa"/>
            <w:vMerge w:val="restart"/>
            <w:shd w:val="clear" w:color="auto" w:fill="auto"/>
            <w:noWrap w:val="0"/>
            <w:vAlign w:val="center"/>
          </w:tcPr>
          <w:p>
            <w:pPr>
              <w:pStyle w:val="9"/>
              <w:spacing w:line="360" w:lineRule="auto"/>
              <w:rPr>
                <w:rFonts w:hint="eastAsia" w:hAnsi="宋体"/>
                <w:color w:val="000000"/>
                <w:sz w:val="24"/>
                <w:szCs w:val="24"/>
              </w:rPr>
            </w:pPr>
            <w:r>
              <w:rPr>
                <w:rFonts w:hint="eastAsia" w:hAnsi="宋体"/>
                <w:color w:val="000000"/>
                <w:sz w:val="24"/>
                <w:szCs w:val="24"/>
              </w:rPr>
              <w:t>乡村人口(人)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30" w:type="dxa"/>
            <w:vMerge w:val="continue"/>
            <w:noWrap w:val="0"/>
            <w:vAlign w:val="center"/>
          </w:tcPr>
          <w:p>
            <w:pPr>
              <w:pStyle w:val="9"/>
              <w:spacing w:line="360" w:lineRule="auto"/>
              <w:ind w:firstLine="480" w:firstLineChars="200"/>
              <w:rPr>
                <w:rFonts w:hint="eastAsia" w:hAnsi="宋体"/>
                <w:color w:val="000000"/>
                <w:sz w:val="24"/>
                <w:szCs w:val="24"/>
              </w:rPr>
            </w:pPr>
          </w:p>
        </w:tc>
        <w:tc>
          <w:tcPr>
            <w:tcW w:w="1930" w:type="dxa"/>
            <w:vMerge w:val="continue"/>
            <w:noWrap w:val="0"/>
            <w:vAlign w:val="center"/>
          </w:tcPr>
          <w:p>
            <w:pPr>
              <w:pStyle w:val="9"/>
              <w:spacing w:line="360" w:lineRule="auto"/>
              <w:ind w:firstLine="480" w:firstLineChars="200"/>
              <w:rPr>
                <w:rFonts w:hint="eastAsia" w:hAnsi="宋体"/>
                <w:color w:val="000000"/>
                <w:sz w:val="24"/>
                <w:szCs w:val="24"/>
              </w:rPr>
            </w:pPr>
          </w:p>
        </w:tc>
        <w:tc>
          <w:tcPr>
            <w:tcW w:w="1930" w:type="dxa"/>
            <w:vMerge w:val="continue"/>
            <w:noWrap w:val="0"/>
            <w:vAlign w:val="center"/>
          </w:tcPr>
          <w:p>
            <w:pPr>
              <w:pStyle w:val="9"/>
              <w:spacing w:line="360" w:lineRule="auto"/>
              <w:ind w:firstLine="480" w:firstLineChars="200"/>
              <w:rPr>
                <w:rFonts w:hint="eastAsia" w:hAnsi="宋体"/>
                <w:color w:val="000000"/>
                <w:sz w:val="24"/>
                <w:szCs w:val="24"/>
              </w:rPr>
            </w:pPr>
          </w:p>
        </w:tc>
        <w:tc>
          <w:tcPr>
            <w:tcW w:w="1930" w:type="dxa"/>
            <w:vMerge w:val="continue"/>
            <w:noWrap w:val="0"/>
            <w:vAlign w:val="center"/>
          </w:tcPr>
          <w:p>
            <w:pPr>
              <w:pStyle w:val="9"/>
              <w:spacing w:line="360" w:lineRule="auto"/>
              <w:ind w:firstLine="480" w:firstLineChars="200"/>
              <w:rPr>
                <w:rFonts w:hint="eastAsia"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坡胡镇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14649</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56361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2</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石象镇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12501</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55356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3</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石固镇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10620</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41292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4</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古桥镇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8482</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37429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5</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大周镇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14949</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65814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6</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佛耳湖镇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11517</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47076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7</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董村镇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13560</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59708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8</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增福镇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7124</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29614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9</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后河镇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11761</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52485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10</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南席镇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8620</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39680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11</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和尚桥镇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5767</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25782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12</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老城镇</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13367</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60477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3860" w:type="dxa"/>
            <w:gridSpan w:val="2"/>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合计</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132917</w:t>
            </w:r>
          </w:p>
        </w:tc>
        <w:tc>
          <w:tcPr>
            <w:tcW w:w="1930" w:type="dxa"/>
            <w:shd w:val="clear" w:color="auto" w:fill="auto"/>
            <w:noWrap/>
            <w:vAlign w:val="center"/>
          </w:tcPr>
          <w:p>
            <w:pPr>
              <w:pStyle w:val="9"/>
              <w:spacing w:line="360" w:lineRule="auto"/>
              <w:ind w:firstLine="480" w:firstLineChars="200"/>
              <w:rPr>
                <w:rFonts w:hint="eastAsia" w:hAnsi="宋体"/>
                <w:color w:val="000000"/>
                <w:sz w:val="24"/>
                <w:szCs w:val="24"/>
              </w:rPr>
            </w:pPr>
            <w:r>
              <w:rPr>
                <w:rFonts w:hint="eastAsia" w:hAnsi="宋体"/>
                <w:color w:val="000000"/>
                <w:sz w:val="24"/>
                <w:szCs w:val="24"/>
              </w:rPr>
              <w:t>571074</w:t>
            </w:r>
          </w:p>
        </w:tc>
      </w:tr>
    </w:tbl>
    <w:p>
      <w:pPr>
        <w:widowControl/>
        <w:shd w:val="clear" w:color="auto" w:fill="FFFFFF"/>
        <w:spacing w:line="360" w:lineRule="auto"/>
        <w:ind w:firstLine="480" w:firstLineChars="200"/>
        <w:contextualSpacing/>
        <w:jc w:val="left"/>
        <w:rPr>
          <w:rFonts w:hint="eastAsia" w:hAnsi="宋体"/>
          <w:color w:val="000000"/>
          <w:sz w:val="24"/>
          <w:szCs w:val="24"/>
        </w:rPr>
      </w:pPr>
      <w:r>
        <w:rPr>
          <w:rFonts w:hint="eastAsia" w:hAnsi="宋体"/>
          <w:color w:val="000000"/>
          <w:sz w:val="24"/>
          <w:szCs w:val="24"/>
          <w:lang w:val="en-US" w:eastAsia="zh-CN"/>
        </w:rPr>
        <w:t>2.2</w:t>
      </w:r>
      <w:r>
        <w:rPr>
          <w:rFonts w:hint="eastAsia" w:hAnsi="宋体"/>
          <w:color w:val="000000"/>
          <w:sz w:val="24"/>
          <w:szCs w:val="24"/>
        </w:rPr>
        <w:t>农村污水现状分析</w:t>
      </w:r>
    </w:p>
    <w:p>
      <w:pPr>
        <w:widowControl/>
        <w:shd w:val="clear" w:color="auto" w:fill="FFFFFF"/>
        <w:spacing w:line="360" w:lineRule="auto"/>
        <w:ind w:firstLine="480" w:firstLineChars="200"/>
        <w:contextualSpacing/>
        <w:jc w:val="left"/>
        <w:rPr>
          <w:rFonts w:hint="eastAsia" w:hAnsi="宋体"/>
          <w:color w:val="000000"/>
          <w:sz w:val="24"/>
          <w:szCs w:val="24"/>
        </w:rPr>
      </w:pPr>
      <w:r>
        <w:rPr>
          <w:rFonts w:hint="eastAsia" w:hAnsi="宋体"/>
          <w:color w:val="000000"/>
          <w:sz w:val="24"/>
          <w:szCs w:val="24"/>
        </w:rPr>
        <w:t>依据调研水环境现状、给水水源、给水设施、给水管网、雨水管网、污水处理设施、污水管网现状，分析存在问题。</w:t>
      </w:r>
    </w:p>
    <w:p>
      <w:pPr>
        <w:widowControl/>
        <w:shd w:val="clear" w:color="auto" w:fill="FFFFFF"/>
        <w:spacing w:line="360" w:lineRule="auto"/>
        <w:ind w:firstLine="480" w:firstLineChars="200"/>
        <w:contextualSpacing/>
        <w:jc w:val="left"/>
        <w:rPr>
          <w:rFonts w:hint="eastAsia" w:hAnsi="宋体"/>
          <w:color w:val="000000"/>
          <w:sz w:val="24"/>
          <w:szCs w:val="24"/>
        </w:rPr>
      </w:pPr>
      <w:r>
        <w:rPr>
          <w:rFonts w:hint="eastAsia" w:hAnsi="宋体"/>
          <w:color w:val="000000"/>
          <w:sz w:val="24"/>
          <w:szCs w:val="24"/>
          <w:lang w:val="en-US" w:eastAsia="zh-CN"/>
        </w:rPr>
        <w:t>2.3</w:t>
      </w:r>
      <w:r>
        <w:rPr>
          <w:rFonts w:hint="eastAsia" w:hAnsi="宋体"/>
          <w:color w:val="000000"/>
          <w:sz w:val="24"/>
          <w:szCs w:val="24"/>
        </w:rPr>
        <w:t>规划重点</w:t>
      </w:r>
    </w:p>
    <w:p>
      <w:pPr>
        <w:widowControl/>
        <w:shd w:val="clear" w:color="auto" w:fill="FFFFFF"/>
        <w:spacing w:line="360" w:lineRule="auto"/>
        <w:ind w:firstLine="480" w:firstLineChars="200"/>
        <w:contextualSpacing/>
        <w:jc w:val="left"/>
        <w:rPr>
          <w:rFonts w:hint="eastAsia" w:hAnsi="宋体"/>
          <w:color w:val="000000"/>
          <w:sz w:val="24"/>
          <w:szCs w:val="24"/>
        </w:rPr>
      </w:pPr>
      <w:r>
        <w:rPr>
          <w:rFonts w:hint="eastAsia" w:hAnsi="宋体"/>
          <w:color w:val="000000"/>
          <w:sz w:val="24"/>
          <w:szCs w:val="24"/>
        </w:rPr>
        <w:t>（1）污水处理方式确定</w:t>
      </w:r>
    </w:p>
    <w:p>
      <w:pPr>
        <w:widowControl/>
        <w:shd w:val="clear" w:color="auto" w:fill="FFFFFF"/>
        <w:spacing w:line="360" w:lineRule="auto"/>
        <w:ind w:firstLine="480" w:firstLineChars="200"/>
        <w:contextualSpacing/>
        <w:jc w:val="left"/>
        <w:rPr>
          <w:rFonts w:hint="eastAsia" w:hAnsi="宋体"/>
          <w:color w:val="000000"/>
          <w:sz w:val="24"/>
          <w:szCs w:val="24"/>
        </w:rPr>
      </w:pPr>
      <w:r>
        <w:rPr>
          <w:rFonts w:hint="eastAsia" w:hAnsi="宋体"/>
          <w:color w:val="000000"/>
          <w:sz w:val="24"/>
          <w:szCs w:val="24"/>
        </w:rPr>
        <w:t>结合国内先进污水处理工艺及其他县市农村污水处理工艺，概述集中式处理工艺、分散式处理工艺优缺点，选用适合各村镇的污水处理工艺。</w:t>
      </w:r>
    </w:p>
    <w:p>
      <w:pPr>
        <w:widowControl/>
        <w:shd w:val="clear" w:color="auto" w:fill="FFFFFF"/>
        <w:spacing w:line="360" w:lineRule="auto"/>
        <w:ind w:firstLine="480" w:firstLineChars="200"/>
        <w:contextualSpacing/>
        <w:jc w:val="left"/>
        <w:rPr>
          <w:rFonts w:hint="eastAsia" w:hAnsi="宋体"/>
          <w:color w:val="000000"/>
          <w:sz w:val="24"/>
          <w:szCs w:val="24"/>
        </w:rPr>
      </w:pPr>
      <w:r>
        <w:rPr>
          <w:rFonts w:hint="eastAsia" w:hAnsi="宋体"/>
          <w:color w:val="000000"/>
          <w:sz w:val="24"/>
          <w:szCs w:val="24"/>
        </w:rPr>
        <w:t>（2）污水分区规划及污水量预测</w:t>
      </w:r>
    </w:p>
    <w:p>
      <w:pPr>
        <w:widowControl/>
        <w:shd w:val="clear" w:color="auto" w:fill="FFFFFF"/>
        <w:spacing w:line="360" w:lineRule="auto"/>
        <w:ind w:firstLine="480" w:firstLineChars="200"/>
        <w:contextualSpacing/>
        <w:jc w:val="left"/>
        <w:rPr>
          <w:rFonts w:hint="eastAsia" w:hAnsi="宋体"/>
          <w:color w:val="000000"/>
          <w:sz w:val="24"/>
          <w:szCs w:val="24"/>
        </w:rPr>
      </w:pPr>
      <w:r>
        <w:rPr>
          <w:rFonts w:hint="eastAsia" w:hAnsi="宋体"/>
          <w:color w:val="000000"/>
          <w:sz w:val="24"/>
          <w:szCs w:val="24"/>
        </w:rPr>
        <w:t>结合长葛市城乡总体规划、村镇体系规划、地形地貌等对长葛市进行污水规划分区，分为城镇污水集中处理区域、农村污水集中处理区域、农村污水分散处理区域，依据各分区进行污水量预测。</w:t>
      </w:r>
    </w:p>
    <w:p>
      <w:pPr>
        <w:widowControl/>
        <w:shd w:val="clear" w:color="auto" w:fill="FFFFFF"/>
        <w:spacing w:line="360" w:lineRule="auto"/>
        <w:ind w:firstLine="480" w:firstLineChars="200"/>
        <w:contextualSpacing/>
        <w:jc w:val="left"/>
        <w:rPr>
          <w:rFonts w:hint="eastAsia" w:hAnsi="宋体"/>
          <w:color w:val="000000"/>
          <w:sz w:val="24"/>
          <w:szCs w:val="24"/>
          <w:lang w:val="en-US" w:eastAsia="zh-CN"/>
        </w:rPr>
      </w:pPr>
      <w:r>
        <w:rPr>
          <w:rFonts w:hint="eastAsia" w:hAnsi="宋体"/>
          <w:color w:val="000000"/>
          <w:sz w:val="24"/>
          <w:szCs w:val="24"/>
          <w:lang w:val="en-US" w:eastAsia="zh-CN"/>
        </w:rPr>
        <w:t>（3）污水处理设施规划</w:t>
      </w:r>
    </w:p>
    <w:p>
      <w:pPr>
        <w:widowControl/>
        <w:shd w:val="clear" w:color="auto" w:fill="FFFFFF"/>
        <w:spacing w:line="360" w:lineRule="auto"/>
        <w:ind w:firstLine="480" w:firstLineChars="200"/>
        <w:contextualSpacing/>
        <w:jc w:val="left"/>
        <w:rPr>
          <w:rFonts w:hint="eastAsia" w:hAnsi="宋体"/>
          <w:color w:val="000000"/>
          <w:sz w:val="24"/>
          <w:szCs w:val="24"/>
          <w:lang w:val="en-US" w:eastAsia="zh-CN"/>
        </w:rPr>
      </w:pPr>
      <w:r>
        <w:rPr>
          <w:rFonts w:hint="eastAsia" w:hAnsi="宋体"/>
          <w:color w:val="000000"/>
          <w:sz w:val="24"/>
          <w:szCs w:val="24"/>
          <w:lang w:val="en-US" w:eastAsia="zh-CN"/>
        </w:rPr>
        <w:t>依据各分区污水收集方式，确定污水处理设施类型，分为集中式污水处理设施和分散式污水处理设施，结合地形地貌、村落位置，合理进行污水处理设施布局。</w:t>
      </w:r>
    </w:p>
    <w:p>
      <w:pPr>
        <w:widowControl/>
        <w:shd w:val="clear" w:color="auto" w:fill="FFFFFF"/>
        <w:spacing w:line="360" w:lineRule="auto"/>
        <w:ind w:firstLine="480" w:firstLineChars="200"/>
        <w:contextualSpacing/>
        <w:jc w:val="left"/>
        <w:rPr>
          <w:rFonts w:hint="eastAsia" w:hAnsi="宋体"/>
          <w:color w:val="000000"/>
          <w:sz w:val="24"/>
          <w:szCs w:val="24"/>
          <w:lang w:val="en-US" w:eastAsia="zh-CN"/>
        </w:rPr>
      </w:pPr>
      <w:r>
        <w:rPr>
          <w:rFonts w:hint="eastAsia" w:hAnsi="宋体"/>
          <w:color w:val="000000"/>
          <w:sz w:val="24"/>
          <w:szCs w:val="24"/>
          <w:lang w:val="en-US" w:eastAsia="zh-CN"/>
        </w:rPr>
        <w:t>（4）其他污染源治理</w:t>
      </w:r>
    </w:p>
    <w:p>
      <w:pPr>
        <w:widowControl/>
        <w:shd w:val="clear" w:color="auto" w:fill="FFFFFF"/>
        <w:spacing w:line="360" w:lineRule="auto"/>
        <w:ind w:firstLine="480" w:firstLineChars="200"/>
        <w:contextualSpacing/>
        <w:jc w:val="left"/>
        <w:rPr>
          <w:rFonts w:hint="eastAsia" w:hAnsi="宋体"/>
          <w:color w:val="000000"/>
          <w:sz w:val="24"/>
          <w:szCs w:val="24"/>
          <w:lang w:val="en-US" w:eastAsia="zh-CN"/>
        </w:rPr>
      </w:pPr>
      <w:r>
        <w:rPr>
          <w:rFonts w:hint="eastAsia" w:hAnsi="宋体"/>
          <w:color w:val="000000"/>
          <w:sz w:val="24"/>
          <w:szCs w:val="24"/>
          <w:lang w:val="en-US" w:eastAsia="zh-CN"/>
        </w:rPr>
        <w:t>对现有农村污水设施进行提升改造。合理选择农村无害化卫生厕所建设和改造模式。综合利用畜禽养殖粪污，结合养殖场规模确定粪污处理设施规模、处理流程。</w:t>
      </w:r>
    </w:p>
    <w:p>
      <w:pPr>
        <w:widowControl/>
        <w:shd w:val="clear" w:color="auto" w:fill="FFFFFF"/>
        <w:spacing w:line="360" w:lineRule="auto"/>
        <w:ind w:firstLine="480" w:firstLineChars="200"/>
        <w:contextualSpacing/>
        <w:jc w:val="left"/>
        <w:rPr>
          <w:rFonts w:hint="eastAsia" w:hAnsi="宋体"/>
          <w:color w:val="000000"/>
          <w:sz w:val="24"/>
          <w:szCs w:val="24"/>
          <w:lang w:val="en-US" w:eastAsia="zh-CN"/>
        </w:rPr>
      </w:pPr>
      <w:r>
        <w:rPr>
          <w:rFonts w:hint="eastAsia" w:hAnsi="宋体"/>
          <w:color w:val="000000"/>
          <w:sz w:val="24"/>
          <w:szCs w:val="24"/>
          <w:lang w:val="en-US" w:eastAsia="zh-CN"/>
        </w:rPr>
        <w:t>（5）建设计划</w:t>
      </w:r>
    </w:p>
    <w:p>
      <w:pPr>
        <w:widowControl/>
        <w:shd w:val="clear" w:color="auto" w:fill="FFFFFF"/>
        <w:spacing w:line="360" w:lineRule="auto"/>
        <w:ind w:firstLine="480" w:firstLineChars="200"/>
        <w:contextualSpacing/>
        <w:jc w:val="left"/>
        <w:rPr>
          <w:rFonts w:hint="eastAsia" w:hAnsi="宋体"/>
          <w:color w:val="000000"/>
          <w:sz w:val="24"/>
          <w:szCs w:val="24"/>
          <w:lang w:val="en-US" w:eastAsia="zh-CN"/>
        </w:rPr>
      </w:pPr>
      <w:r>
        <w:rPr>
          <w:rFonts w:hint="eastAsia" w:hAnsi="宋体"/>
          <w:color w:val="000000"/>
          <w:sz w:val="24"/>
          <w:szCs w:val="24"/>
          <w:lang w:val="en-US" w:eastAsia="zh-CN"/>
        </w:rPr>
        <w:t>列清建设时序，有重点、分时序推进建设工作。</w:t>
      </w:r>
    </w:p>
    <w:p>
      <w:pPr>
        <w:pStyle w:val="9"/>
        <w:spacing w:line="360" w:lineRule="auto"/>
        <w:rPr>
          <w:rFonts w:hAnsi="宋体"/>
          <w:b/>
          <w:bCs/>
          <w:color w:val="000000"/>
          <w:sz w:val="24"/>
          <w:szCs w:val="24"/>
        </w:rPr>
      </w:pPr>
      <w:r>
        <w:rPr>
          <w:rFonts w:hint="eastAsia" w:hAnsi="宋体"/>
          <w:b/>
          <w:bCs/>
          <w:color w:val="000000"/>
          <w:sz w:val="24"/>
          <w:szCs w:val="24"/>
        </w:rPr>
        <w:t>（三）采购标的执行标准：执行国家相关标准和行业标准。</w:t>
      </w:r>
    </w:p>
    <w:p>
      <w:pPr>
        <w:widowControl/>
        <w:shd w:val="clear" w:color="auto" w:fill="FFFFFF"/>
        <w:spacing w:line="360" w:lineRule="auto"/>
        <w:contextualSpacing/>
        <w:jc w:val="left"/>
        <w:rPr>
          <w:rFonts w:hAnsi="宋体"/>
          <w:b/>
          <w:bCs/>
          <w:color w:val="000000"/>
          <w:sz w:val="24"/>
          <w:szCs w:val="24"/>
        </w:rPr>
      </w:pPr>
      <w:r>
        <w:rPr>
          <w:rFonts w:hint="eastAsia" w:hAnsi="宋体"/>
          <w:b/>
          <w:bCs/>
          <w:color w:val="000000"/>
          <w:sz w:val="24"/>
          <w:szCs w:val="24"/>
        </w:rPr>
        <w:t>（四）服务标准、期限、效率等要求</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rPr>
        <w:t>成果要求：</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rPr>
        <w:t>1、专项规划成果应包括规划文本、规划图纸和附件（具体以采购人需求为准），专项规划成果的表达应当清晰、准确、规范。</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rPr>
        <w:t>2、专项规划文本的内容主要包括：总则、建设改造规划、运维管理规划、规划保障措施、结论与建议等，专项规划文本应对规划的意图、目标和有关内容提出规定性要求；文字表达应当规范、准确、肯定、含义清除。</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lang w:val="en-US" w:eastAsia="zh-CN"/>
        </w:rPr>
        <w:t>3、</w:t>
      </w:r>
      <w:r>
        <w:rPr>
          <w:rFonts w:hint="eastAsia" w:hAnsi="宋体"/>
          <w:color w:val="000000"/>
          <w:sz w:val="24"/>
          <w:szCs w:val="24"/>
        </w:rPr>
        <w:t>专项规划图纸绘制应使用近期测绘资料，且比例合适、</w:t>
      </w:r>
    </w:p>
    <w:p>
      <w:pPr>
        <w:widowControl/>
        <w:shd w:val="clear" w:color="auto" w:fill="FFFFFF"/>
        <w:spacing w:line="360" w:lineRule="auto"/>
        <w:contextualSpacing/>
        <w:jc w:val="left"/>
        <w:rPr>
          <w:rFonts w:hAnsi="宋体"/>
          <w:color w:val="000000"/>
          <w:sz w:val="24"/>
          <w:szCs w:val="24"/>
        </w:rPr>
      </w:pPr>
      <w:r>
        <w:rPr>
          <w:rFonts w:hint="eastAsia" w:hAnsi="宋体"/>
          <w:color w:val="000000"/>
          <w:sz w:val="24"/>
          <w:szCs w:val="24"/>
        </w:rPr>
        <w:t>标注齐全、内容准确、界线清晰、重点突出。</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lang w:val="en-US" w:eastAsia="zh-CN"/>
        </w:rPr>
        <w:t>4、</w:t>
      </w:r>
      <w:r>
        <w:rPr>
          <w:rFonts w:hint="eastAsia" w:hAnsi="宋体"/>
          <w:color w:val="000000"/>
          <w:sz w:val="24"/>
          <w:szCs w:val="24"/>
        </w:rPr>
        <w:t>行政区划图、城镇体系规划和村庄布局规划应标明村庄分布。</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lang w:val="en-US" w:eastAsia="zh-CN"/>
        </w:rPr>
        <w:t>5、</w:t>
      </w:r>
      <w:r>
        <w:rPr>
          <w:rFonts w:hint="eastAsia" w:hAnsi="宋体"/>
          <w:color w:val="000000"/>
          <w:sz w:val="24"/>
          <w:szCs w:val="24"/>
        </w:rPr>
        <w:t xml:space="preserve"> 水功能区划图应标明河流水系，水环境功能区的范围、等级和分界点。</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lang w:val="en-US" w:eastAsia="zh-CN"/>
        </w:rPr>
        <w:t>6、</w:t>
      </w:r>
      <w:r>
        <w:rPr>
          <w:rFonts w:hint="eastAsia" w:hAnsi="宋体"/>
          <w:color w:val="000000"/>
          <w:sz w:val="24"/>
          <w:szCs w:val="24"/>
        </w:rPr>
        <w:t>污水治理现状图应包括：地形、水泵、道路、水环境区划、水源保护区、生态敏感区域范围、处理设施点位及主要参数，服务范围等。</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lang w:val="en-US" w:eastAsia="zh-CN"/>
        </w:rPr>
        <w:t>7、</w:t>
      </w:r>
      <w:r>
        <w:rPr>
          <w:rFonts w:hint="eastAsia" w:hAnsi="宋体"/>
          <w:color w:val="000000"/>
          <w:sz w:val="24"/>
          <w:szCs w:val="24"/>
        </w:rPr>
        <w:t xml:space="preserve"> 污水治理规划图应突出表示以下内容：污水分区界限，规划主要管道的布置、管径及走向，规划处理终端的点位及能力，各种处理模式的服务范围，现有设施和规划设施的关系等。</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lang w:val="en-US" w:eastAsia="zh-CN"/>
        </w:rPr>
        <w:t>8、</w:t>
      </w:r>
      <w:r>
        <w:rPr>
          <w:rFonts w:hint="eastAsia" w:hAnsi="宋体"/>
          <w:color w:val="000000"/>
          <w:sz w:val="24"/>
          <w:szCs w:val="24"/>
        </w:rPr>
        <w:t>附件包括规划说明书和基础资料汇编。</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lang w:val="en-US" w:eastAsia="zh-CN"/>
        </w:rPr>
        <w:t>9</w:t>
      </w:r>
      <w:r>
        <w:rPr>
          <w:rFonts w:hint="eastAsia" w:hAnsi="宋体"/>
          <w:color w:val="000000"/>
          <w:sz w:val="24"/>
          <w:szCs w:val="24"/>
          <w:lang w:eastAsia="zh-CN"/>
        </w:rPr>
        <w:t>、</w:t>
      </w:r>
      <w:r>
        <w:rPr>
          <w:rFonts w:hint="eastAsia" w:hAnsi="宋体"/>
          <w:color w:val="000000"/>
          <w:sz w:val="24"/>
          <w:szCs w:val="24"/>
        </w:rPr>
        <w:t>专项规划说明应包括现状分析，规划意图论证和规划文本解释等。</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lang w:val="en-US" w:eastAsia="zh-CN"/>
        </w:rPr>
        <w:t>10、</w:t>
      </w:r>
      <w:r>
        <w:rPr>
          <w:rFonts w:hint="eastAsia" w:hAnsi="宋体"/>
          <w:color w:val="000000"/>
          <w:sz w:val="24"/>
          <w:szCs w:val="24"/>
        </w:rPr>
        <w:t>基础资料应包括：县域总体规划、城镇污水处理设施建设规划、镇总体规划、村庄布局规划、村庄规划、水功能区划等。</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lang w:val="en-US" w:eastAsia="zh-CN"/>
        </w:rPr>
        <w:t>11、</w:t>
      </w:r>
      <w:r>
        <w:rPr>
          <w:rFonts w:hint="eastAsia" w:hAnsi="宋体"/>
          <w:color w:val="000000"/>
          <w:sz w:val="24"/>
          <w:szCs w:val="24"/>
        </w:rPr>
        <w:t>工期要求：签订合同之日起15日历天内完成编制任务</w:t>
      </w:r>
      <w:r>
        <w:rPr>
          <w:rFonts w:hint="eastAsia" w:hAnsi="宋体"/>
          <w:color w:val="000000"/>
          <w:sz w:val="24"/>
          <w:szCs w:val="24"/>
          <w:lang w:eastAsia="zh-CN"/>
        </w:rPr>
        <w:t>，</w:t>
      </w:r>
      <w:r>
        <w:rPr>
          <w:rFonts w:hint="eastAsia" w:hAnsi="宋体"/>
          <w:color w:val="000000"/>
          <w:sz w:val="24"/>
          <w:szCs w:val="24"/>
        </w:rPr>
        <w:t xml:space="preserve">专项规划编制报省住房和城乡建设厅进行技术评审。   </w:t>
      </w:r>
    </w:p>
    <w:p>
      <w:pPr>
        <w:widowControl/>
        <w:shd w:val="clear" w:color="auto" w:fill="FFFFFF"/>
        <w:spacing w:line="360" w:lineRule="auto"/>
        <w:contextualSpacing/>
        <w:jc w:val="left"/>
        <w:rPr>
          <w:rFonts w:hAnsi="宋体"/>
          <w:b/>
          <w:bCs/>
          <w:color w:val="000000"/>
          <w:sz w:val="24"/>
          <w:szCs w:val="24"/>
        </w:rPr>
      </w:pPr>
      <w:r>
        <w:rPr>
          <w:rFonts w:hint="eastAsia" w:hAnsi="宋体"/>
          <w:b/>
          <w:bCs/>
          <w:color w:val="000000"/>
          <w:sz w:val="24"/>
          <w:szCs w:val="24"/>
        </w:rPr>
        <w:t>（五）验收标准</w:t>
      </w:r>
    </w:p>
    <w:p>
      <w:pPr>
        <w:widowControl/>
        <w:shd w:val="clear" w:color="auto" w:fill="FFFFFF"/>
        <w:spacing w:line="360" w:lineRule="auto"/>
        <w:ind w:firstLine="600"/>
        <w:jc w:val="left"/>
        <w:rPr>
          <w:rFonts w:hAnsi="宋体"/>
          <w:color w:val="000000"/>
          <w:sz w:val="24"/>
          <w:szCs w:val="24"/>
        </w:rPr>
      </w:pPr>
      <w:r>
        <w:rPr>
          <w:rFonts w:hint="eastAsia" w:hAnsi="宋体"/>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6"/>
        <w:shd w:val="clear" w:color="auto" w:fill="FFFFFF"/>
        <w:spacing w:before="0" w:beforeAutospacing="0" w:after="0" w:afterAutospacing="0" w:line="360" w:lineRule="auto"/>
        <w:jc w:val="center"/>
        <w:rPr>
          <w:rFonts w:asciiTheme="majorEastAsia" w:hAnsiTheme="majorEastAsia" w:eastAsiaTheme="majorEastAsia"/>
          <w:b/>
          <w:sz w:val="32"/>
          <w:szCs w:val="32"/>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sz w:val="32"/>
          <w:szCs w:val="32"/>
        </w:rPr>
      </w:pPr>
    </w:p>
    <w:p>
      <w:pPr>
        <w:pStyle w:val="16"/>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42"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项目名称：农村生活污水治理专项规划编制单位的采购项目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项目编号：长招采竞字【2019】079号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采购内容：农村生活污水治理专项规划编制单位的采购项目（具体服务内容及需求详见采购文件）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项目地址：长葛市境内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42"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采购人：长葛市住房和城乡规划建设局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联系人：董先生</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电 话：0374-46896638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地址：长葛市葛天大道东段6号11楼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042"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招标代理机构：北京中兴恒工程咨询有限公司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联系人：孙女士</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w:t>
            </w:r>
            <w:r>
              <w:rPr>
                <w:rFonts w:hint="eastAsia" w:ascii="宋体" w:hAnsi="宋体" w:eastAsia="宋体" w:cs="宋体"/>
                <w:sz w:val="24"/>
                <w:szCs w:val="24"/>
              </w:rPr>
              <w:t xml:space="preserve">郑州市黄河路经二路瀚海璞丽中心A座1106室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电 话：0371-55613600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042" w:type="dxa"/>
            <w:vAlign w:val="center"/>
          </w:tcPr>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6、民办非企业单位登记证书。（民办非企业单位提供）</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二、资质及项目负责人要求</w:t>
            </w:r>
          </w:p>
          <w:p>
            <w:pPr>
              <w:autoSpaceDE w:val="0"/>
              <w:autoSpaceDN w:val="0"/>
              <w:adjustRightInd w:val="0"/>
              <w:spacing w:line="360" w:lineRule="auto"/>
              <w:ind w:right="-11"/>
              <w:rPr>
                <w:rFonts w:hint="eastAsia" w:eastAsia="宋体" w:cs="宋体" w:asciiTheme="minorEastAsia" w:hAnsiTheme="minorEastAsia"/>
                <w:bCs/>
                <w:sz w:val="24"/>
                <w:szCs w:val="24"/>
                <w:highlight w:val="none"/>
                <w:lang w:val="zh-CN" w:eastAsia="zh-CN"/>
              </w:rPr>
            </w:pPr>
            <w:r>
              <w:rPr>
                <w:rFonts w:hint="eastAsia" w:cs="宋体" w:asciiTheme="minorEastAsia" w:hAnsiTheme="minorEastAsia"/>
                <w:bCs/>
                <w:sz w:val="24"/>
                <w:szCs w:val="24"/>
              </w:rPr>
              <w:t>1</w:t>
            </w:r>
            <w:r>
              <w:rPr>
                <w:rFonts w:hint="eastAsia" w:cs="宋体" w:asciiTheme="minorEastAsia" w:hAnsiTheme="minorEastAsia"/>
                <w:bCs/>
                <w:sz w:val="24"/>
                <w:szCs w:val="24"/>
                <w:highlight w:val="none"/>
              </w:rPr>
              <w:t>、</w:t>
            </w:r>
            <w:r>
              <w:rPr>
                <w:rFonts w:hint="eastAsia" w:hAnsi="宋体" w:cs="宋体"/>
                <w:color w:val="000000"/>
                <w:sz w:val="24"/>
                <w:szCs w:val="24"/>
                <w:highlight w:val="none"/>
                <w:shd w:val="clear" w:color="auto" w:fill="FFFFFF"/>
              </w:rPr>
              <w:t>供应商应同时具备国家建设行政主管部门颁发的城乡规划编制</w:t>
            </w:r>
            <w:r>
              <w:rPr>
                <w:rFonts w:hint="eastAsia" w:hAnsi="宋体" w:cs="宋体"/>
                <w:color w:val="000000"/>
                <w:sz w:val="24"/>
                <w:szCs w:val="24"/>
                <w:highlight w:val="none"/>
                <w:shd w:val="clear" w:color="auto" w:fill="FFFFFF"/>
                <w:lang w:eastAsia="zh-CN"/>
              </w:rPr>
              <w:t>乙级</w:t>
            </w:r>
            <w:r>
              <w:rPr>
                <w:rFonts w:hint="eastAsia" w:hAnsi="宋体" w:cs="宋体"/>
                <w:color w:val="000000"/>
                <w:sz w:val="24"/>
                <w:szCs w:val="24"/>
                <w:highlight w:val="none"/>
                <w:shd w:val="clear" w:color="auto" w:fill="FFFFFF"/>
              </w:rPr>
              <w:t>及以上资质</w:t>
            </w:r>
            <w:r>
              <w:rPr>
                <w:rFonts w:hint="eastAsia" w:hAnsi="宋体" w:cs="宋体"/>
                <w:color w:val="000000"/>
                <w:sz w:val="24"/>
                <w:szCs w:val="24"/>
                <w:highlight w:val="none"/>
                <w:shd w:val="clear" w:color="auto" w:fill="FFFFFF"/>
                <w:lang w:eastAsia="zh-CN"/>
              </w:rPr>
              <w:t>、环境工程（水污染防治工程）乙级</w:t>
            </w:r>
            <w:r>
              <w:rPr>
                <w:rFonts w:hint="eastAsia" w:hAnsi="宋体" w:cs="宋体"/>
                <w:color w:val="000000"/>
                <w:sz w:val="24"/>
                <w:szCs w:val="24"/>
                <w:highlight w:val="none"/>
                <w:shd w:val="clear" w:color="auto" w:fill="FFFFFF"/>
              </w:rPr>
              <w:t>及以上资质及市政设计专业（给水工程、排水工程）乙级及以上资质</w:t>
            </w:r>
            <w:r>
              <w:rPr>
                <w:rFonts w:hint="eastAsia" w:hAnsi="宋体" w:cs="宋体"/>
                <w:color w:val="000000"/>
                <w:sz w:val="24"/>
                <w:szCs w:val="24"/>
                <w:highlight w:val="none"/>
                <w:shd w:val="clear" w:color="auto" w:fill="FFFFFF"/>
                <w:lang w:eastAsia="zh-CN"/>
              </w:rPr>
              <w:t>；</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拟派项目负责人同时具有国家注册城乡规划师资格和高级工程师及以上技术职称，为本单位在职人员，并提供项目负责人最近连续6个月在本单位养老保险缴纳证明材料；</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三、财务状况报告相关材料</w:t>
            </w:r>
          </w:p>
          <w:p>
            <w:pPr>
              <w:autoSpaceDE w:val="0"/>
              <w:autoSpaceDN w:val="0"/>
              <w:adjustRightInd w:val="0"/>
              <w:spacing w:line="360" w:lineRule="auto"/>
              <w:ind w:right="-11"/>
              <w:rPr>
                <w:rFonts w:cs="仿宋_GB2312" w:asciiTheme="minorEastAsia" w:hAnsiTheme="minorEastAsia"/>
                <w:bCs/>
                <w:sz w:val="24"/>
                <w:szCs w:val="24"/>
                <w:lang w:val="zh-CN"/>
              </w:rPr>
            </w:pP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仿宋_GB2312" w:asciiTheme="minorEastAsia" w:hAnsiTheme="minorEastAsia"/>
                <w:b/>
                <w:sz w:val="24"/>
                <w:szCs w:val="24"/>
              </w:rPr>
              <w:t>四、依法缴纳税收相关材料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五、依法缴纳社会保障资金的证明材料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六、履行合同所必须的设备和专业技术能力的证明材料</w:t>
            </w:r>
          </w:p>
          <w:p>
            <w:pPr>
              <w:autoSpaceDE w:val="0"/>
              <w:autoSpaceDN w:val="0"/>
              <w:adjustRightInd w:val="0"/>
              <w:spacing w:line="360" w:lineRule="auto"/>
              <w:jc w:val="left"/>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rPr>
              <w:t>七、</w:t>
            </w:r>
            <w:r>
              <w:rPr>
                <w:rFonts w:cs="宋体" w:asciiTheme="minorEastAsia" w:hAnsiTheme="minorEastAsia"/>
                <w:b/>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 w:val="24"/>
                <w:szCs w:val="24"/>
                <w:shd w:val="clear" w:color="auto" w:fill="FFFFFF"/>
              </w:rPr>
              <w:t>供应商</w:t>
            </w:r>
            <w:r>
              <w:rPr>
                <w:rFonts w:cs="仿宋_GB2312" w:asciiTheme="minorEastAsia" w:hAnsiTheme="minorEastAsia"/>
                <w:b/>
                <w:color w:val="000000"/>
                <w:sz w:val="24"/>
                <w:szCs w:val="24"/>
                <w:shd w:val="clear" w:color="auto" w:fill="FFFFFF"/>
              </w:rPr>
              <w:t>；</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w:t>
            </w:r>
            <w:r>
              <w:rPr>
                <w:rFonts w:hint="eastAsia" w:cs="仿宋_GB2312" w:asciiTheme="minorEastAsia" w:hAnsiTheme="minorEastAsia"/>
                <w:b/>
                <w:color w:val="000000"/>
                <w:sz w:val="24"/>
                <w:szCs w:val="24"/>
                <w:shd w:val="clear" w:color="auto" w:fill="FFFFFF"/>
              </w:rPr>
              <w:t>供应商</w:t>
            </w:r>
            <w:r>
              <w:rPr>
                <w:rFonts w:hint="eastAsia" w:cs="宋体" w:asciiTheme="minorEastAsia" w:hAnsiTheme="minorEastAsia"/>
                <w:b/>
                <w:sz w:val="24"/>
                <w:szCs w:val="24"/>
                <w:lang w:val="zh-CN"/>
              </w:rPr>
              <w:t>；</w:t>
            </w:r>
            <w:r>
              <w:rPr>
                <w:rFonts w:hint="eastAsia" w:cs="仿宋_GB2312" w:asciiTheme="minorEastAsia" w:hAnsiTheme="minorEastAsia"/>
                <w:b/>
                <w:color w:val="000000"/>
                <w:sz w:val="24"/>
                <w:szCs w:val="24"/>
                <w:shd w:val="clear" w:color="auto" w:fill="FFFFFF"/>
              </w:rPr>
              <w:t>（</w:t>
            </w:r>
            <w:r>
              <w:rPr>
                <w:rFonts w:hint="eastAsia" w:cs="宋体" w:asciiTheme="minorEastAsia" w:hAnsiTheme="minorEastAsia"/>
                <w:b/>
                <w:sz w:val="24"/>
                <w:szCs w:val="24"/>
              </w:rPr>
              <w:t>联合体形式响应的，联合体成员存在不良信用记录，视同联合体存在不良信用记录）</w:t>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1、查询渠道：</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①“信用中国”网站（</w:t>
            </w:r>
            <w:r>
              <w:fldChar w:fldCharType="begin"/>
            </w:r>
            <w:r>
              <w:instrText xml:space="preserve"> HYPERLINK "http://www.creditchina.gov.cn" </w:instrText>
            </w:r>
            <w:r>
              <w:fldChar w:fldCharType="separate"/>
            </w:r>
            <w:r>
              <w:rPr>
                <w:rFonts w:hint="eastAsia" w:cs="宋体"/>
                <w:bCs/>
                <w:sz w:val="24"/>
                <w:szCs w:val="24"/>
              </w:rPr>
              <w:t>www.creditchina.gov.cn</w:t>
            </w:r>
            <w:r>
              <w:rPr>
                <w:rFonts w:hint="eastAsia" w:cs="宋体"/>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②“中国政府采购网”（www.ccgp.gov.cn）</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2、截止时间：同谈判响应截止时间；</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4、信用信息的使用原则：经谈判小组认定的被列入失信被执行人、重大税收违法案件当事人名单、政府采购严重违法失信行为记录名单的供应商的供应商，将拒绝其参与本次政府采购活动。</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最高投标限价</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sz w:val="24"/>
                <w:szCs w:val="24"/>
              </w:rPr>
              <w:t>大写：陆拾玖万陆仟元整；小写：696000.00</w:t>
            </w:r>
            <w:r>
              <w:rPr>
                <w:rFonts w:hint="eastAsia" w:cs="宋体" w:asciiTheme="minorEastAsia" w:hAnsiTheme="minorEastAsia"/>
                <w:b/>
                <w:sz w:val="24"/>
                <w:szCs w:val="24"/>
                <w:lang w:val="zh-CN"/>
              </w:rPr>
              <w:t>元；超出最高投标限价金额的响应无效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42"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sym w:font="Wingdings 2" w:char="0052"/>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042"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039"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zh-CN"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zh-CN" w:eastAsia="zh-CN"/>
              </w:rPr>
              <w:t>15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zh-CN" w:eastAsia="zh-CN"/>
              </w:rPr>
              <w:t>上午10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zh-CN" w:eastAsia="zh-CN"/>
              </w:rPr>
              <w:t>00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递交谈判响应文件</w:t>
            </w:r>
          </w:p>
          <w:p>
            <w:pPr>
              <w:autoSpaceDE w:val="0"/>
              <w:autoSpaceDN w:val="0"/>
              <w:adjustRightInd w:val="0"/>
              <w:spacing w:line="360" w:lineRule="auto"/>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及开启地点、谈判地点</w:t>
            </w:r>
          </w:p>
        </w:tc>
        <w:tc>
          <w:tcPr>
            <w:tcW w:w="7042" w:type="dxa"/>
            <w:vAlign w:val="center"/>
          </w:tcPr>
          <w:p>
            <w:pPr>
              <w:autoSpaceDE w:val="0"/>
              <w:autoSpaceDN w:val="0"/>
              <w:adjustRightInd w:val="0"/>
              <w:spacing w:line="360" w:lineRule="auto"/>
              <w:rPr>
                <w:rFonts w:hint="eastAsia" w:cs="仿宋_GB2312" w:asciiTheme="minorEastAsia" w:hAnsiTheme="minorEastAsia"/>
                <w:color w:val="000000"/>
                <w:sz w:val="24"/>
                <w:szCs w:val="24"/>
                <w:highlight w:val="none"/>
              </w:rPr>
            </w:pPr>
            <w:r>
              <w:rPr>
                <w:rFonts w:hint="eastAsia" w:cs="宋体" w:asciiTheme="minorEastAsia" w:hAnsiTheme="minorEastAsia"/>
                <w:bCs/>
                <w:sz w:val="24"/>
                <w:szCs w:val="24"/>
                <w:highlight w:val="none"/>
                <w:lang w:val="zh-CN"/>
              </w:rPr>
              <w:t>1、</w:t>
            </w:r>
            <w:r>
              <w:rPr>
                <w:rFonts w:hint="eastAsia" w:cs="仿宋_GB2312" w:asciiTheme="minorEastAsia" w:hAnsiTheme="minorEastAsia"/>
                <w:color w:val="000000"/>
                <w:sz w:val="24"/>
                <w:szCs w:val="24"/>
                <w:highlight w:val="none"/>
              </w:rPr>
              <w:t>响应文件递交地点：长葛市公共资源交易中心开标</w:t>
            </w:r>
            <w:r>
              <w:rPr>
                <w:rFonts w:hint="eastAsia" w:cs="仿宋_GB2312" w:asciiTheme="minorEastAsia" w:hAnsiTheme="minorEastAsia"/>
                <w:color w:val="000000"/>
                <w:sz w:val="24"/>
                <w:szCs w:val="24"/>
                <w:highlight w:val="none"/>
                <w:lang w:val="en-US" w:eastAsia="zh-CN"/>
              </w:rPr>
              <w:t>4</w:t>
            </w:r>
            <w:r>
              <w:rPr>
                <w:rFonts w:hint="eastAsia" w:cs="仿宋_GB2312" w:asciiTheme="minorEastAsia" w:hAnsiTheme="minorEastAsia"/>
                <w:color w:val="000000"/>
                <w:sz w:val="24"/>
                <w:szCs w:val="24"/>
                <w:highlight w:val="none"/>
              </w:rPr>
              <w:t>室（长葛市葛天大道东段商务区6#楼</w:t>
            </w:r>
            <w:r>
              <w:rPr>
                <w:rFonts w:hint="eastAsia" w:cs="仿宋_GB2312" w:asciiTheme="minorEastAsia" w:hAnsiTheme="minorEastAsia"/>
                <w:color w:val="000000"/>
                <w:sz w:val="24"/>
                <w:szCs w:val="24"/>
                <w:highlight w:val="none"/>
                <w:lang w:val="en-US" w:eastAsia="zh-CN"/>
              </w:rPr>
              <w:t>5</w:t>
            </w:r>
            <w:r>
              <w:rPr>
                <w:rFonts w:hint="eastAsia" w:cs="仿宋_GB2312" w:asciiTheme="minorEastAsia" w:hAnsiTheme="minorEastAsia"/>
                <w:color w:val="000000"/>
                <w:sz w:val="24"/>
                <w:szCs w:val="24"/>
                <w:highlight w:val="none"/>
              </w:rPr>
              <w:t>楼</w:t>
            </w:r>
            <w:r>
              <w:rPr>
                <w:rFonts w:hint="eastAsia" w:cs="仿宋_GB2312" w:asciiTheme="minorEastAsia" w:hAnsiTheme="minorEastAsia"/>
                <w:color w:val="000000"/>
                <w:sz w:val="24"/>
                <w:szCs w:val="24"/>
                <w:highlight w:val="none"/>
                <w:lang w:val="en-US" w:eastAsia="zh-CN"/>
              </w:rPr>
              <w:t>507</w:t>
            </w:r>
            <w:r>
              <w:rPr>
                <w:rFonts w:hint="eastAsia" w:cs="仿宋_GB2312" w:asciiTheme="minorEastAsia" w:hAnsiTheme="minorEastAsia"/>
                <w:color w:val="000000"/>
                <w:sz w:val="24"/>
                <w:szCs w:val="24"/>
                <w:highlight w:val="none"/>
              </w:rPr>
              <w:t>室）</w:t>
            </w:r>
          </w:p>
          <w:p>
            <w:pPr>
              <w:autoSpaceDE w:val="0"/>
              <w:autoSpaceDN w:val="0"/>
              <w:adjustRightInd w:val="0"/>
              <w:spacing w:line="360" w:lineRule="auto"/>
              <w:rPr>
                <w:rFonts w:cs="宋体" w:asciiTheme="minorEastAsia" w:hAnsiTheme="minorEastAsia"/>
                <w:bCs/>
                <w:sz w:val="24"/>
                <w:szCs w:val="24"/>
                <w:highlight w:val="none"/>
                <w:lang w:val="zh-CN"/>
              </w:rPr>
            </w:pPr>
            <w:r>
              <w:rPr>
                <w:rFonts w:hint="eastAsia" w:cs="仿宋_GB2312" w:asciiTheme="minorEastAsia" w:hAnsiTheme="minorEastAsia"/>
                <w:color w:val="000000"/>
                <w:sz w:val="24"/>
                <w:szCs w:val="24"/>
                <w:highlight w:val="none"/>
              </w:rPr>
              <w:t>2、开启及谈判地点：长葛市公共资源交易中心评标</w:t>
            </w:r>
            <w:r>
              <w:rPr>
                <w:rFonts w:hint="eastAsia" w:cs="仿宋_GB2312" w:asciiTheme="minorEastAsia" w:hAnsiTheme="minorEastAsia"/>
                <w:color w:val="000000"/>
                <w:sz w:val="24"/>
                <w:szCs w:val="24"/>
                <w:highlight w:val="none"/>
                <w:lang w:val="en-US" w:eastAsia="zh-CN"/>
              </w:rPr>
              <w:t>4</w:t>
            </w:r>
            <w:r>
              <w:rPr>
                <w:rFonts w:hint="eastAsia" w:cs="仿宋_GB2312" w:asciiTheme="minorEastAsia" w:hAnsiTheme="minorEastAsia"/>
                <w:color w:val="000000"/>
                <w:sz w:val="24"/>
                <w:szCs w:val="24"/>
                <w:highlight w:val="none"/>
              </w:rPr>
              <w:t>室（长葛市葛天大道东段商务区6#楼</w:t>
            </w:r>
            <w:r>
              <w:rPr>
                <w:rFonts w:hint="eastAsia" w:cs="仿宋_GB2312" w:asciiTheme="minorEastAsia" w:hAnsiTheme="minorEastAsia"/>
                <w:color w:val="000000"/>
                <w:sz w:val="24"/>
                <w:szCs w:val="24"/>
                <w:highlight w:val="none"/>
                <w:lang w:val="en-US" w:eastAsia="zh-CN"/>
              </w:rPr>
              <w:t>5</w:t>
            </w:r>
            <w:r>
              <w:rPr>
                <w:rFonts w:hint="eastAsia" w:cs="仿宋_GB2312" w:asciiTheme="minorEastAsia" w:hAnsiTheme="minorEastAsia"/>
                <w:color w:val="000000"/>
                <w:sz w:val="24"/>
                <w:szCs w:val="24"/>
                <w:highlight w:val="none"/>
              </w:rPr>
              <w:t>楼</w:t>
            </w:r>
            <w:r>
              <w:rPr>
                <w:rFonts w:hint="eastAsia" w:cs="仿宋_GB2312" w:asciiTheme="minorEastAsia" w:hAnsiTheme="minorEastAsia"/>
                <w:color w:val="000000"/>
                <w:sz w:val="24"/>
                <w:szCs w:val="24"/>
                <w:highlight w:val="none"/>
                <w:lang w:val="en-US" w:eastAsia="zh-CN"/>
              </w:rPr>
              <w:t>501</w:t>
            </w:r>
            <w:r>
              <w:rPr>
                <w:rFonts w:hint="eastAsia" w:cs="仿宋_GB2312" w:asciiTheme="minorEastAsia" w:hAnsiTheme="minorEastAsia"/>
                <w:color w:val="00000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sz w:val="24"/>
                <w:szCs w:val="24"/>
              </w:rPr>
              <w:t>谈判保证金</w:t>
            </w:r>
          </w:p>
        </w:tc>
        <w:tc>
          <w:tcPr>
            <w:tcW w:w="7042" w:type="dxa"/>
            <w:vAlign w:val="center"/>
          </w:tcPr>
          <w:p>
            <w:pPr>
              <w:spacing w:line="360" w:lineRule="auto"/>
              <w:rPr>
                <w:rFonts w:cs="仿宋_GB2312" w:asciiTheme="minorEastAsia" w:hAnsiTheme="minorEastAsia"/>
                <w:sz w:val="24"/>
                <w:szCs w:val="24"/>
                <w:lang w:val="zh-CN"/>
              </w:rPr>
            </w:pPr>
            <w:r>
              <w:rPr>
                <w:rFonts w:hint="eastAsia" w:cs="宋体" w:asciiTheme="minorEastAsia" w:hAnsiTheme="minorEastAsia"/>
                <w:color w:val="000000"/>
                <w:sz w:val="24"/>
                <w:szCs w:val="24"/>
                <w:lang w:eastAsia="zh-CN"/>
              </w:rPr>
              <w:t>按照河南省《关于优化政府采购营商环境有关问题的通知》（豫财购（</w:t>
            </w:r>
            <w:r>
              <w:rPr>
                <w:rFonts w:hint="eastAsia" w:cs="宋体" w:asciiTheme="minorEastAsia" w:hAnsiTheme="minorEastAsia"/>
                <w:color w:val="000000"/>
                <w:sz w:val="24"/>
                <w:szCs w:val="24"/>
                <w:lang w:val="en-US" w:eastAsia="zh-CN"/>
              </w:rPr>
              <w:t>2019</w:t>
            </w:r>
            <w:r>
              <w:rPr>
                <w:rFonts w:hint="eastAsia" w:cs="宋体" w:asciiTheme="minorEastAsia" w:hAnsiTheme="minorEastAsia"/>
                <w:color w:val="000000"/>
                <w:sz w:val="24"/>
                <w:szCs w:val="24"/>
                <w:lang w:eastAsia="zh-CN"/>
              </w:rPr>
              <w:t>）</w:t>
            </w:r>
            <w:r>
              <w:rPr>
                <w:rFonts w:hint="eastAsia" w:cs="宋体" w:asciiTheme="minorEastAsia" w:hAnsiTheme="minorEastAsia"/>
                <w:color w:val="000000"/>
                <w:sz w:val="24"/>
                <w:szCs w:val="24"/>
                <w:lang w:val="en-US" w:eastAsia="zh-CN"/>
              </w:rPr>
              <w:t>4号文</w:t>
            </w:r>
            <w:r>
              <w:rPr>
                <w:rFonts w:hint="eastAsia" w:cs="宋体" w:asciiTheme="minorEastAsia" w:hAnsiTheme="minorEastAsia"/>
                <w:color w:val="000000"/>
                <w:sz w:val="24"/>
                <w:szCs w:val="24"/>
                <w:lang w:eastAsia="zh-CN"/>
              </w:rPr>
              <w:t>）的要求，不收取投标保证金。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 w:val="24"/>
                <w:szCs w:val="24"/>
                <w:lang w:eastAsia="zh-CN"/>
              </w:rPr>
              <w:t>、</w:t>
            </w:r>
            <w:r>
              <w:rPr>
                <w:rFonts w:hint="eastAsia" w:cs="宋体" w:asciiTheme="minorEastAsia" w:hAnsiTheme="minorEastAsia"/>
                <w:color w:val="000000"/>
                <w:sz w:val="24"/>
                <w:szCs w:val="24"/>
              </w:rPr>
              <w:t>《长葛市人民政府门户网站》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039"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42"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纸质响应文件：投标文件封面加盖供应商公章（响应文件是指供应商电子响应文件制作完成后生成的后缀名为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7042"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lang w:val="en-US" w:eastAsia="zh-CN"/>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lang w:val="en-US" w:eastAsia="zh-CN"/>
              </w:rPr>
              <w:t>2人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42"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039"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42" w:type="dxa"/>
            <w:vAlign w:val="center"/>
          </w:tcPr>
          <w:p>
            <w:pPr>
              <w:spacing w:line="360" w:lineRule="auto"/>
              <w:ind w:firstLine="120" w:firstLineChars="50"/>
              <w:outlineLvl w:val="0"/>
              <w:rPr>
                <w:rFonts w:hAnsi="宋体" w:cs="宋体"/>
                <w:b/>
                <w:sz w:val="40"/>
                <w:szCs w:val="21"/>
              </w:rPr>
            </w:pPr>
            <w:r>
              <w:rPr>
                <w:rFonts w:hint="eastAsia" w:hAnsi="宋体" w:cs="宋体"/>
                <w:b/>
                <w:sz w:val="24"/>
                <w:szCs w:val="21"/>
              </w:rPr>
              <w:t>开户行：河南长葛农村商业银行股份有限公司营业部</w:t>
            </w:r>
          </w:p>
          <w:p>
            <w:pPr>
              <w:spacing w:line="360" w:lineRule="auto"/>
              <w:ind w:firstLine="120" w:firstLineChars="50"/>
              <w:outlineLvl w:val="0"/>
              <w:rPr>
                <w:rFonts w:hAnsi="宋体" w:cs="宋体"/>
                <w:b/>
                <w:sz w:val="40"/>
                <w:szCs w:val="21"/>
              </w:rPr>
            </w:pPr>
            <w:r>
              <w:rPr>
                <w:rFonts w:hint="eastAsia" w:hAnsi="宋体" w:cs="宋体"/>
                <w:b/>
                <w:sz w:val="24"/>
                <w:szCs w:val="21"/>
              </w:rPr>
              <w:t>户  名：长葛市公共资源交易中心</w:t>
            </w:r>
          </w:p>
          <w:p>
            <w:pPr>
              <w:spacing w:line="360" w:lineRule="auto"/>
              <w:ind w:firstLine="120" w:firstLineChars="50"/>
              <w:outlineLvl w:val="0"/>
              <w:rPr>
                <w:rFonts w:hAnsi="宋体" w:cs="宋体"/>
                <w:b/>
                <w:sz w:val="40"/>
                <w:szCs w:val="21"/>
              </w:rPr>
            </w:pPr>
            <w:r>
              <w:rPr>
                <w:rFonts w:hint="eastAsia" w:hAnsi="宋体" w:cs="宋体"/>
                <w:b/>
                <w:sz w:val="24"/>
                <w:szCs w:val="21"/>
              </w:rPr>
              <w:t>账  号：13201001800000552</w:t>
            </w:r>
          </w:p>
          <w:p>
            <w:pPr>
              <w:spacing w:line="360" w:lineRule="auto"/>
              <w:ind w:firstLine="120" w:firstLineChars="50"/>
              <w:outlineLvl w:val="0"/>
              <w:rPr>
                <w:rFonts w:hAnsi="宋体" w:cs="宋体"/>
                <w:b/>
                <w:sz w:val="40"/>
                <w:szCs w:val="21"/>
              </w:rPr>
            </w:pPr>
            <w:r>
              <w:rPr>
                <w:rFonts w:hint="eastAsia" w:hAnsi="宋体" w:cs="宋体"/>
                <w:b/>
                <w:sz w:val="24"/>
                <w:szCs w:val="21"/>
              </w:rPr>
              <w:t>履约保证金的形式：基本户转账，在中标人签订合同前办理。</w:t>
            </w:r>
          </w:p>
          <w:p>
            <w:pPr>
              <w:spacing w:line="360" w:lineRule="auto"/>
              <w:ind w:firstLine="120" w:firstLineChars="50"/>
              <w:outlineLvl w:val="0"/>
              <w:rPr>
                <w:rFonts w:hAnsi="宋体" w:cs="宋体"/>
                <w:b/>
                <w:sz w:val="40"/>
                <w:szCs w:val="21"/>
              </w:rPr>
            </w:pPr>
            <w:r>
              <w:rPr>
                <w:rFonts w:hint="eastAsia" w:hAnsi="宋体" w:cs="宋体"/>
                <w:b/>
                <w:sz w:val="24"/>
                <w:szCs w:val="21"/>
              </w:rPr>
              <w:t>履约保证金的金额：中标金额的10%。</w:t>
            </w:r>
          </w:p>
          <w:p>
            <w:pPr>
              <w:autoSpaceDE w:val="0"/>
              <w:autoSpaceDN w:val="0"/>
              <w:adjustRightInd w:val="0"/>
              <w:spacing w:line="360" w:lineRule="auto"/>
              <w:rPr>
                <w:rFonts w:cs="宋体" w:asciiTheme="minorEastAsia" w:hAnsiTheme="minorEastAsia"/>
                <w:bCs/>
                <w:sz w:val="24"/>
                <w:szCs w:val="24"/>
                <w:lang w:val="zh-CN"/>
              </w:rPr>
            </w:pPr>
            <w:r>
              <w:rPr>
                <w:rFonts w:hint="eastAsia" w:hAnsi="宋体" w:cs="宋体"/>
                <w:sz w:val="24"/>
                <w:szCs w:val="21"/>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color w:val="000000"/>
                <w:sz w:val="24"/>
                <w:szCs w:val="24"/>
                <w:lang w:val="zh-CN"/>
              </w:rPr>
              <w:t>代理服务费由成交供应商支付，按照1.5%计算。中标通知书发出前，以现金或转账形式交纳。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在接到成交通知时，须向北京中兴恒工程咨询有限公司发送响应报价及分项报价一览表（包含主要成交标的的名称、规格型号、数量、单价、服务要求等）电子文档，并同时电话告知代理公司。联系电话：</w:t>
            </w:r>
            <w:r>
              <w:rPr>
                <w:rFonts w:hint="eastAsia" w:cs="宋体" w:asciiTheme="minorEastAsia" w:hAnsiTheme="minorEastAsia"/>
                <w:bCs/>
                <w:sz w:val="24"/>
                <w:szCs w:val="24"/>
              </w:rPr>
              <w:t>18236957756</w:t>
            </w:r>
            <w:r>
              <w:rPr>
                <w:rFonts w:hint="eastAsia" w:cs="宋体" w:asciiTheme="minorEastAsia" w:hAnsiTheme="minorEastAsia"/>
                <w:bCs/>
                <w:sz w:val="24"/>
                <w:szCs w:val="24"/>
                <w:lang w:val="zh-CN"/>
              </w:rPr>
              <w:t xml:space="preserve">；邮箱： </w:t>
            </w:r>
            <w:r>
              <w:rPr>
                <w:rFonts w:hint="eastAsia" w:cs="宋体" w:asciiTheme="minorEastAsia" w:hAnsiTheme="minorEastAsia"/>
                <w:bCs/>
                <w:sz w:val="24"/>
                <w:szCs w:val="24"/>
              </w:rPr>
              <w:t>1101313606</w:t>
            </w:r>
            <w:r>
              <w:rPr>
                <w:rFonts w:hint="eastAsia" w:cs="宋体" w:asciiTheme="minorEastAsia" w:hAnsiTheme="minorEastAsia"/>
                <w:bCs/>
                <w:sz w:val="24"/>
                <w:szCs w:val="24"/>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42"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42" w:type="dxa"/>
            <w:vAlign w:val="center"/>
          </w:tcPr>
          <w:p>
            <w:pPr>
              <w:autoSpaceDE w:val="0"/>
              <w:autoSpaceDN w:val="0"/>
              <w:adjustRightInd w:val="0"/>
              <w:spacing w:line="360" w:lineRule="auto"/>
              <w:contextualSpacing/>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不同供应商电子响应文件制作硬件特征码（网卡MAC地址、CPU序号、硬盘序列号等）雷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contextualSpacing/>
        <w:rPr>
          <w:rFonts w:hAnsi="宋体" w:cs="宋体"/>
          <w:sz w:val="24"/>
          <w:szCs w:val="24"/>
        </w:rPr>
      </w:pPr>
      <w:r>
        <w:rPr>
          <w:rFonts w:hint="eastAsia" w:hAnsi="宋体" w:cs="宋体"/>
          <w:sz w:val="24"/>
          <w:szCs w:val="24"/>
        </w:rPr>
        <w:t>1.1本采购文件仅适用于本次“投标邀请”中所述采购项目。</w:t>
      </w:r>
    </w:p>
    <w:p>
      <w:pPr>
        <w:autoSpaceDE w:val="0"/>
        <w:autoSpaceDN w:val="0"/>
        <w:spacing w:line="360" w:lineRule="auto"/>
        <w:contextualSpacing/>
        <w:rPr>
          <w:rFonts w:hAnsi="宋体" w:cs="宋体"/>
          <w:sz w:val="24"/>
          <w:szCs w:val="24"/>
        </w:rPr>
      </w:pPr>
      <w:r>
        <w:rPr>
          <w:rFonts w:hint="eastAsia" w:hAnsi="宋体" w:cs="宋体"/>
          <w:sz w:val="24"/>
          <w:szCs w:val="24"/>
        </w:rPr>
        <w:t>1.2本采购文件解释权属于“投标邀请”所述的采购人。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spacing w:line="360" w:lineRule="auto"/>
        <w:contextualSpacing/>
        <w:rPr>
          <w:rFonts w:hAnsi="宋体" w:cs="宋体"/>
          <w:sz w:val="24"/>
          <w:szCs w:val="24"/>
        </w:rPr>
      </w:pPr>
      <w:r>
        <w:rPr>
          <w:rFonts w:hint="eastAsia" w:hAnsi="宋体" w:cs="宋体"/>
          <w:sz w:val="24"/>
          <w:szCs w:val="24"/>
        </w:rPr>
        <w:t>2.1“采购项目”：“投标人须知前附表”中所述的采购项目。</w:t>
      </w:r>
    </w:p>
    <w:p>
      <w:pPr>
        <w:spacing w:line="360" w:lineRule="auto"/>
        <w:contextualSpacing/>
        <w:rPr>
          <w:rFonts w:hAnsi="宋体" w:cs="宋体"/>
          <w:sz w:val="24"/>
          <w:szCs w:val="24"/>
        </w:rPr>
      </w:pPr>
      <w:r>
        <w:rPr>
          <w:rFonts w:hint="eastAsia" w:hAnsi="宋体" w:cs="宋体"/>
          <w:sz w:val="24"/>
          <w:szCs w:val="24"/>
        </w:rPr>
        <w:t>2.2“招标人”：“投标人须知前附表”中所述的组织本次招标的代理机构和采购人。</w:t>
      </w:r>
    </w:p>
    <w:p>
      <w:pPr>
        <w:spacing w:line="360" w:lineRule="auto"/>
        <w:contextualSpacing/>
        <w:rPr>
          <w:rFonts w:hAnsi="宋体" w:cs="宋体"/>
          <w:sz w:val="24"/>
          <w:szCs w:val="24"/>
        </w:rPr>
      </w:pPr>
      <w:r>
        <w:rPr>
          <w:rFonts w:hint="eastAsia" w:hAnsi="宋体" w:cs="宋体"/>
          <w:sz w:val="24"/>
          <w:szCs w:val="24"/>
        </w:rPr>
        <w:t>2.3“采购人”：是指依法进行政府采购的国家机关、事业单位、团体组织。采购人名称、地址、电话、联系人见“投标人须知前附表”。</w:t>
      </w:r>
    </w:p>
    <w:p>
      <w:pPr>
        <w:spacing w:line="360" w:lineRule="auto"/>
        <w:contextualSpacing/>
        <w:rPr>
          <w:rFonts w:hAnsi="宋体" w:cs="宋体"/>
          <w:sz w:val="24"/>
          <w:szCs w:val="24"/>
        </w:rPr>
      </w:pPr>
      <w:r>
        <w:rPr>
          <w:rFonts w:hint="eastAsia" w:hAnsi="宋体" w:cs="宋体"/>
          <w:sz w:val="24"/>
          <w:szCs w:val="24"/>
        </w:rPr>
        <w:t>2.4“集中采购机构”：接受采购人委托，代理采购项目的集中采购机构。代理机构名称、地址、电话、联系人见“投标人须知前附表”。</w:t>
      </w:r>
    </w:p>
    <w:p>
      <w:pPr>
        <w:spacing w:line="360" w:lineRule="auto"/>
        <w:contextualSpacing/>
        <w:rPr>
          <w:rFonts w:hAnsi="宋体" w:cs="宋体"/>
          <w:sz w:val="24"/>
          <w:szCs w:val="24"/>
        </w:rPr>
      </w:pPr>
      <w:r>
        <w:rPr>
          <w:rFonts w:hint="eastAsia" w:hAnsi="宋体" w:cs="宋体"/>
          <w:sz w:val="24"/>
          <w:szCs w:val="24"/>
        </w:rPr>
        <w:t>集中采购机构及其分支机构不得在所代理的采购项目中投标或者代理投标，不得为所代理的采购项目的投标人参加本项目提供投标咨询。</w:t>
      </w:r>
    </w:p>
    <w:p>
      <w:pPr>
        <w:spacing w:line="360" w:lineRule="auto"/>
        <w:contextualSpacing/>
        <w:rPr>
          <w:rFonts w:hAnsi="宋体" w:cs="宋体"/>
          <w:sz w:val="24"/>
          <w:szCs w:val="24"/>
        </w:rPr>
      </w:pPr>
      <w:r>
        <w:rPr>
          <w:rFonts w:hint="eastAsia" w:hAnsi="宋体" w:cs="宋体"/>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4"/>
          <w:szCs w:val="24"/>
        </w:rPr>
      </w:pPr>
      <w:r>
        <w:rPr>
          <w:rFonts w:hint="eastAsia" w:hAnsi="宋体" w:cs="宋体"/>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4"/>
          <w:szCs w:val="24"/>
        </w:rPr>
      </w:pPr>
      <w:r>
        <w:rPr>
          <w:rFonts w:hint="eastAsia" w:hAnsi="宋体" w:cs="宋体"/>
          <w:sz w:val="24"/>
          <w:szCs w:val="24"/>
        </w:rPr>
        <w:t>2.7.1 采购文件列明不允许或未列明允许进口产品参加投标的，均视为拒绝进口产品参加投标。</w:t>
      </w:r>
    </w:p>
    <w:p>
      <w:pPr>
        <w:autoSpaceDE w:val="0"/>
        <w:autoSpaceDN w:val="0"/>
        <w:spacing w:line="360" w:lineRule="auto"/>
        <w:contextualSpacing/>
        <w:rPr>
          <w:rFonts w:hAnsi="宋体" w:cs="宋体"/>
          <w:sz w:val="24"/>
          <w:szCs w:val="24"/>
        </w:rPr>
      </w:pPr>
      <w:r>
        <w:rPr>
          <w:rFonts w:hint="eastAsia" w:hAnsi="宋体" w:cs="宋体"/>
          <w:sz w:val="24"/>
          <w:szCs w:val="24"/>
        </w:rPr>
        <w:t>2.7.2 如采购文件中已说明，经财政部门审核同意，允许部分或全部产品采购进口产品，投标人既可提供本国产品，也可以提供进口产品。</w:t>
      </w:r>
    </w:p>
    <w:p>
      <w:pPr>
        <w:spacing w:line="360" w:lineRule="auto"/>
        <w:contextualSpacing/>
        <w:rPr>
          <w:rFonts w:hAnsi="宋体" w:cs="宋体"/>
          <w:sz w:val="24"/>
          <w:szCs w:val="24"/>
        </w:rPr>
      </w:pPr>
      <w:r>
        <w:rPr>
          <w:rFonts w:hint="eastAsia" w:hAnsi="宋体" w:cs="宋体"/>
          <w:sz w:val="24"/>
          <w:szCs w:val="24"/>
        </w:rPr>
        <w:t>2.8 采购文件中凡标有“★”的条款均系实质性要求条款。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3.合格的投标人</w:t>
      </w:r>
    </w:p>
    <w:p>
      <w:pPr>
        <w:pStyle w:val="35"/>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sz w:val="24"/>
          <w:szCs w:val="24"/>
        </w:rPr>
      </w:pPr>
      <w:r>
        <w:rPr>
          <w:rFonts w:hint="eastAsia" w:hAnsi="宋体" w:cs="宋体"/>
          <w:sz w:val="24"/>
          <w:szCs w:val="24"/>
        </w:rPr>
        <w:t>3.2 符合本项目“投标邀请”和“投标人须知前附表”中规定的合格投标人所必须具备的条件。</w:t>
      </w:r>
    </w:p>
    <w:p>
      <w:pPr>
        <w:spacing w:line="360" w:lineRule="auto"/>
        <w:contextualSpacing/>
        <w:rPr>
          <w:rFonts w:hAnsi="宋体" w:cs="宋体"/>
          <w:sz w:val="24"/>
          <w:szCs w:val="24"/>
        </w:rPr>
      </w:pPr>
      <w:r>
        <w:rPr>
          <w:rFonts w:hint="eastAsia" w:hAnsi="宋体" w:cs="宋体"/>
          <w:sz w:val="24"/>
          <w:szCs w:val="24"/>
        </w:rPr>
        <w:t>3.3 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hAnsi="宋体" w:cs="宋体"/>
          <w:sz w:val="24"/>
          <w:szCs w:val="24"/>
        </w:rPr>
      </w:pPr>
      <w:r>
        <w:rPr>
          <w:rFonts w:hint="eastAsia" w:hAnsi="宋体" w:cs="宋体"/>
          <w:sz w:val="24"/>
          <w:szCs w:val="24"/>
        </w:rPr>
        <w:t>（1）查询渠道：“信用中国”网站（www.creditchina.gov.cn）和“中国政府采购网”（www.ccgp.gov.cn）。</w:t>
      </w:r>
    </w:p>
    <w:p>
      <w:pPr>
        <w:autoSpaceDE w:val="0"/>
        <w:autoSpaceDN w:val="0"/>
        <w:spacing w:line="360" w:lineRule="auto"/>
        <w:contextualSpacing/>
        <w:rPr>
          <w:rFonts w:hAnsi="宋体" w:cs="宋体"/>
          <w:sz w:val="24"/>
          <w:szCs w:val="24"/>
        </w:rPr>
      </w:pPr>
      <w:r>
        <w:rPr>
          <w:rFonts w:hint="eastAsia" w:hAnsi="宋体" w:cs="宋体"/>
          <w:sz w:val="24"/>
          <w:szCs w:val="24"/>
        </w:rPr>
        <w:t>（2）截止时间：同投标截止时间；</w:t>
      </w:r>
    </w:p>
    <w:p>
      <w:pPr>
        <w:autoSpaceDE w:val="0"/>
        <w:autoSpaceDN w:val="0"/>
        <w:spacing w:line="360" w:lineRule="auto"/>
        <w:contextualSpacing/>
        <w:rPr>
          <w:rFonts w:hAnsi="宋体" w:cs="宋体"/>
          <w:sz w:val="24"/>
          <w:szCs w:val="24"/>
        </w:rPr>
      </w:pPr>
      <w:r>
        <w:rPr>
          <w:rFonts w:hint="eastAsia" w:hAnsi="宋体" w:cs="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hAnsi="宋体" w:cs="宋体"/>
          <w:sz w:val="24"/>
          <w:szCs w:val="24"/>
        </w:rPr>
      </w:pPr>
      <w:r>
        <w:rPr>
          <w:rFonts w:hint="eastAsia" w:hAnsi="宋体" w:cs="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4"/>
          <w:szCs w:val="24"/>
        </w:rPr>
      </w:pPr>
      <w:r>
        <w:rPr>
          <w:rFonts w:hint="eastAsia" w:hAnsi="宋体" w:cs="宋体"/>
          <w:sz w:val="24"/>
          <w:szCs w:val="24"/>
        </w:rPr>
        <w:t>3.6 “投标邀请”和“投标人须知前附表”规定接受联合体投标的，除应符合本章第3.1项和3.2项要求外，还应遵守以下规定：</w:t>
      </w:r>
    </w:p>
    <w:p>
      <w:pPr>
        <w:autoSpaceDE w:val="0"/>
        <w:autoSpaceDN w:val="0"/>
        <w:spacing w:line="360" w:lineRule="auto"/>
        <w:contextualSpacing/>
        <w:rPr>
          <w:rFonts w:hAnsi="宋体" w:cs="宋体"/>
          <w:sz w:val="24"/>
          <w:szCs w:val="24"/>
        </w:rPr>
      </w:pPr>
      <w:r>
        <w:rPr>
          <w:rFonts w:hint="eastAsia" w:hAnsi="宋体" w:cs="宋体"/>
          <w:sz w:val="24"/>
          <w:szCs w:val="24"/>
        </w:rPr>
        <w:t>（1）在投标文件中向采购人提交联合体协议书，明确联合体各方承担的工作和义务；</w:t>
      </w:r>
    </w:p>
    <w:p>
      <w:pPr>
        <w:autoSpaceDE w:val="0"/>
        <w:autoSpaceDN w:val="0"/>
        <w:spacing w:line="360" w:lineRule="auto"/>
        <w:contextualSpacing/>
        <w:rPr>
          <w:rFonts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4"/>
          <w:szCs w:val="24"/>
        </w:rPr>
      </w:pPr>
      <w:r>
        <w:rPr>
          <w:rFonts w:hint="eastAsia" w:hAnsi="宋体" w:cs="宋体"/>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（5）联合体各方应当共同与采购人签订采购合同，就采购合同约定的事项对采购人</w:t>
      </w:r>
      <w:r>
        <w:rPr>
          <w:rFonts w:hint="eastAsia" w:hAnsi="宋体" w:cs="宋体"/>
          <w:sz w:val="24"/>
          <w:szCs w:val="24"/>
        </w:rPr>
        <w:fldChar w:fldCharType="begin"/>
      </w:r>
      <w:r>
        <w:rPr>
          <w:rFonts w:hint="eastAsia" w:hAnsi="宋体" w:cs="宋体"/>
          <w:sz w:val="24"/>
          <w:szCs w:val="24"/>
        </w:rPr>
        <w:instrText xml:space="preserve">HYPERLINK "https://baike.baidu.com/item/%E6%89%BF%E6%8B%85%E8%BF%9E%E5%B8%A6%E8%B4%A3%E4%BB%BB" \t "_blank"</w:instrText>
      </w:r>
      <w:r>
        <w:rPr>
          <w:rFonts w:hint="eastAsia" w:hAnsi="宋体" w:cs="宋体"/>
          <w:sz w:val="24"/>
          <w:szCs w:val="24"/>
        </w:rP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contextualSpacing/>
        <w:rPr>
          <w:rFonts w:hAnsi="宋体" w:cs="宋体"/>
          <w:sz w:val="24"/>
          <w:szCs w:val="24"/>
        </w:rPr>
      </w:pPr>
      <w:r>
        <w:rPr>
          <w:rFonts w:hint="eastAsia" w:hAnsi="宋体" w:cs="宋体"/>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4"/>
          <w:szCs w:val="24"/>
        </w:rPr>
      </w:pPr>
      <w:r>
        <w:rPr>
          <w:rFonts w:hint="eastAsia" w:hAnsi="宋体" w:cs="宋体"/>
          <w:sz w:val="24"/>
          <w:szCs w:val="24"/>
        </w:rPr>
        <w:t>4.2 投标人所提供的服务应当没有侵犯任何第三方的知识产权、技术秘密等合法权利。</w:t>
      </w:r>
    </w:p>
    <w:p>
      <w:pPr>
        <w:autoSpaceDE w:val="0"/>
        <w:autoSpaceDN w:val="0"/>
        <w:spacing w:line="360" w:lineRule="auto"/>
        <w:contextualSpacing/>
        <w:rPr>
          <w:rFonts w:hAnsi="宋体" w:cs="宋体"/>
          <w:sz w:val="24"/>
          <w:szCs w:val="24"/>
        </w:rPr>
      </w:pPr>
      <w:r>
        <w:rPr>
          <w:rFonts w:hint="eastAsia" w:hAnsi="宋体" w:cs="宋体"/>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4"/>
          <w:szCs w:val="24"/>
        </w:rPr>
      </w:pPr>
      <w:r>
        <w:rPr>
          <w:rFonts w:hint="eastAsia" w:hAnsi="宋体" w:cs="宋体"/>
          <w:sz w:val="24"/>
          <w:szCs w:val="24"/>
        </w:rPr>
        <w:t>4.4 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》。投标人不能提供超出此目录范畴外的替代品并根据采购文件要求提供相关证明。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5．投标费用</w:t>
      </w:r>
    </w:p>
    <w:p>
      <w:pPr>
        <w:autoSpaceDE w:val="0"/>
        <w:autoSpaceDN w:val="0"/>
        <w:spacing w:line="360" w:lineRule="auto"/>
        <w:contextualSpacing/>
        <w:rPr>
          <w:rFonts w:hAnsi="宋体" w:cs="宋体"/>
          <w:sz w:val="24"/>
          <w:szCs w:val="24"/>
        </w:rPr>
      </w:pPr>
      <w:r>
        <w:rPr>
          <w:rFonts w:hint="eastAsia" w:hAnsi="宋体" w:cs="宋体"/>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contextualSpacing/>
        <w:rPr>
          <w:rFonts w:hAnsi="宋体" w:cs="宋体"/>
          <w:sz w:val="24"/>
          <w:szCs w:val="24"/>
        </w:rPr>
      </w:pPr>
      <w:r>
        <w:rPr>
          <w:rFonts w:hint="eastAsia" w:hAnsi="宋体" w:cs="宋体"/>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w:t>
      </w:r>
      <w:r>
        <w:rPr>
          <w:rFonts w:hint="eastAsia" w:hAnsi="宋体" w:cs="宋体"/>
          <w:sz w:val="24"/>
          <w:szCs w:val="24"/>
          <w:lang w:eastAsia="zh-CN"/>
        </w:rPr>
        <w:t>、</w:t>
      </w:r>
      <w:r>
        <w:rPr>
          <w:rFonts w:hint="eastAsia" w:hAnsi="宋体" w:cs="宋体"/>
          <w:sz w:val="24"/>
          <w:szCs w:val="24"/>
        </w:rPr>
        <w:t>《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Ansi="宋体" w:cs="宋体"/>
          <w:b/>
          <w:sz w:val="24"/>
          <w:szCs w:val="24"/>
        </w:rPr>
      </w:pPr>
      <w:r>
        <w:rPr>
          <w:rFonts w:hint="eastAsia" w:hAnsi="宋体" w:cs="宋体"/>
          <w:b/>
          <w:sz w:val="24"/>
          <w:szCs w:val="24"/>
        </w:rPr>
        <w:t>7.集中采购机构代理费用收取标准和方式</w:t>
      </w:r>
    </w:p>
    <w:p>
      <w:pPr>
        <w:autoSpaceDE w:val="0"/>
        <w:autoSpaceDN w:val="0"/>
        <w:spacing w:line="360" w:lineRule="auto"/>
        <w:contextualSpacing/>
        <w:rPr>
          <w:rFonts w:hAnsi="宋体" w:cs="宋体"/>
          <w:sz w:val="24"/>
          <w:szCs w:val="24"/>
        </w:rPr>
      </w:pPr>
      <w:r>
        <w:rPr>
          <w:rFonts w:hint="eastAsia" w:hAnsi="宋体" w:cs="宋体"/>
          <w:sz w:val="24"/>
          <w:szCs w:val="24"/>
        </w:rPr>
        <w:t>不收取任何费用。</w:t>
      </w:r>
    </w:p>
    <w:p>
      <w:pPr>
        <w:autoSpaceDE w:val="0"/>
        <w:autoSpaceDN w:val="0"/>
        <w:spacing w:line="360" w:lineRule="auto"/>
        <w:contextualSpacing/>
        <w:rPr>
          <w:rFonts w:hAnsi="宋体" w:cs="宋体"/>
          <w:b/>
          <w:sz w:val="24"/>
          <w:szCs w:val="24"/>
        </w:rPr>
      </w:pPr>
      <w:r>
        <w:rPr>
          <w:rFonts w:hint="eastAsia" w:hAnsi="宋体" w:cs="宋体"/>
          <w:b/>
          <w:sz w:val="24"/>
          <w:szCs w:val="24"/>
        </w:rPr>
        <w:t>8. 其他</w:t>
      </w:r>
    </w:p>
    <w:p>
      <w:pPr>
        <w:autoSpaceDE w:val="0"/>
        <w:autoSpaceDN w:val="0"/>
        <w:spacing w:line="360" w:lineRule="auto"/>
        <w:contextualSpacing/>
        <w:rPr>
          <w:rFonts w:hAnsi="宋体" w:cs="宋体"/>
          <w:sz w:val="24"/>
          <w:szCs w:val="24"/>
        </w:rPr>
      </w:pPr>
      <w:r>
        <w:rPr>
          <w:rFonts w:hint="eastAsia" w:hAnsi="宋体" w:cs="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二、采购文件说明</w:t>
      </w:r>
    </w:p>
    <w:p>
      <w:pPr>
        <w:autoSpaceDE w:val="0"/>
        <w:autoSpaceDN w:val="0"/>
        <w:spacing w:line="360" w:lineRule="auto"/>
        <w:contextualSpacing/>
        <w:rPr>
          <w:rFonts w:hAnsi="宋体" w:cs="宋体"/>
          <w:b/>
          <w:sz w:val="24"/>
          <w:szCs w:val="24"/>
        </w:rPr>
      </w:pPr>
      <w:r>
        <w:rPr>
          <w:rFonts w:hint="eastAsia" w:hAnsi="宋体" w:cs="宋体"/>
          <w:b/>
          <w:sz w:val="24"/>
          <w:szCs w:val="24"/>
        </w:rPr>
        <w:t>9．采购文件构成</w:t>
      </w:r>
    </w:p>
    <w:p>
      <w:pPr>
        <w:autoSpaceDE w:val="0"/>
        <w:autoSpaceDN w:val="0"/>
        <w:spacing w:line="360" w:lineRule="auto"/>
        <w:contextualSpacing/>
        <w:rPr>
          <w:rFonts w:hAnsi="宋体" w:cs="宋体"/>
          <w:sz w:val="24"/>
          <w:szCs w:val="24"/>
        </w:rPr>
      </w:pPr>
      <w:r>
        <w:rPr>
          <w:rFonts w:hint="eastAsia" w:hAnsi="宋体" w:cs="宋体"/>
          <w:sz w:val="24"/>
          <w:szCs w:val="24"/>
        </w:rPr>
        <w:t>9.1 采购文件由以下部分组成：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hAnsi="宋体" w:cs="宋体"/>
          <w:sz w:val="24"/>
          <w:szCs w:val="24"/>
        </w:rPr>
      </w:pPr>
      <w:r>
        <w:rPr>
          <w:rFonts w:hint="eastAsia" w:hAnsi="宋体" w:cs="宋体"/>
          <w:sz w:val="24"/>
          <w:szCs w:val="24"/>
        </w:rPr>
        <w:t>第一章谈判公告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hAnsi="宋体" w:cs="宋体"/>
          <w:sz w:val="24"/>
          <w:szCs w:val="24"/>
        </w:rPr>
      </w:pPr>
      <w:r>
        <w:rPr>
          <w:rFonts w:hint="eastAsia" w:hAnsi="宋体" w:cs="宋体"/>
          <w:sz w:val="24"/>
          <w:szCs w:val="24"/>
        </w:rPr>
        <w:t>第二章 采购需求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hAnsi="宋体" w:cs="宋体"/>
          <w:sz w:val="24"/>
          <w:szCs w:val="24"/>
        </w:rPr>
      </w:pPr>
      <w:r>
        <w:rPr>
          <w:rFonts w:hint="eastAsia" w:hAnsi="宋体" w:cs="宋体"/>
          <w:sz w:val="24"/>
          <w:szCs w:val="24"/>
        </w:rPr>
        <w:t>第三章 供应商须知前附表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hAnsi="宋体" w:cs="宋体"/>
          <w:sz w:val="24"/>
          <w:szCs w:val="24"/>
        </w:rPr>
      </w:pPr>
      <w:r>
        <w:rPr>
          <w:rFonts w:hint="eastAsia" w:hAnsi="宋体" w:cs="宋体"/>
          <w:sz w:val="24"/>
          <w:szCs w:val="24"/>
        </w:rPr>
        <w:t>第四章 供应商须知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hAnsi="宋体" w:cs="宋体"/>
          <w:sz w:val="24"/>
          <w:szCs w:val="24"/>
        </w:rPr>
      </w:pPr>
      <w:r>
        <w:rPr>
          <w:rFonts w:hint="eastAsia" w:hAnsi="宋体" w:cs="宋体"/>
          <w:sz w:val="24"/>
          <w:szCs w:val="24"/>
        </w:rPr>
        <w:t>第五章 政府采购政策功能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hAnsi="宋体" w:cs="宋体"/>
          <w:sz w:val="24"/>
          <w:szCs w:val="24"/>
        </w:rPr>
      </w:pPr>
      <w:r>
        <w:rPr>
          <w:rFonts w:hint="eastAsia" w:hAnsi="宋体" w:cs="宋体"/>
          <w:sz w:val="24"/>
          <w:szCs w:val="24"/>
        </w:rPr>
        <w:t>第六章 资格审查与评审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hAnsi="宋体" w:cs="宋体"/>
          <w:sz w:val="24"/>
          <w:szCs w:val="24"/>
        </w:rPr>
      </w:pPr>
      <w:r>
        <w:rPr>
          <w:rFonts w:hint="eastAsia" w:hAnsi="宋体" w:cs="宋体"/>
          <w:sz w:val="24"/>
          <w:szCs w:val="24"/>
        </w:rPr>
        <w:t>第七章 合同书格式及合同条款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hAnsi="宋体" w:cs="宋体"/>
          <w:sz w:val="24"/>
          <w:szCs w:val="24"/>
        </w:rPr>
      </w:pPr>
      <w:r>
        <w:rPr>
          <w:rFonts w:hint="eastAsia" w:hAnsi="宋体" w:cs="宋体"/>
          <w:sz w:val="24"/>
          <w:szCs w:val="24"/>
        </w:rPr>
        <w:t>第八章 响应文件有关格式</w:t>
      </w:r>
    </w:p>
    <w:p>
      <w:pPr>
        <w:autoSpaceDE w:val="0"/>
        <w:autoSpaceDN w:val="0"/>
        <w:spacing w:line="360" w:lineRule="auto"/>
        <w:contextualSpacing/>
        <w:rPr>
          <w:rFonts w:hAnsi="宋体" w:cs="宋体"/>
          <w:sz w:val="24"/>
          <w:szCs w:val="24"/>
        </w:rPr>
      </w:pPr>
      <w:r>
        <w:rPr>
          <w:rFonts w:hint="eastAsia" w:hAnsi="宋体" w:cs="宋体"/>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hAnsi="宋体" w:cs="宋体"/>
          <w:sz w:val="24"/>
          <w:szCs w:val="24"/>
        </w:rPr>
      </w:pPr>
      <w:r>
        <w:rPr>
          <w:rFonts w:hint="eastAsia" w:hAnsi="宋体" w:cs="宋体"/>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hAnsi="宋体" w:cs="宋体"/>
          <w:sz w:val="24"/>
          <w:szCs w:val="24"/>
        </w:rPr>
      </w:pPr>
      <w:r>
        <w:rPr>
          <w:rFonts w:hint="eastAsia" w:hAnsi="宋体" w:cs="宋体"/>
          <w:sz w:val="24"/>
          <w:szCs w:val="24"/>
        </w:rPr>
        <w:t>10.2 招标人组织现场考察或者召开答疑会的，应当在采购文件中载明，或者在采购文件公告期满后在财政部门指定的政府采购信息发布媒体和《全国公共资源交易平台（河南省·许昌市）》</w:t>
      </w:r>
      <w:r>
        <w:rPr>
          <w:rFonts w:hint="eastAsia" w:hAnsi="宋体" w:cs="宋体"/>
          <w:sz w:val="24"/>
          <w:szCs w:val="24"/>
          <w:lang w:eastAsia="zh-CN"/>
        </w:rPr>
        <w:t>、</w:t>
      </w:r>
      <w:r>
        <w:rPr>
          <w:rFonts w:hint="eastAsia" w:hAnsi="宋体" w:cs="宋体"/>
          <w:sz w:val="24"/>
          <w:szCs w:val="24"/>
        </w:rPr>
        <w:t>《长葛市人民政府门户网站》发布更正公告。</w:t>
      </w:r>
    </w:p>
    <w:p>
      <w:pPr>
        <w:autoSpaceDE w:val="0"/>
        <w:autoSpaceDN w:val="0"/>
        <w:spacing w:line="360" w:lineRule="auto"/>
        <w:contextualSpacing/>
        <w:rPr>
          <w:rFonts w:hAnsi="宋体" w:cs="宋体"/>
          <w:sz w:val="24"/>
          <w:szCs w:val="24"/>
        </w:rPr>
      </w:pPr>
      <w:r>
        <w:rPr>
          <w:rFonts w:hint="eastAsia" w:hAnsi="宋体" w:cs="宋体"/>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hAnsi="宋体" w:cs="宋体"/>
          <w:sz w:val="24"/>
          <w:szCs w:val="24"/>
        </w:rPr>
      </w:pPr>
      <w:r>
        <w:rPr>
          <w:rFonts w:hint="eastAsia" w:hAnsi="宋体" w:cs="宋体"/>
          <w:sz w:val="24"/>
          <w:szCs w:val="24"/>
        </w:rPr>
        <w:t>10.4 现场考察及参加开标前答疑会所发生的费用及一切责任由投标人自行承担。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11.采购文件的澄清或修改</w:t>
      </w:r>
    </w:p>
    <w:p>
      <w:pPr>
        <w:autoSpaceDE w:val="0"/>
        <w:autoSpaceDN w:val="0"/>
        <w:spacing w:line="360" w:lineRule="auto"/>
        <w:contextualSpacing/>
        <w:rPr>
          <w:rFonts w:hAnsi="宋体" w:cs="宋体"/>
          <w:sz w:val="24"/>
          <w:szCs w:val="24"/>
        </w:rPr>
      </w:pPr>
      <w:r>
        <w:rPr>
          <w:rFonts w:hint="eastAsia" w:hAnsi="宋体" w:cs="宋体"/>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hAnsi="宋体" w:cs="宋体"/>
          <w:sz w:val="24"/>
          <w:szCs w:val="24"/>
        </w:rPr>
      </w:pPr>
      <w:r>
        <w:rPr>
          <w:rFonts w:hint="eastAsia" w:hAnsi="宋体" w:cs="宋体"/>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4"/>
          <w:szCs w:val="24"/>
        </w:rPr>
      </w:pPr>
      <w:r>
        <w:rPr>
          <w:rFonts w:hint="eastAsia" w:hAnsi="宋体" w:cs="宋体"/>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hAnsi="宋体" w:cs="宋体"/>
          <w:sz w:val="24"/>
          <w:szCs w:val="24"/>
        </w:rPr>
      </w:pPr>
      <w:r>
        <w:rPr>
          <w:rFonts w:hint="eastAsia" w:hAnsi="宋体" w:cs="宋体"/>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三、投标文件的编制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 投标的语言及计量单位</w:t>
      </w:r>
    </w:p>
    <w:p>
      <w:pPr>
        <w:autoSpaceDE w:val="0"/>
        <w:autoSpaceDN w:val="0"/>
        <w:spacing w:line="360" w:lineRule="auto"/>
        <w:contextualSpacing/>
        <w:rPr>
          <w:rFonts w:hAnsi="宋体" w:cs="宋体"/>
          <w:sz w:val="24"/>
          <w:szCs w:val="24"/>
        </w:rPr>
      </w:pPr>
      <w:r>
        <w:rPr>
          <w:rFonts w:hint="eastAsia" w:hAnsi="宋体" w:cs="宋体"/>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4"/>
          <w:szCs w:val="24"/>
        </w:rPr>
      </w:pPr>
      <w:r>
        <w:rPr>
          <w:rFonts w:hint="eastAsia" w:hAnsi="宋体" w:cs="宋体"/>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contextualSpacing/>
        <w:rPr>
          <w:rFonts w:hAnsi="宋体" w:cs="宋体"/>
          <w:sz w:val="24"/>
          <w:szCs w:val="24"/>
        </w:rPr>
      </w:pPr>
      <w:r>
        <w:rPr>
          <w:rFonts w:hint="eastAsia" w:hAnsi="宋体" w:cs="宋体"/>
          <w:sz w:val="24"/>
          <w:szCs w:val="24"/>
        </w:rPr>
        <w:t>13.1 本次招标项目的投标均以</w:t>
      </w:r>
      <w:r>
        <w:rPr>
          <w:rFonts w:hint="eastAsia" w:hAnsi="宋体" w:cs="宋体"/>
          <w:b/>
          <w:sz w:val="24"/>
          <w:szCs w:val="24"/>
        </w:rPr>
        <w:t>人民币</w:t>
      </w:r>
      <w:r>
        <w:rPr>
          <w:rFonts w:hint="eastAsia" w:hAnsi="宋体" w:cs="宋体"/>
          <w:sz w:val="24"/>
          <w:szCs w:val="24"/>
        </w:rPr>
        <w:t>为计算单位。</w:t>
      </w:r>
    </w:p>
    <w:p>
      <w:pPr>
        <w:autoSpaceDE w:val="0"/>
        <w:autoSpaceDN w:val="0"/>
        <w:spacing w:line="360" w:lineRule="auto"/>
        <w:contextualSpacing/>
        <w:rPr>
          <w:rFonts w:hAnsi="宋体" w:cs="宋体"/>
          <w:sz w:val="24"/>
          <w:szCs w:val="24"/>
        </w:rPr>
      </w:pPr>
      <w:r>
        <w:rPr>
          <w:rFonts w:hint="eastAsia" w:hAnsi="宋体" w:cs="宋体"/>
          <w:sz w:val="24"/>
          <w:szCs w:val="24"/>
        </w:rPr>
        <w:t>13.2 采购人不得向投标人索要或者接受其给予的赠品、回扣或者与采购无关的其他商品、服务。</w:t>
      </w:r>
    </w:p>
    <w:p>
      <w:pPr>
        <w:pStyle w:val="43"/>
        <w:spacing w:line="360"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rPr>
        <w:t>为非实质性响应予以拒绝。</w:t>
      </w:r>
    </w:p>
    <w:p>
      <w:pPr>
        <w:spacing w:line="360" w:lineRule="auto"/>
        <w:outlineLvl w:val="0"/>
        <w:rPr>
          <w:rFonts w:hAnsi="宋体" w:cs="宋体"/>
          <w:sz w:val="24"/>
          <w:szCs w:val="24"/>
        </w:rPr>
      </w:pPr>
      <w:r>
        <w:rPr>
          <w:rFonts w:hint="eastAsia" w:hAnsi="宋体" w:cs="宋体"/>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contextualSpacing/>
        <w:rPr>
          <w:rFonts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4"/>
          <w:szCs w:val="24"/>
        </w:rPr>
      </w:pPr>
      <w:r>
        <w:rPr>
          <w:rFonts w:hint="eastAsia" w:hAnsi="宋体" w:cs="宋体"/>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14．投标有效期</w:t>
      </w:r>
    </w:p>
    <w:p>
      <w:pPr>
        <w:autoSpaceDE w:val="0"/>
        <w:autoSpaceDN w:val="0"/>
        <w:spacing w:line="360" w:lineRule="auto"/>
        <w:contextualSpacing/>
        <w:rPr>
          <w:rFonts w:hAnsi="宋体" w:cs="宋体"/>
          <w:sz w:val="24"/>
          <w:szCs w:val="24"/>
        </w:rPr>
      </w:pPr>
      <w:r>
        <w:rPr>
          <w:rFonts w:hint="eastAsia" w:hAnsi="宋体" w:cs="宋体"/>
          <w:sz w:val="24"/>
          <w:szCs w:val="24"/>
        </w:rPr>
        <w:t>14.1 投标有效期从提交投标文件的截止之日起算。本项目投标有效期详</w:t>
      </w:r>
      <w:r>
        <w:rPr>
          <w:rFonts w:hint="eastAsia" w:hAnsi="宋体" w:cs="宋体"/>
          <w:sz w:val="24"/>
          <w:szCs w:val="24"/>
          <w:lang w:val="zh-CN"/>
        </w:rPr>
        <w:t>见投标人须知前附表。</w:t>
      </w:r>
      <w:r>
        <w:rPr>
          <w:rFonts w:hint="eastAsia" w:hAnsi="宋体" w:cs="宋体"/>
          <w:sz w:val="24"/>
          <w:szCs w:val="24"/>
        </w:rPr>
        <w:t>投标文件中承诺的投标有效期应当不少于“投标人须知前附表”载明的投标有效期。投标有效期比采购文件规定短的属于非实质性响应，将被认定为无效投标。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4"/>
          <w:szCs w:val="24"/>
        </w:rPr>
      </w:pPr>
      <w:r>
        <w:rPr>
          <w:rFonts w:hint="eastAsia" w:hAnsi="宋体" w:cs="宋体"/>
          <w:sz w:val="24"/>
          <w:szCs w:val="24"/>
        </w:rPr>
        <w:t>14.</w:t>
      </w:r>
      <w:r>
        <w:rPr>
          <w:rFonts w:hint="eastAsia" w:hAnsi="宋体" w:cs="宋体"/>
          <w:sz w:val="24"/>
          <w:szCs w:val="24"/>
          <w:lang w:val="en-US" w:eastAsia="zh-CN"/>
        </w:rPr>
        <w:t>2</w:t>
      </w:r>
      <w:r>
        <w:rPr>
          <w:rFonts w:hint="eastAsia" w:hAnsi="宋体" w:cs="宋体"/>
          <w:sz w:val="24"/>
          <w:szCs w:val="24"/>
        </w:rPr>
        <w:t xml:space="preserve"> 特殊情况下，在原投标有效期截止之前，招标人可要求投标人延长投标有效期。这种要求与答复均应以书面形式提交。同意延期的投标人在原投标有效期内应享之权利及应负之责任也相应延续。</w:t>
      </w:r>
    </w:p>
    <w:p>
      <w:pPr>
        <w:autoSpaceDE w:val="0"/>
        <w:autoSpaceDN w:val="0"/>
        <w:spacing w:line="360" w:lineRule="auto"/>
        <w:contextualSpacing/>
        <w:rPr>
          <w:rFonts w:hAnsi="宋体" w:cs="宋体"/>
          <w:sz w:val="24"/>
          <w:szCs w:val="24"/>
        </w:rPr>
      </w:pPr>
      <w:r>
        <w:rPr>
          <w:rFonts w:hint="eastAsia" w:hAnsi="宋体" w:cs="宋体"/>
          <w:sz w:val="24"/>
          <w:szCs w:val="24"/>
        </w:rPr>
        <w:t>14.4 成交人的投标文件作为项目合同的附件，其有效期至成交人全部合同义务履行完毕为止。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15．投标文件构成</w:t>
      </w:r>
    </w:p>
    <w:p>
      <w:pPr>
        <w:autoSpaceDE w:val="0"/>
        <w:autoSpaceDN w:val="0"/>
        <w:spacing w:line="360" w:lineRule="auto"/>
        <w:contextualSpacing/>
        <w:rPr>
          <w:rFonts w:hAnsi="宋体" w:cs="宋体"/>
          <w:sz w:val="24"/>
          <w:szCs w:val="24"/>
        </w:rPr>
      </w:pPr>
      <w:r>
        <w:rPr>
          <w:rFonts w:hint="eastAsia" w:hAnsi="宋体" w:cs="宋体"/>
          <w:sz w:val="24"/>
          <w:szCs w:val="24"/>
        </w:rPr>
        <w:t>15.1 投标文件的构成应符合法律法规及采购文件的要求。</w:t>
      </w:r>
    </w:p>
    <w:p>
      <w:pPr>
        <w:autoSpaceDE w:val="0"/>
        <w:autoSpaceDN w:val="0"/>
        <w:spacing w:line="360" w:lineRule="auto"/>
        <w:contextualSpacing/>
        <w:rPr>
          <w:rFonts w:hAnsi="宋体" w:cs="宋体"/>
          <w:sz w:val="24"/>
          <w:szCs w:val="24"/>
        </w:rPr>
      </w:pPr>
      <w:r>
        <w:rPr>
          <w:rFonts w:hint="eastAsia" w:hAnsi="宋体" w:cs="宋体"/>
          <w:sz w:val="24"/>
          <w:szCs w:val="24"/>
        </w:rPr>
        <w:t>15.2 投标人应当按照采购文件的要求编制投标文件。投标文件应当对采购文件提出的要求和条件作出明确响应。</w:t>
      </w:r>
    </w:p>
    <w:p>
      <w:pPr>
        <w:spacing w:line="360" w:lineRule="auto"/>
        <w:contextualSpacing/>
        <w:rPr>
          <w:rFonts w:hAnsi="宋体" w:cs="宋体"/>
          <w:sz w:val="24"/>
          <w:szCs w:val="24"/>
        </w:rPr>
      </w:pPr>
      <w:r>
        <w:rPr>
          <w:rFonts w:hint="eastAsia" w:hAnsi="宋体" w:cs="宋体"/>
          <w:sz w:val="24"/>
          <w:szCs w:val="24"/>
        </w:rPr>
        <w:t>15.3 投标文件由资格证明材料、符合性证明材料、其它材料等组成。</w:t>
      </w:r>
    </w:p>
    <w:p>
      <w:pPr>
        <w:autoSpaceDE w:val="0"/>
        <w:autoSpaceDN w:val="0"/>
        <w:spacing w:line="360" w:lineRule="auto"/>
        <w:contextualSpacing/>
        <w:rPr>
          <w:rFonts w:hAnsi="宋体" w:cs="宋体"/>
          <w:sz w:val="24"/>
          <w:szCs w:val="24"/>
        </w:rPr>
      </w:pPr>
      <w:r>
        <w:rPr>
          <w:rFonts w:hint="eastAsia" w:hAnsi="宋体" w:cs="宋体"/>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4"/>
          <w:szCs w:val="24"/>
        </w:rPr>
      </w:pPr>
      <w:r>
        <w:rPr>
          <w:rFonts w:hint="eastAsia" w:hAnsi="宋体" w:cs="宋体"/>
          <w:sz w:val="24"/>
          <w:szCs w:val="24"/>
        </w:rPr>
        <w:t xml:space="preserve">15.5 投标人登录许昌公共资源交易系统下载“许昌投标文件制作系统SEARUN V1.0”，按采购文件要求根据所投标段制作电子投标文件。 </w:t>
      </w:r>
    </w:p>
    <w:p>
      <w:pPr>
        <w:tabs>
          <w:tab w:val="left" w:pos="7095"/>
        </w:tabs>
        <w:spacing w:line="360" w:lineRule="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sz w:val="24"/>
          <w:szCs w:val="24"/>
        </w:rPr>
      </w:pPr>
      <w:r>
        <w:rPr>
          <w:rFonts w:hint="eastAsia" w:hAnsi="宋体" w:cs="宋体"/>
          <w:sz w:val="24"/>
          <w:szCs w:val="24"/>
        </w:rPr>
        <w:t>电子投标文件制作技术咨询：</w:t>
      </w:r>
      <w:r>
        <w:rPr>
          <w:rFonts w:hint="eastAsia" w:hAnsi="宋体" w:cs="宋体"/>
          <w:b/>
          <w:sz w:val="24"/>
          <w:szCs w:val="24"/>
        </w:rPr>
        <w:t>0374-2961598</w:t>
      </w:r>
      <w:r>
        <w:rPr>
          <w:rFonts w:hint="eastAsia" w:hAnsi="宋体" w:cs="宋体"/>
          <w:sz w:val="24"/>
          <w:szCs w:val="24"/>
        </w:rPr>
        <w:t>。</w:t>
      </w:r>
    </w:p>
    <w:p>
      <w:pPr>
        <w:autoSpaceDE w:val="0"/>
        <w:autoSpaceDN w:val="0"/>
        <w:spacing w:line="360" w:lineRule="auto"/>
        <w:contextualSpacing/>
        <w:rPr>
          <w:rFonts w:hAnsi="宋体" w:cs="宋体"/>
          <w:b/>
          <w:sz w:val="24"/>
          <w:szCs w:val="24"/>
        </w:rPr>
      </w:pPr>
      <w:r>
        <w:rPr>
          <w:rFonts w:hint="eastAsia" w:hAnsi="宋体" w:cs="宋体"/>
          <w:b/>
          <w:sz w:val="24"/>
          <w:szCs w:val="24"/>
        </w:rPr>
        <w:t>16.投标文件格式</w:t>
      </w:r>
    </w:p>
    <w:p>
      <w:pPr>
        <w:autoSpaceDE w:val="0"/>
        <w:autoSpaceDN w:val="0"/>
        <w:spacing w:line="360" w:lineRule="auto"/>
        <w:contextualSpacing/>
        <w:rPr>
          <w:rFonts w:hAnsi="宋体" w:cs="宋体"/>
          <w:sz w:val="24"/>
          <w:szCs w:val="24"/>
        </w:rPr>
      </w:pPr>
      <w:r>
        <w:rPr>
          <w:rFonts w:hint="eastAsia" w:hAnsi="宋体" w:cs="宋体"/>
          <w:sz w:val="24"/>
          <w:szCs w:val="24"/>
        </w:rPr>
        <w:t>16.1 投标文件应参照采购文件（投标文件有关格式）的内容要求、编排顺序和格式要求，投标人应按照以上要求将投标文件编上唯一的连贯页码并以</w:t>
      </w:r>
      <w:r>
        <w:rPr>
          <w:rFonts w:hint="eastAsia" w:hAnsi="宋体" w:cs="宋体"/>
          <w:b/>
          <w:sz w:val="24"/>
          <w:szCs w:val="24"/>
        </w:rPr>
        <w:t>A4</w:t>
      </w:r>
      <w:r>
        <w:rPr>
          <w:rFonts w:hint="eastAsia" w:hAnsi="宋体" w:cs="宋体"/>
          <w:sz w:val="24"/>
          <w:szCs w:val="24"/>
        </w:rPr>
        <w:t>幅面装订成册，并在投标文件封面上注明：正本/副本、所投项目名称、项目编号、投标人名称、日期等字样。</w:t>
      </w:r>
    </w:p>
    <w:p>
      <w:pPr>
        <w:autoSpaceDE w:val="0"/>
        <w:autoSpaceDN w:val="0"/>
        <w:spacing w:line="360" w:lineRule="auto"/>
        <w:contextualSpacing/>
        <w:rPr>
          <w:rFonts w:hAnsi="宋体" w:cs="宋体"/>
          <w:sz w:val="24"/>
          <w:szCs w:val="24"/>
        </w:rPr>
      </w:pPr>
      <w:r>
        <w:rPr>
          <w:rFonts w:hint="eastAsia" w:hAnsi="宋体" w:cs="宋体"/>
          <w:sz w:val="24"/>
          <w:szCs w:val="24"/>
        </w:rPr>
        <w:t>16.2 投标人应按采购文件提供的格式编写投标文件。采购文件未提供标准格式的投标人可自行拟定。</w:t>
      </w:r>
    </w:p>
    <w:p>
      <w:pPr>
        <w:tabs>
          <w:tab w:val="left" w:pos="1260"/>
        </w:tabs>
        <w:autoSpaceDE w:val="0"/>
        <w:autoSpaceDN w:val="0"/>
        <w:spacing w:line="360" w:lineRule="auto"/>
        <w:contextualSpacing/>
        <w:rPr>
          <w:rFonts w:hint="eastAsia" w:hAnsi="宋体" w:cs="宋体"/>
          <w:b/>
          <w:sz w:val="24"/>
          <w:szCs w:val="24"/>
          <w:lang w:val="zh-CN"/>
        </w:rPr>
      </w:pPr>
      <w:r>
        <w:rPr>
          <w:rFonts w:hint="eastAsia" w:hAnsi="宋体" w:cs="宋体"/>
          <w:b/>
          <w:sz w:val="24"/>
          <w:szCs w:val="24"/>
          <w:lang w:val="zh-CN"/>
        </w:rPr>
        <w:t>1</w:t>
      </w:r>
      <w:r>
        <w:rPr>
          <w:rFonts w:hint="eastAsia" w:hAnsi="宋体" w:cs="宋体"/>
          <w:b/>
          <w:sz w:val="24"/>
          <w:szCs w:val="24"/>
          <w:lang w:val="en-US" w:eastAsia="zh-CN"/>
        </w:rPr>
        <w:t>7</w:t>
      </w:r>
      <w:r>
        <w:rPr>
          <w:rFonts w:hint="eastAsia" w:hAnsi="宋体" w:cs="宋体"/>
          <w:b/>
          <w:sz w:val="24"/>
          <w:szCs w:val="24"/>
          <w:lang w:val="zh-CN"/>
        </w:rPr>
        <w:t>. 投标保证金：不收取。</w:t>
      </w:r>
    </w:p>
    <w:p>
      <w:pPr>
        <w:tabs>
          <w:tab w:val="left" w:pos="1260"/>
        </w:tabs>
        <w:autoSpaceDE w:val="0"/>
        <w:autoSpaceDN w:val="0"/>
        <w:spacing w:line="360" w:lineRule="auto"/>
        <w:contextualSpacing/>
        <w:rPr>
          <w:rFonts w:hint="eastAsia" w:hAnsi="宋体" w:cs="宋体"/>
          <w:b/>
          <w:sz w:val="24"/>
          <w:szCs w:val="24"/>
          <w:lang w:val="zh-CN"/>
        </w:rPr>
      </w:pP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en-US" w:eastAsia="zh-CN"/>
        </w:rPr>
        <w:t>18.</w:t>
      </w:r>
      <w:r>
        <w:rPr>
          <w:rFonts w:hint="eastAsia" w:hAnsi="宋体" w:cs="宋体"/>
          <w:b/>
          <w:sz w:val="24"/>
          <w:szCs w:val="24"/>
          <w:lang w:val="zh-CN"/>
        </w:rPr>
        <w:t>投标文件的数量和签署盖章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.1 投标人应提交投标文件份数见“投标人须知前附表”。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.2 在采购文件中已明示需盖章及签名之处，</w:t>
      </w:r>
      <w:r>
        <w:rPr>
          <w:rFonts w:hint="eastAsia" w:hAnsi="宋体" w:cs="宋体"/>
          <w:sz w:val="24"/>
          <w:szCs w:val="24"/>
        </w:rPr>
        <w:t>电子投标文件应按采购文件要求加盖投标人电子印章和法人电子印章或授权代表电子印章。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.3 纸质投标文件</w:t>
      </w:r>
      <w:r>
        <w:rPr>
          <w:rFonts w:hint="eastAsia" w:hAnsi="宋体" w:cs="宋体"/>
          <w:sz w:val="24"/>
          <w:szCs w:val="24"/>
        </w:rPr>
        <w:t>是指投标人电子投标文件制作完成后生成的后缀名为“.PDF”的文件打印的投标文件。</w:t>
      </w:r>
      <w:r>
        <w:rPr>
          <w:rFonts w:hint="eastAsia" w:hAnsi="宋体" w:cs="宋体"/>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四、投标文件的递交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w:t>
      </w:r>
      <w:r>
        <w:rPr>
          <w:rFonts w:hint="eastAsia" w:hAnsi="宋体" w:cs="宋体"/>
          <w:b/>
          <w:sz w:val="24"/>
          <w:szCs w:val="24"/>
          <w:lang w:val="en-US" w:eastAsia="zh-CN"/>
        </w:rPr>
        <w:t>9</w:t>
      </w:r>
      <w:r>
        <w:rPr>
          <w:rFonts w:hint="eastAsia" w:hAnsi="宋体" w:cs="宋体"/>
          <w:b/>
          <w:sz w:val="24"/>
          <w:szCs w:val="24"/>
          <w:lang w:val="zh-CN"/>
        </w:rPr>
        <w:t>.投标文件的密封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w:t>
      </w:r>
      <w:r>
        <w:rPr>
          <w:rFonts w:hint="eastAsia" w:hAnsi="宋体" w:cs="宋体"/>
          <w:sz w:val="24"/>
          <w:szCs w:val="24"/>
          <w:lang w:val="en-US" w:eastAsia="zh-CN"/>
        </w:rPr>
        <w:t>9</w:t>
      </w:r>
      <w:r>
        <w:rPr>
          <w:rFonts w:hint="eastAsia" w:hAnsi="宋体" w:cs="宋体"/>
          <w:sz w:val="24"/>
          <w:szCs w:val="24"/>
          <w:lang w:val="zh-CN"/>
        </w:rPr>
        <w:t>.1 投标人应将纸质投标文件“正本”、“ 副本”密封包装。</w:t>
      </w:r>
      <w:r>
        <w:rPr>
          <w:rFonts w:hint="eastAsia" w:hAnsi="宋体" w:cs="宋体"/>
          <w:sz w:val="24"/>
          <w:szCs w:val="24"/>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w:t>
      </w:r>
      <w:r>
        <w:rPr>
          <w:rFonts w:hint="eastAsia" w:hAnsi="宋体" w:cs="宋体"/>
          <w:sz w:val="24"/>
          <w:szCs w:val="24"/>
          <w:lang w:val="en-US" w:eastAsia="zh-CN"/>
        </w:rPr>
        <w:t>9</w:t>
      </w:r>
      <w:r>
        <w:rPr>
          <w:rFonts w:hint="eastAsia" w:hAnsi="宋体" w:cs="宋体"/>
          <w:sz w:val="24"/>
          <w:szCs w:val="24"/>
          <w:lang w:val="zh-CN"/>
        </w:rPr>
        <w:t>.2 投标文件如果未按规定密封，招标人将拒绝接收。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en-US" w:eastAsia="zh-CN"/>
        </w:rPr>
        <w:t>20</w:t>
      </w:r>
      <w:r>
        <w:rPr>
          <w:rFonts w:hint="eastAsia" w:hAnsi="宋体" w:cs="宋体"/>
          <w:b/>
          <w:sz w:val="24"/>
          <w:szCs w:val="24"/>
          <w:lang w:val="zh-CN"/>
        </w:rPr>
        <w:t>．投标截止时间</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en-US" w:eastAsia="zh-CN"/>
        </w:rPr>
        <w:t>20.</w:t>
      </w:r>
      <w:r>
        <w:rPr>
          <w:rFonts w:hint="eastAsia" w:hAnsi="宋体" w:cs="宋体"/>
          <w:sz w:val="24"/>
          <w:szCs w:val="24"/>
          <w:lang w:val="zh-CN"/>
        </w:rPr>
        <w:t>1投标人必须在</w:t>
      </w:r>
      <w:r>
        <w:rPr>
          <w:rFonts w:hint="eastAsia" w:hAnsi="宋体" w:cs="宋体"/>
          <w:sz w:val="24"/>
          <w:szCs w:val="24"/>
        </w:rPr>
        <w:t>“投标邀请”</w:t>
      </w:r>
      <w:r>
        <w:rPr>
          <w:rFonts w:hint="eastAsia" w:hAnsi="宋体" w:cs="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en-US" w:eastAsia="zh-CN"/>
        </w:rPr>
        <w:t>20.2</w:t>
      </w:r>
      <w:r>
        <w:rPr>
          <w:rFonts w:hint="eastAsia" w:hAnsi="宋体" w:cs="宋体"/>
          <w:sz w:val="24"/>
          <w:szCs w:val="24"/>
          <w:lang w:val="zh-CN"/>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hAnsi="宋体" w:cs="宋体"/>
          <w:b/>
          <w:bCs/>
          <w:sz w:val="24"/>
          <w:szCs w:val="24"/>
        </w:rPr>
      </w:pPr>
      <w:r>
        <w:rPr>
          <w:rFonts w:hint="eastAsia" w:hAnsi="宋体" w:cs="宋体"/>
          <w:b/>
          <w:bCs/>
          <w:sz w:val="24"/>
          <w:szCs w:val="24"/>
          <w:lang w:val="en-US" w:eastAsia="zh-CN"/>
        </w:rPr>
        <w:t>20.</w:t>
      </w:r>
      <w:r>
        <w:rPr>
          <w:rFonts w:hint="eastAsia" w:hAnsi="宋体" w:cs="宋体"/>
          <w:b/>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 投标文件的修改和撤回</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 xml:space="preserve">.2 </w:t>
      </w:r>
      <w:r>
        <w:rPr>
          <w:rFonts w:hint="eastAsia" w:hAnsi="宋体" w:cs="宋体"/>
          <w:bCs/>
          <w:sz w:val="24"/>
          <w:szCs w:val="24"/>
        </w:rPr>
        <w:t>投标人</w:t>
      </w:r>
      <w:r>
        <w:rPr>
          <w:rFonts w:hint="eastAsia" w:hAnsi="宋体" w:cs="宋体"/>
          <w:sz w:val="24"/>
          <w:szCs w:val="24"/>
          <w:lang w:val="zh-CN"/>
        </w:rPr>
        <w:t>补充、修改的内容并作为投标文件的组成部分。</w:t>
      </w:r>
      <w:r>
        <w:rPr>
          <w:rFonts w:hint="eastAsia" w:hAnsi="宋体" w:cs="宋体"/>
          <w:bCs/>
          <w:sz w:val="24"/>
          <w:szCs w:val="24"/>
        </w:rPr>
        <w:t>补充或修改</w:t>
      </w:r>
      <w:r>
        <w:rPr>
          <w:rFonts w:hint="eastAsia" w:hAnsi="宋体" w:cs="宋体"/>
          <w:sz w:val="24"/>
          <w:szCs w:val="24"/>
          <w:lang w:val="zh-CN"/>
        </w:rPr>
        <w:t>应当按采购文件要求签署、盖章、</w:t>
      </w:r>
      <w:r>
        <w:rPr>
          <w:rFonts w:hint="eastAsia" w:hAnsi="宋体" w:cs="宋体"/>
          <w:bCs/>
          <w:sz w:val="24"/>
          <w:szCs w:val="24"/>
        </w:rPr>
        <w:t>密封</w:t>
      </w:r>
      <w:r>
        <w:rPr>
          <w:rFonts w:hint="eastAsia" w:hAnsi="宋体" w:cs="宋体"/>
          <w:sz w:val="24"/>
          <w:szCs w:val="24"/>
          <w:lang w:val="zh-CN"/>
        </w:rPr>
        <w:t>、递交，</w:t>
      </w:r>
      <w:r>
        <w:rPr>
          <w:rFonts w:hint="eastAsia" w:hAnsi="宋体" w:cs="宋体"/>
          <w:bCs/>
          <w:sz w:val="24"/>
          <w:szCs w:val="24"/>
        </w:rPr>
        <w:t>并应注明“修改”或“补充”字样。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hAnsi="宋体" w:cs="宋体"/>
          <w:b/>
          <w:sz w:val="24"/>
          <w:szCs w:val="24"/>
        </w:rPr>
      </w:pPr>
      <w:r>
        <w:rPr>
          <w:rFonts w:hint="eastAsia" w:hAnsi="宋体" w:cs="宋体"/>
          <w:b/>
          <w:sz w:val="24"/>
          <w:szCs w:val="24"/>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lang w:val="en-US" w:eastAsia="zh-CN"/>
        </w:rPr>
        <w:t>2</w:t>
      </w:r>
      <w:r>
        <w:rPr>
          <w:rFonts w:hint="eastAsia" w:hAnsi="宋体" w:cs="宋体"/>
          <w:sz w:val="24"/>
          <w:szCs w:val="24"/>
          <w:lang w:val="zh-CN"/>
        </w:rPr>
        <w:t xml:space="preserve"> 开标时，由投标人或者其推选的代表检查纸质投标文件和</w:t>
      </w:r>
      <w:r>
        <w:rPr>
          <w:rFonts w:hint="eastAsia" w:hAnsi="宋体" w:cs="宋体"/>
          <w:sz w:val="24"/>
          <w:szCs w:val="24"/>
        </w:rPr>
        <w:t>备份文件</w:t>
      </w:r>
      <w:r>
        <w:rPr>
          <w:rFonts w:hint="eastAsia" w:hAnsi="宋体" w:cs="宋体"/>
          <w:sz w:val="24"/>
          <w:szCs w:val="24"/>
          <w:lang w:val="zh-CN"/>
        </w:rPr>
        <w:t>（</w:t>
      </w:r>
      <w:r>
        <w:rPr>
          <w:rFonts w:hint="eastAsia" w:hAnsi="宋体" w:cs="宋体"/>
          <w:sz w:val="24"/>
          <w:szCs w:val="24"/>
        </w:rPr>
        <w:t>使用电子介质存储</w:t>
      </w:r>
      <w:r>
        <w:rPr>
          <w:rFonts w:hint="eastAsia" w:hAnsi="宋体" w:cs="宋体"/>
          <w:sz w:val="24"/>
          <w:szCs w:val="24"/>
          <w:lang w:val="zh-CN"/>
        </w:rPr>
        <w:t>）</w:t>
      </w:r>
      <w:r>
        <w:rPr>
          <w:rFonts w:hint="eastAsia" w:hAnsi="宋体" w:cs="宋体"/>
          <w:sz w:val="24"/>
          <w:szCs w:val="24"/>
        </w:rPr>
        <w:t>的</w:t>
      </w:r>
      <w:r>
        <w:rPr>
          <w:rFonts w:hint="eastAsia" w:hAnsi="宋体" w:cs="宋体"/>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2</w:t>
      </w:r>
      <w:r>
        <w:rPr>
          <w:rFonts w:hint="eastAsia" w:hAnsi="宋体" w:cs="宋体"/>
          <w:sz w:val="24"/>
          <w:szCs w:val="24"/>
          <w:lang w:val="zh-CN"/>
        </w:rPr>
        <w:t>.1 电子投标文件的解密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全流程电子化交易项目电子投标文件采用双重加密。解密需分标段进行两次解密。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2</w:t>
      </w:r>
      <w:r>
        <w:rPr>
          <w:rFonts w:hint="eastAsia" w:hAnsi="宋体" w:cs="宋体"/>
          <w:sz w:val="24"/>
          <w:szCs w:val="24"/>
          <w:lang w:val="zh-CN"/>
        </w:rPr>
        <w:t>.2 电子投标文件解密异常情况处理</w:t>
      </w:r>
    </w:p>
    <w:p>
      <w:pPr>
        <w:autoSpaceDE w:val="0"/>
        <w:autoSpaceDN w:val="0"/>
        <w:adjustRightInd w:val="0"/>
        <w:spacing w:line="360" w:lineRule="auto"/>
        <w:rPr>
          <w:rFonts w:hAnsi="宋体" w:cs="宋体"/>
          <w:color w:val="000000" w:themeColor="text1"/>
          <w:sz w:val="24"/>
          <w:szCs w:val="24"/>
          <w:lang w:val="zh-CN"/>
        </w:rPr>
      </w:pPr>
      <w:r>
        <w:rPr>
          <w:rFonts w:hint="eastAsia" w:hAnsi="宋体" w:cs="宋体"/>
          <w:sz w:val="24"/>
          <w:szCs w:val="24"/>
          <w:lang w:val="zh-CN"/>
        </w:rPr>
        <w:t>（</w:t>
      </w:r>
      <w:r>
        <w:rPr>
          <w:rFonts w:hint="eastAsia" w:hAnsi="宋体" w:cs="宋体"/>
          <w:sz w:val="24"/>
          <w:szCs w:val="24"/>
          <w:lang w:val="en-US" w:eastAsia="zh-CN"/>
        </w:rPr>
        <w:t>1</w:t>
      </w:r>
      <w:r>
        <w:rPr>
          <w:rFonts w:hint="eastAsia" w:hAnsi="宋体" w:cs="宋体"/>
          <w:sz w:val="24"/>
          <w:szCs w:val="24"/>
          <w:lang w:val="zh-CN"/>
        </w:rPr>
        <w:t>）</w:t>
      </w:r>
      <w:r>
        <w:rPr>
          <w:rFonts w:hint="eastAsia" w:hAnsi="宋体" w:cs="宋体"/>
          <w:color w:val="000000" w:themeColor="text1"/>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lang w:val="en-US" w:eastAsia="zh-CN"/>
        </w:rPr>
        <w:t>3</w:t>
      </w:r>
      <w:r>
        <w:rPr>
          <w:rFonts w:hint="eastAsia" w:hAnsi="宋体" w:cs="宋体"/>
          <w:sz w:val="24"/>
          <w:szCs w:val="24"/>
          <w:lang w:val="zh-CN"/>
        </w:rPr>
        <w:t>投标人不足3家的，不得开标。</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bCs/>
          <w:sz w:val="24"/>
          <w:szCs w:val="24"/>
          <w:lang w:val="en-US" w:eastAsia="zh-CN"/>
        </w:rPr>
        <w:t>4</w:t>
      </w:r>
      <w:r>
        <w:rPr>
          <w:rFonts w:hint="eastAsia" w:hAnsi="宋体" w:cs="宋体"/>
          <w:bCs/>
          <w:sz w:val="24"/>
          <w:szCs w:val="24"/>
        </w:rPr>
        <w:t xml:space="preserve"> 开标过程</w:t>
      </w:r>
      <w:r>
        <w:rPr>
          <w:rFonts w:hint="eastAsia" w:hAnsi="宋体" w:cs="宋体"/>
          <w:sz w:val="24"/>
          <w:szCs w:val="24"/>
          <w:lang w:val="zh-CN"/>
        </w:rPr>
        <w:t>由集中采购机构负</w:t>
      </w:r>
      <w:r>
        <w:rPr>
          <w:rFonts w:hint="eastAsia" w:hAnsi="宋体" w:cs="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bCs/>
          <w:sz w:val="24"/>
          <w:szCs w:val="24"/>
        </w:rPr>
        <w:t>24.</w:t>
      </w:r>
      <w:r>
        <w:rPr>
          <w:rFonts w:hint="eastAsia" w:hAnsi="宋体" w:cs="宋体"/>
          <w:bCs/>
          <w:sz w:val="24"/>
          <w:szCs w:val="24"/>
          <w:lang w:val="en-US" w:eastAsia="zh-CN"/>
        </w:rPr>
        <w:t>5</w:t>
      </w:r>
      <w:bookmarkStart w:id="1" w:name="_GoBack"/>
      <w:bookmarkEnd w:id="1"/>
      <w:r>
        <w:rPr>
          <w:rFonts w:hint="eastAsia" w:hAnsi="宋体" w:cs="宋体"/>
          <w:bCs/>
          <w:sz w:val="24"/>
          <w:szCs w:val="24"/>
        </w:rPr>
        <w:t xml:space="preserve"> </w:t>
      </w:r>
      <w:r>
        <w:rPr>
          <w:rFonts w:hint="eastAsia" w:hAnsi="宋体" w:cs="宋体"/>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.7 投标人未参加开标的，视同认可开标结果。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．1 招标人将依法组建谈判小组，谈判小组由采购人代表</w:t>
      </w:r>
      <w:r>
        <w:rPr>
          <w:rFonts w:hint="eastAsia" w:hAnsi="宋体" w:cs="宋体"/>
          <w:sz w:val="24"/>
          <w:szCs w:val="24"/>
        </w:rPr>
        <w:t>1人</w:t>
      </w:r>
      <w:r>
        <w:rPr>
          <w:rFonts w:hint="eastAsia" w:hAnsi="宋体" w:cs="宋体"/>
          <w:sz w:val="24"/>
          <w:szCs w:val="24"/>
          <w:lang w:val="zh-CN"/>
        </w:rPr>
        <w:t>和评审专家</w:t>
      </w:r>
      <w:r>
        <w:rPr>
          <w:rFonts w:hint="eastAsia" w:hAnsi="宋体" w:cs="宋体"/>
          <w:sz w:val="24"/>
          <w:szCs w:val="24"/>
        </w:rPr>
        <w:t>2人</w:t>
      </w:r>
      <w:r>
        <w:rPr>
          <w:rFonts w:hint="eastAsia" w:hAnsi="宋体" w:cs="宋体"/>
          <w:sz w:val="24"/>
          <w:szCs w:val="24"/>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25.2 谈判小组须对采购文件进行确认。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.3 评审专家与投标人存在下列利害关系之一的,应当回避: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.5 采购人不得担任评标小组长。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开标结束后，谈判小组</w:t>
      </w:r>
      <w:r>
        <w:rPr>
          <w:rFonts w:hint="eastAsia" w:hAnsi="宋体" w:cs="宋体"/>
          <w:bCs/>
          <w:sz w:val="24"/>
          <w:szCs w:val="24"/>
        </w:rPr>
        <w:t>依法对投标人的资格进行审查。</w:t>
      </w:r>
      <w:r>
        <w:rPr>
          <w:rFonts w:hint="eastAsia" w:hAnsi="宋体" w:cs="宋体"/>
          <w:sz w:val="24"/>
          <w:szCs w:val="24"/>
          <w:lang w:val="zh-CN"/>
        </w:rPr>
        <w:t>合格投标人不足3家的，不得进行符合性审查。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.3 可要求投标人对投标文件有关事项作出澄清或者说明。</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28.1谈判轮数：由谈判小组根据谈判现场的实际情况确定。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投标文件的澄清</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.3 投标人的澄清文件是其投标文件的组成部分。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投标文件报价出现前后不一致的修正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30.2 大写金额和小写金额不一致的，以大写金额为准；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总价金额与按单价汇总金额不一致的，以单价金额计算结果为准。同时出现两种以上不一致的，按照前款规定的顺序修正。修正后的报价按照“投标人须知”2</w:t>
      </w:r>
      <w:r>
        <w:rPr>
          <w:rFonts w:hint="eastAsia" w:hAnsi="宋体" w:cs="宋体"/>
          <w:sz w:val="24"/>
          <w:szCs w:val="24"/>
        </w:rPr>
        <w:t>8</w:t>
      </w:r>
      <w:r>
        <w:rPr>
          <w:rFonts w:hint="eastAsia" w:hAnsi="宋体" w:cs="宋体"/>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31.投标无效情形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 投标文件属下列情况之一的，按照无效投标处理：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1</w:t>
      </w:r>
      <w:r>
        <w:rPr>
          <w:rFonts w:hint="eastAsia" w:hAnsi="宋体" w:cs="宋体"/>
          <w:sz w:val="24"/>
          <w:szCs w:val="24"/>
          <w:lang w:val="zh-CN"/>
        </w:rPr>
        <w:t xml:space="preserve"> 投标文件未按采购文件要求签署、盖章的；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2</w:t>
      </w:r>
      <w:r>
        <w:rPr>
          <w:rFonts w:hint="eastAsia" w:hAnsi="宋体" w:cs="宋体"/>
          <w:sz w:val="24"/>
          <w:szCs w:val="24"/>
          <w:lang w:val="zh-CN"/>
        </w:rPr>
        <w:t xml:space="preserve"> 不具备采购文件中规定的资格要求的；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3</w:t>
      </w:r>
      <w:r>
        <w:rPr>
          <w:rFonts w:hint="eastAsia" w:hAnsi="宋体" w:cs="宋体"/>
          <w:sz w:val="24"/>
          <w:szCs w:val="24"/>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4</w:t>
      </w:r>
      <w:r>
        <w:rPr>
          <w:rFonts w:hint="eastAsia" w:hAnsi="宋体" w:cs="宋体"/>
          <w:sz w:val="24"/>
          <w:szCs w:val="24"/>
          <w:lang w:val="zh-CN"/>
        </w:rPr>
        <w:t xml:space="preserve"> 投标文件含有采购人不能接受的附加条件的。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 有下列情形之一的，视为投标人串通投标，其投标无效：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31.2.1 不同投标人的投标文件由同一单位或者个人编制；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31.2.2 不同投标人委托同一单位或者个人办理投标事宜；</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31.2.5 不同投标人的投标文件相互混装；</w:t>
      </w:r>
    </w:p>
    <w:p>
      <w:pPr>
        <w:pStyle w:val="11"/>
        <w:spacing w:line="360" w:lineRule="auto"/>
        <w:rPr>
          <w:rFonts w:hAnsi="宋体" w:cs="宋体"/>
          <w:sz w:val="24"/>
          <w:szCs w:val="24"/>
        </w:rPr>
      </w:pPr>
      <w:r>
        <w:rPr>
          <w:rFonts w:hint="eastAsia" w:hAnsi="宋体" w:cs="宋体"/>
          <w:sz w:val="24"/>
          <w:szCs w:val="24"/>
          <w:lang w:val="zh-CN"/>
        </w:rPr>
        <w:t>31.3</w:t>
      </w:r>
      <w:r>
        <w:rPr>
          <w:rFonts w:hint="eastAsia" w:hAnsi="宋体" w:cs="宋体"/>
          <w:sz w:val="24"/>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1"/>
        <w:spacing w:line="360" w:lineRule="auto"/>
        <w:rPr>
          <w:rFonts w:hAnsi="宋体" w:cs="宋体"/>
          <w:sz w:val="24"/>
          <w:szCs w:val="24"/>
        </w:rPr>
      </w:pPr>
      <w:r>
        <w:rPr>
          <w:rFonts w:hint="eastAsia" w:hAnsi="宋体" w:cs="宋体"/>
          <w:sz w:val="24"/>
          <w:szCs w:val="24"/>
        </w:rPr>
        <w:t>（一）提供虚假材料谋取中标、成交的；</w:t>
      </w:r>
    </w:p>
    <w:p>
      <w:pPr>
        <w:pStyle w:val="11"/>
        <w:spacing w:line="360" w:lineRule="auto"/>
        <w:rPr>
          <w:rFonts w:hAnsi="宋体" w:cs="宋体"/>
          <w:sz w:val="24"/>
          <w:szCs w:val="24"/>
        </w:rPr>
      </w:pPr>
      <w:r>
        <w:rPr>
          <w:rFonts w:hint="eastAsia" w:hAnsi="宋体" w:cs="宋体"/>
          <w:sz w:val="24"/>
          <w:szCs w:val="24"/>
        </w:rPr>
        <w:t>（二）采取不正当手段诋毁、排挤其他供应商的；</w:t>
      </w:r>
    </w:p>
    <w:p>
      <w:pPr>
        <w:pStyle w:val="11"/>
        <w:spacing w:line="360" w:lineRule="auto"/>
        <w:rPr>
          <w:rFonts w:hAnsi="宋体" w:cs="宋体"/>
          <w:sz w:val="24"/>
          <w:szCs w:val="24"/>
        </w:rPr>
      </w:pPr>
      <w:r>
        <w:rPr>
          <w:rFonts w:hint="eastAsia" w:hAnsi="宋体" w:cs="宋体"/>
          <w:sz w:val="24"/>
          <w:szCs w:val="24"/>
        </w:rPr>
        <w:t>（三）与采购人、其他供应商或者集中采购机构恶意串通的；</w:t>
      </w:r>
    </w:p>
    <w:p>
      <w:pPr>
        <w:pStyle w:val="11"/>
        <w:spacing w:line="360" w:lineRule="auto"/>
        <w:rPr>
          <w:rFonts w:hAnsi="宋体" w:cs="宋体"/>
          <w:sz w:val="24"/>
          <w:szCs w:val="24"/>
        </w:rPr>
      </w:pPr>
      <w:r>
        <w:rPr>
          <w:rFonts w:hint="eastAsia" w:hAnsi="宋体" w:cs="宋体"/>
          <w:sz w:val="24"/>
          <w:szCs w:val="24"/>
        </w:rPr>
        <w:t>（四）向采购人、集中采购机构行贿或者提供其他不正当利益的；</w:t>
      </w:r>
    </w:p>
    <w:p>
      <w:pPr>
        <w:pStyle w:val="11"/>
        <w:spacing w:line="360" w:lineRule="auto"/>
        <w:rPr>
          <w:rFonts w:hAnsi="宋体" w:cs="宋体"/>
          <w:sz w:val="24"/>
          <w:szCs w:val="24"/>
        </w:rPr>
      </w:pPr>
      <w:r>
        <w:rPr>
          <w:rFonts w:hint="eastAsia" w:hAnsi="宋体" w:cs="宋体"/>
          <w:sz w:val="24"/>
          <w:szCs w:val="24"/>
        </w:rPr>
        <w:t>（五）在招标采购过程中与采购人进行协商谈判的；</w:t>
      </w:r>
    </w:p>
    <w:p>
      <w:pPr>
        <w:pStyle w:val="11"/>
        <w:spacing w:line="360" w:lineRule="auto"/>
        <w:rPr>
          <w:rFonts w:hAnsi="宋体" w:cs="宋体"/>
          <w:sz w:val="24"/>
          <w:szCs w:val="24"/>
        </w:rPr>
      </w:pPr>
      <w:r>
        <w:rPr>
          <w:rFonts w:hint="eastAsia" w:hAnsi="宋体" w:cs="宋体"/>
          <w:sz w:val="24"/>
          <w:szCs w:val="24"/>
        </w:rPr>
        <w:t>（六）拒绝有关部门监督检查或者提供虚假情况的。</w:t>
      </w:r>
    </w:p>
    <w:p>
      <w:pPr>
        <w:pStyle w:val="11"/>
        <w:spacing w:line="360" w:lineRule="auto"/>
        <w:rPr>
          <w:rFonts w:hAnsi="宋体" w:cs="宋体"/>
          <w:sz w:val="24"/>
          <w:szCs w:val="24"/>
        </w:rPr>
      </w:pPr>
      <w:r>
        <w:rPr>
          <w:rFonts w:hint="eastAsia" w:hAnsi="宋体" w:cs="宋体"/>
          <w:sz w:val="24"/>
          <w:szCs w:val="24"/>
        </w:rPr>
        <w:t>投标人有前款第（一）至（五）项情形之一的，中标、成交无效。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 xml:space="preserve">31.4 </w:t>
      </w:r>
      <w:r>
        <w:rPr>
          <w:rFonts w:hint="eastAsia" w:hAnsi="宋体" w:cs="宋体"/>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31.6 法律、法规和采购文件规定的其他无效情形。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谈判小组及其成员有下列行为之一的，其评审意见无效：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.1 确定参与评标至评标结束前私自接触投标人；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.2 接受投标人提出的与投标文件不一致的澄清或者说明，《投标人须知》2</w:t>
      </w:r>
      <w:r>
        <w:rPr>
          <w:rFonts w:hint="eastAsia" w:hAnsi="宋体" w:cs="宋体"/>
          <w:sz w:val="24"/>
          <w:szCs w:val="24"/>
        </w:rPr>
        <w:t>6</w:t>
      </w:r>
      <w:r>
        <w:rPr>
          <w:rFonts w:hint="eastAsia" w:hAnsi="宋体" w:cs="宋体"/>
          <w:sz w:val="24"/>
          <w:szCs w:val="24"/>
          <w:lang w:val="zh-CN"/>
        </w:rPr>
        <w:t>条规定的情形除外；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.4 对需要专业判断的主观评审因素协商评分；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.5 在评标过程中擅离职守，影响评标程序正常进行的；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.6 记录、复制或者带走任何评标资料；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六、定标和授予合同</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4"/>
          <w:szCs w:val="24"/>
          <w:lang w:val="zh-CN"/>
        </w:rPr>
      </w:pPr>
      <w:r>
        <w:rPr>
          <w:rFonts w:hint="eastAsia" w:hAnsi="宋体" w:cs="宋体"/>
          <w:sz w:val="24"/>
          <w:szCs w:val="24"/>
        </w:rPr>
        <w:t xml:space="preserve">36.3 </w:t>
      </w:r>
      <w:r>
        <w:rPr>
          <w:rFonts w:hint="eastAsia"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对采购过程提出质疑的，为各采购程序环节结束之日起七个工作日内，以书面形式向采购人和集中采购机构一次性提出；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 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39.履约保证金</w:t>
      </w:r>
    </w:p>
    <w:p>
      <w:pPr>
        <w:spacing w:line="360" w:lineRule="auto"/>
        <w:rPr>
          <w:rFonts w:hAnsi="宋体" w:cs="宋体"/>
          <w:sz w:val="24"/>
          <w:szCs w:val="24"/>
        </w:rPr>
      </w:pPr>
      <w:r>
        <w:rPr>
          <w:rFonts w:hint="eastAsia" w:hAnsi="宋体" w:cs="宋体"/>
          <w:sz w:val="24"/>
          <w:szCs w:val="24"/>
        </w:rPr>
        <w:t>“供应商须知前附表”中规定成交供应商提交履约保证金。</w:t>
      </w:r>
    </w:p>
    <w:p>
      <w:pPr>
        <w:spacing w:line="360" w:lineRule="auto"/>
        <w:rPr>
          <w:rFonts w:hAnsi="宋体" w:cs="宋体"/>
          <w:b/>
          <w:sz w:val="24"/>
          <w:szCs w:val="24"/>
        </w:rPr>
      </w:pPr>
      <w:r>
        <w:rPr>
          <w:rFonts w:hint="eastAsia" w:hAnsi="宋体" w:cs="宋体"/>
          <w:sz w:val="24"/>
          <w:szCs w:val="24"/>
        </w:rPr>
        <w:t xml:space="preserve"> 中标人不能“招标项目基本内容及要求”提交履约保证金的，视为放弃中标，给采购人造成的损失超过投标保证金数额的，中标人还应当对超过部分予以赔偿。</w:t>
      </w:r>
      <w:r>
        <w:rPr>
          <w:rFonts w:hint="eastAsia" w:hAnsi="宋体" w:cs="宋体"/>
          <w:sz w:val="24"/>
          <w:szCs w:val="24"/>
        </w:rPr>
        <w:br w:type="textWrapping"/>
      </w:r>
      <w:r>
        <w:rPr>
          <w:rFonts w:hint="eastAsia" w:hAnsi="宋体" w:cs="宋体"/>
          <w:b/>
          <w:sz w:val="24"/>
          <w:szCs w:val="24"/>
        </w:rPr>
        <w:t>40. 其他</w:t>
      </w:r>
    </w:p>
    <w:p>
      <w:pPr>
        <w:tabs>
          <w:tab w:val="left" w:pos="1260"/>
        </w:tabs>
        <w:autoSpaceDE w:val="0"/>
        <w:autoSpaceDN w:val="0"/>
        <w:spacing w:line="360" w:lineRule="auto"/>
        <w:contextualSpacing/>
        <w:jc w:val="left"/>
        <w:rPr>
          <w:rFonts w:hAnsi="宋体" w:cs="宋体"/>
          <w:sz w:val="24"/>
          <w:szCs w:val="24"/>
        </w:rPr>
      </w:pPr>
      <w:r>
        <w:rPr>
          <w:rFonts w:hint="eastAsia" w:hAnsi="宋体" w:cs="宋体"/>
          <w:sz w:val="24"/>
          <w:szCs w:val="24"/>
        </w:rPr>
        <w:t>本次采购文件未尽事项，以法律法规规定的为准。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hAnsi="宋体" w:cs="宋体"/>
          <w:b/>
          <w:sz w:val="28"/>
          <w:szCs w:val="28"/>
        </w:rPr>
      </w:pPr>
      <w:r>
        <w:rPr>
          <w:rFonts w:hint="eastAsia" w:hAnsi="宋体" w:cs="宋体"/>
          <w:b/>
          <w:sz w:val="28"/>
          <w:szCs w:val="28"/>
        </w:rPr>
        <w:t>第五章 政府采购政策功能</w:t>
      </w:r>
    </w:p>
    <w:p>
      <w:pPr>
        <w:spacing w:line="360" w:lineRule="auto"/>
        <w:ind w:firstLine="720" w:firstLineChars="300"/>
        <w:contextualSpacing/>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一、促进中小企业发展</w:t>
      </w:r>
    </w:p>
    <w:p>
      <w:pPr>
        <w:topLinePunct/>
        <w:spacing w:line="360" w:lineRule="auto"/>
        <w:ind w:firstLine="480" w:firstLineChars="200"/>
        <w:contextualSpacing/>
        <w:rPr>
          <w:rFonts w:hAnsi="宋体" w:cs="宋体"/>
          <w:sz w:val="24"/>
          <w:szCs w:val="24"/>
          <w:lang w:val="zh-CN"/>
        </w:rPr>
      </w:pPr>
      <w:r>
        <w:rPr>
          <w:rFonts w:hint="eastAsia" w:hAnsi="宋体" w:cs="宋体"/>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Ansi="宋体" w:cs="宋体"/>
          <w:sz w:val="24"/>
          <w:szCs w:val="24"/>
          <w:lang w:val="zh-CN"/>
        </w:rPr>
      </w:pPr>
      <w:r>
        <w:rPr>
          <w:rFonts w:hint="eastAsia" w:hAnsi="宋体" w:cs="宋体"/>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Ansi="宋体" w:cs="宋体"/>
          <w:sz w:val="24"/>
          <w:szCs w:val="24"/>
          <w:lang w:val="zh-CN"/>
        </w:rPr>
      </w:pPr>
      <w:r>
        <w:rPr>
          <w:rFonts w:hint="eastAsia" w:hAnsi="宋体" w:cs="宋体"/>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二、支持监狱企业发展</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w:t>
      </w:r>
      <w:bookmarkStart w:id="0" w:name="OLE_LINK6"/>
      <w:r>
        <w:rPr>
          <w:rFonts w:hint="eastAsia" w:hAnsi="宋体" w:cs="宋体"/>
          <w:sz w:val="24"/>
          <w:szCs w:val="24"/>
          <w:lang w:val="zh-CN"/>
        </w:rPr>
        <w:t>财库[2014]68号</w:t>
      </w:r>
      <w:bookmarkEnd w:id="0"/>
      <w:r>
        <w:rPr>
          <w:rFonts w:hint="eastAsia" w:hAnsi="宋体" w:cs="宋体"/>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三、促进残疾人就业</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color w:val="000000"/>
          <w:sz w:val="24"/>
          <w:szCs w:val="24"/>
        </w:rPr>
        <w:t>残疾人福利性单位属于小型、微型企业的，不重复享受政策。</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3、中标人为残疾人福利性单位的，招标人应当随中标结果同时公告其《残疾人福利性单位声明函》，接受社会监督。</w:t>
      </w:r>
    </w:p>
    <w:p>
      <w:pPr>
        <w:jc w:val="center"/>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11"/>
        <w:spacing w:line="360" w:lineRule="auto"/>
        <w:contextualSpacing/>
        <w:rPr>
          <w:rFonts w:asciiTheme="minorEastAsia" w:hAnsiTheme="minorEastAsia" w:eastAsiaTheme="minorEastAsia"/>
          <w:bCs/>
          <w:sz w:val="24"/>
        </w:rPr>
      </w:pPr>
      <w:r>
        <w:rPr>
          <w:rFonts w:cs="仿宋_GB2312" w:asciiTheme="minorEastAsia" w:hAnsiTheme="minorEastAsia" w:eastAsiaTheme="minorEastAsia"/>
          <w:b/>
          <w:sz w:val="24"/>
          <w:lang w:val="zh-CN"/>
        </w:rPr>
        <w:t>一、资格审查</w:t>
      </w:r>
    </w:p>
    <w:p>
      <w:pPr>
        <w:spacing w:line="360" w:lineRule="auto"/>
        <w:ind w:right="680" w:rightChars="200" w:firstLine="480" w:firstLineChars="200"/>
        <w:contextualSpacing/>
        <w:rPr>
          <w:rFonts w:ascii="ˎ̥" w:hAnsi="ˎ̥" w:eastAsiaTheme="minorEastAsia" w:cstheme="minorBidi"/>
          <w:kern w:val="2"/>
          <w:sz w:val="24"/>
          <w:szCs w:val="22"/>
        </w:rPr>
      </w:pPr>
      <w:r>
        <w:rPr>
          <w:rFonts w:hint="eastAsia" w:ascii="ˎ̥" w:hAnsi="ˎ̥" w:eastAsiaTheme="minorEastAsia" w:cstheme="minorBidi"/>
          <w:kern w:val="2"/>
          <w:sz w:val="24"/>
          <w:szCs w:val="22"/>
        </w:rPr>
        <w:t>（一）谈判小组依法对供应商资格进行审查</w:t>
      </w:r>
      <w:r>
        <w:rPr>
          <w:rFonts w:ascii="ˎ̥" w:hAnsi="ˎ̥" w:eastAsiaTheme="minorEastAsia" w:cstheme="minorBidi"/>
          <w:kern w:val="2"/>
          <w:sz w:val="24"/>
          <w:szCs w:val="22"/>
        </w:rPr>
        <w:t>。</w:t>
      </w:r>
      <w:r>
        <w:rPr>
          <w:rFonts w:hint="eastAsia" w:ascii="ˎ̥" w:hAnsi="ˎ̥" w:eastAsiaTheme="minorEastAsia" w:cstheme="minorBidi"/>
          <w:kern w:val="2"/>
          <w:sz w:val="24"/>
          <w:szCs w:val="22"/>
        </w:rPr>
        <w:t>确定符合资格的供应商</w:t>
      </w:r>
      <w:r>
        <w:rPr>
          <w:rFonts w:hint="eastAsia" w:hAnsi="宋体" w:cs="宋体"/>
          <w:kern w:val="2"/>
          <w:sz w:val="24"/>
          <w:szCs w:val="22"/>
        </w:rPr>
        <w:t>不少于3家，将对响应</w:t>
      </w:r>
      <w:r>
        <w:rPr>
          <w:rFonts w:ascii="ˎ̥" w:hAnsi="ˎ̥" w:eastAsiaTheme="minorEastAsia" w:cstheme="minorBidi"/>
          <w:kern w:val="2"/>
          <w:sz w:val="24"/>
          <w:szCs w:val="22"/>
        </w:rPr>
        <w:t>文件的有效性、完整性和响应程度进行审查</w:t>
      </w:r>
      <w:r>
        <w:rPr>
          <w:rFonts w:hint="eastAsia" w:ascii="ˎ̥" w:hAnsi="ˎ̥" w:eastAsiaTheme="minorEastAsia" w:cstheme="minorBidi"/>
          <w:kern w:val="2"/>
          <w:sz w:val="24"/>
          <w:szCs w:val="22"/>
        </w:rPr>
        <w:t>并对响应文件进行评审。</w:t>
      </w:r>
    </w:p>
    <w:p>
      <w:pPr>
        <w:spacing w:line="360" w:lineRule="auto"/>
        <w:ind w:right="680" w:rightChars="200" w:firstLine="480" w:firstLineChars="200"/>
        <w:contextualSpacing/>
        <w:rPr>
          <w:rFonts w:ascii="ˎ̥" w:hAnsi="ˎ̥" w:eastAsiaTheme="minorEastAsia" w:cstheme="minorBidi"/>
          <w:kern w:val="2"/>
          <w:sz w:val="24"/>
          <w:szCs w:val="22"/>
        </w:rPr>
      </w:pPr>
      <w:r>
        <w:rPr>
          <w:rFonts w:hint="eastAsia" w:ascii="ˎ̥" w:hAnsi="ˎ̥" w:eastAsiaTheme="minorEastAsia" w:cstheme="minorBidi"/>
          <w:kern w:val="2"/>
          <w:sz w:val="24"/>
          <w:szCs w:val="22"/>
        </w:rPr>
        <w:t>（二）资格证明材料（本栏所列内容为本项目的资格审查条件，如有一项不符合要求，则不能进入下一步评审）。</w:t>
      </w:r>
    </w:p>
    <w:p>
      <w:pPr>
        <w:spacing w:line="360" w:lineRule="auto"/>
        <w:ind w:right="680" w:rightChars="200" w:firstLine="480" w:firstLineChars="200"/>
        <w:contextualSpacing/>
        <w:rPr>
          <w:rFonts w:cs="仿宋_GB2312" w:asciiTheme="minorEastAsia" w:hAnsiTheme="minorEastAsia"/>
          <w:szCs w:val="21"/>
          <w:lang w:val="zh-CN"/>
        </w:rPr>
      </w:pPr>
      <w:r>
        <w:rPr>
          <w:rFonts w:hint="eastAsia" w:ascii="ˎ̥" w:hAnsi="ˎ̥" w:eastAsiaTheme="minorEastAsia" w:cstheme="minorBidi"/>
          <w:kern w:val="2"/>
          <w:sz w:val="24"/>
          <w:szCs w:val="22"/>
        </w:rPr>
        <w:t>（三）资格审查中所涉及到的证书及材料，均须在电子投标文件中提供原件扫描件（或图片）</w:t>
      </w:r>
      <w:r>
        <w:rPr>
          <w:rFonts w:hint="eastAsia" w:ascii="ˎ̥" w:hAnsi="ˎ̥" w:eastAsiaTheme="minorEastAsia" w:cstheme="minorBidi"/>
          <w:kern w:val="2"/>
          <w:sz w:val="21"/>
          <w:szCs w:val="22"/>
        </w:rPr>
        <w:t>。</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00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628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投标函</w:t>
            </w:r>
          </w:p>
        </w:tc>
        <w:tc>
          <w:tcPr>
            <w:tcW w:w="6282" w:type="dxa"/>
            <w:vAlign w:val="center"/>
          </w:tcPr>
          <w:p>
            <w:pPr>
              <w:spacing w:line="360" w:lineRule="auto"/>
              <w:rPr>
                <w:rFonts w:asciiTheme="minorEastAsia" w:hAnsiTheme="minorEastAsia" w:eastAsiaTheme="minorEastAsia"/>
                <w:bCs/>
                <w:sz w:val="24"/>
                <w:szCs w:val="24"/>
              </w:rPr>
            </w:pPr>
            <w:r>
              <w:rPr>
                <w:rFonts w:hint="eastAsia" w:cs="微软雅黑" w:asciiTheme="minorEastAsia" w:hAnsiTheme="minorEastAsia" w:eastAsia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法人或者其他组织的营业执照等证明文件，自然人的身份证明</w:t>
            </w:r>
          </w:p>
        </w:tc>
        <w:tc>
          <w:tcPr>
            <w:tcW w:w="6282"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（1）企业法人营业执照或营业执照。（企业提供）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（2）事业单位法人证书。（事业单位提供）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（3）执业许可证。（非企业专业服务机构提供）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（4）个体工商户营业执照。（个体工商户提供）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（5）自然人身份证明。（自然人提供）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zh-CN"/>
              </w:rPr>
              <w:t>资质及项目负责人要求</w:t>
            </w:r>
          </w:p>
        </w:tc>
        <w:tc>
          <w:tcPr>
            <w:tcW w:w="6282" w:type="dxa"/>
            <w:vAlign w:val="center"/>
          </w:tcPr>
          <w:p>
            <w:pPr>
              <w:spacing w:line="360" w:lineRule="auto"/>
              <w:rPr>
                <w:rFonts w:hint="eastAsia" w:eastAsia="宋体" w:cs="宋体" w:asciiTheme="minorEastAsia" w:hAnsiTheme="minorEastAsia"/>
                <w:bCs/>
                <w:sz w:val="24"/>
                <w:szCs w:val="24"/>
                <w:highlight w:val="none"/>
                <w:lang w:val="zh-CN" w:eastAsia="zh-CN"/>
              </w:rPr>
            </w:pPr>
            <w:r>
              <w:rPr>
                <w:rFonts w:hint="eastAsia" w:cs="宋体" w:asciiTheme="minorEastAsia" w:hAnsiTheme="minorEastAsia"/>
                <w:bCs/>
                <w:sz w:val="24"/>
                <w:szCs w:val="24"/>
                <w:highlight w:val="none"/>
              </w:rPr>
              <w:t>1、</w:t>
            </w:r>
            <w:r>
              <w:rPr>
                <w:rFonts w:hint="eastAsia" w:hAnsi="宋体" w:cs="宋体"/>
                <w:color w:val="000000"/>
                <w:sz w:val="24"/>
                <w:szCs w:val="24"/>
                <w:highlight w:val="none"/>
                <w:shd w:val="clear" w:color="auto" w:fill="FFFFFF"/>
              </w:rPr>
              <w:t>供应商应同时具备国家建设行政主管部门颁发的城乡规划编制</w:t>
            </w:r>
            <w:r>
              <w:rPr>
                <w:rFonts w:hint="eastAsia" w:hAnsi="宋体" w:cs="宋体"/>
                <w:color w:val="000000"/>
                <w:sz w:val="24"/>
                <w:szCs w:val="24"/>
                <w:highlight w:val="none"/>
                <w:shd w:val="clear" w:color="auto" w:fill="FFFFFF"/>
                <w:lang w:eastAsia="zh-CN"/>
              </w:rPr>
              <w:t>乙级</w:t>
            </w:r>
            <w:r>
              <w:rPr>
                <w:rFonts w:hint="eastAsia" w:hAnsi="宋体" w:cs="宋体"/>
                <w:color w:val="000000"/>
                <w:sz w:val="24"/>
                <w:szCs w:val="24"/>
                <w:highlight w:val="none"/>
                <w:shd w:val="clear" w:color="auto" w:fill="FFFFFF"/>
              </w:rPr>
              <w:t>及以上资质</w:t>
            </w:r>
            <w:r>
              <w:rPr>
                <w:rFonts w:hint="eastAsia" w:hAnsi="宋体" w:cs="宋体"/>
                <w:color w:val="000000"/>
                <w:sz w:val="24"/>
                <w:szCs w:val="24"/>
                <w:highlight w:val="none"/>
                <w:shd w:val="clear" w:color="auto" w:fill="FFFFFF"/>
                <w:lang w:eastAsia="zh-CN"/>
              </w:rPr>
              <w:t>、环境工程（水污染防治工程）乙级</w:t>
            </w:r>
            <w:r>
              <w:rPr>
                <w:rFonts w:hint="eastAsia" w:hAnsi="宋体" w:cs="宋体"/>
                <w:color w:val="000000"/>
                <w:sz w:val="24"/>
                <w:szCs w:val="24"/>
                <w:highlight w:val="none"/>
                <w:shd w:val="clear" w:color="auto" w:fill="FFFFFF"/>
              </w:rPr>
              <w:t>及以上资质及市政设计专业（给水工程、排水工程）乙级及以上资质</w:t>
            </w:r>
            <w:r>
              <w:rPr>
                <w:rFonts w:hint="eastAsia" w:hAnsi="宋体" w:cs="宋体"/>
                <w:color w:val="000000"/>
                <w:sz w:val="24"/>
                <w:szCs w:val="24"/>
                <w:highlight w:val="none"/>
                <w:shd w:val="clear" w:color="auto" w:fill="FFFFFF"/>
                <w:lang w:eastAsia="zh-CN"/>
              </w:rPr>
              <w:t>；</w:t>
            </w:r>
          </w:p>
          <w:p>
            <w:pPr>
              <w:autoSpaceDE w:val="0"/>
              <w:autoSpaceDN w:val="0"/>
              <w:adjustRightInd w:val="0"/>
              <w:spacing w:line="360" w:lineRule="auto"/>
              <w:ind w:right="-11"/>
              <w:rPr>
                <w:rFonts w:asciiTheme="minorEastAsia" w:hAnsiTheme="minorEastAsia" w:eastAsia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拟派项目负责人同时具有国家注册城乡规划师资格和高级工程师及以上技术职称，为本单位在职人员，并提供项目负责人最近连续6个月在本单位养老保险缴纳证明材料；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财务状况报告相关材料</w:t>
            </w:r>
          </w:p>
        </w:tc>
        <w:tc>
          <w:tcPr>
            <w:tcW w:w="6282" w:type="dxa"/>
          </w:tcPr>
          <w:p>
            <w:pPr>
              <w:spacing w:line="360" w:lineRule="auto"/>
              <w:rPr>
                <w:rFonts w:hAnsi="宋体"/>
                <w:bCs/>
                <w:sz w:val="24"/>
                <w:szCs w:val="24"/>
              </w:rPr>
            </w:pPr>
            <w:r>
              <w:rPr>
                <w:rFonts w:hint="eastAsia" w:hAnsi="宋体"/>
                <w:bCs/>
                <w:sz w:val="24"/>
                <w:szCs w:val="24"/>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依法缴纳税收相关材料</w:t>
            </w:r>
          </w:p>
        </w:tc>
        <w:tc>
          <w:tcPr>
            <w:tcW w:w="6282"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履行合同所必须的设备和专业技术能力的证明材料</w:t>
            </w:r>
          </w:p>
        </w:tc>
        <w:tc>
          <w:tcPr>
            <w:tcW w:w="6282" w:type="dxa"/>
          </w:tcPr>
          <w:p>
            <w:pPr>
              <w:autoSpaceDE w:val="0"/>
              <w:autoSpaceDN w:val="0"/>
              <w:adjustRightInd w:val="0"/>
              <w:spacing w:line="360" w:lineRule="auto"/>
              <w:jc w:val="left"/>
              <w:rPr>
                <w:rFonts w:asciiTheme="minorEastAsia" w:hAnsiTheme="minorEastAsia" w:eastAsiaTheme="minorEastAsia"/>
                <w:bCs/>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参加政府采购活动前3年内在经营活动中没有重大违法记录的声明</w:t>
            </w:r>
          </w:p>
        </w:tc>
        <w:tc>
          <w:tcPr>
            <w:tcW w:w="6282"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信用记录查询及使用</w:t>
            </w:r>
          </w:p>
        </w:tc>
        <w:tc>
          <w:tcPr>
            <w:tcW w:w="6282"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政府采购活动中查询及使用供应商信用记录的具体要求为：供应商未被列入</w:t>
            </w:r>
            <w:r>
              <w:rPr>
                <w:rFonts w:asciiTheme="minorEastAsia" w:hAnsiTheme="minorEastAsia" w:eastAsiaTheme="minorEastAsia"/>
                <w:bCs/>
                <w:sz w:val="24"/>
                <w:szCs w:val="24"/>
              </w:rPr>
              <w:t>“信用中国”网站</w:t>
            </w:r>
            <w:r>
              <w:rPr>
                <w:rFonts w:hint="eastAsia" w:asciiTheme="minorEastAsia" w:hAnsiTheme="minorEastAsia" w:eastAsiaTheme="minorEastAsia"/>
                <w:bCs/>
                <w:sz w:val="24"/>
                <w:szCs w:val="24"/>
              </w:rPr>
              <w:t>失信被执行人、重大税收违法案件当事人名单、 “</w:t>
            </w:r>
            <w:r>
              <w:rPr>
                <w:rFonts w:asciiTheme="minorEastAsia" w:hAnsiTheme="minorEastAsia" w:eastAsiaTheme="minorEastAsia"/>
                <w:bCs/>
                <w:sz w:val="24"/>
                <w:szCs w:val="24"/>
              </w:rPr>
              <w:t>中国政府采购网</w:t>
            </w:r>
            <w:r>
              <w:rPr>
                <w:rFonts w:hint="eastAsia" w:asciiTheme="minorEastAsia" w:hAnsiTheme="minorEastAsia" w:eastAsiaTheme="minorEastAsia"/>
                <w:bCs/>
                <w:sz w:val="24"/>
                <w:szCs w:val="24"/>
              </w:rPr>
              <w:t>”政府采购严重违法失信行为记录名单。</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（1）查询渠道：</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①“信用中国”网站（</w:t>
            </w:r>
            <w:r>
              <w:fldChar w:fldCharType="begin"/>
            </w:r>
            <w:r>
              <w:instrText xml:space="preserve"> HYPERLINK "http://www.creditchina.gov.cn" </w:instrText>
            </w:r>
            <w:r>
              <w:fldChar w:fldCharType="separate"/>
            </w:r>
            <w:r>
              <w:rPr>
                <w:rStyle w:val="24"/>
                <w:rFonts w:hint="eastAsia" w:asciiTheme="minorEastAsia" w:hAnsiTheme="minorEastAsia" w:eastAsiaTheme="minorEastAsia"/>
                <w:bCs/>
                <w:sz w:val="24"/>
                <w:szCs w:val="24"/>
              </w:rPr>
              <w:t>www.creditchina.gov.cn</w:t>
            </w:r>
            <w:r>
              <w:rPr>
                <w:rStyle w:val="24"/>
                <w:rFonts w:hint="eastAsia"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②“中国政府采购网”（www.ccgp.gov.cn）</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（2）截止时间：同投标截止时间；</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（3）信用信息查询记录和证据留存具体方式：经</w:t>
            </w:r>
            <w:r>
              <w:rPr>
                <w:rFonts w:hint="eastAsia" w:cs="宋体" w:asciiTheme="minorEastAsia" w:hAnsiTheme="minorEastAsia" w:eastAsiaTheme="minorEastAsia"/>
                <w:bCs/>
                <w:sz w:val="24"/>
                <w:szCs w:val="24"/>
              </w:rPr>
              <w:t>谈判小组</w:t>
            </w:r>
            <w:r>
              <w:rPr>
                <w:rFonts w:hint="eastAsia" w:asciiTheme="minorEastAsia" w:hAnsiTheme="minorEastAsia" w:eastAsiaTheme="minorEastAsia"/>
                <w:bCs/>
                <w:sz w:val="24"/>
                <w:szCs w:val="24"/>
              </w:rPr>
              <w:t>确认确认的查询结果网页截图作为查询记录和证据，与其他采购文件一并保存；</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（4）信用信息的使用原则：经</w:t>
            </w:r>
            <w:r>
              <w:rPr>
                <w:rFonts w:hint="eastAsia" w:cs="宋体" w:asciiTheme="minorEastAsia" w:hAnsiTheme="minorEastAsia" w:eastAsiaTheme="minorEastAsia"/>
                <w:bCs/>
                <w:sz w:val="24"/>
                <w:szCs w:val="24"/>
              </w:rPr>
              <w:t>谈判小组</w:t>
            </w:r>
            <w:r>
              <w:rPr>
                <w:rFonts w:hint="eastAsia" w:asciiTheme="minorEastAsia" w:hAnsiTheme="minorEastAsia" w:eastAsiaTheme="minorEastAsia"/>
                <w:bCs/>
                <w:sz w:val="24"/>
                <w:szCs w:val="24"/>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w:t>
            </w:r>
            <w:r>
              <w:rPr>
                <w:rFonts w:hint="eastAsia" w:cs="仿宋_GB2312" w:asciiTheme="minorEastAsia" w:hAnsiTheme="minorEastAsia" w:eastAsiaTheme="minorEastAsia"/>
                <w:bCs/>
                <w:sz w:val="24"/>
                <w:szCs w:val="24"/>
                <w:lang w:val="zh-CN"/>
              </w:rPr>
              <w:t>报价</w:t>
            </w:r>
          </w:p>
        </w:tc>
        <w:tc>
          <w:tcPr>
            <w:tcW w:w="6282" w:type="dxa"/>
          </w:tcPr>
          <w:p>
            <w:pPr>
              <w:spacing w:line="360" w:lineRule="auto"/>
              <w:rPr>
                <w:rFonts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投标报价是否超出谈判文件中规定的最高投标限价，超出最高投标限价金额的报价无效。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11</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hAnsi="宋体" w:cs="宋体"/>
                <w:bCs/>
                <w:sz w:val="24"/>
              </w:rPr>
              <w:t>服务期限</w:t>
            </w:r>
          </w:p>
        </w:tc>
        <w:tc>
          <w:tcPr>
            <w:tcW w:w="6282" w:type="dxa"/>
            <w:vAlign w:val="center"/>
          </w:tcPr>
          <w:p>
            <w:pPr>
              <w:spacing w:line="360" w:lineRule="auto"/>
              <w:rPr>
                <w:rFonts w:asciiTheme="minorEastAsia" w:hAnsiTheme="minorEastAsia" w:eastAsiaTheme="minorEastAsia"/>
                <w:bCs/>
                <w:sz w:val="24"/>
                <w:szCs w:val="24"/>
              </w:rPr>
            </w:pPr>
            <w:r>
              <w:rPr>
                <w:rFonts w:hint="eastAsia" w:hAnsi="宋体" w:cs="宋体"/>
                <w:bCs/>
                <w:sz w:val="24"/>
              </w:rPr>
              <w:t>签订合同之日起15日历天内完成编制任务；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联合体协议</w:t>
            </w:r>
          </w:p>
        </w:tc>
        <w:tc>
          <w:tcPr>
            <w:tcW w:w="6282"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13</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法定代表身份证明或授权委托人身份证明</w:t>
            </w:r>
          </w:p>
        </w:tc>
        <w:tc>
          <w:tcPr>
            <w:tcW w:w="6282" w:type="dxa"/>
          </w:tcPr>
          <w:p>
            <w:pPr>
              <w:spacing w:line="360" w:lineRule="auto"/>
              <w:rPr>
                <w:rFonts w:asciiTheme="minorEastAsia" w:hAnsiTheme="minorEastAsia" w:eastAsiaTheme="minorEastAsia"/>
                <w:bCs/>
                <w:sz w:val="24"/>
                <w:szCs w:val="24"/>
              </w:rPr>
            </w:pPr>
            <w:r>
              <w:rPr>
                <w:rFonts w:hint="eastAsia" w:hAnsi="宋体"/>
                <w:bCs/>
                <w:sz w:val="24"/>
                <w:szCs w:val="24"/>
              </w:rPr>
              <w:t>法定代表人身份证明或提供法定代表人授权委托书及被授权人身份证明。</w:t>
            </w:r>
          </w:p>
        </w:tc>
      </w:tr>
    </w:tbl>
    <w:p>
      <w:pPr>
        <w:pStyle w:val="11"/>
        <w:spacing w:line="360" w:lineRule="auto"/>
        <w:contextualSpacing/>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二、评标</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谈判小组应当从质量和服务均能满足采购文件实质性响应要求的供应商中，按照最后报价由低到高的顺序提出3名以上成交候选人。</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谈判小组对符合资格的投标人的投标文件进行符合性审查，以确定其是否满足采购文件的商务、技术等实质性要求。</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注：符合性审查中所涉及到的证书及材料，均须在电子投标文件中提供原件扫描件（或图片）。</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2、要求投标人对投标文件有关事项作出澄清或者说明；</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对于投标文件中含义不明确、同类问题表述不一致或者有明显文字和计算错误的内容，谈判小组应当以书面形式要求投标人作出必要的澄清、说明或者补正。</w:t>
      </w:r>
    </w:p>
    <w:p>
      <w:pPr>
        <w:pStyle w:val="11"/>
        <w:spacing w:line="360" w:lineRule="auto"/>
        <w:ind w:firstLine="480" w:firstLineChars="200"/>
        <w:contextualSpacing/>
        <w:rPr>
          <w:rFonts w:hAnsi="宋体" w:cs="宋体"/>
          <w:sz w:val="24"/>
          <w:szCs w:val="24"/>
          <w:lang w:val="zh-CN"/>
        </w:rPr>
      </w:pPr>
      <w:r>
        <w:rPr>
          <w:rFonts w:hint="eastAsia"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1"/>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以供应商最后投标报价为准。因落实政府采购政策进行价格调整的，以调整后的价格为最后报价。</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1"/>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80" w:firstLineChars="200"/>
        <w:contextualSpacing/>
        <w:rPr>
          <w:rFonts w:hAnsi="宋体" w:cs="宋体"/>
          <w:sz w:val="24"/>
          <w:szCs w:val="24"/>
        </w:rPr>
      </w:pPr>
      <w:r>
        <w:rPr>
          <w:rFonts w:hint="eastAsia" w:hAnsi="宋体" w:cs="宋体"/>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2)投标人所投产品如被列入《信息安全产品强制性认证目录》，</w:t>
      </w:r>
      <w:r>
        <w:rPr>
          <w:rFonts w:hint="eastAsia" w:hAnsi="宋体" w:cs="宋体"/>
          <w:sz w:val="24"/>
          <w:szCs w:val="24"/>
          <w:lang w:val="zh-CN"/>
        </w:rPr>
        <w:t>则投标文件中应根据本项目招标文件“第二章 项目需求”提供：</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中国信息安全认证中心官网（http://www.isccc.gov.cn/index.shtml）产品查询结果截图并加盖投标人公章或中国信息安全认证中心</w:t>
      </w:r>
      <w:r>
        <w:rPr>
          <w:rFonts w:hint="eastAsia" w:hAnsi="宋体" w:cs="宋体"/>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6）法律、法规和采购文件规定的其他无效情形。</w:t>
      </w:r>
    </w:p>
    <w:p>
      <w:pPr>
        <w:pStyle w:val="11"/>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pStyle w:val="11"/>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非联合体投标人</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80" w:firstLineChars="200"/>
              <w:jc w:val="left"/>
              <w:rPr>
                <w:rFonts w:hAnsi="宋体" w:cs="仿宋_GB2312"/>
                <w:sz w:val="24"/>
                <w:szCs w:val="24"/>
                <w:lang w:val="zh-CN"/>
              </w:rPr>
            </w:pPr>
            <w:r>
              <w:rPr>
                <w:rFonts w:hint="eastAsia"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履约保证金</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除非合同中另有说明，本合同经双方签字盖章，并在招标人收到乙方的履约保证金后，即开始生效。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eastAsiaTheme="minorEastAsia"/>
          <w:b/>
          <w:bCs/>
          <w:kern w:val="2"/>
          <w:sz w:val="28"/>
          <w:szCs w:val="28"/>
          <w:lang w:val="zh-CN"/>
        </w:rPr>
      </w:pPr>
      <w:r>
        <w:rPr>
          <w:rFonts w:hint="eastAsia" w:cs="黑体" w:asciiTheme="minorEastAsia" w:hAnsiTheme="minorEastAsia" w:eastAsiaTheme="minorEastAsia"/>
          <w:b/>
          <w:bCs/>
          <w:kern w:val="2"/>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eastAsiaTheme="minorEastAsia"/>
          <w:b/>
          <w:bCs/>
          <w:kern w:val="2"/>
          <w:sz w:val="28"/>
          <w:szCs w:val="28"/>
          <w:lang w:val="zh-CN"/>
        </w:rPr>
        <w:t>一、投标人应答索引表</w:t>
      </w:r>
    </w:p>
    <w:tbl>
      <w:tblPr>
        <w:tblStyle w:val="18"/>
        <w:tblW w:w="90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6"/>
        <w:gridCol w:w="756"/>
        <w:gridCol w:w="284"/>
        <w:gridCol w:w="425"/>
        <w:gridCol w:w="2268"/>
        <w:gridCol w:w="1559"/>
        <w:gridCol w:w="1560"/>
        <w:gridCol w:w="1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序号</w:t>
            </w:r>
          </w:p>
        </w:tc>
        <w:tc>
          <w:tcPr>
            <w:tcW w:w="3733" w:type="dxa"/>
            <w:gridSpan w:val="4"/>
            <w:vAlign w:val="center"/>
          </w:tcPr>
          <w:p>
            <w:pPr>
              <w:snapToGrid w:val="0"/>
              <w:spacing w:line="400" w:lineRule="exact"/>
              <w:jc w:val="center"/>
              <w:rPr>
                <w:rFonts w:hAnsi="宋体" w:cs="微软雅黑"/>
                <w:b/>
                <w:sz w:val="24"/>
                <w:szCs w:val="24"/>
              </w:rPr>
            </w:pPr>
            <w:r>
              <w:rPr>
                <w:rFonts w:hint="eastAsia" w:hAnsi="宋体" w:cs="微软雅黑"/>
                <w:b/>
                <w:sz w:val="24"/>
                <w:szCs w:val="24"/>
              </w:rPr>
              <w:t>项  目</w:t>
            </w:r>
          </w:p>
        </w:tc>
        <w:tc>
          <w:tcPr>
            <w:tcW w:w="1559"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投标人应答</w:t>
            </w:r>
          </w:p>
          <w:p>
            <w:pPr>
              <w:snapToGrid w:val="0"/>
              <w:spacing w:line="400" w:lineRule="exact"/>
              <w:jc w:val="center"/>
              <w:rPr>
                <w:rFonts w:hAnsi="宋体" w:cs="微软雅黑"/>
                <w:b/>
                <w:sz w:val="24"/>
                <w:szCs w:val="24"/>
              </w:rPr>
            </w:pPr>
            <w:r>
              <w:rPr>
                <w:rFonts w:hint="eastAsia" w:hAnsi="宋体" w:cs="微软雅黑"/>
                <w:b/>
                <w:sz w:val="24"/>
                <w:szCs w:val="24"/>
              </w:rPr>
              <w:t>（有/没有）</w:t>
            </w:r>
          </w:p>
        </w:tc>
        <w:tc>
          <w:tcPr>
            <w:tcW w:w="1560"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投标文件中所在页码</w:t>
            </w:r>
          </w:p>
        </w:tc>
        <w:tc>
          <w:tcPr>
            <w:tcW w:w="1694"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sz w:val="24"/>
                <w:szCs w:val="24"/>
              </w:rPr>
              <w:t>供应商应答索引表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hAnsi="宋体"/>
                <w:sz w:val="24"/>
                <w:szCs w:val="24"/>
              </w:rPr>
              <w:t>报价一览表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3</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sz w:val="24"/>
                <w:szCs w:val="24"/>
              </w:rPr>
              <w:t>投标函</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4</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asciiTheme="majorEastAsia" w:hAnsiTheme="majorEastAsia" w:eastAsiaTheme="majorEastAsia" w:cstheme="majorEastAsia"/>
                <w:bCs/>
                <w:sz w:val="24"/>
                <w:szCs w:val="24"/>
                <w:lang w:val="zh-CN"/>
              </w:rPr>
              <w:t>法定代表人（单位负责人）</w:t>
            </w:r>
            <w:r>
              <w:rPr>
                <w:rFonts w:asciiTheme="majorEastAsia" w:hAnsiTheme="majorEastAsia" w:eastAsiaTheme="majorEastAsia" w:cstheme="majorEastAsia"/>
                <w:bCs/>
                <w:sz w:val="24"/>
                <w:szCs w:val="24"/>
                <w:lang w:val="zh-CN"/>
              </w:rPr>
              <w:t>资</w:t>
            </w:r>
            <w:r>
              <w:rPr>
                <w:rFonts w:hint="eastAsia" w:asciiTheme="majorEastAsia" w:hAnsiTheme="majorEastAsia" w:eastAsiaTheme="majorEastAsia" w:cstheme="majorEastAsia"/>
                <w:bCs/>
                <w:sz w:val="24"/>
                <w:szCs w:val="24"/>
                <w:lang w:val="zh-CN"/>
              </w:rPr>
              <w:t>格</w:t>
            </w:r>
            <w:r>
              <w:rPr>
                <w:rFonts w:asciiTheme="majorEastAsia" w:hAnsiTheme="majorEastAsia" w:eastAsiaTheme="majorEastAsia" w:cstheme="majorEastAsia"/>
                <w:bCs/>
                <w:sz w:val="24"/>
                <w:szCs w:val="24"/>
                <w:lang w:val="zh-CN"/>
              </w:rPr>
              <w:t>证</w:t>
            </w:r>
            <w:r>
              <w:rPr>
                <w:rFonts w:hint="eastAsia" w:asciiTheme="majorEastAsia" w:hAnsiTheme="majorEastAsia" w:eastAsiaTheme="majorEastAsia" w:cstheme="majorEastAsia"/>
                <w:bCs/>
                <w:sz w:val="24"/>
                <w:szCs w:val="24"/>
                <w:lang w:val="zh-CN"/>
              </w:rPr>
              <w:t>明</w:t>
            </w:r>
            <w:r>
              <w:rPr>
                <w:rFonts w:asciiTheme="majorEastAsia" w:hAnsiTheme="majorEastAsia" w:eastAsiaTheme="majorEastAsia" w:cstheme="majorEastAsia"/>
                <w:bCs/>
                <w:sz w:val="24"/>
                <w:szCs w:val="24"/>
                <w:lang w:val="zh-CN"/>
              </w:rPr>
              <w:t>书</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5</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hAnsi="宋体"/>
                <w:sz w:val="24"/>
                <w:szCs w:val="24"/>
              </w:rPr>
              <w:t>法定代表人（单位负责人）授权书</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6</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hAnsi="宋体"/>
                <w:sz w:val="24"/>
                <w:szCs w:val="24"/>
              </w:rPr>
              <w:t>营业执照等证明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7</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asciiTheme="minorEastAsia" w:hAnsiTheme="minorEastAsia"/>
                <w:bCs/>
                <w:sz w:val="24"/>
                <w:szCs w:val="24"/>
              </w:rPr>
              <w:t>依法纳税凭据复印件</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8</w:t>
            </w:r>
          </w:p>
        </w:tc>
        <w:tc>
          <w:tcPr>
            <w:tcW w:w="756" w:type="dxa"/>
            <w:vMerge w:val="restart"/>
            <w:tcBorders>
              <w:right w:val="single" w:color="auto" w:sz="4" w:space="0"/>
            </w:tcBorders>
            <w:vAlign w:val="center"/>
          </w:tcPr>
          <w:p>
            <w:pPr>
              <w:snapToGrid w:val="0"/>
              <w:spacing w:line="400" w:lineRule="exact"/>
              <w:jc w:val="center"/>
              <w:rPr>
                <w:rFonts w:hAnsi="宋体" w:cs="微软雅黑"/>
                <w:sz w:val="24"/>
                <w:szCs w:val="24"/>
              </w:rPr>
            </w:pPr>
            <w:r>
              <w:rPr>
                <w:rFonts w:hint="eastAsia"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资产负债表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利润表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现金流量表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所有者权益变动表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附注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基本开户银行资信证明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银行资信证明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政府采购投标担保函</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9</w:t>
            </w:r>
          </w:p>
        </w:tc>
        <w:tc>
          <w:tcPr>
            <w:tcW w:w="3733" w:type="dxa"/>
            <w:gridSpan w:val="4"/>
            <w:vAlign w:val="center"/>
          </w:tcPr>
          <w:p>
            <w:pPr>
              <w:snapToGrid w:val="0"/>
              <w:spacing w:line="400" w:lineRule="exact"/>
              <w:rPr>
                <w:rFonts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10</w:t>
            </w:r>
          </w:p>
        </w:tc>
        <w:tc>
          <w:tcPr>
            <w:tcW w:w="756" w:type="dxa"/>
            <w:vMerge w:val="restart"/>
            <w:tcBorders>
              <w:right w:val="single" w:color="auto" w:sz="6" w:space="0"/>
            </w:tcBorders>
            <w:vAlign w:val="center"/>
          </w:tcPr>
          <w:p>
            <w:pPr>
              <w:snapToGrid w:val="0"/>
              <w:spacing w:line="400" w:lineRule="exact"/>
              <w:jc w:val="center"/>
              <w:rPr>
                <w:rFonts w:hAnsi="宋体" w:cs="微软雅黑"/>
                <w:sz w:val="24"/>
                <w:szCs w:val="24"/>
              </w:rPr>
            </w:pPr>
            <w:r>
              <w:rPr>
                <w:rFonts w:hint="eastAsia" w:hAnsi="宋体" w:cs="微软雅黑"/>
                <w:sz w:val="24"/>
                <w:szCs w:val="24"/>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Ansi="宋体" w:cs="微软雅黑"/>
                <w:sz w:val="24"/>
                <w:szCs w:val="24"/>
              </w:rPr>
            </w:pPr>
            <w:r>
              <w:rPr>
                <w:rFonts w:hint="eastAsia" w:hAnsi="宋体" w:cs="微软雅黑"/>
                <w:sz w:val="24"/>
                <w:szCs w:val="24"/>
              </w:rPr>
              <w:t>证明材料</w:t>
            </w: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p>
        </w:tc>
        <w:tc>
          <w:tcPr>
            <w:tcW w:w="709" w:type="dxa"/>
            <w:gridSpan w:val="2"/>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技术人员职称证书</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pStyle w:val="11"/>
              <w:kinsoku w:val="0"/>
              <w:overflowPunct w:val="0"/>
              <w:autoSpaceDE w:val="0"/>
              <w:autoSpaceDN w:val="0"/>
              <w:spacing w:line="320" w:lineRule="exact"/>
              <w:rPr>
                <w:rFonts w:hAnsi="宋体" w:cs="微软雅黑"/>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p>
        </w:tc>
        <w:tc>
          <w:tcPr>
            <w:tcW w:w="709" w:type="dxa"/>
            <w:gridSpan w:val="2"/>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用工合同</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pStyle w:val="11"/>
              <w:kinsoku w:val="0"/>
              <w:overflowPunct w:val="0"/>
              <w:autoSpaceDE w:val="0"/>
              <w:autoSpaceDN w:val="0"/>
              <w:spacing w:line="320" w:lineRule="exact"/>
              <w:rPr>
                <w:rFonts w:hAnsi="宋体" w:cs="微软雅黑"/>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3"/>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p>
        </w:tc>
        <w:tc>
          <w:tcPr>
            <w:tcW w:w="2977" w:type="dxa"/>
            <w:gridSpan w:val="3"/>
            <w:tcBorders>
              <w:left w:val="single" w:color="auto" w:sz="6"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asciiTheme="minorEastAsia" w:hAnsiTheme="minorEastAsia"/>
                <w:bCs/>
                <w:sz w:val="24"/>
                <w:szCs w:val="24"/>
              </w:rPr>
              <w:t>供应商相关承诺函或声明</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11</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sz w:val="24"/>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12</w:t>
            </w:r>
          </w:p>
        </w:tc>
        <w:tc>
          <w:tcPr>
            <w:tcW w:w="3733" w:type="dxa"/>
            <w:gridSpan w:val="4"/>
            <w:vAlign w:val="center"/>
          </w:tcPr>
          <w:p>
            <w:pPr>
              <w:pStyle w:val="11"/>
              <w:kinsoku w:val="0"/>
              <w:overflowPunct w:val="0"/>
              <w:autoSpaceDE w:val="0"/>
              <w:autoSpaceDN w:val="0"/>
              <w:spacing w:line="320" w:lineRule="exact"/>
              <w:rPr>
                <w:rFonts w:hAnsi="宋体"/>
                <w:sz w:val="24"/>
                <w:szCs w:val="24"/>
              </w:rPr>
            </w:pPr>
            <w:r>
              <w:rPr>
                <w:rFonts w:hint="eastAsia" w:hAnsi="宋体" w:cs="微软雅黑"/>
                <w:bCs/>
                <w:sz w:val="24"/>
                <w:szCs w:val="24"/>
              </w:rPr>
              <w:t>供应商须具备的特殊资质证书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zh-CN" w:eastAsia="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lang w:val="en-US" w:eastAsia="zh-CN"/>
              </w:rPr>
              <w:t>3</w:t>
            </w:r>
          </w:p>
        </w:tc>
        <w:tc>
          <w:tcPr>
            <w:tcW w:w="3733" w:type="dxa"/>
            <w:gridSpan w:val="4"/>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zh-CN" w:eastAsia="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lang w:val="en-US" w:eastAsia="zh-CN"/>
              </w:rPr>
              <w:t>4</w:t>
            </w:r>
          </w:p>
        </w:tc>
        <w:tc>
          <w:tcPr>
            <w:tcW w:w="3733" w:type="dxa"/>
            <w:gridSpan w:val="4"/>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供应商与参加本项目投标的其他供应商之间，单位负责人不为同一人并且不存在直接控股、管理关系承诺函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zh-CN" w:eastAsia="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lang w:val="en-US" w:eastAsia="zh-CN"/>
              </w:rPr>
              <w:t>5</w:t>
            </w:r>
          </w:p>
        </w:tc>
        <w:tc>
          <w:tcPr>
            <w:tcW w:w="3733" w:type="dxa"/>
            <w:gridSpan w:val="4"/>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仿宋_GB2312" w:asciiTheme="minorEastAsia" w:hAnsiTheme="minorEastAsia"/>
                <w:sz w:val="24"/>
                <w:szCs w:val="24"/>
                <w:lang w:val="zh-CN"/>
              </w:rPr>
              <w:t>供应商未为本项目提供整体设计、规范编制或者项目管理、监理、检测等服务承诺函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tcBorders>
              <w:top w:val="double" w:color="auto" w:sz="4" w:space="0"/>
            </w:tcBorders>
            <w:vAlign w:val="center"/>
          </w:tcPr>
          <w:p>
            <w:pPr>
              <w:adjustRightInd w:val="0"/>
              <w:snapToGrid w:val="0"/>
              <w:spacing w:line="400" w:lineRule="exact"/>
              <w:jc w:val="center"/>
              <w:textAlignment w:val="baseline"/>
              <w:rPr>
                <w:rFonts w:hint="eastAsia" w:hAnsi="宋体" w:eastAsia="宋体" w:cs="微软雅黑"/>
                <w:sz w:val="24"/>
                <w:szCs w:val="24"/>
                <w:lang w:eastAsia="zh-CN"/>
              </w:rPr>
            </w:pPr>
            <w:r>
              <w:rPr>
                <w:rFonts w:hint="eastAsia" w:hAnsi="宋体" w:cs="微软雅黑"/>
                <w:sz w:val="24"/>
                <w:szCs w:val="24"/>
              </w:rPr>
              <w:t>1</w:t>
            </w:r>
            <w:r>
              <w:rPr>
                <w:rFonts w:hint="eastAsia" w:hAnsi="宋体" w:cs="微软雅黑"/>
                <w:sz w:val="24"/>
                <w:szCs w:val="24"/>
                <w:lang w:val="en-US" w:eastAsia="zh-CN"/>
              </w:rPr>
              <w:t>6</w:t>
            </w:r>
          </w:p>
        </w:tc>
        <w:tc>
          <w:tcPr>
            <w:tcW w:w="3733" w:type="dxa"/>
            <w:gridSpan w:val="4"/>
            <w:tcBorders>
              <w:top w:val="double" w:color="auto" w:sz="4"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hAnsi="宋体" w:cs="微软雅黑"/>
                <w:sz w:val="24"/>
                <w:szCs w:val="24"/>
              </w:rPr>
            </w:pPr>
          </w:p>
        </w:tc>
        <w:tc>
          <w:tcPr>
            <w:tcW w:w="1694" w:type="dxa"/>
            <w:tcBorders>
              <w:top w:val="doub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eastAsia="zh-CN"/>
              </w:rPr>
            </w:pPr>
            <w:r>
              <w:rPr>
                <w:rFonts w:hint="eastAsia" w:hAnsi="宋体" w:cs="微软雅黑"/>
                <w:sz w:val="24"/>
                <w:szCs w:val="24"/>
              </w:rPr>
              <w:t>1</w:t>
            </w:r>
            <w:r>
              <w:rPr>
                <w:rFonts w:hint="eastAsia" w:hAnsi="宋体" w:cs="微软雅黑"/>
                <w:sz w:val="24"/>
                <w:szCs w:val="24"/>
                <w:lang w:val="en-US" w:eastAsia="zh-CN"/>
              </w:rPr>
              <w:t>7</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eastAsia="zh-CN"/>
              </w:rPr>
            </w:pPr>
            <w:r>
              <w:rPr>
                <w:rFonts w:hint="eastAsia" w:hAnsi="宋体" w:cs="微软雅黑"/>
                <w:sz w:val="24"/>
                <w:szCs w:val="24"/>
              </w:rPr>
              <w:t>1</w:t>
            </w:r>
            <w:r>
              <w:rPr>
                <w:rFonts w:hint="eastAsia" w:hAnsi="宋体" w:cs="微软雅黑"/>
                <w:sz w:val="24"/>
                <w:szCs w:val="24"/>
                <w:lang w:val="en-US" w:eastAsia="zh-CN"/>
              </w:rPr>
              <w:t>8</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hAnsi="宋体" w:cs="微软雅黑"/>
                <w:sz w:val="24"/>
                <w:szCs w:val="24"/>
              </w:rPr>
            </w:pPr>
          </w:p>
        </w:tc>
        <w:tc>
          <w:tcPr>
            <w:tcW w:w="1694" w:type="dxa"/>
            <w:tcBorders>
              <w:top w:val="sing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default" w:hAnsi="宋体" w:eastAsia="宋体" w:cs="微软雅黑"/>
                <w:sz w:val="24"/>
                <w:szCs w:val="24"/>
                <w:lang w:val="en-US" w:eastAsia="zh-CN"/>
              </w:rPr>
            </w:pPr>
            <w:r>
              <w:rPr>
                <w:rFonts w:hint="eastAsia" w:hAnsi="宋体" w:cs="微软雅黑"/>
                <w:sz w:val="24"/>
                <w:szCs w:val="24"/>
                <w:lang w:val="en-US" w:eastAsia="zh-CN"/>
              </w:rPr>
              <w:t>19</w:t>
            </w:r>
          </w:p>
        </w:tc>
        <w:tc>
          <w:tcPr>
            <w:tcW w:w="3733" w:type="dxa"/>
            <w:gridSpan w:val="4"/>
            <w:vAlign w:val="center"/>
          </w:tcPr>
          <w:p>
            <w:pPr>
              <w:pStyle w:val="11"/>
              <w:kinsoku w:val="0"/>
              <w:overflowPunct w:val="0"/>
              <w:autoSpaceDE w:val="0"/>
              <w:autoSpaceDN w:val="0"/>
              <w:spacing w:line="320" w:lineRule="exact"/>
              <w:rPr>
                <w:rFonts w:hint="eastAsia" w:hAnsi="宋体" w:cs="微软雅黑"/>
                <w:bCs/>
                <w:sz w:val="24"/>
                <w:szCs w:val="24"/>
              </w:rPr>
            </w:pPr>
            <w:r>
              <w:rPr>
                <w:rFonts w:hint="eastAsia" w:hAnsi="宋体" w:cs="微软雅黑"/>
                <w:bCs/>
                <w:sz w:val="24"/>
                <w:szCs w:val="24"/>
              </w:rPr>
              <w:t>投标承诺函</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hAnsi="宋体" w:cs="微软雅黑"/>
                <w:sz w:val="24"/>
                <w:szCs w:val="24"/>
              </w:rPr>
            </w:pPr>
          </w:p>
        </w:tc>
        <w:tc>
          <w:tcPr>
            <w:tcW w:w="1694" w:type="dxa"/>
            <w:tcBorders>
              <w:top w:val="sing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default" w:hAnsi="宋体" w:eastAsia="宋体" w:cs="微软雅黑"/>
                <w:sz w:val="24"/>
                <w:szCs w:val="24"/>
                <w:lang w:val="en-US" w:eastAsia="zh-CN"/>
              </w:rPr>
            </w:pPr>
            <w:r>
              <w:rPr>
                <w:rFonts w:hint="eastAsia" w:hAnsi="宋体" w:cs="微软雅黑"/>
                <w:sz w:val="24"/>
                <w:szCs w:val="24"/>
                <w:lang w:val="en-US" w:eastAsia="zh-CN"/>
              </w:rPr>
              <w:t>20</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default" w:hAnsi="宋体" w:eastAsia="宋体" w:cs="微软雅黑"/>
                <w:sz w:val="24"/>
                <w:szCs w:val="24"/>
                <w:lang w:val="en-US" w:eastAsia="zh-CN"/>
              </w:rPr>
            </w:pPr>
            <w:r>
              <w:rPr>
                <w:rFonts w:hint="eastAsia" w:hAnsi="宋体" w:cs="微软雅黑"/>
                <w:sz w:val="24"/>
                <w:szCs w:val="24"/>
                <w:lang w:val="en-US" w:eastAsia="zh-CN"/>
              </w:rPr>
              <w:t>21</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2</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3</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cs="仿宋_GB2312" w:asciiTheme="minorEastAsia" w:hAnsiTheme="minorEastAsia" w:eastAsiaTheme="minorEastAsia"/>
                <w:sz w:val="24"/>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4</w:t>
            </w:r>
          </w:p>
        </w:tc>
        <w:tc>
          <w:tcPr>
            <w:tcW w:w="3733" w:type="dxa"/>
            <w:gridSpan w:val="4"/>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5</w:t>
            </w:r>
          </w:p>
        </w:tc>
        <w:tc>
          <w:tcPr>
            <w:tcW w:w="1040" w:type="dxa"/>
            <w:gridSpan w:val="2"/>
            <w:tcBorders>
              <w:right w:val="single" w:color="auto" w:sz="4"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CCC强制性产品认证</w:t>
            </w:r>
          </w:p>
        </w:tc>
        <w:tc>
          <w:tcPr>
            <w:tcW w:w="2693" w:type="dxa"/>
            <w:gridSpan w:val="2"/>
            <w:tcBorders>
              <w:left w:val="single" w:color="auto" w:sz="4" w:space="0"/>
            </w:tcBorders>
            <w:vAlign w:val="center"/>
          </w:tcPr>
          <w:p>
            <w:pPr>
              <w:pStyle w:val="11"/>
              <w:kinsoku w:val="0"/>
              <w:overflowPunct w:val="0"/>
              <w:autoSpaceDE w:val="0"/>
              <w:autoSpaceDN w:val="0"/>
              <w:spacing w:line="320" w:lineRule="exact"/>
              <w:rPr>
                <w:rFonts w:hAnsi="宋体" w:cs="微软雅黑"/>
                <w:bCs/>
                <w:sz w:val="24"/>
                <w:szCs w:val="24"/>
              </w:rPr>
            </w:pPr>
            <w:r>
              <w:rPr>
                <w:rFonts w:hint="eastAsia" w:asciiTheme="majorEastAsia" w:hAnsiTheme="majorEastAsia" w:eastAsiaTheme="majorEastAsia" w:cstheme="majorEastAsia"/>
                <w:bCs/>
                <w:sz w:val="24"/>
                <w:szCs w:val="24"/>
                <w:lang w:val="zh-CN"/>
              </w:rPr>
              <w:t>所投产品符合国家强制性要求承诺函</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Merge w:val="restart"/>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6</w:t>
            </w:r>
          </w:p>
        </w:tc>
        <w:tc>
          <w:tcPr>
            <w:tcW w:w="1040" w:type="dxa"/>
            <w:gridSpan w:val="2"/>
            <w:vMerge w:val="restart"/>
            <w:tcBorders>
              <w:right w:val="single" w:color="auto" w:sz="4" w:space="0"/>
            </w:tcBorders>
            <w:vAlign w:val="center"/>
          </w:tcPr>
          <w:p>
            <w:pPr>
              <w:pStyle w:val="11"/>
              <w:kinsoku w:val="0"/>
              <w:overflowPunct w:val="0"/>
              <w:autoSpaceDE w:val="0"/>
              <w:autoSpaceDN w:val="0"/>
              <w:spacing w:line="320" w:lineRule="exact"/>
              <w:rPr>
                <w:rFonts w:cs="宋体" w:asciiTheme="minorEastAsia" w:hAnsiTheme="minorEastAsia"/>
                <w:sz w:val="24"/>
                <w:szCs w:val="24"/>
              </w:rPr>
            </w:pPr>
            <w:r>
              <w:rPr>
                <w:rFonts w:cs="宋体" w:asciiTheme="minorEastAsia" w:hAnsiTheme="minorEastAsia"/>
                <w:sz w:val="24"/>
                <w:szCs w:val="24"/>
              </w:rPr>
              <w:t>信息安全产品强制性认证</w:t>
            </w:r>
          </w:p>
        </w:tc>
        <w:tc>
          <w:tcPr>
            <w:tcW w:w="2693" w:type="dxa"/>
            <w:gridSpan w:val="2"/>
            <w:tcBorders>
              <w:lef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宋体" w:asciiTheme="minorEastAsia" w:hAnsiTheme="minorEastAsia"/>
                <w:sz w:val="24"/>
                <w:szCs w:val="24"/>
              </w:rPr>
              <w:t>认证机构颁发的认证证书</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Merge w:val="continue"/>
            <w:vAlign w:val="center"/>
          </w:tcPr>
          <w:p>
            <w:pPr>
              <w:adjustRightInd w:val="0"/>
              <w:snapToGrid w:val="0"/>
              <w:spacing w:line="400" w:lineRule="exact"/>
              <w:jc w:val="center"/>
              <w:textAlignment w:val="baseline"/>
              <w:rPr>
                <w:rFonts w:hAnsi="宋体" w:cs="微软雅黑"/>
                <w:sz w:val="24"/>
                <w:szCs w:val="24"/>
              </w:rPr>
            </w:pPr>
          </w:p>
        </w:tc>
        <w:tc>
          <w:tcPr>
            <w:tcW w:w="1040" w:type="dxa"/>
            <w:gridSpan w:val="2"/>
            <w:vMerge w:val="continue"/>
            <w:tcBorders>
              <w:righ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p>
        </w:tc>
        <w:tc>
          <w:tcPr>
            <w:tcW w:w="2693" w:type="dxa"/>
            <w:gridSpan w:val="2"/>
            <w:tcBorders>
              <w:lef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宋体" w:asciiTheme="minorEastAsia" w:hAnsiTheme="minorEastAsia"/>
                <w:sz w:val="24"/>
                <w:szCs w:val="24"/>
              </w:rPr>
              <w:t>中国信息安全认证中心官网产品查询结果截图</w:t>
            </w:r>
          </w:p>
        </w:tc>
        <w:tc>
          <w:tcPr>
            <w:tcW w:w="1559" w:type="dxa"/>
            <w:vAlign w:val="center"/>
          </w:tcPr>
          <w:p>
            <w:pPr>
              <w:pStyle w:val="11"/>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spacing w:line="360" w:lineRule="auto"/>
              <w:rPr>
                <w:rFonts w:hint="eastAsia" w:eastAsia="宋体"/>
                <w:sz w:val="24"/>
                <w:szCs w:val="24"/>
                <w:lang w:val="en-US" w:eastAsia="zh-CN"/>
              </w:rPr>
            </w:pPr>
            <w:r>
              <w:rPr>
                <w:rFonts w:hint="eastAsia"/>
                <w:sz w:val="24"/>
                <w:szCs w:val="24"/>
              </w:rPr>
              <w:t>2</w:t>
            </w:r>
            <w:r>
              <w:rPr>
                <w:rFonts w:hint="eastAsia"/>
                <w:sz w:val="24"/>
                <w:szCs w:val="24"/>
                <w:lang w:val="en-US" w:eastAsia="zh-CN"/>
              </w:rPr>
              <w:t>7</w:t>
            </w:r>
          </w:p>
        </w:tc>
        <w:tc>
          <w:tcPr>
            <w:tcW w:w="3733" w:type="dxa"/>
            <w:gridSpan w:val="4"/>
            <w:vAlign w:val="center"/>
          </w:tcPr>
          <w:p>
            <w:pPr>
              <w:spacing w:line="360" w:lineRule="auto"/>
              <w:rPr>
                <w:sz w:val="24"/>
                <w:szCs w:val="24"/>
              </w:rPr>
            </w:pPr>
            <w:r>
              <w:rPr>
                <w:rFonts w:hint="eastAsia"/>
                <w:sz w:val="24"/>
                <w:szCs w:val="24"/>
              </w:rPr>
              <w:t>其它资料</w:t>
            </w:r>
          </w:p>
        </w:tc>
        <w:tc>
          <w:tcPr>
            <w:tcW w:w="1559" w:type="dxa"/>
            <w:vAlign w:val="center"/>
          </w:tcPr>
          <w:p>
            <w:pPr>
              <w:spacing w:line="360" w:lineRule="auto"/>
              <w:rPr>
                <w:sz w:val="24"/>
                <w:szCs w:val="24"/>
              </w:rPr>
            </w:pPr>
          </w:p>
        </w:tc>
        <w:tc>
          <w:tcPr>
            <w:tcW w:w="1560" w:type="dxa"/>
            <w:vAlign w:val="center"/>
          </w:tcPr>
          <w:p>
            <w:pPr>
              <w:spacing w:line="360" w:lineRule="auto"/>
              <w:rPr>
                <w:sz w:val="24"/>
                <w:szCs w:val="24"/>
              </w:rPr>
            </w:pPr>
          </w:p>
        </w:tc>
        <w:tc>
          <w:tcPr>
            <w:tcW w:w="1694" w:type="dxa"/>
            <w:vAlign w:val="center"/>
          </w:tcPr>
          <w:p>
            <w:pPr>
              <w:spacing w:line="360" w:lineRule="auto"/>
              <w:rPr>
                <w:sz w:val="24"/>
                <w:szCs w:val="24"/>
              </w:rPr>
            </w:pPr>
          </w:p>
        </w:tc>
      </w:tr>
    </w:tbl>
    <w:p>
      <w:pPr>
        <w:spacing w:line="360" w:lineRule="auto"/>
        <w:rPr>
          <w:sz w:val="24"/>
          <w:szCs w:val="24"/>
        </w:rPr>
      </w:pPr>
      <w:r>
        <w:rPr>
          <w:rFonts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spacing w:line="360" w:lineRule="auto"/>
        <w:rPr>
          <w:sz w:val="24"/>
          <w:szCs w:val="24"/>
        </w:rPr>
      </w:pPr>
      <w:r>
        <w:rPr>
          <w:rFonts w:hint="eastAsia"/>
          <w:sz w:val="24"/>
          <w:szCs w:val="24"/>
        </w:rPr>
        <w:t>②本表序号10请按照本谈判文件 “第六章资格审查与评审”资格审查表中序号6要求提供，根据所提供证明材料或承诺函（声明）情况填写其中一项即可。</w:t>
      </w:r>
    </w:p>
    <w:p>
      <w:pPr>
        <w:spacing w:line="360" w:lineRule="auto"/>
        <w:rPr>
          <w:sz w:val="24"/>
          <w:szCs w:val="24"/>
        </w:rPr>
      </w:pPr>
      <w:r>
        <w:rPr>
          <w:rFonts w:hint="eastAsia"/>
          <w:sz w:val="24"/>
          <w:szCs w:val="24"/>
        </w:rPr>
        <w:t>③本表序号26请根据所投产品提供证书或截图情况填写其中一项即可。</w:t>
      </w:r>
    </w:p>
    <w:p>
      <w:pPr>
        <w:pStyle w:val="11"/>
        <w:spacing w:line="360" w:lineRule="auto"/>
        <w:jc w:val="center"/>
        <w:rPr>
          <w:rFonts w:asciiTheme="majorEastAsia" w:hAnsiTheme="majorEastAsia" w:eastAsiaTheme="majorEastAsia"/>
          <w:b/>
          <w:snapToGrid w:val="0"/>
          <w:sz w:val="28"/>
          <w:szCs w:val="28"/>
        </w:rPr>
      </w:pPr>
    </w:p>
    <w:p>
      <w:pPr>
        <w:pStyle w:val="11"/>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br w:type="page"/>
      </w:r>
    </w:p>
    <w:p>
      <w:pPr>
        <w:pStyle w:val="11"/>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二、谈判响应函</w:t>
      </w:r>
    </w:p>
    <w:p>
      <w:pPr>
        <w:pStyle w:val="11"/>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lang w:val="en-US" w:eastAsia="zh-CN"/>
        </w:rPr>
        <w:t xml:space="preserve">  </w:t>
      </w: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 w:val="24"/>
          <w:szCs w:val="24"/>
        </w:rPr>
        <w:t>谈判响应函</w:t>
      </w:r>
    </w:p>
    <w:p>
      <w:pPr>
        <w:autoSpaceDE w:val="0"/>
        <w:autoSpaceDN w:val="0"/>
        <w:adjustRightInd w:val="0"/>
        <w:spacing w:line="480" w:lineRule="auto"/>
        <w:rPr>
          <w:rFonts w:hint="eastAsia"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lang w:val="zh-CN" w:eastAsia="zh-CN"/>
        </w:rPr>
        <w:t>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w:t>
      </w:r>
      <w:r>
        <w:rPr>
          <w:rFonts w:hint="eastAsia" w:cs="宋体" w:asciiTheme="minorEastAsia" w:hAnsiTheme="minorEastAsia"/>
          <w:sz w:val="24"/>
          <w:szCs w:val="24"/>
          <w:lang w:val="zh-CN" w:eastAsia="zh-CN"/>
        </w:rPr>
        <w:t>将承担相应责任</w:t>
      </w:r>
      <w:r>
        <w:rPr>
          <w:rFonts w:hint="eastAsia" w:cs="宋体" w:asciiTheme="minorEastAsia" w:hAnsiTheme="minorEastAsia"/>
          <w:sz w:val="24"/>
          <w:szCs w:val="24"/>
          <w:lang w:val="zh-CN"/>
        </w:rPr>
        <w:t>。</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eastAsia="zh-CN"/>
        </w:rPr>
        <w:t>十</w:t>
      </w:r>
      <w:r>
        <w:rPr>
          <w:rFonts w:hint="eastAsia" w:cs="宋体" w:asciiTheme="minorEastAsia" w:hAnsiTheme="minorEastAsia"/>
          <w:sz w:val="24"/>
          <w:szCs w:val="24"/>
          <w:lang w:val="zh-CN"/>
        </w:rPr>
        <w:t>、我方具备履行合同所必需的设备和专业技术能力。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hint="eastAsia" w:cs="宋体" w:asciiTheme="minorEastAsia" w:hAnsiTheme="minorEastAsia"/>
          <w:sz w:val="24"/>
          <w:szCs w:val="24"/>
          <w:u w:val="single"/>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rPr>
          <w:rFonts w:hint="eastAsia" w:cs="宋体" w:asciiTheme="minorEastAsia" w:hAnsiTheme="minorEastAsia"/>
          <w:sz w:val="24"/>
          <w:szCs w:val="24"/>
          <w:u w:val="single"/>
          <w:lang w:val="zh-CN"/>
        </w:rPr>
      </w:pPr>
      <w:r>
        <w:rPr>
          <w:rFonts w:hint="eastAsia" w:cs="宋体" w:asciiTheme="minorEastAsia" w:hAnsiTheme="minorEastAsia"/>
          <w:sz w:val="24"/>
          <w:szCs w:val="24"/>
          <w:u w:val="single"/>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1"/>
        <w:spacing w:line="360" w:lineRule="auto"/>
        <w:jc w:val="both"/>
        <w:rPr>
          <w:rFonts w:asciiTheme="majorEastAsia" w:hAnsiTheme="majorEastAsia" w:eastAsiaTheme="majorEastAsia"/>
          <w:b/>
          <w:snapToGrid w:val="0"/>
          <w:szCs w:val="24"/>
        </w:rPr>
      </w:pPr>
    </w:p>
    <w:p>
      <w:pPr>
        <w:pStyle w:val="11"/>
        <w:spacing w:line="360" w:lineRule="auto"/>
        <w:jc w:val="center"/>
        <w:rPr>
          <w:rFonts w:hint="eastAsia"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br w:type="page"/>
      </w:r>
    </w:p>
    <w:p>
      <w:pPr>
        <w:pStyle w:val="11"/>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3.1报价一览表</w:t>
      </w:r>
    </w:p>
    <w:p>
      <w:pPr>
        <w:pStyle w:val="11"/>
        <w:spacing w:line="360" w:lineRule="auto"/>
        <w:jc w:val="center"/>
        <w:rPr>
          <w:rFonts w:asciiTheme="majorEastAsia" w:hAnsiTheme="majorEastAsia" w:eastAsiaTheme="majorEastAsia"/>
          <w:b/>
          <w:snapToGrid w:val="0"/>
          <w:sz w:val="28"/>
          <w:szCs w:val="28"/>
        </w:rPr>
      </w:pP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8"/>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服务期限</w:t>
            </w:r>
          </w:p>
        </w:tc>
        <w:tc>
          <w:tcPr>
            <w:tcW w:w="14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 w:val="24"/>
                <w:szCs w:val="24"/>
                <w:lang w:val="en-US" w:eastAsia="zh-CN"/>
              </w:rPr>
            </w:pPr>
            <w:r>
              <w:rPr>
                <w:rFonts w:hint="eastAsia" w:cs="宋体" w:asciiTheme="minorEastAsia" w:hAnsiTheme="minorEastAsia"/>
                <w:b/>
                <w:sz w:val="24"/>
                <w:szCs w:val="24"/>
                <w:lang w:val="en-US" w:eastAsia="zh-CN"/>
              </w:rPr>
              <w:t>质量</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eastAsia="宋体" w:cs="宋体" w:asciiTheme="minorEastAsia" w:hAnsiTheme="minorEastAsia"/>
                <w:b/>
                <w:sz w:val="24"/>
                <w:szCs w:val="24"/>
                <w:lang w:val="en-US" w:eastAsia="zh-CN"/>
              </w:rPr>
            </w:pPr>
            <w:r>
              <w:rPr>
                <w:rFonts w:hint="eastAsia" w:cs="宋体" w:asciiTheme="minorEastAsia" w:hAnsiTheme="minorEastAsia"/>
                <w:b/>
                <w:sz w:val="24"/>
                <w:szCs w:val="24"/>
                <w:lang w:val="en-US" w:eastAsia="zh-CN"/>
              </w:rPr>
              <w:t>项目负责人</w:t>
            </w:r>
          </w:p>
        </w:tc>
        <w:tc>
          <w:tcPr>
            <w:tcW w:w="10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eastAsia="宋体" w:asciiTheme="minorEastAsia" w:hAnsiTheme="minorEastAsia"/>
                <w:sz w:val="24"/>
                <w:szCs w:val="24"/>
                <w:lang w:val="en-US" w:eastAsia="zh-CN"/>
              </w:rPr>
            </w:pPr>
            <w:r>
              <w:rPr>
                <w:rFonts w:hint="eastAsia" w:asciiTheme="minorEastAsia" w:hAnsiTheme="minorEastAsia"/>
                <w:sz w:val="24"/>
                <w:szCs w:val="24"/>
                <w:lang w:val="en-US" w:eastAsia="zh-CN"/>
              </w:rPr>
              <w:t>...</w:t>
            </w: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供应商名称：</w:t>
      </w:r>
      <w:r>
        <w:rPr>
          <w:rFonts w:hint="eastAsia" w:cs="宋体" w:asciiTheme="minorEastAsia" w:hAnsiTheme="minorEastAsia"/>
          <w:sz w:val="28"/>
          <w:szCs w:val="28"/>
          <w:u w:val="single"/>
          <w:lang w:val="zh-CN"/>
        </w:rPr>
        <w:t xml:space="preserve">     （全称）   </w:t>
      </w:r>
      <w:r>
        <w:rPr>
          <w:rFonts w:hint="eastAsia" w:cs="宋体" w:asciiTheme="minorEastAsia" w:hAnsiTheme="minorEastAsia"/>
          <w:sz w:val="28"/>
          <w:szCs w:val="28"/>
          <w:lang w:val="zh-CN"/>
        </w:rPr>
        <w:t>（公章）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日期：年月日</w:t>
      </w:r>
    </w:p>
    <w:p>
      <w:pPr>
        <w:spacing w:line="480" w:lineRule="exact"/>
        <w:rPr>
          <w:rFonts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br w:type="page"/>
      </w:r>
    </w:p>
    <w:p>
      <w:pPr>
        <w:spacing w:line="480" w:lineRule="exact"/>
        <w:jc w:val="center"/>
        <w:rPr>
          <w:rFonts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t>3.2 法定代表人</w:t>
      </w:r>
      <w:r>
        <w:rPr>
          <w:rFonts w:asciiTheme="majorEastAsia" w:hAnsiTheme="majorEastAsia" w:eastAsiaTheme="majorEastAsia"/>
          <w:b/>
          <w:bCs/>
          <w:color w:val="000000"/>
          <w:sz w:val="28"/>
          <w:szCs w:val="22"/>
        </w:rPr>
        <w:t>资</w:t>
      </w:r>
      <w:r>
        <w:rPr>
          <w:rFonts w:hint="eastAsia" w:asciiTheme="majorEastAsia" w:hAnsiTheme="majorEastAsia" w:eastAsiaTheme="majorEastAsia"/>
          <w:b/>
          <w:bCs/>
          <w:color w:val="000000"/>
          <w:sz w:val="28"/>
          <w:szCs w:val="22"/>
        </w:rPr>
        <w:t>格</w:t>
      </w:r>
      <w:r>
        <w:rPr>
          <w:rFonts w:asciiTheme="majorEastAsia" w:hAnsiTheme="majorEastAsia" w:eastAsiaTheme="majorEastAsia"/>
          <w:b/>
          <w:bCs/>
          <w:color w:val="000000"/>
          <w:sz w:val="28"/>
          <w:szCs w:val="22"/>
        </w:rPr>
        <w:t>证</w:t>
      </w:r>
      <w:r>
        <w:rPr>
          <w:rFonts w:hint="eastAsia" w:asciiTheme="majorEastAsia" w:hAnsiTheme="majorEastAsia" w:eastAsiaTheme="majorEastAsia"/>
          <w:b/>
          <w:bCs/>
          <w:color w:val="000000"/>
          <w:sz w:val="28"/>
          <w:szCs w:val="22"/>
        </w:rPr>
        <w:t>明</w:t>
      </w:r>
      <w:r>
        <w:rPr>
          <w:rFonts w:asciiTheme="majorEastAsia" w:hAnsiTheme="majorEastAsia" w:eastAsiaTheme="majorEastAsia"/>
          <w:b/>
          <w:bCs/>
          <w:color w:val="000000"/>
          <w:sz w:val="28"/>
          <w:szCs w:val="22"/>
        </w:rPr>
        <w:t>书</w:t>
      </w:r>
    </w:p>
    <w:p>
      <w:pPr>
        <w:autoSpaceDE w:val="0"/>
        <w:autoSpaceDN w:val="0"/>
        <w:adjustRightInd w:val="0"/>
        <w:spacing w:line="480" w:lineRule="auto"/>
        <w:ind w:firstLine="822" w:firstLineChars="257"/>
        <w:rPr>
          <w:rFonts w:hAnsi="宋体"/>
          <w:color w:val="000000"/>
          <w:sz w:val="32"/>
          <w:szCs w:val="24"/>
        </w:rPr>
      </w:pPr>
    </w:p>
    <w:p>
      <w:pPr>
        <w:pStyle w:val="32"/>
        <w:spacing w:line="480" w:lineRule="auto"/>
        <w:ind w:firstLine="540"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pStyle w:val="32"/>
        <w:spacing w:line="480" w:lineRule="auto"/>
        <w:ind w:firstLine="0" w:firstLineChars="0"/>
        <w:jc w:val="left"/>
        <w:rPr>
          <w:rFonts w:asciiTheme="minorEastAsia" w:hAnsiTheme="minorEastAsia"/>
          <w:color w:val="000000"/>
          <w:szCs w:val="21"/>
        </w:rPr>
      </w:pPr>
    </w:p>
    <w:p>
      <w:pPr>
        <w:pStyle w:val="32"/>
        <w:spacing w:line="480" w:lineRule="auto"/>
        <w:ind w:left="-870" w:leftChars="-256" w:firstLine="616"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pStyle w:val="38"/>
        <w:spacing w:before="60" w:line="480" w:lineRule="auto"/>
        <w:ind w:firstLine="4500"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pStyle w:val="37"/>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156" w:beforeLines="50" w:after="156" w:afterLines="50"/>
        <w:jc w:val="center"/>
        <w:rPr>
          <w:rFonts w:hAnsi="宋体" w:cs="Arial"/>
          <w:color w:val="000000"/>
          <w:sz w:val="28"/>
          <w:szCs w:val="28"/>
        </w:rPr>
      </w:pPr>
      <w:r>
        <w:rPr>
          <w:rFonts w:hint="eastAsia" w:hAnsi="宋体" w:cs="Arial"/>
          <w:color w:val="000000"/>
          <w:sz w:val="28"/>
          <w:szCs w:val="28"/>
        </w:rPr>
        <w:t>声　   明</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156" w:beforeLines="50" w:after="156" w:afterLines="50" w:line="360" w:lineRule="auto"/>
        <w:ind w:right="420" w:firstLine="2880" w:firstLineChars="1200"/>
        <w:rPr>
          <w:rFonts w:hAnsi="宋体" w:cs="宋体"/>
          <w:sz w:val="24"/>
          <w:szCs w:val="24"/>
          <w:lang w:val="zh-CN"/>
        </w:rPr>
      </w:pPr>
    </w:p>
    <w:p>
      <w:pPr>
        <w:spacing w:before="156" w:beforeLines="50" w:after="156"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156" w:beforeLines="50" w:after="156"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156" w:beforeLines="50" w:after="156" w:afterLines="50" w:line="360" w:lineRule="auto"/>
        <w:ind w:firstLine="566" w:firstLineChars="236"/>
        <w:rPr>
          <w:rFonts w:cs="宋体" w:asciiTheme="minorEastAsia" w:hAnsiTheme="minorEastAsia"/>
          <w:sz w:val="24"/>
          <w:szCs w:val="21"/>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微软雅黑" w:hAnsi="微软雅黑" w:eastAsia="微软雅黑" w:cs="微软雅黑"/>
          <w:b w:val="0"/>
          <w:i w:val="0"/>
          <w:caps w:val="0"/>
          <w:color w:val="333333"/>
          <w:spacing w:val="8"/>
          <w:sz w:val="28"/>
          <w:szCs w:val="28"/>
        </w:rPr>
      </w:pPr>
      <w:r>
        <w:rPr>
          <w:rStyle w:val="21"/>
          <w:rFonts w:hint="eastAsia" w:cs="宋体"/>
          <w:i w:val="0"/>
          <w:caps w:val="0"/>
          <w:color w:val="333333"/>
          <w:spacing w:val="8"/>
          <w:sz w:val="28"/>
          <w:szCs w:val="28"/>
          <w:shd w:val="clear" w:fill="FFFFFF"/>
          <w:lang w:val="en-US" w:eastAsia="zh-CN"/>
        </w:rPr>
        <w:t>3.5</w:t>
      </w:r>
      <w:r>
        <w:rPr>
          <w:rStyle w:val="21"/>
          <w:rFonts w:hint="eastAsia" w:ascii="宋体" w:hAnsi="宋体" w:eastAsia="宋体" w:cs="宋体"/>
          <w:i w:val="0"/>
          <w:caps w:val="0"/>
          <w:color w:val="333333"/>
          <w:spacing w:val="8"/>
          <w:sz w:val="28"/>
          <w:szCs w:val="28"/>
          <w:shd w:val="clear" w:fill="FFFFFF"/>
        </w:rPr>
        <w:t>投标承诺函</w:t>
      </w:r>
    </w:p>
    <w:p>
      <w:pPr>
        <w:pStyle w:val="16"/>
        <w:shd w:val="clear" w:color="auto" w:fill="FFFFFF"/>
        <w:spacing w:after="300" w:line="360" w:lineRule="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本企业郑重承诺：</w:t>
      </w:r>
    </w:p>
    <w:p>
      <w:pPr>
        <w:pStyle w:val="16"/>
        <w:shd w:val="clear" w:color="auto" w:fill="FFFFFF"/>
        <w:spacing w:after="300"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一、将遵循公开、公平、公正和诚实信用的原则参加</w:t>
      </w:r>
      <w:r>
        <w:rPr>
          <w:rFonts w:hint="eastAsia" w:asciiTheme="minorEastAsia" w:hAnsiTheme="minorEastAsia" w:eastAsiaTheme="minorEastAsia" w:cstheme="minorEastAsia"/>
          <w:color w:val="000000"/>
          <w:sz w:val="24"/>
          <w:szCs w:val="24"/>
          <w:u w:val="single"/>
          <w:shd w:val="clear" w:color="auto" w:fill="FFFFFF"/>
          <w:lang w:val="en-US" w:eastAsia="zh-CN"/>
        </w:rPr>
        <w:t xml:space="preserve">      </w:t>
      </w:r>
      <w:r>
        <w:rPr>
          <w:rFonts w:hint="eastAsia" w:asciiTheme="minorEastAsia" w:hAnsiTheme="minorEastAsia" w:eastAsiaTheme="minorEastAsia" w:cstheme="minorEastAsia"/>
          <w:color w:val="auto"/>
          <w:sz w:val="24"/>
          <w:szCs w:val="24"/>
          <w:u w:val="single"/>
          <w:shd w:val="clear" w:color="auto" w:fill="FFFFFF"/>
          <w:lang w:val="en-US" w:eastAsia="zh-CN"/>
        </w:rPr>
        <w:t xml:space="preserve">  </w:t>
      </w:r>
      <w:r>
        <w:rPr>
          <w:rFonts w:hint="eastAsia" w:asciiTheme="minorEastAsia" w:hAnsiTheme="minorEastAsia" w:eastAsiaTheme="minorEastAsia" w:cstheme="minorEastAsia"/>
          <w:color w:val="auto"/>
          <w:sz w:val="24"/>
          <w:szCs w:val="24"/>
          <w:u w:val="single"/>
          <w:shd w:val="clear" w:color="auto" w:fill="FFFFFF"/>
        </w:rPr>
        <w:t>(具体政府采购项目名称）</w:t>
      </w:r>
      <w:r>
        <w:rPr>
          <w:rFonts w:hint="eastAsia" w:asciiTheme="minorEastAsia" w:hAnsiTheme="minorEastAsia" w:eastAsiaTheme="minorEastAsia" w:cstheme="minorEastAsia"/>
          <w:color w:val="000000"/>
          <w:sz w:val="24"/>
          <w:szCs w:val="24"/>
          <w:shd w:val="clear" w:color="auto" w:fill="FFFFFF"/>
        </w:rPr>
        <w:t>的投标;</w:t>
      </w:r>
    </w:p>
    <w:p>
      <w:pPr>
        <w:pStyle w:val="16"/>
        <w:shd w:val="clear" w:color="auto" w:fill="FFFFFF"/>
        <w:spacing w:after="300"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 xml:space="preserve">二、本次投标所提供的一切材料都是真实、有效、合法的; </w:t>
      </w:r>
    </w:p>
    <w:p>
      <w:pPr>
        <w:pStyle w:val="16"/>
        <w:shd w:val="clear" w:color="auto" w:fill="FFFFFF"/>
        <w:spacing w:after="300"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三、不与其他投标人相互串通投标报价，不排挤其他投标人的公平竞争，不损害采购人或其他投标人的合法权益;</w:t>
      </w:r>
    </w:p>
    <w:p>
      <w:pPr>
        <w:pStyle w:val="16"/>
        <w:shd w:val="clear" w:color="auto" w:fill="FFFFFF"/>
        <w:spacing w:after="300"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四、不与采购人或集中采购机构串通投标，不损害国家利益、社会公共利益或者他人的合法权益;</w:t>
      </w:r>
    </w:p>
    <w:p>
      <w:pPr>
        <w:pStyle w:val="16"/>
        <w:shd w:val="clear" w:color="auto" w:fill="FFFFFF"/>
        <w:spacing w:after="300"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五、不向采购人或者</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"http://www.cbi360.net/hyjd/1zt102.html"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rPr>
        <w:t>评标</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委员会成员行贿以牟取</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"http://hhb.cbi360.net/TenderBangSoso.aspx"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rPr>
        <w:t>中标</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w:t>
      </w:r>
    </w:p>
    <w:p>
      <w:pPr>
        <w:pStyle w:val="16"/>
        <w:shd w:val="clear" w:color="auto" w:fill="FFFFFF"/>
        <w:spacing w:after="300"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六、不以他人名义投标或者以其他方式弄虚作假，骗取中标;</w:t>
      </w:r>
    </w:p>
    <w:p>
      <w:pPr>
        <w:pStyle w:val="16"/>
        <w:shd w:val="clear" w:color="auto" w:fill="FFFFFF"/>
        <w:spacing w:after="300"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七、不扰乱长葛市政府采购市场秩序;</w:t>
      </w:r>
    </w:p>
    <w:p>
      <w:pPr>
        <w:pStyle w:val="16"/>
        <w:shd w:val="clear" w:color="auto" w:fill="FFFFFF"/>
        <w:spacing w:after="300"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八、不在</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"http://www.cbi360.net/hyjd/1zt99.html"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rPr>
        <w:t>开标</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后进行虚假恶意投诉;</w:t>
      </w:r>
    </w:p>
    <w:p>
      <w:pPr>
        <w:pStyle w:val="16"/>
        <w:shd w:val="clear" w:color="auto" w:fill="FFFFFF"/>
        <w:spacing w:after="300"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九、中标后不得将</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"http://www.cbi360.net/hyjd/1zt49.html"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rPr>
        <w:t>招标文件</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规定不予转包、分包的项目转包、分包于他人。</w:t>
      </w:r>
    </w:p>
    <w:p>
      <w:pPr>
        <w:pStyle w:val="16"/>
        <w:shd w:val="clear" w:color="auto" w:fill="FFFFFF"/>
        <w:spacing w:after="300"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pStyle w:val="16"/>
        <w:shd w:val="clear" w:color="auto" w:fill="FFFFFF"/>
        <w:spacing w:after="300" w:line="360" w:lineRule="auto"/>
        <w:ind w:firstLine="4080" w:firstLineChars="17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法定代表人或者被委托人（签字盖章)：</w:t>
      </w:r>
    </w:p>
    <w:p>
      <w:pPr>
        <w:pStyle w:val="16"/>
        <w:shd w:val="clear" w:color="auto" w:fill="FFFFFF"/>
        <w:spacing w:after="300" w:line="360" w:lineRule="auto"/>
        <w:ind w:firstLine="4080" w:firstLineChars="17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投标商名称(盖章)：</w:t>
      </w:r>
    </w:p>
    <w:p>
      <w:pPr>
        <w:pStyle w:val="16"/>
        <w:shd w:val="clear" w:color="auto" w:fill="FFFFFF"/>
        <w:spacing w:after="300" w:line="360" w:lineRule="auto"/>
        <w:jc w:val="center"/>
        <w:rPr>
          <w:rFonts w:hint="eastAsia" w:cs="黑体" w:asciiTheme="minorEastAsia" w:hAnsiTheme="minorEastAsia"/>
          <w:b/>
          <w:bCs/>
          <w:sz w:val="28"/>
          <w:szCs w:val="28"/>
          <w:lang w:val="zh-CN"/>
        </w:rPr>
      </w:pPr>
      <w:r>
        <w:rPr>
          <w:rFonts w:hint="eastAsia" w:asciiTheme="minorEastAsia" w:hAnsiTheme="minorEastAsia" w:eastAsiaTheme="minorEastAsia" w:cstheme="minorEastAsia"/>
          <w:color w:val="000000"/>
          <w:sz w:val="24"/>
          <w:szCs w:val="24"/>
          <w:shd w:val="clear" w:color="auto" w:fill="FFFFFF"/>
          <w:lang w:val="en-US" w:eastAsia="zh-CN"/>
        </w:rPr>
        <w:t xml:space="preserve">                 </w:t>
      </w:r>
      <w:r>
        <w:rPr>
          <w:rFonts w:hint="eastAsia" w:asciiTheme="minorEastAsia" w:hAnsiTheme="minorEastAsia" w:eastAsiaTheme="minorEastAsia" w:cstheme="minorEastAsia"/>
          <w:color w:val="000000"/>
          <w:sz w:val="24"/>
          <w:szCs w:val="24"/>
          <w:shd w:val="clear" w:color="auto" w:fill="FFFFFF"/>
        </w:rPr>
        <w:t>年  月  日</w:t>
      </w:r>
    </w:p>
    <w:p>
      <w:pPr>
        <w:widowControl/>
        <w:spacing w:before="100" w:beforeAutospacing="1" w:after="100" w:afterAutospacing="1" w:line="360" w:lineRule="auto"/>
        <w:jc w:val="center"/>
        <w:rPr>
          <w:rFonts w:hint="eastAsia" w:hAnsi="宋体"/>
          <w:b/>
          <w:bCs/>
          <w:color w:val="000000"/>
          <w:sz w:val="28"/>
          <w:szCs w:val="28"/>
        </w:rPr>
      </w:pPr>
      <w:r>
        <w:rPr>
          <w:rFonts w:hint="eastAsia" w:hAnsi="宋体"/>
          <w:b/>
          <w:bCs/>
          <w:color w:val="000000"/>
          <w:sz w:val="28"/>
          <w:szCs w:val="28"/>
        </w:rPr>
        <w:br w:type="page"/>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w:t>
      </w:r>
      <w:r>
        <w:rPr>
          <w:rFonts w:hint="eastAsia" w:hAnsi="宋体"/>
          <w:b/>
          <w:bCs/>
          <w:color w:val="000000"/>
          <w:sz w:val="28"/>
          <w:szCs w:val="28"/>
          <w:lang w:val="en-US" w:eastAsia="zh-CN"/>
        </w:rPr>
        <w:t>6</w:t>
      </w:r>
      <w:r>
        <w:rPr>
          <w:rFonts w:hint="eastAsia" w:hAnsi="宋体"/>
          <w:b/>
          <w:bCs/>
          <w:color w:val="000000"/>
          <w:sz w:val="28"/>
          <w:szCs w:val="28"/>
        </w:rPr>
        <w:t>供应商自觉抵制政府采购领域商业贿赂行为承诺书</w:t>
      </w:r>
    </w:p>
    <w:p>
      <w:pPr>
        <w:spacing w:after="156" w:afterLines="50" w:line="320" w:lineRule="exact"/>
        <w:rPr>
          <w:rFonts w:hint="eastAsia" w:hAnsi="宋体" w:eastAsia="宋体"/>
          <w:b/>
          <w:bCs/>
          <w:color w:val="000000"/>
          <w:sz w:val="24"/>
          <w:lang w:val="en-US" w:eastAsia="zh-CN"/>
        </w:rPr>
      </w:pPr>
      <w:r>
        <w:rPr>
          <w:rFonts w:hint="eastAsia" w:hAnsi="宋体"/>
          <w:b/>
          <w:color w:val="000000"/>
          <w:sz w:val="24"/>
        </w:rPr>
        <w:t>致</w:t>
      </w:r>
      <w:r>
        <w:rPr>
          <w:rFonts w:hint="eastAsia" w:hAnsi="宋体"/>
          <w:b/>
          <w:color w:val="000000"/>
          <w:sz w:val="24"/>
          <w:u w:val="single"/>
        </w:rPr>
        <w:t>：</w:t>
      </w:r>
      <w:r>
        <w:rPr>
          <w:rFonts w:hint="eastAsia" w:hAnsi="宋体"/>
          <w:b/>
          <w:color w:val="000000"/>
          <w:sz w:val="24"/>
          <w:u w:val="single"/>
          <w:lang w:val="en-US" w:eastAsia="zh-CN"/>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五、不与采购单位、集中采购机构和政府采购评审专家恶意串通，自觉维护政府采购公平竞争的市场秩序。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156" w:afterLines="50" w:line="320" w:lineRule="exact"/>
        <w:rPr>
          <w:rFonts w:hAnsi="宋体"/>
          <w:color w:val="000000"/>
          <w:sz w:val="24"/>
        </w:rPr>
      </w:pPr>
    </w:p>
    <w:p>
      <w:pPr>
        <w:spacing w:after="156"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5"/>
        <w:spacing w:before="60" w:after="156"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5"/>
        <w:spacing w:before="60" w:after="156"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w:t>
      </w:r>
      <w:r>
        <w:rPr>
          <w:rFonts w:hint="eastAsia" w:hAnsi="宋体"/>
          <w:b/>
          <w:bCs/>
          <w:color w:val="000000"/>
          <w:sz w:val="28"/>
          <w:szCs w:val="28"/>
          <w:lang w:val="en-US" w:eastAsia="zh-CN"/>
        </w:rPr>
        <w:t>7</w:t>
      </w:r>
      <w:r>
        <w:rPr>
          <w:rFonts w:hint="eastAsia" w:hAnsi="宋体"/>
          <w:b/>
          <w:bCs/>
          <w:color w:val="000000"/>
          <w:sz w:val="28"/>
          <w:szCs w:val="28"/>
        </w:rPr>
        <w:t>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cs="宋体" w:asciiTheme="minorEastAsia" w:hAnsiTheme="minorEastAsia"/>
          <w:sz w:val="28"/>
          <w:szCs w:val="28"/>
          <w:lang w:val="zh-CN"/>
        </w:rPr>
      </w:pPr>
      <w:r>
        <w:rPr>
          <w:rFonts w:hint="eastAsia" w:hAnsi="宋体"/>
          <w:b/>
          <w:bCs/>
          <w:color w:val="000000"/>
          <w:sz w:val="28"/>
          <w:szCs w:val="28"/>
        </w:rPr>
        <w:t>4.1分项报价表</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156" w:afterLines="50" w:line="320" w:lineRule="exact"/>
        <w:rPr>
          <w:rFonts w:hAnsi="宋体" w:cs="Arial"/>
          <w:color w:val="000000"/>
          <w:sz w:val="24"/>
        </w:rPr>
      </w:pPr>
    </w:p>
    <w:p>
      <w:pPr>
        <w:spacing w:after="156" w:afterLines="50" w:line="320" w:lineRule="exact"/>
        <w:rPr>
          <w:rFonts w:hAnsi="宋体" w:cs="Arial"/>
          <w:color w:val="000000"/>
          <w:sz w:val="24"/>
        </w:rPr>
      </w:pPr>
    </w:p>
    <w:p>
      <w:pPr>
        <w:pStyle w:val="2"/>
      </w:pPr>
    </w:p>
    <w:p/>
    <w:p>
      <w:pPr>
        <w:pStyle w:val="2"/>
      </w:pPr>
    </w:p>
    <w:p>
      <w:pPr>
        <w:spacing w:after="156" w:afterLines="50" w:line="320" w:lineRule="exact"/>
        <w:rPr>
          <w:rFonts w:hAnsi="宋体" w:cs="Arial"/>
          <w:color w:val="000000"/>
          <w:sz w:val="24"/>
        </w:rPr>
      </w:pPr>
    </w:p>
    <w:p>
      <w:pPr>
        <w:spacing w:after="156" w:afterLines="50" w:line="320" w:lineRule="exact"/>
        <w:ind w:firstLine="2160" w:firstLineChars="900"/>
        <w:rPr>
          <w:rFonts w:cs="宋体" w:asciiTheme="minorEastAsia" w:hAnsiTheme="minorEastAsia"/>
          <w:szCs w:val="21"/>
        </w:rPr>
      </w:pPr>
      <w:r>
        <w:rPr>
          <w:rFonts w:hint="eastAsia" w:hAnsi="宋体" w:cs="Arial"/>
          <w:color w:val="000000"/>
          <w:sz w:val="24"/>
        </w:rPr>
        <w:t>供应商名称（并加盖公章）：</w:t>
      </w:r>
    </w:p>
    <w:p>
      <w:pPr>
        <w:pStyle w:val="5"/>
        <w:spacing w:before="60" w:after="156" w:afterLines="50" w:line="320" w:lineRule="exact"/>
        <w:ind w:firstLine="2160" w:firstLineChars="90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5"/>
        <w:spacing w:before="60" w:after="156" w:afterLines="50" w:line="320" w:lineRule="exact"/>
        <w:ind w:firstLine="2160" w:firstLineChars="900"/>
        <w:rPr>
          <w:rFonts w:ascii="宋体" w:hAnsi="宋体" w:cs="Arial"/>
          <w:color w:val="000000"/>
          <w:szCs w:val="24"/>
        </w:rPr>
      </w:pPr>
      <w:r>
        <w:rPr>
          <w:rFonts w:hint="eastAsia" w:ascii="宋体" w:hAnsi="宋体" w:cs="Arial"/>
          <w:color w:val="000000"/>
          <w:szCs w:val="24"/>
        </w:rPr>
        <w:t>签署日期：年月日</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w:t>
      </w:r>
      <w:r>
        <w:rPr>
          <w:rFonts w:hint="eastAsia" w:hAnsi="宋体"/>
          <w:b/>
          <w:bCs/>
          <w:color w:val="000000"/>
          <w:sz w:val="28"/>
          <w:szCs w:val="28"/>
          <w:lang w:val="en-US" w:eastAsia="zh-CN"/>
        </w:rPr>
        <w:t>2</w:t>
      </w:r>
      <w:r>
        <w:rPr>
          <w:rFonts w:hint="eastAsia" w:hAnsi="宋体"/>
          <w:b/>
          <w:bCs/>
          <w:color w:val="000000"/>
          <w:sz w:val="28"/>
          <w:szCs w:val="28"/>
        </w:rPr>
        <w:t>技术方案（实施方案）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3</w:t>
      </w:r>
      <w:r>
        <w:rPr>
          <w:rFonts w:hint="eastAsia" w:hAnsi="宋体"/>
          <w:b/>
          <w:bCs/>
          <w:color w:val="000000"/>
          <w:sz w:val="28"/>
          <w:szCs w:val="28"/>
        </w:rPr>
        <w:t>业绩情况表</w:t>
      </w:r>
    </w:p>
    <w:p>
      <w:pPr>
        <w:autoSpaceDE w:val="0"/>
        <w:autoSpaceDN w:val="0"/>
        <w:adjustRightInd w:val="0"/>
        <w:spacing w:line="360" w:lineRule="auto"/>
        <w:jc w:val="center"/>
        <w:outlineLvl w:val="0"/>
        <w:rPr>
          <w:rFonts w:hAnsi="宋体"/>
          <w:b/>
          <w:bCs/>
          <w:color w:val="000000"/>
          <w:sz w:val="22"/>
          <w:szCs w:val="28"/>
        </w:rPr>
      </w:pPr>
    </w:p>
    <w:p>
      <w:pPr>
        <w:spacing w:before="50" w:after="156"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4</w:t>
      </w:r>
      <w:r>
        <w:rPr>
          <w:rFonts w:hint="eastAsia" w:hAnsi="宋体"/>
          <w:b/>
          <w:bCs/>
          <w:color w:val="000000"/>
          <w:sz w:val="28"/>
          <w:szCs w:val="28"/>
        </w:rPr>
        <w:t>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3927"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sz w:val="28"/>
          <w:szCs w:val="28"/>
        </w:rPr>
      </w:pPr>
      <w:r>
        <w:rPr>
          <w:rFonts w:hint="eastAsia" w:hAnsi="宋体"/>
          <w:b/>
          <w:bCs/>
          <w:color w:val="000000"/>
          <w:sz w:val="28"/>
          <w:szCs w:val="28"/>
        </w:rPr>
        <w:t>4.</w:t>
      </w:r>
      <w:r>
        <w:rPr>
          <w:rFonts w:hint="eastAsia" w:hAnsi="宋体"/>
          <w:b/>
          <w:bCs/>
          <w:color w:val="000000"/>
          <w:sz w:val="28"/>
          <w:szCs w:val="28"/>
          <w:lang w:val="en-US" w:eastAsia="zh-CN"/>
        </w:rPr>
        <w:t>5</w:t>
      </w:r>
      <w:r>
        <w:rPr>
          <w:rFonts w:hint="eastAsia" w:hAnsi="宋体"/>
          <w:b/>
          <w:bCs/>
          <w:color w:val="000000"/>
          <w:sz w:val="28"/>
          <w:szCs w:val="28"/>
        </w:rPr>
        <w:t>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F817E8"/>
    <w:multiLevelType w:val="singleLevel"/>
    <w:tmpl w:val="59F817E8"/>
    <w:lvl w:ilvl="0" w:tentative="0">
      <w:start w:val="1"/>
      <w:numFmt w:val="chineseCounting"/>
      <w:pStyle w:val="4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6406"/>
    <w:rsid w:val="00054FB3"/>
    <w:rsid w:val="00065186"/>
    <w:rsid w:val="00074844"/>
    <w:rsid w:val="000876DA"/>
    <w:rsid w:val="000C5597"/>
    <w:rsid w:val="000F298C"/>
    <w:rsid w:val="00167F73"/>
    <w:rsid w:val="00173281"/>
    <w:rsid w:val="00175798"/>
    <w:rsid w:val="001C1DBB"/>
    <w:rsid w:val="001E1AEA"/>
    <w:rsid w:val="001E3386"/>
    <w:rsid w:val="001F0AE8"/>
    <w:rsid w:val="00206BCC"/>
    <w:rsid w:val="0023161D"/>
    <w:rsid w:val="00250ADC"/>
    <w:rsid w:val="002877B1"/>
    <w:rsid w:val="002A32CF"/>
    <w:rsid w:val="002A5B4E"/>
    <w:rsid w:val="002B2874"/>
    <w:rsid w:val="002D0B7E"/>
    <w:rsid w:val="002E7AE1"/>
    <w:rsid w:val="00377552"/>
    <w:rsid w:val="003A7AF6"/>
    <w:rsid w:val="003D4C01"/>
    <w:rsid w:val="00427A27"/>
    <w:rsid w:val="004316B8"/>
    <w:rsid w:val="00434D96"/>
    <w:rsid w:val="00434F96"/>
    <w:rsid w:val="00443960"/>
    <w:rsid w:val="00456158"/>
    <w:rsid w:val="00457066"/>
    <w:rsid w:val="004608CE"/>
    <w:rsid w:val="00473124"/>
    <w:rsid w:val="004B3890"/>
    <w:rsid w:val="004B7C5D"/>
    <w:rsid w:val="004D1DB9"/>
    <w:rsid w:val="004D33CF"/>
    <w:rsid w:val="004E0915"/>
    <w:rsid w:val="00531498"/>
    <w:rsid w:val="00565514"/>
    <w:rsid w:val="00571BAE"/>
    <w:rsid w:val="005F62AF"/>
    <w:rsid w:val="0065213F"/>
    <w:rsid w:val="0067420E"/>
    <w:rsid w:val="006775FF"/>
    <w:rsid w:val="00681519"/>
    <w:rsid w:val="0068675B"/>
    <w:rsid w:val="00687A3E"/>
    <w:rsid w:val="006A3616"/>
    <w:rsid w:val="00765139"/>
    <w:rsid w:val="00790749"/>
    <w:rsid w:val="007B5322"/>
    <w:rsid w:val="007D346A"/>
    <w:rsid w:val="007E3B24"/>
    <w:rsid w:val="00803E51"/>
    <w:rsid w:val="008065F1"/>
    <w:rsid w:val="00823572"/>
    <w:rsid w:val="008518BF"/>
    <w:rsid w:val="00872646"/>
    <w:rsid w:val="008A0DEE"/>
    <w:rsid w:val="008B6859"/>
    <w:rsid w:val="008C3260"/>
    <w:rsid w:val="008C33E3"/>
    <w:rsid w:val="008D1F30"/>
    <w:rsid w:val="008E1320"/>
    <w:rsid w:val="008E7582"/>
    <w:rsid w:val="00900765"/>
    <w:rsid w:val="009147C7"/>
    <w:rsid w:val="00933923"/>
    <w:rsid w:val="009762AD"/>
    <w:rsid w:val="00A07AE0"/>
    <w:rsid w:val="00A17079"/>
    <w:rsid w:val="00A84EF9"/>
    <w:rsid w:val="00AC4912"/>
    <w:rsid w:val="00AE32AA"/>
    <w:rsid w:val="00B11A7B"/>
    <w:rsid w:val="00B13B82"/>
    <w:rsid w:val="00B26688"/>
    <w:rsid w:val="00B60344"/>
    <w:rsid w:val="00B70127"/>
    <w:rsid w:val="00B81F69"/>
    <w:rsid w:val="00B85CDE"/>
    <w:rsid w:val="00BF4888"/>
    <w:rsid w:val="00C672C2"/>
    <w:rsid w:val="00C8775B"/>
    <w:rsid w:val="00C9151D"/>
    <w:rsid w:val="00CB5EE3"/>
    <w:rsid w:val="00CE2A9E"/>
    <w:rsid w:val="00D04EFE"/>
    <w:rsid w:val="00D54319"/>
    <w:rsid w:val="00D6385B"/>
    <w:rsid w:val="00DA33BD"/>
    <w:rsid w:val="00DC6421"/>
    <w:rsid w:val="00DC7B76"/>
    <w:rsid w:val="00DD00ED"/>
    <w:rsid w:val="00E14612"/>
    <w:rsid w:val="00E3412F"/>
    <w:rsid w:val="00EC52D6"/>
    <w:rsid w:val="00EE30CD"/>
    <w:rsid w:val="00F13788"/>
    <w:rsid w:val="00F30B7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4">
    <w:name w:val="heading 3"/>
    <w:basedOn w:val="1"/>
    <w:next w:val="1"/>
    <w:qFormat/>
    <w:uiPriority w:val="0"/>
    <w:pPr>
      <w:autoSpaceDE w:val="0"/>
      <w:autoSpaceDN w:val="0"/>
      <w:adjustRightInd w:val="0"/>
      <w:spacing w:afterLines="50" w:line="360" w:lineRule="auto"/>
      <w:ind w:left="-4"/>
      <w:jc w:val="center"/>
      <w:outlineLvl w:val="2"/>
    </w:pPr>
    <w:rPr>
      <w:rFonts w:hAnsi="宋体"/>
      <w:b/>
      <w:color w:val="00000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20" w:firstLineChars="200"/>
      <w:jc w:val="left"/>
      <w:textAlignment w:val="baseline"/>
    </w:pPr>
    <w:rPr>
      <w:rFonts w:ascii="Times New Roman"/>
      <w:sz w:val="24"/>
    </w:rPr>
  </w:style>
  <w:style w:type="paragraph" w:styleId="6">
    <w:name w:val="caption"/>
    <w:basedOn w:val="1"/>
    <w:next w:val="1"/>
    <w:qFormat/>
    <w:uiPriority w:val="0"/>
    <w:rPr>
      <w:rFonts w:ascii="Arial" w:hAnsi="Arial" w:eastAsia="黑体" w:cs="Arial"/>
      <w:kern w:val="2"/>
      <w:sz w:val="20"/>
    </w:rPr>
  </w:style>
  <w:style w:type="paragraph" w:styleId="7">
    <w:name w:val="toa heading"/>
    <w:basedOn w:val="1"/>
    <w:next w:val="1"/>
    <w:unhideWhenUsed/>
    <w:qFormat/>
    <w:uiPriority w:val="99"/>
    <w:pPr>
      <w:spacing w:before="120"/>
    </w:pPr>
    <w:rPr>
      <w:rFonts w:ascii="Arial" w:hAnsi="Arial" w:cs="Arial"/>
      <w:sz w:val="24"/>
    </w:rPr>
  </w:style>
  <w:style w:type="paragraph" w:styleId="8">
    <w:name w:val="Body Text 3"/>
    <w:basedOn w:val="1"/>
    <w:link w:val="33"/>
    <w:semiHidden/>
    <w:unhideWhenUsed/>
    <w:qFormat/>
    <w:uiPriority w:val="99"/>
    <w:pPr>
      <w:spacing w:after="120"/>
    </w:pPr>
    <w:rPr>
      <w:sz w:val="16"/>
      <w:szCs w:val="16"/>
    </w:rPr>
  </w:style>
  <w:style w:type="paragraph" w:styleId="9">
    <w:name w:val="Body Text"/>
    <w:basedOn w:val="1"/>
    <w:link w:val="29"/>
    <w:unhideWhenUsed/>
    <w:qFormat/>
    <w:uiPriority w:val="99"/>
    <w:pPr>
      <w:spacing w:after="120"/>
    </w:pPr>
  </w:style>
  <w:style w:type="paragraph" w:styleId="10">
    <w:name w:val="Body Text Indent"/>
    <w:basedOn w:val="1"/>
    <w:link w:val="27"/>
    <w:qFormat/>
    <w:uiPriority w:val="0"/>
    <w:pPr>
      <w:spacing w:after="120"/>
      <w:ind w:left="420" w:leftChars="200"/>
    </w:pPr>
  </w:style>
  <w:style w:type="paragraph" w:styleId="11">
    <w:name w:val="Plain Text"/>
    <w:basedOn w:val="1"/>
    <w:link w:val="36"/>
    <w:qFormat/>
    <w:uiPriority w:val="0"/>
    <w:pPr>
      <w:adjustRightInd w:val="0"/>
      <w:spacing w:line="360" w:lineRule="atLeast"/>
      <w:jc w:val="left"/>
      <w:textAlignment w:val="baseline"/>
    </w:pPr>
    <w:rPr>
      <w:rFonts w:hAnsi="Courier New"/>
      <w:sz w:val="21"/>
      <w:szCs w:val="21"/>
    </w:rPr>
  </w:style>
  <w:style w:type="paragraph" w:styleId="12">
    <w:name w:val="Date"/>
    <w:basedOn w:val="1"/>
    <w:next w:val="1"/>
    <w:link w:val="26"/>
    <w:qFormat/>
    <w:uiPriority w:val="0"/>
    <w:pPr>
      <w:ind w:left="100" w:leftChars="2500"/>
    </w:pPr>
  </w:style>
  <w:style w:type="paragraph" w:styleId="13">
    <w:name w:val="Balloon Text"/>
    <w:basedOn w:val="1"/>
    <w:link w:val="42"/>
    <w:semiHidden/>
    <w:unhideWhenUsed/>
    <w:qFormat/>
    <w:uiPriority w:val="99"/>
    <w:rPr>
      <w:rFonts w:asciiTheme="minorHAnsi" w:hAnsiTheme="minorHAnsi" w:eastAsiaTheme="minorEastAsia" w:cstheme="minorBidi"/>
      <w:kern w:val="2"/>
      <w:sz w:val="18"/>
      <w:szCs w:val="18"/>
    </w:rPr>
  </w:style>
  <w:style w:type="paragraph" w:styleId="14">
    <w:name w:val="footer"/>
    <w:basedOn w:val="1"/>
    <w:link w:val="40"/>
    <w:semiHidden/>
    <w:unhideWhenUsed/>
    <w:qFormat/>
    <w:uiPriority w:val="99"/>
    <w:pPr>
      <w:tabs>
        <w:tab w:val="center" w:pos="4153"/>
        <w:tab w:val="right" w:pos="8306"/>
      </w:tabs>
      <w:snapToGrid w:val="0"/>
      <w:jc w:val="left"/>
    </w:pPr>
    <w:rPr>
      <w:sz w:val="18"/>
      <w:szCs w:val="18"/>
    </w:rPr>
  </w:style>
  <w:style w:type="paragraph" w:styleId="15">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hAnsi="宋体" w:cs="宋体"/>
      <w:sz w:val="24"/>
      <w:szCs w:val="24"/>
    </w:rPr>
  </w:style>
  <w:style w:type="paragraph" w:styleId="17">
    <w:name w:val="Body Text First Indent"/>
    <w:basedOn w:val="9"/>
    <w:link w:val="30"/>
    <w:qFormat/>
    <w:uiPriority w:val="0"/>
    <w:pPr>
      <w:ind w:firstLine="420" w:firstLineChars="1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22"/>
    <w:rPr>
      <w:b/>
    </w:rPr>
  </w:style>
  <w:style w:type="character" w:styleId="22">
    <w:name w:val="FollowedHyperlink"/>
    <w:basedOn w:val="20"/>
    <w:semiHidden/>
    <w:unhideWhenUsed/>
    <w:qFormat/>
    <w:uiPriority w:val="99"/>
    <w:rPr>
      <w:color w:val="000000"/>
      <w:u w:val="none"/>
    </w:rPr>
  </w:style>
  <w:style w:type="character" w:styleId="23">
    <w:name w:val="Emphasis"/>
    <w:basedOn w:val="20"/>
    <w:qFormat/>
    <w:uiPriority w:val="20"/>
  </w:style>
  <w:style w:type="character" w:styleId="24">
    <w:name w:val="Hyperlink"/>
    <w:qFormat/>
    <w:uiPriority w:val="0"/>
    <w:rPr>
      <w:color w:val="444444"/>
      <w:u w:val="none"/>
    </w:rPr>
  </w:style>
  <w:style w:type="character" w:customStyle="1" w:styleId="25">
    <w:name w:val="标题 1 字符"/>
    <w:basedOn w:val="20"/>
    <w:link w:val="2"/>
    <w:qFormat/>
    <w:uiPriority w:val="0"/>
    <w:rPr>
      <w:rFonts w:ascii="宋体" w:hAnsi="Times New Roman" w:eastAsia="宋体" w:cs="Times New Roman"/>
      <w:b/>
      <w:bCs/>
      <w:kern w:val="44"/>
      <w:sz w:val="44"/>
      <w:szCs w:val="44"/>
    </w:rPr>
  </w:style>
  <w:style w:type="character" w:customStyle="1" w:styleId="26">
    <w:name w:val="日期 字符"/>
    <w:basedOn w:val="20"/>
    <w:link w:val="12"/>
    <w:qFormat/>
    <w:uiPriority w:val="0"/>
    <w:rPr>
      <w:rFonts w:ascii="宋体" w:hAnsi="Times New Roman" w:eastAsia="宋体" w:cs="Times New Roman"/>
      <w:kern w:val="0"/>
      <w:sz w:val="34"/>
      <w:szCs w:val="20"/>
    </w:rPr>
  </w:style>
  <w:style w:type="character" w:customStyle="1" w:styleId="27">
    <w:name w:val="正文文本缩进 字符"/>
    <w:basedOn w:val="20"/>
    <w:link w:val="10"/>
    <w:qFormat/>
    <w:uiPriority w:val="0"/>
    <w:rPr>
      <w:rFonts w:ascii="宋体" w:hAnsi="Times New Roman" w:eastAsia="宋体" w:cs="Times New Roman"/>
      <w:kern w:val="0"/>
      <w:sz w:val="34"/>
      <w:szCs w:val="20"/>
    </w:rPr>
  </w:style>
  <w:style w:type="character" w:customStyle="1" w:styleId="28">
    <w:name w:val="日期 Char1"/>
    <w:basedOn w:val="20"/>
    <w:semiHidden/>
    <w:qFormat/>
    <w:uiPriority w:val="99"/>
    <w:rPr>
      <w:rFonts w:ascii="宋体" w:hAnsi="Times New Roman" w:eastAsia="宋体" w:cs="Times New Roman"/>
      <w:kern w:val="0"/>
      <w:sz w:val="34"/>
      <w:szCs w:val="20"/>
    </w:rPr>
  </w:style>
  <w:style w:type="character" w:customStyle="1" w:styleId="29">
    <w:name w:val="正文文本 字符"/>
    <w:basedOn w:val="20"/>
    <w:link w:val="9"/>
    <w:qFormat/>
    <w:uiPriority w:val="99"/>
    <w:rPr>
      <w:rFonts w:ascii="宋体" w:hAnsi="Times New Roman" w:eastAsia="宋体" w:cs="Times New Roman"/>
      <w:kern w:val="0"/>
      <w:sz w:val="34"/>
      <w:szCs w:val="20"/>
    </w:rPr>
  </w:style>
  <w:style w:type="character" w:customStyle="1" w:styleId="30">
    <w:name w:val="正文文本首行缩进 字符"/>
    <w:basedOn w:val="29"/>
    <w:link w:val="17"/>
    <w:qFormat/>
    <w:uiPriority w:val="0"/>
    <w:rPr>
      <w:rFonts w:ascii="宋体" w:hAnsi="Times New Roman" w:eastAsia="宋体" w:cs="Times New Roman"/>
      <w:kern w:val="0"/>
      <w:sz w:val="34"/>
      <w:szCs w:val="20"/>
    </w:rPr>
  </w:style>
  <w:style w:type="character" w:customStyle="1" w:styleId="31">
    <w:name w:val="正文文本缩进 Char1"/>
    <w:basedOn w:val="20"/>
    <w:semiHidden/>
    <w:qFormat/>
    <w:uiPriority w:val="99"/>
    <w:rPr>
      <w:rFonts w:ascii="宋体" w:hAnsi="Times New Roman" w:eastAsia="宋体" w:cs="Times New Roman"/>
      <w:kern w:val="0"/>
      <w:sz w:val="34"/>
      <w:szCs w:val="20"/>
    </w:rPr>
  </w:style>
  <w:style w:type="paragraph" w:customStyle="1" w:styleId="32">
    <w:name w:val="正文文本缩进1"/>
    <w:basedOn w:val="1"/>
    <w:link w:val="45"/>
    <w:qFormat/>
    <w:uiPriority w:val="0"/>
    <w:pPr>
      <w:spacing w:line="360" w:lineRule="auto"/>
      <w:ind w:firstLine="480" w:firstLineChars="200"/>
    </w:pPr>
    <w:rPr>
      <w:sz w:val="24"/>
    </w:rPr>
  </w:style>
  <w:style w:type="character" w:customStyle="1" w:styleId="33">
    <w:name w:val="正文文本 3 字符"/>
    <w:basedOn w:val="20"/>
    <w:link w:val="8"/>
    <w:semiHidden/>
    <w:qFormat/>
    <w:uiPriority w:val="99"/>
    <w:rPr>
      <w:rFonts w:ascii="宋体" w:hAnsi="Times New Roman" w:eastAsia="宋体" w:cs="Times New Roman"/>
      <w:kern w:val="0"/>
      <w:sz w:val="16"/>
      <w:szCs w:val="16"/>
    </w:rPr>
  </w:style>
  <w:style w:type="paragraph" w:customStyle="1" w:styleId="34">
    <w:name w:val="p0"/>
    <w:basedOn w:val="1"/>
    <w:qFormat/>
    <w:uiPriority w:val="0"/>
    <w:pPr>
      <w:widowControl/>
    </w:pPr>
    <w:rPr>
      <w:rFonts w:ascii="Times New Roman"/>
      <w:sz w:val="21"/>
      <w:szCs w:val="21"/>
    </w:rPr>
  </w:style>
  <w:style w:type="paragraph" w:customStyle="1" w:styleId="35">
    <w:name w:val="样式1"/>
    <w:basedOn w:val="1"/>
    <w:qFormat/>
    <w:uiPriority w:val="0"/>
    <w:pPr>
      <w:numPr>
        <w:ilvl w:val="0"/>
        <w:numId w:val="1"/>
      </w:numPr>
      <w:adjustRightInd w:val="0"/>
      <w:textAlignment w:val="baseline"/>
    </w:pPr>
    <w:rPr>
      <w:rFonts w:hAnsi="宋体"/>
      <w:sz w:val="21"/>
      <w:szCs w:val="21"/>
    </w:rPr>
  </w:style>
  <w:style w:type="character" w:customStyle="1" w:styleId="36">
    <w:name w:val="纯文本 字符"/>
    <w:basedOn w:val="20"/>
    <w:link w:val="11"/>
    <w:qFormat/>
    <w:uiPriority w:val="0"/>
    <w:rPr>
      <w:rFonts w:ascii="宋体" w:hAnsi="Courier New" w:eastAsia="宋体" w:cs="Times New Roman"/>
      <w:kern w:val="0"/>
      <w:szCs w:val="21"/>
    </w:rPr>
  </w:style>
  <w:style w:type="paragraph" w:customStyle="1" w:styleId="37">
    <w:name w:val="日期1"/>
    <w:basedOn w:val="1"/>
    <w:next w:val="1"/>
    <w:link w:val="46"/>
    <w:qFormat/>
    <w:uiPriority w:val="0"/>
    <w:rPr>
      <w:rFonts w:ascii="Calibri" w:hAnsi="Calibri"/>
      <w:kern w:val="2"/>
      <w:sz w:val="24"/>
      <w:szCs w:val="22"/>
    </w:rPr>
  </w:style>
  <w:style w:type="paragraph" w:customStyle="1" w:styleId="38">
    <w:name w:val="正文缩进1"/>
    <w:qFormat/>
    <w:uiPriority w:val="0"/>
    <w:pPr>
      <w:widowControl w:val="0"/>
      <w:spacing w:line="360" w:lineRule="atLeast"/>
      <w:ind w:firstLine="420"/>
    </w:pPr>
    <w:rPr>
      <w:rFonts w:ascii="Times New Roman" w:hAnsi="Times New Roman" w:eastAsia="宋体" w:cs="Times New Roman"/>
      <w:kern w:val="1"/>
      <w:sz w:val="24"/>
      <w:lang w:val="en-US" w:eastAsia="zh-CN" w:bidi="ar-SA"/>
    </w:rPr>
  </w:style>
  <w:style w:type="character" w:customStyle="1" w:styleId="39">
    <w:name w:val="页眉 字符"/>
    <w:basedOn w:val="20"/>
    <w:link w:val="15"/>
    <w:semiHidden/>
    <w:qFormat/>
    <w:uiPriority w:val="99"/>
    <w:rPr>
      <w:rFonts w:ascii="宋体" w:hAnsi="Times New Roman" w:eastAsia="宋体" w:cs="Times New Roman"/>
      <w:kern w:val="0"/>
      <w:sz w:val="18"/>
      <w:szCs w:val="18"/>
    </w:rPr>
  </w:style>
  <w:style w:type="character" w:customStyle="1" w:styleId="40">
    <w:name w:val="页脚 字符"/>
    <w:basedOn w:val="20"/>
    <w:link w:val="14"/>
    <w:semiHidden/>
    <w:qFormat/>
    <w:uiPriority w:val="99"/>
    <w:rPr>
      <w:rFonts w:ascii="宋体" w:hAnsi="Times New Roman" w:eastAsia="宋体" w:cs="Times New Roman"/>
      <w:kern w:val="0"/>
      <w:sz w:val="18"/>
      <w:szCs w:val="18"/>
    </w:rPr>
  </w:style>
  <w:style w:type="paragraph" w:customStyle="1" w:styleId="41">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hAnsi="宋体" w:cs="宋体"/>
      <w:b/>
      <w:bCs/>
      <w:color w:val="000000"/>
    </w:rPr>
  </w:style>
  <w:style w:type="character" w:customStyle="1" w:styleId="42">
    <w:name w:val="批注框文本 字符"/>
    <w:basedOn w:val="20"/>
    <w:link w:val="13"/>
    <w:semiHidden/>
    <w:qFormat/>
    <w:uiPriority w:val="99"/>
    <w:rPr>
      <w:rFonts w:asciiTheme="minorHAnsi" w:hAnsiTheme="minorHAnsi" w:eastAsiaTheme="minorEastAsia" w:cstheme="minorBidi"/>
      <w:kern w:val="2"/>
      <w:sz w:val="18"/>
      <w:szCs w:val="18"/>
    </w:rPr>
  </w:style>
  <w:style w:type="paragraph" w:styleId="43">
    <w:name w:val="List Paragraph"/>
    <w:basedOn w:val="1"/>
    <w:unhideWhenUsed/>
    <w:qFormat/>
    <w:uiPriority w:val="99"/>
    <w:pPr>
      <w:ind w:firstLine="420" w:firstLineChars="200"/>
    </w:pPr>
    <w:rPr>
      <w:rFonts w:asciiTheme="minorHAnsi" w:hAnsiTheme="minorHAnsi" w:eastAsiaTheme="minorEastAsia" w:cstheme="minorBidi"/>
      <w:kern w:val="2"/>
      <w:sz w:val="21"/>
      <w:szCs w:val="22"/>
    </w:rPr>
  </w:style>
  <w:style w:type="character" w:customStyle="1" w:styleId="44">
    <w:name w:val="纯文本 Char1"/>
    <w:qFormat/>
    <w:uiPriority w:val="0"/>
    <w:rPr>
      <w:rFonts w:eastAsia="宋体"/>
      <w:sz w:val="24"/>
    </w:rPr>
  </w:style>
  <w:style w:type="character" w:customStyle="1" w:styleId="45">
    <w:name w:val="正文文本缩进 Char Char"/>
    <w:link w:val="32"/>
    <w:qFormat/>
    <w:uiPriority w:val="0"/>
    <w:rPr>
      <w:rFonts w:ascii="宋体"/>
      <w:sz w:val="24"/>
    </w:rPr>
  </w:style>
  <w:style w:type="character" w:customStyle="1" w:styleId="46">
    <w:name w:val="日期 Char Char"/>
    <w:link w:val="37"/>
    <w:qFormat/>
    <w:uiPriority w:val="0"/>
    <w:rPr>
      <w:rFonts w:ascii="Calibri" w:hAnsi="Calibri"/>
      <w:kern w:val="2"/>
      <w:sz w:val="24"/>
      <w:szCs w:val="22"/>
    </w:rPr>
  </w:style>
  <w:style w:type="character" w:customStyle="1" w:styleId="47">
    <w:name w:val="hover24"/>
    <w:basedOn w:val="20"/>
    <w:qFormat/>
    <w:uiPriority w:val="0"/>
  </w:style>
  <w:style w:type="character" w:customStyle="1" w:styleId="48">
    <w:name w:val="blue"/>
    <w:basedOn w:val="20"/>
    <w:qFormat/>
    <w:uiPriority w:val="0"/>
    <w:rPr>
      <w:color w:val="0371C6"/>
      <w:sz w:val="21"/>
      <w:szCs w:val="21"/>
    </w:rPr>
  </w:style>
  <w:style w:type="character" w:customStyle="1" w:styleId="49">
    <w:name w:val="red"/>
    <w:basedOn w:val="20"/>
    <w:qFormat/>
    <w:uiPriority w:val="0"/>
    <w:rPr>
      <w:color w:val="FF0000"/>
      <w:sz w:val="18"/>
      <w:szCs w:val="18"/>
    </w:rPr>
  </w:style>
  <w:style w:type="character" w:customStyle="1" w:styleId="50">
    <w:name w:val="red1"/>
    <w:basedOn w:val="20"/>
    <w:qFormat/>
    <w:uiPriority w:val="0"/>
    <w:rPr>
      <w:color w:val="FF0000"/>
      <w:sz w:val="18"/>
      <w:szCs w:val="18"/>
    </w:rPr>
  </w:style>
  <w:style w:type="character" w:customStyle="1" w:styleId="51">
    <w:name w:val="red2"/>
    <w:basedOn w:val="20"/>
    <w:qFormat/>
    <w:uiPriority w:val="0"/>
    <w:rPr>
      <w:color w:val="CC0000"/>
    </w:rPr>
  </w:style>
  <w:style w:type="character" w:customStyle="1" w:styleId="52">
    <w:name w:val="red3"/>
    <w:basedOn w:val="20"/>
    <w:qFormat/>
    <w:uiPriority w:val="0"/>
    <w:rPr>
      <w:color w:val="FF0000"/>
    </w:rPr>
  </w:style>
  <w:style w:type="character" w:customStyle="1" w:styleId="53">
    <w:name w:val="green"/>
    <w:basedOn w:val="20"/>
    <w:qFormat/>
    <w:uiPriority w:val="0"/>
    <w:rPr>
      <w:color w:val="66AE00"/>
      <w:sz w:val="18"/>
      <w:szCs w:val="18"/>
    </w:rPr>
  </w:style>
  <w:style w:type="character" w:customStyle="1" w:styleId="54">
    <w:name w:val="green1"/>
    <w:basedOn w:val="20"/>
    <w:qFormat/>
    <w:uiPriority w:val="0"/>
    <w:rPr>
      <w:color w:val="66AE00"/>
      <w:sz w:val="18"/>
      <w:szCs w:val="18"/>
    </w:rPr>
  </w:style>
  <w:style w:type="character" w:customStyle="1" w:styleId="55">
    <w:name w:val="gb-jt"/>
    <w:basedOn w:val="20"/>
    <w:qFormat/>
    <w:uiPriority w:val="0"/>
  </w:style>
  <w:style w:type="character" w:customStyle="1" w:styleId="56">
    <w:name w:val="right"/>
    <w:basedOn w:val="20"/>
    <w:qFormat/>
    <w:uiPriority w:val="0"/>
    <w:rPr>
      <w:color w:val="999999"/>
      <w:sz w:val="18"/>
      <w:szCs w:val="18"/>
    </w:rPr>
  </w:style>
  <w:style w:type="character" w:customStyle="1" w:styleId="57">
    <w:name w:val="hover25"/>
    <w:basedOn w:val="20"/>
    <w:qFormat/>
    <w:uiPriority w:val="0"/>
  </w:style>
  <w:style w:type="character" w:customStyle="1" w:styleId="58">
    <w:name w:val="标题 2 字符"/>
    <w:basedOn w:val="20"/>
    <w:link w:val="3"/>
    <w:qFormat/>
    <w:uiPriority w:val="0"/>
    <w:rPr>
      <w:rFonts w:ascii="Arial" w:hAnsi="Arial" w:eastAsia="黑体"/>
      <w:b/>
      <w:bCs/>
      <w:sz w:val="32"/>
      <w:szCs w:val="32"/>
    </w:rPr>
  </w:style>
  <w:style w:type="character" w:customStyle="1" w:styleId="59">
    <w:name w:val="l_9"/>
    <w:basedOn w:val="20"/>
    <w:qFormat/>
    <w:uiPriority w:val="0"/>
  </w:style>
  <w:style w:type="character" w:customStyle="1" w:styleId="60">
    <w:name w:val="icon_xglc"/>
    <w:basedOn w:val="20"/>
    <w:qFormat/>
    <w:uiPriority w:val="0"/>
  </w:style>
  <w:style w:type="character" w:customStyle="1" w:styleId="61">
    <w:name w:val="icon_cxkcyry"/>
    <w:basedOn w:val="20"/>
    <w:qFormat/>
    <w:uiPriority w:val="0"/>
  </w:style>
  <w:style w:type="character" w:customStyle="1" w:styleId="62">
    <w:name w:val="swapimg4"/>
    <w:basedOn w:val="20"/>
    <w:qFormat/>
    <w:uiPriority w:val="0"/>
  </w:style>
  <w:style w:type="character" w:customStyle="1" w:styleId="63">
    <w:name w:val="swapimg5"/>
    <w:basedOn w:val="20"/>
    <w:qFormat/>
    <w:uiPriority w:val="0"/>
  </w:style>
  <w:style w:type="character" w:customStyle="1" w:styleId="64">
    <w:name w:val="menutitle10"/>
    <w:basedOn w:val="20"/>
    <w:qFormat/>
    <w:uiPriority w:val="0"/>
    <w:rPr>
      <w:color w:val="333333"/>
      <w:sz w:val="24"/>
      <w:szCs w:val="24"/>
    </w:rPr>
  </w:style>
  <w:style w:type="character" w:customStyle="1" w:styleId="65">
    <w:name w:val="menutitle11"/>
    <w:basedOn w:val="20"/>
    <w:qFormat/>
    <w:uiPriority w:val="0"/>
    <w:rPr>
      <w:color w:val="333333"/>
      <w:sz w:val="24"/>
      <w:szCs w:val="24"/>
    </w:rPr>
  </w:style>
  <w:style w:type="character" w:customStyle="1" w:styleId="66">
    <w:name w:val="focus2"/>
    <w:basedOn w:val="20"/>
    <w:qFormat/>
    <w:uiPriority w:val="0"/>
    <w:rPr>
      <w:b/>
      <w:color w:val="000000"/>
    </w:rPr>
  </w:style>
  <w:style w:type="character" w:customStyle="1" w:styleId="67">
    <w:name w:val="searchclose"/>
    <w:basedOn w:val="20"/>
    <w:qFormat/>
    <w:uiPriority w:val="0"/>
  </w:style>
  <w:style w:type="character" w:customStyle="1" w:styleId="68">
    <w:name w:val="l_7"/>
    <w:basedOn w:val="20"/>
    <w:qFormat/>
    <w:uiPriority w:val="0"/>
  </w:style>
  <w:style w:type="character" w:customStyle="1" w:styleId="69">
    <w:name w:val="l_71"/>
    <w:basedOn w:val="20"/>
    <w:qFormat/>
    <w:uiPriority w:val="0"/>
  </w:style>
  <w:style w:type="character" w:customStyle="1" w:styleId="70">
    <w:name w:val="close6"/>
    <w:basedOn w:val="20"/>
    <w:qFormat/>
    <w:uiPriority w:val="0"/>
  </w:style>
  <w:style w:type="character" w:customStyle="1" w:styleId="71">
    <w:name w:val="icon_dljg"/>
    <w:basedOn w:val="20"/>
    <w:qFormat/>
    <w:uiPriority w:val="0"/>
  </w:style>
  <w:style w:type="character" w:customStyle="1" w:styleId="72">
    <w:name w:val="icon_cxktbr"/>
    <w:basedOn w:val="20"/>
    <w:qFormat/>
    <w:uiPriority w:val="0"/>
  </w:style>
  <w:style w:type="character" w:customStyle="1" w:styleId="73">
    <w:name w:val="searchopen"/>
    <w:basedOn w:val="20"/>
    <w:qFormat/>
    <w:uiPriority w:val="0"/>
  </w:style>
  <w:style w:type="character" w:customStyle="1" w:styleId="74">
    <w:name w:val="l_1"/>
    <w:basedOn w:val="20"/>
    <w:qFormat/>
    <w:uiPriority w:val="0"/>
  </w:style>
  <w:style w:type="character" w:customStyle="1" w:styleId="75">
    <w:name w:val="l_11"/>
    <w:basedOn w:val="20"/>
    <w:qFormat/>
    <w:uiPriority w:val="0"/>
  </w:style>
  <w:style w:type="character" w:customStyle="1" w:styleId="76">
    <w:name w:val="icon_gzkj"/>
    <w:basedOn w:val="20"/>
    <w:qFormat/>
    <w:uiPriority w:val="0"/>
  </w:style>
  <w:style w:type="character" w:customStyle="1" w:styleId="77">
    <w:name w:val="icon_lzrz"/>
    <w:basedOn w:val="20"/>
    <w:qFormat/>
    <w:uiPriority w:val="0"/>
  </w:style>
  <w:style w:type="character" w:customStyle="1" w:styleId="78">
    <w:name w:val="icon_xzry"/>
    <w:basedOn w:val="20"/>
    <w:qFormat/>
    <w:uiPriority w:val="0"/>
  </w:style>
  <w:style w:type="character" w:customStyle="1" w:styleId="79">
    <w:name w:val="m-text"/>
    <w:basedOn w:val="20"/>
    <w:qFormat/>
    <w:uiPriority w:val="0"/>
  </w:style>
  <w:style w:type="character" w:customStyle="1" w:styleId="80">
    <w:name w:val="l_3"/>
    <w:basedOn w:val="20"/>
    <w:qFormat/>
    <w:uiPriority w:val="0"/>
  </w:style>
  <w:style w:type="character" w:customStyle="1" w:styleId="81">
    <w:name w:val="l_31"/>
    <w:basedOn w:val="20"/>
    <w:qFormat/>
    <w:uiPriority w:val="0"/>
  </w:style>
  <w:style w:type="character" w:customStyle="1" w:styleId="82">
    <w:name w:val="l_0"/>
    <w:basedOn w:val="20"/>
    <w:qFormat/>
    <w:uiPriority w:val="0"/>
  </w:style>
  <w:style w:type="character" w:customStyle="1" w:styleId="83">
    <w:name w:val="l_01"/>
    <w:basedOn w:val="20"/>
    <w:qFormat/>
    <w:uiPriority w:val="0"/>
  </w:style>
  <w:style w:type="character" w:customStyle="1" w:styleId="84">
    <w:name w:val="l_4"/>
    <w:basedOn w:val="20"/>
    <w:qFormat/>
    <w:uiPriority w:val="0"/>
  </w:style>
  <w:style w:type="character" w:customStyle="1" w:styleId="85">
    <w:name w:val="l_41"/>
    <w:basedOn w:val="20"/>
    <w:qFormat/>
    <w:uiPriority w:val="0"/>
  </w:style>
  <w:style w:type="character" w:customStyle="1" w:styleId="86">
    <w:name w:val="l_2"/>
    <w:basedOn w:val="20"/>
    <w:qFormat/>
    <w:uiPriority w:val="0"/>
  </w:style>
  <w:style w:type="character" w:customStyle="1" w:styleId="87">
    <w:name w:val="l_21"/>
    <w:basedOn w:val="20"/>
    <w:qFormat/>
    <w:uiPriority w:val="0"/>
  </w:style>
  <w:style w:type="character" w:customStyle="1" w:styleId="88">
    <w:name w:val="l_5"/>
    <w:basedOn w:val="20"/>
    <w:qFormat/>
    <w:uiPriority w:val="0"/>
  </w:style>
  <w:style w:type="character" w:customStyle="1" w:styleId="89">
    <w:name w:val="l_51"/>
    <w:basedOn w:val="20"/>
    <w:qFormat/>
    <w:uiPriority w:val="0"/>
  </w:style>
  <w:style w:type="character" w:customStyle="1" w:styleId="90">
    <w:name w:val="color_cdyy"/>
    <w:basedOn w:val="20"/>
    <w:qFormat/>
    <w:uiPriority w:val="0"/>
    <w:rPr>
      <w:color w:val="FFFFFF"/>
      <w:bdr w:val="single" w:color="FFFFFF" w:sz="6" w:space="0"/>
    </w:rPr>
  </w:style>
  <w:style w:type="character" w:customStyle="1" w:styleId="91">
    <w:name w:val="l_6"/>
    <w:basedOn w:val="20"/>
    <w:qFormat/>
    <w:uiPriority w:val="0"/>
  </w:style>
  <w:style w:type="character" w:customStyle="1" w:styleId="92">
    <w:name w:val="l_61"/>
    <w:basedOn w:val="20"/>
    <w:qFormat/>
    <w:uiPriority w:val="0"/>
  </w:style>
  <w:style w:type="character" w:customStyle="1" w:styleId="93">
    <w:name w:val="l_8"/>
    <w:basedOn w:val="20"/>
    <w:qFormat/>
    <w:uiPriority w:val="0"/>
  </w:style>
  <w:style w:type="character" w:customStyle="1" w:styleId="94">
    <w:name w:val="l_81"/>
    <w:basedOn w:val="20"/>
    <w:qFormat/>
    <w:uiPriority w:val="0"/>
  </w:style>
  <w:style w:type="character" w:customStyle="1" w:styleId="95">
    <w:name w:val="l_10"/>
    <w:basedOn w:val="20"/>
    <w:qFormat/>
    <w:uiPriority w:val="0"/>
  </w:style>
  <w:style w:type="character" w:customStyle="1" w:styleId="96">
    <w:name w:val="l_101"/>
    <w:basedOn w:val="20"/>
    <w:qFormat/>
    <w:uiPriority w:val="0"/>
  </w:style>
  <w:style w:type="character" w:customStyle="1" w:styleId="97">
    <w:name w:val="l_111"/>
    <w:basedOn w:val="20"/>
    <w:qFormat/>
    <w:uiPriority w:val="0"/>
  </w:style>
  <w:style w:type="character" w:customStyle="1" w:styleId="98">
    <w:name w:val="l_112"/>
    <w:basedOn w:val="20"/>
    <w:qFormat/>
    <w:uiPriority w:val="0"/>
  </w:style>
  <w:style w:type="character" w:customStyle="1" w:styleId="99">
    <w:name w:val="l_12"/>
    <w:basedOn w:val="20"/>
    <w:qFormat/>
    <w:uiPriority w:val="0"/>
  </w:style>
  <w:style w:type="character" w:customStyle="1" w:styleId="100">
    <w:name w:val="l_121"/>
    <w:basedOn w:val="20"/>
    <w:qFormat/>
    <w:uiPriority w:val="0"/>
  </w:style>
  <w:style w:type="character" w:customStyle="1" w:styleId="101">
    <w:name w:val="l_13"/>
    <w:basedOn w:val="20"/>
    <w:qFormat/>
    <w:uiPriority w:val="0"/>
  </w:style>
  <w:style w:type="character" w:customStyle="1" w:styleId="102">
    <w:name w:val="l_131"/>
    <w:basedOn w:val="20"/>
    <w:qFormat/>
    <w:uiPriority w:val="0"/>
  </w:style>
  <w:style w:type="character" w:customStyle="1" w:styleId="103">
    <w:name w:val="l_14"/>
    <w:basedOn w:val="20"/>
    <w:qFormat/>
    <w:uiPriority w:val="0"/>
  </w:style>
  <w:style w:type="character" w:customStyle="1" w:styleId="104">
    <w:name w:val="l_141"/>
    <w:basedOn w:val="20"/>
    <w:qFormat/>
    <w:uiPriority w:val="0"/>
  </w:style>
  <w:style w:type="character" w:customStyle="1" w:styleId="105">
    <w:name w:val="l_15"/>
    <w:basedOn w:val="20"/>
    <w:qFormat/>
    <w:uiPriority w:val="0"/>
  </w:style>
  <w:style w:type="character" w:customStyle="1" w:styleId="106">
    <w:name w:val="l_151"/>
    <w:basedOn w:val="2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282EE-0BD2-465B-9FE5-86299C0AB21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72</Pages>
  <Words>6028</Words>
  <Characters>34364</Characters>
  <Lines>286</Lines>
  <Paragraphs>80</Paragraphs>
  <TotalTime>2</TotalTime>
  <ScaleCrop>false</ScaleCrop>
  <LinksUpToDate>false</LinksUpToDate>
  <CharactersWithSpaces>40312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2019-07-16T06:46:00Z</dcterms:created>
  <dc:creator>河南诚信工程管理有限公司:王亚倩</dc:creator>
  <cp:lastModifiedBy>北京中兴恒工程咨询有限公司:许明昆</cp:lastModifiedBy>
  <cp:lastPrinted>2019-08-05T10:28:00Z</cp:lastPrinted>
  <dcterms:modified xsi:type="dcterms:W3CDTF">2019-08-06T09:15:09Z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