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000000"/>
          <w:w w:val="90"/>
          <w:sz w:val="72"/>
          <w:szCs w:val="72"/>
        </w:rPr>
      </w:pPr>
      <w:r>
        <w:rPr>
          <w:rFonts w:hint="eastAsia" w:ascii="微软雅黑" w:hAnsi="微软雅黑" w:eastAsia="微软雅黑" w:cs="微软雅黑"/>
          <w:b/>
          <w:bCs/>
          <w:sz w:val="44"/>
          <w:szCs w:val="44"/>
        </w:rPr>
        <w:t>禹州市农业农村局草地贪夜蛾监测防控项目</w:t>
      </w:r>
    </w:p>
    <w:p>
      <w:pPr>
        <w:pStyle w:val="3"/>
        <w:numPr>
          <w:ilvl w:val="0"/>
          <w:numId w:val="0"/>
        </w:numPr>
        <w:ind w:left="288" w:leftChars="0"/>
      </w:pPr>
    </w:p>
    <w:p/>
    <w:p>
      <w:pPr>
        <w:pStyle w:val="2"/>
      </w:pPr>
    </w:p>
    <w:p>
      <w:pPr>
        <w:pStyle w:val="2"/>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禹州市农业农村局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167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leftChars="0"/>
      </w:pPr>
    </w:p>
    <w:p/>
    <w:p>
      <w:pPr>
        <w:ind w:firstLine="3253" w:firstLineChars="9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农业农村局草地贪夜蛾监测防控</w:t>
      </w:r>
      <w:r>
        <w:rPr>
          <w:rFonts w:hint="eastAsia" w:ascii="仿宋" w:hAnsi="仿宋" w:eastAsia="仿宋" w:cs="仿宋"/>
          <w:b/>
          <w:bCs/>
          <w:sz w:val="36"/>
          <w:szCs w:val="36"/>
        </w:rPr>
        <w:t>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400" w:lineRule="exact"/>
        <w:ind w:firstLine="640" w:firstLineChars="200"/>
        <w:jc w:val="left"/>
        <w:rPr>
          <w:rFonts w:ascii="仿宋" w:hAnsi="仿宋" w:eastAsia="仿宋" w:cs="仿宋_GB2312"/>
          <w:sz w:val="32"/>
          <w:szCs w:val="32"/>
        </w:rPr>
      </w:pPr>
    </w:p>
    <w:p>
      <w:pPr>
        <w:keepNext w:val="0"/>
        <w:keepLines w:val="0"/>
        <w:pageBreakBefore w:val="0"/>
        <w:kinsoku/>
        <w:overflowPunct/>
        <w:bidi w:val="0"/>
        <w:spacing w:line="3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禹州市政府采购中心受禹州市农业农村局的委托，就“禹州市农业农村局草地贪夜蛾监测防控项目”进行公开招标，欢迎合格的投标人前来投标。</w:t>
      </w:r>
    </w:p>
    <w:p>
      <w:pPr>
        <w:pStyle w:val="59"/>
        <w:keepNext w:val="0"/>
        <w:keepLines w:val="0"/>
        <w:pageBreakBefore w:val="0"/>
        <w:widowControl/>
        <w:numPr>
          <w:ilvl w:val="0"/>
          <w:numId w:val="5"/>
        </w:numPr>
        <w:shd w:val="clear" w:color="auto" w:fill="FFFFFF"/>
        <w:kinsoku/>
        <w:overflowPunct/>
        <w:bidi w:val="0"/>
        <w:spacing w:line="360" w:lineRule="exact"/>
        <w:ind w:firstLineChars="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keepNext w:val="0"/>
        <w:keepLines w:val="0"/>
        <w:pageBreakBefore w:val="0"/>
        <w:widowControl/>
        <w:numPr>
          <w:ilvl w:val="0"/>
          <w:numId w:val="6"/>
        </w:numPr>
        <w:shd w:val="clear" w:color="auto" w:fill="FFFFFF"/>
        <w:kinsoku/>
        <w:overflowPunct/>
        <w:bidi w:val="0"/>
        <w:spacing w:line="3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采购人：禹州市农业农村局</w:t>
      </w:r>
    </w:p>
    <w:p>
      <w:pPr>
        <w:keepNext w:val="0"/>
        <w:keepLines w:val="0"/>
        <w:pageBreakBefore w:val="0"/>
        <w:widowControl/>
        <w:numPr>
          <w:ilvl w:val="0"/>
          <w:numId w:val="6"/>
        </w:numPr>
        <w:shd w:val="clear" w:color="auto" w:fill="FFFFFF"/>
        <w:kinsoku/>
        <w:overflowPunct/>
        <w:bidi w:val="0"/>
        <w:spacing w:line="360" w:lineRule="exact"/>
        <w:ind w:left="0" w:leftChars="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项目名称</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rPr>
        <w:t>禹州市农业农村局草地贪夜蛾监测防控项目</w:t>
      </w:r>
    </w:p>
    <w:p>
      <w:pPr>
        <w:keepNext w:val="0"/>
        <w:keepLines w:val="0"/>
        <w:pageBreakBefore w:val="0"/>
        <w:widowControl/>
        <w:numPr>
          <w:ilvl w:val="0"/>
          <w:numId w:val="6"/>
        </w:numPr>
        <w:shd w:val="clear" w:color="auto" w:fill="FFFFFF"/>
        <w:kinsoku/>
        <w:overflowPunct/>
        <w:bidi w:val="0"/>
        <w:spacing w:line="360" w:lineRule="exact"/>
        <w:ind w:left="0" w:leftChars="0" w:firstLine="320" w:firstLineChars="1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167</w:t>
      </w:r>
    </w:p>
    <w:p>
      <w:pPr>
        <w:keepNext w:val="0"/>
        <w:keepLines w:val="0"/>
        <w:pageBreakBefore w:val="0"/>
        <w:widowControl/>
        <w:numPr>
          <w:ilvl w:val="0"/>
          <w:numId w:val="0"/>
        </w:numPr>
        <w:shd w:val="clear" w:color="auto" w:fill="FFFFFF"/>
        <w:kinsoku/>
        <w:overflowPunct/>
        <w:bidi w:val="0"/>
        <w:spacing w:line="360" w:lineRule="exact"/>
        <w:ind w:firstLine="320" w:firstLineChars="1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项目需求：</w:t>
      </w:r>
      <w:r>
        <w:rPr>
          <w:rFonts w:hint="eastAsia" w:ascii="仿宋" w:hAnsi="仿宋" w:eastAsia="仿宋" w:cs="仿宋"/>
          <w:color w:val="000000"/>
          <w:kern w:val="0"/>
          <w:sz w:val="32"/>
          <w:szCs w:val="32"/>
          <w:lang w:val="en-US" w:eastAsia="zh-CN"/>
        </w:rPr>
        <w:t>本项目分两个标段，一标段</w:t>
      </w:r>
      <w:r>
        <w:rPr>
          <w:rFonts w:hint="eastAsia" w:ascii="仿宋" w:hAnsi="仿宋" w:eastAsia="仿宋" w:cs="仿宋"/>
          <w:b w:val="0"/>
          <w:bCs w:val="0"/>
          <w:sz w:val="30"/>
          <w:szCs w:val="30"/>
        </w:rPr>
        <w:t>农药一批</w:t>
      </w:r>
      <w:r>
        <w:rPr>
          <w:rFonts w:hint="eastAsia" w:ascii="仿宋" w:hAnsi="仿宋" w:eastAsia="仿宋" w:cs="仿宋"/>
          <w:b w:val="0"/>
          <w:bCs w:val="0"/>
          <w:sz w:val="30"/>
          <w:szCs w:val="30"/>
          <w:lang w:eastAsia="zh-CN"/>
        </w:rPr>
        <w:t>，二标段</w:t>
      </w:r>
      <w:r>
        <w:rPr>
          <w:rFonts w:hint="eastAsia" w:ascii="仿宋" w:hAnsi="仿宋" w:eastAsia="仿宋" w:cs="仿宋"/>
          <w:color w:val="000000"/>
          <w:kern w:val="0"/>
          <w:sz w:val="32"/>
          <w:szCs w:val="32"/>
          <w:lang w:val="en-US" w:eastAsia="zh-CN"/>
        </w:rPr>
        <w:t>监测设备一批</w:t>
      </w:r>
      <w:r>
        <w:rPr>
          <w:rFonts w:hint="eastAsia" w:ascii="仿宋" w:hAnsi="仿宋" w:eastAsia="仿宋" w:cs="仿宋"/>
          <w:color w:val="000000"/>
          <w:kern w:val="0"/>
          <w:sz w:val="32"/>
          <w:szCs w:val="32"/>
        </w:rPr>
        <w:t>（详见招标文件）</w:t>
      </w:r>
    </w:p>
    <w:p>
      <w:pPr>
        <w:keepNext w:val="0"/>
        <w:keepLines w:val="0"/>
        <w:pageBreakBefore w:val="0"/>
        <w:widowControl/>
        <w:numPr>
          <w:ilvl w:val="0"/>
          <w:numId w:val="0"/>
        </w:numPr>
        <w:shd w:val="clear" w:color="auto" w:fill="FFFFFF"/>
        <w:kinsoku/>
        <w:overflowPunct/>
        <w:bidi w:val="0"/>
        <w:spacing w:line="360" w:lineRule="exact"/>
        <w:ind w:firstLine="320" w:firstLineChars="1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采购预算：</w:t>
      </w:r>
      <w:r>
        <w:rPr>
          <w:rFonts w:hint="eastAsia" w:ascii="仿宋" w:hAnsi="仿宋" w:eastAsia="仿宋" w:cs="仿宋"/>
          <w:color w:val="000000"/>
          <w:kern w:val="0"/>
          <w:sz w:val="32"/>
          <w:szCs w:val="32"/>
          <w:lang w:val="en-US" w:eastAsia="zh-CN"/>
        </w:rPr>
        <w:t>一标段 70</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r>
        <w:rPr>
          <w:rFonts w:hint="eastAsia" w:ascii="仿宋" w:hAnsi="仿宋" w:eastAsia="仿宋" w:cs="仿宋"/>
          <w:sz w:val="32"/>
          <w:szCs w:val="32"/>
          <w:lang w:eastAsia="zh-CN"/>
        </w:rPr>
        <w:t>，二标段</w:t>
      </w:r>
      <w:r>
        <w:rPr>
          <w:rFonts w:hint="eastAsia" w:ascii="仿宋" w:hAnsi="仿宋" w:eastAsia="仿宋" w:cs="仿宋"/>
          <w:sz w:val="32"/>
          <w:szCs w:val="32"/>
          <w:lang w:val="en-US" w:eastAsia="zh-CN"/>
        </w:rPr>
        <w:t>9.8万元</w:t>
      </w:r>
    </w:p>
    <w:p>
      <w:pPr>
        <w:keepNext w:val="0"/>
        <w:keepLines w:val="0"/>
        <w:pageBreakBefore w:val="0"/>
        <w:widowControl/>
        <w:numPr>
          <w:ilvl w:val="0"/>
          <w:numId w:val="0"/>
        </w:numPr>
        <w:shd w:val="clear" w:color="auto" w:fill="FFFFFF"/>
        <w:kinsoku/>
        <w:overflowPunct/>
        <w:bidi w:val="0"/>
        <w:spacing w:line="360" w:lineRule="exact"/>
        <w:ind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采购限价：</w:t>
      </w:r>
      <w:r>
        <w:rPr>
          <w:rFonts w:hint="eastAsia" w:ascii="仿宋" w:hAnsi="仿宋" w:eastAsia="仿宋" w:cs="仿宋"/>
          <w:sz w:val="32"/>
          <w:szCs w:val="32"/>
          <w:lang w:val="en-US" w:eastAsia="zh-CN"/>
        </w:rPr>
        <w:t>一标段 70万元，二标段9.8万元</w:t>
      </w:r>
    </w:p>
    <w:p>
      <w:pPr>
        <w:keepNext w:val="0"/>
        <w:keepLines w:val="0"/>
        <w:pageBreakBefore w:val="0"/>
        <w:widowControl/>
        <w:shd w:val="clear" w:color="auto" w:fill="FFFFFF"/>
        <w:kinsoku/>
        <w:overflowPunct/>
        <w:bidi w:val="0"/>
        <w:spacing w:line="360" w:lineRule="exact"/>
        <w:ind w:firstLine="472" w:firstLineChars="147"/>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exact"/>
        <w:ind w:left="482"/>
        <w:jc w:val="left"/>
        <w:textAlignment w:val="auto"/>
        <w:rPr>
          <w:rFonts w:hint="default"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rPr>
        <w:t>三、</w:t>
      </w:r>
      <w:r>
        <w:rPr>
          <w:rFonts w:hint="eastAsia" w:ascii="仿宋" w:hAnsi="仿宋" w:eastAsia="仿宋" w:cs="仿宋"/>
          <w:b/>
          <w:color w:val="000000"/>
          <w:kern w:val="0"/>
          <w:sz w:val="32"/>
          <w:szCs w:val="32"/>
          <w:lang w:eastAsia="zh-CN"/>
        </w:rPr>
        <w:t>供应商资格条件：</w:t>
      </w:r>
    </w:p>
    <w:p>
      <w:pPr>
        <w:keepNext w:val="0"/>
        <w:keepLines w:val="0"/>
        <w:pageBreakBefore w:val="0"/>
        <w:widowControl/>
        <w:shd w:val="clear" w:color="auto" w:fill="FFFFFF"/>
        <w:kinsoku/>
        <w:overflowPunct/>
        <w:bidi w:val="0"/>
        <w:spacing w:line="360" w:lineRule="exact"/>
        <w:ind w:left="482"/>
        <w:jc w:val="left"/>
        <w:textAlignment w:val="auto"/>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一标段</w:t>
      </w:r>
      <w:r>
        <w:rPr>
          <w:rFonts w:hint="eastAsia" w:ascii="仿宋" w:hAnsi="仿宋" w:eastAsia="仿宋" w:cs="仿宋"/>
          <w:b/>
          <w:color w:val="000000"/>
          <w:kern w:val="0"/>
          <w:sz w:val="32"/>
          <w:szCs w:val="32"/>
        </w:rPr>
        <w:t>：</w:t>
      </w:r>
    </w:p>
    <w:p>
      <w:pPr>
        <w:keepNext w:val="0"/>
        <w:keepLines w:val="0"/>
        <w:pageBreakBefore w:val="0"/>
        <w:widowControl/>
        <w:shd w:val="clear" w:color="auto" w:fill="FFFFFF"/>
        <w:kinsoku/>
        <w:overflowPunct/>
        <w:bidi w:val="0"/>
        <w:spacing w:line="360" w:lineRule="exact"/>
        <w:ind w:left="482"/>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w:t>
      </w:r>
      <w:r>
        <w:rPr>
          <w:rFonts w:hint="eastAsia" w:ascii="仿宋" w:hAnsi="仿宋" w:eastAsia="仿宋" w:cs="仿宋"/>
          <w:sz w:val="32"/>
          <w:szCs w:val="32"/>
          <w:lang w:eastAsia="zh-CN"/>
        </w:rPr>
        <w:t>以营业执照为准</w:t>
      </w:r>
      <w:r>
        <w:rPr>
          <w:rFonts w:hint="eastAsia" w:ascii="仿宋" w:hAnsi="仿宋" w:eastAsia="仿宋" w:cs="仿宋"/>
          <w:sz w:val="32"/>
          <w:szCs w:val="32"/>
        </w:rPr>
        <w:t>）；</w:t>
      </w:r>
    </w:p>
    <w:p>
      <w:pPr>
        <w:keepNext w:val="0"/>
        <w:keepLines w:val="0"/>
        <w:pageBreakBefore w:val="0"/>
        <w:widowControl/>
        <w:shd w:val="clear" w:color="auto" w:fill="FFFFFF"/>
        <w:kinsoku/>
        <w:overflowPunct/>
        <w:bidi w:val="0"/>
        <w:spacing w:line="360" w:lineRule="exact"/>
        <w:ind w:left="482"/>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、投标人须提供有效期内的农药“三证”（农药登记证、生产许可证或生产批准证、产品标准证）或加盖公章的复印件</w:t>
      </w:r>
      <w:r>
        <w:rPr>
          <w:rFonts w:hint="eastAsia" w:ascii="仿宋" w:hAnsi="仿宋" w:eastAsia="仿宋" w:cs="仿宋"/>
          <w:sz w:val="32"/>
          <w:szCs w:val="32"/>
          <w:lang w:eastAsia="zh-CN"/>
        </w:rPr>
        <w:t>；</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、被委托人是须是本单位职工，须提供公司为本人缴纳社会保险证明；</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keepNext w:val="0"/>
        <w:keepLines w:val="0"/>
        <w:pageBreakBefore w:val="0"/>
        <w:kinsoku/>
        <w:overflowPunct/>
        <w:bidi w:val="0"/>
        <w:spacing w:line="360" w:lineRule="exact"/>
        <w:ind w:left="319" w:leftChars="152" w:firstLine="161" w:firstLineChars="5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二标段：</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1、符合《政府采购法》第二十二条之规定，具有独立法人资格及相应的经营范围（以营业执照为准）；</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、被委托人是须是本单位职工，须提供公司为本人缴纳社会保险证明；</w:t>
      </w:r>
    </w:p>
    <w:p>
      <w:pPr>
        <w:keepNext w:val="0"/>
        <w:keepLines w:val="0"/>
        <w:pageBreakBefore w:val="0"/>
        <w:kinsoku/>
        <w:overflowPunct/>
        <w:bidi w:val="0"/>
        <w:spacing w:line="360" w:lineRule="exact"/>
        <w:ind w:left="319" w:leftChars="152" w:firstLine="160" w:firstLineChars="5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、本项目不接受联合体投标。</w:t>
      </w:r>
    </w:p>
    <w:p>
      <w:pPr>
        <w:keepNext w:val="0"/>
        <w:keepLines w:val="0"/>
        <w:pageBreakBefore w:val="0"/>
        <w:widowControl/>
        <w:shd w:val="clear" w:color="auto" w:fill="FFFFFF"/>
        <w:kinsoku/>
        <w:overflowPunct/>
        <w:bidi w:val="0"/>
        <w:spacing w:line="360" w:lineRule="exact"/>
        <w:ind w:firstLine="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36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exact"/>
        <w:ind w:firstLine="482"/>
        <w:textAlignment w:val="auto"/>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zh-CN"/>
        </w:rPr>
        <w:fldChar w:fldCharType="end"/>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36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360" w:lineRule="exact"/>
        <w:ind w:firstLine="640"/>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exact"/>
        <w:ind w:firstLine="482"/>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keepNext w:val="0"/>
        <w:keepLines w:val="0"/>
        <w:pageBreakBefore w:val="0"/>
        <w:widowControl/>
        <w:shd w:val="clear" w:color="auto" w:fill="FFFFFF"/>
        <w:kinsoku/>
        <w:overflowPunct/>
        <w:bidi w:val="0"/>
        <w:spacing w:line="3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22日  9</w:t>
      </w:r>
      <w:r>
        <w:rPr>
          <w:rFonts w:hint="eastAsia" w:ascii="仿宋" w:hAnsi="仿宋" w:eastAsia="仿宋" w:cs="仿宋"/>
          <w:color w:val="000000"/>
          <w:kern w:val="0"/>
          <w:sz w:val="32"/>
          <w:szCs w:val="32"/>
        </w:rPr>
        <w:t>：00（北京时间），逾期送达或不符合规定的投标文件不予接受。</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36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keepNext w:val="0"/>
        <w:keepLines w:val="0"/>
        <w:pageBreakBefore w:val="0"/>
        <w:widowControl/>
        <w:shd w:val="clear" w:color="auto" w:fill="FFFFFF"/>
        <w:kinsoku/>
        <w:overflowPunct/>
        <w:bidi w:val="0"/>
        <w:spacing w:line="360" w:lineRule="exact"/>
        <w:ind w:left="481"/>
        <w:jc w:val="left"/>
        <w:textAlignment w:val="auto"/>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农业农村</w:t>
      </w:r>
      <w:r>
        <w:rPr>
          <w:rFonts w:hint="eastAsia" w:ascii="仿宋" w:hAnsi="仿宋" w:eastAsia="仿宋" w:cs="仿宋"/>
          <w:sz w:val="32"/>
          <w:szCs w:val="32"/>
        </w:rPr>
        <w:t>局</w:t>
      </w:r>
    </w:p>
    <w:p>
      <w:pPr>
        <w:keepNext w:val="0"/>
        <w:keepLines w:val="0"/>
        <w:pageBreakBefore w:val="0"/>
        <w:widowControl/>
        <w:shd w:val="clear" w:color="auto" w:fill="FFFFFF"/>
        <w:kinsoku/>
        <w:overflowPunct/>
        <w:bidi w:val="0"/>
        <w:spacing w:line="360" w:lineRule="exact"/>
        <w:ind w:firstLine="960" w:firstLineChars="3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画圣路中段</w:t>
      </w:r>
    </w:p>
    <w:p>
      <w:pPr>
        <w:keepNext w:val="0"/>
        <w:keepLines w:val="0"/>
        <w:pageBreakBefore w:val="0"/>
        <w:widowControl/>
        <w:shd w:val="clear" w:color="auto" w:fill="FFFFFF"/>
        <w:kinsoku/>
        <w:overflowPunct/>
        <w:bidi w:val="0"/>
        <w:spacing w:line="36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张女士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13608430689</w:t>
      </w:r>
    </w:p>
    <w:p>
      <w:pPr>
        <w:keepNext w:val="0"/>
        <w:keepLines w:val="0"/>
        <w:pageBreakBefore w:val="0"/>
        <w:kinsoku/>
        <w:overflowPunct/>
        <w:bidi w:val="0"/>
        <w:spacing w:line="36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36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360" w:lineRule="exact"/>
        <w:ind w:firstLine="3520" w:firstLineChars="1100"/>
        <w:textAlignment w:val="auto"/>
        <w:rPr>
          <w:rFonts w:ascii="仿宋" w:hAnsi="仿宋" w:eastAsia="仿宋" w:cs="仿宋"/>
          <w:sz w:val="32"/>
          <w:szCs w:val="32"/>
        </w:rPr>
      </w:pPr>
      <w:r>
        <w:rPr>
          <w:rFonts w:hint="eastAsia" w:ascii="仿宋" w:hAnsi="仿宋" w:eastAsia="仿宋" w:cs="仿宋"/>
          <w:sz w:val="32"/>
          <w:szCs w:val="32"/>
        </w:rPr>
        <w:t xml:space="preserve">      2019年 </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kinsoku/>
        <w:overflowPunct/>
        <w:bidi w:val="0"/>
        <w:spacing w:line="360" w:lineRule="exact"/>
        <w:textAlignment w:val="auto"/>
        <w:rPr>
          <w:rFonts w:ascii="仿宋" w:hAnsi="仿宋" w:eastAsia="仿宋" w:cs="仿宋"/>
          <w:b/>
          <w:sz w:val="32"/>
          <w:szCs w:val="32"/>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
      <w:pPr>
        <w:pStyle w:val="2"/>
      </w:pPr>
    </w:p>
    <w:p>
      <w:pPr>
        <w:pStyle w:val="2"/>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本项目采购农药（</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甲氨基阿维菌素苯甲酸盐</w:t>
      </w:r>
      <w:r>
        <w:rPr>
          <w:rFonts w:hint="eastAsia" w:ascii="仿宋" w:hAnsi="仿宋" w:eastAsia="仿宋" w:cs="仿宋"/>
          <w:b w:val="0"/>
          <w:bCs/>
          <w:sz w:val="30"/>
          <w:szCs w:val="30"/>
        </w:rPr>
        <w:t>·</w:t>
      </w:r>
      <w:r>
        <w:rPr>
          <w:rFonts w:hint="eastAsia" w:ascii="仿宋" w:hAnsi="仿宋" w:eastAsia="仿宋" w:cs="仿宋"/>
          <w:sz w:val="30"/>
          <w:szCs w:val="30"/>
        </w:rPr>
        <w:t>.</w:t>
      </w:r>
      <w:r>
        <w:rPr>
          <w:rFonts w:hint="eastAsia" w:ascii="仿宋" w:hAnsi="仿宋" w:eastAsia="仿宋" w:cs="仿宋"/>
          <w:sz w:val="30"/>
          <w:szCs w:val="30"/>
          <w:lang w:val="en-US" w:eastAsia="zh-CN"/>
        </w:rPr>
        <w:t>氟铃脲</w:t>
      </w:r>
      <w:r>
        <w:rPr>
          <w:rFonts w:hint="eastAsia" w:ascii="仿宋" w:hAnsi="仿宋" w:eastAsia="仿宋" w:cs="仿宋"/>
          <w:sz w:val="30"/>
          <w:szCs w:val="30"/>
        </w:rPr>
        <w:t>悬浮剂</w:t>
      </w:r>
      <w:r>
        <w:rPr>
          <w:rFonts w:hint="eastAsia" w:ascii="仿宋" w:hAnsi="仿宋" w:eastAsia="仿宋" w:cs="仿宋"/>
          <w:color w:val="000000"/>
          <w:kern w:val="0"/>
          <w:sz w:val="32"/>
          <w:szCs w:val="32"/>
        </w:rPr>
        <w:t>），项目预算</w:t>
      </w:r>
      <w:r>
        <w:rPr>
          <w:rFonts w:hint="eastAsia" w:ascii="仿宋" w:hAnsi="仿宋" w:eastAsia="仿宋" w:cs="仿宋"/>
          <w:color w:val="000000"/>
          <w:kern w:val="0"/>
          <w:sz w:val="32"/>
          <w:szCs w:val="32"/>
          <w:lang w:val="en-US" w:eastAsia="zh-CN"/>
        </w:rPr>
        <w:t>70</w:t>
      </w:r>
      <w:r>
        <w:rPr>
          <w:rFonts w:hint="eastAsia" w:ascii="仿宋" w:hAnsi="仿宋" w:eastAsia="仿宋" w:cs="仿宋"/>
          <w:color w:val="000000"/>
          <w:kern w:val="0"/>
          <w:sz w:val="32"/>
          <w:szCs w:val="32"/>
        </w:rPr>
        <w:t>0000元，采购数量不低于采购清单所要求的数量。采购</w:t>
      </w:r>
      <w:r>
        <w:rPr>
          <w:rFonts w:hint="eastAsia" w:ascii="仿宋" w:hAnsi="仿宋" w:eastAsia="仿宋" w:cs="仿宋"/>
          <w:color w:val="000000"/>
          <w:kern w:val="0"/>
          <w:sz w:val="32"/>
          <w:szCs w:val="32"/>
          <w:lang w:val="en-US" w:eastAsia="zh-CN"/>
        </w:rPr>
        <w:t>监测</w:t>
      </w:r>
      <w:r>
        <w:rPr>
          <w:rFonts w:hint="eastAsia" w:ascii="仿宋" w:hAnsi="仿宋" w:eastAsia="仿宋" w:cs="仿宋"/>
          <w:color w:val="000000"/>
          <w:kern w:val="0"/>
          <w:sz w:val="32"/>
          <w:szCs w:val="32"/>
        </w:rPr>
        <w:t>防控设备（</w:t>
      </w:r>
      <w:r>
        <w:rPr>
          <w:rFonts w:hint="eastAsia" w:ascii="仿宋" w:hAnsi="仿宋" w:eastAsia="仿宋" w:cs="仿宋"/>
          <w:sz w:val="30"/>
          <w:szCs w:val="30"/>
          <w:lang w:val="en-US" w:eastAsia="zh-CN"/>
        </w:rPr>
        <w:t>自动虫情测报灯</w:t>
      </w:r>
      <w:r>
        <w:rPr>
          <w:rFonts w:hint="eastAsia" w:ascii="仿宋" w:hAnsi="仿宋" w:eastAsia="仿宋" w:cs="仿宋"/>
          <w:color w:val="000000"/>
          <w:kern w:val="0"/>
          <w:sz w:val="32"/>
          <w:szCs w:val="32"/>
        </w:rPr>
        <w:t>）</w:t>
      </w:r>
      <w:r>
        <w:rPr>
          <w:rFonts w:hint="eastAsia" w:ascii="仿宋" w:hAnsi="仿宋" w:eastAsia="仿宋" w:cs="仿宋"/>
          <w:sz w:val="32"/>
          <w:szCs w:val="32"/>
        </w:rPr>
        <w:t>，项目预算</w:t>
      </w:r>
      <w:r>
        <w:rPr>
          <w:rFonts w:hint="eastAsia" w:ascii="仿宋" w:hAnsi="仿宋" w:eastAsia="仿宋" w:cs="仿宋"/>
          <w:sz w:val="32"/>
          <w:szCs w:val="32"/>
          <w:lang w:val="en-US" w:eastAsia="zh-CN"/>
        </w:rPr>
        <w:t>9</w:t>
      </w:r>
      <w:r>
        <w:rPr>
          <w:rFonts w:hint="eastAsia" w:ascii="仿宋" w:hAnsi="仿宋" w:eastAsia="仿宋" w:cs="仿宋"/>
          <w:sz w:val="32"/>
          <w:szCs w:val="32"/>
        </w:rPr>
        <w:t>8000元，</w:t>
      </w:r>
      <w:r>
        <w:rPr>
          <w:rFonts w:hint="eastAsia" w:ascii="仿宋" w:hAnsi="仿宋" w:eastAsia="仿宋" w:cs="仿宋"/>
          <w:color w:val="000000"/>
          <w:kern w:val="0"/>
          <w:sz w:val="32"/>
          <w:szCs w:val="32"/>
        </w:rPr>
        <w:t>采购数量不低于采购清单所要求的数量。具体要求和未尽事宜详见招标文件。</w:t>
      </w:r>
    </w:p>
    <w:p>
      <w:pPr>
        <w:widowControl/>
        <w:shd w:val="clear" w:color="auto" w:fill="FFFFFF"/>
        <w:spacing w:line="360" w:lineRule="auto"/>
        <w:ind w:firstLine="600"/>
        <w:jc w:val="left"/>
        <w:rPr>
          <w:rFonts w:hint="eastAsia" w:ascii="仿宋" w:hAnsi="仿宋" w:eastAsia="仿宋" w:cs="仿宋"/>
          <w:b/>
          <w:bCs/>
          <w:sz w:val="32"/>
          <w:szCs w:val="32"/>
        </w:rPr>
      </w:pPr>
      <w:r>
        <w:rPr>
          <w:rFonts w:hint="eastAsia" w:ascii="仿宋" w:hAnsi="仿宋" w:eastAsia="仿宋" w:cs="仿宋"/>
          <w:color w:val="000000"/>
          <w:kern w:val="0"/>
          <w:sz w:val="32"/>
          <w:szCs w:val="32"/>
        </w:rPr>
        <w:t>（二）采购清单</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2"/>
          <w:szCs w:val="32"/>
        </w:rPr>
        <w:t>采购农药一批（第一标段）</w:t>
      </w:r>
    </w:p>
    <w:tbl>
      <w:tblPr>
        <w:tblStyle w:val="23"/>
        <w:tblW w:w="9356"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45"/>
        <w:gridCol w:w="3969"/>
        <w:gridCol w:w="567"/>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3545" w:type="dxa"/>
          </w:tcPr>
          <w:p>
            <w:pPr>
              <w:ind w:firstLine="600" w:firstLineChars="250"/>
              <w:rPr>
                <w:rFonts w:hint="eastAsia" w:ascii="仿宋" w:hAnsi="仿宋" w:eastAsia="仿宋" w:cs="仿宋"/>
                <w:sz w:val="24"/>
                <w:szCs w:val="24"/>
              </w:rPr>
            </w:pPr>
            <w:r>
              <w:rPr>
                <w:rFonts w:hint="eastAsia" w:ascii="仿宋" w:hAnsi="仿宋" w:eastAsia="仿宋" w:cs="仿宋"/>
                <w:sz w:val="24"/>
                <w:szCs w:val="24"/>
                <w:lang w:val="en-US" w:eastAsia="zh-CN"/>
              </w:rPr>
              <w:t>货物</w:t>
            </w:r>
            <w:r>
              <w:rPr>
                <w:rFonts w:hint="eastAsia" w:ascii="仿宋" w:hAnsi="仿宋" w:eastAsia="仿宋" w:cs="仿宋"/>
                <w:sz w:val="24"/>
                <w:szCs w:val="24"/>
              </w:rPr>
              <w:t>名称</w:t>
            </w:r>
          </w:p>
        </w:tc>
        <w:tc>
          <w:tcPr>
            <w:tcW w:w="3969" w:type="dxa"/>
            <w:vAlign w:val="center"/>
          </w:tcPr>
          <w:p>
            <w:pPr>
              <w:jc w:val="center"/>
              <w:rPr>
                <w:sz w:val="24"/>
                <w:szCs w:val="24"/>
              </w:rPr>
            </w:pPr>
            <w:r>
              <w:rPr>
                <w:rFonts w:hint="eastAsia"/>
                <w:sz w:val="24"/>
                <w:szCs w:val="24"/>
              </w:rPr>
              <w:t>技术规格及主要参数</w:t>
            </w:r>
          </w:p>
        </w:tc>
        <w:tc>
          <w:tcPr>
            <w:tcW w:w="567" w:type="dxa"/>
          </w:tcPr>
          <w:p>
            <w:pPr>
              <w:rPr>
                <w:rFonts w:hint="eastAsia" w:ascii="仿宋" w:hAnsi="仿宋" w:eastAsia="仿宋" w:cs="仿宋"/>
                <w:sz w:val="24"/>
                <w:szCs w:val="24"/>
              </w:rPr>
            </w:pPr>
            <w:r>
              <w:rPr>
                <w:rFonts w:hint="eastAsia" w:ascii="仿宋" w:hAnsi="仿宋" w:eastAsia="仿宋" w:cs="仿宋"/>
                <w:sz w:val="24"/>
                <w:szCs w:val="24"/>
              </w:rPr>
              <w:t>单位</w:t>
            </w:r>
          </w:p>
        </w:tc>
        <w:tc>
          <w:tcPr>
            <w:tcW w:w="1275" w:type="dxa"/>
          </w:tcPr>
          <w:p>
            <w:pP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3545" w:type="dxa"/>
          </w:tcPr>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甲氨基阿维菌素苯甲酸盐</w:t>
            </w:r>
            <w:r>
              <w:rPr>
                <w:rFonts w:hint="eastAsia" w:ascii="仿宋" w:hAnsi="仿宋" w:eastAsia="仿宋" w:cs="仿宋"/>
                <w:b w:val="0"/>
                <w:bCs/>
                <w:sz w:val="24"/>
                <w:szCs w:val="24"/>
              </w:rPr>
              <w:t>·</w:t>
            </w:r>
            <w:r>
              <w:rPr>
                <w:rFonts w:hint="eastAsia" w:ascii="仿宋" w:hAnsi="仿宋" w:eastAsia="仿宋" w:cs="仿宋"/>
                <w:sz w:val="24"/>
                <w:szCs w:val="24"/>
              </w:rPr>
              <w:t>.</w:t>
            </w:r>
            <w:r>
              <w:rPr>
                <w:rFonts w:hint="eastAsia" w:ascii="仿宋" w:hAnsi="仿宋" w:eastAsia="仿宋" w:cs="仿宋"/>
                <w:sz w:val="24"/>
                <w:szCs w:val="24"/>
                <w:lang w:val="en-US" w:eastAsia="zh-CN"/>
              </w:rPr>
              <w:t>氟铃脲</w:t>
            </w:r>
            <w:r>
              <w:rPr>
                <w:rFonts w:hint="eastAsia" w:ascii="仿宋" w:hAnsi="仿宋" w:eastAsia="仿宋" w:cs="仿宋"/>
                <w:sz w:val="24"/>
                <w:szCs w:val="24"/>
              </w:rPr>
              <w:t>悬浮剂</w:t>
            </w:r>
          </w:p>
        </w:tc>
        <w:tc>
          <w:tcPr>
            <w:tcW w:w="3969" w:type="dxa"/>
            <w:vAlign w:val="center"/>
          </w:tcPr>
          <w:p>
            <w:pPr>
              <w:widowControl/>
              <w:shd w:val="clear" w:color="auto" w:fill="FFFFFF"/>
              <w:spacing w:line="360" w:lineRule="auto"/>
              <w:jc w:val="left"/>
              <w:rPr>
                <w:rFonts w:ascii="仿宋" w:hAnsi="仿宋" w:eastAsia="仿宋" w:cs="宋体"/>
                <w:color w:val="000000"/>
                <w:kern w:val="0"/>
                <w:sz w:val="24"/>
                <w:szCs w:val="24"/>
              </w:rPr>
            </w:pPr>
            <w:r>
              <w:rPr>
                <w:rFonts w:hint="eastAsia"/>
                <w:sz w:val="24"/>
                <w:szCs w:val="24"/>
                <w:lang w:val="en-US" w:eastAsia="zh-CN"/>
              </w:rPr>
              <w:t>30</w:t>
            </w:r>
            <w:r>
              <w:rPr>
                <w:rFonts w:hint="eastAsia" w:ascii="仿宋" w:hAnsi="仿宋" w:eastAsia="仿宋" w:cs="仿宋"/>
                <w:sz w:val="24"/>
                <w:szCs w:val="24"/>
              </w:rPr>
              <w:t>克/瓶</w:t>
            </w:r>
            <w:r>
              <w:rPr>
                <w:rFonts w:hint="eastAsia" w:ascii="仿宋" w:hAnsi="仿宋" w:eastAsia="仿宋" w:cs="宋体"/>
                <w:color w:val="000000"/>
                <w:kern w:val="0"/>
                <w:sz w:val="24"/>
                <w:szCs w:val="24"/>
              </w:rPr>
              <w:t>，产品必须在小麦上取得登记，且提供农药“三证”，即农药登记证、产品标准证、生产许可证或生产批准证，复印件加盖公章</w:t>
            </w:r>
          </w:p>
          <w:p>
            <w:pPr>
              <w:jc w:val="center"/>
              <w:rPr>
                <w:sz w:val="24"/>
                <w:szCs w:val="24"/>
              </w:rPr>
            </w:pPr>
          </w:p>
        </w:tc>
        <w:tc>
          <w:tcPr>
            <w:tcW w:w="567" w:type="dxa"/>
          </w:tcPr>
          <w:p>
            <w:pPr>
              <w:rPr>
                <w:rFonts w:hint="eastAsia" w:ascii="仿宋" w:hAnsi="仿宋" w:eastAsia="仿宋" w:cs="仿宋"/>
                <w:sz w:val="24"/>
                <w:szCs w:val="24"/>
              </w:rPr>
            </w:pPr>
            <w:r>
              <w:rPr>
                <w:rFonts w:hint="eastAsia" w:ascii="仿宋" w:hAnsi="仿宋" w:eastAsia="仿宋" w:cs="仿宋"/>
                <w:sz w:val="24"/>
                <w:szCs w:val="24"/>
              </w:rPr>
              <w:t>瓶</w:t>
            </w:r>
          </w:p>
        </w:tc>
        <w:tc>
          <w:tcPr>
            <w:tcW w:w="1275" w:type="dxa"/>
          </w:tcPr>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00000</w:t>
            </w:r>
            <w:r>
              <w:rPr>
                <w:rFonts w:hint="eastAsia" w:ascii="仿宋" w:hAnsi="仿宋" w:eastAsia="仿宋" w:cs="仿宋"/>
                <w:sz w:val="24"/>
                <w:szCs w:val="24"/>
              </w:rPr>
              <w:t>瓶</w:t>
            </w:r>
          </w:p>
        </w:tc>
      </w:tr>
    </w:tbl>
    <w:p>
      <w:pPr>
        <w:widowControl/>
        <w:shd w:val="clear" w:color="auto" w:fill="FFFFFF"/>
        <w:spacing w:line="360" w:lineRule="auto"/>
        <w:jc w:val="left"/>
        <w:rPr>
          <w:rFonts w:hint="eastAsia" w:ascii="仿宋" w:hAnsi="仿宋" w:eastAsia="仿宋" w:cs="仿宋"/>
          <w:b w:val="0"/>
          <w:bCs w:val="0"/>
          <w:sz w:val="30"/>
          <w:szCs w:val="30"/>
        </w:rPr>
      </w:pPr>
    </w:p>
    <w:p>
      <w:pPr>
        <w:widowControl/>
        <w:shd w:val="clear" w:color="auto" w:fill="FFFFFF"/>
        <w:spacing w:line="360" w:lineRule="auto"/>
        <w:jc w:val="left"/>
        <w:rPr>
          <w:rFonts w:hint="eastAsia" w:ascii="仿宋" w:hAnsi="仿宋" w:eastAsia="仿宋" w:cs="仿宋"/>
          <w:b w:val="0"/>
          <w:bCs w:val="0"/>
          <w:sz w:val="30"/>
          <w:szCs w:val="30"/>
        </w:rPr>
      </w:pPr>
    </w:p>
    <w:p>
      <w:pPr>
        <w:pStyle w:val="2"/>
        <w:rPr>
          <w:rFonts w:hint="eastAsia" w:ascii="仿宋" w:hAnsi="仿宋" w:eastAsia="仿宋" w:cs="仿宋"/>
          <w:b w:val="0"/>
          <w:bCs w:val="0"/>
          <w:sz w:val="30"/>
          <w:szCs w:val="30"/>
        </w:rPr>
      </w:pPr>
    </w:p>
    <w:p>
      <w:pPr>
        <w:pStyle w:val="2"/>
        <w:rPr>
          <w:rFonts w:hint="eastAsia" w:ascii="仿宋" w:hAnsi="仿宋" w:eastAsia="仿宋" w:cs="仿宋"/>
          <w:b w:val="0"/>
          <w:bCs w:val="0"/>
          <w:sz w:val="30"/>
          <w:szCs w:val="30"/>
        </w:rPr>
      </w:pPr>
    </w:p>
    <w:p>
      <w:pPr>
        <w:pStyle w:val="2"/>
        <w:rPr>
          <w:rFonts w:hint="eastAsia" w:ascii="仿宋" w:hAnsi="仿宋" w:eastAsia="仿宋" w:cs="仿宋"/>
          <w:b w:val="0"/>
          <w:bCs w:val="0"/>
          <w:sz w:val="30"/>
          <w:szCs w:val="30"/>
        </w:rPr>
      </w:pPr>
    </w:p>
    <w:p>
      <w:pPr>
        <w:pStyle w:val="2"/>
        <w:rPr>
          <w:rFonts w:hint="eastAsia" w:ascii="仿宋" w:hAnsi="仿宋" w:eastAsia="仿宋" w:cs="仿宋"/>
          <w:b w:val="0"/>
          <w:bCs w:val="0"/>
          <w:sz w:val="30"/>
          <w:szCs w:val="30"/>
        </w:rPr>
      </w:pP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采购</w:t>
      </w:r>
      <w:r>
        <w:rPr>
          <w:rFonts w:hint="eastAsia" w:ascii="仿宋" w:hAnsi="仿宋" w:eastAsia="仿宋" w:cs="仿宋"/>
          <w:b w:val="0"/>
          <w:bCs w:val="0"/>
          <w:sz w:val="30"/>
          <w:szCs w:val="30"/>
          <w:lang w:val="en-US" w:eastAsia="zh-CN"/>
        </w:rPr>
        <w:t>监测设备</w:t>
      </w:r>
      <w:r>
        <w:rPr>
          <w:rFonts w:hint="eastAsia" w:ascii="仿宋" w:hAnsi="仿宋" w:eastAsia="仿宋" w:cs="仿宋"/>
          <w:b w:val="0"/>
          <w:bCs w:val="0"/>
          <w:sz w:val="30"/>
          <w:szCs w:val="30"/>
        </w:rPr>
        <w:t>一批清单（第</w:t>
      </w: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标段）</w:t>
      </w:r>
    </w:p>
    <w:tbl>
      <w:tblPr>
        <w:tblStyle w:val="23"/>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6810"/>
        <w:gridCol w:w="619"/>
        <w:gridCol w:w="9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929" w:type="dxa"/>
            <w:vAlign w:val="center"/>
          </w:tcPr>
          <w:p>
            <w:pPr>
              <w:jc w:val="center"/>
              <w:rPr>
                <w:szCs w:val="21"/>
              </w:rPr>
            </w:pPr>
            <w:r>
              <w:rPr>
                <w:rFonts w:hint="eastAsia"/>
                <w:szCs w:val="21"/>
              </w:rPr>
              <w:t>采购项目名称</w:t>
            </w:r>
          </w:p>
        </w:tc>
        <w:tc>
          <w:tcPr>
            <w:tcW w:w="6810" w:type="dxa"/>
            <w:vAlign w:val="center"/>
          </w:tcPr>
          <w:p>
            <w:pPr>
              <w:jc w:val="center"/>
              <w:rPr>
                <w:szCs w:val="21"/>
              </w:rPr>
            </w:pPr>
            <w:r>
              <w:rPr>
                <w:rFonts w:hint="eastAsia"/>
                <w:sz w:val="24"/>
                <w:szCs w:val="24"/>
              </w:rPr>
              <w:t>技术规格及主要参数</w:t>
            </w:r>
          </w:p>
        </w:tc>
        <w:tc>
          <w:tcPr>
            <w:tcW w:w="619" w:type="dxa"/>
            <w:vAlign w:val="center"/>
          </w:tcPr>
          <w:p>
            <w:pPr>
              <w:jc w:val="center"/>
              <w:rPr>
                <w:szCs w:val="21"/>
              </w:rPr>
            </w:pPr>
            <w:r>
              <w:rPr>
                <w:rFonts w:hint="eastAsia"/>
                <w:szCs w:val="21"/>
              </w:rPr>
              <w:t>单位</w:t>
            </w:r>
          </w:p>
        </w:tc>
        <w:tc>
          <w:tcPr>
            <w:tcW w:w="928" w:type="dxa"/>
            <w:vAlign w:val="center"/>
          </w:tcPr>
          <w:p>
            <w:pPr>
              <w:jc w:val="center"/>
              <w:rPr>
                <w:szCs w:val="21"/>
              </w:rPr>
            </w:pPr>
            <w:r>
              <w:rPr>
                <w:rFonts w:hint="eastAsia"/>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929" w:type="dxa"/>
            <w:vAlign w:val="center"/>
          </w:tcPr>
          <w:p>
            <w:pPr>
              <w:jc w:val="center"/>
              <w:rPr>
                <w:rFonts w:hint="eastAsia" w:ascii="仿宋" w:hAnsi="仿宋" w:eastAsia="仿宋" w:cs="仿宋"/>
                <w:szCs w:val="21"/>
              </w:rPr>
            </w:pPr>
            <w:r>
              <w:rPr>
                <w:rFonts w:hint="eastAsia" w:ascii="仿宋" w:hAnsi="仿宋" w:eastAsia="仿宋" w:cs="仿宋"/>
                <w:b w:val="0"/>
                <w:bCs w:val="0"/>
                <w:sz w:val="24"/>
                <w:szCs w:val="24"/>
                <w:lang w:val="en-US" w:eastAsia="zh-CN"/>
              </w:rPr>
              <w:t>自动虫情测报灯</w:t>
            </w:r>
          </w:p>
        </w:tc>
        <w:tc>
          <w:tcPr>
            <w:tcW w:w="6810" w:type="dxa"/>
            <w:vAlign w:val="center"/>
          </w:tcPr>
          <w:p>
            <w:pPr>
              <w:rPr>
                <w:rFonts w:hint="eastAsia" w:ascii="仿宋" w:hAnsi="仿宋" w:eastAsia="仿宋" w:cs="仿宋"/>
                <w:lang w:eastAsia="zh-CN"/>
              </w:rPr>
            </w:pPr>
            <w:r>
              <w:rPr>
                <w:rFonts w:hint="eastAsia" w:ascii="仿宋" w:hAnsi="仿宋" w:eastAsia="仿宋" w:cs="仿宋"/>
                <w:lang w:eastAsia="zh-CN"/>
              </w:rPr>
              <w:t>功能要求：</w:t>
            </w:r>
          </w:p>
          <w:p>
            <w:pPr>
              <w:rPr>
                <w:rFonts w:hint="eastAsia" w:ascii="仿宋" w:hAnsi="仿宋" w:eastAsia="仿宋" w:cs="仿宋"/>
              </w:rPr>
            </w:pPr>
            <w:r>
              <w:rPr>
                <w:rFonts w:hint="eastAsia" w:ascii="仿宋" w:hAnsi="仿宋" w:eastAsia="仿宋" w:cs="仿宋"/>
              </w:rPr>
              <w:t>1、光控控制：晚上自动开灯，白天自动关灯（待机），在夜间工作状态下，不受瞬间强光照射改变工作状态；</w:t>
            </w:r>
          </w:p>
          <w:p>
            <w:pPr>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、远红外虫体处理仓温度控制：工作15min后，远红外虫体处理仓内温度达到80℃~90℃，最高可调到135±5℃，杀虫时长10-180分钟可调；</w:t>
            </w:r>
          </w:p>
          <w:p>
            <w:pPr>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、远红外虫体处理致死率不小于98%，虫体完整率不小于95%；</w:t>
            </w:r>
          </w:p>
          <w:p>
            <w:pPr>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、集虫器自动转换，八仓位自动转换系统，保证8个时间段诱集到的昆虫不混淆(可根据靶标害虫生活习性规律，设定1-48个工作时间段）；</w:t>
            </w:r>
          </w:p>
          <w:p>
            <w:pPr>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、雨控装置：雨控可按外界天气变化自动控制设备工作；</w:t>
            </w:r>
          </w:p>
          <w:p>
            <w:pPr>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、排水装置：将雨水自动排出，能有效将雨虫分离，箱体内不留明显积水；</w:t>
            </w:r>
          </w:p>
          <w:p>
            <w:pPr>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、整机功能：光控、雨控、远红外虫体处理、分天存放（无需毒瓶）</w:t>
            </w:r>
          </w:p>
          <w:p>
            <w:pPr>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、防雷装置：能够有效防止雷击；</w:t>
            </w:r>
          </w:p>
          <w:p>
            <w:pPr>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、GPS定位功能：单片机工作时钟通过GPS获取，通过卫星校准时钟；</w:t>
            </w:r>
          </w:p>
          <w:p>
            <w:pPr>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、具实时工作数据查看功能：可查看当前工作模式、虫雨仓类型、当前工作的仓位号、天气状态以及仪器所在位置的GPS地理坐标信息和仪器的故障信息；</w:t>
            </w:r>
          </w:p>
          <w:p>
            <w:pPr>
              <w:rPr>
                <w:rFonts w:hint="eastAsia" w:ascii="仿宋" w:hAnsi="仿宋" w:eastAsia="仿宋" w:cs="仿宋"/>
                <w:lang w:val="en-US" w:eastAsia="zh-CN"/>
              </w:rPr>
            </w:pPr>
            <w:r>
              <w:rPr>
                <w:rFonts w:hint="eastAsia" w:ascii="仿宋" w:hAnsi="仿宋" w:eastAsia="仿宋" w:cs="仿宋"/>
                <w:lang w:val="en-US" w:eastAsia="zh-CN"/>
              </w:rPr>
              <w:t>11</w:t>
            </w:r>
            <w:r>
              <w:rPr>
                <w:rFonts w:hint="eastAsia" w:ascii="仿宋" w:hAnsi="仿宋" w:eastAsia="仿宋" w:cs="仿宋"/>
              </w:rPr>
              <w:t>、设备每天约12:00重启进行自动校准仓位。</w:t>
            </w:r>
          </w:p>
          <w:p>
            <w:pPr>
              <w:rPr>
                <w:rFonts w:hint="eastAsia" w:ascii="仿宋" w:hAnsi="仿宋" w:eastAsia="仿宋" w:cs="仿宋"/>
                <w:lang w:val="en-US" w:eastAsia="zh-CN"/>
              </w:rPr>
            </w:pPr>
            <w:r>
              <w:rPr>
                <w:rFonts w:hint="eastAsia" w:ascii="仿宋" w:hAnsi="仿宋" w:eastAsia="仿宋" w:cs="仿宋"/>
                <w:lang w:val="en-US" w:eastAsia="zh-CN"/>
              </w:rPr>
              <w:t>技术参数：</w:t>
            </w:r>
          </w:p>
          <w:p>
            <w:pPr>
              <w:numPr>
                <w:ilvl w:val="0"/>
                <w:numId w:val="0"/>
              </w:numPr>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lang w:eastAsia="zh-CN"/>
              </w:rPr>
              <w:t>符合</w:t>
            </w:r>
            <w:r>
              <w:rPr>
                <w:rFonts w:hint="eastAsia" w:ascii="仿宋" w:hAnsi="仿宋" w:eastAsia="仿宋" w:cs="仿宋"/>
              </w:rPr>
              <w:t>GB/T 24689.1-2009植物保护机械 虫情测报灯标准设计；</w:t>
            </w:r>
          </w:p>
          <w:p>
            <w:pPr>
              <w:numPr>
                <w:ilvl w:val="0"/>
                <w:numId w:val="0"/>
              </w:numPr>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不小于</w:t>
            </w:r>
            <w:r>
              <w:rPr>
                <w:rFonts w:hint="eastAsia" w:ascii="仿宋" w:hAnsi="仿宋" w:eastAsia="仿宋" w:cs="仿宋"/>
              </w:rPr>
              <w:t>7寸电容屏彩页触摸屏，安卓Android 4.0</w:t>
            </w:r>
            <w:r>
              <w:rPr>
                <w:rFonts w:hint="eastAsia" w:ascii="仿宋" w:hAnsi="仿宋" w:eastAsia="仿宋" w:cs="仿宋"/>
                <w:lang w:eastAsia="zh-CN"/>
              </w:rPr>
              <w:t>及以上</w:t>
            </w:r>
            <w:r>
              <w:rPr>
                <w:rFonts w:hint="eastAsia" w:ascii="仿宋" w:hAnsi="仿宋" w:eastAsia="仿宋" w:cs="仿宋"/>
              </w:rPr>
              <w:t>系统，系统自动控制可设置：手动模式、自动模式、光控模式、雨控模式、时控模式、杀虫时长、恢复出厂、用户密码；</w:t>
            </w:r>
          </w:p>
          <w:p>
            <w:pPr>
              <w:rPr>
                <w:rFonts w:hint="eastAsia" w:ascii="仿宋" w:hAnsi="仿宋" w:eastAsia="仿宋" w:cs="仿宋"/>
              </w:rPr>
            </w:pPr>
            <w:r>
              <w:rPr>
                <w:rFonts w:hint="eastAsia" w:ascii="仿宋" w:hAnsi="仿宋" w:eastAsia="仿宋" w:cs="仿宋"/>
              </w:rPr>
              <w:t>3、诱虫光源：20W黑光灯管，主波长365nm，经改装可接白炽灯；</w:t>
            </w:r>
          </w:p>
          <w:p>
            <w:pPr>
              <w:rPr>
                <w:rFonts w:hint="eastAsia" w:ascii="仿宋" w:hAnsi="仿宋" w:eastAsia="仿宋" w:cs="仿宋"/>
              </w:rPr>
            </w:pPr>
            <w:r>
              <w:rPr>
                <w:rFonts w:hint="eastAsia" w:ascii="仿宋" w:hAnsi="仿宋" w:eastAsia="仿宋" w:cs="仿宋"/>
              </w:rPr>
              <w:t>4、电源：AC220V；</w:t>
            </w:r>
          </w:p>
          <w:p>
            <w:pPr>
              <w:rPr>
                <w:rFonts w:hint="eastAsia" w:ascii="仿宋" w:hAnsi="仿宋" w:eastAsia="仿宋" w:cs="仿宋"/>
              </w:rPr>
            </w:pPr>
            <w:r>
              <w:rPr>
                <w:rFonts w:hint="eastAsia" w:ascii="仿宋" w:hAnsi="仿宋" w:eastAsia="仿宋" w:cs="仿宋"/>
              </w:rPr>
              <w:t xml:space="preserve">5、功率：≤450W； </w:t>
            </w:r>
          </w:p>
          <w:p>
            <w:pPr>
              <w:rPr>
                <w:rFonts w:hint="eastAsia" w:ascii="仿宋" w:hAnsi="仿宋" w:eastAsia="仿宋" w:cs="仿宋"/>
              </w:rPr>
            </w:pPr>
            <w:r>
              <w:rPr>
                <w:rFonts w:hint="eastAsia" w:ascii="仿宋" w:hAnsi="仿宋" w:eastAsia="仿宋" w:cs="仿宋"/>
              </w:rPr>
              <w:t>6、绝缘电阻：≥2.5MΩ（有漏电保护装置；）</w:t>
            </w:r>
          </w:p>
          <w:p>
            <w:pPr>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、电源稳压隔离器能保证输出电压220V±5V；</w:t>
            </w:r>
          </w:p>
          <w:p>
            <w:pPr>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、灯管启动时间：≤5s；</w:t>
            </w:r>
          </w:p>
          <w:p>
            <w:pPr>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、撞击屏：互成120°角</w:t>
            </w:r>
            <w:r>
              <w:rPr>
                <w:rFonts w:hint="eastAsia" w:ascii="仿宋" w:hAnsi="仿宋" w:eastAsia="仿宋" w:cs="仿宋"/>
                <w:lang w:val="en-US" w:eastAsia="zh-CN"/>
              </w:rPr>
              <w:t xml:space="preserve">  </w:t>
            </w:r>
            <w:r>
              <w:rPr>
                <w:rFonts w:hint="eastAsia" w:ascii="仿宋" w:hAnsi="仿宋" w:eastAsia="仿宋" w:cs="仿宋"/>
              </w:rPr>
              <w:t>单屏尺寸：长595mm±2mm、宽213±2mm、厚度5mm；</w:t>
            </w:r>
          </w:p>
          <w:p>
            <w:pP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、整体结构采用不锈钢；</w:t>
            </w:r>
          </w:p>
          <w:p>
            <w:pPr>
              <w:rPr>
                <w:rFonts w:hint="eastAsia" w:ascii="仿宋" w:hAnsi="仿宋" w:eastAsia="仿宋" w:cs="仿宋"/>
                <w:lang w:val="en-US" w:eastAsia="zh-CN"/>
              </w:rPr>
            </w:pPr>
            <w:r>
              <w:rPr>
                <w:rFonts w:hint="eastAsia" w:ascii="仿宋" w:hAnsi="仿宋" w:eastAsia="仿宋" w:cs="仿宋"/>
                <w:lang w:val="en-US" w:eastAsia="zh-CN"/>
              </w:rPr>
              <w:t>注：中标单位须在中标公告发布后3日内提供样机并逐一演示以上功能，未能满足要求的自行承担相应后果。</w:t>
            </w:r>
          </w:p>
          <w:p>
            <w:pPr>
              <w:tabs>
                <w:tab w:val="left" w:pos="6148"/>
              </w:tabs>
              <w:spacing w:line="400" w:lineRule="exact"/>
              <w:ind w:firstLine="315" w:firstLineChars="150"/>
              <w:jc w:val="center"/>
              <w:rPr>
                <w:rFonts w:hint="eastAsia" w:ascii="仿宋" w:hAnsi="仿宋" w:eastAsia="仿宋" w:cs="仿宋"/>
                <w:szCs w:val="21"/>
              </w:rPr>
            </w:pPr>
          </w:p>
        </w:tc>
        <w:tc>
          <w:tcPr>
            <w:tcW w:w="619" w:type="dxa"/>
            <w:vAlign w:val="center"/>
          </w:tcPr>
          <w:p>
            <w:pPr>
              <w:jc w:val="center"/>
              <w:rPr>
                <w:rFonts w:hint="eastAsia" w:ascii="仿宋" w:hAnsi="仿宋" w:eastAsia="仿宋" w:cs="仿宋"/>
                <w:szCs w:val="21"/>
              </w:rPr>
            </w:pPr>
            <w:r>
              <w:rPr>
                <w:rFonts w:hint="eastAsia" w:ascii="仿宋" w:hAnsi="仿宋" w:eastAsia="仿宋" w:cs="仿宋"/>
                <w:szCs w:val="21"/>
              </w:rPr>
              <w:t>台</w:t>
            </w:r>
          </w:p>
        </w:tc>
        <w:tc>
          <w:tcPr>
            <w:tcW w:w="928"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r>
    </w:tbl>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（三）采购标需执行国家的相关标准。</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农药产品符合国家对产品质量和产品有效期的规定和要求，农药包装及规格要符合国家规定。供方提供的货物须是全新的且保证不是库存或积压品，符合国家、部委或地方相关标准以及该产品的出厂标准。</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（四）服务标准、期限、效率等要求</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由供应商负责将采购物资运送到项目实施指定地点（运费由供货方负责）。</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（五）验收标准</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由采购人成立验收小组,按照采购合同的约定对中标人履约情况进行验收。需方有权对供方所交货物进行抽样检测检验。验收时,按照采购合同的约定对每一项产品、安全标准的履约情况进行确认。验收结束后,出具验收报告及项目总体评价,由验收双方共同签署。</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1、按照国家相关标准、行业标准、地方标准或者其他标准、规范验收；</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2、按照招标文件要求、投标文件响应和承诺验收；</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zh-CN"/>
        </w:rPr>
        <w:t>（六）其他要求</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1、投标人须明确投标产品的品牌、型号、厂家及产地等详细参数，否则为无效投标。</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zh-CN"/>
        </w:rPr>
        <w:t>投标人应就该项目完整投标（报价含安装，运输、培训、税费等综合费用），否则为无效投标。</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、投标人须对照节能产品政府采购清单，如果本次采购的产品属于强制采购范围的（国办发[2007]51号文），投标文件中须提供所投产品属于强制采购产品有效的证明材料且加盖投标单位公章，否则为无效投标。</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、所投产品已列入国家强制性产品认证的产品，投标文件中必须提供国家对实施强制性产品认证的有效证明材料且加盖投标人公章，否则为无效投标。（如3C等）</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val="zh-CN"/>
        </w:rPr>
        <w:t>、产品必须符合国家质量检测标准和本招标文件规定标准的全新正品现货，供货时提供随货物《产品合格证》及其它相关质量证明文件。</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、中标方需提供产品使用说明书及光盘</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并有义务进行有关使用培训。</w:t>
      </w:r>
    </w:p>
    <w:p>
      <w:pPr>
        <w:widowControl/>
        <w:shd w:val="clear" w:color="auto" w:fill="FFFFFF"/>
        <w:spacing w:line="360" w:lineRule="auto"/>
        <w:jc w:val="lef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、付款方式：</w:t>
      </w:r>
      <w:r>
        <w:rPr>
          <w:rFonts w:hint="eastAsia" w:ascii="仿宋" w:hAnsi="仿宋" w:eastAsia="仿宋" w:cs="仿宋"/>
          <w:b w:val="0"/>
          <w:bCs w:val="0"/>
          <w:sz w:val="30"/>
          <w:szCs w:val="30"/>
          <w:lang w:eastAsia="zh-CN"/>
        </w:rPr>
        <w:t>以签订合同为准</w:t>
      </w: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项目名称：禹州市农业农村局草地贪夜蛾监测防控项目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YZCG-G2019167</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禹州市农业农村局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禹州市画圣路中段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张女士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13608430689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第一标段：70</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w:t>
            </w:r>
            <w:r>
              <w:rPr>
                <w:rFonts w:hint="eastAsia" w:cs="宋体" w:asciiTheme="minorEastAsia" w:hAnsiTheme="minorEastAsia"/>
                <w:bCs/>
                <w:color w:val="FF0000"/>
                <w:sz w:val="24"/>
                <w:szCs w:val="24"/>
                <w:lang w:val="zh-CN"/>
              </w:rPr>
              <w:t>第二标段</w:t>
            </w:r>
            <w:r>
              <w:rPr>
                <w:rFonts w:hint="eastAsia" w:cs="宋体" w:asciiTheme="minorEastAsia" w:hAnsiTheme="minorEastAsia"/>
                <w:bCs/>
                <w:color w:val="FF0000"/>
                <w:sz w:val="24"/>
                <w:szCs w:val="24"/>
                <w:lang w:val="en-US" w:eastAsia="zh-CN"/>
              </w:rPr>
              <w:t>9.8万元，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 xml:space="preserve">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en-US" w:eastAsia="zh-CN"/>
              </w:rPr>
            </w:pPr>
            <w:r>
              <w:rPr>
                <w:rFonts w:hint="eastAsia"/>
                <w:lang w:val="zh-CN" w:eastAsia="zh-CN"/>
              </w:rPr>
              <w:t>按照河南省《关于优化政府采购营商环境有关问题的通知》（豫财购（</w:t>
            </w:r>
            <w:r>
              <w:rPr>
                <w:rFonts w:hint="eastAsia"/>
                <w:lang w:val="en-US" w:eastAsia="zh-CN"/>
              </w:rPr>
              <w:t>2019</w:t>
            </w:r>
            <w:r>
              <w:rPr>
                <w:rFonts w:hint="eastAsia"/>
                <w:lang w:val="zh-CN" w:eastAsia="zh-CN"/>
              </w:rPr>
              <w:t>）</w:t>
            </w:r>
            <w:r>
              <w:rPr>
                <w:rFonts w:hint="eastAsia"/>
                <w:lang w:val="en-US" w:eastAsia="zh-CN"/>
              </w:rPr>
              <w:t>4号文</w:t>
            </w:r>
            <w:r>
              <w:rPr>
                <w:rFonts w:hint="eastAsia"/>
                <w:lang w:val="zh-CN" w:eastAsia="zh-CN"/>
              </w:rPr>
              <w:t>）的要求，自己</w:t>
            </w:r>
            <w:r>
              <w:rPr>
                <w:rFonts w:hint="eastAsia"/>
                <w:lang w:val="en-US" w:eastAsia="zh-CN"/>
              </w:rPr>
              <w:t>2019年8月1日起，在全省政府采购和服务招投标活动中，不再向供应商收取投标保证金。非招标采购方式采购货物、工程和服务的，也不再向供应商收取投标保证金。</w:t>
            </w:r>
          </w:p>
          <w:p>
            <w:pPr>
              <w:tabs>
                <w:tab w:val="left" w:pos="1260"/>
              </w:tabs>
              <w:autoSpaceDE w:val="0"/>
              <w:autoSpaceDN w:val="0"/>
              <w:spacing w:line="360" w:lineRule="auto"/>
              <w:contextualSpacing/>
              <w:rPr>
                <w:rFonts w:hint="default"/>
                <w:lang w:val="en-US" w:eastAsia="zh-CN"/>
              </w:rPr>
            </w:pPr>
            <w:r>
              <w:rPr>
                <w:rFonts w:hint="eastAsia"/>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7"/>
        </w:numPr>
        <w:ind w:left="0" w:leftChars="0" w:firstLine="0" w:firstLineChars="0"/>
        <w:jc w:val="center"/>
        <w:rPr>
          <w:rFonts w:hint="eastAsia"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numPr>
          <w:ilvl w:val="0"/>
          <w:numId w:val="0"/>
        </w:numPr>
        <w:ind w:leftChars="0"/>
        <w:jc w:val="cente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color w:val="FF0000"/>
                <w:szCs w:val="21"/>
                <w:lang w:eastAsia="zh-CN"/>
              </w:rPr>
              <w:t>按照前附表中对于投标保证金的要求执行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本项目采用最低价评标办法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lang w:val="zh-CN"/>
        </w:rPr>
      </w:pPr>
      <w:bookmarkStart w:id="11" w:name="_GoBack"/>
      <w:bookmarkEnd w:id="11"/>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3.5 投标</w:t>
      </w:r>
      <w:r>
        <w:rPr>
          <w:rFonts w:hint="eastAsia" w:ascii="宋体" w:hAnsi="宋体"/>
          <w:b/>
          <w:bCs/>
          <w:color w:val="000000"/>
          <w:sz w:val="24"/>
          <w:szCs w:val="24"/>
          <w:lang w:eastAsia="zh-CN"/>
        </w:rPr>
        <w:t>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29"/>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004DA5"/>
    <w:multiLevelType w:val="singleLevel"/>
    <w:tmpl w:val="D8004DA5"/>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912B77"/>
    <w:rsid w:val="03A87C38"/>
    <w:rsid w:val="03C54AE6"/>
    <w:rsid w:val="04E739DE"/>
    <w:rsid w:val="06F62D3F"/>
    <w:rsid w:val="073C3FD1"/>
    <w:rsid w:val="07915898"/>
    <w:rsid w:val="080C2BBA"/>
    <w:rsid w:val="08FD5745"/>
    <w:rsid w:val="09DE6A13"/>
    <w:rsid w:val="0A5E16AE"/>
    <w:rsid w:val="0A7C3AAF"/>
    <w:rsid w:val="0A7F2B85"/>
    <w:rsid w:val="0A921673"/>
    <w:rsid w:val="0A9D66F0"/>
    <w:rsid w:val="0AB50907"/>
    <w:rsid w:val="0B01317F"/>
    <w:rsid w:val="0B0A7A28"/>
    <w:rsid w:val="0B2D2DC0"/>
    <w:rsid w:val="0B4F19F6"/>
    <w:rsid w:val="0B904EDB"/>
    <w:rsid w:val="0BBD5765"/>
    <w:rsid w:val="0C1D2223"/>
    <w:rsid w:val="0C3D4298"/>
    <w:rsid w:val="0C9523A6"/>
    <w:rsid w:val="0CA67F00"/>
    <w:rsid w:val="0D03591A"/>
    <w:rsid w:val="0DCB57BB"/>
    <w:rsid w:val="0E5D04D7"/>
    <w:rsid w:val="0F097319"/>
    <w:rsid w:val="0F3779B6"/>
    <w:rsid w:val="0F485C64"/>
    <w:rsid w:val="0F594FCA"/>
    <w:rsid w:val="0FD30C14"/>
    <w:rsid w:val="0FF37913"/>
    <w:rsid w:val="101B403B"/>
    <w:rsid w:val="10311832"/>
    <w:rsid w:val="10FA4534"/>
    <w:rsid w:val="116D26CD"/>
    <w:rsid w:val="11B45F4A"/>
    <w:rsid w:val="11C23651"/>
    <w:rsid w:val="11E13F76"/>
    <w:rsid w:val="121D0899"/>
    <w:rsid w:val="127B7E33"/>
    <w:rsid w:val="129267D1"/>
    <w:rsid w:val="12C422CE"/>
    <w:rsid w:val="13301DE9"/>
    <w:rsid w:val="13EB69AF"/>
    <w:rsid w:val="13EF2ABA"/>
    <w:rsid w:val="13EF4CCF"/>
    <w:rsid w:val="13EF7D11"/>
    <w:rsid w:val="140778EB"/>
    <w:rsid w:val="144A357E"/>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8C7FF1"/>
    <w:rsid w:val="1CB002B1"/>
    <w:rsid w:val="1CCF2F1D"/>
    <w:rsid w:val="1CFB73D3"/>
    <w:rsid w:val="1E8E722F"/>
    <w:rsid w:val="1EE2460E"/>
    <w:rsid w:val="1F782208"/>
    <w:rsid w:val="1F8E45BB"/>
    <w:rsid w:val="1FCA4D80"/>
    <w:rsid w:val="1FE15514"/>
    <w:rsid w:val="208614E5"/>
    <w:rsid w:val="20E47EF3"/>
    <w:rsid w:val="2157706F"/>
    <w:rsid w:val="21DD4A96"/>
    <w:rsid w:val="22A72D82"/>
    <w:rsid w:val="24317922"/>
    <w:rsid w:val="24D35795"/>
    <w:rsid w:val="25A60734"/>
    <w:rsid w:val="264C4453"/>
    <w:rsid w:val="265A28DC"/>
    <w:rsid w:val="26A274A4"/>
    <w:rsid w:val="26EC1901"/>
    <w:rsid w:val="271F4B16"/>
    <w:rsid w:val="275038F3"/>
    <w:rsid w:val="27CD14F5"/>
    <w:rsid w:val="280F7851"/>
    <w:rsid w:val="284D4D99"/>
    <w:rsid w:val="285C13AC"/>
    <w:rsid w:val="293275AA"/>
    <w:rsid w:val="293C5FB1"/>
    <w:rsid w:val="294C6543"/>
    <w:rsid w:val="29A55E19"/>
    <w:rsid w:val="29A61116"/>
    <w:rsid w:val="29F94CB1"/>
    <w:rsid w:val="2A31510A"/>
    <w:rsid w:val="2A553543"/>
    <w:rsid w:val="2A5955FE"/>
    <w:rsid w:val="2A745111"/>
    <w:rsid w:val="2AF87034"/>
    <w:rsid w:val="2B022C78"/>
    <w:rsid w:val="2B792340"/>
    <w:rsid w:val="2C014C3B"/>
    <w:rsid w:val="2C0621AA"/>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5833347"/>
    <w:rsid w:val="35EF4A6F"/>
    <w:rsid w:val="36046124"/>
    <w:rsid w:val="36B46A4A"/>
    <w:rsid w:val="36E65B38"/>
    <w:rsid w:val="375656B9"/>
    <w:rsid w:val="37627558"/>
    <w:rsid w:val="37B91083"/>
    <w:rsid w:val="37DC7055"/>
    <w:rsid w:val="386F74B3"/>
    <w:rsid w:val="398C59E3"/>
    <w:rsid w:val="39F004E9"/>
    <w:rsid w:val="39FD28B4"/>
    <w:rsid w:val="3AC47AB6"/>
    <w:rsid w:val="3ADD0A2E"/>
    <w:rsid w:val="3AFC098A"/>
    <w:rsid w:val="3B1A281E"/>
    <w:rsid w:val="3B4C7808"/>
    <w:rsid w:val="3B6B51C3"/>
    <w:rsid w:val="3B7A3E82"/>
    <w:rsid w:val="3B8D0CE8"/>
    <w:rsid w:val="3BA71EF1"/>
    <w:rsid w:val="3BB21DD4"/>
    <w:rsid w:val="3BD31557"/>
    <w:rsid w:val="3C1651F0"/>
    <w:rsid w:val="3C4F3B9D"/>
    <w:rsid w:val="3CAA5269"/>
    <w:rsid w:val="3CBF1608"/>
    <w:rsid w:val="3CC749D9"/>
    <w:rsid w:val="3CFB31CE"/>
    <w:rsid w:val="3DCA2531"/>
    <w:rsid w:val="3DDE3CDA"/>
    <w:rsid w:val="3E3A26DB"/>
    <w:rsid w:val="3EAD162F"/>
    <w:rsid w:val="3EBA6E8D"/>
    <w:rsid w:val="3EEB4587"/>
    <w:rsid w:val="3F263B0E"/>
    <w:rsid w:val="402E2BCD"/>
    <w:rsid w:val="414D7438"/>
    <w:rsid w:val="41A16B13"/>
    <w:rsid w:val="41EF3AE9"/>
    <w:rsid w:val="423A7A11"/>
    <w:rsid w:val="428968C5"/>
    <w:rsid w:val="42EA3B03"/>
    <w:rsid w:val="430D37F8"/>
    <w:rsid w:val="43420F67"/>
    <w:rsid w:val="43794304"/>
    <w:rsid w:val="43915150"/>
    <w:rsid w:val="43AF27C5"/>
    <w:rsid w:val="443E3AC2"/>
    <w:rsid w:val="444772BC"/>
    <w:rsid w:val="444D773E"/>
    <w:rsid w:val="44972791"/>
    <w:rsid w:val="44992AA3"/>
    <w:rsid w:val="44E67192"/>
    <w:rsid w:val="458D2A4C"/>
    <w:rsid w:val="459D509E"/>
    <w:rsid w:val="45A926DC"/>
    <w:rsid w:val="45FC4042"/>
    <w:rsid w:val="46F12E4D"/>
    <w:rsid w:val="477C4489"/>
    <w:rsid w:val="477E79DB"/>
    <w:rsid w:val="489A21DC"/>
    <w:rsid w:val="48BB1E61"/>
    <w:rsid w:val="48E44347"/>
    <w:rsid w:val="490E5A45"/>
    <w:rsid w:val="4A202849"/>
    <w:rsid w:val="4A710769"/>
    <w:rsid w:val="4AB4093D"/>
    <w:rsid w:val="4AE22F4C"/>
    <w:rsid w:val="4B536EA5"/>
    <w:rsid w:val="4C0E6E63"/>
    <w:rsid w:val="4C2A7CB6"/>
    <w:rsid w:val="4C7C667F"/>
    <w:rsid w:val="4CA91082"/>
    <w:rsid w:val="4CE031D2"/>
    <w:rsid w:val="4D673E15"/>
    <w:rsid w:val="4E8F0D2C"/>
    <w:rsid w:val="4EAC3EF4"/>
    <w:rsid w:val="4EAC4ADD"/>
    <w:rsid w:val="4EB72836"/>
    <w:rsid w:val="4ED23FD5"/>
    <w:rsid w:val="4EE945C2"/>
    <w:rsid w:val="4EFB1FC3"/>
    <w:rsid w:val="4F1B3CF0"/>
    <w:rsid w:val="4F3C1178"/>
    <w:rsid w:val="4F661CEB"/>
    <w:rsid w:val="4FEB5C49"/>
    <w:rsid w:val="506365C5"/>
    <w:rsid w:val="50CD0643"/>
    <w:rsid w:val="514F0F53"/>
    <w:rsid w:val="51CD1CB6"/>
    <w:rsid w:val="52660DCF"/>
    <w:rsid w:val="527B1821"/>
    <w:rsid w:val="5310611D"/>
    <w:rsid w:val="53276344"/>
    <w:rsid w:val="53293BFC"/>
    <w:rsid w:val="533D55CA"/>
    <w:rsid w:val="535D3032"/>
    <w:rsid w:val="53C97953"/>
    <w:rsid w:val="53F5577A"/>
    <w:rsid w:val="54104E3D"/>
    <w:rsid w:val="557D10C0"/>
    <w:rsid w:val="5590515E"/>
    <w:rsid w:val="562D2F69"/>
    <w:rsid w:val="56595575"/>
    <w:rsid w:val="5703196B"/>
    <w:rsid w:val="57140DA8"/>
    <w:rsid w:val="574A43AC"/>
    <w:rsid w:val="58077CBD"/>
    <w:rsid w:val="5812110B"/>
    <w:rsid w:val="582E1358"/>
    <w:rsid w:val="58705C1D"/>
    <w:rsid w:val="58F07D3C"/>
    <w:rsid w:val="58FD658D"/>
    <w:rsid w:val="594723CB"/>
    <w:rsid w:val="59A35A40"/>
    <w:rsid w:val="59A66C16"/>
    <w:rsid w:val="5A1C773F"/>
    <w:rsid w:val="5A29765C"/>
    <w:rsid w:val="5A2F717F"/>
    <w:rsid w:val="5B0C6CA4"/>
    <w:rsid w:val="5B9216C9"/>
    <w:rsid w:val="5BEB1849"/>
    <w:rsid w:val="5C7C747C"/>
    <w:rsid w:val="5CD864A5"/>
    <w:rsid w:val="5CFD3C28"/>
    <w:rsid w:val="5D6C6EF4"/>
    <w:rsid w:val="5E2C7B65"/>
    <w:rsid w:val="5E4E3D76"/>
    <w:rsid w:val="5EB8046C"/>
    <w:rsid w:val="5EC23D91"/>
    <w:rsid w:val="5EEA6FD8"/>
    <w:rsid w:val="5EF27118"/>
    <w:rsid w:val="5F91300B"/>
    <w:rsid w:val="5FBC5F82"/>
    <w:rsid w:val="5FBD74DE"/>
    <w:rsid w:val="601812B8"/>
    <w:rsid w:val="607E4371"/>
    <w:rsid w:val="60BD0412"/>
    <w:rsid w:val="61160D33"/>
    <w:rsid w:val="616C5D6E"/>
    <w:rsid w:val="616D73B4"/>
    <w:rsid w:val="61775FA5"/>
    <w:rsid w:val="619B680C"/>
    <w:rsid w:val="61D03C0D"/>
    <w:rsid w:val="62134625"/>
    <w:rsid w:val="62E53998"/>
    <w:rsid w:val="63982BE7"/>
    <w:rsid w:val="63BC73C0"/>
    <w:rsid w:val="648D2FFF"/>
    <w:rsid w:val="656839C3"/>
    <w:rsid w:val="65725730"/>
    <w:rsid w:val="65B92974"/>
    <w:rsid w:val="65C80747"/>
    <w:rsid w:val="662C2796"/>
    <w:rsid w:val="666309EF"/>
    <w:rsid w:val="6663275D"/>
    <w:rsid w:val="672B7704"/>
    <w:rsid w:val="6753455D"/>
    <w:rsid w:val="67772858"/>
    <w:rsid w:val="67C81F6D"/>
    <w:rsid w:val="68594ADA"/>
    <w:rsid w:val="68741D48"/>
    <w:rsid w:val="68E9147D"/>
    <w:rsid w:val="696F6DFA"/>
    <w:rsid w:val="6A4B6AF1"/>
    <w:rsid w:val="6AB31C19"/>
    <w:rsid w:val="6B357A50"/>
    <w:rsid w:val="6B5B7DCB"/>
    <w:rsid w:val="6BB95672"/>
    <w:rsid w:val="6C1E4AF0"/>
    <w:rsid w:val="6C4712E8"/>
    <w:rsid w:val="6C9C46AE"/>
    <w:rsid w:val="6CE55F45"/>
    <w:rsid w:val="6CF84FFD"/>
    <w:rsid w:val="6D8D5D8A"/>
    <w:rsid w:val="6DE87E82"/>
    <w:rsid w:val="6DFC3DF2"/>
    <w:rsid w:val="6E206853"/>
    <w:rsid w:val="6E673C05"/>
    <w:rsid w:val="6E6F4DC3"/>
    <w:rsid w:val="6E7511ED"/>
    <w:rsid w:val="6E76180E"/>
    <w:rsid w:val="6ED546F7"/>
    <w:rsid w:val="6F272507"/>
    <w:rsid w:val="6F732E09"/>
    <w:rsid w:val="6FF11A89"/>
    <w:rsid w:val="70117814"/>
    <w:rsid w:val="70602224"/>
    <w:rsid w:val="70C1699F"/>
    <w:rsid w:val="714C7118"/>
    <w:rsid w:val="71617265"/>
    <w:rsid w:val="71703975"/>
    <w:rsid w:val="71C32A07"/>
    <w:rsid w:val="71E53350"/>
    <w:rsid w:val="720E5D3A"/>
    <w:rsid w:val="72254E2A"/>
    <w:rsid w:val="72716A1C"/>
    <w:rsid w:val="72ED3426"/>
    <w:rsid w:val="73184127"/>
    <w:rsid w:val="73685760"/>
    <w:rsid w:val="73733509"/>
    <w:rsid w:val="73D40348"/>
    <w:rsid w:val="741E2D66"/>
    <w:rsid w:val="74A56362"/>
    <w:rsid w:val="74AB41BE"/>
    <w:rsid w:val="75CD58E4"/>
    <w:rsid w:val="75EA3934"/>
    <w:rsid w:val="7703633E"/>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6766EF"/>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3"/>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4"/>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5"/>
    <w:qFormat/>
    <w:uiPriority w:val="99"/>
    <w:rPr>
      <w:sz w:val="18"/>
      <w:szCs w:val="18"/>
    </w:rPr>
  </w:style>
  <w:style w:type="character" w:customStyle="1" w:styleId="38">
    <w:name w:val="页眉 Char"/>
    <w:basedOn w:val="24"/>
    <w:link w:val="16"/>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2"/>
    <w:semiHidden/>
    <w:qFormat/>
    <w:uiPriority w:val="99"/>
  </w:style>
  <w:style w:type="character" w:customStyle="1" w:styleId="54">
    <w:name w:val="正文首行缩进 Char"/>
    <w:basedOn w:val="53"/>
    <w:link w:val="20"/>
    <w:qFormat/>
    <w:uiPriority w:val="0"/>
    <w:rPr>
      <w:rFonts w:ascii="宋体" w:hAnsi="Times New Roman" w:eastAsia="宋体" w:cs="Times New Roman"/>
      <w:kern w:val="0"/>
      <w:sz w:val="34"/>
      <w:szCs w:val="20"/>
    </w:rPr>
  </w:style>
  <w:style w:type="character" w:customStyle="1" w:styleId="55">
    <w:name w:val="HTML 预设格式 Char"/>
    <w:basedOn w:val="24"/>
    <w:link w:val="18"/>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6</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2019-08-01T07:15:39Z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