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河南省禹州市职业中等专业学校采购新能源汽车</w:t>
      </w:r>
    </w:p>
    <w:p>
      <w:pPr>
        <w:jc w:val="center"/>
        <w:rPr>
          <w:rFonts w:ascii="微软简隶书" w:eastAsia="微软简隶书"/>
          <w:color w:val="000000"/>
        </w:rPr>
      </w:pPr>
      <w:r>
        <w:rPr>
          <w:rFonts w:hint="eastAsia" w:ascii="微软雅黑" w:hAnsi="微软雅黑" w:eastAsia="微软雅黑" w:cs="微软雅黑"/>
          <w:b/>
          <w:bCs/>
          <w:sz w:val="36"/>
          <w:szCs w:val="36"/>
          <w:lang w:eastAsia="zh-CN"/>
        </w:rPr>
        <w:t>实训设备项目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河南省禹州市职业中等专业学校</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162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河南省禹州市职业中等专业学校采购新能源汽车</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实训设备项目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局的委托，就“河南省禹州市职业中等专业学校采购新能源汽车实训设备项目”进行公开招标，欢迎合格的投标人前来投标。</w:t>
      </w:r>
    </w:p>
    <w:p>
      <w:pPr>
        <w:pStyle w:val="58"/>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采购人：河南省禹州市职业中等专业学校</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：河南省禹州市职业中等专业学校采购新能源汽车实训设备项目</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162</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新能源汽车实训设备</w:t>
      </w:r>
      <w:r>
        <w:rPr>
          <w:rFonts w:hint="eastAsia" w:ascii="新宋体" w:hAnsi="新宋体" w:eastAsia="新宋体" w:cs="新宋体"/>
          <w:color w:val="000000"/>
          <w:kern w:val="0"/>
          <w:sz w:val="24"/>
          <w:szCs w:val="24"/>
        </w:rPr>
        <w:t>等（详见招标文件）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65.5</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65.5</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21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10</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（二）采购单位：河南省禹州市职业中等专业学校</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禹州市药城路</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王</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0374-8816068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31</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7"/>
        </w:numPr>
        <w:shd w:val="clear" w:color="auto" w:fill="FFFFFF"/>
        <w:spacing w:line="360" w:lineRule="auto"/>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rPr>
        <w:t>本项目需实现的功能或者目标</w:t>
      </w:r>
    </w:p>
    <w:p>
      <w:pPr>
        <w:pStyle w:val="28"/>
        <w:rPr>
          <w:rFonts w:hint="default"/>
          <w:lang w:val="en-US" w:eastAsia="zh-CN"/>
        </w:rPr>
      </w:pPr>
      <w:r>
        <w:rPr>
          <w:rFonts w:hint="default"/>
          <w:lang w:val="en-US" w:eastAsia="zh-CN"/>
        </w:rPr>
        <w:t xml:space="preserve"> 采购的各项设备是为了满足新能源汽车整车结构认知、拆装、故障诊断实训，打造“理虚实”一体化整车教学、研训模式，对接新能源行业发展，对接企业典型工作岗位需求，创新教学模式，扩展教学手段，可以为汽车专业学生提供更好的实训环境和更多的实践机会，从而提升本专业学生的业务能力，毕业后能更快融入社会！</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2"/>
        <w:tblW w:w="9085" w:type="dxa"/>
        <w:tblInd w:w="0" w:type="dxa"/>
        <w:tblLayout w:type="fixed"/>
        <w:tblCellMar>
          <w:top w:w="0" w:type="dxa"/>
          <w:left w:w="0" w:type="dxa"/>
          <w:bottom w:w="0" w:type="dxa"/>
          <w:right w:w="0" w:type="dxa"/>
        </w:tblCellMar>
      </w:tblPr>
      <w:tblGrid>
        <w:gridCol w:w="435"/>
        <w:gridCol w:w="571"/>
        <w:gridCol w:w="6091"/>
        <w:gridCol w:w="709"/>
        <w:gridCol w:w="569"/>
        <w:gridCol w:w="710"/>
      </w:tblGrid>
      <w:tr>
        <w:tblPrEx>
          <w:tblLayout w:type="fixed"/>
          <w:tblCellMar>
            <w:top w:w="0" w:type="dxa"/>
            <w:left w:w="0" w:type="dxa"/>
            <w:bottom w:w="0" w:type="dxa"/>
            <w:right w:w="0" w:type="dxa"/>
          </w:tblCellMar>
        </w:tblPrEx>
        <w:trPr>
          <w:trHeight w:val="740" w:hRule="atLeast"/>
        </w:trPr>
        <w:tc>
          <w:tcPr>
            <w:tcW w:w="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序号</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设备名称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技术参数及描述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数量</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单位</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b/>
                <w:bCs/>
                <w:kern w:val="0"/>
                <w:sz w:val="24"/>
                <w:szCs w:val="24"/>
              </w:rPr>
            </w:pPr>
            <w:r>
              <w:rPr>
                <w:rFonts w:hint="eastAsia" w:ascii="新宋体" w:hAnsi="新宋体" w:eastAsia="新宋体" w:cs="新宋体"/>
                <w:b/>
                <w:color w:val="000000"/>
                <w:kern w:val="0"/>
                <w:sz w:val="24"/>
                <w:szCs w:val="24"/>
              </w:rPr>
              <w:t>是否核心产品（是/否）</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整车实训系统</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（1）能源类型：纯电动；续航里程：400km；电机类型：永磁同步电机；最大功率：120 kw；电池类型：三元锂电池；电池容量：153Ah。</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（2）具备高压配电保护、继电器状态检测保护、预充电检测和主动放电安全管理、绝缘检测安全管理、碰撞安全管理、物理隔离保护、互锁检测等保护策略。</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（3）车辆采用轻量化高能智控电池系统及ITCS2.0智能温控系统；配置HEDS高效电驱系统；配置智能高效精敏电控系统。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车辆配备原厂电池管理系统（BMS）、整车控制器（VCU）、电机控制器（PEU）、车载充电机（OBC）等系统低压线束连接器无损对插转接盒（内置PCB板电路封装）及适配线束，可实现车辆被测系统与整车故障设置平台和故障检测盒的快速连接。</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辆</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2</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纯电动车故障设置检测实训台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产品组成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汽车整车控制系统故障考训盒，是一款不破坏原车线路，不进行任何改装的新一代汽车故障诊断考训设备，在智能终端一键设置故障，故障排除后，对原车性能无任何影响。可以运用于日常教学、培训、竞赛、考核等。汽车整车控制系统故障考训盒主要包含五大部分：①汽车故障考训盒；②车辆通信线束；③移动端控制APP；④安卓平板电脑；⑤航空拉杆箱。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考训盒要求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★汽车故障考训盒内部采用精密电子器件与车用继电器，内置工业级WIFI，不占用网络流量，随时随地使用。可以使用诊断仪在实车上进行故障查询、清除、读取数据流。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2)故障控制参数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① 故障点数：20个以上（实际故障点以实际车型为准）；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② 可设置故障类型：断路故障、短路故障。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机箱基本参数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① 外形尺寸：60cm(L) x 40cm(W) x 13cm(H)；</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② 设备接口：55PIN高品质航空插头x3；12PIN高品质航空插头 x1；D形电源插座(带开关) x1；</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③ 测试孔：2mm专业测试用面板插座；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④ 开关：高品质带灯金属开关。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⑤ 可以使用万用表或示波仪在机箱上进行检测。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机箱运行参数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① 输入电压：100~240VAC  50/60Hz；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② 最大功耗：60W；</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③ 环境温度：0℃~50℃；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④ 环境湿度：20%~80%。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车辆通信线束要求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车辆通信线束采用优秀工艺及优质材料，保证信号传输的完整性及可靠性。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材质规格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① 信号线缆：优质多股镀锡铜线，外层材质FEP铁氟龙，可耐200摄氏度高温；</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② 接插件：线束与车辆通信部分选用原车接插件或是优质汽车接插件；线束与汽车故障考训盒连接部分选用优质航空插头；</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③ 包装材料：选用优质车用波纹管作为外包装，可靠、耐磨。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移动端控制APP</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移动端APP运行环境： Android 2.3.1以上版本；</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移动端APP安装汽车故障考训盒控制软件。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★可采用平板电脑或智能手机终端，进行软件下载安装。并在终端上登录软件进行故障设置和排除，配备使用视频教程。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故障点要求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该汽车故障考训盒考训系统，支持汽车故障点以实际车型为准，以下为新能源车型故障点的参考：</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新能源车型控制器故障点如：油门深度2、油门深度电源2、油门深度电源1、油门深度1、油门深度电源地1、油门深度电源地2、刹车深度1、刹车深度电源1、刹车深度电源2、刹车深度2、刹车深度电源地2、刹车深度电源地1、励磁+、正弦+、余弦+、励磁-、正弦-、余弦-、电机绕组温度、电机模拟温度地、巡航地、巡航信号、充电电流确认信号、充电控制信号1、充电枪座温度信号1、充电枪温度1地、外部提供常火电、ECO开关 运动经济模式输入、制动灯开关制动信号、BMS充电连接信号、BCM充电连接信号、动力网CANH、动力网CANL、动力网CANH、动力网CANL、直流霍尔屏蔽地、直流霍尔信号、直流霍尔电源+、直流霍尔电源-、交流充电接触器控制信号、直流充电负极接触器控制信号、直流充电正极接触器控制信号、主预充接触器控制信号、主接触器控制信号、一般漏电信号、严重漏电信号、高压互锁+、高压互锁-、主接触器/预充接触器电源、交直流充电正负极接触器电源、VCC双路电电源、VCC双路电电源。</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1087"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3</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纯电动汽车结构原理展示台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一、功能说明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结构展示：以爆炸的方式展示纯电动汽车动力系统的结构。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零件独显：双击零件，可进入零件独显模式，在独显模式中可通过旋转、缩放单独的查看零件的结构。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原理演示：模拟纯电动汽车动力系统及组件的工作原理。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功能介绍：通过文字和语音介绍各个系统和组件的功能。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★展示特效：模拟比亚迪E5运行时的油、气、水、电、机械运动等特效，显示水道、油道、电路等。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手势操作：触摸操作，支持单点旋转滑动旋转，2点缩放，3点平移等操作。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 零部件名称显示：结构爆炸后的零件可显示或隐藏零件原厂维修手册对应名称。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 辅助功能：左右两侧均可显示结构原理的内容目录、具有锁屏和关闭声音功能。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 旋转限制：上旋转幅度70°，下旋转幅度45°，左右旋转幅度360°。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二、内容要求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★根据课程内容要求，能够共完成电源系统、电驱系统、电控系统的结构和原理的课程内容，具体内容包含如下：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电源系统 结构原理 动力电池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电池管理系统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充电系统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DC-DC转换系统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动力电池温控系统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电驱系统 结构原理 永磁同步电机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驱动电机控制器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减速器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旋转变压器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电驱系统冷却系统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电控系统 结构原理 配电系统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  保护系统 结构原理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三、技术要求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★采用Unity 纯三维引擎交互技术，360度全方位展示比亚迪E5动力系统，随时缩放大小以方便结构展示操作。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采用多点触摸操作方式加强用户交互体验舒适度。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运行在智能触摸交互平板，清晰的展示结构与原理内容。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支持在线更新的方式，用户更方便快捷的更新内容。</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4</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纯电动汽车虚拟拆装台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一、功能说明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纯电动汽车动力系统虚拟拆装台（适用比亚迪E5）根据教学设计要求分为三种应用模式，分别为演示模式、训练模式、考核模式，其中演示模式主要是教师进行课堂教学使用，训练模式是学生自主进行学习任务的训练和学习使用，考核模式是学生进行学习任务的检验使用。以下为三种模式下的功能特点说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1、演示模式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拆装步骤工单：依据原厂维修手册，梳理每个任务的拆装步骤。</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工具提示：通过工具图片的显示，提示该步骤中所需工具型号和名称以及工艺参数。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步骤跳转：可以任意选择拆装工单中的步骤进行跳转。</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自动操作：使用自动操作功能，每个拆装步骤都可以自动拆装、自动组合工具。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无工具拆装：双击当前步骤的拆装零件，可自动进行拆装操作。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内容提示：针对拆装任务中的重点、难点、注意事项内容，对应其所在的步骤中，通过语音、图片进行内容提示。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 零件独显：每个拆装任务的零部件，在完成拆卸操作后，在零件桌上可以选择任意零件进行单独显示，同时可以对零件进行缩放、旋转等操作。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 部件提示：每一步骤中需拆装的零件和工具，通过高亮显示拆装零件和工具的外轮廓，进行提示。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 新手引导功能：在使用帮助的界面中，提供新手操作帮助指导，按照提示步骤操作，熟悉软件的操作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2、训练模式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拆装步骤排序：在进行拆装任务之前，通过选择零部件的图片进行拆装顺序的排序，梳理拆装的大致流程。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拆装步骤工单：依据原厂维修手册，梳理每个任务的拆装步骤。</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部件提示：每一步骤中需拆装的零件和工具，通过高亮显示拆装零件和工具的外轮廓，进行提示。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小测验：针对拆装步骤中的重点、难点的知识内容，转换成测验题供学生作答。</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帮助提示：拆装任务中测验题、工具选择、螺栓拆装顺序这三个内容，在遇到不能正确选择时，软件会提供正确答案供学生学习，掌握所缺的知识内容。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操作评价：学生在完成拆装任务操作后，软件和即时评价，方便学生知道自己的训练情况。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 维修手册：提供原厂的拆装手册资料。</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 螺栓拆装顺序：步骤中有拆装顺序的螺栓，需要正确选择拆装顺序。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 新手引导功能：在使用帮助的界面中，提供新手操作帮助指导，按照提示步骤操作，熟悉软件的操作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3、考核模式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零件桌：提供一个放置拆卸下来的零部件的桌面工具。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工具车：提供世达的150件套工具、新能源汽车高压拆装专用工具。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维修手册：提供原厂的拆装手册资料。</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考核得分：完成拆装任务后，软件即时对学生的考核情况进行评分。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考核倒计时：根据设置的考试时间进行计时，时间结束后，自动提交考核。</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当前步骤提示：提示当前步骤的拆装内容，供学生参考。</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 新手引导功能：在使用帮助的界面中，提供新手操作帮助指导，按照提示步骤操作，熟悉软件的操作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4、通用功能内容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虚拟工具车：提供世达的150件套工具、新能源汽车高压拆装专用工具。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虚拟整车：模拟真实比亚迪 E5整车模型。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手势操作：提供缩放、旋转、视角定位重置等操作。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音效模拟：模拟工具在使用中的音效表现。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维修资料：供原厂的拆装手册资料。</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使用帮助：介绍软件的各项功能的内容说明和操作说明。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二、内容要求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★根据课程内容要求，产品内容包含：高压电控总成拆装、动力电池总成拆装、驱动电机及减速器拆装、电动力转向助力系统、制动助力系统（真空泵）拆装、空调压缩机拆装。</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三、技术要求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★采用Unity 纯三维引擎交互技术，360度全方位展示比亚迪E5整车，随时缩放大小以方便拆装操作。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采用多点触摸操作方式加强用户交互体验舒适度。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运行在智能触摸交互平板，清晰的展示拆装过程。</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108" w:type="dxa"/>
            <w:bottom w:w="0" w:type="dxa"/>
            <w:right w:w="108" w:type="dxa"/>
          </w:tblCellMar>
        </w:tblPrEx>
        <w:trPr>
          <w:trHeight w:val="402" w:hRule="atLeast"/>
        </w:trPr>
        <w:tc>
          <w:tcPr>
            <w:tcW w:w="4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5</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锂电池实训系统</w:t>
            </w:r>
          </w:p>
        </w:tc>
        <w:tc>
          <w:tcPr>
            <w:tcW w:w="60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训练台采原车动力电池包，实现动力电池及管理系统教学。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二、功能特点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1、电池包标称电压633.6V ，容量75AH（47.5度电），单体电池3.2V  75AH，198个串联；支持原车纯电续航305Km；采用分布式电池管理系统，由1个电池管理控制器（BMC）和13个电池信息采集器（BIC）及1套动力电池采样线组成。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电池管理控制器的主要功能有充放电管理、接触器控制、功率控制、电池异常状态报警和保护、SOC/SOH计算、自检以及通讯功能等；电池信息采集器的主要功能有电池电压采样、温度采样、电池均衡、采样线异常检测等；动力电池采样线的主要功能是连接电池管理控制器和电池信息采集器，实现二者之间的通讯及信息交换；</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3、训练台具有4个测试工位，4个工位可同时对电信号进行测量，如电压信号、电阻信息、频率信号等。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训练台检测面板丝印彩色电池管理系统电路原理图，检测面板采用黑色亚克力材质；检测端子名称采用白色字体丝印，并标注与原理图上线路连接关系对应的数字；检测面板平铺，检测面板左上角丝印原车线束插接器BK45(A)、BK45(B)端子排列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训练台可检测：高压互锁输入、高压互锁输出、正极接触器控制、正极接触器电源、整车CAN-H、整车CAN-L、采集器电源地1、供电电源正极、分压接触器2电源、分压接触器1电源、负极接触器电源、分压接触器2控制、分压接触器1控制、负极接触器控制、碰撞信号等典型信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6、训练台配置智能故障设置与考核系统，实现故障设置与恢复。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7、训练台可与纯电动汽车高压电控总成训练台、纯电动汽车电驱动系统训练台、纯电动汽车电动空调训练台、纯电动汽车电控助力转向训练台、纯电动汽车车身电气训练台等互联互动，为互联设备提供能量源。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8、训练台采用黑色镀膜铝塑性材料，底部安装6个万向脚轮，脚轮带自锁装置，可以固定位置。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9、产品尺寸：约 2900mm* 1400mm* 1250mm （长*宽*高）</w:t>
            </w:r>
          </w:p>
          <w:p>
            <w:pPr>
              <w:widowControl/>
              <w:jc w:val="center"/>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6</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新能源汽车电池虚拟结构原理展示台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 功能要求</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 结构展示：以爆炸的方式展示铅酸蓄电池、镍氢电池、三元锂电池、磷酸铁锂电池的结构。</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 原理演示：模拟铅酸蓄电池、镍氢电池、三元锂电池、磷酸铁锂电池的工作原理。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 ★展示特效：模拟铅酸蓄电池、镍氢电池、三元锂电池、磷酸铁锂电池中化学反应。</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 手势操作：触摸操作，支持2点缩放，滑动旋转，3点平移，双击重置等操作。</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5) 零部件名称显示：结构爆炸后的零件可显示或隐藏对应的名称。</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6) 旋转限制：上旋转幅度70°，下旋转幅度45°，左右旋转幅度360°。</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 内容要求</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 ★提供铅酸蓄电池、镍氢电池、三元锂电池、磷酸铁锂电池共13个结构展示、9个原理演示。</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 ★13个结构展示包含电池结构、铅酸蓄电池结构、铅酸蓄电池壳体结构、铅酸蓄电池电芯结构、镍氢电池结构、镍氢电池壳体结构、镍氢电池电芯结构、三元锂电池结构、三元锂电池壳体结构、三元锂电池电芯结构、磷酸铁锂电池结构、磷酸铁锂电池壳体结构、磷酸铁锂电池电芯结构。</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 ★9个原理演示包含电池原理、铅酸蓄电池原理、铅酸蓄电池电芯原理、镍氢电池原理、镍氢电池电芯原理、三元锂电池原理、三元锂电池电芯原理、磷酸铁锂电池原理、磷酸铁锂电池电芯原理。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 技术要求</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 结构展示必须展示真实零件的标记、零件特征。</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 原理必须模拟铅酸蓄电池、镍氢电池、三元锂电池、磷酸铁锂电池亏电、充电、满电、放电状态下的化学反应特效。</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 ★采用Unity 纯三维引擎交互技术，360度全方位展示，随时缩放大小以方便结构展示。</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 采用多点触摸操作方式加强用户交互体验舒适度。</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5) 支持在线更新的方式，用户更方便快捷的更新内容。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7</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小剪举升机</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1.剪形隐藏式平板结构,占用空间小。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2.进口液压、气动及电器元器件，设备运行平稳。</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3.气动宽齿自锁保险及防管爆装置,安全可靠。</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4.便于轮胎拆卸和底盘检修。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5.升程2M,同类产品中升程ZU高,平台长度可调,适合各种车型。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1.举升重量为3.0T。</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2.举升高度为330-2160mm。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3.顶板长度为1540-1740 mm。</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8</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双柱举升机（龙门举升）</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性能特点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1.机械保险装置，双边手动解锁，手动下降。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2.双液压缸链条驱动，钢丝绳平衡系统，最大举升高度1910mm。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3.整体立柱龙门式设计，不阻碍地面空间。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4.高分子超耐磨滑块，使用寿命更长久。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5.设有高精密举升托臂回转角锁定装置，托臂锁定摆动极小。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6.两节螺旋无级调节支承托盘。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7.设顶梁举升高度限位，保护人车安全。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技术参数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最大举升重量:4000kg</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最大举升高度:1910mm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托臂初始高度:110mm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上升时间:≤45s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下降时间:≤45s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电机功率:2.2kw</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电源电压标配:380V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机器噪音:≤70dB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型号 U-40A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举升重量4000kg最低高度110mm举升高度1910mm机器高度3750mm机器宽度3420mm通车宽度2616mm上升时间≤45s下降时间≤45s功率2.2kw</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9</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大剪式举升机</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性能特点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1.机型优美，双层隐藏式结构，同步性能优越。</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2.水平精度可调，适合各种高精密四轮定位。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3.便于轮胎拆卸和底盘检修。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4.前轮转角盘（选配件）位置可调，加长后轮侧滑板。</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5.气动双齿自锁保险及防管爆装置，下降自动开启，免加油超耐磨材料滑动块。</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6.关键部分采用进口优质液压、电器元器件。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7.具有液压锁和机械双齿保险爪双重安全保险装置，下降自动开启，通过锁定操作可以使保险爪实现反靠定位，安全可靠。</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技术参数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电机功率:2.2kw</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电源电压:380V/220V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机器噪音:＜70dB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气源压力:6-8kg/cm²</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工作环境温度:5-40℃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工作环境湿度:30-95%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运输、贮存高度:-25-55℃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型号 U-Y35D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举升重量3500kg举升高度1850mm整机长度4750mm平台长度4250mm子机长度1400mm转盘区域1020mm侧滑长度1380mm子机高度450mm平台高度330mm平台宽度620mm上升时间≤55s下降时间≤55s整机宽度2040mm</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10</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数字兆欧表</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额定电压1000V测量范围0.0~99.9 MΩ 100~999 MΩ 1.00～1.99GΩ开路电压DC1000V 20%-0%额定电流1MΩ负荷时 1mA——1.2mA短路电路约 1.3mA精确度+-5%rdg+-3%dgt/</w:t>
            </w:r>
          </w:p>
          <w:p>
            <w:pPr>
              <w:widowControl/>
              <w:jc w:val="left"/>
              <w:rPr>
                <w:rFonts w:hint="eastAsia" w:ascii="新宋体" w:hAnsi="新宋体" w:eastAsia="新宋体" w:cs="新宋体"/>
                <w:kern w:val="0"/>
                <w:sz w:val="24"/>
                <w:szCs w:val="24"/>
              </w:rPr>
            </w:pPr>
          </w:p>
          <w:p>
            <w:pPr>
              <w:widowControl/>
              <w:jc w:val="center"/>
              <w:rPr>
                <w:rFonts w:hint="eastAsia" w:ascii="新宋体" w:hAnsi="新宋体" w:eastAsia="新宋体" w:cs="新宋体"/>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11</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钳形电流表</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rPr>
                <w:rFonts w:hint="eastAsia" w:ascii="新宋体" w:hAnsi="新宋体" w:eastAsia="新宋体" w:cs="新宋体"/>
                <w:kern w:val="0"/>
                <w:sz w:val="24"/>
                <w:szCs w:val="24"/>
              </w:rPr>
            </w:pPr>
            <w:r>
              <w:rPr>
                <w:rFonts w:hint="eastAsia" w:ascii="新宋体" w:hAnsi="新宋体" w:eastAsia="新宋体" w:cs="新宋体"/>
                <w:kern w:val="0"/>
                <w:sz w:val="24"/>
                <w:szCs w:val="24"/>
              </w:rPr>
              <w:t>过夹钳进行交流电流测量 1000A 0.1A 2%±5digit(10-100Hz)</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5%±5digit(100-500Hz)</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通过 iFlex™ 进行交流电流测量 2500A 0.1A/1A 3%±5digit(45-500Hz)</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直流电流 1000A 0.1A 2%±5digit</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交流电压 600.0V/1000V 0.1V/1V 1.5%±5digit(20-500Hz)</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直流电压 600.0V/1000V 0.1V/1V 1%±5digit</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电阻 600Ω/6KΩ/60KΩ 0.1Ω/1Ω/10Ω 1%±5digit</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频率 500Hz 0.1 Hz 0.5%±5digit</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真有效值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通断检测 &lt;=30Ω</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保持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背光照明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最小值/最大值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涌流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低通滤波器 •</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远程显示屏 •</w:t>
            </w:r>
          </w:p>
          <w:p>
            <w:pPr>
              <w:widowControl/>
              <w:jc w:val="center"/>
              <w:rPr>
                <w:rFonts w:hint="eastAsia" w:ascii="新宋体" w:hAnsi="新宋体" w:eastAsia="新宋体" w:cs="新宋体"/>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108" w:type="dxa"/>
            <w:bottom w:w="0" w:type="dxa"/>
            <w:right w:w="108" w:type="dxa"/>
          </w:tblCellMar>
        </w:tblPrEx>
        <w:trPr>
          <w:trHeight w:val="402" w:hRule="atLeast"/>
        </w:trPr>
        <w:tc>
          <w:tcPr>
            <w:tcW w:w="4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12</w:t>
            </w:r>
          </w:p>
        </w:tc>
        <w:tc>
          <w:tcPr>
            <w:tcW w:w="57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高压安全防护套装</w:t>
            </w:r>
          </w:p>
        </w:tc>
        <w:tc>
          <w:tcPr>
            <w:tcW w:w="6091" w:type="dxa"/>
            <w:tcBorders>
              <w:top w:val="single" w:color="000000" w:sz="4" w:space="0"/>
              <w:left w:val="single" w:color="000000" w:sz="4" w:space="0"/>
              <w:bottom w:val="single" w:color="000000" w:sz="4" w:space="0"/>
              <w:right w:val="single" w:color="000000" w:sz="4" w:space="0"/>
            </w:tcBorders>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防电压：500KV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配套：手套 上衣含帽 下裤  手套  导电鞋  导电袜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可以近距离接触，严谨拆开穿，所有均为一套，必须全部配备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严谨上穿导电衣服，下穿绝缘鞋等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采用金属纤维与柞蚕丝混纺后与蒙乃尔合金丝并捻交织而成，产品具有优良可靠的电气性能和阻燃性能，在服装款式上对传统式样进行了改进，使其更加实用、美观、舒适、安全、可靠。产品经国家电力公司武汉高压研究所检测，各项指标均优于GB6568.1-2000标准规定的指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适合高压场所使用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1:适用范围:100kV-500kV输变电设备带电作业</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2:屏蔽服型式: :分体式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3:屏蔽效率: :大于等于40dB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4:衣料电阻:小于800兆欧</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5:熔断电流:大于等于30A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6:燃烧炭化面积:小于等于100cm2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7:透气性能:透过衣料的空气流量大于35L/m2.s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8:衣料径向断裂度:大于343N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9:衣料纬向断裂度:大于294N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10:断裂伸长率:大于10%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11:任意两个最远端</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电阻:小于15欧姆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12:手套及短袜电阻:小于15欧姆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13:鞋子电阻:小于500欧姆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13</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常用绝缘工具套装</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绝缘工具包括全套的绝缘尖嘴钳、绝缘电工钳、绝缘一字批、绝缘十字批、绝缘单、开口扳手、绝缘单梅花开口扳手、绝缘套筒、绝缘棘轮扳手、绝缘接杆、绝缘内六角、扳手等。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线束维修工具套装。</w:t>
            </w:r>
          </w:p>
          <w:p>
            <w:pPr>
              <w:widowControl/>
              <w:jc w:val="center"/>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14</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混合动力汽车结构原理展示台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功能要求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结构展示：以爆炸的方式展示比亚迪秦动力系统及组件的结构。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原理演示：模拟比亚迪秦动力系统及组件的工作原理。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★展示特效：模拟比亚迪秦动力系统运行时的机械运动特效、电路传递特效、液体气体特效。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手势操作：触摸操作，支持2点缩放，滑动旋转，3点平移，双击重置等操作。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零部件名称显示：结构爆炸后的零件可显示或隐藏零件原厂维修手册对应名称。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旋转限制：上旋转幅度70°，下旋转幅度45°，左右旋转幅度360°。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内容要求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★提供双离合变速器总成、发动机总成、电驱系统、电池系统、电控系统五大系统的28个结构展示、17个原理演示。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28个结构展示包含比亚迪秦混合动力汽车动力系统结构、发动机总成结构、双离合变速器总成结构、电驱系统结构、电池系统结构、电控系统结构、发动机结构、发动机冷却系统结构、双离合器结构、变速箱总成结构、差速器结构、半轴结构、电机定子结构、电机转子结构、电机旋转变压器结构、电机减速器结构、驱动电机控制器与DC总成结构、电驱冷却系统结构、动力电池包总成结构、维修开关结构、高压配电箱结构、漏电传感器结构、分布式电池管理系统结构、驱动电机控制器与DC总成结构、充电系统结构、档位控制器结构、油门踏板结构、制动踏板结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17个原理演示包含比亚迪秦混合动力汽车动力系统原理、双离合变速器总成原理、电驱系统原理、电池系统原理、电控系统原理、发动机冷却系统原理、双离合器原理、变速箱总成原理、电机减速器原理、驱动电机控制器与DC总成原理、电驱冷却系统原理、动力电池包总成原理、维修开关原理、高压配电箱原理、分布式电池管理系统原理、驱动电机控制器与DC总成原理、充电系统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技术要求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结构必须展示真实零件的标记、零件特征。</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原理演示必须模拟比亚迪秦的动力系统运行时的机械、电路、流体运动特效。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★采用Unity 纯三维引擎交互技术，360度全方位展示比亚迪秦的动力系统，随时缩放大小以方便结构展示操作。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采用多点触摸操作方式加强用户交互体验舒适度。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运行在智能触摸交互平板，清晰的展示结构及工作原理。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支持在线更新的方式，用户更方便快捷的更新内容。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bidi="ar"/>
              </w:rPr>
              <w:t>15</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混合动力汽车虚拟拆装台</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 功能要求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模式选择：提供3种模式的选择（教学模式、训练模式、考核模式）；教学模式：包括一键操作、自动操作、步骤跳转等功能，辅助老师授课；训练模式：包括拆装工单、操作提示、得分反馈等功能，引导学生完成拆装训练；考核模式：拆装自由度较高，考核学生对于拆装知识的掌握情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新手引导：针对于混合动力汽车动力系统虚拟拆装软件功能及操作的引导功能。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项目选择：提供6种部件（车载充电器总成拆装、高压配电箱总成拆装、动力电池包总成拆装、空调配电盒总成拆装、驱动电机控制器与DC总成拆装、驱动电机拆装）的拆装任务的选择界面。</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 一键操作：拆装任务步骤中，点击相应对象即可进行自动拆装。</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 自动操作：拆装任务步骤中，每一步骤可执行自动操作。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步骤跳转：拆装任务步骤中，点击拆装流程工单可跳转至任一步骤。</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 拆装工单：部件拆装流程提示，包括选择工具、扭矩等信息。</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 注意事项：拆装步骤中的注意事项，提示方式主要以图文结合形式。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 最佳视角：由于拆装过程中视角旋转，点击可跳转至系统默认的视角。</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 虚拟工具车：模拟真实工具车，可通过选择不同的拆装工具进行组合。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 自动组合工具：可通过点击按钮进行该步骤所需工具的自动选取、组合、设置等完整操作。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 虚拟零件桌：模拟真实零件桌，可摆放零件等操作。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 手势操作：提供缩放、旋转、视角定位重置等操作</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 装备选择：提供高压操作人体安全装备的穿戴功能。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15) 维修资料：提供比亚迪秦高压部件拆装资料等内容。</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内容要求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★能够完成6个部件（车载充电器总成拆装、高压配电箱总成拆装、动力电池包总成拆装、空调配电盒总成拆装、驱动电机控制器与DC总成拆装、驱动电机拆装）的拆装任务。</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技术要求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 ★采用Unity 纯三维引擎交互技术，运行在智能触摸平板，清晰的展示拆装过程。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 采用多点触摸操作方式加强用户交互体验舒适度。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支持在线更新的方式，用户更方便快捷的更新内容。</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Layout w:type="fixed"/>
          <w:tblCellMar>
            <w:top w:w="0" w:type="dxa"/>
            <w:left w:w="0" w:type="dxa"/>
            <w:bottom w:w="0" w:type="dxa"/>
            <w:right w:w="0" w:type="dxa"/>
          </w:tblCellMar>
        </w:tblPrEx>
        <w:trPr>
          <w:trHeight w:val="402" w:hRule="atLeast"/>
        </w:trPr>
        <w:tc>
          <w:tcPr>
            <w:tcW w:w="4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16</w:t>
            </w:r>
          </w:p>
        </w:tc>
        <w:tc>
          <w:tcPr>
            <w:tcW w:w="57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rPr>
              <w:t>动力电池举升车</w:t>
            </w:r>
          </w:p>
        </w:tc>
        <w:tc>
          <w:tcPr>
            <w:tcW w:w="60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1.结构简单紧凑；具有更大的举升高度及承载力；</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2.电控系统采用DC12V安全电压；台面铺设绝缘板材；防止操作人员触电；</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3.配有电源显示灯（DC12v），急停开关按钮（DC12V）；</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4.重型脚轮承重1500KG，同时具有绝缘功能，四轮万向脚轮；</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5.内置电瓶为设备提供供电电源，可随时随地进行作业，配置有充电机，可对内置电瓶进行充电。</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设备参数：</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荷重：1000KG</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台面最高高度：1200mm</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台面最低高度：500mm</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台 面 尺 寸：1300*700mm</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底部框架宽度：800mm</w:t>
            </w:r>
            <w:bookmarkStart w:id="11" w:name="_GoBack"/>
            <w:bookmarkEnd w:id="11"/>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台面距离控制箱：150mm</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升 降 速 度：30-40mm/s</w:t>
            </w:r>
          </w:p>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电瓶：12V  65AH</w:t>
            </w:r>
          </w:p>
          <w:p>
            <w:pPr>
              <w:widowControl/>
              <w:jc w:val="left"/>
              <w:rPr>
                <w:rFonts w:hint="eastAsia" w:ascii="新宋体" w:hAnsi="新宋体" w:eastAsia="新宋体" w:cs="新宋体"/>
                <w:color w:val="000000"/>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个</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是</w:t>
            </w:r>
          </w:p>
        </w:tc>
      </w:tr>
    </w:tbl>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1、国家标准：</w:t>
      </w:r>
    </w:p>
    <w:p>
      <w:pPr>
        <w:spacing w:line="360" w:lineRule="auto"/>
        <w:ind w:firstLine="480" w:firstLineChars="200"/>
        <w:contextualSpacing/>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（1）强制性产品认证</w:t>
      </w:r>
    </w:p>
    <w:p>
      <w:pPr>
        <w:spacing w:line="360" w:lineRule="auto"/>
        <w:ind w:firstLine="480" w:firstLineChars="200"/>
        <w:contextualSpacing/>
        <w:rPr>
          <w:rFonts w:hint="eastAsia" w:ascii="新宋体" w:hAnsi="新宋体" w:eastAsia="新宋体" w:cs="新宋体"/>
          <w:kern w:val="0"/>
          <w:sz w:val="24"/>
          <w:szCs w:val="24"/>
        </w:rPr>
      </w:pPr>
      <w:r>
        <w:rPr>
          <w:rFonts w:hint="eastAsia" w:ascii="新宋体" w:hAnsi="新宋体" w:eastAsia="新宋体" w:cs="新宋体"/>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新宋体" w:hAnsi="新宋体" w:eastAsia="新宋体" w:cs="新宋体"/>
          <w:kern w:val="0"/>
          <w:sz w:val="24"/>
          <w:szCs w:val="24"/>
        </w:rPr>
      </w:pPr>
      <w:r>
        <w:rPr>
          <w:rFonts w:hint="eastAsia" w:ascii="新宋体" w:hAnsi="新宋体" w:eastAsia="新宋体" w:cs="新宋体"/>
          <w:kern w:val="0"/>
          <w:sz w:val="24"/>
          <w:szCs w:val="24"/>
        </w:rPr>
        <w:t>（2）信息安全产品强制性认证</w:t>
      </w:r>
    </w:p>
    <w:p>
      <w:pPr>
        <w:spacing w:line="360" w:lineRule="auto"/>
        <w:ind w:firstLine="480" w:firstLineChars="200"/>
        <w:contextualSpacing/>
        <w:rPr>
          <w:rFonts w:hint="eastAsia" w:ascii="新宋体" w:hAnsi="新宋体" w:eastAsia="新宋体" w:cs="新宋体"/>
          <w:kern w:val="0"/>
          <w:sz w:val="24"/>
          <w:szCs w:val="24"/>
        </w:rPr>
      </w:pPr>
      <w:r>
        <w:rPr>
          <w:rFonts w:hint="eastAsia" w:ascii="新宋体" w:hAnsi="新宋体" w:eastAsia="新宋体" w:cs="新宋体"/>
          <w:sz w:val="24"/>
          <w:szCs w:val="24"/>
          <w:lang w:val="zh-CN"/>
        </w:rPr>
        <w:t>如投标人所投产品</w:t>
      </w:r>
      <w:r>
        <w:rPr>
          <w:rFonts w:hint="eastAsia" w:ascii="新宋体" w:hAnsi="新宋体" w:eastAsia="新宋体" w:cs="新宋体"/>
          <w:kern w:val="0"/>
          <w:sz w:val="24"/>
          <w:szCs w:val="24"/>
        </w:rPr>
        <w:t>被列入《信息安全产品强制性认证目录》，投标人不能提供超出此目录范畴外的替代品并须在投标文件中提供：</w:t>
      </w:r>
    </w:p>
    <w:p>
      <w:pPr>
        <w:wordWrap w:val="0"/>
        <w:spacing w:line="360" w:lineRule="auto"/>
        <w:ind w:firstLine="480" w:firstLineChars="200"/>
        <w:contextualSpacing/>
        <w:rPr>
          <w:rFonts w:hint="eastAsia" w:ascii="新宋体" w:hAnsi="新宋体" w:eastAsia="新宋体" w:cs="新宋体"/>
          <w:kern w:val="0"/>
          <w:sz w:val="24"/>
          <w:szCs w:val="24"/>
        </w:rPr>
      </w:pPr>
      <w:r>
        <w:rPr>
          <w:rFonts w:hint="eastAsia" w:ascii="新宋体" w:hAnsi="新宋体" w:eastAsia="新宋体" w:cs="新宋体"/>
          <w:kern w:val="0"/>
          <w:sz w:val="24"/>
          <w:szCs w:val="24"/>
        </w:rPr>
        <w:t>①中国信息安全认证中心官网（http://www.isccc.gov.cn/index.shtml）产品查询结果截图并加盖投标人公章；</w:t>
      </w:r>
    </w:p>
    <w:p>
      <w:pPr>
        <w:wordWrap w:val="0"/>
        <w:spacing w:line="360" w:lineRule="auto"/>
        <w:ind w:firstLine="480" w:firstLineChars="200"/>
        <w:contextualSpacing/>
        <w:rPr>
          <w:rFonts w:hint="eastAsia" w:ascii="新宋体" w:hAnsi="新宋体" w:eastAsia="新宋体" w:cs="新宋体"/>
          <w:kern w:val="0"/>
          <w:sz w:val="24"/>
          <w:szCs w:val="24"/>
        </w:rPr>
      </w:pPr>
      <w:r>
        <w:rPr>
          <w:rFonts w:hint="eastAsia" w:ascii="新宋体" w:hAnsi="新宋体" w:eastAsia="新宋体" w:cs="新宋体"/>
          <w:kern w:val="0"/>
          <w:sz w:val="24"/>
          <w:szCs w:val="24"/>
        </w:rPr>
        <w:t>②中国信息安全认证中心颁发的《</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"http://www.cnca.gov.cn/cnca/zwxx/ggxx/images/2010/07/19/A6C32D2A507AC2A38326896013A67542.doc" \t "_blank" </w:instrText>
      </w:r>
      <w:r>
        <w:rPr>
          <w:rFonts w:hint="eastAsia" w:ascii="新宋体" w:hAnsi="新宋体" w:eastAsia="新宋体" w:cs="新宋体"/>
          <w:sz w:val="24"/>
          <w:szCs w:val="24"/>
        </w:rPr>
        <w:fldChar w:fldCharType="separate"/>
      </w:r>
      <w:r>
        <w:rPr>
          <w:rFonts w:hint="eastAsia" w:ascii="新宋体" w:hAnsi="新宋体" w:eastAsia="新宋体" w:cs="新宋体"/>
          <w:kern w:val="0"/>
          <w:sz w:val="24"/>
          <w:szCs w:val="24"/>
        </w:rPr>
        <w:t>中国国家信息安全产品认证证书</w:t>
      </w:r>
      <w:r>
        <w:rPr>
          <w:rFonts w:hint="eastAsia" w:ascii="新宋体" w:hAnsi="新宋体" w:eastAsia="新宋体" w:cs="新宋体"/>
          <w:kern w:val="0"/>
          <w:sz w:val="24"/>
          <w:szCs w:val="24"/>
        </w:rPr>
        <w:fldChar w:fldCharType="end"/>
      </w:r>
      <w:r>
        <w:rPr>
          <w:rFonts w:hint="eastAsia" w:ascii="新宋体" w:hAnsi="新宋体" w:eastAsia="新宋体" w:cs="新宋体"/>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新宋体" w:hAnsi="新宋体" w:eastAsia="新宋体" w:cs="新宋体"/>
          <w:sz w:val="24"/>
          <w:szCs w:val="24"/>
          <w:lang w:val="zh-CN"/>
        </w:rPr>
        <w:t>注：仅需提供序号</w:t>
      </w:r>
      <w:r>
        <w:rPr>
          <w:rFonts w:hint="eastAsia" w:ascii="新宋体" w:hAnsi="新宋体" w:eastAsia="新宋体" w:cs="新宋体"/>
          <w:color w:val="000000"/>
          <w:sz w:val="24"/>
          <w:szCs w:val="24"/>
        </w:rPr>
        <w:t>①～②其中之一即可。</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 xml:space="preserve">  实施方案编制满足禹州市职业中专新能源汽车专业建设所必要的，可以为汽车专业学生提供更好的实训环境和更多的实践机会，从而提升本专业学生的业务能力，毕业后能更快融入社会。</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2"/>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2"/>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2"/>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2"/>
        <w:ind w:firstLine="480" w:firstLineChars="200"/>
        <w:rPr>
          <w:rFonts w:hint="default"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本项目为交钥匙工程（（包括设备、材料、运输、安装调试等一切费用），</w:t>
      </w:r>
      <w:r>
        <w:rPr>
          <w:rFonts w:hint="eastAsia" w:ascii="宋体" w:cs="宋体" w:hAnsiTheme="minorHAnsi" w:eastAsiaTheme="minorEastAsia"/>
          <w:kern w:val="2"/>
          <w:sz w:val="24"/>
          <w:szCs w:val="22"/>
          <w:lang w:val="en-US" w:eastAsia="zh-CN" w:bidi="ar-SA"/>
        </w:rPr>
        <w:t>投标人须明确维修点地址、负责人、联系人和联系电话</w:t>
      </w:r>
      <w:r>
        <w:rPr>
          <w:rFonts w:hint="eastAsia" w:ascii="宋体" w:cs="宋体"/>
          <w:kern w:val="2"/>
          <w:sz w:val="24"/>
          <w:szCs w:val="22"/>
          <w:lang w:val="en-US" w:eastAsia="zh-CN" w:bidi="ar-SA"/>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2"/>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项目名称：河南省禹州市职业中等专业学校采购新能源汽车实训设备项目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YZCG-G2019162</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工期：合同签订后30天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名称：河南省禹州市职业中等专业学校</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禹州市药城路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zh-CN" w:eastAsia="zh-CN"/>
              </w:rPr>
              <w:t>65.5</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 xml:space="preserve">年 </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w:t>
            </w:r>
            <w:r>
              <w:rPr>
                <w:rFonts w:hint="eastAsia" w:cs="仿宋_GB2312" w:asciiTheme="minorEastAsia" w:hAnsiTheme="minorEastAsia"/>
                <w:color w:val="FF0000"/>
                <w:sz w:val="24"/>
                <w:szCs w:val="24"/>
                <w:lang w:val="en-US" w:eastAsia="zh-CN"/>
              </w:rPr>
              <w:t xml:space="preserve"> </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705"/>
        <w:gridCol w:w="989"/>
        <w:gridCol w:w="317"/>
        <w:gridCol w:w="683"/>
        <w:gridCol w:w="639"/>
        <w:gridCol w:w="5844"/>
        <w:gridCol w:w="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9" w:type="dxa"/>
          <w:trHeight w:val="900" w:hRule="atLeast"/>
        </w:trPr>
        <w:tc>
          <w:tcPr>
            <w:tcW w:w="2119"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分值构成</w:t>
            </w:r>
          </w:p>
          <w:p>
            <w:pPr>
              <w:widowControl/>
              <w:spacing w:line="33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(总分100分)</w:t>
            </w:r>
          </w:p>
        </w:tc>
        <w:tc>
          <w:tcPr>
            <w:tcW w:w="716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价格分值：      50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商务部分：      </w:t>
            </w:r>
            <w:r>
              <w:rPr>
                <w:rFonts w:hint="eastAsia" w:cs="宋体" w:asciiTheme="minorEastAsia" w:hAnsiTheme="minorEastAsia"/>
                <w:kern w:val="0"/>
                <w:sz w:val="24"/>
                <w:szCs w:val="24"/>
                <w:lang w:val="en-US" w:eastAsia="zh-CN"/>
              </w:rPr>
              <w:t>20</w:t>
            </w:r>
            <w:r>
              <w:rPr>
                <w:rFonts w:hint="eastAsia" w:cs="仿宋" w:asciiTheme="minorEastAsia" w:hAnsiTheme="minorEastAsia"/>
                <w:kern w:val="0"/>
                <w:sz w:val="24"/>
                <w:szCs w:val="24"/>
              </w:rPr>
              <w:t xml:space="preserve"> </w:t>
            </w:r>
            <w:r>
              <w:rPr>
                <w:rFonts w:hint="eastAsia" w:cs="宋体" w:asciiTheme="minorEastAsia" w:hAnsiTheme="minorEastAsia"/>
                <w:kern w:val="0"/>
                <w:sz w:val="24"/>
                <w:szCs w:val="24"/>
              </w:rPr>
              <w:t>分</w:t>
            </w:r>
          </w:p>
          <w:p>
            <w:pPr>
              <w:widowControl/>
              <w:spacing w:line="360" w:lineRule="auto"/>
              <w:ind w:firstLine="480"/>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技术部分：      </w:t>
            </w:r>
            <w:r>
              <w:rPr>
                <w:rFonts w:hint="eastAsia" w:cs="宋体" w:asciiTheme="minorEastAsia" w:hAnsiTheme="minorEastAsia"/>
                <w:kern w:val="0"/>
                <w:sz w:val="24"/>
                <w:szCs w:val="24"/>
                <w:lang w:val="en-US" w:eastAsia="zh-CN"/>
              </w:rPr>
              <w:t>3</w:t>
            </w:r>
            <w:r>
              <w:rPr>
                <w:rFonts w:cs="宋体" w:asciiTheme="minorEastAsia" w:hAnsiTheme="minorEastAsia"/>
                <w:kern w:val="0"/>
                <w:sz w:val="24"/>
                <w:szCs w:val="24"/>
              </w:rPr>
              <w:t>0</w:t>
            </w:r>
            <w:r>
              <w:rPr>
                <w:rFonts w:hint="eastAsia" w:cs="宋体" w:asciiTheme="minorEastAsia" w:hAnsiTheme="minorEastAsia"/>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435" w:hRule="atLeast"/>
        </w:trPr>
        <w:tc>
          <w:tcPr>
            <w:tcW w:w="705" w:type="dxa"/>
            <w:vMerge w:val="restart"/>
            <w:tcBorders>
              <w:right w:val="single" w:color="auto" w:sz="4" w:space="0"/>
            </w:tcBorders>
            <w:vAlign w:val="center"/>
          </w:tcPr>
          <w:p>
            <w:pPr>
              <w:adjustRightIn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第二章第1.2.3款</w:t>
            </w:r>
          </w:p>
        </w:tc>
        <w:tc>
          <w:tcPr>
            <w:tcW w:w="989" w:type="dxa"/>
            <w:tcBorders>
              <w:left w:val="single" w:color="auto" w:sz="4" w:space="0"/>
              <w:bottom w:val="single" w:color="auto" w:sz="4" w:space="0"/>
              <w:right w:val="single" w:color="auto" w:sz="4" w:space="0"/>
            </w:tcBorders>
            <w:vAlign w:val="center"/>
          </w:tcPr>
          <w:p>
            <w:pPr>
              <w:adjustRightIn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评审</w:t>
            </w:r>
          </w:p>
          <w:p>
            <w:pPr>
              <w:adjustRightIn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因素</w:t>
            </w:r>
          </w:p>
        </w:tc>
        <w:tc>
          <w:tcPr>
            <w:tcW w:w="1639" w:type="dxa"/>
            <w:gridSpan w:val="3"/>
            <w:tcBorders>
              <w:left w:val="single" w:color="auto" w:sz="4" w:space="0"/>
              <w:bottom w:val="single" w:color="auto" w:sz="4" w:space="0"/>
              <w:right w:val="single" w:color="auto" w:sz="4" w:space="0"/>
            </w:tcBorders>
            <w:vAlign w:val="center"/>
          </w:tcPr>
          <w:p>
            <w:pPr>
              <w:adjustRightIn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权值</w:t>
            </w:r>
          </w:p>
        </w:tc>
        <w:tc>
          <w:tcPr>
            <w:tcW w:w="6023" w:type="dxa"/>
            <w:gridSpan w:val="2"/>
            <w:tcBorders>
              <w:left w:val="single" w:color="auto" w:sz="4" w:space="0"/>
              <w:bottom w:val="single" w:color="auto" w:sz="4" w:space="0"/>
            </w:tcBorders>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1210" w:hRule="atLeast"/>
        </w:trPr>
        <w:tc>
          <w:tcPr>
            <w:tcW w:w="705" w:type="dxa"/>
            <w:vMerge w:val="continue"/>
            <w:tcBorders>
              <w:right w:val="single" w:color="auto" w:sz="4" w:space="0"/>
            </w:tcBorders>
            <w:vAlign w:val="center"/>
          </w:tcPr>
          <w:p>
            <w:pPr>
              <w:adjustRightInd w:val="0"/>
              <w:jc w:val="center"/>
              <w:rPr>
                <w:rFonts w:ascii="仿宋" w:hAnsi="仿宋" w:eastAsia="仿宋" w:cs="仿宋"/>
                <w:color w:val="000000"/>
                <w:kern w:val="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价格</w:t>
            </w:r>
          </w:p>
          <w:p>
            <w:pPr>
              <w:adjustRightInd w:val="0"/>
              <w:snapToGrid w:val="0"/>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(50分)</w:t>
            </w:r>
          </w:p>
        </w:tc>
        <w:tc>
          <w:tcPr>
            <w:tcW w:w="163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6023" w:type="dxa"/>
            <w:gridSpan w:val="2"/>
            <w:tcBorders>
              <w:top w:val="single" w:color="auto" w:sz="4" w:space="0"/>
              <w:left w:val="single" w:color="auto" w:sz="4" w:space="0"/>
              <w:bottom w:val="single" w:color="auto" w:sz="4" w:space="0"/>
            </w:tcBorders>
            <w:vAlign w:val="center"/>
          </w:tcPr>
          <w:p>
            <w:pPr>
              <w:widowControl/>
              <w:spacing w:line="36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6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投标报价得分=（评标基准价/投标报价）×50</w:t>
            </w:r>
          </w:p>
          <w:p>
            <w:pPr>
              <w:adjustRightInd w:val="0"/>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说明：如投标人满足财库【2011】181号及工信部联企业【2011】300号文件的规定且按招标文件要求提供相关内容的，由评标委员会认可的，则投标报价给予6%的扣除（四舍五入保留2位小数），进行报价得分的计算。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2288" w:hRule="atLeast"/>
        </w:trPr>
        <w:tc>
          <w:tcPr>
            <w:tcW w:w="705" w:type="dxa"/>
            <w:vMerge w:val="continue"/>
            <w:tcBorders>
              <w:right w:val="single" w:color="auto" w:sz="4" w:space="0"/>
            </w:tcBorders>
            <w:vAlign w:val="center"/>
          </w:tcPr>
          <w:p>
            <w:pPr>
              <w:adjustRightInd w:val="0"/>
              <w:jc w:val="center"/>
              <w:rPr>
                <w:rFonts w:ascii="仿宋" w:hAnsi="仿宋" w:eastAsia="仿宋" w:cs="仿宋"/>
                <w:color w:val="000000"/>
                <w:kern w:val="0"/>
                <w:sz w:val="24"/>
                <w:szCs w:val="24"/>
              </w:rPr>
            </w:pPr>
          </w:p>
        </w:tc>
        <w:tc>
          <w:tcPr>
            <w:tcW w:w="989" w:type="dxa"/>
            <w:tcBorders>
              <w:left w:val="single" w:color="auto" w:sz="4" w:space="0"/>
              <w:right w:val="single" w:color="auto" w:sz="4" w:space="0"/>
            </w:tcBorders>
            <w:vAlign w:val="center"/>
          </w:tcPr>
          <w:p>
            <w:pPr>
              <w:adjustRightInd w:val="0"/>
              <w:snapToGrid w:val="0"/>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技术部分</w:t>
            </w:r>
          </w:p>
          <w:p>
            <w:pPr>
              <w:adjustRightInd w:val="0"/>
              <w:snapToGrid w:val="0"/>
              <w:spacing w:line="52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(20分)</w:t>
            </w:r>
          </w:p>
        </w:tc>
        <w:tc>
          <w:tcPr>
            <w:tcW w:w="1000" w:type="dxa"/>
            <w:gridSpan w:val="2"/>
            <w:tcBorders>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投标产品技术响应程度</w:t>
            </w:r>
          </w:p>
        </w:tc>
        <w:tc>
          <w:tcPr>
            <w:tcW w:w="639" w:type="dxa"/>
            <w:tcBorders>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6023" w:type="dxa"/>
            <w:gridSpan w:val="2"/>
            <w:tcBorders>
              <w:top w:val="single" w:color="auto" w:sz="4" w:space="0"/>
              <w:left w:val="single" w:color="auto" w:sz="4" w:space="0"/>
            </w:tcBorders>
            <w:vAlign w:val="center"/>
          </w:tcPr>
          <w:p>
            <w:pPr>
              <w:adjustRightInd w:val="0"/>
              <w:snapToGrid w:val="0"/>
              <w:rPr>
                <w:rFonts w:ascii="仿宋" w:hAnsi="仿宋" w:eastAsia="仿宋" w:cs="仿宋"/>
                <w:color w:val="000000"/>
                <w:kern w:val="0"/>
                <w:sz w:val="24"/>
                <w:szCs w:val="24"/>
              </w:rPr>
            </w:pPr>
            <w:r>
              <w:rPr>
                <w:rFonts w:hint="eastAsia" w:hAnsi="宋体"/>
                <w:szCs w:val="21"/>
              </w:rPr>
              <w:t>以</w:t>
            </w:r>
            <w:r>
              <w:rPr>
                <w:rFonts w:hint="eastAsia" w:ascii="仿宋" w:hAnsi="仿宋" w:eastAsia="仿宋" w:cs="仿宋"/>
                <w:color w:val="000000"/>
                <w:kern w:val="0"/>
                <w:sz w:val="24"/>
                <w:szCs w:val="24"/>
              </w:rPr>
              <w:t>招标文件要求以及投标产品的规格技术参数和性能指标等方面为评定依据，全部满足技术参数要求的得20分，“★”号项为重要指标参数，不满足的，每项扣2分；非“★”号项任何一项不满足招标文件要求的，每项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530" w:hRule="atLeast"/>
        </w:trPr>
        <w:tc>
          <w:tcPr>
            <w:tcW w:w="705" w:type="dxa"/>
            <w:vMerge w:val="continue"/>
            <w:tcBorders>
              <w:right w:val="single" w:color="auto" w:sz="4" w:space="0"/>
            </w:tcBorders>
            <w:shd w:val="clear" w:color="auto" w:fill="auto"/>
            <w:vAlign w:val="center"/>
          </w:tcPr>
          <w:p>
            <w:pPr>
              <w:adjustRightInd w:val="0"/>
              <w:jc w:val="center"/>
              <w:rPr>
                <w:rFonts w:ascii="仿宋" w:hAnsi="仿宋" w:eastAsia="仿宋" w:cs="仿宋"/>
                <w:color w:val="000000"/>
                <w:kern w:val="0"/>
                <w:sz w:val="24"/>
                <w:szCs w:val="24"/>
              </w:rPr>
            </w:pPr>
          </w:p>
        </w:tc>
        <w:tc>
          <w:tcPr>
            <w:tcW w:w="989" w:type="dxa"/>
            <w:vMerge w:val="restart"/>
            <w:tcBorders>
              <w:top w:val="single" w:color="auto" w:sz="4" w:space="0"/>
              <w:left w:val="single" w:color="auto" w:sz="4" w:space="0"/>
              <w:right w:val="single" w:color="auto" w:sz="4" w:space="0"/>
            </w:tcBorders>
            <w:shd w:val="clear" w:color="auto" w:fill="auto"/>
            <w:vAlign w:val="center"/>
          </w:tcPr>
          <w:p>
            <w:pPr>
              <w:spacing w:line="52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商务部分</w:t>
            </w:r>
          </w:p>
          <w:p>
            <w:pPr>
              <w:spacing w:line="52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(30分)</w:t>
            </w:r>
          </w:p>
        </w:tc>
        <w:tc>
          <w:tcPr>
            <w:tcW w:w="1000" w:type="dxa"/>
            <w:gridSpan w:val="2"/>
            <w:tcBorders>
              <w:top w:val="single" w:color="auto" w:sz="4" w:space="0"/>
              <w:left w:val="single" w:color="auto" w:sz="4" w:space="0"/>
              <w:right w:val="single" w:color="auto" w:sz="4" w:space="0"/>
            </w:tcBorders>
            <w:shd w:val="clear" w:color="000000" w:fill="FFFFFF"/>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综合实力</w:t>
            </w:r>
          </w:p>
        </w:tc>
        <w:tc>
          <w:tcPr>
            <w:tcW w:w="639" w:type="dxa"/>
            <w:tcBorders>
              <w:top w:val="single" w:color="auto" w:sz="4" w:space="0"/>
              <w:left w:val="single" w:color="auto" w:sz="4" w:space="0"/>
              <w:right w:val="single" w:color="auto" w:sz="4" w:space="0"/>
            </w:tcBorders>
            <w:shd w:val="clear" w:color="000000" w:fill="FFFFFF"/>
            <w:vAlign w:val="center"/>
          </w:tcPr>
          <w:p>
            <w:pPr>
              <w:adjustRightInd w:val="0"/>
              <w:snapToGrid w:val="0"/>
              <w:spacing w:before="156" w:beforeLines="5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6023" w:type="dxa"/>
            <w:gridSpan w:val="2"/>
            <w:tcBorders>
              <w:top w:val="single" w:color="auto" w:sz="4" w:space="0"/>
              <w:left w:val="single" w:color="auto" w:sz="4" w:space="0"/>
              <w:bottom w:val="single" w:color="auto" w:sz="4" w:space="0"/>
            </w:tcBorders>
            <w:shd w:val="clear" w:color="000000" w:fill="FFFFFF"/>
            <w:vAlign w:val="center"/>
          </w:tcPr>
          <w:p>
            <w:pPr>
              <w:adjustRightInd w:val="0"/>
              <w:snapToGrid w:val="0"/>
              <w:spacing w:before="156" w:beforeLines="50" w:line="276" w:lineRule="auto"/>
              <w:rPr>
                <w:rFonts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.投标人参与起草《中华人民共和国教育行业标准—职业院校汽车运用与维修类相关专业仪器设备装备规范》，提供相关证明材料得</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分。不提供不得分。</w:t>
            </w:r>
          </w:p>
          <w:p>
            <w:pPr>
              <w:adjustRightInd w:val="0"/>
              <w:snapToGrid w:val="0"/>
              <w:spacing w:before="156" w:beforeLines="50" w:line="276" w:lineRule="auto"/>
              <w:rPr>
                <w:rFonts w:ascii="仿宋" w:hAnsi="仿宋" w:eastAsia="仿宋" w:cs="仿宋"/>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.投标人获得中国汽车维修行业协会授权的“中国汽车维修服务资源库研发中心”证书得</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分</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不提供不得分。</w:t>
            </w:r>
          </w:p>
          <w:p>
            <w:pPr>
              <w:adjustRightInd w:val="0"/>
              <w:snapToGrid w:val="0"/>
              <w:spacing w:before="156" w:beforeLines="50" w:line="276" w:lineRule="auto"/>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．投标人取得国家级教学成果荣誉证书得</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分。不提供不得分。</w:t>
            </w:r>
          </w:p>
          <w:p>
            <w:pPr>
              <w:widowControl/>
              <w:spacing w:line="276"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ascii="仿宋" w:hAnsi="仿宋" w:eastAsia="仿宋" w:cs="仿宋"/>
                <w:color w:val="000000"/>
                <w:kern w:val="0"/>
                <w:sz w:val="24"/>
                <w:szCs w:val="24"/>
              </w:rPr>
              <w:t>投标人具有参与国家教育部汽修专业共建共享课程资源建设课题，提供</w:t>
            </w:r>
            <w:r>
              <w:rPr>
                <w:rFonts w:hint="eastAsia" w:ascii="仿宋" w:hAnsi="仿宋" w:eastAsia="仿宋" w:cs="仿宋"/>
                <w:color w:val="000000"/>
                <w:kern w:val="0"/>
                <w:sz w:val="24"/>
                <w:szCs w:val="24"/>
              </w:rPr>
              <w:t>相关</w:t>
            </w:r>
            <w:r>
              <w:rPr>
                <w:rFonts w:ascii="仿宋" w:hAnsi="仿宋" w:eastAsia="仿宋" w:cs="仿宋"/>
                <w:color w:val="000000"/>
                <w:kern w:val="0"/>
                <w:sz w:val="24"/>
                <w:szCs w:val="24"/>
              </w:rPr>
              <w:t>证明材料得</w:t>
            </w:r>
            <w:r>
              <w:rPr>
                <w:rFonts w:hint="eastAsia" w:ascii="仿宋" w:hAnsi="仿宋" w:eastAsia="仿宋" w:cs="仿宋"/>
                <w:color w:val="000000"/>
                <w:kern w:val="0"/>
                <w:sz w:val="24"/>
                <w:szCs w:val="24"/>
              </w:rPr>
              <w:t>2分。不提供不得分。</w:t>
            </w:r>
          </w:p>
          <w:p>
            <w:pPr>
              <w:adjustRightInd w:val="0"/>
              <w:snapToGrid w:val="0"/>
              <w:spacing w:before="156" w:beforeLines="50" w:line="276" w:lineRule="auto"/>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 xml:space="preserve"> 投标人具备国家师资培训基地流动站资格，</w:t>
            </w:r>
            <w:r>
              <w:rPr>
                <w:rFonts w:ascii="仿宋" w:hAnsi="仿宋" w:eastAsia="仿宋" w:cs="仿宋"/>
                <w:color w:val="000000"/>
                <w:kern w:val="0"/>
                <w:sz w:val="24"/>
                <w:szCs w:val="24"/>
              </w:rPr>
              <w:t>提供</w:t>
            </w:r>
            <w:r>
              <w:rPr>
                <w:rFonts w:hint="eastAsia" w:ascii="仿宋" w:hAnsi="仿宋" w:eastAsia="仿宋" w:cs="仿宋"/>
                <w:color w:val="000000"/>
                <w:kern w:val="0"/>
                <w:sz w:val="24"/>
                <w:szCs w:val="24"/>
              </w:rPr>
              <w:t>相关</w:t>
            </w:r>
            <w:r>
              <w:rPr>
                <w:rFonts w:ascii="仿宋" w:hAnsi="仿宋" w:eastAsia="仿宋" w:cs="仿宋"/>
                <w:color w:val="000000"/>
                <w:kern w:val="0"/>
                <w:sz w:val="24"/>
                <w:szCs w:val="24"/>
              </w:rPr>
              <w:t>证明材料得</w:t>
            </w:r>
            <w:r>
              <w:rPr>
                <w:rFonts w:hint="eastAsia" w:ascii="仿宋" w:hAnsi="仿宋" w:eastAsia="仿宋" w:cs="仿宋"/>
                <w:color w:val="000000"/>
                <w:kern w:val="0"/>
                <w:sz w:val="24"/>
                <w:szCs w:val="24"/>
              </w:rPr>
              <w:t>2分。不提供不得分。</w:t>
            </w:r>
          </w:p>
          <w:p>
            <w:pPr>
              <w:adjustRightInd w:val="0"/>
              <w:snapToGrid w:val="0"/>
              <w:spacing w:before="156" w:beforeLines="50"/>
              <w:rPr>
                <w:rFonts w:ascii="仿宋" w:hAnsi="仿宋" w:eastAsia="仿宋" w:cs="仿宋"/>
                <w:color w:val="000000"/>
                <w:kern w:val="0"/>
                <w:sz w:val="24"/>
                <w:szCs w:val="24"/>
              </w:rPr>
            </w:pPr>
            <w:r>
              <w:rPr>
                <w:rFonts w:hint="eastAsia" w:ascii="仿宋" w:hAnsi="仿宋" w:eastAsia="仿宋" w:cs="仿宋"/>
                <w:color w:val="000000"/>
                <w:kern w:val="0"/>
                <w:sz w:val="24"/>
                <w:szCs w:val="24"/>
              </w:rPr>
              <w:t>6.投标人提供2014年以来参与汽车运用与维修专业全国技能大赛相关证明资料一份得2分。不提供不得分。</w:t>
            </w:r>
          </w:p>
          <w:p>
            <w:pPr>
              <w:adjustRightInd w:val="0"/>
              <w:snapToGrid w:val="0"/>
              <w:spacing w:before="156" w:beforeLines="5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【投标人要求提供以上相关证明资料复印件并加盖投标人单位公章，否则不予计分。】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427" w:hRule="atLeast"/>
        </w:trPr>
        <w:tc>
          <w:tcPr>
            <w:tcW w:w="705" w:type="dxa"/>
            <w:vMerge w:val="continue"/>
            <w:tcBorders>
              <w:right w:val="single" w:color="auto" w:sz="4" w:space="0"/>
            </w:tcBorders>
            <w:shd w:val="clear" w:color="auto" w:fill="auto"/>
            <w:vAlign w:val="center"/>
          </w:tcPr>
          <w:p>
            <w:pPr>
              <w:adjustRightInd w:val="0"/>
              <w:jc w:val="center"/>
              <w:rPr>
                <w:rFonts w:ascii="仿宋" w:hAnsi="仿宋" w:eastAsia="仿宋" w:cs="仿宋"/>
                <w:color w:val="000000"/>
                <w:kern w:val="0"/>
                <w:sz w:val="24"/>
                <w:szCs w:val="24"/>
              </w:rPr>
            </w:pPr>
          </w:p>
        </w:tc>
        <w:tc>
          <w:tcPr>
            <w:tcW w:w="989" w:type="dxa"/>
            <w:vMerge w:val="continue"/>
            <w:tcBorders>
              <w:left w:val="single" w:color="auto" w:sz="4" w:space="0"/>
              <w:right w:val="single" w:color="auto" w:sz="4" w:space="0"/>
            </w:tcBorders>
            <w:shd w:val="clear" w:color="auto" w:fill="auto"/>
            <w:vAlign w:val="center"/>
          </w:tcPr>
          <w:p>
            <w:pPr>
              <w:adjustRightInd w:val="0"/>
              <w:snapToGrid w:val="0"/>
              <w:spacing w:line="520" w:lineRule="exact"/>
              <w:jc w:val="center"/>
              <w:rPr>
                <w:rFonts w:ascii="仿宋" w:hAnsi="仿宋" w:eastAsia="仿宋" w:cs="仿宋"/>
                <w:color w:val="00000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before="156" w:beforeLines="50" w:line="276"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w:t>
            </w:r>
          </w:p>
          <w:p>
            <w:pPr>
              <w:adjustRightInd w:val="0"/>
              <w:snapToGrid w:val="0"/>
              <w:spacing w:before="156" w:beforeLines="50" w:line="276"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业绩</w:t>
            </w:r>
          </w:p>
        </w:tc>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before="156" w:beforeLines="50" w:line="276"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6023" w:type="dxa"/>
            <w:gridSpan w:val="2"/>
            <w:tcBorders>
              <w:top w:val="single" w:color="auto" w:sz="4" w:space="0"/>
              <w:left w:val="single" w:color="auto" w:sz="4" w:space="0"/>
              <w:bottom w:val="single" w:color="auto" w:sz="4" w:space="0"/>
            </w:tcBorders>
            <w:shd w:val="clear" w:color="000000" w:fill="FFFFFF"/>
            <w:vAlign w:val="center"/>
          </w:tcPr>
          <w:p>
            <w:pPr>
              <w:spacing w:line="276"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投标人提供2015年-2017年有汽车专业（新能源方向）同类型的经营业绩：项目合同金额</w:t>
            </w:r>
            <w:r>
              <w:rPr>
                <w:rFonts w:hint="eastAsia" w:ascii="仿宋" w:hAnsi="仿宋" w:eastAsia="仿宋" w:cs="仿宋"/>
                <w:color w:val="000000"/>
                <w:kern w:val="0"/>
                <w:sz w:val="24"/>
                <w:szCs w:val="24"/>
                <w:lang w:val="en-US" w:eastAsia="zh-CN"/>
              </w:rPr>
              <w:t>60</w:t>
            </w:r>
            <w:r>
              <w:rPr>
                <w:rFonts w:hint="eastAsia" w:ascii="仿宋" w:hAnsi="仿宋" w:eastAsia="仿宋" w:cs="仿宋"/>
                <w:color w:val="000000"/>
                <w:kern w:val="0"/>
                <w:sz w:val="24"/>
                <w:szCs w:val="24"/>
              </w:rPr>
              <w:t xml:space="preserve">万元（含）以上的，每提供一份得2分，满分为6分。 </w:t>
            </w:r>
          </w:p>
          <w:p>
            <w:pPr>
              <w:spacing w:line="276"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【投标人要求提供相应的政府采购中标通知书、合同复印件并加盖单位公章，否则不计分】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1502" w:hRule="atLeast"/>
        </w:trPr>
        <w:tc>
          <w:tcPr>
            <w:tcW w:w="705" w:type="dxa"/>
            <w:vMerge w:val="continue"/>
            <w:tcBorders>
              <w:right w:val="single" w:color="auto" w:sz="4" w:space="0"/>
            </w:tcBorders>
            <w:shd w:val="clear" w:color="auto" w:fill="auto"/>
            <w:vAlign w:val="center"/>
          </w:tcPr>
          <w:p>
            <w:pPr>
              <w:adjustRightInd w:val="0"/>
              <w:jc w:val="center"/>
              <w:rPr>
                <w:rFonts w:ascii="仿宋" w:hAnsi="仿宋" w:eastAsia="仿宋" w:cs="仿宋"/>
                <w:color w:val="000000"/>
                <w:kern w:val="0"/>
                <w:sz w:val="24"/>
                <w:szCs w:val="24"/>
              </w:rPr>
            </w:pPr>
          </w:p>
        </w:tc>
        <w:tc>
          <w:tcPr>
            <w:tcW w:w="989" w:type="dxa"/>
            <w:vMerge w:val="continue"/>
            <w:tcBorders>
              <w:left w:val="single" w:color="auto" w:sz="4" w:space="0"/>
              <w:right w:val="single" w:color="auto" w:sz="4" w:space="0"/>
            </w:tcBorders>
            <w:shd w:val="clear" w:color="auto" w:fill="auto"/>
            <w:vAlign w:val="center"/>
          </w:tcPr>
          <w:p>
            <w:pPr>
              <w:adjustRightInd w:val="0"/>
              <w:snapToGrid w:val="0"/>
              <w:spacing w:line="520" w:lineRule="exact"/>
              <w:jc w:val="center"/>
              <w:rPr>
                <w:rFonts w:ascii="仿宋" w:hAnsi="仿宋" w:eastAsia="仿宋" w:cs="仿宋"/>
                <w:color w:val="000000"/>
                <w:kern w:val="0"/>
                <w:sz w:val="24"/>
                <w:szCs w:val="24"/>
              </w:rPr>
            </w:pPr>
          </w:p>
        </w:tc>
        <w:tc>
          <w:tcPr>
            <w:tcW w:w="10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before="156" w:beforeLines="50"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资质</w:t>
            </w:r>
          </w:p>
          <w:p>
            <w:pPr>
              <w:adjustRightInd w:val="0"/>
              <w:snapToGrid w:val="0"/>
              <w:spacing w:before="156" w:beforeLines="50"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证书</w:t>
            </w:r>
          </w:p>
        </w:tc>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before="156" w:beforeLines="50"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6023" w:type="dxa"/>
            <w:gridSpan w:val="2"/>
            <w:tcBorders>
              <w:top w:val="single" w:color="auto" w:sz="4" w:space="0"/>
              <w:left w:val="single" w:color="auto" w:sz="4" w:space="0"/>
              <w:bottom w:val="single" w:color="auto" w:sz="4" w:space="0"/>
            </w:tcBorders>
            <w:shd w:val="clear" w:color="000000" w:fill="FFFFFF"/>
            <w:vAlign w:val="center"/>
          </w:tcPr>
          <w:p>
            <w:pPr>
              <w:widowControl/>
              <w:spacing w:line="276" w:lineRule="auto"/>
              <w:jc w:val="left"/>
              <w:rPr>
                <w:rFonts w:ascii="仿宋" w:hAnsi="仿宋" w:eastAsia="仿宋" w:cs="仿宋"/>
                <w:color w:val="000000"/>
                <w:kern w:val="0"/>
                <w:sz w:val="24"/>
                <w:szCs w:val="24"/>
              </w:rPr>
            </w:pPr>
            <w:r>
              <w:rPr>
                <w:rFonts w:ascii="仿宋" w:hAnsi="仿宋" w:eastAsia="仿宋" w:cs="仿宋"/>
                <w:color w:val="000000"/>
                <w:kern w:val="0"/>
                <w:sz w:val="24"/>
                <w:szCs w:val="24"/>
              </w:rPr>
              <w:t>1.投标人获得软件企业认定证书</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提供相关证明文件得</w:t>
            </w:r>
            <w:r>
              <w:rPr>
                <w:rFonts w:hint="eastAsia" w:ascii="仿宋" w:hAnsi="仿宋" w:eastAsia="仿宋" w:cs="仿宋"/>
                <w:color w:val="000000"/>
                <w:kern w:val="0"/>
                <w:sz w:val="24"/>
                <w:szCs w:val="24"/>
              </w:rPr>
              <w:t>1分。</w:t>
            </w:r>
          </w:p>
          <w:p>
            <w:pPr>
              <w:widowControl/>
              <w:spacing w:line="276" w:lineRule="auto"/>
              <w:jc w:val="left"/>
              <w:rPr>
                <w:rFonts w:ascii="仿宋" w:hAnsi="仿宋" w:eastAsia="仿宋" w:cs="仿宋"/>
                <w:color w:val="000000"/>
                <w:kern w:val="0"/>
                <w:sz w:val="24"/>
                <w:szCs w:val="24"/>
              </w:rPr>
            </w:pPr>
            <w:r>
              <w:rPr>
                <w:rFonts w:ascii="仿宋" w:hAnsi="仿宋" w:eastAsia="仿宋" w:cs="仿宋"/>
                <w:color w:val="000000"/>
                <w:kern w:val="0"/>
                <w:sz w:val="24"/>
                <w:szCs w:val="24"/>
              </w:rPr>
              <w:t>2.投标人获得ISO9001质量体系认证证书</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提供相关证明文件得</w:t>
            </w:r>
            <w:r>
              <w:rPr>
                <w:rFonts w:hint="eastAsia" w:ascii="仿宋" w:hAnsi="仿宋" w:eastAsia="仿宋" w:cs="仿宋"/>
                <w:color w:val="000000"/>
                <w:kern w:val="0"/>
                <w:sz w:val="24"/>
                <w:szCs w:val="24"/>
              </w:rPr>
              <w:t>1分。</w:t>
            </w:r>
          </w:p>
          <w:p>
            <w:pPr>
              <w:widowControl/>
              <w:spacing w:line="276" w:lineRule="auto"/>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ascii="仿宋" w:hAnsi="仿宋" w:eastAsia="仿宋" w:cs="仿宋"/>
                <w:color w:val="000000"/>
                <w:kern w:val="0"/>
                <w:sz w:val="24"/>
                <w:szCs w:val="24"/>
              </w:rPr>
              <w:t xml:space="preserve"> 投标人获得ISO14001环境管理体系认证证书</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提供相关证明文件得</w:t>
            </w:r>
            <w:r>
              <w:rPr>
                <w:rFonts w:hint="eastAsia" w:ascii="仿宋" w:hAnsi="仿宋" w:eastAsia="仿宋" w:cs="仿宋"/>
                <w:color w:val="000000"/>
                <w:kern w:val="0"/>
                <w:sz w:val="24"/>
                <w:szCs w:val="24"/>
              </w:rPr>
              <w:t>1分。</w:t>
            </w:r>
          </w:p>
          <w:p>
            <w:pPr>
              <w:widowControl/>
              <w:spacing w:line="276" w:lineRule="auto"/>
              <w:jc w:val="left"/>
              <w:rPr>
                <w:rFonts w:ascii="仿宋" w:hAnsi="仿宋" w:eastAsia="仿宋" w:cs="仿宋"/>
                <w:color w:val="000000"/>
                <w:kern w:val="0"/>
                <w:sz w:val="24"/>
                <w:szCs w:val="24"/>
              </w:rPr>
            </w:pPr>
            <w:r>
              <w:rPr>
                <w:rFonts w:ascii="仿宋" w:hAnsi="仿宋" w:eastAsia="仿宋" w:cs="仿宋"/>
                <w:color w:val="000000"/>
                <w:kern w:val="0"/>
                <w:sz w:val="24"/>
                <w:szCs w:val="24"/>
              </w:rPr>
              <w:t>4. 投标人获得ISO27001信息安全管理体系认证证书</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提供相关证明文件得</w:t>
            </w:r>
            <w:r>
              <w:rPr>
                <w:rFonts w:hint="eastAsia" w:ascii="仿宋" w:hAnsi="仿宋" w:eastAsia="仿宋" w:cs="仿宋"/>
                <w:color w:val="000000"/>
                <w:kern w:val="0"/>
                <w:sz w:val="24"/>
                <w:szCs w:val="24"/>
              </w:rPr>
              <w:t>1分。</w:t>
            </w:r>
          </w:p>
          <w:p>
            <w:pPr>
              <w:adjustRightInd w:val="0"/>
              <w:snapToGrid w:val="0"/>
              <w:spacing w:before="156" w:beforeLines="50"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.投标人在全国仿真教学软件大赛获得一等奖荣誉，提供相关证书得1分。</w:t>
            </w:r>
          </w:p>
          <w:p>
            <w:pPr>
              <w:adjustRightInd w:val="0"/>
              <w:snapToGrid w:val="0"/>
              <w:spacing w:before="156" w:beforeLines="50"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【投标人要求提供以上相关证明资料复印件并加盖投标人单位公章，否则不予计分。】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1351" w:hRule="atLeast"/>
        </w:trPr>
        <w:tc>
          <w:tcPr>
            <w:tcW w:w="705" w:type="dxa"/>
            <w:vMerge w:val="continue"/>
            <w:tcBorders>
              <w:right w:val="single" w:color="auto" w:sz="4" w:space="0"/>
            </w:tcBorders>
            <w:shd w:val="clear" w:color="auto" w:fill="auto"/>
            <w:vAlign w:val="center"/>
          </w:tcPr>
          <w:p>
            <w:pPr>
              <w:adjustRightInd w:val="0"/>
              <w:jc w:val="center"/>
              <w:rPr>
                <w:rFonts w:ascii="仿宋" w:hAnsi="仿宋" w:eastAsia="仿宋" w:cs="仿宋"/>
                <w:color w:val="000000"/>
                <w:kern w:val="0"/>
                <w:sz w:val="24"/>
                <w:szCs w:val="24"/>
              </w:rPr>
            </w:pPr>
          </w:p>
        </w:tc>
        <w:tc>
          <w:tcPr>
            <w:tcW w:w="989" w:type="dxa"/>
            <w:vMerge w:val="continue"/>
            <w:tcBorders>
              <w:left w:val="single" w:color="auto" w:sz="4" w:space="0"/>
              <w:right w:val="single" w:color="auto" w:sz="4" w:space="0"/>
            </w:tcBorders>
            <w:shd w:val="clear" w:color="auto" w:fill="auto"/>
            <w:vAlign w:val="center"/>
          </w:tcPr>
          <w:p>
            <w:pPr>
              <w:adjustRightInd w:val="0"/>
              <w:snapToGrid w:val="0"/>
              <w:spacing w:line="520" w:lineRule="exact"/>
              <w:jc w:val="center"/>
              <w:rPr>
                <w:rFonts w:ascii="仿宋" w:hAnsi="仿宋" w:eastAsia="仿宋" w:cs="仿宋"/>
                <w:color w:val="000000"/>
                <w:kern w:val="0"/>
                <w:sz w:val="24"/>
                <w:szCs w:val="24"/>
              </w:rPr>
            </w:pPr>
          </w:p>
        </w:tc>
        <w:tc>
          <w:tcPr>
            <w:tcW w:w="1000" w:type="dxa"/>
            <w:gridSpan w:val="2"/>
            <w:tcBorders>
              <w:top w:val="single" w:color="auto" w:sz="4" w:space="0"/>
              <w:left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售后</w:t>
            </w:r>
          </w:p>
          <w:p>
            <w:pPr>
              <w:spacing w:line="36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服务</w:t>
            </w:r>
          </w:p>
        </w:tc>
        <w:tc>
          <w:tcPr>
            <w:tcW w:w="639" w:type="dxa"/>
            <w:tcBorders>
              <w:top w:val="single" w:color="auto" w:sz="4" w:space="0"/>
              <w:left w:val="single" w:color="auto" w:sz="4" w:space="0"/>
              <w:right w:val="single" w:color="auto" w:sz="4" w:space="0"/>
            </w:tcBorders>
            <w:shd w:val="clear" w:color="000000" w:fill="FFFFFF"/>
            <w:vAlign w:val="center"/>
          </w:tcPr>
          <w:p>
            <w:pPr>
              <w:spacing w:line="36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23" w:type="dxa"/>
            <w:gridSpan w:val="2"/>
            <w:tcBorders>
              <w:top w:val="single" w:color="auto" w:sz="4" w:space="0"/>
              <w:left w:val="single" w:color="auto" w:sz="4" w:space="0"/>
              <w:bottom w:val="single" w:color="auto" w:sz="4" w:space="0"/>
            </w:tcBorders>
            <w:shd w:val="clear" w:color="000000" w:fill="FFFFFF"/>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投标人提供完整的售后服务方案（包括本地化服务，有专人负责售前、售中和售后服务的、驻场人员安排、培训等），质保期、服务响应时间等满足招标文件要求，优计</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 xml:space="preserve">分，良计2分，一般1分。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1351" w:hRule="atLeast"/>
        </w:trPr>
        <w:tc>
          <w:tcPr>
            <w:tcW w:w="705" w:type="dxa"/>
            <w:tcBorders>
              <w:right w:val="single" w:color="auto" w:sz="4" w:space="0"/>
            </w:tcBorders>
            <w:shd w:val="clear" w:color="auto" w:fill="auto"/>
            <w:vAlign w:val="center"/>
          </w:tcPr>
          <w:p>
            <w:pPr>
              <w:adjustRightInd w:val="0"/>
              <w:jc w:val="center"/>
              <w:rPr>
                <w:rFonts w:ascii="仿宋" w:hAnsi="仿宋" w:eastAsia="仿宋" w:cs="仿宋"/>
                <w:color w:val="000000"/>
                <w:kern w:val="0"/>
                <w:sz w:val="24"/>
                <w:szCs w:val="24"/>
              </w:rPr>
            </w:pPr>
          </w:p>
        </w:tc>
        <w:tc>
          <w:tcPr>
            <w:tcW w:w="989" w:type="dxa"/>
            <w:vMerge w:val="continue"/>
            <w:tcBorders>
              <w:left w:val="single" w:color="auto" w:sz="4" w:space="0"/>
              <w:right w:val="single" w:color="auto" w:sz="4" w:space="0"/>
            </w:tcBorders>
            <w:shd w:val="clear" w:color="auto" w:fill="auto"/>
            <w:vAlign w:val="center"/>
          </w:tcPr>
          <w:p>
            <w:pPr>
              <w:adjustRightInd w:val="0"/>
              <w:snapToGrid w:val="0"/>
              <w:spacing w:line="520" w:lineRule="exact"/>
              <w:jc w:val="center"/>
              <w:rPr>
                <w:rFonts w:ascii="仿宋" w:hAnsi="仿宋" w:eastAsia="仿宋" w:cs="仿宋"/>
                <w:color w:val="000000"/>
                <w:kern w:val="0"/>
                <w:sz w:val="24"/>
                <w:szCs w:val="24"/>
              </w:rPr>
            </w:pPr>
          </w:p>
        </w:tc>
        <w:tc>
          <w:tcPr>
            <w:tcW w:w="1000" w:type="dxa"/>
            <w:gridSpan w:val="2"/>
            <w:tcBorders>
              <w:top w:val="single" w:color="auto" w:sz="4" w:space="0"/>
              <w:left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商务</w:t>
            </w:r>
          </w:p>
          <w:p>
            <w:pPr>
              <w:spacing w:line="360" w:lineRule="auto"/>
              <w:jc w:val="center"/>
              <w:rPr>
                <w:rFonts w:ascii="仿宋" w:hAnsi="仿宋" w:eastAsia="仿宋" w:cs="仿宋"/>
                <w:color w:val="000000"/>
                <w:kern w:val="0"/>
                <w:sz w:val="24"/>
                <w:szCs w:val="24"/>
              </w:rPr>
            </w:pPr>
            <w:r>
              <w:rPr>
                <w:rFonts w:ascii="仿宋" w:hAnsi="仿宋" w:eastAsia="仿宋" w:cs="仿宋"/>
                <w:color w:val="000000"/>
                <w:kern w:val="0"/>
                <w:sz w:val="24"/>
                <w:szCs w:val="24"/>
              </w:rPr>
              <w:t>响应</w:t>
            </w:r>
          </w:p>
        </w:tc>
        <w:tc>
          <w:tcPr>
            <w:tcW w:w="639" w:type="dxa"/>
            <w:tcBorders>
              <w:top w:val="single" w:color="auto" w:sz="4" w:space="0"/>
              <w:left w:val="single" w:color="auto" w:sz="4" w:space="0"/>
              <w:right w:val="single" w:color="auto" w:sz="4" w:space="0"/>
            </w:tcBorders>
            <w:shd w:val="clear" w:color="000000" w:fill="FFFFFF"/>
            <w:vAlign w:val="center"/>
          </w:tcPr>
          <w:p>
            <w:pPr>
              <w:spacing w:line="36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6023" w:type="dxa"/>
            <w:gridSpan w:val="2"/>
            <w:tcBorders>
              <w:top w:val="single" w:color="auto" w:sz="4" w:space="0"/>
              <w:left w:val="single" w:color="auto" w:sz="4" w:space="0"/>
              <w:bottom w:val="single" w:color="auto" w:sz="4" w:space="0"/>
            </w:tcBorders>
            <w:shd w:val="clear" w:color="000000" w:fill="FFFFFF"/>
            <w:vAlign w:val="center"/>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投标文件没有商务条款响应/偏离表的不计分。质保期、服务响应时间、交货时间和付款方式等商务条款满足招标文件要求的计3分。缺项或偏离每处扣1分，扣完为止。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08" w:type="dxa"/>
          <w:trHeight w:val="403" w:hRule="atLeast"/>
        </w:trPr>
        <w:tc>
          <w:tcPr>
            <w:tcW w:w="9356" w:type="dxa"/>
            <w:gridSpan w:val="7"/>
            <w:vAlign w:val="center"/>
          </w:tcPr>
          <w:p>
            <w:pPr>
              <w:adjustRightInd w:val="0"/>
              <w:snapToGrid w:val="0"/>
              <w:rPr>
                <w:rFonts w:ascii="仿宋" w:hAnsi="仿宋" w:eastAsia="仿宋" w:cs="仿宋"/>
                <w:color w:val="000000"/>
                <w:kern w:val="0"/>
                <w:sz w:val="24"/>
                <w:szCs w:val="24"/>
              </w:rPr>
            </w:pPr>
            <w:r>
              <w:rPr>
                <w:rFonts w:hint="eastAsia" w:ascii="仿宋" w:hAnsi="仿宋" w:eastAsia="仿宋" w:cs="仿宋"/>
                <w:color w:val="000000"/>
                <w:kern w:val="0"/>
                <w:sz w:val="24"/>
                <w:szCs w:val="24"/>
              </w:rPr>
              <w:t>说明：1、评分依据评标标准，对照投标书进行。评标标准涉及要求提供复印件的，投标文件中须附相关证书和证明文件的复印件并加盖单位公章，否则相应计分项不予计分。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80C2BBA"/>
    <w:rsid w:val="08FD5745"/>
    <w:rsid w:val="0930075F"/>
    <w:rsid w:val="094C0742"/>
    <w:rsid w:val="0A5E16AE"/>
    <w:rsid w:val="0A7C3AAF"/>
    <w:rsid w:val="0A7F2B85"/>
    <w:rsid w:val="0AB50907"/>
    <w:rsid w:val="0B01317F"/>
    <w:rsid w:val="0BBD5765"/>
    <w:rsid w:val="0C1D2223"/>
    <w:rsid w:val="0C3D4298"/>
    <w:rsid w:val="0C9523A6"/>
    <w:rsid w:val="0CA67F00"/>
    <w:rsid w:val="0F485C64"/>
    <w:rsid w:val="0FD30C14"/>
    <w:rsid w:val="101B403B"/>
    <w:rsid w:val="116D26CD"/>
    <w:rsid w:val="11C23651"/>
    <w:rsid w:val="11E13F76"/>
    <w:rsid w:val="129267D1"/>
    <w:rsid w:val="12C422CE"/>
    <w:rsid w:val="13EB69AF"/>
    <w:rsid w:val="13EF7D11"/>
    <w:rsid w:val="140778EB"/>
    <w:rsid w:val="158908A7"/>
    <w:rsid w:val="158E318D"/>
    <w:rsid w:val="160E3E81"/>
    <w:rsid w:val="16EE4E99"/>
    <w:rsid w:val="171E620C"/>
    <w:rsid w:val="17A87F25"/>
    <w:rsid w:val="17F27C17"/>
    <w:rsid w:val="183965F3"/>
    <w:rsid w:val="189035FD"/>
    <w:rsid w:val="18C769E5"/>
    <w:rsid w:val="18D55096"/>
    <w:rsid w:val="194C1AA6"/>
    <w:rsid w:val="198348D6"/>
    <w:rsid w:val="1A08396D"/>
    <w:rsid w:val="1AFBFFDD"/>
    <w:rsid w:val="1B1653FD"/>
    <w:rsid w:val="1BC2665F"/>
    <w:rsid w:val="1C2D1536"/>
    <w:rsid w:val="1CCF2F1D"/>
    <w:rsid w:val="1CFB73D3"/>
    <w:rsid w:val="1E8E722F"/>
    <w:rsid w:val="1F8E45BB"/>
    <w:rsid w:val="1FE15514"/>
    <w:rsid w:val="208614E5"/>
    <w:rsid w:val="20E47EF3"/>
    <w:rsid w:val="2157706F"/>
    <w:rsid w:val="21DD4A96"/>
    <w:rsid w:val="22605721"/>
    <w:rsid w:val="23531816"/>
    <w:rsid w:val="24D35795"/>
    <w:rsid w:val="25A60734"/>
    <w:rsid w:val="26EC1901"/>
    <w:rsid w:val="271F4B16"/>
    <w:rsid w:val="275038F3"/>
    <w:rsid w:val="27CD14F5"/>
    <w:rsid w:val="293C5FB1"/>
    <w:rsid w:val="29A55E19"/>
    <w:rsid w:val="29F94CB1"/>
    <w:rsid w:val="2A553543"/>
    <w:rsid w:val="2A745111"/>
    <w:rsid w:val="2AF87034"/>
    <w:rsid w:val="2B022C78"/>
    <w:rsid w:val="2B792340"/>
    <w:rsid w:val="2C014C3B"/>
    <w:rsid w:val="2CA9520B"/>
    <w:rsid w:val="2D4A693F"/>
    <w:rsid w:val="2E252DC4"/>
    <w:rsid w:val="2F112255"/>
    <w:rsid w:val="2F650AED"/>
    <w:rsid w:val="2FFD3F6B"/>
    <w:rsid w:val="30EA79C7"/>
    <w:rsid w:val="30FD56B7"/>
    <w:rsid w:val="329E1B24"/>
    <w:rsid w:val="32BF12F4"/>
    <w:rsid w:val="33563CED"/>
    <w:rsid w:val="338A4286"/>
    <w:rsid w:val="347F0816"/>
    <w:rsid w:val="34B644B7"/>
    <w:rsid w:val="36B46A4A"/>
    <w:rsid w:val="36E65B38"/>
    <w:rsid w:val="375656B9"/>
    <w:rsid w:val="37627558"/>
    <w:rsid w:val="37B91083"/>
    <w:rsid w:val="39FD28B4"/>
    <w:rsid w:val="3AC47AB6"/>
    <w:rsid w:val="3ADD0A2E"/>
    <w:rsid w:val="3B4C7808"/>
    <w:rsid w:val="3B7A3E82"/>
    <w:rsid w:val="3B8D0CE8"/>
    <w:rsid w:val="3BA71EF1"/>
    <w:rsid w:val="3C1651F0"/>
    <w:rsid w:val="3CBF1608"/>
    <w:rsid w:val="3CC749D9"/>
    <w:rsid w:val="3CFB31CE"/>
    <w:rsid w:val="3DCA2531"/>
    <w:rsid w:val="3E3A26DB"/>
    <w:rsid w:val="3F263B0E"/>
    <w:rsid w:val="410B53EF"/>
    <w:rsid w:val="414D7438"/>
    <w:rsid w:val="41A16B13"/>
    <w:rsid w:val="41EF3AE9"/>
    <w:rsid w:val="423A7A11"/>
    <w:rsid w:val="428968C5"/>
    <w:rsid w:val="430D37F8"/>
    <w:rsid w:val="43420F67"/>
    <w:rsid w:val="43AF27C5"/>
    <w:rsid w:val="443E3AC2"/>
    <w:rsid w:val="444772BC"/>
    <w:rsid w:val="444D773E"/>
    <w:rsid w:val="44972791"/>
    <w:rsid w:val="458D2A4C"/>
    <w:rsid w:val="459D509E"/>
    <w:rsid w:val="45A926DC"/>
    <w:rsid w:val="45FC4042"/>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47F6D52"/>
    <w:rsid w:val="5590515E"/>
    <w:rsid w:val="562D2F69"/>
    <w:rsid w:val="5703196B"/>
    <w:rsid w:val="57140DA8"/>
    <w:rsid w:val="574A43AC"/>
    <w:rsid w:val="58077CBD"/>
    <w:rsid w:val="5812110B"/>
    <w:rsid w:val="582E1358"/>
    <w:rsid w:val="58FD658D"/>
    <w:rsid w:val="5B0C6CA4"/>
    <w:rsid w:val="5C7C747C"/>
    <w:rsid w:val="5CFD3C28"/>
    <w:rsid w:val="5E2C7B65"/>
    <w:rsid w:val="5EB8046C"/>
    <w:rsid w:val="5EC23D91"/>
    <w:rsid w:val="5EEA6FD8"/>
    <w:rsid w:val="5F91300B"/>
    <w:rsid w:val="5FBD74DE"/>
    <w:rsid w:val="5FFC61BE"/>
    <w:rsid w:val="601812B8"/>
    <w:rsid w:val="60BD0412"/>
    <w:rsid w:val="616C5D6E"/>
    <w:rsid w:val="61775FA5"/>
    <w:rsid w:val="619B680C"/>
    <w:rsid w:val="62E53998"/>
    <w:rsid w:val="648D2FFF"/>
    <w:rsid w:val="656839C3"/>
    <w:rsid w:val="65725730"/>
    <w:rsid w:val="65B92974"/>
    <w:rsid w:val="65C80747"/>
    <w:rsid w:val="672B7704"/>
    <w:rsid w:val="6753455D"/>
    <w:rsid w:val="68594ADA"/>
    <w:rsid w:val="68741D48"/>
    <w:rsid w:val="6AB31C19"/>
    <w:rsid w:val="6B357A50"/>
    <w:rsid w:val="6B5B7DCB"/>
    <w:rsid w:val="6BB95672"/>
    <w:rsid w:val="6C1E4AF0"/>
    <w:rsid w:val="6C4712E8"/>
    <w:rsid w:val="6C9C46AE"/>
    <w:rsid w:val="6CE55F45"/>
    <w:rsid w:val="6D7644F7"/>
    <w:rsid w:val="6D8D5D8A"/>
    <w:rsid w:val="6DE87E82"/>
    <w:rsid w:val="6DFC3DF2"/>
    <w:rsid w:val="6E673C05"/>
    <w:rsid w:val="6E6F4DC3"/>
    <w:rsid w:val="6E7511ED"/>
    <w:rsid w:val="6E76180E"/>
    <w:rsid w:val="6ED546F7"/>
    <w:rsid w:val="6F272507"/>
    <w:rsid w:val="6FF11A89"/>
    <w:rsid w:val="70117814"/>
    <w:rsid w:val="70602224"/>
    <w:rsid w:val="70C1699F"/>
    <w:rsid w:val="70F11E9C"/>
    <w:rsid w:val="71617265"/>
    <w:rsid w:val="71C32A07"/>
    <w:rsid w:val="71E53350"/>
    <w:rsid w:val="720E5D3A"/>
    <w:rsid w:val="72254E2A"/>
    <w:rsid w:val="7290558D"/>
    <w:rsid w:val="72ED3426"/>
    <w:rsid w:val="73184127"/>
    <w:rsid w:val="73733509"/>
    <w:rsid w:val="73D40348"/>
    <w:rsid w:val="74AB41BE"/>
    <w:rsid w:val="753171BD"/>
    <w:rsid w:val="75EA3934"/>
    <w:rsid w:val="774700AD"/>
    <w:rsid w:val="777E0158"/>
    <w:rsid w:val="788A0F31"/>
    <w:rsid w:val="78F56DD8"/>
    <w:rsid w:val="7A77760E"/>
    <w:rsid w:val="7AC70899"/>
    <w:rsid w:val="7B3F7553"/>
    <w:rsid w:val="7B7986D1"/>
    <w:rsid w:val="7B877587"/>
    <w:rsid w:val="7CF25F9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18</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2019-07-31T04:01:14Z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