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w:t>
      </w:r>
      <w:r>
        <w:rPr>
          <w:rFonts w:hint="eastAsia" w:asciiTheme="majorEastAsia" w:hAnsiTheme="majorEastAsia" w:eastAsiaTheme="majorEastAsia" w:cstheme="majorEastAsia"/>
          <w:b/>
          <w:bCs/>
          <w:color w:val="000000"/>
          <w:sz w:val="44"/>
          <w:szCs w:val="44"/>
          <w:lang w:eastAsia="zh-CN"/>
        </w:rPr>
        <w:t>市商务局</w:t>
      </w:r>
      <w:r>
        <w:rPr>
          <w:rFonts w:hint="eastAsia" w:asciiTheme="majorEastAsia" w:hAnsiTheme="majorEastAsia" w:eastAsiaTheme="majorEastAsia" w:cstheme="majorEastAsia"/>
          <w:b/>
          <w:bCs/>
          <w:color w:val="000000"/>
          <w:sz w:val="44"/>
          <w:szCs w:val="44"/>
        </w:rPr>
        <w:t>“</w:t>
      </w:r>
      <w:r>
        <w:rPr>
          <w:rFonts w:hint="eastAsia" w:asciiTheme="majorEastAsia" w:hAnsiTheme="majorEastAsia" w:eastAsiaTheme="majorEastAsia" w:cstheme="majorEastAsia"/>
          <w:b/>
          <w:bCs/>
          <w:color w:val="000000"/>
          <w:sz w:val="44"/>
          <w:szCs w:val="44"/>
          <w:lang w:val="en-US" w:eastAsia="zh-CN"/>
        </w:rPr>
        <w:t>许昌市现代物流业发展空间布局规划</w:t>
      </w:r>
      <w:r>
        <w:rPr>
          <w:rFonts w:hint="eastAsia" w:asciiTheme="majorEastAsia" w:hAnsiTheme="majorEastAsia" w:eastAsiaTheme="majorEastAsia" w:cstheme="majorEastAsia"/>
          <w:b/>
          <w:bCs/>
          <w:color w:val="000000"/>
          <w:sz w:val="44"/>
          <w:szCs w:val="44"/>
        </w:rPr>
        <w:t>”项目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项目编号：ZFCG-G2019</w:t>
      </w:r>
      <w:r>
        <w:rPr>
          <w:rFonts w:hint="eastAsia" w:asciiTheme="majorEastAsia" w:hAnsiTheme="majorEastAsia" w:eastAsiaTheme="majorEastAsia" w:cstheme="majorEastAsia"/>
          <w:b/>
          <w:bCs/>
          <w:color w:val="000000"/>
          <w:sz w:val="36"/>
          <w:szCs w:val="36"/>
          <w:lang w:val="en-US" w:eastAsia="zh-CN"/>
        </w:rPr>
        <w:t>077-1</w:t>
      </w:r>
      <w:r>
        <w:rPr>
          <w:rFonts w:hint="eastAsia" w:asciiTheme="majorEastAsia" w:hAnsiTheme="majorEastAsia" w:eastAsiaTheme="majorEastAsia" w:cstheme="majorEastAsia"/>
          <w:b/>
          <w:bCs/>
          <w:color w:val="000000"/>
          <w:sz w:val="36"/>
          <w:szCs w:val="36"/>
        </w:rPr>
        <w:t>号</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采购单位：许昌</w:t>
      </w:r>
      <w:r>
        <w:rPr>
          <w:rFonts w:hint="eastAsia" w:asciiTheme="majorEastAsia" w:hAnsiTheme="majorEastAsia" w:eastAsiaTheme="majorEastAsia" w:cstheme="majorEastAsia"/>
          <w:b/>
          <w:bCs/>
          <w:color w:val="000000"/>
          <w:sz w:val="36"/>
          <w:szCs w:val="36"/>
          <w:lang w:eastAsia="zh-CN"/>
        </w:rPr>
        <w:t>市商务局</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二〇一九年</w:t>
      </w:r>
      <w:r>
        <w:rPr>
          <w:rFonts w:hint="eastAsia" w:asciiTheme="majorEastAsia" w:hAnsiTheme="majorEastAsia" w:eastAsiaTheme="majorEastAsia" w:cstheme="majorEastAsia"/>
          <w:b/>
          <w:bCs/>
          <w:color w:val="000000"/>
          <w:sz w:val="36"/>
          <w:szCs w:val="36"/>
          <w:lang w:eastAsia="zh-CN"/>
        </w:rPr>
        <w:t>七</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val="en-US" w:eastAsia="zh-CN"/>
        </w:rPr>
        <w:t>三</w:t>
      </w:r>
      <w:r>
        <w:rPr>
          <w:rFonts w:hint="eastAsia" w:asciiTheme="majorEastAsia" w:hAnsiTheme="majorEastAsia" w:eastAsiaTheme="majorEastAsia" w:cstheme="majorEastAsia"/>
          <w:b/>
          <w:bCs/>
          <w:color w:val="000000"/>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lang w:val="zh-CN"/>
        </w:rPr>
        <w:t>许昌市政府采购中心(以下简称采购中心) 受</w:t>
      </w:r>
      <w:r>
        <w:rPr>
          <w:rFonts w:hint="eastAsia" w:cs="仿宋_GB2312" w:asciiTheme="minorEastAsia" w:hAnsiTheme="minorEastAsia" w:eastAsiaTheme="minorEastAsia"/>
          <w:color w:val="000000"/>
          <w:sz w:val="21"/>
          <w:szCs w:val="21"/>
          <w:shd w:val="clear" w:color="auto" w:fill="FFFFFF"/>
          <w:lang w:val="en-US" w:eastAsia="zh-CN"/>
        </w:rPr>
        <w:t>许昌市商务局</w:t>
      </w:r>
      <w:r>
        <w:rPr>
          <w:rFonts w:hint="eastAsia" w:cs="仿宋_GB2312" w:asciiTheme="minorEastAsia" w:hAnsiTheme="minorEastAsia" w:eastAsiaTheme="minorEastAsia"/>
          <w:color w:val="000000"/>
          <w:sz w:val="21"/>
          <w:szCs w:val="21"/>
          <w:shd w:val="clear" w:color="auto" w:fill="FFFFFF"/>
          <w:lang w:val="zh-CN"/>
        </w:rPr>
        <w:t>的委托，对</w:t>
      </w:r>
      <w:r>
        <w:rPr>
          <w:rFonts w:hint="eastAsia" w:cs="仿宋_GB2312" w:asciiTheme="minorEastAsia" w:hAnsiTheme="minorEastAsia" w:eastAsiaTheme="minorEastAsia"/>
          <w:color w:val="000000"/>
          <w:sz w:val="21"/>
          <w:szCs w:val="21"/>
          <w:shd w:val="clear" w:color="auto" w:fill="FFFFFF"/>
          <w:lang w:val="en-US" w:eastAsia="zh-CN"/>
        </w:rPr>
        <w:t>许昌市现代物流业发展空间布局规划</w:t>
      </w:r>
      <w:r>
        <w:rPr>
          <w:rFonts w:hint="eastAsia" w:cs="仿宋_GB2312" w:asciiTheme="minorEastAsia" w:hAnsiTheme="minorEastAsia" w:eastAsiaTheme="minorEastAsia"/>
          <w:color w:val="000000"/>
          <w:sz w:val="21"/>
          <w:szCs w:val="21"/>
          <w:shd w:val="clear" w:color="auto" w:fill="FFFFFF"/>
          <w:lang w:val="zh-CN"/>
        </w:rPr>
        <w:t>项目进行公开招标。现邀请符合本招标文件规定条件的投标人前来投标。</w:t>
      </w:r>
    </w:p>
    <w:p>
      <w:pPr>
        <w:pStyle w:val="20"/>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rPr>
        <w:t>（一）项目名</w:t>
      </w:r>
      <w:r>
        <w:rPr>
          <w:rFonts w:hint="eastAsia" w:cs="仿宋_GB2312" w:asciiTheme="minorEastAsia" w:hAnsiTheme="minorEastAsia" w:eastAsiaTheme="minorEastAsia"/>
          <w:color w:val="000000"/>
          <w:sz w:val="21"/>
          <w:szCs w:val="21"/>
          <w:shd w:val="clear" w:color="auto" w:fill="FFFFFF"/>
          <w:lang w:val="zh-CN"/>
        </w:rPr>
        <w:t>称：</w:t>
      </w:r>
      <w:r>
        <w:rPr>
          <w:rFonts w:hint="eastAsia" w:cs="仿宋_GB2312" w:asciiTheme="minorEastAsia" w:hAnsiTheme="minorEastAsia" w:eastAsiaTheme="minorEastAsia"/>
          <w:color w:val="000000"/>
          <w:sz w:val="21"/>
          <w:szCs w:val="21"/>
          <w:shd w:val="clear" w:color="auto" w:fill="FFFFFF"/>
          <w:lang w:val="en-US" w:eastAsia="zh-CN"/>
        </w:rPr>
        <w:t>许昌市现代物流业发展空间布局规划</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（二）项目编号：ZFCG-G2019</w:t>
      </w:r>
      <w:r>
        <w:rPr>
          <w:rFonts w:hint="eastAsia" w:cs="仿宋_GB2312" w:asciiTheme="minorEastAsia" w:hAnsiTheme="minorEastAsia" w:eastAsiaTheme="minorEastAsia"/>
          <w:color w:val="000000"/>
          <w:sz w:val="21"/>
          <w:szCs w:val="21"/>
          <w:shd w:val="clear" w:color="auto" w:fill="FFFFFF"/>
          <w:lang w:val="en-US" w:eastAsia="zh-CN"/>
        </w:rPr>
        <w:t>077-1</w:t>
      </w:r>
      <w:r>
        <w:rPr>
          <w:rFonts w:hint="eastAsia" w:cs="仿宋_GB2312" w:asciiTheme="minorEastAsia" w:hAnsiTheme="minorEastAsia" w:eastAsiaTheme="minorEastAsia"/>
          <w:color w:val="000000"/>
          <w:sz w:val="21"/>
          <w:szCs w:val="21"/>
          <w:shd w:val="clear" w:color="auto" w:fill="FFFFFF"/>
          <w:lang w:val="zh-CN"/>
        </w:rPr>
        <w:t xml:space="preserve">号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 xml:space="preserve">（三）采购方式：公开招标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（四）项目主要内容、数量及要求：</w:t>
      </w:r>
      <w:r>
        <w:rPr>
          <w:rFonts w:hint="eastAsia" w:cs="仿宋_GB2312" w:asciiTheme="minorEastAsia" w:hAnsiTheme="minorEastAsia" w:eastAsiaTheme="minorEastAsia"/>
          <w:color w:val="000000"/>
          <w:sz w:val="21"/>
          <w:szCs w:val="21"/>
          <w:shd w:val="clear" w:color="auto" w:fill="FFFFFF"/>
          <w:lang w:val="en-US" w:eastAsia="zh-CN"/>
        </w:rPr>
        <w:t>本项目规划范围为许昌全市域，总面积4996平方公里，以中心城区（北面以规划的北绕城高速为界，东面以新 107 国道为界，南面以兰南高速为界，西面以省道 227 和三洋铁路为界）和长葛市域为主，涵盖其它县（市、区）城乡；规划期限为2019—2035年，近期为2019—2025年.远期为2026—2035年。规划编制内容主要包括许昌市物流业发展现状及问题分析、物流业发展需求分析、物流业发展战略、物流业发展定位研究、物流业的空间布局规划方案、社会供应链发展规划、特色城市物流发展重点领域、物流通道规划、近期物流业发展实施计划。具体工作为规划的调研、论证、编制及相关工作。</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（五）预算金额：</w:t>
      </w:r>
      <w:r>
        <w:rPr>
          <w:rFonts w:hint="eastAsia" w:cs="仿宋_GB2312" w:asciiTheme="minorEastAsia" w:hAnsiTheme="minorEastAsia" w:eastAsiaTheme="minorEastAsia"/>
          <w:color w:val="000000"/>
          <w:sz w:val="21"/>
          <w:szCs w:val="21"/>
          <w:shd w:val="clear" w:color="auto" w:fill="FFFFFF"/>
          <w:lang w:val="en-US" w:eastAsia="zh-CN"/>
        </w:rPr>
        <w:t>147.65万元</w:t>
      </w:r>
      <w:r>
        <w:rPr>
          <w:rFonts w:hint="eastAsia" w:cs="仿宋_GB2312" w:asciiTheme="minorEastAsia" w:hAnsiTheme="minorEastAsia" w:eastAsiaTheme="minorEastAsia"/>
          <w:color w:val="000000"/>
          <w:sz w:val="21"/>
          <w:szCs w:val="21"/>
          <w:shd w:val="clear" w:color="auto" w:fill="FFFFFF"/>
          <w:lang w:val="zh-CN"/>
        </w:rPr>
        <w:t>。最高限价：</w:t>
      </w:r>
      <w:r>
        <w:rPr>
          <w:rFonts w:hint="eastAsia" w:cs="仿宋_GB2312" w:asciiTheme="minorEastAsia" w:hAnsiTheme="minorEastAsia" w:eastAsiaTheme="minorEastAsia"/>
          <w:color w:val="000000"/>
          <w:sz w:val="21"/>
          <w:szCs w:val="21"/>
          <w:shd w:val="clear" w:color="auto" w:fill="FFFFFF"/>
          <w:lang w:val="en-US" w:eastAsia="zh-CN"/>
        </w:rPr>
        <w:t>147.65万元</w:t>
      </w:r>
      <w:r>
        <w:rPr>
          <w:rFonts w:hint="eastAsia" w:cs="仿宋_GB2312" w:asciiTheme="minorEastAsia" w:hAnsiTheme="minorEastAsia" w:eastAsiaTheme="minorEastAsia"/>
          <w:color w:val="000000"/>
          <w:sz w:val="21"/>
          <w:szCs w:val="21"/>
          <w:shd w:val="clear" w:color="auto" w:fill="FFFFFF"/>
          <w:lang w:val="zh-CN"/>
        </w:rPr>
        <w:t>。</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（六）交付（服务、完工）时间 ：</w:t>
      </w:r>
      <w:bookmarkStart w:id="0" w:name="交付日期"/>
      <w:r>
        <w:rPr>
          <w:rFonts w:hint="eastAsia" w:cs="仿宋_GB2312" w:asciiTheme="minorEastAsia" w:hAnsiTheme="minorEastAsia" w:eastAsiaTheme="minorEastAsia"/>
          <w:color w:val="000000"/>
          <w:sz w:val="21"/>
          <w:szCs w:val="21"/>
          <w:shd w:val="clear" w:color="auto" w:fill="FFFFFF"/>
          <w:lang w:val="zh-CN"/>
        </w:rPr>
        <w:t>自合同生效之日起</w:t>
      </w:r>
      <w:bookmarkEnd w:id="0"/>
      <w:r>
        <w:rPr>
          <w:rFonts w:hint="eastAsia" w:cs="仿宋_GB2312" w:asciiTheme="minorEastAsia" w:hAnsiTheme="minorEastAsia" w:eastAsiaTheme="minorEastAsia"/>
          <w:color w:val="000000"/>
          <w:sz w:val="21"/>
          <w:szCs w:val="21"/>
          <w:shd w:val="clear" w:color="auto" w:fill="FFFFFF"/>
          <w:lang w:val="en-US" w:eastAsia="zh-CN"/>
        </w:rPr>
        <w:t>6个月</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（七）交付（服务、完工）地点：</w:t>
      </w:r>
      <w:r>
        <w:rPr>
          <w:rFonts w:hint="eastAsia" w:cs="仿宋_GB2312" w:asciiTheme="minorEastAsia" w:hAnsiTheme="minorEastAsia" w:eastAsiaTheme="minorEastAsia"/>
          <w:color w:val="000000"/>
          <w:sz w:val="21"/>
          <w:szCs w:val="21"/>
          <w:shd w:val="clear" w:color="auto" w:fill="FFFFFF"/>
          <w:lang w:val="en-US" w:eastAsia="zh-CN"/>
        </w:rPr>
        <w:t>许昌市商务局</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本项目落实中小微型企业、残疾人福利性单位扶持等相关政府采购政策。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hint="eastAsia" w:cs="仿宋_GB2312" w:asciiTheme="minorEastAsia" w:hAnsiTheme="minorEastAsia" w:eastAsiaTheme="minorEastAsia"/>
          <w:color w:val="000000"/>
          <w:sz w:val="21"/>
          <w:szCs w:val="21"/>
          <w:shd w:val="clear" w:color="auto" w:fill="FFFFFF"/>
          <w:lang w:val="en-US" w:eastAsia="zh-CN"/>
        </w:rPr>
        <w:t>投标人具有城乡规划编制甲级资质（联合体投标至少有1家具有城乡规划编制甲级资质）</w:t>
      </w:r>
      <w:r>
        <w:rPr>
          <w:rFonts w:hint="eastAsia" w:cs="仿宋_GB2312" w:asciiTheme="minorEastAsia" w:hAnsiTheme="minorEastAsia" w:eastAsiaTheme="minorEastAsia"/>
          <w:color w:val="000000"/>
          <w:sz w:val="21"/>
          <w:szCs w:val="21"/>
          <w:shd w:val="clear" w:color="auto" w:fill="FFFFFF"/>
        </w:rPr>
        <w:t>；</w:t>
      </w:r>
    </w:p>
    <w:p>
      <w:pPr>
        <w:bidi w:val="0"/>
        <w:rPr>
          <w:rFonts w:hint="eastAsia"/>
        </w:rPr>
      </w:pPr>
    </w:p>
    <w:p>
      <w:pPr>
        <w:tabs>
          <w:tab w:val="left" w:pos="1147"/>
        </w:tabs>
        <w:bidi w:val="0"/>
        <w:jc w:val="left"/>
        <w:rPr>
          <w:rFonts w:hint="eastAsia" w:eastAsiaTheme="minorEastAsia"/>
          <w:lang w:eastAsia="zh-CN"/>
        </w:rPr>
      </w:pPr>
      <w:r>
        <w:rPr>
          <w:rFonts w:hint="eastAsia"/>
          <w:lang w:eastAsia="zh-CN"/>
        </w:rPr>
        <w:tab/>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highlight w:val="none"/>
          <w:shd w:val="clear" w:color="auto" w:fill="FFFFFF"/>
        </w:rPr>
      </w:pPr>
      <w:r>
        <w:rPr>
          <w:rFonts w:hint="eastAsia" w:cs="仿宋_GB2312" w:asciiTheme="minorEastAsia" w:hAnsiTheme="minorEastAsia" w:eastAsiaTheme="minorEastAsia"/>
          <w:color w:val="000000"/>
          <w:sz w:val="21"/>
          <w:szCs w:val="21"/>
          <w:shd w:val="clear" w:color="auto" w:fill="FFFFFF"/>
        </w:rPr>
        <w:t>(三)</w:t>
      </w:r>
      <w:r>
        <w:rPr>
          <w:rFonts w:cs="仿宋_GB2312" w:asciiTheme="minorEastAsia" w:hAnsiTheme="minorEastAsia"/>
          <w:color w:val="000000"/>
          <w:sz w:val="21"/>
          <w:szCs w:val="21"/>
          <w:shd w:val="clear" w:color="auto" w:fill="FFFFFF"/>
        </w:rPr>
        <w:t xml:space="preserve"> </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w:t>
      </w:r>
      <w:r>
        <w:rPr>
          <w:rFonts w:cs="仿宋_GB2312" w:asciiTheme="minorEastAsia" w:hAnsiTheme="minorEastAsia" w:eastAsiaTheme="minorEastAsia"/>
          <w:color w:val="000000"/>
          <w:sz w:val="21"/>
          <w:szCs w:val="21"/>
          <w:highlight w:val="none"/>
          <w:shd w:val="clear" w:color="auto" w:fill="FFFFFF"/>
        </w:rPr>
        <w:t>名单的投标人</w:t>
      </w:r>
      <w:r>
        <w:rPr>
          <w:rFonts w:hint="eastAsia" w:cs="仿宋_GB2312" w:asciiTheme="minorEastAsia" w:hAnsiTheme="minorEastAsia" w:eastAsiaTheme="minorEastAsia"/>
          <w:color w:val="000000"/>
          <w:sz w:val="21"/>
          <w:szCs w:val="21"/>
          <w:highlight w:val="none"/>
          <w:shd w:val="clear" w:color="auto" w:fill="FFFFFF"/>
        </w:rPr>
        <w:t>；</w:t>
      </w:r>
      <w:r>
        <w:rPr>
          <w:rFonts w:hint="eastAsia" w:cs="仿宋_GB2312" w:asciiTheme="minorEastAsia" w:hAnsiTheme="minorEastAsia" w:eastAsiaTheme="minorEastAsia"/>
          <w:color w:val="000000"/>
          <w:sz w:val="21"/>
          <w:szCs w:val="21"/>
          <w:highlight w:val="none"/>
        </w:rPr>
        <w:t>“国家企业信用公示系统”网站（</w:t>
      </w:r>
      <w:r>
        <w:rPr>
          <w:rFonts w:cs="仿宋_GB2312" w:asciiTheme="minorEastAsia" w:hAnsiTheme="minorEastAsia" w:eastAsiaTheme="minorEastAsia"/>
          <w:color w:val="000000"/>
          <w:sz w:val="21"/>
          <w:szCs w:val="21"/>
          <w:highlight w:val="none"/>
        </w:rPr>
        <w:t>www.gsxt.gov.cn</w:t>
      </w:r>
      <w:r>
        <w:rPr>
          <w:rFonts w:hint="eastAsia" w:cs="仿宋_GB2312" w:asciiTheme="minorEastAsia" w:hAnsiTheme="minorEastAsia" w:eastAsiaTheme="minorEastAsia"/>
          <w:color w:val="000000"/>
          <w:sz w:val="21"/>
          <w:szCs w:val="21"/>
          <w:highlight w:val="none"/>
        </w:rPr>
        <w:t>）严重违法失信企业名单（黑名单）的投标人</w:t>
      </w:r>
      <w:r>
        <w:rPr>
          <w:rFonts w:hint="eastAsia" w:cs="仿宋_GB2312" w:asciiTheme="minorEastAsia" w:hAnsiTheme="minorEastAsia" w:eastAsiaTheme="minorEastAsia"/>
          <w:color w:val="000000"/>
          <w:sz w:val="21"/>
          <w:szCs w:val="21"/>
          <w:highlight w:val="none"/>
          <w:shd w:val="clear" w:color="auto" w:fill="FFFFFF"/>
        </w:rPr>
        <w:t>；“中国社会组织公共服务平台”网站（</w:t>
      </w:r>
      <w:r>
        <w:rPr>
          <w:rFonts w:cs="仿宋_GB2312" w:asciiTheme="minorEastAsia" w:hAnsiTheme="minorEastAsia" w:eastAsiaTheme="minorEastAsia"/>
          <w:color w:val="000000"/>
          <w:sz w:val="21"/>
          <w:szCs w:val="21"/>
          <w:highlight w:val="none"/>
          <w:shd w:val="clear" w:color="auto" w:fill="FFFFFF"/>
        </w:rPr>
        <w:t>www.chinanpo.gov.cn</w:t>
      </w:r>
      <w:r>
        <w:rPr>
          <w:rFonts w:hint="eastAsia" w:cs="仿宋_GB2312" w:asciiTheme="minorEastAsia" w:hAnsiTheme="minorEastAsia" w:eastAsiaTheme="minorEastAsia"/>
          <w:color w:val="000000"/>
          <w:sz w:val="21"/>
          <w:szCs w:val="21"/>
          <w:highlight w:val="none"/>
          <w:shd w:val="clear" w:color="auto" w:fill="FFFFFF"/>
        </w:rPr>
        <w:t>）严重违法失信名单的投标人；</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（四）本次招标接受联合体投标。</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五、投标截止时间、开标时间及地点</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（一）投标截止及开标时间：2019年</w:t>
      </w:r>
      <w:r>
        <w:rPr>
          <w:rFonts w:hint="eastAsia" w:cs="仿宋_GB2312" w:asciiTheme="minorEastAsia" w:hAnsiTheme="minorEastAsia" w:eastAsiaTheme="minorEastAsia"/>
          <w:color w:val="000000"/>
          <w:sz w:val="21"/>
          <w:szCs w:val="21"/>
          <w:u w:val="single"/>
          <w:lang w:val="en-US" w:eastAsia="zh-CN"/>
        </w:rPr>
        <w:t>7</w:t>
      </w:r>
      <w:r>
        <w:rPr>
          <w:rFonts w:hint="eastAsia" w:cs="仿宋_GB2312" w:asciiTheme="minorEastAsia" w:hAnsiTheme="minorEastAsia" w:eastAsiaTheme="minorEastAsia"/>
          <w:color w:val="000000"/>
          <w:sz w:val="21"/>
          <w:szCs w:val="21"/>
        </w:rPr>
        <w:t>月</w:t>
      </w:r>
      <w:r>
        <w:rPr>
          <w:rFonts w:hint="eastAsia" w:cs="仿宋_GB2312" w:asciiTheme="minorEastAsia" w:hAnsiTheme="minorEastAsia" w:eastAsiaTheme="minorEastAsia"/>
          <w:color w:val="000000"/>
          <w:sz w:val="21"/>
          <w:szCs w:val="21"/>
          <w:u w:val="single"/>
          <w:lang w:val="en-US" w:eastAsia="zh-CN"/>
        </w:rPr>
        <w:t>24</w:t>
      </w:r>
      <w:r>
        <w:rPr>
          <w:rFonts w:hint="eastAsia" w:cs="仿宋_GB2312" w:asciiTheme="minorEastAsia" w:hAnsiTheme="minorEastAsia" w:eastAsiaTheme="minorEastAsia"/>
          <w:color w:val="000000"/>
          <w:sz w:val="21"/>
          <w:szCs w:val="21"/>
        </w:rPr>
        <w:t>日</w:t>
      </w:r>
      <w:r>
        <w:rPr>
          <w:rFonts w:hint="eastAsia" w:cs="仿宋_GB2312" w:asciiTheme="minorEastAsia" w:hAnsiTheme="minorEastAsia" w:eastAsiaTheme="minorEastAsia"/>
          <w:color w:val="000000"/>
          <w:sz w:val="21"/>
          <w:szCs w:val="21"/>
          <w:u w:val="single"/>
          <w:lang w:val="en-US" w:eastAsia="zh-CN"/>
        </w:rPr>
        <w:t>8</w:t>
      </w:r>
      <w:r>
        <w:rPr>
          <w:rFonts w:hint="eastAsia" w:cs="仿宋_GB2312" w:asciiTheme="minorEastAsia" w:hAnsiTheme="minorEastAsia" w:eastAsiaTheme="minorEastAsia"/>
          <w:color w:val="000000"/>
          <w:sz w:val="21"/>
          <w:szCs w:val="21"/>
        </w:rPr>
        <w:t>时</w:t>
      </w:r>
      <w:r>
        <w:rPr>
          <w:rFonts w:hint="eastAsia" w:cs="仿宋_GB2312" w:asciiTheme="minorEastAsia" w:hAnsiTheme="minorEastAsia" w:eastAsiaTheme="minorEastAsia"/>
          <w:color w:val="000000"/>
          <w:sz w:val="21"/>
          <w:szCs w:val="21"/>
          <w:u w:val="single"/>
          <w:lang w:val="en-US" w:eastAsia="zh-CN"/>
        </w:rPr>
        <w:t>30</w:t>
      </w:r>
      <w:r>
        <w:rPr>
          <w:rFonts w:hint="eastAsia" w:cs="仿宋_GB2312" w:asciiTheme="minorEastAsia" w:hAnsiTheme="minorEastAsia" w:eastAsiaTheme="minorEastAsia"/>
          <w:color w:val="000000"/>
          <w:sz w:val="21"/>
          <w:szCs w:val="21"/>
        </w:rPr>
        <w:t>分（北京时间），逾期提交或不符合规定的投标文件不予接受。</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（二）开标地点：许昌市公共资源交易中心（</w:t>
      </w:r>
      <w:r>
        <w:rPr>
          <w:rFonts w:cs="Arial" w:asciiTheme="minorEastAsia" w:hAnsiTheme="minorEastAsia" w:eastAsiaTheme="minorEastAsia"/>
          <w:color w:val="000000"/>
          <w:sz w:val="21"/>
          <w:szCs w:val="21"/>
        </w:rPr>
        <w:t>龙兴路与竹林路交汇处</w:t>
      </w:r>
      <w:r>
        <w:rPr>
          <w:rFonts w:hint="eastAsia" w:cs="仿宋_GB2312" w:asciiTheme="minorEastAsia" w:hAnsiTheme="minorEastAsia" w:eastAsiaTheme="minorEastAsia"/>
          <w:color w:val="000000"/>
          <w:sz w:val="21"/>
          <w:szCs w:val="21"/>
        </w:rPr>
        <w:t>公共资源大厦）三楼开标</w:t>
      </w:r>
      <w:r>
        <w:rPr>
          <w:rFonts w:hint="eastAsia" w:cs="仿宋_GB2312" w:asciiTheme="minorEastAsia" w:hAnsiTheme="minorEastAsia" w:eastAsiaTheme="minorEastAsia"/>
          <w:color w:val="000000"/>
          <w:sz w:val="21"/>
          <w:szCs w:val="21"/>
          <w:u w:val="none"/>
          <w:lang w:val="en-US" w:eastAsia="zh-CN"/>
        </w:rPr>
        <w:t>五</w:t>
      </w:r>
      <w:r>
        <w:rPr>
          <w:rFonts w:hint="eastAsia" w:cs="仿宋_GB2312" w:asciiTheme="minorEastAsia" w:hAnsiTheme="minorEastAsia" w:eastAsia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（三） 本项目为全流程电子化交易项目，投标人须提交电子投标文件和纸质投标文件。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1、加密电子投标文件</w:t>
      </w:r>
      <w:r>
        <w:rPr>
          <w:rFonts w:hint="eastAsia" w:cs="宋体" w:asciiTheme="minorEastAsia" w:hAnsiTheme="minorEastAsia"/>
          <w:color w:val="000000"/>
          <w:sz w:val="21"/>
          <w:szCs w:val="21"/>
        </w:rPr>
        <w:t>（</w:t>
      </w:r>
      <w:r>
        <w:rPr>
          <w:rFonts w:asciiTheme="minorEastAsia" w:hAnsiTheme="minorEastAsia" w:eastAsiaTheme="minorEastAsia"/>
          <w:color w:val="000000"/>
          <w:sz w:val="21"/>
          <w:szCs w:val="21"/>
        </w:rPr>
        <w:t>.file</w:t>
      </w:r>
      <w:r>
        <w:rPr>
          <w:rFonts w:hint="eastAsia" w:cs="宋体" w:asciiTheme="minorEastAsia" w:hAnsiTheme="minorEastAsia"/>
          <w:color w:val="000000"/>
          <w:sz w:val="21"/>
          <w:szCs w:val="21"/>
        </w:rPr>
        <w:t>格式）须</w:t>
      </w:r>
      <w:r>
        <w:rPr>
          <w:rFonts w:hint="eastAsia" w:cs="仿宋_GB2312" w:asciiTheme="minorEastAsia" w:hAnsiTheme="minorEastAsia" w:eastAsiaTheme="minorEastAsia"/>
          <w:color w:val="000000"/>
          <w:sz w:val="21"/>
          <w:szCs w:val="21"/>
        </w:rPr>
        <w:t>在投标截止时间（开标时间）前通过《全国公共资源交易平台(河南省</w:t>
      </w:r>
      <w:r>
        <w:rPr>
          <w:rFonts w:hint="eastAsia" w:ascii="MS Mincho" w:hAnsi="MS Mincho" w:eastAsia="MS Mincho" w:cs="MS Mincho"/>
          <w:color w:val="000000"/>
          <w:sz w:val="21"/>
          <w:szCs w:val="21"/>
        </w:rPr>
        <w:t>▪</w:t>
      </w:r>
      <w:r>
        <w:rPr>
          <w:rFonts w:hint="eastAsia" w:ascii="宋体" w:hAnsi="宋体" w:cs="宋体"/>
          <w:color w:val="000000"/>
          <w:sz w:val="21"/>
          <w:szCs w:val="21"/>
        </w:rPr>
        <w:t>许昌市</w:t>
      </w:r>
      <w:r>
        <w:rPr>
          <w:rFonts w:hint="eastAsia" w:cs="仿宋_GB2312" w:asciiTheme="minorEastAsia" w:hAnsiTheme="minorEastAsia" w:eastAsiaTheme="minorEastAsia"/>
          <w:color w:val="000000"/>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pct10" w:color="auto" w:fill="FFFFFF"/>
        </w:rPr>
      </w:pPr>
      <w:r>
        <w:rPr>
          <w:rFonts w:hint="eastAsia" w:cs="仿宋_GB2312" w:asciiTheme="minorEastAsia" w:hAnsiTheme="minorEastAsia" w:eastAsiaTheme="minorEastAsia"/>
          <w:color w:val="000000"/>
          <w:sz w:val="21"/>
          <w:szCs w:val="21"/>
        </w:rPr>
        <w:t>2、纸质投标文件（正本、副本各1份）和备份文件1份</w:t>
      </w:r>
      <w:r>
        <w:rPr>
          <w:rFonts w:hint="eastAsia" w:hAnsi="宋体"/>
          <w:color w:val="000000"/>
          <w:sz w:val="21"/>
          <w:szCs w:val="21"/>
        </w:rPr>
        <w:t>（使用电子介质存储）</w:t>
      </w:r>
      <w:r>
        <w:rPr>
          <w:rFonts w:hint="eastAsia" w:cs="仿宋_GB2312" w:asciiTheme="minorEastAsia" w:hAnsiTheme="minorEastAsia" w:eastAsiaTheme="minorEastAsia"/>
          <w:color w:val="000000"/>
          <w:sz w:val="21"/>
          <w:szCs w:val="21"/>
        </w:rPr>
        <w:t>在投标截止时间（开标时间）前递交至本项目开标地点。</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cs="Arial" w:asciiTheme="minorEastAsia" w:hAnsiTheme="minorEastAsia"/>
          <w:color w:val="000000"/>
          <w:szCs w:val="21"/>
        </w:rPr>
      </w:pPr>
      <w:r>
        <w:rPr>
          <w:rFonts w:hint="eastAsia" w:ascii="宋体" w:hAnsi="宋体"/>
          <w:b/>
          <w:szCs w:val="21"/>
        </w:rPr>
        <w:t>采购人</w:t>
      </w:r>
      <w:r>
        <w:rPr>
          <w:rFonts w:hint="eastAsia" w:ascii="宋体" w:hAnsi="宋体"/>
          <w:szCs w:val="21"/>
        </w:rPr>
        <w:t>：</w:t>
      </w:r>
      <w:r>
        <w:rPr>
          <w:rFonts w:hint="eastAsia" w:cs="Arial" w:asciiTheme="minorEastAsia" w:hAnsiTheme="minorEastAsia"/>
          <w:color w:val="000000"/>
          <w:szCs w:val="21"/>
          <w:lang w:eastAsia="zh-CN"/>
        </w:rPr>
        <w:t>许昌市商务局</w:t>
      </w:r>
    </w:p>
    <w:p>
      <w:pPr>
        <w:adjustRightInd w:val="0"/>
        <w:spacing w:line="360" w:lineRule="auto"/>
        <w:ind w:firstLine="840" w:firstLineChars="400"/>
        <w:contextualSpacing/>
        <w:jc w:val="left"/>
        <w:rPr>
          <w:rFonts w:cs="Arial" w:asciiTheme="minorEastAsia" w:hAnsiTheme="minorEastAsia"/>
          <w:color w:val="000000"/>
          <w:szCs w:val="21"/>
        </w:rPr>
      </w:pPr>
      <w:r>
        <w:rPr>
          <w:rFonts w:hint="eastAsia" w:cs="Arial" w:asciiTheme="minorEastAsia" w:hAnsiTheme="minorEastAsia"/>
          <w:color w:val="000000"/>
          <w:szCs w:val="21"/>
        </w:rPr>
        <w:t>地址：</w:t>
      </w:r>
      <w:r>
        <w:rPr>
          <w:rFonts w:hint="eastAsia" w:cs="Arial" w:asciiTheme="minorEastAsia" w:hAnsiTheme="minorEastAsia"/>
          <w:color w:val="000000"/>
          <w:szCs w:val="21"/>
          <w:lang w:val="en-US" w:eastAsia="zh-CN"/>
        </w:rPr>
        <w:t>许昌市创业服务中心A座7楼0712-2室</w:t>
      </w:r>
    </w:p>
    <w:p>
      <w:pPr>
        <w:adjustRightInd w:val="0"/>
        <w:spacing w:line="360" w:lineRule="auto"/>
        <w:ind w:firstLine="840" w:firstLineChars="400"/>
        <w:contextualSpacing/>
        <w:jc w:val="left"/>
        <w:rPr>
          <w:rFonts w:cs="Arial" w:asciiTheme="minorEastAsia" w:hAnsiTheme="minorEastAsia"/>
          <w:color w:val="000000"/>
          <w:szCs w:val="21"/>
        </w:rPr>
      </w:pPr>
      <w:r>
        <w:rPr>
          <w:rFonts w:hint="eastAsia" w:cs="Arial" w:asciiTheme="minorEastAsia" w:hAnsiTheme="minorEastAsia"/>
          <w:color w:val="000000"/>
          <w:szCs w:val="21"/>
        </w:rPr>
        <w:t xml:space="preserve">联系人： </w:t>
      </w:r>
      <w:r>
        <w:rPr>
          <w:rFonts w:hint="eastAsia" w:cs="Arial" w:asciiTheme="minorEastAsia" w:hAnsiTheme="minorEastAsia"/>
          <w:color w:val="000000"/>
          <w:szCs w:val="21"/>
          <w:lang w:val="en-US" w:eastAsia="zh-CN"/>
        </w:rPr>
        <w:t>李冰</w:t>
      </w:r>
      <w:r>
        <w:rPr>
          <w:rFonts w:hint="eastAsia" w:cs="Arial" w:asciiTheme="minorEastAsia" w:hAnsiTheme="minorEastAsia"/>
          <w:color w:val="000000"/>
          <w:szCs w:val="21"/>
        </w:rPr>
        <w:t xml:space="preserve">                </w:t>
      </w:r>
      <w:r>
        <w:rPr>
          <w:rFonts w:hint="eastAsia" w:cs="Arial" w:asciiTheme="minorEastAsia" w:hAnsiTheme="minorEastAsia"/>
          <w:color w:val="000000"/>
          <w:szCs w:val="21"/>
          <w:lang w:val="en-US" w:eastAsia="zh-CN"/>
        </w:rPr>
        <w:t xml:space="preserve">        </w:t>
      </w:r>
      <w:r>
        <w:rPr>
          <w:rFonts w:hint="eastAsia" w:cs="Arial" w:asciiTheme="minorEastAsia" w:hAnsiTheme="minorEastAsia"/>
          <w:color w:val="000000"/>
          <w:szCs w:val="21"/>
        </w:rPr>
        <w:t xml:space="preserve">  联系电话：</w:t>
      </w:r>
      <w:r>
        <w:rPr>
          <w:rFonts w:hint="eastAsia" w:cs="Arial" w:asciiTheme="minorEastAsia" w:hAnsiTheme="minorEastAsia"/>
          <w:color w:val="000000"/>
          <w:szCs w:val="21"/>
          <w:lang w:val="en-US" w:eastAsia="zh-CN"/>
        </w:rPr>
        <w:t>15638780512</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：许昌市政府采购中心 </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地址：许昌市</w:t>
      </w:r>
      <w:r>
        <w:rPr>
          <w:rFonts w:cs="Arial" w:asciiTheme="minorEastAsia" w:hAnsiTheme="minorEastAsia"/>
          <w:color w:val="000000"/>
          <w:szCs w:val="21"/>
        </w:rPr>
        <w:t>龙兴路与竹林路交汇处</w:t>
      </w:r>
      <w:r>
        <w:rPr>
          <w:rFonts w:hint="eastAsia" w:cs="仿宋_GB2312" w:asciiTheme="minorEastAsia" w:hAnsiTheme="minorEastAsia"/>
          <w:color w:val="000000"/>
          <w:szCs w:val="21"/>
        </w:rPr>
        <w:t>公共资源大厦</w:t>
      </w:r>
    </w:p>
    <w:p>
      <w:pPr>
        <w:adjustRightInd w:val="0"/>
        <w:spacing w:line="360" w:lineRule="auto"/>
        <w:ind w:firstLine="840" w:firstLineChars="400"/>
        <w:contextualSpacing/>
        <w:jc w:val="left"/>
        <w:rPr>
          <w:rFonts w:hint="eastAsia" w:ascii="宋体" w:hAnsi="宋体"/>
          <w:szCs w:val="21"/>
          <w:lang w:val="en-US" w:eastAsia="zh-CN"/>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1" w:name="联系人电话"/>
      <w:r>
        <w:rPr>
          <w:rFonts w:ascii="宋体" w:hAnsi="宋体"/>
          <w:szCs w:val="21"/>
        </w:rPr>
        <w:t>0</w:t>
      </w:r>
      <w:bookmarkEnd w:id="1"/>
      <w:r>
        <w:rPr>
          <w:rFonts w:hint="eastAsia" w:ascii="宋体" w:hAnsi="宋体"/>
          <w:szCs w:val="21"/>
        </w:rPr>
        <w:t>374-</w:t>
      </w:r>
      <w:r>
        <w:rPr>
          <w:rFonts w:hint="eastAsia" w:ascii="宋体" w:hAnsi="宋体"/>
          <w:szCs w:val="21"/>
          <w:lang w:val="en-US" w:eastAsia="zh-CN"/>
        </w:rPr>
        <w:t>2962805</w:t>
      </w:r>
    </w:p>
    <w:p>
      <w:pPr>
        <w:adjustRightInd w:val="0"/>
        <w:spacing w:line="360" w:lineRule="auto"/>
        <w:ind w:firstLine="840" w:firstLineChars="400"/>
        <w:contextualSpacing/>
        <w:jc w:val="left"/>
        <w:rPr>
          <w:rFonts w:hint="default" w:ascii="宋体" w:hAnsi="宋体"/>
          <w:szCs w:val="21"/>
          <w:lang w:val="en-US" w:eastAsia="zh-CN"/>
        </w:rPr>
      </w:pPr>
    </w:p>
    <w:p>
      <w:pPr>
        <w:adjustRightInd w:val="0"/>
        <w:spacing w:line="360" w:lineRule="auto"/>
        <w:ind w:firstLine="840" w:firstLineChars="400"/>
        <w:contextualSpacing/>
        <w:jc w:val="right"/>
        <w:rPr>
          <w:rFonts w:hint="eastAsia" w:cs="Arial" w:asciiTheme="minorEastAsia" w:hAnsiTheme="minorEastAsia"/>
          <w:color w:val="000000"/>
          <w:szCs w:val="21"/>
          <w:lang w:eastAsia="zh-CN"/>
        </w:rPr>
      </w:pPr>
      <w:r>
        <w:rPr>
          <w:rFonts w:hint="eastAsia" w:cs="Arial" w:asciiTheme="minorEastAsia" w:hAnsiTheme="minorEastAsia"/>
          <w:color w:val="000000"/>
          <w:szCs w:val="21"/>
          <w:lang w:eastAsia="zh-CN"/>
        </w:rPr>
        <w:t>许昌市商务局</w:t>
      </w:r>
    </w:p>
    <w:p>
      <w:pPr>
        <w:adjustRightInd w:val="0"/>
        <w:spacing w:line="360" w:lineRule="auto"/>
        <w:ind w:firstLine="840" w:firstLineChars="400"/>
        <w:contextualSpacing/>
        <w:jc w:val="right"/>
        <w:rPr>
          <w:rFonts w:cs="Arial" w:asciiTheme="minorEastAsia" w:hAnsiTheme="minorEastAsia"/>
          <w:color w:val="000000"/>
          <w:szCs w:val="21"/>
        </w:rPr>
      </w:pPr>
      <w:r>
        <w:rPr>
          <w:rFonts w:hint="eastAsia" w:cs="Arial" w:asciiTheme="minorEastAsia" w:hAnsiTheme="minorEastAsia"/>
          <w:color w:val="000000"/>
          <w:szCs w:val="21"/>
          <w:lang w:val="en-US" w:eastAsia="zh-CN"/>
        </w:rPr>
        <w:t>二〇一九年七月三日</w:t>
      </w: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1"/>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电子文件下载、制作、提交期间和开标（</w:t>
      </w:r>
      <w:r>
        <w:rPr>
          <w:rFonts w:hint="eastAsia" w:hAnsi="宋体"/>
          <w:szCs w:val="21"/>
        </w:rPr>
        <w:t>电子投标文件的解密</w:t>
      </w:r>
      <w:r>
        <w:rPr>
          <w:rFonts w:hint="eastAsia" w:hAnsi="宋体"/>
          <w:b/>
          <w:color w:val="000000"/>
          <w:szCs w:val="21"/>
        </w:rPr>
        <w:t>）环节，投标人须使用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电子投标文件的制作</w:t>
      </w:r>
    </w:p>
    <w:p>
      <w:pPr>
        <w:tabs>
          <w:tab w:val="left" w:pos="7095"/>
        </w:tabs>
        <w:spacing w:line="360" w:lineRule="auto"/>
        <w:ind w:firstLine="420" w:firstLineChars="200"/>
        <w:contextualSpacing/>
        <w:rPr>
          <w:rFonts w:hAnsi="宋体"/>
          <w:color w:val="000000"/>
          <w:szCs w:val="21"/>
          <w:highlight w:val="none"/>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投标人登录《全国公共资源交易平台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w:t>
      </w:r>
      <w:r>
        <w:rPr>
          <w:rFonts w:hint="eastAsia" w:ascii="宋体" w:hAnsi="宋体" w:eastAsia="宋体" w:cs="宋体"/>
          <w:color w:val="000000"/>
          <w:szCs w:val="21"/>
          <w:highlight w:val="none"/>
        </w:rPr>
        <w:t>昌市</w:t>
      </w:r>
      <w:r>
        <w:rPr>
          <w:rFonts w:hint="eastAsia" w:asciiTheme="minorEastAsia" w:hAnsiTheme="minorEastAsia"/>
          <w:color w:val="000000"/>
          <w:szCs w:val="21"/>
          <w:highlight w:val="none"/>
        </w:rPr>
        <w:t>)</w:t>
      </w:r>
      <w:r>
        <w:rPr>
          <w:rFonts w:hint="eastAsia" w:hAnsi="宋体"/>
          <w:color w:val="000000"/>
          <w:szCs w:val="21"/>
          <w:highlight w:val="none"/>
        </w:rPr>
        <w:t>》公共资源交易系统（</w:t>
      </w:r>
      <w:r>
        <w:rPr>
          <w:highlight w:val="none"/>
        </w:rPr>
        <w:fldChar w:fldCharType="begin"/>
      </w:r>
      <w:r>
        <w:rPr>
          <w:highlight w:val="none"/>
        </w:rPr>
        <w:instrText xml:space="preserve"> HYPERLINK "http://221.14.6.70:8088/ggzy/" </w:instrText>
      </w:r>
      <w:r>
        <w:rPr>
          <w:highlight w:val="none"/>
        </w:rPr>
        <w:fldChar w:fldCharType="separate"/>
      </w:r>
      <w:r>
        <w:rPr>
          <w:rStyle w:val="27"/>
          <w:rFonts w:hAnsi="宋体"/>
          <w:szCs w:val="21"/>
          <w:highlight w:val="none"/>
        </w:rPr>
        <w:t>http://221.14.6.70:8088/ggzy/</w:t>
      </w:r>
      <w:r>
        <w:rPr>
          <w:rStyle w:val="27"/>
          <w:rFonts w:hAnsi="宋体"/>
          <w:szCs w:val="21"/>
          <w:highlight w:val="none"/>
        </w:rPr>
        <w:fldChar w:fldCharType="end"/>
      </w:r>
      <w:r>
        <w:rPr>
          <w:rFonts w:hint="eastAsia" w:hAnsi="宋体"/>
          <w:color w:val="000000"/>
          <w:szCs w:val="21"/>
          <w:highlight w:val="none"/>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电子投标文件的制作，参考《全国公共资源交易平台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int="eastAsia" w:hAnsi="宋体"/>
          <w:color w:val="000000"/>
          <w:szCs w:val="21"/>
        </w:rPr>
        <w:t>投标人</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”的文件用于电子投标使用，后缀名为“.PDF”的文件用于打印纸质投标文件，名称为“备份”的文件夹使用电子介质存储，供开标现场备用。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电子投标文件的提交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电子投标文件应在招标文件规定的投标截止时间（开标时间）之前成功提交至《全国公共资源交易平台(河南省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投标人应充分考虑并预留技术处理和上传数据所需时间。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电子投标文件成功提交后，投标人应打印“投标文件提交回执单”供开标现场备查。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评标依据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采用全流程电子化交易评标时，评标委员会以电子投标文件为依据评标。</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numPr>
          <w:ilvl w:val="0"/>
          <w:numId w:val="5"/>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en-US" w:eastAsia="zh-CN"/>
        </w:rPr>
        <w:t>本项目需要以国际眼光、战略高度、全球供应链思维和理念，对许昌市的城乡物流网络进行规划布局，以许昌市中心城区和郑许一体化规划区为规划设计重点，对各层面的物流设施进行定点、定位、定用地面积，定功能，并按照标准化、信息化、智能化、协同化、绿色化要求，实现各层次网点之间、许昌市物流网络与国内国际物流网络有效衔接，提出政策建议，以此引领全市未来现代物流业有序发展，为整合物流资源、安排物流项目建设用地提供政策依据。</w:t>
      </w:r>
    </w:p>
    <w:p>
      <w:pPr>
        <w:widowControl/>
        <w:numPr>
          <w:ilvl w:val="0"/>
          <w:numId w:val="5"/>
        </w:numPr>
        <w:shd w:val="clear" w:color="auto" w:fill="FFFFFF"/>
        <w:spacing w:line="360" w:lineRule="auto"/>
        <w:ind w:left="0" w:leftChars="0"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采购清单</w:t>
      </w:r>
    </w:p>
    <w:p>
      <w:pPr>
        <w:spacing w:line="360" w:lineRule="auto"/>
        <w:ind w:firstLine="480" w:firstLineChars="200"/>
        <w:contextualSpacing/>
        <w:rPr>
          <w:rFonts w:hint="eastAsia" w:cs="仿宋_GB2312" w:asciiTheme="minorEastAsia" w:hAnsiTheme="minorEastAsia"/>
          <w:sz w:val="24"/>
          <w:szCs w:val="24"/>
          <w:lang w:val="en-US" w:eastAsia="zh-CN"/>
        </w:rPr>
      </w:pPr>
      <w:r>
        <w:rPr>
          <w:rFonts w:hint="eastAsia" w:cs="仿宋_GB2312" w:asciiTheme="minorEastAsia" w:hAnsiTheme="minorEastAsia"/>
          <w:sz w:val="24"/>
          <w:szCs w:val="24"/>
          <w:lang w:val="en-US" w:eastAsia="zh-CN"/>
        </w:rPr>
        <w:t>（1）本项目规划范围为许昌全市域，总面积4996平方公里，以中心城区（北面以规划的北绕城高速为界，东面以新 107 国道为界，南面以兰南高速为界，西面以省道 227 和三洋铁路为界）和长葛市域为主，涵盖其它县（市、区）城乡；规划期限为2019—2035年，近期为2019—2025年.远期为2026—2035年。规划编制内容主要包括许昌市物流业发展现状及问题分析、物流业发展需求分析、物流业发展战略、物流业发展定位研究、物流业的空间布局规划方案、社会供应链发展规划、特色城市物流发展重点领域、物流通道规划、近期物流业发展实施计划。</w:t>
      </w:r>
    </w:p>
    <w:p>
      <w:pPr>
        <w:spacing w:line="360" w:lineRule="auto"/>
        <w:ind w:firstLine="480" w:firstLineChars="200"/>
        <w:contextualSpacing/>
        <w:rPr>
          <w:rFonts w:hint="eastAsia" w:cs="仿宋_GB2312" w:asciiTheme="minorEastAsia" w:hAnsiTheme="minorEastAsia"/>
          <w:sz w:val="24"/>
          <w:szCs w:val="24"/>
          <w:lang w:val="en-US" w:eastAsia="zh-CN"/>
        </w:rPr>
      </w:pPr>
      <w:r>
        <w:rPr>
          <w:rFonts w:hint="eastAsia" w:cs="仿宋_GB2312" w:asciiTheme="minorEastAsia" w:hAnsiTheme="minorEastAsia"/>
          <w:sz w:val="24"/>
          <w:szCs w:val="24"/>
          <w:lang w:val="en-US" w:eastAsia="zh-CN"/>
        </w:rPr>
        <w:t>具体工作为规划的调研、论证、编制及相关工作。要求对许昌市的经济社会发展情况进行深度调研，找准物流业发展存在的问题症结所在，分析透彻当前全市、全省全国乃至全球物流业发展形势及未来发展趋势，科学预测全市物流业发展需求，在此基础上，对许昌市物流业发展进行战略定位和合理布局。规划既要有战略性、前瞻性，更要有指导性和操作性。项目负责人全程参与项目规划设计（包括调研、方案对接、方案论证、评估等）工作，承诺在规划付诸实施3年内跟踪指导、深化和优化近期物流业发展计划，并对远期发展规划提出优化建议。</w:t>
      </w:r>
    </w:p>
    <w:p>
      <w:pPr>
        <w:spacing w:line="360" w:lineRule="auto"/>
        <w:ind w:firstLine="480" w:firstLineChars="200"/>
        <w:contextualSpacing/>
        <w:rPr>
          <w:rFonts w:hint="eastAsia" w:cs="仿宋_GB2312" w:asciiTheme="minorEastAsia" w:hAnsiTheme="minorEastAsia"/>
          <w:sz w:val="24"/>
          <w:szCs w:val="24"/>
          <w:lang w:val="zh-CN" w:eastAsia="zh-CN"/>
        </w:rPr>
      </w:pPr>
      <w:r>
        <w:rPr>
          <w:rFonts w:hint="eastAsia" w:cs="仿宋_GB2312" w:asciiTheme="minorEastAsia" w:hAnsiTheme="minorEastAsia"/>
          <w:sz w:val="24"/>
          <w:szCs w:val="24"/>
          <w:lang w:val="zh-CN" w:eastAsia="zh-CN"/>
        </w:rPr>
        <w:t>（</w:t>
      </w:r>
      <w:r>
        <w:rPr>
          <w:rFonts w:hint="eastAsia" w:cs="仿宋_GB2312" w:asciiTheme="minorEastAsia" w:hAnsiTheme="minorEastAsia"/>
          <w:sz w:val="24"/>
          <w:szCs w:val="24"/>
          <w:lang w:val="en-US" w:eastAsia="zh-CN"/>
        </w:rPr>
        <w:t>2</w:t>
      </w:r>
      <w:r>
        <w:rPr>
          <w:rFonts w:hint="eastAsia" w:cs="仿宋_GB2312" w:asciiTheme="minorEastAsia" w:hAnsiTheme="minorEastAsia"/>
          <w:sz w:val="24"/>
          <w:szCs w:val="24"/>
          <w:lang w:val="zh-CN" w:eastAsia="zh-CN"/>
        </w:rPr>
        <w:t>）提交成果：</w:t>
      </w:r>
    </w:p>
    <w:p>
      <w:pPr>
        <w:spacing w:line="360" w:lineRule="auto"/>
        <w:ind w:firstLine="480" w:firstLineChars="200"/>
        <w:contextualSpacing/>
        <w:rPr>
          <w:rFonts w:hint="eastAsia" w:cs="仿宋_GB2312" w:asciiTheme="minorEastAsia" w:hAnsiTheme="minorEastAsia"/>
          <w:sz w:val="24"/>
          <w:szCs w:val="24"/>
          <w:lang w:val="zh-CN" w:eastAsia="zh-CN"/>
        </w:rPr>
      </w:pPr>
      <w:r>
        <w:rPr>
          <w:rFonts w:hint="eastAsia" w:cs="仿宋_GB2312" w:asciiTheme="minorEastAsia" w:hAnsiTheme="minorEastAsia"/>
          <w:sz w:val="24"/>
          <w:szCs w:val="24"/>
          <w:lang w:val="zh-CN"/>
        </w:rPr>
        <w:t>1. 规划文本、图集、规划研究报告（说明书）</w:t>
      </w:r>
      <w:r>
        <w:rPr>
          <w:rFonts w:hint="eastAsia" w:cs="仿宋_GB2312" w:asciiTheme="minorEastAsia" w:hAnsiTheme="minorEastAsia"/>
          <w:sz w:val="24"/>
          <w:szCs w:val="24"/>
          <w:lang w:val="zh-CN" w:eastAsia="zh-CN"/>
        </w:rPr>
        <w:t>；</w:t>
      </w:r>
    </w:p>
    <w:p>
      <w:pPr>
        <w:spacing w:line="360" w:lineRule="auto"/>
        <w:ind w:firstLine="480" w:firstLineChars="200"/>
        <w:contextualSpacing/>
        <w:rPr>
          <w:rFonts w:hint="eastAsia" w:cs="仿宋_GB2312" w:asciiTheme="minorEastAsia" w:hAnsiTheme="minorEastAsia"/>
          <w:sz w:val="24"/>
          <w:szCs w:val="24"/>
          <w:lang w:val="zh-CN" w:eastAsia="zh-CN"/>
        </w:rPr>
      </w:pPr>
      <w:r>
        <w:rPr>
          <w:rFonts w:hint="eastAsia" w:cs="仿宋_GB2312" w:asciiTheme="minorEastAsia" w:hAnsiTheme="minorEastAsia"/>
          <w:sz w:val="24"/>
          <w:szCs w:val="24"/>
          <w:lang w:val="zh-CN"/>
        </w:rPr>
        <w:t>2. 基础资料汇编</w:t>
      </w:r>
      <w:r>
        <w:rPr>
          <w:rFonts w:hint="eastAsia" w:cs="仿宋_GB2312" w:asciiTheme="minorEastAsia" w:hAnsiTheme="minorEastAsia"/>
          <w:sz w:val="24"/>
          <w:szCs w:val="24"/>
          <w:lang w:val="zh-CN" w:eastAsia="zh-CN"/>
        </w:rPr>
        <w:t>。</w:t>
      </w:r>
    </w:p>
    <w:p>
      <w:pPr>
        <w:spacing w:line="360" w:lineRule="auto"/>
        <w:ind w:firstLine="480" w:firstLineChars="200"/>
        <w:contextualSpacing/>
        <w:rPr>
          <w:rFonts w:hint="eastAsia" w:cs="仿宋_GB2312" w:asciiTheme="minorEastAsia" w:hAnsiTheme="minorEastAsia"/>
          <w:sz w:val="24"/>
          <w:szCs w:val="24"/>
          <w:lang w:val="en-US" w:eastAsia="zh-CN"/>
        </w:rPr>
      </w:pPr>
      <w:r>
        <w:rPr>
          <w:rFonts w:hint="eastAsia" w:cs="仿宋_GB2312" w:asciiTheme="minorEastAsia" w:hAnsiTheme="minorEastAsia"/>
          <w:sz w:val="24"/>
          <w:szCs w:val="24"/>
          <w:lang w:val="zh-CN" w:eastAsia="zh-CN"/>
        </w:rPr>
        <w:t>以上文本资料需要提供精装本</w:t>
      </w:r>
      <w:r>
        <w:rPr>
          <w:rFonts w:hint="eastAsia" w:cs="仿宋_GB2312" w:asciiTheme="minorEastAsia" w:hAnsiTheme="minorEastAsia"/>
          <w:sz w:val="24"/>
          <w:szCs w:val="24"/>
          <w:lang w:val="en-US" w:eastAsia="zh-CN"/>
        </w:rPr>
        <w:t>30套以上。</w:t>
      </w:r>
    </w:p>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Cs w:val="21"/>
          <w:highlight w:val="none"/>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三、</w:t>
      </w:r>
      <w:r>
        <w:rPr>
          <w:rFonts w:hint="eastAsia" w:cs="宋体" w:asciiTheme="minorEastAsia" w:hAnsiTheme="minorEastAsia"/>
          <w:b/>
          <w:color w:val="000000"/>
          <w:kern w:val="0"/>
          <w:sz w:val="24"/>
          <w:szCs w:val="24"/>
          <w:highlight w:val="none"/>
          <w:lang w:val="zh-CN"/>
        </w:rPr>
        <w:t>采购标的的其他技术、服务等要求</w:t>
      </w:r>
    </w:p>
    <w:p>
      <w:pPr>
        <w:wordWrap w:val="0"/>
        <w:topLinePunct/>
        <w:autoSpaceDE w:val="0"/>
        <w:autoSpaceDN w:val="0"/>
        <w:adjustRightInd w:val="0"/>
        <w:spacing w:line="360" w:lineRule="auto"/>
        <w:ind w:firstLine="482"/>
        <w:rPr>
          <w:rFonts w:ascii="宋体" w:cs="宋体"/>
          <w:b/>
          <w:sz w:val="24"/>
          <w:highlight w:val="none"/>
          <w:lang w:val="zh-CN"/>
        </w:rPr>
      </w:pPr>
      <w:r>
        <w:rPr>
          <w:rFonts w:hint="eastAsia" w:ascii="宋体" w:cs="宋体"/>
          <w:sz w:val="24"/>
          <w:highlight w:val="none"/>
          <w:lang w:val="zh-CN"/>
        </w:rPr>
        <w:t>1、投标人应就本项目完整投标，</w:t>
      </w:r>
      <w:r>
        <w:rPr>
          <w:rFonts w:hint="eastAsia" w:ascii="宋体" w:cs="宋体"/>
          <w:b/>
          <w:sz w:val="24"/>
          <w:highlight w:val="none"/>
          <w:lang w:val="zh-CN"/>
        </w:rPr>
        <w:t>否则为无效投标。</w:t>
      </w:r>
    </w:p>
    <w:p>
      <w:pPr>
        <w:wordWrap w:val="0"/>
        <w:topLinePunct/>
        <w:spacing w:line="360" w:lineRule="auto"/>
        <w:ind w:firstLine="480" w:firstLineChars="200"/>
        <w:rPr>
          <w:rFonts w:ascii="宋体" w:cs="宋体"/>
          <w:sz w:val="24"/>
          <w:highlight w:val="none"/>
          <w:lang w:val="zh-CN"/>
        </w:rPr>
      </w:pPr>
      <w:r>
        <w:rPr>
          <w:rFonts w:hint="eastAsia" w:ascii="宋体" w:cs="宋体"/>
          <w:sz w:val="24"/>
          <w:highlight w:val="none"/>
          <w:lang w:val="en-US" w:eastAsia="zh-CN"/>
        </w:rPr>
        <w:t>2</w:t>
      </w:r>
      <w:r>
        <w:rPr>
          <w:rFonts w:hint="eastAsia" w:ascii="宋体" w:cs="宋体"/>
          <w:sz w:val="24"/>
          <w:highlight w:val="none"/>
          <w:lang w:val="zh-CN"/>
        </w:rPr>
        <w:t>、投标文件中须有详细的实施（技术）方案，否则为无效投标。。</w:t>
      </w:r>
    </w:p>
    <w:p>
      <w:pPr>
        <w:wordWrap w:val="0"/>
        <w:topLinePunct/>
        <w:spacing w:line="360" w:lineRule="auto"/>
        <w:ind w:firstLine="480" w:firstLineChars="200"/>
        <w:rPr>
          <w:rFonts w:ascii="宋体" w:cs="宋体"/>
          <w:b/>
          <w:sz w:val="24"/>
          <w:highlight w:val="none"/>
          <w:lang w:val="zh-CN"/>
        </w:rPr>
      </w:pPr>
      <w:r>
        <w:rPr>
          <w:rFonts w:hint="eastAsia" w:ascii="宋体" w:cs="宋体"/>
          <w:sz w:val="24"/>
          <w:highlight w:val="none"/>
          <w:lang w:val="en-US" w:eastAsia="zh-CN"/>
        </w:rPr>
        <w:t>3</w:t>
      </w:r>
      <w:r>
        <w:rPr>
          <w:rFonts w:hint="eastAsia" w:ascii="宋体" w:cs="宋体"/>
          <w:sz w:val="24"/>
          <w:highlight w:val="none"/>
          <w:lang w:val="zh-CN"/>
        </w:rPr>
        <w:t>、本项目为交钥匙工程。</w:t>
      </w:r>
    </w:p>
    <w:p>
      <w:pPr>
        <w:widowControl/>
        <w:shd w:val="clear" w:color="auto" w:fill="FFFFFF"/>
        <w:spacing w:line="360" w:lineRule="auto"/>
        <w:ind w:firstLine="422" w:firstLineChars="200"/>
        <w:contextualSpacing/>
        <w:jc w:val="left"/>
        <w:rPr>
          <w:rFonts w:ascii="楷体" w:hAnsi="楷体" w:eastAsia="楷体" w:cs="宋体"/>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四、验收标准</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经专家组评审后，通过许昌市规划技术委员会和市委城乡规划委员会审定。</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微软雅黑" w:asciiTheme="minorEastAsia" w:hAnsiTheme="minorEastAsia" w:eastAsiaTheme="minorEastAsia"/>
          <w:b/>
          <w:color w:val="FF0000"/>
          <w:sz w:val="21"/>
          <w:szCs w:val="21"/>
        </w:rPr>
        <w:t>★</w:t>
      </w:r>
      <w:r>
        <w:rPr>
          <w:rFonts w:hint="eastAsia" w:cs="黑体" w:asciiTheme="minorEastAsia" w:hAnsiTheme="minorEastAsia" w:eastAsiaTheme="minorEastAsia"/>
          <w:b/>
          <w:bCs/>
          <w:color w:val="000000"/>
          <w:shd w:val="clear" w:color="auto" w:fill="FFFFFF"/>
          <w:lang w:eastAsia="zh-CN"/>
        </w:rPr>
        <w:t>五</w:t>
      </w:r>
      <w:r>
        <w:rPr>
          <w:rFonts w:hint="eastAsia" w:cs="黑体" w:asciiTheme="minorEastAsia" w:hAnsiTheme="minorEastAsia" w:eastAsiaTheme="minorEastAsia"/>
          <w:b/>
          <w:bCs/>
          <w:color w:val="000000"/>
          <w:shd w:val="clear" w:color="auto" w:fill="FFFFFF"/>
        </w:rPr>
        <w:t>、本项目预算金额</w:t>
      </w:r>
      <w:r>
        <w:rPr>
          <w:rFonts w:hint="eastAsia" w:cs="黑体" w:asciiTheme="minorEastAsia" w:hAnsiTheme="minorEastAsia" w:eastAsiaTheme="minorEastAsia"/>
          <w:b/>
          <w:bCs/>
          <w:color w:val="000000"/>
          <w:shd w:val="clear" w:color="auto" w:fill="FFFFFF"/>
          <w:lang w:val="en-US" w:eastAsia="zh-CN"/>
        </w:rPr>
        <w:t>147.65万元</w:t>
      </w:r>
      <w:r>
        <w:rPr>
          <w:rFonts w:hint="eastAsia" w:cs="黑体" w:asciiTheme="minorEastAsia" w:hAnsiTheme="minorEastAsia" w:eastAsiaTheme="minorEastAsia"/>
          <w:b/>
          <w:bCs/>
          <w:color w:val="000000"/>
          <w:shd w:val="clear" w:color="auto" w:fill="FFFFFF"/>
        </w:rPr>
        <w:t>。最高限价</w:t>
      </w:r>
      <w:r>
        <w:rPr>
          <w:rFonts w:hint="eastAsia" w:cs="黑体" w:asciiTheme="minorEastAsia" w:hAnsiTheme="minorEastAsia" w:eastAsiaTheme="minorEastAsia"/>
          <w:b/>
          <w:bCs/>
          <w:color w:val="000000"/>
          <w:shd w:val="clear" w:color="auto" w:fill="FFFFFF"/>
          <w:lang w:val="en-US" w:eastAsia="zh-CN"/>
        </w:rPr>
        <w:t>147.65万元</w:t>
      </w:r>
      <w:r>
        <w:rPr>
          <w:rFonts w:hint="eastAsia" w:cs="黑体" w:asciiTheme="minorEastAsia" w:hAnsiTheme="minorEastAsia" w:eastAsiaTheme="minorEastAsia"/>
          <w:b/>
          <w:bCs/>
          <w:color w:val="000000"/>
          <w:shd w:val="clear" w:color="auto" w:fill="FFFFFF"/>
          <w:lang w:val="zh-CN"/>
        </w:rPr>
        <w:t>。超</w:t>
      </w:r>
      <w:r>
        <w:rPr>
          <w:rFonts w:hint="eastAsia" w:cs="宋体" w:asciiTheme="minorEastAsia" w:hAnsiTheme="minorEastAsia" w:eastAsiaTheme="minorEastAsia"/>
          <w:b/>
          <w:color w:val="000000"/>
          <w:kern w:val="0"/>
          <w:lang w:val="zh-CN"/>
        </w:rPr>
        <w:t>出最高限价的投标无效。</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 w:val="24"/>
          <w:szCs w:val="24"/>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六、资金支付</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zh-CN"/>
        </w:rPr>
        <w:t>1、支付方式：</w:t>
      </w:r>
      <w:r>
        <w:rPr>
          <w:rFonts w:hint="eastAsia" w:ascii="宋体" w:cs="宋体"/>
          <w:sz w:val="24"/>
          <w:highlight w:val="none"/>
          <w:lang w:val="en-US" w:eastAsia="zh-CN"/>
        </w:rPr>
        <w:t>银行转账</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zh-CN"/>
        </w:rPr>
        <w:t>2、支付时间及条件：</w:t>
      </w:r>
      <w:r>
        <w:rPr>
          <w:rFonts w:hint="eastAsia" w:ascii="宋体" w:cs="宋体"/>
          <w:sz w:val="24"/>
          <w:highlight w:val="none"/>
          <w:lang w:val="en-US" w:eastAsia="zh-CN"/>
        </w:rPr>
        <w:t>签署合同之日起10个工作日内付30%；通过专家评审之日起10个工作日内付20%；通过许昌市规划技术委员会审核之日起10个工作日内付30%；经市委城乡规划委员会审定并交付正式文本之日起10个工作日内结付剩余价款。</w:t>
      </w:r>
    </w:p>
    <w:p>
      <w:pPr>
        <w:autoSpaceDE w:val="0"/>
        <w:autoSpaceDN w:val="0"/>
        <w:adjustRightInd w:val="0"/>
        <w:jc w:val="center"/>
        <w:rPr>
          <w:rFonts w:hint="eastAsia" w:ascii="宋体" w:cs="宋体"/>
          <w:sz w:val="24"/>
          <w:highlight w:val="none"/>
          <w:lang w:val="en-US" w:eastAsia="zh-CN"/>
        </w:rPr>
      </w:pPr>
    </w:p>
    <w:p>
      <w:pPr>
        <w:autoSpaceDE w:val="0"/>
        <w:autoSpaceDN w:val="0"/>
        <w:adjustRightInd w:val="0"/>
        <w:jc w:val="center"/>
        <w:rPr>
          <w:rFonts w:hint="eastAsia" w:ascii="宋体" w:cs="宋体"/>
          <w:sz w:val="24"/>
          <w:highlight w:val="none"/>
          <w:lang w:val="en-US" w:eastAsia="zh-CN"/>
        </w:rPr>
      </w:pPr>
    </w:p>
    <w:p>
      <w:pPr>
        <w:autoSpaceDE w:val="0"/>
        <w:autoSpaceDN w:val="0"/>
        <w:adjustRightInd w:val="0"/>
        <w:jc w:val="center"/>
        <w:rPr>
          <w:rFonts w:hint="eastAsia" w:ascii="宋体" w:cs="宋体"/>
          <w:sz w:val="24"/>
          <w:highlight w:val="none"/>
          <w:lang w:val="en-US" w:eastAsia="zh-CN"/>
        </w:rPr>
      </w:pPr>
    </w:p>
    <w:p>
      <w:pPr>
        <w:autoSpaceDE w:val="0"/>
        <w:autoSpaceDN w:val="0"/>
        <w:adjustRightInd w:val="0"/>
        <w:jc w:val="center"/>
        <w:rPr>
          <w:rFonts w:hint="eastAsia" w:ascii="宋体" w:cs="宋体"/>
          <w:sz w:val="24"/>
          <w:highlight w:val="none"/>
          <w:lang w:val="en-US" w:eastAsia="zh-CN"/>
        </w:rPr>
      </w:pPr>
    </w:p>
    <w:p>
      <w:pPr>
        <w:autoSpaceDE w:val="0"/>
        <w:autoSpaceDN w:val="0"/>
        <w:adjustRightInd w:val="0"/>
        <w:jc w:val="center"/>
        <w:rPr>
          <w:rFonts w:hint="eastAsia" w:ascii="宋体" w:cs="宋体"/>
          <w:sz w:val="24"/>
          <w:highlight w:val="none"/>
          <w:lang w:val="en-US" w:eastAsia="zh-CN"/>
        </w:rPr>
      </w:pPr>
    </w:p>
    <w:p>
      <w:pPr>
        <w:autoSpaceDE w:val="0"/>
        <w:autoSpaceDN w:val="0"/>
        <w:adjustRightInd w:val="0"/>
        <w:jc w:val="center"/>
        <w:rPr>
          <w:rFonts w:hint="eastAsia" w:ascii="宋体" w:cs="宋体"/>
          <w:sz w:val="24"/>
          <w:highlight w:val="none"/>
          <w:lang w:val="en-US" w:eastAsia="zh-CN"/>
        </w:rPr>
      </w:pPr>
    </w:p>
    <w:p>
      <w:pPr>
        <w:autoSpaceDE w:val="0"/>
        <w:autoSpaceDN w:val="0"/>
        <w:adjustRightInd w:val="0"/>
        <w:jc w:val="center"/>
        <w:rPr>
          <w:rFonts w:hint="eastAsia" w:ascii="宋体" w:cs="宋体"/>
          <w:sz w:val="24"/>
          <w:highlight w:val="none"/>
          <w:lang w:val="en-US" w:eastAsia="zh-CN"/>
        </w:rPr>
      </w:pPr>
    </w:p>
    <w:p>
      <w:pPr>
        <w:autoSpaceDE w:val="0"/>
        <w:autoSpaceDN w:val="0"/>
        <w:adjustRightInd w:val="0"/>
        <w:jc w:val="center"/>
        <w:rPr>
          <w:rFonts w:hint="eastAsia" w:ascii="宋体" w:cs="宋体"/>
          <w:sz w:val="24"/>
          <w:highlight w:val="none"/>
          <w:lang w:val="en-US" w:eastAsia="zh-CN"/>
        </w:rPr>
      </w:pPr>
    </w:p>
    <w:p>
      <w:pPr>
        <w:autoSpaceDE w:val="0"/>
        <w:autoSpaceDN w:val="0"/>
        <w:adjustRightInd w:val="0"/>
        <w:jc w:val="center"/>
        <w:rPr>
          <w:rFonts w:hint="eastAsia" w:ascii="宋体" w:cs="宋体"/>
          <w:sz w:val="24"/>
          <w:highlight w:val="none"/>
          <w:lang w:val="en-US" w:eastAsia="zh-CN"/>
        </w:rPr>
      </w:pPr>
    </w:p>
    <w:p>
      <w:pPr>
        <w:autoSpaceDE w:val="0"/>
        <w:autoSpaceDN w:val="0"/>
        <w:adjustRightInd w:val="0"/>
        <w:jc w:val="center"/>
        <w:rPr>
          <w:rFonts w:hint="eastAsia" w:ascii="宋体" w:cs="宋体"/>
          <w:sz w:val="24"/>
          <w:highlight w:val="none"/>
          <w:lang w:val="en-US" w:eastAsia="zh-CN"/>
        </w:rPr>
      </w:pPr>
    </w:p>
    <w:p>
      <w:pPr>
        <w:autoSpaceDE w:val="0"/>
        <w:autoSpaceDN w:val="0"/>
        <w:adjustRightInd w:val="0"/>
        <w:jc w:val="center"/>
        <w:rPr>
          <w:rFonts w:hint="eastAsia" w:ascii="宋体" w:cs="宋体"/>
          <w:sz w:val="24"/>
          <w:highlight w:val="none"/>
          <w:lang w:val="en-US" w:eastAsia="zh-CN"/>
        </w:rPr>
      </w:pPr>
    </w:p>
    <w:p>
      <w:pPr>
        <w:autoSpaceDE w:val="0"/>
        <w:autoSpaceDN w:val="0"/>
        <w:adjustRightInd w:val="0"/>
        <w:jc w:val="center"/>
        <w:rPr>
          <w:rFonts w:hint="eastAsia" w:ascii="宋体" w:cs="宋体"/>
          <w:sz w:val="24"/>
          <w:highlight w:val="none"/>
          <w:lang w:val="en-US" w:eastAsia="zh-CN"/>
        </w:rPr>
      </w:pPr>
    </w:p>
    <w:p>
      <w:pPr>
        <w:autoSpaceDE w:val="0"/>
        <w:autoSpaceDN w:val="0"/>
        <w:adjustRightInd w:val="0"/>
        <w:jc w:val="center"/>
        <w:rPr>
          <w:rFonts w:hint="eastAsia" w:ascii="宋体" w:cs="宋体"/>
          <w:sz w:val="24"/>
          <w:highlight w:val="none"/>
          <w:lang w:val="en-US" w:eastAsia="zh-CN"/>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许昌市现代物流业发展空间布局规划</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项目编号：ZFCG-G2019</w:t>
            </w:r>
            <w:r>
              <w:rPr>
                <w:rFonts w:hint="eastAsia" w:cs="仿宋_GB2312" w:asciiTheme="minorEastAsia" w:hAnsiTheme="minorEastAsia"/>
                <w:szCs w:val="21"/>
                <w:lang w:val="en-US" w:eastAsia="zh-CN"/>
              </w:rPr>
              <w:t>077</w:t>
            </w:r>
            <w:r>
              <w:rPr>
                <w:rFonts w:hint="eastAsia" w:cs="仿宋_GB2312" w:asciiTheme="minorEastAsia" w:hAnsiTheme="minorEastAsia"/>
                <w:szCs w:val="21"/>
              </w:rPr>
              <w:t>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项目内容：</w:t>
            </w:r>
            <w:r>
              <w:rPr>
                <w:rFonts w:hint="eastAsia" w:cs="仿宋_GB2312" w:asciiTheme="minorEastAsia" w:hAnsiTheme="minorEastAsia"/>
                <w:szCs w:val="21"/>
                <w:lang w:val="en-US" w:eastAsia="zh-CN"/>
              </w:rPr>
              <w:t>本项目规划范围为许昌全市域，总面积4996平方公里，以中心城区（北面以规划的北绕城高速为界，东面以新 107 国道为界，南面以兰南高速为界，西面以省道 227 和三洋铁路为界）和长葛市域为主，涵盖其它县（市、区）城乡；规划期限为2019—2035年，近期为2019—2025年.远期为2026—2035年。规划编制内容主要包括许昌市物流业发展现状及问题分析、物流业发展需求分析、物流业发展战略、物流业发展定位研究、物流业的空间布局规划方案、社会供应链发展规划、特色城市物流发展重点领域、物流通道规划、近期物流业发展实施计划。具体工作为规划的调研、论证、编制及相关工作。</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项目地址：</w:t>
            </w:r>
            <w:r>
              <w:rPr>
                <w:rFonts w:hint="eastAsia" w:cs="仿宋_GB2312" w:asciiTheme="minorEastAsia" w:hAnsiTheme="minorEastAsia"/>
                <w:szCs w:val="21"/>
                <w:lang w:val="en-US" w:eastAsia="zh-CN"/>
              </w:rPr>
              <w:t>许昌市商务局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名称：</w:t>
            </w:r>
            <w:r>
              <w:rPr>
                <w:rFonts w:hint="eastAsia" w:cs="仿宋_GB2312" w:asciiTheme="minorEastAsia" w:hAnsiTheme="minorEastAsia"/>
                <w:szCs w:val="21"/>
                <w:lang w:val="en-US" w:eastAsia="zh-CN"/>
              </w:rPr>
              <w:t>许昌市商务局</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w:t>
            </w:r>
            <w:r>
              <w:rPr>
                <w:rFonts w:hint="eastAsia" w:cs="仿宋_GB2312" w:asciiTheme="minorEastAsia" w:hAnsiTheme="minorEastAsia"/>
                <w:szCs w:val="21"/>
                <w:lang w:val="en-US" w:eastAsia="zh-CN"/>
              </w:rPr>
              <w:t>许昌市创业服务中心A座7楼0712-2室</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val="en-US" w:eastAsia="zh-CN"/>
              </w:rPr>
              <w:t>李冰</w:t>
            </w:r>
            <w:r>
              <w:rPr>
                <w:rFonts w:hint="eastAsia" w:cs="仿宋_GB2312" w:asciiTheme="minorEastAsia" w:hAnsiTheme="minorEastAsia"/>
                <w:szCs w:val="21"/>
              </w:rPr>
              <w:t xml:space="preserve">                    电话：</w:t>
            </w:r>
            <w:r>
              <w:rPr>
                <w:rFonts w:hint="eastAsia" w:cs="仿宋_GB2312" w:asciiTheme="minorEastAsia" w:hAnsiTheme="minorEastAsia"/>
                <w:szCs w:val="21"/>
                <w:lang w:val="en-US" w:eastAsia="zh-CN"/>
              </w:rPr>
              <w:t>15638780512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地址：许昌市龙兴路与竹林路交汇处公共资源大厦</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lang w:val="zh-CN"/>
              </w:rPr>
              <w:t>4、个体工</w:t>
            </w:r>
            <w:r>
              <w:rPr>
                <w:rFonts w:hint="eastAsia" w:cs="宋体" w:asciiTheme="minorEastAsia" w:hAnsiTheme="minorEastAsia"/>
                <w:bCs/>
                <w:szCs w:val="21"/>
                <w:highlight w:val="none"/>
                <w:lang w:val="zh-CN"/>
              </w:rPr>
              <w:t>商户营业执照。（个体工商户投标提供）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5、自然人身份证明。（自然人投标提供）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szCs w:val="21"/>
                <w:highlight w:val="none"/>
              </w:rPr>
            </w:pPr>
            <w:r>
              <w:rPr>
                <w:rFonts w:hint="eastAsia" w:cs="仿宋_GB2312" w:asciiTheme="minorEastAsia" w:hAnsiTheme="minorEastAsia"/>
                <w:b/>
                <w:szCs w:val="21"/>
                <w:highlight w:val="none"/>
              </w:rPr>
              <w:t>二、财务状况报告相关材料</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（1）投标人是法人（法人包括企业法人、机关法人、事业单位法人和社会团体法人），提供本单位：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②基本开户银行出具的资信证明；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spacing w:line="360" w:lineRule="auto"/>
              <w:rPr>
                <w:rFonts w:asciiTheme="minorEastAsia" w:hAnsiTheme="minorEastAsia"/>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（2）投标人（其他组织和自然人）提供本单位：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仿宋_GB2312" w:asciiTheme="minorEastAsia" w:hAnsiTheme="minorEastAsia"/>
                <w:b/>
                <w:szCs w:val="21"/>
                <w:highlight w:val="none"/>
              </w:rPr>
              <w:t>三、依法缴纳税收相关材料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hint="eastAsia"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bCs/>
                <w:szCs w:val="21"/>
                <w:highlight w:val="none"/>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①相关设备的购置发票、专业技术人员职称证书、用工合同等；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kern w:val="0"/>
                <w:szCs w:val="21"/>
                <w:highlight w:val="none"/>
              </w:rPr>
              <w:t>六、</w:t>
            </w:r>
            <w:r>
              <w:rPr>
                <w:rFonts w:cs="宋体" w:asciiTheme="minorEastAsia" w:hAnsiTheme="minorEastAsia"/>
                <w:b/>
                <w:bCs/>
                <w:szCs w:val="21"/>
                <w:highlight w:val="none"/>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highlight w:val="none"/>
                <w:lang w:val="zh-CN"/>
              </w:rPr>
              <w:t>投标人“</w:t>
            </w:r>
            <w:r>
              <w:rPr>
                <w:rFonts w:cs="宋体" w:asciiTheme="minorEastAsia" w:hAnsiTheme="minorEastAsia"/>
                <w:bCs/>
                <w:szCs w:val="21"/>
                <w:highlight w:val="none"/>
                <w:lang w:val="zh-CN"/>
              </w:rPr>
              <w:t>参加政府采购活动前3年内在经营活动中没有重大违</w:t>
            </w:r>
            <w:r>
              <w:rPr>
                <w:rFonts w:cs="宋体" w:asciiTheme="minorEastAsia" w:hAnsiTheme="minorEastAsia"/>
                <w:bCs/>
                <w:szCs w:val="21"/>
                <w:lang w:val="zh-CN"/>
              </w:rPr>
              <w:t>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highlight w:val="none"/>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w:t>
            </w:r>
            <w:r>
              <w:rPr>
                <w:rFonts w:cs="仿宋_GB2312" w:asciiTheme="minorEastAsia" w:hAnsiTheme="minorEastAsia"/>
                <w:b/>
                <w:color w:val="000000"/>
                <w:szCs w:val="21"/>
                <w:highlight w:val="none"/>
                <w:shd w:val="clear" w:color="auto" w:fill="FFFFFF"/>
              </w:rPr>
              <w:t>p.gov.cn)政府采购严重违法失信行为记录名单的投标人</w:t>
            </w:r>
            <w:r>
              <w:rPr>
                <w:rFonts w:hint="eastAsia" w:cs="宋体" w:asciiTheme="minorEastAsia" w:hAnsiTheme="minorEastAsia"/>
                <w:b/>
                <w:bCs/>
                <w:szCs w:val="21"/>
                <w:highlight w:val="none"/>
                <w:lang w:val="zh-CN"/>
              </w:rPr>
              <w:t>；</w:t>
            </w:r>
            <w:r>
              <w:rPr>
                <w:rFonts w:hint="eastAsia" w:cs="仿宋_GB2312" w:asciiTheme="minorEastAsia" w:hAnsiTheme="minorEastAsia"/>
                <w:b/>
                <w:color w:val="000000"/>
                <w:szCs w:val="21"/>
                <w:highlight w:val="none"/>
                <w:shd w:val="clear" w:color="auto" w:fill="FFFFFF"/>
              </w:rPr>
              <w:t>“国家企业信用公示系统”网站（</w:t>
            </w:r>
            <w:r>
              <w:rPr>
                <w:rFonts w:cs="仿宋_GB2312" w:asciiTheme="minorEastAsia" w:hAnsiTheme="minorEastAsia"/>
                <w:b/>
                <w:color w:val="000000"/>
                <w:szCs w:val="21"/>
                <w:highlight w:val="none"/>
                <w:shd w:val="clear" w:color="auto" w:fill="FFFFFF"/>
              </w:rPr>
              <w:t>www.gsxt.gov.cn</w:t>
            </w:r>
            <w:r>
              <w:rPr>
                <w:rFonts w:hint="eastAsia" w:cs="仿宋_GB2312" w:asciiTheme="minorEastAsia" w:hAnsiTheme="minorEastAsia"/>
                <w:b/>
                <w:color w:val="000000"/>
                <w:szCs w:val="21"/>
                <w:highlight w:val="none"/>
                <w:shd w:val="clear" w:color="auto" w:fill="FFFFFF"/>
              </w:rPr>
              <w:t>）严重违法失信企业名单（黑名单）的投标人；“中国社会组织公共服务平台”网站（</w:t>
            </w:r>
            <w:r>
              <w:rPr>
                <w:rFonts w:cs="仿宋_GB2312" w:asciiTheme="minorEastAsia" w:hAnsiTheme="minorEastAsia"/>
                <w:b/>
                <w:color w:val="000000"/>
                <w:szCs w:val="21"/>
                <w:highlight w:val="none"/>
                <w:shd w:val="clear" w:color="auto" w:fill="FFFFFF"/>
              </w:rPr>
              <w:t>www.chinanpo.gov.cn</w:t>
            </w:r>
            <w:r>
              <w:rPr>
                <w:rFonts w:hint="eastAsia" w:cs="仿宋_GB2312" w:asciiTheme="minorEastAsia" w:hAnsiTheme="minorEastAsia"/>
                <w:b/>
                <w:color w:val="000000"/>
                <w:szCs w:val="21"/>
                <w:highlight w:val="none"/>
                <w:shd w:val="clear" w:color="auto" w:fill="FFFFFF"/>
              </w:rPr>
              <w:t>）严重违法失信社会组织名单的投标人（</w:t>
            </w:r>
            <w:r>
              <w:rPr>
                <w:rFonts w:hint="eastAsia" w:cs="宋体" w:asciiTheme="minorEastAsia" w:hAnsiTheme="minorEastAsia"/>
                <w:kern w:val="0"/>
                <w:szCs w:val="21"/>
                <w:highlight w:val="none"/>
              </w:rPr>
              <w:t>联合体形式投标的，联合体成员存在不良信用记录，视同联合体存在不良信用记录）。</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1、查询渠道：</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Fonts w:hint="eastAsia" w:cs="宋体"/>
                <w:kern w:val="0"/>
                <w:highlight w:val="none"/>
              </w:rPr>
              <w:t>www.creditchina.gov.cn</w:t>
            </w:r>
            <w:r>
              <w:rPr>
                <w:rFonts w:hint="eastAsia"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②“中国政府采购网”（www.ccgp.gov.cn）</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Fonts w:cs="宋体"/>
                <w:kern w:val="0"/>
                <w:highlight w:val="none"/>
              </w:rPr>
              <w:t>www.gsxt.gov.cn</w:t>
            </w:r>
            <w:r>
              <w:rPr>
                <w:rFonts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④“中国社会组织公共服务平台”网站（</w:t>
            </w:r>
            <w:r>
              <w:rPr>
                <w:rFonts w:cs="宋体" w:asciiTheme="minorEastAsia" w:hAnsiTheme="minorEastAsia"/>
                <w:kern w:val="0"/>
                <w:szCs w:val="21"/>
                <w:highlight w:val="none"/>
              </w:rPr>
              <w:t>www.chinanpo.gov.cn</w:t>
            </w:r>
            <w:r>
              <w:rPr>
                <w:rFonts w:hint="eastAsia" w:cs="宋体" w:asciiTheme="minorEastAsia" w:hAnsiTheme="minorEastAsia"/>
                <w:kern w:val="0"/>
                <w:szCs w:val="21"/>
                <w:highlight w:val="none"/>
              </w:rPr>
              <w:t>）（仅查询社会组织）；</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2、截止时间：同投标截止时间；</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rPr>
              <w:t>3、信用信息查询记录和证据留存具体方式：经采购人确认的查询结果网页截图作为查询记录和证据，与其他采</w:t>
            </w:r>
            <w:r>
              <w:rPr>
                <w:rFonts w:hint="eastAsia" w:cs="宋体" w:asciiTheme="minorEastAsia" w:hAnsiTheme="minorEastAsia"/>
                <w:kern w:val="0"/>
                <w:szCs w:val="21"/>
                <w:highlight w:val="none"/>
              </w:rPr>
              <w:t>购文件一并保存；</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4、信用信息的使用原则：经采购人认定的被列入失信被执行人、重大税收违法案件当事人名单、</w:t>
            </w:r>
            <w:r>
              <w:rPr>
                <w:rFonts w:cs="宋体" w:asciiTheme="minorEastAsia" w:hAnsiTheme="minorEastAsia"/>
                <w:kern w:val="0"/>
                <w:szCs w:val="21"/>
                <w:highlight w:val="none"/>
              </w:rPr>
              <w:t>政府采购严重违法失信名单</w:t>
            </w:r>
            <w:r>
              <w:rPr>
                <w:rFonts w:hint="eastAsia" w:cs="宋体" w:asciiTheme="minorEastAsia" w:hAnsiTheme="minorEastAsia"/>
                <w:kern w:val="0"/>
                <w:szCs w:val="21"/>
                <w:highlight w:val="none"/>
              </w:rPr>
              <w:t>、政府采购严重违法失信行为记录名单、严重违法失信企业名单（黑名单）、严重违法失信社会组织名单的投标人，将拒绝其参与本次政府采购活动。</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5、投标人不良信用记录以采购人查询结果为准，采购人查询之后，网站信息发生的任何变更不再作为评审依据，投标人自行提供的与网站信息不一致的其他证明材料亦不作为评审依据。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b/>
                <w:bCs/>
                <w:kern w:val="0"/>
                <w:szCs w:val="21"/>
                <w:highlight w:val="none"/>
              </w:rPr>
              <w:t>八、</w:t>
            </w:r>
            <w:r>
              <w:rPr>
                <w:rFonts w:hint="eastAsia" w:cs="宋体" w:asciiTheme="minorEastAsia" w:hAnsiTheme="minorEastAsia"/>
                <w:b/>
                <w:bCs/>
                <w:kern w:val="0"/>
                <w:szCs w:val="21"/>
                <w:highlight w:val="none"/>
                <w:lang w:val="en-US" w:eastAsia="zh-CN"/>
              </w:rPr>
              <w:t>投标人具有城乡规划编制甲级资质（联合体投标至少有1家具有城乡规划编制甲级资质）</w:t>
            </w:r>
            <w:r>
              <w:rPr>
                <w:rFonts w:hint="eastAsia" w:cs="宋体" w:asciiTheme="minorEastAsia" w:hAnsiTheme="minorEastAsia"/>
                <w:b/>
                <w:bCs/>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147.65万</w:t>
            </w:r>
            <w:r>
              <w:rPr>
                <w:rFonts w:hint="eastAsia" w:cs="宋体" w:asciiTheme="minorEastAsia" w:hAnsiTheme="minorEastAsia"/>
                <w:bCs/>
                <w:szCs w:val="21"/>
                <w:lang w:val="zh-CN"/>
              </w:rPr>
              <w:t>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2019</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7</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24</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递交投标文件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及开标地点</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许昌市公共资源交易中心三楼开标</w:t>
            </w:r>
            <w:r>
              <w:rPr>
                <w:rFonts w:hint="eastAsia" w:cs="宋体" w:asciiTheme="minorEastAsia" w:hAnsiTheme="minorEastAsia"/>
                <w:bCs/>
                <w:szCs w:val="21"/>
                <w:u w:val="none"/>
                <w:lang w:val="en-US" w:eastAsia="zh-CN"/>
              </w:rPr>
              <w:t>五</w:t>
            </w:r>
            <w:r>
              <w:rPr>
                <w:rFonts w:hint="eastAsia" w:cs="宋体" w:asciiTheme="minorEastAsia" w:hAnsiTheme="minorEastAsia"/>
                <w:bCs/>
                <w:szCs w:val="21"/>
                <w:lang w:val="zh-CN"/>
              </w:rPr>
              <w:t>室（</w:t>
            </w:r>
            <w:r>
              <w:rPr>
                <w:rFonts w:cs="宋体" w:asciiTheme="minorEastAsia" w:hAnsiTheme="minorEastAsia"/>
                <w:bCs/>
                <w:szCs w:val="21"/>
                <w:lang w:val="zh-CN"/>
              </w:rPr>
              <w:t>龙兴路与竹林路交汇处</w:t>
            </w:r>
            <w:r>
              <w:rPr>
                <w:rFonts w:hint="eastAsia" w:cs="宋体" w:asciiTheme="minorEastAsia" w:hAnsiTheme="minorEastAsia"/>
                <w:bCs/>
                <w:szCs w:val="21"/>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缴纳截止时间：同投标截止时间。</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金额：贰万玖仟元（¥</w:t>
            </w:r>
            <w:r>
              <w:rPr>
                <w:rFonts w:hint="eastAsia" w:cs="仿宋_GB2312" w:asciiTheme="minorEastAsia" w:hAnsiTheme="minorEastAsia"/>
                <w:szCs w:val="21"/>
                <w:lang w:val="en-US" w:eastAsia="zh-CN"/>
              </w:rPr>
              <w:t>29000</w:t>
            </w:r>
            <w:r>
              <w:rPr>
                <w:rFonts w:hint="eastAsia" w:cs="仿宋_GB2312" w:asciiTheme="minorEastAsia" w:hAnsiTheme="minorEastAsia"/>
                <w:szCs w:val="21"/>
                <w:lang w:val="zh-CN"/>
              </w:rPr>
              <w:t>元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三、投标保证金缴纳方式：</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1、投标人网上下载招标文件后，登录</w:t>
            </w:r>
            <w:r>
              <w:fldChar w:fldCharType="begin"/>
            </w:r>
            <w:r>
              <w:instrText xml:space="preserve"> HYPERLINK "http://221.14.6.70:8088/ggzy" </w:instrText>
            </w:r>
            <w:r>
              <w:fldChar w:fldCharType="separate"/>
            </w:r>
            <w:r>
              <w:rPr>
                <w:rFonts w:hint="eastAsia" w:cs="仿宋_GB2312" w:asciiTheme="minorEastAsia" w:hAnsiTheme="minorEastAsia"/>
                <w:szCs w:val="21"/>
                <w:lang w:val="zh-CN"/>
              </w:rPr>
              <w:t>http://221.14.6.70:8088/ggzy</w: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四、凡投标人投标保证金交纳至同一标段相同子账号的，保证金暂不予退还，并依照《许昌市公共资源交易当事人不良行为管理暂行办法》（许公管委〔2017〕</w:t>
            </w:r>
            <w:r>
              <w:rPr>
                <w:rFonts w:hint="eastAsia" w:cs="仿宋_GB2312" w:asciiTheme="minorEastAsia" w:hAnsiTheme="minorEastAsia"/>
                <w:szCs w:val="21"/>
                <w:highlight w:val="none"/>
                <w:lang w:val="zh-CN"/>
              </w:rPr>
              <w:t>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五、投标保证金退还咨询电话：0374-2968027（许昌市公共资源交易中心交易见证部）。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cs="仿宋_GB2312" w:asciiTheme="minorEastAsia" w:hAnsiTheme="minorEastAsia"/>
                <w:szCs w:val="21"/>
                <w:u w:val="none"/>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纸质投标文件：投标文件封面加盖投标人公章（投标文件是指投标人电子投标文件制作完成后生成的后缀名为</w:t>
            </w:r>
            <w:r>
              <w:rPr>
                <w:rFonts w:hint="eastAsia" w:hAnsi="宋体"/>
                <w:color w:val="000000"/>
                <w:szCs w:val="21"/>
                <w:highlight w:val="none"/>
              </w:rPr>
              <w:t>“.PDF”的文件</w:t>
            </w:r>
            <w:r>
              <w:rPr>
                <w:rFonts w:hint="eastAsia" w:ascii="新宋体" w:hAnsi="新宋体" w:eastAsia="新宋体"/>
                <w:szCs w:val="21"/>
                <w:highlight w:val="none"/>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highlight w:val="none"/>
                <w:lang w:val="zh-CN"/>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cs="仿宋_GB2312" w:asciiTheme="minorEastAsia" w:hAnsiTheme="minorEastAsia"/>
                <w:szCs w:val="21"/>
                <w:highlight w:val="none"/>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highlight w:val="none"/>
                <w:lang w:val="zh-CN"/>
              </w:rPr>
            </w:pPr>
            <w:r>
              <w:rPr>
                <w:rFonts w:hint="eastAsia" w:cs="仿宋_GB2312" w:asciiTheme="minorEastAsia" w:hAnsiTheme="minorEastAsia"/>
                <w:szCs w:val="21"/>
                <w:highlight w:val="none"/>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highlight w:val="none"/>
                <w:lang w:val="zh-CN"/>
              </w:rPr>
            </w:pPr>
            <w:r>
              <w:rPr>
                <w:rFonts w:cs="宋体" w:asciiTheme="minorEastAsia" w:hAnsiTheme="minorEastAsia"/>
                <w:b/>
                <w:color w:val="000000"/>
                <w:kern w:val="0"/>
                <w:szCs w:val="21"/>
                <w:highlight w:val="none"/>
                <w:lang w:val="zh-CN"/>
              </w:rPr>
              <w:fldChar w:fldCharType="begin"/>
            </w:r>
            <w:r>
              <w:rPr>
                <w:rFonts w:cs="宋体" w:asciiTheme="minorEastAsia" w:hAnsiTheme="minorEastAsia"/>
                <w:b/>
                <w:color w:val="000000"/>
                <w:kern w:val="0"/>
                <w:szCs w:val="21"/>
                <w:highlight w:val="none"/>
                <w:lang w:val="zh-CN"/>
              </w:rPr>
              <w:instrText xml:space="preserve"> </w:instrText>
            </w:r>
            <w:r>
              <w:rPr>
                <w:rFonts w:hint="eastAsia" w:cs="宋体" w:asciiTheme="minorEastAsia" w:hAnsiTheme="minorEastAsia"/>
                <w:b/>
                <w:color w:val="000000"/>
                <w:kern w:val="0"/>
                <w:szCs w:val="21"/>
                <w:highlight w:val="none"/>
                <w:lang w:val="zh-CN"/>
              </w:rPr>
              <w:instrText xml:space="preserve">eq \o\ac(□,</w:instrText>
            </w:r>
            <w:r>
              <w:rPr>
                <w:rFonts w:hint="eastAsia" w:cs="宋体" w:asciiTheme="minorEastAsia" w:hAnsiTheme="minorEastAsia"/>
                <w:b/>
                <w:color w:val="000000"/>
                <w:kern w:val="0"/>
                <w:position w:val="2"/>
                <w:szCs w:val="21"/>
                <w:highlight w:val="none"/>
                <w:lang w:val="zh-CN"/>
              </w:rPr>
              <w:instrText xml:space="preserve">√</w:instrText>
            </w:r>
            <w:r>
              <w:rPr>
                <w:rFonts w:hint="eastAsia" w:cs="宋体" w:asciiTheme="minorEastAsia" w:hAnsiTheme="minorEastAsia"/>
                <w:b/>
                <w:color w:val="000000"/>
                <w:kern w:val="0"/>
                <w:szCs w:val="21"/>
                <w:highlight w:val="none"/>
                <w:lang w:val="zh-CN"/>
              </w:rPr>
              <w:instrText xml:space="preserve">)</w:instrText>
            </w:r>
            <w:r>
              <w:rPr>
                <w:rFonts w:cs="宋体" w:asciiTheme="minorEastAsia" w:hAnsiTheme="minorEastAsia"/>
                <w:b/>
                <w:color w:val="000000"/>
                <w:kern w:val="0"/>
                <w:szCs w:val="21"/>
                <w:highlight w:val="none"/>
                <w:lang w:val="zh-CN"/>
              </w:rPr>
              <w:fldChar w:fldCharType="end"/>
            </w:r>
            <w:r>
              <w:rPr>
                <w:rFonts w:hint="eastAsia" w:cs="宋体" w:asciiTheme="minorEastAsia" w:hAnsiTheme="minorEastAsia"/>
                <w:bCs/>
                <w:szCs w:val="21"/>
                <w:highlight w:val="none"/>
                <w:lang w:val="zh-CN"/>
              </w:rPr>
              <w:t>无要求</w:t>
            </w:r>
          </w:p>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
                <w:bCs/>
                <w:szCs w:val="21"/>
                <w:highlight w:val="none"/>
                <w:lang w:val="zh-CN"/>
              </w:rPr>
              <w:t>□</w:t>
            </w:r>
            <w:r>
              <w:rPr>
                <w:rFonts w:hint="eastAsia" w:cs="宋体" w:asciiTheme="minorEastAsia" w:hAnsiTheme="minorEastAsia"/>
                <w:color w:val="333333"/>
                <w:szCs w:val="21"/>
                <w:highlight w:val="none"/>
              </w:rPr>
              <w:t>要求提交。履约保证金的数额为合同金额</w:t>
            </w:r>
            <w:r>
              <w:rPr>
                <w:rFonts w:hint="eastAsia" w:ascii="新宋体" w:hAnsi="新宋体" w:eastAsia="新宋体"/>
                <w:szCs w:val="21"/>
                <w:highlight w:val="none"/>
              </w:rPr>
              <w:t>的10%</w:t>
            </w:r>
            <w:r>
              <w:rPr>
                <w:rFonts w:hint="eastAsia" w:cs="宋体" w:asciiTheme="minorEastAsia" w:hAnsiTheme="minorEastAsia"/>
                <w:color w:val="333333"/>
                <w:szCs w:val="21"/>
                <w:highlight w:val="none"/>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中标人在接到中标通知时，须</w:t>
            </w:r>
            <w:r>
              <w:rPr>
                <w:rFonts w:hint="eastAsia" w:ascii="新宋体" w:hAnsi="新宋体" w:eastAsia="新宋体"/>
                <w:szCs w:val="21"/>
                <w:highlight w:val="none"/>
              </w:rPr>
              <w:t>向许昌市公共资源交易中心交易见证部发</w:t>
            </w:r>
            <w:r>
              <w:rPr>
                <w:rFonts w:hint="eastAsia" w:cs="宋体" w:asciiTheme="minorEastAsia" w:hAnsiTheme="minorEastAsia"/>
                <w:bCs/>
                <w:szCs w:val="21"/>
                <w:highlight w:val="none"/>
                <w:lang w:val="zh-CN"/>
              </w:rPr>
              <w:t xml:space="preserve">送投标报价及分项报价一览表（包含主要中标标的的名称、规格型号、数量、单价、服务要求等）电子文档，并同时通知交易见证部。联系电话：0374-2968027；邮箱：jzb2968027@163.com。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highlight w:val="none"/>
                <w:lang w:val="zh-CN"/>
              </w:rPr>
              <w:t>特别提示</w:t>
            </w:r>
          </w:p>
        </w:tc>
        <w:tc>
          <w:tcPr>
            <w:tcW w:w="6813" w:type="dxa"/>
            <w:vAlign w:val="center"/>
          </w:tcPr>
          <w:p>
            <w:pPr>
              <w:autoSpaceDE w:val="0"/>
              <w:autoSpaceDN w:val="0"/>
              <w:adjustRightInd w:val="0"/>
              <w:spacing w:line="360" w:lineRule="auto"/>
              <w:contextualSpacing/>
              <w:rPr>
                <w:rFonts w:ascii="ˎ̥" w:hAnsi="ˎ̥"/>
                <w:highlight w:val="none"/>
              </w:rPr>
            </w:pPr>
            <w:r>
              <w:rPr>
                <w:rFonts w:hint="eastAsia" w:ascii="ˎ̥" w:hAnsi="ˎ̥"/>
                <w:highlight w:val="none"/>
              </w:rPr>
              <w:t>按照《关于推进全流程电子化交易和在线监管工作有关问题的通知》（许公管办[2019]3号）规定：</w:t>
            </w:r>
          </w:p>
          <w:p>
            <w:pPr>
              <w:autoSpaceDE w:val="0"/>
              <w:autoSpaceDN w:val="0"/>
              <w:adjustRightInd w:val="0"/>
              <w:spacing w:line="360" w:lineRule="auto"/>
              <w:contextualSpacing/>
              <w:rPr>
                <w:rFonts w:ascii="ˎ̥" w:hAnsi="ˎ̥"/>
                <w:highlight w:val="none"/>
              </w:rPr>
            </w:pPr>
            <w:r>
              <w:rPr>
                <w:rFonts w:hint="eastAsia" w:ascii="ˎ̥" w:hAnsi="ˎ̥"/>
                <w:highlight w:val="none"/>
              </w:rPr>
              <w:t>不同供应商电子投标文件制作硬件特征码（网卡MAC地址、CPU序号、硬盘序列号等）雷同时，视为‘</w:t>
            </w:r>
            <w:r>
              <w:rPr>
                <w:rFonts w:ascii="ˎ̥" w:hAnsi="ˎ̥"/>
                <w:highlight w:val="none"/>
              </w:rPr>
              <w:t>不同</w:t>
            </w:r>
            <w:r>
              <w:rPr>
                <w:rFonts w:hint="eastAsia" w:ascii="ˎ̥" w:hAnsi="ˎ̥"/>
                <w:highlight w:val="none"/>
              </w:rPr>
              <w:t>投标人的投标</w:t>
            </w:r>
            <w:r>
              <w:rPr>
                <w:rFonts w:ascii="ˎ̥" w:hAnsi="ˎ̥"/>
                <w:highlight w:val="none"/>
              </w:rPr>
              <w:t>文件由同一单位或者个人编制</w:t>
            </w:r>
            <w:r>
              <w:rPr>
                <w:rFonts w:hint="eastAsia" w:ascii="ˎ̥" w:hAnsi="ˎ̥"/>
                <w:highlight w:val="none"/>
              </w:rPr>
              <w:t>’或‘</w:t>
            </w:r>
            <w:r>
              <w:rPr>
                <w:rFonts w:ascii="ˎ̥" w:hAnsi="ˎ̥"/>
                <w:highlight w:val="none"/>
              </w:rPr>
              <w:t>不同</w:t>
            </w:r>
            <w:r>
              <w:rPr>
                <w:rFonts w:hint="eastAsia" w:ascii="ˎ̥" w:hAnsi="ˎ̥"/>
                <w:highlight w:val="none"/>
              </w:rPr>
              <w:t>投标人</w:t>
            </w:r>
            <w:r>
              <w:rPr>
                <w:rFonts w:ascii="ˎ̥" w:hAnsi="ˎ̥"/>
                <w:highlight w:val="none"/>
              </w:rPr>
              <w:t>委托同一单位或者个人办理</w:t>
            </w:r>
            <w:r>
              <w:rPr>
                <w:rFonts w:hint="eastAsia" w:ascii="ˎ̥" w:hAnsi="ˎ̥"/>
                <w:highlight w:val="none"/>
              </w:rPr>
              <w:t>响应</w:t>
            </w:r>
            <w:r>
              <w:rPr>
                <w:rFonts w:ascii="ˎ̥" w:hAnsi="ˎ̥"/>
                <w:highlight w:val="none"/>
              </w:rPr>
              <w:t>事宜</w:t>
            </w:r>
            <w:r>
              <w:rPr>
                <w:rFonts w:hint="eastAsia" w:ascii="ˎ̥" w:hAnsi="ˎ̥"/>
                <w:highlight w:val="none"/>
              </w:rPr>
              <w:t>’，其投标无效。</w:t>
            </w:r>
          </w:p>
          <w:p>
            <w:pPr>
              <w:autoSpaceDE w:val="0"/>
              <w:autoSpaceDN w:val="0"/>
              <w:adjustRightInd w:val="0"/>
              <w:spacing w:line="360" w:lineRule="auto"/>
              <w:contextualSpacing/>
              <w:rPr>
                <w:rFonts w:hint="eastAsia" w:hAnsi="宋体" w:cs="宋体"/>
                <w:szCs w:val="21"/>
                <w:lang w:val="zh-CN"/>
              </w:rPr>
            </w:pPr>
            <w:r>
              <w:rPr>
                <w:rFonts w:hint="eastAsia" w:ascii="ˎ̥" w:hAnsi="ˎ̥"/>
                <w:highlight w:val="none"/>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39"/>
        <w:autoSpaceDE w:val="0"/>
        <w:autoSpaceDN w:val="0"/>
        <w:spacing w:line="360" w:lineRule="auto"/>
        <w:ind w:left="780"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、政府采购严重违法失信行为记录名单、严重违法失信企业名单（黑名单）、严重违法失信社会组织名单（联合体形式投标的，联合体成员存在不良信用记录，视同联合体存在不良信用记录）。</w:t>
      </w:r>
    </w:p>
    <w:p>
      <w:pPr>
        <w:pStyle w:val="39"/>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39"/>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pStyle w:val="39"/>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pStyle w:val="39"/>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、政府采购严重违法失信行为记录名单、严重违法失信企业名单（黑名单）、严重违法失信社会组织名单的投标人，将拒绝其参与本次政府采购活动。</w:t>
      </w:r>
    </w:p>
    <w:p>
      <w:pPr>
        <w:pStyle w:val="39"/>
        <w:autoSpaceDE w:val="0"/>
        <w:autoSpaceDN w:val="0"/>
        <w:spacing w:line="360" w:lineRule="auto"/>
        <w:ind w:left="850" w:leftChars="405" w:firstLine="0"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单位负责人为同一人或者存在直接控股、管理关系的不同供应商，不得同时参加本项目投标。违反规定的，相关投标均无效。</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为采购项目提供整体设计、规范编制或者项目管理、监理、检测等服务的供应商，不得再参加该采购项目的其他采购活动。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“投标邀请”和“投标人须知前附表”规定接受联合体投标的，除应符合本章第</w:t>
      </w:r>
      <w:r>
        <w:rPr>
          <w:rFonts w:cs="宋体" w:asciiTheme="minorEastAsia" w:hAnsiTheme="minorEastAsia"/>
          <w:kern w:val="0"/>
          <w:szCs w:val="21"/>
          <w:highlight w:val="none"/>
        </w:rPr>
        <w:t>3.1</w:t>
      </w:r>
      <w:r>
        <w:rPr>
          <w:rFonts w:hint="eastAsia" w:cs="宋体" w:asciiTheme="minorEastAsia" w:hAnsiTheme="minorEastAsia"/>
          <w:kern w:val="0"/>
          <w:szCs w:val="21"/>
          <w:highlight w:val="none"/>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（1）在投标文件中向采购人提交联合体协议书，明确联合体各方承担的工作和义务；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（2）联合体中有同类资质的供应商按联合体分工承担相同工作的，应当按照资质等级较低的供应商确定资质等级；</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（3）招标人根据采购项目的特殊要求规定投标人特定条件的，联合体各方中至少应当有一方符合采购规定的特定条件。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（4）联合体各方不得再单独参加或者与其他供应商另外组成联合体参加同一合同项下的政府采购活动。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w:t>
      </w:r>
      <w:r>
        <w:rPr>
          <w:rFonts w:hint="eastAsia" w:cs="宋体" w:asciiTheme="minorEastAsia" w:hAnsiTheme="minorEastAsia"/>
          <w:kern w:val="0"/>
          <w:szCs w:val="21"/>
          <w:highlight w:val="none"/>
        </w:rPr>
        <w:t>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highlight w:val="none"/>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highlight w:val="none"/>
        </w:rPr>
        <w:t>采购代理机构代理费用收取标准和方式</w:t>
      </w:r>
    </w:p>
    <w:p>
      <w:pPr>
        <w:pStyle w:val="39"/>
        <w:numPr>
          <w:ilvl w:val="0"/>
          <w:numId w:val="8"/>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收取标准：不收取。详见投标人须知前附表。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收取方式：一次性以银</w:t>
      </w:r>
      <w:r>
        <w:rPr>
          <w:rFonts w:hint="eastAsia" w:cs="宋体" w:asciiTheme="minorEastAsia" w:hAnsiTheme="minorEastAsia"/>
          <w:kern w:val="0"/>
          <w:szCs w:val="21"/>
        </w:rPr>
        <w:t>行划账、电汇、汇票或支票的形式支付。</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39"/>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39"/>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投标有效期内投标人撤销投标文件的，招标人将不退还投标保证金。</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投标人根据招标文件的规定和采购项目的实际情</w:t>
      </w:r>
      <w:r>
        <w:rPr>
          <w:rFonts w:hint="eastAsia" w:cs="宋体" w:asciiTheme="minorEastAsia" w:hAnsiTheme="minorEastAsia"/>
          <w:kern w:val="0"/>
          <w:szCs w:val="21"/>
          <w:highlight w:val="none"/>
        </w:rPr>
        <w:t>况，拟在中标后将中标项目的非主体、非关键性工作分包的，应当在投标文件中载明分包承担主体，分包承担主体应当具备相应资质条件且不得再次分包。</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cs="宋体" w:asciiTheme="minorEastAsia" w:hAnsiTheme="minorEastAsia"/>
          <w:kern w:val="0"/>
          <w:szCs w:val="21"/>
          <w:highlight w:val="none"/>
        </w:rPr>
        <w:t>.file</w:t>
      </w:r>
      <w:r>
        <w:rPr>
          <w:rFonts w:hint="eastAsia" w:cs="宋体" w:asciiTheme="minorEastAsia" w:hAnsiTheme="minorEastAsia"/>
          <w:kern w:val="0"/>
          <w:szCs w:val="21"/>
          <w:highlight w:val="none"/>
        </w:rPr>
        <w:t>”的文件用于电子投标使用，后缀名为“.PDF”的文件用于打印纸质投</w:t>
      </w:r>
      <w:r>
        <w:rPr>
          <w:rFonts w:hint="eastAsia" w:cs="宋体" w:asciiTheme="minorEastAsia" w:hAnsiTheme="minorEastAsia"/>
          <w:kern w:val="0"/>
          <w:szCs w:val="21"/>
        </w:rPr>
        <w:t>标文件，名称为“备份”的文件夹使用电子介质存储，供开标现场备用。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电子投标文件制作技术咨询：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投标文件格式</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39"/>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（1）投标人应按“投标人须知前附表”规定时间及金额提交投标保证金，并作为其投标的一部分。未按要求提交投标保证金的投标文件为无效投标。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（2）投标保证金用于避免和减少本次招标由于投标人的行为而给采购人带来的损失。</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（5）投标保证金缴纳方式：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投标人网上下载招标文件后，登录</w:t>
      </w:r>
      <w:r>
        <w:fldChar w:fldCharType="begin"/>
      </w:r>
      <w:r>
        <w:instrText xml:space="preserve"> HYPERLINK "http://221.14.6.70:8088/ggzy" </w:instrText>
      </w:r>
      <w:r>
        <w:fldChar w:fldCharType="separate"/>
      </w:r>
      <w:r>
        <w:rPr>
          <w:rFonts w:hint="eastAsia" w:cs="宋体" w:asciiTheme="minorEastAsia" w:hAnsiTheme="minorEastAsia"/>
          <w:kern w:val="0"/>
          <w:szCs w:val="21"/>
        </w:rPr>
        <w:t>http://221.14.6.70:8088/ggzy</w:t>
      </w:r>
      <w:r>
        <w:rPr>
          <w:rFonts w:hint="eastAsia" w:cs="宋体" w:asciiTheme="minorEastAsia" w:hAnsiTheme="minorEastAsia"/>
          <w:kern w:val="0"/>
          <w:szCs w:val="21"/>
        </w:rPr>
        <w:fldChar w:fldCharType="end"/>
      </w:r>
      <w:r>
        <w:rPr>
          <w:rFonts w:hint="eastAsia" w:cs="宋体" w:asciiTheme="minorEastAsia" w:hAnsiTheme="minorEastAsia"/>
          <w:kern w:val="0"/>
          <w:szCs w:val="21"/>
        </w:rPr>
        <w:t>系统，依次点击“会员向导”→“参与投标”→“费用缴纳说明”→“保证金缴纳说明单”，获取缴费说明单，根据每个标段的缴纳说明单在缴纳截止时间前缴纳；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成功缴纳后重新登录前述系统，依次点击“会员向导”→“参与投标”→“保证金绑定”→“绑定”进行投标保证金绑定。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《保证金缴纳绑定操作指南》获取方法：登录许昌公共资源交易系统-组件下载-《保证金缴纳绑定操作指南》。</w:t>
      </w:r>
    </w:p>
    <w:p>
      <w:pPr>
        <w:autoSpaceDE w:val="0"/>
        <w:autoSpaceDN w:val="0"/>
        <w:spacing w:line="360" w:lineRule="auto"/>
        <w:ind w:left="964"/>
        <w:contextualSpacing/>
        <w:rPr>
          <w:rFonts w:cs="仿宋_GB2312" w:asciiTheme="minorEastAsia" w:hAnsiTheme="minorEastAsia"/>
          <w:szCs w:val="21"/>
          <w:lang w:val="zh-CN"/>
        </w:rPr>
      </w:pPr>
      <w:r>
        <w:rPr>
          <w:rFonts w:hint="eastAsia" w:cs="宋体" w:asciiTheme="minorEastAsia" w:hAnsiTheme="minor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每个投标人每个项目每个标段只有唯一缴纳账号，切勿重复缴纳或错误缴纳。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投标人所提交的投标保证金仅限当次投标项目（标段）有效，不得重复替代使用。一个招标项目有多个标段或者有多个项目同时招标的，投标人必须按项目、标段分别提交投标保证金。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 不同投标人的投标保证金不得从同一单位或者个人的账户转出。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 未按上述规定操作引起的无效投标，由投标人自行负责。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（10） 汇款凭证无需备注项目编号和项目名称。</w:t>
      </w:r>
    </w:p>
    <w:p>
      <w:pPr>
        <w:pStyle w:val="39"/>
        <w:numPr>
          <w:ilvl w:val="1"/>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退还投标保证金时，区别中标与否，按不同时序由银行按来款途径退还原账户。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自中标通知书发出之日起</w:t>
      </w:r>
      <w:r>
        <w:rPr>
          <w:rFonts w:cs="宋体" w:asciiTheme="minorEastAsia" w:hAnsiTheme="minorEastAsia"/>
          <w:kern w:val="0"/>
          <w:szCs w:val="21"/>
        </w:rPr>
        <w:t>5</w:t>
      </w:r>
      <w:r>
        <w:rPr>
          <w:rFonts w:hint="eastAsia" w:cs="宋体" w:asciiTheme="minorEastAsia" w:hAnsiTheme="minorEastAsia"/>
          <w:kern w:val="0"/>
          <w:szCs w:val="21"/>
        </w:rPr>
        <w:t>个工作日内退还未中标人的投标保证金。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自采购合同签订之日起</w:t>
      </w:r>
      <w:r>
        <w:rPr>
          <w:rFonts w:cs="宋体" w:asciiTheme="minorEastAsia" w:hAnsiTheme="minorEastAsia"/>
          <w:kern w:val="0"/>
          <w:szCs w:val="21"/>
        </w:rPr>
        <w:t>5</w:t>
      </w:r>
      <w:r>
        <w:rPr>
          <w:rFonts w:hint="eastAsia" w:cs="宋体" w:asciiTheme="minorEastAsia" w:hAnsiTheme="minorEastAsia"/>
          <w:kern w:val="0"/>
          <w:szCs w:val="21"/>
        </w:rPr>
        <w:t>个工作日内退还中标人的投标保证金。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因投标人自身原因无法及时退还投标保证金，滞留三年以上的，投标保证金上缴财政。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有下列情形之一的，投标保证金不予退还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投标有效期内投标人撤销投标文件的；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投标人在投标文件中提供虚假材料的；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除因不可抗力或招标文件认可的情形以外，中标人不与采购人签订合同的；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投标人与采购人、其他投标人或者采购代理机构恶意串通的；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e. 法律法规及招标文件规定的其他情形。</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投标人应提交投标文件份数见“投标人须知前附表”。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在招标文件中已明示需盖章及签名之处，电子投标文件应按招标文件要求加盖投标人电子印章和法人电子印章或授权代表电子印章。</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纸质投标文件是指投标人电子投标文件制作完成后生成的后缀名为“.PDF”的文件打印的投标文件。纸质投标文件正本和副本封面上应清楚标明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字样；一旦正本和副本内容不一致时，以正本为准。纸质投标文件的正本及所有副本的封面均须由投标人加盖投标人公章。</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四、投标文件的递交</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投标文件的密封</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投标人应将纸质投标文件“正本”、“ 副本”密封包装。使用电子介质存储的投标文件单独密封包装，并随纸质投标文件一并提交。</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投标文件如果未按规定密封，招标人将拒绝接收。</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投标截止时间</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投标人必须在“投标邀请”和“投标人须知前附表”中规定的投标截止时间前，将所有投标文件送达招标文件指定的开标地点。</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招标人收到投标文件后，应当如实记载投标文件的送达时间和密封情况，签收保存，并向投标人出具签收回执。任何单位和个人不得在开标前开启投标文件。</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迟交的投标文件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投标截止时间之后送达/上传的投标文件，招标人将拒绝接收。</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投标文件的修改和撤回</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投标人在投标截止时间前，对所递交的纸质投标文件进行补充、修改或者撤回的，须书面通知招标人。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投标人应当在投标截止时间前完成电子投标文件的提交，可以补充、修改或撤回。投标截止时间前未完成电子投标文件提交、取得“投标文件提交回执单”的，视为撤回投标文件。</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投标人补充、修改的内容并作为投标文件的组成部分。补充或修改应当按招标文件要求签署、盖章、密封、递交，并应注明“修改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投标人在递交纸质投标文件后，可以撤回其投标，但投标人必须在规定的投标截止时间前以书面形式告知招标人。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投标人不得在投标有效期内撤销投标文件，否则招标人将不退还其投标保证金。</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39"/>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招标人将按招标文件规定的时间和地点组织公开开标。开标由代理机构主持，邀请投标人参加。评标委员会成员不得参加开标活动。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招标人应当对开标、评标现场活动进行全程录音录像。录音录像应当清晰可辨，音像资料作为采购文件一并存档。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（1）电子投标文件的解密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全流程电子化交易项目电子投标文件采用双重加密。解密需分标段进行两次解密。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投标人解密：投标人使用本单位CA数字证书远程或现场进行解密。需开标现场使用一体机进行解密的，请在代理机构引导下进行。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代理机构解密：代理机构</w:t>
      </w:r>
      <w:r>
        <w:rPr>
          <w:rFonts w:cs="宋体" w:asciiTheme="minorEastAsia" w:hAnsiTheme="minorEastAsia"/>
          <w:kern w:val="0"/>
          <w:szCs w:val="21"/>
        </w:rPr>
        <w:t>按</w:t>
      </w:r>
      <w:r>
        <w:rPr>
          <w:rFonts w:hint="eastAsia" w:cs="宋体" w:asciiTheme="minorEastAsia" w:hAnsiTheme="minorEastAsia"/>
          <w:kern w:val="0"/>
          <w:szCs w:val="21"/>
        </w:rPr>
        <w:t>电子</w:t>
      </w:r>
      <w:r>
        <w:rPr>
          <w:rFonts w:cs="宋体" w:asciiTheme="minorEastAsia" w:hAnsiTheme="minorEastAsia"/>
          <w:kern w:val="0"/>
          <w:szCs w:val="21"/>
        </w:rPr>
        <w:t>投标</w:t>
      </w:r>
      <w:r>
        <w:rPr>
          <w:rFonts w:hint="eastAsia" w:cs="宋体" w:asciiTheme="minorEastAsia" w:hAnsiTheme="minorEastAsia"/>
          <w:kern w:val="0"/>
          <w:szCs w:val="21"/>
        </w:rPr>
        <w:t>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电子投标文件解密异常情况处理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因电子交易系统异常无法解密电子投标文件的，使用纸质投标文件以人工方式进行。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投标人不足3家的，不得开标。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开标过程由采购代理机构负责记录，由参加开标的各投标人代表和相关工作人员签字确认后随采购文件一并存档。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投标人未参加开标的，视同认可开标结果。</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rPr>
        <w:t>评标委员会的组成</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991" w:leftChars="202" w:hanging="567" w:hangingChars="27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26.1.1  招标人将依法组建评标委员会，评标委员会由评审专家组成，成员人数应当为5人以上单数。评审专家依法从政府采购评审专家库中随机抽取。</w:t>
      </w:r>
    </w:p>
    <w:p>
      <w:pPr>
        <w:autoSpaceDE w:val="0"/>
        <w:autoSpaceDN w:val="0"/>
        <w:spacing w:line="360" w:lineRule="auto"/>
        <w:ind w:left="426"/>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26.1.2  采购项目符合下列情形之一的，评标委员会成员人数应当为7人以上单数：</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（1）采购预算金额在1000万元以上；</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（2）技术复杂；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（3）社会影响较大。</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（1）参加采购活动前三年内,与供应商存在劳动关系,或者担任过供应商的董事、监事,或者是供应商的控股股东或实际控制人；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（2）与供应商的法定代表人或者负责人有夫妻、直系血亲、三代以内旁系血亲或者近姻亲关系；</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（3）与供应商有其他可能影响政府采购活动公平、公正进行的关系。</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（1）投标文件中开标一览表(报价表)内容与投标文件中相应内容不一致的，以开标一览表(报价表)为准；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（2）大写金额和小写金额不一致的，以大写金额为准；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单价金额小数点或者百分比有明显错位的，以开标一览表的总价为准，并修改单价；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（1）未按照招标文件的规定提交投标保证金的；</w:t>
      </w:r>
      <w:r>
        <w:rPr>
          <w:rFonts w:cs="宋体" w:asciiTheme="minorEastAsia" w:hAnsiTheme="minorEastAsia"/>
          <w:kern w:val="0"/>
          <w:szCs w:val="21"/>
        </w:rPr>
        <w:t xml:space="preserve">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不同投标人的投标文件相互混装；</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不同投标人的投标保证金从同一单位或者个人的账户转出。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ascii="ˎ̥" w:hAnsi="ˎ̥"/>
          <w:highlight w:val="none"/>
        </w:rPr>
        <w:t>按照《关于推进全流程电子化交易和在线监管工作有关问题的通知》（许公管办[2019]3号）规定，不同投标人电子投标文件制作硬件特征码（网卡MAC地址、CPU序号、硬盘序列号等）雷同时，视为‘</w:t>
      </w:r>
      <w:r>
        <w:rPr>
          <w:rFonts w:ascii="ˎ̥" w:hAnsi="ˎ̥"/>
          <w:highlight w:val="none"/>
        </w:rPr>
        <w:t>不同</w:t>
      </w:r>
      <w:r>
        <w:rPr>
          <w:rFonts w:hint="eastAsia" w:ascii="ˎ̥" w:hAnsi="ˎ̥"/>
          <w:highlight w:val="none"/>
        </w:rPr>
        <w:t>投标人</w:t>
      </w:r>
      <w:r>
        <w:rPr>
          <w:rFonts w:ascii="ˎ̥" w:hAnsi="ˎ̥"/>
          <w:highlight w:val="none"/>
        </w:rPr>
        <w:t>的</w:t>
      </w:r>
      <w:r>
        <w:rPr>
          <w:rFonts w:hint="eastAsia" w:ascii="ˎ̥" w:hAnsi="ˎ̥"/>
          <w:highlight w:val="none"/>
        </w:rPr>
        <w:t>投标</w:t>
      </w:r>
      <w:r>
        <w:rPr>
          <w:rFonts w:ascii="ˎ̥" w:hAnsi="ˎ̥"/>
          <w:highlight w:val="none"/>
        </w:rPr>
        <w:t>文件由同一单位或者个人编制</w:t>
      </w:r>
      <w:r>
        <w:rPr>
          <w:rFonts w:hint="eastAsia" w:ascii="ˎ̥" w:hAnsi="ˎ̥"/>
          <w:highlight w:val="none"/>
        </w:rPr>
        <w:t>’或‘</w:t>
      </w:r>
      <w:r>
        <w:rPr>
          <w:rFonts w:ascii="ˎ̥" w:hAnsi="ˎ̥"/>
          <w:highlight w:val="none"/>
        </w:rPr>
        <w:t>不同</w:t>
      </w:r>
      <w:r>
        <w:rPr>
          <w:rFonts w:hint="eastAsia" w:ascii="ˎ̥" w:hAnsi="ˎ̥"/>
          <w:highlight w:val="none"/>
        </w:rPr>
        <w:t>投标人</w:t>
      </w:r>
      <w:r>
        <w:rPr>
          <w:rFonts w:ascii="ˎ̥" w:hAnsi="ˎ̥"/>
          <w:highlight w:val="none"/>
        </w:rPr>
        <w:t>委托同一单位或者个人办理</w:t>
      </w:r>
      <w:r>
        <w:rPr>
          <w:rFonts w:hint="eastAsia" w:ascii="ˎ̥" w:hAnsi="ˎ̥"/>
          <w:highlight w:val="none"/>
        </w:rPr>
        <w:t>响应</w:t>
      </w:r>
      <w:r>
        <w:rPr>
          <w:rFonts w:ascii="ˎ̥" w:hAnsi="ˎ̥"/>
          <w:highlight w:val="none"/>
        </w:rPr>
        <w:t>事宜</w:t>
      </w:r>
      <w:r>
        <w:rPr>
          <w:rFonts w:hint="eastAsia" w:ascii="ˎ̥" w:hAnsi="ˎ̥"/>
          <w:highlight w:val="none"/>
        </w:rPr>
        <w:t>’，其投标无效。</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cs="宋体" w:asciiTheme="minorEastAsia" w:hAnsiTheme="minorEastAsia"/>
          <w:kern w:val="0"/>
          <w:szCs w:val="21"/>
          <w:highlight w:val="none"/>
        </w:rPr>
        <w:t>法律、法规和招标文件规定的其他无效情形。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最低评标价法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最低评标价法，是指投标文件满足招标文件全部实质性要求，且投标报价最低的投标人为中标候选人的评标方法。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采用最低评标价法评标时，除了算术修正和落实政府采购政策需进行的价格扣除外，不能对投标人的投标价格进行任何调整。</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综合评分法，是指投标文件满足招标文件全部实质性要求，且按照评审因素的量化指标评审得分最高的投标人为中标候选人的评标方法。</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评标过程中，不得去掉报价中的最高报价和最低报价。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因落实政府采购政策进行价格调整的，以调整后的价格计算评标基准价和投标报价。</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确定参与评标至评标结束前私自接触投标人；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记录、复制或者带走任何评标资料；</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其他不遵守评标纪律的行为。</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Pr>
          <w:rFonts w:hint="eastAsia" w:cs="宋体" w:asciiTheme="minorEastAsia" w:hAnsiTheme="minorEastAsia"/>
          <w:kern w:val="0"/>
          <w:szCs w:val="21"/>
        </w:rPr>
        <w:br w:type="textWrapping"/>
      </w:r>
      <w:r>
        <w:rPr>
          <w:rFonts w:hint="eastAsia" w:cs="宋体" w:asciiTheme="minorEastAsia" w:hAnsiTheme="minorEastAsia"/>
          <w:kern w:val="0"/>
          <w:szCs w:val="21"/>
        </w:rPr>
        <w:t>（2） 对采购过程提出质疑的，为各采购程序环节结束之日起七个工作日内，以书面形式向采购人和采购代理机构一次性提出；</w:t>
      </w:r>
      <w:r>
        <w:rPr>
          <w:rFonts w:hint="eastAsia" w:cs="宋体" w:asciiTheme="minorEastAsia" w:hAnsiTheme="minorEastAsia"/>
          <w:kern w:val="0"/>
          <w:szCs w:val="21"/>
        </w:rPr>
        <w:br w:type="textWrapping"/>
      </w:r>
      <w:r>
        <w:rPr>
          <w:rFonts w:hint="eastAsia" w:cs="宋体" w:asciiTheme="minorEastAsia" w:hAnsiTheme="minorEastAsia"/>
          <w:kern w:val="0"/>
          <w:szCs w:val="21"/>
        </w:rPr>
        <w:t>（3） 对中标结果提出质疑的，为中标结果公告期限届满之日起七个工作日内，以书面形式向采购人和采购代理机构一次性提出。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根据《中华人民共</w:t>
      </w:r>
      <w:r>
        <w:rPr>
          <w:rFonts w:hint="eastAsia" w:cs="仿宋_GB2312" w:asciiTheme="minorEastAsia" w:hAnsiTheme="minorEastAsia"/>
          <w:szCs w:val="21"/>
          <w:highlight w:val="none"/>
          <w:lang w:val="zh-CN"/>
        </w:rPr>
        <w:t>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highlight w:val="none"/>
          <w:lang w:val="zh-CN"/>
        </w:rPr>
      </w:pPr>
      <w:r>
        <w:rPr>
          <w:rFonts w:hint="eastAsia" w:cs="仿宋_GB2312" w:asciiTheme="minorEastAsia" w:hAnsiTheme="minorEastAsia" w:eastAsiaTheme="minorEastAsia"/>
          <w:b/>
          <w:sz w:val="21"/>
          <w:szCs w:val="21"/>
          <w:highlight w:val="none"/>
          <w:lang w:val="zh-CN"/>
        </w:rPr>
        <w:t>一、</w:t>
      </w:r>
      <w:r>
        <w:rPr>
          <w:rFonts w:hint="eastAsia" w:cs="仿宋_GB2312" w:asciiTheme="minorEastAsia" w:hAnsiTheme="minorEastAsia"/>
          <w:b/>
          <w:sz w:val="21"/>
          <w:szCs w:val="21"/>
          <w:highlight w:val="none"/>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1、按照财政部、工业和信息化部发布的《政府采购促进中小企业发展暂行办法》（财库[2011]181号）规定，本项目为非专门面向</w:t>
      </w:r>
      <w:r>
        <w:rPr>
          <w:rFonts w:hint="eastAsia" w:cs="仿宋_GB2312" w:asciiTheme="minorEastAsia" w:hAnsiTheme="minorEastAsia"/>
          <w:szCs w:val="21"/>
          <w:lang w:val="zh-CN"/>
        </w:rPr>
        <w:t>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2" w:name="OLE_LINK6"/>
      <w:r>
        <w:rPr>
          <w:rFonts w:hint="eastAsia" w:cs="仿宋_GB2312" w:asciiTheme="minorEastAsia" w:hAnsiTheme="minorEastAsia"/>
          <w:szCs w:val="21"/>
          <w:lang w:val="zh-CN"/>
        </w:rPr>
        <w:t>财库[2014]68号</w:t>
      </w:r>
      <w:bookmarkEnd w:id="2"/>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highlight w:val="none"/>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highlight w:val="none"/>
        </w:rPr>
      </w:pPr>
      <w:r>
        <w:rPr>
          <w:rFonts w:hint="eastAsia" w:asciiTheme="minorEastAsia" w:hAnsiTheme="minorEastAsia"/>
          <w:bCs/>
          <w:szCs w:val="21"/>
          <w:highlight w:val="none"/>
        </w:rPr>
        <w:t>（一）</w:t>
      </w:r>
      <w:r>
        <w:rPr>
          <w:rFonts w:asciiTheme="minorEastAsia" w:hAnsiTheme="minorEastAsia"/>
          <w:bCs/>
          <w:szCs w:val="21"/>
          <w:highlight w:val="none"/>
        </w:rPr>
        <w:t>开标结束后，</w:t>
      </w:r>
      <w:r>
        <w:rPr>
          <w:rFonts w:hint="eastAsia" w:asciiTheme="minorEastAsia" w:hAnsiTheme="minorEastAsia"/>
          <w:bCs/>
          <w:szCs w:val="21"/>
          <w:highlight w:val="none"/>
        </w:rPr>
        <w:t>采购人依法对投标人资格进行审查</w:t>
      </w:r>
      <w:r>
        <w:rPr>
          <w:rFonts w:asciiTheme="minorEastAsia" w:hAnsiTheme="minorEastAsia"/>
          <w:bCs/>
          <w:szCs w:val="21"/>
          <w:highlight w:val="none"/>
        </w:rPr>
        <w:t>。</w:t>
      </w:r>
      <w:r>
        <w:rPr>
          <w:rFonts w:hint="eastAsia" w:asciiTheme="minorEastAsia" w:hAnsiTheme="minorEastAsia"/>
          <w:bCs/>
          <w:szCs w:val="21"/>
          <w:highlight w:val="none"/>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①与本项目投标相关设备的购置发票、专业技术人员职称证书、用工合同等；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spacing w:line="360" w:lineRule="auto"/>
              <w:rPr>
                <w:rFonts w:asciiTheme="minorEastAsia" w:hAnsiTheme="minorEastAsia"/>
                <w:b/>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政府采购活动中查询及使用投标人信用记录的具体要求为：投标人未被列入</w:t>
            </w:r>
            <w:r>
              <w:rPr>
                <w:rFonts w:asciiTheme="minorEastAsia" w:hAnsiTheme="minorEastAsia"/>
                <w:bCs/>
                <w:szCs w:val="21"/>
                <w:highlight w:val="none"/>
              </w:rPr>
              <w:t>“信用中国”网站</w:t>
            </w:r>
            <w:r>
              <w:rPr>
                <w:rFonts w:hint="eastAsia" w:asciiTheme="minorEastAsia" w:hAnsiTheme="minorEastAsia"/>
                <w:bCs/>
                <w:szCs w:val="21"/>
                <w:highlight w:val="none"/>
              </w:rPr>
              <w:t>失信被执行人、重大税收违法案件当事人名单、</w:t>
            </w:r>
            <w:r>
              <w:rPr>
                <w:rFonts w:asciiTheme="minorEastAsia" w:hAnsiTheme="minorEastAsia"/>
                <w:bCs/>
                <w:szCs w:val="21"/>
                <w:highlight w:val="none"/>
              </w:rPr>
              <w:t>政府采购严重违法失信名单</w:t>
            </w:r>
            <w:r>
              <w:rPr>
                <w:rFonts w:hint="eastAsia" w:asciiTheme="minorEastAsia" w:hAnsiTheme="minorEastAsia"/>
                <w:bCs/>
                <w:szCs w:val="21"/>
                <w:highlight w:val="none"/>
              </w:rPr>
              <w:t>、“</w:t>
            </w:r>
            <w:r>
              <w:rPr>
                <w:rFonts w:asciiTheme="minorEastAsia" w:hAnsiTheme="minorEastAsia"/>
                <w:bCs/>
                <w:szCs w:val="21"/>
                <w:highlight w:val="none"/>
              </w:rPr>
              <w:t>中国政府采购网</w:t>
            </w:r>
            <w:r>
              <w:rPr>
                <w:rFonts w:hint="eastAsia" w:asciiTheme="minorEastAsia" w:hAnsiTheme="minorEastAsia"/>
                <w:bCs/>
                <w:szCs w:val="21"/>
                <w:highlight w:val="none"/>
              </w:rPr>
              <w:t>”政府采购严重违法失信行为记录名单、“国家企业信用公示系统”网站严重违法失信企业名单（黑名单）、</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）严重违法失信社会组织名单的投标人</w:t>
            </w:r>
            <w:r>
              <w:rPr>
                <w:rFonts w:hint="eastAsia" w:cs="仿宋_GB2312" w:asciiTheme="minorEastAsia" w:hAnsiTheme="minorEastAsia"/>
                <w:b/>
                <w:color w:val="000000"/>
                <w:szCs w:val="21"/>
                <w:highlight w:val="none"/>
              </w:rPr>
              <w:t>；</w:t>
            </w:r>
            <w:r>
              <w:rPr>
                <w:rFonts w:hint="eastAsia" w:asciiTheme="minorEastAsia" w:hAnsiTheme="minorEastAsia"/>
                <w:bCs/>
                <w:szCs w:val="21"/>
                <w:highlight w:val="none"/>
              </w:rPr>
              <w:t>（联合体形式投标的，联合体成员存在不良信用记录，视同联合体存在不良信用记录）。</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（1）查询渠道：</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Style w:val="27"/>
                <w:rFonts w:hint="eastAsia" w:asciiTheme="minorEastAsia" w:hAnsiTheme="minorEastAsia"/>
                <w:bCs/>
                <w:szCs w:val="21"/>
                <w:highlight w:val="none"/>
              </w:rPr>
              <w:t>www.creditchina.gov.cn</w:t>
            </w:r>
            <w:r>
              <w:rPr>
                <w:rStyle w:val="27"/>
                <w:rFonts w:hint="eastAsia"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②“中国政府采购网”（www.ccgp.gov.cn）</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Style w:val="27"/>
                <w:rFonts w:asciiTheme="minorEastAsia" w:hAnsiTheme="minorEastAsia"/>
                <w:bCs/>
                <w:szCs w:val="21"/>
                <w:highlight w:val="none"/>
              </w:rPr>
              <w:t>www.gsxt.gov.cn</w:t>
            </w:r>
            <w:r>
              <w:rPr>
                <w:rStyle w:val="27"/>
                <w:rFonts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④</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）（仅查询社会组织）</w:t>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（2）截止时间：同投标截止时间；</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（3）信用信息查询记录和证据留存具体方式：经采购人确认的查询结果网页截图作为查询记录和证据，与其他采购文件一并保存；</w:t>
            </w:r>
          </w:p>
          <w:p>
            <w:pPr>
              <w:spacing w:line="360" w:lineRule="auto"/>
              <w:rPr>
                <w:rFonts w:asciiTheme="minorEastAsia" w:hAnsiTheme="minorEastAsia"/>
                <w:b/>
                <w:bCs/>
                <w:szCs w:val="21"/>
                <w:highlight w:val="none"/>
              </w:rPr>
            </w:pPr>
            <w:r>
              <w:rPr>
                <w:rFonts w:hint="eastAsia" w:asciiTheme="minorEastAsia" w:hAnsiTheme="minorEastAsia"/>
                <w:bCs/>
                <w:szCs w:val="21"/>
                <w:highlight w:val="none"/>
              </w:rPr>
              <w:t>（4）信用信息的使用原则：经采购人认定的被列入失信被执行人、重大税收违法案件当事人名单、政府采购严重违法失信行为记录名单的投标人，严重违法失信企业名单（黑名单）、</w:t>
            </w:r>
            <w:r>
              <w:rPr>
                <w:rFonts w:hint="eastAsia" w:cs="仿宋_GB2312" w:asciiTheme="minorEastAsia" w:hAnsiTheme="minorEastAsia"/>
                <w:color w:val="000000"/>
                <w:szCs w:val="21"/>
                <w:highlight w:val="none"/>
              </w:rPr>
              <w:t>严重违法失信社会组织</w:t>
            </w:r>
            <w:r>
              <w:rPr>
                <w:rFonts w:hint="eastAsia" w:asciiTheme="minorEastAsia" w:hAnsiTheme="minorEastAsia"/>
                <w:bCs/>
                <w:szCs w:val="21"/>
                <w:highlight w:val="none"/>
              </w:rPr>
              <w:t>的投标人，将拒绝其参与本次政府采购活动。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eastAsiaTheme="minorEastAsia"/>
                <w:b/>
                <w:bCs/>
                <w:szCs w:val="21"/>
                <w:lang w:val="en-US" w:eastAsia="zh-CN"/>
              </w:rPr>
            </w:pPr>
            <w:r>
              <w:rPr>
                <w:rFonts w:hint="eastAsia" w:cs="仿宋_GB2312" w:asciiTheme="minorEastAsia" w:hAnsiTheme="minorEastAsia" w:eastAsiaTheme="minorEastAsia"/>
                <w:color w:val="000000"/>
                <w:sz w:val="21"/>
                <w:szCs w:val="21"/>
                <w:shd w:val="clear" w:color="auto" w:fill="FFFFFF"/>
                <w:lang w:val="en-US" w:eastAsia="zh-CN"/>
              </w:rPr>
              <w:t>具有城乡规划编制甲级资质（联合体投标至少有1家具有城乡规划编制甲级资质）</w:t>
            </w:r>
            <w:r>
              <w:rPr>
                <w:rFonts w:hint="eastAsia" w:cs="仿宋_GB2312" w:asciiTheme="minorEastAsia" w:hAnsiTheme="minorEastAsia"/>
                <w:color w:val="000000"/>
                <w:sz w:val="21"/>
                <w:szCs w:val="21"/>
                <w:shd w:val="clear" w:color="auto" w:fill="FFFFFF"/>
                <w:lang w:val="en-US" w:eastAsia="zh-CN"/>
              </w:rPr>
              <w:t>。</w:t>
            </w:r>
            <w:bookmarkStart w:id="14" w:name="_GoBack"/>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3" w:name="baidusnap2"/>
            <w:bookmarkEnd w:id="3"/>
            <w:r>
              <w:rPr>
                <w:rFonts w:hint="eastAsia" w:cs="仿宋_GB2312" w:asciiTheme="minorEastAsia" w:hAnsiTheme="minorEastAsia"/>
                <w:szCs w:val="21"/>
                <w:lang w:val="zh-CN"/>
              </w:rPr>
              <w:t>提供未为本项目提供整体设计、</w:t>
            </w:r>
            <w:bookmarkStart w:id="4" w:name="baidusnap9"/>
            <w:bookmarkEnd w:id="4"/>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3"/>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3"/>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20" w:firstLineChars="200"/>
        <w:contextualSpacing/>
        <w:rPr>
          <w:rFonts w:hint="eastAsia" w:cs="仿宋_GB2312" w:asciiTheme="minorEastAsia" w:hAnsiTheme="minorEastAsia" w:eastAsiaTheme="minorEastAsia"/>
          <w:sz w:val="21"/>
          <w:szCs w:val="21"/>
          <w:highlight w:val="none"/>
          <w:lang w:val="zh-CN"/>
        </w:rPr>
      </w:pPr>
      <w:r>
        <w:rPr>
          <w:rFonts w:hint="eastAsia" w:cs="仿宋_GB2312" w:asciiTheme="minorEastAsia" w:hAnsiTheme="minorEastAsia" w:eastAsiaTheme="minorEastAsia"/>
          <w:sz w:val="21"/>
          <w:szCs w:val="21"/>
          <w:highlight w:val="none"/>
          <w:lang w:val="zh-CN"/>
        </w:rPr>
        <w:t>小型和微型企业不包含民办非企业单位。</w:t>
      </w: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cs="仿宋_GB2312" w:asciiTheme="minorEastAsia" w:hAnsiTheme="minorEastAsia" w:eastAsiaTheme="minorEastAsia"/>
          <w:b/>
          <w:sz w:val="21"/>
          <w:szCs w:val="21"/>
          <w:lang w:val="zh-CN"/>
        </w:rPr>
        <w:t>关于相同品牌产品</w:t>
      </w:r>
      <w:r>
        <w:rPr>
          <w:rFonts w:cs="仿宋_GB2312" w:asciiTheme="minorEastAsia" w:hAnsiTheme="minorEastAsia" w:eastAsiaTheme="minorEastAsia"/>
          <w:b/>
          <w:bCs/>
          <w:sz w:val="21"/>
          <w:szCs w:val="21"/>
          <w:lang w:val="zh-CN"/>
        </w:rPr>
        <w:t>（服务类项目不适用本条款规定）</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（3）关于强制性产品认证</w:t>
      </w:r>
    </w:p>
    <w:p>
      <w:pPr>
        <w:spacing w:line="360" w:lineRule="auto"/>
        <w:ind w:firstLine="420" w:firstLineChars="200"/>
        <w:contextualSpacing/>
        <w:rPr>
          <w:rFonts w:cs="宋体" w:asciiTheme="minorEastAsia" w:hAnsiTheme="minorEastAsia"/>
          <w:kern w:val="0"/>
          <w:szCs w:val="21"/>
          <w:highlight w:val="none"/>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2)投标人所投产品如被列入</w:t>
      </w:r>
      <w:r>
        <w:rPr>
          <w:rFonts w:cs="宋体" w:asciiTheme="minorEastAsia" w:hAnsiTheme="minorEastAsia"/>
          <w:kern w:val="0"/>
          <w:szCs w:val="21"/>
          <w:highlight w:val="none"/>
        </w:rPr>
        <w:t>《信息安全产品强制性认证目录》，</w:t>
      </w:r>
      <w:r>
        <w:rPr>
          <w:rFonts w:hint="eastAsia" w:cs="仿宋_GB2312" w:asciiTheme="minorEastAsia" w:hAnsiTheme="minorEastAsia"/>
          <w:szCs w:val="21"/>
          <w:highlight w:val="none"/>
          <w:lang w:val="zh-CN"/>
        </w:rPr>
        <w:t>则投标文件中应根据本项目招标文件“第二章 项目需求”</w:t>
      </w:r>
      <w:r>
        <w:rPr>
          <w:rFonts w:cs="仿宋_GB2312" w:asciiTheme="minorEastAsia" w:hAnsiTheme="minorEastAsia"/>
          <w:szCs w:val="21"/>
          <w:highlight w:val="none"/>
          <w:lang w:val="zh-CN"/>
        </w:rPr>
        <w:t>提供</w:t>
      </w:r>
      <w:r>
        <w:rPr>
          <w:rFonts w:hint="eastAsia" w:cs="仿宋_GB2312" w:asciiTheme="minorEastAsia" w:hAnsiTheme="minorEastAsia"/>
          <w:szCs w:val="21"/>
          <w:highlight w:val="none"/>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①中国信息安全认证中心官网（</w:t>
      </w:r>
      <w:r>
        <w:rPr>
          <w:rFonts w:cs="宋体" w:asciiTheme="minorEastAsia" w:hAnsiTheme="minorEastAsia"/>
          <w:kern w:val="0"/>
          <w:szCs w:val="21"/>
          <w:highlight w:val="none"/>
        </w:rPr>
        <w:t>http://www.isccc.gov.cn/index.shtml</w:t>
      </w:r>
      <w:r>
        <w:rPr>
          <w:rFonts w:hint="eastAsia" w:cs="宋体" w:asciiTheme="minorEastAsia" w:hAnsiTheme="minorEastAsia"/>
          <w:kern w:val="0"/>
          <w:szCs w:val="21"/>
          <w:highlight w:val="none"/>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②中国信息安全认证中心</w:t>
      </w:r>
      <w:r>
        <w:rPr>
          <w:rFonts w:hint="eastAsia" w:cs="仿宋_GB2312" w:asciiTheme="minorEastAsia" w:hAnsiTheme="minorEastAsia"/>
          <w:szCs w:val="21"/>
          <w:highlight w:val="none"/>
          <w:lang w:val="zh-CN"/>
        </w:rPr>
        <w:t>颁发的《中国国家信息安全产品认证证书》加盖投标人公章的原件扫描件（或图片）。</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（4）投标无效情形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（6）评标标准</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60"/>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1" w:hRule="atLeast"/>
        </w:trPr>
        <w:tc>
          <w:tcPr>
            <w:tcW w:w="2944" w:type="dxa"/>
            <w:gridSpan w:val="2"/>
            <w:vAlign w:val="center"/>
          </w:tcPr>
          <w:p>
            <w:pPr>
              <w:spacing w:line="360" w:lineRule="auto"/>
              <w:jc w:val="center"/>
              <w:rPr>
                <w:rFonts w:asciiTheme="minorEastAsia" w:hAnsiTheme="minorEastAsia"/>
                <w:szCs w:val="21"/>
              </w:rPr>
            </w:pPr>
            <w:r>
              <w:rPr>
                <w:rFonts w:hint="eastAsia" w:asciiTheme="minorEastAsia" w:hAnsiTheme="minorEastAsia"/>
                <w:szCs w:val="21"/>
              </w:rPr>
              <w:t>分值构成</w:t>
            </w:r>
          </w:p>
          <w:p>
            <w:pPr>
              <w:snapToGrid w:val="0"/>
              <w:spacing w:beforeLines="50"/>
              <w:jc w:val="center"/>
              <w:rPr>
                <w:rFonts w:ascii="宋体" w:hAnsi="宋体" w:cs="宋体"/>
                <w:b/>
                <w:szCs w:val="21"/>
              </w:rPr>
            </w:pPr>
            <w:r>
              <w:rPr>
                <w:rFonts w:hint="eastAsia" w:asciiTheme="minorEastAsia" w:hAnsiTheme="minorEastAsia"/>
                <w:szCs w:val="21"/>
              </w:rPr>
              <w:t>(总分100分)</w:t>
            </w:r>
          </w:p>
        </w:tc>
        <w:tc>
          <w:tcPr>
            <w:tcW w:w="6095" w:type="dxa"/>
            <w:vAlign w:val="center"/>
          </w:tcPr>
          <w:p>
            <w:pPr>
              <w:spacing w:line="360" w:lineRule="auto"/>
              <w:ind w:firstLine="420" w:firstLineChars="200"/>
              <w:rPr>
                <w:rFonts w:asciiTheme="minorEastAsia" w:hAnsiTheme="minorEastAsia"/>
                <w:szCs w:val="21"/>
              </w:rPr>
            </w:pPr>
            <w:r>
              <w:rPr>
                <w:rFonts w:hint="eastAsia" w:asciiTheme="minorEastAsia" w:hAnsiTheme="minorEastAsia"/>
                <w:szCs w:val="21"/>
              </w:rPr>
              <w:t>价格分值：</w:t>
            </w:r>
            <w:r>
              <w:rPr>
                <w:rFonts w:hint="eastAsia" w:asciiTheme="minorEastAsia" w:hAnsiTheme="minorEastAsia"/>
                <w:color w:val="FF0000"/>
                <w:szCs w:val="21"/>
                <w:u w:val="single"/>
                <w:lang w:val="en-US" w:eastAsia="zh-CN"/>
              </w:rPr>
              <w:t>10</w:t>
            </w:r>
            <w:r>
              <w:rPr>
                <w:rFonts w:hint="eastAsia" w:asciiTheme="minorEastAsia" w:hAnsiTheme="minorEastAsia"/>
                <w:szCs w:val="21"/>
              </w:rPr>
              <w:t>分</w:t>
            </w:r>
          </w:p>
          <w:p>
            <w:pPr>
              <w:spacing w:line="360" w:lineRule="auto"/>
              <w:ind w:firstLine="420" w:firstLineChars="200"/>
              <w:rPr>
                <w:rFonts w:asciiTheme="minorEastAsia" w:hAnsiTheme="minorEastAsia"/>
                <w:szCs w:val="21"/>
              </w:rPr>
            </w:pPr>
            <w:r>
              <w:rPr>
                <w:rFonts w:hint="eastAsia" w:asciiTheme="minorEastAsia" w:hAnsiTheme="minorEastAsia"/>
                <w:szCs w:val="21"/>
              </w:rPr>
              <w:t>商务部分：</w:t>
            </w:r>
            <w:r>
              <w:rPr>
                <w:rFonts w:hint="eastAsia" w:asciiTheme="minorEastAsia" w:hAnsiTheme="minorEastAsia"/>
                <w:color w:val="FF0000"/>
                <w:szCs w:val="21"/>
                <w:u w:val="single"/>
                <w:lang w:val="en-US" w:eastAsia="zh-CN"/>
              </w:rPr>
              <w:t>30</w:t>
            </w:r>
            <w:r>
              <w:rPr>
                <w:rFonts w:hint="eastAsia" w:asciiTheme="minorEastAsia" w:hAnsiTheme="minorEastAsia"/>
                <w:szCs w:val="21"/>
              </w:rPr>
              <w:t>分</w:t>
            </w:r>
          </w:p>
          <w:p>
            <w:pPr>
              <w:spacing w:beforeLines="50"/>
              <w:ind w:firstLine="420" w:firstLineChars="200"/>
              <w:rPr>
                <w:rFonts w:asciiTheme="minorEastAsia" w:hAnsiTheme="minorEastAsia"/>
                <w:szCs w:val="21"/>
              </w:rPr>
            </w:pPr>
            <w:r>
              <w:rPr>
                <w:rFonts w:hint="eastAsia" w:asciiTheme="minorEastAsia" w:hAnsiTheme="minorEastAsia"/>
                <w:szCs w:val="21"/>
              </w:rPr>
              <w:t>技术部分：</w:t>
            </w:r>
            <w:r>
              <w:rPr>
                <w:rFonts w:hint="eastAsia" w:asciiTheme="minorEastAsia" w:hAnsiTheme="minorEastAsia"/>
                <w:color w:val="FF0000"/>
                <w:szCs w:val="21"/>
                <w:u w:val="single"/>
                <w:lang w:val="en-US" w:eastAsia="zh-CN"/>
              </w:rPr>
              <w:t>50</w:t>
            </w:r>
            <w:r>
              <w:rPr>
                <w:rFonts w:hint="eastAsia" w:asciiTheme="minorEastAsia" w:hAnsiTheme="minorEastAsia"/>
                <w:szCs w:val="21"/>
              </w:rPr>
              <w:t>分</w:t>
            </w:r>
          </w:p>
          <w:p>
            <w:pPr>
              <w:spacing w:beforeLines="50"/>
              <w:ind w:firstLine="420" w:firstLineChars="200"/>
              <w:rPr>
                <w:rFonts w:ascii="宋体" w:hAnsi="宋体" w:cs="宋体"/>
                <w:b/>
                <w:szCs w:val="21"/>
              </w:rPr>
            </w:pPr>
            <w:r>
              <w:rPr>
                <w:rFonts w:hint="eastAsia" w:asciiTheme="minorEastAsia" w:hAnsiTheme="minorEastAsia"/>
                <w:szCs w:val="21"/>
              </w:rPr>
              <w:t>服务部分：</w:t>
            </w:r>
            <w:r>
              <w:rPr>
                <w:rFonts w:hint="eastAsia" w:asciiTheme="minorEastAsia" w:hAnsiTheme="minorEastAsia"/>
                <w:color w:val="FF0000"/>
                <w:szCs w:val="21"/>
                <w:u w:val="single"/>
                <w:lang w:val="en-US" w:eastAsia="zh-CN"/>
              </w:rPr>
              <w:t>10</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1384"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评审项</w:t>
            </w:r>
          </w:p>
        </w:tc>
        <w:tc>
          <w:tcPr>
            <w:tcW w:w="1560"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评分因素</w:t>
            </w:r>
          </w:p>
        </w:tc>
        <w:tc>
          <w:tcPr>
            <w:tcW w:w="6095"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w:t>
            </w:r>
            <w:r>
              <w:rPr>
                <w:rFonts w:hint="eastAsia" w:ascii="宋体" w:hAnsi="宋体" w:cs="宋体"/>
                <w:b/>
                <w:szCs w:val="21"/>
              </w:rPr>
              <w:t>标</w:t>
            </w:r>
            <w:r>
              <w:rPr>
                <w:rFonts w:hint="eastAsia" w:ascii="宋体" w:hAnsi="宋体" w:eastAsia="宋体" w:cs="宋体"/>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4" w:hRule="atLeast"/>
        </w:trPr>
        <w:tc>
          <w:tcPr>
            <w:tcW w:w="1384" w:type="dxa"/>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报价部分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10</w:t>
            </w:r>
            <w:r>
              <w:rPr>
                <w:rFonts w:hint="eastAsia" w:ascii="宋体" w:hAnsi="宋体" w:eastAsia="宋体" w:cs="宋体"/>
                <w:szCs w:val="21"/>
              </w:rPr>
              <w:t>分）</w:t>
            </w:r>
          </w:p>
        </w:tc>
        <w:tc>
          <w:tcPr>
            <w:tcW w:w="1560" w:type="dxa"/>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报价</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10</w:t>
            </w:r>
            <w:r>
              <w:rPr>
                <w:rFonts w:hint="eastAsia" w:ascii="宋体" w:hAnsi="宋体" w:eastAsia="宋体" w:cs="宋体"/>
                <w:szCs w:val="21"/>
              </w:rPr>
              <w:t>分）</w:t>
            </w:r>
          </w:p>
        </w:tc>
        <w:tc>
          <w:tcPr>
            <w:tcW w:w="6095" w:type="dxa"/>
            <w:vAlign w:val="center"/>
          </w:tcPr>
          <w:p>
            <w:pPr>
              <w:spacing w:line="360" w:lineRule="auto"/>
              <w:rPr>
                <w:rFonts w:asciiTheme="minorEastAsia" w:hAnsiTheme="minorEastAsia"/>
                <w:szCs w:val="21"/>
              </w:rPr>
            </w:pPr>
            <w:r>
              <w:rPr>
                <w:rFonts w:hint="eastAsia" w:asciiTheme="minorEastAsia" w:hAnsiTheme="minorEastAsia"/>
                <w:szCs w:val="21"/>
              </w:rPr>
              <w:t>评标基准价：满足招标文件要求的有效投标报价中，最低的投标报价为评标基准价。</w:t>
            </w:r>
          </w:p>
          <w:p>
            <w:pPr>
              <w:widowControl/>
              <w:spacing w:beforeLines="50"/>
              <w:rPr>
                <w:rFonts w:hint="default" w:ascii="宋体" w:hAnsi="宋体" w:cs="宋体" w:eastAsiaTheme="minorEastAsia"/>
                <w:szCs w:val="21"/>
                <w:lang w:val="en-US" w:eastAsia="zh-CN"/>
              </w:rPr>
            </w:pPr>
            <w:r>
              <w:rPr>
                <w:rFonts w:hint="eastAsia" w:asciiTheme="minorEastAsia" w:hAnsiTheme="minorEastAsia"/>
                <w:szCs w:val="21"/>
              </w:rPr>
              <w:t>投标报价得分=（评标基准价/投标报价）×</w:t>
            </w:r>
            <w:r>
              <w:rPr>
                <w:rFonts w:hint="eastAsia" w:asciiTheme="minorEastAsia" w:hAnsiTheme="minorEastAsia"/>
                <w:color w:val="FF0000"/>
                <w:szCs w:val="21"/>
                <w:u w:val="singl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商务部分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30</w:t>
            </w:r>
            <w:r>
              <w:rPr>
                <w:rFonts w:hint="eastAsia" w:ascii="宋体" w:hAnsi="宋体" w:eastAsia="宋体" w:cs="宋体"/>
                <w:szCs w:val="21"/>
              </w:rPr>
              <w:t>分）</w:t>
            </w:r>
          </w:p>
        </w:tc>
        <w:tc>
          <w:tcPr>
            <w:tcW w:w="1560" w:type="dxa"/>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业绩</w:t>
            </w:r>
          </w:p>
          <w:p>
            <w:pPr>
              <w:spacing w:line="360" w:lineRule="auto"/>
              <w:jc w:val="center"/>
              <w:rPr>
                <w:rFonts w:hint="eastAsia" w:asciiTheme="minorEastAsia" w:hAnsiTheme="minorEastAsia"/>
                <w:szCs w:val="21"/>
              </w:rPr>
            </w:pPr>
            <w:r>
              <w:rPr>
                <w:rFonts w:hint="eastAsia" w:asciiTheme="minorEastAsia" w:hAnsiTheme="minorEastAsia"/>
                <w:szCs w:val="21"/>
              </w:rPr>
              <w:t>（</w:t>
            </w:r>
            <w:r>
              <w:rPr>
                <w:rFonts w:hint="eastAsia" w:eastAsia="宋体" w:asciiTheme="minorEastAsia" w:hAnsiTheme="minorEastAsia"/>
                <w:color w:val="FF0000"/>
                <w:szCs w:val="21"/>
                <w:u w:val="single"/>
                <w:lang w:val="en-US" w:eastAsia="zh-CN"/>
              </w:rPr>
              <w:t xml:space="preserve"> 10 </w:t>
            </w:r>
            <w:r>
              <w:rPr>
                <w:rFonts w:hint="eastAsia" w:asciiTheme="minorEastAsia" w:hAnsiTheme="minorEastAsia"/>
                <w:szCs w:val="21"/>
              </w:rPr>
              <w:t>分）</w:t>
            </w:r>
          </w:p>
        </w:tc>
        <w:tc>
          <w:tcPr>
            <w:tcW w:w="6095" w:type="dxa"/>
            <w:vAlign w:val="center"/>
          </w:tcPr>
          <w:p>
            <w:pPr>
              <w:spacing w:line="360" w:lineRule="auto"/>
              <w:rPr>
                <w:rFonts w:hint="eastAsia" w:asciiTheme="minorEastAsia" w:hAnsiTheme="minorEastAsia"/>
                <w:szCs w:val="21"/>
                <w:lang w:val="zh-CN"/>
              </w:rPr>
            </w:pPr>
            <w:r>
              <w:rPr>
                <w:rFonts w:hint="eastAsia" w:asciiTheme="minorEastAsia" w:hAnsiTheme="minorEastAsia"/>
                <w:szCs w:val="21"/>
                <w:lang w:val="zh-CN" w:eastAsia="zh-CN"/>
              </w:rPr>
              <w:t>投标人提供201</w:t>
            </w:r>
            <w:r>
              <w:rPr>
                <w:rFonts w:hint="eastAsia" w:asciiTheme="minorEastAsia" w:hAnsiTheme="minorEastAsia"/>
                <w:szCs w:val="21"/>
                <w:lang w:val="en-US" w:eastAsia="zh-CN"/>
              </w:rPr>
              <w:t>5年至今</w:t>
            </w:r>
            <w:r>
              <w:rPr>
                <w:rFonts w:hint="eastAsia" w:asciiTheme="minorEastAsia" w:hAnsiTheme="minorEastAsia"/>
                <w:szCs w:val="21"/>
                <w:lang w:val="zh-CN" w:eastAsia="zh-CN"/>
              </w:rPr>
              <w:t>类似项目合同，</w:t>
            </w:r>
            <w:r>
              <w:rPr>
                <w:rFonts w:hint="eastAsia" w:asciiTheme="minorEastAsia" w:hAnsiTheme="minorEastAsia"/>
                <w:szCs w:val="21"/>
                <w:lang w:eastAsia="zh-CN"/>
              </w:rPr>
              <w:t>每项2</w:t>
            </w:r>
            <w:r>
              <w:rPr>
                <w:rFonts w:hint="eastAsia" w:asciiTheme="minorEastAsia" w:hAnsiTheme="minorEastAsia"/>
                <w:szCs w:val="21"/>
              </w:rPr>
              <w:t>分。满分10分。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hint="eastAsia" w:ascii="宋体" w:hAnsi="宋体" w:eastAsia="宋体" w:cs="宋体"/>
                <w:szCs w:val="21"/>
              </w:rPr>
            </w:pPr>
          </w:p>
        </w:tc>
        <w:tc>
          <w:tcPr>
            <w:tcW w:w="1560" w:type="dxa"/>
            <w:vAlign w:val="center"/>
          </w:tcPr>
          <w:p>
            <w:pPr>
              <w:spacing w:line="360" w:lineRule="auto"/>
              <w:jc w:val="center"/>
              <w:rPr>
                <w:rFonts w:hint="eastAsia" w:asciiTheme="minorEastAsia" w:hAnsiTheme="minorEastAsia"/>
                <w:szCs w:val="21"/>
              </w:rPr>
            </w:pPr>
            <w:r>
              <w:rPr>
                <w:rFonts w:hint="eastAsia" w:asciiTheme="minorEastAsia" w:hAnsiTheme="minorEastAsia"/>
                <w:szCs w:val="21"/>
                <w:lang w:eastAsia="zh-CN"/>
              </w:rPr>
              <w:t>信誉（</w:t>
            </w:r>
            <w:r>
              <w:rPr>
                <w:rFonts w:hint="eastAsia" w:eastAsia="宋体" w:asciiTheme="minorEastAsia" w:hAnsiTheme="minorEastAsia"/>
                <w:color w:val="FF0000"/>
                <w:szCs w:val="21"/>
                <w:u w:val="single"/>
                <w:lang w:val="en-US" w:eastAsia="zh-CN"/>
              </w:rPr>
              <w:t>3</w:t>
            </w:r>
            <w:r>
              <w:rPr>
                <w:rFonts w:hint="eastAsia" w:asciiTheme="minorEastAsia" w:hAnsiTheme="minorEastAsia"/>
                <w:szCs w:val="21"/>
                <w:lang w:val="en-US" w:eastAsia="zh-CN"/>
              </w:rPr>
              <w:t>分</w:t>
            </w:r>
            <w:r>
              <w:rPr>
                <w:rFonts w:hint="eastAsia" w:asciiTheme="minorEastAsia" w:hAnsiTheme="minorEastAsia"/>
                <w:szCs w:val="21"/>
                <w:lang w:eastAsia="zh-CN"/>
              </w:rPr>
              <w:t>）</w:t>
            </w:r>
          </w:p>
        </w:tc>
        <w:tc>
          <w:tcPr>
            <w:tcW w:w="6095" w:type="dxa"/>
            <w:vAlign w:val="center"/>
          </w:tcPr>
          <w:p>
            <w:pPr>
              <w:spacing w:line="360" w:lineRule="auto"/>
              <w:rPr>
                <w:rFonts w:hint="eastAsia" w:asciiTheme="minorEastAsia" w:hAnsiTheme="minorEastAsia"/>
                <w:szCs w:val="21"/>
                <w:lang w:val="zh-CN"/>
              </w:rPr>
            </w:pPr>
            <w:r>
              <w:rPr>
                <w:rFonts w:hint="eastAsia" w:asciiTheme="minorEastAsia" w:hAnsiTheme="minorEastAsia"/>
                <w:szCs w:val="21"/>
                <w:lang w:eastAsia="zh-CN"/>
              </w:rPr>
              <w:t>投标人</w:t>
            </w:r>
            <w:r>
              <w:rPr>
                <w:rFonts w:hint="eastAsia" w:asciiTheme="minorEastAsia" w:hAnsiTheme="minorEastAsia"/>
                <w:szCs w:val="21"/>
                <w:lang w:val="en-US" w:eastAsia="zh-CN"/>
              </w:rPr>
              <w:t>提供2016年1月1日以来注册地市级（不包括县级市）及以上经社会信用体系建设主管部门认可的信用评级机构出具的有效的企业信用报告，等级为AAA级的得3分；AA级的得2分；A级的得1分。满分3分。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spacing w:line="360" w:lineRule="auto"/>
              <w:jc w:val="center"/>
              <w:rPr>
                <w:rFonts w:hint="eastAsia" w:asciiTheme="minorEastAsia" w:hAnsiTheme="minorEastAsia"/>
                <w:szCs w:val="21"/>
              </w:rPr>
            </w:pPr>
            <w:r>
              <w:rPr>
                <w:rFonts w:hint="eastAsia" w:asciiTheme="minorEastAsia" w:hAnsiTheme="minorEastAsia"/>
                <w:szCs w:val="21"/>
                <w:lang w:eastAsia="zh-CN"/>
              </w:rPr>
              <w:t>项目组技术人员配备</w:t>
            </w:r>
            <w:r>
              <w:rPr>
                <w:rFonts w:hint="eastAsia" w:asciiTheme="minorEastAsia" w:hAnsiTheme="minorEastAsia"/>
                <w:szCs w:val="21"/>
                <w:lang w:eastAsia="zh-CN"/>
              </w:rPr>
              <w:br w:type="textWrapping"/>
            </w:r>
            <w:r>
              <w:rPr>
                <w:rFonts w:hint="eastAsia" w:asciiTheme="minorEastAsia" w:hAnsiTheme="minorEastAsia"/>
                <w:szCs w:val="21"/>
              </w:rPr>
              <w:t>（</w:t>
            </w:r>
            <w:r>
              <w:rPr>
                <w:rFonts w:hint="eastAsia" w:eastAsia="宋体" w:asciiTheme="minorEastAsia" w:hAnsiTheme="minorEastAsia"/>
                <w:color w:val="FF0000"/>
                <w:szCs w:val="21"/>
                <w:u w:val="single"/>
                <w:lang w:val="en-US" w:eastAsia="zh-CN"/>
              </w:rPr>
              <w:t xml:space="preserve"> 17 </w:t>
            </w:r>
            <w:r>
              <w:rPr>
                <w:rFonts w:hint="eastAsia" w:asciiTheme="minorEastAsia" w:hAnsiTheme="minorEastAsia"/>
                <w:szCs w:val="21"/>
              </w:rPr>
              <w:t>分）</w:t>
            </w:r>
          </w:p>
        </w:tc>
        <w:tc>
          <w:tcPr>
            <w:tcW w:w="6095" w:type="dxa"/>
            <w:vAlign w:val="center"/>
          </w:tcPr>
          <w:p>
            <w:pPr>
              <w:spacing w:line="360" w:lineRule="auto"/>
              <w:rPr>
                <w:rFonts w:hint="eastAsia" w:asciiTheme="minorEastAsia" w:hAnsiTheme="minorEastAsia"/>
                <w:szCs w:val="21"/>
                <w:lang w:val="zh-CN"/>
              </w:rPr>
            </w:pPr>
            <w:r>
              <w:rPr>
                <w:rFonts w:hint="eastAsia" w:asciiTheme="minorEastAsia" w:hAnsiTheme="minorEastAsia"/>
                <w:szCs w:val="21"/>
                <w:lang w:val="en-US" w:eastAsia="zh-CN"/>
              </w:rPr>
              <w:t>1、</w:t>
            </w:r>
            <w:r>
              <w:rPr>
                <w:rFonts w:hint="eastAsia" w:asciiTheme="minorEastAsia" w:hAnsiTheme="minorEastAsia"/>
                <w:szCs w:val="21"/>
              </w:rPr>
              <w:t>项目组负责人具有</w:t>
            </w:r>
            <w:r>
              <w:rPr>
                <w:rFonts w:hint="eastAsia" w:asciiTheme="minorEastAsia" w:hAnsiTheme="minorEastAsia"/>
                <w:szCs w:val="21"/>
                <w:lang w:eastAsia="zh-CN"/>
              </w:rPr>
              <w:t>：</w:t>
            </w:r>
            <w:r>
              <w:rPr>
                <w:rFonts w:hint="eastAsia" w:asciiTheme="minorEastAsia" w:hAnsiTheme="minorEastAsia"/>
                <w:szCs w:val="21"/>
              </w:rPr>
              <w:t>交通运输规划与管理专业教授职称得5分，正高级职称的得3分</w:t>
            </w:r>
            <w:r>
              <w:rPr>
                <w:rFonts w:hint="eastAsia" w:asciiTheme="minorEastAsia" w:hAnsiTheme="minorEastAsia"/>
                <w:szCs w:val="21"/>
                <w:lang w:eastAsia="zh-CN"/>
              </w:rPr>
              <w:t>，</w:t>
            </w:r>
            <w:r>
              <w:rPr>
                <w:rFonts w:hint="eastAsia" w:asciiTheme="minorEastAsia" w:hAnsiTheme="minorEastAsia"/>
                <w:szCs w:val="21"/>
              </w:rPr>
              <w:t>城乡规划师证的得</w:t>
            </w:r>
            <w:r>
              <w:rPr>
                <w:rFonts w:hint="eastAsia" w:asciiTheme="minorEastAsia" w:hAnsiTheme="minorEastAsia"/>
                <w:szCs w:val="21"/>
                <w:lang w:val="en-US" w:eastAsia="zh-CN"/>
              </w:rPr>
              <w:t>3</w:t>
            </w:r>
            <w:r>
              <w:rPr>
                <w:rFonts w:hint="eastAsia" w:asciiTheme="minorEastAsia" w:hAnsiTheme="minorEastAsia"/>
                <w:szCs w:val="21"/>
              </w:rPr>
              <w:t>分，其他不得分</w:t>
            </w:r>
            <w:r>
              <w:rPr>
                <w:rFonts w:hint="eastAsia" w:asciiTheme="minorEastAsia" w:hAnsiTheme="minorEastAsia"/>
                <w:szCs w:val="21"/>
                <w:lang w:eastAsia="zh-CN"/>
              </w:rPr>
              <w:t>。满分</w:t>
            </w:r>
            <w:r>
              <w:rPr>
                <w:rFonts w:hint="eastAsia" w:asciiTheme="minorEastAsia" w:hAnsiTheme="minorEastAsia"/>
                <w:szCs w:val="21"/>
                <w:lang w:val="en-US" w:eastAsia="zh-CN"/>
              </w:rPr>
              <w:t>11分。</w:t>
            </w:r>
            <w:r>
              <w:rPr>
                <w:rFonts w:hint="eastAsia" w:asciiTheme="minorEastAsia" w:hAnsiTheme="minorEastAsia"/>
                <w:szCs w:val="21"/>
              </w:rPr>
              <w:br w:type="textWrapping"/>
            </w:r>
            <w:r>
              <w:rPr>
                <w:rFonts w:hint="eastAsia" w:asciiTheme="minorEastAsia" w:hAnsiTheme="minorEastAsia"/>
                <w:szCs w:val="21"/>
                <w:lang w:val="en-US" w:eastAsia="zh-CN"/>
              </w:rPr>
              <w:t>2、</w:t>
            </w:r>
            <w:r>
              <w:rPr>
                <w:rFonts w:hint="eastAsia" w:asciiTheme="minorEastAsia" w:hAnsiTheme="minorEastAsia"/>
                <w:szCs w:val="21"/>
              </w:rPr>
              <w:t>项目组其它人员具有</w:t>
            </w:r>
            <w:r>
              <w:rPr>
                <w:rFonts w:hint="eastAsia" w:asciiTheme="minorEastAsia" w:hAnsiTheme="minorEastAsia"/>
                <w:szCs w:val="21"/>
                <w:lang w:eastAsia="zh-CN"/>
              </w:rPr>
              <w:t>：</w:t>
            </w:r>
            <w:r>
              <w:rPr>
                <w:rFonts w:hint="default" w:ascii="Calibri" w:hAnsi="Calibri" w:cs="Calibri"/>
                <w:szCs w:val="21"/>
                <w:lang w:eastAsia="zh-CN"/>
              </w:rPr>
              <w:t>①</w:t>
            </w:r>
            <w:r>
              <w:rPr>
                <w:rFonts w:hint="eastAsia" w:asciiTheme="minorEastAsia" w:hAnsiTheme="minorEastAsia"/>
                <w:szCs w:val="21"/>
                <w:lang w:eastAsia="zh-CN"/>
              </w:rPr>
              <w:t>规划类相关专业</w:t>
            </w:r>
            <w:r>
              <w:rPr>
                <w:rFonts w:hint="eastAsia" w:asciiTheme="minorEastAsia" w:hAnsiTheme="minorEastAsia"/>
                <w:szCs w:val="21"/>
              </w:rPr>
              <w:t>正高级职称的得3分，</w:t>
            </w:r>
            <w:r>
              <w:rPr>
                <w:rFonts w:hint="eastAsia" w:asciiTheme="minorEastAsia" w:hAnsiTheme="minorEastAsia"/>
                <w:szCs w:val="21"/>
                <w:lang w:eastAsia="zh-CN"/>
              </w:rPr>
              <w:t>规划类相关专业</w:t>
            </w:r>
            <w:r>
              <w:rPr>
                <w:rFonts w:hint="eastAsia" w:asciiTheme="minorEastAsia" w:hAnsiTheme="minorEastAsia"/>
                <w:szCs w:val="21"/>
              </w:rPr>
              <w:t>副高职称的得2分，具有</w:t>
            </w:r>
            <w:r>
              <w:rPr>
                <w:rFonts w:hint="eastAsia" w:asciiTheme="minorEastAsia" w:hAnsiTheme="minorEastAsia"/>
                <w:szCs w:val="21"/>
                <w:lang w:eastAsia="zh-CN"/>
              </w:rPr>
              <w:t>规划类相关专业</w:t>
            </w:r>
            <w:r>
              <w:rPr>
                <w:rFonts w:hint="eastAsia" w:asciiTheme="minorEastAsia" w:hAnsiTheme="minorEastAsia"/>
                <w:szCs w:val="21"/>
              </w:rPr>
              <w:t>中级及初级职称的得1分</w:t>
            </w:r>
            <w:r>
              <w:rPr>
                <w:rFonts w:hint="eastAsia" w:asciiTheme="minorEastAsia" w:hAnsiTheme="minorEastAsia"/>
                <w:szCs w:val="21"/>
                <w:lang w:eastAsia="zh-CN"/>
              </w:rPr>
              <w:t>。</w:t>
            </w:r>
            <w:r>
              <w:rPr>
                <w:rFonts w:hint="default" w:ascii="Calibri" w:hAnsi="Calibri" w:cs="Calibri"/>
                <w:szCs w:val="21"/>
                <w:lang w:eastAsia="zh-CN"/>
              </w:rPr>
              <w:t>②</w:t>
            </w:r>
            <w:r>
              <w:rPr>
                <w:rFonts w:hint="eastAsia" w:asciiTheme="minorEastAsia" w:hAnsiTheme="minorEastAsia"/>
                <w:szCs w:val="21"/>
              </w:rPr>
              <w:t>具有城乡规划师证的得</w:t>
            </w:r>
            <w:r>
              <w:rPr>
                <w:rFonts w:hint="eastAsia" w:asciiTheme="minorEastAsia" w:hAnsiTheme="minorEastAsia"/>
                <w:szCs w:val="21"/>
                <w:lang w:val="en-US" w:eastAsia="zh-CN"/>
              </w:rPr>
              <w:t>3</w:t>
            </w:r>
            <w:r>
              <w:rPr>
                <w:rFonts w:hint="eastAsia" w:asciiTheme="minorEastAsia" w:hAnsiTheme="minorEastAsia"/>
                <w:szCs w:val="21"/>
              </w:rPr>
              <w:t>分</w:t>
            </w:r>
            <w:r>
              <w:rPr>
                <w:rFonts w:hint="eastAsia" w:asciiTheme="minorEastAsia" w:hAnsiTheme="minorEastAsia"/>
                <w:szCs w:val="21"/>
                <w:lang w:eastAsia="zh-CN"/>
              </w:rPr>
              <w:t>。满分</w:t>
            </w:r>
            <w:r>
              <w:rPr>
                <w:rFonts w:hint="eastAsia" w:asciiTheme="minorEastAsia" w:hAnsiTheme="minorEastAsia"/>
                <w:szCs w:val="21"/>
                <w:lang w:val="en-US" w:eastAsia="zh-CN"/>
              </w:rPr>
              <w:t xml:space="preserve">6分。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技术部分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50</w:t>
            </w:r>
            <w:r>
              <w:rPr>
                <w:rFonts w:hint="eastAsia" w:ascii="宋体" w:hAnsi="宋体" w:eastAsia="宋体" w:cs="宋体"/>
                <w:szCs w:val="21"/>
              </w:rPr>
              <w:t>分）</w:t>
            </w:r>
          </w:p>
        </w:tc>
        <w:tc>
          <w:tcPr>
            <w:tcW w:w="1560" w:type="dxa"/>
            <w:tcBorders>
              <w:right w:val="single" w:color="auto" w:sz="4" w:space="0"/>
            </w:tcBorders>
            <w:vAlign w:val="center"/>
          </w:tcPr>
          <w:p>
            <w:pPr>
              <w:spacing w:line="360" w:lineRule="auto"/>
              <w:jc w:val="center"/>
              <w:rPr>
                <w:rFonts w:hint="eastAsia" w:asciiTheme="minorEastAsia" w:hAnsiTheme="minorEastAsia"/>
                <w:szCs w:val="21"/>
              </w:rPr>
            </w:pPr>
            <w:r>
              <w:rPr>
                <w:rFonts w:hint="eastAsia" w:asciiTheme="minorEastAsia" w:hAnsiTheme="minorEastAsia"/>
                <w:szCs w:val="21"/>
                <w:lang w:eastAsia="zh-CN"/>
              </w:rPr>
              <w:t>项目分析</w:t>
            </w:r>
            <w:r>
              <w:rPr>
                <w:rFonts w:hint="eastAsia" w:asciiTheme="minorEastAsia" w:hAnsiTheme="minorEastAsia"/>
                <w:szCs w:val="21"/>
                <w:lang w:eastAsia="zh-CN"/>
              </w:rPr>
              <w:br w:type="textWrapping"/>
            </w:r>
            <w:r>
              <w:rPr>
                <w:rFonts w:hint="eastAsia" w:asciiTheme="minorEastAsia" w:hAnsiTheme="minorEastAsia"/>
                <w:szCs w:val="21"/>
              </w:rPr>
              <w:t>（</w:t>
            </w:r>
            <w:r>
              <w:rPr>
                <w:rFonts w:hint="eastAsia" w:eastAsia="宋体" w:asciiTheme="minorEastAsia" w:hAnsiTheme="minorEastAsia"/>
                <w:color w:val="FF0000"/>
                <w:szCs w:val="21"/>
                <w:u w:val="single"/>
                <w:lang w:val="en-US" w:eastAsia="zh-CN"/>
              </w:rPr>
              <w:t xml:space="preserve"> 20 </w:t>
            </w:r>
            <w:r>
              <w:rPr>
                <w:rFonts w:hint="eastAsia" w:asciiTheme="minorEastAsia" w:hAnsiTheme="minorEastAsia"/>
                <w:szCs w:val="21"/>
              </w:rPr>
              <w:t>分）</w:t>
            </w:r>
          </w:p>
        </w:tc>
        <w:tc>
          <w:tcPr>
            <w:tcW w:w="6095" w:type="dxa"/>
            <w:tcBorders>
              <w:right w:val="single" w:color="auto" w:sz="4" w:space="0"/>
            </w:tcBorders>
            <w:vAlign w:val="center"/>
          </w:tcPr>
          <w:p>
            <w:pPr>
              <w:spacing w:line="360" w:lineRule="auto"/>
              <w:rPr>
                <w:rFonts w:hint="eastAsia" w:asciiTheme="minorEastAsia" w:hAnsiTheme="minorEastAsia"/>
                <w:szCs w:val="21"/>
              </w:rPr>
            </w:pPr>
            <w:r>
              <w:rPr>
                <w:rFonts w:hint="eastAsia" w:asciiTheme="minorEastAsia" w:hAnsiTheme="minorEastAsia"/>
                <w:szCs w:val="21"/>
              </w:rPr>
              <w:t>（1）项目背景分析，从全球（</w:t>
            </w:r>
            <w:r>
              <w:rPr>
                <w:rFonts w:hint="eastAsia" w:asciiTheme="minorEastAsia" w:hAnsiTheme="minorEastAsia"/>
                <w:szCs w:val="21"/>
                <w:lang w:val="en-US" w:eastAsia="zh-CN"/>
              </w:rPr>
              <w:t>2</w:t>
            </w:r>
            <w:r>
              <w:rPr>
                <w:rFonts w:hint="eastAsia" w:asciiTheme="minorEastAsia" w:hAnsiTheme="minorEastAsia"/>
                <w:szCs w:val="21"/>
              </w:rPr>
              <w:t>分）、国家（</w:t>
            </w:r>
            <w:r>
              <w:rPr>
                <w:rFonts w:hint="eastAsia" w:asciiTheme="minorEastAsia" w:hAnsiTheme="minorEastAsia"/>
                <w:szCs w:val="21"/>
                <w:lang w:val="en-US" w:eastAsia="zh-CN"/>
              </w:rPr>
              <w:t>2</w:t>
            </w:r>
            <w:r>
              <w:rPr>
                <w:rFonts w:hint="eastAsia" w:asciiTheme="minorEastAsia" w:hAnsiTheme="minorEastAsia"/>
                <w:szCs w:val="21"/>
              </w:rPr>
              <w:t>分）、河南省（</w:t>
            </w:r>
            <w:r>
              <w:rPr>
                <w:rFonts w:hint="eastAsia" w:asciiTheme="minorEastAsia" w:hAnsiTheme="minorEastAsia"/>
                <w:szCs w:val="21"/>
                <w:lang w:val="en-US" w:eastAsia="zh-CN"/>
              </w:rPr>
              <w:t>2</w:t>
            </w:r>
            <w:r>
              <w:rPr>
                <w:rFonts w:hint="eastAsia" w:asciiTheme="minorEastAsia" w:hAnsiTheme="minorEastAsia"/>
                <w:szCs w:val="21"/>
              </w:rPr>
              <w:t>分）和许昌市层面（2分）</w:t>
            </w:r>
            <w:r>
              <w:rPr>
                <w:rFonts w:hint="eastAsia" w:asciiTheme="minorEastAsia" w:hAnsiTheme="minorEastAsia"/>
                <w:szCs w:val="21"/>
                <w:lang w:eastAsia="zh-CN"/>
              </w:rPr>
              <w:t>进行背景分析</w:t>
            </w:r>
            <w:r>
              <w:rPr>
                <w:rFonts w:hint="eastAsia" w:asciiTheme="minorEastAsia" w:hAnsiTheme="minorEastAsia"/>
                <w:szCs w:val="21"/>
              </w:rPr>
              <w:t>，</w:t>
            </w:r>
            <w:r>
              <w:rPr>
                <w:rFonts w:hint="eastAsia" w:asciiTheme="minorEastAsia" w:hAnsiTheme="minorEastAsia"/>
                <w:szCs w:val="21"/>
                <w:lang w:eastAsia="zh-CN"/>
              </w:rPr>
              <w:t>共</w:t>
            </w:r>
            <w:r>
              <w:rPr>
                <w:rFonts w:hint="eastAsia" w:asciiTheme="minorEastAsia" w:hAnsiTheme="minorEastAsia"/>
                <w:szCs w:val="21"/>
              </w:rPr>
              <w:t>计</w:t>
            </w:r>
            <w:r>
              <w:rPr>
                <w:rFonts w:hint="eastAsia" w:asciiTheme="minorEastAsia" w:hAnsiTheme="minorEastAsia"/>
                <w:szCs w:val="21"/>
                <w:lang w:val="en-US" w:eastAsia="zh-CN"/>
              </w:rPr>
              <w:t>8</w:t>
            </w:r>
            <w:r>
              <w:rPr>
                <w:rFonts w:hint="eastAsia" w:asciiTheme="minorEastAsia" w:hAnsiTheme="minorEastAsia"/>
                <w:szCs w:val="21"/>
              </w:rPr>
              <w:t>分。</w:t>
            </w:r>
          </w:p>
          <w:p>
            <w:pPr>
              <w:spacing w:line="360" w:lineRule="auto"/>
              <w:rPr>
                <w:rFonts w:hint="eastAsia" w:asciiTheme="minorEastAsia" w:hAnsiTheme="minorEastAsia"/>
                <w:szCs w:val="21"/>
              </w:rPr>
            </w:pPr>
            <w:r>
              <w:rPr>
                <w:rFonts w:hint="eastAsia" w:asciiTheme="minorEastAsia" w:hAnsiTheme="minorEastAsia"/>
                <w:szCs w:val="21"/>
              </w:rPr>
              <w:t>（2）项目重要性和意义分析，对区域和许昌市经济发展地位的影响（2分），对许昌市产业发展的影响（</w:t>
            </w:r>
            <w:r>
              <w:rPr>
                <w:rFonts w:hint="eastAsia" w:asciiTheme="minorEastAsia" w:hAnsiTheme="minorEastAsia"/>
                <w:szCs w:val="21"/>
                <w:lang w:val="en-US" w:eastAsia="zh-CN"/>
              </w:rPr>
              <w:t>2</w:t>
            </w:r>
            <w:r>
              <w:rPr>
                <w:rFonts w:hint="eastAsia" w:asciiTheme="minorEastAsia" w:hAnsiTheme="minorEastAsia"/>
                <w:szCs w:val="21"/>
              </w:rPr>
              <w:t>分），对许昌市物流业发展的作用（2分）。</w:t>
            </w:r>
            <w:r>
              <w:rPr>
                <w:rFonts w:hint="eastAsia" w:asciiTheme="minorEastAsia" w:hAnsiTheme="minorEastAsia"/>
                <w:szCs w:val="21"/>
                <w:lang w:eastAsia="zh-CN"/>
              </w:rPr>
              <w:t>共</w:t>
            </w:r>
            <w:r>
              <w:rPr>
                <w:rFonts w:hint="eastAsia" w:asciiTheme="minorEastAsia" w:hAnsiTheme="minorEastAsia"/>
                <w:szCs w:val="21"/>
              </w:rPr>
              <w:t>计</w:t>
            </w:r>
            <w:r>
              <w:rPr>
                <w:rFonts w:hint="eastAsia" w:asciiTheme="minorEastAsia" w:hAnsiTheme="minorEastAsia"/>
                <w:szCs w:val="21"/>
                <w:lang w:val="en-US" w:eastAsia="zh-CN"/>
              </w:rPr>
              <w:t>6</w:t>
            </w:r>
            <w:r>
              <w:rPr>
                <w:rFonts w:hint="eastAsia" w:asciiTheme="minorEastAsia" w:hAnsiTheme="minorEastAsia"/>
                <w:szCs w:val="21"/>
              </w:rPr>
              <w:t>分</w:t>
            </w:r>
          </w:p>
          <w:p>
            <w:pPr>
              <w:spacing w:line="360" w:lineRule="auto"/>
              <w:rPr>
                <w:rFonts w:hint="eastAsia" w:asciiTheme="minorEastAsia" w:hAnsiTheme="minorEastAsia"/>
                <w:szCs w:val="21"/>
              </w:rPr>
            </w:pPr>
            <w:r>
              <w:rPr>
                <w:rFonts w:hint="eastAsia" w:asciiTheme="minorEastAsia" w:hAnsiTheme="minorEastAsia"/>
                <w:szCs w:val="21"/>
              </w:rPr>
              <w:t>（3）从物流业发展战略（2分）、物流产业体系（</w:t>
            </w:r>
            <w:r>
              <w:rPr>
                <w:rFonts w:hint="eastAsia" w:asciiTheme="minorEastAsia" w:hAnsiTheme="minorEastAsia"/>
                <w:szCs w:val="21"/>
                <w:lang w:val="en-US" w:eastAsia="zh-CN"/>
              </w:rPr>
              <w:t>2</w:t>
            </w:r>
            <w:r>
              <w:rPr>
                <w:rFonts w:hint="eastAsia" w:asciiTheme="minorEastAsia" w:hAnsiTheme="minorEastAsia"/>
                <w:szCs w:val="21"/>
              </w:rPr>
              <w:t>分）、物流发展空间布局（2分）等展开分析。</w:t>
            </w:r>
            <w:r>
              <w:rPr>
                <w:rFonts w:hint="eastAsia" w:asciiTheme="minorEastAsia" w:hAnsiTheme="minorEastAsia"/>
                <w:szCs w:val="21"/>
                <w:lang w:eastAsia="zh-CN"/>
              </w:rPr>
              <w:t>共</w:t>
            </w:r>
            <w:r>
              <w:rPr>
                <w:rFonts w:hint="eastAsia" w:asciiTheme="minorEastAsia" w:hAnsiTheme="minorEastAsia"/>
                <w:szCs w:val="21"/>
              </w:rPr>
              <w:t>计</w:t>
            </w:r>
            <w:r>
              <w:rPr>
                <w:rFonts w:hint="eastAsia" w:asciiTheme="minorEastAsia" w:hAnsiTheme="minorEastAsia"/>
                <w:szCs w:val="21"/>
                <w:lang w:val="en-US" w:eastAsia="zh-CN"/>
              </w:rPr>
              <w:t>6</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tcBorders>
              <w:right w:val="single" w:color="auto" w:sz="4" w:space="0"/>
            </w:tcBorders>
            <w:vAlign w:val="center"/>
          </w:tcPr>
          <w:p>
            <w:pPr>
              <w:snapToGrid w:val="0"/>
              <w:spacing w:beforeLines="50"/>
              <w:jc w:val="center"/>
              <w:rPr>
                <w:rFonts w:ascii="宋体" w:hAnsi="宋体" w:eastAsia="宋体" w:cs="宋体"/>
                <w:szCs w:val="21"/>
              </w:rPr>
            </w:pPr>
          </w:p>
        </w:tc>
        <w:tc>
          <w:tcPr>
            <w:tcW w:w="1560" w:type="dxa"/>
            <w:tcBorders>
              <w:right w:val="single" w:color="auto" w:sz="4" w:space="0"/>
            </w:tcBorders>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技术方案</w:t>
            </w:r>
          </w:p>
          <w:p>
            <w:pPr>
              <w:spacing w:line="360" w:lineRule="auto"/>
              <w:jc w:val="center"/>
              <w:rPr>
                <w:rFonts w:hint="eastAsia" w:asciiTheme="minorEastAsia" w:hAnsiTheme="minorEastAsia"/>
                <w:szCs w:val="21"/>
              </w:rPr>
            </w:pPr>
            <w:r>
              <w:rPr>
                <w:rFonts w:hint="eastAsia" w:asciiTheme="minorEastAsia" w:hAnsiTheme="minorEastAsia"/>
                <w:szCs w:val="21"/>
              </w:rPr>
              <w:t>（</w:t>
            </w:r>
            <w:r>
              <w:rPr>
                <w:rFonts w:hint="eastAsia" w:eastAsia="宋体" w:asciiTheme="minorEastAsia" w:hAnsiTheme="minorEastAsia"/>
                <w:color w:val="FF0000"/>
                <w:szCs w:val="21"/>
                <w:u w:val="single"/>
                <w:lang w:val="en-US" w:eastAsia="zh-CN"/>
              </w:rPr>
              <w:t xml:space="preserve"> 30 </w:t>
            </w:r>
            <w:r>
              <w:rPr>
                <w:rFonts w:hint="eastAsia" w:asciiTheme="minorEastAsia" w:hAnsiTheme="minorEastAsia"/>
                <w:szCs w:val="21"/>
              </w:rPr>
              <w:t>分）</w:t>
            </w:r>
          </w:p>
        </w:tc>
        <w:tc>
          <w:tcPr>
            <w:tcW w:w="6095" w:type="dxa"/>
            <w:tcBorders>
              <w:right w:val="single" w:color="auto" w:sz="4" w:space="0"/>
            </w:tcBorders>
            <w:vAlign w:val="center"/>
          </w:tcPr>
          <w:p>
            <w:pPr>
              <w:spacing w:line="360" w:lineRule="auto"/>
              <w:rPr>
                <w:rFonts w:hint="eastAsia" w:asciiTheme="minorEastAsia" w:hAnsiTheme="minorEastAsia"/>
                <w:szCs w:val="21"/>
              </w:rPr>
            </w:pPr>
            <w:r>
              <w:rPr>
                <w:rFonts w:hint="eastAsia" w:asciiTheme="minorEastAsia" w:hAnsiTheme="minorEastAsia"/>
                <w:szCs w:val="21"/>
              </w:rPr>
              <w:t>（1）现状分析，包括地理区位（1分），社会经济（1分），交通条件（1分），物流产业发展（1分）等，</w:t>
            </w:r>
            <w:r>
              <w:rPr>
                <w:rFonts w:hint="eastAsia" w:asciiTheme="minorEastAsia" w:hAnsiTheme="minorEastAsia"/>
                <w:szCs w:val="21"/>
                <w:lang w:eastAsia="zh-CN"/>
              </w:rPr>
              <w:t>共</w:t>
            </w:r>
            <w:r>
              <w:rPr>
                <w:rFonts w:hint="eastAsia" w:asciiTheme="minorEastAsia" w:hAnsiTheme="minorEastAsia"/>
                <w:szCs w:val="21"/>
              </w:rPr>
              <w:t>计4分。</w:t>
            </w:r>
          </w:p>
          <w:p>
            <w:pPr>
              <w:spacing w:line="360" w:lineRule="auto"/>
              <w:rPr>
                <w:rFonts w:hint="eastAsia" w:asciiTheme="minorEastAsia" w:hAnsiTheme="minorEastAsia"/>
                <w:szCs w:val="21"/>
              </w:rPr>
            </w:pPr>
            <w:r>
              <w:rPr>
                <w:rFonts w:hint="eastAsia" w:asciiTheme="minorEastAsia" w:hAnsiTheme="minorEastAsia"/>
                <w:szCs w:val="21"/>
              </w:rPr>
              <w:t>（2）对相关规划的解读，包括国家层面规划（1分），河南省层面规划（1分），郑州市规划（1分）和许昌市及县市区相关规划（1分）等，</w:t>
            </w:r>
            <w:r>
              <w:rPr>
                <w:rFonts w:hint="eastAsia" w:asciiTheme="minorEastAsia" w:hAnsiTheme="minorEastAsia"/>
                <w:szCs w:val="21"/>
                <w:lang w:eastAsia="zh-CN"/>
              </w:rPr>
              <w:t>共</w:t>
            </w:r>
            <w:r>
              <w:rPr>
                <w:rFonts w:hint="eastAsia" w:asciiTheme="minorEastAsia" w:hAnsiTheme="minorEastAsia"/>
                <w:szCs w:val="21"/>
              </w:rPr>
              <w:t>计4分。</w:t>
            </w:r>
          </w:p>
          <w:p>
            <w:pPr>
              <w:spacing w:line="360" w:lineRule="auto"/>
              <w:rPr>
                <w:rFonts w:hint="eastAsia" w:asciiTheme="minorEastAsia" w:hAnsiTheme="minorEastAsia"/>
                <w:szCs w:val="21"/>
              </w:rPr>
            </w:pPr>
            <w:r>
              <w:rPr>
                <w:rFonts w:hint="eastAsia" w:asciiTheme="minorEastAsia" w:hAnsiTheme="minorEastAsia"/>
                <w:szCs w:val="21"/>
              </w:rPr>
              <w:t>（3）需求分析，包括宏观发展环境分析（1分），物流辐射范围分析（1分），物流运输量及能力测算（2分），</w:t>
            </w:r>
            <w:r>
              <w:rPr>
                <w:rFonts w:hint="eastAsia" w:asciiTheme="minorEastAsia" w:hAnsiTheme="minorEastAsia"/>
                <w:szCs w:val="21"/>
                <w:lang w:eastAsia="zh-CN"/>
              </w:rPr>
              <w:t>共</w:t>
            </w:r>
            <w:r>
              <w:rPr>
                <w:rFonts w:hint="eastAsia" w:asciiTheme="minorEastAsia" w:hAnsiTheme="minorEastAsia"/>
                <w:szCs w:val="21"/>
              </w:rPr>
              <w:t>计4分。</w:t>
            </w:r>
          </w:p>
          <w:p>
            <w:pPr>
              <w:spacing w:line="360" w:lineRule="auto"/>
              <w:rPr>
                <w:rFonts w:hint="eastAsia" w:asciiTheme="minorEastAsia" w:hAnsiTheme="minorEastAsia"/>
                <w:szCs w:val="21"/>
              </w:rPr>
            </w:pPr>
            <w:r>
              <w:rPr>
                <w:rFonts w:hint="eastAsia" w:asciiTheme="minorEastAsia" w:hAnsiTheme="minorEastAsia"/>
                <w:szCs w:val="21"/>
              </w:rPr>
              <w:t>（4）物流产业发展战略，包括发展目标（2分），物流产业体系发展策略（2分），</w:t>
            </w:r>
            <w:r>
              <w:rPr>
                <w:rFonts w:hint="eastAsia" w:asciiTheme="minorEastAsia" w:hAnsiTheme="minorEastAsia"/>
                <w:szCs w:val="21"/>
                <w:lang w:eastAsia="zh-CN"/>
              </w:rPr>
              <w:t>共</w:t>
            </w:r>
            <w:r>
              <w:rPr>
                <w:rFonts w:hint="eastAsia" w:asciiTheme="minorEastAsia" w:hAnsiTheme="minorEastAsia"/>
                <w:szCs w:val="21"/>
              </w:rPr>
              <w:t>计4分。</w:t>
            </w:r>
          </w:p>
          <w:p>
            <w:pPr>
              <w:spacing w:line="360" w:lineRule="auto"/>
              <w:rPr>
                <w:rFonts w:hint="eastAsia"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5</w:t>
            </w:r>
            <w:r>
              <w:rPr>
                <w:rFonts w:hint="eastAsia" w:asciiTheme="minorEastAsia" w:hAnsiTheme="minorEastAsia"/>
                <w:szCs w:val="21"/>
              </w:rPr>
              <w:t>）初步规划方案，包括物流产业空间体系（3分），物流功能组团（2分），物流园区布局（2分），物流通道（2分），物流信息平台框架（2分），近期重点工程（3分）</w:t>
            </w:r>
            <w:r>
              <w:rPr>
                <w:rFonts w:hint="eastAsia" w:asciiTheme="minorEastAsia" w:hAnsiTheme="minorEastAsia"/>
                <w:szCs w:val="21"/>
                <w:lang w:eastAsia="zh-CN"/>
              </w:rPr>
              <w:t>，共</w:t>
            </w:r>
            <w:r>
              <w:rPr>
                <w:rFonts w:hint="eastAsia" w:asciiTheme="minorEastAsia" w:hAnsiTheme="minorEastAsia"/>
                <w:szCs w:val="21"/>
              </w:rPr>
              <w:t>计14分。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服务部分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10</w:t>
            </w:r>
            <w:r>
              <w:rPr>
                <w:rFonts w:hint="eastAsia" w:ascii="宋体" w:hAnsi="宋体" w:eastAsia="宋体" w:cs="宋体"/>
                <w:szCs w:val="21"/>
              </w:rPr>
              <w:t>分）</w:t>
            </w:r>
          </w:p>
        </w:tc>
        <w:tc>
          <w:tcPr>
            <w:tcW w:w="1560" w:type="dxa"/>
            <w:tcBorders>
              <w:top w:val="single" w:color="auto" w:sz="4" w:space="0"/>
              <w:left w:val="single" w:color="auto" w:sz="4" w:space="0"/>
              <w:right w:val="single" w:color="auto" w:sz="4" w:space="0"/>
            </w:tcBorders>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售后服务</w:t>
            </w:r>
          </w:p>
          <w:p>
            <w:pPr>
              <w:spacing w:line="360" w:lineRule="auto"/>
              <w:jc w:val="center"/>
              <w:rPr>
                <w:rFonts w:hint="eastAsia" w:asciiTheme="minorEastAsia" w:hAnsiTheme="minorEastAsia"/>
                <w:szCs w:val="21"/>
              </w:rPr>
            </w:pPr>
            <w:r>
              <w:rPr>
                <w:rFonts w:hint="eastAsia" w:asciiTheme="minorEastAsia" w:hAnsiTheme="minorEastAsia"/>
                <w:szCs w:val="21"/>
              </w:rPr>
              <w:t>（</w:t>
            </w:r>
            <w:r>
              <w:rPr>
                <w:rFonts w:hint="eastAsia" w:eastAsia="宋体" w:asciiTheme="minorEastAsia" w:hAnsiTheme="minorEastAsia"/>
                <w:color w:val="FF0000"/>
                <w:szCs w:val="21"/>
                <w:u w:val="single"/>
                <w:lang w:val="en-US" w:eastAsia="zh-CN"/>
              </w:rPr>
              <w:t xml:space="preserve"> 5 </w:t>
            </w:r>
            <w:r>
              <w:rPr>
                <w:rFonts w:hint="eastAsia" w:asciiTheme="minorEastAsia" w:hAnsiTheme="minorEastAsia"/>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inorEastAsia" w:hAnsiTheme="minorEastAsia"/>
                <w:szCs w:val="21"/>
              </w:rPr>
            </w:pPr>
            <w:r>
              <w:rPr>
                <w:rFonts w:hint="eastAsia" w:asciiTheme="minorEastAsia" w:hAnsiTheme="minorEastAsia"/>
                <w:szCs w:val="21"/>
              </w:rPr>
              <w:t>服务承诺全面、周到，可保证规划方案质量的得5分。</w:t>
            </w:r>
            <w:r>
              <w:rPr>
                <w:rFonts w:hint="eastAsia" w:asciiTheme="minorEastAsia" w:hAnsiTheme="minorEastAsia"/>
                <w:szCs w:val="21"/>
                <w:lang w:eastAsia="zh-CN"/>
              </w:rPr>
              <w:t>（提供承诺函）。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tcBorders>
              <w:right w:val="single" w:color="auto" w:sz="4" w:space="0"/>
            </w:tcBorders>
            <w:vAlign w:val="center"/>
          </w:tcPr>
          <w:p>
            <w:pPr>
              <w:pStyle w:val="10"/>
              <w:tabs>
                <w:tab w:val="left" w:pos="600"/>
              </w:tabs>
              <w:snapToGrid w:val="0"/>
              <w:spacing w:beforeLines="50" w:after="0" w:line="240" w:lineRule="auto"/>
              <w:ind w:firstLine="422"/>
              <w:rPr>
                <w:rFonts w:ascii="宋体" w:hAnsi="宋体" w:eastAsia="宋体" w:cs="宋体"/>
                <w:sz w:val="21"/>
                <w:szCs w:val="21"/>
              </w:rPr>
            </w:pPr>
            <w:bookmarkStart w:id="5" w:name="_Hlk535157742"/>
          </w:p>
        </w:tc>
        <w:tc>
          <w:tcPr>
            <w:tcW w:w="1560" w:type="dxa"/>
            <w:tcBorders>
              <w:left w:val="single" w:color="auto" w:sz="4" w:space="0"/>
              <w:right w:val="single" w:color="auto" w:sz="4" w:space="0"/>
            </w:tcBorders>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项目</w:t>
            </w:r>
            <w:r>
              <w:rPr>
                <w:rFonts w:hint="eastAsia" w:asciiTheme="minorEastAsia" w:hAnsiTheme="minorEastAsia"/>
                <w:szCs w:val="21"/>
                <w:lang w:eastAsia="zh-CN"/>
              </w:rPr>
              <w:t>实施进度与措施</w:t>
            </w:r>
            <w:r>
              <w:rPr>
                <w:rFonts w:hint="eastAsia" w:asciiTheme="minorEastAsia" w:hAnsiTheme="minorEastAsia"/>
                <w:szCs w:val="21"/>
                <w:lang w:eastAsia="zh-CN"/>
              </w:rPr>
              <w:br w:type="textWrapping"/>
            </w:r>
            <w:r>
              <w:rPr>
                <w:rFonts w:hint="eastAsia" w:asciiTheme="minorEastAsia" w:hAnsiTheme="minorEastAsia"/>
                <w:szCs w:val="21"/>
              </w:rPr>
              <w:t>（</w:t>
            </w:r>
            <w:r>
              <w:rPr>
                <w:rFonts w:hint="eastAsia" w:eastAsia="宋体" w:asciiTheme="minorEastAsia" w:hAnsiTheme="minorEastAsia"/>
                <w:color w:val="FF0000"/>
                <w:szCs w:val="21"/>
                <w:u w:val="single"/>
                <w:lang w:val="en-US" w:eastAsia="zh-CN"/>
              </w:rPr>
              <w:t xml:space="preserve"> 5 </w:t>
            </w:r>
            <w:r>
              <w:rPr>
                <w:rFonts w:hint="eastAsia" w:asciiTheme="minorEastAsia" w:hAnsiTheme="minorEastAsia"/>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inorEastAsia" w:hAnsiTheme="minorEastAsia"/>
                <w:szCs w:val="21"/>
              </w:rPr>
            </w:pPr>
            <w:r>
              <w:rPr>
                <w:rFonts w:hint="eastAsia" w:asciiTheme="minorEastAsia" w:hAnsiTheme="minorEastAsia"/>
                <w:szCs w:val="21"/>
              </w:rPr>
              <w:t>（1）工作计划和保障措施，合理、具体、可行的得2分。（2）项目进度计划明确具体1分。（3）后续服务承诺满足采购人要求的得2分。</w:t>
            </w:r>
          </w:p>
        </w:tc>
      </w:tr>
      <w:bookmarkEnd w:id="5"/>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评标价格＝投标报价×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color w:val="FF0000"/>
          <w:szCs w:val="21"/>
          <w:lang w:val="en-GB"/>
        </w:rPr>
      </w:pPr>
      <w:r>
        <w:rPr>
          <w:rFonts w:hint="eastAsia" w:ascii="宋体" w:hAnsi="宋体"/>
          <w:bCs/>
          <w:color w:val="FF0000"/>
          <w:szCs w:val="21"/>
          <w:lang w:val="en-GB"/>
        </w:rPr>
        <w:t>备注：</w:t>
      </w:r>
    </w:p>
    <w:p>
      <w:pPr>
        <w:spacing w:line="360" w:lineRule="auto"/>
        <w:ind w:firstLine="420" w:firstLineChars="200"/>
        <w:rPr>
          <w:rFonts w:ascii="宋体" w:hAnsi="宋体"/>
          <w:bCs/>
          <w:color w:val="FF0000"/>
          <w:szCs w:val="21"/>
          <w:lang w:val="en-GB"/>
        </w:rPr>
      </w:pPr>
      <w:r>
        <w:rPr>
          <w:rFonts w:hint="eastAsia" w:ascii="宋体" w:hAnsi="宋体"/>
          <w:bCs/>
          <w:color w:val="FF0000"/>
          <w:szCs w:val="21"/>
          <w:lang w:val="en-GB"/>
        </w:rPr>
        <w:t>a、不接受联合体投标的项目，本表中第2项、第3项情形不适用。</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lang w:val="en-GB"/>
        </w:rPr>
        <w:t>b、小型</w:t>
      </w:r>
      <w:r>
        <w:rPr>
          <w:rFonts w:hint="eastAsia" w:ascii="宋体" w:hAnsi="宋体"/>
          <w:bCs/>
          <w:color w:val="FF0000"/>
          <w:szCs w:val="21"/>
          <w:highlight w:val="none"/>
          <w:lang w:val="en-GB"/>
        </w:rPr>
        <w:t>和微型企业产品包括货物及其提供的服务与工程。</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d、残疾人福利性单位属于小型、微型企业的，不重复享受政策。</w:t>
      </w:r>
    </w:p>
    <w:p>
      <w:pPr>
        <w:spacing w:line="360" w:lineRule="auto"/>
        <w:ind w:firstLine="420" w:firstLineChars="200"/>
        <w:rPr>
          <w:rFonts w:ascii="宋体" w:hAnsi="宋体"/>
          <w:bCs/>
          <w:color w:val="FF0000"/>
          <w:szCs w:val="21"/>
          <w:highlight w:val="none"/>
          <w:lang w:val="en-GB"/>
        </w:rPr>
      </w:pPr>
      <w:r>
        <w:rPr>
          <w:rFonts w:ascii="宋体" w:hAnsi="宋体"/>
          <w:bCs/>
          <w:color w:val="FF0000"/>
          <w:szCs w:val="21"/>
          <w:highlight w:val="none"/>
          <w:lang w:val="en-GB"/>
        </w:rPr>
        <w:t>E</w:t>
      </w:r>
      <w:r>
        <w:rPr>
          <w:rFonts w:hint="eastAsia" w:ascii="宋体" w:hAnsi="宋体"/>
          <w:bCs/>
          <w:color w:val="FF0000"/>
          <w:szCs w:val="21"/>
          <w:highlight w:val="none"/>
          <w:lang w:val="en-GB"/>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（7）</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cs="仿宋_GB2312" w:asciiTheme="minorEastAsia" w:hAnsiTheme="minorEastAsia"/>
          <w:szCs w:val="21"/>
          <w:lang w:val="zh-CN"/>
        </w:rPr>
        <w:t>投标人对本条第一款情形提出质疑的，采购人或者采购代理机构可以组织原评标委员会进行</w:t>
      </w:r>
      <w:r>
        <w:rPr>
          <w:rFonts w:cs="仿宋_GB2312" w:asciiTheme="minorEastAsia" w:hAnsiTheme="minorEastAsia"/>
          <w:szCs w:val="21"/>
          <w:highlight w:val="none"/>
          <w:lang w:val="zh-CN"/>
        </w:rPr>
        <w:t>重新评审，重新评审改变评标结果的，应当书面报告本级财政部门。</w:t>
      </w:r>
    </w:p>
    <w:p>
      <w:pPr>
        <w:wordWrap w:val="0"/>
        <w:spacing w:line="360" w:lineRule="auto"/>
        <w:ind w:firstLine="422" w:firstLineChars="200"/>
        <w:contextualSpacing/>
        <w:rPr>
          <w:rFonts w:cs="仿宋_GB2312" w:asciiTheme="minorEastAsia" w:hAnsiTheme="minorEastAsia"/>
          <w:szCs w:val="21"/>
          <w:highlight w:val="none"/>
          <w:lang w:val="zh-CN"/>
        </w:rPr>
      </w:pPr>
      <w:r>
        <w:rPr>
          <w:rFonts w:hint="eastAsia" w:cs="仿宋_GB2312" w:asciiTheme="minorEastAsia" w:hAnsiTheme="minorEastAsia"/>
          <w:b/>
          <w:bCs/>
          <w:szCs w:val="21"/>
          <w:highlight w:val="none"/>
          <w:lang w:val="zh-CN"/>
        </w:rPr>
        <w:t>（8）按照《关于推进全流程电子化交易和在线监管工作有关问题的通知》（许公管办[2019]3号）规定：</w:t>
      </w:r>
      <w:r>
        <w:rPr>
          <w:rFonts w:hint="eastAsia" w:cs="仿宋_GB2312" w:asciiTheme="minorEastAsia" w:hAnsiTheme="minorEastAsia"/>
          <w:szCs w:val="21"/>
          <w:highlight w:val="none"/>
          <w:lang w:val="zh-CN"/>
        </w:rPr>
        <w:t>评标专家应严格按照要求查看“硬件特征码”相关信息并进行评审，在评审报告中显示“不同投标人电子投标文件制作硬件特征码”是否雷同的分析及判定结果。</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w:t>
      </w:r>
      <w:r>
        <w:rPr>
          <w:rFonts w:hint="eastAsia" w:cs="仿宋_GB2312" w:asciiTheme="minorEastAsia" w:hAnsiTheme="minorEastAsia"/>
          <w:b/>
          <w:szCs w:val="21"/>
          <w:lang w:val="en-US" w:eastAsia="zh-CN"/>
        </w:rPr>
        <w:t>9</w:t>
      </w:r>
      <w:r>
        <w:rPr>
          <w:rFonts w:hint="eastAsia" w:cs="仿宋_GB2312" w:asciiTheme="minorEastAsia" w:hAnsiTheme="minorEastAsia"/>
          <w:b/>
          <w:szCs w:val="21"/>
          <w:lang w:val="zh-CN"/>
        </w:rPr>
        <w:t>）</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adjustRightInd w:val="0"/>
        <w:snapToGrid w:val="0"/>
        <w:spacing w:line="360" w:lineRule="auto"/>
        <w:ind w:firstLine="422" w:firstLineChars="200"/>
        <w:rPr>
          <w:rFonts w:ascii="宋体" w:hAnsi="宋体" w:cs="Courier New"/>
          <w:szCs w:val="21"/>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hint="eastAsia" w:ascii="宋体" w:hAnsi="宋体" w:eastAsia="微软雅黑"/>
          <w:color w:val="000000"/>
          <w:u w:val="single"/>
        </w:rPr>
      </w:pP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w:t>
      </w:r>
      <w:r>
        <w:rPr>
          <w:rFonts w:asciiTheme="minorEastAsia" w:hAnsiTheme="minorEastAsia" w:eastAsiaTheme="minorEastAsia"/>
          <w:color w:val="000000"/>
          <w:sz w:val="21"/>
          <w:szCs w:val="21"/>
          <w:highlight w:val="none"/>
          <w:u w:val="single"/>
        </w:rPr>
        <w:t>（采购人全称）</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乙方：</w:t>
      </w:r>
      <w:r>
        <w:rPr>
          <w:rFonts w:asciiTheme="minorEastAsia" w:hAnsiTheme="minorEastAsia" w:eastAsiaTheme="minorEastAsia"/>
          <w:color w:val="000000"/>
          <w:sz w:val="21"/>
          <w:szCs w:val="21"/>
          <w:highlight w:val="none"/>
          <w:u w:val="single"/>
        </w:rPr>
        <w:t>（中标人全称）</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根据招标编号为</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的</w:t>
      </w:r>
      <w:r>
        <w:rPr>
          <w:rFonts w:asciiTheme="minorEastAsia" w:hAnsiTheme="minorEastAsia" w:eastAsiaTheme="minorEastAsia"/>
          <w:color w:val="000000"/>
          <w:sz w:val="21"/>
          <w:szCs w:val="21"/>
          <w:highlight w:val="none"/>
          <w:u w:val="single"/>
        </w:rPr>
        <w:t>（填写“项目名称”）</w:t>
      </w:r>
      <w:r>
        <w:rPr>
          <w:rFonts w:asciiTheme="minorEastAsia" w:hAnsiTheme="minorEastAsia" w:eastAsiaTheme="minorEastAsia"/>
          <w:color w:val="000000"/>
          <w:sz w:val="21"/>
          <w:szCs w:val="21"/>
          <w:highlight w:val="none"/>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1.2招标文件、乙方的投标文件；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1.3其他文件或材料：□无。□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2、合同标的</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3、合同总金额</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3.1合同总金额为人民币大写：</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元（￥</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4.1交付时间：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4.2交付地点：</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4.3交付条件：</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5、合同标的应符合招标文件、乙方投标文件的规定或约定，具体如下：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6.1验收应按照招标文件、乙方投标文件的规定或约定进行，具体如下：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6.2本项目是否邀请其他投标人参与验收：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□不邀请。□邀请，具体如下：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7、合同款项的支付应按照招标文件的规定进行，具体如下：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（按照实际情况编制填写，可以是表格或文字描述，包括一次性支付或分期支付等）</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8、履约保证金</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□无。□有，具体如下：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9、合同有效期</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10、违约责任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11、知识产权</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12、解决争议的方法</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12.1甲、乙双方协商解决。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□提交仲裁委员会仲裁，具体如下：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□向人民法院提起诉讼，具体如下：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13、不可抗力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14、合同条款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（按照实际情况编制填写。招标文件第五章已有规定的，双方均不得变更或调整；招标文件第五章未作规定的，双方可通过友好协商进行约定）</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15、其他约定</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15.4本合同一式</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份，经双方授权代表签字并盖章后生效。甲方、乙方各执</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份，送</w:t>
      </w:r>
      <w:r>
        <w:rPr>
          <w:rFonts w:asciiTheme="minorEastAsia" w:hAnsiTheme="minorEastAsia" w:eastAsiaTheme="minorEastAsia"/>
          <w:color w:val="000000"/>
          <w:sz w:val="21"/>
          <w:szCs w:val="21"/>
          <w:highlight w:val="none"/>
          <w:u w:val="single"/>
        </w:rPr>
        <w:t>（填写需要备案的监管部门的全称）</w:t>
      </w:r>
      <w:r>
        <w:rPr>
          <w:rFonts w:asciiTheme="minorEastAsia" w:hAnsiTheme="minorEastAsia" w:eastAsiaTheme="minorEastAsia"/>
          <w:color w:val="000000"/>
          <w:sz w:val="21"/>
          <w:szCs w:val="21"/>
          <w:highlight w:val="none"/>
        </w:rPr>
        <w:t>备案</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份，具有同等效力。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15.5其他：□无。□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                        乙方：</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住所：                        住所：</w:t>
      </w:r>
    </w:p>
    <w:p>
      <w:pPr>
        <w:pStyle w:val="20"/>
        <w:spacing w:before="75" w:after="75" w:line="360" w:lineRule="auto"/>
        <w:rPr>
          <w:rFonts w:asciiTheme="minorEastAsia" w:hAnsiTheme="minorEastAsia" w:eastAsiaTheme="minorEastAsia"/>
          <w:color w:val="000000"/>
          <w:sz w:val="21"/>
          <w:szCs w:val="21"/>
          <w:highlight w:val="none"/>
        </w:rPr>
      </w:pP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              </w:t>
      </w: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联系方法：                      联系方法：</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开户银行：                      开户银行：</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账号：                        账号：</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签订地点：</w:t>
      </w:r>
      <w:r>
        <w:rPr>
          <w:rFonts w:asciiTheme="minorEastAsia" w:hAnsiTheme="minorEastAsia" w:eastAsiaTheme="minorEastAsia"/>
          <w:color w:val="000000"/>
          <w:sz w:val="21"/>
          <w:szCs w:val="21"/>
          <w:highlight w:val="none"/>
          <w:u w:val="singl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签订日期：</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月</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日</w:t>
      </w: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2"/>
          <w:szCs w:val="32"/>
        </w:rPr>
        <w:t>（如涉及本项目的提供）</w:t>
      </w:r>
    </w:p>
    <w:p>
      <w:pPr>
        <w:autoSpaceDE w:val="0"/>
        <w:autoSpaceDN w:val="0"/>
        <w:adjustRightInd w:val="0"/>
        <w:spacing w:line="700" w:lineRule="exact"/>
        <w:ind w:firstLine="551"/>
        <w:jc w:val="center"/>
        <w:rPr>
          <w:rFonts w:cs="黑体" w:asciiTheme="minorEastAsia" w:hAnsiTheme="minorEastAsia"/>
          <w:b/>
          <w:bCs/>
          <w:sz w:val="44"/>
          <w:szCs w:val="44"/>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0"/>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6" w:name="_Toc186274126"/>
      <w:bookmarkStart w:id="7" w:name="_Toc184023138"/>
      <w:bookmarkStart w:id="8" w:name="_Toc174185203"/>
      <w:r>
        <w:rPr>
          <w:rFonts w:hint="eastAsia" w:cs="黑体" w:asciiTheme="minorEastAsia" w:hAnsiTheme="minorEastAsia" w:eastAsiaTheme="minorEastAsia"/>
          <w:color w:val="auto"/>
          <w:kern w:val="2"/>
          <w:sz w:val="28"/>
          <w:szCs w:val="28"/>
          <w:lang w:val="zh-CN"/>
        </w:rPr>
        <w:t>一、投标人应答索引表</w:t>
      </w:r>
      <w:bookmarkEnd w:id="6"/>
      <w:bookmarkEnd w:id="7"/>
      <w:bookmarkEnd w:id="8"/>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asciiTheme="majorEastAsia" w:hAnsiTheme="majorEastAsia" w:eastAsiaTheme="majorEastAsia" w:cstheme="majorEastAsia"/>
                <w:bCs/>
                <w:sz w:val="21"/>
                <w:szCs w:val="21"/>
                <w:highlight w:val="none"/>
                <w:lang w:val="zh-CN"/>
              </w:rPr>
              <w:t>法定代表人（单位负责人）</w:t>
            </w:r>
            <w:r>
              <w:rPr>
                <w:rFonts w:asciiTheme="majorEastAsia" w:hAnsiTheme="majorEastAsia" w:eastAsiaTheme="majorEastAsia" w:cstheme="majorEastAsia"/>
                <w:bCs/>
                <w:sz w:val="21"/>
                <w:szCs w:val="21"/>
                <w:highlight w:val="none"/>
                <w:lang w:val="zh-CN"/>
              </w:rPr>
              <w:t>资</w:t>
            </w:r>
            <w:r>
              <w:rPr>
                <w:rFonts w:hint="eastAsia" w:asciiTheme="majorEastAsia" w:hAnsiTheme="majorEastAsia" w:eastAsiaTheme="majorEastAsia" w:cstheme="majorEastAsia"/>
                <w:bCs/>
                <w:sz w:val="21"/>
                <w:szCs w:val="21"/>
                <w:highlight w:val="none"/>
                <w:lang w:val="zh-CN"/>
              </w:rPr>
              <w:t>格</w:t>
            </w:r>
            <w:r>
              <w:rPr>
                <w:rFonts w:asciiTheme="majorEastAsia" w:hAnsiTheme="majorEastAsia" w:eastAsiaTheme="majorEastAsia" w:cstheme="majorEastAsia"/>
                <w:bCs/>
                <w:sz w:val="21"/>
                <w:szCs w:val="21"/>
                <w:highlight w:val="none"/>
                <w:lang w:val="zh-CN"/>
              </w:rPr>
              <w:t>证</w:t>
            </w:r>
            <w:r>
              <w:rPr>
                <w:rFonts w:hint="eastAsia" w:asciiTheme="majorEastAsia" w:hAnsiTheme="majorEastAsia" w:eastAsiaTheme="majorEastAsia" w:cstheme="majorEastAsia"/>
                <w:bCs/>
                <w:sz w:val="21"/>
                <w:szCs w:val="21"/>
                <w:highlight w:val="none"/>
                <w:lang w:val="zh-CN"/>
              </w:rPr>
              <w:t>明</w:t>
            </w:r>
            <w:r>
              <w:rPr>
                <w:rFonts w:asciiTheme="majorEastAsia" w:hAnsiTheme="majorEastAsia" w:eastAsiaTheme="majorEastAsia" w:cstheme="majorEastAsia"/>
                <w:bCs/>
                <w:sz w:val="21"/>
                <w:szCs w:val="21"/>
                <w:highlight w:val="none"/>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hAnsi="宋体"/>
                <w:kern w:val="0"/>
                <w:sz w:val="21"/>
                <w:szCs w:val="21"/>
                <w:highlight w:val="none"/>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asciiTheme="minorEastAsia" w:hAnsiTheme="minorEastAsia"/>
                <w:bCs/>
                <w:sz w:val="21"/>
                <w:szCs w:val="21"/>
                <w:highlight w:val="none"/>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asciiTheme="majorEastAsia" w:hAnsiTheme="majorEastAsia" w:eastAsiaTheme="majorEastAsia" w:cstheme="majorEastAsia"/>
                <w:bCs/>
                <w:sz w:val="21"/>
                <w:szCs w:val="21"/>
                <w:highlight w:val="none"/>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仿宋_GB2312" w:asciiTheme="minorEastAsia" w:hAnsiTheme="minorEastAsia"/>
                <w:sz w:val="21"/>
                <w:szCs w:val="21"/>
                <w:highlight w:val="none"/>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highlight w:val="none"/>
              </w:rPr>
            </w:pPr>
            <w:r>
              <w:rPr>
                <w:rFonts w:cs="宋体" w:asciiTheme="minorEastAsia" w:hAnsiTheme="minorEastAsia"/>
                <w:kern w:val="0"/>
                <w:sz w:val="21"/>
                <w:szCs w:val="21"/>
                <w:highlight w:val="none"/>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认证机构颁发的认证证书</w:t>
            </w:r>
          </w:p>
        </w:tc>
        <w:tc>
          <w:tcPr>
            <w:tcW w:w="1559" w:type="dxa"/>
            <w:vAlign w:val="center"/>
          </w:tcPr>
          <w:p>
            <w:pPr>
              <w:pStyle w:val="13"/>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highlight w:val="none"/>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中国信息安全认证中心官网产品查询结果截图</w:t>
            </w:r>
          </w:p>
        </w:tc>
        <w:tc>
          <w:tcPr>
            <w:tcW w:w="1559" w:type="dxa"/>
            <w:vAlign w:val="center"/>
          </w:tcPr>
          <w:p>
            <w:pPr>
              <w:pStyle w:val="13"/>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highlight w:val="none"/>
              </w:rPr>
            </w:pPr>
            <w:r>
              <w:rPr>
                <w:rFonts w:hint="eastAsia" w:hAnsi="宋体" w:cs="微软雅黑"/>
                <w:bCs/>
                <w:kern w:val="0"/>
                <w:sz w:val="21"/>
                <w:szCs w:val="21"/>
                <w:highlight w:val="none"/>
              </w:rPr>
              <w:t>其它资料</w:t>
            </w:r>
          </w:p>
        </w:tc>
        <w:tc>
          <w:tcPr>
            <w:tcW w:w="1559" w:type="dxa"/>
            <w:vAlign w:val="center"/>
          </w:tcPr>
          <w:p>
            <w:pPr>
              <w:jc w:val="center"/>
              <w:rPr>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注：①本表序号8请按照本招标文件 “第六章资格审查与评标”资格审查表中序号3要求，根据所提供经审计财务报告、基本开户银行资信证明、银行资信证明、政府采购投标担保函情况填写其中一项即可。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③本表序号2</w:t>
      </w:r>
      <w:r>
        <w:rPr>
          <w:rFonts w:hint="eastAsia" w:ascii="楷体" w:hAnsi="楷体" w:eastAsia="楷体"/>
          <w:color w:val="000000"/>
          <w:sz w:val="24"/>
          <w:szCs w:val="24"/>
          <w:highlight w:val="none"/>
          <w:lang w:val="en-US" w:eastAsia="zh-CN"/>
        </w:rPr>
        <w:t>6</w:t>
      </w:r>
      <w:r>
        <w:rPr>
          <w:rFonts w:hint="eastAsia" w:ascii="楷体" w:hAnsi="楷体" w:eastAsia="楷体"/>
          <w:color w:val="000000"/>
          <w:sz w:val="24"/>
          <w:szCs w:val="24"/>
          <w:highlight w:val="none"/>
        </w:rPr>
        <w:t>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日期：</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年</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月</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日</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2、如招标公告明确项目交付日期以年为单位，本表应填写完成该项目的年限。</w:t>
      </w: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(投标人名称)     </w:t>
      </w:r>
      <w:r>
        <w:rPr>
          <w:rFonts w:hint="eastAsia" w:asciiTheme="minorEastAsia" w:hAnsiTheme="minorEastAsia"/>
          <w:snapToGrid w:val="0"/>
          <w:kern w:val="0"/>
          <w:szCs w:val="21"/>
        </w:rPr>
        <w:t>作为投标人正式授权</w:t>
      </w: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代表我方全权处理有关本投标的一切事宜。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在此提交的投标文件，正本一份，副本</w:t>
      </w:r>
      <w:r>
        <w:rPr>
          <w:rFonts w:hint="eastAsia" w:asciiTheme="minorEastAsia" w:hAnsiTheme="minorEastAsia"/>
          <w:snapToGrid w:val="0"/>
          <w:kern w:val="0"/>
          <w:szCs w:val="21"/>
          <w:lang w:eastAsia="zh-CN"/>
        </w:rPr>
        <w:t>一</w:t>
      </w:r>
      <w:r>
        <w:rPr>
          <w:rFonts w:hint="eastAsia" w:asciiTheme="minorEastAsia" w:hAnsiTheme="minorEastAsia"/>
          <w:snapToGrid w:val="0"/>
          <w:kern w:val="0"/>
          <w:szCs w:val="21"/>
        </w:rPr>
        <w:t>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二、本投标文件的有效期为投标截止时间起</w:t>
      </w:r>
      <w:r>
        <w:rPr>
          <w:rFonts w:hint="eastAsia" w:cs="Courier New" w:asciiTheme="minorEastAsia" w:hAnsiTheme="minorEastAsia"/>
          <w:szCs w:val="21"/>
          <w:u w:val="single"/>
        </w:rPr>
        <w:t xml:space="preserve">   </w:t>
      </w:r>
      <w:r>
        <w:rPr>
          <w:rFonts w:hint="eastAsia" w:cs="Courier New" w:asciiTheme="minorEastAsia" w:hAnsiTheme="minor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三、我方明白并同意，在规定的开标日之后，投标有效期之内撤销投标的，则贵方将不予退还投标保证金。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highlight w:val="none"/>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w:t>
      </w:r>
      <w:r>
        <w:rPr>
          <w:rFonts w:hint="eastAsia" w:asciiTheme="minorEastAsia" w:hAnsiTheme="minorEastAsia" w:eastAsiaTheme="minorEastAsia"/>
          <w:sz w:val="21"/>
          <w:szCs w:val="21"/>
          <w:highlight w:val="none"/>
        </w:rPr>
        <w:t>件中所作的所有承诺承担法律责任。</w:t>
      </w:r>
    </w:p>
    <w:p>
      <w:pPr>
        <w:pStyle w:val="13"/>
        <w:adjustRightInd w:val="0"/>
        <w:snapToGrid w:val="0"/>
        <w:spacing w:line="360" w:lineRule="auto"/>
        <w:rPr>
          <w:rFonts w:asciiTheme="minorEastAsia" w:hAnsiTheme="minorEastAsia" w:eastAsiaTheme="minorEastAsia"/>
          <w:sz w:val="21"/>
          <w:szCs w:val="21"/>
          <w:highlight w:val="none"/>
        </w:rPr>
      </w:pPr>
    </w:p>
    <w:p>
      <w:pPr>
        <w:pStyle w:val="13"/>
        <w:adjustRightInd w:val="0"/>
        <w:snapToGrid w:val="0"/>
        <w:spacing w:line="360" w:lineRule="auto"/>
        <w:rPr>
          <w:rFonts w:asciiTheme="minorEastAsia" w:hAnsiTheme="minorEastAsia" w:eastAsiaTheme="minorEastAsia"/>
          <w:sz w:val="21"/>
          <w:szCs w:val="21"/>
          <w:highlight w:val="none"/>
        </w:rPr>
      </w:pPr>
    </w:p>
    <w:p>
      <w:pPr>
        <w:pStyle w:val="13"/>
        <w:adjustRightInd w:val="0"/>
        <w:snapToGrid w:val="0"/>
        <w:spacing w:line="360" w:lineRule="auto"/>
        <w:rPr>
          <w:rFonts w:asciiTheme="minorEastAsia" w:hAnsiTheme="minorEastAsia" w:eastAsiaTheme="minorEastAsia"/>
          <w:sz w:val="21"/>
          <w:szCs w:val="21"/>
          <w:highlight w:val="none"/>
        </w:rPr>
      </w:pPr>
      <w:r>
        <w:rPr>
          <w:rFonts w:hint="eastAsia" w:asciiTheme="minorEastAsia" w:hAnsiTheme="minorEastAsia" w:eastAsiaTheme="minorEastAsia"/>
          <w:sz w:val="21"/>
          <w:szCs w:val="21"/>
          <w:highlight w:val="none"/>
        </w:rPr>
        <w:t>所有与本招标有关的一切正式往来请寄：</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地    址：</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邮政编码：</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电    话：</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传    真：</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r>
        <w:rPr>
          <w:rFonts w:hint="eastAsia" w:cs="宋体" w:asciiTheme="minorEastAsia" w:hAnsiTheme="minorEastAsia"/>
          <w:szCs w:val="21"/>
          <w:highlight w:val="none"/>
        </w:rPr>
        <w:t>投标人代表姓名：</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职    务：</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投标人法定代表人（单位负责人）或法定代表人（单位负责人）授权代表签字或盖章：</w:t>
      </w:r>
      <w:r>
        <w:rPr>
          <w:rFonts w:hint="eastAsia" w:cs="宋体" w:asciiTheme="minorEastAsia" w:hAnsiTheme="minorEastAsia"/>
          <w:szCs w:val="21"/>
          <w:highlight w:val="none"/>
          <w:u w:val="single"/>
        </w:rPr>
        <w:t xml:space="preserve">         </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投标人名称（盖章）：</w:t>
      </w:r>
      <w:r>
        <w:rPr>
          <w:rFonts w:hint="eastAsia" w:cs="宋体" w:asciiTheme="minorEastAsia" w:hAnsiTheme="minorEastAsia"/>
          <w:szCs w:val="21"/>
          <w:highlight w:val="none"/>
          <w:u w:val="single"/>
        </w:rPr>
        <w:t xml:space="preserve">                   </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r>
        <w:rPr>
          <w:rFonts w:hint="eastAsia" w:cs="宋体" w:asciiTheme="minorEastAsia" w:hAnsiTheme="minorEastAsia"/>
          <w:szCs w:val="21"/>
          <w:highlight w:val="none"/>
        </w:rPr>
        <w:t>日期：    年    月    日</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spacing w:line="480" w:lineRule="exact"/>
        <w:jc w:val="center"/>
        <w:rPr>
          <w:rFonts w:asciiTheme="majorEastAsia" w:hAnsiTheme="majorEastAsia" w:eastAsiaTheme="majorEastAsia"/>
          <w:b/>
          <w:bCs/>
          <w:color w:val="000000"/>
          <w:sz w:val="24"/>
          <w:szCs w:val="24"/>
          <w:highlight w:val="none"/>
        </w:rPr>
      </w:pPr>
      <w:r>
        <w:rPr>
          <w:rFonts w:hint="eastAsia" w:asciiTheme="majorEastAsia" w:hAnsiTheme="majorEastAsia" w:eastAsiaTheme="majorEastAsia"/>
          <w:b/>
          <w:bCs/>
          <w:color w:val="000000"/>
          <w:sz w:val="24"/>
          <w:szCs w:val="24"/>
          <w:highlight w:val="none"/>
        </w:rPr>
        <w:t>3.2 法定代表人（单位负责人）</w:t>
      </w:r>
      <w:r>
        <w:rPr>
          <w:rFonts w:asciiTheme="majorEastAsia" w:hAnsiTheme="majorEastAsia" w:eastAsiaTheme="majorEastAsia"/>
          <w:b/>
          <w:bCs/>
          <w:color w:val="000000"/>
          <w:sz w:val="24"/>
          <w:szCs w:val="24"/>
          <w:highlight w:val="none"/>
        </w:rPr>
        <w:t>资</w:t>
      </w:r>
      <w:r>
        <w:rPr>
          <w:rFonts w:hint="eastAsia" w:asciiTheme="majorEastAsia" w:hAnsiTheme="majorEastAsia" w:eastAsiaTheme="majorEastAsia"/>
          <w:b/>
          <w:bCs/>
          <w:color w:val="000000"/>
          <w:sz w:val="24"/>
          <w:szCs w:val="24"/>
          <w:highlight w:val="none"/>
        </w:rPr>
        <w:t>格</w:t>
      </w:r>
      <w:r>
        <w:rPr>
          <w:rFonts w:asciiTheme="majorEastAsia" w:hAnsiTheme="majorEastAsia" w:eastAsiaTheme="majorEastAsia"/>
          <w:b/>
          <w:bCs/>
          <w:color w:val="000000"/>
          <w:sz w:val="24"/>
          <w:szCs w:val="24"/>
          <w:highlight w:val="none"/>
        </w:rPr>
        <w:t>证</w:t>
      </w:r>
      <w:r>
        <w:rPr>
          <w:rFonts w:hint="eastAsia" w:asciiTheme="majorEastAsia" w:hAnsiTheme="majorEastAsia" w:eastAsiaTheme="majorEastAsia"/>
          <w:b/>
          <w:bCs/>
          <w:color w:val="000000"/>
          <w:sz w:val="24"/>
          <w:szCs w:val="24"/>
          <w:highlight w:val="none"/>
        </w:rPr>
        <w:t>明</w:t>
      </w:r>
      <w:r>
        <w:rPr>
          <w:rFonts w:asciiTheme="majorEastAsia" w:hAnsiTheme="majorEastAsia" w:eastAsiaTheme="majorEastAsia"/>
          <w:b/>
          <w:bCs/>
          <w:color w:val="000000"/>
          <w:sz w:val="24"/>
          <w:szCs w:val="24"/>
          <w:highlight w:val="none"/>
        </w:rPr>
        <w:t>书</w:t>
      </w:r>
    </w:p>
    <w:p>
      <w:pPr>
        <w:autoSpaceDE w:val="0"/>
        <w:autoSpaceDN w:val="0"/>
        <w:adjustRightInd w:val="0"/>
        <w:spacing w:line="480" w:lineRule="auto"/>
        <w:ind w:firstLine="616" w:firstLineChars="257"/>
        <w:rPr>
          <w:rFonts w:ascii="宋体" w:hAnsi="宋体"/>
          <w:color w:val="000000"/>
          <w:sz w:val="24"/>
          <w:szCs w:val="24"/>
          <w:highlight w:val="none"/>
        </w:rPr>
      </w:pPr>
    </w:p>
    <w:p>
      <w:pPr>
        <w:pStyle w:val="41"/>
        <w:spacing w:line="480" w:lineRule="auto"/>
        <w:ind w:firstLine="472" w:firstLineChars="225"/>
        <w:jc w:val="left"/>
        <w:rPr>
          <w:rFonts w:asciiTheme="minorEastAsia" w:hAnsiTheme="minorEastAsia"/>
          <w:color w:val="000000"/>
          <w:sz w:val="21"/>
          <w:szCs w:val="21"/>
          <w:highlight w:val="none"/>
        </w:rPr>
      </w:pPr>
      <w:r>
        <w:rPr>
          <w:rFonts w:asciiTheme="minorEastAsia" w:hAnsiTheme="minorEastAsia"/>
          <w:color w:val="000000"/>
          <w:sz w:val="21"/>
          <w:szCs w:val="21"/>
          <w:highlight w:val="none"/>
        </w:rPr>
        <w:t>单</w:t>
      </w:r>
      <w:r>
        <w:rPr>
          <w:rFonts w:hint="eastAsia" w:asciiTheme="minorEastAsia" w:hAnsiTheme="minorEastAsia"/>
          <w:color w:val="000000"/>
          <w:sz w:val="21"/>
          <w:szCs w:val="21"/>
          <w:highlight w:val="none"/>
        </w:rPr>
        <w:t>位名</w:t>
      </w:r>
      <w:r>
        <w:rPr>
          <w:rFonts w:asciiTheme="minorEastAsia" w:hAnsiTheme="minorEastAsia"/>
          <w:color w:val="000000"/>
          <w:sz w:val="21"/>
          <w:szCs w:val="21"/>
          <w:highlight w:val="none"/>
        </w:rPr>
        <w:t>称</w:t>
      </w:r>
      <w:r>
        <w:rPr>
          <w:rFonts w:hint="eastAsia" w:asciiTheme="minorEastAsia" w:hAnsiTheme="minorEastAsia"/>
          <w:color w:val="000000"/>
          <w:sz w:val="21"/>
          <w:szCs w:val="21"/>
          <w:highlight w:val="none"/>
        </w:rPr>
        <w:t>：</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地址：</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姓名：       性</w:t>
      </w:r>
      <w:r>
        <w:rPr>
          <w:rFonts w:asciiTheme="minorEastAsia" w:hAnsiTheme="minorEastAsia"/>
          <w:color w:val="000000"/>
          <w:sz w:val="21"/>
          <w:szCs w:val="21"/>
          <w:highlight w:val="none"/>
        </w:rPr>
        <w:t>别</w:t>
      </w:r>
      <w:r>
        <w:rPr>
          <w:rFonts w:hint="eastAsia" w:asciiTheme="minorEastAsia" w:hAnsiTheme="minorEastAsia"/>
          <w:color w:val="000000"/>
          <w:sz w:val="21"/>
          <w:szCs w:val="21"/>
          <w:highlight w:val="none"/>
        </w:rPr>
        <w:t>：     年</w:t>
      </w:r>
      <w:r>
        <w:rPr>
          <w:rFonts w:asciiTheme="minorEastAsia" w:hAnsiTheme="minorEastAsia"/>
          <w:color w:val="000000"/>
          <w:sz w:val="21"/>
          <w:szCs w:val="21"/>
          <w:highlight w:val="none"/>
        </w:rPr>
        <w:t>龄</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 xml:space="preserve">     职务</w:t>
      </w:r>
      <w:r>
        <w:rPr>
          <w:rFonts w:hint="eastAsia" w:asciiTheme="minorEastAsia" w:hAnsiTheme="minorEastAsia"/>
          <w:color w:val="000000"/>
          <w:sz w:val="21"/>
          <w:szCs w:val="21"/>
          <w:highlight w:val="none"/>
        </w:rPr>
        <w:t xml:space="preserve">：        </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本人系</w:t>
      </w:r>
      <w:r>
        <w:rPr>
          <w:rFonts w:hint="eastAsia" w:asciiTheme="minorEastAsia" w:hAnsiTheme="minorEastAsia"/>
          <w:color w:val="000000"/>
          <w:sz w:val="21"/>
          <w:szCs w:val="21"/>
          <w:highlight w:val="none"/>
          <w:u w:val="single"/>
        </w:rPr>
        <w:t xml:space="preserve">  </w:t>
      </w:r>
      <w:r>
        <w:rPr>
          <w:rFonts w:hint="eastAsia" w:asciiTheme="minorEastAsia" w:hAnsiTheme="minorEastAsia"/>
          <w:i/>
          <w:snapToGrid w:val="0"/>
          <w:sz w:val="21"/>
          <w:szCs w:val="21"/>
          <w:highlight w:val="none"/>
          <w:u w:val="single"/>
        </w:rPr>
        <w:t>投</w:t>
      </w:r>
      <w:r>
        <w:rPr>
          <w:rFonts w:asciiTheme="minorEastAsia" w:hAnsiTheme="minorEastAsia"/>
          <w:i/>
          <w:snapToGrid w:val="0"/>
          <w:sz w:val="21"/>
          <w:szCs w:val="21"/>
          <w:highlight w:val="none"/>
          <w:u w:val="single"/>
        </w:rPr>
        <w:t>标</w:t>
      </w:r>
      <w:r>
        <w:rPr>
          <w:rFonts w:hint="eastAsia" w:asciiTheme="minorEastAsia" w:hAnsiTheme="minorEastAsia"/>
          <w:i/>
          <w:snapToGrid w:val="0"/>
          <w:sz w:val="21"/>
          <w:szCs w:val="21"/>
          <w:highlight w:val="none"/>
          <w:u w:val="single"/>
        </w:rPr>
        <w:t>人名</w:t>
      </w:r>
      <w:r>
        <w:rPr>
          <w:rFonts w:asciiTheme="minorEastAsia" w:hAnsiTheme="minorEastAsia"/>
          <w:i/>
          <w:snapToGrid w:val="0"/>
          <w:sz w:val="21"/>
          <w:szCs w:val="21"/>
          <w:highlight w:val="none"/>
          <w:u w:val="single"/>
        </w:rPr>
        <w:t>称</w:t>
      </w:r>
      <w:r>
        <w:rPr>
          <w:rFonts w:hint="eastAsia" w:asciiTheme="minorEastAsia" w:hAnsiTheme="minorEastAsia"/>
          <w:i/>
          <w:snapToGrid w:val="0"/>
          <w:sz w:val="21"/>
          <w:szCs w:val="21"/>
          <w:highlight w:val="none"/>
          <w:u w:val="single"/>
        </w:rPr>
        <w:t xml:space="preserve">  </w:t>
      </w:r>
      <w:r>
        <w:rPr>
          <w:rFonts w:hint="eastAsia" w:asciiTheme="minorEastAsia" w:hAnsiTheme="minorEastAsia"/>
          <w:color w:val="000000"/>
          <w:sz w:val="21"/>
          <w:szCs w:val="21"/>
          <w:highlight w:val="none"/>
        </w:rPr>
        <w:t>的法定代表人（单位负责人）。就</w:t>
      </w:r>
      <w:r>
        <w:rPr>
          <w:rFonts w:asciiTheme="minorEastAsia" w:hAnsiTheme="minorEastAsia"/>
          <w:color w:val="000000"/>
          <w:sz w:val="21"/>
          <w:szCs w:val="21"/>
          <w:highlight w:val="none"/>
        </w:rPr>
        <w:t>参</w:t>
      </w:r>
      <w:r>
        <w:rPr>
          <w:rFonts w:hint="eastAsia" w:asciiTheme="minorEastAsia" w:hAnsiTheme="minorEastAsia"/>
          <w:color w:val="000000"/>
          <w:sz w:val="21"/>
          <w:szCs w:val="21"/>
          <w:highlight w:val="none"/>
        </w:rPr>
        <w:t>加贵方招</w:t>
      </w:r>
      <w:r>
        <w:rPr>
          <w:rFonts w:asciiTheme="minorEastAsia" w:hAnsiTheme="minorEastAsia"/>
          <w:color w:val="000000"/>
          <w:sz w:val="21"/>
          <w:szCs w:val="21"/>
          <w:highlight w:val="none"/>
        </w:rPr>
        <w:t>标编号为</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项目编号</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的</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w:t>
      </w:r>
      <w:r>
        <w:rPr>
          <w:rFonts w:hint="eastAsia" w:asciiTheme="minorEastAsia" w:hAnsiTheme="minorEastAsia"/>
          <w:i/>
          <w:color w:val="000000"/>
          <w:sz w:val="21"/>
          <w:szCs w:val="21"/>
          <w:highlight w:val="none"/>
          <w:u w:val="single"/>
        </w:rPr>
        <w:t>名</w:t>
      </w:r>
      <w:r>
        <w:rPr>
          <w:rFonts w:asciiTheme="minorEastAsia" w:hAnsiTheme="minorEastAsia"/>
          <w:i/>
          <w:color w:val="000000"/>
          <w:sz w:val="21"/>
          <w:szCs w:val="21"/>
          <w:highlight w:val="none"/>
          <w:u w:val="single"/>
        </w:rPr>
        <w:t>称</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公</w:t>
      </w:r>
      <w:r>
        <w:rPr>
          <w:rFonts w:asciiTheme="minorEastAsia" w:hAnsiTheme="minorEastAsia"/>
          <w:color w:val="000000"/>
          <w:sz w:val="21"/>
          <w:szCs w:val="21"/>
          <w:highlight w:val="none"/>
        </w:rPr>
        <w:t>开</w:t>
      </w:r>
      <w:r>
        <w:rPr>
          <w:rFonts w:hint="eastAsia" w:asciiTheme="minorEastAsia" w:hAnsiTheme="minorEastAsia"/>
          <w:color w:val="000000"/>
          <w:sz w:val="21"/>
          <w:szCs w:val="21"/>
          <w:highlight w:val="none"/>
        </w:rPr>
        <w:t>招</w:t>
      </w:r>
      <w:r>
        <w:rPr>
          <w:rFonts w:asciiTheme="minorEastAsia" w:hAnsiTheme="minorEastAsia"/>
          <w:color w:val="000000"/>
          <w:sz w:val="21"/>
          <w:szCs w:val="21"/>
          <w:highlight w:val="none"/>
        </w:rPr>
        <w:t>标项目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标报价</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署上</w:t>
      </w:r>
      <w:r>
        <w:rPr>
          <w:rFonts w:asciiTheme="minorEastAsia" w:hAnsiTheme="minorEastAsia"/>
          <w:color w:val="000000"/>
          <w:sz w:val="21"/>
          <w:szCs w:val="21"/>
          <w:highlight w:val="none"/>
        </w:rPr>
        <w:t>述项目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w:t>
      </w:r>
      <w:r>
        <w:rPr>
          <w:rFonts w:hint="eastAsia" w:asciiTheme="minorEastAsia" w:hAnsiTheme="minorEastAsia"/>
          <w:color w:val="000000"/>
          <w:sz w:val="21"/>
          <w:szCs w:val="21"/>
          <w:highlight w:val="none"/>
        </w:rPr>
        <w:t>文件及合同的</w:t>
      </w:r>
      <w:r>
        <w:rPr>
          <w:rFonts w:asciiTheme="minorEastAsia" w:hAnsiTheme="minorEastAsia"/>
          <w:color w:val="000000"/>
          <w:sz w:val="21"/>
          <w:szCs w:val="21"/>
          <w:highlight w:val="none"/>
        </w:rPr>
        <w:t>执</w:t>
      </w:r>
      <w:r>
        <w:rPr>
          <w:rFonts w:hint="eastAsia" w:asciiTheme="minorEastAsia" w:hAnsiTheme="minorEastAsia"/>
          <w:color w:val="000000"/>
          <w:sz w:val="21"/>
          <w:szCs w:val="21"/>
          <w:highlight w:val="none"/>
        </w:rPr>
        <w:t>行、完成、服</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和保修，</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署合同和</w:t>
      </w:r>
      <w:r>
        <w:rPr>
          <w:rFonts w:asciiTheme="minorEastAsia" w:hAnsiTheme="minorEastAsia"/>
          <w:color w:val="000000"/>
          <w:sz w:val="21"/>
          <w:szCs w:val="21"/>
          <w:highlight w:val="none"/>
        </w:rPr>
        <w:t>处</w:t>
      </w:r>
      <w:r>
        <w:rPr>
          <w:rFonts w:hint="eastAsia" w:asciiTheme="minorEastAsia" w:hAnsiTheme="minorEastAsia"/>
          <w:color w:val="000000"/>
          <w:sz w:val="21"/>
          <w:szCs w:val="21"/>
          <w:highlight w:val="none"/>
        </w:rPr>
        <w:t>理与之有</w:t>
      </w:r>
      <w:r>
        <w:rPr>
          <w:rFonts w:asciiTheme="minorEastAsia" w:hAnsiTheme="minorEastAsia"/>
          <w:color w:val="000000"/>
          <w:sz w:val="21"/>
          <w:szCs w:val="21"/>
          <w:highlight w:val="none"/>
        </w:rPr>
        <w:t>关的</w:t>
      </w:r>
      <w:r>
        <w:rPr>
          <w:rFonts w:hint="eastAsia" w:asciiTheme="minorEastAsia" w:hAnsiTheme="minorEastAsia"/>
          <w:color w:val="000000"/>
          <w:sz w:val="21"/>
          <w:szCs w:val="21"/>
          <w:highlight w:val="none"/>
        </w:rPr>
        <w:t>一切事</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特此</w:t>
      </w:r>
      <w:r>
        <w:rPr>
          <w:rFonts w:asciiTheme="minorEastAsia" w:hAnsiTheme="minorEastAsia"/>
          <w:color w:val="000000"/>
          <w:sz w:val="21"/>
          <w:szCs w:val="21"/>
          <w:highlight w:val="none"/>
        </w:rPr>
        <w:t>证</w:t>
      </w:r>
      <w:r>
        <w:rPr>
          <w:rFonts w:hint="eastAsia" w:asciiTheme="minorEastAsia" w:hAnsiTheme="minorEastAsia"/>
          <w:color w:val="000000"/>
          <w:sz w:val="21"/>
          <w:szCs w:val="21"/>
          <w:highlight w:val="none"/>
        </w:rPr>
        <w:t>明。</w:t>
      </w:r>
    </w:p>
    <w:p>
      <w:pPr>
        <w:pStyle w:val="41"/>
        <w:spacing w:line="480" w:lineRule="auto"/>
        <w:ind w:firstLine="472" w:firstLineChars="225"/>
        <w:jc w:val="left"/>
        <w:rPr>
          <w:rFonts w:asciiTheme="minorEastAsia" w:hAnsiTheme="minorEastAsia"/>
          <w:color w:val="000000"/>
          <w:sz w:val="21"/>
          <w:szCs w:val="21"/>
          <w:highlight w:val="none"/>
        </w:rPr>
      </w:pPr>
    </w:p>
    <w:p>
      <w:pPr>
        <w:pStyle w:val="41"/>
        <w:spacing w:line="480" w:lineRule="auto"/>
        <w:ind w:firstLine="472" w:firstLineChars="225"/>
        <w:jc w:val="left"/>
        <w:rPr>
          <w:rFonts w:asciiTheme="minorEastAsia" w:hAnsiTheme="minorEastAsia"/>
          <w:color w:val="000000"/>
          <w:sz w:val="21"/>
          <w:szCs w:val="21"/>
          <w:highlight w:val="none"/>
        </w:rPr>
      </w:pPr>
    </w:p>
    <w:p>
      <w:pPr>
        <w:pStyle w:val="41"/>
        <w:spacing w:line="480" w:lineRule="auto"/>
        <w:ind w:left="-538" w:leftChars="-256" w:firstLine="539" w:firstLineChars="257"/>
        <w:jc w:val="center"/>
        <w:rPr>
          <w:rFonts w:asciiTheme="minorEastAsia" w:hAnsiTheme="minorEastAsia"/>
          <w:bCs/>
          <w:color w:val="000000"/>
          <w:sz w:val="21"/>
          <w:szCs w:val="21"/>
          <w:highlight w:val="none"/>
        </w:rPr>
      </w:pPr>
      <w:r>
        <w:rPr>
          <w:rFonts w:hint="eastAsia" w:asciiTheme="minorEastAsia" w:hAnsiTheme="minorEastAsia"/>
          <w:bCs/>
          <w:color w:val="000000"/>
          <w:sz w:val="21"/>
          <w:szCs w:val="21"/>
          <w:highlight w:val="none"/>
        </w:rPr>
        <w:t>【此</w:t>
      </w:r>
      <w:r>
        <w:rPr>
          <w:rFonts w:asciiTheme="minorEastAsia" w:hAnsiTheme="minorEastAsia"/>
          <w:bCs/>
          <w:color w:val="000000"/>
          <w:sz w:val="21"/>
          <w:szCs w:val="21"/>
          <w:highlight w:val="none"/>
        </w:rPr>
        <w:t>处请</w:t>
      </w:r>
      <w:r>
        <w:rPr>
          <w:rFonts w:hint="eastAsia" w:asciiTheme="minorEastAsia" w:hAnsiTheme="minorEastAsia"/>
          <w:bCs/>
          <w:color w:val="000000"/>
          <w:sz w:val="21"/>
          <w:szCs w:val="21"/>
          <w:highlight w:val="none"/>
        </w:rPr>
        <w:t>粘</w:t>
      </w:r>
      <w:r>
        <w:rPr>
          <w:rFonts w:asciiTheme="minorEastAsia" w:hAnsiTheme="minorEastAsia"/>
          <w:bCs/>
          <w:color w:val="000000"/>
          <w:sz w:val="21"/>
          <w:szCs w:val="21"/>
          <w:highlight w:val="none"/>
        </w:rPr>
        <w:t>贴</w:t>
      </w:r>
      <w:r>
        <w:rPr>
          <w:rFonts w:hint="eastAsia" w:asciiTheme="minorEastAsia" w:hAnsiTheme="minorEastAsia"/>
          <w:bCs/>
          <w:color w:val="000000"/>
          <w:sz w:val="21"/>
          <w:szCs w:val="21"/>
          <w:highlight w:val="none"/>
        </w:rPr>
        <w:t>法定代表人（单位负责人）身份</w:t>
      </w:r>
      <w:r>
        <w:rPr>
          <w:rFonts w:asciiTheme="minorEastAsia" w:hAnsiTheme="minorEastAsia"/>
          <w:bCs/>
          <w:color w:val="000000"/>
          <w:sz w:val="21"/>
          <w:szCs w:val="21"/>
          <w:highlight w:val="none"/>
        </w:rPr>
        <w:t>证复</w:t>
      </w:r>
      <w:r>
        <w:rPr>
          <w:rFonts w:hint="eastAsia" w:asciiTheme="minorEastAsia" w:hAnsiTheme="minorEastAsia"/>
          <w:bCs/>
          <w:color w:val="000000"/>
          <w:sz w:val="21"/>
          <w:szCs w:val="21"/>
          <w:highlight w:val="none"/>
        </w:rPr>
        <w:t>印件，需清晰反映身份证有效期限】</w:t>
      </w:r>
    </w:p>
    <w:p>
      <w:pPr>
        <w:pStyle w:val="41"/>
        <w:spacing w:line="480" w:lineRule="auto"/>
        <w:ind w:left="-538" w:leftChars="-256" w:firstLine="539" w:firstLineChars="257"/>
        <w:jc w:val="center"/>
        <w:rPr>
          <w:rFonts w:asciiTheme="minorEastAsia" w:hAnsiTheme="minorEastAsia"/>
          <w:bCs/>
          <w:color w:val="000000"/>
          <w:sz w:val="21"/>
          <w:szCs w:val="21"/>
          <w:highlight w:val="none"/>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spacing w:line="480" w:lineRule="auto"/>
        <w:ind w:firstLine="3937" w:firstLineChars="1875"/>
        <w:rPr>
          <w:rFonts w:cs="Arial" w:asciiTheme="minorEastAsia" w:hAnsiTheme="minorEastAsia"/>
          <w:color w:val="000000"/>
          <w:szCs w:val="21"/>
          <w:highlight w:val="none"/>
          <w:u w:val="single"/>
        </w:rPr>
      </w:pPr>
      <w:r>
        <w:rPr>
          <w:rFonts w:hint="eastAsia" w:cs="Arial" w:asciiTheme="minorEastAsia" w:hAnsiTheme="minorEastAsia"/>
          <w:color w:val="000000"/>
          <w:szCs w:val="21"/>
          <w:highlight w:val="none"/>
        </w:rPr>
        <w:t>投标人名称（并加盖公章）：</w:t>
      </w:r>
    </w:p>
    <w:p>
      <w:pPr>
        <w:pStyle w:val="44"/>
        <w:spacing w:before="60" w:line="480" w:lineRule="auto"/>
        <w:ind w:firstLine="3937" w:firstLineChars="1875"/>
        <w:rPr>
          <w:rFonts w:cs="Arial" w:asciiTheme="minorEastAsia" w:hAnsiTheme="minorEastAsia" w:eastAsiaTheme="minorEastAsia"/>
          <w:color w:val="000000"/>
          <w:sz w:val="21"/>
          <w:szCs w:val="21"/>
          <w:highlight w:val="none"/>
        </w:rPr>
      </w:pPr>
      <w:r>
        <w:rPr>
          <w:rFonts w:hint="eastAsia" w:cs="Arial" w:asciiTheme="minorEastAsia" w:hAnsiTheme="minorEastAsia" w:eastAsiaTheme="minorEastAsia"/>
          <w:color w:val="000000"/>
          <w:sz w:val="21"/>
          <w:szCs w:val="21"/>
          <w:highlight w:val="none"/>
        </w:rPr>
        <w:t>签署日期：   年   月  日</w:t>
      </w:r>
    </w:p>
    <w:p>
      <w:pPr>
        <w:pStyle w:val="43"/>
        <w:spacing w:line="480" w:lineRule="auto"/>
        <w:rPr>
          <w:rFonts w:cs="Arial" w:asciiTheme="minorEastAsia" w:hAnsiTheme="minorEastAsia"/>
          <w:color w:val="000000"/>
          <w:sz w:val="21"/>
          <w:szCs w:val="21"/>
          <w:highlight w:val="none"/>
        </w:rPr>
      </w:pPr>
    </w:p>
    <w:p>
      <w:pPr>
        <w:rPr>
          <w:szCs w:val="21"/>
          <w:highlight w:val="none"/>
        </w:rPr>
      </w:pPr>
    </w:p>
    <w:p>
      <w:pPr>
        <w:spacing w:line="320" w:lineRule="exact"/>
        <w:ind w:firstLine="420" w:firstLineChars="200"/>
        <w:rPr>
          <w:rFonts w:asciiTheme="minorEastAsia" w:hAnsiTheme="minorEastAsia"/>
          <w:bCs/>
          <w:color w:val="000000"/>
          <w:kern w:val="12"/>
          <w:szCs w:val="21"/>
          <w:highlight w:val="none"/>
        </w:rPr>
      </w:pPr>
      <w:r>
        <w:rPr>
          <w:rFonts w:hint="eastAsia" w:asciiTheme="minorEastAsia" w:hAnsiTheme="minorEastAsia"/>
          <w:bCs/>
          <w:color w:val="000000"/>
          <w:kern w:val="12"/>
          <w:szCs w:val="21"/>
          <w:highlight w:val="none"/>
        </w:rPr>
        <w:t>说明：法定代表人（单位负责人）</w:t>
      </w:r>
      <w:r>
        <w:rPr>
          <w:rFonts w:asciiTheme="minorEastAsia" w:hAnsiTheme="minorEastAsia"/>
          <w:bCs/>
          <w:color w:val="000000"/>
          <w:kern w:val="12"/>
          <w:szCs w:val="21"/>
          <w:highlight w:val="none"/>
        </w:rPr>
        <w:t>参</w:t>
      </w:r>
      <w:r>
        <w:rPr>
          <w:rFonts w:hint="eastAsia" w:asciiTheme="minorEastAsia" w:hAnsiTheme="minorEastAsia"/>
          <w:bCs/>
          <w:color w:val="000000"/>
          <w:kern w:val="12"/>
          <w:szCs w:val="21"/>
          <w:highlight w:val="none"/>
        </w:rPr>
        <w:t>加本招</w:t>
      </w:r>
      <w:r>
        <w:rPr>
          <w:rFonts w:asciiTheme="minorEastAsia" w:hAnsiTheme="minorEastAsia"/>
          <w:bCs/>
          <w:color w:val="000000"/>
          <w:kern w:val="12"/>
          <w:szCs w:val="21"/>
          <w:highlight w:val="none"/>
        </w:rPr>
        <w:t>标项目</w:t>
      </w:r>
      <w:r>
        <w:rPr>
          <w:rFonts w:hint="eastAsia" w:asciiTheme="minorEastAsia" w:hAnsiTheme="minorEastAsia"/>
          <w:bCs/>
          <w:color w:val="000000"/>
          <w:kern w:val="12"/>
          <w:szCs w:val="21"/>
          <w:highlight w:val="none"/>
        </w:rPr>
        <w:t>投</w:t>
      </w:r>
      <w:r>
        <w:rPr>
          <w:rFonts w:asciiTheme="minorEastAsia" w:hAnsiTheme="minorEastAsia"/>
          <w:bCs/>
          <w:color w:val="000000"/>
          <w:kern w:val="12"/>
          <w:szCs w:val="21"/>
          <w:highlight w:val="none"/>
        </w:rPr>
        <w:t>标</w:t>
      </w:r>
      <w:r>
        <w:rPr>
          <w:rFonts w:hint="eastAsia" w:asciiTheme="minorEastAsia" w:hAnsiTheme="minorEastAsia"/>
          <w:bCs/>
          <w:color w:val="000000"/>
          <w:kern w:val="12"/>
          <w:szCs w:val="21"/>
          <w:highlight w:val="none"/>
        </w:rPr>
        <w:t>的，</w:t>
      </w:r>
      <w:r>
        <w:rPr>
          <w:rFonts w:asciiTheme="minorEastAsia" w:hAnsiTheme="minorEastAsia"/>
          <w:bCs/>
          <w:color w:val="000000"/>
          <w:kern w:val="12"/>
          <w:szCs w:val="21"/>
          <w:highlight w:val="none"/>
        </w:rPr>
        <w:t>仅须</w:t>
      </w:r>
      <w:r>
        <w:rPr>
          <w:rFonts w:hint="eastAsia" w:asciiTheme="minorEastAsia" w:hAnsiTheme="minorEastAsia"/>
          <w:bCs/>
          <w:color w:val="000000"/>
          <w:kern w:val="12"/>
          <w:szCs w:val="21"/>
          <w:highlight w:val="none"/>
        </w:rPr>
        <w:t>出具此</w:t>
      </w:r>
      <w:r>
        <w:rPr>
          <w:rFonts w:asciiTheme="minorEastAsia" w:hAnsiTheme="minorEastAsia"/>
          <w:bCs/>
          <w:color w:val="000000"/>
          <w:kern w:val="12"/>
          <w:szCs w:val="21"/>
          <w:highlight w:val="none"/>
        </w:rPr>
        <w:t>证</w:t>
      </w:r>
      <w:r>
        <w:rPr>
          <w:rFonts w:hint="eastAsia" w:asciiTheme="minorEastAsia" w:hAnsiTheme="minorEastAsia"/>
          <w:bCs/>
          <w:color w:val="000000"/>
          <w:kern w:val="12"/>
          <w:szCs w:val="21"/>
          <w:highlight w:val="none"/>
        </w:rPr>
        <w:t>明</w:t>
      </w:r>
      <w:r>
        <w:rPr>
          <w:rFonts w:asciiTheme="minorEastAsia" w:hAnsiTheme="minorEastAsia"/>
          <w:bCs/>
          <w:color w:val="000000"/>
          <w:kern w:val="12"/>
          <w:szCs w:val="21"/>
          <w:highlight w:val="none"/>
        </w:rPr>
        <w:t>书</w:t>
      </w:r>
      <w:r>
        <w:rPr>
          <w:rFonts w:hint="eastAsia" w:asciiTheme="minorEastAsia" w:hAnsiTheme="minorEastAsia"/>
          <w:bCs/>
          <w:color w:val="000000"/>
          <w:kern w:val="12"/>
          <w:szCs w:val="21"/>
          <w:highlight w:val="none"/>
        </w:rPr>
        <w:t>。</w:t>
      </w:r>
    </w:p>
    <w:p>
      <w:pPr>
        <w:spacing w:line="480" w:lineRule="exact"/>
        <w:jc w:val="center"/>
        <w:rPr>
          <w:rFonts w:ascii="宋体" w:hAnsi="宋体"/>
          <w:b/>
          <w:bCs/>
          <w:color w:val="000000"/>
          <w:sz w:val="36"/>
          <w:szCs w:val="36"/>
          <w:highlight w:val="none"/>
        </w:rPr>
      </w:pPr>
    </w:p>
    <w:p>
      <w:pPr>
        <w:spacing w:line="480" w:lineRule="exact"/>
        <w:jc w:val="center"/>
        <w:rPr>
          <w:rFonts w:ascii="宋体" w:hAnsi="宋体"/>
          <w:b/>
          <w:bCs/>
          <w:color w:val="000000"/>
          <w:sz w:val="24"/>
          <w:szCs w:val="24"/>
          <w:highlight w:val="none"/>
        </w:rPr>
      </w:pPr>
      <w:r>
        <w:rPr>
          <w:rFonts w:hint="eastAsia" w:ascii="宋体" w:hAnsi="宋体"/>
          <w:b/>
          <w:bCs/>
          <w:color w:val="000000"/>
          <w:sz w:val="24"/>
          <w:szCs w:val="24"/>
          <w:highlight w:val="none"/>
        </w:rPr>
        <w:t>3.3 法定代表人（单位负责人）授权书</w:t>
      </w:r>
    </w:p>
    <w:p>
      <w:pPr>
        <w:spacing w:line="480" w:lineRule="exact"/>
        <w:jc w:val="center"/>
        <w:rPr>
          <w:rFonts w:ascii="宋体" w:hAnsi="宋体"/>
          <w:b/>
          <w:bCs/>
          <w:color w:val="000000"/>
          <w:sz w:val="36"/>
          <w:szCs w:val="36"/>
          <w:highlight w:val="none"/>
        </w:rPr>
      </w:pPr>
    </w:p>
    <w:p>
      <w:pPr>
        <w:adjustRightInd w:val="0"/>
        <w:spacing w:line="360" w:lineRule="auto"/>
        <w:ind w:firstLine="441" w:firstLineChars="210"/>
        <w:contextualSpacing/>
        <w:rPr>
          <w:rFonts w:cs="Arial" w:asciiTheme="minorEastAsia" w:hAnsiTheme="minorEastAsia"/>
          <w:szCs w:val="21"/>
          <w:highlight w:val="none"/>
        </w:rPr>
      </w:pPr>
      <w:r>
        <w:rPr>
          <w:rFonts w:hint="eastAsia" w:asciiTheme="minorEastAsia" w:hAnsiTheme="minorEastAsia"/>
          <w:szCs w:val="21"/>
          <w:highlight w:val="none"/>
        </w:rPr>
        <w:t xml:space="preserve"> </w:t>
      </w:r>
      <w:r>
        <w:rPr>
          <w:rFonts w:hint="eastAsia" w:cs="Arial" w:asciiTheme="minorEastAsia" w:hAnsiTheme="minorEastAsia"/>
          <w:szCs w:val="21"/>
          <w:highlight w:val="none"/>
        </w:rPr>
        <w:t>本人</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法人姓名</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系</w:t>
      </w:r>
      <w:r>
        <w:rPr>
          <w:rFonts w:hint="eastAsia" w:cs="Arial" w:asciiTheme="minorEastAsia" w:hAnsiTheme="minorEastAsia"/>
          <w:szCs w:val="21"/>
          <w:highlight w:val="none"/>
          <w:u w:val="single"/>
        </w:rPr>
        <w:t>　</w:t>
      </w:r>
      <w:r>
        <w:rPr>
          <w:rFonts w:hint="eastAsia" w:asciiTheme="minorEastAsia" w:hAnsiTheme="minorEastAsia"/>
          <w:i/>
          <w:snapToGrid w:val="0"/>
          <w:szCs w:val="21"/>
          <w:highlight w:val="none"/>
          <w:u w:val="single"/>
        </w:rPr>
        <w:t xml:space="preserve">投标人名称  </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的法定代表人（单位负责人），现委托</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姓名，职务</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我方对被授权人的签名事项负全部责任。</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被授权人无转委托权，特此委托。</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投标人名称： </w:t>
      </w:r>
      <w:r>
        <w:rPr>
          <w:rFonts w:hint="eastAsia" w:asciiTheme="minorEastAsia" w:hAnsiTheme="minorEastAsia"/>
          <w:szCs w:val="21"/>
          <w:highlight w:val="none"/>
          <w:u w:val="single"/>
        </w:rPr>
        <w:t xml:space="preserve">       （全称）       </w:t>
      </w:r>
      <w:r>
        <w:rPr>
          <w:rFonts w:hint="eastAsia" w:asciiTheme="minorEastAsia" w:hAnsiTheme="minorEastAsia"/>
          <w:szCs w:val="21"/>
          <w:highlight w:val="none"/>
        </w:rPr>
        <w:t xml:space="preserve"> （盖单位公章）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法定代表人（单位负责人）授权代表：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法定代表人（单位负责人）身份证（正面）</w:t>
            </w:r>
          </w:p>
        </w:tc>
        <w:tc>
          <w:tcPr>
            <w:tcW w:w="4485" w:type="dxa"/>
            <w:gridSpan w:val="2"/>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highlight w:val="none"/>
              </w:rPr>
            </w:pPr>
            <w:bookmarkStart w:id="9" w:name="_资格证明文件"/>
            <w:bookmarkEnd w:id="9"/>
            <w:bookmarkStart w:id="10" w:name="_Toc364329026"/>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（正面）</w:t>
            </w:r>
            <w:bookmarkEnd w:id="10"/>
          </w:p>
        </w:tc>
        <w:tc>
          <w:tcPr>
            <w:tcW w:w="4492" w:type="dxa"/>
            <w:gridSpan w:val="2"/>
            <w:vAlign w:val="center"/>
          </w:tcPr>
          <w:p>
            <w:pPr>
              <w:jc w:val="center"/>
              <w:rPr>
                <w:rFonts w:asciiTheme="minorEastAsia" w:hAnsiTheme="minorEastAsia"/>
                <w:szCs w:val="21"/>
                <w:highlight w:val="none"/>
              </w:rPr>
            </w:pPr>
            <w:bookmarkStart w:id="11" w:name="_Toc364329027"/>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（反面）</w:t>
            </w:r>
            <w:bookmarkEnd w:id="11"/>
          </w:p>
        </w:tc>
      </w:tr>
    </w:tbl>
    <w:p>
      <w:pPr>
        <w:spacing w:line="320" w:lineRule="exact"/>
        <w:ind w:left="2" w:firstLine="357" w:firstLineChars="149"/>
        <w:rPr>
          <w:rFonts w:cs="Courier New" w:asciiTheme="minorEastAsia" w:hAnsiTheme="minorEastAsia"/>
          <w:sz w:val="24"/>
          <w:szCs w:val="24"/>
          <w:highlight w:val="none"/>
        </w:rPr>
      </w:pPr>
    </w:p>
    <w:p>
      <w:pPr>
        <w:widowControl/>
        <w:spacing w:before="100" w:beforeAutospacing="1" w:after="100" w:afterAutospacing="1" w:line="360" w:lineRule="auto"/>
        <w:jc w:val="center"/>
        <w:rPr>
          <w:rFonts w:ascii="宋体" w:hAnsi="宋体"/>
          <w:b/>
          <w:bCs/>
          <w:color w:val="000000"/>
          <w:sz w:val="24"/>
          <w:szCs w:val="24"/>
          <w:highlight w:val="none"/>
        </w:rPr>
      </w:pPr>
      <w:r>
        <w:rPr>
          <w:rFonts w:hint="eastAsia" w:ascii="宋体" w:hAnsi="宋体"/>
          <w:b/>
          <w:bCs/>
          <w:color w:val="000000"/>
          <w:sz w:val="24"/>
          <w:szCs w:val="24"/>
          <w:highlight w:val="none"/>
        </w:rPr>
        <w:t>3.4 没有重大违法记录的声明</w:t>
      </w:r>
    </w:p>
    <w:p>
      <w:pPr>
        <w:spacing w:beforeLines="50" w:afterLines="50"/>
        <w:jc w:val="center"/>
        <w:rPr>
          <w:rFonts w:ascii="宋体" w:hAnsi="宋体" w:cs="Arial"/>
          <w:color w:val="000000"/>
          <w:kern w:val="0"/>
          <w:sz w:val="28"/>
          <w:szCs w:val="28"/>
          <w:highlight w:val="none"/>
        </w:rPr>
      </w:pPr>
      <w:r>
        <w:rPr>
          <w:rFonts w:hint="eastAsia" w:ascii="宋体" w:hAnsi="宋体" w:cs="Arial"/>
          <w:color w:val="000000"/>
          <w:kern w:val="0"/>
          <w:sz w:val="28"/>
          <w:szCs w:val="28"/>
          <w:highlight w:val="none"/>
        </w:rPr>
        <w:t>声　   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特此声明。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highlight w:val="none"/>
          <w:lang w:val="zh-CN"/>
        </w:rPr>
      </w:pP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单位名称（盖章）：</w:t>
      </w: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 xml:space="preserve">日    期：     </w:t>
      </w:r>
      <w:r>
        <w:rPr>
          <w:rFonts w:hint="eastAsia" w:cs="宋体" w:asciiTheme="minorEastAsia" w:hAnsiTheme="minorEastAsia"/>
          <w:szCs w:val="21"/>
          <w:highlight w:val="none"/>
        </w:rPr>
        <w:t>年    月    日</w:t>
      </w: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3.5 投标保证金</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许昌公共资源交易中心保证金缴纳回执</w:t>
      </w:r>
    </w:p>
    <w:p>
      <w:pPr>
        <w:autoSpaceDE w:val="0"/>
        <w:autoSpaceDN w:val="0"/>
        <w:adjustRightInd w:val="0"/>
        <w:spacing w:line="360" w:lineRule="auto"/>
        <w:jc w:val="center"/>
        <w:rPr>
          <w:rFonts w:ascii="宋体" w:cs="宋体"/>
          <w:szCs w:val="21"/>
          <w:highlight w:val="none"/>
          <w:lang w:val="zh-CN"/>
        </w:rPr>
      </w:pPr>
    </w:p>
    <w:p>
      <w:pPr>
        <w:autoSpaceDE w:val="0"/>
        <w:autoSpaceDN w:val="0"/>
        <w:adjustRightInd w:val="0"/>
        <w:spacing w:line="360" w:lineRule="auto"/>
        <w:jc w:val="center"/>
        <w:rPr>
          <w:rFonts w:ascii="宋体" w:cs="宋体"/>
          <w:szCs w:val="21"/>
          <w:highlight w:val="none"/>
          <w:lang w:val="zh-CN"/>
        </w:rPr>
      </w:pPr>
      <w:r>
        <w:rPr>
          <w:rFonts w:hint="eastAsia" w:ascii="宋体" w:cs="宋体"/>
          <w:szCs w:val="21"/>
          <w:highlight w:val="none"/>
          <w:lang w:val="zh-CN"/>
        </w:rPr>
        <w:t>（注：开标现场单独提供一份“许昌公共资源交易中心保证金缴纳回执”以备查询）</w:t>
      </w:r>
    </w:p>
    <w:p>
      <w:pPr>
        <w:autoSpaceDE w:val="0"/>
        <w:autoSpaceDN w:val="0"/>
        <w:adjustRightInd w:val="0"/>
        <w:spacing w:line="360" w:lineRule="auto"/>
        <w:ind w:right="-11"/>
        <w:rPr>
          <w:rFonts w:ascii="宋体" w:cs="宋体"/>
          <w:szCs w:val="21"/>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outlineLvl w:val="0"/>
        <w:rPr>
          <w:rFonts w:ascii="宋体" w:cs="宋体"/>
          <w:sz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rPr>
        <w:t>4.1 投</w:t>
      </w:r>
      <w:r>
        <w:rPr>
          <w:rFonts w:hint="eastAsia" w:ascii="宋体" w:hAnsi="宋体"/>
          <w:b/>
          <w:bCs/>
          <w:color w:val="000000"/>
          <w:sz w:val="24"/>
          <w:szCs w:val="24"/>
          <w:highlight w:val="none"/>
        </w:rPr>
        <w:t>标分项报价表（货物类项目）</w:t>
      </w:r>
    </w:p>
    <w:p>
      <w:pPr>
        <w:autoSpaceDE w:val="0"/>
        <w:autoSpaceDN w:val="0"/>
        <w:adjustRightInd w:val="0"/>
        <w:spacing w:line="360" w:lineRule="auto"/>
        <w:jc w:val="center"/>
        <w:outlineLvl w:val="0"/>
        <w:rPr>
          <w:rFonts w:ascii="宋体" w:hAnsi="宋体"/>
          <w:b/>
          <w:bCs/>
          <w:color w:val="000000"/>
          <w:sz w:val="24"/>
          <w:szCs w:val="24"/>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280" w:lineRule="exact"/>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名</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技术</w:t>
            </w:r>
          </w:p>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数</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产地及</w:t>
            </w:r>
          </w:p>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highlight w:val="none"/>
              </w:rPr>
            </w:pPr>
            <w:r>
              <w:rPr>
                <w:rFonts w:hint="eastAsia" w:cs="宋体" w:asciiTheme="minorEastAsia" w:hAnsiTheme="minorEastAsia"/>
                <w:szCs w:val="21"/>
                <w:highlight w:val="none"/>
                <w:lang w:val="zh-CN"/>
              </w:rPr>
              <w:t>合</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highlight w:val="none"/>
                <w:lang w:val="zh-CN"/>
              </w:rPr>
            </w:pPr>
            <w:r>
              <w:rPr>
                <w:rFonts w:hint="eastAsia" w:cs="宋体" w:asciiTheme="minorEastAsia" w:hAnsiTheme="minorEastAsia"/>
                <w:szCs w:val="21"/>
                <w:highlight w:val="none"/>
                <w:lang w:val="zh-CN"/>
              </w:rPr>
              <w:t>大写：　　　　　　</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小写：</w:t>
            </w: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 w:val="24"/>
          <w:szCs w:val="24"/>
          <w:highlight w:val="none"/>
          <w:lang w:val="zh-CN"/>
        </w:rPr>
      </w:pPr>
    </w:p>
    <w:p>
      <w:pPr>
        <w:spacing w:line="300" w:lineRule="exact"/>
        <w:rPr>
          <w:rFonts w:asciiTheme="minorEastAsia" w:hAnsiTheme="minorEastAsia"/>
          <w:color w:val="000000"/>
          <w:sz w:val="24"/>
          <w:szCs w:val="24"/>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4.2 技术规格偏离表（货物类项目）</w:t>
      </w: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1418"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货物服务</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名称</w:t>
            </w:r>
          </w:p>
        </w:tc>
        <w:tc>
          <w:tcPr>
            <w:tcW w:w="127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招标文件</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投标技术</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参数</w:t>
            </w:r>
          </w:p>
        </w:tc>
        <w:tc>
          <w:tcPr>
            <w:tcW w:w="15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w:t>
            </w:r>
          </w:p>
          <w:p>
            <w:pPr>
              <w:jc w:val="center"/>
              <w:rPr>
                <w:rFonts w:ascii="宋体" w:hAnsi="宋体" w:eastAsia="宋体" w:cs="宋体"/>
                <w:b/>
                <w:bCs/>
                <w:szCs w:val="21"/>
                <w:highlight w:val="none"/>
              </w:rPr>
            </w:pPr>
            <w:r>
              <w:rPr>
                <w:rFonts w:hint="eastAsia" w:ascii="宋体" w:hAnsi="宋体" w:eastAsia="宋体" w:cs="宋体"/>
                <w:b/>
                <w:bCs/>
                <w:szCs w:val="21"/>
                <w:highlight w:val="none"/>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偏离内容</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说明</w:t>
            </w: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bCs/>
                <w:szCs w:val="21"/>
                <w:highlight w:val="none"/>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szCs w:val="21"/>
                <w:highlight w:val="none"/>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Cs w:val="21"/>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4.3 技术方案（实施方案）</w:t>
      </w: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4.4 业绩情况表</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snapToGrid w:val="0"/>
        <w:spacing w:line="360" w:lineRule="auto"/>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序号</w:t>
            </w:r>
          </w:p>
        </w:tc>
        <w:tc>
          <w:tcPr>
            <w:tcW w:w="1808"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客户单位名称</w:t>
            </w:r>
          </w:p>
        </w:tc>
        <w:tc>
          <w:tcPr>
            <w:tcW w:w="3579"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项目名称及主要内容</w:t>
            </w:r>
          </w:p>
        </w:tc>
        <w:tc>
          <w:tcPr>
            <w:tcW w:w="1440" w:type="dxa"/>
            <w:shd w:val="clear" w:color="auto" w:fill="F3F3F3"/>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合同金额</w:t>
            </w:r>
          </w:p>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（万元）</w:t>
            </w:r>
          </w:p>
        </w:tc>
        <w:tc>
          <w:tcPr>
            <w:tcW w:w="1706"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1</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2</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3</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4</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highlight w:val="none"/>
              </w:rPr>
            </w:pPr>
            <w:r>
              <w:rPr>
                <w:rFonts w:hint="eastAsia" w:ascii="宋体" w:hAnsi="宋体" w:eastAsia="宋体" w:cs="宋体"/>
                <w:sz w:val="21"/>
                <w:szCs w:val="21"/>
                <w:highlight w:val="none"/>
              </w:rPr>
              <w:t>……</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4.5 售后服务方案</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4.6 中小企业声明函</w:t>
      </w:r>
    </w:p>
    <w:p>
      <w:pPr>
        <w:spacing w:line="360" w:lineRule="auto"/>
        <w:jc w:val="center"/>
        <w:rPr>
          <w:rFonts w:ascii="宋体" w:hAnsi="宋体"/>
          <w:b/>
          <w:bCs/>
          <w:color w:val="000000"/>
          <w:szCs w:val="21"/>
          <w:highlight w:val="none"/>
        </w:rPr>
      </w:pP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根据《工业和信息化部、国家统计局、国家发展和改革委员会、财政部关于印发中小企业划型标准规定的通知》（工信部联企业[2011]300号）规定的划分标准，</w:t>
      </w:r>
      <w:r>
        <w:rPr>
          <w:rFonts w:hint="eastAsia"/>
          <w:color w:val="000000"/>
          <w:szCs w:val="21"/>
          <w:highlight w:val="none"/>
        </w:rPr>
        <w:t>按照《国家统计局关于印发统计上大中小微型企业划分办法的通知》（国统字</w:t>
      </w:r>
      <w:r>
        <w:rPr>
          <w:color w:val="000000"/>
          <w:szCs w:val="21"/>
          <w:highlight w:val="none"/>
        </w:rPr>
        <w:t>[2011] 75</w:t>
      </w:r>
      <w:r>
        <w:rPr>
          <w:rFonts w:hint="eastAsia"/>
          <w:color w:val="000000"/>
          <w:szCs w:val="21"/>
          <w:highlight w:val="none"/>
        </w:rPr>
        <w:t>号）规定，本公司所属行业为</w:t>
      </w:r>
      <w:r>
        <w:rPr>
          <w:color w:val="000000"/>
          <w:szCs w:val="21"/>
          <w:highlight w:val="none"/>
        </w:rPr>
        <w:t>______</w:t>
      </w:r>
      <w:r>
        <w:rPr>
          <w:rFonts w:hint="eastAsia"/>
          <w:color w:val="000000"/>
          <w:szCs w:val="21"/>
          <w:highlight w:val="none"/>
        </w:rPr>
        <w:t>，截至上一财年末，公司资产总额</w:t>
      </w:r>
      <w:r>
        <w:rPr>
          <w:color w:val="000000"/>
          <w:szCs w:val="21"/>
          <w:highlight w:val="none"/>
        </w:rPr>
        <w:t>______</w:t>
      </w:r>
      <w:r>
        <w:rPr>
          <w:rFonts w:hint="eastAsia"/>
          <w:color w:val="000000"/>
          <w:szCs w:val="21"/>
          <w:highlight w:val="none"/>
        </w:rPr>
        <w:t>万元，营业收入</w:t>
      </w:r>
      <w:r>
        <w:rPr>
          <w:color w:val="000000"/>
          <w:szCs w:val="21"/>
          <w:highlight w:val="none"/>
        </w:rPr>
        <w:t>______</w:t>
      </w:r>
      <w:r>
        <w:rPr>
          <w:rFonts w:hint="eastAsia"/>
          <w:color w:val="000000"/>
          <w:szCs w:val="21"/>
          <w:highlight w:val="none"/>
        </w:rPr>
        <w:t>万元，从业人员</w:t>
      </w:r>
      <w:r>
        <w:rPr>
          <w:color w:val="000000"/>
          <w:szCs w:val="21"/>
          <w:highlight w:val="none"/>
        </w:rPr>
        <w:t>______</w:t>
      </w:r>
      <w:r>
        <w:rPr>
          <w:rFonts w:hint="eastAsia"/>
          <w:color w:val="000000"/>
          <w:szCs w:val="21"/>
          <w:highlight w:val="none"/>
        </w:rPr>
        <w:t>人，</w:t>
      </w:r>
      <w:r>
        <w:rPr>
          <w:rFonts w:hint="eastAsia" w:ascii="宋体" w:hAnsi="宋体" w:cs="Arial"/>
          <w:color w:val="000000"/>
          <w:kern w:val="0"/>
          <w:szCs w:val="21"/>
          <w:highlight w:val="none"/>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r>
        <w:rPr>
          <w:rFonts w:hint="eastAsia" w:ascii="宋体" w:hAnsi="宋体" w:cs="Arial"/>
          <w:color w:val="000000"/>
          <w:kern w:val="0"/>
          <w:szCs w:val="21"/>
          <w:highlight w:val="none"/>
        </w:rPr>
        <w:t>企业名称（盖章）：　　　　　　　　　</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xml:space="preserve">日　  期：      </w:t>
      </w:r>
      <w:r>
        <w:rPr>
          <w:rFonts w:hint="eastAsia" w:cs="宋体" w:asciiTheme="minorEastAsia" w:hAnsiTheme="minorEastAsia"/>
          <w:szCs w:val="21"/>
          <w:highlight w:val="none"/>
        </w:rPr>
        <w:t>年    月    日</w:t>
      </w:r>
    </w:p>
    <w:p>
      <w:pPr>
        <w:widowControl/>
        <w:spacing w:before="100" w:beforeAutospacing="1" w:after="100" w:afterAutospacing="1" w:line="360" w:lineRule="auto"/>
        <w:contextualSpacing/>
        <w:jc w:val="left"/>
        <w:rPr>
          <w:rFonts w:ascii="宋体" w:hAnsi="宋体"/>
          <w:color w:val="000000"/>
          <w:szCs w:val="21"/>
          <w:highlight w:val="none"/>
        </w:rPr>
      </w:pPr>
      <w:r>
        <w:rPr>
          <w:rFonts w:hint="eastAsia" w:ascii="宋体" w:hAnsi="宋体"/>
          <w:color w:val="000000"/>
          <w:szCs w:val="21"/>
          <w:highlight w:val="none"/>
        </w:rPr>
        <w:t>说明：</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highlight w:val="none"/>
        </w:rPr>
      </w:pPr>
      <w:bookmarkStart w:id="12" w:name="OLE_LINK14"/>
      <w:bookmarkStart w:id="13" w:name="OLE_LINK13"/>
      <w:r>
        <w:rPr>
          <w:rFonts w:hint="eastAsia" w:ascii="宋体" w:hAnsi="宋体"/>
          <w:b/>
          <w:bCs/>
          <w:color w:val="000000"/>
          <w:sz w:val="24"/>
          <w:szCs w:val="24"/>
          <w:highlight w:val="none"/>
        </w:rPr>
        <w:t>4.7 残疾人福利性单位声明函</w:t>
      </w:r>
    </w:p>
    <w:bookmarkEnd w:id="12"/>
    <w:bookmarkEnd w:id="13"/>
    <w:p>
      <w:pPr>
        <w:spacing w:line="360" w:lineRule="auto"/>
        <w:rPr>
          <w:rFonts w:ascii="宋体" w:hAnsi="宋体"/>
          <w:szCs w:val="21"/>
          <w:highlight w:val="none"/>
        </w:rPr>
      </w:pPr>
    </w:p>
    <w:p>
      <w:pPr>
        <w:spacing w:line="360" w:lineRule="auto"/>
        <w:ind w:firstLine="420" w:firstLineChars="200"/>
        <w:rPr>
          <w:rFonts w:ascii="宋体" w:hAnsi="宋体"/>
          <w:szCs w:val="21"/>
          <w:highlight w:val="none"/>
        </w:rPr>
      </w:pPr>
      <w:r>
        <w:rPr>
          <w:rFonts w:hint="eastAsia" w:ascii="宋体" w:hAnsi="宋体"/>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highlight w:val="none"/>
          <w:u w:val="single"/>
        </w:rPr>
        <w:t xml:space="preserve">        </w:t>
      </w:r>
      <w:r>
        <w:rPr>
          <w:rFonts w:hint="eastAsia" w:ascii="宋体" w:hAnsi="宋体"/>
          <w:szCs w:val="21"/>
          <w:highlight w:val="none"/>
        </w:rPr>
        <w:t>单位的</w:t>
      </w:r>
      <w:r>
        <w:rPr>
          <w:rFonts w:hint="eastAsia" w:ascii="宋体" w:hAnsi="宋体"/>
          <w:szCs w:val="21"/>
          <w:highlight w:val="none"/>
          <w:u w:val="single"/>
        </w:rPr>
        <w:t xml:space="preserve">           </w:t>
      </w:r>
      <w:r>
        <w:rPr>
          <w:rFonts w:hint="eastAsia" w:ascii="宋体" w:hAnsi="宋体"/>
          <w:szCs w:val="21"/>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highlight w:val="none"/>
        </w:rPr>
      </w:pPr>
      <w:r>
        <w:rPr>
          <w:rFonts w:hint="eastAsia" w:ascii="宋体" w:hAnsi="宋体"/>
          <w:szCs w:val="21"/>
          <w:highlight w:val="none"/>
        </w:rPr>
        <w:t>本单位对上述声明的真实性负责。如有虚假，将依法承担相应责任。</w:t>
      </w:r>
    </w:p>
    <w:p>
      <w:pPr>
        <w:spacing w:line="360" w:lineRule="auto"/>
        <w:rPr>
          <w:rFonts w:ascii="宋体" w:hAnsi="宋体"/>
          <w:szCs w:val="21"/>
          <w:highlight w:val="none"/>
        </w:rPr>
      </w:pPr>
    </w:p>
    <w:p>
      <w:pPr>
        <w:spacing w:line="360" w:lineRule="auto"/>
        <w:rPr>
          <w:rFonts w:ascii="宋体" w:hAnsi="宋体"/>
          <w:szCs w:val="21"/>
          <w:highlight w:val="none"/>
        </w:rPr>
      </w:pPr>
    </w:p>
    <w:p>
      <w:pPr>
        <w:spacing w:line="360" w:lineRule="auto"/>
        <w:rPr>
          <w:rFonts w:ascii="宋体" w:hAnsi="宋体"/>
          <w:szCs w:val="21"/>
          <w:highlight w:val="none"/>
        </w:rPr>
      </w:pPr>
      <w:r>
        <w:rPr>
          <w:rFonts w:hint="eastAsia" w:ascii="宋体" w:hAnsi="宋体"/>
          <w:szCs w:val="21"/>
          <w:highlight w:val="none"/>
        </w:rPr>
        <w:t xml:space="preserve">                                    单位名称（盖章）：</w:t>
      </w:r>
    </w:p>
    <w:p>
      <w:pPr>
        <w:spacing w:line="360" w:lineRule="auto"/>
        <w:rPr>
          <w:rFonts w:ascii="宋体" w:hAnsi="宋体"/>
          <w:szCs w:val="21"/>
          <w:highlight w:val="none"/>
        </w:rPr>
      </w:pPr>
      <w:r>
        <w:rPr>
          <w:rFonts w:hint="eastAsia" w:ascii="宋体" w:hAnsi="宋体"/>
          <w:szCs w:val="21"/>
          <w:highlight w:val="none"/>
        </w:rPr>
        <w:t xml:space="preserve">                                    日    期：      </w:t>
      </w:r>
      <w:r>
        <w:rPr>
          <w:rFonts w:hint="eastAsia" w:cs="宋体" w:asciiTheme="minorEastAsia" w:hAnsiTheme="minorEastAsia"/>
          <w:szCs w:val="21"/>
          <w:highlight w:val="none"/>
        </w:rPr>
        <w:t>年    月    日</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line="360" w:lineRule="auto"/>
        <w:jc w:val="center"/>
        <w:rPr>
          <w:rFonts w:ascii="宋体" w:hAnsi="宋体" w:cs="Arial"/>
          <w:color w:val="000000"/>
          <w:kern w:val="0"/>
          <w:szCs w:val="21"/>
          <w:highlight w:val="none"/>
        </w:rPr>
      </w:pPr>
      <w:r>
        <w:rPr>
          <w:rFonts w:hint="eastAsia" w:ascii="宋体" w:hAnsi="宋体" w:cs="Arial"/>
          <w:color w:val="000000"/>
          <w:kern w:val="0"/>
          <w:szCs w:val="21"/>
          <w:highlight w:val="none"/>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highlight w:val="none"/>
        </w:rPr>
      </w:pPr>
    </w:p>
    <w:p>
      <w:pPr>
        <w:widowControl/>
        <w:spacing w:before="100" w:beforeAutospacing="1" w:after="100" w:afterAutospacing="1" w:line="360" w:lineRule="auto"/>
        <w:jc w:val="center"/>
        <w:rPr>
          <w:rFonts w:ascii="宋体" w:hAnsi="宋体"/>
          <w:b/>
          <w:bCs/>
          <w:color w:val="000000"/>
          <w:sz w:val="36"/>
          <w:szCs w:val="36"/>
          <w:highlight w:val="none"/>
        </w:rPr>
      </w:pPr>
    </w:p>
    <w:p>
      <w:pPr>
        <w:rPr>
          <w:highlight w:val="none"/>
        </w:rPr>
      </w:pPr>
    </w:p>
    <w:p>
      <w:pPr>
        <w:rPr>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28"/>
          <w:szCs w:val="28"/>
          <w:highlight w:val="none"/>
          <w:lang w:val="zh-CN"/>
        </w:rPr>
      </w:pPr>
      <w:r>
        <w:rPr>
          <w:rFonts w:hint="eastAsia" w:cs="黑体" w:asciiTheme="minorEastAsia" w:hAnsiTheme="minorEastAsia"/>
          <w:b/>
          <w:bCs/>
          <w:sz w:val="28"/>
          <w:szCs w:val="28"/>
          <w:highlight w:val="none"/>
          <w:lang w:val="zh-CN"/>
        </w:rPr>
        <w:t>五、</w:t>
      </w:r>
      <w:r>
        <w:rPr>
          <w:rFonts w:cs="黑体" w:asciiTheme="minorEastAsia" w:hAnsiTheme="minorEastAsia"/>
          <w:b/>
          <w:bCs/>
          <w:sz w:val="28"/>
          <w:szCs w:val="28"/>
          <w:highlight w:val="none"/>
          <w:lang w:val="zh-CN"/>
        </w:rPr>
        <w:t>其他资料（若有）</w:t>
      </w:r>
    </w:p>
    <w:p>
      <w:pPr>
        <w:rPr>
          <w:highlight w:val="none"/>
        </w:rPr>
      </w:pPr>
    </w:p>
    <w:p>
      <w:pPr>
        <w:rPr>
          <w:highlight w:val="none"/>
        </w:rPr>
      </w:pPr>
    </w:p>
    <w:p>
      <w:pPr>
        <w:rPr>
          <w:highlight w:val="none"/>
        </w:rPr>
      </w:pP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除招标文件另有规定外，投标人认为需要提交的其他证明材料或资料加盖投标人的单位公章后应在此项下提交。</w:t>
      </w: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 </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5" o:spid="_x0000_s1025"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17</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5"/>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333F500B"/>
    <w:multiLevelType w:val="singleLevel"/>
    <w:tmpl w:val="333F500B"/>
    <w:lvl w:ilvl="0" w:tentative="0">
      <w:start w:val="1"/>
      <w:numFmt w:val="chineseCounting"/>
      <w:suff w:val="nothing"/>
      <w:lvlText w:val="%1、"/>
      <w:lvlJc w:val="left"/>
      <w:rPr>
        <w:rFonts w:hint="eastAsia"/>
      </w:rPr>
    </w:lvl>
  </w:abstractNum>
  <w:abstractNum w:abstractNumId="9">
    <w:nsid w:val="35703775"/>
    <w:multiLevelType w:val="multilevel"/>
    <w:tmpl w:val="35703775"/>
    <w:lvl w:ilvl="0" w:tentative="0">
      <w:start w:val="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9A414E2"/>
    <w:multiLevelType w:val="multilevel"/>
    <w:tmpl w:val="39A414E2"/>
    <w:lvl w:ilvl="0" w:tentative="0">
      <w:start w:val="36"/>
      <w:numFmt w:val="decimal"/>
      <w:lvlText w:val="%1.1 "/>
      <w:lvlJc w:val="left"/>
      <w:pPr>
        <w:ind w:left="964" w:hanging="544"/>
      </w:pPr>
      <w:rPr>
        <w:rFonts w:hint="eastAsia"/>
      </w:rPr>
    </w:lvl>
    <w:lvl w:ilvl="1" w:tentative="0">
      <w:start w:val="1"/>
      <w:numFmt w:val="decimalEnclosedCircle"/>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F0A2C70"/>
    <w:multiLevelType w:val="multilevel"/>
    <w:tmpl w:val="3F0A2C70"/>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9F817C2"/>
    <w:multiLevelType w:val="singleLevel"/>
    <w:tmpl w:val="59F817C2"/>
    <w:lvl w:ilvl="0" w:tentative="0">
      <w:start w:val="2"/>
      <w:numFmt w:val="chineseCounting"/>
      <w:suff w:val="space"/>
      <w:lvlText w:val="第%1章"/>
      <w:lvlJc w:val="left"/>
    </w:lvl>
  </w:abstractNum>
  <w:abstractNum w:abstractNumId="14">
    <w:nsid w:val="59F817E8"/>
    <w:multiLevelType w:val="singleLevel"/>
    <w:tmpl w:val="59F817E8"/>
    <w:lvl w:ilvl="0" w:tentative="0">
      <w:start w:val="1"/>
      <w:numFmt w:val="chineseCounting"/>
      <w:pStyle w:val="50"/>
      <w:suff w:val="nothing"/>
      <w:lvlText w:val="%1、"/>
      <w:lvlJc w:val="left"/>
    </w:lvl>
  </w:abstractNum>
  <w:abstractNum w:abstractNumId="1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72C53A37"/>
    <w:multiLevelType w:val="multilevel"/>
    <w:tmpl w:val="72C53A37"/>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4"/>
  </w:num>
  <w:num w:numId="4">
    <w:abstractNumId w:val="13"/>
  </w:num>
  <w:num w:numId="5">
    <w:abstractNumId w:val="8"/>
  </w:num>
  <w:num w:numId="6">
    <w:abstractNumId w:val="7"/>
  </w:num>
  <w:num w:numId="7">
    <w:abstractNumId w:val="15"/>
  </w:num>
  <w:num w:numId="8">
    <w:abstractNumId w:val="9"/>
  </w:num>
  <w:num w:numId="9">
    <w:abstractNumId w:val="4"/>
  </w:num>
  <w:num w:numId="10">
    <w:abstractNumId w:val="5"/>
  </w:num>
  <w:num w:numId="11">
    <w:abstractNumId w:val="17"/>
  </w:num>
  <w:num w:numId="12">
    <w:abstractNumId w:val="11"/>
  </w:num>
  <w:num w:numId="13">
    <w:abstractNumId w:val="16"/>
  </w:num>
  <w:num w:numId="14">
    <w:abstractNumId w:val="3"/>
  </w:num>
  <w:num w:numId="15">
    <w:abstractNumId w:val="6"/>
  </w:num>
  <w:num w:numId="16">
    <w:abstractNumId w:val="12"/>
  </w:num>
  <w:num w:numId="17">
    <w:abstractNumId w:val="1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8527E"/>
    <w:rsid w:val="000038EC"/>
    <w:rsid w:val="000125D2"/>
    <w:rsid w:val="00013E96"/>
    <w:rsid w:val="00014754"/>
    <w:rsid w:val="000249DA"/>
    <w:rsid w:val="00025C44"/>
    <w:rsid w:val="00026B40"/>
    <w:rsid w:val="0003728F"/>
    <w:rsid w:val="00045650"/>
    <w:rsid w:val="00060E86"/>
    <w:rsid w:val="00067481"/>
    <w:rsid w:val="00067C9C"/>
    <w:rsid w:val="00081595"/>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7312"/>
    <w:rsid w:val="001D1685"/>
    <w:rsid w:val="001D2B18"/>
    <w:rsid w:val="001E1429"/>
    <w:rsid w:val="001E7708"/>
    <w:rsid w:val="00203E42"/>
    <w:rsid w:val="00204DF9"/>
    <w:rsid w:val="002175E7"/>
    <w:rsid w:val="0022188F"/>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21D34"/>
    <w:rsid w:val="0032405E"/>
    <w:rsid w:val="00331995"/>
    <w:rsid w:val="003342D8"/>
    <w:rsid w:val="0033506B"/>
    <w:rsid w:val="00342089"/>
    <w:rsid w:val="00352DF4"/>
    <w:rsid w:val="0035369D"/>
    <w:rsid w:val="00360545"/>
    <w:rsid w:val="0036152C"/>
    <w:rsid w:val="003639CB"/>
    <w:rsid w:val="0036447A"/>
    <w:rsid w:val="00371295"/>
    <w:rsid w:val="003726CA"/>
    <w:rsid w:val="00377AC4"/>
    <w:rsid w:val="00380522"/>
    <w:rsid w:val="00391A94"/>
    <w:rsid w:val="0039370D"/>
    <w:rsid w:val="003971D7"/>
    <w:rsid w:val="00397CD6"/>
    <w:rsid w:val="003A5CBF"/>
    <w:rsid w:val="003B0247"/>
    <w:rsid w:val="003B0702"/>
    <w:rsid w:val="003B11BC"/>
    <w:rsid w:val="003B2E92"/>
    <w:rsid w:val="003B5A23"/>
    <w:rsid w:val="003C2FDE"/>
    <w:rsid w:val="003D0F3B"/>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73F"/>
    <w:rsid w:val="00432BA9"/>
    <w:rsid w:val="00435C50"/>
    <w:rsid w:val="00444404"/>
    <w:rsid w:val="004458B3"/>
    <w:rsid w:val="00450FD5"/>
    <w:rsid w:val="0045454F"/>
    <w:rsid w:val="004552DD"/>
    <w:rsid w:val="004555BF"/>
    <w:rsid w:val="00455D39"/>
    <w:rsid w:val="00456AAA"/>
    <w:rsid w:val="00466052"/>
    <w:rsid w:val="00471DCF"/>
    <w:rsid w:val="0047255E"/>
    <w:rsid w:val="00473A3B"/>
    <w:rsid w:val="00475D6F"/>
    <w:rsid w:val="004836C1"/>
    <w:rsid w:val="00490B4A"/>
    <w:rsid w:val="0049409E"/>
    <w:rsid w:val="004960A0"/>
    <w:rsid w:val="004A37B2"/>
    <w:rsid w:val="004B0A88"/>
    <w:rsid w:val="004B5C96"/>
    <w:rsid w:val="004C0D4D"/>
    <w:rsid w:val="004C0F8F"/>
    <w:rsid w:val="004C41D8"/>
    <w:rsid w:val="004C526D"/>
    <w:rsid w:val="004C5E01"/>
    <w:rsid w:val="004C7600"/>
    <w:rsid w:val="004D3D55"/>
    <w:rsid w:val="004D749D"/>
    <w:rsid w:val="004E671C"/>
    <w:rsid w:val="005001C4"/>
    <w:rsid w:val="00503567"/>
    <w:rsid w:val="00506310"/>
    <w:rsid w:val="00506E21"/>
    <w:rsid w:val="00510B29"/>
    <w:rsid w:val="00511187"/>
    <w:rsid w:val="00515CD7"/>
    <w:rsid w:val="005223E7"/>
    <w:rsid w:val="005242A0"/>
    <w:rsid w:val="005242FC"/>
    <w:rsid w:val="00543774"/>
    <w:rsid w:val="0054495A"/>
    <w:rsid w:val="00551D04"/>
    <w:rsid w:val="005637E2"/>
    <w:rsid w:val="00566E94"/>
    <w:rsid w:val="0057125E"/>
    <w:rsid w:val="005723F8"/>
    <w:rsid w:val="00580FBF"/>
    <w:rsid w:val="00583761"/>
    <w:rsid w:val="00583EAF"/>
    <w:rsid w:val="00584158"/>
    <w:rsid w:val="00585056"/>
    <w:rsid w:val="00585C8D"/>
    <w:rsid w:val="00586484"/>
    <w:rsid w:val="005930FB"/>
    <w:rsid w:val="005978CC"/>
    <w:rsid w:val="005A0F07"/>
    <w:rsid w:val="005B1360"/>
    <w:rsid w:val="005D0BBF"/>
    <w:rsid w:val="005D1822"/>
    <w:rsid w:val="005D209E"/>
    <w:rsid w:val="005D2AF1"/>
    <w:rsid w:val="005E0C2F"/>
    <w:rsid w:val="005E25D4"/>
    <w:rsid w:val="005E7603"/>
    <w:rsid w:val="005F34DE"/>
    <w:rsid w:val="005F6C34"/>
    <w:rsid w:val="006042BA"/>
    <w:rsid w:val="006121F2"/>
    <w:rsid w:val="006127ED"/>
    <w:rsid w:val="00615A1B"/>
    <w:rsid w:val="006203D4"/>
    <w:rsid w:val="006251F5"/>
    <w:rsid w:val="00625517"/>
    <w:rsid w:val="00636AAD"/>
    <w:rsid w:val="006433A7"/>
    <w:rsid w:val="0065716D"/>
    <w:rsid w:val="00662CA9"/>
    <w:rsid w:val="00671430"/>
    <w:rsid w:val="006754C2"/>
    <w:rsid w:val="0067638E"/>
    <w:rsid w:val="00691754"/>
    <w:rsid w:val="00691B6F"/>
    <w:rsid w:val="00694142"/>
    <w:rsid w:val="006A2213"/>
    <w:rsid w:val="006A5B8C"/>
    <w:rsid w:val="006B26D6"/>
    <w:rsid w:val="006B32D1"/>
    <w:rsid w:val="006B32F9"/>
    <w:rsid w:val="006B3DF8"/>
    <w:rsid w:val="006C1A4B"/>
    <w:rsid w:val="006C667F"/>
    <w:rsid w:val="006F1A4D"/>
    <w:rsid w:val="006F3204"/>
    <w:rsid w:val="007024F0"/>
    <w:rsid w:val="00703F21"/>
    <w:rsid w:val="00705ACE"/>
    <w:rsid w:val="00706B75"/>
    <w:rsid w:val="00724B2F"/>
    <w:rsid w:val="00740DAA"/>
    <w:rsid w:val="00752433"/>
    <w:rsid w:val="00756D00"/>
    <w:rsid w:val="00762E7D"/>
    <w:rsid w:val="0076566E"/>
    <w:rsid w:val="0077354D"/>
    <w:rsid w:val="00786F9A"/>
    <w:rsid w:val="00787606"/>
    <w:rsid w:val="00787A46"/>
    <w:rsid w:val="00792FB0"/>
    <w:rsid w:val="00796F1C"/>
    <w:rsid w:val="007A4155"/>
    <w:rsid w:val="007B6124"/>
    <w:rsid w:val="007B7A09"/>
    <w:rsid w:val="007E357B"/>
    <w:rsid w:val="007E740A"/>
    <w:rsid w:val="007F13CB"/>
    <w:rsid w:val="007F44E2"/>
    <w:rsid w:val="007F6DB4"/>
    <w:rsid w:val="0080116A"/>
    <w:rsid w:val="00806097"/>
    <w:rsid w:val="00806FD5"/>
    <w:rsid w:val="00810C37"/>
    <w:rsid w:val="00827965"/>
    <w:rsid w:val="00835185"/>
    <w:rsid w:val="008369F7"/>
    <w:rsid w:val="008377F7"/>
    <w:rsid w:val="00841C21"/>
    <w:rsid w:val="00845722"/>
    <w:rsid w:val="00845D07"/>
    <w:rsid w:val="008510DF"/>
    <w:rsid w:val="00855460"/>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7E3F"/>
    <w:rsid w:val="008F09BC"/>
    <w:rsid w:val="008F25FB"/>
    <w:rsid w:val="008F4C40"/>
    <w:rsid w:val="0091007A"/>
    <w:rsid w:val="00915BCF"/>
    <w:rsid w:val="00923CEE"/>
    <w:rsid w:val="00925A0C"/>
    <w:rsid w:val="009273FE"/>
    <w:rsid w:val="00927E5E"/>
    <w:rsid w:val="009311AA"/>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3668"/>
    <w:rsid w:val="00A44311"/>
    <w:rsid w:val="00A45162"/>
    <w:rsid w:val="00A563C1"/>
    <w:rsid w:val="00A60BAA"/>
    <w:rsid w:val="00A6470C"/>
    <w:rsid w:val="00A660D7"/>
    <w:rsid w:val="00A66E23"/>
    <w:rsid w:val="00A719D3"/>
    <w:rsid w:val="00A75F45"/>
    <w:rsid w:val="00A82ECD"/>
    <w:rsid w:val="00A92F80"/>
    <w:rsid w:val="00A9585A"/>
    <w:rsid w:val="00A9655D"/>
    <w:rsid w:val="00AA263A"/>
    <w:rsid w:val="00AA3BA5"/>
    <w:rsid w:val="00AA7436"/>
    <w:rsid w:val="00AB31CF"/>
    <w:rsid w:val="00AB7E1C"/>
    <w:rsid w:val="00AC4AA2"/>
    <w:rsid w:val="00AE3C24"/>
    <w:rsid w:val="00AF05E5"/>
    <w:rsid w:val="00B02855"/>
    <w:rsid w:val="00B02ECE"/>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F28D6"/>
    <w:rsid w:val="00C035E9"/>
    <w:rsid w:val="00C2008A"/>
    <w:rsid w:val="00C2135E"/>
    <w:rsid w:val="00C2328C"/>
    <w:rsid w:val="00C24FFF"/>
    <w:rsid w:val="00C264A3"/>
    <w:rsid w:val="00C31673"/>
    <w:rsid w:val="00C34246"/>
    <w:rsid w:val="00C34BFA"/>
    <w:rsid w:val="00C3795C"/>
    <w:rsid w:val="00C37B84"/>
    <w:rsid w:val="00C42F15"/>
    <w:rsid w:val="00C4372D"/>
    <w:rsid w:val="00C47C6B"/>
    <w:rsid w:val="00C47DAB"/>
    <w:rsid w:val="00C505B8"/>
    <w:rsid w:val="00C7135F"/>
    <w:rsid w:val="00C87FE2"/>
    <w:rsid w:val="00C901F9"/>
    <w:rsid w:val="00C94030"/>
    <w:rsid w:val="00CA1263"/>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631A9"/>
    <w:rsid w:val="00D6584A"/>
    <w:rsid w:val="00D70BC8"/>
    <w:rsid w:val="00D7754C"/>
    <w:rsid w:val="00D916B7"/>
    <w:rsid w:val="00D91F02"/>
    <w:rsid w:val="00D93999"/>
    <w:rsid w:val="00D94533"/>
    <w:rsid w:val="00D96D5A"/>
    <w:rsid w:val="00DA2E14"/>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5B90"/>
    <w:rsid w:val="00DF1B6D"/>
    <w:rsid w:val="00DF7176"/>
    <w:rsid w:val="00DF768C"/>
    <w:rsid w:val="00E04628"/>
    <w:rsid w:val="00E10512"/>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521A"/>
    <w:rsid w:val="00E85AA3"/>
    <w:rsid w:val="00E85D65"/>
    <w:rsid w:val="00E86E90"/>
    <w:rsid w:val="00E968DE"/>
    <w:rsid w:val="00E97DE2"/>
    <w:rsid w:val="00EA7B33"/>
    <w:rsid w:val="00EB1668"/>
    <w:rsid w:val="00EB1BC1"/>
    <w:rsid w:val="00EC6530"/>
    <w:rsid w:val="00ED1FC0"/>
    <w:rsid w:val="00ED4CC0"/>
    <w:rsid w:val="00ED6D93"/>
    <w:rsid w:val="00EE37CF"/>
    <w:rsid w:val="00EE44B0"/>
    <w:rsid w:val="00EE5656"/>
    <w:rsid w:val="00EE71B5"/>
    <w:rsid w:val="00EF5686"/>
    <w:rsid w:val="00EF7FF8"/>
    <w:rsid w:val="00F00D41"/>
    <w:rsid w:val="00F06AA0"/>
    <w:rsid w:val="00F10C3E"/>
    <w:rsid w:val="00F164C3"/>
    <w:rsid w:val="00F17FA0"/>
    <w:rsid w:val="00F21BC6"/>
    <w:rsid w:val="00F24438"/>
    <w:rsid w:val="00F2455D"/>
    <w:rsid w:val="00F251A2"/>
    <w:rsid w:val="00F42638"/>
    <w:rsid w:val="00F54AB0"/>
    <w:rsid w:val="00F7295C"/>
    <w:rsid w:val="00F77444"/>
    <w:rsid w:val="00F82204"/>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F1177"/>
    <w:rsid w:val="00FF1CC3"/>
    <w:rsid w:val="00FF4CB4"/>
    <w:rsid w:val="00FF5143"/>
    <w:rsid w:val="00FF5683"/>
    <w:rsid w:val="03EA15C2"/>
    <w:rsid w:val="0526151A"/>
    <w:rsid w:val="057B354B"/>
    <w:rsid w:val="0BE02025"/>
    <w:rsid w:val="0D492FC9"/>
    <w:rsid w:val="10BE4A8D"/>
    <w:rsid w:val="10C70A76"/>
    <w:rsid w:val="10CA1655"/>
    <w:rsid w:val="10E64FA4"/>
    <w:rsid w:val="12E117F0"/>
    <w:rsid w:val="13464CFF"/>
    <w:rsid w:val="15CB41B1"/>
    <w:rsid w:val="1A604080"/>
    <w:rsid w:val="1EC1311C"/>
    <w:rsid w:val="23BE10D0"/>
    <w:rsid w:val="279B317D"/>
    <w:rsid w:val="33BC3DF7"/>
    <w:rsid w:val="377E4157"/>
    <w:rsid w:val="37EE1529"/>
    <w:rsid w:val="3A0C31C0"/>
    <w:rsid w:val="3F09634F"/>
    <w:rsid w:val="42A6346E"/>
    <w:rsid w:val="4D085548"/>
    <w:rsid w:val="4DEB388F"/>
    <w:rsid w:val="4E9E45C1"/>
    <w:rsid w:val="52650A2A"/>
    <w:rsid w:val="540E3ACB"/>
    <w:rsid w:val="58A51B27"/>
    <w:rsid w:val="594F2985"/>
    <w:rsid w:val="59CE44FC"/>
    <w:rsid w:val="5B1F0BB5"/>
    <w:rsid w:val="5BCC3DDF"/>
    <w:rsid w:val="5F582770"/>
    <w:rsid w:val="609F7E89"/>
    <w:rsid w:val="628542C4"/>
    <w:rsid w:val="629D3273"/>
    <w:rsid w:val="642B11B3"/>
    <w:rsid w:val="66A26F08"/>
    <w:rsid w:val="672622D7"/>
    <w:rsid w:val="6B9C7285"/>
    <w:rsid w:val="6BE23D71"/>
    <w:rsid w:val="6D8F0ECC"/>
    <w:rsid w:val="6FBF241C"/>
    <w:rsid w:val="73583CAB"/>
    <w:rsid w:val="745E26FA"/>
    <w:rsid w:val="757D07F4"/>
    <w:rsid w:val="78735A1C"/>
    <w:rsid w:val="7FD56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47"/>
    <w:qFormat/>
    <w:uiPriority w:val="0"/>
    <w:rPr>
      <w:rFonts w:ascii="Times New Roman" w:hAnsi="Times New Roman" w:eastAsia="宋体" w:cs="Times New Roman"/>
      <w:color w:val="FF0000"/>
      <w:sz w:val="24"/>
      <w:szCs w:val="24"/>
    </w:rPr>
  </w:style>
  <w:style w:type="paragraph" w:styleId="9">
    <w:name w:val="Body Text"/>
    <w:basedOn w:val="1"/>
    <w:link w:val="51"/>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sz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2"/>
    <w:qFormat/>
    <w:uiPriority w:val="0"/>
    <w:rPr>
      <w:rFonts w:eastAsia="宋体"/>
      <w:sz w:val="24"/>
    </w:rPr>
  </w:style>
  <w:style w:type="paragraph" w:styleId="14">
    <w:name w:val="Date"/>
    <w:basedOn w:val="1"/>
    <w:next w:val="1"/>
    <w:link w:val="33"/>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4"/>
    <w:unhideWhenUsed/>
    <w:qFormat/>
    <w:uiPriority w:val="99"/>
    <w:pPr>
      <w:tabs>
        <w:tab w:val="center" w:pos="4153"/>
        <w:tab w:val="right" w:pos="8306"/>
      </w:tabs>
      <w:snapToGrid w:val="0"/>
      <w:jc w:val="left"/>
    </w:pPr>
    <w:rPr>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5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52"/>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style>
  <w:style w:type="character" w:styleId="27">
    <w:name w:val="Hyperlink"/>
    <w:basedOn w:val="23"/>
    <w:unhideWhenUsed/>
    <w:qFormat/>
    <w:uiPriority w:val="99"/>
    <w:rPr>
      <w:color w:val="000000"/>
      <w:u w:val="non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kern w:val="0"/>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kern w:val="0"/>
      <w:sz w:val="28"/>
      <w:szCs w:val="28"/>
    </w:rPr>
  </w:style>
  <w:style w:type="character" w:customStyle="1" w:styleId="32">
    <w:name w:val="纯文本 Char"/>
    <w:basedOn w:val="23"/>
    <w:link w:val="13"/>
    <w:qFormat/>
    <w:uiPriority w:val="0"/>
    <w:rPr>
      <w:rFonts w:eastAsia="宋体"/>
      <w:sz w:val="24"/>
    </w:rPr>
  </w:style>
  <w:style w:type="character" w:customStyle="1" w:styleId="33">
    <w:name w:val="日期 Char"/>
    <w:basedOn w:val="23"/>
    <w:link w:val="14"/>
    <w:qFormat/>
    <w:uiPriority w:val="99"/>
  </w:style>
  <w:style w:type="character" w:customStyle="1" w:styleId="34">
    <w:name w:val="页脚 Char"/>
    <w:basedOn w:val="23"/>
    <w:link w:val="16"/>
    <w:qFormat/>
    <w:uiPriority w:val="99"/>
    <w:rPr>
      <w:sz w:val="18"/>
      <w:szCs w:val="18"/>
    </w:rPr>
  </w:style>
  <w:style w:type="character" w:customStyle="1" w:styleId="35">
    <w:name w:val="页眉 Char"/>
    <w:basedOn w:val="23"/>
    <w:link w:val="17"/>
    <w:qFormat/>
    <w:uiPriority w:val="99"/>
    <w:rPr>
      <w:sz w:val="18"/>
      <w:szCs w:val="18"/>
    </w:rPr>
  </w:style>
  <w:style w:type="character" w:customStyle="1" w:styleId="36">
    <w:name w:val="纯文本 Char1"/>
    <w:qFormat/>
    <w:uiPriority w:val="0"/>
    <w:rPr>
      <w:rFonts w:eastAsia="宋体"/>
      <w:sz w:val="24"/>
    </w:rPr>
  </w:style>
  <w:style w:type="paragraph" w:customStyle="1" w:styleId="37">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38">
    <w:name w:val="列出段落1"/>
    <w:basedOn w:val="1"/>
    <w:qFormat/>
    <w:uiPriority w:val="34"/>
    <w:pPr>
      <w:ind w:firstLine="420" w:firstLineChars="200"/>
    </w:pPr>
  </w:style>
  <w:style w:type="paragraph" w:styleId="39">
    <w:name w:val="List Paragraph"/>
    <w:basedOn w:val="1"/>
    <w:unhideWhenUsed/>
    <w:qFormat/>
    <w:uiPriority w:val="99"/>
    <w:pPr>
      <w:ind w:firstLine="420" w:firstLineChars="200"/>
    </w:pPr>
  </w:style>
  <w:style w:type="character" w:customStyle="1" w:styleId="40">
    <w:name w:val="正文文本缩进 Char Char"/>
    <w:link w:val="41"/>
    <w:qFormat/>
    <w:uiPriority w:val="0"/>
    <w:rPr>
      <w:rFonts w:ascii="宋体"/>
      <w:sz w:val="24"/>
    </w:rPr>
  </w:style>
  <w:style w:type="paragraph" w:customStyle="1" w:styleId="41">
    <w:name w:val="正文文本缩进1"/>
    <w:basedOn w:val="1"/>
    <w:link w:val="40"/>
    <w:qFormat/>
    <w:uiPriority w:val="0"/>
    <w:pPr>
      <w:spacing w:line="360" w:lineRule="auto"/>
      <w:ind w:firstLine="480" w:firstLineChars="200"/>
    </w:pPr>
    <w:rPr>
      <w:rFonts w:ascii="宋体"/>
      <w:sz w:val="24"/>
    </w:rPr>
  </w:style>
  <w:style w:type="character" w:customStyle="1" w:styleId="42">
    <w:name w:val="日期 Char Char"/>
    <w:link w:val="43"/>
    <w:qFormat/>
    <w:uiPriority w:val="0"/>
    <w:rPr>
      <w:sz w:val="24"/>
    </w:rPr>
  </w:style>
  <w:style w:type="paragraph" w:customStyle="1" w:styleId="43">
    <w:name w:val="日期1"/>
    <w:basedOn w:val="1"/>
    <w:next w:val="1"/>
    <w:link w:val="42"/>
    <w:qFormat/>
    <w:uiPriority w:val="0"/>
    <w:rPr>
      <w:sz w:val="24"/>
    </w:rPr>
  </w:style>
  <w:style w:type="paragraph" w:customStyle="1" w:styleId="44">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5">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6">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7">
    <w:name w:val="正文文本 3 Char"/>
    <w:basedOn w:val="23"/>
    <w:link w:val="8"/>
    <w:qFormat/>
    <w:uiPriority w:val="0"/>
    <w:rPr>
      <w:rFonts w:ascii="Times New Roman" w:hAnsi="Times New Roman" w:eastAsia="宋体" w:cs="Times New Roman"/>
      <w:color w:val="FF0000"/>
      <w:sz w:val="24"/>
      <w:szCs w:val="24"/>
    </w:rPr>
  </w:style>
  <w:style w:type="character" w:customStyle="1" w:styleId="48">
    <w:name w:val="edittexttarea"/>
    <w:basedOn w:val="23"/>
    <w:qFormat/>
    <w:uiPriority w:val="0"/>
  </w:style>
  <w:style w:type="paragraph" w:customStyle="1" w:styleId="49">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0">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1">
    <w:name w:val="正文文本 Char"/>
    <w:basedOn w:val="23"/>
    <w:link w:val="9"/>
    <w:semiHidden/>
    <w:qFormat/>
    <w:uiPriority w:val="99"/>
  </w:style>
  <w:style w:type="character" w:customStyle="1" w:styleId="52">
    <w:name w:val="正文首行缩进 Char"/>
    <w:basedOn w:val="51"/>
    <w:link w:val="21"/>
    <w:qFormat/>
    <w:uiPriority w:val="0"/>
    <w:rPr>
      <w:rFonts w:ascii="宋体" w:hAnsi="Times New Roman" w:eastAsia="宋体" w:cs="Times New Roman"/>
      <w:kern w:val="0"/>
      <w:sz w:val="34"/>
      <w:szCs w:val="20"/>
    </w:rPr>
  </w:style>
  <w:style w:type="character" w:customStyle="1" w:styleId="53">
    <w:name w:val="HTML 预设格式 Char"/>
    <w:basedOn w:val="23"/>
    <w:link w:val="19"/>
    <w:semiHidden/>
    <w:qFormat/>
    <w:uiPriority w:val="99"/>
    <w:rPr>
      <w:rFonts w:ascii="宋体" w:hAnsi="宋体" w:eastAsia="宋体" w:cs="宋体"/>
      <w:kern w:val="0"/>
      <w:sz w:val="24"/>
      <w:szCs w:val="24"/>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style>
  <w:style w:type="character" w:styleId="56">
    <w:name w:val="Placeholder Text"/>
    <w:basedOn w:val="23"/>
    <w:semiHidden/>
    <w:qFormat/>
    <w:uiPriority w:val="99"/>
    <w:rPr>
      <w:color w:val="808080"/>
    </w:rPr>
  </w:style>
  <w:style w:type="character" w:customStyle="1" w:styleId="57">
    <w:name w:val="批注框文本 Char"/>
    <w:basedOn w:val="23"/>
    <w:link w:val="15"/>
    <w:semiHidden/>
    <w:qFormat/>
    <w:uiPriority w:val="99"/>
    <w:rPr>
      <w:sz w:val="18"/>
      <w:szCs w:val="18"/>
    </w:rPr>
  </w:style>
  <w:style w:type="character" w:customStyle="1" w:styleId="58">
    <w:name w:val="blue"/>
    <w:basedOn w:val="23"/>
    <w:qFormat/>
    <w:uiPriority w:val="0"/>
    <w:rPr>
      <w:color w:val="0371C6"/>
      <w:sz w:val="21"/>
      <w:szCs w:val="21"/>
    </w:rPr>
  </w:style>
  <w:style w:type="character" w:customStyle="1" w:styleId="59">
    <w:name w:val="green"/>
    <w:basedOn w:val="23"/>
    <w:qFormat/>
    <w:uiPriority w:val="0"/>
    <w:rPr>
      <w:color w:val="66AE00"/>
      <w:sz w:val="18"/>
      <w:szCs w:val="18"/>
    </w:rPr>
  </w:style>
  <w:style w:type="character" w:customStyle="1" w:styleId="60">
    <w:name w:val="green1"/>
    <w:basedOn w:val="23"/>
    <w:qFormat/>
    <w:uiPriority w:val="0"/>
    <w:rPr>
      <w:color w:val="66AE00"/>
      <w:sz w:val="18"/>
      <w:szCs w:val="18"/>
    </w:rPr>
  </w:style>
  <w:style w:type="character" w:customStyle="1" w:styleId="61">
    <w:name w:val="red"/>
    <w:basedOn w:val="23"/>
    <w:qFormat/>
    <w:uiPriority w:val="0"/>
    <w:rPr>
      <w:color w:val="FF0000"/>
      <w:sz w:val="18"/>
      <w:szCs w:val="18"/>
    </w:rPr>
  </w:style>
  <w:style w:type="character" w:customStyle="1" w:styleId="62">
    <w:name w:val="red1"/>
    <w:basedOn w:val="23"/>
    <w:qFormat/>
    <w:uiPriority w:val="0"/>
    <w:rPr>
      <w:color w:val="FF0000"/>
      <w:sz w:val="18"/>
      <w:szCs w:val="18"/>
    </w:rPr>
  </w:style>
  <w:style w:type="character" w:customStyle="1" w:styleId="63">
    <w:name w:val="red2"/>
    <w:basedOn w:val="23"/>
    <w:qFormat/>
    <w:uiPriority w:val="0"/>
    <w:rPr>
      <w:color w:val="CC0000"/>
    </w:rPr>
  </w:style>
  <w:style w:type="character" w:customStyle="1" w:styleId="64">
    <w:name w:val="red3"/>
    <w:basedOn w:val="23"/>
    <w:qFormat/>
    <w:uiPriority w:val="0"/>
    <w:rPr>
      <w:color w:val="FF0000"/>
    </w:rPr>
  </w:style>
  <w:style w:type="character" w:customStyle="1" w:styleId="65">
    <w:name w:val="hover25"/>
    <w:basedOn w:val="23"/>
    <w:qFormat/>
    <w:uiPriority w:val="0"/>
  </w:style>
  <w:style w:type="character" w:customStyle="1" w:styleId="66">
    <w:name w:val="gb-jt"/>
    <w:basedOn w:val="23"/>
    <w:qFormat/>
    <w:uiPriority w:val="0"/>
  </w:style>
  <w:style w:type="character" w:customStyle="1" w:styleId="67">
    <w:name w:val="right"/>
    <w:basedOn w:val="23"/>
    <w:qFormat/>
    <w:uiPriority w:val="0"/>
    <w:rPr>
      <w:color w:val="999999"/>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CE1233-BF9C-49C7-BB80-2A68CE5197EF}">
  <ds:schemaRefs/>
</ds:datastoreItem>
</file>

<file path=docProps/app.xml><?xml version="1.0" encoding="utf-8"?>
<Properties xmlns="http://schemas.openxmlformats.org/officeDocument/2006/extended-properties" xmlns:vt="http://schemas.openxmlformats.org/officeDocument/2006/docPropsVTypes">
  <Template>Normal</Template>
  <Pages>68</Pages>
  <Words>5599</Words>
  <Characters>31916</Characters>
  <Lines>265</Lines>
  <Paragraphs>74</Paragraphs>
  <TotalTime>0</TotalTime>
  <ScaleCrop>false</ScaleCrop>
  <LinksUpToDate>false</LinksUpToDate>
  <CharactersWithSpaces>37441</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2019-03-07T06:11:00Z</dcterms:created>
  <dc:creator>许昌市公共资源交易中心:孟莉</dc:creator>
  <cp:lastModifiedBy>许昌市公共资源交易中心:杨丹丹</cp:lastModifiedBy>
  <cp:lastPrinted>2019-04-28T07:36:00Z</cp:lastPrinted>
  <dcterms:modified xsi:type="dcterms:W3CDTF">2019-07-03T07:14:30Z</dcterms:modified>
  <cp:revision>545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