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19" w:leftChars="209" w:hanging="880" w:hangingChars="200"/>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rPr>
        <w:t>禹州市</w:t>
      </w:r>
      <w:r>
        <w:rPr>
          <w:rFonts w:hint="eastAsia" w:ascii="微软雅黑" w:hAnsi="微软雅黑" w:eastAsia="微软雅黑" w:cs="微软雅黑"/>
          <w:b/>
          <w:bCs/>
          <w:sz w:val="44"/>
          <w:szCs w:val="44"/>
          <w:lang w:eastAsia="zh-CN"/>
        </w:rPr>
        <w:t>公安</w:t>
      </w:r>
      <w:r>
        <w:rPr>
          <w:rFonts w:hint="eastAsia" w:ascii="微软雅黑" w:hAnsi="微软雅黑" w:eastAsia="微软雅黑" w:cs="微软雅黑"/>
          <w:b/>
          <w:bCs/>
          <w:sz w:val="44"/>
          <w:szCs w:val="44"/>
        </w:rPr>
        <w:t>局</w:t>
      </w:r>
      <w:r>
        <w:rPr>
          <w:rFonts w:hint="eastAsia" w:ascii="微软雅黑" w:hAnsi="微软雅黑" w:eastAsia="微软雅黑" w:cs="微软雅黑"/>
          <w:b/>
          <w:bCs/>
          <w:sz w:val="44"/>
          <w:szCs w:val="44"/>
          <w:lang w:eastAsia="zh-CN"/>
        </w:rPr>
        <w:t>新建改建交通设施</w:t>
      </w:r>
    </w:p>
    <w:p>
      <w:pPr>
        <w:ind w:left="1319" w:leftChars="209" w:hanging="880" w:hangingChars="200"/>
        <w:jc w:val="center"/>
        <w:rPr>
          <w:rFonts w:ascii="微软简隶书" w:eastAsia="微软简隶书"/>
          <w:color w:val="000000"/>
        </w:rPr>
      </w:pPr>
      <w:r>
        <w:rPr>
          <w:rFonts w:hint="eastAsia" w:ascii="微软雅黑" w:hAnsi="微软雅黑" w:eastAsia="微软雅黑" w:cs="微软雅黑"/>
          <w:b/>
          <w:bCs/>
          <w:sz w:val="44"/>
          <w:szCs w:val="44"/>
          <w:lang w:eastAsia="zh-CN"/>
        </w:rPr>
        <w:t>及安装电子警察和反向抓拍系统采购项目</w:t>
      </w: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公安</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168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禹州市公安局新建改建交通设施</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及安装电子警察和反向抓拍系统采购项目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公安</w:t>
      </w:r>
      <w:r>
        <w:rPr>
          <w:rFonts w:hint="eastAsia" w:ascii="新宋体" w:hAnsi="新宋体" w:eastAsia="新宋体" w:cs="新宋体"/>
          <w:sz w:val="24"/>
          <w:szCs w:val="24"/>
        </w:rPr>
        <w:t>局的委托，就“禹州市公安局新建改建交通设施及安装电子警察和反向抓拍系统采购项目”进行公开招标，欢迎合格的投标人前来投标。</w:t>
      </w:r>
    </w:p>
    <w:p>
      <w:pPr>
        <w:pStyle w:val="59"/>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公安</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：禹州市公安局新建改建交通设施及安装电子警察和反向抓拍系统采购项目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168</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本项目分三个标段，</w:t>
      </w:r>
      <w:r>
        <w:rPr>
          <w:rFonts w:hint="eastAsia" w:ascii="新宋体" w:hAnsi="新宋体" w:eastAsia="新宋体" w:cs="新宋体"/>
          <w:color w:val="000000"/>
          <w:kern w:val="0"/>
          <w:sz w:val="24"/>
          <w:szCs w:val="24"/>
        </w:rPr>
        <w:t>第一标段：（1）药城路与北环路交叉口等21个路口新建及改建交通设施工程（2）鸠神快速通道新建交通设施工程（3）北环路和西环路北段新建交通设施工程</w:t>
      </w:r>
      <w:r>
        <w:rPr>
          <w:rFonts w:hint="eastAsia" w:ascii="新宋体" w:hAnsi="新宋体" w:eastAsia="新宋体" w:cs="新宋体"/>
          <w:color w:val="000000"/>
          <w:kern w:val="0"/>
          <w:sz w:val="24"/>
          <w:szCs w:val="24"/>
        </w:rPr>
        <w:tab/>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第二标段:（1）人民医院路口等9个路口安装电子警察和反向抓拍系统安装工程</w:t>
      </w:r>
      <w:r>
        <w:rPr>
          <w:rFonts w:hint="eastAsia" w:ascii="新宋体" w:hAnsi="新宋体" w:eastAsia="新宋体" w:cs="新宋体"/>
          <w:color w:val="000000"/>
          <w:kern w:val="0"/>
          <w:sz w:val="24"/>
          <w:szCs w:val="24"/>
        </w:rPr>
        <w:tab/>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（2）大学路与学府西路交叉口等五个路口新建及改扩建交通设施工程</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（3）滨河路与府东路交叉口等交通设施位置调整及更换国标信号灯工程</w:t>
      </w:r>
      <w:r>
        <w:rPr>
          <w:rFonts w:hint="eastAsia" w:ascii="新宋体" w:hAnsi="新宋体" w:eastAsia="新宋体" w:cs="新宋体"/>
          <w:color w:val="000000"/>
          <w:kern w:val="0"/>
          <w:sz w:val="24"/>
          <w:szCs w:val="24"/>
        </w:rPr>
        <w:tab/>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第三标段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（1）开元大道和禹王大道东延伸段等11个主要路口新建交通设施工程</w:t>
      </w:r>
      <w:r>
        <w:rPr>
          <w:rFonts w:hint="eastAsia" w:ascii="新宋体" w:hAnsi="新宋体" w:eastAsia="新宋体" w:cs="新宋体"/>
          <w:color w:val="000000"/>
          <w:kern w:val="0"/>
          <w:sz w:val="24"/>
          <w:szCs w:val="24"/>
        </w:rPr>
        <w:tab/>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采购预算：第一标段：253.33万元；第二标段：261.48万元；第三标段：252.38万元</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采购限价：第一标段：253.33万元；第二标段：261.48万元；第三标段：252.38万元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left="482"/>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、投标人须具备电子与智能化工程专业承包贰级及以上资质</w:t>
      </w:r>
      <w:r>
        <w:rPr>
          <w:rFonts w:hint="eastAsia" w:ascii="新宋体" w:hAnsi="新宋体" w:eastAsia="新宋体" w:cs="新宋体"/>
          <w:sz w:val="24"/>
          <w:szCs w:val="24"/>
          <w:lang w:eastAsia="zh-CN"/>
        </w:rPr>
        <w:t>且</w:t>
      </w:r>
      <w:r>
        <w:rPr>
          <w:rFonts w:hint="eastAsia" w:ascii="新宋体" w:hAnsi="新宋体" w:eastAsia="新宋体" w:cs="新宋体"/>
          <w:sz w:val="24"/>
          <w:szCs w:val="24"/>
        </w:rPr>
        <w:t>具有有效期内的安全生产许可证</w:t>
      </w:r>
      <w:r>
        <w:rPr>
          <w:rFonts w:hint="eastAsia" w:ascii="新宋体" w:hAnsi="新宋体" w:eastAsia="新宋体" w:cs="新宋体"/>
          <w:sz w:val="24"/>
          <w:szCs w:val="24"/>
          <w:lang w:eastAsia="zh-CN"/>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公安</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华夏大道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董</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18839906082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9"/>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widowControl/>
        <w:numPr>
          <w:ilvl w:val="0"/>
          <w:numId w:val="7"/>
        </w:numPr>
        <w:shd w:val="clear" w:color="auto" w:fill="FFFFFF"/>
        <w:spacing w:line="360" w:lineRule="auto"/>
        <w:jc w:val="left"/>
        <w:rPr>
          <w:rFonts w:hint="default"/>
          <w:lang w:val="en-US" w:eastAsia="zh-CN"/>
        </w:rPr>
      </w:pPr>
      <w:r>
        <w:rPr>
          <w:rFonts w:hint="eastAsia" w:ascii="新宋体" w:hAnsi="新宋体" w:eastAsia="新宋体" w:cs="新宋体"/>
          <w:b/>
          <w:bCs/>
          <w:color w:val="000000"/>
          <w:kern w:val="0"/>
          <w:sz w:val="24"/>
          <w:szCs w:val="24"/>
        </w:rPr>
        <w:t>本项目需实现的功能或者目标</w:t>
      </w:r>
    </w:p>
    <w:p>
      <w:pPr>
        <w:spacing w:line="360" w:lineRule="auto"/>
        <w:ind w:firstLine="480" w:firstLineChars="200"/>
        <w:rPr>
          <w:rFonts w:hint="default"/>
          <w:lang w:val="en-US" w:eastAsia="zh-CN"/>
        </w:rPr>
      </w:pPr>
      <w:r>
        <w:rPr>
          <w:rFonts w:hint="eastAsia" w:ascii="仿宋" w:hAnsi="仿宋" w:eastAsia="仿宋" w:cs="仿宋"/>
          <w:sz w:val="24"/>
          <w:szCs w:val="24"/>
        </w:rPr>
        <w:t>本项目立足交通管理工作实际，结合禹州市主城区道路特点，以云计算、大数据、物联网、移动互联等新技术为依托，最终建成一个以计算机通信网络和智能化指挥控制管理为基础，集高新技术应用为一体的适合于禹州市道路交通特点、具有高效快捷的交通数据采集处理能力、决策能力和组织协调指挥能力的高清视频电子警察系统，为缓解日益繁忙的交通管理与警力不足之间的矛盾，进一步推进交通管理工作的规范化、网络化和智能化</w:t>
      </w:r>
      <w:r>
        <w:rPr>
          <w:rFonts w:hint="eastAsia" w:ascii="仿宋" w:hAnsi="仿宋" w:eastAsia="仿宋" w:cs="仿宋"/>
          <w:sz w:val="24"/>
          <w:szCs w:val="24"/>
          <w:lang w:eastAsia="zh-CN"/>
        </w:rPr>
        <w:t>。</w:t>
      </w: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p>
      <w:pPr>
        <w:jc w:val="center"/>
        <w:rPr>
          <w:rFonts w:hint="eastAsia" w:ascii="仿宋" w:hAnsi="仿宋" w:eastAsia="仿宋" w:cs="仿宋"/>
          <w:sz w:val="24"/>
          <w:szCs w:val="24"/>
        </w:rPr>
      </w:pPr>
      <w:r>
        <w:rPr>
          <w:rFonts w:hint="eastAsia" w:ascii="仿宋" w:hAnsi="仿宋" w:eastAsia="仿宋" w:cs="仿宋"/>
          <w:b/>
          <w:bCs/>
          <w:sz w:val="24"/>
          <w:szCs w:val="24"/>
        </w:rPr>
        <w:t>第一标段项目明细及技术参数</w:t>
      </w: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0"/>
        <w:gridCol w:w="1020"/>
        <w:gridCol w:w="6345"/>
        <w:gridCol w:w="345"/>
        <w:gridCol w:w="405"/>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sz w:val="24"/>
                <w:szCs w:val="24"/>
              </w:rPr>
              <w:t>一</w:t>
            </w:r>
            <w:r>
              <w:rPr>
                <w:rFonts w:hint="eastAsia" w:ascii="仿宋" w:eastAsia="仿宋"/>
                <w:sz w:val="22"/>
                <w:szCs w:val="22"/>
              </w:rPr>
              <w:t>、（</w:t>
            </w:r>
            <w:r>
              <w:rPr>
                <w:rFonts w:hint="eastAsia" w:ascii="仿宋" w:eastAsia="仿宋"/>
                <w:b/>
                <w:bCs/>
                <w:sz w:val="24"/>
                <w:szCs w:val="24"/>
                <w:lang w:val="en-US" w:eastAsia="zh-CN"/>
              </w:rPr>
              <w:t>1</w:t>
            </w:r>
            <w:r>
              <w:rPr>
                <w:rFonts w:hint="eastAsia" w:ascii="仿宋" w:eastAsia="仿宋"/>
                <w:b/>
                <w:bCs/>
                <w:sz w:val="24"/>
                <w:szCs w:val="24"/>
              </w:rPr>
              <w:t>）</w:t>
            </w:r>
            <w:bookmarkStart w:id="0" w:name="药城路与北环路交叉口等12个路口新建及改建交通设施工程"/>
            <w:r>
              <w:rPr>
                <w:rFonts w:hint="eastAsia" w:ascii="仿宋" w:eastAsia="仿宋"/>
                <w:b/>
                <w:bCs/>
                <w:sz w:val="24"/>
                <w:szCs w:val="24"/>
              </w:rPr>
              <w:t>药城路与北环路交叉口等21个路口新建及改建交通设施工程</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1、药城路北环路交叉口加装反向抓拍系统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2、轩辕大道与103省道交叉口加装反向抓拍系统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pPr>
          </w:p>
          <w:p>
            <w:pPr>
              <w:pStyle w:val="2"/>
            </w:pPr>
          </w:p>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ind w:firstLine="1687" w:firstLineChars="700"/>
              <w:jc w:val="both"/>
              <w:textAlignment w:val="center"/>
              <w:rPr>
                <w:rFonts w:ascii="仿宋" w:eastAsia="仿宋" w:cs="仿宋"/>
                <w:b/>
                <w:color w:val="000000"/>
                <w:sz w:val="24"/>
                <w:szCs w:val="24"/>
              </w:rPr>
            </w:pPr>
            <w:r>
              <w:rPr>
                <w:rFonts w:hint="eastAsia" w:ascii="仿宋" w:eastAsia="仿宋" w:cs="仿宋"/>
                <w:b/>
                <w:color w:val="000000"/>
                <w:kern w:val="0"/>
                <w:sz w:val="24"/>
                <w:szCs w:val="24"/>
              </w:rPr>
              <w:t>3、禹王大道与103省道交叉口加装反向抓拍系统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4、祥云大道与103省道交叉口加装反向抓拍系统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5、郭连路与103省道交叉口加装反向抓拍系统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6、阳翟大道与103省道交叉口加装反向抓拍系统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7、轩辕大道与南环路交叉口加装反向抓拍系统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8、轩辕大道</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园林大道交叉口加装反向抓拍系统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9、阳翟大</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道颍川大道交叉口加装反向抓拍系统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10、阳翟大道</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颍顺路交叉口加装反向抓拍系统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hint="eastAsia" w:ascii="仿宋" w:eastAsia="仿宋" w:cs="仿宋"/>
                <w:b/>
                <w:color w:val="000000"/>
                <w:kern w:val="0"/>
                <w:sz w:val="24"/>
                <w:szCs w:val="24"/>
              </w:rPr>
            </w:pPr>
          </w:p>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11、阳翟大道</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禹神快速路交叉口加装反向抓拍系统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12、远航路</w:t>
            </w:r>
            <w:r>
              <w:rPr>
                <w:rFonts w:hint="eastAsia" w:ascii="仿宋" w:eastAsia="仿宋" w:cs="仿宋"/>
                <w:b/>
                <w:color w:val="000000"/>
                <w:kern w:val="0"/>
                <w:sz w:val="24"/>
                <w:szCs w:val="24"/>
                <w:lang w:val="en-US" w:eastAsia="zh-CN"/>
              </w:rPr>
              <w:t>与</w:t>
            </w:r>
            <w:r>
              <w:rPr>
                <w:rFonts w:hint="eastAsia" w:ascii="仿宋" w:eastAsia="仿宋" w:cs="仿宋"/>
                <w:b/>
                <w:color w:val="000000"/>
                <w:kern w:val="0"/>
                <w:sz w:val="24"/>
                <w:szCs w:val="24"/>
              </w:rPr>
              <w:t>振兴路交叉口加装反向抓拍系统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抱杆设备箱</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13、开元大道东段新装卡口系统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14、工业大道东段新装卡口系统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15、祥云大道东段新装卡口系统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16、103省道南沈村新装卡口系统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17、103省道祥云大道北新装卡口系统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pPr>
            <w:r>
              <w:rPr>
                <w:rFonts w:hint="eastAsia" w:ascii="仿宋" w:hAnsi="仿宋" w:eastAsia="仿宋" w:cs="仿宋"/>
                <w:sz w:val="24"/>
                <w:szCs w:val="28"/>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18、高速禹州北站新装卡口系统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19、神后至磨街白峪村新装卡口系统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是</w:t>
            </w: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center"/>
              <w:textAlignment w:val="center"/>
              <w:rPr>
                <w:rFonts w:hint="eastAsia" w:ascii="仿宋" w:eastAsia="仿宋" w:cs="仿宋"/>
                <w:color w:val="000000"/>
                <w:kern w:val="0"/>
                <w:sz w:val="24"/>
                <w:szCs w:val="24"/>
              </w:rPr>
            </w:pPr>
          </w:p>
          <w:p>
            <w:pPr>
              <w:jc w:val="both"/>
              <w:textAlignment w:val="center"/>
              <w:rPr>
                <w:rFonts w:hint="eastAsia" w:ascii="仿宋" w:eastAsia="仿宋" w:cs="仿宋"/>
                <w:color w:val="000000"/>
                <w:kern w:val="0"/>
                <w:sz w:val="24"/>
                <w:szCs w:val="24"/>
              </w:rPr>
            </w:pPr>
          </w:p>
          <w:p>
            <w:pPr>
              <w:jc w:val="both"/>
              <w:textAlignment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
            <w:pPr>
              <w:pStyle w:val="2"/>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20、325省道扒村上河桥新装卡口系统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21、鸠山快速边沟村新装卡口系统（测速）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最大功率30W</w:t>
            </w:r>
            <w:r>
              <w:rPr>
                <w:rFonts w:hint="eastAsia" w:ascii="仿宋" w:eastAsia="仿宋" w:cs="仿宋"/>
                <w:color w:val="000000"/>
                <w:kern w:val="0"/>
                <w:sz w:val="24"/>
                <w:szCs w:val="24"/>
                <w:lang w:eastAsia="zh-CN"/>
              </w:rPr>
              <w:t>，</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雷达测速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卡口测速雷达设备</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频率24G</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测速距离：单车道18～38m</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测速范围应为20km/h-400km/h，且车辆远离时显示反向“-”，车辆接近时显示为正向“+”。</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测速误差：车速20km/h-180km/h，误差-0.5km/h-0km/h；车速180km/h-400km/h，误差-1km/h-0km/h。</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可通过WIFI连接进行升级，升级后功能正常，可进行雷达触发位置设置和雷达灵敏度进行配置。</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工作电压：9-12V DC</w:t>
            </w:r>
          </w:p>
          <w:p>
            <w:pPr>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工作功耗：≤2W</w:t>
            </w:r>
          </w:p>
          <w:p>
            <w:pPr>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须</w:t>
            </w:r>
            <w:r>
              <w:rPr>
                <w:rFonts w:hint="eastAsia" w:ascii="仿宋" w:eastAsia="仿宋" w:cs="仿宋"/>
                <w:color w:val="000000"/>
                <w:sz w:val="24"/>
                <w:szCs w:val="24"/>
              </w:rPr>
              <w:t>提供公安部权威机构出具的检验报告复印件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抱杆机柜</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卡口跨路顶管、管道穿线、规格￠80mm，材质PE，</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3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bl>
    <w:p>
      <w:pPr>
        <w:rPr>
          <w:lang w:eastAsia="en-US"/>
        </w:rPr>
      </w:pPr>
    </w:p>
    <w:p>
      <w:pPr>
        <w:pStyle w:val="2"/>
        <w:rPr>
          <w:lang w:eastAsia="en-US"/>
        </w:rPr>
      </w:pPr>
    </w:p>
    <w:tbl>
      <w:tblPr>
        <w:tblStyle w:val="23"/>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5"/>
        <w:gridCol w:w="1005"/>
        <w:gridCol w:w="6150"/>
        <w:gridCol w:w="375"/>
        <w:gridCol w:w="449"/>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b/>
                <w:bCs/>
                <w:sz w:val="24"/>
                <w:szCs w:val="24"/>
              </w:rPr>
            </w:pPr>
            <w:r>
              <w:rPr>
                <w:rFonts w:hint="eastAsia"/>
                <w:b/>
                <w:bCs/>
                <w:sz w:val="24"/>
                <w:szCs w:val="24"/>
                <w:lang w:val="en-US" w:eastAsia="zh-CN"/>
              </w:rPr>
              <w:t>一</w:t>
            </w:r>
            <w:r>
              <w:rPr>
                <w:b/>
                <w:bCs/>
                <w:sz w:val="24"/>
                <w:szCs w:val="24"/>
              </w:rPr>
              <w:t>、（</w:t>
            </w:r>
            <w:r>
              <w:rPr>
                <w:rFonts w:hint="eastAsia"/>
                <w:b/>
                <w:bCs/>
                <w:sz w:val="24"/>
                <w:szCs w:val="24"/>
                <w:lang w:val="en-US" w:eastAsia="zh-CN"/>
              </w:rPr>
              <w:t>2</w:t>
            </w:r>
            <w:r>
              <w:rPr>
                <w:b/>
                <w:bCs/>
                <w:sz w:val="24"/>
                <w:szCs w:val="24"/>
              </w:rPr>
              <w:t>）鸠神快速通道新建交通设施工程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9"/>
              <w:numPr>
                <w:ilvl w:val="0"/>
                <w:numId w:val="0"/>
              </w:numPr>
              <w:spacing w:line="240" w:lineRule="auto"/>
              <w:ind w:firstLine="964" w:firstLineChars="400"/>
              <w:jc w:val="both"/>
              <w:textAlignment w:val="center"/>
              <w:rPr>
                <w:rFonts w:ascii="仿宋" w:eastAsia="仿宋" w:cs="仿宋"/>
                <w:b/>
                <w:color w:val="000000"/>
                <w:kern w:val="0"/>
                <w:sz w:val="24"/>
                <w:szCs w:val="24"/>
              </w:rPr>
            </w:pPr>
            <w:r>
              <w:rPr>
                <w:rFonts w:hint="eastAsia" w:ascii="仿宋" w:eastAsia="仿宋" w:cs="仿宋"/>
                <w:b/>
                <w:color w:val="000000"/>
                <w:kern w:val="0"/>
                <w:sz w:val="24"/>
                <w:szCs w:val="24"/>
                <w:lang w:val="en-US" w:eastAsia="zh-CN"/>
              </w:rPr>
              <w:t>1、</w:t>
            </w:r>
            <w:r>
              <w:rPr>
                <w:rFonts w:hint="eastAsia" w:ascii="仿宋" w:eastAsia="仿宋" w:cs="仿宋"/>
                <w:b/>
                <w:color w:val="000000"/>
                <w:kern w:val="0"/>
                <w:sz w:val="24"/>
                <w:szCs w:val="24"/>
              </w:rPr>
              <w:t>鸠神快速路与236省道交叉口新建信号灯、电子警察及反向卡口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spacing w:line="240" w:lineRule="auto"/>
              <w:ind w:firstLine="1205" w:firstLineChars="500"/>
              <w:jc w:val="both"/>
              <w:textAlignment w:val="center"/>
              <w:rPr>
                <w:rFonts w:ascii="仿宋" w:eastAsia="仿宋" w:cs="仿宋"/>
                <w:b/>
                <w:color w:val="000000"/>
                <w:sz w:val="24"/>
                <w:szCs w:val="24"/>
              </w:rPr>
            </w:pPr>
            <w:r>
              <w:rPr>
                <w:rFonts w:hint="eastAsia" w:ascii="仿宋" w:eastAsia="仿宋" w:cs="仿宋"/>
                <w:b/>
                <w:color w:val="000000"/>
                <w:kern w:val="0"/>
                <w:sz w:val="24"/>
                <w:szCs w:val="24"/>
                <w:lang w:val="en-US" w:eastAsia="zh-CN"/>
              </w:rPr>
              <w:t>2、</w:t>
            </w:r>
            <w:r>
              <w:rPr>
                <w:rFonts w:hint="eastAsia" w:ascii="仿宋" w:eastAsia="仿宋" w:cs="仿宋"/>
                <w:b/>
                <w:color w:val="000000"/>
                <w:kern w:val="0"/>
                <w:sz w:val="24"/>
                <w:szCs w:val="24"/>
              </w:rPr>
              <w:t>鸠神快速路与神后北环交叉口新建信号灯、电子警察及反向卡口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p>
            <w:pPr>
              <w:spacing w:line="240" w:lineRule="auto"/>
              <w:jc w:val="left"/>
              <w:textAlignment w:val="center"/>
              <w:rPr>
                <w:rFonts w:hint="eastAsia" w:ascii="仿宋" w:eastAsia="仿宋" w:cs="仿宋"/>
                <w:color w:val="000000"/>
                <w:sz w:val="24"/>
                <w:szCs w:val="24"/>
                <w:lang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pP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3、鸠神快速路与地质公园交叉口新建信号灯、电子警察及反向卡口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b/>
                <w:bCs/>
              </w:rPr>
            </w:pPr>
          </w:p>
          <w:p>
            <w:pPr>
              <w:spacing w:line="240" w:lineRule="auto"/>
              <w:jc w:val="center"/>
              <w:textAlignment w:val="center"/>
              <w:rPr>
                <w:rFonts w:hint="eastAsia"/>
                <w:b/>
                <w:bCs/>
              </w:rPr>
            </w:pPr>
            <w:r>
              <w:rPr>
                <w:rFonts w:hint="eastAsia"/>
                <w:b/>
                <w:bCs/>
              </w:rPr>
              <w:t>技术规格及主要参数</w:t>
            </w:r>
          </w:p>
          <w:p>
            <w:pPr>
              <w:pStyle w:val="2"/>
              <w:rPr>
                <w:rFonts w:hint="eastAsia" w:ascii="仿宋" w:eastAsia="仿宋" w:cs="仿宋"/>
                <w:b/>
                <w:bCs/>
                <w:color w:val="000000"/>
                <w:kern w:val="0"/>
                <w:sz w:val="24"/>
                <w:szCs w:val="24"/>
              </w:rPr>
            </w:pPr>
          </w:p>
          <w:p>
            <w:pPr>
              <w:pStyle w:val="2"/>
              <w:rPr>
                <w:rFonts w:hint="eastAsia" w:ascii="仿宋" w:eastAsia="仿宋" w:cs="仿宋"/>
                <w:b/>
                <w:color w:val="000000"/>
                <w:kern w:val="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eastAsia="仿宋" w:cs="仿宋"/>
                <w:color w:val="000000"/>
                <w:kern w:val="0"/>
                <w:sz w:val="24"/>
                <w:szCs w:val="24"/>
                <w:lang w:val="en-US" w:eastAsia="zh-CN"/>
              </w:rPr>
            </w:pPr>
            <w:r>
              <w:rPr>
                <w:rFonts w:hint="eastAsia" w:ascii="仿宋" w:eastAsia="仿宋" w:cs="仿宋"/>
                <w:color w:val="000000"/>
                <w:kern w:val="0"/>
                <w:sz w:val="24"/>
                <w:szCs w:val="24"/>
                <w:lang w:val="en-US" w:eastAsia="zh-CN"/>
              </w:rPr>
              <w:t>1</w:t>
            </w:r>
          </w:p>
          <w:p>
            <w:pPr>
              <w:spacing w:line="240" w:lineRule="auto"/>
              <w:jc w:val="center"/>
              <w:textAlignment w:val="center"/>
              <w:rPr>
                <w:rFonts w:ascii="仿宋" w:eastAsia="仿宋" w:cs="仿宋"/>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4、鸠神快速路与火磨路交叉口新建信号灯、电警及反向卡口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723" w:firstLineChars="300"/>
              <w:jc w:val="both"/>
              <w:textAlignment w:val="center"/>
              <w:rPr>
                <w:rFonts w:ascii="仿宋" w:eastAsia="仿宋" w:cs="仿宋"/>
                <w:b/>
                <w:color w:val="000000"/>
                <w:sz w:val="24"/>
                <w:szCs w:val="24"/>
              </w:rPr>
            </w:pPr>
            <w:r>
              <w:rPr>
                <w:rFonts w:hint="eastAsia" w:ascii="仿宋" w:eastAsia="仿宋" w:cs="仿宋"/>
                <w:b/>
                <w:color w:val="000000"/>
                <w:kern w:val="0"/>
                <w:sz w:val="24"/>
                <w:szCs w:val="24"/>
              </w:rPr>
              <w:t>5、鸠神快速路与325省道交叉口新建信号灯、电警及反向卡口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textAlignment w:val="center"/>
              <w:rPr>
                <w:rFonts w:ascii="仿宋" w:eastAsia="仿宋" w:cs="仿宋"/>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rPr>
              <w:t>备注：</w:t>
            </w: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6、鸠山镇唐庄路口新建信号灯、电警及反向卡口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rPr>
              <w:t>备注：</w:t>
            </w: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spacing w:line="240" w:lineRule="auto"/>
              <w:jc w:val="both"/>
              <w:textAlignment w:val="center"/>
            </w:pPr>
            <w:bookmarkStart w:id="1" w:name="北环路和西环路北段新建交通设施"/>
          </w:p>
          <w:p>
            <w:pPr>
              <w:numPr>
                <w:ilvl w:val="0"/>
                <w:numId w:val="8"/>
              </w:numPr>
              <w:spacing w:line="240" w:lineRule="auto"/>
              <w:ind w:firstLine="1446" w:firstLineChars="600"/>
              <w:jc w:val="both"/>
              <w:textAlignment w:val="center"/>
              <w:rPr>
                <w:b/>
                <w:bCs/>
                <w:sz w:val="24"/>
                <w:szCs w:val="28"/>
              </w:rPr>
            </w:pPr>
            <w:r>
              <w:rPr>
                <w:rFonts w:hint="eastAsia"/>
                <w:b/>
                <w:bCs/>
                <w:sz w:val="24"/>
                <w:szCs w:val="28"/>
                <w:lang w:eastAsia="zh-CN"/>
              </w:rPr>
              <w:t>（</w:t>
            </w:r>
            <w:r>
              <w:rPr>
                <w:rFonts w:hint="eastAsia"/>
                <w:b/>
                <w:bCs/>
                <w:sz w:val="24"/>
                <w:szCs w:val="28"/>
                <w:lang w:val="en-US" w:eastAsia="zh-CN"/>
              </w:rPr>
              <w:t>3</w:t>
            </w:r>
            <w:r>
              <w:rPr>
                <w:rFonts w:hint="eastAsia"/>
                <w:b/>
                <w:bCs/>
                <w:sz w:val="24"/>
                <w:szCs w:val="28"/>
                <w:lang w:eastAsia="zh-CN"/>
              </w:rPr>
              <w:t>）</w:t>
            </w:r>
            <w:r>
              <w:rPr>
                <w:b/>
                <w:bCs/>
                <w:sz w:val="24"/>
                <w:szCs w:val="28"/>
              </w:rPr>
              <w:t>北环路和西环路北段新建交通设施</w:t>
            </w:r>
            <w:bookmarkEnd w:id="1"/>
          </w:p>
          <w:p>
            <w:pPr>
              <w:pStyle w:val="2"/>
              <w:numPr>
                <w:ilvl w:val="0"/>
                <w:numId w:val="0"/>
              </w:num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1、北环路与连洛湾路交叉口新建信号灯、电警及反向卡口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center"/>
              <w:textAlignment w:val="center"/>
              <w:rPr>
                <w:rFonts w:hint="eastAsia"/>
              </w:rPr>
            </w:pPr>
          </w:p>
          <w:p>
            <w:pPr>
              <w:spacing w:line="240" w:lineRule="auto"/>
              <w:jc w:val="both"/>
              <w:textAlignment w:val="center"/>
              <w:rPr>
                <w:rFonts w:hint="eastAsia"/>
              </w:rPr>
            </w:pPr>
          </w:p>
          <w:p>
            <w:pPr>
              <w:spacing w:line="240" w:lineRule="auto"/>
              <w:jc w:val="both"/>
              <w:textAlignment w:val="center"/>
              <w:rPr>
                <w:rFonts w:hint="eastAsia"/>
              </w:rPr>
            </w:pPr>
            <w:r>
              <w:rPr>
                <w:rFonts w:hint="eastAsia"/>
              </w:rPr>
              <w:t>是</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rPr>
            </w:pPr>
            <w:r>
              <w:rPr>
                <w:rFonts w:hint="eastAsia" w:ascii="仿宋" w:eastAsia="仿宋" w:cs="仿宋"/>
                <w:color w:val="000000"/>
                <w:kern w:val="0"/>
                <w:sz w:val="24"/>
                <w:szCs w:val="24"/>
              </w:rPr>
              <w:t>防护等级：IP54</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r>
              <w:rPr>
                <w:rFonts w:hint="eastAsia" w:ascii="仿宋" w:eastAsia="仿宋" w:cs="仿宋"/>
                <w:color w:val="000000"/>
                <w:kern w:val="0"/>
                <w:sz w:val="24"/>
                <w:szCs w:val="24"/>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p>
            <w:pPr>
              <w:pStyle w:val="2"/>
              <w:rPr>
                <w:lang w:val="en-US" w:eastAsia="zh-CN"/>
              </w:rPr>
            </w:pPr>
          </w:p>
          <w:p>
            <w:pPr>
              <w:pStyle w:val="2"/>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2、北环路智慧街交叉口新建交通信号灯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包含：控制主机、配电单元、机柜、无线遥控器、GPS。</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相位：支持16主相位+16跟随相位；</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控输出：不低于44路输出，单通道负载800W；</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sz w:val="24"/>
                <w:szCs w:val="24"/>
                <w:lang w:eastAsia="zh-CN"/>
              </w:rPr>
              <w:t>灯控板：4块，每块支持11路；</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通讯协议：支持NTCIP协议；</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信号机应具有单点优化控制功能，能够根据采集的交通流量信息，调整绿灯、红灯时间。</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网络接口：1个RJ45接口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其他接口：1个RS232接口，2个RS485接口，1个USB接口</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当出现绿冲突、某信号组所有红灯均熄灭或信号灯组红灯、绿灯同时点亮时，信号机应能立即自动切断信号输出通道，转入黄闪或关灯状态。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外部输入：8路行人按钮输入</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无线遥控：支持</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工作电压： AC220V±44V，50Hz±2Hz</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温度：-40℃～+70℃</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功耗：35W</w:t>
            </w:r>
          </w:p>
          <w:p>
            <w:pPr>
              <w:spacing w:line="240" w:lineRule="auto"/>
              <w:jc w:val="left"/>
              <w:textAlignment w:val="center"/>
              <w:rPr>
                <w:rFonts w:hint="eastAsia" w:ascii="仿宋" w:eastAsia="仿宋" w:cs="仿宋"/>
                <w:color w:val="000000"/>
                <w:sz w:val="24"/>
                <w:szCs w:val="24"/>
              </w:rPr>
            </w:pPr>
            <w:r>
              <w:rPr>
                <w:rFonts w:hint="eastAsia" w:ascii="仿宋" w:eastAsia="仿宋" w:cs="仿宋"/>
                <w:color w:val="00000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仿宋" w:eastAsia="仿宋" w:cs="仿宋"/>
                <w:color w:val="000000"/>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3、北环路朱阁席庄路段改建区间测速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北环席庄卡口拆迁与重建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点位移迁、拆除与重建立柱两根横臂两根、吊车、拉杆子大车、人工、升降车、等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北环席庄卡口重建</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卡口预埋件</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基础预埋件、M27 八角地笼</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1"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hAnsi="仿宋" w:eastAsia="仿宋" w:cs="仿宋"/>
                <w:sz w:val="24"/>
                <w:szCs w:val="28"/>
              </w:rPr>
              <w:t>相机安装调试、人工及车辆、拆装设备、重新安装调试。</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仿宋" w:eastAsia="仿宋" w:cs="仿宋"/>
                <w:color w:val="000000"/>
                <w:sz w:val="24"/>
                <w:szCs w:val="24"/>
              </w:rPr>
            </w:pPr>
          </w:p>
        </w:tc>
      </w:tr>
    </w:tbl>
    <w:p>
      <w:pPr>
        <w:rPr>
          <w:lang w:eastAsia="en-US"/>
        </w:rPr>
      </w:pPr>
    </w:p>
    <w:p>
      <w:pPr>
        <w:ind w:firstLine="1767" w:firstLineChars="400"/>
        <w:jc w:val="both"/>
        <w:rPr>
          <w:rFonts w:hint="eastAsia"/>
          <w:b/>
          <w:bCs/>
          <w:sz w:val="44"/>
          <w:szCs w:val="44"/>
          <w:lang w:val="en-US" w:eastAsia="zh-CN"/>
        </w:rPr>
      </w:pPr>
    </w:p>
    <w:p>
      <w:pPr>
        <w:ind w:firstLine="1325" w:firstLineChars="300"/>
        <w:jc w:val="both"/>
        <w:rPr>
          <w:rFonts w:hint="eastAsia"/>
          <w:b/>
          <w:bCs/>
          <w:sz w:val="44"/>
          <w:szCs w:val="44"/>
          <w:lang w:val="en-US" w:eastAsia="zh-CN"/>
        </w:rPr>
      </w:pPr>
    </w:p>
    <w:p>
      <w:pPr>
        <w:ind w:firstLine="1325" w:firstLineChars="300"/>
        <w:jc w:val="both"/>
        <w:rPr>
          <w:rFonts w:hint="eastAsia"/>
          <w:b/>
          <w:bCs/>
          <w:sz w:val="44"/>
          <w:szCs w:val="44"/>
          <w:lang w:val="en-US" w:eastAsia="zh-CN"/>
        </w:rPr>
      </w:pPr>
    </w:p>
    <w:p>
      <w:pPr>
        <w:ind w:firstLine="1325" w:firstLineChars="300"/>
        <w:jc w:val="both"/>
        <w:rPr>
          <w:rFonts w:hint="eastAsia"/>
          <w:b/>
          <w:bCs/>
          <w:sz w:val="44"/>
          <w:szCs w:val="44"/>
          <w:lang w:val="en-US" w:eastAsia="zh-CN"/>
        </w:rPr>
      </w:pPr>
    </w:p>
    <w:p>
      <w:pPr>
        <w:ind w:firstLine="1325" w:firstLineChars="300"/>
        <w:jc w:val="both"/>
        <w:rPr>
          <w:rFonts w:hint="default" w:eastAsia="宋体"/>
          <w:sz w:val="44"/>
          <w:szCs w:val="48"/>
          <w:lang w:val="en-US" w:eastAsia="zh-CN"/>
        </w:rPr>
      </w:pPr>
      <w:r>
        <w:rPr>
          <w:rFonts w:hint="eastAsia"/>
          <w:b/>
          <w:bCs/>
          <w:sz w:val="44"/>
          <w:szCs w:val="44"/>
          <w:lang w:val="en-US" w:eastAsia="zh-CN"/>
        </w:rPr>
        <w:t>第二标段</w:t>
      </w:r>
      <w:r>
        <w:rPr>
          <w:rFonts w:hint="eastAsia" w:ascii="仿宋" w:eastAsia="仿宋"/>
          <w:b/>
          <w:bCs/>
          <w:sz w:val="44"/>
          <w:szCs w:val="44"/>
        </w:rPr>
        <w:t>项目明细及技术参数</w:t>
      </w: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5"/>
        <w:gridCol w:w="1005"/>
        <w:gridCol w:w="5955"/>
        <w:gridCol w:w="570"/>
        <w:gridCol w:w="52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宋体"/>
                <w:b/>
                <w:bCs/>
                <w:sz w:val="24"/>
                <w:szCs w:val="24"/>
              </w:rPr>
            </w:pPr>
            <w:r>
              <w:rPr>
                <w:rFonts w:hint="eastAsia" w:ascii="宋体"/>
                <w:b/>
                <w:bCs/>
                <w:sz w:val="24"/>
                <w:szCs w:val="24"/>
                <w:lang w:val="en-US" w:eastAsia="zh-CN"/>
              </w:rPr>
              <w:t>二</w:t>
            </w:r>
            <w:r>
              <w:rPr>
                <w:rFonts w:hint="eastAsia" w:ascii="宋体"/>
                <w:b/>
                <w:bCs/>
                <w:sz w:val="24"/>
                <w:szCs w:val="24"/>
              </w:rPr>
              <w:t>、（</w:t>
            </w:r>
            <w:r>
              <w:rPr>
                <w:rFonts w:hint="eastAsia" w:ascii="宋体"/>
                <w:b/>
                <w:bCs/>
                <w:sz w:val="24"/>
                <w:szCs w:val="24"/>
                <w:lang w:val="en-US" w:eastAsia="zh-CN"/>
              </w:rPr>
              <w:t>1</w:t>
            </w:r>
            <w:r>
              <w:rPr>
                <w:rFonts w:hint="eastAsia" w:ascii="宋体"/>
                <w:b/>
                <w:bCs/>
                <w:sz w:val="24"/>
                <w:szCs w:val="24"/>
              </w:rPr>
              <w:t>）</w:t>
            </w:r>
            <w:bookmarkStart w:id="2" w:name="人民医院路口等9个路口"/>
            <w:r>
              <w:rPr>
                <w:rFonts w:hint="eastAsia" w:ascii="宋体"/>
                <w:b/>
                <w:bCs/>
                <w:sz w:val="24"/>
                <w:szCs w:val="24"/>
              </w:rPr>
              <w:t>人民医院路口等9个路口</w:t>
            </w:r>
          </w:p>
          <w:p>
            <w:pPr>
              <w:jc w:val="center"/>
              <w:textAlignment w:val="center"/>
              <w:rPr>
                <w:rFonts w:ascii="宋体" w:cs="仿宋"/>
                <w:b/>
                <w:color w:val="000000"/>
                <w:sz w:val="24"/>
                <w:szCs w:val="24"/>
              </w:rPr>
            </w:pPr>
            <w:r>
              <w:rPr>
                <w:rFonts w:hint="eastAsia" w:ascii="宋体"/>
                <w:b/>
                <w:bCs/>
                <w:sz w:val="24"/>
                <w:szCs w:val="24"/>
              </w:rPr>
              <w:t>安装电子警察和反向抓拍系统安装工程</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1、轩辕大道新人民医院路口新建电子警察及反向卡口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杆子横臂8米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2、许禹快速路褚河桥东头新建电子警察及反向卡口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3、颍川大道行政南路交叉口新建电子警察及反向卡口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4、颍川大道颍北大道交叉口新建电子警察及反向卡口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5、滨河大道颍川大道交叉口新建电子警察及反向卡口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pP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6、禹神快速路方岗路口新建电子警察及反向卡口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hint="eastAsia"/>
              </w:rPr>
            </w:pPr>
          </w:p>
          <w:p>
            <w:pPr>
              <w:jc w:val="center"/>
              <w:textAlignment w:val="center"/>
              <w:rPr>
                <w:rFonts w:hint="eastAsia"/>
              </w:rPr>
            </w:pPr>
            <w:r>
              <w:rPr>
                <w:rFonts w:hint="eastAsia"/>
              </w:rPr>
              <w:t>是</w:t>
            </w: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pP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2"/>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7、禹神快速路杜村路口新建电子警察及反向卡口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8、禹神快速路南环路口新建电子警察及反向卡口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9、北环路禹浅路交叉口新建电子警察及反向卡口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hint="eastAsia"/>
              </w:rPr>
            </w:pPr>
          </w:p>
          <w:p>
            <w:pPr>
              <w:jc w:val="center"/>
              <w:textAlignment w:val="center"/>
              <w:rPr>
                <w:rFonts w:hint="eastAsia"/>
              </w:rPr>
            </w:pPr>
          </w:p>
          <w:p>
            <w:pPr>
              <w:jc w:val="center"/>
              <w:textAlignment w:val="center"/>
              <w:rPr>
                <w:rFonts w:hint="eastAsia"/>
              </w:rPr>
            </w:pPr>
          </w:p>
          <w:p>
            <w:pPr>
              <w:ind w:firstLine="210" w:firstLineChars="100"/>
              <w:jc w:val="both"/>
              <w:textAlignment w:val="center"/>
              <w:rPr>
                <w:rFonts w:hint="eastAsia"/>
              </w:rPr>
            </w:pPr>
          </w:p>
          <w:p>
            <w:pPr>
              <w:ind w:firstLine="210" w:firstLineChars="100"/>
              <w:jc w:val="both"/>
              <w:textAlignment w:val="center"/>
              <w:rPr>
                <w:rFonts w:hint="eastAsia"/>
              </w:rPr>
            </w:pPr>
          </w:p>
          <w:p>
            <w:pPr>
              <w:ind w:firstLine="210" w:firstLineChars="100"/>
              <w:jc w:val="both"/>
              <w:textAlignment w:val="center"/>
              <w:rPr>
                <w:rFonts w:hint="eastAsia"/>
              </w:rPr>
            </w:pPr>
          </w:p>
          <w:p>
            <w:pPr>
              <w:ind w:firstLine="210" w:firstLineChars="100"/>
              <w:jc w:val="both"/>
              <w:textAlignment w:val="center"/>
              <w:rPr>
                <w:rFonts w:hint="eastAsia"/>
              </w:rPr>
            </w:pPr>
            <w:r>
              <w:rPr>
                <w:rFonts w:hint="eastAsia"/>
              </w:rPr>
              <w:t>是</w:t>
            </w: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rFonts w:ascii="仿宋" w:eastAsia="仿宋" w:cs="仿宋"/>
                <w:color w:val="000000"/>
                <w:sz w:val="24"/>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ascii="仿宋" w:eastAsia="仿宋" w:cs="仿宋"/>
                <w:color w:val="000000"/>
                <w:sz w:val="24"/>
                <w:szCs w:val="24"/>
              </w:rPr>
            </w:pPr>
          </w:p>
        </w:tc>
      </w:tr>
    </w:tbl>
    <w:p>
      <w:pPr>
        <w:pStyle w:val="2"/>
        <w:rPr>
          <w:lang w:eastAsia="en-US"/>
        </w:rPr>
      </w:pP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5"/>
        <w:gridCol w:w="1035"/>
        <w:gridCol w:w="5955"/>
        <w:gridCol w:w="465"/>
        <w:gridCol w:w="555"/>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sz w:val="24"/>
                <w:szCs w:val="24"/>
              </w:rPr>
            </w:pPr>
            <w:r>
              <w:rPr>
                <w:rFonts w:hint="eastAsia"/>
                <w:b/>
                <w:bCs/>
                <w:sz w:val="24"/>
                <w:szCs w:val="24"/>
                <w:lang w:val="en-US" w:eastAsia="zh-CN"/>
              </w:rPr>
              <w:t>二</w:t>
            </w:r>
            <w:r>
              <w:rPr>
                <w:b/>
                <w:bCs/>
                <w:sz w:val="24"/>
                <w:szCs w:val="24"/>
              </w:rPr>
              <w:t>、（</w:t>
            </w:r>
            <w:r>
              <w:rPr>
                <w:rFonts w:hint="eastAsia"/>
                <w:b/>
                <w:bCs/>
                <w:sz w:val="24"/>
                <w:szCs w:val="24"/>
                <w:lang w:val="en-US" w:eastAsia="zh-CN"/>
              </w:rPr>
              <w:t>2</w:t>
            </w:r>
            <w:r>
              <w:rPr>
                <w:b/>
                <w:bCs/>
                <w:sz w:val="24"/>
                <w:szCs w:val="24"/>
              </w:rPr>
              <w:t>）</w:t>
            </w:r>
            <w:bookmarkStart w:id="3" w:name="大学路与学府西路交叉口等五个路口新建及改建交通设施工程"/>
            <w:r>
              <w:rPr>
                <w:b/>
                <w:bCs/>
                <w:sz w:val="24"/>
                <w:szCs w:val="24"/>
              </w:rPr>
              <w:t>大学路与学府西路交叉口等五个路口</w:t>
            </w:r>
          </w:p>
          <w:p>
            <w:pPr>
              <w:jc w:val="center"/>
              <w:textAlignment w:val="center"/>
              <w:rPr>
                <w:rFonts w:ascii="仿宋" w:eastAsia="仿宋" w:cs="仿宋"/>
                <w:b/>
                <w:color w:val="000000"/>
                <w:sz w:val="24"/>
                <w:szCs w:val="24"/>
              </w:rPr>
            </w:pPr>
            <w:r>
              <w:rPr>
                <w:b/>
                <w:bCs/>
                <w:sz w:val="24"/>
                <w:szCs w:val="24"/>
              </w:rPr>
              <w:t>新建及改建交通设施工程</w:t>
            </w:r>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1、大学路与学府西路交叉口新建信号灯、电警及反向卡口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both"/>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2、振兴路与互助街新建信号灯、电警及反向卡口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center"/>
              <w:textAlignment w:val="center"/>
              <w:rPr>
                <w:rFonts w:hint="eastAsia"/>
                <w:b/>
                <w:bCs/>
              </w:rPr>
            </w:pPr>
            <w:r>
              <w:rPr>
                <w:rFonts w:hint="eastAsia"/>
                <w:b/>
                <w:bCs/>
              </w:rPr>
              <w:t>技术规格及主要参数</w:t>
            </w:r>
          </w:p>
          <w:p>
            <w:pPr>
              <w:pStyle w:val="2"/>
              <w:rPr>
                <w:rFonts w:hint="eastAsia" w:ascii="仿宋" w:eastAsia="仿宋" w:cs="仿宋"/>
                <w:b/>
                <w:color w:val="000000"/>
                <w:kern w:val="0"/>
                <w:sz w:val="24"/>
                <w:szCs w:val="24"/>
              </w:rPr>
            </w:pPr>
          </w:p>
          <w:p>
            <w:pPr>
              <w:pStyle w:val="2"/>
              <w:rPr>
                <w:rFonts w:hint="eastAsia" w:ascii="仿宋" w:eastAsia="仿宋" w:cs="仿宋"/>
                <w:b/>
                <w:color w:val="000000"/>
                <w:kern w:val="0"/>
                <w:sz w:val="24"/>
                <w:szCs w:val="24"/>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杆子横臂6米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3、禹王大道吕祖路交叉口改扩建信号灯、电警及反向卡口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b/>
                <w:bCs/>
              </w:rPr>
            </w:pPr>
          </w:p>
          <w:p>
            <w:pPr>
              <w:jc w:val="center"/>
              <w:textAlignment w:val="center"/>
              <w:rPr>
                <w:rFonts w:hint="eastAsia"/>
              </w:rPr>
            </w:pPr>
            <w:r>
              <w:rPr>
                <w:rFonts w:hint="eastAsia"/>
                <w:b/>
                <w:bCs/>
              </w:rPr>
              <w:t>是否为核心产品</w:t>
            </w:r>
          </w:p>
          <w:p>
            <w:pPr>
              <w:pStyle w:val="2"/>
              <w:rPr>
                <w:rFonts w:hint="eastAsia" w:ascii="仿宋" w:eastAsia="仿宋" w:cs="仿宋"/>
                <w:b/>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pStyle w:val="2"/>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4、禹王大道与颍顺路交叉口改扩建信号灯、电警及反向卡口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杆子横臂15米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5、阳翟大道与颍河大街交叉口改扩建信号灯、电警及反向卡口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bl>
    <w:p/>
    <w:p>
      <w:pPr>
        <w:pStyle w:val="2"/>
      </w:pP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5"/>
        <w:gridCol w:w="2325"/>
        <w:gridCol w:w="4320"/>
        <w:gridCol w:w="690"/>
        <w:gridCol w:w="645"/>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cs="仿宋"/>
                <w:b/>
                <w:bCs/>
                <w:color w:val="000000"/>
                <w:sz w:val="24"/>
                <w:szCs w:val="24"/>
              </w:rPr>
            </w:pPr>
            <w:r>
              <w:rPr>
                <w:rFonts w:hint="eastAsia" w:ascii="宋体"/>
                <w:b/>
                <w:bCs/>
                <w:sz w:val="24"/>
                <w:szCs w:val="24"/>
              </w:rPr>
              <w:t>二、（</w:t>
            </w:r>
            <w:r>
              <w:rPr>
                <w:rFonts w:hint="eastAsia" w:ascii="宋体"/>
                <w:b/>
                <w:bCs/>
                <w:sz w:val="24"/>
                <w:szCs w:val="24"/>
                <w:lang w:val="en-US" w:eastAsia="zh-CN"/>
              </w:rPr>
              <w:t>3</w:t>
            </w:r>
            <w:r>
              <w:rPr>
                <w:rFonts w:hint="eastAsia" w:ascii="宋体"/>
                <w:b/>
                <w:bCs/>
                <w:sz w:val="24"/>
                <w:szCs w:val="24"/>
              </w:rPr>
              <w:t>）</w:t>
            </w:r>
            <w:bookmarkStart w:id="4" w:name="滨河路与府东路交叉口等交通设施位置调整工程"/>
            <w:r>
              <w:rPr>
                <w:rFonts w:hint="eastAsia" w:ascii="宋体"/>
                <w:b/>
                <w:bCs/>
                <w:sz w:val="24"/>
                <w:szCs w:val="24"/>
              </w:rPr>
              <w:t>滨河路与府东路交叉口等交通设施位置调整工程</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43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禹王大道友谊路交叉口调整电子警察位置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北至南电警拆迁与重建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b/>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b/>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禹王大道柏山路交叉口调整电子警察位置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北至南电警拆迁与重建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b/>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b/>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禹王大道颍河大街交叉口调整电子警察位置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北至南电警拆迁与重建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b/>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b/>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阳翟大道颍川大道交叉口调整电子警察位置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东至西电警拆迁与重建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b/>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b/>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阳翟大道颍顺路交叉口调整电子警察位置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北至南电警拆迁与重建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滨河大道府东路交叉口调整电子警察位置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7</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府东路与颍北大道交叉口调整电子警察位置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8</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阳翟大道与中陶大道交叉口调整电子警察位置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9</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迎宾路与颍河大街交叉口调整电子警察位置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10</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钧州大街与颍北大道交叉口调整电子警察位置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11</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药城路与颍北大道交叉口调整电子警察位置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12</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轩辕大道与园林大道调整电子警察位置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13</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轩辕大道与祥云大道调整电子警察位置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14</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轩辕大道与华夏大道调整电子警察位置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15</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轩辕大道与阳翟大道调整电子警察位置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16</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轩辕大道与和谐大道调整电子警察位置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需移电警杆三根与重建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17</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阳翟大道与夏都路交叉口调整交通信号灯位置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18</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阳翟大道与药城路交叉口调整交通信号灯位置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19</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阳翟大道与画圣路交叉口调整交通信号灯位置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20</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画圣路与滨河大道交叉口调整交通信号灯位置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21</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远航路与钧州大街交叉口调整交通信号灯位置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22</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阳翟大道与颍河大街交叉口调整交通信号灯位置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23</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阳翟大道与中陶大道交叉口调整交通信号灯位置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需移信号灯杆一根与重建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24</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滨河大道与钧州大街交叉口调整交通信号灯位置</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需移信号灯杆二根与重建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25</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103省道与禹襄路交叉口更换国标信号指示灯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更换三联体圆灯、左转灯、安装调试、线材等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26</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103省道与高速南站交叉口更换国标信号指示灯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更换三联体圆灯、左转灯、安装调试、线材等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27</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北环路与禹浅路交叉口更换国标信号指示灯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28</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禹王大道与药城路交叉口更换国标信号指示灯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更换三联体圆灯、左转灯、安装调试、线材等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29</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滨河大道与药城路交叉口更换国标信号指示灯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更换国标信号灯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4"/>
                <w:szCs w:val="24"/>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更换三联体圆灯、左转灯、安装调试、线材等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b/>
                <w:color w:val="000000"/>
                <w:sz w:val="24"/>
                <w:szCs w:val="24"/>
              </w:rPr>
            </w:pPr>
            <w:r>
              <w:rPr>
                <w:rFonts w:hint="eastAsia" w:ascii="仿宋" w:eastAsia="仿宋" w:cs="仿宋"/>
                <w:b/>
                <w:color w:val="000000"/>
                <w:kern w:val="0"/>
                <w:sz w:val="24"/>
                <w:szCs w:val="24"/>
              </w:rPr>
              <w:t>236省道与燕磨路交叉口更换国标信号指示灯</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kern w:val="0"/>
                <w:sz w:val="24"/>
                <w:szCs w:val="24"/>
              </w:rPr>
            </w:pPr>
            <w:r>
              <w:rPr>
                <w:rFonts w:hint="eastAsia" w:ascii="仿宋" w:eastAsia="仿宋" w:cs="仿宋"/>
                <w:color w:val="000000"/>
                <w:kern w:val="0"/>
                <w:sz w:val="24"/>
                <w:szCs w:val="24"/>
              </w:rPr>
              <w:t>需移电警杆一根与重建</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挖坑、预埋件、商混、拆杆、立杆、线材、环通顶管手井等、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r>
              <w:rPr>
                <w:rFonts w:hint="eastAsia" w:ascii="仿宋" w:eastAsia="仿宋" w:cs="仿宋"/>
                <w:color w:val="000000"/>
                <w:sz w:val="24"/>
                <w:szCs w:val="24"/>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eastAsia="仿宋" w:cs="仿宋"/>
                <w:color w:val="000000"/>
                <w:sz w:val="24"/>
                <w:szCs w:val="24"/>
              </w:rPr>
            </w:pPr>
            <w:r>
              <w:rPr>
                <w:rFonts w:hint="eastAsia" w:ascii="仿宋" w:eastAsia="仿宋" w:cs="仿宋"/>
                <w:color w:val="000000"/>
                <w:sz w:val="24"/>
                <w:szCs w:val="24"/>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bl>
    <w:p>
      <w:pPr>
        <w:pStyle w:val="2"/>
        <w:rPr>
          <w:lang w:eastAsia="en-US"/>
        </w:rPr>
      </w:pPr>
    </w:p>
    <w:p>
      <w:pPr>
        <w:pStyle w:val="2"/>
        <w:jc w:val="both"/>
        <w:rPr>
          <w:rFonts w:hint="eastAsia" w:ascii="仿宋" w:eastAsia="仿宋"/>
          <w:b/>
          <w:bCs/>
          <w:sz w:val="44"/>
          <w:szCs w:val="44"/>
          <w:lang w:val="en-US" w:eastAsia="zh-CN"/>
        </w:rPr>
      </w:pPr>
    </w:p>
    <w:p>
      <w:pPr>
        <w:pStyle w:val="2"/>
        <w:jc w:val="center"/>
        <w:rPr>
          <w:rFonts w:hint="eastAsia" w:ascii="仿宋" w:eastAsia="仿宋"/>
          <w:b/>
          <w:bCs/>
          <w:sz w:val="44"/>
          <w:szCs w:val="44"/>
          <w:lang w:val="en-US" w:eastAsia="zh-CN"/>
        </w:rPr>
      </w:pPr>
    </w:p>
    <w:p>
      <w:pPr>
        <w:pStyle w:val="2"/>
        <w:jc w:val="center"/>
        <w:rPr>
          <w:rFonts w:hint="eastAsia" w:ascii="仿宋" w:eastAsia="仿宋"/>
          <w:b/>
          <w:bCs/>
          <w:sz w:val="44"/>
          <w:szCs w:val="44"/>
          <w:lang w:val="en-US" w:eastAsia="zh-CN"/>
        </w:rPr>
      </w:pPr>
    </w:p>
    <w:p>
      <w:pPr>
        <w:pStyle w:val="2"/>
        <w:jc w:val="center"/>
        <w:rPr>
          <w:rFonts w:hint="eastAsia" w:ascii="仿宋" w:eastAsia="仿宋"/>
          <w:b/>
          <w:bCs/>
          <w:sz w:val="44"/>
          <w:szCs w:val="44"/>
          <w:lang w:val="en-US" w:eastAsia="zh-CN"/>
        </w:rPr>
      </w:pPr>
    </w:p>
    <w:p>
      <w:pPr>
        <w:pStyle w:val="2"/>
        <w:jc w:val="center"/>
      </w:pPr>
      <w:r>
        <w:rPr>
          <w:rFonts w:hint="eastAsia" w:ascii="仿宋" w:eastAsia="仿宋"/>
          <w:b/>
          <w:bCs/>
          <w:sz w:val="44"/>
          <w:szCs w:val="44"/>
          <w:lang w:val="en-US" w:eastAsia="zh-CN"/>
        </w:rPr>
        <w:t>第三标段</w:t>
      </w:r>
      <w:r>
        <w:rPr>
          <w:rFonts w:hint="eastAsia" w:ascii="仿宋" w:eastAsia="仿宋"/>
          <w:b/>
          <w:bCs/>
          <w:sz w:val="44"/>
          <w:szCs w:val="44"/>
        </w:rPr>
        <w:t>项目明细及技术参数</w:t>
      </w:r>
    </w:p>
    <w:tbl>
      <w:tblPr>
        <w:tblStyle w:val="23"/>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5"/>
        <w:gridCol w:w="1005"/>
        <w:gridCol w:w="5805"/>
        <w:gridCol w:w="600"/>
        <w:gridCol w:w="660"/>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b/>
                <w:bCs/>
                <w:sz w:val="24"/>
                <w:szCs w:val="24"/>
              </w:rPr>
            </w:pPr>
            <w:bookmarkStart w:id="5" w:name="开元大道和禹王大道东延伸段等11个主要路口新建交通设施工程"/>
            <w:r>
              <w:rPr>
                <w:rFonts w:hint="eastAsia" w:ascii="宋体"/>
                <w:b/>
                <w:bCs/>
                <w:sz w:val="24"/>
                <w:szCs w:val="24"/>
              </w:rPr>
              <w:t>开元大道和禹王大道东延伸段等11个主要路口</w:t>
            </w:r>
          </w:p>
          <w:p>
            <w:pPr>
              <w:jc w:val="center"/>
              <w:textAlignment w:val="center"/>
              <w:rPr>
                <w:rFonts w:ascii="宋体" w:cs="仿宋"/>
                <w:b/>
                <w:bCs/>
                <w:color w:val="000000"/>
                <w:sz w:val="24"/>
                <w:szCs w:val="24"/>
              </w:rPr>
            </w:pPr>
            <w:r>
              <w:rPr>
                <w:rFonts w:hint="eastAsia" w:ascii="宋体"/>
                <w:b/>
                <w:bCs/>
                <w:sz w:val="24"/>
                <w:szCs w:val="24"/>
                <w:lang w:eastAsia="en-US"/>
              </w:rPr>
              <w:t>新建交通设施工程</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w:t>
            </w:r>
            <w:bookmarkStart w:id="6" w:name="开元大道"/>
            <w:r>
              <w:rPr>
                <w:rFonts w:hint="eastAsia" w:ascii="仿宋" w:eastAsia="仿宋" w:cs="仿宋"/>
                <w:b/>
                <w:color w:val="000000"/>
                <w:kern w:val="0"/>
                <w:sz w:val="24"/>
                <w:szCs w:val="24"/>
                <w:lang w:val="en-US" w:eastAsia="zh-CN"/>
              </w:rPr>
              <w:t>开元大道和吕不韦路</w:t>
            </w:r>
            <w:r>
              <w:rPr>
                <w:rFonts w:hint="eastAsia" w:ascii="仿宋" w:eastAsia="仿宋" w:cs="仿宋"/>
                <w:b/>
                <w:color w:val="000000"/>
                <w:kern w:val="0"/>
                <w:sz w:val="24"/>
                <w:szCs w:val="24"/>
              </w:rPr>
              <w:t>交叉口新建信号</w:t>
            </w:r>
            <w:bookmarkEnd w:id="6"/>
            <w:r>
              <w:rPr>
                <w:rFonts w:hint="eastAsia" w:ascii="仿宋" w:eastAsia="仿宋" w:cs="仿宋"/>
                <w:b/>
                <w:color w:val="000000"/>
                <w:kern w:val="0"/>
                <w:sz w:val="24"/>
                <w:szCs w:val="24"/>
              </w:rPr>
              <w:t>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2、开元大道琅城路交叉口新建信号灯、电警及反向卡口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3、开元大道水镜路交叉口新建信号灯、电警及反向卡口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4、开元大道遂良大道交叉口新建信号灯、电警及反向卡口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pStyle w:val="2"/>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5、开元大道高压走廊交叉口新建信号灯、电警及反向卡口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p>
          <w:p>
            <w:pPr>
              <w:jc w:val="both"/>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6、禹王大道吕不韦路交叉口新建信号灯、电警及反向卡口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p>
          <w:p>
            <w:pPr>
              <w:jc w:val="center"/>
              <w:textAlignment w:val="center"/>
              <w:rPr>
                <w:rFonts w:hint="eastAsia"/>
              </w:rPr>
            </w:pPr>
            <w:r>
              <w:rPr>
                <w:rFonts w:hint="eastAsia"/>
              </w:rPr>
              <w:t>是</w:t>
            </w: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p>
            <w:pPr>
              <w:pStyle w:val="2"/>
              <w:rPr>
                <w:rFonts w:hint="eastAsia" w:asci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杆子横臂14米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7、禹王大道褚东路新建信号灯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8、褚河大街博文路交叉口新建信号灯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6-7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信号机、机柜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9、开元大道103省道交叉口新建信号灯、电警及反向卡口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10、工业大道高压走廊交叉口新建信号灯、电警及反向卡口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p>
            <w:pPr>
              <w:pStyle w:val="2"/>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11、祥云大道高压走廊交叉口新建信号灯、电警及反向卡口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货物名称</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技术规格及主要参数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b/>
                <w:color w:val="000000"/>
                <w:sz w:val="24"/>
                <w:szCs w:val="24"/>
              </w:rPr>
            </w:pPr>
            <w:r>
              <w:rPr>
                <w:rFonts w:hint="eastAsia" w:asci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900万像素高清抓拍单元（卡口）</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900万像素高清抓拍单元（电警）</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高清抓拍单元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包含摄像机（内置偏振镜）、高清镜头、室外防护罩、风扇、内置补光灯、电源适配器、相机内置防雷模块、安装万向节等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lang w:eastAsia="zh-CN"/>
              </w:rPr>
              <w:t>像素：不低于900W；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分辨率：最大支持4096*2160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帧率：25fps</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图像传感器：采用1" 英寸全局曝光CMOS（GMOS）传感器</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镜头：根据现场实际情况配置</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照度：彩色:0.01Lux</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视频压缩标准：H.265/H.264/MJPEG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图像输出格式：JPEG</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输出：电平量信号</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通讯接口：2个RJ45 100M/1000M自适应网口，</w:t>
            </w:r>
            <w:r>
              <w:rPr>
                <w:rFonts w:hint="eastAsia" w:ascii="仿宋" w:eastAsia="仿宋" w:cs="仿宋"/>
                <w:color w:val="000000"/>
                <w:kern w:val="0"/>
                <w:sz w:val="24"/>
                <w:szCs w:val="24"/>
                <w:lang w:val="en-US" w:eastAsia="zh-CN"/>
              </w:rPr>
              <w:t>2个RS485接口</w:t>
            </w:r>
            <w:r>
              <w:rPr>
                <w:rFonts w:hint="eastAsia" w:ascii="仿宋" w:eastAsia="仿宋" w:cs="仿宋"/>
                <w:color w:val="000000"/>
                <w:kern w:val="0"/>
                <w:sz w:val="24"/>
                <w:szCs w:val="24"/>
              </w:rPr>
              <w:t>，1个RS232接口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外部接口：4路外部触发输入，6路(光耦隔离2500VAC)输出，可作为闪光灯同步输出控制，SYNC信号灯电源同步输入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存储支持：最大支持64G TF卡</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自动光圈镜头：支持</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工作电压：100VAC～240VAC；频率：48Hz～52Hz；</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功耗：＜20W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lang w:eastAsia="zh-CN"/>
              </w:rPr>
              <w:t>支持对</w:t>
            </w:r>
            <w:r>
              <w:rPr>
                <w:rFonts w:hint="eastAsia" w:ascii="仿宋" w:eastAsia="仿宋" w:cs="仿宋"/>
                <w:color w:val="000000"/>
                <w:kern w:val="0"/>
                <w:sz w:val="24"/>
                <w:szCs w:val="24"/>
              </w:rPr>
              <w:t>非机动车逆行，闯红</w:t>
            </w:r>
            <w:r>
              <w:rPr>
                <w:rFonts w:hint="eastAsia" w:ascii="仿宋" w:eastAsia="仿宋" w:cs="仿宋"/>
                <w:color w:val="000000"/>
                <w:kern w:val="0"/>
                <w:sz w:val="24"/>
                <w:szCs w:val="24"/>
                <w:lang w:eastAsia="zh-CN"/>
              </w:rPr>
              <w:t>灯等</w:t>
            </w:r>
            <w:r>
              <w:rPr>
                <w:rFonts w:hint="eastAsia" w:ascii="仿宋" w:eastAsia="仿宋" w:cs="仿宋"/>
                <w:color w:val="000000"/>
                <w:kern w:val="0"/>
                <w:sz w:val="24"/>
                <w:szCs w:val="24"/>
              </w:rPr>
              <w:t>违法抓拍上传。</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支持检测</w:t>
            </w:r>
            <w:r>
              <w:rPr>
                <w:rFonts w:hint="eastAsia" w:ascii="仿宋" w:eastAsia="仿宋" w:cs="仿宋"/>
                <w:color w:val="000000"/>
                <w:kern w:val="0"/>
                <w:sz w:val="24"/>
                <w:szCs w:val="24"/>
                <w:lang w:eastAsia="zh-CN"/>
              </w:rPr>
              <w:t>交通</w:t>
            </w:r>
            <w:r>
              <w:rPr>
                <w:rFonts w:hint="eastAsia" w:ascii="仿宋" w:eastAsia="仿宋" w:cs="仿宋"/>
                <w:color w:val="000000"/>
                <w:kern w:val="0"/>
                <w:sz w:val="24"/>
                <w:szCs w:val="24"/>
              </w:rPr>
              <w:t>事故</w:t>
            </w:r>
            <w:r>
              <w:rPr>
                <w:rFonts w:hint="eastAsia" w:ascii="仿宋" w:eastAsia="仿宋" w:cs="仿宋"/>
                <w:color w:val="000000"/>
                <w:kern w:val="0"/>
                <w:sz w:val="24"/>
                <w:szCs w:val="24"/>
                <w:lang w:eastAsia="zh-CN"/>
              </w:rPr>
              <w:t>功能</w:t>
            </w:r>
            <w:r>
              <w:rPr>
                <w:rFonts w:hint="eastAsia" w:ascii="仿宋" w:eastAsia="仿宋" w:cs="仿宋"/>
                <w:color w:val="000000"/>
                <w:kern w:val="0"/>
                <w:sz w:val="24"/>
                <w:szCs w:val="24"/>
              </w:rPr>
              <w:t>，并可上传设备位置信息及事故图片至平台。</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支持禁货、禁拖拉机、禁农用车、禁大客车、禁左、禁右、禁止掉头等违章抓拍。</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支持smart JPEG编码，能够有效减小抓拍图片大小，压缩比0-100可设置。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支持不低于2</w:t>
            </w:r>
            <w:r>
              <w:rPr>
                <w:rFonts w:hint="eastAsia" w:ascii="仿宋" w:eastAsia="仿宋" w:cs="仿宋"/>
                <w:color w:val="000000"/>
                <w:kern w:val="0"/>
                <w:sz w:val="24"/>
                <w:szCs w:val="24"/>
                <w:lang w:val="en-US" w:eastAsia="zh-CN"/>
              </w:rPr>
              <w:t>2</w:t>
            </w:r>
            <w:r>
              <w:rPr>
                <w:rFonts w:hint="eastAsia" w:ascii="仿宋" w:eastAsia="仿宋" w:cs="仿宋"/>
                <w:color w:val="000000"/>
                <w:kern w:val="0"/>
                <w:sz w:val="24"/>
                <w:szCs w:val="24"/>
              </w:rPr>
              <w:t>种车型检测，包括小型客车、中型客车、大型客车、微型轿车、小型轿车、两厢轿车、三厢轿车、SUV、MPV、面包车、皮卡车、货车、</w:t>
            </w:r>
            <w:r>
              <w:rPr>
                <w:rFonts w:hint="eastAsia" w:ascii="仿宋" w:eastAsia="仿宋" w:cs="仿宋"/>
                <w:color w:val="000000"/>
                <w:kern w:val="0"/>
                <w:sz w:val="24"/>
                <w:szCs w:val="24"/>
                <w:lang w:eastAsia="zh-CN"/>
              </w:rPr>
              <w:t>小货车、三轮车</w:t>
            </w:r>
            <w:r>
              <w:rPr>
                <w:rFonts w:hint="eastAsia" w:ascii="仿宋" w:eastAsia="仿宋" w:cs="仿宋"/>
                <w:color w:val="000000"/>
                <w:kern w:val="0"/>
                <w:sz w:val="24"/>
                <w:szCs w:val="24"/>
              </w:rPr>
              <w:t>、集装箱卡车、微卡/栏板车、渣土车、吊车/工程车、油罐车、混凝土搅拌车、</w:t>
            </w:r>
            <w:r>
              <w:rPr>
                <w:rFonts w:hint="eastAsia" w:ascii="仿宋" w:eastAsia="仿宋" w:cs="仿宋"/>
                <w:color w:val="000000"/>
                <w:kern w:val="0"/>
                <w:sz w:val="24"/>
                <w:szCs w:val="24"/>
                <w:lang w:eastAsia="zh-CN"/>
              </w:rPr>
              <w:t>平板拖车等</w:t>
            </w:r>
            <w:r>
              <w:rPr>
                <w:rFonts w:hint="eastAsia" w:ascii="仿宋" w:eastAsia="仿宋" w:cs="仿宋"/>
                <w:color w:val="000000"/>
                <w:kern w:val="0"/>
                <w:sz w:val="24"/>
                <w:szCs w:val="24"/>
              </w:rPr>
              <w:t>，准确率不低于9</w:t>
            </w:r>
            <w:r>
              <w:rPr>
                <w:rFonts w:hint="eastAsia" w:ascii="仿宋" w:eastAsia="仿宋" w:cs="仿宋"/>
                <w:color w:val="000000"/>
                <w:kern w:val="0"/>
                <w:sz w:val="24"/>
                <w:szCs w:val="24"/>
                <w:lang w:val="en-US" w:eastAsia="zh-CN"/>
              </w:rPr>
              <w:t>7</w:t>
            </w:r>
            <w:r>
              <w:rPr>
                <w:rFonts w:hint="eastAsia" w:ascii="仿宋" w:eastAsia="仿宋" w:cs="仿宋"/>
                <w:color w:val="000000"/>
                <w:kern w:val="0"/>
                <w:sz w:val="24"/>
                <w:szCs w:val="24"/>
              </w:rPr>
              <w:t>%。</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车辆捕获率不低于95%，车牌识别率不低于95%，车身颜色识别率不低于90%，车型识别率不低于90%，车辆品牌识别率不低于90%；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支持智能识别功能：内置视频识别功能，支持车牌识别、视频触发、车身颜色识别、车型识别，通行车辆信息捕获和</w:t>
            </w:r>
            <w:r>
              <w:rPr>
                <w:rFonts w:hint="eastAsia" w:ascii="仿宋" w:eastAsia="仿宋" w:cs="仿宋"/>
                <w:color w:val="000000"/>
                <w:kern w:val="0"/>
                <w:sz w:val="24"/>
                <w:szCs w:val="24"/>
                <w:lang w:eastAsia="zh-CN"/>
              </w:rPr>
              <w:t>违章检测功能；</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气体爆闪灯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色温＞4000K；</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1路RS485接口、1路爆闪输入接口、1个照度传感器；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补光灯自带光敏控制，可根据环境亮度自动调节闪光强度；</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可通过RS485设置闪光亮度，闪光亮度1~20级可调</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回电时间应≤50ms；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在-30℃~70℃温度范围内均能正常工作</w:t>
            </w:r>
          </w:p>
          <w:p>
            <w:pPr>
              <w:spacing w:line="240" w:lineRule="auto"/>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rPr>
              <w:t>【白光】【爆闪』【带光】:单车道气体爆闪灯，单次闪光能量2200，白天可看清前排司乘人员面部特征;;回电时间＜67ms，支持5V电平量触发(可选开关量);:有效补光距离16m～-25m;:具有脉冲保护功能，屏蔽23Hz持续性的脉冲信号(闪15次后进入1次/S的微闪光提示状态，复原时间为105)::闪光次数≥2000万次;;自带光栅，可有效減少</w:t>
            </w:r>
            <w:r>
              <w:rPr>
                <w:rFonts w:hint="eastAsia" w:ascii="仿宋" w:eastAsia="仿宋" w:cs="仿宋"/>
                <w:color w:val="000000"/>
                <w:kern w:val="0"/>
                <w:sz w:val="24"/>
                <w:szCs w:val="24"/>
                <w:lang w:eastAsia="zh-CN"/>
              </w:rPr>
              <w:t>周边光污染；</w:t>
            </w:r>
          </w:p>
          <w:p>
            <w:pPr>
              <w:spacing w:line="240" w:lineRule="auto"/>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LED补光灯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16颗原装进口大功率LED频闪灯，补光灯自带光敏控制，在低照度下自动开启，低照度阀值可设；</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最佳补光距离16m～25m；</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频率0-250HZ可调；支持通过调整占空比1%~39%进行亮度调节；</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支持频率及占空比保护功能；</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支持通过RS485远程控制补光灯的亮度、开启/关闭；</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支持远程显示补光灯故障、正常、开启、关闭等工作状态；</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频闪响应时间≤20微秒；</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防护等级IP66；</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电源电压在AC80V~264V范围内变化时，能正常工作；</w:t>
            </w:r>
          </w:p>
          <w:p>
            <w:pPr>
              <w:spacing w:line="240" w:lineRule="auto"/>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最大功率30W</w:t>
            </w:r>
          </w:p>
          <w:p>
            <w:pPr>
              <w:spacing w:line="240" w:lineRule="auto"/>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【非机动车信号灯】【竖装】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功率：功率≤15W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【满屏信号灯】【竖装】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LED数量：红156，黄156，绿156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中心光强：400 ~1000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【左转箭头灯】【竖装】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产品尺寸：1380×455×130mm（铝壳灯体）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面罩规格：φ400mm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LED数量：红90，黄90，绿90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LED波长：红：625nm；黄：590nm；绿：505nm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中心亮度：5000 ~15000 cd/m2</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可视距离：＞450m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功率：功率≤20W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重量：≤20kg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人行信号灯</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textAlignment w:val="top"/>
              <w:rPr>
                <w:rFonts w:ascii="仿宋" w:eastAsia="仿宋" w:cs="仿宋"/>
                <w:color w:val="000000"/>
                <w:sz w:val="24"/>
                <w:szCs w:val="24"/>
              </w:rPr>
            </w:pPr>
            <w:r>
              <w:rPr>
                <w:rFonts w:hint="eastAsia" w:ascii="仿宋" w:eastAsia="仿宋" w:cs="仿宋"/>
                <w:color w:val="000000"/>
                <w:kern w:val="0"/>
                <w:sz w:val="24"/>
                <w:szCs w:val="24"/>
              </w:rPr>
              <w:t>【人行灯】【竖装】</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包含：灯具、帽檐、装饰边、背杆支架、U型抱箍</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（铝壳灯体）</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面罩规格：φ300mm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面罩材质：玻璃</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外壳材质：铝压铸</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表面处理：黑色喷塑哑光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LED数量：红60，绿56</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LED波长：红：625nm；绿：505nm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LED直径：φ5mm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单管电流：＜18mA</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LED寿命：≥70000小时</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绝缘电阻：≥500MΩ</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介电强度：≥1440V</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中心光强：150~400 cd</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可视距离：＞300m</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可视角度：＞30°</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工作电压：AC 220V±44V，50HZ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功率：功率≤10W</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 xml:space="preserve">工作温度：-40 ~ +80℃ </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相对湿度：≤93%</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防护等级：IP53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交通信号控制主机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包含：控制主机、配电单元、机柜、无线遥控器、GPS。</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相位：支持16主相位+16跟随相位；</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控输出：不低于44路输出，单通道负载800W；</w:t>
            </w:r>
          </w:p>
          <w:p>
            <w:pPr>
              <w:jc w:val="left"/>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灯控板：4块，每块支持11路；</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通讯协议：支持NTCIP协议；</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信号机应具有单点优化控制功能，能够根据采集的交通流量信息，调整绿灯、红灯时间。</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网络接口：1个RJ45接口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其他接口：1个RS232接口，2个RS485接口，1个USB接口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当出现绿冲突、某信号组所有红灯均熄灭或信号灯组红灯、绿灯同时点亮时，信号机应能立即自动切断信号输出通道，转入黄闪或关灯状态。</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外部输入：8路行人按钮输入</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无线遥控：支持</w:t>
            </w:r>
          </w:p>
          <w:p>
            <w:pPr>
              <w:pStyle w:val="2"/>
              <w:rPr>
                <w:rFonts w:hint="eastAsia"/>
              </w:rPr>
            </w:pPr>
            <w:r>
              <w:rPr>
                <w:rFonts w:hint="eastAsia" w:ascii="仿宋" w:eastAsia="仿宋" w:cs="仿宋"/>
                <w:color w:val="000000"/>
                <w:kern w:val="0"/>
                <w:sz w:val="24"/>
                <w:szCs w:val="24"/>
              </w:rPr>
              <w:t>无线接入：可选配4G/WIFI模块</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工作电压： AC220V±44V，50Hz±2Hz</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温度：-40℃～+70℃</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功耗：35W</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绝缘强度：＞500 MΩ</w:t>
            </w:r>
          </w:p>
          <w:p>
            <w:pPr>
              <w:pStyle w:val="2"/>
              <w:rPr>
                <w:rFonts w:hint="eastAsia" w:ascii="仿宋" w:eastAsia="仿宋" w:cs="仿宋"/>
                <w:color w:val="000000"/>
                <w:kern w:val="0"/>
                <w:sz w:val="24"/>
                <w:szCs w:val="24"/>
              </w:rPr>
            </w:pPr>
            <w:r>
              <w:rPr>
                <w:rFonts w:hint="eastAsia" w:ascii="仿宋" w:eastAsia="仿宋" w:cs="仿宋"/>
                <w:color w:val="000000"/>
                <w:kern w:val="0"/>
                <w:sz w:val="24"/>
                <w:szCs w:val="24"/>
              </w:rPr>
              <w:t>防护等级：IP54</w:t>
            </w:r>
          </w:p>
          <w:p>
            <w:pPr>
              <w:pStyle w:val="2"/>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终端服务器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终端服务器，高性能数字媒体处理器；</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内置1块3.5寸2T硬盘；</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双网卡，内置16个100M以太网接口及2个1000M网络接口、1个1000M独立SFP光纤接口；</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支持2路HD-TVI输入；支持VGA输出、HDMI输出、CVBS输出；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4个RS485、2个RS232、2个USB2.0、4路报警输入\报警输出、1个eSATA接口；电源:DC12V；</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可接入不低于16路IP摄像机</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录像和图片含有数字水印信息，可通过专用工具检测图片数据是否被篡改</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设备采用嵌入式Linux实时操作系统，内存容量不低于1GB</w:t>
            </w:r>
          </w:p>
          <w:p>
            <w:pPr>
              <w:jc w:val="left"/>
              <w:textAlignment w:val="center"/>
              <w:rPr>
                <w:rFonts w:hint="eastAsia" w:ascii="仿宋" w:eastAsia="仿宋" w:cs="仿宋"/>
                <w:color w:val="000000"/>
                <w:kern w:val="0"/>
                <w:sz w:val="24"/>
                <w:szCs w:val="24"/>
              </w:rPr>
            </w:pPr>
            <w:r>
              <w:rPr>
                <w:rFonts w:hint="eastAsia" w:ascii="仿宋" w:eastAsia="仿宋" w:cs="仿宋"/>
                <w:color w:val="000000"/>
                <w:kern w:val="0"/>
                <w:sz w:val="24"/>
                <w:szCs w:val="24"/>
              </w:rPr>
              <w:t>工作温度-45℃~75℃；</w:t>
            </w:r>
          </w:p>
          <w:p>
            <w:pPr>
              <w:jc w:val="left"/>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须提供公安部权威机构出具的检验报告复印件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信号检测器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交通灯信号检测器，支持16路AC220V信号接入；</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6路RS485接口；</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一个5位拨码开关，用于设置设备地址、数据上传模式及波特率；</w:t>
            </w:r>
            <w:r>
              <w:rPr>
                <w:rFonts w:hint="eastAsia" w:ascii="仿宋" w:eastAsia="仿宋" w:cs="仿宋"/>
                <w:color w:val="000000"/>
                <w:kern w:val="0"/>
                <w:sz w:val="24"/>
                <w:szCs w:val="24"/>
              </w:rPr>
              <w:br w:type="textWrapping"/>
            </w:r>
            <w:r>
              <w:rPr>
                <w:rFonts w:hint="eastAsia" w:ascii="仿宋" w:eastAsia="仿宋" w:cs="仿宋"/>
                <w:color w:val="000000"/>
                <w:kern w:val="0"/>
                <w:sz w:val="24"/>
                <w:szCs w:val="24"/>
              </w:rPr>
              <w:t>一个电源开关，AC220V供电。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交换机</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8ロ千兆级型工业型、以太网交换机:网口8个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爆闪灯信号线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相机电源电缆</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RVV3*1.0mm2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485信号线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RVV电警屏蔽485信号传输线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网线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屏蔽超六类网线，符合国家标准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4芯光纤信号画面传输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19芯红绿灯信号线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RVV红绿灯主信号控制线19*1.0，国标，纯铜，符合国家标准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9芯人行灯线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RVV人行灯信号控制线9*1.0，国标，纯铜，符合国家标准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4芯红绿灯信号线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RVV4*1.0mm2红绿灯灯组信号线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杆子横臂10米</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红绿灯杆子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八棱杆立柱高度6.5米、壁厚8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人行灯杆子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圆柱杆子、高度4MM镀锌含预埋件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光纤收发器</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eastAsia="仿宋" w:cs="仿宋"/>
                <w:color w:val="000000"/>
                <w:sz w:val="24"/>
                <w:szCs w:val="24"/>
              </w:rPr>
            </w:pPr>
            <w:r>
              <w:rPr>
                <w:rFonts w:hint="eastAsia" w:ascii="仿宋" w:eastAsia="仿宋" w:cs="仿宋"/>
                <w:color w:val="000000"/>
                <w:kern w:val="0"/>
                <w:sz w:val="24"/>
                <w:szCs w:val="24"/>
              </w:rPr>
              <w:t>1口百兆光纤收发器工业导轨式发送机;光口：1个百兆光口，距离20公里，FC口，单模单纤;电口：1个百兆网口；安装方式：工业导轨式；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基础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挖基础，人工、土方开挖</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土方清运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土方清运需大车拉土人工装土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混凝土</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国标C30混凝土、基础浇筑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仿宋" w:eastAsia="仿宋" w:cs="仿宋"/>
                <w:color w:val="000000"/>
                <w:sz w:val="24"/>
                <w:szCs w:val="24"/>
                <w:lang w:eastAsia="zh-CN"/>
              </w:rPr>
            </w:pPr>
            <w:r>
              <w:rPr>
                <w:rFonts w:hint="eastAsia" w:ascii="仿宋" w:eastAsia="仿宋" w:cs="仿宋"/>
                <w:color w:val="000000"/>
                <w:kern w:val="0"/>
                <w:sz w:val="24"/>
                <w:szCs w:val="24"/>
                <w:lang w:eastAsia="zh-CN"/>
              </w:rPr>
              <w:t>信号灯机柜固定</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浇筑砼、砖砌、机柜固定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顶管</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电子警察跨路顶管、管道穿线、规格￠80mm，材质PE，</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抱杆箱子</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选用优质不锈钢防腐蚀材质，厚度≥0.8mm，双坡型防雨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电警落地机柜</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选用优质防腐蚀材质，厚度≥0.8mm，双坡型防雨(含风扇、防雷模块、配电模块)，根据现场实际情况定制，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插板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国标大功率双排28孔插排，符合国家标准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空开</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国标，适用于保护线路的短路和过载，漏电保护C63、额定电压230V/400V，符合国家标准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三维支架</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含：抓拍机、补光灯、爆闪灯支架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接线井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面工作手井，复合井盖，规格内径６００*６００*６００ｍｍ；包含；人工挖填土方、浇筑砼、砖砌、盖板等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14</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立杆吊装</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立杆、需吊车、拉杆子大车、人工、升降车、等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220V多股电缆线</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主电源电缆线,国标，纯铜、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200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仿宋" w:eastAsia="仿宋" w:cs="仿宋"/>
                <w:color w:val="000000"/>
                <w:sz w:val="24"/>
                <w:szCs w:val="24"/>
              </w:rPr>
            </w:pPr>
            <w:r>
              <w:rPr>
                <w:rFonts w:hint="eastAsia" w:ascii="仿宋" w:eastAsia="仿宋" w:cs="仿宋"/>
                <w:color w:val="000000"/>
                <w:kern w:val="0"/>
                <w:sz w:val="24"/>
                <w:szCs w:val="24"/>
              </w:rPr>
              <w:t>安装调试</w:t>
            </w:r>
          </w:p>
        </w:tc>
        <w:tc>
          <w:tcPr>
            <w:tcW w:w="5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eastAsia="仿宋" w:cs="仿宋"/>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eastAsia="仿宋" w:cs="仿宋"/>
                <w:color w:val="000000"/>
                <w:sz w:val="24"/>
                <w:szCs w:val="24"/>
              </w:rPr>
            </w:pPr>
            <w:r>
              <w:rPr>
                <w:rFonts w:hint="eastAsia" w:ascii="仿宋" w:eastAsia="仿宋" w:cs="仿宋"/>
                <w:color w:val="000000"/>
                <w:kern w:val="0"/>
                <w:sz w:val="24"/>
                <w:szCs w:val="24"/>
              </w:rPr>
              <w:t>8</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eastAsia="仿宋" w:cs="仿宋"/>
                <w:color w:val="000000"/>
                <w:sz w:val="24"/>
                <w:szCs w:val="24"/>
              </w:rPr>
            </w:pPr>
          </w:p>
        </w:tc>
      </w:tr>
    </w:tbl>
    <w:p>
      <w:pPr>
        <w:pStyle w:val="2"/>
        <w:rPr>
          <w:rFonts w:hint="eastAsia"/>
          <w:lang w:val="en-US" w:eastAsia="zh-CN"/>
        </w:rPr>
      </w:pPr>
    </w:p>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2.其它标准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设备必须符合国家质量检测标准和本招标文件规定标准的全新正品现货，供货时须提供随货物《产品合格证》及其它相关质量证明文件。供方提供的货物须是全新的且保证不是库存或积压品(包括零部件)，符合国家、部委或地方相关标准以及该产品的出厂标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包括但不仅限于：</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GB5768.2-2009  道路交通标志和标线第2部分道路交通标志</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GB5768.5-2017  道路交通标志和标线第5部分限制速度</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GB14887-2011  道路交通信号灯</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GB14886-2016道路交通信号灯设置与安装规范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GB25280-2016  道路交通信号控制机</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GB/T20999-2017 交通信号控制机与上位机间的数据通信协议</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GAT496-2009 闯红灯自动记录系统通用技术条件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GAT497-2009 公路车辆智能监测记录系统通用技术条件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GAT832-2009 道路交通安全违法行为图像取证技术规范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GAT833-2009 机动车号牌图像自动识别技术规范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GAT870-2010 闯红灯自动记录系统验收技术规范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GAT961-2011 公路车辆智能监测记录系统验收技术规范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GAT995-2012 道路交通安全违法行为视频取证设备技术规范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GAT1047-2013 道路交通信息监测记录设备设置规范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GAT1043-2013 道路交通技术监控设备运行维护规范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GBT21255-2007 机动车测速仪</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GBT18226 公路交通工程钢构件防腐技术条件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GA329  全国道路交通管理信息数据库规范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GA648 交通技术监控信息数据规范</w:t>
      </w:r>
    </w:p>
    <w:p>
      <w:pPr>
        <w:pStyle w:val="2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bCs/>
          <w:kern w:val="0"/>
          <w:sz w:val="24"/>
          <w:szCs w:val="24"/>
          <w:lang w:val="en-US" w:eastAsia="zh-CN" w:bidi="ar-SA"/>
        </w:rPr>
      </w:pPr>
      <w:r>
        <w:rPr>
          <w:rFonts w:hint="eastAsia" w:cs="宋体" w:asciiTheme="minorEastAsia" w:hAnsiTheme="minorEastAsia" w:eastAsiaTheme="minorEastAsia"/>
          <w:b/>
          <w:bCs/>
          <w:kern w:val="0"/>
          <w:sz w:val="24"/>
          <w:szCs w:val="24"/>
          <w:lang w:val="en-US" w:eastAsia="zh-CN" w:bidi="ar-SA"/>
        </w:rPr>
        <w:t>（四）服务标准、期限、效率等要求</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1、服务标准：按国家相关标准执行。</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2、服务期限：质保期不少于一年（核心产品质保期不少于三年，中标企业需提供质保承诺函）。</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3、企业中标后要在禹州市区设置售后服务站，配备不少于有2人专业技术人员和检修设备常驻现场提供技术服务，承担系统运行保障、故障应急处置和解决、软件升级改造等相关工作。</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4、质保期内设备发生故障时，中标企业要在1小时电话响应，2小时到达现场，24小时之内解决故障。非因电力、光纤原因发生的故障24小时内不能解决的，每逾期1天扣除质保金2000元。</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5、改扩建项目、移建项目必须与原前端设备无缝对接，达到技术要求；新建电警、卡口、反向卡口、区间测速设备要与禹州市公安局现有警务平台实现实时无缝对接；智能联网型信号机要与禹州市公安局现有设备联网实现无缝对接。</w:t>
      </w:r>
    </w:p>
    <w:p>
      <w:pPr>
        <w:widowControl/>
        <w:shd w:val="clear" w:color="auto" w:fill="FFFFFF"/>
        <w:spacing w:line="360" w:lineRule="auto"/>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6、中标企业必须在规定日期内完工，每逾期（自然灾害及政府明令停工的除外）一天扣除质保金10000元。</w:t>
      </w:r>
    </w:p>
    <w:p>
      <w:pPr>
        <w:widowControl/>
        <w:shd w:val="clear" w:color="auto" w:fill="FFFFFF"/>
        <w:spacing w:line="360" w:lineRule="auto"/>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hint="eastAsia"/>
          <w:lang w:val="zh-CN"/>
        </w:rPr>
      </w:pPr>
      <w:r>
        <w:rPr>
          <w:rFonts w:hint="eastAsia" w:ascii="宋体" w:cs="宋体"/>
          <w:sz w:val="24"/>
          <w:lang w:val="zh-CN"/>
        </w:rPr>
        <w:t>1、供应商须明确投标产品的厂家、产地、品牌、型号、详细参数，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、投标人应就该项目完整投标（报价含运输费、税费等综合费用），否则为无效投标。</w:t>
      </w:r>
    </w:p>
    <w:p>
      <w:pPr>
        <w:pStyle w:val="10"/>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zh-CN" w:eastAsia="zh-CN" w:bidi="ar-SA"/>
        </w:rPr>
        <w:t>3、所响应产品必须符合国家质量检测标准和本</w:t>
      </w:r>
      <w:r>
        <w:rPr>
          <w:rFonts w:hint="eastAsia" w:ascii="宋体" w:cs="宋体"/>
          <w:kern w:val="2"/>
          <w:sz w:val="24"/>
          <w:szCs w:val="22"/>
          <w:lang w:val="zh-CN" w:eastAsia="zh-CN" w:bidi="ar-SA"/>
        </w:rPr>
        <w:t>招标</w:t>
      </w:r>
      <w:r>
        <w:rPr>
          <w:rFonts w:hint="eastAsia" w:ascii="宋体" w:cs="宋体" w:hAnsiTheme="minorHAnsi" w:eastAsiaTheme="minorEastAsia"/>
          <w:kern w:val="2"/>
          <w:sz w:val="24"/>
          <w:szCs w:val="22"/>
          <w:lang w:val="zh-CN" w:eastAsia="zh-CN" w:bidi="ar-SA"/>
        </w:rPr>
        <w:t>文件规定标准的全新正品现货。</w:t>
      </w:r>
    </w:p>
    <w:p>
      <w:pPr>
        <w:pStyle w:val="10"/>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en-US" w:eastAsia="zh-CN" w:bidi="ar-SA"/>
        </w:rPr>
        <w:t>4.</w:t>
      </w:r>
      <w:r>
        <w:rPr>
          <w:rFonts w:hint="eastAsia" w:ascii="宋体" w:cs="宋体" w:hAnsiTheme="minorHAnsi" w:eastAsiaTheme="minorEastAsia"/>
          <w:kern w:val="2"/>
          <w:sz w:val="24"/>
          <w:szCs w:val="22"/>
          <w:lang w:val="zh-CN" w:eastAsia="zh-CN" w:bidi="ar-SA"/>
        </w:rPr>
        <w:t>投标文件中须有详细的实施（技术）方案，否则为无效投标。</w:t>
      </w:r>
    </w:p>
    <w:p>
      <w:pPr>
        <w:pStyle w:val="10"/>
        <w:ind w:firstLine="480" w:firstLineChars="200"/>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5、投标人须明确免费包修期，同时应提出故障响应时间，在免费包修期内，同一质量问题连续两次维修仍无法正常使用，投标人必须予以更换同品牌、同型号的全新产品</w:t>
      </w:r>
      <w:r>
        <w:rPr>
          <w:rFonts w:hint="eastAsia" w:ascii="宋体" w:cs="宋体"/>
          <w:kern w:val="2"/>
          <w:sz w:val="24"/>
          <w:szCs w:val="22"/>
          <w:lang w:val="en-US" w:eastAsia="zh-CN" w:bidi="ar-SA"/>
        </w:rPr>
        <w:t>并安装到采购人指定单位。</w:t>
      </w:r>
    </w:p>
    <w:p>
      <w:pPr>
        <w:pStyle w:val="10"/>
        <w:ind w:firstLine="480" w:firstLineChars="200"/>
        <w:rPr>
          <w:rFonts w:hint="default"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6、</w:t>
      </w:r>
      <w:r>
        <w:rPr>
          <w:rFonts w:hint="eastAsia" w:ascii="宋体" w:cs="宋体"/>
          <w:kern w:val="2"/>
          <w:sz w:val="24"/>
          <w:szCs w:val="22"/>
          <w:lang w:val="en-US" w:eastAsia="zh-CN" w:bidi="ar-SA"/>
        </w:rPr>
        <w:t>本项目为交钥匙工程（包括备品备件、专用工具、特殊 工具、安装调试、检测验收、税金、合理利润等所有费用。招标人不另行支付其他费用）。</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投标商必须由法定代表人或其授权代表参加开标会议，随时接受评标委员会询问，并予作出书面解答。</w:t>
      </w:r>
    </w:p>
    <w:p>
      <w:pPr>
        <w:pStyle w:val="2"/>
        <w:ind w:firstLine="480" w:firstLineChars="200"/>
        <w:rPr>
          <w:rFonts w:hint="eastAsia"/>
          <w:lang w:val="zh-CN"/>
        </w:rPr>
      </w:pPr>
      <w:r>
        <w:rPr>
          <w:rFonts w:hint="eastAsia"/>
          <w:lang w:val="en-US" w:eastAsia="zh-CN"/>
        </w:rPr>
        <w:t>8、</w:t>
      </w:r>
      <w:r>
        <w:rPr>
          <w:rFonts w:hint="eastAsia"/>
          <w:lang w:val="zh-CN"/>
        </w:rPr>
        <w:t>专利权：拟投设备及备件应保证用户在使用该货物或其任何一部分时不受第三方提出侵犯其专利权、商标权和工业设计权等的起诉。</w:t>
      </w:r>
    </w:p>
    <w:p>
      <w:pPr>
        <w:pStyle w:val="2"/>
        <w:ind w:firstLine="480" w:firstLineChars="200"/>
        <w:rPr>
          <w:rFonts w:hint="eastAsia"/>
          <w:lang w:val="zh-CN"/>
        </w:rPr>
      </w:pPr>
      <w:r>
        <w:rPr>
          <w:rFonts w:hint="eastAsia"/>
          <w:lang w:val="en-US" w:eastAsia="zh-CN"/>
        </w:rPr>
        <w:t>9</w:t>
      </w:r>
      <w:r>
        <w:rPr>
          <w:rFonts w:hint="eastAsia"/>
          <w:lang w:val="zh-CN"/>
        </w:rPr>
        <w:t>、现场勘查：潜在的供应商如需现场勘察请自行勘察。</w:t>
      </w:r>
    </w:p>
    <w:p>
      <w:pPr>
        <w:pStyle w:val="2"/>
        <w:ind w:firstLine="480" w:firstLineChars="200"/>
        <w:rPr>
          <w:rFonts w:hint="eastAsia"/>
          <w:lang w:val="zh-CN"/>
        </w:rPr>
      </w:pPr>
      <w:r>
        <w:rPr>
          <w:rFonts w:hint="eastAsia"/>
          <w:lang w:val="en-US" w:eastAsia="zh-CN"/>
        </w:rPr>
        <w:t>10</w:t>
      </w:r>
      <w:r>
        <w:rPr>
          <w:rFonts w:hint="eastAsia"/>
          <w:lang w:val="zh-CN"/>
        </w:rPr>
        <w:t>、投标人应积极优化系统功能，结合业务需求提出合理的系统运行管理改进措施，促进前端设备和后台系统的高效率应用，满足采购人业务管理需求。电子产品备品率不低于1%。</w:t>
      </w:r>
    </w:p>
    <w:p>
      <w:pPr>
        <w:pStyle w:val="2"/>
        <w:ind w:firstLine="480" w:firstLineChars="200"/>
        <w:rPr>
          <w:rFonts w:hint="eastAsia"/>
          <w:lang w:val="zh-CN"/>
        </w:rPr>
      </w:pPr>
      <w:r>
        <w:rPr>
          <w:rFonts w:hint="eastAsia"/>
          <w:lang w:val="en-US" w:eastAsia="zh-CN"/>
        </w:rPr>
        <w:t>11</w:t>
      </w:r>
      <w:r>
        <w:rPr>
          <w:rFonts w:hint="eastAsia"/>
          <w:lang w:val="zh-CN"/>
        </w:rPr>
        <w:t>、投标人应严格管理所有的维护工作人员，严格遵守采购人办公场所秩序，遵守上下班制度、安全保密制度。</w:t>
      </w:r>
    </w:p>
    <w:p>
      <w:pPr>
        <w:pStyle w:val="2"/>
        <w:ind w:firstLine="480" w:firstLineChars="200"/>
        <w:rPr>
          <w:rFonts w:hint="eastAsia"/>
          <w:lang w:val="zh-CN"/>
        </w:rPr>
      </w:pPr>
      <w:r>
        <w:rPr>
          <w:rFonts w:hint="eastAsia"/>
          <w:lang w:val="en-US" w:eastAsia="zh-CN"/>
        </w:rPr>
        <w:t>12</w:t>
      </w:r>
      <w:r>
        <w:rPr>
          <w:rFonts w:hint="eastAsia"/>
          <w:lang w:val="zh-CN"/>
        </w:rPr>
        <w:t>、中标人应每月向采购人提交《系统运行维护工作记录表》。</w:t>
      </w:r>
    </w:p>
    <w:p>
      <w:pPr>
        <w:pStyle w:val="2"/>
        <w:ind w:firstLine="480" w:firstLineChars="200"/>
        <w:rPr>
          <w:rFonts w:hint="eastAsia"/>
          <w:lang w:val="zh-CN"/>
        </w:rPr>
      </w:pPr>
      <w:r>
        <w:rPr>
          <w:rFonts w:hint="eastAsia"/>
          <w:lang w:val="en-US" w:eastAsia="zh-CN"/>
        </w:rPr>
        <w:t>13</w:t>
      </w:r>
      <w:r>
        <w:rPr>
          <w:rFonts w:hint="eastAsia"/>
          <w:lang w:val="zh-CN"/>
        </w:rPr>
        <w:t>、系统运行总体要求</w:t>
      </w:r>
    </w:p>
    <w:p>
      <w:pPr>
        <w:pStyle w:val="2"/>
        <w:ind w:firstLine="480" w:firstLineChars="200"/>
        <w:rPr>
          <w:rFonts w:hint="eastAsia"/>
          <w:lang w:val="zh-CN"/>
        </w:rPr>
      </w:pPr>
      <w:r>
        <w:rPr>
          <w:rFonts w:hint="eastAsia"/>
          <w:lang w:val="zh-CN"/>
        </w:rPr>
        <w:t>1）、视频监控月完好率要达到95%以上</w:t>
      </w:r>
    </w:p>
    <w:p>
      <w:pPr>
        <w:pStyle w:val="2"/>
        <w:ind w:firstLine="480" w:firstLineChars="200"/>
        <w:rPr>
          <w:rFonts w:hint="eastAsia"/>
          <w:lang w:val="zh-CN"/>
        </w:rPr>
      </w:pPr>
      <w:r>
        <w:rPr>
          <w:rFonts w:hint="eastAsia"/>
          <w:lang w:val="zh-CN"/>
        </w:rPr>
        <w:t>2）、违法车辆捕获率要达到90%以上</w:t>
      </w:r>
    </w:p>
    <w:p>
      <w:pPr>
        <w:pStyle w:val="2"/>
        <w:ind w:firstLine="480" w:firstLineChars="200"/>
        <w:rPr>
          <w:rFonts w:hint="eastAsia"/>
          <w:lang w:val="zh-CN"/>
        </w:rPr>
      </w:pPr>
      <w:r>
        <w:rPr>
          <w:rFonts w:hint="eastAsia"/>
          <w:lang w:val="zh-CN"/>
        </w:rPr>
        <w:t>3）、违法车辆捕获有效率达到85%以上。</w:t>
      </w:r>
    </w:p>
    <w:p>
      <w:pPr>
        <w:pStyle w:val="2"/>
        <w:ind w:firstLine="480" w:firstLineChars="200"/>
        <w:rPr>
          <w:rFonts w:hint="eastAsia"/>
          <w:lang w:val="zh-CN"/>
        </w:rPr>
      </w:pPr>
      <w:r>
        <w:rPr>
          <w:rFonts w:hint="eastAsia"/>
          <w:lang w:val="zh-CN"/>
        </w:rPr>
        <w:t>4）、车牌自动识别正确率要达到 95%以上</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10"/>
        <w:ind w:firstLine="480" w:firstLineChars="200"/>
        <w:rPr>
          <w:rFonts w:hint="eastAsia" w:ascii="宋体" w:cs="宋体"/>
          <w:sz w:val="24"/>
          <w:lang w:val="zh-CN"/>
        </w:rPr>
      </w:pPr>
      <w:r>
        <w:rPr>
          <w:rFonts w:hint="eastAsia" w:ascii="宋体" w:cs="宋体"/>
          <w:sz w:val="24"/>
          <w:lang w:val="zh-CN"/>
        </w:rPr>
        <w:t>由采购人聘请省内安防专家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0"/>
        <w:ind w:firstLine="240" w:firstLineChars="100"/>
        <w:rPr>
          <w:rFonts w:hint="eastAsia" w:ascii="宋体" w:cs="宋体"/>
          <w:sz w:val="24"/>
          <w:lang w:val="zh-CN"/>
        </w:rPr>
      </w:pPr>
      <w:r>
        <w:rPr>
          <w:rFonts w:hint="eastAsia" w:ascii="宋体" w:cs="宋体"/>
          <w:sz w:val="24"/>
          <w:lang w:val="zh-CN"/>
        </w:rPr>
        <w:t>1、按照国家相关标准、行业标准、地方标准或者其他标准、规范验收；包括但不仅限于：</w:t>
      </w:r>
    </w:p>
    <w:p>
      <w:pPr>
        <w:pStyle w:val="10"/>
        <w:ind w:firstLine="240" w:firstLineChars="100"/>
        <w:rPr>
          <w:rFonts w:hint="eastAsia" w:ascii="宋体" w:cs="宋体"/>
          <w:sz w:val="24"/>
          <w:lang w:val="zh-CN"/>
        </w:rPr>
      </w:pPr>
      <w:r>
        <w:rPr>
          <w:rFonts w:hint="eastAsia" w:ascii="宋体" w:cs="宋体"/>
          <w:sz w:val="24"/>
          <w:lang w:val="zh-CN"/>
        </w:rPr>
        <w:t>GB5768.2-2009  道路交通标志和标线第2部分道路交通标志</w:t>
      </w:r>
    </w:p>
    <w:p>
      <w:pPr>
        <w:pStyle w:val="10"/>
        <w:ind w:firstLine="240" w:firstLineChars="100"/>
        <w:rPr>
          <w:rFonts w:hint="eastAsia" w:ascii="宋体" w:cs="宋体"/>
          <w:sz w:val="24"/>
          <w:lang w:val="zh-CN"/>
        </w:rPr>
      </w:pPr>
      <w:r>
        <w:rPr>
          <w:rFonts w:hint="eastAsia" w:ascii="宋体" w:cs="宋体"/>
          <w:sz w:val="24"/>
          <w:lang w:val="zh-CN"/>
        </w:rPr>
        <w:t>GB14887-2011  道路交通信号灯</w:t>
      </w:r>
    </w:p>
    <w:p>
      <w:pPr>
        <w:pStyle w:val="10"/>
        <w:ind w:firstLine="240" w:firstLineChars="100"/>
        <w:rPr>
          <w:rFonts w:hint="eastAsia" w:ascii="宋体" w:cs="宋体"/>
          <w:sz w:val="24"/>
          <w:lang w:val="zh-CN"/>
        </w:rPr>
      </w:pPr>
      <w:r>
        <w:rPr>
          <w:rFonts w:hint="eastAsia" w:ascii="宋体" w:cs="宋体"/>
          <w:sz w:val="24"/>
          <w:lang w:val="zh-CN"/>
        </w:rPr>
        <w:t>GB25280-2016  道路交通信号控制机</w:t>
      </w:r>
    </w:p>
    <w:p>
      <w:pPr>
        <w:pStyle w:val="10"/>
        <w:ind w:firstLine="240" w:firstLineChars="100"/>
        <w:rPr>
          <w:rFonts w:hint="eastAsia" w:ascii="宋体" w:cs="宋体"/>
          <w:sz w:val="24"/>
          <w:lang w:val="zh-CN"/>
        </w:rPr>
      </w:pPr>
      <w:r>
        <w:rPr>
          <w:rFonts w:hint="eastAsia" w:ascii="宋体" w:cs="宋体"/>
          <w:sz w:val="24"/>
          <w:lang w:val="zh-CN"/>
        </w:rPr>
        <w:t>GB/T20999-2017 交通信号控制机与上位机间的数据通信协议</w:t>
      </w:r>
    </w:p>
    <w:p>
      <w:pPr>
        <w:pStyle w:val="10"/>
        <w:ind w:firstLine="240" w:firstLineChars="100"/>
        <w:rPr>
          <w:rFonts w:hint="eastAsia" w:ascii="宋体" w:cs="宋体"/>
          <w:sz w:val="24"/>
          <w:lang w:val="zh-CN"/>
        </w:rPr>
      </w:pPr>
      <w:r>
        <w:rPr>
          <w:rFonts w:hint="eastAsia" w:ascii="宋体" w:cs="宋体"/>
          <w:sz w:val="24"/>
          <w:lang w:val="zh-CN"/>
        </w:rPr>
        <w:t>GB14886-2016道路交通信号灯设置与安装规范</w:t>
      </w:r>
    </w:p>
    <w:p>
      <w:pPr>
        <w:pStyle w:val="10"/>
        <w:ind w:firstLine="240" w:firstLineChars="100"/>
        <w:rPr>
          <w:rFonts w:hint="eastAsia" w:ascii="宋体" w:cs="宋体"/>
          <w:sz w:val="24"/>
          <w:lang w:val="zh-CN"/>
        </w:rPr>
      </w:pPr>
      <w:r>
        <w:rPr>
          <w:rFonts w:hint="eastAsia" w:ascii="宋体" w:cs="宋体"/>
          <w:sz w:val="24"/>
          <w:lang w:val="zh-CN"/>
        </w:rPr>
        <w:t>GAT496-2009 闯红灯自动记录系统通用技术条件</w:t>
      </w:r>
    </w:p>
    <w:p>
      <w:pPr>
        <w:pStyle w:val="10"/>
        <w:ind w:firstLine="240" w:firstLineChars="100"/>
        <w:rPr>
          <w:rFonts w:hint="eastAsia" w:ascii="宋体" w:cs="宋体"/>
          <w:sz w:val="24"/>
          <w:lang w:val="zh-CN"/>
        </w:rPr>
      </w:pPr>
      <w:r>
        <w:rPr>
          <w:rFonts w:hint="eastAsia" w:ascii="宋体" w:cs="宋体"/>
          <w:sz w:val="24"/>
          <w:lang w:val="zh-CN"/>
        </w:rPr>
        <w:t>GAT870-2010 闯红灯自动记录系统验收技术规范</w:t>
      </w:r>
    </w:p>
    <w:p>
      <w:pPr>
        <w:pStyle w:val="10"/>
        <w:ind w:firstLine="240" w:firstLineChars="100"/>
        <w:rPr>
          <w:rFonts w:hint="eastAsia" w:ascii="宋体" w:cs="宋体"/>
          <w:sz w:val="24"/>
          <w:lang w:val="zh-CN"/>
        </w:rPr>
      </w:pPr>
      <w:r>
        <w:rPr>
          <w:rFonts w:hint="eastAsia" w:ascii="宋体" w:cs="宋体"/>
          <w:sz w:val="24"/>
          <w:lang w:val="zh-CN"/>
        </w:rPr>
        <w:t>GAT497-2009 公路车辆智能监测记录系统通用技术条件</w:t>
      </w:r>
    </w:p>
    <w:p>
      <w:pPr>
        <w:pStyle w:val="10"/>
        <w:ind w:firstLine="240" w:firstLineChars="100"/>
        <w:rPr>
          <w:rFonts w:hint="eastAsia" w:ascii="宋体" w:cs="宋体"/>
          <w:sz w:val="24"/>
          <w:lang w:val="zh-CN"/>
        </w:rPr>
      </w:pPr>
      <w:r>
        <w:rPr>
          <w:rFonts w:hint="eastAsia" w:ascii="宋体" w:cs="宋体"/>
          <w:sz w:val="24"/>
          <w:lang w:val="zh-CN"/>
        </w:rPr>
        <w:t>GAT961-2011 公路车辆智能监测记录系统验收技术规范</w:t>
      </w:r>
    </w:p>
    <w:p>
      <w:pPr>
        <w:pStyle w:val="10"/>
        <w:ind w:firstLine="240" w:firstLineChars="100"/>
        <w:rPr>
          <w:rFonts w:hint="eastAsia" w:ascii="宋体" w:cs="宋体"/>
          <w:sz w:val="24"/>
          <w:lang w:val="zh-CN"/>
        </w:rPr>
      </w:pPr>
      <w:r>
        <w:rPr>
          <w:rFonts w:hint="eastAsia" w:ascii="宋体" w:cs="宋体"/>
          <w:sz w:val="24"/>
          <w:lang w:val="zh-CN"/>
        </w:rPr>
        <w:t>GAT1047-2013 道路交通信息监测记录设备设置规范</w:t>
      </w:r>
    </w:p>
    <w:p>
      <w:pPr>
        <w:pStyle w:val="10"/>
        <w:ind w:firstLine="240" w:firstLineChars="100"/>
        <w:rPr>
          <w:rFonts w:hint="eastAsia" w:ascii="宋体" w:cs="宋体"/>
          <w:sz w:val="24"/>
          <w:lang w:val="zh-CN"/>
        </w:rPr>
      </w:pPr>
      <w:r>
        <w:rPr>
          <w:rFonts w:hint="eastAsia" w:ascii="宋体" w:cs="宋体"/>
          <w:sz w:val="24"/>
          <w:lang w:val="zh-CN"/>
        </w:rPr>
        <w:t>GAT1043-2013 道路交通技术监控设备运行维护规范</w:t>
      </w:r>
    </w:p>
    <w:p>
      <w:pPr>
        <w:pStyle w:val="10"/>
        <w:ind w:firstLine="240" w:firstLineChars="100"/>
        <w:rPr>
          <w:rFonts w:hint="eastAsia" w:ascii="宋体" w:cs="宋体"/>
          <w:sz w:val="24"/>
          <w:lang w:val="zh-CN"/>
        </w:rPr>
      </w:pPr>
      <w:r>
        <w:rPr>
          <w:rFonts w:hint="eastAsia" w:ascii="宋体" w:cs="宋体"/>
          <w:sz w:val="24"/>
          <w:lang w:val="zh-CN"/>
        </w:rPr>
        <w:t>各设备之间连接线缆不得有断点。除灯光外各设备不得裸露在外。</w:t>
      </w:r>
    </w:p>
    <w:p>
      <w:pPr>
        <w:pStyle w:val="10"/>
        <w:ind w:firstLine="240" w:firstLineChars="100"/>
        <w:rPr>
          <w:rFonts w:hint="eastAsia" w:ascii="宋体" w:cs="宋体"/>
          <w:sz w:val="24"/>
          <w:lang w:val="zh-CN"/>
        </w:rPr>
      </w:pPr>
      <w:r>
        <w:rPr>
          <w:rFonts w:hint="eastAsia" w:ascii="宋体" w:cs="宋体"/>
          <w:sz w:val="24"/>
          <w:lang w:val="zh-CN"/>
        </w:rPr>
        <w:t>钢质灯杆、法兰盘、地脚螺栓、螺母、垫片、加强筋等金属构件及悬臂、支撑臂、拉杆、抱箍座、夹板等附件的防腐性能应符合GB/T18226的规定。</w:t>
      </w:r>
    </w:p>
    <w:p>
      <w:pPr>
        <w:pStyle w:val="10"/>
        <w:ind w:firstLine="240" w:firstLineChars="100"/>
        <w:rPr>
          <w:rFonts w:hint="eastAsia" w:ascii="宋体" w:cs="宋体"/>
          <w:sz w:val="24"/>
          <w:lang w:val="zh-CN"/>
        </w:rPr>
      </w:pPr>
      <w:r>
        <w:rPr>
          <w:rFonts w:hint="eastAsia" w:ascii="宋体" w:cs="宋体"/>
          <w:sz w:val="24"/>
          <w:lang w:val="zh-CN"/>
        </w:rPr>
        <w:t>杆件安装时应保证杆体垂直,倾斜度不得超过±0.5%。</w:t>
      </w:r>
    </w:p>
    <w:p>
      <w:pPr>
        <w:pStyle w:val="10"/>
        <w:ind w:firstLine="240" w:firstLineChars="100"/>
        <w:rPr>
          <w:rFonts w:hint="eastAsia" w:ascii="宋体" w:cs="宋体"/>
          <w:sz w:val="24"/>
          <w:lang w:val="zh-CN"/>
        </w:rPr>
      </w:pPr>
      <w:r>
        <w:rPr>
          <w:rFonts w:hint="eastAsia" w:ascii="宋体" w:cs="宋体"/>
          <w:sz w:val="24"/>
          <w:lang w:val="zh-CN"/>
        </w:rPr>
        <w:t>杆件保护接地电阻应小于10Ω。</w:t>
      </w:r>
    </w:p>
    <w:p>
      <w:pPr>
        <w:pStyle w:val="10"/>
        <w:ind w:firstLine="240" w:firstLineChars="100"/>
        <w:rPr>
          <w:rFonts w:hint="eastAsia" w:ascii="宋体" w:cs="宋体"/>
          <w:sz w:val="24"/>
          <w:lang w:val="zh-CN"/>
        </w:rPr>
      </w:pPr>
      <w:r>
        <w:rPr>
          <w:rFonts w:hint="eastAsia" w:ascii="宋体" w:cs="宋体"/>
          <w:sz w:val="24"/>
          <w:lang w:val="zh-CN"/>
        </w:rPr>
        <w:t>杆件、基础、法兰盘、地脚螺栓、螺母、垫片和加强筋等部件的尺寸、强度等性能指标应根据信号灯安装方式及悬臂长度确定,应由有相关资质单位进行设计。</w:t>
      </w:r>
    </w:p>
    <w:p>
      <w:pPr>
        <w:pStyle w:val="10"/>
        <w:ind w:firstLine="240" w:firstLineChars="100"/>
        <w:rPr>
          <w:rFonts w:hint="eastAsia" w:ascii="宋体" w:cs="宋体"/>
          <w:sz w:val="24"/>
          <w:lang w:val="zh-CN"/>
        </w:rPr>
      </w:pPr>
      <w:r>
        <w:rPr>
          <w:rFonts w:hint="eastAsia" w:ascii="宋体" w:cs="宋体"/>
          <w:sz w:val="24"/>
          <w:lang w:val="zh-CN"/>
        </w:rPr>
        <w:t>信号灯安装的施工单位和人员应具有建筑施工、电力施工等相关资质证书。</w:t>
      </w:r>
    </w:p>
    <w:p>
      <w:pPr>
        <w:pStyle w:val="10"/>
        <w:ind w:firstLine="240" w:firstLineChars="100"/>
        <w:rPr>
          <w:rFonts w:hint="eastAsia" w:ascii="宋体" w:cs="宋体"/>
          <w:sz w:val="24"/>
          <w:lang w:val="zh-CN"/>
        </w:rPr>
      </w:pPr>
      <w:r>
        <w:rPr>
          <w:rFonts w:hint="eastAsia" w:ascii="宋体" w:cs="宋体"/>
          <w:sz w:val="24"/>
          <w:lang w:val="zh-CN"/>
        </w:rPr>
        <w:t>系统设备（室内设备和室外设备）必须采取防雷措施。</w:t>
      </w:r>
    </w:p>
    <w:p>
      <w:pPr>
        <w:pStyle w:val="10"/>
        <w:ind w:firstLine="240" w:firstLineChars="100"/>
        <w:rPr>
          <w:rFonts w:hint="eastAsia" w:ascii="宋体" w:cs="宋体"/>
          <w:sz w:val="24"/>
          <w:lang w:val="zh-CN"/>
        </w:rPr>
      </w:pPr>
      <w:r>
        <w:rPr>
          <w:rFonts w:hint="eastAsia" w:ascii="宋体" w:cs="宋体"/>
          <w:sz w:val="24"/>
          <w:lang w:val="zh-CN"/>
        </w:rPr>
        <w:t>2、按照招标文件要求、投标文件响应和承诺验收；</w:t>
      </w:r>
    </w:p>
    <w:p>
      <w:pPr>
        <w:pStyle w:val="10"/>
        <w:ind w:firstLine="241" w:firstLineChars="100"/>
        <w:rPr>
          <w:rFonts w:hint="eastAsia" w:cs="宋体" w:asciiTheme="majorEastAsia" w:hAnsiTheme="majorEastAsia" w:eastAsiaTheme="majorEastAsia"/>
          <w:b/>
          <w:kern w:val="0"/>
          <w:sz w:val="36"/>
          <w:szCs w:val="36"/>
        </w:rPr>
      </w:pP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七</w:t>
      </w: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付款方式：</w:t>
      </w:r>
      <w:r>
        <w:rPr>
          <w:rFonts w:hint="eastAsia" w:cs="宋体" w:asciiTheme="minorEastAsia" w:hAnsiTheme="minorEastAsia"/>
          <w:b/>
          <w:color w:val="000000"/>
          <w:kern w:val="0"/>
          <w:sz w:val="24"/>
          <w:szCs w:val="24"/>
          <w:lang w:val="zh-CN" w:eastAsia="zh-CN" w:bidi="ar-SA"/>
        </w:rPr>
        <w:t>以签订合同为准</w:t>
      </w:r>
      <w:r>
        <w:rPr>
          <w:rFonts w:hint="eastAsia" w:cs="宋体" w:asciiTheme="minorEastAsia" w:hAnsiTheme="minorEastAsia" w:eastAsiaTheme="minorEastAsia"/>
          <w:b/>
          <w:color w:val="000000"/>
          <w:kern w:val="0"/>
          <w:sz w:val="24"/>
          <w:szCs w:val="24"/>
          <w:lang w:val="zh-CN" w:eastAsia="zh-CN" w:bidi="ar-SA"/>
        </w:rPr>
        <w:t>。</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项目名称：禹州市公安局新建改建交通设施及安装电子警察和反向抓拍系统</w:t>
            </w:r>
            <w:r>
              <w:rPr>
                <w:rFonts w:hint="eastAsia" w:cs="仿宋_GB2312" w:asciiTheme="minorEastAsia" w:hAnsiTheme="minorEastAsia"/>
                <w:szCs w:val="21"/>
                <w:lang w:eastAsia="zh-CN"/>
              </w:rPr>
              <w:t>采购</w:t>
            </w:r>
            <w:r>
              <w:rPr>
                <w:rFonts w:hint="eastAsia" w:cs="仿宋_GB2312" w:asciiTheme="minorEastAsia" w:hAnsiTheme="minorEastAsia"/>
                <w:szCs w:val="21"/>
              </w:rPr>
              <w:t>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YZCG-G2019168</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w:t>
            </w:r>
            <w:r>
              <w:rPr>
                <w:rFonts w:hint="eastAsia" w:cs="仿宋_GB2312" w:asciiTheme="minorEastAsia" w:hAnsiTheme="minorEastAsia"/>
                <w:szCs w:val="21"/>
                <w:lang w:eastAsia="zh-CN"/>
              </w:rPr>
              <w:t>公安局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禹州市华夏大道</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rPr>
                <w:rFonts w:hint="eastAsia" w:eastAsiaTheme="minorEastAsia"/>
                <w:lang w:val="en-US" w:eastAsia="zh-CN"/>
              </w:rPr>
            </w:pPr>
            <w:r>
              <w:rPr>
                <w:rFonts w:hint="eastAsia" w:asciiTheme="minorHAnsi" w:hAnsiTheme="minorHAnsi" w:eastAsiaTheme="minorEastAsia" w:cstheme="minorBidi"/>
                <w:kern w:val="2"/>
                <w:sz w:val="21"/>
                <w:szCs w:val="22"/>
                <w:lang w:val="en-US" w:eastAsia="zh-CN" w:bidi="ar-SA"/>
              </w:rPr>
              <w:t>八、投标人须具备电子与智能化工程专业承包贰级及以上资质且具有有效期内的安全生产许可证</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第一标段：253.33万元</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第二标段：61.48万元</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第三标段：252.38万元</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金额：每个标段伍万元整</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9"/>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7" w:name="OLE_LINK6"/>
      <w:r>
        <w:rPr>
          <w:rFonts w:hint="eastAsia" w:cs="仿宋_GB2312" w:asciiTheme="minorEastAsia" w:hAnsiTheme="minorEastAsia"/>
          <w:sz w:val="24"/>
          <w:szCs w:val="24"/>
          <w:lang w:val="zh-CN"/>
        </w:rPr>
        <w:t>财库[2014]68号</w:t>
      </w:r>
      <w:bookmarkEnd w:id="7"/>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bookmarkStart w:id="18" w:name="_GoBack"/>
            <w:r>
              <w:rPr>
                <w:rFonts w:hint="eastAsia" w:asciiTheme="minorEastAsia" w:hAnsiTheme="minorEastAsia"/>
                <w:bCs/>
                <w:szCs w:val="21"/>
              </w:rPr>
              <w:t>投标人须具备电子与智能化工程专业承包贰级及以上资质且具有有效期内的安全生产许可证</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8" w:name="baidusnap2"/>
            <w:bookmarkEnd w:id="8"/>
            <w:r>
              <w:rPr>
                <w:rFonts w:hint="eastAsia" w:cs="仿宋_GB2312" w:asciiTheme="minorEastAsia" w:hAnsiTheme="minorEastAsia"/>
                <w:szCs w:val="21"/>
                <w:lang w:val="zh-CN"/>
              </w:rPr>
              <w:t>提供未为本项目提供整体设计、</w:t>
            </w:r>
            <w:bookmarkStart w:id="9" w:name="baidusnap9"/>
            <w:bookmarkEnd w:id="9"/>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tbl>
      <w:tblPr>
        <w:tblStyle w:val="23"/>
        <w:tblW w:w="8903"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602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87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总分100</w:t>
            </w:r>
            <w:r>
              <w:rPr>
                <w:rFonts w:hint="eastAsia" w:ascii="新宋体" w:hAnsi="新宋体" w:eastAsia="新宋体" w:cs="新宋体"/>
                <w:color w:val="000000"/>
                <w:kern w:val="0"/>
                <w:sz w:val="24"/>
                <w:szCs w:val="24"/>
                <w:lang w:eastAsia="zh-CN"/>
              </w:rPr>
              <w:t>）</w:t>
            </w:r>
          </w:p>
        </w:tc>
        <w:tc>
          <w:tcPr>
            <w:tcW w:w="70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Chars="200"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     分</w:t>
            </w:r>
          </w:p>
          <w:p>
            <w:pPr>
              <w:spacing w:line="360" w:lineRule="auto"/>
              <w:ind w:leftChars="200"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w:t>
            </w:r>
            <w:r>
              <w:rPr>
                <w:rFonts w:hint="eastAsia" w:ascii="新宋体" w:hAnsi="新宋体" w:eastAsia="新宋体" w:cs="新宋体"/>
                <w:color w:val="000000"/>
                <w:kern w:val="0"/>
                <w:sz w:val="24"/>
                <w:szCs w:val="24"/>
                <w:lang w:val="en-US" w:eastAsia="zh-CN"/>
              </w:rPr>
              <w:t>13</w:t>
            </w:r>
            <w:r>
              <w:rPr>
                <w:rFonts w:hint="eastAsia" w:ascii="新宋体" w:hAnsi="新宋体" w:eastAsia="新宋体" w:cs="新宋体"/>
                <w:color w:val="000000"/>
                <w:kern w:val="0"/>
                <w:sz w:val="24"/>
                <w:szCs w:val="24"/>
              </w:rPr>
              <w:t>    分</w:t>
            </w:r>
          </w:p>
          <w:p>
            <w:pPr>
              <w:spacing w:line="360" w:lineRule="auto"/>
              <w:ind w:leftChars="200"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w:t>
            </w:r>
            <w:r>
              <w:rPr>
                <w:rFonts w:hint="eastAsia" w:ascii="新宋体" w:hAnsi="新宋体" w:eastAsia="新宋体" w:cs="新宋体"/>
                <w:color w:val="000000"/>
                <w:kern w:val="0"/>
                <w:sz w:val="24"/>
                <w:szCs w:val="24"/>
                <w:lang w:val="en-US" w:eastAsia="zh-CN"/>
              </w:rPr>
              <w:t>37</w:t>
            </w:r>
            <w:r>
              <w:rPr>
                <w:rFonts w:hint="eastAsia" w:ascii="新宋体" w:hAnsi="新宋体" w:eastAsia="新宋体" w:cs="新宋体"/>
                <w:color w:val="000000"/>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0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leftChars="200"/>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 </w:t>
            </w:r>
            <w:r>
              <w:rPr>
                <w:rFonts w:hint="eastAsia" w:ascii="新宋体" w:hAnsi="新宋体" w:eastAsia="新宋体" w:cs="新宋体"/>
                <w:bCs/>
                <w:color w:val="000000"/>
                <w:kern w:val="0"/>
                <w:sz w:val="24"/>
                <w:szCs w:val="24"/>
                <w:lang w:val="en-US" w:eastAsia="zh-CN"/>
              </w:rPr>
              <w:t>5</w:t>
            </w:r>
            <w:r>
              <w:rPr>
                <w:rFonts w:hint="eastAsia" w:ascii="新宋体" w:hAnsi="新宋体" w:eastAsia="新宋体" w:cs="新宋体"/>
                <w:bCs/>
                <w:color w:val="000000"/>
                <w:kern w:val="0"/>
                <w:sz w:val="24"/>
                <w:szCs w:val="24"/>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leftChars="200"/>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投标报价评分标准</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w:t>
            </w:r>
          </w:p>
          <w:p>
            <w:pPr>
              <w:spacing w:line="360" w:lineRule="auto"/>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03" w:type="dxa"/>
            <w:gridSpan w:val="3"/>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Chars="200"/>
              <w:jc w:val="center"/>
              <w:rPr>
                <w:rFonts w:hint="eastAsia" w:ascii="新宋体" w:hAnsi="新宋体" w:eastAsia="新宋体" w:cs="新宋体"/>
                <w:sz w:val="24"/>
                <w:szCs w:val="24"/>
              </w:rPr>
            </w:pPr>
            <w:r>
              <w:rPr>
                <w:rFonts w:hint="eastAsia" w:ascii="新宋体" w:hAnsi="新宋体" w:eastAsia="新宋体" w:cs="新宋体"/>
                <w:sz w:val="24"/>
                <w:szCs w:val="24"/>
              </w:rPr>
              <w:t>商务部分（满分  </w:t>
            </w:r>
            <w:r>
              <w:rPr>
                <w:rFonts w:hint="eastAsia" w:ascii="新宋体" w:hAnsi="新宋体" w:eastAsia="新宋体" w:cs="新宋体"/>
                <w:sz w:val="24"/>
                <w:szCs w:val="24"/>
                <w:lang w:val="en-US" w:eastAsia="zh-CN"/>
              </w:rPr>
              <w:t>13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leftChars="200"/>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Style w:val="2"/>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企业实力</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投标人的信用等级为AAA级的得</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分，AA级的</w:t>
            </w:r>
            <w:r>
              <w:rPr>
                <w:rFonts w:hint="eastAsia" w:ascii="新宋体" w:hAnsi="新宋体" w:eastAsia="新宋体" w:cs="新宋体"/>
                <w:color w:val="000000"/>
                <w:kern w:val="0"/>
                <w:sz w:val="24"/>
                <w:szCs w:val="24"/>
                <w:lang w:val="en-US" w:eastAsia="zh-CN"/>
              </w:rPr>
              <w:t>得3分，</w:t>
            </w:r>
            <w:r>
              <w:rPr>
                <w:rFonts w:hint="eastAsia" w:ascii="新宋体" w:hAnsi="新宋体" w:eastAsia="新宋体" w:cs="新宋体"/>
                <w:color w:val="000000"/>
                <w:kern w:val="0"/>
                <w:sz w:val="24"/>
                <w:szCs w:val="24"/>
              </w:rPr>
              <w:t>其他</w:t>
            </w:r>
            <w:r>
              <w:rPr>
                <w:rFonts w:hint="eastAsia" w:ascii="新宋体" w:hAnsi="新宋体" w:eastAsia="新宋体" w:cs="新宋体"/>
                <w:color w:val="000000"/>
                <w:kern w:val="0"/>
                <w:sz w:val="24"/>
                <w:szCs w:val="24"/>
                <w:lang w:val="en-US" w:eastAsia="zh-CN"/>
              </w:rPr>
              <w:t>等级</w:t>
            </w:r>
            <w:r>
              <w:rPr>
                <w:rFonts w:hint="eastAsia" w:ascii="新宋体" w:hAnsi="新宋体" w:eastAsia="新宋体" w:cs="新宋体"/>
                <w:color w:val="000000"/>
                <w:kern w:val="0"/>
                <w:sz w:val="24"/>
                <w:szCs w:val="24"/>
              </w:rPr>
              <w:t>不得分。同时提供相关信用评级机构出具的有效的企业信用报告。</w:t>
            </w:r>
            <w:r>
              <w:rPr>
                <w:rFonts w:hint="eastAsia" w:ascii="新宋体" w:hAnsi="新宋体" w:eastAsia="新宋体" w:cs="新宋体"/>
                <w:sz w:val="24"/>
                <w:szCs w:val="24"/>
              </w:rPr>
              <w:t>(标书中提供复印件并加盖公章，原件备查）</w:t>
            </w:r>
          </w:p>
          <w:p>
            <w:pPr>
              <w:spacing w:line="360" w:lineRule="auto"/>
              <w:ind w:firstLine="480" w:firstLineChars="200"/>
              <w:jc w:val="both"/>
              <w:rPr>
                <w:rFonts w:hint="eastAsia" w:ascii="新宋体" w:hAnsi="新宋体" w:eastAsia="新宋体" w:cs="新宋体"/>
                <w:bCs/>
                <w:color w:val="000000"/>
                <w:kern w:val="0"/>
                <w:sz w:val="24"/>
                <w:szCs w:val="24"/>
              </w:rPr>
            </w:pPr>
            <w:r>
              <w:rPr>
                <w:rFonts w:hint="eastAsia" w:ascii="新宋体" w:hAnsi="新宋体" w:eastAsia="新宋体" w:cs="新宋体"/>
                <w:sz w:val="24"/>
                <w:szCs w:val="24"/>
              </w:rPr>
              <w:t>投标人同时具有ISO27001信息安全管理体系认证证书、ISO20000服务管理体系认证证书、信息技术服务运行维护标准符合性证书（ITSS）的得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分，缺项不得分。(标书中提供证书复印件并加盖公章，原件备查）</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业绩</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投标人须提供2015年1月1日以来已完成类似项目案例单份合同不低于</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0万</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含250万</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，每提供一份得2分，满分6分。（提供中标通知书、合同、验收报告。未按要求提供者不得分，原件备查）</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sz w:val="24"/>
                <w:szCs w:val="24"/>
              </w:rPr>
            </w:pPr>
          </w:p>
          <w:p>
            <w:pPr>
              <w:spacing w:line="360" w:lineRule="auto"/>
              <w:jc w:val="both"/>
              <w:rPr>
                <w:rFonts w:hint="eastAsia" w:ascii="新宋体" w:hAnsi="新宋体" w:eastAsia="新宋体" w:cs="新宋体"/>
                <w:sz w:val="24"/>
                <w:szCs w:val="24"/>
              </w:rPr>
            </w:pPr>
          </w:p>
          <w:p>
            <w:p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6分</w:t>
            </w:r>
          </w:p>
          <w:p>
            <w:pPr>
              <w:pStyle w:val="2"/>
              <w:rPr>
                <w:rFonts w:hint="eastAsia" w:ascii="新宋体" w:hAnsi="新宋体" w:eastAsia="新宋体" w:cs="新宋体"/>
                <w:color w:val="000000"/>
                <w:kern w:val="0"/>
                <w:sz w:val="24"/>
                <w:szCs w:val="24"/>
              </w:rPr>
            </w:pPr>
          </w:p>
          <w:p>
            <w:pPr>
              <w:pStyle w:val="2"/>
              <w:rPr>
                <w:rFonts w:hint="eastAsia" w:ascii="新宋体" w:hAnsi="新宋体" w:eastAsia="新宋体" w:cs="新宋体"/>
                <w:color w:val="000000"/>
                <w:kern w:val="0"/>
                <w:sz w:val="24"/>
                <w:szCs w:val="24"/>
              </w:rPr>
            </w:pPr>
          </w:p>
          <w:p>
            <w:pPr>
              <w:pStyle w:val="2"/>
              <w:rPr>
                <w:rFonts w:hint="eastAsia" w:ascii="新宋体" w:hAnsi="新宋体" w:eastAsia="新宋体" w:cs="新宋体"/>
                <w:color w:val="000000"/>
                <w:kern w:val="0"/>
                <w:sz w:val="24"/>
                <w:szCs w:val="24"/>
              </w:rPr>
            </w:pPr>
          </w:p>
          <w:p>
            <w:pPr>
              <w:pStyle w:val="2"/>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03"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2160" w:firstLineChars="9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三、</w:t>
            </w:r>
            <w:r>
              <w:rPr>
                <w:rFonts w:hint="eastAsia" w:ascii="新宋体" w:hAnsi="新宋体" w:eastAsia="新宋体" w:cs="新宋体"/>
                <w:sz w:val="24"/>
                <w:szCs w:val="24"/>
              </w:rPr>
              <w:t>技术部分（满分 </w:t>
            </w:r>
            <w:r>
              <w:rPr>
                <w:rFonts w:hint="eastAsia" w:ascii="新宋体" w:hAnsi="新宋体" w:eastAsia="新宋体" w:cs="新宋体"/>
                <w:sz w:val="24"/>
                <w:szCs w:val="24"/>
                <w:lang w:val="en-US" w:eastAsia="zh-CN"/>
              </w:rPr>
              <w:t>37</w:t>
            </w:r>
            <w:r>
              <w:rPr>
                <w:rFonts w:hint="eastAsia" w:ascii="新宋体" w:hAnsi="新宋体" w:eastAsia="新宋体" w:cs="新宋体"/>
                <w:sz w:val="24"/>
                <w:szCs w:val="24"/>
              </w:rPr>
              <w:t> 分</w:t>
            </w:r>
            <w:r>
              <w:rPr>
                <w:rFonts w:hint="eastAsia" w:ascii="新宋体" w:hAnsi="新宋体" w:eastAsia="新宋体" w:cs="新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ind w:leftChars="200"/>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对招标文件响应程度</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rPr>
              <w:t>投标人所投产品技术参数完全满足招标文件要求的得</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分；</w:t>
            </w:r>
            <w:r>
              <w:rPr>
                <w:rFonts w:hint="eastAsia" w:ascii="新宋体" w:hAnsi="新宋体" w:eastAsia="新宋体" w:cs="新宋体"/>
                <w:sz w:val="24"/>
                <w:szCs w:val="24"/>
                <w:lang w:val="en-US" w:eastAsia="zh-CN"/>
              </w:rPr>
              <w:t>负偏离的每项扣1分，直到扣完为止。</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25</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售后服务承诺</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根据投标文件售后服务方案（服务内容承诺、服务体系、响应方式、相应时间、人力资源分配方案等）、培训方案、保障措施、技术支持承诺，在1-</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分内酌情打分。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项目实施方案</w:t>
            </w:r>
          </w:p>
        </w:tc>
        <w:tc>
          <w:tcPr>
            <w:tcW w:w="602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根据投标文件项目实施技术方案，综合系统兼容性、稳定性、方案设计科学性等整体综合性能，在1-</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分内酌情打分。</w:t>
            </w:r>
            <w:r>
              <w:rPr>
                <w:rFonts w:hint="eastAsia" w:ascii="新宋体" w:hAnsi="新宋体" w:eastAsia="新宋体" w:cs="新宋体"/>
                <w:color w:val="000000"/>
                <w:kern w:val="0"/>
                <w:sz w:val="24"/>
                <w:szCs w:val="24"/>
              </w:rPr>
              <w:t> </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p>
        </w:tc>
      </w:tr>
    </w:tbl>
    <w:p>
      <w:pPr>
        <w:pStyle w:val="2"/>
        <w:rPr>
          <w:rFonts w:hint="default"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0" w:name="_Toc186274126"/>
      <w:bookmarkStart w:id="11" w:name="_Toc174185203"/>
      <w:bookmarkStart w:id="12" w:name="_Toc184023138"/>
      <w:r>
        <w:rPr>
          <w:rFonts w:hint="eastAsia" w:cs="黑体" w:asciiTheme="minorEastAsia" w:hAnsiTheme="minorEastAsia" w:eastAsiaTheme="minorEastAsia"/>
          <w:color w:val="auto"/>
          <w:kern w:val="2"/>
          <w:sz w:val="28"/>
          <w:szCs w:val="28"/>
          <w:lang w:val="zh-CN"/>
        </w:rPr>
        <w:t>一、投标人应答索引表</w:t>
      </w:r>
      <w:bookmarkEnd w:id="10"/>
      <w:bookmarkEnd w:id="11"/>
      <w:bookmarkEnd w:id="12"/>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3" w:name="_资格证明文件"/>
            <w:bookmarkEnd w:id="13"/>
            <w:bookmarkStart w:id="14"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4"/>
          </w:p>
        </w:tc>
        <w:tc>
          <w:tcPr>
            <w:tcW w:w="4492" w:type="dxa"/>
            <w:gridSpan w:val="2"/>
            <w:vAlign w:val="center"/>
          </w:tcPr>
          <w:p>
            <w:pPr>
              <w:jc w:val="center"/>
              <w:rPr>
                <w:rFonts w:asciiTheme="minorEastAsia" w:hAnsiTheme="minorEastAsia"/>
                <w:szCs w:val="21"/>
              </w:rPr>
            </w:pPr>
            <w:bookmarkStart w:id="15"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5"/>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16" w:name="OLE_LINK14"/>
      <w:bookmarkStart w:id="17" w:name="OLE_LINK13"/>
      <w:r>
        <w:rPr>
          <w:rFonts w:hint="eastAsia" w:ascii="宋体" w:hAnsi="宋体"/>
          <w:b/>
          <w:bCs/>
          <w:color w:val="000000"/>
          <w:sz w:val="24"/>
          <w:szCs w:val="24"/>
        </w:rPr>
        <w:t>4.7 残疾人福利性单位声明函</w:t>
      </w:r>
    </w:p>
    <w:bookmarkEnd w:id="16"/>
    <w:bookmarkEnd w:id="17"/>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F2D73"/>
    <w:multiLevelType w:val="singleLevel"/>
    <w:tmpl w:val="84CF2D73"/>
    <w:lvl w:ilvl="0" w:tentative="0">
      <w:start w:val="2"/>
      <w:numFmt w:val="chineseCounting"/>
      <w:suff w:val="nothing"/>
      <w:lvlText w:val="%1、"/>
      <w:lvlJc w:val="left"/>
      <w:rPr>
        <w:rFonts w:hint="eastAsia"/>
      </w:rPr>
    </w:lvl>
  </w:abstractNum>
  <w:abstractNum w:abstractNumId="1">
    <w:nsid w:val="9F86FB8A"/>
    <w:multiLevelType w:val="singleLevel"/>
    <w:tmpl w:val="9F86FB8A"/>
    <w:lvl w:ilvl="0" w:tentative="0">
      <w:start w:val="1"/>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2"/>
      <w:suff w:val="nothing"/>
      <w:lvlText w:val="%1、"/>
      <w:lvlJc w:val="left"/>
    </w:lvl>
  </w:abstractNum>
  <w:abstractNum w:abstractNumId="11">
    <w:nsid w:val="5D1F0770"/>
    <w:multiLevelType w:val="singleLevel"/>
    <w:tmpl w:val="5D1F0770"/>
    <w:lvl w:ilvl="0" w:tentative="0">
      <w:start w:val="1"/>
      <w:numFmt w:val="chineseCounting"/>
      <w:suff w:val="nothing"/>
      <w:lvlText w:val="（%1）"/>
      <w:lvlJc w:val="left"/>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0"/>
  </w:num>
  <w:num w:numId="4">
    <w:abstractNumId w:val="8"/>
  </w:num>
  <w:num w:numId="5">
    <w:abstractNumId w:val="5"/>
  </w:num>
  <w:num w:numId="6">
    <w:abstractNumId w:val="9"/>
  </w:num>
  <w:num w:numId="7">
    <w:abstractNumId w:val="11"/>
  </w:num>
  <w:num w:numId="8">
    <w:abstractNumId w:val="1"/>
  </w:num>
  <w:num w:numId="9">
    <w:abstractNumId w:val="2"/>
  </w:num>
  <w:num w:numId="10">
    <w:abstractNumId w:val="7"/>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7732CDA"/>
    <w:rsid w:val="080C2BBA"/>
    <w:rsid w:val="08C0181D"/>
    <w:rsid w:val="08FD5745"/>
    <w:rsid w:val="0A5E16AE"/>
    <w:rsid w:val="0A7C3AAF"/>
    <w:rsid w:val="0A997A60"/>
    <w:rsid w:val="0AB50907"/>
    <w:rsid w:val="0B01317F"/>
    <w:rsid w:val="0BBD5765"/>
    <w:rsid w:val="0C1D2223"/>
    <w:rsid w:val="0C3D4298"/>
    <w:rsid w:val="0C9523A6"/>
    <w:rsid w:val="0CA67F00"/>
    <w:rsid w:val="0CAB7FE2"/>
    <w:rsid w:val="0F485C64"/>
    <w:rsid w:val="0FD30C14"/>
    <w:rsid w:val="101B403B"/>
    <w:rsid w:val="110E6851"/>
    <w:rsid w:val="116D26CD"/>
    <w:rsid w:val="11C23651"/>
    <w:rsid w:val="11E13F76"/>
    <w:rsid w:val="129267D1"/>
    <w:rsid w:val="12C422CE"/>
    <w:rsid w:val="13EB69AF"/>
    <w:rsid w:val="13EF7D11"/>
    <w:rsid w:val="140778EB"/>
    <w:rsid w:val="158908A7"/>
    <w:rsid w:val="160E3E81"/>
    <w:rsid w:val="16EE4E99"/>
    <w:rsid w:val="171E620C"/>
    <w:rsid w:val="17A87F25"/>
    <w:rsid w:val="17F27C17"/>
    <w:rsid w:val="183965F3"/>
    <w:rsid w:val="189035FD"/>
    <w:rsid w:val="18C769E5"/>
    <w:rsid w:val="18D55096"/>
    <w:rsid w:val="198348D6"/>
    <w:rsid w:val="1A08396D"/>
    <w:rsid w:val="1AFBFFDD"/>
    <w:rsid w:val="1B1653FD"/>
    <w:rsid w:val="1C2D1536"/>
    <w:rsid w:val="1CCF2F1D"/>
    <w:rsid w:val="1CF87F0B"/>
    <w:rsid w:val="1CFB73D3"/>
    <w:rsid w:val="1D767D0D"/>
    <w:rsid w:val="1E8E722F"/>
    <w:rsid w:val="1F8E45BB"/>
    <w:rsid w:val="1FE15514"/>
    <w:rsid w:val="1FF158F3"/>
    <w:rsid w:val="208614E5"/>
    <w:rsid w:val="2157706F"/>
    <w:rsid w:val="21DD4A96"/>
    <w:rsid w:val="24D35795"/>
    <w:rsid w:val="271F4B16"/>
    <w:rsid w:val="275038F3"/>
    <w:rsid w:val="27CD14F5"/>
    <w:rsid w:val="293C5FB1"/>
    <w:rsid w:val="29A55E19"/>
    <w:rsid w:val="29F94CB1"/>
    <w:rsid w:val="2A553543"/>
    <w:rsid w:val="2A745111"/>
    <w:rsid w:val="2AF87034"/>
    <w:rsid w:val="2B022C78"/>
    <w:rsid w:val="2C014C3B"/>
    <w:rsid w:val="2D4A693F"/>
    <w:rsid w:val="2E252DC4"/>
    <w:rsid w:val="2F566BBD"/>
    <w:rsid w:val="2F650AED"/>
    <w:rsid w:val="2FFD3F6B"/>
    <w:rsid w:val="30EA79C7"/>
    <w:rsid w:val="30FD56B7"/>
    <w:rsid w:val="329E1B24"/>
    <w:rsid w:val="32BF12F4"/>
    <w:rsid w:val="33563CED"/>
    <w:rsid w:val="338A4286"/>
    <w:rsid w:val="347F0816"/>
    <w:rsid w:val="34B644B7"/>
    <w:rsid w:val="36B46A4A"/>
    <w:rsid w:val="36E65B38"/>
    <w:rsid w:val="375656B9"/>
    <w:rsid w:val="375B6549"/>
    <w:rsid w:val="37627558"/>
    <w:rsid w:val="37B91083"/>
    <w:rsid w:val="39FD28B4"/>
    <w:rsid w:val="3AC47AB6"/>
    <w:rsid w:val="3ADD0A2E"/>
    <w:rsid w:val="3B4C7808"/>
    <w:rsid w:val="3B7A3E82"/>
    <w:rsid w:val="3B8D0CE8"/>
    <w:rsid w:val="3BA71EF1"/>
    <w:rsid w:val="3C1651F0"/>
    <w:rsid w:val="3CBF1608"/>
    <w:rsid w:val="3CC749D9"/>
    <w:rsid w:val="3CFB31CE"/>
    <w:rsid w:val="3DCA2531"/>
    <w:rsid w:val="3E3A26DB"/>
    <w:rsid w:val="3F263B0E"/>
    <w:rsid w:val="414D7438"/>
    <w:rsid w:val="41572B91"/>
    <w:rsid w:val="41A16B13"/>
    <w:rsid w:val="41EF3AE9"/>
    <w:rsid w:val="423A7A11"/>
    <w:rsid w:val="428968C5"/>
    <w:rsid w:val="430D37F8"/>
    <w:rsid w:val="43420F67"/>
    <w:rsid w:val="43AF27C5"/>
    <w:rsid w:val="443E3AC2"/>
    <w:rsid w:val="444772BC"/>
    <w:rsid w:val="444D773E"/>
    <w:rsid w:val="44972791"/>
    <w:rsid w:val="458D2A4C"/>
    <w:rsid w:val="459D509E"/>
    <w:rsid w:val="45A926DC"/>
    <w:rsid w:val="45FC4042"/>
    <w:rsid w:val="477C4489"/>
    <w:rsid w:val="477E79DB"/>
    <w:rsid w:val="48BB1E61"/>
    <w:rsid w:val="48E44347"/>
    <w:rsid w:val="4AB4093D"/>
    <w:rsid w:val="4AE22F4C"/>
    <w:rsid w:val="4B536EA5"/>
    <w:rsid w:val="4CA91082"/>
    <w:rsid w:val="4D1C4C00"/>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590515E"/>
    <w:rsid w:val="562D2F69"/>
    <w:rsid w:val="5703196B"/>
    <w:rsid w:val="57140DA8"/>
    <w:rsid w:val="574A43AC"/>
    <w:rsid w:val="58077CBD"/>
    <w:rsid w:val="5812110B"/>
    <w:rsid w:val="582E1358"/>
    <w:rsid w:val="58323449"/>
    <w:rsid w:val="58FD658D"/>
    <w:rsid w:val="5B0C6CA4"/>
    <w:rsid w:val="5CFD3C28"/>
    <w:rsid w:val="5E2C7B65"/>
    <w:rsid w:val="5EB8046C"/>
    <w:rsid w:val="5EC23D91"/>
    <w:rsid w:val="5EEA6FD8"/>
    <w:rsid w:val="5F5D3B89"/>
    <w:rsid w:val="5F91300B"/>
    <w:rsid w:val="5FBD74DE"/>
    <w:rsid w:val="601812B8"/>
    <w:rsid w:val="60BD0412"/>
    <w:rsid w:val="616C5D6E"/>
    <w:rsid w:val="61775FA5"/>
    <w:rsid w:val="619B680C"/>
    <w:rsid w:val="62E53998"/>
    <w:rsid w:val="648D2FFF"/>
    <w:rsid w:val="656839C3"/>
    <w:rsid w:val="65725730"/>
    <w:rsid w:val="65B92974"/>
    <w:rsid w:val="65C80747"/>
    <w:rsid w:val="672B7704"/>
    <w:rsid w:val="68594ADA"/>
    <w:rsid w:val="68741D48"/>
    <w:rsid w:val="6AB31C19"/>
    <w:rsid w:val="6B357A50"/>
    <w:rsid w:val="6B5B7DCB"/>
    <w:rsid w:val="6BB95672"/>
    <w:rsid w:val="6C1E4AF0"/>
    <w:rsid w:val="6C4712E8"/>
    <w:rsid w:val="6C9C46AE"/>
    <w:rsid w:val="6CE55F45"/>
    <w:rsid w:val="6D15465F"/>
    <w:rsid w:val="6D8D5D8A"/>
    <w:rsid w:val="6DE87E82"/>
    <w:rsid w:val="6DFC3DF2"/>
    <w:rsid w:val="6E673C05"/>
    <w:rsid w:val="6E6F4DC3"/>
    <w:rsid w:val="6E7511ED"/>
    <w:rsid w:val="6E76180E"/>
    <w:rsid w:val="6ED546F7"/>
    <w:rsid w:val="6F272507"/>
    <w:rsid w:val="6FF11A89"/>
    <w:rsid w:val="70117814"/>
    <w:rsid w:val="70602224"/>
    <w:rsid w:val="70C1699F"/>
    <w:rsid w:val="71617265"/>
    <w:rsid w:val="71C32A07"/>
    <w:rsid w:val="71E53350"/>
    <w:rsid w:val="720E5D3A"/>
    <w:rsid w:val="72254E2A"/>
    <w:rsid w:val="72ED3426"/>
    <w:rsid w:val="73184127"/>
    <w:rsid w:val="73733509"/>
    <w:rsid w:val="73D40348"/>
    <w:rsid w:val="74AB41BE"/>
    <w:rsid w:val="75EA3934"/>
    <w:rsid w:val="774700AD"/>
    <w:rsid w:val="777E0158"/>
    <w:rsid w:val="788A0F31"/>
    <w:rsid w:val="78F56DD8"/>
    <w:rsid w:val="79373D17"/>
    <w:rsid w:val="7A77760E"/>
    <w:rsid w:val="7AC70899"/>
    <w:rsid w:val="7B3F7553"/>
    <w:rsid w:val="7B7986D1"/>
    <w:rsid w:val="7B877587"/>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10"/>
    <w:semiHidden/>
    <w:qFormat/>
    <w:uiPriority w:val="99"/>
  </w:style>
  <w:style w:type="character" w:customStyle="1" w:styleId="54">
    <w:name w:val="正文首行缩进 Char"/>
    <w:basedOn w:val="53"/>
    <w:link w:val="21"/>
    <w:qFormat/>
    <w:uiPriority w:val="0"/>
    <w:rPr>
      <w:rFonts w:ascii="宋体" w:hAnsi="Times New Roman" w:eastAsia="宋体" w:cs="Times New Roman"/>
      <w:kern w:val="0"/>
      <w:sz w:val="34"/>
      <w:szCs w:val="20"/>
    </w:rPr>
  </w:style>
  <w:style w:type="character" w:customStyle="1" w:styleId="55">
    <w:name w:val="HTML 预设格式 Char"/>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2019-07-29T06:13:50Z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