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禹州市教育体育局空调、中央空调采购项目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  <w:bookmarkStart w:id="0" w:name="_GoBack"/>
      <w:bookmarkEnd w:id="0"/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：禹州市教育体育局空调、中央空调采购项目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</w:t>
      </w:r>
    </w:p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.澄清内容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招标文件“第三章 投标人须知前附表”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eq \o\ac(□,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position w:val="2"/>
                <w:sz w:val="24"/>
                <w:szCs w:val="24"/>
                <w:lang w:val="zh-CN"/>
              </w:rPr>
              <w:instrText xml:space="preserve">√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)</w:instrText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  <w:t>综合评分法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□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澄清为：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☑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pStyle w:val="3"/>
        <w:spacing w:line="360" w:lineRule="auto"/>
        <w:contextualSpacing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与招标文件第六章 资格审查与评标中的评标办法一致。</w:t>
      </w: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0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禹州市教育体育局</w:t>
      </w:r>
    </w:p>
    <w:p>
      <w:pPr>
        <w:spacing w:line="4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10577DA"/>
    <w:rsid w:val="03F66A74"/>
    <w:rsid w:val="159800E9"/>
    <w:rsid w:val="19011C85"/>
    <w:rsid w:val="1BC16E32"/>
    <w:rsid w:val="29125DA8"/>
    <w:rsid w:val="3CEE6E9C"/>
    <w:rsid w:val="45294F0B"/>
    <w:rsid w:val="45EC0897"/>
    <w:rsid w:val="518A08B4"/>
    <w:rsid w:val="66AE514A"/>
    <w:rsid w:val="66F83255"/>
    <w:rsid w:val="70723632"/>
    <w:rsid w:val="72977ABB"/>
    <w:rsid w:val="751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eastAsia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2019-06-24T07:39:00Z</cp:lastPrinted>
  <dcterms:modified xsi:type="dcterms:W3CDTF">2019-07-26T08:41:59Z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