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ascii="微软简隶书" w:eastAsia="微软简隶书"/>
        </w:rPr>
      </w:pPr>
    </w:p>
    <w:p>
      <w:pPr>
        <w:spacing w:line="600" w:lineRule="exact"/>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rPr>
        <w:t>禹州市</w:t>
      </w:r>
      <w:r>
        <w:rPr>
          <w:rFonts w:hint="eastAsia" w:ascii="黑体" w:hAnsi="黑体" w:eastAsia="黑体" w:cs="黑体"/>
          <w:b w:val="0"/>
          <w:bCs w:val="0"/>
          <w:sz w:val="44"/>
          <w:szCs w:val="44"/>
          <w:lang w:eastAsia="zh-CN"/>
        </w:rPr>
        <w:t>群众艺术馆改建设计项目</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ascii="华文隶书" w:eastAsia="华文隶书"/>
          <w:b/>
          <w:bCs w:val="0"/>
          <w:w w:val="90"/>
          <w:sz w:val="48"/>
          <w:szCs w:val="48"/>
        </w:rPr>
      </w:pPr>
      <w:r>
        <w:rPr>
          <w:rFonts w:hint="eastAsia" w:ascii="华文隶书" w:eastAsia="华文隶书"/>
          <w:b/>
          <w:bCs w:val="0"/>
          <w:w w:val="90"/>
          <w:sz w:val="48"/>
          <w:szCs w:val="48"/>
          <w:lang w:eastAsia="zh-CN"/>
        </w:rPr>
        <w:t>竞争性谈判</w:t>
      </w:r>
      <w:r>
        <w:rPr>
          <w:rFonts w:hint="eastAsia" w:ascii="华文隶书" w:eastAsia="华文隶书"/>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YZCG-T2019158</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w:t>
      </w:r>
      <w:r>
        <w:rPr>
          <w:rFonts w:hint="eastAsia" w:asciiTheme="majorEastAsia" w:hAnsiTheme="majorEastAsia" w:eastAsiaTheme="majorEastAsia" w:cstheme="majorEastAsia"/>
          <w:b w:val="0"/>
          <w:bCs w:val="0"/>
          <w:sz w:val="36"/>
          <w:szCs w:val="36"/>
          <w:lang w:eastAsia="zh-CN"/>
        </w:rPr>
        <w:t>文化广电和旅游局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七</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rPr>
      </w:pPr>
      <w:r>
        <w:rPr>
          <w:rFonts w:hint="eastAsia"/>
          <w:b/>
          <w:bCs/>
          <w:sz w:val="36"/>
          <w:szCs w:val="36"/>
        </w:rPr>
        <w:t>禹州市群众艺术馆改建设计项目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文化广电和旅游局</w:t>
      </w:r>
      <w:r>
        <w:rPr>
          <w:rFonts w:hint="eastAsia" w:ascii="新宋体" w:hAnsi="新宋体" w:eastAsia="新宋体" w:cs="新宋体"/>
          <w:sz w:val="24"/>
          <w:szCs w:val="24"/>
        </w:rPr>
        <w:t>的委托，就“禹州市群众艺术馆改建设计项目”进行竞争性谈判，欢迎合格的投标人前来投标。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1、采购人：禹州市文化广电和旅游局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2、项目名称：禹州市群众艺术馆改建设计项目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158</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4、项目需求：群众艺术馆改建设计</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14.05</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2.投标商须有独立法人资格且具备住房和城乡建设部门颁发的建筑行业（建筑工程）甲级资质；</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3、拟派项目负责人具有国家一级注册建筑师执业资格且具有工程类中级及以上技术职称；</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bookmarkStart w:id="81" w:name="_GoBack"/>
      <w:bookmarkEnd w:id="81"/>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26</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15 ：00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一</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（二）采购单位：禹州市文化广电和旅游局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禹王大道东段</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贾先生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13839007526</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日</w:t>
      </w:r>
    </w:p>
    <w:p>
      <w:pPr>
        <w:spacing w:line="600" w:lineRule="exact"/>
        <w:jc w:val="center"/>
        <w:rPr>
          <w:rFonts w:hint="eastAsia" w:ascii="新宋体" w:hAnsi="新宋体" w:eastAsia="新宋体" w:cs="新宋体"/>
          <w:b/>
          <w:bCs/>
          <w:sz w:val="24"/>
          <w:szCs w:val="2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val="0"/>
          <w:bCs w:val="0"/>
          <w:color w:val="000000"/>
          <w:sz w:val="24"/>
          <w:szCs w:val="24"/>
          <w:shd w:val="clear" w:color="auto" w:fill="FFFFFF"/>
          <w:lang w:val="en-US" w:eastAsia="zh-CN"/>
        </w:rPr>
        <w:t xml:space="preserve">   达到创建全国文明城市和国家公共文化服务体系示范区的要求，为禹州百万人民提供群众文化活动所需的场所。</w:t>
      </w:r>
    </w:p>
    <w:p>
      <w:pPr>
        <w:widowControl/>
        <w:numPr>
          <w:ilvl w:val="0"/>
          <w:numId w:val="6"/>
        </w:numPr>
        <w:shd w:val="clear" w:color="auto" w:fill="FFFFFF"/>
        <w:spacing w:line="360" w:lineRule="auto"/>
        <w:ind w:left="0" w:leftChars="0" w:firstLine="482" w:firstLineChars="200"/>
        <w:contextualSpacing/>
        <w:jc w:val="left"/>
        <w:rPr>
          <w:rFonts w:hint="eastAsia" w:cs="黑体" w:asciiTheme="minorEastAsia" w:hAnsiTheme="minorEastAsia"/>
          <w:b w:val="0"/>
          <w:bCs w:val="0"/>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采购内容：</w:t>
      </w:r>
      <w:r>
        <w:rPr>
          <w:rFonts w:hint="eastAsia" w:cs="黑体" w:asciiTheme="minorEastAsia" w:hAnsiTheme="minorEastAsia"/>
          <w:b w:val="0"/>
          <w:bCs w:val="0"/>
          <w:color w:val="000000"/>
          <w:sz w:val="24"/>
          <w:szCs w:val="24"/>
          <w:shd w:val="clear" w:color="auto" w:fill="FFFFFF"/>
          <w:lang w:eastAsia="zh-CN"/>
        </w:rPr>
        <w:t>本项目为禹州市群众艺术馆改建工程设计项目。</w:t>
      </w:r>
    </w:p>
    <w:p>
      <w:pPr>
        <w:widowControl/>
        <w:numPr>
          <w:ilvl w:val="0"/>
          <w:numId w:val="0"/>
        </w:numPr>
        <w:shd w:val="clear" w:color="auto" w:fill="FFFFFF"/>
        <w:spacing w:line="360" w:lineRule="auto"/>
        <w:ind w:leftChars="200"/>
        <w:contextualSpacing/>
        <w:jc w:val="left"/>
        <w:rPr>
          <w:rFonts w:hint="eastAsia" w:cs="黑体" w:asciiTheme="minorEastAsia" w:hAnsiTheme="minorEastAsia"/>
          <w:b w:val="0"/>
          <w:bCs w:val="0"/>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三、项目概况：</w:t>
      </w:r>
      <w:r>
        <w:rPr>
          <w:rFonts w:hint="eastAsia" w:cs="黑体" w:asciiTheme="minorEastAsia" w:hAnsiTheme="minorEastAsia"/>
          <w:b w:val="0"/>
          <w:bCs w:val="0"/>
          <w:color w:val="000000"/>
          <w:sz w:val="24"/>
          <w:szCs w:val="24"/>
          <w:shd w:val="clear" w:color="auto" w:fill="FFFFFF"/>
          <w:lang w:eastAsia="zh-CN"/>
        </w:rPr>
        <w:t>本项目位于禹州市颍河大街老体育场，由于市体育公园（老体育场）社区服务中心建筑本体仅有1446㎡，达不到国家县级群众艺术馆（文化馆）三级馆在要求，需增建一层，使建筑面积达到3000㎡，符合三级群众艺术馆（文化馆）的标准。群众艺术馆（文化馆）改建工程，面积3000㎡，包含小剧场、临展厅、舞蹈教室、多功能室、信息资源共享室、音乐（合唱）教室、戏曲活动室、静态艺术室、小琴房等，建筑三层，总投资520万元。</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四、采购标的执行标准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按照国家相关标准执行。</w:t>
      </w:r>
    </w:p>
    <w:p>
      <w:pPr>
        <w:spacing w:line="360" w:lineRule="auto"/>
        <w:ind w:firstLine="482" w:firstLine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eastAsia="zh-CN"/>
        </w:rPr>
        <w:t>五、</w:t>
      </w:r>
      <w:r>
        <w:rPr>
          <w:rFonts w:hint="eastAsia" w:cs="宋体" w:asciiTheme="minorEastAsia" w:hAnsiTheme="minorEastAsia"/>
          <w:b/>
          <w:color w:val="000000"/>
          <w:kern w:val="0"/>
          <w:sz w:val="24"/>
          <w:szCs w:val="24"/>
          <w:lang w:val="zh-CN"/>
        </w:rPr>
        <w:t>服务标准、期限、效率等要求</w:t>
      </w:r>
    </w:p>
    <w:p>
      <w:pPr>
        <w:keepNext w:val="0"/>
        <w:keepLines w:val="0"/>
        <w:pageBreakBefore w:val="0"/>
        <w:widowControl w:val="0"/>
        <w:numPr>
          <w:ilvl w:val="0"/>
          <w:numId w:val="0"/>
        </w:numPr>
        <w:kinsoku/>
        <w:overflowPunct/>
        <w:autoSpaceDE/>
        <w:autoSpaceDN/>
        <w:bidi w:val="0"/>
        <w:adjustRightInd/>
        <w:snapToGrid/>
        <w:spacing w:line="360" w:lineRule="auto"/>
        <w:ind w:firstLine="480" w:firstLineChars="200"/>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US" w:eastAsia="zh-CN"/>
        </w:rPr>
        <w:t>1、</w:t>
      </w:r>
      <w:r>
        <w:rPr>
          <w:rFonts w:hint="eastAsia" w:ascii="新宋体" w:hAnsi="新宋体" w:eastAsia="新宋体" w:cs="新宋体"/>
          <w:color w:val="auto"/>
          <w:kern w:val="0"/>
          <w:sz w:val="24"/>
          <w:szCs w:val="24"/>
        </w:rPr>
        <w:t>要求及后期确认的修改意见，在符合国家及行业规范和标准的基础上10天交付设计方案并负责后期审核。</w:t>
      </w:r>
    </w:p>
    <w:p>
      <w:pPr>
        <w:keepNext w:val="0"/>
        <w:keepLines w:val="0"/>
        <w:pageBreakBefore w:val="0"/>
        <w:widowControl w:val="0"/>
        <w:numPr>
          <w:ilvl w:val="0"/>
          <w:numId w:val="0"/>
        </w:numPr>
        <w:kinsoku/>
        <w:overflowPunct/>
        <w:autoSpaceDE/>
        <w:autoSpaceDN/>
        <w:bidi w:val="0"/>
        <w:adjustRightInd/>
        <w:snapToGrid/>
        <w:spacing w:line="360" w:lineRule="auto"/>
        <w:ind w:firstLine="480" w:firstLineChars="200"/>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2、施工图设计：中标方需根据设计方案中标后15天内设计编制施工图（含平面图、系统图、原理图等）、材料设备清单（含三个及以上推荐品牌、型号及技术参数等）、概算表。</w:t>
      </w:r>
    </w:p>
    <w:p>
      <w:pPr>
        <w:keepNext w:val="0"/>
        <w:keepLines w:val="0"/>
        <w:pageBreakBefore w:val="0"/>
        <w:widowControl w:val="0"/>
        <w:numPr>
          <w:ilvl w:val="0"/>
          <w:numId w:val="0"/>
        </w:numPr>
        <w:kinsoku/>
        <w:overflowPunct/>
        <w:autoSpaceDE/>
        <w:autoSpaceDN/>
        <w:bidi w:val="0"/>
        <w:adjustRightInd/>
        <w:snapToGrid/>
        <w:spacing w:line="360" w:lineRule="auto"/>
        <w:ind w:firstLine="480" w:firstLineChars="200"/>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eastAsia="zh-CN"/>
        </w:rPr>
        <w:t>成果要求：</w:t>
      </w:r>
      <w:r>
        <w:rPr>
          <w:rFonts w:hint="eastAsia" w:ascii="新宋体" w:hAnsi="新宋体" w:eastAsia="新宋体" w:cs="新宋体"/>
          <w:color w:val="auto"/>
          <w:kern w:val="0"/>
          <w:sz w:val="24"/>
          <w:szCs w:val="24"/>
        </w:rPr>
        <w:t>纸质图纸各五套、数据光盘一套。</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zh-CN" w:eastAsia="zh-CN"/>
        </w:rPr>
      </w:pPr>
      <w:r>
        <w:rPr>
          <w:rFonts w:hint="eastAsia" w:ascii="新宋体" w:hAnsi="新宋体" w:eastAsia="新宋体" w:cs="新宋体"/>
          <w:color w:val="auto"/>
          <w:kern w:val="0"/>
          <w:sz w:val="24"/>
          <w:szCs w:val="24"/>
        </w:rPr>
        <w:t>3、现场服务：包含设计过程中的实地勘察、技术交底、会议交流，项目施工工程招标过程中的配合，以及对于施工中遇到问题的现场指导、图纸修改、技术监督、技术确认等工作</w:t>
      </w:r>
      <w:r>
        <w:rPr>
          <w:rFonts w:hint="eastAsia" w:ascii="新宋体" w:hAnsi="新宋体" w:eastAsia="新宋体" w:cs="新宋体"/>
          <w:color w:val="auto"/>
          <w:kern w:val="0"/>
          <w:sz w:val="24"/>
          <w:szCs w:val="24"/>
          <w:lang w:eastAsia="zh-CN"/>
        </w:rPr>
        <w:t>。</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ascii="宋体" w:cs="宋体"/>
          <w:sz w:val="24"/>
          <w:lang w:val="zh-CN"/>
        </w:rPr>
      </w:pPr>
      <w:r>
        <w:rPr>
          <w:rFonts w:hint="eastAsia" w:ascii="宋体" w:cs="宋体"/>
          <w:sz w:val="24"/>
          <w:lang w:val="zh-CN"/>
        </w:rPr>
        <w:t>2、按照谈判文件要求、投标文件响应和承诺验收。</w:t>
      </w:r>
    </w:p>
    <w:p>
      <w:pPr>
        <w:widowControl/>
        <w:shd w:val="clear" w:color="auto" w:fill="FFFFFF"/>
        <w:spacing w:line="360" w:lineRule="auto"/>
        <w:ind w:firstLine="482" w:firstLineChars="200"/>
        <w:contextualSpacing/>
        <w:jc w:val="left"/>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eastAsia="zh-CN"/>
        </w:rPr>
        <w:t>七、</w:t>
      </w:r>
      <w:r>
        <w:rPr>
          <w:rFonts w:hint="eastAsia" w:cs="宋体" w:asciiTheme="minorEastAsia" w:hAnsiTheme="minorEastAsia"/>
          <w:b/>
          <w:color w:val="000000"/>
          <w:kern w:val="0"/>
          <w:sz w:val="24"/>
          <w:szCs w:val="24"/>
          <w:lang w:val="zh-CN"/>
        </w:rPr>
        <w:t>特别别示：</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1、以上要求为最低要求，投标商不得低于以上要求，否则为无效响应文件。</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2、投标商须有合理的工作方案，否则为无效响应文件 。</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3、投标人应就该项目完整投标（报价含运输费、税费等综合费用），否则为无效响应文件。</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4、投标商必须由法定代表人或其授权代表参加开标会议，随时接受谈判小组询问，并予作出书面解答。</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5、采购人确定成交人后，中标人须向禹州市政府采购中心发送投标报价及分项报价（如果货物需求中有分项的话）一览表电子档，并同时通知采购中心。邮箱：</w:t>
      </w:r>
      <w:r>
        <w:rPr>
          <w:rFonts w:hint="eastAsia" w:ascii="宋体" w:cs="宋体"/>
          <w:sz w:val="24"/>
          <w:lang w:val="zh-CN"/>
        </w:rPr>
        <w:fldChar w:fldCharType="begin"/>
      </w:r>
      <w:r>
        <w:rPr>
          <w:rFonts w:hint="eastAsia" w:ascii="宋体" w:cs="宋体"/>
          <w:sz w:val="24"/>
          <w:lang w:val="zh-CN"/>
        </w:rPr>
        <w:instrText xml:space="preserve"> HYPERLINK "mailto:YZGGZY2076770@163.com" </w:instrText>
      </w:r>
      <w:r>
        <w:rPr>
          <w:rFonts w:hint="eastAsia" w:ascii="宋体" w:cs="宋体"/>
          <w:sz w:val="24"/>
          <w:lang w:val="zh-CN"/>
        </w:rPr>
        <w:fldChar w:fldCharType="separate"/>
      </w:r>
      <w:r>
        <w:rPr>
          <w:rFonts w:hint="eastAsia" w:ascii="宋体" w:cs="宋体"/>
          <w:sz w:val="24"/>
          <w:lang w:val="zh-CN"/>
        </w:rPr>
        <w:t>YZGGZY2076770@163.com</w:t>
      </w:r>
      <w:r>
        <w:rPr>
          <w:rFonts w:hint="eastAsia" w:ascii="宋体" w:cs="宋体"/>
          <w:sz w:val="24"/>
          <w:lang w:val="zh-CN"/>
        </w:rPr>
        <w:fldChar w:fldCharType="end"/>
      </w:r>
      <w:r>
        <w:rPr>
          <w:rFonts w:hint="eastAsia" w:ascii="宋体" w:cs="宋体"/>
          <w:sz w:val="24"/>
          <w:lang w:val="zh-CN"/>
        </w:rPr>
        <w:t>。</w:t>
      </w:r>
    </w:p>
    <w:p>
      <w:pPr>
        <w:wordWrap w:val="0"/>
        <w:topLinePunct/>
        <w:spacing w:line="360" w:lineRule="auto"/>
        <w:ind w:firstLine="480" w:firstLineChars="200"/>
        <w:rPr>
          <w:rFonts w:hint="default" w:ascii="宋体" w:cs="宋体"/>
          <w:sz w:val="24"/>
          <w:lang w:val="en-US" w:eastAsia="zh-CN"/>
        </w:rPr>
      </w:pPr>
      <w:r>
        <w:rPr>
          <w:rFonts w:hint="eastAsia" w:ascii="宋体" w:cs="宋体"/>
          <w:sz w:val="24"/>
          <w:lang w:val="en-US" w:eastAsia="zh-CN"/>
        </w:rPr>
        <w:t>6、付款方式 ：以签订合同为准。</w:t>
      </w:r>
    </w:p>
    <w:p>
      <w:pPr>
        <w:spacing w:line="500" w:lineRule="exact"/>
        <w:jc w:val="left"/>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项目名称：禹州市群众艺术馆改建设计项目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YZCG-T2019158</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工期：签订合同后</w:t>
            </w:r>
            <w:r>
              <w:rPr>
                <w:rFonts w:hint="eastAsia" w:cs="仿宋_GB2312" w:asciiTheme="minorEastAsia" w:hAnsiTheme="minorEastAsia"/>
                <w:szCs w:val="21"/>
                <w:lang w:val="en-US" w:eastAsia="zh-CN"/>
              </w:rPr>
              <w:t>10日内</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禹州市老体育场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禹州市文化广电和旅游局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禹州市禹王大道东段</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联系人：贾</w:t>
            </w:r>
            <w:r>
              <w:rPr>
                <w:rFonts w:hint="eastAsia" w:cs="仿宋_GB2312" w:asciiTheme="minorEastAsia" w:hAnsiTheme="minorEastAsia"/>
                <w:szCs w:val="21"/>
                <w:lang w:val="en-US" w:eastAsia="zh-CN"/>
              </w:rPr>
              <w:t xml:space="preserve">先生 </w:t>
            </w:r>
            <w:r>
              <w:rPr>
                <w:rFonts w:hint="default" w:cs="仿宋_GB2312" w:asciiTheme="minorEastAsia" w:hAnsiTheme="minorEastAsia" w:eastAsiaTheme="minorEastAsia"/>
                <w:szCs w:val="21"/>
                <w:lang w:val="en-US" w:eastAsia="zh-CN"/>
              </w:rPr>
              <w:t xml:space="preserve">    联系电话：13839007526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rPr>
              <w:t>八、</w:t>
            </w:r>
            <w:r>
              <w:rPr>
                <w:rFonts w:hint="eastAsia" w:cs="宋体" w:asciiTheme="minorEastAsia" w:hAnsiTheme="minorEastAsia"/>
                <w:kern w:val="0"/>
                <w:szCs w:val="21"/>
                <w:lang w:val="en-US" w:eastAsia="zh-CN"/>
              </w:rPr>
              <w:t>1.投标商须有独立法人资格且具备住房和城乡建设部门颁发的建筑行业（建筑工程）甲级资质；</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2、拟派项目负责人具有国家一级注册建筑师执业资格且具有工程类中级及以上技术职称；</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14.05</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2019年7月</w:t>
            </w:r>
            <w:r>
              <w:rPr>
                <w:rFonts w:hint="eastAsia" w:cs="宋体" w:asciiTheme="minorEastAsia" w:hAnsiTheme="minorEastAsia"/>
                <w:bCs/>
                <w:szCs w:val="21"/>
                <w:lang w:val="en-US" w:eastAsia="zh-CN"/>
              </w:rPr>
              <w:t>26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15</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金额：贰仟元整</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rPr>
              <w:t>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禹州市公共资源交易中心保证金缴纳回执”以备查询。（</w:t>
            </w: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w:t>
            </w:r>
            <w:r>
              <w:rPr>
                <w:rFonts w:hint="eastAsia" w:cs="仿宋_GB2312" w:asciiTheme="minorEastAsia" w:hAnsiTheme="minorEastAsia"/>
                <w:szCs w:val="21"/>
                <w:lang w:val="en-US" w:eastAsia="zh-CN"/>
              </w:rPr>
              <w:t>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公共资源交易中心保证金缴纳回执”附于响应文件中，同时在谈判响应文件递交现场提供一份“</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w:t>
      </w:r>
      <w:r>
        <w:rPr>
          <w:rFonts w:hint="eastAsia" w:cs="宋体" w:asciiTheme="minorEastAsia" w:hAnsiTheme="minorEastAsia"/>
          <w:kern w:val="0"/>
          <w:szCs w:val="21"/>
          <w:lang w:eastAsia="zh-CN"/>
        </w:rPr>
        <w:t>并备案后</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w:t>
      </w:r>
      <w:r>
        <w:rPr>
          <w:rFonts w:hint="eastAsia" w:cs="宋体" w:asciiTheme="minorEastAsia" w:hAnsiTheme="minorEastAsia"/>
          <w:kern w:val="0"/>
          <w:szCs w:val="21"/>
          <w:lang w:eastAsia="zh-CN"/>
        </w:rPr>
        <w:t>禹州市政府采购监督管理办公室</w:t>
      </w:r>
      <w:r>
        <w:rPr>
          <w:rFonts w:hint="eastAsia" w:cs="宋体" w:asciiTheme="minorEastAsia" w:hAnsiTheme="minorEastAsia"/>
          <w:kern w:val="0"/>
          <w:szCs w:val="21"/>
        </w:rPr>
        <w:t>办理退款手续（0374-</w:t>
      </w:r>
      <w:r>
        <w:rPr>
          <w:rFonts w:hint="eastAsia" w:cs="宋体" w:asciiTheme="minorEastAsia" w:hAnsiTheme="minorEastAsia"/>
          <w:kern w:val="0"/>
          <w:szCs w:val="21"/>
          <w:lang w:val="en-US" w:eastAsia="zh-CN"/>
        </w:rPr>
        <w:t>8112523</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1</w:t>
            </w:r>
            <w:r>
              <w:rPr>
                <w:rFonts w:hint="eastAsia" w:asciiTheme="minorEastAsia" w:hAnsiTheme="minorEastAsia"/>
                <w:bCs/>
                <w:szCs w:val="21"/>
              </w:rPr>
              <w:t>.投标商须有独立法人资格且具备住房和城乡建设部门颁发的建筑行业（建筑工程）甲级资质；</w:t>
            </w:r>
          </w:p>
          <w:p>
            <w:pPr>
              <w:spacing w:line="360" w:lineRule="auto"/>
              <w:rPr>
                <w:rFonts w:hint="eastAsia" w:asciiTheme="minorEastAsia" w:hAnsiTheme="minorEastAsia" w:eastAsiaTheme="minorEastAsia"/>
                <w:bCs/>
                <w:szCs w:val="21"/>
                <w:lang w:val="en-US" w:eastAsia="zh-CN"/>
              </w:rPr>
            </w:pPr>
            <w:r>
              <w:rPr>
                <w:rFonts w:hint="eastAsia" w:asciiTheme="minorEastAsia" w:hAnsiTheme="minorEastAsia"/>
                <w:bCs/>
                <w:szCs w:val="21"/>
                <w:lang w:val="en-US" w:eastAsia="zh-CN"/>
              </w:rPr>
              <w:t>2</w:t>
            </w:r>
            <w:r>
              <w:rPr>
                <w:rFonts w:hint="eastAsia" w:asciiTheme="minorEastAsia" w:hAnsiTheme="minorEastAsia"/>
                <w:bCs/>
                <w:szCs w:val="21"/>
              </w:rPr>
              <w:t>、拟派项目负责人具有国家一级注册建筑师执业资格且具有工程类中级及以上技术职称</w:t>
            </w:r>
            <w:r>
              <w:rPr>
                <w:rFonts w:hint="eastAsia" w:asciiTheme="minorEastAsia" w:hAnsiTheme="minorEastAsia"/>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54922980"/>
      <w:bookmarkStart w:id="1" w:name="_Toc364457259"/>
      <w:bookmarkStart w:id="2" w:name="_Toc329278149"/>
      <w:bookmarkStart w:id="3" w:name="_Toc356744034"/>
      <w:bookmarkStart w:id="4" w:name="_Toc355649942"/>
      <w:bookmarkStart w:id="5" w:name="_Toc357868214"/>
      <w:bookmarkStart w:id="6" w:name="_Toc354923119"/>
      <w:bookmarkStart w:id="7" w:name="_Toc354404029"/>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2981"/>
      <w:bookmarkStart w:id="10" w:name="_Toc329278150"/>
      <w:bookmarkStart w:id="11" w:name="_Toc354923120"/>
      <w:bookmarkStart w:id="12" w:name="_Toc357868215"/>
      <w:bookmarkStart w:id="13" w:name="_Toc326060506"/>
      <w:bookmarkStart w:id="14" w:name="_Toc355649943"/>
      <w:bookmarkStart w:id="15" w:name="_Toc356744035"/>
      <w:bookmarkStart w:id="16" w:name="_Toc364457260"/>
      <w:bookmarkStart w:id="17" w:name="_Toc35440403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7868216"/>
      <w:bookmarkStart w:id="19" w:name="_Toc354404031"/>
      <w:bookmarkStart w:id="20" w:name="_Toc354922982"/>
      <w:bookmarkStart w:id="21" w:name="_Toc356744036"/>
      <w:bookmarkStart w:id="22" w:name="_Toc326060507"/>
      <w:bookmarkStart w:id="23" w:name="_Toc355649944"/>
      <w:bookmarkStart w:id="24" w:name="_Toc364457261"/>
      <w:bookmarkStart w:id="25" w:name="_Toc329278151"/>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64457262"/>
      <w:bookmarkStart w:id="28" w:name="_Toc356744037"/>
      <w:bookmarkStart w:id="29" w:name="_Toc354404032"/>
      <w:bookmarkStart w:id="30" w:name="_Toc357868217"/>
      <w:bookmarkStart w:id="31" w:name="_Toc355649945"/>
      <w:bookmarkStart w:id="32" w:name="_Toc329278152"/>
      <w:bookmarkStart w:id="33" w:name="_Toc326060508"/>
      <w:bookmarkStart w:id="34" w:name="_Toc354923122"/>
      <w:bookmarkStart w:id="35" w:name="_Toc354922983"/>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64457263"/>
      <w:bookmarkStart w:id="37" w:name="_Toc329278153"/>
      <w:bookmarkStart w:id="38" w:name="_Toc354404033"/>
      <w:bookmarkStart w:id="39" w:name="_Toc357868218"/>
      <w:bookmarkStart w:id="40" w:name="_Toc354923123"/>
      <w:bookmarkStart w:id="41" w:name="_Toc355649946"/>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404034"/>
      <w:bookmarkStart w:id="46" w:name="_Toc357868219"/>
      <w:bookmarkStart w:id="47" w:name="_Toc329278154"/>
      <w:bookmarkStart w:id="48" w:name="_Toc326060510"/>
      <w:bookmarkStart w:id="49" w:name="_Toc354923124"/>
      <w:bookmarkStart w:id="50" w:name="_Toc364457264"/>
      <w:bookmarkStart w:id="51" w:name="_Toc355649947"/>
      <w:bookmarkStart w:id="52" w:name="_Toc354922985"/>
      <w:bookmarkStart w:id="53" w:name="_Toc356744039"/>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923125"/>
      <w:bookmarkStart w:id="55" w:name="_Toc354922986"/>
      <w:bookmarkStart w:id="56" w:name="_Toc364457265"/>
      <w:bookmarkStart w:id="57" w:name="_Toc326060511"/>
      <w:bookmarkStart w:id="58" w:name="_Toc357868220"/>
      <w:bookmarkStart w:id="59" w:name="_Toc354404035"/>
      <w:bookmarkStart w:id="60" w:name="_Toc356744040"/>
      <w:bookmarkStart w:id="61" w:name="_Toc355649948"/>
      <w:bookmarkStart w:id="62" w:name="_Toc32927815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29278157"/>
      <w:bookmarkStart w:id="73" w:name="_Toc326060513"/>
      <w:bookmarkStart w:id="74" w:name="_Toc356744042"/>
      <w:bookmarkStart w:id="75" w:name="_Toc354404037"/>
      <w:bookmarkStart w:id="76" w:name="_Toc355649950"/>
      <w:bookmarkStart w:id="77" w:name="_Toc354922988"/>
      <w:bookmarkStart w:id="78" w:name="_Toc354923127"/>
      <w:bookmarkStart w:id="79" w:name="_Toc357868222"/>
      <w:bookmarkStart w:id="80" w:name="_Toc36445726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禹州市公共资源交易中心保证金缴纳回执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sz w:val="24"/>
          <w:szCs w:val="24"/>
          <w:lang w:val="en-US" w:eastAsia="zh-CN"/>
        </w:rPr>
        <w:t>4.1</w:t>
      </w:r>
      <w:r>
        <w:rPr>
          <w:rFonts w:hint="eastAsia" w:ascii="仿宋" w:hAnsi="仿宋" w:eastAsia="仿宋" w:cs="仿宋"/>
          <w:sz w:val="24"/>
          <w:szCs w:val="24"/>
        </w:rPr>
        <w:t xml:space="preserve">   </w:t>
      </w:r>
      <w:r>
        <w:rPr>
          <w:rFonts w:hint="eastAsia" w:ascii="仿宋" w:hAnsi="仿宋" w:eastAsia="仿宋" w:cs="仿宋"/>
          <w:b/>
          <w:sz w:val="24"/>
          <w:szCs w:val="24"/>
        </w:rPr>
        <w:t>工</w:t>
      </w:r>
      <w:r>
        <w:rPr>
          <w:rFonts w:hint="eastAsia" w:ascii="仿宋" w:hAnsi="仿宋" w:eastAsia="仿宋" w:cs="仿宋"/>
          <w:b/>
          <w:sz w:val="24"/>
          <w:szCs w:val="24"/>
          <w:lang w:eastAsia="zh-CN"/>
        </w:rPr>
        <w:t>作</w:t>
      </w:r>
      <w:r>
        <w:rPr>
          <w:rFonts w:hint="eastAsia" w:ascii="仿宋" w:hAnsi="仿宋" w:eastAsia="仿宋" w:cs="仿宋"/>
          <w:b/>
          <w:sz w:val="24"/>
          <w:szCs w:val="24"/>
        </w:rPr>
        <w:t>方案</w:t>
      </w:r>
    </w:p>
    <w:p>
      <w:pPr>
        <w:spacing w:line="500" w:lineRule="exact"/>
        <w:ind w:firstLine="1687" w:firstLineChars="700"/>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r>
        <w:rPr>
          <w:rFonts w:hint="eastAsia" w:ascii="仿宋" w:hAnsi="仿宋" w:eastAsia="仿宋" w:cs="仿宋"/>
          <w:sz w:val="24"/>
          <w:szCs w:val="24"/>
          <w:lang w:val="en-US" w:eastAsia="zh-CN"/>
        </w:rPr>
        <w:t>4.2</w:t>
      </w:r>
      <w:r>
        <w:rPr>
          <w:rFonts w:hint="eastAsia" w:ascii="仿宋" w:hAnsi="仿宋" w:eastAsia="仿宋" w:cs="仿宋"/>
          <w:b/>
          <w:sz w:val="24"/>
          <w:szCs w:val="24"/>
        </w:rPr>
        <w:t>服务承诺</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3"/>
      <w:suff w:val="nothing"/>
      <w:lvlText w:val="%1、"/>
      <w:lvlJc w:val="left"/>
    </w:lvl>
  </w:abstractNum>
  <w:abstractNum w:abstractNumId="22">
    <w:nsid w:val="5A051E9E"/>
    <w:multiLevelType w:val="singleLevel"/>
    <w:tmpl w:val="5A051E9E"/>
    <w:lvl w:ilvl="0" w:tentative="0">
      <w:start w:val="1"/>
      <w:numFmt w:val="chineseCounting"/>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22"/>
  </w:num>
  <w:num w:numId="6">
    <w:abstractNumId w:val="26"/>
  </w:num>
  <w:num w:numId="7">
    <w:abstractNumId w:val="18"/>
  </w:num>
  <w:num w:numId="8">
    <w:abstractNumId w:val="23"/>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4"/>
  </w:num>
  <w:num w:numId="17">
    <w:abstractNumId w:val="10"/>
  </w:num>
  <w:num w:numId="18">
    <w:abstractNumId w:val="20"/>
  </w:num>
  <w:num w:numId="19">
    <w:abstractNumId w:val="14"/>
  </w:num>
  <w:num w:numId="20">
    <w:abstractNumId w:val="25"/>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4A6236A"/>
    <w:rsid w:val="053F5432"/>
    <w:rsid w:val="064E7C45"/>
    <w:rsid w:val="07BF5E31"/>
    <w:rsid w:val="07F96DEB"/>
    <w:rsid w:val="08ED0258"/>
    <w:rsid w:val="08EF08AA"/>
    <w:rsid w:val="09B61E03"/>
    <w:rsid w:val="0A1E34A8"/>
    <w:rsid w:val="0AED524D"/>
    <w:rsid w:val="0B042130"/>
    <w:rsid w:val="0B391354"/>
    <w:rsid w:val="0CAE7D79"/>
    <w:rsid w:val="0DAC0795"/>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B078B6"/>
    <w:rsid w:val="197B011F"/>
    <w:rsid w:val="198F1D07"/>
    <w:rsid w:val="1B70335D"/>
    <w:rsid w:val="1BC27E34"/>
    <w:rsid w:val="1C317F37"/>
    <w:rsid w:val="1C527EEE"/>
    <w:rsid w:val="1D90357B"/>
    <w:rsid w:val="1EAC0576"/>
    <w:rsid w:val="1F457DEB"/>
    <w:rsid w:val="1F4F76D7"/>
    <w:rsid w:val="1F5E25BF"/>
    <w:rsid w:val="204C3CC9"/>
    <w:rsid w:val="20ED0E50"/>
    <w:rsid w:val="20FF154F"/>
    <w:rsid w:val="21DF17AC"/>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E4C48"/>
    <w:rsid w:val="2D5F028F"/>
    <w:rsid w:val="2F124B1C"/>
    <w:rsid w:val="2F45482D"/>
    <w:rsid w:val="2F477084"/>
    <w:rsid w:val="2FE113B9"/>
    <w:rsid w:val="2FF24A9E"/>
    <w:rsid w:val="305F0D15"/>
    <w:rsid w:val="307D673F"/>
    <w:rsid w:val="31324247"/>
    <w:rsid w:val="320D3218"/>
    <w:rsid w:val="32985053"/>
    <w:rsid w:val="32B20743"/>
    <w:rsid w:val="32E31462"/>
    <w:rsid w:val="34280373"/>
    <w:rsid w:val="3439458D"/>
    <w:rsid w:val="345D5D57"/>
    <w:rsid w:val="350A079B"/>
    <w:rsid w:val="35306958"/>
    <w:rsid w:val="35C46C85"/>
    <w:rsid w:val="36D45DBC"/>
    <w:rsid w:val="391E6950"/>
    <w:rsid w:val="3A1A525E"/>
    <w:rsid w:val="3B380893"/>
    <w:rsid w:val="3C175755"/>
    <w:rsid w:val="3C725167"/>
    <w:rsid w:val="3C9839FA"/>
    <w:rsid w:val="3CB04E80"/>
    <w:rsid w:val="3CC67CD4"/>
    <w:rsid w:val="3D96637E"/>
    <w:rsid w:val="3DEC2498"/>
    <w:rsid w:val="3E034405"/>
    <w:rsid w:val="40BE3049"/>
    <w:rsid w:val="42547D8B"/>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E45808"/>
    <w:rsid w:val="4E9448CD"/>
    <w:rsid w:val="4F374C6E"/>
    <w:rsid w:val="4FF65309"/>
    <w:rsid w:val="505F0174"/>
    <w:rsid w:val="50A050A3"/>
    <w:rsid w:val="51352836"/>
    <w:rsid w:val="51A13899"/>
    <w:rsid w:val="52581E68"/>
    <w:rsid w:val="528771C6"/>
    <w:rsid w:val="531600B4"/>
    <w:rsid w:val="535A1FCB"/>
    <w:rsid w:val="536561B2"/>
    <w:rsid w:val="53FA012A"/>
    <w:rsid w:val="544C0545"/>
    <w:rsid w:val="55684A64"/>
    <w:rsid w:val="557F3457"/>
    <w:rsid w:val="56626902"/>
    <w:rsid w:val="57D2139A"/>
    <w:rsid w:val="57DF4B76"/>
    <w:rsid w:val="58057299"/>
    <w:rsid w:val="58A31F4C"/>
    <w:rsid w:val="5BAE2A99"/>
    <w:rsid w:val="5C1717D9"/>
    <w:rsid w:val="5C20031E"/>
    <w:rsid w:val="5CB139A0"/>
    <w:rsid w:val="5CD938B8"/>
    <w:rsid w:val="5D1F61F2"/>
    <w:rsid w:val="5DD54801"/>
    <w:rsid w:val="5DE56A37"/>
    <w:rsid w:val="5E8E5AC1"/>
    <w:rsid w:val="5E921C4D"/>
    <w:rsid w:val="5EE83EB0"/>
    <w:rsid w:val="5F4A434F"/>
    <w:rsid w:val="5FD542E1"/>
    <w:rsid w:val="6001186C"/>
    <w:rsid w:val="614E3A65"/>
    <w:rsid w:val="61BC4DC2"/>
    <w:rsid w:val="634675E2"/>
    <w:rsid w:val="638962A8"/>
    <w:rsid w:val="63F4509F"/>
    <w:rsid w:val="64BF36B4"/>
    <w:rsid w:val="64C76A4D"/>
    <w:rsid w:val="64FE6613"/>
    <w:rsid w:val="66980FBD"/>
    <w:rsid w:val="67341FB4"/>
    <w:rsid w:val="67F03A67"/>
    <w:rsid w:val="69294622"/>
    <w:rsid w:val="69995CD6"/>
    <w:rsid w:val="69CA0494"/>
    <w:rsid w:val="69FB4D8B"/>
    <w:rsid w:val="6C2234CC"/>
    <w:rsid w:val="6D32159C"/>
    <w:rsid w:val="6D351CF7"/>
    <w:rsid w:val="6EB746A7"/>
    <w:rsid w:val="6F34277B"/>
    <w:rsid w:val="6F832092"/>
    <w:rsid w:val="704D75D1"/>
    <w:rsid w:val="70506DB5"/>
    <w:rsid w:val="7072440C"/>
    <w:rsid w:val="7092622D"/>
    <w:rsid w:val="71CB356E"/>
    <w:rsid w:val="71EC2A56"/>
    <w:rsid w:val="737E090F"/>
    <w:rsid w:val="741756AE"/>
    <w:rsid w:val="741A563C"/>
    <w:rsid w:val="74E651D2"/>
    <w:rsid w:val="751414C1"/>
    <w:rsid w:val="755446EC"/>
    <w:rsid w:val="755E1E93"/>
    <w:rsid w:val="75752706"/>
    <w:rsid w:val="75AB4839"/>
    <w:rsid w:val="76015A01"/>
    <w:rsid w:val="767C5E46"/>
    <w:rsid w:val="76B625A7"/>
    <w:rsid w:val="76D609C3"/>
    <w:rsid w:val="787D7581"/>
    <w:rsid w:val="78AF68A0"/>
    <w:rsid w:val="78C37659"/>
    <w:rsid w:val="790B56C3"/>
    <w:rsid w:val="7BC16393"/>
    <w:rsid w:val="7C1D0C87"/>
    <w:rsid w:val="7DE1586C"/>
    <w:rsid w:val="7E4C7A10"/>
    <w:rsid w:val="7E583278"/>
    <w:rsid w:val="7EB52D4A"/>
    <w:rsid w:val="7EC43622"/>
    <w:rsid w:val="7EEC1A19"/>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16</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2019-07-19T02:54:59Z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