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  <w:t>禹州市中等专业学校新校区配套教学、生活等设备物品购置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  <w:t>（K包）二次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  <w:t>评标报告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</w:pPr>
      <w:r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禹州市中等专业学校新校区配套教学、生活等设备物品购置（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K包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二次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both"/>
        <w:textAlignment w:val="auto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（二）项目编号：YZCG-DL201901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6-1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color w:val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（三）招标公告发布日期：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（四）变更公告发布日期：无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（五）开标日期：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 xml:space="preserve">（六）采购方式：公开招标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（七）最高限价：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38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万元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（八）评标办法：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zh-CN"/>
        </w:rPr>
        <w:t>综合评分法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（九）资格审查方式：资格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审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招标公告刊登的媒体：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"http://ggzy.xuchang.gov.cn/" </w:instrTex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全国公共资源交易平台（河南省·许昌市）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"http://hndzzbtb.hndrc.gov.cn/" </w:instrTex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河南省电子招标投标公共服务平台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二、开标记录及投标报价</w:t>
      </w:r>
      <w:bookmarkStart w:id="0" w:name="_GoBack"/>
      <w:bookmarkEnd w:id="0"/>
    </w:p>
    <w:tbl>
      <w:tblPr>
        <w:tblStyle w:val="7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397"/>
        <w:gridCol w:w="193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   标   人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交付期限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河南秦月实业有限公司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377760.00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合同签订后20日历天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-2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河南省火荼电子科技有限公司  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376420.00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合同签订后20日历天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-2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河南继开华梦电子科技有限公司 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372230.00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合同签订后20日历天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right="0"/>
        <w:jc w:val="left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right="0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三、资格审查情况</w:t>
      </w:r>
    </w:p>
    <w:tbl>
      <w:tblPr>
        <w:tblStyle w:val="7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河南秦月实业有限公司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 河南省火荼电子科技有限公司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河南继开华梦电子科技有限公司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未</w:t>
            </w:r>
            <w:r>
              <w:rPr>
                <w:rFonts w:ascii="仿宋" w:hAnsi="仿宋" w:eastAsia="仿宋"/>
                <w:sz w:val="32"/>
                <w:szCs w:val="32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四、评审情况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（一）符合性审查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b w:val="0"/>
          <w:i w:val="0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</w:rPr>
        <w:t>通过资格审查的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  <w:lang w:val="en-US" w:eastAsia="zh-CN"/>
        </w:rPr>
        <w:t>三家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highlight w:val="none"/>
          <w:u w:val="none"/>
          <w:shd w:val="clear" w:fill="FFFFFF"/>
        </w:rPr>
        <w:t>投标人均通过符合性审查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综合比较与评价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 </w:t>
      </w:r>
    </w:p>
    <w:tbl>
      <w:tblPr>
        <w:tblStyle w:val="7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75"/>
        <w:gridCol w:w="1145"/>
        <w:gridCol w:w="1214"/>
        <w:gridCol w:w="1241"/>
        <w:gridCol w:w="1077"/>
        <w:gridCol w:w="1023"/>
        <w:gridCol w:w="1001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河南秦月实业有限公司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企业综合实力</w:t>
            </w:r>
          </w:p>
          <w:p>
            <w:pPr>
              <w:widowControl/>
              <w:tabs>
                <w:tab w:val="left" w:pos="28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（8分）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业绩及售后（8分）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厂家认证证书</w:t>
            </w:r>
          </w:p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（14分）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技术参数（31分）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供货方案（4分）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技术实施（5分）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29.56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3.5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71.06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29.56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29.56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29.56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>29.56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71.56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70.86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7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75"/>
        <w:gridCol w:w="1145"/>
        <w:gridCol w:w="1214"/>
        <w:gridCol w:w="1241"/>
        <w:gridCol w:w="1077"/>
        <w:gridCol w:w="1023"/>
        <w:gridCol w:w="1001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河南省火荼电子科技有限公司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企业综合实力</w:t>
            </w:r>
          </w:p>
          <w:p>
            <w:pPr>
              <w:widowControl/>
              <w:tabs>
                <w:tab w:val="left" w:pos="28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（8分）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业绩及售后（8分）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厂家认证证书</w:t>
            </w:r>
          </w:p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（14分）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技术参数（31分）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供货方案（4分）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技术实施（5分）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29.67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3.5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74.17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29.67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72.67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29.67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72.67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29.67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72.67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29.67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73.67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73.17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7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175"/>
        <w:gridCol w:w="1145"/>
        <w:gridCol w:w="1214"/>
        <w:gridCol w:w="1241"/>
        <w:gridCol w:w="1077"/>
        <w:gridCol w:w="1023"/>
        <w:gridCol w:w="1001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河南继开华梦电子科技有限公司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企业综合实力</w:t>
            </w:r>
          </w:p>
          <w:p>
            <w:pPr>
              <w:widowControl/>
              <w:tabs>
                <w:tab w:val="left" w:pos="28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（8分）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业绩及售后（8分）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厂家认证证书</w:t>
            </w:r>
          </w:p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（14分）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技术参数（31分）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供货方案（4分）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技术实施（5分）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94.2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（三）最终排序</w:t>
      </w:r>
    </w:p>
    <w:tbl>
      <w:tblPr>
        <w:tblStyle w:val="7"/>
        <w:tblpPr w:leftFromText="180" w:rightFromText="180" w:vertAnchor="text" w:horzAnchor="page" w:tblpX="1135" w:tblpY="113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445"/>
        <w:gridCol w:w="17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投标商名称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最终得分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1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河南秦月实业有限公司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70.86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2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 河南省火荼电子科技有限公司  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73.17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3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 xml:space="preserve">河南继开华梦电子科技有限公司 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94.20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五、评标委员会推荐中标候选人（或采购人授权确定中标人）情况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第一中标候选人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b w:val="0"/>
          <w:i w:val="0"/>
          <w:color w:val="000000"/>
          <w:spacing w:val="-20"/>
          <w:kern w:val="0"/>
          <w:sz w:val="32"/>
          <w:szCs w:val="32"/>
          <w:u w:val="none"/>
          <w:shd w:val="clear" w:fill="FFFFFF"/>
          <w:lang w:val="en-US" w:eastAsia="zh-CN" w:bidi="ar"/>
        </w:rPr>
        <w:t>河南继开华梦电子科技有限公司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郑州市金水区经七路136号801室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372230.00元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pacing w:val="-2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pacing w:val="-20"/>
          <w:kern w:val="0"/>
          <w:sz w:val="32"/>
          <w:szCs w:val="32"/>
          <w:u w:val="none"/>
          <w:shd w:val="clear" w:fill="FFFFFF"/>
          <w:lang w:val="en-US" w:eastAsia="zh-CN" w:bidi="ar"/>
        </w:rPr>
        <w:t>河南省火荼电子科技有限公司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郑州市金水区农业路72号2号楼14层1407号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376420.00元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河南秦月实业有限公司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pacing w:val="-2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u w:val="none"/>
          <w:shd w:val="clear" w:fill="FFFFFF"/>
          <w:lang w:val="en-US" w:eastAsia="zh-CN"/>
        </w:rPr>
        <w:t>郑州市金水区文化北路10号1号楼1单元14层54号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377760.00元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六、投标人根据评标委员会要求进行的澄清、说明或者补正：无。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七、是否存在评标委员会成员更换：无。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/>
          <w:lang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八、评标委员会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主任：郝迎军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default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评标委员会成员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：赵晓、张磊、杨柯歆、刘海峰。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0" w:firstLineChars="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0" w:firstLineChars="0"/>
        <w:jc w:val="righ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2019年7月18日</w:t>
      </w:r>
    </w:p>
    <w:sectPr>
      <w:headerReference r:id="rId3" w:type="default"/>
      <w:footerReference r:id="rId4" w:type="default"/>
      <w:pgSz w:w="11906" w:h="16838"/>
      <w:pgMar w:top="986" w:right="1800" w:bottom="98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90C2C"/>
    <w:multiLevelType w:val="singleLevel"/>
    <w:tmpl w:val="66390C2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301B"/>
    <w:rsid w:val="01B05B46"/>
    <w:rsid w:val="02FC5C80"/>
    <w:rsid w:val="044E69EE"/>
    <w:rsid w:val="050E61B3"/>
    <w:rsid w:val="065E0B01"/>
    <w:rsid w:val="072E7450"/>
    <w:rsid w:val="07463A77"/>
    <w:rsid w:val="08D75275"/>
    <w:rsid w:val="091D1846"/>
    <w:rsid w:val="09255EE5"/>
    <w:rsid w:val="09FC1DFD"/>
    <w:rsid w:val="0A1F2D53"/>
    <w:rsid w:val="0A4E1111"/>
    <w:rsid w:val="0CAA7F9C"/>
    <w:rsid w:val="0D250EF9"/>
    <w:rsid w:val="0D3A2E6F"/>
    <w:rsid w:val="0E3D02A4"/>
    <w:rsid w:val="0FEF2423"/>
    <w:rsid w:val="10676D26"/>
    <w:rsid w:val="10780F59"/>
    <w:rsid w:val="10A41BAA"/>
    <w:rsid w:val="12710506"/>
    <w:rsid w:val="12BB5366"/>
    <w:rsid w:val="158A29C6"/>
    <w:rsid w:val="15D74C26"/>
    <w:rsid w:val="168F244A"/>
    <w:rsid w:val="16B619FB"/>
    <w:rsid w:val="17A87627"/>
    <w:rsid w:val="17D926FA"/>
    <w:rsid w:val="18A1237E"/>
    <w:rsid w:val="1BD2470F"/>
    <w:rsid w:val="1C67368D"/>
    <w:rsid w:val="1CB82294"/>
    <w:rsid w:val="1CBF0A53"/>
    <w:rsid w:val="1D07382B"/>
    <w:rsid w:val="1D8323B1"/>
    <w:rsid w:val="1DEC4C13"/>
    <w:rsid w:val="1EBA7710"/>
    <w:rsid w:val="20C27ECE"/>
    <w:rsid w:val="20CC4B7C"/>
    <w:rsid w:val="21A97E41"/>
    <w:rsid w:val="21C5619C"/>
    <w:rsid w:val="22034C9F"/>
    <w:rsid w:val="23037B56"/>
    <w:rsid w:val="23773265"/>
    <w:rsid w:val="23EF765A"/>
    <w:rsid w:val="244D2287"/>
    <w:rsid w:val="265A23C7"/>
    <w:rsid w:val="26CA0412"/>
    <w:rsid w:val="27A24328"/>
    <w:rsid w:val="289424A4"/>
    <w:rsid w:val="28B2034C"/>
    <w:rsid w:val="28E3356D"/>
    <w:rsid w:val="28FA61C9"/>
    <w:rsid w:val="29DB28AC"/>
    <w:rsid w:val="2BAE3928"/>
    <w:rsid w:val="2BB172D0"/>
    <w:rsid w:val="2C4B3DB8"/>
    <w:rsid w:val="2C574B53"/>
    <w:rsid w:val="2CE474EB"/>
    <w:rsid w:val="2D080062"/>
    <w:rsid w:val="2DDE1879"/>
    <w:rsid w:val="2DE25F8A"/>
    <w:rsid w:val="2E036FE5"/>
    <w:rsid w:val="2ED67925"/>
    <w:rsid w:val="2F9F7E65"/>
    <w:rsid w:val="2FDD521A"/>
    <w:rsid w:val="2FE5659A"/>
    <w:rsid w:val="306D410C"/>
    <w:rsid w:val="31534C8B"/>
    <w:rsid w:val="31DD0A41"/>
    <w:rsid w:val="35D148D9"/>
    <w:rsid w:val="35F141C4"/>
    <w:rsid w:val="364A4F82"/>
    <w:rsid w:val="37136C90"/>
    <w:rsid w:val="37BC633F"/>
    <w:rsid w:val="3A745AA5"/>
    <w:rsid w:val="3AA617CD"/>
    <w:rsid w:val="3B077319"/>
    <w:rsid w:val="3B1903C1"/>
    <w:rsid w:val="3C88047C"/>
    <w:rsid w:val="3CCD597F"/>
    <w:rsid w:val="3D1F7497"/>
    <w:rsid w:val="3D853F9F"/>
    <w:rsid w:val="3ED952A4"/>
    <w:rsid w:val="3F360F7A"/>
    <w:rsid w:val="3F7F6503"/>
    <w:rsid w:val="401F60C2"/>
    <w:rsid w:val="41BE39C4"/>
    <w:rsid w:val="42A668D7"/>
    <w:rsid w:val="43DC4388"/>
    <w:rsid w:val="43F76498"/>
    <w:rsid w:val="44A83E43"/>
    <w:rsid w:val="454A4C9F"/>
    <w:rsid w:val="45DC3267"/>
    <w:rsid w:val="4632078C"/>
    <w:rsid w:val="463B1FB6"/>
    <w:rsid w:val="47BB6593"/>
    <w:rsid w:val="47C565E6"/>
    <w:rsid w:val="47D77E04"/>
    <w:rsid w:val="48867945"/>
    <w:rsid w:val="4A0C358F"/>
    <w:rsid w:val="4BA53E9B"/>
    <w:rsid w:val="4CA523C3"/>
    <w:rsid w:val="4D1B3498"/>
    <w:rsid w:val="4D8E5CE3"/>
    <w:rsid w:val="4E4A3FB2"/>
    <w:rsid w:val="4ED66FCE"/>
    <w:rsid w:val="50BF64AD"/>
    <w:rsid w:val="51784477"/>
    <w:rsid w:val="530421C3"/>
    <w:rsid w:val="531870A4"/>
    <w:rsid w:val="53EB3110"/>
    <w:rsid w:val="54C5315E"/>
    <w:rsid w:val="559E6C26"/>
    <w:rsid w:val="563F1657"/>
    <w:rsid w:val="56CA06C1"/>
    <w:rsid w:val="57A6789C"/>
    <w:rsid w:val="57BE0FDA"/>
    <w:rsid w:val="58B82E95"/>
    <w:rsid w:val="590B58EB"/>
    <w:rsid w:val="59F579C1"/>
    <w:rsid w:val="5B5F45A0"/>
    <w:rsid w:val="5CBD4099"/>
    <w:rsid w:val="5DAE368F"/>
    <w:rsid w:val="5DCA4C67"/>
    <w:rsid w:val="5DE74906"/>
    <w:rsid w:val="5E943DC4"/>
    <w:rsid w:val="5F0B4C0E"/>
    <w:rsid w:val="5F953761"/>
    <w:rsid w:val="610F5247"/>
    <w:rsid w:val="61FD032C"/>
    <w:rsid w:val="64944880"/>
    <w:rsid w:val="651327E9"/>
    <w:rsid w:val="66AA1F20"/>
    <w:rsid w:val="66FF1F90"/>
    <w:rsid w:val="678B1BFF"/>
    <w:rsid w:val="68590AEB"/>
    <w:rsid w:val="69A83DD2"/>
    <w:rsid w:val="69AD6243"/>
    <w:rsid w:val="69EE5845"/>
    <w:rsid w:val="6A8F6EC6"/>
    <w:rsid w:val="6AD40965"/>
    <w:rsid w:val="6AF064E6"/>
    <w:rsid w:val="6B973023"/>
    <w:rsid w:val="6F7613B8"/>
    <w:rsid w:val="6FE8043B"/>
    <w:rsid w:val="6FE924CA"/>
    <w:rsid w:val="70C274EE"/>
    <w:rsid w:val="71617399"/>
    <w:rsid w:val="71990FDF"/>
    <w:rsid w:val="75B147DC"/>
    <w:rsid w:val="764C70D6"/>
    <w:rsid w:val="7A28649E"/>
    <w:rsid w:val="7CF91BBA"/>
    <w:rsid w:val="7DB554B9"/>
    <w:rsid w:val="7F64740C"/>
    <w:rsid w:val="7F8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8"/>
    <w:qFormat/>
    <w:uiPriority w:val="0"/>
    <w:rPr>
      <w:color w:val="CC0000"/>
    </w:rPr>
  </w:style>
  <w:style w:type="character" w:customStyle="1" w:styleId="15">
    <w:name w:val="red3"/>
    <w:basedOn w:val="8"/>
    <w:qFormat/>
    <w:uiPriority w:val="0"/>
    <w:rPr>
      <w:color w:val="FF0000"/>
    </w:rPr>
  </w:style>
  <w:style w:type="character" w:customStyle="1" w:styleId="16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8">
    <w:name w:val="hover25"/>
    <w:basedOn w:val="8"/>
    <w:qFormat/>
    <w:uiPriority w:val="0"/>
  </w:style>
  <w:style w:type="character" w:customStyle="1" w:styleId="19">
    <w:name w:val="gb-jt"/>
    <w:basedOn w:val="8"/>
    <w:qFormat/>
    <w:uiPriority w:val="0"/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　</cp:lastModifiedBy>
  <cp:lastPrinted>2019-07-18T05:58:00Z</cp:lastPrinted>
  <dcterms:modified xsi:type="dcterms:W3CDTF">2019-07-18T09:16:21Z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