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建安区</w:t>
      </w:r>
      <w:r>
        <w:rPr>
          <w:rFonts w:asciiTheme="minorEastAsia" w:hAnsiTheme="minorEastAsia" w:eastAsiaTheme="minorEastAsia"/>
          <w:sz w:val="52"/>
          <w:szCs w:val="52"/>
        </w:rPr>
        <w:t>建设工程</w:t>
      </w:r>
    </w:p>
    <w:p>
      <w:pPr>
        <w:jc w:val="center"/>
        <w:rPr>
          <w:rFonts w:asciiTheme="minorEastAsia" w:hAnsiTheme="minorEastAsia" w:eastAsiaTheme="minorEastAsia"/>
          <w:sz w:val="56"/>
          <w:szCs w:val="56"/>
        </w:rPr>
      </w:pPr>
    </w:p>
    <w:p>
      <w:pPr>
        <w:jc w:val="center"/>
        <w:rPr>
          <w:rFonts w:asciiTheme="minorEastAsia" w:hAnsiTheme="minorEastAsia" w:eastAsiaTheme="minorEastAsia"/>
          <w:sz w:val="52"/>
          <w:szCs w:val="52"/>
        </w:rPr>
      </w:pPr>
    </w:p>
    <w:p>
      <w:pPr>
        <w:rPr>
          <w:rFonts w:asciiTheme="minorEastAsia" w:hAnsiTheme="minorEastAsia" w:eastAsiaTheme="minorEastAsia"/>
          <w:sz w:val="52"/>
          <w:szCs w:val="52"/>
        </w:rPr>
      </w:pPr>
    </w:p>
    <w:p>
      <w:pPr>
        <w:jc w:val="center"/>
        <w:rPr>
          <w:rFonts w:asciiTheme="minorEastAsia" w:hAnsiTheme="minorEastAsia" w:eastAsiaTheme="minorEastAsia"/>
          <w:sz w:val="52"/>
          <w:szCs w:val="52"/>
        </w:rPr>
      </w:pPr>
      <w:r>
        <w:rPr>
          <w:rFonts w:asciiTheme="minorEastAsia" w:hAnsiTheme="minorEastAsia" w:eastAsiaTheme="minorEastAsia"/>
          <w:sz w:val="52"/>
          <w:szCs w:val="52"/>
        </w:rPr>
        <w:t>招</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件</w:t>
      </w:r>
    </w:p>
    <w:p>
      <w:pPr>
        <w:jc w:val="center"/>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ind w:left="3517" w:leftChars="564" w:hanging="1600" w:hangingChars="500"/>
        <w:jc w:val="left"/>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项目编号：建安建工公字〔2019〕130号</w:t>
      </w:r>
    </w:p>
    <w:p>
      <w:pPr>
        <w:ind w:left="3517" w:leftChars="564" w:hanging="1600" w:hangingChars="500"/>
        <w:jc w:val="left"/>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项目名称：建安区灵井镇灵椹路（工业园区路段）</w:t>
      </w:r>
    </w:p>
    <w:p>
      <w:pPr>
        <w:ind w:left="3515" w:leftChars="1034" w:firstLine="0" w:firstLineChars="0"/>
        <w:jc w:val="left"/>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改造工程</w:t>
      </w:r>
    </w:p>
    <w:p>
      <w:pPr>
        <w:ind w:firstLine="1920" w:firstLineChars="600"/>
        <w:jc w:val="left"/>
        <w:rPr>
          <w:rFonts w:hint="eastAsia" w:asciiTheme="minorEastAsia" w:hAnsiTheme="minorEastAsia" w:eastAsiaTheme="minorEastAsia"/>
          <w:sz w:val="32"/>
          <w:szCs w:val="32"/>
          <w:lang w:eastAsia="zh-CN"/>
        </w:rPr>
      </w:pPr>
      <w:r>
        <w:rPr>
          <w:rFonts w:asciiTheme="minorEastAsia" w:hAnsiTheme="minorEastAsia" w:eastAsiaTheme="minorEastAsia"/>
          <w:sz w:val="32"/>
          <w:szCs w:val="32"/>
        </w:rPr>
        <w:t>招 标 人：</w:t>
      </w:r>
      <w:r>
        <w:rPr>
          <w:rFonts w:hint="eastAsia" w:asciiTheme="minorEastAsia" w:hAnsiTheme="minorEastAsia" w:eastAsiaTheme="minorEastAsia"/>
          <w:sz w:val="32"/>
          <w:szCs w:val="32"/>
          <w:lang w:eastAsia="zh-CN"/>
        </w:rPr>
        <w:t>许昌市建安区灵井镇人民政府</w:t>
      </w:r>
    </w:p>
    <w:p>
      <w:pPr>
        <w:ind w:firstLine="1920" w:firstLineChars="600"/>
        <w:jc w:val="left"/>
        <w:rPr>
          <w:rFonts w:asciiTheme="minorEastAsia" w:hAnsiTheme="minorEastAsia" w:eastAsiaTheme="minorEastAsia"/>
          <w:sz w:val="32"/>
          <w:szCs w:val="32"/>
        </w:rPr>
      </w:pPr>
      <w:r>
        <w:rPr>
          <w:rFonts w:asciiTheme="minorEastAsia" w:hAnsiTheme="minorEastAsia" w:eastAsiaTheme="minorEastAsia"/>
          <w:sz w:val="32"/>
          <w:szCs w:val="32"/>
        </w:rPr>
        <w:t>代理机构：</w:t>
      </w:r>
      <w:r>
        <w:rPr>
          <w:rFonts w:hint="eastAsia" w:asciiTheme="minorEastAsia" w:hAnsiTheme="minorEastAsia" w:eastAsiaTheme="minorEastAsia"/>
          <w:sz w:val="32"/>
          <w:szCs w:val="32"/>
        </w:rPr>
        <w:t>河南天扬工程项目管理有限公司</w:t>
      </w:r>
    </w:p>
    <w:p>
      <w:pPr>
        <w:ind w:firstLine="3840" w:firstLineChars="1200"/>
        <w:rPr>
          <w:rFonts w:asciiTheme="minorEastAsia" w:hAnsiTheme="minorEastAsia" w:eastAsiaTheme="minorEastAsia"/>
          <w:sz w:val="16"/>
        </w:rPr>
      </w:pPr>
      <w:r>
        <w:rPr>
          <w:rFonts w:hint="eastAsia" w:asciiTheme="minorEastAsia" w:hAnsiTheme="minorEastAsia" w:eastAsiaTheme="minorEastAsia"/>
          <w:sz w:val="32"/>
          <w:szCs w:val="32"/>
        </w:rPr>
        <w:t>二〇一</w:t>
      </w:r>
      <w:r>
        <w:rPr>
          <w:rFonts w:hint="eastAsia" w:asciiTheme="minorEastAsia" w:hAnsiTheme="minorEastAsia" w:eastAsiaTheme="minorEastAsia"/>
          <w:sz w:val="32"/>
          <w:szCs w:val="32"/>
          <w:lang w:val="en-US" w:eastAsia="zh-CN"/>
        </w:rPr>
        <w:t>九</w:t>
      </w:r>
      <w:r>
        <w:rPr>
          <w:rFonts w:hint="eastAsia" w:asciiTheme="minorEastAsia" w:hAnsiTheme="minorEastAsia" w:eastAsiaTheme="minorEastAsia"/>
          <w:sz w:val="32"/>
          <w:szCs w:val="32"/>
        </w:rPr>
        <w:t>年</w:t>
      </w:r>
      <w:r>
        <w:rPr>
          <w:rFonts w:hint="eastAsia" w:asciiTheme="minorEastAsia" w:hAnsiTheme="minorEastAsia" w:eastAsiaTheme="minorEastAsia"/>
          <w:sz w:val="32"/>
          <w:szCs w:val="32"/>
          <w:lang w:val="en-US" w:eastAsia="zh-CN"/>
        </w:rPr>
        <w:t>七</w:t>
      </w:r>
      <w:r>
        <w:rPr>
          <w:rFonts w:hint="eastAsia" w:asciiTheme="minorEastAsia" w:hAnsiTheme="minorEastAsia" w:eastAsiaTheme="minorEastAsia"/>
          <w:sz w:val="32"/>
          <w:szCs w:val="32"/>
        </w:rPr>
        <w:t>月</w:t>
      </w: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0"/>
          <w:cols w:space="720" w:num="1"/>
          <w:docGrid w:type="linesAndChars" w:linePitch="312" w:charSpace="0"/>
        </w:sectPr>
      </w:pPr>
    </w:p>
    <w:p>
      <w:pPr>
        <w:ind w:firstLine="4400" w:firstLineChars="1000"/>
        <w:rPr>
          <w:rFonts w:ascii="黑体" w:hAnsi="宋体" w:eastAsia="黑体"/>
          <w:b/>
          <w:sz w:val="44"/>
        </w:rPr>
      </w:pPr>
      <w:r>
        <w:rPr>
          <w:rFonts w:hint="eastAsia" w:ascii="黑体" w:hAnsi="宋体" w:eastAsia="黑体"/>
          <w:b/>
          <w:sz w:val="44"/>
        </w:rPr>
        <w:t>目  录</w:t>
      </w:r>
    </w:p>
    <w:p>
      <w:pPr>
        <w:jc w:val="center"/>
        <w:rPr>
          <w:rFonts w:hAnsi="宋体"/>
          <w:b/>
          <w:sz w:val="32"/>
        </w:rPr>
      </w:pP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 xml:space="preserve"> 招标公告</w:t>
      </w: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lang w:val="en-US" w:eastAsia="zh-CN"/>
        </w:rPr>
        <w:t xml:space="preserve"> </w:t>
      </w:r>
      <w:r>
        <w:rPr>
          <w:rFonts w:hint="eastAsia" w:ascii="黑体" w:hAnsi="宋体" w:eastAsia="黑体"/>
          <w:b/>
          <w:sz w:val="28"/>
        </w:rPr>
        <w:t>投标人须知</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合同条款及格式</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技术标准和要求</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投标文件格式</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7"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2"/>
        </w:num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 xml:space="preserve"> 招标公告</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center"/>
        <w:textAlignment w:val="auto"/>
        <w:outlineLvl w:val="0"/>
        <w:rPr>
          <w:rFonts w:hint="eastAsia" w:hAnsi="宋体" w:cs="宋体"/>
          <w:sz w:val="24"/>
          <w:szCs w:val="24"/>
          <w:lang w:eastAsia="zh-CN"/>
        </w:rPr>
      </w:pPr>
      <w:r>
        <w:rPr>
          <w:rFonts w:hint="eastAsia" w:hAnsi="宋体" w:cs="宋体"/>
          <w:sz w:val="24"/>
          <w:szCs w:val="24"/>
          <w:lang w:eastAsia="zh-CN"/>
        </w:rPr>
        <w:t>建安建工公字〔201</w:t>
      </w:r>
      <w:r>
        <w:rPr>
          <w:rFonts w:hint="eastAsia" w:hAnsi="宋体" w:cs="宋体"/>
          <w:sz w:val="24"/>
          <w:szCs w:val="24"/>
          <w:lang w:val="en-US" w:eastAsia="zh-CN"/>
        </w:rPr>
        <w:t>9</w:t>
      </w:r>
      <w:r>
        <w:rPr>
          <w:rFonts w:hint="eastAsia" w:hAnsi="宋体" w:cs="宋体"/>
          <w:sz w:val="24"/>
          <w:szCs w:val="24"/>
          <w:lang w:eastAsia="zh-CN"/>
        </w:rPr>
        <w:t>〕</w:t>
      </w:r>
      <w:r>
        <w:rPr>
          <w:rFonts w:hint="eastAsia" w:hAnsi="宋体" w:cs="宋体"/>
          <w:sz w:val="24"/>
          <w:szCs w:val="24"/>
          <w:lang w:val="en-US" w:eastAsia="zh-CN"/>
        </w:rPr>
        <w:t>130</w:t>
      </w:r>
      <w:r>
        <w:rPr>
          <w:rFonts w:hint="eastAsia" w:hAnsi="宋体" w:cs="宋体"/>
          <w:sz w:val="24"/>
          <w:szCs w:val="24"/>
          <w:lang w:eastAsia="zh-CN"/>
        </w:rPr>
        <w:t>号</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center"/>
        <w:textAlignment w:val="auto"/>
        <w:outlineLvl w:val="0"/>
        <w:rPr>
          <w:rFonts w:hint="eastAsia" w:hAnsi="宋体" w:eastAsia="宋体" w:cs="宋体"/>
          <w:sz w:val="24"/>
          <w:szCs w:val="24"/>
          <w:lang w:eastAsia="zh-CN"/>
        </w:rPr>
      </w:pPr>
      <w:r>
        <w:rPr>
          <w:rFonts w:hint="eastAsia" w:hAnsi="宋体" w:cs="宋体"/>
          <w:sz w:val="24"/>
          <w:szCs w:val="24"/>
          <w:lang w:eastAsia="zh-CN"/>
        </w:rPr>
        <w:t>许昌市建安区灵井镇人民政府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center"/>
        <w:textAlignment w:val="auto"/>
        <w:outlineLvl w:val="0"/>
        <w:rPr>
          <w:rFonts w:hint="eastAsia" w:hAnsi="宋体" w:cs="宋体"/>
          <w:sz w:val="24"/>
          <w:szCs w:val="24"/>
          <w:lang w:val="en-US" w:eastAsia="zh-CN"/>
        </w:rPr>
      </w:pPr>
      <w:r>
        <w:rPr>
          <w:rFonts w:hint="eastAsia" w:hAnsi="宋体" w:cs="宋体"/>
          <w:sz w:val="24"/>
          <w:szCs w:val="24"/>
          <w:lang w:val="en-US" w:eastAsia="zh-CN"/>
        </w:rPr>
        <w:t>建安区灵井镇灵椹路（工业园区路段）改造工程</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center"/>
        <w:textAlignment w:val="auto"/>
        <w:outlineLvl w:val="0"/>
        <w:rPr>
          <w:rFonts w:hAnsi="宋体" w:cs="宋体"/>
          <w:sz w:val="28"/>
          <w:szCs w:val="28"/>
        </w:rPr>
      </w:pPr>
      <w:r>
        <w:rPr>
          <w:rFonts w:hAnsi="宋体" w:cs="宋体"/>
          <w:sz w:val="24"/>
          <w:szCs w:val="24"/>
        </w:rPr>
        <w:t>公开招标公告</w:t>
      </w:r>
    </w:p>
    <w:p>
      <w:pPr>
        <w:autoSpaceDE w:val="0"/>
        <w:autoSpaceDN w:val="0"/>
        <w:adjustRightInd w:val="0"/>
        <w:spacing w:line="420" w:lineRule="exact"/>
        <w:jc w:val="left"/>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autoSpaceDE w:val="0"/>
        <w:autoSpaceDN w:val="0"/>
        <w:adjustRightInd w:val="0"/>
        <w:spacing w:line="420" w:lineRule="exact"/>
        <w:ind w:firstLine="480" w:firstLineChars="200"/>
        <w:outlineLvl w:val="0"/>
        <w:rPr>
          <w:rFonts w:hint="eastAsia" w:hAnsi="宋体" w:cs="宋体"/>
          <w:sz w:val="24"/>
          <w:szCs w:val="22"/>
          <w:lang w:eastAsia="zh-CN"/>
        </w:rPr>
      </w:pPr>
      <w:r>
        <w:rPr>
          <w:rFonts w:hint="eastAsia" w:hAnsi="宋体" w:cs="宋体"/>
          <w:sz w:val="24"/>
          <w:szCs w:val="22"/>
        </w:rPr>
        <w:t>1、项目编号：建安建工公字〔201</w:t>
      </w:r>
      <w:r>
        <w:rPr>
          <w:rFonts w:hint="eastAsia" w:hAnsi="宋体" w:cs="宋体"/>
          <w:sz w:val="24"/>
          <w:szCs w:val="22"/>
          <w:lang w:val="en-US" w:eastAsia="zh-CN"/>
        </w:rPr>
        <w:t>9</w:t>
      </w:r>
      <w:r>
        <w:rPr>
          <w:rFonts w:hint="eastAsia" w:hAnsi="宋体" w:cs="宋体"/>
          <w:sz w:val="24"/>
          <w:szCs w:val="22"/>
        </w:rPr>
        <w:t>〕</w:t>
      </w:r>
      <w:r>
        <w:rPr>
          <w:rFonts w:hint="eastAsia" w:hAnsi="宋体" w:cs="宋体"/>
          <w:sz w:val="24"/>
          <w:szCs w:val="22"/>
          <w:lang w:val="en-US" w:eastAsia="zh-CN"/>
        </w:rPr>
        <w:t>130</w:t>
      </w:r>
      <w:r>
        <w:rPr>
          <w:rFonts w:hint="eastAsia" w:hAnsi="宋体" w:cs="宋体"/>
          <w:sz w:val="24"/>
          <w:szCs w:val="22"/>
          <w:lang w:eastAsia="zh-CN"/>
        </w:rPr>
        <w:t>号。</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outlineLvl w:val="0"/>
      </w:pPr>
      <w:r>
        <w:rPr>
          <w:rFonts w:hint="eastAsia" w:hAnsi="宋体" w:cs="宋体"/>
          <w:sz w:val="24"/>
          <w:szCs w:val="24"/>
        </w:rPr>
        <w:t>2、</w:t>
      </w:r>
      <w:r>
        <w:rPr>
          <w:rFonts w:hAnsi="宋体" w:cs="宋体"/>
          <w:sz w:val="24"/>
          <w:szCs w:val="24"/>
        </w:rPr>
        <w:t>项目名称：</w:t>
      </w:r>
      <w:r>
        <w:rPr>
          <w:rFonts w:hint="eastAsia" w:hAnsi="宋体" w:cs="宋体"/>
          <w:sz w:val="24"/>
          <w:szCs w:val="24"/>
          <w:lang w:val="en-US" w:eastAsia="zh-CN"/>
        </w:rPr>
        <w:t>建安区灵井镇灵椹路（工业园区路段）改造工程</w:t>
      </w:r>
      <w:r>
        <w:rPr>
          <w:rFonts w:hint="eastAsia" w:hAnsi="宋体" w:cs="宋体"/>
          <w:sz w:val="24"/>
          <w:szCs w:val="24"/>
        </w:rPr>
        <w:t>。</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3、招标单位：</w:t>
      </w:r>
      <w:r>
        <w:rPr>
          <w:rFonts w:hint="eastAsia" w:hAnsi="宋体" w:cs="宋体"/>
          <w:sz w:val="24"/>
          <w:szCs w:val="22"/>
          <w:lang w:eastAsia="zh-CN"/>
        </w:rPr>
        <w:t>许昌市建安区灵井镇人民政府</w:t>
      </w:r>
      <w:r>
        <w:rPr>
          <w:rFonts w:hint="eastAsia" w:hAnsi="宋体" w:cs="宋体"/>
          <w:sz w:val="24"/>
          <w:szCs w:val="22"/>
        </w:rPr>
        <w:t>。</w:t>
      </w:r>
    </w:p>
    <w:p>
      <w:pPr>
        <w:autoSpaceDE w:val="0"/>
        <w:autoSpaceDN w:val="0"/>
        <w:adjustRightInd w:val="0"/>
        <w:spacing w:line="420" w:lineRule="exact"/>
        <w:ind w:firstLine="480" w:firstLineChars="200"/>
        <w:outlineLvl w:val="0"/>
        <w:rPr>
          <w:rFonts w:hint="eastAsia" w:hAnsi="宋体" w:cs="宋体"/>
          <w:sz w:val="24"/>
          <w:szCs w:val="22"/>
          <w:lang w:val="en-US" w:eastAsia="zh-CN"/>
        </w:rPr>
      </w:pPr>
      <w:r>
        <w:rPr>
          <w:rFonts w:hint="eastAsia" w:hAnsi="宋体" w:cs="宋体"/>
          <w:sz w:val="24"/>
          <w:szCs w:val="22"/>
        </w:rPr>
        <w:t>4、工程概况：</w:t>
      </w:r>
      <w:r>
        <w:rPr>
          <w:rFonts w:hint="eastAsia" w:hAnsi="宋体" w:cs="宋体"/>
          <w:sz w:val="24"/>
          <w:szCs w:val="22"/>
          <w:lang w:val="en-US" w:eastAsia="zh-CN"/>
        </w:rPr>
        <w:t>本项目为建安区灵井镇灵椹路（工业园区路段）改造工程，建设地点位于许昌市建安区灵井镇。建设内容包括沥青路面铺设、收水井井盖提升、混凝土道牙移栽及老路面拆除、平整、补强等。</w:t>
      </w:r>
    </w:p>
    <w:p>
      <w:pPr>
        <w:autoSpaceDE w:val="0"/>
        <w:autoSpaceDN w:val="0"/>
        <w:adjustRightInd w:val="0"/>
        <w:spacing w:line="420" w:lineRule="exact"/>
        <w:ind w:firstLine="480" w:firstLineChars="200"/>
        <w:outlineLvl w:val="0"/>
        <w:rPr>
          <w:rFonts w:hint="eastAsia" w:hAnsi="宋体" w:eastAsia="宋体" w:cs="宋体"/>
          <w:sz w:val="24"/>
          <w:szCs w:val="22"/>
          <w:lang w:eastAsia="zh-CN"/>
        </w:rPr>
      </w:pPr>
      <w:r>
        <w:rPr>
          <w:rFonts w:hint="eastAsia" w:hAnsi="宋体" w:cs="宋体"/>
          <w:sz w:val="24"/>
          <w:szCs w:val="22"/>
        </w:rPr>
        <w:t>5、招标范围：招标文件、施工图纸、工程量清单、设计变更（如有）及答疑纪要（如有）范围内的所有工程内容</w:t>
      </w:r>
      <w:r>
        <w:rPr>
          <w:rFonts w:hint="eastAsia" w:hAnsi="宋体" w:cs="宋体"/>
          <w:sz w:val="24"/>
          <w:szCs w:val="22"/>
          <w:lang w:eastAsia="zh-CN"/>
        </w:rPr>
        <w:t>。</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6、标段划分：共分为一个标段。</w:t>
      </w:r>
    </w:p>
    <w:p>
      <w:pPr>
        <w:autoSpaceDE w:val="0"/>
        <w:autoSpaceDN w:val="0"/>
        <w:adjustRightInd w:val="0"/>
        <w:spacing w:line="420" w:lineRule="exact"/>
        <w:ind w:firstLine="480" w:firstLineChars="200"/>
        <w:outlineLvl w:val="0"/>
        <w:rPr>
          <w:rFonts w:hAnsi="宋体" w:cs="宋体"/>
          <w:sz w:val="24"/>
          <w:szCs w:val="22"/>
        </w:rPr>
      </w:pPr>
      <w:bookmarkStart w:id="632" w:name="_GoBack"/>
      <w:bookmarkEnd w:id="632"/>
      <w:r>
        <w:rPr>
          <w:rFonts w:hint="eastAsia" w:hAnsi="宋体" w:cs="宋体"/>
          <w:sz w:val="24"/>
          <w:szCs w:val="24"/>
        </w:rPr>
        <w:t>7</w:t>
      </w:r>
      <w:r>
        <w:rPr>
          <w:rFonts w:hAnsi="宋体" w:cs="宋体"/>
          <w:sz w:val="24"/>
          <w:szCs w:val="24"/>
        </w:rPr>
        <w:t>、</w:t>
      </w:r>
      <w:r>
        <w:rPr>
          <w:rFonts w:hint="eastAsia" w:hAnsi="宋体" w:cs="宋体"/>
          <w:sz w:val="24"/>
          <w:szCs w:val="22"/>
        </w:rPr>
        <w:t>资金预算：</w:t>
      </w:r>
      <w:r>
        <w:rPr>
          <w:rFonts w:hint="eastAsia" w:hAnsi="宋体" w:cs="宋体"/>
          <w:sz w:val="24"/>
          <w:szCs w:val="22"/>
          <w:lang w:val="en-US" w:eastAsia="zh-CN"/>
        </w:rPr>
        <w:t>1250142.73</w:t>
      </w:r>
      <w:r>
        <w:rPr>
          <w:rFonts w:hint="eastAsia" w:hAnsi="宋体" w:cs="宋体"/>
          <w:sz w:val="24"/>
          <w:szCs w:val="22"/>
        </w:rPr>
        <w:t>元。</w:t>
      </w:r>
    </w:p>
    <w:p>
      <w:pPr>
        <w:autoSpaceDE w:val="0"/>
        <w:autoSpaceDN w:val="0"/>
        <w:adjustRightInd w:val="0"/>
        <w:spacing w:line="420" w:lineRule="exact"/>
        <w:ind w:firstLine="480" w:firstLineChars="200"/>
        <w:jc w:val="left"/>
        <w:outlineLvl w:val="0"/>
        <w:rPr>
          <w:rFonts w:hint="eastAsia" w:hAnsi="宋体" w:cs="宋体"/>
          <w:sz w:val="24"/>
          <w:szCs w:val="22"/>
          <w:lang w:eastAsia="zh-CN"/>
        </w:rPr>
      </w:pPr>
      <w:r>
        <w:rPr>
          <w:rFonts w:hint="eastAsia" w:hAnsi="宋体" w:cs="宋体"/>
          <w:sz w:val="24"/>
          <w:szCs w:val="24"/>
        </w:rPr>
        <w:t>8、</w:t>
      </w:r>
      <w:r>
        <w:rPr>
          <w:rFonts w:hAnsi="宋体" w:cs="宋体"/>
          <w:sz w:val="24"/>
          <w:szCs w:val="24"/>
        </w:rPr>
        <w:t>计划工期</w:t>
      </w:r>
      <w:r>
        <w:rPr>
          <w:rFonts w:hAnsi="宋体" w:cs="宋体"/>
          <w:color w:val="auto"/>
          <w:sz w:val="24"/>
          <w:szCs w:val="24"/>
        </w:rPr>
        <w:t>：</w:t>
      </w:r>
      <w:r>
        <w:rPr>
          <w:rFonts w:hint="eastAsia" w:hAnsi="宋体" w:cs="宋体"/>
          <w:color w:val="auto"/>
          <w:sz w:val="24"/>
          <w:szCs w:val="24"/>
          <w:lang w:val="en-US" w:eastAsia="zh-CN"/>
        </w:rPr>
        <w:t>20</w:t>
      </w:r>
      <w:r>
        <w:rPr>
          <w:rFonts w:hint="eastAsia" w:hAnsi="宋体" w:cs="宋体"/>
          <w:sz w:val="24"/>
          <w:szCs w:val="22"/>
          <w:lang w:eastAsia="zh-CN"/>
        </w:rPr>
        <w:t>日历天。</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9、质量要求：达到国家建设工程质量验收的规范和标准(合格)。</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pPr>
        <w:autoSpaceDE w:val="0"/>
        <w:autoSpaceDN w:val="0"/>
        <w:adjustRightInd w:val="0"/>
        <w:spacing w:line="420" w:lineRule="exact"/>
        <w:ind w:firstLine="480" w:firstLineChars="200"/>
        <w:jc w:val="left"/>
        <w:outlineLvl w:val="0"/>
        <w:rPr>
          <w:rFonts w:hint="eastAsia" w:hAnsi="宋体" w:cs="宋体"/>
          <w:sz w:val="24"/>
          <w:szCs w:val="24"/>
          <w:lang w:val="en-US" w:eastAsia="zh-CN"/>
        </w:rPr>
      </w:pPr>
      <w:r>
        <w:rPr>
          <w:rFonts w:hint="eastAsia" w:hAnsi="宋体" w:cs="仿宋_GB2312"/>
          <w:color w:val="000000" w:themeColor="text1"/>
          <w:kern w:val="2"/>
          <w:sz w:val="24"/>
          <w:szCs w:val="24"/>
          <w:highlight w:val="none"/>
          <w:shd w:val="clear" w:color="auto" w:fill="FFFFFF"/>
          <w:lang w:val="en-US" w:eastAsia="zh-CN" w:bidi="ar-SA"/>
          <w14:textFill>
            <w14:solidFill>
              <w14:schemeClr w14:val="tx1"/>
            </w14:solidFill>
          </w14:textFill>
        </w:rPr>
        <w:t>1、</w:t>
      </w:r>
      <w:r>
        <w:rPr>
          <w:rFonts w:hint="eastAsia" w:hAnsi="宋体" w:cs="宋体"/>
          <w:sz w:val="24"/>
          <w:szCs w:val="24"/>
          <w:lang w:val="en-US" w:eastAsia="zh-CN"/>
        </w:rPr>
        <w:t>投标人</w:t>
      </w:r>
      <w:r>
        <w:rPr>
          <w:rFonts w:hint="eastAsia" w:hAnsi="宋体" w:cs="宋体"/>
          <w:sz w:val="24"/>
          <w:szCs w:val="24"/>
        </w:rPr>
        <w:t>须具备独立的法人资格；须具备建设行政主管部门颁发的市政公用工程施工总承包</w:t>
      </w:r>
      <w:r>
        <w:rPr>
          <w:rFonts w:hint="eastAsia" w:hAnsi="宋体" w:cs="宋体"/>
          <w:sz w:val="24"/>
          <w:szCs w:val="24"/>
          <w:lang w:val="en-US" w:eastAsia="zh-CN"/>
        </w:rPr>
        <w:t>叁</w:t>
      </w:r>
      <w:r>
        <w:rPr>
          <w:rFonts w:hint="eastAsia" w:hAnsi="宋体" w:cs="宋体"/>
          <w:sz w:val="24"/>
          <w:szCs w:val="24"/>
        </w:rPr>
        <w:t>级及以上资质，且具备有效的安全生产许可证</w:t>
      </w:r>
      <w:r>
        <w:rPr>
          <w:rFonts w:hint="eastAsia" w:hAnsi="宋体" w:cs="宋体"/>
          <w:sz w:val="24"/>
          <w:szCs w:val="24"/>
          <w:lang w:eastAsia="zh-CN"/>
        </w:rPr>
        <w:t>。</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2、拟派</w:t>
      </w:r>
      <w:r>
        <w:rPr>
          <w:rFonts w:hint="eastAsia" w:hAnsi="宋体" w:cs="宋体"/>
          <w:sz w:val="24"/>
          <w:szCs w:val="24"/>
          <w:lang w:eastAsia="zh-CN"/>
        </w:rPr>
        <w:t>项目负责人</w:t>
      </w:r>
      <w:r>
        <w:rPr>
          <w:rFonts w:hint="eastAsia" w:hAnsi="宋体" w:cs="宋体"/>
          <w:sz w:val="24"/>
          <w:szCs w:val="24"/>
        </w:rPr>
        <w:t>须具备</w:t>
      </w:r>
      <w:r>
        <w:rPr>
          <w:rFonts w:hint="eastAsia" w:hAnsi="宋体" w:cs="宋体"/>
          <w:sz w:val="24"/>
          <w:szCs w:val="24"/>
          <w:lang w:val="en-US" w:eastAsia="zh-CN"/>
        </w:rPr>
        <w:t>市政公用</w:t>
      </w:r>
      <w:r>
        <w:rPr>
          <w:rFonts w:hint="eastAsia" w:hAnsi="宋体" w:cs="宋体"/>
          <w:sz w:val="24"/>
          <w:szCs w:val="24"/>
        </w:rPr>
        <w:t>工程专业</w:t>
      </w:r>
      <w:r>
        <w:rPr>
          <w:rFonts w:hint="eastAsia" w:hAnsi="宋体" w:cs="宋体"/>
          <w:sz w:val="24"/>
          <w:szCs w:val="24"/>
          <w:lang w:val="en-US" w:eastAsia="zh-CN"/>
        </w:rPr>
        <w:t>贰</w:t>
      </w:r>
      <w:r>
        <w:rPr>
          <w:rFonts w:hint="eastAsia" w:hAnsi="宋体" w:cs="宋体"/>
          <w:sz w:val="24"/>
          <w:szCs w:val="24"/>
        </w:rPr>
        <w:t>级</w:t>
      </w:r>
      <w:r>
        <w:rPr>
          <w:rFonts w:hint="eastAsia" w:hAnsi="宋体" w:cs="宋体"/>
          <w:sz w:val="24"/>
          <w:szCs w:val="24"/>
          <w:lang w:val="en-US" w:eastAsia="zh-CN"/>
        </w:rPr>
        <w:t>及以上</w:t>
      </w:r>
      <w:r>
        <w:rPr>
          <w:rFonts w:hint="eastAsia" w:hAnsi="宋体" w:cs="宋体"/>
          <w:sz w:val="24"/>
          <w:szCs w:val="24"/>
        </w:rPr>
        <w:t>注册建造师资格</w:t>
      </w:r>
      <w:r>
        <w:rPr>
          <w:rFonts w:hint="eastAsia" w:hAnsi="宋体" w:cs="宋体"/>
          <w:sz w:val="24"/>
          <w:szCs w:val="24"/>
          <w:lang w:val="en-US" w:eastAsia="zh-CN"/>
        </w:rPr>
        <w:t>，</w:t>
      </w:r>
      <w:r>
        <w:rPr>
          <w:rFonts w:hint="eastAsia" w:hAnsi="宋体" w:cs="宋体"/>
          <w:sz w:val="24"/>
          <w:szCs w:val="24"/>
        </w:rPr>
        <w:t>且具有有效的安全生产考核合格证，</w:t>
      </w:r>
      <w:r>
        <w:rPr>
          <w:rFonts w:hint="eastAsia" w:hAnsi="宋体" w:cs="宋体"/>
          <w:sz w:val="24"/>
          <w:szCs w:val="24"/>
          <w:lang w:val="en-US" w:eastAsia="zh-CN"/>
        </w:rPr>
        <w:t>并</w:t>
      </w:r>
      <w:r>
        <w:rPr>
          <w:rFonts w:hint="eastAsia" w:hAnsi="宋体" w:cs="宋体"/>
          <w:sz w:val="24"/>
          <w:szCs w:val="24"/>
        </w:rPr>
        <w:t>未承担其他在施建设工程</w:t>
      </w:r>
      <w:r>
        <w:rPr>
          <w:rFonts w:hint="eastAsia" w:hAnsi="宋体" w:cs="宋体"/>
          <w:sz w:val="24"/>
          <w:szCs w:val="24"/>
          <w:lang w:val="en-US" w:eastAsia="zh-CN"/>
        </w:rPr>
        <w:t>项目</w:t>
      </w:r>
      <w:r>
        <w:rPr>
          <w:rFonts w:hint="eastAsia" w:hAnsi="宋体" w:cs="宋体"/>
          <w:sz w:val="24"/>
          <w:szCs w:val="24"/>
        </w:rPr>
        <w:t>的</w:t>
      </w:r>
      <w:r>
        <w:rPr>
          <w:rFonts w:hint="eastAsia" w:hAnsi="宋体" w:cs="宋体"/>
          <w:sz w:val="24"/>
          <w:szCs w:val="24"/>
          <w:lang w:eastAsia="zh-CN"/>
        </w:rPr>
        <w:t>项目负责人</w:t>
      </w:r>
      <w:r>
        <w:rPr>
          <w:rFonts w:hint="eastAsia" w:hAnsi="宋体" w:cs="宋体"/>
          <w:sz w:val="24"/>
          <w:szCs w:val="24"/>
        </w:rPr>
        <w:t>。</w:t>
      </w:r>
    </w:p>
    <w:p>
      <w:pPr>
        <w:autoSpaceDE w:val="0"/>
        <w:autoSpaceDN w:val="0"/>
        <w:adjustRightInd w:val="0"/>
        <w:spacing w:line="420" w:lineRule="exact"/>
        <w:ind w:firstLine="480" w:firstLineChars="200"/>
        <w:jc w:val="left"/>
        <w:outlineLvl w:val="0"/>
        <w:rPr>
          <w:rFonts w:hint="eastAsia" w:hAnsi="宋体" w:cs="宋体"/>
          <w:sz w:val="24"/>
          <w:szCs w:val="24"/>
          <w:lang w:val="en-US" w:eastAsia="zh-CN"/>
        </w:rPr>
      </w:pPr>
      <w:r>
        <w:rPr>
          <w:rFonts w:hint="eastAsia" w:hAnsi="宋体" w:cs="宋体"/>
          <w:sz w:val="24"/>
          <w:szCs w:val="24"/>
          <w:lang w:val="en-US" w:eastAsia="zh-CN"/>
        </w:rPr>
        <w:t>3、不接受被“信用中国”和“信用河南”网站信用信息栏列入黑名单，以及被“国家企业信用信息公示系统”列入经营异常名录或严重失信黑名单的投标人投标。</w:t>
      </w:r>
    </w:p>
    <w:p>
      <w:pPr>
        <w:autoSpaceDE w:val="0"/>
        <w:autoSpaceDN w:val="0"/>
        <w:adjustRightInd w:val="0"/>
        <w:spacing w:line="420" w:lineRule="exact"/>
        <w:ind w:firstLine="480" w:firstLineChars="200"/>
        <w:jc w:val="left"/>
        <w:outlineLvl w:val="0"/>
        <w:rPr>
          <w:rFonts w:hint="eastAsia" w:hAnsi="宋体" w:cs="宋体"/>
          <w:sz w:val="24"/>
          <w:szCs w:val="24"/>
          <w:lang w:val="en-US" w:eastAsia="zh-CN"/>
        </w:rPr>
      </w:pPr>
      <w:r>
        <w:rPr>
          <w:rFonts w:hint="eastAsia" w:hAnsi="宋体" w:cs="宋体"/>
          <w:sz w:val="24"/>
          <w:szCs w:val="24"/>
          <w:lang w:val="en-US" w:eastAsia="zh-CN"/>
        </w:rPr>
        <w:t>4、不接受联合体投标。</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5、本次招标实行资格后审。</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lang w:val="en-US" w:eastAsia="zh-CN"/>
        </w:rPr>
        <w:t>1</w:t>
      </w:r>
      <w:r>
        <w:rPr>
          <w:rFonts w:hint="eastAsia" w:hAnsi="宋体" w:cs="宋体"/>
          <w:sz w:val="24"/>
          <w:szCs w:val="24"/>
        </w:rPr>
        <w:t>、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lang w:val="en-US" w:eastAsia="zh-CN"/>
        </w:rPr>
        <w:t>2</w:t>
      </w:r>
      <w:r>
        <w:rPr>
          <w:rFonts w:hint="eastAsia" w:hAnsi="宋体" w:cs="宋体"/>
          <w:sz w:val="24"/>
          <w:szCs w:val="24"/>
        </w:rPr>
        <w:t>、在投标截止时间前均可登录【全国公共资源交易平台（河南省·许昌市）】“投标人/供应商登录”入口（http://221.14.6.70:8088/ggzy/）自行下载招标文件等（详见“常见问题解答-交易系统操作手册”）。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hAnsi="宋体"/>
          <w:b/>
          <w:sz w:val="24"/>
        </w:rPr>
      </w:pPr>
      <w:r>
        <w:rPr>
          <w:rFonts w:hint="eastAsia" w:hAnsi="宋体" w:cs="宋体"/>
          <w:b/>
          <w:bCs/>
          <w:sz w:val="24"/>
          <w:szCs w:val="24"/>
        </w:rPr>
        <w:t xml:space="preserve">四、招标文件的获取  </w:t>
      </w:r>
    </w:p>
    <w:p>
      <w:pPr>
        <w:spacing w:line="440" w:lineRule="exact"/>
        <w:ind w:firstLine="480" w:firstLineChars="200"/>
        <w:jc w:val="left"/>
        <w:rPr>
          <w:rFonts w:hAnsi="宋体" w:cs="宋体"/>
          <w:sz w:val="24"/>
          <w:szCs w:val="24"/>
        </w:rPr>
      </w:pPr>
      <w:r>
        <w:rPr>
          <w:rFonts w:hint="eastAsia" w:hAnsi="宋体" w:cs="宋体"/>
          <w:sz w:val="24"/>
          <w:szCs w:val="24"/>
        </w:rPr>
        <w:t>4.1招标文件和工程量清单的获取：投标人于投标文件递交截止时间前均可登录《全国公共资源交易平台(河南省▪许昌市)》（</w:t>
      </w:r>
      <w:r>
        <w:rPr>
          <w:rFonts w:hint="eastAsia" w:hAnsi="宋体" w:cs="宋体"/>
          <w:sz w:val="24"/>
          <w:szCs w:val="24"/>
          <w:lang w:val="en-US" w:eastAsia="zh-CN"/>
        </w:rPr>
        <w:t>http://ggzy.xuchang.gov.cn/</w:t>
      </w:r>
      <w:r>
        <w:rPr>
          <w:rFonts w:hint="eastAsia" w:hAnsi="宋体" w:cs="宋体"/>
          <w:sz w:val="24"/>
          <w:szCs w:val="24"/>
        </w:rPr>
        <w:t>），通过“投标人/供应商登录” 入口自行下载。</w:t>
      </w:r>
    </w:p>
    <w:p>
      <w:pPr>
        <w:spacing w:line="440" w:lineRule="exact"/>
        <w:ind w:firstLine="480" w:firstLineChars="200"/>
        <w:jc w:val="left"/>
        <w:rPr>
          <w:rFonts w:hint="eastAsia" w:hAnsi="宋体" w:cs="宋体"/>
          <w:sz w:val="24"/>
          <w:szCs w:val="24"/>
          <w:lang w:val="en-US" w:eastAsia="zh-CN"/>
        </w:rPr>
      </w:pPr>
      <w:r>
        <w:rPr>
          <w:rFonts w:hint="eastAsia" w:hAnsi="宋体" w:cs="宋体"/>
          <w:sz w:val="24"/>
          <w:szCs w:val="24"/>
          <w:lang w:val="en-US" w:eastAsia="zh-CN"/>
        </w:rPr>
        <w:t xml:space="preserve">4.2图纸获取地址：链接：https://pan.baidu.com/s/16NfN77bCDbfiKr0TGUcpPg </w:t>
      </w:r>
    </w:p>
    <w:p>
      <w:pPr>
        <w:spacing w:line="440" w:lineRule="exact"/>
        <w:ind w:firstLine="480" w:firstLineChars="200"/>
        <w:jc w:val="left"/>
        <w:rPr>
          <w:rFonts w:hint="eastAsia" w:hAnsi="宋体" w:cs="宋体"/>
          <w:sz w:val="24"/>
          <w:szCs w:val="24"/>
          <w:lang w:val="en-US" w:eastAsia="zh-CN"/>
        </w:rPr>
      </w:pPr>
      <w:r>
        <w:rPr>
          <w:rFonts w:hint="eastAsia" w:hAnsi="宋体" w:cs="宋体"/>
          <w:sz w:val="24"/>
          <w:szCs w:val="24"/>
          <w:lang w:val="en-US" w:eastAsia="zh-CN"/>
        </w:rPr>
        <w:t xml:space="preserve">提取码：wqfx </w:t>
      </w:r>
    </w:p>
    <w:p>
      <w:pPr>
        <w:spacing w:line="440" w:lineRule="exact"/>
        <w:ind w:firstLine="480" w:firstLineChars="200"/>
        <w:jc w:val="left"/>
        <w:rPr>
          <w:rFonts w:hAnsi="宋体" w:cs="宋体"/>
          <w:sz w:val="24"/>
          <w:szCs w:val="24"/>
        </w:rPr>
      </w:pPr>
      <w:r>
        <w:rPr>
          <w:rFonts w:hint="eastAsia" w:hAnsi="宋体" w:cs="宋体"/>
          <w:sz w:val="24"/>
          <w:szCs w:val="24"/>
        </w:rPr>
        <w:t>4.</w:t>
      </w:r>
      <w:r>
        <w:rPr>
          <w:rFonts w:hint="eastAsia" w:hAnsi="宋体" w:cs="宋体"/>
          <w:sz w:val="24"/>
          <w:szCs w:val="24"/>
          <w:lang w:val="en-US" w:eastAsia="zh-CN"/>
        </w:rPr>
        <w:t>3</w:t>
      </w:r>
      <w:r>
        <w:rPr>
          <w:rFonts w:hint="eastAsia" w:hAnsi="宋体" w:cs="宋体"/>
          <w:sz w:val="24"/>
          <w:szCs w:val="24"/>
        </w:rPr>
        <w:t>招标文件每套售价300元，于递交投标文件时缴纳给招标代理机构，售后不退。</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五、投标文件的递交</w:t>
      </w:r>
    </w:p>
    <w:p>
      <w:pPr>
        <w:spacing w:line="440" w:lineRule="exact"/>
        <w:ind w:firstLine="480" w:firstLineChars="200"/>
        <w:jc w:val="left"/>
        <w:rPr>
          <w:rFonts w:hAnsi="宋体" w:cs="宋体"/>
          <w:sz w:val="24"/>
          <w:szCs w:val="24"/>
        </w:rPr>
      </w:pPr>
      <w:r>
        <w:rPr>
          <w:rFonts w:hint="eastAsia" w:hAnsi="宋体" w:cs="宋体"/>
          <w:sz w:val="24"/>
          <w:szCs w:val="24"/>
        </w:rPr>
        <w:t>5.1 本项目为全流程电子化交易项目，须提交电子投标文件和纸质投标文件（正本1份、副本1份）。</w:t>
      </w:r>
    </w:p>
    <w:p>
      <w:pPr>
        <w:spacing w:line="440" w:lineRule="exact"/>
        <w:ind w:firstLine="480" w:firstLineChars="200"/>
        <w:jc w:val="left"/>
        <w:rPr>
          <w:rFonts w:hint="eastAsia" w:hAnsi="宋体" w:cs="宋体"/>
          <w:sz w:val="24"/>
          <w:szCs w:val="24"/>
        </w:rPr>
      </w:pPr>
      <w:r>
        <w:rPr>
          <w:rFonts w:hint="eastAsia" w:hAnsi="宋体" w:cs="宋体"/>
          <w:sz w:val="24"/>
          <w:szCs w:val="24"/>
        </w:rPr>
        <w:t>5.2 投标文件提交的截止时间及开标时间：201</w:t>
      </w:r>
      <w:r>
        <w:rPr>
          <w:rFonts w:hint="eastAsia" w:hAnsi="宋体" w:cs="宋体"/>
          <w:sz w:val="24"/>
          <w:szCs w:val="24"/>
          <w:lang w:val="en-US" w:eastAsia="zh-CN"/>
        </w:rPr>
        <w:t>9</w:t>
      </w:r>
      <w:r>
        <w:rPr>
          <w:rFonts w:hint="eastAsia" w:hAnsi="宋体" w:cs="宋体"/>
          <w:sz w:val="24"/>
          <w:szCs w:val="24"/>
        </w:rPr>
        <w:t>年</w:t>
      </w:r>
      <w:r>
        <w:rPr>
          <w:rFonts w:hint="eastAsia" w:hAnsi="宋体" w:cs="宋体"/>
          <w:sz w:val="24"/>
          <w:szCs w:val="24"/>
          <w:lang w:val="en-US" w:eastAsia="zh-CN"/>
        </w:rPr>
        <w:t>8</w:t>
      </w:r>
      <w:r>
        <w:rPr>
          <w:rFonts w:hint="eastAsia" w:hAnsi="宋体" w:cs="宋体"/>
          <w:sz w:val="24"/>
          <w:szCs w:val="24"/>
        </w:rPr>
        <w:t>月</w:t>
      </w:r>
      <w:r>
        <w:rPr>
          <w:rFonts w:hint="eastAsia" w:hAnsi="宋体" w:cs="宋体"/>
          <w:sz w:val="24"/>
          <w:szCs w:val="24"/>
          <w:lang w:val="en-US" w:eastAsia="zh-CN"/>
        </w:rPr>
        <w:t>13</w:t>
      </w:r>
      <w:r>
        <w:rPr>
          <w:rFonts w:hint="eastAsia" w:hAnsi="宋体" w:cs="宋体"/>
          <w:sz w:val="24"/>
          <w:szCs w:val="24"/>
        </w:rPr>
        <w:t>日</w:t>
      </w:r>
      <w:r>
        <w:rPr>
          <w:rFonts w:hint="eastAsia" w:hAnsi="宋体" w:cs="宋体"/>
          <w:sz w:val="24"/>
          <w:szCs w:val="24"/>
          <w:lang w:val="en-US" w:eastAsia="zh-CN"/>
        </w:rPr>
        <w:t>9</w:t>
      </w:r>
      <w:r>
        <w:rPr>
          <w:rFonts w:hint="eastAsia" w:hAnsi="宋体" w:cs="宋体"/>
          <w:sz w:val="24"/>
          <w:szCs w:val="24"/>
        </w:rPr>
        <w:t>时30分。</w:t>
      </w:r>
    </w:p>
    <w:p>
      <w:pPr>
        <w:spacing w:line="440" w:lineRule="exact"/>
        <w:ind w:firstLine="480" w:firstLineChars="200"/>
        <w:jc w:val="left"/>
        <w:rPr>
          <w:rFonts w:hAnsi="宋体" w:cs="宋体"/>
          <w:sz w:val="24"/>
          <w:szCs w:val="24"/>
        </w:rPr>
      </w:pPr>
      <w:r>
        <w:rPr>
          <w:rFonts w:hint="eastAsia" w:hAnsi="宋体" w:cs="宋体"/>
          <w:sz w:val="24"/>
          <w:szCs w:val="24"/>
        </w:rPr>
        <w:t>5.3电子投标文件的提交：电子投标文件应在投标文件提交截止时间（开标时间）之前成功提交至《全国公共资源交易平台(河南省▪许昌市)》公共资源交易系统，并随纸质投标文件同时提交1份使用电子介质存储</w:t>
      </w:r>
      <w:r>
        <w:rPr>
          <w:rFonts w:hint="eastAsia" w:hAnsi="宋体" w:cs="宋体"/>
          <w:sz w:val="24"/>
          <w:szCs w:val="24"/>
          <w:lang w:eastAsia="zh-CN"/>
        </w:rPr>
        <w:t>（</w:t>
      </w:r>
      <w:r>
        <w:rPr>
          <w:rFonts w:hint="eastAsia" w:hAnsi="宋体" w:cs="宋体"/>
          <w:sz w:val="24"/>
          <w:szCs w:val="24"/>
          <w:lang w:val="en-US" w:eastAsia="zh-CN"/>
        </w:rPr>
        <w:t>U盘</w:t>
      </w:r>
      <w:r>
        <w:rPr>
          <w:rFonts w:hint="eastAsia" w:hAnsi="宋体" w:cs="宋体"/>
          <w:sz w:val="24"/>
          <w:szCs w:val="24"/>
          <w:lang w:eastAsia="zh-CN"/>
        </w:rPr>
        <w:t>）</w:t>
      </w:r>
      <w:r>
        <w:rPr>
          <w:rFonts w:hint="eastAsia" w:hAnsi="宋体" w:cs="宋体"/>
          <w:sz w:val="24"/>
          <w:szCs w:val="24"/>
        </w:rPr>
        <w:t>的备份文件。</w:t>
      </w:r>
    </w:p>
    <w:p>
      <w:pPr>
        <w:spacing w:line="440" w:lineRule="exact"/>
        <w:ind w:firstLine="480" w:firstLineChars="200"/>
        <w:jc w:val="left"/>
        <w:rPr>
          <w:rFonts w:hAnsi="宋体" w:cs="宋体"/>
          <w:sz w:val="24"/>
          <w:szCs w:val="24"/>
        </w:rPr>
      </w:pPr>
      <w:r>
        <w:rPr>
          <w:rFonts w:hint="eastAsia" w:hAnsi="宋体" w:cs="宋体"/>
          <w:sz w:val="24"/>
          <w:szCs w:val="24"/>
        </w:rPr>
        <w:t>5.4纸质投标文件提交地点：许昌市建安区新元大道兴业大厦4楼</w:t>
      </w:r>
      <w:r>
        <w:rPr>
          <w:rFonts w:hint="eastAsia" w:hAnsi="宋体" w:cs="宋体"/>
          <w:sz w:val="24"/>
          <w:szCs w:val="24"/>
          <w:lang w:val="en-US" w:eastAsia="zh-CN"/>
        </w:rPr>
        <w:t>开标一室</w:t>
      </w:r>
      <w:r>
        <w:rPr>
          <w:rFonts w:hint="eastAsia" w:hAnsi="宋体" w:cs="宋体"/>
          <w:sz w:val="24"/>
          <w:szCs w:val="24"/>
        </w:rPr>
        <w:t>。</w:t>
      </w:r>
    </w:p>
    <w:p>
      <w:pPr>
        <w:spacing w:line="440" w:lineRule="exact"/>
        <w:ind w:firstLine="480" w:firstLineChars="200"/>
        <w:jc w:val="left"/>
        <w:rPr>
          <w:rFonts w:hAnsi="宋体" w:cs="宋体"/>
          <w:sz w:val="24"/>
          <w:szCs w:val="24"/>
        </w:rPr>
      </w:pPr>
      <w:r>
        <w:rPr>
          <w:rFonts w:hint="eastAsia" w:hAnsi="宋体" w:cs="宋体"/>
          <w:sz w:val="24"/>
          <w:szCs w:val="24"/>
        </w:rPr>
        <w:t>5.5逾期送达的或者未送达指定地点的纸质投标文件、及仅提供纸质投标文件的，招标人不予受理。</w:t>
      </w:r>
    </w:p>
    <w:p>
      <w:pPr>
        <w:widowControl/>
        <w:spacing w:line="312" w:lineRule="auto"/>
        <w:rPr>
          <w:rFonts w:hAnsi="宋体"/>
          <w:b/>
          <w:sz w:val="24"/>
        </w:rPr>
      </w:pPr>
      <w:r>
        <w:rPr>
          <w:rFonts w:hint="eastAsia" w:hAnsi="宋体"/>
          <w:b/>
          <w:sz w:val="24"/>
        </w:rPr>
        <w:t>六、发布公告的媒介</w:t>
      </w:r>
    </w:p>
    <w:p>
      <w:pPr>
        <w:spacing w:line="440" w:lineRule="exact"/>
        <w:ind w:firstLine="480" w:firstLineChars="200"/>
        <w:jc w:val="left"/>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widowControl/>
        <w:spacing w:line="312" w:lineRule="auto"/>
        <w:rPr>
          <w:rFonts w:hAnsi="宋体"/>
          <w:b/>
          <w:sz w:val="24"/>
          <w:szCs w:val="22"/>
        </w:rPr>
      </w:pPr>
      <w:r>
        <w:rPr>
          <w:rFonts w:hint="eastAsia" w:hAnsi="宋体"/>
          <w:b/>
          <w:sz w:val="24"/>
          <w:szCs w:val="22"/>
        </w:rPr>
        <w:t>七、联系方式</w:t>
      </w:r>
    </w:p>
    <w:p>
      <w:pPr>
        <w:spacing w:line="440" w:lineRule="exact"/>
        <w:ind w:firstLine="480" w:firstLineChars="200"/>
        <w:jc w:val="left"/>
        <w:rPr>
          <w:rFonts w:hint="eastAsia" w:hAnsi="宋体" w:eastAsia="宋体" w:cs="宋体"/>
          <w:sz w:val="24"/>
          <w:szCs w:val="24"/>
          <w:lang w:eastAsia="zh-CN"/>
        </w:rPr>
      </w:pPr>
      <w:r>
        <w:rPr>
          <w:rFonts w:hint="eastAsia" w:hAnsi="宋体" w:cs="宋体"/>
          <w:sz w:val="24"/>
          <w:szCs w:val="24"/>
        </w:rPr>
        <w:t>招 标 人：</w:t>
      </w:r>
      <w:r>
        <w:rPr>
          <w:rFonts w:hint="eastAsia" w:hAnsi="宋体" w:cs="宋体"/>
          <w:sz w:val="24"/>
          <w:szCs w:val="24"/>
          <w:lang w:eastAsia="zh-CN"/>
        </w:rPr>
        <w:t>许昌市建安区灵井镇人民政府</w:t>
      </w:r>
    </w:p>
    <w:p>
      <w:pPr>
        <w:spacing w:line="440" w:lineRule="exact"/>
        <w:ind w:firstLine="480" w:firstLineChars="200"/>
        <w:jc w:val="left"/>
        <w:rPr>
          <w:rFonts w:hint="eastAsia" w:hAnsi="宋体" w:cs="宋体"/>
          <w:sz w:val="24"/>
          <w:szCs w:val="24"/>
          <w:lang w:eastAsia="zh-CN"/>
        </w:rPr>
      </w:pPr>
      <w:r>
        <w:rPr>
          <w:rFonts w:hint="eastAsia" w:hAnsi="宋体" w:cs="宋体"/>
          <w:sz w:val="24"/>
          <w:szCs w:val="24"/>
        </w:rPr>
        <w:t>项目</w:t>
      </w:r>
      <w:r>
        <w:rPr>
          <w:rFonts w:hint="eastAsia" w:hAnsi="宋体" w:cs="宋体"/>
          <w:sz w:val="24"/>
          <w:szCs w:val="24"/>
          <w:lang w:val="en-US" w:eastAsia="zh-CN"/>
        </w:rPr>
        <w:t>负责人</w:t>
      </w:r>
      <w:r>
        <w:rPr>
          <w:rFonts w:hint="eastAsia" w:hAnsi="宋体" w:cs="宋体"/>
          <w:sz w:val="24"/>
          <w:szCs w:val="24"/>
          <w:lang w:eastAsia="zh-CN"/>
        </w:rPr>
        <w:t>：薛建立</w:t>
      </w:r>
    </w:p>
    <w:p>
      <w:pPr>
        <w:spacing w:line="440" w:lineRule="exact"/>
        <w:ind w:firstLine="480" w:firstLineChars="200"/>
        <w:jc w:val="left"/>
        <w:rPr>
          <w:rFonts w:hint="eastAsia" w:hAnsi="宋体" w:cs="宋体"/>
          <w:sz w:val="24"/>
          <w:szCs w:val="24"/>
          <w:lang w:eastAsia="zh-CN"/>
        </w:rPr>
      </w:pPr>
      <w:r>
        <w:rPr>
          <w:rFonts w:hint="eastAsia" w:hAnsi="宋体" w:cs="宋体"/>
          <w:sz w:val="24"/>
          <w:szCs w:val="24"/>
          <w:lang w:eastAsia="zh-CN"/>
        </w:rPr>
        <w:t>电    话：13782336766</w:t>
      </w:r>
    </w:p>
    <w:p>
      <w:pPr>
        <w:spacing w:line="440" w:lineRule="exact"/>
        <w:ind w:firstLine="480" w:firstLineChars="200"/>
        <w:jc w:val="left"/>
        <w:rPr>
          <w:rFonts w:hAnsi="宋体" w:cs="宋体"/>
          <w:sz w:val="24"/>
          <w:szCs w:val="24"/>
        </w:rPr>
      </w:pPr>
      <w:r>
        <w:rPr>
          <w:rFonts w:hint="eastAsia" w:hAnsi="宋体" w:cs="宋体"/>
          <w:sz w:val="24"/>
          <w:szCs w:val="24"/>
        </w:rPr>
        <w:t>代理机构：河南天扬工程项目管理有限公司</w:t>
      </w:r>
    </w:p>
    <w:p>
      <w:pPr>
        <w:spacing w:line="440" w:lineRule="exact"/>
        <w:ind w:firstLine="480" w:firstLineChars="200"/>
        <w:jc w:val="left"/>
        <w:rPr>
          <w:rFonts w:hint="eastAsia" w:hAnsi="宋体" w:cs="宋体"/>
          <w:sz w:val="24"/>
          <w:szCs w:val="24"/>
          <w:lang w:val="en-US" w:eastAsia="zh-CN"/>
        </w:rPr>
      </w:pPr>
      <w:r>
        <w:rPr>
          <w:rFonts w:hint="eastAsia" w:hAnsi="宋体" w:cs="宋体"/>
          <w:sz w:val="24"/>
          <w:szCs w:val="24"/>
        </w:rPr>
        <w:t>项目</w:t>
      </w:r>
      <w:r>
        <w:rPr>
          <w:rFonts w:hint="eastAsia" w:hAnsi="宋体" w:cs="宋体"/>
          <w:sz w:val="24"/>
          <w:szCs w:val="24"/>
          <w:lang w:val="en-US" w:eastAsia="zh-CN"/>
        </w:rPr>
        <w:t>负责人</w:t>
      </w:r>
      <w:r>
        <w:rPr>
          <w:rFonts w:hint="eastAsia" w:hAnsi="宋体" w:cs="宋体"/>
          <w:sz w:val="24"/>
          <w:szCs w:val="24"/>
        </w:rPr>
        <w:t>：</w:t>
      </w:r>
      <w:r>
        <w:rPr>
          <w:rFonts w:hint="eastAsia" w:hAnsi="宋体" w:cs="宋体"/>
          <w:sz w:val="24"/>
          <w:szCs w:val="24"/>
          <w:lang w:val="en-US" w:eastAsia="zh-CN"/>
        </w:rPr>
        <w:t>刘 昕</w:t>
      </w:r>
    </w:p>
    <w:p>
      <w:pPr>
        <w:spacing w:line="440" w:lineRule="exact"/>
        <w:ind w:firstLine="480" w:firstLineChars="200"/>
        <w:jc w:val="left"/>
        <w:rPr>
          <w:rFonts w:hint="default" w:hAnsi="宋体" w:eastAsia="宋体" w:cs="宋体"/>
          <w:sz w:val="24"/>
          <w:szCs w:val="24"/>
          <w:lang w:val="en-US" w:eastAsia="zh-CN"/>
        </w:rPr>
      </w:pPr>
      <w:r>
        <w:rPr>
          <w:rFonts w:hint="eastAsia" w:hAnsi="宋体" w:cs="宋体"/>
          <w:sz w:val="24"/>
          <w:szCs w:val="24"/>
        </w:rPr>
        <w:t>电 </w:t>
      </w:r>
      <w:r>
        <w:rPr>
          <w:rFonts w:hint="eastAsia" w:hAnsi="宋体" w:cs="宋体"/>
          <w:sz w:val="24"/>
          <w:szCs w:val="24"/>
          <w:lang w:val="en-US" w:eastAsia="zh-CN"/>
        </w:rPr>
        <w:t xml:space="preserve"> </w:t>
      </w:r>
      <w:r>
        <w:rPr>
          <w:rFonts w:hint="eastAsia" w:hAnsi="宋体" w:cs="宋体"/>
          <w:sz w:val="24"/>
          <w:szCs w:val="24"/>
        </w:rPr>
        <w:t xml:space="preserve"> 话：</w:t>
      </w:r>
      <w:r>
        <w:rPr>
          <w:rFonts w:hint="eastAsia" w:hAnsi="宋体" w:cs="宋体"/>
          <w:sz w:val="24"/>
          <w:szCs w:val="24"/>
          <w:lang w:val="en-US" w:eastAsia="zh-CN"/>
        </w:rPr>
        <w:t>18337476877</w:t>
      </w:r>
    </w:p>
    <w:p>
      <w:pPr>
        <w:pStyle w:val="2"/>
        <w:spacing w:after="0" w:line="400" w:lineRule="exact"/>
        <w:ind w:left="0" w:leftChars="0" w:firstLine="0" w:firstLineChars="0"/>
        <w:rPr>
          <w:rFonts w:hAnsi="宋体" w:cs="宋体"/>
          <w:sz w:val="24"/>
          <w:szCs w:val="24"/>
        </w:rPr>
      </w:pPr>
    </w:p>
    <w:p>
      <w:pPr>
        <w:pStyle w:val="2"/>
        <w:ind w:firstLine="5520" w:firstLineChars="2300"/>
        <w:rPr>
          <w:rFonts w:hint="eastAsia" w:hAnsi="宋体" w:eastAsia="宋体" w:cs="宋体"/>
          <w:sz w:val="24"/>
          <w:szCs w:val="24"/>
          <w:lang w:eastAsia="zh-CN"/>
        </w:rPr>
      </w:pPr>
      <w:r>
        <w:rPr>
          <w:rFonts w:hint="eastAsia" w:hAnsi="宋体" w:cs="宋体"/>
          <w:sz w:val="24"/>
          <w:szCs w:val="24"/>
          <w:lang w:eastAsia="zh-CN"/>
        </w:rPr>
        <w:t>许昌市建安区灵井镇人民政府</w:t>
      </w:r>
    </w:p>
    <w:p>
      <w:pPr>
        <w:pStyle w:val="2"/>
        <w:ind w:firstLine="6720" w:firstLineChars="2800"/>
        <w:rPr>
          <w:rFonts w:hint="eastAsia" w:hAnsi="宋体"/>
          <w:b/>
          <w:sz w:val="28"/>
          <w:szCs w:val="21"/>
        </w:rPr>
      </w:pPr>
      <w:r>
        <w:rPr>
          <w:rFonts w:hint="eastAsia" w:hAnsi="宋体" w:cs="宋体"/>
          <w:sz w:val="24"/>
          <w:szCs w:val="24"/>
        </w:rPr>
        <w:t>201</w:t>
      </w:r>
      <w:r>
        <w:rPr>
          <w:rFonts w:hint="eastAsia" w:hAnsi="宋体" w:cs="宋体"/>
          <w:sz w:val="24"/>
          <w:szCs w:val="24"/>
          <w:lang w:val="en-US" w:eastAsia="zh-CN"/>
        </w:rPr>
        <w:t>9</w:t>
      </w:r>
      <w:r>
        <w:rPr>
          <w:rFonts w:hint="eastAsia" w:hAnsi="宋体" w:cs="宋体"/>
          <w:sz w:val="24"/>
          <w:szCs w:val="24"/>
        </w:rPr>
        <w:t>年</w:t>
      </w:r>
      <w:r>
        <w:rPr>
          <w:rFonts w:hint="eastAsia" w:hAnsi="宋体" w:cs="宋体"/>
          <w:sz w:val="24"/>
          <w:szCs w:val="24"/>
          <w:lang w:val="en-US" w:eastAsia="zh-CN"/>
        </w:rPr>
        <w:t>7</w:t>
      </w:r>
      <w:r>
        <w:rPr>
          <w:rFonts w:hint="eastAsia" w:hAnsi="宋体" w:cs="宋体"/>
          <w:sz w:val="24"/>
          <w:szCs w:val="24"/>
        </w:rPr>
        <w:t>月</w:t>
      </w:r>
      <w:r>
        <w:rPr>
          <w:rFonts w:hint="eastAsia" w:hAnsi="宋体" w:cs="宋体"/>
          <w:sz w:val="24"/>
          <w:szCs w:val="24"/>
          <w:lang w:val="en-US" w:eastAsia="zh-CN"/>
        </w:rPr>
        <w:t>19</w:t>
      </w:r>
      <w:r>
        <w:rPr>
          <w:rFonts w:hint="eastAsia" w:hAnsi="宋体" w:cs="宋体"/>
          <w:sz w:val="24"/>
          <w:szCs w:val="24"/>
        </w:rPr>
        <w:t xml:space="preserve">日 </w:t>
      </w: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4"/>
        </w:rPr>
      </w:pPr>
      <w:r>
        <w:rPr>
          <w:rFonts w:hint="eastAsia" w:hAnsi="宋体"/>
          <w:b/>
          <w:sz w:val="28"/>
          <w:szCs w:val="21"/>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w:t>
      </w:r>
      <w:r>
        <w:rPr>
          <w:rFonts w:hint="eastAsia" w:hAnsi="宋体" w:cs="宋体"/>
          <w:sz w:val="24"/>
          <w:szCs w:val="24"/>
          <w:lang w:val="en-US" w:eastAsia="zh-CN"/>
        </w:rPr>
        <w:t>1</w:t>
      </w:r>
      <w:r>
        <w:rPr>
          <w:rFonts w:hint="eastAsia" w:hAnsi="宋体" w:cs="宋体"/>
          <w:sz w:val="24"/>
          <w:szCs w:val="24"/>
        </w:rPr>
        <w:t>”，按招标文件要求制作电子投标文件。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color w:val="0000FF"/>
          <w:sz w:val="24"/>
        </w:rPr>
      </w:pPr>
    </w:p>
    <w:p>
      <w:pPr>
        <w:tabs>
          <w:tab w:val="left" w:pos="4140"/>
          <w:tab w:val="left" w:pos="4260"/>
        </w:tabs>
        <w:spacing w:line="360" w:lineRule="auto"/>
        <w:ind w:right="-578" w:rightChars="-170"/>
        <w:jc w:val="both"/>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29"/>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780"/>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185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7017" w:type="dxa"/>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1854"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7017" w:type="dxa"/>
            <w:vAlign w:val="center"/>
          </w:tcPr>
          <w:p>
            <w:pPr>
              <w:autoSpaceDE w:val="0"/>
              <w:autoSpaceDN w:val="0"/>
              <w:adjustRightInd w:val="0"/>
              <w:spacing w:line="320" w:lineRule="exact"/>
              <w:rPr>
                <w:rFonts w:hint="eastAsia" w:hAnsi="宋体" w:eastAsia="宋体"/>
                <w:sz w:val="24"/>
                <w:szCs w:val="22"/>
                <w:lang w:eastAsia="zh-CN"/>
              </w:rPr>
            </w:pPr>
            <w:r>
              <w:rPr>
                <w:rFonts w:hint="eastAsia" w:hAnsi="宋体"/>
                <w:sz w:val="24"/>
                <w:szCs w:val="22"/>
                <w:lang w:val="zh-CN"/>
              </w:rPr>
              <w:t>招 标 人：</w:t>
            </w:r>
            <w:r>
              <w:rPr>
                <w:rFonts w:hint="eastAsia" w:hAnsi="宋体" w:cs="宋体"/>
                <w:sz w:val="24"/>
                <w:szCs w:val="24"/>
                <w:lang w:eastAsia="zh-CN"/>
              </w:rPr>
              <w:t>许昌市建安区灵井镇人民政府</w:t>
            </w:r>
          </w:p>
          <w:p>
            <w:pPr>
              <w:autoSpaceDE w:val="0"/>
              <w:autoSpaceDN w:val="0"/>
              <w:adjustRightInd w:val="0"/>
              <w:spacing w:line="320" w:lineRule="exact"/>
              <w:rPr>
                <w:rFonts w:hAnsi="宋体"/>
                <w:sz w:val="24"/>
                <w:szCs w:val="22"/>
              </w:rPr>
            </w:pPr>
            <w:r>
              <w:rPr>
                <w:rFonts w:hint="eastAsia" w:hAnsi="宋体"/>
                <w:sz w:val="24"/>
                <w:szCs w:val="22"/>
              </w:rPr>
              <w:t>地    址：</w:t>
            </w:r>
            <w:r>
              <w:rPr>
                <w:rFonts w:hint="eastAsia" w:hAnsi="宋体" w:cs="宋体"/>
                <w:sz w:val="24"/>
                <w:szCs w:val="24"/>
              </w:rPr>
              <w:t>许昌市建安区</w:t>
            </w:r>
            <w:r>
              <w:rPr>
                <w:rFonts w:hint="eastAsia" w:hAnsi="宋体" w:cs="宋体"/>
                <w:sz w:val="24"/>
                <w:szCs w:val="24"/>
                <w:lang w:eastAsia="zh-CN"/>
              </w:rPr>
              <w:t>灵井镇</w:t>
            </w:r>
          </w:p>
          <w:p>
            <w:pPr>
              <w:autoSpaceDE w:val="0"/>
              <w:autoSpaceDN w:val="0"/>
              <w:adjustRightInd w:val="0"/>
              <w:spacing w:line="320" w:lineRule="exact"/>
              <w:rPr>
                <w:rFonts w:hint="eastAsia" w:hAnsi="宋体"/>
                <w:sz w:val="24"/>
                <w:szCs w:val="22"/>
                <w:lang w:eastAsia="zh-CN"/>
              </w:rPr>
            </w:pPr>
            <w:r>
              <w:rPr>
                <w:rFonts w:hint="eastAsia" w:hAnsi="宋体"/>
                <w:sz w:val="24"/>
                <w:szCs w:val="22"/>
              </w:rPr>
              <w:t>联 系 人：</w:t>
            </w:r>
            <w:r>
              <w:rPr>
                <w:rFonts w:hint="eastAsia" w:hAnsi="宋体"/>
                <w:sz w:val="24"/>
                <w:szCs w:val="22"/>
                <w:lang w:eastAsia="zh-CN"/>
              </w:rPr>
              <w:t>薛建立</w:t>
            </w:r>
          </w:p>
          <w:p>
            <w:pPr>
              <w:autoSpaceDE w:val="0"/>
              <w:autoSpaceDN w:val="0"/>
              <w:adjustRightInd w:val="0"/>
              <w:spacing w:line="320" w:lineRule="exact"/>
              <w:rPr>
                <w:rFonts w:hint="eastAsia" w:hAnsi="宋体" w:eastAsia="宋体"/>
                <w:bCs/>
                <w:sz w:val="24"/>
                <w:lang w:eastAsia="zh-CN"/>
              </w:rPr>
            </w:pPr>
            <w:r>
              <w:rPr>
                <w:rFonts w:hint="eastAsia" w:hAnsi="宋体"/>
                <w:sz w:val="24"/>
                <w:szCs w:val="22"/>
              </w:rPr>
              <w:t>联系电话：</w:t>
            </w:r>
            <w:r>
              <w:rPr>
                <w:rFonts w:hint="eastAsia" w:hAnsi="宋体"/>
                <w:sz w:val="24"/>
                <w:szCs w:val="22"/>
                <w:lang w:eastAsia="zh-CN"/>
              </w:rPr>
              <w:t>13782336766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1854"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7017" w:type="dxa"/>
            <w:vAlign w:val="center"/>
          </w:tcPr>
          <w:p>
            <w:pPr>
              <w:autoSpaceDE w:val="0"/>
              <w:autoSpaceDN w:val="0"/>
              <w:adjustRightInd w:val="0"/>
              <w:spacing w:line="320" w:lineRule="exact"/>
              <w:rPr>
                <w:rFonts w:hAnsi="宋体"/>
                <w:sz w:val="24"/>
              </w:rPr>
            </w:pPr>
            <w:r>
              <w:rPr>
                <w:rFonts w:hint="eastAsia" w:hAnsi="宋体"/>
                <w:sz w:val="24"/>
              </w:rPr>
              <w:t>代理机构：河南天扬工程项目管理有限公司</w:t>
            </w:r>
          </w:p>
          <w:p>
            <w:pPr>
              <w:autoSpaceDE w:val="0"/>
              <w:autoSpaceDN w:val="0"/>
              <w:adjustRightInd w:val="0"/>
              <w:spacing w:line="320" w:lineRule="exact"/>
              <w:rPr>
                <w:rFonts w:hint="default" w:hAnsi="宋体" w:eastAsia="宋体"/>
                <w:sz w:val="24"/>
                <w:lang w:val="en-US" w:eastAsia="zh-CN"/>
              </w:rPr>
            </w:pPr>
            <w:r>
              <w:rPr>
                <w:rFonts w:hint="eastAsia" w:hAnsi="宋体"/>
                <w:sz w:val="24"/>
              </w:rPr>
              <w:t>联 系 人：</w:t>
            </w:r>
            <w:r>
              <w:rPr>
                <w:rFonts w:hint="eastAsia" w:hAnsi="宋体"/>
                <w:sz w:val="24"/>
                <w:lang w:val="en-US" w:eastAsia="zh-CN"/>
              </w:rPr>
              <w:t>刘 昕</w:t>
            </w:r>
          </w:p>
          <w:p>
            <w:pPr>
              <w:autoSpaceDE w:val="0"/>
              <w:autoSpaceDN w:val="0"/>
              <w:adjustRightInd w:val="0"/>
              <w:spacing w:line="320" w:lineRule="exact"/>
              <w:rPr>
                <w:rFonts w:hint="default" w:hAnsi="宋体" w:eastAsia="宋体"/>
                <w:sz w:val="24"/>
                <w:lang w:val="en-US" w:eastAsia="zh-CN"/>
              </w:rPr>
            </w:pPr>
            <w:r>
              <w:rPr>
                <w:rFonts w:hint="eastAsia" w:hAnsi="宋体"/>
                <w:sz w:val="24"/>
              </w:rPr>
              <w:t>联系电话：</w:t>
            </w:r>
            <w:r>
              <w:rPr>
                <w:rFonts w:hint="eastAsia" w:hAnsi="宋体"/>
                <w:sz w:val="24"/>
                <w:lang w:val="en-US" w:eastAsia="zh-CN"/>
              </w:rPr>
              <w:t>18337476877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int="eastAsia" w:hAnsi="宋体" w:eastAsia="宋体" w:cs="黑体"/>
                <w:sz w:val="24"/>
                <w:lang w:val="en-US" w:eastAsia="zh-CN"/>
              </w:rPr>
            </w:pPr>
            <w:r>
              <w:rPr>
                <w:rFonts w:hAnsi="宋体" w:cs="TimesNewRomanPSMT"/>
                <w:sz w:val="24"/>
              </w:rPr>
              <w:t>1.1.</w:t>
            </w:r>
            <w:r>
              <w:rPr>
                <w:rFonts w:hint="eastAsia" w:hAnsi="宋体" w:cs="TimesNewRomanPSMT"/>
                <w:sz w:val="24"/>
                <w:lang w:val="en-US" w:eastAsia="zh-CN"/>
              </w:rPr>
              <w:t>3</w:t>
            </w:r>
          </w:p>
        </w:tc>
        <w:tc>
          <w:tcPr>
            <w:tcW w:w="1854" w:type="dxa"/>
            <w:gridSpan w:val="2"/>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7017" w:type="dxa"/>
            <w:vAlign w:val="center"/>
          </w:tcPr>
          <w:p>
            <w:pPr>
              <w:autoSpaceDE w:val="0"/>
              <w:autoSpaceDN w:val="0"/>
              <w:adjustRightInd w:val="0"/>
              <w:spacing w:line="320" w:lineRule="exact"/>
              <w:jc w:val="left"/>
              <w:rPr>
                <w:rFonts w:hint="default" w:hAnsi="宋体" w:eastAsia="宋体"/>
                <w:b/>
                <w:sz w:val="24"/>
                <w:lang w:val="en-US" w:eastAsia="zh-CN"/>
              </w:rPr>
            </w:pPr>
            <w:r>
              <w:rPr>
                <w:rFonts w:hint="eastAsia" w:hAnsi="宋体" w:cs="宋体"/>
                <w:sz w:val="24"/>
                <w:szCs w:val="24"/>
                <w:lang w:val="en-US" w:eastAsia="zh-CN"/>
              </w:rPr>
              <w:t>建安区灵井镇灵椹路（工业园区路段）改造工程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int="eastAsia" w:hAnsi="宋体" w:eastAsia="宋体" w:cs="黑体"/>
                <w:sz w:val="24"/>
                <w:lang w:val="en-US" w:eastAsia="zh-CN"/>
              </w:rPr>
            </w:pPr>
            <w:r>
              <w:rPr>
                <w:rFonts w:hAnsi="宋体" w:cs="TimesNewRomanPSMT"/>
                <w:sz w:val="24"/>
              </w:rPr>
              <w:t>1.1.</w:t>
            </w:r>
            <w:r>
              <w:rPr>
                <w:rFonts w:hint="eastAsia" w:hAnsi="宋体" w:cs="TimesNewRomanPSMT"/>
                <w:sz w:val="24"/>
                <w:lang w:val="en-US" w:eastAsia="zh-CN"/>
              </w:rPr>
              <w:t>4</w:t>
            </w:r>
          </w:p>
        </w:tc>
        <w:tc>
          <w:tcPr>
            <w:tcW w:w="1854" w:type="dxa"/>
            <w:gridSpan w:val="2"/>
            <w:vAlign w:val="center"/>
          </w:tcPr>
          <w:p>
            <w:pPr>
              <w:autoSpaceDE w:val="0"/>
              <w:autoSpaceDN w:val="0"/>
              <w:adjustRightInd w:val="0"/>
              <w:spacing w:line="320" w:lineRule="exact"/>
              <w:jc w:val="center"/>
              <w:rPr>
                <w:rFonts w:hint="eastAsia" w:hAnsi="宋体" w:cs="宋体"/>
                <w:sz w:val="24"/>
                <w:szCs w:val="24"/>
                <w:lang w:val="en-US" w:eastAsia="zh-CN"/>
              </w:rPr>
            </w:pPr>
            <w:r>
              <w:rPr>
                <w:rFonts w:hint="eastAsia" w:hAnsi="宋体" w:cs="宋体"/>
                <w:sz w:val="24"/>
                <w:szCs w:val="24"/>
                <w:lang w:val="en-US" w:eastAsia="zh-CN"/>
              </w:rPr>
              <w:t>建设地点</w:t>
            </w:r>
          </w:p>
        </w:tc>
        <w:tc>
          <w:tcPr>
            <w:tcW w:w="7017" w:type="dxa"/>
            <w:vAlign w:val="center"/>
          </w:tcPr>
          <w:p>
            <w:pPr>
              <w:autoSpaceDE w:val="0"/>
              <w:autoSpaceDN w:val="0"/>
              <w:adjustRightInd w:val="0"/>
              <w:spacing w:line="320" w:lineRule="exact"/>
              <w:jc w:val="left"/>
              <w:rPr>
                <w:rFonts w:hint="eastAsia" w:hAnsi="宋体" w:cs="宋体"/>
                <w:sz w:val="24"/>
                <w:szCs w:val="24"/>
                <w:lang w:val="en-US" w:eastAsia="zh-CN"/>
              </w:rPr>
            </w:pPr>
            <w:r>
              <w:rPr>
                <w:rFonts w:hint="eastAsia" w:hAnsi="宋体" w:cs="宋体"/>
                <w:sz w:val="24"/>
                <w:szCs w:val="24"/>
                <w:lang w:val="en-US" w:eastAsia="zh-CN"/>
              </w:rPr>
              <w:t>许昌市建安区灵井镇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1854"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1854"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1854"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1854"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7017" w:type="dxa"/>
            <w:tcBorders>
              <w:bottom w:val="single" w:color="auto" w:sz="4" w:space="0"/>
            </w:tcBorders>
          </w:tcPr>
          <w:p>
            <w:pPr>
              <w:autoSpaceDE w:val="0"/>
              <w:autoSpaceDN w:val="0"/>
              <w:adjustRightInd w:val="0"/>
              <w:spacing w:line="320" w:lineRule="exact"/>
            </w:pPr>
            <w:r>
              <w:rPr>
                <w:rFonts w:hint="eastAsia" w:hAnsi="宋体"/>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1854" w:type="dxa"/>
            <w:gridSpan w:val="2"/>
            <w:tcBorders>
              <w:right w:val="single" w:color="auto" w:sz="4" w:space="0"/>
            </w:tcBorders>
            <w:vAlign w:val="center"/>
          </w:tcPr>
          <w:p>
            <w:pPr>
              <w:autoSpaceDE w:val="0"/>
              <w:autoSpaceDN w:val="0"/>
              <w:adjustRightInd w:val="0"/>
              <w:spacing w:line="320" w:lineRule="exact"/>
              <w:jc w:val="center"/>
              <w:rPr>
                <w:rFonts w:hint="eastAsia" w:hAnsi="宋体" w:cs="仿宋_GB2312"/>
                <w:sz w:val="24"/>
                <w:szCs w:val="22"/>
              </w:rPr>
            </w:pPr>
            <w:r>
              <w:rPr>
                <w:rFonts w:hint="eastAsia" w:hAnsi="宋体" w:cs="仿宋_GB2312"/>
                <w:sz w:val="24"/>
                <w:szCs w:val="22"/>
              </w:rPr>
              <w:t>计划工期</w:t>
            </w:r>
          </w:p>
        </w:tc>
        <w:tc>
          <w:tcPr>
            <w:tcW w:w="70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both"/>
              <w:rPr>
                <w:rFonts w:hint="eastAsia" w:hAnsi="宋体" w:cs="仿宋_GB2312"/>
                <w:sz w:val="24"/>
                <w:szCs w:val="22"/>
              </w:rPr>
            </w:pPr>
            <w:r>
              <w:rPr>
                <w:rFonts w:hint="eastAsia" w:hAnsi="宋体" w:cs="仿宋_GB2312"/>
                <w:sz w:val="24"/>
                <w:szCs w:val="22"/>
                <w:lang w:val="en-US" w:eastAsia="zh-CN"/>
              </w:rPr>
              <w:t>20</w:t>
            </w:r>
            <w:r>
              <w:rPr>
                <w:rFonts w:hint="eastAsia" w:hAnsi="宋体" w:cs="仿宋_GB2312"/>
                <w:sz w:val="24"/>
                <w:szCs w:val="22"/>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1854"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7017" w:type="dxa"/>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1854" w:type="dxa"/>
            <w:gridSpan w:val="2"/>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7017" w:type="dxa"/>
          </w:tcPr>
          <w:p>
            <w:pPr>
              <w:autoSpaceDE w:val="0"/>
              <w:autoSpaceDN w:val="0"/>
              <w:adjustRightInd w:val="0"/>
              <w:spacing w:line="420" w:lineRule="exact"/>
              <w:jc w:val="left"/>
              <w:outlineLvl w:val="0"/>
              <w:rPr>
                <w:rFonts w:hint="eastAsia" w:hAnsi="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kern w:val="0"/>
                <w:sz w:val="24"/>
                <w:szCs w:val="24"/>
                <w:lang w:val="en-US" w:eastAsia="zh-CN"/>
                <w14:textFill>
                  <w14:solidFill>
                    <w14:schemeClr w14:val="tx1"/>
                  </w14:solidFill>
                </w14:textFill>
              </w:rPr>
              <w:t>投标人</w:t>
            </w:r>
            <w:r>
              <w:rPr>
                <w:rFonts w:hint="eastAsia" w:ascii="宋体" w:hAnsi="宋体" w:cs="宋体"/>
                <w:color w:val="000000" w:themeColor="text1"/>
                <w:kern w:val="0"/>
                <w:sz w:val="24"/>
                <w:szCs w:val="24"/>
                <w14:textFill>
                  <w14:solidFill>
                    <w14:schemeClr w14:val="tx1"/>
                  </w14:solidFill>
                </w14:textFill>
              </w:rPr>
              <w:t>须具备独立的法人资格；须具备建设行政主管部门颁发的市政公用工程施工总承包</w:t>
            </w:r>
            <w:r>
              <w:rPr>
                <w:rFonts w:hint="eastAsia" w:hAnsi="宋体" w:cs="宋体"/>
                <w:color w:val="000000" w:themeColor="text1"/>
                <w:kern w:val="0"/>
                <w:sz w:val="24"/>
                <w:szCs w:val="24"/>
                <w:lang w:val="en-US" w:eastAsia="zh-CN"/>
                <w14:textFill>
                  <w14:solidFill>
                    <w14:schemeClr w14:val="tx1"/>
                  </w14:solidFill>
                </w14:textFill>
              </w:rPr>
              <w:t>叁</w:t>
            </w:r>
            <w:r>
              <w:rPr>
                <w:rFonts w:hint="eastAsia" w:ascii="宋体" w:hAnsi="宋体" w:cs="宋体"/>
                <w:color w:val="000000" w:themeColor="text1"/>
                <w:kern w:val="0"/>
                <w:sz w:val="24"/>
                <w:szCs w:val="24"/>
                <w14:textFill>
                  <w14:solidFill>
                    <w14:schemeClr w14:val="tx1"/>
                  </w14:solidFill>
                </w14:textFill>
              </w:rPr>
              <w:t>级及以上资质，且具备有效的安全生产许可证</w:t>
            </w:r>
            <w:r>
              <w:rPr>
                <w:rFonts w:hint="eastAsia" w:ascii="宋体" w:hAnsi="宋体" w:cs="宋体"/>
                <w:color w:val="000000" w:themeColor="text1"/>
                <w:kern w:val="0"/>
                <w:sz w:val="24"/>
                <w:szCs w:val="24"/>
                <w:lang w:eastAsia="zh-CN"/>
                <w14:textFill>
                  <w14:solidFill>
                    <w14:schemeClr w14:val="tx1"/>
                  </w14:solidFill>
                </w14:textFill>
              </w:rPr>
              <w:t>。</w:t>
            </w:r>
          </w:p>
          <w:p>
            <w:pPr>
              <w:autoSpaceDE w:val="0"/>
              <w:autoSpaceDN w:val="0"/>
              <w:adjustRightInd w:val="0"/>
              <w:spacing w:line="420" w:lineRule="exact"/>
              <w:jc w:val="left"/>
              <w:outlineLvl w:val="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2、拟派</w:t>
            </w:r>
            <w:r>
              <w:rPr>
                <w:rFonts w:hint="eastAsia" w:hAnsi="宋体" w:cs="宋体"/>
                <w:color w:val="000000" w:themeColor="text1"/>
                <w:sz w:val="24"/>
                <w:szCs w:val="24"/>
                <w:highlight w:val="none"/>
                <w:lang w:eastAsia="zh-CN"/>
                <w14:textFill>
                  <w14:solidFill>
                    <w14:schemeClr w14:val="tx1"/>
                  </w14:solidFill>
                </w14:textFill>
              </w:rPr>
              <w:t>项目负责人</w:t>
            </w:r>
            <w:r>
              <w:rPr>
                <w:rFonts w:hint="eastAsia" w:hAnsi="宋体" w:cs="宋体"/>
                <w:color w:val="000000" w:themeColor="text1"/>
                <w:sz w:val="24"/>
                <w:szCs w:val="24"/>
                <w:highlight w:val="none"/>
                <w14:textFill>
                  <w14:solidFill>
                    <w14:schemeClr w14:val="tx1"/>
                  </w14:solidFill>
                </w14:textFill>
              </w:rPr>
              <w:t>须具备</w:t>
            </w:r>
            <w:r>
              <w:rPr>
                <w:rFonts w:hint="eastAsia" w:hAnsi="宋体" w:cs="宋体"/>
                <w:color w:val="000000" w:themeColor="text1"/>
                <w:sz w:val="24"/>
                <w:szCs w:val="24"/>
                <w:highlight w:val="none"/>
                <w:lang w:val="en-US" w:eastAsia="zh-CN"/>
                <w14:textFill>
                  <w14:solidFill>
                    <w14:schemeClr w14:val="tx1"/>
                  </w14:solidFill>
                </w14:textFill>
              </w:rPr>
              <w:t>市政公用</w:t>
            </w:r>
            <w:r>
              <w:rPr>
                <w:rFonts w:hint="eastAsia" w:hAnsi="宋体" w:cs="宋体"/>
                <w:color w:val="000000" w:themeColor="text1"/>
                <w:sz w:val="24"/>
                <w:szCs w:val="24"/>
                <w:highlight w:val="none"/>
                <w14:textFill>
                  <w14:solidFill>
                    <w14:schemeClr w14:val="tx1"/>
                  </w14:solidFill>
                </w14:textFill>
              </w:rPr>
              <w:t>工程专业</w:t>
            </w:r>
            <w:r>
              <w:rPr>
                <w:rFonts w:hint="eastAsia" w:hAnsi="宋体" w:cs="宋体"/>
                <w:color w:val="000000" w:themeColor="text1"/>
                <w:sz w:val="24"/>
                <w:szCs w:val="24"/>
                <w:highlight w:val="none"/>
                <w:lang w:val="en-US" w:eastAsia="zh-CN"/>
                <w14:textFill>
                  <w14:solidFill>
                    <w14:schemeClr w14:val="tx1"/>
                  </w14:solidFill>
                </w14:textFill>
              </w:rPr>
              <w:t>贰</w:t>
            </w:r>
            <w:r>
              <w:rPr>
                <w:rFonts w:hint="eastAsia" w:hAnsi="宋体" w:cs="宋体"/>
                <w:color w:val="000000" w:themeColor="text1"/>
                <w:sz w:val="24"/>
                <w:szCs w:val="24"/>
                <w:highlight w:val="none"/>
                <w14:textFill>
                  <w14:solidFill>
                    <w14:schemeClr w14:val="tx1"/>
                  </w14:solidFill>
                </w14:textFill>
              </w:rPr>
              <w:t>级</w:t>
            </w:r>
            <w:r>
              <w:rPr>
                <w:rFonts w:hint="eastAsia" w:hAnsi="宋体" w:cs="宋体"/>
                <w:color w:val="000000" w:themeColor="text1"/>
                <w:sz w:val="24"/>
                <w:szCs w:val="24"/>
                <w:highlight w:val="none"/>
                <w:lang w:val="en-US" w:eastAsia="zh-CN"/>
                <w14:textFill>
                  <w14:solidFill>
                    <w14:schemeClr w14:val="tx1"/>
                  </w14:solidFill>
                </w14:textFill>
              </w:rPr>
              <w:t>及以上</w:t>
            </w:r>
            <w:r>
              <w:rPr>
                <w:rFonts w:hint="eastAsia" w:hAnsi="宋体" w:cs="宋体"/>
                <w:color w:val="000000" w:themeColor="text1"/>
                <w:sz w:val="24"/>
                <w:szCs w:val="24"/>
                <w:highlight w:val="none"/>
                <w14:textFill>
                  <w14:solidFill>
                    <w14:schemeClr w14:val="tx1"/>
                  </w14:solidFill>
                </w14:textFill>
              </w:rPr>
              <w:t>注册建造师资格，且具有有效的安全生产考核合格证，</w:t>
            </w:r>
            <w:r>
              <w:rPr>
                <w:rFonts w:hint="eastAsia" w:hAnsi="宋体" w:cs="宋体"/>
                <w:color w:val="000000" w:themeColor="text1"/>
                <w:sz w:val="24"/>
                <w:szCs w:val="24"/>
                <w:highlight w:val="none"/>
                <w:lang w:val="en-US" w:eastAsia="zh-CN"/>
                <w14:textFill>
                  <w14:solidFill>
                    <w14:schemeClr w14:val="tx1"/>
                  </w14:solidFill>
                </w14:textFill>
              </w:rPr>
              <w:t>并</w:t>
            </w:r>
            <w:r>
              <w:rPr>
                <w:rFonts w:hint="eastAsia" w:hAnsi="宋体" w:cs="宋体"/>
                <w:color w:val="000000" w:themeColor="text1"/>
                <w:sz w:val="24"/>
                <w:szCs w:val="24"/>
                <w:highlight w:val="none"/>
                <w14:textFill>
                  <w14:solidFill>
                    <w14:schemeClr w14:val="tx1"/>
                  </w14:solidFill>
                </w14:textFill>
              </w:rPr>
              <w:t>未承担其他在施建设工程</w:t>
            </w:r>
            <w:r>
              <w:rPr>
                <w:rFonts w:hint="eastAsia" w:hAnsi="宋体" w:cs="宋体"/>
                <w:color w:val="000000" w:themeColor="text1"/>
                <w:sz w:val="24"/>
                <w:szCs w:val="24"/>
                <w:highlight w:val="none"/>
                <w:lang w:val="en-US" w:eastAsia="zh-CN"/>
                <w14:textFill>
                  <w14:solidFill>
                    <w14:schemeClr w14:val="tx1"/>
                  </w14:solidFill>
                </w14:textFill>
              </w:rPr>
              <w:t>项目</w:t>
            </w:r>
            <w:r>
              <w:rPr>
                <w:rFonts w:hint="eastAsia" w:hAnsi="宋体" w:cs="宋体"/>
                <w:color w:val="000000" w:themeColor="text1"/>
                <w:sz w:val="24"/>
                <w:szCs w:val="24"/>
                <w:highlight w:val="none"/>
                <w14:textFill>
                  <w14:solidFill>
                    <w14:schemeClr w14:val="tx1"/>
                  </w14:solidFill>
                </w14:textFill>
              </w:rPr>
              <w:t>的</w:t>
            </w:r>
            <w:r>
              <w:rPr>
                <w:rFonts w:hint="eastAsia" w:hAnsi="宋体" w:cs="宋体"/>
                <w:color w:val="000000" w:themeColor="text1"/>
                <w:sz w:val="24"/>
                <w:szCs w:val="24"/>
                <w:highlight w:val="none"/>
                <w:lang w:eastAsia="zh-CN"/>
                <w14:textFill>
                  <w14:solidFill>
                    <w14:schemeClr w14:val="tx1"/>
                  </w14:solidFill>
                </w14:textFill>
              </w:rPr>
              <w:t>项目负责人</w:t>
            </w:r>
            <w:r>
              <w:rPr>
                <w:rFonts w:hint="eastAsia" w:hAnsi="宋体" w:cs="宋体"/>
                <w:color w:val="000000" w:themeColor="text1"/>
                <w:sz w:val="24"/>
                <w:szCs w:val="24"/>
                <w:highlight w:val="none"/>
                <w14:textFill>
                  <w14:solidFill>
                    <w14:schemeClr w14:val="tx1"/>
                  </w14:solidFill>
                </w14:textFill>
              </w:rPr>
              <w:t>。</w:t>
            </w:r>
          </w:p>
          <w:p>
            <w:pPr>
              <w:autoSpaceDE w:val="0"/>
              <w:autoSpaceDN w:val="0"/>
              <w:adjustRightInd w:val="0"/>
              <w:spacing w:line="420" w:lineRule="exact"/>
              <w:jc w:val="left"/>
              <w:outlineLvl w:val="0"/>
              <w:rPr>
                <w:rFonts w:hint="eastAsia" w:hAnsi="宋体" w:cs="仿宋_GB2312"/>
                <w:color w:val="auto"/>
                <w:kern w:val="2"/>
                <w:sz w:val="24"/>
                <w:szCs w:val="24"/>
                <w:highlight w:val="none"/>
                <w:shd w:val="clear" w:color="auto" w:fill="FFFFFF"/>
                <w:lang w:val="en-US" w:eastAsia="zh-CN" w:bidi="ar-SA"/>
              </w:rPr>
            </w:pPr>
            <w:r>
              <w:rPr>
                <w:rFonts w:hint="eastAsia" w:hAnsi="宋体" w:cs="宋体"/>
                <w:color w:val="000000" w:themeColor="text1"/>
                <w:sz w:val="24"/>
                <w:szCs w:val="24"/>
                <w:highlight w:val="none"/>
                <w14:textFill>
                  <w14:solidFill>
                    <w14:schemeClr w14:val="tx1"/>
                  </w14:solidFill>
                </w14:textFill>
              </w:rPr>
              <w:t>3、</w:t>
            </w:r>
            <w:r>
              <w:rPr>
                <w:rFonts w:hint="eastAsia" w:hAnsi="宋体" w:cs="仿宋_GB2312"/>
                <w:color w:val="000000" w:themeColor="text1"/>
                <w:kern w:val="2"/>
                <w:sz w:val="24"/>
                <w:szCs w:val="24"/>
                <w:highlight w:val="none"/>
                <w:shd w:val="clear" w:color="auto" w:fill="FFFFFF"/>
                <w:lang w:val="en-US" w:eastAsia="zh-CN" w:bidi="ar-SA"/>
                <w14:textFill>
                  <w14:solidFill>
                    <w14:schemeClr w14:val="tx1"/>
                  </w14:solidFill>
                </w14:textFill>
              </w:rPr>
              <w:t>不接受被“信用中</w:t>
            </w:r>
            <w:r>
              <w:rPr>
                <w:rFonts w:hint="eastAsia" w:hAnsi="宋体" w:cs="仿宋_GB2312"/>
                <w:color w:val="auto"/>
                <w:kern w:val="2"/>
                <w:sz w:val="24"/>
                <w:szCs w:val="24"/>
                <w:highlight w:val="none"/>
                <w:shd w:val="clear" w:color="auto" w:fill="FFFFFF"/>
                <w:lang w:val="en-US" w:eastAsia="zh-CN" w:bidi="ar-SA"/>
              </w:rPr>
              <w:t>国”和“信用河南”网站信用信息栏列入黑名单，以及被“国家企业信用信息公示系统”列入经营异常名录或严重失信黑名单的</w:t>
            </w:r>
            <w:r>
              <w:rPr>
                <w:rFonts w:hint="eastAsia" w:hAnsi="宋体" w:cs="仿宋_GB2312"/>
                <w:color w:val="000000" w:themeColor="text1"/>
                <w:kern w:val="2"/>
                <w:sz w:val="24"/>
                <w:szCs w:val="24"/>
                <w:highlight w:val="none"/>
                <w:shd w:val="clear" w:color="auto" w:fill="FFFFFF"/>
                <w:lang w:val="en-US" w:eastAsia="zh-CN" w:bidi="ar-SA"/>
                <w14:textFill>
                  <w14:solidFill>
                    <w14:schemeClr w14:val="tx1"/>
                  </w14:solidFill>
                </w14:textFill>
              </w:rPr>
              <w:t>投标人</w:t>
            </w:r>
            <w:r>
              <w:rPr>
                <w:rFonts w:hint="eastAsia" w:hAnsi="宋体" w:cs="仿宋_GB2312"/>
                <w:color w:val="auto"/>
                <w:kern w:val="2"/>
                <w:sz w:val="24"/>
                <w:szCs w:val="24"/>
                <w:highlight w:val="none"/>
                <w:shd w:val="clear" w:color="auto" w:fill="FFFFFF"/>
                <w:lang w:val="en-US" w:eastAsia="zh-CN" w:bidi="ar-SA"/>
              </w:rPr>
              <w:t>投标。</w:t>
            </w:r>
          </w:p>
          <w:p>
            <w:pPr>
              <w:autoSpaceDE w:val="0"/>
              <w:autoSpaceDN w:val="0"/>
              <w:adjustRightInd w:val="0"/>
              <w:spacing w:line="420" w:lineRule="exact"/>
              <w:jc w:val="left"/>
              <w:outlineLvl w:val="0"/>
              <w:rPr>
                <w:rFonts w:hAnsi="宋体" w:cs="宋体"/>
                <w:sz w:val="24"/>
                <w:szCs w:val="24"/>
              </w:rPr>
            </w:pPr>
            <w:r>
              <w:rPr>
                <w:rFonts w:hint="eastAsia" w:hAnsi="宋体" w:cs="宋体"/>
                <w:sz w:val="24"/>
                <w:szCs w:val="24"/>
              </w:rPr>
              <w:t>4、不接受联合体投标。</w:t>
            </w:r>
          </w:p>
          <w:p>
            <w:pPr>
              <w:autoSpaceDE w:val="0"/>
              <w:autoSpaceDN w:val="0"/>
              <w:adjustRightInd w:val="0"/>
              <w:spacing w:line="420" w:lineRule="exact"/>
              <w:jc w:val="left"/>
              <w:outlineLvl w:val="0"/>
              <w:rPr>
                <w:rFonts w:hAnsi="宋体"/>
                <w:b/>
                <w:sz w:val="24"/>
              </w:rPr>
            </w:pPr>
            <w:r>
              <w:rPr>
                <w:rFonts w:hint="eastAsia" w:hAnsi="宋体" w:cs="宋体"/>
                <w:sz w:val="24"/>
                <w:szCs w:val="24"/>
              </w:rPr>
              <w:t>5、本次招标实行资格后审。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1854" w:type="dxa"/>
            <w:gridSpan w:val="2"/>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7017" w:type="dxa"/>
            <w:vAlign w:val="center"/>
          </w:tcPr>
          <w:p>
            <w:pPr>
              <w:autoSpaceDE w:val="0"/>
              <w:autoSpaceDN w:val="0"/>
              <w:adjustRightInd w:val="0"/>
              <w:spacing w:line="320" w:lineRule="exac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1854" w:type="dxa"/>
            <w:gridSpan w:val="2"/>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7017" w:type="dxa"/>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1854" w:type="dxa"/>
            <w:gridSpan w:val="2"/>
            <w:vAlign w:val="center"/>
          </w:tcPr>
          <w:p>
            <w:pPr>
              <w:autoSpaceDE w:val="0"/>
              <w:autoSpaceDN w:val="0"/>
              <w:adjustRightInd w:val="0"/>
              <w:spacing w:line="320" w:lineRule="exact"/>
              <w:jc w:val="center"/>
              <w:rPr>
                <w:rFonts w:hint="eastAsia" w:hAnsi="宋体" w:cs="仿宋_GB2312"/>
                <w:sz w:val="24"/>
                <w:szCs w:val="22"/>
              </w:rPr>
            </w:pPr>
            <w:r>
              <w:rPr>
                <w:rFonts w:hint="eastAsia" w:hAnsi="宋体" w:cs="仿宋_GB2312"/>
                <w:sz w:val="24"/>
                <w:szCs w:val="22"/>
              </w:rPr>
              <w:t>投标预备会</w:t>
            </w:r>
          </w:p>
        </w:tc>
        <w:tc>
          <w:tcPr>
            <w:tcW w:w="7017" w:type="dxa"/>
            <w:vAlign w:val="center"/>
          </w:tcPr>
          <w:p>
            <w:pPr>
              <w:autoSpaceDE w:val="0"/>
              <w:autoSpaceDN w:val="0"/>
              <w:adjustRightInd w:val="0"/>
              <w:spacing w:line="320" w:lineRule="exact"/>
              <w:jc w:val="left"/>
              <w:rPr>
                <w:rFonts w:hint="eastAsia" w:hAnsi="宋体" w:cs="仿宋_GB2312"/>
                <w:sz w:val="24"/>
                <w:szCs w:val="22"/>
              </w:rPr>
            </w:pPr>
            <w:r>
              <w:rPr>
                <w:rFonts w:hint="eastAsia" w:hAnsi="宋体" w:cs="仿宋_GB2312"/>
                <w:sz w:val="24"/>
                <w:szCs w:val="22"/>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1854"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7017" w:type="dxa"/>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1854" w:type="dxa"/>
            <w:gridSpan w:val="2"/>
            <w:vAlign w:val="center"/>
          </w:tcPr>
          <w:p>
            <w:pPr>
              <w:spacing w:line="340" w:lineRule="exact"/>
              <w:jc w:val="center"/>
              <w:rPr>
                <w:rFonts w:hAnsi="宋体"/>
                <w:sz w:val="24"/>
              </w:rPr>
            </w:pPr>
            <w:r>
              <w:rPr>
                <w:rFonts w:hint="eastAsia" w:hAnsi="宋体"/>
                <w:sz w:val="24"/>
              </w:rPr>
              <w:t>招标人澄清的时间</w:t>
            </w:r>
          </w:p>
        </w:tc>
        <w:tc>
          <w:tcPr>
            <w:tcW w:w="7017" w:type="dxa"/>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1854"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7017" w:type="dxa"/>
            <w:vAlign w:val="center"/>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1854"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7017" w:type="dxa"/>
            <w:vAlign w:val="center"/>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1854" w:type="dxa"/>
            <w:gridSpan w:val="2"/>
            <w:vAlign w:val="center"/>
          </w:tcPr>
          <w:p>
            <w:pPr>
              <w:autoSpaceDE w:val="0"/>
              <w:autoSpaceDN w:val="0"/>
              <w:adjustRightInd w:val="0"/>
              <w:spacing w:line="340" w:lineRule="exact"/>
              <w:jc w:val="center"/>
              <w:rPr>
                <w:rFonts w:hAnsi="宋体" w:cs="仿宋_GB2312"/>
                <w:sz w:val="24"/>
                <w:szCs w:val="22"/>
              </w:rPr>
            </w:pPr>
            <w:r>
              <w:rPr>
                <w:rFonts w:hint="eastAsia" w:hAnsi="宋体" w:cs="仿宋_GB2312"/>
                <w:sz w:val="24"/>
                <w:szCs w:val="22"/>
              </w:rPr>
              <w:t>招标文件的获取</w:t>
            </w:r>
          </w:p>
        </w:tc>
        <w:tc>
          <w:tcPr>
            <w:tcW w:w="7017" w:type="dxa"/>
          </w:tcPr>
          <w:p>
            <w:pPr>
              <w:autoSpaceDE w:val="0"/>
              <w:autoSpaceDN w:val="0"/>
              <w:adjustRightInd w:val="0"/>
              <w:spacing w:line="340" w:lineRule="exact"/>
              <w:rPr>
                <w:rFonts w:hAnsi="宋体" w:cs="仿宋_GB2312"/>
                <w:sz w:val="24"/>
                <w:szCs w:val="22"/>
              </w:rPr>
            </w:pPr>
            <w:r>
              <w:rPr>
                <w:rFonts w:hint="eastAsia" w:hAnsi="宋体" w:cs="仿宋_GB2312"/>
                <w:sz w:val="24"/>
                <w:szCs w:val="22"/>
              </w:rPr>
              <w:t>招标文件和工程量清单的获取：投标人于投标文件递交截止时间前均可登录《全国公共资源交易平台(河南省▪许昌市)》（</w:t>
            </w:r>
            <w:r>
              <w:rPr>
                <w:rFonts w:hint="eastAsia" w:hAnsi="宋体" w:cs="宋体"/>
                <w:sz w:val="24"/>
                <w:szCs w:val="24"/>
              </w:rPr>
              <w:t>http://ggzy.xuchang.gov.cn/</w:t>
            </w:r>
            <w:r>
              <w:rPr>
                <w:rFonts w:hint="eastAsia" w:hAnsi="宋体" w:cs="仿宋_GB231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1854" w:type="dxa"/>
            <w:gridSpan w:val="2"/>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7017" w:type="dxa"/>
            <w:vAlign w:val="center"/>
          </w:tcPr>
          <w:p>
            <w:pPr>
              <w:autoSpaceDE w:val="0"/>
              <w:autoSpaceDN w:val="0"/>
              <w:adjustRightInd w:val="0"/>
              <w:spacing w:line="340" w:lineRule="exact"/>
              <w:rPr>
                <w:rFonts w:hAnsi="宋体" w:cs="仿宋_GB2312"/>
                <w:sz w:val="24"/>
              </w:rPr>
            </w:pPr>
            <w:r>
              <w:rPr>
                <w:rFonts w:hint="eastAsia" w:hAnsi="宋体" w:cs="仿宋_GB2312"/>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1854"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7017" w:type="dxa"/>
            <w:vAlign w:val="center"/>
          </w:tcPr>
          <w:p>
            <w:pPr>
              <w:autoSpaceDE w:val="0"/>
              <w:autoSpaceDN w:val="0"/>
              <w:adjustRightInd w:val="0"/>
              <w:spacing w:line="340" w:lineRule="exact"/>
              <w:rPr>
                <w:rFonts w:hAnsi="宋体" w:cs="黑体"/>
                <w:sz w:val="24"/>
              </w:rPr>
            </w:pPr>
            <w:r>
              <w:rPr>
                <w:rFonts w:hint="eastAsia" w:hAnsi="宋体"/>
                <w:bCs/>
                <w:color w:val="000000" w:themeColor="text1"/>
                <w:sz w:val="24"/>
                <w14:textFill>
                  <w14:solidFill>
                    <w14:schemeClr w14:val="tx1"/>
                  </w14:solidFill>
                </w14:textFill>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1854" w:type="dxa"/>
            <w:gridSpan w:val="2"/>
            <w:vAlign w:val="center"/>
          </w:tcPr>
          <w:p>
            <w:pPr>
              <w:autoSpaceDE w:val="0"/>
              <w:autoSpaceDN w:val="0"/>
              <w:adjustRightInd w:val="0"/>
              <w:spacing w:line="340" w:lineRule="exact"/>
              <w:jc w:val="center"/>
              <w:rPr>
                <w:rFonts w:hAnsi="宋体"/>
                <w:bCs/>
                <w:color w:val="000000" w:themeColor="text1"/>
                <w:sz w:val="24"/>
                <w:szCs w:val="22"/>
                <w14:textFill>
                  <w14:solidFill>
                    <w14:schemeClr w14:val="tx1"/>
                  </w14:solidFill>
                </w14:textFill>
              </w:rPr>
            </w:pPr>
            <w:r>
              <w:rPr>
                <w:rFonts w:hint="eastAsia" w:hAnsi="宋体"/>
                <w:bCs/>
                <w:color w:val="000000" w:themeColor="text1"/>
                <w:sz w:val="24"/>
                <w:szCs w:val="22"/>
                <w14:textFill>
                  <w14:solidFill>
                    <w14:schemeClr w14:val="tx1"/>
                  </w14:solidFill>
                </w14:textFill>
              </w:rPr>
              <w:t>投标截止时间</w:t>
            </w:r>
          </w:p>
        </w:tc>
        <w:tc>
          <w:tcPr>
            <w:tcW w:w="7017" w:type="dxa"/>
            <w:vAlign w:val="center"/>
          </w:tcPr>
          <w:p>
            <w:pPr>
              <w:autoSpaceDE w:val="0"/>
              <w:autoSpaceDN w:val="0"/>
              <w:adjustRightInd w:val="0"/>
              <w:spacing w:line="340" w:lineRule="exact"/>
              <w:jc w:val="both"/>
              <w:rPr>
                <w:rFonts w:hAnsi="宋体"/>
                <w:bCs/>
                <w:color w:val="000000" w:themeColor="text1"/>
                <w:sz w:val="24"/>
                <w:szCs w:val="22"/>
                <w14:textFill>
                  <w14:solidFill>
                    <w14:schemeClr w14:val="tx1"/>
                  </w14:solidFill>
                </w14:textFill>
              </w:rPr>
            </w:pPr>
            <w:r>
              <w:rPr>
                <w:rFonts w:hint="eastAsia" w:hAnsi="宋体"/>
                <w:bCs/>
                <w:color w:val="000000" w:themeColor="text1"/>
                <w:sz w:val="24"/>
                <w:szCs w:val="22"/>
                <w14:textFill>
                  <w14:solidFill>
                    <w14:schemeClr w14:val="tx1"/>
                  </w14:solidFill>
                </w14:textFill>
              </w:rPr>
              <w:t>201</w:t>
            </w:r>
            <w:r>
              <w:rPr>
                <w:rFonts w:hint="eastAsia" w:hAnsi="宋体"/>
                <w:bCs/>
                <w:color w:val="000000" w:themeColor="text1"/>
                <w:sz w:val="24"/>
                <w:szCs w:val="22"/>
                <w:lang w:val="en-US" w:eastAsia="zh-CN"/>
                <w14:textFill>
                  <w14:solidFill>
                    <w14:schemeClr w14:val="tx1"/>
                  </w14:solidFill>
                </w14:textFill>
              </w:rPr>
              <w:t>9</w:t>
            </w:r>
            <w:r>
              <w:rPr>
                <w:rFonts w:hint="eastAsia" w:hAnsi="宋体"/>
                <w:bCs/>
                <w:color w:val="000000" w:themeColor="text1"/>
                <w:sz w:val="24"/>
                <w:szCs w:val="22"/>
                <w14:textFill>
                  <w14:solidFill>
                    <w14:schemeClr w14:val="tx1"/>
                  </w14:solidFill>
                </w14:textFill>
              </w:rPr>
              <w:t>年</w:t>
            </w:r>
            <w:r>
              <w:rPr>
                <w:rFonts w:hint="eastAsia" w:hAnsi="宋体"/>
                <w:bCs/>
                <w:color w:val="000000" w:themeColor="text1"/>
                <w:sz w:val="24"/>
                <w:szCs w:val="22"/>
                <w:lang w:val="en-US" w:eastAsia="zh-CN"/>
                <w14:textFill>
                  <w14:solidFill>
                    <w14:schemeClr w14:val="tx1"/>
                  </w14:solidFill>
                </w14:textFill>
              </w:rPr>
              <w:t>8</w:t>
            </w:r>
            <w:r>
              <w:rPr>
                <w:rFonts w:hint="eastAsia" w:hAnsi="宋体"/>
                <w:bCs/>
                <w:color w:val="000000" w:themeColor="text1"/>
                <w:sz w:val="24"/>
                <w:szCs w:val="22"/>
                <w14:textFill>
                  <w14:solidFill>
                    <w14:schemeClr w14:val="tx1"/>
                  </w14:solidFill>
                </w14:textFill>
              </w:rPr>
              <w:t>月</w:t>
            </w:r>
            <w:r>
              <w:rPr>
                <w:rFonts w:hint="eastAsia" w:hAnsi="宋体"/>
                <w:bCs/>
                <w:color w:val="000000" w:themeColor="text1"/>
                <w:sz w:val="24"/>
                <w:szCs w:val="22"/>
                <w:lang w:val="en-US" w:eastAsia="zh-CN"/>
                <w14:textFill>
                  <w14:solidFill>
                    <w14:schemeClr w14:val="tx1"/>
                  </w14:solidFill>
                </w14:textFill>
              </w:rPr>
              <w:t>13</w:t>
            </w:r>
            <w:r>
              <w:rPr>
                <w:rFonts w:hint="eastAsia" w:hAnsi="宋体"/>
                <w:bCs/>
                <w:color w:val="000000" w:themeColor="text1"/>
                <w:sz w:val="24"/>
                <w:szCs w:val="22"/>
                <w14:textFill>
                  <w14:solidFill>
                    <w14:schemeClr w14:val="tx1"/>
                  </w14:solidFill>
                </w14:textFill>
              </w:rPr>
              <w:t>日</w:t>
            </w:r>
            <w:r>
              <w:rPr>
                <w:rFonts w:hint="eastAsia" w:hAnsi="宋体"/>
                <w:bCs/>
                <w:color w:val="000000" w:themeColor="text1"/>
                <w:sz w:val="24"/>
                <w:szCs w:val="22"/>
                <w:lang w:val="en-US" w:eastAsia="zh-CN"/>
                <w14:textFill>
                  <w14:solidFill>
                    <w14:schemeClr w14:val="tx1"/>
                  </w14:solidFill>
                </w14:textFill>
              </w:rPr>
              <w:t>9</w:t>
            </w:r>
            <w:r>
              <w:rPr>
                <w:rFonts w:hint="eastAsia" w:hAnsi="宋体"/>
                <w:bCs/>
                <w:color w:val="000000" w:themeColor="text1"/>
                <w:sz w:val="24"/>
                <w:szCs w:val="22"/>
                <w14:textFill>
                  <w14:solidFill>
                    <w14:schemeClr w14:val="tx1"/>
                  </w14:solidFill>
                </w14:textFill>
              </w:rPr>
              <w:t>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1854"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854"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1854"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7017" w:type="dxa"/>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854"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7017" w:type="dxa"/>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OLE_LINK4" w:colFirst="0" w:colLast="2"/>
            <w:bookmarkStart w:id="3" w:name="OLE_LINK3" w:colFirst="0" w:colLast="2"/>
            <w:bookmarkStart w:id="4" w:name="_Hlk424659721"/>
            <w:r>
              <w:rPr>
                <w:rFonts w:hAnsi="宋体" w:cs="TimesNewRomanPSMT"/>
                <w:sz w:val="24"/>
              </w:rPr>
              <w:t>3.4.1</w:t>
            </w:r>
          </w:p>
        </w:tc>
        <w:tc>
          <w:tcPr>
            <w:tcW w:w="1854"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7017" w:type="dxa"/>
            <w:vAlign w:val="center"/>
          </w:tcPr>
          <w:p>
            <w:pPr>
              <w:spacing w:line="360" w:lineRule="auto"/>
              <w:rPr>
                <w:rFonts w:hAnsi="宋体" w:cs="宋体"/>
                <w:sz w:val="24"/>
                <w:szCs w:val="24"/>
              </w:rPr>
            </w:pPr>
            <w:r>
              <w:rPr>
                <w:rFonts w:hint="eastAsia" w:hAnsi="宋体" w:cs="宋体"/>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1854" w:type="dxa"/>
            <w:gridSpan w:val="2"/>
            <w:vAlign w:val="center"/>
          </w:tcPr>
          <w:p>
            <w:pPr>
              <w:jc w:val="center"/>
              <w:rPr>
                <w:sz w:val="24"/>
              </w:rPr>
            </w:pPr>
            <w:r>
              <w:rPr>
                <w:rFonts w:hint="eastAsia"/>
                <w:sz w:val="24"/>
              </w:rPr>
              <w:t>近年财务状况要求</w:t>
            </w:r>
          </w:p>
        </w:tc>
        <w:tc>
          <w:tcPr>
            <w:tcW w:w="7017" w:type="dxa"/>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w:t>
            </w:r>
            <w:r>
              <w:rPr>
                <w:rFonts w:hint="eastAsia" w:hAnsi="宋体" w:cs="仿宋_GB2312"/>
                <w:sz w:val="24"/>
                <w:lang w:val="en-US" w:eastAsia="zh-CN"/>
              </w:rPr>
              <w:t>6</w:t>
            </w:r>
            <w:r>
              <w:rPr>
                <w:rFonts w:hint="eastAsia" w:hAnsi="宋体" w:cs="仿宋_GB2312"/>
                <w:sz w:val="24"/>
              </w:rPr>
              <w:t>、201</w:t>
            </w:r>
            <w:r>
              <w:rPr>
                <w:rFonts w:hint="eastAsia" w:hAnsi="宋体" w:cs="仿宋_GB2312"/>
                <w:sz w:val="24"/>
                <w:lang w:val="en-US" w:eastAsia="zh-CN"/>
              </w:rPr>
              <w:t>7</w:t>
            </w:r>
            <w:r>
              <w:rPr>
                <w:rFonts w:hint="eastAsia" w:hAnsi="宋体" w:cs="仿宋_GB2312"/>
                <w:sz w:val="24"/>
              </w:rPr>
              <w:t>、201</w:t>
            </w:r>
            <w:r>
              <w:rPr>
                <w:rFonts w:hint="eastAsia" w:hAnsi="宋体" w:cs="仿宋_GB2312"/>
                <w:sz w:val="24"/>
                <w:lang w:val="en-US" w:eastAsia="zh-CN"/>
              </w:rPr>
              <w:t>8</w:t>
            </w:r>
            <w:r>
              <w:rPr>
                <w:rFonts w:hint="eastAsia" w:hAnsi="宋体" w:cs="仿宋_GB2312"/>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1854" w:type="dxa"/>
            <w:gridSpan w:val="2"/>
            <w:vAlign w:val="center"/>
          </w:tcPr>
          <w:p>
            <w:pPr>
              <w:autoSpaceDE w:val="0"/>
              <w:autoSpaceDN w:val="0"/>
              <w:adjustRightInd w:val="0"/>
              <w:jc w:val="center"/>
              <w:rPr>
                <w:rFonts w:hAnsi="宋体" w:cs="仿宋_GB2312"/>
                <w:sz w:val="24"/>
              </w:rPr>
            </w:pPr>
            <w:r>
              <w:rPr>
                <w:rFonts w:hint="eastAsia" w:hAnsi="宋体" w:cs="仿宋_GB2312"/>
                <w:sz w:val="24"/>
              </w:rPr>
              <w:t>近年完成的</w:t>
            </w:r>
          </w:p>
          <w:p>
            <w:pPr>
              <w:autoSpaceDE w:val="0"/>
              <w:autoSpaceDN w:val="0"/>
              <w:adjustRightInd w:val="0"/>
              <w:jc w:val="center"/>
              <w:rPr>
                <w:rFonts w:hAnsi="宋体" w:cs="仿宋_GB2312"/>
                <w:sz w:val="24"/>
              </w:rPr>
            </w:pPr>
            <w:r>
              <w:rPr>
                <w:rFonts w:hint="eastAsia" w:hAnsi="宋体" w:cs="仿宋_GB2312"/>
                <w:sz w:val="24"/>
              </w:rPr>
              <w:t>类似项目</w:t>
            </w:r>
          </w:p>
        </w:tc>
        <w:tc>
          <w:tcPr>
            <w:tcW w:w="7017" w:type="dxa"/>
            <w:vAlign w:val="center"/>
          </w:tcPr>
          <w:p>
            <w:pPr>
              <w:autoSpaceDE w:val="0"/>
              <w:autoSpaceDN w:val="0"/>
              <w:adjustRightInd w:val="0"/>
              <w:rPr>
                <w:rFonts w:hAnsi="宋体" w:cs="TimesNewRomanPSMT"/>
                <w:sz w:val="24"/>
              </w:rPr>
            </w:pPr>
            <w:r>
              <w:rPr>
                <w:rFonts w:hint="eastAsia" w:hAnsi="宋体" w:cs="TimesNewRomanPSMT"/>
                <w:sz w:val="24"/>
              </w:rPr>
              <w:t>近年，指201</w:t>
            </w:r>
            <w:r>
              <w:rPr>
                <w:rFonts w:hint="eastAsia" w:hAnsi="宋体" w:cs="TimesNewRomanPSMT"/>
                <w:sz w:val="24"/>
                <w:lang w:val="en-US" w:eastAsia="zh-CN"/>
              </w:rPr>
              <w:t>6</w:t>
            </w:r>
            <w:r>
              <w:rPr>
                <w:rFonts w:hint="eastAsia" w:hAnsi="宋体" w:cs="TimesNewRomanPSMT"/>
                <w:sz w:val="24"/>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1854" w:type="dxa"/>
            <w:gridSpan w:val="2"/>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7017" w:type="dxa"/>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1854" w:type="dxa"/>
            <w:gridSpan w:val="2"/>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7017" w:type="dxa"/>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1854" w:type="dxa"/>
            <w:gridSpan w:val="2"/>
            <w:vAlign w:val="center"/>
          </w:tcPr>
          <w:p>
            <w:pPr>
              <w:autoSpaceDE w:val="0"/>
              <w:autoSpaceDN w:val="0"/>
              <w:adjustRightInd w:val="0"/>
              <w:spacing w:line="420" w:lineRule="exact"/>
              <w:jc w:val="center"/>
              <w:rPr>
                <w:rFonts w:hint="eastAsia" w:hAnsi="宋体" w:cs="仿宋_GB2312"/>
                <w:sz w:val="24"/>
              </w:rPr>
            </w:pPr>
            <w:r>
              <w:rPr>
                <w:rFonts w:hint="eastAsia" w:hAnsi="宋体" w:cs="仿宋_GB2312"/>
                <w:sz w:val="24"/>
              </w:rPr>
              <w:t>签字或盖章</w:t>
            </w:r>
          </w:p>
          <w:p>
            <w:pPr>
              <w:autoSpaceDE w:val="0"/>
              <w:autoSpaceDN w:val="0"/>
              <w:adjustRightInd w:val="0"/>
              <w:spacing w:line="420" w:lineRule="exact"/>
              <w:jc w:val="center"/>
              <w:rPr>
                <w:rFonts w:hAnsi="宋体" w:cs="黑体"/>
                <w:sz w:val="24"/>
              </w:rPr>
            </w:pPr>
            <w:r>
              <w:rPr>
                <w:rFonts w:hint="eastAsia" w:hAnsi="宋体" w:cs="仿宋_GB2312"/>
                <w:sz w:val="24"/>
              </w:rPr>
              <w:t>要求</w:t>
            </w:r>
          </w:p>
        </w:tc>
        <w:tc>
          <w:tcPr>
            <w:tcW w:w="7017" w:type="dxa"/>
            <w:vAlign w:val="center"/>
          </w:tcPr>
          <w:p>
            <w:pPr>
              <w:autoSpaceDE w:val="0"/>
              <w:autoSpaceDN w:val="0"/>
              <w:adjustRightInd w:val="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1854"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7017" w:type="dxa"/>
            <w:vAlign w:val="center"/>
          </w:tcPr>
          <w:p>
            <w:pPr>
              <w:autoSpaceDE w:val="0"/>
              <w:autoSpaceDN w:val="0"/>
              <w:adjustRightInd w:val="0"/>
              <w:spacing w:line="420" w:lineRule="exact"/>
              <w:rPr>
                <w:rFonts w:ascii="新宋体" w:hAnsi="新宋体" w:eastAsia="新宋体"/>
                <w:sz w:val="24"/>
                <w:szCs w:val="22"/>
                <w:lang w:val="zh-CN"/>
              </w:rPr>
            </w:pPr>
            <w:r>
              <w:rPr>
                <w:rFonts w:hint="eastAsia" w:ascii="新宋体" w:hAnsi="新宋体" w:eastAsia="新宋体"/>
                <w:sz w:val="24"/>
                <w:szCs w:val="22"/>
                <w:lang w:val="zh-CN"/>
              </w:rPr>
              <w:t>1、电子投标文件</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（1）成功上传至【全国公共资源交易平台（河南省·许昌市）】公共资源交易系统电子投标文件1份（文件格式为：XX公司XXX项目编号.file）。</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（2）使用电子介质存储的投标文件1份文件格式为：xxx公司XXX（项目编号）.bin）。</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2、纸质投标文件</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商务标：正本1份，副本</w:t>
            </w:r>
            <w:r>
              <w:rPr>
                <w:rFonts w:hint="eastAsia" w:ascii="新宋体" w:hAnsi="新宋体" w:eastAsia="新宋体"/>
                <w:sz w:val="24"/>
                <w:szCs w:val="22"/>
              </w:rPr>
              <w:t>1</w:t>
            </w:r>
            <w:r>
              <w:rPr>
                <w:rFonts w:hint="eastAsia" w:ascii="新宋体" w:hAnsi="新宋体" w:eastAsia="新宋体"/>
                <w:sz w:val="24"/>
                <w:szCs w:val="22"/>
                <w:lang w:val="zh-CN"/>
              </w:rPr>
              <w:t>份；</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综合（信用）标：正本1份，副本</w:t>
            </w:r>
            <w:r>
              <w:rPr>
                <w:rFonts w:hint="eastAsia" w:ascii="新宋体" w:hAnsi="新宋体" w:eastAsia="新宋体"/>
                <w:sz w:val="24"/>
                <w:szCs w:val="22"/>
              </w:rPr>
              <w:t>1</w:t>
            </w:r>
            <w:r>
              <w:rPr>
                <w:rFonts w:hint="eastAsia" w:ascii="新宋体" w:hAnsi="新宋体" w:eastAsia="新宋体"/>
                <w:sz w:val="24"/>
                <w:szCs w:val="22"/>
                <w:lang w:val="zh-CN"/>
              </w:rPr>
              <w:t xml:space="preserve">份； </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技术标：正本1份，副本</w:t>
            </w:r>
            <w:r>
              <w:rPr>
                <w:rFonts w:hint="eastAsia" w:ascii="新宋体" w:hAnsi="新宋体" w:eastAsia="新宋体"/>
                <w:sz w:val="24"/>
                <w:szCs w:val="22"/>
              </w:rPr>
              <w:t>1</w:t>
            </w:r>
            <w:r>
              <w:rPr>
                <w:rFonts w:hint="eastAsia" w:ascii="新宋体" w:hAnsi="新宋体" w:eastAsia="新宋体"/>
                <w:sz w:val="24"/>
                <w:szCs w:val="22"/>
                <w:lang w:val="zh-CN"/>
              </w:rPr>
              <w:t>份。</w:t>
            </w:r>
          </w:p>
          <w:p>
            <w:pPr>
              <w:autoSpaceDE w:val="0"/>
              <w:autoSpaceDN w:val="0"/>
              <w:adjustRightInd w:val="0"/>
              <w:spacing w:line="400" w:lineRule="exact"/>
              <w:rPr>
                <w:rFonts w:ascii="新宋体" w:hAnsi="新宋体" w:eastAsia="新宋体"/>
                <w:sz w:val="24"/>
                <w:szCs w:val="22"/>
              </w:rPr>
            </w:pPr>
            <w:r>
              <w:rPr>
                <w:rFonts w:hint="eastAsia" w:ascii="新宋体" w:hAnsi="新宋体" w:eastAsia="新宋体"/>
                <w:sz w:val="24"/>
                <w:szCs w:val="22"/>
                <w:lang w:val="zh-CN"/>
              </w:rPr>
              <w:t>3、电子投标文件和纸质投标文件的内容、格式、水印码、电子签章应一致。</w:t>
            </w:r>
          </w:p>
          <w:p>
            <w:pPr>
              <w:spacing w:line="460" w:lineRule="exact"/>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许昌投标文件制作系统SEARUNV1.</w:t>
            </w:r>
            <w:r>
              <w:rPr>
                <w:rFonts w:hint="eastAsia" w:hAnsi="宋体"/>
                <w:b/>
                <w:color w:val="000000"/>
                <w:sz w:val="24"/>
                <w:szCs w:val="24"/>
                <w:lang w:val="en-US" w:eastAsia="zh-CN"/>
              </w:rPr>
              <w:t>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1854"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7017" w:type="dxa"/>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三 </w:t>
            </w:r>
            <w:r>
              <w:rPr>
                <w:rFonts w:hint="eastAsia" w:ascii="新宋体" w:hAnsi="新宋体" w:eastAsia="新宋体"/>
                <w:sz w:val="24"/>
              </w:rPr>
              <w:t>种标书，分别为：商务标、综合（信用）标和技术标。</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autoSpaceDE w:val="0"/>
              <w:autoSpaceDN w:val="0"/>
              <w:adjustRightInd w:val="0"/>
              <w:spacing w:line="420" w:lineRule="exact"/>
              <w:rPr>
                <w:rFonts w:ascii="新宋体" w:hAnsi="新宋体" w:eastAsia="新宋体"/>
                <w:sz w:val="24"/>
              </w:rPr>
            </w:pPr>
            <w:r>
              <w:rPr>
                <w:rFonts w:hint="eastAsia" w:hAnsi="宋体" w:cs="宋体"/>
                <w:sz w:val="24"/>
              </w:rPr>
              <w:t>使用电子介质存储</w:t>
            </w:r>
            <w:r>
              <w:rPr>
                <w:rFonts w:hint="eastAsia" w:hAnsi="宋体" w:cs="宋体"/>
                <w:sz w:val="24"/>
                <w:lang w:eastAsia="zh-CN"/>
              </w:rPr>
              <w:t>（</w:t>
            </w:r>
            <w:r>
              <w:rPr>
                <w:rFonts w:hint="eastAsia" w:hAnsi="宋体" w:cs="宋体"/>
                <w:sz w:val="24"/>
                <w:lang w:val="en-US" w:eastAsia="zh-CN"/>
              </w:rPr>
              <w:t>u盘</w:t>
            </w:r>
            <w:r>
              <w:rPr>
                <w:rFonts w:hint="eastAsia" w:hAnsi="宋体" w:cs="宋体"/>
                <w:sz w:val="24"/>
                <w:lang w:eastAsia="zh-CN"/>
              </w:rPr>
              <w:t>）</w:t>
            </w:r>
            <w:r>
              <w:rPr>
                <w:rFonts w:hint="eastAsia" w:hAnsi="宋体" w:cs="宋体"/>
                <w:sz w:val="24"/>
              </w:rPr>
              <w:t>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1854"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7017" w:type="dxa"/>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p>
          <w:p>
            <w:pPr>
              <w:rPr>
                <w:rFonts w:ascii="楷体_GB2312" w:hAnsi="楷体_GB2312" w:eastAsia="楷体_GB2312" w:cs="楷体_GB2312"/>
                <w:sz w:val="28"/>
                <w:szCs w:val="28"/>
              </w:rPr>
            </w:pPr>
            <w:r>
              <w:rPr>
                <w:rFonts w:hint="eastAsia"/>
                <w:sz w:val="24"/>
              </w:rPr>
              <w:t>招标人名称：</w:t>
            </w:r>
          </w:p>
          <w:p>
            <w:pPr>
              <w:autoSpaceDE w:val="0"/>
              <w:autoSpaceDN w:val="0"/>
              <w:adjustRightInd w:val="0"/>
              <w:spacing w:line="420" w:lineRule="exact"/>
              <w:jc w:val="left"/>
              <w:rPr>
                <w:rFonts w:hAnsi="宋体"/>
                <w:sz w:val="24"/>
              </w:rPr>
            </w:pPr>
            <w:r>
              <w:rPr>
                <w:rFonts w:hint="eastAsia"/>
                <w:sz w:val="24"/>
              </w:rPr>
              <w:t>项目名称：</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sz w:val="24"/>
                <w:szCs w:val="22"/>
              </w:rPr>
              <w:t>在201</w:t>
            </w:r>
            <w:r>
              <w:rPr>
                <w:rFonts w:hint="eastAsia"/>
                <w:sz w:val="24"/>
                <w:szCs w:val="22"/>
                <w:lang w:val="en-US" w:eastAsia="zh-CN"/>
              </w:rPr>
              <w:t>9</w:t>
            </w:r>
            <w:r>
              <w:rPr>
                <w:rFonts w:hint="eastAsia"/>
                <w:sz w:val="24"/>
                <w:szCs w:val="22"/>
              </w:rPr>
              <w:t>年</w:t>
            </w:r>
            <w:r>
              <w:rPr>
                <w:rFonts w:hint="eastAsia"/>
                <w:sz w:val="24"/>
                <w:szCs w:val="22"/>
                <w:lang w:val="en-US" w:eastAsia="zh-CN"/>
              </w:rPr>
              <w:t>8</w:t>
            </w:r>
            <w:r>
              <w:rPr>
                <w:rFonts w:hint="eastAsia"/>
                <w:sz w:val="24"/>
                <w:szCs w:val="22"/>
              </w:rPr>
              <w:t>月</w:t>
            </w:r>
            <w:r>
              <w:rPr>
                <w:rFonts w:hint="eastAsia"/>
                <w:sz w:val="24"/>
                <w:szCs w:val="22"/>
                <w:lang w:val="en-US" w:eastAsia="zh-CN"/>
              </w:rPr>
              <w:t>13</w:t>
            </w:r>
            <w:r>
              <w:rPr>
                <w:rFonts w:hint="eastAsia"/>
                <w:sz w:val="24"/>
                <w:szCs w:val="22"/>
              </w:rPr>
              <w:t>日</w:t>
            </w:r>
            <w:r>
              <w:rPr>
                <w:rFonts w:hint="eastAsia"/>
                <w:sz w:val="24"/>
                <w:szCs w:val="22"/>
                <w:lang w:val="en-US" w:eastAsia="zh-CN"/>
              </w:rPr>
              <w:t>9</w:t>
            </w:r>
            <w:r>
              <w:rPr>
                <w:rFonts w:hint="eastAsia"/>
                <w:sz w:val="24"/>
                <w:szCs w:val="22"/>
              </w:rPr>
              <w:t>时30分前不得开启。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1854"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7017" w:type="dxa"/>
            <w:vAlign w:val="center"/>
          </w:tcPr>
          <w:p>
            <w:pPr>
              <w:numPr>
                <w:ilvl w:val="0"/>
                <w:numId w:val="3"/>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w:t>
            </w:r>
            <w:r>
              <w:rPr>
                <w:rFonts w:hint="eastAsia" w:hAnsi="宋体" w:cs="宋体"/>
                <w:color w:val="auto"/>
                <w:sz w:val="24"/>
                <w:szCs w:val="22"/>
              </w:rPr>
              <w:t>4楼</w:t>
            </w:r>
            <w:r>
              <w:rPr>
                <w:rFonts w:hint="eastAsia" w:hAnsi="宋体" w:cs="宋体"/>
                <w:color w:val="auto"/>
                <w:sz w:val="24"/>
                <w:szCs w:val="22"/>
                <w:lang w:val="en-US" w:eastAsia="zh-CN"/>
              </w:rPr>
              <w:t>开标一</w:t>
            </w:r>
            <w:r>
              <w:rPr>
                <w:rFonts w:hint="eastAsia" w:hAnsi="宋体" w:cs="宋体"/>
                <w:color w:val="auto"/>
                <w:sz w:val="24"/>
                <w:szCs w:val="22"/>
              </w:rPr>
              <w:t>室</w:t>
            </w:r>
            <w:r>
              <w:rPr>
                <w:rFonts w:hint="eastAsia" w:hAnsi="宋体"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1854"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7017" w:type="dxa"/>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1854" w:type="dxa"/>
            <w:gridSpan w:val="2"/>
            <w:vAlign w:val="center"/>
          </w:tcPr>
          <w:p>
            <w:pPr>
              <w:autoSpaceDE w:val="0"/>
              <w:autoSpaceDN w:val="0"/>
              <w:adjustRightInd w:val="0"/>
              <w:spacing w:line="420" w:lineRule="exact"/>
              <w:jc w:val="center"/>
              <w:rPr>
                <w:rFonts w:hint="eastAsia" w:hAnsi="宋体" w:cs="仿宋_GB2312"/>
                <w:sz w:val="24"/>
              </w:rPr>
            </w:pPr>
            <w:r>
              <w:rPr>
                <w:rFonts w:hint="eastAsia" w:hAnsi="宋体" w:cs="仿宋_GB2312"/>
                <w:sz w:val="24"/>
              </w:rPr>
              <w:t>开标</w:t>
            </w:r>
          </w:p>
          <w:p>
            <w:pPr>
              <w:autoSpaceDE w:val="0"/>
              <w:autoSpaceDN w:val="0"/>
              <w:adjustRightInd w:val="0"/>
              <w:spacing w:line="420" w:lineRule="exact"/>
              <w:jc w:val="center"/>
              <w:rPr>
                <w:rFonts w:hAnsi="宋体" w:cs="黑体"/>
                <w:sz w:val="24"/>
              </w:rPr>
            </w:pPr>
            <w:r>
              <w:rPr>
                <w:rFonts w:hint="eastAsia" w:hAnsi="宋体" w:cs="仿宋_GB2312"/>
                <w:sz w:val="24"/>
              </w:rPr>
              <w:t>时间和地点</w:t>
            </w:r>
          </w:p>
        </w:tc>
        <w:tc>
          <w:tcPr>
            <w:tcW w:w="7017" w:type="dxa"/>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许昌市建安区新元大道兴业大厦4楼</w:t>
            </w:r>
            <w:r>
              <w:rPr>
                <w:rFonts w:hint="eastAsia" w:hAnsi="宋体" w:cs="仿宋_GB2312"/>
                <w:sz w:val="24"/>
                <w:szCs w:val="22"/>
                <w:lang w:val="en-US" w:eastAsia="zh-CN"/>
              </w:rPr>
              <w:t>开标一</w:t>
            </w:r>
            <w:r>
              <w:rPr>
                <w:rFonts w:hint="eastAsia" w:hAnsi="宋体" w:cs="仿宋_GB2312"/>
                <w:sz w:val="24"/>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1854"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7017" w:type="dxa"/>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1854"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7017" w:type="dxa"/>
            <w:vAlign w:val="center"/>
          </w:tcPr>
          <w:p>
            <w:pPr>
              <w:spacing w:line="288" w:lineRule="auto"/>
              <w:rPr>
                <w:sz w:val="24"/>
              </w:rPr>
            </w:pPr>
            <w:r>
              <w:rPr>
                <w:rFonts w:hint="eastAsia" w:ascii="新宋体" w:hAnsi="新宋体" w:eastAsia="新宋体"/>
                <w:color w:val="000000" w:themeColor="text1"/>
                <w:sz w:val="24"/>
                <w14:textFill>
                  <w14:solidFill>
                    <w14:schemeClr w14:val="tx1"/>
                  </w14:solidFill>
                </w14:textFill>
              </w:rPr>
              <w:t>评标委员会构成：5人，从河南省综合评标专家库中随机抽取4人和招标人代表1人（其中注册造价工程师不少于2人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1854" w:type="dxa"/>
            <w:gridSpan w:val="2"/>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7017" w:type="dxa"/>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int="eastAsia" w:hAnsi="宋体" w:eastAsia="宋体" w:cs="TimesNewRomanPSMT"/>
                <w:sz w:val="24"/>
                <w:lang w:val="en-US" w:eastAsia="zh-CN"/>
              </w:rPr>
            </w:pPr>
            <w:r>
              <w:rPr>
                <w:rFonts w:hint="eastAsia" w:hAnsi="宋体" w:cs="TimesNewRomanPSMT"/>
                <w:sz w:val="24"/>
                <w:lang w:val="en-US" w:eastAsia="zh-CN"/>
              </w:rPr>
              <w:t>7.4</w:t>
            </w:r>
          </w:p>
        </w:tc>
        <w:tc>
          <w:tcPr>
            <w:tcW w:w="1854" w:type="dxa"/>
            <w:gridSpan w:val="2"/>
            <w:vAlign w:val="center"/>
          </w:tcPr>
          <w:p>
            <w:pPr>
              <w:autoSpaceDE w:val="0"/>
              <w:autoSpaceDN w:val="0"/>
              <w:adjustRightInd w:val="0"/>
              <w:jc w:val="center"/>
              <w:rPr>
                <w:rFonts w:hint="eastAsia" w:hAnsi="宋体" w:eastAsia="宋体" w:cs="仿宋_GB2312"/>
                <w:sz w:val="24"/>
                <w:lang w:val="en-US" w:eastAsia="zh-CN"/>
              </w:rPr>
            </w:pPr>
            <w:r>
              <w:rPr>
                <w:rFonts w:hint="eastAsia" w:hAnsi="宋体" w:cs="仿宋_GB2312"/>
                <w:sz w:val="24"/>
                <w:lang w:val="en-US" w:eastAsia="zh-CN"/>
              </w:rPr>
              <w:t>履约保证金</w:t>
            </w:r>
          </w:p>
        </w:tc>
        <w:tc>
          <w:tcPr>
            <w:tcW w:w="7017" w:type="dxa"/>
            <w:vAlign w:val="center"/>
          </w:tcPr>
          <w:p>
            <w:pPr>
              <w:autoSpaceDE w:val="0"/>
              <w:autoSpaceDN w:val="0"/>
              <w:adjustRightInd w:val="0"/>
              <w:spacing w:line="420" w:lineRule="exact"/>
              <w:rPr>
                <w:rFonts w:hint="eastAsia" w:hAnsi="宋体" w:cs="仿宋_GB2312"/>
                <w:sz w:val="24"/>
              </w:rPr>
            </w:pPr>
            <w:r>
              <w:rPr>
                <w:rFonts w:hint="eastAsia" w:hAnsi="宋体" w:cs="仿宋_GB2312"/>
                <w:sz w:val="24"/>
                <w:szCs w:val="22"/>
              </w:rPr>
              <w:t>不得超过中标合同金额的10%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4"/>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4"/>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780" w:type="dxa"/>
            <w:vAlign w:val="center"/>
          </w:tcPr>
          <w:p>
            <w:pPr>
              <w:autoSpaceDE w:val="0"/>
              <w:autoSpaceDN w:val="0"/>
              <w:adjustRightInd w:val="0"/>
              <w:spacing w:line="420" w:lineRule="exact"/>
              <w:jc w:val="center"/>
              <w:rPr>
                <w:rFonts w:hAnsi="宋体" w:cs="TimesNewRomanPSMT"/>
                <w:color w:val="auto"/>
                <w:sz w:val="24"/>
                <w:highlight w:val="yellow"/>
              </w:rPr>
            </w:pPr>
            <w:r>
              <w:rPr>
                <w:rFonts w:hint="eastAsia" w:hAnsi="宋体" w:cs="TimesNewRomanPSMT"/>
                <w:color w:val="auto"/>
                <w:sz w:val="24"/>
                <w:highlight w:val="none"/>
                <w:shd w:val="clear"/>
              </w:rPr>
              <w:t>类似工程</w:t>
            </w:r>
          </w:p>
        </w:tc>
        <w:tc>
          <w:tcPr>
            <w:tcW w:w="7017" w:type="dxa"/>
            <w:vAlign w:val="center"/>
          </w:tcPr>
          <w:p>
            <w:pPr>
              <w:autoSpaceDE w:val="0"/>
              <w:autoSpaceDN w:val="0"/>
              <w:adjustRightInd w:val="0"/>
              <w:spacing w:line="420" w:lineRule="exact"/>
              <w:jc w:val="left"/>
              <w:rPr>
                <w:rFonts w:hint="eastAsia" w:hAnsi="宋体" w:eastAsia="宋体" w:cs="仿宋_GB2312"/>
                <w:color w:val="auto"/>
                <w:sz w:val="24"/>
                <w:highlight w:val="yellow"/>
                <w:lang w:val="en-US" w:eastAsia="zh-CN"/>
              </w:rPr>
            </w:pPr>
            <w:r>
              <w:rPr>
                <w:rFonts w:hint="eastAsia" w:hAnsi="宋体" w:cs="仿宋_GB2312"/>
                <w:color w:val="auto"/>
                <w:sz w:val="24"/>
                <w:szCs w:val="22"/>
                <w:lang w:val="en-US" w:eastAsia="zh-CN"/>
              </w:rPr>
              <w:t>不低于本项目招标控制价金额的市政工程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4"/>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854" w:type="dxa"/>
            <w:gridSpan w:val="2"/>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017" w:type="dxa"/>
            <w:vAlign w:val="center"/>
          </w:tcPr>
          <w:tbl>
            <w:tblPr>
              <w:tblStyle w:val="29"/>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sz w:val="24"/>
                      <w:szCs w:val="24"/>
                    </w:rPr>
                  </w:pPr>
                  <w:r>
                    <w:rPr>
                      <w:rFonts w:hint="eastAsia" w:hAnsi="宋体" w:cs="宋体"/>
                      <w:b/>
                      <w:bCs/>
                      <w:sz w:val="24"/>
                      <w:szCs w:val="24"/>
                    </w:rPr>
                    <w:t>招标控制价：</w:t>
                  </w:r>
                </w:p>
                <w:p>
                  <w:pPr>
                    <w:spacing w:line="440" w:lineRule="exact"/>
                    <w:jc w:val="left"/>
                    <w:rPr>
                      <w:rFonts w:hAnsi="宋体" w:cs="宋体"/>
                      <w:b/>
                      <w:bCs/>
                      <w:sz w:val="24"/>
                      <w:szCs w:val="24"/>
                    </w:rPr>
                  </w:pPr>
                  <w:r>
                    <w:rPr>
                      <w:rFonts w:hint="eastAsia" w:hAnsi="宋体" w:cs="宋体"/>
                      <w:b/>
                      <w:bCs/>
                      <w:sz w:val="24"/>
                      <w:szCs w:val="24"/>
                    </w:rPr>
                    <w:t>大写：</w:t>
                  </w:r>
                  <w:r>
                    <w:rPr>
                      <w:rFonts w:hint="eastAsia" w:hAnsi="宋体" w:cs="宋体"/>
                      <w:b/>
                      <w:bCs/>
                      <w:sz w:val="24"/>
                      <w:szCs w:val="24"/>
                      <w:lang w:val="en-US" w:eastAsia="zh-CN"/>
                    </w:rPr>
                    <w:t>壹佰贰拾伍万零壹佰肆拾贰元柒角叁分（</w:t>
                  </w:r>
                  <w:r>
                    <w:rPr>
                      <w:rFonts w:hint="eastAsia" w:hAnsi="宋体" w:cs="宋体"/>
                      <w:b/>
                      <w:bCs/>
                      <w:sz w:val="24"/>
                      <w:szCs w:val="24"/>
                    </w:rPr>
                    <w:t>含规费、税金、安全文明措施费）；</w:t>
                  </w:r>
                </w:p>
                <w:p>
                  <w:pPr>
                    <w:spacing w:line="440" w:lineRule="exact"/>
                    <w:jc w:val="left"/>
                    <w:rPr>
                      <w:rFonts w:hAnsi="宋体" w:cs="宋体"/>
                      <w:b/>
                      <w:bCs/>
                      <w:sz w:val="24"/>
                      <w:szCs w:val="24"/>
                    </w:rPr>
                  </w:pPr>
                  <w:r>
                    <w:rPr>
                      <w:rFonts w:hint="eastAsia" w:hAnsi="宋体" w:cs="宋体"/>
                      <w:b/>
                      <w:bCs/>
                      <w:sz w:val="24"/>
                      <w:szCs w:val="24"/>
                    </w:rPr>
                    <w:t>小写：</w:t>
                  </w:r>
                  <w:r>
                    <w:rPr>
                      <w:rFonts w:hint="eastAsia" w:hAnsi="宋体" w:cs="宋体"/>
                      <w:b/>
                      <w:bCs/>
                      <w:sz w:val="24"/>
                      <w:szCs w:val="24"/>
                      <w:lang w:val="en-US" w:eastAsia="zh-CN"/>
                    </w:rPr>
                    <w:t>1250142.73</w:t>
                  </w:r>
                  <w:r>
                    <w:rPr>
                      <w:rFonts w:hint="eastAsia" w:hAnsi="宋体" w:cs="宋体"/>
                      <w:b/>
                      <w:bCs/>
                      <w:sz w:val="24"/>
                      <w:szCs w:val="24"/>
                    </w:rPr>
                    <w:t>元。</w:t>
                  </w:r>
                </w:p>
                <w:p>
                  <w:pPr>
                    <w:spacing w:line="440" w:lineRule="exact"/>
                    <w:jc w:val="left"/>
                    <w:rPr>
                      <w:rFonts w:hAnsi="宋体" w:cs="宋体"/>
                      <w:sz w:val="24"/>
                      <w:szCs w:val="24"/>
                    </w:rPr>
                  </w:pP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ind w:firstLine="480" w:firstLineChars="200"/>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ind w:firstLine="480" w:firstLineChars="200"/>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w:t>
                  </w:r>
                  <w:r>
                    <w:rPr>
                      <w:rFonts w:hint="eastAsia" w:hAnsi="宋体" w:cs="宋体"/>
                      <w:b/>
                      <w:bCs/>
                      <w:sz w:val="24"/>
                      <w:szCs w:val="24"/>
                      <w:lang w:val="en-US" w:eastAsia="zh-CN"/>
                    </w:rPr>
                    <w:t>视</w:t>
                  </w:r>
                  <w:r>
                    <w:rPr>
                      <w:rFonts w:hint="eastAsia" w:hAnsi="宋体" w:cs="宋体"/>
                      <w:b/>
                      <w:bCs/>
                      <w:sz w:val="24"/>
                      <w:szCs w:val="24"/>
                    </w:rPr>
                    <w:t>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4"/>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spacing w:line="312" w:lineRule="auto"/>
              <w:rPr>
                <w:sz w:val="24"/>
              </w:rPr>
            </w:pPr>
          </w:p>
        </w:tc>
        <w:tc>
          <w:tcPr>
            <w:tcW w:w="1854" w:type="dxa"/>
            <w:gridSpan w:val="2"/>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7017"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4"/>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sz w:val="24"/>
              </w:rPr>
            </w:pPr>
          </w:p>
        </w:tc>
        <w:tc>
          <w:tcPr>
            <w:tcW w:w="8871" w:type="dxa"/>
            <w:gridSpan w:val="3"/>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4"/>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312" w:lineRule="auto"/>
              <w:rPr>
                <w:sz w:val="24"/>
              </w:rPr>
            </w:pPr>
          </w:p>
        </w:tc>
        <w:tc>
          <w:tcPr>
            <w:tcW w:w="8871" w:type="dxa"/>
            <w:gridSpan w:val="3"/>
            <w:vAlign w:val="center"/>
          </w:tcPr>
          <w:p>
            <w:pPr>
              <w:spacing w:line="440" w:lineRule="exact"/>
              <w:rPr>
                <w:rFonts w:ascii="新宋体" w:hAnsi="新宋体" w:eastAsia="新宋体"/>
                <w:b/>
                <w:sz w:val="24"/>
              </w:rPr>
            </w:pPr>
            <w:r>
              <w:rPr>
                <w:rFonts w:hint="eastAsia" w:hAnsi="宋体" w:cs="仿宋_GB2312"/>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4"/>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3"/>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4"/>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3"/>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4"/>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312" w:lineRule="auto"/>
              <w:rPr>
                <w:sz w:val="24"/>
              </w:rPr>
            </w:pPr>
          </w:p>
        </w:tc>
        <w:tc>
          <w:tcPr>
            <w:tcW w:w="8871" w:type="dxa"/>
            <w:gridSpan w:val="3"/>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4"/>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312" w:lineRule="auto"/>
              <w:rPr>
                <w:sz w:val="24"/>
              </w:rPr>
            </w:pPr>
          </w:p>
        </w:tc>
        <w:tc>
          <w:tcPr>
            <w:tcW w:w="8871" w:type="dxa"/>
            <w:gridSpan w:val="3"/>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4"/>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3"/>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4"/>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4"/>
            <w:vAlign w:val="center"/>
          </w:tcPr>
          <w:p>
            <w:pPr>
              <w:adjustRightInd w:val="0"/>
              <w:snapToGrid w:val="0"/>
              <w:spacing w:line="420" w:lineRule="exact"/>
              <w:rPr>
                <w:rFonts w:hAnsi="宋体" w:cs="仿宋_GB2312"/>
                <w:sz w:val="24"/>
              </w:rPr>
            </w:pPr>
            <w:bookmarkStart w:id="5" w:name="_Toc283559965"/>
            <w:bookmarkStart w:id="6" w:name="_Toc225243456"/>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3"/>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1、逾期送达的或者未送达指定地点的纸质投标文件；</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4"/>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3"/>
            <w:vAlign w:val="center"/>
          </w:tcPr>
          <w:p>
            <w:pPr>
              <w:tabs>
                <w:tab w:val="left" w:pos="1213"/>
              </w:tabs>
              <w:adjustRightInd w:val="0"/>
              <w:snapToGrid w:val="0"/>
              <w:spacing w:line="420" w:lineRule="exact"/>
              <w:rPr>
                <w:rFonts w:ascii="新宋体" w:hAnsi="新宋体" w:eastAsia="新宋体"/>
                <w:sz w:val="24"/>
                <w:szCs w:val="22"/>
              </w:rPr>
            </w:pPr>
            <w:r>
              <w:rPr>
                <w:rFonts w:hint="eastAsia" w:hAnsi="宋体" w:cs="宋体"/>
                <w:b/>
                <w:bCs/>
                <w:sz w:val="22"/>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4"/>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3"/>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新宋体" w:hAnsi="新宋体" w:eastAsia="新宋体"/>
                <w:sz w:val="24"/>
                <w:szCs w:val="22"/>
              </w:rPr>
            </w:pPr>
            <w:r>
              <w:rPr>
                <w:rFonts w:hint="eastAsia" w:ascii="新宋体" w:hAnsi="新宋体" w:eastAsia="新宋体"/>
                <w:sz w:val="24"/>
                <w:szCs w:val="22"/>
              </w:rPr>
              <w:t>1、潜在投标人应仔细阅读招标文件、工程量清单，若发现工程量清单中项目特征描述错误等或工程量清单与图纸存在差异，请在规定时间内在《全国公共资源交易平台（河南省·许昌市）》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新宋体" w:hAnsi="新宋体" w:eastAsia="新宋体"/>
                <w:sz w:val="24"/>
                <w:szCs w:val="22"/>
              </w:rPr>
            </w:pPr>
            <w:r>
              <w:rPr>
                <w:rFonts w:hint="eastAsia" w:ascii="新宋体" w:hAnsi="新宋体" w:eastAsia="新宋体"/>
                <w:sz w:val="24"/>
                <w:szCs w:val="22"/>
              </w:rPr>
              <w:t>2、潜在投标人如对招标文件有异议，请在规定时间内在《全国公共资源交易平台（河南省·许昌市）》交易系统中提出，以其他方式递交的异议不予接受。</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新宋体" w:hAnsi="新宋体" w:eastAsia="新宋体"/>
                <w:sz w:val="24"/>
                <w:szCs w:val="22"/>
              </w:rPr>
            </w:pPr>
            <w:r>
              <w:rPr>
                <w:rFonts w:hint="eastAsia" w:ascii="新宋体" w:hAnsi="新宋体" w:eastAsia="新宋体"/>
                <w:sz w:val="24"/>
                <w:szCs w:val="22"/>
              </w:rPr>
              <w:t>3、投标人在投标截止时间前应随时关注《全国公共资源交易平台（河南省·许昌市）》公共资源交易系统发出的有关本项目的答疑、修改等相关内容。</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新宋体" w:hAnsi="新宋体" w:eastAsia="新宋体"/>
                <w:sz w:val="24"/>
                <w:szCs w:val="22"/>
              </w:rPr>
            </w:pPr>
            <w:r>
              <w:rPr>
                <w:rFonts w:hint="eastAsia" w:ascii="新宋体" w:hAnsi="新宋体" w:eastAsia="新宋体"/>
                <w:sz w:val="24"/>
                <w:szCs w:val="22"/>
              </w:rPr>
              <w:t>4、本项目试行全流程电子化交易，如因交易系统异常情况无法完成，将以人工方式进行。</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新宋体" w:hAnsi="新宋体" w:eastAsia="新宋体"/>
                <w:sz w:val="24"/>
                <w:szCs w:val="22"/>
              </w:rPr>
            </w:pPr>
            <w:r>
              <w:rPr>
                <w:rFonts w:hint="eastAsia" w:ascii="新宋体" w:hAnsi="新宋体" w:eastAsia="新宋体"/>
                <w:sz w:val="24"/>
                <w:szCs w:val="22"/>
              </w:rPr>
              <w:t>5、投标文件依据最终的招标文件进行编制。如果招标文件发生变更，投标人应以招标人最终发出的电子招标文件为准，编制投标文件，务请投标人随时关注项目变更信息。</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新宋体" w:hAnsi="新宋体" w:eastAsia="新宋体"/>
                <w:sz w:val="24"/>
                <w:szCs w:val="22"/>
              </w:rPr>
            </w:pPr>
            <w:r>
              <w:rPr>
                <w:rFonts w:hint="eastAsia" w:ascii="新宋体" w:hAnsi="新宋体" w:eastAsia="新宋体"/>
                <w:sz w:val="24"/>
                <w:szCs w:val="22"/>
              </w:rPr>
              <w:t>6、投标人电子投标文件成功提交后，应打印“投标文件提交回执单”，供开标现场备查。</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新宋体" w:hAnsi="新宋体" w:eastAsia="新宋体"/>
                <w:sz w:val="24"/>
                <w:szCs w:val="22"/>
              </w:rPr>
            </w:pPr>
            <w:r>
              <w:rPr>
                <w:rFonts w:hint="eastAsia" w:ascii="新宋体" w:hAnsi="新宋体" w:eastAsia="新宋体"/>
                <w:sz w:val="24"/>
                <w:szCs w:val="22"/>
              </w:rPr>
              <w:t>7、商务标投标文件制作注意事项：</w:t>
            </w:r>
          </w:p>
          <w:p>
            <w:pPr>
              <w:spacing w:line="360" w:lineRule="auto"/>
              <w:rPr>
                <w:rFonts w:hint="eastAsia" w:ascii="新宋体" w:hAnsi="新宋体" w:eastAsia="新宋体"/>
                <w:sz w:val="24"/>
                <w:szCs w:val="22"/>
              </w:rPr>
            </w:pPr>
            <w:r>
              <w:rPr>
                <w:rFonts w:hint="eastAsia" w:ascii="新宋体" w:hAnsi="新宋体" w:eastAsia="新宋体"/>
                <w:sz w:val="24"/>
                <w:szCs w:val="22"/>
              </w:rPr>
              <w:t>7.1 投标人登录《全国公共资源交易平台（河南省·许昌市）》交易系统下载“许昌投标文件制作系统SEARUN V1.</w:t>
            </w:r>
            <w:r>
              <w:rPr>
                <w:rFonts w:hint="eastAsia" w:ascii="新宋体" w:hAnsi="新宋体" w:eastAsia="新宋体"/>
                <w:sz w:val="24"/>
                <w:szCs w:val="22"/>
                <w:lang w:val="en-US" w:eastAsia="zh-CN"/>
              </w:rPr>
              <w:t>1</w:t>
            </w:r>
            <w:r>
              <w:rPr>
                <w:rFonts w:hint="eastAsia" w:ascii="新宋体" w:hAnsi="新宋体" w:eastAsia="新宋体"/>
                <w:sz w:val="24"/>
                <w:szCs w:val="22"/>
              </w:rPr>
              <w:t>” 和操作手册（工程项目），按招标文件要求制作商务标投标文件。</w:t>
            </w:r>
          </w:p>
          <w:p>
            <w:pPr>
              <w:spacing w:line="360" w:lineRule="auto"/>
              <w:rPr>
                <w:rFonts w:hint="eastAsia" w:ascii="新宋体" w:hAnsi="新宋体" w:eastAsia="新宋体"/>
                <w:sz w:val="24"/>
                <w:szCs w:val="22"/>
              </w:rPr>
            </w:pPr>
            <w:r>
              <w:rPr>
                <w:rFonts w:hint="eastAsia" w:ascii="新宋体" w:hAnsi="新宋体" w:eastAsia="新宋体"/>
                <w:sz w:val="24"/>
                <w:szCs w:val="22"/>
              </w:rPr>
              <w:t>7.2 商务标投标文件制作技术咨询：0374-2961598。</w:t>
            </w:r>
          </w:p>
          <w:p>
            <w:pPr>
              <w:keepNext w:val="0"/>
              <w:keepLines w:val="0"/>
              <w:pageBreakBefore w:val="0"/>
              <w:widowControl w:val="0"/>
              <w:kinsoku/>
              <w:wordWrap/>
              <w:overflowPunct/>
              <w:topLinePunct w:val="0"/>
              <w:autoSpaceDE w:val="0"/>
              <w:autoSpaceDN w:val="0"/>
              <w:bidi w:val="0"/>
              <w:adjustRightInd w:val="0"/>
              <w:snapToGrid w:val="0"/>
              <w:spacing w:line="350" w:lineRule="exact"/>
              <w:jc w:val="left"/>
              <w:textAlignment w:val="auto"/>
              <w:outlineLvl w:val="0"/>
              <w:rPr>
                <w:rFonts w:hAnsi="宋体" w:cs="仿宋_GB2312"/>
                <w:sz w:val="24"/>
              </w:rPr>
            </w:pPr>
            <w:r>
              <w:rPr>
                <w:rFonts w:hint="eastAsia"/>
                <w:b/>
                <w:bCs/>
                <w:sz w:val="24"/>
                <w:szCs w:val="24"/>
              </w:rPr>
              <w:t>8</w:t>
            </w:r>
            <w:r>
              <w:rPr>
                <w:rFonts w:hint="eastAsia"/>
                <w:b/>
                <w:bCs/>
                <w:sz w:val="24"/>
                <w:szCs w:val="24"/>
                <w:lang w:eastAsia="zh-CN"/>
              </w:rPr>
              <w:t>、</w:t>
            </w:r>
            <w:r>
              <w:rPr>
                <w:rFonts w:hint="eastAsia" w:hAnsi="宋体" w:cs="宋体"/>
                <w:b/>
                <w:bCs/>
                <w:sz w:val="24"/>
                <w:szCs w:val="24"/>
              </w:rPr>
              <w:t>不同投标人电子投标文件制作硬件特征码（网卡MAC地址、CPU序号、硬盘序列号等）雷同时，视为‘不同投标人的投标文件由同一单位或者个人编制’或‘不同投标人委托同一单位或者个人办理投标事宜’，其投标无效”。</w:t>
            </w:r>
          </w:p>
        </w:tc>
      </w:tr>
    </w:tbl>
    <w:p>
      <w:pPr>
        <w:autoSpaceDE w:val="0"/>
        <w:autoSpaceDN w:val="0"/>
        <w:spacing w:line="440" w:lineRule="exact"/>
        <w:jc w:val="left"/>
        <w:outlineLvl w:val="0"/>
        <w:rPr>
          <w:rFonts w:hAnsi="宋体" w:cs="宋体"/>
          <w:b/>
          <w:sz w:val="28"/>
          <w:szCs w:val="28"/>
        </w:rPr>
      </w:pPr>
      <w:bookmarkStart w:id="7" w:name="_Toc283559947"/>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w:t>
      </w:r>
      <w:r>
        <w:rPr>
          <w:rFonts w:hint="eastAsia" w:hAnsi="宋体" w:cs="仿宋_GB2312"/>
          <w:sz w:val="24"/>
          <w:lang w:val="en-US" w:eastAsia="zh-CN"/>
        </w:rPr>
        <w:t>1</w:t>
      </w:r>
      <w:r>
        <w:rPr>
          <w:rFonts w:hint="eastAsia" w:hAnsi="宋体" w:cs="仿宋_GB2312"/>
          <w:sz w:val="24"/>
        </w:rPr>
        <w:t xml:space="preserve">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w:t>
      </w:r>
      <w:r>
        <w:rPr>
          <w:rFonts w:hint="eastAsia" w:hAnsi="宋体" w:cs="仿宋_GB2312"/>
          <w:sz w:val="24"/>
          <w:lang w:val="en-US" w:eastAsia="zh-CN"/>
        </w:rPr>
        <w:t>2</w:t>
      </w:r>
      <w:r>
        <w:rPr>
          <w:rFonts w:hint="eastAsia" w:hAnsi="宋体" w:cs="仿宋_GB2312"/>
          <w:sz w:val="24"/>
        </w:rPr>
        <w:t xml:space="preserve"> 本招标项目</w:t>
      </w:r>
      <w:r>
        <w:rPr>
          <w:rFonts w:hint="eastAsia" w:hAnsi="宋体" w:cs="仿宋_GB2312"/>
          <w:sz w:val="24"/>
          <w:lang w:val="en-US" w:eastAsia="zh-CN"/>
        </w:rPr>
        <w:t>代理机构</w:t>
      </w:r>
      <w:r>
        <w:rPr>
          <w:rFonts w:hint="eastAsia" w:hAnsi="宋体" w:cs="仿宋_GB2312"/>
          <w:sz w:val="24"/>
        </w:rPr>
        <w:t>：见投标人须知前附表。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w:t>
      </w:r>
      <w:r>
        <w:rPr>
          <w:rFonts w:hint="eastAsia" w:hAnsi="宋体" w:cs="仿宋_GB2312"/>
          <w:sz w:val="24"/>
          <w:lang w:val="en-US" w:eastAsia="zh-CN"/>
        </w:rPr>
        <w:t>4</w:t>
      </w:r>
      <w:r>
        <w:rPr>
          <w:rFonts w:hint="eastAsia" w:hAnsi="宋体" w:cs="仿宋_GB2312"/>
          <w:sz w:val="24"/>
        </w:rPr>
        <w:t xml:space="preserve">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w:t>
      </w:r>
      <w:r>
        <w:rPr>
          <w:rFonts w:hint="eastAsia" w:hAnsi="宋体" w:cs="仿宋_GB2312"/>
          <w:sz w:val="24"/>
          <w:lang w:val="en-US" w:eastAsia="zh-CN"/>
        </w:rPr>
        <w:t>3</w:t>
      </w:r>
      <w:r>
        <w:rPr>
          <w:rFonts w:hint="eastAsia" w:hAnsi="宋体" w:cs="仿宋_GB2312"/>
          <w:sz w:val="24"/>
        </w:rPr>
        <w:t>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w:t>
      </w:r>
      <w:r>
        <w:rPr>
          <w:rFonts w:hint="eastAsia" w:hAnsi="宋体" w:cs="宋体"/>
          <w:b/>
          <w:sz w:val="24"/>
          <w:lang w:eastAsia="zh-CN"/>
        </w:rPr>
        <w:t>项目负责人</w:t>
      </w:r>
      <w:r>
        <w:rPr>
          <w:rFonts w:hint="eastAsia" w:hAnsi="宋体" w:cs="宋体"/>
          <w:b/>
          <w:sz w:val="24"/>
        </w:rPr>
        <w:t>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lang w:eastAsia="zh-CN"/>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44974503"/>
      <w:bookmarkStart w:id="9" w:name="_Toc179632552"/>
      <w:bookmarkStart w:id="10" w:name="_Toc152045535"/>
      <w:bookmarkStart w:id="11" w:name="_Toc152042311"/>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52045536"/>
      <w:bookmarkStart w:id="13" w:name="_Toc152042312"/>
      <w:bookmarkStart w:id="14" w:name="_Toc179632553"/>
      <w:bookmarkStart w:id="15" w:name="_Toc144974504"/>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2313"/>
      <w:bookmarkStart w:id="18" w:name="_Toc152045537"/>
      <w:bookmarkStart w:id="19" w:name="_Toc179632554"/>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5538"/>
      <w:bookmarkStart w:id="21" w:name="_Toc144974506"/>
      <w:bookmarkStart w:id="22" w:name="_Toc152042314"/>
      <w:bookmarkStart w:id="23" w:name="_Toc179632555"/>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ind w:firstLine="480" w:firstLineChars="200"/>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80" w:firstLineChars="200"/>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7"/>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（6）技术标准和要求；</w:t>
      </w:r>
    </w:p>
    <w:p>
      <w:pPr>
        <w:spacing w:line="450" w:lineRule="exact"/>
        <w:ind w:firstLine="410" w:firstLineChars="171"/>
        <w:rPr>
          <w:sz w:val="24"/>
        </w:rPr>
      </w:pPr>
      <w:r>
        <w:rPr>
          <w:rFonts w:hint="eastAsia"/>
          <w:sz w:val="24"/>
        </w:rPr>
        <w:t>（7）投标文件格式；</w:t>
      </w:r>
    </w:p>
    <w:p>
      <w:pPr>
        <w:spacing w:line="450" w:lineRule="exact"/>
        <w:ind w:firstLine="410" w:firstLineChars="171"/>
        <w:rPr>
          <w:sz w:val="24"/>
        </w:rPr>
      </w:pPr>
      <w:r>
        <w:rPr>
          <w:rFonts w:hint="eastAsia"/>
          <w:sz w:val="24"/>
        </w:rPr>
        <w:t>（8）投标人须知前附表规定的其他材料；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79632564"/>
      <w:bookmarkStart w:id="32" w:name="_Toc144974514"/>
      <w:bookmarkStart w:id="33" w:name="_Toc152045546"/>
      <w:bookmarkStart w:id="34" w:name="_Toc152042322"/>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1</w:t>
      </w:r>
      <w:r>
        <w:rPr>
          <w:rFonts w:hint="eastAsia" w:hAnsi="宋体" w:cs="宋体"/>
          <w:sz w:val="24"/>
          <w:szCs w:val="22"/>
          <w:lang w:eastAsia="zh-CN"/>
        </w:rPr>
        <w:t>）</w:t>
      </w:r>
      <w:r>
        <w:rPr>
          <w:rFonts w:hint="eastAsia" w:hAnsi="宋体" w:cs="宋体"/>
          <w:sz w:val="24"/>
          <w:szCs w:val="22"/>
        </w:rPr>
        <w:t>投标函；</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val="en-US" w:eastAsia="zh-CN"/>
        </w:rPr>
        <w:t>（2）</w:t>
      </w:r>
      <w:r>
        <w:rPr>
          <w:rFonts w:hint="eastAsia" w:hAnsi="宋体" w:cs="宋体"/>
          <w:sz w:val="24"/>
          <w:szCs w:val="22"/>
        </w:rPr>
        <w:t>投标函附录；</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3</w:t>
      </w:r>
      <w:r>
        <w:rPr>
          <w:rFonts w:hint="eastAsia" w:hAnsi="宋体" w:cs="宋体"/>
          <w:sz w:val="24"/>
          <w:szCs w:val="22"/>
          <w:lang w:eastAsia="zh-CN"/>
        </w:rPr>
        <w:t>）</w:t>
      </w:r>
      <w:r>
        <w:rPr>
          <w:rFonts w:hint="eastAsia" w:hAnsi="宋体" w:cs="宋体"/>
          <w:sz w:val="24"/>
          <w:szCs w:val="22"/>
        </w:rPr>
        <w:t>法定代表人身份证明、授权委托书；</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4</w:t>
      </w:r>
      <w:r>
        <w:rPr>
          <w:rFonts w:hint="eastAsia" w:hAnsi="宋体" w:cs="宋体"/>
          <w:sz w:val="24"/>
          <w:szCs w:val="22"/>
          <w:lang w:eastAsia="zh-CN"/>
        </w:rPr>
        <w:t>）</w:t>
      </w:r>
      <w:r>
        <w:rPr>
          <w:rFonts w:hint="eastAsia" w:hAnsi="宋体" w:cs="宋体"/>
          <w:sz w:val="24"/>
          <w:szCs w:val="22"/>
        </w:rPr>
        <w:t>投标保证金；</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5</w:t>
      </w:r>
      <w:r>
        <w:rPr>
          <w:rFonts w:hint="eastAsia" w:hAnsi="宋体" w:cs="宋体"/>
          <w:sz w:val="24"/>
          <w:szCs w:val="22"/>
          <w:lang w:eastAsia="zh-CN"/>
        </w:rPr>
        <w:t>）</w:t>
      </w:r>
      <w:r>
        <w:rPr>
          <w:rFonts w:hint="eastAsia" w:hAnsi="宋体" w:cs="宋体"/>
          <w:sz w:val="24"/>
          <w:szCs w:val="22"/>
        </w:rPr>
        <w:t>项目管理机构配备情况；</w:t>
      </w:r>
    </w:p>
    <w:p>
      <w:pPr>
        <w:autoSpaceDE w:val="0"/>
        <w:autoSpaceDN w:val="0"/>
        <w:spacing w:line="420" w:lineRule="exact"/>
        <w:ind w:firstLine="480" w:firstLineChars="200"/>
        <w:jc w:val="left"/>
        <w:outlineLvl w:val="0"/>
        <w:rPr>
          <w:rFonts w:hint="eastAsia" w:hAnsi="宋体" w:eastAsia="宋体" w:cs="宋体"/>
          <w:sz w:val="24"/>
          <w:szCs w:val="22"/>
          <w:lang w:eastAsia="zh-CN"/>
        </w:rPr>
      </w:pPr>
      <w:r>
        <w:rPr>
          <w:rFonts w:hint="eastAsia" w:hAnsi="宋体" w:cs="宋体"/>
          <w:sz w:val="24"/>
          <w:szCs w:val="22"/>
          <w:lang w:eastAsia="zh-CN"/>
        </w:rPr>
        <w:t>（</w:t>
      </w:r>
      <w:r>
        <w:rPr>
          <w:rFonts w:hint="eastAsia" w:hAnsi="宋体" w:cs="宋体"/>
          <w:sz w:val="24"/>
          <w:szCs w:val="22"/>
          <w:lang w:val="en-US" w:eastAsia="zh-CN"/>
        </w:rPr>
        <w:t>6</w:t>
      </w:r>
      <w:r>
        <w:rPr>
          <w:rFonts w:hint="eastAsia" w:hAnsi="宋体" w:cs="宋体"/>
          <w:sz w:val="24"/>
          <w:szCs w:val="22"/>
          <w:lang w:eastAsia="zh-CN"/>
        </w:rPr>
        <w:t>）</w:t>
      </w:r>
      <w:r>
        <w:rPr>
          <w:rFonts w:hint="eastAsia" w:hAnsi="宋体" w:cs="宋体"/>
          <w:sz w:val="24"/>
          <w:szCs w:val="22"/>
        </w:rPr>
        <w:t>投标单位基本信息表</w:t>
      </w:r>
      <w:r>
        <w:rPr>
          <w:rFonts w:hint="eastAsia" w:hAnsi="宋体" w:cs="宋体"/>
          <w:sz w:val="24"/>
          <w:szCs w:val="22"/>
          <w:lang w:eastAsia="zh-CN"/>
        </w:rPr>
        <w:t>；</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7</w:t>
      </w:r>
      <w:r>
        <w:rPr>
          <w:rFonts w:hint="eastAsia" w:hAnsi="宋体" w:cs="宋体"/>
          <w:sz w:val="24"/>
          <w:szCs w:val="22"/>
          <w:lang w:eastAsia="zh-CN"/>
        </w:rPr>
        <w:t>）</w:t>
      </w:r>
      <w:r>
        <w:rPr>
          <w:rFonts w:hint="eastAsia" w:hAnsi="宋体" w:cs="宋体"/>
          <w:sz w:val="24"/>
          <w:szCs w:val="22"/>
        </w:rPr>
        <w:t>资格证明文件；</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8</w:t>
      </w:r>
      <w:r>
        <w:rPr>
          <w:rFonts w:hint="eastAsia" w:hAnsi="宋体" w:cs="宋体"/>
          <w:sz w:val="24"/>
          <w:szCs w:val="22"/>
          <w:lang w:eastAsia="zh-CN"/>
        </w:rPr>
        <w:t>）</w:t>
      </w:r>
      <w:r>
        <w:rPr>
          <w:rFonts w:hint="eastAsia" w:hAnsi="宋体" w:cs="宋体"/>
          <w:sz w:val="24"/>
          <w:szCs w:val="22"/>
        </w:rPr>
        <w:t>正在施工的和新承接的项目情况；</w:t>
      </w:r>
    </w:p>
    <w:p>
      <w:pPr>
        <w:autoSpaceDE w:val="0"/>
        <w:autoSpaceDN w:val="0"/>
        <w:spacing w:line="420" w:lineRule="exact"/>
        <w:ind w:firstLine="480" w:firstLineChars="200"/>
        <w:jc w:val="left"/>
        <w:outlineLvl w:val="0"/>
        <w:rPr>
          <w:rFonts w:hint="eastAsia" w:hAnsi="宋体" w:eastAsia="宋体" w:cs="宋体"/>
          <w:sz w:val="24"/>
          <w:szCs w:val="22"/>
          <w:lang w:eastAsia="zh-CN"/>
        </w:rPr>
      </w:pPr>
      <w:r>
        <w:rPr>
          <w:rFonts w:hint="eastAsia" w:hAnsi="宋体" w:cs="宋体"/>
          <w:sz w:val="24"/>
          <w:szCs w:val="22"/>
          <w:lang w:eastAsia="zh-CN"/>
        </w:rPr>
        <w:t>（</w:t>
      </w:r>
      <w:r>
        <w:rPr>
          <w:rFonts w:hint="eastAsia" w:hAnsi="宋体" w:cs="宋体"/>
          <w:sz w:val="24"/>
          <w:szCs w:val="22"/>
          <w:lang w:val="en-US" w:eastAsia="zh-CN"/>
        </w:rPr>
        <w:t>9</w:t>
      </w:r>
      <w:r>
        <w:rPr>
          <w:rFonts w:hint="eastAsia" w:hAnsi="宋体" w:cs="宋体"/>
          <w:sz w:val="24"/>
          <w:szCs w:val="22"/>
          <w:lang w:eastAsia="zh-CN"/>
        </w:rPr>
        <w:t>）</w:t>
      </w:r>
      <w:r>
        <w:rPr>
          <w:rFonts w:hint="eastAsia" w:hAnsi="宋体" w:cs="宋体"/>
          <w:sz w:val="24"/>
          <w:szCs w:val="22"/>
        </w:rPr>
        <w:t>其它材料</w:t>
      </w:r>
      <w:r>
        <w:rPr>
          <w:rFonts w:hint="eastAsia" w:hAnsi="宋体" w:cs="宋体"/>
          <w:sz w:val="24"/>
          <w:szCs w:val="22"/>
          <w:lang w:eastAsia="zh-CN"/>
        </w:rPr>
        <w:t>。</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80" w:lineRule="exact"/>
        <w:ind w:firstLine="480" w:firstLineChars="200"/>
        <w:rPr>
          <w:rFonts w:hAnsi="宋体" w:cs="宋体"/>
          <w:sz w:val="24"/>
        </w:rPr>
      </w:pPr>
      <w:bookmarkStart w:id="37" w:name="_Toc283559960"/>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szCs w:val="22"/>
        </w:rPr>
      </w:pPr>
      <w:r>
        <w:rPr>
          <w:rFonts w:hint="eastAsia" w:ascii="新宋体" w:hAnsi="新宋体" w:eastAsia="新宋体" w:cs="仿宋_GB2312"/>
          <w:sz w:val="24"/>
          <w:szCs w:val="22"/>
        </w:rPr>
        <w:t>（2）在法定期限内签订书面合同，中标人执投标保证金退还申请表（单位加盖行政公章）及合同原件</w:t>
      </w:r>
      <w:r>
        <w:rPr>
          <w:rFonts w:hint="eastAsia" w:ascii="新宋体" w:hAnsi="新宋体" w:eastAsia="新宋体" w:cs="仿宋_GB2312"/>
          <w:sz w:val="24"/>
          <w:szCs w:val="22"/>
          <w:lang w:eastAsia="zh-CN"/>
        </w:rPr>
        <w:t>、</w:t>
      </w:r>
      <w:r>
        <w:rPr>
          <w:rFonts w:hint="eastAsia" w:ascii="新宋体" w:hAnsi="新宋体" w:eastAsia="新宋体" w:cs="仿宋_GB2312"/>
          <w:sz w:val="24"/>
          <w:szCs w:val="22"/>
          <w:lang w:val="en-US" w:eastAsia="zh-CN"/>
        </w:rPr>
        <w:t>履约保证金转帐凭证</w:t>
      </w:r>
      <w:r>
        <w:rPr>
          <w:rFonts w:hint="eastAsia" w:ascii="新宋体" w:hAnsi="新宋体" w:eastAsia="新宋体" w:cs="仿宋_GB2312"/>
          <w:sz w:val="24"/>
          <w:szCs w:val="22"/>
        </w:rPr>
        <w:t>到中心业务部室办理退款手续，中心在5个工作日内向中标人和其他中标候选人退还投标保证金及银行同期活期存款利息。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szCs w:val="22"/>
        </w:rPr>
      </w:pPr>
      <w:r>
        <w:rPr>
          <w:rFonts w:hint="eastAsia" w:ascii="新宋体" w:hAnsi="新宋体" w:eastAsia="新宋体" w:cs="仿宋_GB2312"/>
          <w:sz w:val="24"/>
          <w:szCs w:val="22"/>
        </w:rPr>
        <w:t>（3）项目废标或招标人终止招标的，在此后5个工作日内退还投标保证金及银行同期活期存利息。</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szCs w:val="22"/>
        </w:rPr>
      </w:pPr>
      <w:r>
        <w:rPr>
          <w:rFonts w:hint="eastAsia" w:ascii="新宋体" w:hAnsi="新宋体" w:eastAsia="新宋体" w:cs="仿宋_GB2312"/>
          <w:sz w:val="24"/>
          <w:szCs w:val="22"/>
        </w:rPr>
        <w:t>（4）投标活动中出现质疑、投诉的，中标候选人、质疑人和被质疑人、投诉人和被投诉人的投标保证金暂停退还。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szCs w:val="22"/>
        </w:rPr>
      </w:pPr>
      <w:r>
        <w:rPr>
          <w:rFonts w:hint="eastAsia" w:ascii="新宋体" w:hAnsi="新宋体" w:eastAsia="新宋体" w:cs="仿宋_GB2312"/>
          <w:sz w:val="24"/>
          <w:szCs w:val="22"/>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szCs w:val="22"/>
        </w:rPr>
      </w:pPr>
      <w:r>
        <w:rPr>
          <w:rFonts w:hint="eastAsia" w:ascii="新宋体" w:hAnsi="新宋体" w:eastAsia="新宋体" w:cs="仿宋_GB2312"/>
          <w:sz w:val="24"/>
          <w:szCs w:val="22"/>
        </w:rPr>
        <w:t>（6）退还投标保证金，除另有规定外，一般以转账方式一次性退还至投标保证金的原提交账户。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szCs w:val="22"/>
        </w:rPr>
      </w:pPr>
      <w:r>
        <w:rPr>
          <w:rFonts w:hint="eastAsia" w:ascii="新宋体" w:hAnsi="新宋体" w:eastAsia="新宋体" w:cs="仿宋_GB2312"/>
          <w:sz w:val="24"/>
          <w:szCs w:val="22"/>
        </w:rPr>
        <w:t>2、投标人有下列情形之一的，不予退还投标保证金：</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szCs w:val="22"/>
        </w:rPr>
      </w:pPr>
      <w:r>
        <w:rPr>
          <w:rFonts w:hint="eastAsia" w:ascii="新宋体" w:hAnsi="新宋体" w:eastAsia="新宋体" w:cs="仿宋_GB2312"/>
          <w:sz w:val="24"/>
          <w:szCs w:val="22"/>
        </w:rPr>
        <w:t xml:space="preserve">（一）在招标文件要求提交投标文件的截止时间后至投标文件有效期满前撤回投标的；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szCs w:val="22"/>
        </w:rPr>
      </w:pPr>
      <w:r>
        <w:rPr>
          <w:rFonts w:hint="eastAsia" w:ascii="新宋体" w:hAnsi="新宋体" w:eastAsia="新宋体" w:cs="仿宋_GB2312"/>
          <w:sz w:val="24"/>
          <w:szCs w:val="22"/>
        </w:rPr>
        <w:t xml:space="preserve">（二）中标通知书发出后，中标人无故放弃中标项目或无正当理由在规定时间内不与招标人签订合同或未按招标文件规定提交履约担保的；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szCs w:val="22"/>
        </w:rPr>
      </w:pPr>
      <w:r>
        <w:rPr>
          <w:rFonts w:hint="eastAsia" w:ascii="新宋体" w:hAnsi="新宋体" w:eastAsia="新宋体" w:cs="仿宋_GB2312"/>
          <w:sz w:val="24"/>
          <w:szCs w:val="22"/>
        </w:rPr>
        <w:t xml:space="preserve">（三）将中标项目转让给他人，或者在投标文件中未说明，且未经招标人同意，将中标项目分包给他人的；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szCs w:val="22"/>
        </w:rPr>
      </w:pPr>
      <w:r>
        <w:rPr>
          <w:rFonts w:hint="eastAsia" w:ascii="新宋体" w:hAnsi="新宋体" w:eastAsia="新宋体" w:cs="仿宋_GB2312"/>
          <w:sz w:val="24"/>
          <w:szCs w:val="22"/>
        </w:rPr>
        <w:t xml:space="preserve">（四）投标人在招投标活动中弄虚作假、围标串标，骗取中标并经招投标行政监督部门调查核实的；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szCs w:val="22"/>
        </w:rPr>
      </w:pPr>
      <w:r>
        <w:rPr>
          <w:rFonts w:hint="eastAsia" w:ascii="新宋体" w:hAnsi="新宋体" w:eastAsia="新宋体" w:cs="仿宋_GB2312"/>
          <w:sz w:val="24"/>
          <w:szCs w:val="22"/>
        </w:rPr>
        <w:t>（五）拒绝履行合同义务的；</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szCs w:val="22"/>
        </w:rPr>
      </w:pPr>
      <w:r>
        <w:rPr>
          <w:rFonts w:hint="eastAsia" w:ascii="新宋体" w:hAnsi="新宋体" w:eastAsia="新宋体" w:cs="仿宋_GB2312"/>
          <w:sz w:val="24"/>
          <w:szCs w:val="22"/>
        </w:rPr>
        <w:t>（六）相关法律、法规规定不予退还的其它情形。</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szCs w:val="22"/>
        </w:rPr>
      </w:pPr>
      <w:r>
        <w:rPr>
          <w:rFonts w:hint="eastAsia" w:ascii="新宋体" w:hAnsi="新宋体" w:eastAsia="新宋体" w:cs="仿宋_GB2312"/>
          <w:sz w:val="24"/>
          <w:szCs w:val="22"/>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szCs w:val="22"/>
          <w:lang w:val="zh-CN"/>
        </w:rPr>
      </w:pPr>
      <w:r>
        <w:rPr>
          <w:rFonts w:hint="eastAsia" w:ascii="新宋体" w:hAnsi="新宋体" w:eastAsia="新宋体" w:cs="仿宋_GB2312"/>
          <w:sz w:val="24"/>
          <w:szCs w:val="22"/>
          <w:lang w:val="zh-CN"/>
        </w:rPr>
        <w:t>3.5.1 “投标人基本情况表”应附投标人营业执照副本等材料的原件扫描件。</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szCs w:val="22"/>
          <w:lang w:val="zh-CN"/>
        </w:rPr>
      </w:pPr>
      <w:r>
        <w:rPr>
          <w:rFonts w:hint="eastAsia" w:ascii="新宋体" w:hAnsi="新宋体" w:eastAsia="新宋体" w:cs="仿宋_GB2312"/>
          <w:sz w:val="24"/>
          <w:szCs w:val="22"/>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szCs w:val="22"/>
          <w:lang w:val="zh-CN"/>
        </w:rPr>
      </w:pPr>
      <w:r>
        <w:rPr>
          <w:rFonts w:hint="eastAsia" w:ascii="新宋体" w:hAnsi="新宋体" w:eastAsia="新宋体" w:cs="仿宋_GB2312"/>
          <w:sz w:val="24"/>
          <w:szCs w:val="22"/>
          <w:lang w:val="zh-CN"/>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szCs w:val="22"/>
          <w:lang w:val="zh-CN"/>
        </w:rPr>
      </w:pPr>
      <w:r>
        <w:rPr>
          <w:rFonts w:hint="eastAsia" w:ascii="新宋体" w:hAnsi="新宋体" w:eastAsia="新宋体" w:cs="仿宋_GB2312"/>
          <w:sz w:val="24"/>
          <w:szCs w:val="22"/>
          <w:lang w:val="zh-CN"/>
        </w:rPr>
        <w:t xml:space="preserve"> 3.5.4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szCs w:val="22"/>
        </w:rPr>
      </w:pPr>
      <w:r>
        <w:rPr>
          <w:rFonts w:hint="eastAsia" w:ascii="新宋体" w:hAnsi="新宋体" w:eastAsia="新宋体" w:cs="仿宋_GB2312"/>
          <w:sz w:val="24"/>
          <w:szCs w:val="22"/>
          <w:lang w:val="zh-CN"/>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52042329"/>
      <w:bookmarkStart w:id="39" w:name="_Toc152045553"/>
      <w:bookmarkStart w:id="40" w:name="_Toc179632571"/>
      <w:bookmarkStart w:id="41" w:name="_Toc144974521"/>
      <w:r>
        <w:rPr>
          <w:rFonts w:hint="eastAsia" w:hAnsi="宋体" w:cs="宋体"/>
          <w:b/>
          <w:sz w:val="24"/>
        </w:rPr>
        <w:t>备选投标方案</w:t>
      </w:r>
    </w:p>
    <w:bookmarkEnd w:id="38"/>
    <w:bookmarkEnd w:id="39"/>
    <w:bookmarkEnd w:id="40"/>
    <w:bookmarkEnd w:id="41"/>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szCs w:val="22"/>
        </w:rPr>
      </w:pPr>
      <w:r>
        <w:rPr>
          <w:rFonts w:hint="eastAsia" w:ascii="新宋体" w:hAnsi="新宋体" w:eastAsia="新宋体" w:cs="仿宋_GB2312"/>
          <w:sz w:val="24"/>
          <w:szCs w:val="22"/>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szCs w:val="22"/>
        </w:rPr>
      </w:pPr>
      <w:r>
        <w:rPr>
          <w:rFonts w:hint="eastAsia" w:ascii="新宋体" w:hAnsi="新宋体" w:eastAsia="新宋体" w:cs="仿宋_GB2312"/>
          <w:sz w:val="24"/>
          <w:szCs w:val="22"/>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szCs w:val="22"/>
        </w:rPr>
      </w:pPr>
      <w:r>
        <w:rPr>
          <w:rFonts w:hint="eastAsia" w:ascii="新宋体" w:hAnsi="新宋体" w:eastAsia="新宋体" w:cs="仿宋_GB2312"/>
          <w:sz w:val="24"/>
          <w:szCs w:val="22"/>
        </w:rPr>
        <w:t>3.7.2 投标文件应当对招标文件有关工期、投标有效期、质量要求、招标范围作出响应。</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szCs w:val="22"/>
        </w:rPr>
      </w:pPr>
      <w:r>
        <w:rPr>
          <w:rFonts w:hint="eastAsia" w:ascii="新宋体" w:hAnsi="新宋体" w:eastAsia="新宋体" w:cs="仿宋_GB2312"/>
          <w:sz w:val="24"/>
          <w:szCs w:val="22"/>
        </w:rPr>
        <w:t>3.7.3 投标人编制的投标文件应分为商务标、综合（信用）标和技术标。</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szCs w:val="22"/>
        </w:rPr>
      </w:pPr>
      <w:r>
        <w:rPr>
          <w:rFonts w:hint="eastAsia" w:ascii="新宋体" w:hAnsi="新宋体" w:eastAsia="新宋体" w:cs="仿宋_GB2312"/>
          <w:sz w:val="24"/>
          <w:szCs w:val="22"/>
        </w:rPr>
        <w:t>3.7.4 投标人登录许昌公共资源交易系统下载“许昌投标文件制作系统SEARUN V1.</w:t>
      </w:r>
      <w:r>
        <w:rPr>
          <w:rFonts w:hint="eastAsia" w:ascii="新宋体" w:hAnsi="新宋体" w:eastAsia="新宋体" w:cs="仿宋_GB2312"/>
          <w:sz w:val="24"/>
          <w:szCs w:val="22"/>
          <w:lang w:val="en-US" w:eastAsia="zh-CN"/>
        </w:rPr>
        <w:t>1</w:t>
      </w:r>
      <w:r>
        <w:rPr>
          <w:rFonts w:hint="eastAsia" w:ascii="新宋体" w:hAnsi="新宋体" w:eastAsia="新宋体" w:cs="仿宋_GB2312"/>
          <w:sz w:val="24"/>
          <w:szCs w:val="22"/>
        </w:rPr>
        <w:t>”，按招标文件要求制作电子投标文件（包括含工程量清单的商务标投标文件）。</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szCs w:val="22"/>
        </w:rPr>
      </w:pPr>
      <w:r>
        <w:rPr>
          <w:rFonts w:hint="eastAsia" w:ascii="新宋体" w:hAnsi="新宋体" w:eastAsia="新宋体" w:cs="仿宋_GB2312"/>
          <w:sz w:val="24"/>
          <w:szCs w:val="22"/>
        </w:rPr>
        <w:t>3.7.5 使用电子介质存储的备份文件1份。</w:t>
      </w:r>
    </w:p>
    <w:p>
      <w:pPr>
        <w:autoSpaceDE w:val="0"/>
        <w:autoSpaceDN w:val="0"/>
        <w:spacing w:line="440" w:lineRule="exact"/>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outlineLvl w:val="0"/>
        <w:rPr>
          <w:rFonts w:hAnsi="宋体" w:cs="宋体"/>
          <w:sz w:val="24"/>
        </w:rPr>
      </w:pPr>
      <w:r>
        <w:rPr>
          <w:rFonts w:hint="eastAsia" w:ascii="新宋体" w:hAnsi="新宋体" w:eastAsia="新宋体" w:cs="仿宋_GB2312"/>
          <w:sz w:val="24"/>
          <w:szCs w:val="22"/>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sz w:val="24"/>
        </w:rPr>
        <w:t>，</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autoSpaceDE w:val="0"/>
        <w:autoSpaceDN w:val="0"/>
        <w:adjustRightInd w:val="0"/>
        <w:spacing w:line="360" w:lineRule="auto"/>
        <w:ind w:firstLine="480"/>
        <w:rPr>
          <w:rFonts w:hAnsi="宋体" w:cs="宋体"/>
          <w:bCs/>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w:t>
      </w:r>
      <w:r>
        <w:rPr>
          <w:rFonts w:hint="eastAsia" w:hAnsi="宋体" w:cs="宋体"/>
          <w:sz w:val="24"/>
          <w:lang w:val="en-US" w:eastAsia="zh-CN"/>
        </w:rPr>
        <w:t>9</w:t>
      </w:r>
      <w:r>
        <w:rPr>
          <w:rFonts w:hint="eastAsia" w:hAnsi="宋体" w:cs="宋体"/>
          <w:sz w:val="24"/>
        </w:rPr>
        <w:t xml:space="preserve"> 纸质投标文件的正本与副本应分别装订成册，并编制目录，具体装订要求见投标人须知前附表规定。</w:t>
      </w:r>
    </w:p>
    <w:p>
      <w:pPr>
        <w:autoSpaceDE w:val="0"/>
        <w:autoSpaceDN w:val="0"/>
        <w:spacing w:line="440" w:lineRule="exact"/>
        <w:jc w:val="left"/>
        <w:rPr>
          <w:rFonts w:hAnsi="宋体" w:cs="宋体"/>
          <w:b/>
          <w:sz w:val="24"/>
        </w:rPr>
      </w:pPr>
      <w:r>
        <w:rPr>
          <w:rFonts w:hint="eastAsia" w:hAnsi="宋体" w:cs="宋体"/>
          <w:b/>
          <w:sz w:val="24"/>
        </w:rPr>
        <w:t xml:space="preserve">    3.7.</w:t>
      </w:r>
      <w:r>
        <w:rPr>
          <w:rFonts w:hint="eastAsia" w:hAnsi="宋体" w:cs="宋体"/>
          <w:b/>
          <w:sz w:val="24"/>
          <w:lang w:val="en-US" w:eastAsia="zh-CN"/>
        </w:rPr>
        <w:t>10</w:t>
      </w:r>
      <w:r>
        <w:rPr>
          <w:rFonts w:hint="eastAsia" w:hAnsi="宋体" w:cs="宋体"/>
          <w:b/>
          <w:sz w:val="24"/>
        </w:rPr>
        <w:t xml:space="preserve">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w:t>
      </w:r>
      <w:r>
        <w:rPr>
          <w:rFonts w:hint="eastAsia" w:hAnsi="宋体" w:cs="宋体"/>
          <w:sz w:val="24"/>
          <w:lang w:val="en-US" w:eastAsia="zh-CN"/>
        </w:rPr>
        <w:t>10</w:t>
      </w:r>
      <w:r>
        <w:rPr>
          <w:rFonts w:hint="eastAsia" w:hAnsi="宋体" w:cs="宋体"/>
          <w:sz w:val="24"/>
        </w:rPr>
        <w:t>.1 投标人登录【全国公共资源交易平台（河南省·许昌市）】公共资源交易系统下载“许昌投标文件制作系统SEARUN V1.</w:t>
      </w:r>
      <w:r>
        <w:rPr>
          <w:rFonts w:hint="eastAsia" w:hAnsi="宋体" w:cs="宋体"/>
          <w:sz w:val="24"/>
          <w:lang w:val="en-US" w:eastAsia="zh-CN"/>
        </w:rPr>
        <w:t>1</w:t>
      </w:r>
      <w:r>
        <w:rPr>
          <w:rFonts w:hint="eastAsia" w:hAnsi="宋体" w:cs="宋体"/>
          <w:sz w:val="24"/>
        </w:rPr>
        <w:t>”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w:t>
      </w:r>
      <w:r>
        <w:rPr>
          <w:rFonts w:hint="eastAsia" w:hAnsi="宋体" w:cs="宋体"/>
          <w:sz w:val="24"/>
          <w:lang w:val="en-US" w:eastAsia="zh-CN"/>
        </w:rPr>
        <w:t>10</w:t>
      </w:r>
      <w:r>
        <w:rPr>
          <w:rFonts w:hint="eastAsia" w:hAnsi="宋体" w:cs="宋体"/>
          <w:sz w:val="24"/>
        </w:rPr>
        <w:t>.2 商务标投标文件制作技术咨询：0374-2961598。</w:t>
      </w:r>
    </w:p>
    <w:p>
      <w:pPr>
        <w:pStyle w:val="67"/>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纸质投标文件的正本、副本应分开包装，最后把包装好的正本与副本包装在一个包装内，加贴封条，并在封套的封口处加盖投标人公章，</w:t>
      </w:r>
      <w:r>
        <w:rPr>
          <w:rFonts w:hint="eastAsia" w:hAnsi="宋体" w:cs="宋体"/>
          <w:sz w:val="24"/>
          <w:szCs w:val="22"/>
        </w:rPr>
        <w:t>法定代表人或委托代理人签名,</w:t>
      </w:r>
      <w:r>
        <w:rPr>
          <w:rFonts w:hint="eastAsia" w:hAnsi="宋体" w:cs="宋体"/>
          <w:sz w:val="24"/>
        </w:rPr>
        <w:t>密封不符合要求的不予受理。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使用电子介质存储的投标文件应单独密封，封套上写明“投标人名称、项目名称、标段，在  年  月  日  时  分前不得开启”，并加盖单位公章，法定代表人或委托代理人签名，在投标截止时间前随纸质投标文件一并递交。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67"/>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rPr>
        <w:t>5.2.1主持人按下列程序进行开标：</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rPr>
        <w:t>（1）宣布投标截止时间，并公布招标人、代理机构、监督部门名称；</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rPr>
        <w:t>（2）宣布开标纪律；</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rPr>
        <w:t>（3）公布在投标截止时间前递交投标文件的投标人名称和投标保证金缴纳情况。</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rPr>
        <w:t>（4）电子投标文件解密</w:t>
      </w:r>
    </w:p>
    <w:p>
      <w:pPr>
        <w:spacing w:line="360" w:lineRule="auto"/>
        <w:ind w:firstLine="480" w:firstLineChars="200"/>
        <w:rPr>
          <w:rFonts w:hint="eastAsia" w:hAnsi="宋体"/>
          <w:sz w:val="24"/>
          <w:szCs w:val="24"/>
        </w:rPr>
      </w:pPr>
      <w:r>
        <w:rPr>
          <w:rFonts w:hint="eastAsia" w:hAnsi="宋体" w:cs="宋体"/>
          <w:sz w:val="24"/>
          <w:szCs w:val="22"/>
        </w:rPr>
        <w:t>（5）宣布唱标顺序，按已定顺序唱标，唱标内容为：投标人名称、投标报价、质量目</w:t>
      </w:r>
      <w:r>
        <w:rPr>
          <w:rFonts w:hint="eastAsia" w:hAnsi="宋体"/>
          <w:sz w:val="24"/>
          <w:szCs w:val="24"/>
        </w:rPr>
        <w:t>标、工期及其他内容，并记录；</w:t>
      </w:r>
    </w:p>
    <w:p>
      <w:pPr>
        <w:spacing w:line="360" w:lineRule="auto"/>
        <w:ind w:firstLine="480" w:firstLineChars="200"/>
        <w:rPr>
          <w:rFonts w:hint="eastAsia" w:hAnsi="宋体"/>
          <w:sz w:val="24"/>
          <w:szCs w:val="24"/>
        </w:rPr>
      </w:pPr>
      <w:r>
        <w:rPr>
          <w:rFonts w:hint="eastAsia" w:hAnsi="宋体"/>
          <w:sz w:val="24"/>
          <w:szCs w:val="24"/>
        </w:rPr>
        <w:t>（6）现场抽取参与计算评标基准价的K值并宣布，同时公布招标控制价；</w:t>
      </w:r>
    </w:p>
    <w:p>
      <w:pPr>
        <w:spacing w:line="360" w:lineRule="auto"/>
        <w:ind w:firstLine="480" w:firstLineChars="200"/>
        <w:rPr>
          <w:rFonts w:hint="eastAsia" w:hAnsi="宋体"/>
          <w:sz w:val="24"/>
          <w:szCs w:val="24"/>
        </w:rPr>
      </w:pPr>
      <w:r>
        <w:rPr>
          <w:rFonts w:hint="eastAsia" w:hAnsi="宋体"/>
          <w:sz w:val="24"/>
          <w:szCs w:val="24"/>
        </w:rPr>
        <w:t>（7）投标人代表、招标人代表、监标人、记录人等有关人员在开标记录上签字确认；</w:t>
      </w:r>
    </w:p>
    <w:p>
      <w:pPr>
        <w:spacing w:line="360" w:lineRule="auto"/>
        <w:ind w:firstLine="480" w:firstLineChars="200"/>
        <w:rPr>
          <w:rFonts w:hint="eastAsia" w:hAnsi="宋体"/>
          <w:sz w:val="24"/>
          <w:szCs w:val="24"/>
        </w:rPr>
      </w:pPr>
      <w:r>
        <w:rPr>
          <w:rFonts w:hint="eastAsia" w:hAnsi="宋体"/>
          <w:sz w:val="24"/>
          <w:szCs w:val="24"/>
        </w:rPr>
        <w:t>（8）开标结束。</w:t>
      </w:r>
    </w:p>
    <w:p>
      <w:pPr>
        <w:spacing w:line="360" w:lineRule="auto"/>
        <w:ind w:firstLine="480" w:firstLineChars="200"/>
        <w:rPr>
          <w:rFonts w:hint="eastAsia" w:hAnsi="宋体"/>
          <w:sz w:val="24"/>
          <w:szCs w:val="24"/>
        </w:rPr>
      </w:pPr>
      <w:r>
        <w:rPr>
          <w:rFonts w:hint="eastAsia" w:hAnsi="宋体"/>
          <w:sz w:val="24"/>
          <w:szCs w:val="24"/>
        </w:rPr>
        <w:t>5.2.2 电子投标文件的解密</w:t>
      </w:r>
    </w:p>
    <w:p>
      <w:pPr>
        <w:spacing w:line="360" w:lineRule="auto"/>
        <w:ind w:firstLine="480" w:firstLineChars="200"/>
        <w:rPr>
          <w:rFonts w:hint="eastAsia" w:hAnsi="宋体"/>
          <w:sz w:val="24"/>
          <w:szCs w:val="24"/>
        </w:rPr>
      </w:pPr>
      <w:r>
        <w:rPr>
          <w:rFonts w:hint="eastAsia" w:hAnsi="宋体"/>
          <w:sz w:val="24"/>
          <w:szCs w:val="24"/>
        </w:rPr>
        <w:t>5.2.2.1本项目为全流程电子化交易项目，电子投标文件采用双重加密。在投标截止时间到达后，分标段进行解密。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7"/>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7"/>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52045569"/>
      <w:bookmarkStart w:id="56" w:name="_Toc152042345"/>
      <w:bookmarkStart w:id="57" w:name="_Toc144974537"/>
      <w:bookmarkStart w:id="58" w:name="_Toc179632587"/>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int="eastAsia" w:hAnsi="宋体" w:cs="宋体"/>
          <w:b/>
          <w:sz w:val="24"/>
          <w:lang w:val="en-US" w:eastAsia="zh-CN"/>
        </w:rPr>
      </w:pPr>
      <w:bookmarkStart w:id="59" w:name="_Toc283559978"/>
      <w:r>
        <w:rPr>
          <w:rFonts w:hint="eastAsia" w:hAnsi="宋体" w:cs="宋体"/>
          <w:b/>
          <w:sz w:val="24"/>
          <w:lang w:val="en-US" w:eastAsia="zh-CN"/>
        </w:rPr>
        <w:t>7.4履约保证金</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lang w:val="en-US" w:eastAsia="zh-CN"/>
        </w:rPr>
        <w:t>7.4.1</w:t>
      </w:r>
      <w:r>
        <w:rPr>
          <w:rFonts w:hint="eastAsia" w:hAnsi="宋体" w:cs="宋体"/>
          <w:sz w:val="24"/>
          <w:szCs w:val="22"/>
        </w:rPr>
        <w:t xml:space="preserve">履约保证金提交方式 </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rPr>
        <w:t xml:space="preserve">1、以网银、银行转账支票、银行电汇方式提交。  </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rPr>
        <w:t xml:space="preserve">2、现金支票和现金不得作为履约保证金提交方式。  </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rPr>
        <w:t>3、中标人必须通过其公司账户按照规定的方式提交，其名称应与中标单位的名称一致。</w:t>
      </w:r>
    </w:p>
    <w:p>
      <w:pPr>
        <w:autoSpaceDE w:val="0"/>
        <w:autoSpaceDN w:val="0"/>
        <w:spacing w:line="440" w:lineRule="exact"/>
        <w:ind w:firstLine="480" w:firstLineChars="200"/>
        <w:jc w:val="left"/>
        <w:outlineLvl w:val="0"/>
        <w:rPr>
          <w:rFonts w:hint="default" w:hAnsi="宋体" w:cs="宋体"/>
          <w:sz w:val="24"/>
          <w:szCs w:val="22"/>
          <w:lang w:val="en-US" w:eastAsia="zh-CN"/>
        </w:rPr>
      </w:pPr>
      <w:r>
        <w:rPr>
          <w:rFonts w:hint="eastAsia" w:hAnsi="宋体" w:cs="宋体"/>
          <w:sz w:val="24"/>
          <w:szCs w:val="22"/>
          <w:lang w:val="en-US" w:eastAsia="zh-CN"/>
        </w:rPr>
        <w:t>4、中标人在缴纳履约保证金时必须在附言、备注和用途栏注明“项目编号及标段”，否则可能造成延迟退还。</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lang w:val="en-US" w:eastAsia="zh-CN"/>
        </w:rPr>
        <w:t>7.4.2</w:t>
      </w:r>
      <w:r>
        <w:rPr>
          <w:rFonts w:hint="eastAsia" w:hAnsi="宋体" w:cs="宋体"/>
          <w:sz w:val="24"/>
          <w:szCs w:val="22"/>
        </w:rPr>
        <w:t xml:space="preserve">履约保证金提交比例和数额 </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rPr>
        <w:t>履约保证金数额不得超过中标合同金额的10%。</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lang w:val="en-US" w:eastAsia="zh-CN"/>
        </w:rPr>
        <w:t>7.4.3</w:t>
      </w:r>
      <w:r>
        <w:rPr>
          <w:rFonts w:hint="eastAsia" w:hAnsi="宋体" w:cs="宋体"/>
          <w:sz w:val="24"/>
          <w:szCs w:val="22"/>
        </w:rPr>
        <w:t xml:space="preserve">履约保证金的退还 </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rPr>
        <w:t xml:space="preserve">1、项目完工后，由招标人出具《履约保证金退还通知单》，中心财务凭《履约保证金退还通知单》在五个工作日内退还履约保证金及银行同期活期存款利息至中标人账户。  </w:t>
      </w:r>
    </w:p>
    <w:p>
      <w:pPr>
        <w:autoSpaceDE w:val="0"/>
        <w:autoSpaceDN w:val="0"/>
        <w:spacing w:line="440" w:lineRule="exact"/>
        <w:ind w:firstLine="480" w:firstLineChars="200"/>
        <w:jc w:val="left"/>
        <w:outlineLvl w:val="0"/>
        <w:rPr>
          <w:rFonts w:hint="eastAsia" w:hAnsi="宋体" w:cs="宋体"/>
          <w:sz w:val="24"/>
          <w:szCs w:val="22"/>
          <w:lang w:val="en-US" w:eastAsia="zh-CN"/>
        </w:rPr>
      </w:pPr>
      <w:r>
        <w:rPr>
          <w:rFonts w:hint="eastAsia" w:hAnsi="宋体" w:cs="宋体"/>
          <w:sz w:val="24"/>
          <w:szCs w:val="22"/>
        </w:rPr>
        <w:t>2、中标人因发生质疑、投诉、举报或有关部门立案调查的，中心依据相关行政监督部门的意见暂停退还或没收其履约保证金，待行政监督部门对相关情况处置后，按照有关规定办理。</w:t>
      </w:r>
      <w:r>
        <w:rPr>
          <w:rFonts w:ascii="Arial" w:hAnsi="Arial" w:eastAsia="宋体" w:cs="Arial"/>
          <w:color w:val="000000"/>
          <w:kern w:val="0"/>
          <w:szCs w:val="21"/>
        </w:rPr>
        <w:t xml:space="preserve"> </w:t>
      </w:r>
    </w:p>
    <w:p>
      <w:pPr>
        <w:autoSpaceDE w:val="0"/>
        <w:autoSpaceDN w:val="0"/>
        <w:spacing w:line="440" w:lineRule="exact"/>
        <w:jc w:val="left"/>
        <w:outlineLvl w:val="0"/>
        <w:rPr>
          <w:rFonts w:hAnsi="宋体" w:cs="宋体"/>
          <w:b/>
          <w:sz w:val="24"/>
        </w:rPr>
      </w:pPr>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7"/>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hAnsi="宋体" w:cs="宋体"/>
          <w:sz w:val="24"/>
          <w:szCs w:val="22"/>
        </w:rPr>
      </w:pPr>
      <w:r>
        <w:rPr>
          <w:rFonts w:hint="eastAsia" w:hAnsi="宋体" w:cs="宋体"/>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hAnsi="宋体" w:cs="宋体"/>
          <w:sz w:val="24"/>
          <w:szCs w:val="22"/>
        </w:rPr>
      </w:pPr>
      <w:r>
        <w:rPr>
          <w:rFonts w:hint="eastAsia" w:hAnsi="宋体" w:cs="宋体"/>
          <w:sz w:val="24"/>
          <w:szCs w:val="22"/>
        </w:rPr>
        <w:t>投标人和其他利害关系人认为本次招标活动违反法律、法规和规章规定的，有权向有关行政监督部门投诉。</w:t>
      </w:r>
    </w:p>
    <w:p>
      <w:pPr>
        <w:pStyle w:val="67"/>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需要补充的其他内容：见投标人须知前附表。</w:t>
      </w:r>
      <w:bookmarkStart w:id="69" w:name="_Toc283559990"/>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pStyle w:val="2"/>
        <w:rPr>
          <w:rFonts w:hint="eastAsia"/>
        </w:rPr>
      </w:pPr>
    </w:p>
    <w:p>
      <w:pPr>
        <w:autoSpaceDE w:val="0"/>
        <w:autoSpaceDN w:val="0"/>
        <w:adjustRightInd w:val="0"/>
        <w:spacing w:line="440" w:lineRule="exact"/>
        <w:ind w:firstLine="480" w:firstLineChars="200"/>
        <w:jc w:val="lef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lang w:val="en-US" w:eastAsia="zh-CN"/>
        </w:rPr>
        <w:t xml:space="preserve"> </w:t>
      </w:r>
      <w:r>
        <w:rPr>
          <w:rFonts w:hint="eastAsia" w:hAnsi="宋体" w:cs="宋体"/>
          <w:sz w:val="24"/>
        </w:rPr>
        <w:t>年</w:t>
      </w:r>
      <w:r>
        <w:rPr>
          <w:rFonts w:hint="eastAsia" w:hAnsi="宋体" w:cs="宋体"/>
          <w:sz w:val="24"/>
          <w:lang w:val="en-US" w:eastAsia="zh-CN"/>
        </w:rPr>
        <w:t xml:space="preserve"> </w:t>
      </w:r>
      <w:r>
        <w:rPr>
          <w:rFonts w:hint="eastAsia" w:hAnsi="宋体" w:cs="宋体"/>
          <w:sz w:val="24"/>
        </w:rPr>
        <w:t>月</w:t>
      </w:r>
      <w:r>
        <w:rPr>
          <w:rFonts w:hint="eastAsia" w:hAnsi="宋体" w:cs="宋体"/>
          <w:sz w:val="24"/>
          <w:lang w:val="en-US" w:eastAsia="zh-CN"/>
        </w:rPr>
        <w:t xml:space="preserve"> </w:t>
      </w:r>
      <w:r>
        <w:rPr>
          <w:rFonts w:hint="eastAsia" w:hAnsi="宋体" w:cs="宋体"/>
          <w:sz w:val="24"/>
        </w:rPr>
        <w:t>日</w:t>
      </w:r>
      <w:r>
        <w:rPr>
          <w:rFonts w:hint="eastAsia" w:hAnsi="宋体" w:cs="宋体"/>
          <w:sz w:val="24"/>
          <w:lang w:val="en-US" w:eastAsia="zh-CN"/>
        </w:rPr>
        <w:t xml:space="preserve"> </w:t>
      </w:r>
      <w:r>
        <w:rPr>
          <w:rFonts w:hint="eastAsia" w:hAnsi="宋体" w:cs="宋体"/>
          <w:sz w:val="24"/>
        </w:rPr>
        <w:t>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jc w:val="right"/>
        <w:rPr>
          <w:rFonts w:hAnsi="宋体" w:cs="宋体"/>
          <w:sz w:val="24"/>
        </w:rPr>
      </w:pPr>
      <w:r>
        <w:rPr>
          <w:rFonts w:hint="eastAsia"/>
          <w:color w:val="000000"/>
          <w:sz w:val="24"/>
        </w:rPr>
        <w:t>年</w:t>
      </w:r>
      <w:r>
        <w:rPr>
          <w:rFonts w:hint="eastAsia"/>
          <w:color w:val="000000"/>
          <w:sz w:val="24"/>
          <w:lang w:val="en-US" w:eastAsia="zh-CN"/>
        </w:rPr>
        <w:t xml:space="preserve"> </w:t>
      </w:r>
      <w:r>
        <w:rPr>
          <w:rFonts w:hint="eastAsia"/>
          <w:color w:val="000000"/>
          <w:sz w:val="24"/>
        </w:rPr>
        <w:t>月</w:t>
      </w:r>
      <w:r>
        <w:rPr>
          <w:rFonts w:hint="eastAsia"/>
          <w:color w:val="000000"/>
          <w:sz w:val="24"/>
          <w:lang w:val="en-US" w:eastAsia="zh-CN"/>
        </w:rPr>
        <w:t xml:space="preserve"> </w:t>
      </w:r>
      <w:r>
        <w:rPr>
          <w:rFonts w:hint="eastAsia"/>
          <w:color w:val="000000"/>
          <w:sz w:val="24"/>
        </w:rPr>
        <w:t>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0" w:firstLineChars="0"/>
      </w:pPr>
    </w:p>
    <w:p>
      <w:pPr>
        <w:spacing w:line="400" w:lineRule="exact"/>
        <w:ind w:firstLine="480" w:firstLineChars="200"/>
        <w:rPr>
          <w:rFonts w:hint="eastAsia" w:hAnsi="宋体" w:cs="宋体"/>
          <w:b/>
          <w:bCs/>
          <w:sz w:val="24"/>
        </w:rPr>
      </w:pPr>
    </w:p>
    <w:p>
      <w:pPr>
        <w:spacing w:line="400" w:lineRule="exact"/>
        <w:ind w:firstLine="480" w:firstLineChars="200"/>
        <w:rPr>
          <w:rFonts w:hint="eastAsia" w:hAnsi="宋体" w:cs="宋体"/>
          <w:b/>
          <w:bCs/>
          <w:sz w:val="24"/>
        </w:rPr>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ind w:firstLine="7200" w:firstLineChars="3000"/>
        <w:rPr>
          <w:rFonts w:hAnsi="宋体" w:cs="宋体"/>
          <w:sz w:val="24"/>
        </w:rPr>
      </w:pPr>
      <w:r>
        <w:rPr>
          <w:rFonts w:hint="eastAsia" w:hAnsi="宋体" w:cs="宋体"/>
          <w:sz w:val="24"/>
        </w:rPr>
        <w:t>年</w:t>
      </w:r>
      <w:r>
        <w:rPr>
          <w:rFonts w:hint="eastAsia" w:hAnsi="宋体" w:cs="宋体"/>
          <w:sz w:val="24"/>
          <w:lang w:val="en-US" w:eastAsia="zh-CN"/>
        </w:rPr>
        <w:t xml:space="preserve"> </w:t>
      </w:r>
      <w:r>
        <w:rPr>
          <w:rFonts w:hint="eastAsia" w:hAnsi="宋体" w:cs="宋体"/>
          <w:sz w:val="24"/>
        </w:rPr>
        <w:t>月</w:t>
      </w:r>
      <w:r>
        <w:rPr>
          <w:rFonts w:hint="eastAsia" w:hAnsi="宋体" w:cs="宋体"/>
          <w:sz w:val="24"/>
          <w:lang w:val="en-US" w:eastAsia="zh-CN"/>
        </w:rPr>
        <w:t xml:space="preserve"> </w:t>
      </w:r>
      <w:r>
        <w:rPr>
          <w:rFonts w:hint="eastAsia" w:hAnsi="宋体" w:cs="宋体"/>
          <w:sz w:val="24"/>
        </w:rPr>
        <w:t>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spacing w:line="420" w:lineRule="exact"/>
        <w:rPr>
          <w:rFonts w:hint="eastAsia" w:hAnsi="宋体"/>
          <w:b/>
          <w:sz w:val="36"/>
          <w:szCs w:val="36"/>
        </w:rPr>
      </w:pPr>
    </w:p>
    <w:p>
      <w:pPr>
        <w:pStyle w:val="2"/>
        <w:rPr>
          <w:rFonts w:hint="eastAsia"/>
        </w:rPr>
      </w:pPr>
    </w:p>
    <w:p>
      <w:pPr>
        <w:spacing w:line="420" w:lineRule="exact"/>
        <w:ind w:firstLine="2160" w:firstLineChars="600"/>
        <w:rPr>
          <w:rFonts w:hint="eastAsia" w:hAnsi="宋体"/>
          <w:b/>
          <w:sz w:val="36"/>
          <w:szCs w:val="36"/>
        </w:rPr>
      </w:pPr>
    </w:p>
    <w:p>
      <w:pPr>
        <w:spacing w:line="420" w:lineRule="exact"/>
        <w:ind w:firstLine="2160" w:firstLineChars="600"/>
        <w:rPr>
          <w:rFonts w:hint="eastAsia" w:hAnsi="宋体"/>
          <w:b/>
          <w:sz w:val="36"/>
          <w:szCs w:val="36"/>
        </w:rPr>
      </w:pPr>
    </w:p>
    <w:p>
      <w:pPr>
        <w:spacing w:line="420" w:lineRule="exact"/>
        <w:ind w:firstLine="2160" w:firstLineChars="600"/>
        <w:rPr>
          <w:rFonts w:ascii="新宋体" w:hAnsi="新宋体" w:eastAsia="新宋体" w:cs="新宋体"/>
          <w:b/>
          <w:bCs/>
          <w:sz w:val="36"/>
          <w:szCs w:val="36"/>
        </w:rPr>
      </w:pPr>
      <w:r>
        <w:rPr>
          <w:rFonts w:hint="eastAsia" w:hAnsi="宋体"/>
          <w:b/>
          <w:sz w:val="36"/>
          <w:szCs w:val="36"/>
        </w:rPr>
        <w:t>第三章   评标办法</w:t>
      </w:r>
      <w:r>
        <w:rPr>
          <w:rFonts w:hint="eastAsia" w:ascii="新宋体" w:hAnsi="新宋体" w:eastAsia="新宋体" w:cs="新宋体"/>
          <w:b/>
          <w:bCs/>
          <w:sz w:val="36"/>
          <w:szCs w:val="36"/>
        </w:rPr>
        <w:t>（综合计分法）</w:t>
      </w:r>
    </w:p>
    <w:p>
      <w:pPr>
        <w:snapToGrid w:val="0"/>
        <w:spacing w:line="420" w:lineRule="exact"/>
        <w:rPr>
          <w:rFonts w:hAnsi="宋体"/>
          <w:b/>
          <w:sz w:val="18"/>
          <w:szCs w:val="18"/>
        </w:rPr>
      </w:pPr>
      <w:r>
        <w:rPr>
          <w:rFonts w:hint="eastAsia" w:ascii="新宋体" w:hAnsi="新宋体" w:eastAsia="新宋体" w:cs="新宋体"/>
          <w:b/>
          <w:bCs/>
          <w:sz w:val="24"/>
        </w:rPr>
        <w:t>评标依据：《许昌市建设工程工程量清单招标评标办法（试行）》（许公管委[2016]1号）。</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二、评标委员会构成：5人，从河南省综合评标专家库中随机抽取4人和招标人代表1人（其中注册造价工程师不少于2人）。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三、评标采用综合计分法，是指评标委员会根据招标文件要求，应从商务标、技术标、综合（信用）标三部分进行综合评审。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hint="eastAsia" w:ascii="新宋体" w:hAnsi="新宋体" w:eastAsia="新宋体"/>
          <w:bCs/>
          <w:sz w:val="24"/>
        </w:rPr>
      </w:pPr>
      <w:r>
        <w:rPr>
          <w:rFonts w:hint="eastAsia" w:ascii="新宋体" w:hAnsi="新宋体" w:eastAsia="新宋体"/>
          <w:bCs/>
          <w:sz w:val="24"/>
        </w:rPr>
        <w:t>（5）未按照暂列金额或者暂估价编制投标报价的。</w:t>
      </w:r>
    </w:p>
    <w:p>
      <w:pPr>
        <w:spacing w:line="360" w:lineRule="auto"/>
        <w:ind w:firstLine="480" w:firstLineChars="200"/>
        <w:rPr>
          <w:rFonts w:ascii="新宋体" w:hAnsi="新宋体" w:eastAsia="新宋体"/>
          <w:b/>
          <w:sz w:val="24"/>
        </w:rPr>
      </w:pPr>
      <w:r>
        <w:rPr>
          <w:rFonts w:hint="eastAsia" w:hAnsi="宋体" w:cs="宋体"/>
          <w:b/>
          <w:bCs/>
          <w:sz w:val="24"/>
          <w:szCs w:val="24"/>
          <w:lang w:val="en-US" w:eastAsia="zh-CN"/>
        </w:rPr>
        <w:t>备注：</w:t>
      </w:r>
      <w:r>
        <w:rPr>
          <w:rFonts w:hint="eastAsia" w:hAnsi="宋体" w:cs="宋体"/>
          <w:b/>
          <w:bCs/>
          <w:sz w:val="24"/>
          <w:szCs w:val="24"/>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29"/>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价格</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价格</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评标委员会根据招标文件要求应从商务标、技术标、综合（信用）标三部分进行综合评审。商务标的权重占60%，技术标的权重占20%，综合（信用）标的权重占20%。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29"/>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73546398"/>
            <w:bookmarkStart w:id="72" w:name="_Toc270931534"/>
            <w:bookmarkStart w:id="73" w:name="_Toc295572535"/>
            <w:bookmarkStart w:id="74" w:name="_Toc272833453"/>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4"/>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5"/>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pPr>
        <w:numPr>
          <w:ilvl w:val="0"/>
          <w:numId w:val="6"/>
        </w:numPr>
        <w:spacing w:line="360" w:lineRule="auto"/>
        <w:rPr>
          <w:rFonts w:hint="eastAsia"/>
          <w:b/>
          <w:bCs/>
          <w:sz w:val="24"/>
          <w:szCs w:val="24"/>
        </w:rPr>
      </w:pPr>
      <w:r>
        <w:rPr>
          <w:rFonts w:hint="eastAsia" w:cs="宋体"/>
          <w:b/>
          <w:bCs/>
          <w:sz w:val="24"/>
          <w:szCs w:val="24"/>
        </w:rPr>
        <w:t>综合（信用）标的评标分值（20分）</w:t>
      </w:r>
      <w:r>
        <w:rPr>
          <w:rFonts w:hint="eastAsia"/>
          <w:b/>
          <w:bCs/>
          <w:sz w:val="24"/>
          <w:szCs w:val="24"/>
        </w:rPr>
        <w:t xml:space="preserve"> </w:t>
      </w:r>
    </w:p>
    <w:p>
      <w:pPr>
        <w:numPr>
          <w:ilvl w:val="0"/>
          <w:numId w:val="0"/>
        </w:numPr>
        <w:spacing w:line="360" w:lineRule="auto"/>
        <w:ind w:firstLine="480" w:firstLineChars="200"/>
        <w:rPr>
          <w:rFonts w:cs="宋体"/>
          <w:b/>
          <w:bCs/>
          <w:color w:val="auto"/>
          <w:sz w:val="24"/>
          <w:szCs w:val="24"/>
        </w:rPr>
      </w:pPr>
      <w:r>
        <w:rPr>
          <w:rFonts w:hint="eastAsia"/>
          <w:b/>
          <w:bCs/>
          <w:color w:val="auto"/>
          <w:sz w:val="24"/>
          <w:szCs w:val="24"/>
        </w:rPr>
        <w:t>1、项目班子配备0-</w:t>
      </w:r>
      <w:r>
        <w:rPr>
          <w:rFonts w:hint="eastAsia"/>
          <w:b/>
          <w:bCs/>
          <w:color w:val="auto"/>
          <w:sz w:val="24"/>
          <w:szCs w:val="24"/>
          <w:lang w:val="en-US" w:eastAsia="zh-CN"/>
        </w:rPr>
        <w:t>6</w:t>
      </w:r>
      <w:r>
        <w:rPr>
          <w:rFonts w:hint="eastAsia"/>
          <w:b/>
          <w:bCs/>
          <w:color w:val="auto"/>
          <w:sz w:val="24"/>
          <w:szCs w:val="24"/>
        </w:rPr>
        <w:t>分</w:t>
      </w:r>
    </w:p>
    <w:p>
      <w:pPr>
        <w:spacing w:line="360" w:lineRule="auto"/>
        <w:rPr>
          <w:rFonts w:hint="eastAsia"/>
          <w:color w:val="auto"/>
          <w:sz w:val="24"/>
          <w:szCs w:val="24"/>
        </w:rPr>
      </w:pP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1.1拟派技术负责人为中级</w:t>
      </w:r>
      <w:r>
        <w:rPr>
          <w:rFonts w:hint="eastAsia"/>
          <w:color w:val="auto"/>
          <w:sz w:val="24"/>
          <w:szCs w:val="24"/>
          <w:lang w:val="en-US" w:eastAsia="zh-CN"/>
        </w:rPr>
        <w:t>及以上</w:t>
      </w:r>
      <w:r>
        <w:rPr>
          <w:rFonts w:hint="eastAsia"/>
          <w:color w:val="auto"/>
          <w:sz w:val="24"/>
          <w:szCs w:val="24"/>
        </w:rPr>
        <w:t>职称</w:t>
      </w:r>
      <w:r>
        <w:rPr>
          <w:rFonts w:hint="eastAsia"/>
          <w:color w:val="auto"/>
          <w:sz w:val="24"/>
          <w:szCs w:val="24"/>
          <w:lang w:val="en-US" w:eastAsia="zh-CN"/>
        </w:rPr>
        <w:t>者得2分，最高</w:t>
      </w:r>
      <w:r>
        <w:rPr>
          <w:rFonts w:hint="eastAsia"/>
          <w:color w:val="auto"/>
          <w:sz w:val="24"/>
          <w:szCs w:val="24"/>
        </w:rPr>
        <w:t>得</w:t>
      </w:r>
      <w:r>
        <w:rPr>
          <w:rFonts w:hint="eastAsia"/>
          <w:color w:val="auto"/>
          <w:sz w:val="24"/>
          <w:szCs w:val="24"/>
          <w:lang w:val="en-US" w:eastAsia="zh-CN"/>
        </w:rPr>
        <w:t>2</w:t>
      </w:r>
      <w:r>
        <w:rPr>
          <w:rFonts w:hint="eastAsia"/>
          <w:color w:val="auto"/>
          <w:sz w:val="24"/>
          <w:szCs w:val="24"/>
        </w:rPr>
        <w:t>分</w:t>
      </w:r>
      <w:r>
        <w:rPr>
          <w:rFonts w:hint="eastAsia"/>
          <w:color w:val="auto"/>
          <w:sz w:val="24"/>
          <w:szCs w:val="24"/>
          <w:lang w:eastAsia="zh-CN"/>
        </w:rPr>
        <w:t>。（</w:t>
      </w:r>
      <w:r>
        <w:rPr>
          <w:rFonts w:hint="eastAsia"/>
          <w:color w:val="auto"/>
          <w:sz w:val="24"/>
          <w:szCs w:val="24"/>
          <w:lang w:val="en-US" w:eastAsia="zh-CN"/>
        </w:rPr>
        <w:t>附社保三个月网上查询截图或当地社保部门出具的个人明细表）</w:t>
      </w:r>
    </w:p>
    <w:p>
      <w:pPr>
        <w:spacing w:line="360" w:lineRule="auto"/>
        <w:rPr>
          <w:rFonts w:hint="eastAsia"/>
          <w:color w:val="auto"/>
          <w:sz w:val="24"/>
          <w:szCs w:val="24"/>
        </w:rPr>
      </w:pPr>
      <w:r>
        <w:rPr>
          <w:rFonts w:hint="eastAsia"/>
          <w:color w:val="auto"/>
          <w:sz w:val="24"/>
          <w:szCs w:val="24"/>
        </w:rPr>
        <w:t xml:space="preserve">    1.2拟派项目班子中具有施工员、质量员、安全员、</w:t>
      </w:r>
      <w:r>
        <w:rPr>
          <w:rFonts w:hint="eastAsia"/>
          <w:color w:val="auto"/>
          <w:sz w:val="24"/>
          <w:szCs w:val="24"/>
          <w:lang w:eastAsia="zh-CN"/>
        </w:rPr>
        <w:t>造价员</w:t>
      </w:r>
      <w:r>
        <w:rPr>
          <w:rFonts w:hint="eastAsia"/>
          <w:color w:val="auto"/>
          <w:sz w:val="24"/>
          <w:szCs w:val="24"/>
        </w:rPr>
        <w:t>、资料员</w:t>
      </w:r>
      <w:r>
        <w:rPr>
          <w:rFonts w:hint="eastAsia"/>
          <w:color w:val="auto"/>
          <w:sz w:val="24"/>
          <w:szCs w:val="24"/>
          <w:lang w:eastAsia="zh-CN"/>
        </w:rPr>
        <w:t>、测量员、劳务员、标准员</w:t>
      </w:r>
      <w:r>
        <w:rPr>
          <w:rFonts w:hint="eastAsia"/>
          <w:color w:val="auto"/>
          <w:sz w:val="24"/>
          <w:szCs w:val="24"/>
        </w:rPr>
        <w:t>证件每项得0.</w:t>
      </w:r>
      <w:r>
        <w:rPr>
          <w:rFonts w:hint="eastAsia"/>
          <w:color w:val="auto"/>
          <w:sz w:val="24"/>
          <w:szCs w:val="24"/>
          <w:lang w:val="en-US" w:eastAsia="zh-CN"/>
        </w:rPr>
        <w:t>5</w:t>
      </w:r>
      <w:r>
        <w:rPr>
          <w:rFonts w:hint="eastAsia"/>
          <w:color w:val="auto"/>
          <w:sz w:val="24"/>
          <w:szCs w:val="24"/>
        </w:rPr>
        <w:t>分，本项最高得</w:t>
      </w:r>
      <w:r>
        <w:rPr>
          <w:rFonts w:hint="eastAsia"/>
          <w:color w:val="auto"/>
          <w:sz w:val="24"/>
          <w:szCs w:val="24"/>
          <w:lang w:val="en-US" w:eastAsia="zh-CN"/>
        </w:rPr>
        <w:t>4</w:t>
      </w:r>
      <w:r>
        <w:rPr>
          <w:rFonts w:hint="eastAsia"/>
          <w:color w:val="auto"/>
          <w:sz w:val="24"/>
          <w:szCs w:val="24"/>
        </w:rPr>
        <w:t>分。</w:t>
      </w:r>
      <w:r>
        <w:rPr>
          <w:rFonts w:hint="eastAsia"/>
          <w:color w:val="auto"/>
          <w:sz w:val="24"/>
          <w:szCs w:val="24"/>
          <w:lang w:eastAsia="zh-CN"/>
        </w:rPr>
        <w:t>（</w:t>
      </w:r>
      <w:r>
        <w:rPr>
          <w:rFonts w:hint="eastAsia"/>
          <w:color w:val="auto"/>
          <w:sz w:val="24"/>
          <w:szCs w:val="24"/>
          <w:lang w:val="en-US" w:eastAsia="zh-CN"/>
        </w:rPr>
        <w:t>附社保三个月网上查询截图或当地社保部门出具的个人明细表）</w:t>
      </w:r>
    </w:p>
    <w:p>
      <w:pPr>
        <w:spacing w:line="360" w:lineRule="auto"/>
        <w:ind w:firstLine="480" w:firstLineChars="200"/>
        <w:rPr>
          <w:rFonts w:hint="eastAsia"/>
          <w:b/>
          <w:bCs/>
          <w:color w:val="auto"/>
          <w:sz w:val="24"/>
          <w:szCs w:val="24"/>
        </w:rPr>
      </w:pPr>
      <w:r>
        <w:rPr>
          <w:rFonts w:hint="eastAsia"/>
          <w:b/>
          <w:bCs/>
          <w:color w:val="auto"/>
          <w:sz w:val="24"/>
          <w:szCs w:val="24"/>
        </w:rPr>
        <w:t>2、企业综合信用0-</w:t>
      </w:r>
      <w:r>
        <w:rPr>
          <w:rFonts w:hint="eastAsia"/>
          <w:b/>
          <w:bCs/>
          <w:color w:val="auto"/>
          <w:sz w:val="24"/>
          <w:szCs w:val="24"/>
          <w:lang w:val="en-US" w:eastAsia="zh-CN"/>
        </w:rPr>
        <w:t>5</w:t>
      </w:r>
      <w:r>
        <w:rPr>
          <w:rFonts w:hint="eastAsia" w:hAnsi="宋体"/>
          <w:b/>
          <w:bCs/>
          <w:color w:val="auto"/>
          <w:sz w:val="24"/>
          <w:szCs w:val="24"/>
        </w:rPr>
        <w:t>分</w:t>
      </w:r>
    </w:p>
    <w:p>
      <w:pPr>
        <w:spacing w:line="360" w:lineRule="auto"/>
        <w:ind w:firstLine="480" w:firstLineChars="200"/>
        <w:rPr>
          <w:rFonts w:hint="eastAsia" w:hAnsi="Times New Roman" w:cs="Times New Roman"/>
          <w:color w:val="auto"/>
          <w:sz w:val="24"/>
          <w:szCs w:val="24"/>
          <w:lang w:val="en-US" w:eastAsia="zh-CN"/>
        </w:rPr>
      </w:pPr>
      <w:r>
        <w:rPr>
          <w:rFonts w:hint="eastAsia" w:hAnsi="Times New Roman" w:cs="Times New Roman"/>
          <w:color w:val="auto"/>
          <w:sz w:val="24"/>
          <w:szCs w:val="24"/>
          <w:lang w:val="en-US" w:eastAsia="zh-CN"/>
        </w:rPr>
        <w:t>2.1自</w:t>
      </w:r>
      <w:bookmarkStart w:id="75" w:name="_Hlk487381127"/>
      <w:r>
        <w:rPr>
          <w:rFonts w:hint="eastAsia" w:hAnsi="Times New Roman" w:cs="Times New Roman"/>
          <w:color w:val="auto"/>
          <w:sz w:val="24"/>
          <w:szCs w:val="24"/>
          <w:lang w:val="en-US" w:eastAsia="zh-CN"/>
        </w:rPr>
        <w:t>2016年1月1日以来</w:t>
      </w:r>
      <w:bookmarkEnd w:id="75"/>
      <w:r>
        <w:rPr>
          <w:rFonts w:hint="eastAsia" w:hAnsi="Times New Roman" w:cs="Times New Roman"/>
          <w:color w:val="auto"/>
          <w:sz w:val="24"/>
          <w:szCs w:val="24"/>
          <w:lang w:val="en-US" w:eastAsia="zh-CN"/>
        </w:rPr>
        <w:t>（以合同签订时间为准）企业具有类似项目业绩者，每项得1.5分，最高得3分。（以中标公示截图和中标通知书和施工合同为准，缺一不得分。）</w:t>
      </w:r>
    </w:p>
    <w:p>
      <w:pPr>
        <w:spacing w:line="360" w:lineRule="auto"/>
        <w:ind w:firstLine="480" w:firstLineChars="200"/>
        <w:rPr>
          <w:rFonts w:hint="eastAsia" w:hAnsi="Times New Roman" w:cs="Times New Roman"/>
          <w:color w:val="auto"/>
          <w:sz w:val="24"/>
          <w:szCs w:val="24"/>
          <w:lang w:val="en-US" w:eastAsia="zh-CN"/>
        </w:rPr>
      </w:pPr>
      <w:r>
        <w:rPr>
          <w:rFonts w:hint="eastAsia" w:hAnsi="Times New Roman" w:cs="Times New Roman"/>
          <w:color w:val="auto"/>
          <w:sz w:val="24"/>
          <w:szCs w:val="24"/>
          <w:lang w:val="en-US" w:eastAsia="zh-CN"/>
        </w:rPr>
        <w:t>2.2自2016年1月1日以来投标人获得市级及以上安全管理先进企业或获得市级及以上质量管理先进企业者得2分，最高得2分。</w:t>
      </w:r>
      <w:r>
        <w:rPr>
          <w:rFonts w:hint="eastAsia" w:cs="Times New Roman"/>
          <w:color w:val="auto"/>
          <w:sz w:val="24"/>
          <w:szCs w:val="24"/>
          <w:lang w:val="en-US" w:eastAsia="zh-CN"/>
        </w:rPr>
        <w:t xml:space="preserve"> </w:t>
      </w:r>
      <w:r>
        <w:rPr>
          <w:rFonts w:hint="eastAsia" w:hAnsi="Times New Roman" w:cs="Times New Roman"/>
          <w:color w:val="auto"/>
          <w:sz w:val="24"/>
          <w:szCs w:val="24"/>
          <w:lang w:val="en-US" w:eastAsia="zh-CN"/>
        </w:rPr>
        <w:t>（以获奖证书和文件为准）</w:t>
      </w:r>
    </w:p>
    <w:p>
      <w:pPr>
        <w:spacing w:line="360" w:lineRule="auto"/>
        <w:ind w:firstLine="480" w:firstLineChars="200"/>
        <w:rPr>
          <w:rFonts w:hint="eastAsia"/>
          <w:b/>
          <w:bCs/>
          <w:color w:val="auto"/>
          <w:sz w:val="24"/>
          <w:szCs w:val="24"/>
        </w:rPr>
      </w:pPr>
      <w:r>
        <w:rPr>
          <w:rFonts w:hint="eastAsia"/>
          <w:b/>
          <w:bCs/>
          <w:color w:val="auto"/>
          <w:sz w:val="24"/>
          <w:szCs w:val="24"/>
        </w:rPr>
        <w:t>3、</w:t>
      </w:r>
      <w:r>
        <w:rPr>
          <w:rFonts w:hint="eastAsia"/>
          <w:b/>
          <w:bCs/>
          <w:color w:val="auto"/>
          <w:sz w:val="24"/>
          <w:szCs w:val="24"/>
          <w:lang w:eastAsia="zh-CN"/>
        </w:rPr>
        <w:t>项目负责人</w:t>
      </w:r>
      <w:r>
        <w:rPr>
          <w:rFonts w:hint="eastAsia"/>
          <w:b/>
          <w:bCs/>
          <w:color w:val="auto"/>
          <w:sz w:val="24"/>
          <w:szCs w:val="24"/>
        </w:rPr>
        <w:t>业绩及信用0-</w:t>
      </w:r>
      <w:r>
        <w:rPr>
          <w:rFonts w:hint="eastAsia"/>
          <w:b/>
          <w:bCs/>
          <w:color w:val="auto"/>
          <w:sz w:val="24"/>
          <w:szCs w:val="24"/>
          <w:lang w:val="en-US" w:eastAsia="zh-CN"/>
        </w:rPr>
        <w:t>4</w:t>
      </w:r>
      <w:r>
        <w:rPr>
          <w:rFonts w:hint="eastAsia"/>
          <w:b/>
          <w:bCs/>
          <w:color w:val="auto"/>
          <w:sz w:val="24"/>
          <w:szCs w:val="24"/>
        </w:rPr>
        <w:t>分</w:t>
      </w:r>
    </w:p>
    <w:p>
      <w:pPr>
        <w:spacing w:line="360" w:lineRule="auto"/>
        <w:ind w:firstLine="480" w:firstLineChars="200"/>
        <w:rPr>
          <w:rFonts w:hint="eastAsia" w:hAnsi="宋体"/>
          <w:b w:val="0"/>
          <w:bCs w:val="0"/>
          <w:color w:val="auto"/>
          <w:sz w:val="24"/>
          <w:szCs w:val="24"/>
          <w:lang w:eastAsia="zh-CN"/>
        </w:rPr>
      </w:pPr>
      <w:r>
        <w:rPr>
          <w:rFonts w:hint="eastAsia" w:hAnsi="宋体"/>
          <w:b w:val="0"/>
          <w:bCs w:val="0"/>
          <w:color w:val="auto"/>
          <w:sz w:val="24"/>
          <w:szCs w:val="24"/>
          <w:lang w:val="en-US" w:eastAsia="zh-CN"/>
        </w:rPr>
        <w:t>3.1</w:t>
      </w:r>
      <w:r>
        <w:rPr>
          <w:rFonts w:hint="eastAsia" w:hAnsi="宋体"/>
          <w:b w:val="0"/>
          <w:bCs w:val="0"/>
          <w:color w:val="auto"/>
          <w:sz w:val="24"/>
          <w:szCs w:val="24"/>
          <w:lang w:eastAsia="zh-CN"/>
        </w:rPr>
        <w:t>自201</w:t>
      </w:r>
      <w:r>
        <w:rPr>
          <w:rFonts w:hint="eastAsia" w:hAnsi="宋体"/>
          <w:b w:val="0"/>
          <w:bCs w:val="0"/>
          <w:color w:val="auto"/>
          <w:sz w:val="24"/>
          <w:szCs w:val="24"/>
          <w:lang w:val="en-US" w:eastAsia="zh-CN"/>
        </w:rPr>
        <w:t>6</w:t>
      </w:r>
      <w:r>
        <w:rPr>
          <w:rFonts w:hint="eastAsia" w:hAnsi="宋体"/>
          <w:b w:val="0"/>
          <w:bCs w:val="0"/>
          <w:color w:val="auto"/>
          <w:sz w:val="24"/>
          <w:szCs w:val="24"/>
          <w:lang w:eastAsia="zh-CN"/>
        </w:rPr>
        <w:t>年1月1日以来（以合同签订时间为准）：拟派项目负责人具有类似项目业绩者得</w:t>
      </w:r>
      <w:r>
        <w:rPr>
          <w:rFonts w:hint="eastAsia" w:hAnsi="宋体"/>
          <w:b w:val="0"/>
          <w:bCs w:val="0"/>
          <w:color w:val="auto"/>
          <w:sz w:val="24"/>
          <w:szCs w:val="24"/>
          <w:lang w:val="en-US" w:eastAsia="zh-CN"/>
        </w:rPr>
        <w:t>2</w:t>
      </w:r>
      <w:r>
        <w:rPr>
          <w:rFonts w:hint="eastAsia" w:hAnsi="宋体"/>
          <w:b w:val="0"/>
          <w:bCs w:val="0"/>
          <w:color w:val="auto"/>
          <w:sz w:val="24"/>
          <w:szCs w:val="24"/>
          <w:lang w:eastAsia="zh-CN"/>
        </w:rPr>
        <w:t>分，最高得</w:t>
      </w:r>
      <w:r>
        <w:rPr>
          <w:rFonts w:hint="eastAsia" w:hAnsi="宋体"/>
          <w:b w:val="0"/>
          <w:bCs w:val="0"/>
          <w:color w:val="auto"/>
          <w:sz w:val="24"/>
          <w:szCs w:val="24"/>
          <w:lang w:val="en-US" w:eastAsia="zh-CN"/>
        </w:rPr>
        <w:t>2分</w:t>
      </w:r>
      <w:r>
        <w:rPr>
          <w:rFonts w:hint="eastAsia" w:hAnsi="宋体"/>
          <w:b w:val="0"/>
          <w:bCs w:val="0"/>
          <w:color w:val="auto"/>
          <w:sz w:val="24"/>
          <w:szCs w:val="24"/>
          <w:lang w:eastAsia="zh-CN"/>
        </w:rPr>
        <w:t>（</w:t>
      </w:r>
      <w:r>
        <w:rPr>
          <w:rFonts w:hint="eastAsia" w:hAnsi="宋体"/>
          <w:b w:val="0"/>
          <w:bCs w:val="0"/>
          <w:color w:val="auto"/>
          <w:sz w:val="24"/>
          <w:szCs w:val="24"/>
          <w:lang w:val="en-US" w:eastAsia="zh-CN"/>
        </w:rPr>
        <w:t>提供施工合同和竣工验收备案表或者施工合同和中标通知书，若上述资料不显示项目负责人姓名，还须同时提供相关证明文件</w:t>
      </w:r>
      <w:r>
        <w:rPr>
          <w:rFonts w:hint="eastAsia" w:hAnsi="宋体"/>
          <w:b w:val="0"/>
          <w:bCs w:val="0"/>
          <w:color w:val="auto"/>
          <w:sz w:val="24"/>
          <w:szCs w:val="24"/>
          <w:lang w:eastAsia="zh-CN"/>
        </w:rPr>
        <w:t>）。</w:t>
      </w:r>
    </w:p>
    <w:p>
      <w:pPr>
        <w:spacing w:line="360" w:lineRule="auto"/>
        <w:ind w:firstLine="480" w:firstLineChars="200"/>
        <w:rPr>
          <w:rFonts w:hint="default" w:hAnsi="宋体"/>
          <w:b w:val="0"/>
          <w:bCs w:val="0"/>
          <w:color w:val="auto"/>
          <w:sz w:val="24"/>
          <w:szCs w:val="24"/>
          <w:lang w:val="en-US" w:eastAsia="zh-CN"/>
        </w:rPr>
      </w:pPr>
      <w:r>
        <w:rPr>
          <w:rFonts w:hint="eastAsia" w:hAnsi="宋体"/>
          <w:b w:val="0"/>
          <w:bCs w:val="0"/>
          <w:color w:val="auto"/>
          <w:sz w:val="24"/>
          <w:szCs w:val="24"/>
          <w:lang w:val="en-US" w:eastAsia="zh-CN"/>
        </w:rPr>
        <w:t>3.2拟派项目负责人为中级及以上职称者得2分，最高得2分。（以证书为准）</w:t>
      </w:r>
    </w:p>
    <w:p>
      <w:pPr>
        <w:snapToGrid w:val="0"/>
        <w:spacing w:line="384" w:lineRule="auto"/>
        <w:ind w:firstLine="480" w:firstLineChars="200"/>
        <w:rPr>
          <w:rFonts w:cs="宋体"/>
          <w:b/>
          <w:bCs/>
          <w:color w:val="FF0000"/>
          <w:sz w:val="24"/>
          <w:szCs w:val="24"/>
        </w:rPr>
      </w:pPr>
      <w:r>
        <w:rPr>
          <w:rFonts w:hint="eastAsia"/>
          <w:b/>
          <w:bCs/>
          <w:color w:val="auto"/>
          <w:sz w:val="24"/>
          <w:szCs w:val="24"/>
        </w:rPr>
        <w:t>4、</w:t>
      </w:r>
      <w:r>
        <w:rPr>
          <w:rFonts w:hint="eastAsia" w:cs="宋体"/>
          <w:b/>
          <w:bCs/>
          <w:color w:val="auto"/>
          <w:sz w:val="24"/>
          <w:szCs w:val="24"/>
        </w:rPr>
        <w:t>服务承诺（含不拖欠农民工工资承诺、扬尘治理等内容）0-</w:t>
      </w:r>
      <w:r>
        <w:rPr>
          <w:rFonts w:hint="eastAsia" w:cs="宋体"/>
          <w:b/>
          <w:bCs/>
          <w:color w:val="auto"/>
          <w:sz w:val="24"/>
          <w:szCs w:val="24"/>
          <w:lang w:val="en-US" w:eastAsia="zh-CN"/>
        </w:rPr>
        <w:t>5</w:t>
      </w:r>
      <w:r>
        <w:rPr>
          <w:rFonts w:hint="eastAsia" w:cs="宋体"/>
          <w:b/>
          <w:bCs/>
          <w:color w:val="auto"/>
          <w:sz w:val="24"/>
          <w:szCs w:val="24"/>
        </w:rPr>
        <w:t>分</w:t>
      </w:r>
    </w:p>
    <w:p>
      <w:pPr>
        <w:snapToGrid w:val="0"/>
        <w:spacing w:line="384" w:lineRule="auto"/>
        <w:ind w:firstLine="480" w:firstLineChars="200"/>
        <w:rPr>
          <w:rFonts w:hAnsi="宋体"/>
          <w:sz w:val="24"/>
        </w:rPr>
      </w:pPr>
      <w:r>
        <w:rPr>
          <w:rFonts w:hint="eastAsia" w:cs="宋体"/>
          <w:color w:val="auto"/>
          <w:sz w:val="24"/>
          <w:szCs w:val="24"/>
        </w:rPr>
        <w:t>投标人针对不拖欠农民工工资承诺；扬尘治理；提高工程质量做出承诺；保证</w:t>
      </w:r>
      <w:r>
        <w:rPr>
          <w:rFonts w:hint="eastAsia" w:cs="宋体"/>
          <w:sz w:val="24"/>
          <w:szCs w:val="24"/>
        </w:rPr>
        <w:t>工期做出承诺；投标人针对招标项目的特点和要求，结合自身条件和潜力做出优惠和服务承诺。由评委根据投标文件表述的具体内容酌情打分。</w:t>
      </w:r>
      <w:r>
        <w:rPr>
          <w:rFonts w:hint="eastAsia" w:hAnsi="宋体"/>
          <w:sz w:val="24"/>
        </w:rPr>
        <w:t> </w:t>
      </w:r>
    </w:p>
    <w:p>
      <w:pPr>
        <w:snapToGrid w:val="0"/>
        <w:spacing w:line="420" w:lineRule="exact"/>
        <w:ind w:firstLine="480" w:firstLineChars="200"/>
        <w:rPr>
          <w:rFonts w:hAnsi="宋体" w:cs="宋体"/>
          <w:b/>
          <w:bCs/>
          <w:color w:val="000000"/>
          <w:sz w:val="24"/>
          <w:szCs w:val="22"/>
        </w:rPr>
      </w:pPr>
      <w:r>
        <w:rPr>
          <w:rFonts w:hint="eastAsia" w:hAnsi="宋体" w:cs="宋体"/>
          <w:b/>
          <w:bCs/>
          <w:color w:val="000000"/>
          <w:sz w:val="24"/>
        </w:rPr>
        <w:t>注：</w:t>
      </w:r>
      <w:r>
        <w:rPr>
          <w:rFonts w:hint="eastAsia" w:hAnsi="宋体" w:cs="宋体"/>
          <w:b/>
          <w:bCs/>
          <w:color w:val="000000"/>
          <w:sz w:val="24"/>
          <w:szCs w:val="22"/>
        </w:rPr>
        <w:t>1）近年年份要求：201</w:t>
      </w:r>
      <w:r>
        <w:rPr>
          <w:rFonts w:hint="eastAsia" w:hAnsi="宋体" w:cs="宋体"/>
          <w:b/>
          <w:bCs/>
          <w:color w:val="000000"/>
          <w:sz w:val="24"/>
          <w:szCs w:val="22"/>
          <w:lang w:val="en-US" w:eastAsia="zh-CN"/>
        </w:rPr>
        <w:t>6</w:t>
      </w:r>
      <w:r>
        <w:rPr>
          <w:rFonts w:hint="eastAsia" w:hAnsi="宋体" w:cs="宋体"/>
          <w:b/>
          <w:bCs/>
          <w:color w:val="000000"/>
          <w:sz w:val="24"/>
          <w:szCs w:val="22"/>
        </w:rPr>
        <w:t>年1月1日以来；</w:t>
      </w:r>
    </w:p>
    <w:p>
      <w:pPr>
        <w:snapToGrid w:val="0"/>
        <w:spacing w:line="420" w:lineRule="exact"/>
        <w:ind w:firstLine="960" w:firstLineChars="400"/>
        <w:rPr>
          <w:rFonts w:hAnsi="宋体" w:cs="宋体"/>
          <w:b/>
          <w:bCs/>
          <w:color w:val="auto"/>
          <w:sz w:val="24"/>
          <w:szCs w:val="22"/>
        </w:rPr>
      </w:pPr>
      <w:r>
        <w:rPr>
          <w:rFonts w:hint="eastAsia" w:hAnsi="宋体" w:cs="宋体"/>
          <w:b/>
          <w:bCs/>
          <w:color w:val="auto"/>
          <w:sz w:val="24"/>
          <w:szCs w:val="22"/>
        </w:rPr>
        <w:t>2）类似工程：指201</w:t>
      </w:r>
      <w:r>
        <w:rPr>
          <w:rFonts w:hint="eastAsia" w:hAnsi="宋体" w:cs="宋体"/>
          <w:b/>
          <w:bCs/>
          <w:color w:val="auto"/>
          <w:sz w:val="24"/>
          <w:szCs w:val="22"/>
          <w:lang w:val="en-US" w:eastAsia="zh-CN"/>
        </w:rPr>
        <w:t>6</w:t>
      </w:r>
      <w:r>
        <w:rPr>
          <w:rFonts w:hint="eastAsia" w:hAnsi="宋体" w:cs="宋体"/>
          <w:b/>
          <w:bCs/>
          <w:color w:val="auto"/>
          <w:sz w:val="24"/>
          <w:szCs w:val="22"/>
        </w:rPr>
        <w:t>年1月1日以来承建的</w:t>
      </w:r>
      <w:r>
        <w:rPr>
          <w:rFonts w:hint="eastAsia" w:hAnsi="宋体" w:cs="宋体"/>
          <w:b/>
          <w:bCs/>
          <w:color w:val="auto"/>
          <w:sz w:val="24"/>
          <w:szCs w:val="22"/>
          <w:lang w:val="en-US" w:eastAsia="zh-CN"/>
        </w:rPr>
        <w:t>不低于本项目招标控制价金额的</w:t>
      </w:r>
      <w:r>
        <w:rPr>
          <w:rFonts w:hint="eastAsia" w:hAnsi="宋体" w:cs="宋体"/>
          <w:b/>
          <w:bCs/>
          <w:color w:val="auto"/>
          <w:sz w:val="24"/>
          <w:szCs w:val="22"/>
          <w:lang w:eastAsia="zh-CN"/>
        </w:rPr>
        <w:t>市政工程</w:t>
      </w:r>
      <w:r>
        <w:rPr>
          <w:rFonts w:hint="eastAsia" w:hAnsi="宋体" w:cs="宋体"/>
          <w:b/>
          <w:bCs/>
          <w:color w:val="auto"/>
          <w:sz w:val="24"/>
          <w:szCs w:val="22"/>
        </w:rPr>
        <w:t>；</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rPr>
        <w:t>3）业绩合同以合同签订日期为准；</w:t>
      </w:r>
    </w:p>
    <w:p>
      <w:pPr>
        <w:snapToGrid w:val="0"/>
        <w:spacing w:line="420" w:lineRule="exact"/>
        <w:ind w:firstLine="240" w:firstLineChars="100"/>
        <w:rPr>
          <w:rFonts w:hAnsi="宋体" w:cs="宋体"/>
          <w:b/>
          <w:bCs/>
          <w:color w:val="000000"/>
          <w:sz w:val="24"/>
          <w:szCs w:val="22"/>
        </w:rPr>
      </w:pPr>
      <w:r>
        <w:rPr>
          <w:rFonts w:hint="eastAsia" w:hAnsi="宋体" w:cs="宋体"/>
          <w:b/>
          <w:bCs/>
          <w:color w:val="000000"/>
          <w:sz w:val="24"/>
          <w:szCs w:val="22"/>
        </w:rPr>
        <w:t>（五）投标人综合得分按下列公式计算：</w:t>
      </w:r>
    </w:p>
    <w:p>
      <w:pPr>
        <w:snapToGrid w:val="0"/>
        <w:spacing w:line="420" w:lineRule="exact"/>
        <w:ind w:firstLine="960" w:firstLineChars="400"/>
        <w:rPr>
          <w:rFonts w:hAnsi="宋体" w:cs="宋体"/>
          <w:b/>
          <w:bCs/>
          <w:color w:val="000000"/>
          <w:sz w:val="24"/>
          <w:szCs w:val="22"/>
        </w:rPr>
      </w:pPr>
      <w:r>
        <w:rPr>
          <w:rFonts w:hint="eastAsia" w:hAnsi="宋体" w:cs="宋体"/>
          <w:sz w:val="24"/>
          <w:szCs w:val="24"/>
        </w:rPr>
        <w:t>投标人综合得分＝技术标得分＋商务标得分＋综合（信用）标得分。</w:t>
      </w:r>
    </w:p>
    <w:p>
      <w:pPr>
        <w:snapToGrid w:val="0"/>
        <w:spacing w:line="420" w:lineRule="exact"/>
        <w:ind w:firstLine="240" w:firstLineChars="100"/>
        <w:rPr>
          <w:rFonts w:hAnsi="宋体" w:cs="宋体"/>
          <w:b/>
          <w:bCs/>
          <w:color w:val="000000"/>
          <w:sz w:val="24"/>
          <w:szCs w:val="22"/>
        </w:rPr>
      </w:pPr>
      <w:r>
        <w:rPr>
          <w:rFonts w:hint="eastAsia" w:hAnsi="宋体" w:cs="宋体"/>
          <w:b/>
          <w:bCs/>
          <w:color w:val="000000"/>
          <w:sz w:val="24"/>
          <w:szCs w:val="22"/>
        </w:rPr>
        <w:t>（六）投标人的最终得分及中标候选人排序</w:t>
      </w:r>
    </w:p>
    <w:p>
      <w:pPr>
        <w:adjustRightInd w:val="0"/>
        <w:snapToGrid w:val="0"/>
        <w:spacing w:line="440" w:lineRule="exact"/>
        <w:ind w:firstLine="480"/>
        <w:rPr>
          <w:rFonts w:hint="eastAsia"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360" w:lineRule="auto"/>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ascii="新宋体" w:eastAsia="新宋体" w:cs="宋体"/>
          <w:b/>
          <w:sz w:val="24"/>
        </w:rPr>
      </w:pPr>
      <w:r>
        <w:rPr>
          <w:rFonts w:hint="eastAsia" w:ascii="新宋体" w:eastAsia="新宋体" w:cs="宋体"/>
          <w:b/>
          <w:sz w:val="24"/>
        </w:rPr>
        <w:t>八、定标</w:t>
      </w:r>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6"/>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outlineLvl w:val="9"/>
        <w:rPr>
          <w:rFonts w:ascii="新宋体" w:eastAsia="新宋体"/>
          <w:b/>
          <w:szCs w:val="24"/>
        </w:rPr>
      </w:pPr>
      <w:bookmarkStart w:id="76" w:name="_Toc23277"/>
      <w:r>
        <w:rPr>
          <w:rFonts w:hint="eastAsia" w:ascii="新宋体" w:eastAsia="新宋体"/>
          <w:b/>
          <w:szCs w:val="24"/>
        </w:rPr>
        <w:t>九、评标报告</w:t>
      </w:r>
      <w:bookmarkEnd w:id="76"/>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6"/>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outlineLvl w:val="9"/>
        <w:rPr>
          <w:rFonts w:ascii="新宋体" w:eastAsia="新宋体"/>
          <w:b/>
          <w:szCs w:val="24"/>
        </w:rPr>
      </w:pPr>
      <w:bookmarkStart w:id="77" w:name="_Toc8686"/>
      <w:r>
        <w:rPr>
          <w:rFonts w:hint="eastAsia" w:ascii="新宋体" w:eastAsia="新宋体"/>
          <w:b/>
        </w:rPr>
        <w:t>十、</w:t>
      </w:r>
      <w:r>
        <w:rPr>
          <w:rFonts w:hint="eastAsia" w:ascii="新宋体" w:eastAsia="新宋体"/>
          <w:b/>
          <w:szCs w:val="24"/>
        </w:rPr>
        <w:t>公示</w:t>
      </w:r>
      <w:bookmarkEnd w:id="77"/>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ascii="新宋体" w:eastAsia="新宋体"/>
          <w:b/>
          <w:sz w:val="24"/>
        </w:rPr>
      </w:pPr>
      <w:r>
        <w:rPr>
          <w:rFonts w:hint="eastAsia" w:ascii="新宋体" w:eastAsia="新宋体"/>
          <w:b/>
          <w:sz w:val="24"/>
        </w:rPr>
        <w:t>十一、特殊情况的处置程序</w:t>
      </w:r>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ascii="新宋体" w:eastAsia="新宋体"/>
          <w:b/>
          <w:sz w:val="24"/>
        </w:rPr>
      </w:pPr>
      <w:r>
        <w:rPr>
          <w:rFonts w:hint="eastAsia" w:ascii="新宋体" w:eastAsia="新宋体"/>
          <w:b/>
          <w:sz w:val="24"/>
        </w:rPr>
        <w:t>11.1关于澄清、说明或补正</w:t>
      </w:r>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ascii="新宋体" w:eastAsia="新宋体"/>
          <w:b/>
          <w:sz w:val="24"/>
        </w:rPr>
      </w:pPr>
      <w:r>
        <w:rPr>
          <w:rFonts w:hint="eastAsia" w:ascii="新宋体" w:eastAsia="新宋体"/>
          <w:b/>
          <w:sz w:val="24"/>
        </w:rPr>
        <w:t>11.2关于评标活动暂停</w:t>
      </w:r>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ascii="新宋体" w:eastAsia="新宋体"/>
          <w:b/>
          <w:sz w:val="24"/>
        </w:rPr>
      </w:pPr>
      <w:r>
        <w:rPr>
          <w:rFonts w:hint="eastAsia" w:ascii="新宋体" w:eastAsia="新宋体"/>
          <w:b/>
          <w:sz w:val="24"/>
        </w:rPr>
        <w:t>11.3关于评标中途更换评标委员会成员</w:t>
      </w:r>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ascii="新宋体" w:eastAsia="新宋体"/>
          <w:sz w:val="24"/>
        </w:rPr>
      </w:pPr>
      <w:r>
        <w:rPr>
          <w:rFonts w:hint="eastAsia" w:ascii="新宋体" w:eastAsia="新宋体"/>
          <w:sz w:val="24"/>
        </w:rPr>
        <w:t>11.3.1除非发生下列情况之一，评标委员会成员不得在评标中途更换：</w:t>
      </w:r>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ascii="新宋体" w:eastAsia="新宋体"/>
          <w:sz w:val="24"/>
        </w:rPr>
      </w:pPr>
      <w:r>
        <w:rPr>
          <w:rFonts w:hint="eastAsia" w:ascii="新宋体" w:eastAsia="新宋体"/>
          <w:sz w:val="24"/>
        </w:rPr>
        <w:t>（1）因不可抗拒的客观原因，不能到场或需在评标中途退出评标活动。</w:t>
      </w:r>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ascii="新宋体" w:eastAsia="新宋体"/>
          <w:sz w:val="24"/>
        </w:rPr>
      </w:pPr>
      <w:r>
        <w:rPr>
          <w:rFonts w:hint="eastAsia" w:ascii="新宋体" w:eastAsia="新宋体"/>
          <w:sz w:val="24"/>
        </w:rPr>
        <w:t>（2）根据法律法规规定，某个或某几个评标委员会成员需要回避。</w:t>
      </w:r>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ascii="新宋体" w:eastAsia="新宋体"/>
          <w:b/>
          <w:sz w:val="24"/>
        </w:rPr>
      </w:pPr>
      <w:r>
        <w:rPr>
          <w:rFonts w:hint="eastAsia" w:ascii="新宋体" w:eastAsia="新宋体"/>
          <w:b/>
          <w:sz w:val="24"/>
        </w:rPr>
        <w:t>11.4记名投票</w:t>
      </w:r>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b/>
          <w:sz w:val="24"/>
        </w:rPr>
      </w:pPr>
      <w:r>
        <w:rPr>
          <w:rFonts w:hint="eastAsia"/>
          <w:b/>
          <w:sz w:val="24"/>
        </w:rPr>
        <w:t>11.5评标委员会对评标结果有异议的</w:t>
      </w:r>
    </w:p>
    <w:p>
      <w:pPr>
        <w:keepNext w:val="0"/>
        <w:keepLines w:val="0"/>
        <w:pageBreakBefore w:val="0"/>
        <w:widowControl w:val="0"/>
        <w:kinsoku/>
        <w:wordWrap/>
        <w:overflowPunct/>
        <w:topLinePunct w:val="0"/>
        <w:autoSpaceDE/>
        <w:autoSpaceDN/>
        <w:bidi w:val="0"/>
        <w:adjustRightInd/>
        <w:snapToGrid w:val="0"/>
        <w:spacing w:line="336" w:lineRule="auto"/>
        <w:ind w:firstLine="468" w:firstLineChars="200"/>
        <w:jc w:val="left"/>
        <w:textAlignment w:val="auto"/>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29"/>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szCs w:val="22"/>
              </w:rPr>
            </w:pPr>
            <w:r>
              <w:rPr>
                <w:rFonts w:hint="eastAsia" w:ascii="仿宋_GB2312" w:hAnsi="宋体" w:eastAsia="仿宋_GB2312" w:cs="宋体"/>
                <w:sz w:val="24"/>
                <w:szCs w:val="22"/>
                <w:lang w:val="en-US" w:eastAsia="zh-CN"/>
              </w:rPr>
              <w:t>建安建工公字〔2019〕130号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建安区灵井镇灵椹路（工业园区路段）改造工程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ind w:firstLine="960" w:firstLineChars="400"/>
              <w:rPr>
                <w:rFonts w:ascii="仿宋_GB2312" w:hAnsi="宋体" w:eastAsia="仿宋_GB2312" w:cs="宋体"/>
                <w:sz w:val="24"/>
                <w:szCs w:val="22"/>
              </w:rPr>
            </w:pPr>
            <w:r>
              <w:rPr>
                <w:rFonts w:hint="eastAsia" w:ascii="仿宋_GB2312" w:hAnsi="宋体" w:eastAsia="仿宋_GB2312"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rPr>
            </w:pPr>
            <w:r>
              <w:rPr>
                <w:rFonts w:hint="eastAsia" w:ascii="仿宋_GB2312" w:hAnsi="宋体" w:eastAsia="仿宋_GB2312" w:cs="宋体"/>
                <w:sz w:val="24"/>
                <w:szCs w:val="22"/>
              </w:rPr>
              <w:t>金额：人民币</w:t>
            </w:r>
            <w:r>
              <w:rPr>
                <w:rFonts w:hint="eastAsia" w:ascii="仿宋_GB2312" w:hAnsi="宋体" w:eastAsia="仿宋_GB2312" w:cs="宋体"/>
                <w:sz w:val="24"/>
                <w:szCs w:val="22"/>
                <w:lang w:eastAsia="zh-CN"/>
              </w:rPr>
              <w:t>：</w:t>
            </w:r>
            <w:r>
              <w:rPr>
                <w:rFonts w:hint="eastAsia" w:ascii="仿宋_GB2312" w:hAnsi="宋体" w:eastAsia="仿宋_GB2312" w:cs="宋体"/>
                <w:sz w:val="24"/>
                <w:szCs w:val="22"/>
                <w:lang w:val="en-US" w:eastAsia="zh-CN"/>
              </w:rPr>
              <w:t>贰万</w:t>
            </w:r>
            <w:r>
              <w:rPr>
                <w:rFonts w:hint="eastAsia" w:ascii="仿宋_GB2312" w:hAnsi="宋体" w:eastAsia="仿宋_GB2312" w:cs="宋体"/>
                <w:sz w:val="24"/>
                <w:szCs w:val="22"/>
              </w:rPr>
              <w:t>元整（</w:t>
            </w:r>
            <w:r>
              <w:rPr>
                <w:rFonts w:hint="eastAsia" w:ascii="仿宋_GB2312" w:hAnsi="宋体" w:eastAsia="仿宋_GB2312" w:cs="宋体"/>
                <w:sz w:val="24"/>
                <w:szCs w:val="22"/>
                <w:lang w:val="en-US" w:eastAsia="zh-CN"/>
              </w:rPr>
              <w:t>20000.00</w:t>
            </w:r>
            <w:r>
              <w:rPr>
                <w:rFonts w:hint="eastAsia" w:ascii="仿宋_GB2312" w:hAnsi="宋体" w:eastAsia="仿宋_GB2312" w:cs="宋体"/>
                <w:sz w:val="24"/>
                <w:szCs w:val="2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5"/>
                <w:rFonts w:hint="eastAsia" w:ascii="仿宋_GB2312" w:hAnsi="宋体" w:eastAsia="仿宋_GB2312" w:cs="宋体"/>
                <w:sz w:val="24"/>
              </w:rPr>
              <w:t>http://221.14.6.70:8088/ggzy</w:t>
            </w:r>
            <w:r>
              <w:rPr>
                <w:rStyle w:val="35"/>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both"/>
        <w:rPr>
          <w:rFonts w:hint="eastAsia" w:ascii="方正小标宋简体" w:hAnsi="宋体" w:eastAsia="方正小标宋简体" w:cs="宋体"/>
          <w:sz w:val="36"/>
          <w:szCs w:val="36"/>
        </w:rPr>
      </w:pPr>
    </w:p>
    <w:p>
      <w:pPr>
        <w:pStyle w:val="2"/>
        <w:rPr>
          <w:rFonts w:hint="eastAsia" w:ascii="方正小标宋简体" w:hAnsi="宋体" w:eastAsia="方正小标宋简体" w:cs="宋体"/>
          <w:sz w:val="36"/>
          <w:szCs w:val="36"/>
        </w:rPr>
      </w:pPr>
    </w:p>
    <w:p>
      <w:pPr>
        <w:pStyle w:val="2"/>
        <w:rPr>
          <w:rFonts w:hint="eastAsia" w:ascii="方正小标宋简体" w:hAnsi="宋体" w:eastAsia="方正小标宋简体" w:cs="宋体"/>
          <w:sz w:val="36"/>
          <w:szCs w:val="36"/>
        </w:rPr>
      </w:pPr>
    </w:p>
    <w:p>
      <w:pPr>
        <w:pStyle w:val="2"/>
        <w:rPr>
          <w:rFonts w:hint="eastAsia" w:ascii="方正小标宋简体" w:hAnsi="宋体" w:eastAsia="方正小标宋简体" w:cs="宋体"/>
          <w:sz w:val="36"/>
          <w:szCs w:val="36"/>
        </w:rPr>
      </w:pPr>
    </w:p>
    <w:p>
      <w:pPr>
        <w:pStyle w:val="2"/>
        <w:rPr>
          <w:rFonts w:hint="eastAsia" w:ascii="方正小标宋简体" w:hAnsi="宋体" w:eastAsia="方正小标宋简体" w:cs="宋体"/>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29"/>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ind w:firstLine="2880" w:firstLineChars="800"/>
        <w:rPr>
          <w:rFonts w:hAnsi="宋体"/>
          <w:sz w:val="36"/>
          <w:szCs w:val="36"/>
        </w:rPr>
      </w:pPr>
      <w:r>
        <w:rPr>
          <w:rFonts w:hint="eastAsia" w:hAnsi="宋体"/>
          <w:sz w:val="36"/>
          <w:szCs w:val="36"/>
        </w:rPr>
        <w:t>履约保证金退还通知单</w:t>
      </w:r>
    </w:p>
    <w:tbl>
      <w:tblPr>
        <w:tblStyle w:val="29"/>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trPr>
        <w:tc>
          <w:tcPr>
            <w:tcW w:w="2086" w:type="dxa"/>
            <w:vAlign w:val="center"/>
          </w:tcPr>
          <w:p>
            <w:pPr>
              <w:spacing w:line="360" w:lineRule="exact"/>
              <w:jc w:val="center"/>
              <w:rPr>
                <w:rFonts w:hAnsi="宋体"/>
                <w:sz w:val="24"/>
              </w:rPr>
            </w:pPr>
            <w:r>
              <w:rPr>
                <w:rFonts w:hint="eastAsia" w:hAnsi="宋体"/>
                <w:sz w:val="24"/>
              </w:rPr>
              <w:t>项目编号</w:t>
            </w:r>
          </w:p>
        </w:tc>
        <w:tc>
          <w:tcPr>
            <w:tcW w:w="4140" w:type="dxa"/>
            <w:gridSpan w:val="2"/>
            <w:vAlign w:val="center"/>
          </w:tcPr>
          <w:p>
            <w:pPr>
              <w:spacing w:line="360" w:lineRule="exact"/>
              <w:jc w:val="center"/>
              <w:rPr>
                <w:rFonts w:hAnsi="宋体"/>
                <w:sz w:val="24"/>
              </w:rPr>
            </w:pPr>
          </w:p>
        </w:tc>
        <w:tc>
          <w:tcPr>
            <w:tcW w:w="1440" w:type="dxa"/>
            <w:gridSpan w:val="2"/>
            <w:vAlign w:val="center"/>
          </w:tcPr>
          <w:p>
            <w:pPr>
              <w:spacing w:line="360" w:lineRule="exact"/>
              <w:jc w:val="center"/>
              <w:rPr>
                <w:rFonts w:hAnsi="宋体"/>
                <w:sz w:val="24"/>
              </w:rPr>
            </w:pPr>
            <w:r>
              <w:rPr>
                <w:rFonts w:hint="eastAsia" w:hAnsi="宋体"/>
                <w:sz w:val="24"/>
              </w:rPr>
              <w:t>是否完工</w:t>
            </w:r>
          </w:p>
        </w:tc>
        <w:tc>
          <w:tcPr>
            <w:tcW w:w="2162" w:type="dxa"/>
            <w:vAlign w:val="center"/>
          </w:tcPr>
          <w:p>
            <w:pPr>
              <w:spacing w:line="360" w:lineRule="exact"/>
              <w:ind w:firstLine="240" w:firstLineChars="100"/>
              <w:rPr>
                <w:rFonts w:hAnsi="宋体"/>
                <w:sz w:val="24"/>
              </w:rPr>
            </w:pPr>
            <w:r>
              <w:rPr>
                <w:rFonts w:hint="eastAsia"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vAlign w:val="center"/>
          </w:tcPr>
          <w:p>
            <w:pPr>
              <w:spacing w:line="360" w:lineRule="exact"/>
              <w:jc w:val="center"/>
              <w:rPr>
                <w:rFonts w:hAnsi="宋体"/>
                <w:sz w:val="24"/>
              </w:rPr>
            </w:pPr>
            <w:r>
              <w:rPr>
                <w:rFonts w:hint="eastAsia" w:hAnsi="宋体"/>
                <w:sz w:val="24"/>
              </w:rPr>
              <w:t>中标企业名称</w:t>
            </w:r>
          </w:p>
        </w:tc>
        <w:tc>
          <w:tcPr>
            <w:tcW w:w="7742" w:type="dxa"/>
            <w:gridSpan w:val="5"/>
            <w:vAlign w:val="center"/>
          </w:tcPr>
          <w:p>
            <w:pPr>
              <w:spacing w:line="360" w:lineRule="exact"/>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trPr>
        <w:tc>
          <w:tcPr>
            <w:tcW w:w="2086" w:type="dxa"/>
            <w:vAlign w:val="center"/>
          </w:tcPr>
          <w:p>
            <w:pPr>
              <w:spacing w:line="360" w:lineRule="exact"/>
              <w:ind w:firstLine="480" w:firstLineChars="200"/>
              <w:rPr>
                <w:rFonts w:hAnsi="宋体"/>
                <w:sz w:val="24"/>
              </w:rPr>
            </w:pPr>
            <w:r>
              <w:rPr>
                <w:rFonts w:hint="eastAsia" w:hAnsi="宋体"/>
                <w:sz w:val="24"/>
              </w:rPr>
              <w:t>开户银行</w:t>
            </w:r>
          </w:p>
        </w:tc>
        <w:tc>
          <w:tcPr>
            <w:tcW w:w="3780" w:type="dxa"/>
            <w:vAlign w:val="center"/>
          </w:tcPr>
          <w:p>
            <w:pPr>
              <w:rPr>
                <w:rFonts w:hAnsi="宋体"/>
                <w:sz w:val="24"/>
              </w:rPr>
            </w:pPr>
          </w:p>
        </w:tc>
        <w:tc>
          <w:tcPr>
            <w:tcW w:w="722" w:type="dxa"/>
            <w:gridSpan w:val="2"/>
            <w:vAlign w:val="center"/>
          </w:tcPr>
          <w:p>
            <w:pPr>
              <w:spacing w:line="360" w:lineRule="exact"/>
              <w:rPr>
                <w:rFonts w:hAnsi="宋体"/>
                <w:sz w:val="24"/>
              </w:rPr>
            </w:pPr>
            <w:r>
              <w:rPr>
                <w:rFonts w:hint="eastAsia" w:hAnsi="宋体"/>
                <w:sz w:val="24"/>
              </w:rPr>
              <w:t>账号</w:t>
            </w:r>
          </w:p>
        </w:tc>
        <w:tc>
          <w:tcPr>
            <w:tcW w:w="3240"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bottom w:val="single" w:color="auto" w:sz="4" w:space="0"/>
            </w:tcBorders>
            <w:vAlign w:val="center"/>
          </w:tcPr>
          <w:p>
            <w:pPr>
              <w:spacing w:line="360" w:lineRule="exact"/>
              <w:ind w:firstLine="480" w:firstLineChars="200"/>
              <w:rPr>
                <w:rFonts w:hAnsi="宋体"/>
                <w:sz w:val="24"/>
              </w:rPr>
            </w:pPr>
            <w:r>
              <w:rPr>
                <w:rFonts w:hint="eastAsia" w:hAnsi="宋体"/>
                <w:sz w:val="24"/>
              </w:rPr>
              <w:t>金额</w:t>
            </w:r>
          </w:p>
        </w:tc>
        <w:tc>
          <w:tcPr>
            <w:tcW w:w="7742" w:type="dxa"/>
            <w:gridSpan w:val="5"/>
            <w:vAlign w:val="center"/>
          </w:tcPr>
          <w:p>
            <w:pPr>
              <w:spacing w:line="360" w:lineRule="exact"/>
              <w:rPr>
                <w:rFonts w:hAnsi="宋体"/>
                <w:sz w:val="24"/>
              </w:rPr>
            </w:pPr>
            <w:r>
              <w:rPr>
                <w:rFonts w:hint="eastAsia" w:hAnsi="宋体"/>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28" w:type="dxa"/>
            <w:gridSpan w:val="6"/>
            <w:tcBorders>
              <w:top w:val="nil"/>
            </w:tcBorders>
            <w:vAlign w:val="center"/>
          </w:tcPr>
          <w:p>
            <w:pPr>
              <w:spacing w:line="360" w:lineRule="exact"/>
              <w:jc w:val="center"/>
              <w:rPr>
                <w:rFonts w:hAnsi="宋体"/>
                <w:sz w:val="24"/>
              </w:rPr>
            </w:pPr>
            <w:r>
              <w:rPr>
                <w:rFonts w:hint="eastAsia" w:hAnsi="宋体"/>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9828" w:type="dxa"/>
            <w:gridSpan w:val="6"/>
          </w:tcPr>
          <w:p>
            <w:pPr>
              <w:jc w:val="center"/>
              <w:rPr>
                <w:rFonts w:hAnsi="宋体"/>
                <w:sz w:val="24"/>
              </w:rPr>
            </w:pPr>
          </w:p>
          <w:p>
            <w:pPr>
              <w:jc w:val="center"/>
              <w:rPr>
                <w:rFonts w:hAnsi="宋体"/>
                <w:sz w:val="24"/>
              </w:rPr>
            </w:pPr>
            <w:r>
              <w:rPr>
                <w:rFonts w:hint="eastAsia" w:hAnsi="宋体"/>
                <w:sz w:val="24"/>
              </w:rPr>
              <w:t xml:space="preserve">                            </w:t>
            </w:r>
          </w:p>
          <w:p>
            <w:pPr>
              <w:ind w:firstLine="840" w:firstLineChars="350"/>
              <w:rPr>
                <w:rFonts w:hAnsi="宋体"/>
                <w:sz w:val="24"/>
              </w:rPr>
            </w:pPr>
            <w:r>
              <w:rPr>
                <w:rFonts w:hint="eastAsia" w:hAnsi="宋体"/>
                <w:sz w:val="24"/>
              </w:rPr>
              <w:t>主要负责人签字 ：                           盖  章：</w:t>
            </w:r>
          </w:p>
          <w:p>
            <w:pPr>
              <w:jc w:val="center"/>
              <w:rPr>
                <w:rFonts w:hAnsi="宋体"/>
                <w:sz w:val="24"/>
              </w:rPr>
            </w:pPr>
          </w:p>
          <w:p>
            <w:pPr>
              <w:ind w:right="480" w:firstLine="5880" w:firstLineChars="2450"/>
              <w:rPr>
                <w:rFonts w:hAnsi="宋体"/>
                <w:sz w:val="24"/>
              </w:rPr>
            </w:pPr>
            <w:r>
              <w:rPr>
                <w:rFonts w:hint="eastAsia" w:hAnsi="宋体"/>
                <w:sz w:val="24"/>
              </w:rPr>
              <w:t>年   月   日</w:t>
            </w:r>
          </w:p>
        </w:tc>
      </w:tr>
    </w:tbl>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int="eastAsia"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w:t>
      </w:r>
      <w:r>
        <w:rPr>
          <w:rFonts w:hint="eastAsia" w:hAnsi="宋体" w:cs="黑体"/>
          <w:b/>
          <w:sz w:val="36"/>
          <w:szCs w:val="36"/>
          <w:lang w:val="en-US" w:eastAsia="zh-CN"/>
        </w:rPr>
        <w:t xml:space="preserve"> </w:t>
      </w:r>
      <w:r>
        <w:rPr>
          <w:rFonts w:hint="eastAsia" w:hAnsi="宋体" w:cs="黑体"/>
          <w:b/>
          <w:sz w:val="36"/>
          <w:szCs w:val="36"/>
        </w:rPr>
        <w:t>合同条款及格式</w:t>
      </w:r>
      <w:bookmarkEnd w:id="69"/>
    </w:p>
    <w:p>
      <w:pPr>
        <w:tabs>
          <w:tab w:val="left" w:pos="5000"/>
        </w:tabs>
        <w:spacing w:line="360" w:lineRule="auto"/>
        <w:ind w:firstLine="490"/>
        <w:rPr>
          <w:rFonts w:hAnsi="宋体" w:cs="黑体"/>
          <w:b/>
          <w:sz w:val="32"/>
          <w:szCs w:val="32"/>
        </w:rPr>
      </w:pPr>
      <w:bookmarkStart w:id="78"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8"/>
      <w:bookmarkStart w:id="79"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p>
    <w:p>
      <w:pPr>
        <w:pStyle w:val="6"/>
        <w:jc w:val="center"/>
        <w:rPr>
          <w:rFonts w:ascii="Times New Roman" w:hAnsi="Times New Roman" w:eastAsia="华文中宋"/>
          <w:b w:val="0"/>
          <w:color w:val="000000"/>
          <w:sz w:val="44"/>
          <w:szCs w:val="44"/>
        </w:rPr>
      </w:pPr>
      <w:r>
        <w:rPr>
          <w:rFonts w:ascii="华文中宋" w:hAnsi="华文中宋" w:eastAsia="华文中宋"/>
          <w:sz w:val="44"/>
          <w:szCs w:val="44"/>
        </w:rPr>
        <w:t>第一部分 合同协议书</w:t>
      </w:r>
    </w:p>
    <w:p>
      <w:pPr>
        <w:pageBreakBefore w:val="0"/>
        <w:widowControl w:val="0"/>
        <w:kinsoku/>
        <w:wordWrap/>
        <w:overflowPunct/>
        <w:topLinePunct w:val="0"/>
        <w:bidi w:val="0"/>
        <w:snapToGrid/>
        <w:spacing w:line="480" w:lineRule="exact"/>
        <w:textAlignment w:val="auto"/>
        <w:rPr>
          <w:rFonts w:ascii="Times New Roman" w:hAnsi="Times New Roman" w:eastAsia="仿宋_GB2312"/>
          <w:b/>
          <w:color w:val="000000"/>
          <w:sz w:val="24"/>
          <w:szCs w:val="24"/>
          <w:u w:val="single"/>
        </w:rPr>
      </w:pPr>
      <w:r>
        <w:rPr>
          <w:rFonts w:ascii="Times New Roman" w:hAnsi="Times New Roman" w:eastAsia="仿宋_GB2312"/>
          <w:b/>
          <w:color w:val="000000"/>
          <w:sz w:val="24"/>
          <w:szCs w:val="24"/>
        </w:rPr>
        <w:t>发包人（全称）：</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p>
    <w:p>
      <w:pPr>
        <w:pageBreakBefore w:val="0"/>
        <w:widowControl w:val="0"/>
        <w:kinsoku/>
        <w:wordWrap/>
        <w:overflowPunct/>
        <w:topLinePunct w:val="0"/>
        <w:bidi w:val="0"/>
        <w:snapToGrid/>
        <w:spacing w:line="480" w:lineRule="exact"/>
        <w:textAlignment w:val="auto"/>
        <w:rPr>
          <w:rFonts w:ascii="Times New Roman" w:hAnsi="Times New Roman" w:eastAsia="仿宋_GB2312"/>
          <w:b/>
          <w:color w:val="000000"/>
          <w:sz w:val="24"/>
          <w:szCs w:val="24"/>
          <w:u w:val="single"/>
        </w:rPr>
      </w:pPr>
      <w:r>
        <w:rPr>
          <w:rFonts w:ascii="Times New Roman" w:hAnsi="Times New Roman" w:eastAsia="仿宋_GB2312"/>
          <w:b/>
          <w:color w:val="000000"/>
          <w:sz w:val="24"/>
          <w:szCs w:val="24"/>
        </w:rPr>
        <w:t>承包人（全称）：</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根据《中华人民共和国合同法》、《中华人民共和国建筑法》及有关法律规定，遵循平等、自愿、公平和诚实信用的原则，双方就</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工程施工及有关事项协商一致</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rPr>
        <w:t>共同达成如下协议：</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0" w:name="_Toc351203481"/>
      <w:r>
        <w:rPr>
          <w:rFonts w:ascii="Times New Roman" w:hAnsi="Times New Roman" w:eastAsia="黑体"/>
          <w:b w:val="0"/>
          <w:color w:val="000000"/>
          <w:sz w:val="24"/>
          <w:szCs w:val="24"/>
        </w:rPr>
        <w:t>一、工程概况</w:t>
      </w:r>
      <w:bookmarkEnd w:id="80"/>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color w:val="000000"/>
          <w:sz w:val="24"/>
          <w:szCs w:val="24"/>
          <w:u w:val="single"/>
        </w:rPr>
      </w:pPr>
      <w:r>
        <w:rPr>
          <w:rFonts w:ascii="Times New Roman" w:hAnsi="Times New Roman" w:eastAsia="仿宋_GB2312"/>
          <w:bCs/>
          <w:color w:val="000000"/>
          <w:sz w:val="24"/>
          <w:szCs w:val="24"/>
        </w:rPr>
        <w:t>1.工程名称</w:t>
      </w:r>
      <w:r>
        <w:rPr>
          <w:rFonts w:ascii="Times New Roman" w:hAnsi="Times New Roman" w:eastAsia="仿宋_GB2312"/>
          <w:color w:val="000000"/>
          <w:sz w:val="24"/>
          <w:szCs w:val="24"/>
        </w:rPr>
        <w:t>：</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2.工程地点：</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3.工程立项批准文号：</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bCs/>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hint="eastAsia" w:ascii="Times New Roman" w:hAnsi="Times New Roman" w:eastAsia="仿宋_GB2312"/>
          <w:bCs/>
          <w:color w:val="000000"/>
          <w:sz w:val="24"/>
          <w:szCs w:val="24"/>
        </w:rPr>
      </w:pPr>
      <w:r>
        <w:rPr>
          <w:rFonts w:ascii="Times New Roman" w:hAnsi="Times New Roman" w:eastAsia="仿宋_GB2312"/>
          <w:bCs/>
          <w:color w:val="000000"/>
          <w:sz w:val="24"/>
          <w:szCs w:val="24"/>
        </w:rPr>
        <w:t>4.资金来源：</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bCs/>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hint="eastAsia" w:ascii="Times New Roman" w:hAnsi="Times New Roman" w:eastAsia="仿宋_GB2312"/>
          <w:bCs/>
          <w:color w:val="000000"/>
          <w:sz w:val="24"/>
          <w:szCs w:val="24"/>
        </w:rPr>
      </w:pPr>
      <w:r>
        <w:rPr>
          <w:rFonts w:hint="eastAsia" w:ascii="Times New Roman" w:hAnsi="Times New Roman" w:eastAsia="仿宋_GB2312"/>
          <w:bCs/>
          <w:color w:val="000000"/>
          <w:sz w:val="24"/>
          <w:szCs w:val="24"/>
        </w:rPr>
        <w:t>5.工程内容：</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bCs/>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bCs/>
          <w:color w:val="000000"/>
          <w:sz w:val="24"/>
          <w:szCs w:val="24"/>
        </w:rPr>
      </w:pPr>
      <w:r>
        <w:rPr>
          <w:rFonts w:hint="eastAsia" w:ascii="Times New Roman" w:hAnsi="Times New Roman" w:eastAsia="仿宋_GB2312"/>
          <w:color w:val="000000"/>
          <w:sz w:val="24"/>
          <w:szCs w:val="24"/>
        </w:rPr>
        <w:t>群体工程应附《</w:t>
      </w:r>
      <w:r>
        <w:rPr>
          <w:rFonts w:ascii="Times New Roman" w:hAnsi="Times New Roman" w:eastAsia="仿宋_GB2312"/>
          <w:color w:val="000000"/>
          <w:sz w:val="24"/>
          <w:szCs w:val="24"/>
        </w:rPr>
        <w:t>承包人承揽工程项目一览表</w:t>
      </w:r>
      <w:r>
        <w:rPr>
          <w:rFonts w:hint="eastAsia" w:ascii="Times New Roman" w:hAnsi="Times New Roman" w:eastAsia="仿宋_GB2312"/>
          <w:color w:val="000000"/>
          <w:sz w:val="24"/>
          <w:szCs w:val="24"/>
        </w:rPr>
        <w:t>》（附件1）。</w:t>
      </w:r>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6</w:t>
      </w:r>
      <w:r>
        <w:rPr>
          <w:rFonts w:ascii="Times New Roman" w:hAnsi="Times New Roman" w:eastAsia="仿宋_GB2312"/>
          <w:bCs/>
          <w:color w:val="000000"/>
          <w:sz w:val="24"/>
          <w:szCs w:val="24"/>
        </w:rPr>
        <w:t>.工程承包范围：</w:t>
      </w:r>
    </w:p>
    <w:p>
      <w:pPr>
        <w:pageBreakBefore w:val="0"/>
        <w:widowControl w:val="0"/>
        <w:kinsoku/>
        <w:wordWrap/>
        <w:overflowPunct/>
        <w:topLinePunct w:val="0"/>
        <w:bidi w:val="0"/>
        <w:snapToGrid/>
        <w:spacing w:line="480" w:lineRule="exact"/>
        <w:ind w:firstLine="463" w:firstLineChars="193"/>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r>
        <w:rPr>
          <w:rFonts w:ascii="Times New Roman" w:hAnsi="Times New Roman" w:eastAsia="黑体"/>
          <w:b w:val="0"/>
          <w:color w:val="000000"/>
          <w:sz w:val="24"/>
          <w:szCs w:val="24"/>
        </w:rPr>
        <w:t xml:space="preserve">   </w:t>
      </w:r>
      <w:bookmarkStart w:id="81" w:name="_Toc351203482"/>
      <w:r>
        <w:rPr>
          <w:rFonts w:ascii="Times New Roman" w:hAnsi="Times New Roman" w:eastAsia="黑体"/>
          <w:b w:val="0"/>
          <w:color w:val="000000"/>
          <w:sz w:val="24"/>
          <w:szCs w:val="24"/>
        </w:rPr>
        <w:t>二、合同工期</w:t>
      </w:r>
      <w:bookmarkEnd w:id="81"/>
    </w:p>
    <w:p>
      <w:pPr>
        <w:pageBreakBefore w:val="0"/>
        <w:widowControl w:val="0"/>
        <w:kinsoku/>
        <w:wordWrap/>
        <w:overflowPunct/>
        <w:topLinePunct w:val="0"/>
        <w:bidi w:val="0"/>
        <w:snapToGrid/>
        <w:spacing w:line="480" w:lineRule="exact"/>
        <w:ind w:firstLine="459"/>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计划开工日期：</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年</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月</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日。</w:t>
      </w:r>
    </w:p>
    <w:p>
      <w:pPr>
        <w:pageBreakBefore w:val="0"/>
        <w:widowControl w:val="0"/>
        <w:kinsoku/>
        <w:wordWrap/>
        <w:overflowPunct/>
        <w:topLinePunct w:val="0"/>
        <w:bidi w:val="0"/>
        <w:snapToGrid/>
        <w:spacing w:line="480" w:lineRule="exact"/>
        <w:ind w:firstLine="459"/>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计划竣工日期：</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年</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月</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日。</w:t>
      </w:r>
    </w:p>
    <w:p>
      <w:pPr>
        <w:pageBreakBefore w:val="0"/>
        <w:widowControl w:val="0"/>
        <w:kinsoku/>
        <w:wordWrap/>
        <w:overflowPunct/>
        <w:topLinePunct w:val="0"/>
        <w:bidi w:val="0"/>
        <w:snapToGrid/>
        <w:spacing w:line="480" w:lineRule="exact"/>
        <w:ind w:firstLine="459"/>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工期总日历天数：</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天。工期总日历天数与根据前述计划开竣工日期计算的工期天数不一致的，以工期总日历天数为准。</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82" w:name="_Toc351203483"/>
      <w:r>
        <w:rPr>
          <w:rFonts w:ascii="Times New Roman" w:hAnsi="Times New Roman" w:eastAsia="黑体"/>
          <w:b w:val="0"/>
          <w:color w:val="000000"/>
          <w:sz w:val="24"/>
          <w:szCs w:val="24"/>
        </w:rPr>
        <w:t>三、质量标准</w:t>
      </w:r>
      <w:bookmarkEnd w:id="82"/>
    </w:p>
    <w:p>
      <w:pPr>
        <w:pageBreakBefore w:val="0"/>
        <w:widowControl w:val="0"/>
        <w:kinsoku/>
        <w:wordWrap/>
        <w:overflowPunct/>
        <w:topLinePunct w:val="0"/>
        <w:bidi w:val="0"/>
        <w:snapToGrid/>
        <w:spacing w:line="480" w:lineRule="exact"/>
        <w:ind w:firstLine="459"/>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工程质量符合</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标准。</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3" w:name="_Toc351203484"/>
      <w:r>
        <w:rPr>
          <w:rFonts w:ascii="Times New Roman" w:hAnsi="Times New Roman" w:eastAsia="黑体"/>
          <w:b w:val="0"/>
          <w:color w:val="000000"/>
          <w:sz w:val="24"/>
          <w:szCs w:val="24"/>
        </w:rPr>
        <w:t>四、签约合同价与合同价格形式</w:t>
      </w:r>
      <w:bookmarkEnd w:id="83"/>
      <w:r>
        <w:rPr>
          <w:rFonts w:ascii="Times New Roman" w:hAnsi="Times New Roman" w:eastAsia="黑体"/>
          <w:b w:val="0"/>
          <w:color w:val="000000"/>
          <w:sz w:val="24"/>
          <w:szCs w:val="24"/>
        </w:rPr>
        <w:tab/>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1.签约合同价为：</w:t>
      </w:r>
    </w:p>
    <w:p>
      <w:pPr>
        <w:pageBreakBefore w:val="0"/>
        <w:widowControl w:val="0"/>
        <w:kinsoku/>
        <w:wordWrap/>
        <w:overflowPunct/>
        <w:topLinePunct w:val="0"/>
        <w:bidi w:val="0"/>
        <w:snapToGrid/>
        <w:spacing w:line="480" w:lineRule="exact"/>
        <w:ind w:firstLine="600" w:firstLineChars="2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其中：</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（1）安全文明施工费：</w:t>
      </w:r>
    </w:p>
    <w:p>
      <w:pPr>
        <w:pageBreakBefore w:val="0"/>
        <w:widowControl w:val="0"/>
        <w:kinsoku/>
        <w:wordWrap/>
        <w:overflowPunct/>
        <w:topLinePunct w:val="0"/>
        <w:bidi w:val="0"/>
        <w:snapToGrid/>
        <w:spacing w:line="480" w:lineRule="exact"/>
        <w:ind w:firstLine="1080" w:firstLineChars="4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（2）材料和工程设备暂估价金额：</w:t>
      </w:r>
    </w:p>
    <w:p>
      <w:pPr>
        <w:pageBreakBefore w:val="0"/>
        <w:widowControl w:val="0"/>
        <w:kinsoku/>
        <w:wordWrap/>
        <w:overflowPunct/>
        <w:topLinePunct w:val="0"/>
        <w:bidi w:val="0"/>
        <w:snapToGrid/>
        <w:spacing w:line="480" w:lineRule="exact"/>
        <w:ind w:firstLine="1080" w:firstLineChars="4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（3）专业工程暂估价金额：</w:t>
      </w:r>
    </w:p>
    <w:p>
      <w:pPr>
        <w:pageBreakBefore w:val="0"/>
        <w:widowControl w:val="0"/>
        <w:kinsoku/>
        <w:wordWrap/>
        <w:overflowPunct/>
        <w:topLinePunct w:val="0"/>
        <w:bidi w:val="0"/>
        <w:snapToGrid/>
        <w:spacing w:line="480" w:lineRule="exact"/>
        <w:ind w:firstLine="1080" w:firstLineChars="4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（4）暂列金额：</w:t>
      </w:r>
    </w:p>
    <w:p>
      <w:pPr>
        <w:pageBreakBefore w:val="0"/>
        <w:widowControl w:val="0"/>
        <w:kinsoku/>
        <w:wordWrap/>
        <w:overflowPunct/>
        <w:topLinePunct w:val="0"/>
        <w:bidi w:val="0"/>
        <w:snapToGrid/>
        <w:spacing w:line="480" w:lineRule="exact"/>
        <w:ind w:firstLine="1080" w:firstLineChars="4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2.合同价格形式：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hint="eastAsia" w:ascii="Times New Roman" w:hAnsi="Times New Roman" w:eastAsia="黑体"/>
          <w:b w:val="0"/>
          <w:color w:val="000000"/>
          <w:sz w:val="24"/>
          <w:szCs w:val="24"/>
          <w:lang w:eastAsia="zh-CN"/>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4" w:name="_Toc351203485"/>
      <w:r>
        <w:rPr>
          <w:rFonts w:ascii="Times New Roman" w:hAnsi="Times New Roman" w:eastAsia="黑体"/>
          <w:b w:val="0"/>
          <w:color w:val="000000"/>
          <w:sz w:val="24"/>
          <w:szCs w:val="24"/>
        </w:rPr>
        <w:t>五、</w:t>
      </w:r>
      <w:bookmarkEnd w:id="84"/>
      <w:r>
        <w:rPr>
          <w:rFonts w:hint="eastAsia" w:ascii="Times New Roman" w:hAnsi="Times New Roman" w:eastAsia="黑体"/>
          <w:b w:val="0"/>
          <w:color w:val="000000"/>
          <w:sz w:val="24"/>
          <w:szCs w:val="24"/>
          <w:lang w:eastAsia="zh-CN"/>
        </w:rPr>
        <w:t>项目负责人</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w:t>
      </w:r>
      <w:r>
        <w:rPr>
          <w:rFonts w:hint="eastAsia" w:ascii="Times New Roman" w:eastAsia="仿宋_GB2312"/>
          <w:color w:val="000000"/>
          <w:sz w:val="24"/>
          <w:szCs w:val="24"/>
          <w:lang w:eastAsia="zh-CN"/>
        </w:rPr>
        <w:t>项目负责人</w:t>
      </w:r>
      <w:r>
        <w:rPr>
          <w:rFonts w:ascii="Times New Roman" w:hAnsi="Times New Roman" w:eastAsia="仿宋_GB2312"/>
          <w:color w:val="000000"/>
          <w:sz w:val="24"/>
          <w:szCs w:val="24"/>
        </w:rPr>
        <w:t>：</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5" w:name="_Toc351203486"/>
      <w:r>
        <w:rPr>
          <w:rFonts w:ascii="Times New Roman" w:hAnsi="Times New Roman" w:eastAsia="黑体"/>
          <w:b w:val="0"/>
          <w:color w:val="000000"/>
          <w:sz w:val="24"/>
          <w:szCs w:val="24"/>
        </w:rPr>
        <w:t>六、合同文件构成</w:t>
      </w:r>
      <w:bookmarkEnd w:id="85"/>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本协议书与下列文件一起构成合同文件：</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（1）中标通知书（如果有）；</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（2）投标函及其附录（如果有）； </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（3）专用合同条款及其附件；</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（4）通用合同条款；</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（5）技术标准和要求；</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（6）图纸；</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（7）已标价工程量清单或预算书；</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（8）其他合同文件。</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在合同订立及履行过程中形成的与合同有关的文件均构成合同文件组成部分。</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上述各项合同文件包括合同当事人就该项合同文件所作出的补充和修改，属于同一类内容的文件，应以最新签署的为准。</w:t>
      </w:r>
      <w:r>
        <w:rPr>
          <w:rFonts w:hint="eastAsia" w:ascii="Times New Roman" w:hAnsi="Times New Roman" w:eastAsia="仿宋_GB2312"/>
          <w:color w:val="000000"/>
          <w:sz w:val="24"/>
          <w:szCs w:val="24"/>
        </w:rPr>
        <w:t>专用合同条款及其附件须经合同当事人签字或盖章。</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bCs w:val="0"/>
          <w:color w:val="000000"/>
          <w:sz w:val="24"/>
          <w:szCs w:val="24"/>
        </w:rPr>
      </w:pPr>
      <w:r>
        <w:rPr>
          <w:rFonts w:ascii="Times New Roman" w:hAnsi="Times New Roman" w:eastAsia="黑体"/>
          <w:b w:val="0"/>
          <w:bCs w:val="0"/>
          <w:color w:val="000000"/>
          <w:sz w:val="24"/>
          <w:szCs w:val="24"/>
        </w:rPr>
        <w:t xml:space="preserve">   </w:t>
      </w:r>
      <w:r>
        <w:rPr>
          <w:rFonts w:ascii="Times New Roman" w:hAnsi="Times New Roman" w:eastAsia="黑体"/>
          <w:b w:val="0"/>
          <w:color w:val="000000"/>
          <w:sz w:val="24"/>
          <w:szCs w:val="24"/>
        </w:rPr>
        <w:t xml:space="preserve"> </w:t>
      </w:r>
      <w:bookmarkStart w:id="86" w:name="_Toc351203487"/>
      <w:r>
        <w:rPr>
          <w:rFonts w:ascii="Times New Roman" w:hAnsi="Times New Roman" w:eastAsia="黑体"/>
          <w:b w:val="0"/>
          <w:color w:val="000000"/>
          <w:sz w:val="24"/>
          <w:szCs w:val="24"/>
        </w:rPr>
        <w:t>七、承诺</w:t>
      </w:r>
      <w:bookmarkEnd w:id="86"/>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1.发包人承诺按照法律规定履行项目审批手续、筹集工程建设资金并按照合同约定的期限和方式支付合同价款。</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2.承包人承诺按照法律规定及合同约定组织完成工程施工，确保工程质量和安全，不进行转包及违法分包，并在缺陷责任期及保修期内承担相应的工程维修责任。</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3.发包人和承包人通过招投标形式签订合同的，双方理解并</w:t>
      </w:r>
      <w:r>
        <w:rPr>
          <w:rFonts w:hint="eastAsia" w:ascii="Times New Roman" w:hAnsi="Times New Roman" w:eastAsia="仿宋_GB2312"/>
          <w:bCs/>
          <w:color w:val="000000"/>
          <w:sz w:val="24"/>
          <w:szCs w:val="24"/>
        </w:rPr>
        <w:t>承诺</w:t>
      </w:r>
      <w:r>
        <w:rPr>
          <w:rFonts w:ascii="Times New Roman" w:hAnsi="Times New Roman" w:eastAsia="仿宋_GB2312"/>
          <w:bCs/>
          <w:color w:val="000000"/>
          <w:sz w:val="24"/>
          <w:szCs w:val="24"/>
        </w:rPr>
        <w:t>不再就同一工程另行签订与合同实质性内容相背离的协议。</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ascii="Times New Roman" w:hAnsi="Times New Roman" w:eastAsia="黑体"/>
          <w:bCs/>
          <w:color w:val="000000"/>
          <w:sz w:val="24"/>
          <w:szCs w:val="24"/>
        </w:rPr>
      </w:pPr>
      <w:bookmarkStart w:id="87" w:name="_Toc351203488"/>
      <w:r>
        <w:rPr>
          <w:rFonts w:hint="eastAsia" w:ascii="Times New Roman" w:hAnsi="Times New Roman" w:eastAsia="黑体"/>
          <w:b/>
          <w:color w:val="000000"/>
          <w:sz w:val="24"/>
          <w:szCs w:val="24"/>
        </w:rPr>
        <w:t xml:space="preserve">    </w:t>
      </w:r>
      <w:r>
        <w:rPr>
          <w:rFonts w:ascii="Times New Roman" w:hAnsi="Times New Roman" w:eastAsia="黑体"/>
          <w:b/>
          <w:color w:val="000000"/>
          <w:sz w:val="24"/>
          <w:szCs w:val="24"/>
        </w:rPr>
        <w:t>八、词语含义</w:t>
      </w:r>
      <w:bookmarkEnd w:id="87"/>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本协议书中词语含义与第二部分通用合同条款中赋予的含义相同。</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8" w:name="_Toc351203489"/>
      <w:r>
        <w:rPr>
          <w:rFonts w:ascii="Times New Roman" w:hAnsi="Times New Roman" w:eastAsia="黑体"/>
          <w:b w:val="0"/>
          <w:color w:val="000000"/>
          <w:sz w:val="24"/>
          <w:szCs w:val="24"/>
        </w:rPr>
        <w:t>九、签订时间</w:t>
      </w:r>
      <w:bookmarkEnd w:id="88"/>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本合同于</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年</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月</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日签订。</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89" w:name="_Toc351203490"/>
      <w:r>
        <w:rPr>
          <w:rFonts w:ascii="Times New Roman" w:hAnsi="Times New Roman" w:eastAsia="黑体"/>
          <w:b w:val="0"/>
          <w:color w:val="000000"/>
          <w:sz w:val="24"/>
          <w:szCs w:val="24"/>
        </w:rPr>
        <w:t>十、签订地点</w:t>
      </w:r>
      <w:bookmarkEnd w:id="89"/>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本合同在</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签订。</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90" w:name="_Toc351203491"/>
      <w:r>
        <w:rPr>
          <w:rFonts w:ascii="Times New Roman" w:hAnsi="Times New Roman" w:eastAsia="黑体"/>
          <w:b w:val="0"/>
          <w:color w:val="000000"/>
          <w:sz w:val="24"/>
          <w:szCs w:val="24"/>
        </w:rPr>
        <w:t>十一、补充协议</w:t>
      </w:r>
      <w:bookmarkEnd w:id="90"/>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
          <w:bCs/>
          <w:color w:val="000000"/>
          <w:sz w:val="24"/>
          <w:szCs w:val="24"/>
        </w:rPr>
      </w:pPr>
      <w:r>
        <w:rPr>
          <w:rFonts w:ascii="Times New Roman" w:hAnsi="Times New Roman" w:eastAsia="仿宋_GB2312"/>
          <w:bCs/>
          <w:color w:val="000000"/>
          <w:sz w:val="24"/>
          <w:szCs w:val="24"/>
        </w:rPr>
        <w:t>合同未尽事宜，合同当事人另行签订补充协议</w:t>
      </w:r>
      <w:r>
        <w:rPr>
          <w:rFonts w:hint="eastAsia" w:ascii="Times New Roman" w:hAnsi="Times New Roman" w:eastAsia="仿宋_GB2312"/>
          <w:bCs/>
          <w:color w:val="000000"/>
          <w:sz w:val="24"/>
          <w:szCs w:val="24"/>
        </w:rPr>
        <w:t>，</w:t>
      </w:r>
      <w:r>
        <w:rPr>
          <w:rFonts w:ascii="Times New Roman" w:hAnsi="Times New Roman" w:eastAsia="仿宋_GB2312"/>
          <w:bCs/>
          <w:color w:val="000000"/>
          <w:sz w:val="24"/>
          <w:szCs w:val="24"/>
        </w:rPr>
        <w:t>补充协议是合同的组成部分。</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91" w:name="_Toc351203492"/>
      <w:r>
        <w:rPr>
          <w:rFonts w:ascii="Times New Roman" w:hAnsi="Times New Roman" w:eastAsia="黑体"/>
          <w:b w:val="0"/>
          <w:color w:val="000000"/>
          <w:sz w:val="24"/>
          <w:szCs w:val="24"/>
        </w:rPr>
        <w:t>十二、合同生效</w:t>
      </w:r>
      <w:bookmarkEnd w:id="91"/>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本合同自</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生效。</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92" w:name="_Toc351203493"/>
      <w:r>
        <w:rPr>
          <w:rFonts w:ascii="Times New Roman" w:hAnsi="Times New Roman" w:eastAsia="黑体"/>
          <w:b w:val="0"/>
          <w:color w:val="000000"/>
          <w:sz w:val="24"/>
          <w:szCs w:val="24"/>
        </w:rPr>
        <w:t>十三、合同份数</w:t>
      </w:r>
      <w:bookmarkEnd w:id="92"/>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bCs/>
          <w:color w:val="000000"/>
          <w:sz w:val="24"/>
          <w:szCs w:val="24"/>
        </w:rPr>
        <w:t>本合同一式</w:t>
      </w:r>
      <w:r>
        <w:rPr>
          <w:rFonts w:ascii="Times New Roman" w:hAnsi="Times New Roman" w:eastAsia="仿宋_GB2312"/>
          <w:bCs/>
          <w:color w:val="000000"/>
          <w:sz w:val="24"/>
          <w:szCs w:val="24"/>
          <w:u w:val="single"/>
        </w:rPr>
        <w:t xml:space="preserve">  </w:t>
      </w:r>
      <w:r>
        <w:rPr>
          <w:rFonts w:hint="eastAsia"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份，均具有同等法律效力，发包人执</w:t>
      </w:r>
      <w:r>
        <w:rPr>
          <w:rFonts w:ascii="Times New Roman" w:hAnsi="Times New Roman" w:eastAsia="仿宋_GB2312"/>
          <w:bCs/>
          <w:color w:val="000000"/>
          <w:sz w:val="24"/>
          <w:szCs w:val="24"/>
          <w:u w:val="single"/>
        </w:rPr>
        <w:t xml:space="preserve">  </w:t>
      </w:r>
      <w:r>
        <w:rPr>
          <w:rFonts w:hint="eastAsia"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份，承包人执</w:t>
      </w:r>
      <w:r>
        <w:rPr>
          <w:rFonts w:ascii="Times New Roman" w:hAnsi="Times New Roman" w:eastAsia="仿宋_GB2312"/>
          <w:bCs/>
          <w:color w:val="000000"/>
          <w:sz w:val="24"/>
          <w:szCs w:val="24"/>
          <w:u w:val="single"/>
        </w:rPr>
        <w:t xml:space="preserve">  </w:t>
      </w:r>
      <w:r>
        <w:rPr>
          <w:rFonts w:hint="eastAsia"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份。</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发包人</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(公章)</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承包人</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(公章)</w:t>
      </w:r>
      <w:r>
        <w:rPr>
          <w:rFonts w:hint="eastAsia"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法定代表人或其委托代理人：  法定代表人或其委托代理人：</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hint="eastAsia" w:ascii="Times New Roman" w:hAnsi="Times New Roman" w:eastAsia="仿宋_GB2312"/>
          <w:color w:val="000000"/>
          <w:sz w:val="24"/>
          <w:szCs w:val="24"/>
        </w:rPr>
        <w:t>（签字）                    （签字）</w:t>
      </w:r>
    </w:p>
    <w:p>
      <w:pPr>
        <w:pageBreakBefore w:val="0"/>
        <w:widowControl w:val="0"/>
        <w:tabs>
          <w:tab w:val="left" w:pos="4410"/>
        </w:tabs>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rPr>
        <w:t>组织机构代码：</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组织机构代码：</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地  址：</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地  址：</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邮政编码：</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邮政编码：</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法定代表人：</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法定代表人：</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委托代理人：</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委托代理人：</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  话：</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电  话：</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传  真：</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传  真：</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开户银行：</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开户银行：</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4"/>
          <w:szCs w:val="24"/>
        </w:rPr>
        <w:t>账  号：</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账</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 xml:space="preserve"> 号：</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Style w:val="6"/>
        <w:jc w:val="center"/>
        <w:rPr>
          <w:rFonts w:ascii="华文中宋" w:hAnsi="华文中宋" w:eastAsia="华文中宋"/>
          <w:sz w:val="44"/>
          <w:szCs w:val="44"/>
        </w:rPr>
      </w:pPr>
      <w:r>
        <w:rPr>
          <w:rFonts w:eastAsia="仿宋_GB2312"/>
        </w:rPr>
        <w:br w:type="page"/>
      </w:r>
      <w:bookmarkStart w:id="93" w:name="_Toc351203494"/>
      <w:r>
        <w:rPr>
          <w:rFonts w:ascii="华文中宋" w:hAnsi="华文中宋" w:eastAsia="华文中宋"/>
          <w:sz w:val="44"/>
          <w:szCs w:val="44"/>
        </w:rPr>
        <w:t>第二部分 通用合同条款</w:t>
      </w:r>
      <w:bookmarkEnd w:id="93"/>
      <w:r>
        <w:rPr>
          <w:rFonts w:hint="eastAsia" w:ascii="华文中宋" w:hAnsi="华文中宋" w:eastAsia="华文中宋"/>
          <w:sz w:val="44"/>
          <w:szCs w:val="44"/>
          <w:lang w:eastAsia="zh-CN"/>
        </w:rPr>
        <w:t>（</w:t>
      </w:r>
      <w:r>
        <w:rPr>
          <w:rFonts w:hint="eastAsia" w:ascii="华文中宋" w:hAnsi="华文中宋" w:eastAsia="华文中宋"/>
          <w:sz w:val="44"/>
          <w:szCs w:val="44"/>
          <w:lang w:val="en-US" w:eastAsia="zh-CN"/>
        </w:rPr>
        <w:t>略</w:t>
      </w:r>
      <w:r>
        <w:rPr>
          <w:rFonts w:hint="eastAsia" w:ascii="华文中宋" w:hAnsi="华文中宋" w:eastAsia="华文中宋"/>
          <w:sz w:val="44"/>
          <w:szCs w:val="44"/>
          <w:lang w:eastAsia="zh-CN"/>
        </w:rPr>
        <w:t>）</w:t>
      </w: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r>
        <w:rPr>
          <w:rFonts w:ascii="华文中宋" w:hAnsi="华文中宋" w:eastAsia="华文中宋"/>
          <w:sz w:val="44"/>
          <w:szCs w:val="44"/>
        </w:rPr>
        <w:t xml:space="preserve">第三部分 </w:t>
      </w:r>
      <w:r>
        <w:rPr>
          <w:rFonts w:hint="eastAsia" w:ascii="华文中宋" w:hAnsi="华文中宋" w:eastAsia="华文中宋"/>
          <w:sz w:val="44"/>
          <w:szCs w:val="44"/>
        </w:rPr>
        <w:t>专用合同条款</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94" w:name="_Toc351203633"/>
      <w:r>
        <w:rPr>
          <w:rFonts w:ascii="Times New Roman" w:hAnsi="Times New Roman" w:eastAsia="黑体"/>
          <w:b w:val="0"/>
          <w:color w:val="000000"/>
          <w:sz w:val="24"/>
          <w:szCs w:val="24"/>
        </w:rPr>
        <w:t>1</w:t>
      </w:r>
      <w:bookmarkStart w:id="95" w:name="_Toc296346657"/>
      <w:bookmarkStart w:id="96" w:name="_Toc296890984"/>
      <w:bookmarkStart w:id="97" w:name="_Toc292559361"/>
      <w:bookmarkStart w:id="98" w:name="_Toc296944495"/>
      <w:bookmarkStart w:id="99" w:name="_Toc292559866"/>
      <w:bookmarkStart w:id="100" w:name="_Toc296891196"/>
      <w:bookmarkStart w:id="101" w:name="_Toc297120456"/>
      <w:bookmarkStart w:id="102" w:name="_Toc296503156"/>
      <w:bookmarkStart w:id="103" w:name="_Toc296347155"/>
      <w:bookmarkStart w:id="104" w:name="_Toc297048342"/>
      <w:r>
        <w:rPr>
          <w:rFonts w:ascii="Times New Roman" w:hAnsi="Times New Roman" w:eastAsia="黑体"/>
          <w:b w:val="0"/>
          <w:color w:val="000000"/>
          <w:sz w:val="24"/>
          <w:szCs w:val="24"/>
        </w:rPr>
        <w:t>. 一般约定</w:t>
      </w:r>
      <w:bookmarkEnd w:id="94"/>
    </w:p>
    <w:bookmarkEnd w:id="95"/>
    <w:bookmarkEnd w:id="96"/>
    <w:bookmarkEnd w:id="97"/>
    <w:bookmarkEnd w:id="98"/>
    <w:bookmarkEnd w:id="99"/>
    <w:bookmarkEnd w:id="100"/>
    <w:bookmarkEnd w:id="101"/>
    <w:bookmarkEnd w:id="102"/>
    <w:bookmarkEnd w:id="103"/>
    <w:bookmarkEnd w:id="104"/>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1.1 词语定义</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1.1.1合同</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kern w:val="0"/>
          <w:sz w:val="24"/>
          <w:szCs w:val="24"/>
        </w:rPr>
        <w:t>1.1.1.10其他合同文件包括：</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1.1.2 合同当事人及其他相关方</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1.1.2.4监理人：</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名    称：</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资质类别和等级：</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1.1.2.5 设计人：</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名    称：</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资质类别和等级：</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1.1.3 工程和设备</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1.1.3.7 作为施工现场组成部分的其他场所包括：</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1.1.3.9 永久占地包括：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1.1.3.10 临时占地包括：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 xml:space="preserve">1.3法律 </w:t>
      </w:r>
    </w:p>
    <w:p>
      <w:pPr>
        <w:pageBreakBefore w:val="0"/>
        <w:widowControl w:val="0"/>
        <w:kinsoku/>
        <w:wordWrap/>
        <w:overflowPunct/>
        <w:topLinePunct w:val="0"/>
        <w:autoSpaceDE w:val="0"/>
        <w:autoSpaceDN w:val="0"/>
        <w:bidi w:val="0"/>
        <w:adjustRightInd w:val="0"/>
        <w:snapToGrid/>
        <w:spacing w:line="480" w:lineRule="exact"/>
        <w:ind w:left="965" w:leftChars="284"/>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适用于合同的其他规范性文件：</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1.4 标准和规范</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1.4.1适用于工程的标准规范包括：</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outlineLvl w:val="0"/>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1.4.2 发包人提供国外标准、规范的名称：</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发包人提供国外标准、规范的份数：</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发包人提供国外标准、规范的名称：</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1.4.3发包人对工程的技术标准和功能要求的特殊要求：</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after="120"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1.5 合同文件的优先顺序</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合同文件组成及优先顺序为：</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1.6 图纸和承包人文件</w:t>
      </w:r>
      <w:r>
        <w:rPr>
          <w:rFonts w:ascii="Times New Roman" w:hAnsi="Times New Roman" w:eastAsia="黑体"/>
          <w:color w:val="000000"/>
          <w:sz w:val="24"/>
          <w:szCs w:val="24"/>
        </w:rPr>
        <w:tab/>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1.6.1 图纸的提供</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发包人向承包人提供图纸的期限：</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发包人向承包人提供图纸的数量：</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发包人向承包人提供图纸的内容：</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1.6.4 承包人文件</w:t>
      </w:r>
    </w:p>
    <w:p>
      <w:pPr>
        <w:pageBreakBefore w:val="0"/>
        <w:widowControl w:val="0"/>
        <w:kinsoku/>
        <w:wordWrap/>
        <w:overflowPunct/>
        <w:topLinePunct w:val="0"/>
        <w:bidi w:val="0"/>
        <w:snapToGrid/>
        <w:spacing w:line="480" w:lineRule="exact"/>
        <w:ind w:left="965" w:leftChars="284"/>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需要由承包人提供的文件，包括：</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p>
    <w:p>
      <w:pPr>
        <w:pageBreakBefore w:val="0"/>
        <w:widowControl w:val="0"/>
        <w:kinsoku/>
        <w:wordWrap/>
        <w:overflowPunct/>
        <w:topLinePunct w:val="0"/>
        <w:bidi w:val="0"/>
        <w:snapToGrid/>
        <w:spacing w:line="480" w:lineRule="exact"/>
        <w:ind w:left="965" w:leftChars="284"/>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承包人提供的文件的期限为：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承包人提供的文件的数量为：</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承包人提供的文件的形式为：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w:t>
      </w:r>
      <w:r>
        <w:rPr>
          <w:rFonts w:hint="eastAsia" w:ascii="Times New Roman" w:hAnsi="Times New Roman" w:eastAsia="仿宋_GB2312"/>
          <w:color w:val="000000"/>
          <w:sz w:val="24"/>
          <w:szCs w:val="24"/>
        </w:rPr>
        <w:t>审批</w:t>
      </w:r>
      <w:r>
        <w:rPr>
          <w:rFonts w:ascii="Times New Roman" w:hAnsi="Times New Roman" w:eastAsia="仿宋_GB2312"/>
          <w:color w:val="000000"/>
          <w:sz w:val="24"/>
          <w:szCs w:val="24"/>
        </w:rPr>
        <w:t>承包人文件的期限：</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1.6.5 现场图纸准备</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关于现场图纸准备的约定：</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1.7 联络</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1.7.1发包人和承包人应当在</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天内将与合同有关的通知、批准、证明、证书、指示、指令、要求、请求、同意、意见、确定和决定等书面函件送达对方当事人</w:t>
      </w:r>
      <w:r>
        <w:rPr>
          <w:rFonts w:hint="eastAsia"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1.7.2 发包人接收文件的地点：</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发包人指定的接收人为：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承包人接收文件的地点：</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承包人指定的接收人为：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监理人接收文件的地点：</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监理人指定的接收人为：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1.10 交通运输</w:t>
      </w:r>
    </w:p>
    <w:p>
      <w:pPr>
        <w:pageBreakBefore w:val="0"/>
        <w:widowControl w:val="0"/>
        <w:kinsoku/>
        <w:wordWrap/>
        <w:overflowPunct/>
        <w:topLinePunct w:val="0"/>
        <w:bidi w:val="0"/>
        <w:snapToGrid/>
        <w:spacing w:line="480" w:lineRule="exact"/>
        <w:ind w:firstLine="480" w:firstLineChars="200"/>
        <w:textAlignment w:val="auto"/>
        <w:outlineLvl w:val="0"/>
        <w:rPr>
          <w:rFonts w:ascii="Times New Roman" w:hAnsi="Times New Roman" w:eastAsia="仿宋_GB2312"/>
          <w:sz w:val="24"/>
          <w:szCs w:val="24"/>
        </w:rPr>
      </w:pPr>
      <w:r>
        <w:rPr>
          <w:rFonts w:ascii="Times New Roman" w:hAnsi="Times New Roman" w:eastAsia="仿宋_GB2312"/>
          <w:sz w:val="24"/>
          <w:szCs w:val="24"/>
        </w:rPr>
        <w:t>1</w:t>
      </w:r>
      <w:bookmarkStart w:id="105" w:name="_Toc318581155"/>
      <w:bookmarkStart w:id="106" w:name="_Toc312677986"/>
      <w:bookmarkStart w:id="107" w:name="_Toc300934943"/>
      <w:bookmarkStart w:id="108" w:name="_Toc303539100"/>
      <w:bookmarkStart w:id="109" w:name="_Toc304295521"/>
      <w:r>
        <w:rPr>
          <w:rFonts w:ascii="Times New Roman" w:hAnsi="Times New Roman" w:eastAsia="仿宋_GB2312"/>
          <w:sz w:val="24"/>
          <w:szCs w:val="24"/>
        </w:rPr>
        <w:t>.10.1 出入现场的权利</w:t>
      </w:r>
    </w:p>
    <w:p>
      <w:pPr>
        <w:pageBreakBefore w:val="0"/>
        <w:widowControl w:val="0"/>
        <w:kinsoku/>
        <w:wordWrap/>
        <w:overflowPunct/>
        <w:topLinePunct w:val="0"/>
        <w:bidi w:val="0"/>
        <w:snapToGrid/>
        <w:spacing w:line="480" w:lineRule="exact"/>
        <w:ind w:left="965" w:leftChars="284"/>
        <w:textAlignment w:val="auto"/>
        <w:rPr>
          <w:rFonts w:hint="eastAsia" w:ascii="Times New Roman" w:hAnsi="Times New Roman" w:eastAsia="仿宋_GB2312"/>
          <w:color w:val="000000"/>
          <w:sz w:val="24"/>
          <w:szCs w:val="24"/>
          <w:u w:val="single"/>
        </w:rPr>
      </w:pPr>
      <w:r>
        <w:rPr>
          <w:rFonts w:ascii="Times New Roman" w:hAnsi="Times New Roman" w:eastAsia="仿宋_GB2312"/>
          <w:sz w:val="24"/>
          <w:szCs w:val="24"/>
        </w:rPr>
        <w:t>关于出入现场的权利的约定：</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p>
    <w:p>
      <w:pPr>
        <w:pageBreakBefore w:val="0"/>
        <w:widowControl w:val="0"/>
        <w:kinsoku/>
        <w:wordWrap/>
        <w:overflowPunct/>
        <w:topLinePunct w:val="0"/>
        <w:bidi w:val="0"/>
        <w:snapToGrid/>
        <w:spacing w:line="480" w:lineRule="exact"/>
        <w:textAlignment w:val="auto"/>
        <w:rPr>
          <w:rFonts w:ascii="Times New Roman" w:hAnsi="Times New Roman" w:eastAsia="仿宋_GB2312"/>
          <w:sz w:val="24"/>
          <w:szCs w:val="24"/>
        </w:rPr>
      </w:pP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sz w:val="24"/>
          <w:szCs w:val="24"/>
        </w:rPr>
        <w:t>。</w:t>
      </w:r>
    </w:p>
    <w:bookmarkEnd w:id="105"/>
    <w:bookmarkEnd w:id="106"/>
    <w:bookmarkEnd w:id="107"/>
    <w:bookmarkEnd w:id="108"/>
    <w:bookmarkEnd w:id="109"/>
    <w:p>
      <w:pPr>
        <w:pageBreakBefore w:val="0"/>
        <w:widowControl w:val="0"/>
        <w:kinsoku/>
        <w:wordWrap/>
        <w:overflowPunct/>
        <w:topLinePunct w:val="0"/>
        <w:bidi w:val="0"/>
        <w:snapToGrid/>
        <w:spacing w:line="480" w:lineRule="exact"/>
        <w:ind w:firstLine="480" w:firstLineChars="200"/>
        <w:jc w:val="left"/>
        <w:textAlignment w:val="auto"/>
        <w:outlineLvl w:val="0"/>
        <w:rPr>
          <w:rFonts w:ascii="Times New Roman" w:hAnsi="Times New Roman" w:eastAsia="仿宋_GB2312"/>
          <w:sz w:val="24"/>
          <w:szCs w:val="24"/>
        </w:rPr>
      </w:pPr>
      <w:r>
        <w:rPr>
          <w:rFonts w:ascii="Times New Roman" w:hAnsi="Times New Roman" w:eastAsia="仿宋_GB2312"/>
          <w:sz w:val="24"/>
          <w:szCs w:val="24"/>
        </w:rPr>
        <w:t>1</w:t>
      </w:r>
      <w:bookmarkStart w:id="110" w:name="_Toc304295522"/>
      <w:bookmarkStart w:id="111" w:name="_Toc303539101"/>
      <w:bookmarkStart w:id="112" w:name="_Toc300934944"/>
      <w:bookmarkStart w:id="113" w:name="_Toc312677987"/>
      <w:bookmarkStart w:id="114" w:name="_Toc318581156"/>
      <w:r>
        <w:rPr>
          <w:rFonts w:ascii="Times New Roman" w:hAnsi="Times New Roman" w:eastAsia="仿宋_GB2312"/>
          <w:sz w:val="24"/>
          <w:szCs w:val="24"/>
        </w:rPr>
        <w:t>.10.3 场内交通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关于场外交通和场内交通的边界的约定：</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关于发包人向承包人免费提供满足工程施工需要的场内道路和交通设施的约定：</w:t>
      </w:r>
      <w:r>
        <w:rPr>
          <w:rFonts w:ascii="Times New Roman" w:hAnsi="Times New Roman" w:eastAsia="仿宋_GB2312"/>
          <w:color w:val="000000"/>
          <w:sz w:val="24"/>
          <w:szCs w:val="24"/>
          <w:u w:val="single"/>
        </w:rPr>
        <w:t> 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sz w:val="24"/>
          <w:szCs w:val="24"/>
        </w:rPr>
        <w:t>。</w:t>
      </w:r>
      <w:bookmarkEnd w:id="110"/>
      <w:bookmarkEnd w:id="111"/>
      <w:bookmarkEnd w:id="112"/>
      <w:bookmarkEnd w:id="113"/>
      <w:bookmarkEnd w:id="114"/>
      <w:r>
        <w:rPr>
          <w:rFonts w:ascii="Times New Roman" w:hAnsi="Times New Roman" w:eastAsia="仿宋_GB2312"/>
          <w:sz w:val="24"/>
          <w:szCs w:val="24"/>
        </w:rPr>
        <w:t xml:space="preserve">  </w:t>
      </w:r>
      <w:bookmarkStart w:id="115" w:name="_Toc318581157"/>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1.10.4超大件和超重件的运输</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运输超大件或超重件所需的道路和桥梁临时加固改造费用和其他有关费用由</w:t>
      </w:r>
      <w:r>
        <w:rPr>
          <w:rFonts w:ascii="Times New Roman" w:hAnsi="Times New Roman" w:eastAsia="仿宋_GB2312"/>
          <w:sz w:val="24"/>
          <w:szCs w:val="24"/>
          <w:u w:val="single"/>
        </w:rPr>
        <w:t xml:space="preserve">              </w:t>
      </w:r>
      <w:r>
        <w:rPr>
          <w:rFonts w:ascii="Times New Roman" w:hAnsi="Times New Roman" w:eastAsia="仿宋_GB2312"/>
          <w:sz w:val="24"/>
          <w:szCs w:val="24"/>
        </w:rPr>
        <w:t>承担。</w:t>
      </w:r>
    </w:p>
    <w:bookmarkEnd w:id="115"/>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1.11 知识产权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1.11.1关于发包人提供给承包人的图纸、发包人为实施工程自行编制或委托编制的技术规范以及反映发包人关于合同要求或其他类似性质的文件的著作权的归属：</w:t>
      </w:r>
      <w:r>
        <w:rPr>
          <w:rFonts w:ascii="Times New Roman" w:hAnsi="Times New Roman" w:eastAsia="仿宋_GB2312"/>
          <w:color w:val="000000"/>
          <w:sz w:val="24"/>
          <w:szCs w:val="24"/>
          <w:u w:val="single"/>
        </w:rPr>
        <w:t>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left="965" w:leftChars="284"/>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关于发包人提供的上述文件的使用限制的要求：</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outlineLvl w:val="0"/>
        <w:rPr>
          <w:rFonts w:hint="eastAsia" w:ascii="Times New Roman" w:hAnsi="Times New Roman" w:eastAsia="仿宋_GB2312"/>
          <w:color w:val="000000"/>
          <w:sz w:val="24"/>
          <w:szCs w:val="24"/>
        </w:rPr>
      </w:pPr>
      <w:r>
        <w:rPr>
          <w:rFonts w:ascii="Times New Roman" w:hAnsi="Times New Roman" w:eastAsia="仿宋_GB2312"/>
          <w:color w:val="000000"/>
          <w:sz w:val="24"/>
          <w:szCs w:val="24"/>
        </w:rPr>
        <w:t>1.11.2 关于承包人为实施工程所编制文件的著作权的归属：</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hint="eastAsia" w:ascii="Times New Roman" w:hAnsi="Times New Roman" w:eastAsia="仿宋_GB2312"/>
          <w:color w:val="000000"/>
          <w:sz w:val="24"/>
          <w:szCs w:val="24"/>
          <w:lang w:val="en-US" w:eastAsia="zh-CN"/>
        </w:rPr>
        <w:t>1.11.3</w:t>
      </w:r>
      <w:r>
        <w:rPr>
          <w:rFonts w:ascii="Times New Roman" w:hAnsi="Times New Roman" w:eastAsia="仿宋_GB2312"/>
          <w:color w:val="000000"/>
          <w:sz w:val="24"/>
          <w:szCs w:val="24"/>
        </w:rPr>
        <w:t>关于承包人提供的上述文件的使用限制的要求：</w:t>
      </w:r>
      <w:r>
        <w:rPr>
          <w:rFonts w:ascii="Times New Roman" w:hAnsi="Times New Roman" w:eastAsia="仿宋_GB2312"/>
          <w:color w:val="000000"/>
          <w:sz w:val="24"/>
          <w:szCs w:val="24"/>
          <w:u w:val="single"/>
        </w:rPr>
        <w:t>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outlineLvl w:val="0"/>
        <w:rPr>
          <w:rFonts w:ascii="Times New Roman" w:hAnsi="Times New Roman" w:eastAsia="仿宋_GB2312"/>
          <w:color w:val="000000"/>
          <w:kern w:val="0"/>
          <w:sz w:val="24"/>
          <w:szCs w:val="24"/>
        </w:rPr>
      </w:pPr>
      <w:r>
        <w:rPr>
          <w:rFonts w:ascii="Times New Roman" w:hAnsi="Times New Roman" w:eastAsia="仿宋_GB2312"/>
          <w:color w:val="000000"/>
          <w:sz w:val="24"/>
          <w:szCs w:val="24"/>
        </w:rPr>
        <w:t>1.11.4 承包人在施工过程中所采用的专利、专有技术、技术秘密的使用费的承担方式：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1.13工程量清单错误的修正</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出现工程量清单错误时，是否调整合同价格：</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允许调整合同价格的工程量偏差范围：</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kern w:val="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116" w:name="_Toc351203634"/>
      <w:r>
        <w:rPr>
          <w:rFonts w:ascii="Times New Roman" w:hAnsi="Times New Roman" w:eastAsia="黑体"/>
          <w:b w:val="0"/>
          <w:color w:val="000000"/>
          <w:sz w:val="24"/>
          <w:szCs w:val="24"/>
        </w:rPr>
        <w:t>2</w:t>
      </w:r>
      <w:bookmarkStart w:id="117" w:name="_Toc296891197"/>
      <w:bookmarkStart w:id="118" w:name="_Toc296503157"/>
      <w:bookmarkStart w:id="119" w:name="_Toc296890985"/>
      <w:bookmarkStart w:id="120" w:name="_Toc292559362"/>
      <w:bookmarkStart w:id="121" w:name="_Toc296346658"/>
      <w:bookmarkStart w:id="122" w:name="_Toc292559867"/>
      <w:bookmarkStart w:id="123" w:name="_Toc296347156"/>
      <w:bookmarkStart w:id="124" w:name="_Toc296944496"/>
      <w:bookmarkStart w:id="125" w:name="_Toc297120457"/>
      <w:bookmarkStart w:id="126" w:name="_Toc297048343"/>
      <w:r>
        <w:rPr>
          <w:rFonts w:ascii="Times New Roman" w:hAnsi="Times New Roman" w:eastAsia="黑体"/>
          <w:b w:val="0"/>
          <w:color w:val="000000"/>
          <w:sz w:val="24"/>
          <w:szCs w:val="24"/>
        </w:rPr>
        <w:t>. 发包人</w:t>
      </w:r>
      <w:bookmarkEnd w:id="116"/>
    </w:p>
    <w:bookmarkEnd w:id="117"/>
    <w:bookmarkEnd w:id="118"/>
    <w:bookmarkEnd w:id="119"/>
    <w:bookmarkEnd w:id="120"/>
    <w:bookmarkEnd w:id="121"/>
    <w:bookmarkEnd w:id="122"/>
    <w:bookmarkEnd w:id="123"/>
    <w:bookmarkEnd w:id="124"/>
    <w:bookmarkEnd w:id="125"/>
    <w:bookmarkEnd w:id="126"/>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2.2 发包人代表</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发包人代表：</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姓    名：</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身份证号：</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职    务：</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发包人对发包人代表的授权范围如下：</w:t>
      </w:r>
      <w:r>
        <w:rPr>
          <w:rFonts w:ascii="Times New Roman" w:hAnsi="Times New Roman" w:eastAsia="仿宋_GB2312"/>
          <w:color w:val="000000"/>
          <w:sz w:val="24"/>
          <w:szCs w:val="24"/>
          <w:u w:val="single"/>
        </w:rPr>
        <w:t>     </w:t>
      </w:r>
    </w:p>
    <w:p>
      <w:pPr>
        <w:pageBreakBefore w:val="0"/>
        <w:widowControl w:val="0"/>
        <w:kinsoku/>
        <w:wordWrap/>
        <w:overflowPunct/>
        <w:topLinePunct w:val="0"/>
        <w:bidi w:val="0"/>
        <w:snapToGrid/>
        <w:spacing w:line="480" w:lineRule="exact"/>
        <w:textAlignment w:val="auto"/>
        <w:rPr>
          <w:rFonts w:ascii="Times New Roman" w:hAnsi="Times New Roman" w:eastAsia="仿宋_GB2312"/>
          <w:b/>
          <w:color w:val="00000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2.4 施工现场、施工条件和基础资料的提供</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2.4.1 提供施工现场</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关于发包人移交施工现场的期限要求：</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2.4.2 提供施工条件</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关于发包人应负责提供施工</w:t>
      </w:r>
      <w:r>
        <w:rPr>
          <w:rFonts w:hint="eastAsia" w:ascii="Times New Roman" w:hAnsi="Times New Roman" w:eastAsia="仿宋_GB2312"/>
          <w:color w:val="000000"/>
          <w:sz w:val="24"/>
          <w:szCs w:val="24"/>
        </w:rPr>
        <w:t>所需要的条件，</w:t>
      </w:r>
      <w:r>
        <w:rPr>
          <w:rFonts w:ascii="Times New Roman" w:hAnsi="Times New Roman" w:eastAsia="仿宋_GB2312"/>
          <w:color w:val="000000"/>
          <w:sz w:val="24"/>
          <w:szCs w:val="24"/>
        </w:rPr>
        <w:t>包括：</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2.5 资金来源证明及支付担保</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发包人提供资金来源证明的期限要求：</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发包人是否提供支付担保：</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发包人提供支付担保的形式：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127" w:name="_Toc351203635"/>
      <w:r>
        <w:rPr>
          <w:rFonts w:ascii="Times New Roman" w:hAnsi="Times New Roman" w:eastAsia="黑体"/>
          <w:b w:val="0"/>
          <w:color w:val="000000"/>
          <w:sz w:val="24"/>
          <w:szCs w:val="24"/>
        </w:rPr>
        <w:t>3</w:t>
      </w:r>
      <w:bookmarkStart w:id="128" w:name="_Toc297048344"/>
      <w:bookmarkStart w:id="129" w:name="_Toc296944497"/>
      <w:bookmarkStart w:id="130" w:name="_Toc296346659"/>
      <w:bookmarkStart w:id="131" w:name="_Toc292559868"/>
      <w:bookmarkStart w:id="132" w:name="_Toc296890986"/>
      <w:bookmarkStart w:id="133" w:name="_Toc297120458"/>
      <w:bookmarkStart w:id="134" w:name="_Toc296503158"/>
      <w:bookmarkStart w:id="135" w:name="_Toc296891198"/>
      <w:bookmarkStart w:id="136" w:name="_Toc296347157"/>
      <w:bookmarkStart w:id="137" w:name="_Toc292559363"/>
      <w:r>
        <w:rPr>
          <w:rFonts w:ascii="Times New Roman" w:hAnsi="Times New Roman" w:eastAsia="黑体"/>
          <w:b w:val="0"/>
          <w:color w:val="000000"/>
          <w:sz w:val="24"/>
          <w:szCs w:val="24"/>
        </w:rPr>
        <w:t>. 承包人</w:t>
      </w:r>
      <w:bookmarkEnd w:id="127"/>
    </w:p>
    <w:bookmarkEnd w:id="128"/>
    <w:bookmarkEnd w:id="129"/>
    <w:bookmarkEnd w:id="130"/>
    <w:bookmarkEnd w:id="131"/>
    <w:bookmarkEnd w:id="132"/>
    <w:bookmarkEnd w:id="133"/>
    <w:bookmarkEnd w:id="134"/>
    <w:bookmarkEnd w:id="135"/>
    <w:bookmarkEnd w:id="136"/>
    <w:bookmarkEnd w:id="137"/>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3.1 承包人的一般义务</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kern w:val="0"/>
          <w:sz w:val="24"/>
          <w:szCs w:val="24"/>
        </w:rPr>
        <w:t>（</w:t>
      </w:r>
      <w:r>
        <w:rPr>
          <w:rFonts w:hint="eastAsia" w:ascii="Times New Roman" w:hAnsi="Times New Roman" w:eastAsia="仿宋_GB2312"/>
          <w:color w:val="000000"/>
          <w:kern w:val="0"/>
          <w:sz w:val="24"/>
          <w:szCs w:val="24"/>
        </w:rPr>
        <w:t>9</w:t>
      </w:r>
      <w:r>
        <w:rPr>
          <w:rFonts w:ascii="Times New Roman" w:hAnsi="Times New Roman" w:eastAsia="仿宋_GB2312"/>
          <w:color w:val="000000"/>
          <w:kern w:val="0"/>
          <w:sz w:val="24"/>
          <w:szCs w:val="24"/>
        </w:rPr>
        <w:t>）</w:t>
      </w:r>
      <w:r>
        <w:rPr>
          <w:rFonts w:ascii="Times New Roman" w:hAnsi="Times New Roman" w:eastAsia="仿宋_GB2312"/>
          <w:color w:val="000000"/>
          <w:sz w:val="24"/>
          <w:szCs w:val="24"/>
        </w:rPr>
        <w:t>承包人提交的竣工资料的内容：</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承包人需要提交的竣工资料套数：</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left="1033" w:leftChars="304"/>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承包人提交的竣工资料的费用承担：</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left="1033" w:leftChars="304"/>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承包人提交的竣工资料移交时间：</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承包人提交的竣工资料形式要求：</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w:t>
      </w:r>
      <w:r>
        <w:rPr>
          <w:rFonts w:hint="eastAsia" w:ascii="Times New Roman" w:hAnsi="Times New Roman" w:eastAsia="仿宋_GB2312"/>
          <w:color w:val="000000"/>
          <w:kern w:val="0"/>
          <w:sz w:val="24"/>
          <w:szCs w:val="24"/>
        </w:rPr>
        <w:t>10</w:t>
      </w:r>
      <w:r>
        <w:rPr>
          <w:rFonts w:ascii="Times New Roman" w:hAnsi="Times New Roman" w:eastAsia="仿宋_GB2312"/>
          <w:color w:val="000000"/>
          <w:kern w:val="0"/>
          <w:sz w:val="24"/>
          <w:szCs w:val="24"/>
        </w:rPr>
        <w:t>）承包人应履行的其他义务：</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Times New Roman" w:hAnsi="Times New Roman" w:eastAsia="黑体"/>
          <w:color w:val="000000"/>
          <w:sz w:val="24"/>
          <w:szCs w:val="24"/>
          <w:lang w:eastAsia="zh-CN"/>
        </w:rPr>
      </w:pPr>
      <w:r>
        <w:rPr>
          <w:rFonts w:ascii="Times New Roman" w:hAnsi="Times New Roman" w:eastAsia="黑体"/>
          <w:color w:val="000000"/>
          <w:sz w:val="24"/>
          <w:szCs w:val="24"/>
        </w:rPr>
        <w:t xml:space="preserve">3.2 </w:t>
      </w:r>
      <w:r>
        <w:rPr>
          <w:rFonts w:hint="eastAsia" w:ascii="Times New Roman" w:eastAsia="黑体"/>
          <w:color w:val="000000"/>
          <w:sz w:val="24"/>
          <w:szCs w:val="24"/>
          <w:lang w:eastAsia="zh-CN"/>
        </w:rPr>
        <w:t>项目负责人</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 xml:space="preserve">3.2.1 </w:t>
      </w:r>
      <w:r>
        <w:rPr>
          <w:rFonts w:hint="eastAsia" w:ascii="Times New Roman" w:eastAsia="仿宋_GB2312"/>
          <w:color w:val="000000"/>
          <w:sz w:val="24"/>
          <w:szCs w:val="24"/>
          <w:lang w:eastAsia="zh-CN"/>
        </w:rPr>
        <w:t>项目负责人</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姓    名：</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身份证号：</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建造师执业资格等级：</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建造师注册证书号：</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建造师执业印章号：</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安全生产考核合格证书号：</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承包人对</w:t>
      </w:r>
      <w:r>
        <w:rPr>
          <w:rFonts w:hint="eastAsia" w:ascii="Times New Roman" w:eastAsia="仿宋_GB2312"/>
          <w:color w:val="000000"/>
          <w:sz w:val="24"/>
          <w:szCs w:val="24"/>
          <w:lang w:eastAsia="zh-CN"/>
        </w:rPr>
        <w:t>项目负责人</w:t>
      </w:r>
      <w:r>
        <w:rPr>
          <w:rFonts w:ascii="Times New Roman" w:hAnsi="Times New Roman" w:eastAsia="仿宋_GB2312"/>
          <w:color w:val="000000"/>
          <w:sz w:val="24"/>
          <w:szCs w:val="24"/>
        </w:rPr>
        <w:t>的授权范围如下：</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关于</w:t>
      </w:r>
      <w:r>
        <w:rPr>
          <w:rFonts w:hint="eastAsia" w:ascii="Times New Roman" w:eastAsia="仿宋_GB2312"/>
          <w:color w:val="000000"/>
          <w:kern w:val="0"/>
          <w:sz w:val="24"/>
          <w:szCs w:val="24"/>
          <w:lang w:eastAsia="zh-CN"/>
        </w:rPr>
        <w:t>项目负责人</w:t>
      </w:r>
      <w:r>
        <w:rPr>
          <w:rFonts w:ascii="Times New Roman" w:hAnsi="Times New Roman" w:eastAsia="仿宋_GB2312"/>
          <w:color w:val="000000"/>
          <w:kern w:val="0"/>
          <w:sz w:val="24"/>
          <w:szCs w:val="24"/>
        </w:rPr>
        <w:t>每月在施工现场的时间要求：</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承包人未提交劳动合同，以及没有为</w:t>
      </w:r>
      <w:r>
        <w:rPr>
          <w:rFonts w:hint="eastAsia" w:ascii="Times New Roman" w:eastAsia="仿宋_GB2312"/>
          <w:color w:val="000000"/>
          <w:kern w:val="0"/>
          <w:sz w:val="24"/>
          <w:szCs w:val="24"/>
          <w:lang w:eastAsia="zh-CN"/>
        </w:rPr>
        <w:t>项目负责人</w:t>
      </w:r>
      <w:r>
        <w:rPr>
          <w:rFonts w:ascii="Times New Roman" w:hAnsi="Times New Roman" w:eastAsia="仿宋_GB2312"/>
          <w:color w:val="000000"/>
          <w:kern w:val="0"/>
          <w:sz w:val="24"/>
          <w:szCs w:val="24"/>
        </w:rPr>
        <w:t>缴纳社会保险证明的违约责任：</w:t>
      </w:r>
      <w:r>
        <w:rPr>
          <w:rFonts w:ascii="Times New Roman" w:hAnsi="Times New Roman" w:eastAsia="仿宋_GB2312"/>
          <w:color w:val="000000"/>
          <w:sz w:val="24"/>
          <w:szCs w:val="24"/>
          <w:u w:val="single"/>
        </w:rPr>
        <w:t xml:space="preserve">               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hint="eastAsia" w:ascii="Times New Roman" w:eastAsia="仿宋_GB2312"/>
          <w:color w:val="000000"/>
          <w:kern w:val="0"/>
          <w:sz w:val="24"/>
          <w:szCs w:val="24"/>
          <w:lang w:eastAsia="zh-CN"/>
        </w:rPr>
        <w:t>项目负责人</w:t>
      </w:r>
      <w:r>
        <w:rPr>
          <w:rFonts w:ascii="Times New Roman" w:hAnsi="Times New Roman" w:eastAsia="仿宋_GB2312"/>
          <w:color w:val="000000"/>
          <w:kern w:val="0"/>
          <w:sz w:val="24"/>
          <w:szCs w:val="24"/>
        </w:rPr>
        <w:t>未经批准，擅自离开施工现场的违约责任：</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3.2.3 承包人擅自更换</w:t>
      </w:r>
      <w:r>
        <w:rPr>
          <w:rFonts w:hint="eastAsia" w:ascii="Times New Roman" w:eastAsia="仿宋_GB2312"/>
          <w:color w:val="000000"/>
          <w:sz w:val="24"/>
          <w:szCs w:val="24"/>
          <w:lang w:eastAsia="zh-CN"/>
        </w:rPr>
        <w:t>项目负责人</w:t>
      </w:r>
      <w:r>
        <w:rPr>
          <w:rFonts w:ascii="Times New Roman" w:hAnsi="Times New Roman" w:eastAsia="仿宋_GB2312"/>
          <w:color w:val="000000"/>
          <w:sz w:val="24"/>
          <w:szCs w:val="24"/>
        </w:rPr>
        <w:t>的违约责任：</w:t>
      </w:r>
      <w:r>
        <w:rPr>
          <w:rFonts w:ascii="Times New Roman" w:hAnsi="Times New Roman" w:eastAsia="仿宋_GB2312"/>
          <w:color w:val="000000"/>
          <w:sz w:val="24"/>
          <w:szCs w:val="24"/>
          <w:u w:val="single"/>
        </w:rPr>
        <w:t xml:space="preserve">     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textAlignment w:val="auto"/>
        <w:outlineLvl w:val="0"/>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    3.2.4 承包人无正当理由拒绝更换</w:t>
      </w:r>
      <w:r>
        <w:rPr>
          <w:rFonts w:hint="eastAsia" w:ascii="Times New Roman" w:eastAsia="仿宋_GB2312"/>
          <w:color w:val="000000"/>
          <w:sz w:val="24"/>
          <w:szCs w:val="24"/>
          <w:lang w:eastAsia="zh-CN"/>
        </w:rPr>
        <w:t>项目负责人</w:t>
      </w:r>
      <w:r>
        <w:rPr>
          <w:rFonts w:ascii="Times New Roman" w:hAnsi="Times New Roman" w:eastAsia="仿宋_GB2312"/>
          <w:color w:val="000000"/>
          <w:sz w:val="24"/>
          <w:szCs w:val="24"/>
        </w:rPr>
        <w:t>的违约责任：</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after="120" w:line="480" w:lineRule="exact"/>
        <w:ind w:firstLine="480" w:firstLineChars="200"/>
        <w:textAlignment w:val="auto"/>
        <w:rPr>
          <w:rFonts w:ascii="Times New Roman" w:hAnsi="Times New Roman" w:eastAsia="黑体"/>
          <w:color w:val="000000"/>
          <w:sz w:val="24"/>
          <w:szCs w:val="24"/>
        </w:rPr>
      </w:pPr>
      <w:r>
        <w:rPr>
          <w:rFonts w:ascii="Times New Roman" w:hAnsi="Times New Roman" w:eastAsia="黑体"/>
          <w:color w:val="000000"/>
          <w:sz w:val="24"/>
          <w:szCs w:val="24"/>
        </w:rPr>
        <w:t>3.3 承包人人员</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3.3.1 承包人提交项目管理机构及施工现场管理人员安排报告的期限：</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3.3.3 承包人无正当理由拒绝撤换主要施工管理人员的违约责任：</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 xml:space="preserve">3.3.4 承包人主要施工管理人员离开施工现场的批准要求：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3.3.5承包人擅自更换主要施工管理人员的违约责任：</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承包人主要施工管理人员擅自离开施工现场的违约责任：</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3</w:t>
      </w:r>
      <w:bookmarkStart w:id="138" w:name="_Toc297123492"/>
      <w:bookmarkStart w:id="139" w:name="_Toc296890987"/>
      <w:bookmarkStart w:id="140" w:name="_Toc296346660"/>
      <w:bookmarkStart w:id="141" w:name="_Toc296944498"/>
      <w:bookmarkStart w:id="142" w:name="_Toc297216151"/>
      <w:bookmarkStart w:id="143" w:name="_Toc292559869"/>
      <w:bookmarkStart w:id="144" w:name="_Toc296347158"/>
      <w:bookmarkStart w:id="145" w:name="_Toc304295523"/>
      <w:bookmarkStart w:id="146" w:name="_Toc296503159"/>
      <w:bookmarkStart w:id="147" w:name="_Toc303539102"/>
      <w:bookmarkStart w:id="148" w:name="_Toc312677988"/>
      <w:bookmarkStart w:id="149" w:name="_Toc296891199"/>
      <w:bookmarkStart w:id="150" w:name="_Toc297048345"/>
      <w:bookmarkStart w:id="151" w:name="_Toc292559364"/>
      <w:bookmarkStart w:id="152" w:name="_Toc300934945"/>
      <w:bookmarkStart w:id="153" w:name="_Toc297120459"/>
      <w:r>
        <w:rPr>
          <w:rFonts w:ascii="Times New Roman" w:hAnsi="Times New Roman" w:eastAsia="黑体"/>
          <w:color w:val="000000"/>
          <w:sz w:val="24"/>
          <w:szCs w:val="24"/>
        </w:rPr>
        <w:t>.5 分包</w:t>
      </w:r>
    </w:p>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sz w:val="24"/>
          <w:szCs w:val="24"/>
        </w:rPr>
      </w:pPr>
      <w:r>
        <w:rPr>
          <w:rFonts w:ascii="Times New Roman" w:hAnsi="Times New Roman" w:eastAsia="仿宋_GB2312"/>
          <w:sz w:val="24"/>
          <w:szCs w:val="24"/>
        </w:rPr>
        <w:t>3</w:t>
      </w:r>
      <w:bookmarkStart w:id="154" w:name="_Toc296891200"/>
      <w:bookmarkStart w:id="155" w:name="_Toc292559870"/>
      <w:bookmarkStart w:id="156" w:name="_Toc296944499"/>
      <w:bookmarkStart w:id="157" w:name="_Toc296346661"/>
      <w:bookmarkStart w:id="158" w:name="_Toc297048346"/>
      <w:bookmarkStart w:id="159" w:name="_Toc296890988"/>
      <w:bookmarkStart w:id="160" w:name="_Toc300934946"/>
      <w:bookmarkStart w:id="161" w:name="_Toc297120460"/>
      <w:bookmarkStart w:id="162" w:name="_Toc304295524"/>
      <w:bookmarkStart w:id="163" w:name="_Toc296347159"/>
      <w:bookmarkStart w:id="164" w:name="_Toc296503160"/>
      <w:bookmarkStart w:id="165" w:name="_Toc297216152"/>
      <w:bookmarkStart w:id="166" w:name="_Toc303539103"/>
      <w:bookmarkStart w:id="167" w:name="_Toc292559365"/>
      <w:bookmarkStart w:id="168" w:name="_Toc297123493"/>
      <w:bookmarkStart w:id="169" w:name="_Toc312677989"/>
      <w:bookmarkStart w:id="170" w:name="_Toc318581158"/>
      <w:r>
        <w:rPr>
          <w:rFonts w:ascii="Times New Roman" w:hAnsi="Times New Roman" w:eastAsia="仿宋_GB2312"/>
          <w:sz w:val="24"/>
          <w:szCs w:val="24"/>
        </w:rPr>
        <w:t>.5.1 分包的一般约定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禁止分包的工程包括：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sz w:val="24"/>
          <w:szCs w:val="24"/>
        </w:rPr>
        <w:t>主体结构、关键性工作的范围：</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Start w:id="171" w:name="_Toc296891201"/>
      <w:bookmarkStart w:id="172" w:name="_Toc296944500"/>
      <w:bookmarkStart w:id="173" w:name="_Toc297216153"/>
      <w:bookmarkStart w:id="174" w:name="_Toc296347160"/>
      <w:bookmarkStart w:id="175" w:name="_Toc303539104"/>
      <w:bookmarkStart w:id="176" w:name="_Toc304295525"/>
      <w:bookmarkStart w:id="177" w:name="_Toc296346662"/>
      <w:bookmarkStart w:id="178" w:name="_Toc296503161"/>
      <w:bookmarkStart w:id="179" w:name="_Toc300934947"/>
      <w:bookmarkStart w:id="180" w:name="_Toc296890989"/>
      <w:bookmarkStart w:id="181" w:name="_Toc297120461"/>
      <w:bookmarkStart w:id="182" w:name="_Toc297048347"/>
      <w:bookmarkStart w:id="183" w:name="_Toc297123494"/>
    </w:p>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Pr>
        <w:pageBreakBefore w:val="0"/>
        <w:widowControl w:val="0"/>
        <w:kinsoku/>
        <w:wordWrap/>
        <w:overflowPunct/>
        <w:topLinePunct w:val="0"/>
        <w:bidi w:val="0"/>
        <w:snapToGrid/>
        <w:spacing w:line="480" w:lineRule="exact"/>
        <w:textAlignment w:val="auto"/>
        <w:rPr>
          <w:rFonts w:ascii="Times New Roman" w:hAnsi="Times New Roman" w:eastAsia="仿宋_GB2312"/>
          <w:sz w:val="24"/>
          <w:szCs w:val="24"/>
        </w:rPr>
      </w:pPr>
      <w:r>
        <w:rPr>
          <w:rFonts w:ascii="Times New Roman" w:hAnsi="Times New Roman" w:eastAsia="仿宋_GB2312"/>
          <w:sz w:val="24"/>
          <w:szCs w:val="24"/>
        </w:rPr>
        <w:t xml:space="preserve">    3</w:t>
      </w:r>
      <w:bookmarkStart w:id="184" w:name="_Toc318581159"/>
      <w:bookmarkStart w:id="185" w:name="_Toc312677990"/>
      <w:r>
        <w:rPr>
          <w:rFonts w:ascii="Times New Roman" w:hAnsi="Times New Roman" w:eastAsia="仿宋_GB2312"/>
          <w:sz w:val="24"/>
          <w:szCs w:val="24"/>
        </w:rPr>
        <w:t>.5.2分包的确定</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sz w:val="24"/>
          <w:szCs w:val="24"/>
        </w:rPr>
        <w:t>允许分包的专业工程包括：</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其他关于分包的约定：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sz w:val="24"/>
          <w:szCs w:val="24"/>
        </w:rPr>
      </w:pPr>
      <w:r>
        <w:rPr>
          <w:rFonts w:ascii="Times New Roman" w:hAnsi="Times New Roman" w:eastAsia="仿宋_GB2312"/>
          <w:sz w:val="24"/>
          <w:szCs w:val="24"/>
        </w:rPr>
        <w:t>3.5.4 分包合同价款</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sz w:val="24"/>
          <w:szCs w:val="24"/>
        </w:rPr>
      </w:pPr>
      <w:r>
        <w:rPr>
          <w:rFonts w:ascii="Times New Roman" w:hAnsi="Times New Roman" w:eastAsia="仿宋_GB2312"/>
          <w:sz w:val="24"/>
          <w:szCs w:val="24"/>
        </w:rPr>
        <w:t>关于分包合同价款支付的约定：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184"/>
    <w:bookmarkEnd w:id="185"/>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3.6 工程照管与成品、半成品保护</w:t>
      </w:r>
    </w:p>
    <w:p>
      <w:pPr>
        <w:pageBreakBefore w:val="0"/>
        <w:widowControl w:val="0"/>
        <w:kinsoku/>
        <w:wordWrap/>
        <w:overflowPunct/>
        <w:topLinePunct w:val="0"/>
        <w:bidi w:val="0"/>
        <w:snapToGrid/>
        <w:spacing w:before="120" w:after="120" w:line="480" w:lineRule="exact"/>
        <w:ind w:firstLine="480" w:firstLineChars="200"/>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承包人负责照管工程及工程相关的材料、工程设备的起始时间：</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3.7 履约担保</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承包人是否提供履约担保：</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承包人提供履约担保的形式</w:t>
      </w:r>
      <w:r>
        <w:rPr>
          <w:rFonts w:hint="eastAsia" w:ascii="Times New Roman" w:hAnsi="Times New Roman" w:eastAsia="仿宋_GB2312"/>
          <w:color w:val="000000"/>
          <w:sz w:val="24"/>
          <w:szCs w:val="24"/>
        </w:rPr>
        <w:t>、金额及期限的</w:t>
      </w:r>
      <w:r>
        <w:rPr>
          <w:rFonts w:ascii="Times New Roman" w:hAnsi="Times New Roman" w:eastAsia="仿宋_GB2312"/>
          <w:color w:val="000000"/>
          <w:sz w:val="24"/>
          <w:szCs w:val="24"/>
        </w:rPr>
        <w:t>：</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186" w:name="_Toc351203636"/>
      <w:r>
        <w:rPr>
          <w:rFonts w:ascii="Times New Roman" w:hAnsi="Times New Roman" w:eastAsia="黑体"/>
          <w:b w:val="0"/>
          <w:color w:val="000000"/>
          <w:sz w:val="24"/>
          <w:szCs w:val="24"/>
        </w:rPr>
        <w:t>4</w:t>
      </w:r>
      <w:bookmarkStart w:id="187" w:name="_Toc297048348"/>
      <w:bookmarkStart w:id="188" w:name="_Toc292559366"/>
      <w:bookmarkStart w:id="189" w:name="_Toc296347161"/>
      <w:bookmarkStart w:id="190" w:name="_Toc292559871"/>
      <w:bookmarkStart w:id="191" w:name="_Toc267251413"/>
      <w:bookmarkStart w:id="192" w:name="_Toc296503162"/>
      <w:bookmarkStart w:id="193" w:name="_Toc297120462"/>
      <w:bookmarkStart w:id="194" w:name="_Toc296891202"/>
      <w:bookmarkStart w:id="195" w:name="_Toc296944501"/>
      <w:bookmarkStart w:id="196" w:name="_Toc296890990"/>
      <w:bookmarkStart w:id="197" w:name="_Toc296346663"/>
      <w:r>
        <w:rPr>
          <w:rFonts w:ascii="Times New Roman" w:hAnsi="Times New Roman" w:eastAsia="黑体"/>
          <w:b w:val="0"/>
          <w:color w:val="000000"/>
          <w:sz w:val="24"/>
          <w:szCs w:val="24"/>
        </w:rPr>
        <w:t>. 监</w:t>
      </w:r>
      <w:bookmarkEnd w:id="187"/>
      <w:bookmarkEnd w:id="188"/>
      <w:bookmarkEnd w:id="189"/>
      <w:bookmarkEnd w:id="190"/>
      <w:bookmarkEnd w:id="191"/>
      <w:bookmarkEnd w:id="192"/>
      <w:bookmarkEnd w:id="193"/>
      <w:bookmarkEnd w:id="194"/>
      <w:bookmarkEnd w:id="195"/>
      <w:bookmarkEnd w:id="196"/>
      <w:bookmarkEnd w:id="197"/>
      <w:r>
        <w:rPr>
          <w:rFonts w:ascii="Times New Roman" w:hAnsi="Times New Roman" w:eastAsia="黑体"/>
          <w:b w:val="0"/>
          <w:color w:val="000000"/>
          <w:sz w:val="24"/>
          <w:szCs w:val="24"/>
        </w:rPr>
        <w:t>理人</w:t>
      </w:r>
      <w:bookmarkEnd w:id="186"/>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4.1监理人的一般规定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关于监理人的监理内容：</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关于监理人的监理权限：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关于监理人在施工现场的办公场所、生活场所的提供和费用承担的约定：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4.2 监理人员</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总监理工程师：</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姓    名：</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职    务：</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监理工程师执业资格证书号：</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关于监理人的其他约定：</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4.4 商定或确定</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bookmarkStart w:id="198" w:name="_Toc267251418"/>
      <w:r>
        <w:rPr>
          <w:rFonts w:ascii="Times New Roman" w:hAnsi="Times New Roman" w:eastAsia="仿宋_GB2312"/>
          <w:color w:val="000000"/>
          <w:sz w:val="24"/>
          <w:szCs w:val="24"/>
        </w:rPr>
        <w:t>在发包人和承包人不能通过协商达成一致意见时，发包人授权监理人对以下事项进行确定：</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199" w:name="_Toc351203637"/>
      <w:r>
        <w:rPr>
          <w:rFonts w:ascii="Times New Roman" w:hAnsi="Times New Roman" w:eastAsia="黑体"/>
          <w:b w:val="0"/>
          <w:color w:val="000000"/>
          <w:sz w:val="24"/>
          <w:szCs w:val="24"/>
        </w:rPr>
        <w:t>5</w:t>
      </w:r>
      <w:bookmarkEnd w:id="198"/>
      <w:bookmarkStart w:id="200" w:name="_Toc296503163"/>
      <w:bookmarkStart w:id="201" w:name="_Toc292559872"/>
      <w:bookmarkStart w:id="202" w:name="_Toc296891203"/>
      <w:bookmarkStart w:id="203" w:name="_Toc297048349"/>
      <w:bookmarkStart w:id="204" w:name="_Toc296890991"/>
      <w:bookmarkStart w:id="205" w:name="_Toc296347162"/>
      <w:bookmarkStart w:id="206" w:name="_Toc296346664"/>
      <w:bookmarkStart w:id="207" w:name="_Toc292559367"/>
      <w:bookmarkStart w:id="208" w:name="_Toc296944502"/>
      <w:bookmarkStart w:id="209" w:name="_Toc297120463"/>
      <w:r>
        <w:rPr>
          <w:rFonts w:ascii="Times New Roman" w:hAnsi="Times New Roman" w:eastAsia="黑体"/>
          <w:b w:val="0"/>
          <w:color w:val="000000"/>
          <w:sz w:val="24"/>
          <w:szCs w:val="24"/>
        </w:rPr>
        <w:t>. 工程质量</w:t>
      </w:r>
      <w:bookmarkEnd w:id="199"/>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5.1 质量要求</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5</w:t>
      </w:r>
      <w:bookmarkStart w:id="210" w:name="_Toc297216155"/>
      <w:bookmarkStart w:id="211" w:name="_Toc304295527"/>
      <w:bookmarkStart w:id="212" w:name="_Toc318581164"/>
      <w:bookmarkStart w:id="213" w:name="_Toc297123496"/>
      <w:bookmarkStart w:id="214" w:name="_Toc300934949"/>
      <w:bookmarkStart w:id="215" w:name="_Toc312677997"/>
      <w:bookmarkStart w:id="216" w:name="_Toc303539106"/>
      <w:r>
        <w:rPr>
          <w:rFonts w:ascii="Times New Roman" w:hAnsi="Times New Roman" w:eastAsia="仿宋_GB2312"/>
          <w:sz w:val="24"/>
          <w:szCs w:val="24"/>
        </w:rPr>
        <w:t>.1.1 特殊质量标准和要求：</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关于工程奖项的约定：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黑体"/>
          <w:color w:val="000000"/>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5.3 隐蔽工程检查</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5.3.2承包人提前通知监理人隐蔽工程检查的期限的约定：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监理人不能按时进行检查时，应提前</w:t>
      </w:r>
      <w:r>
        <w:rPr>
          <w:rFonts w:ascii="Times New Roman" w:hAnsi="Times New Roman" w:eastAsia="仿宋_GB2312"/>
          <w:sz w:val="24"/>
          <w:szCs w:val="24"/>
          <w:u w:val="single"/>
        </w:rPr>
        <w:t xml:space="preserve">       </w:t>
      </w:r>
      <w:r>
        <w:rPr>
          <w:rFonts w:ascii="Times New Roman" w:hAnsi="Times New Roman" w:eastAsia="仿宋_GB2312"/>
          <w:sz w:val="24"/>
          <w:szCs w:val="24"/>
        </w:rPr>
        <w:t>小时提交书面延期要求。</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关于延期最长不得超过：</w:t>
      </w:r>
      <w:r>
        <w:rPr>
          <w:rFonts w:ascii="Times New Roman" w:hAnsi="Times New Roman" w:eastAsia="仿宋_GB2312"/>
          <w:sz w:val="24"/>
          <w:szCs w:val="24"/>
          <w:u w:val="single"/>
        </w:rPr>
        <w:t xml:space="preserve">         </w:t>
      </w:r>
      <w:r>
        <w:rPr>
          <w:rFonts w:ascii="Times New Roman" w:hAnsi="Times New Roman" w:eastAsia="仿宋_GB2312"/>
          <w:sz w:val="24"/>
          <w:szCs w:val="24"/>
        </w:rPr>
        <w:t>小时。</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217" w:name="_Toc351203638"/>
      <w:r>
        <w:rPr>
          <w:rFonts w:ascii="Times New Roman" w:hAnsi="Times New Roman" w:eastAsia="黑体"/>
          <w:b w:val="0"/>
          <w:color w:val="000000"/>
          <w:sz w:val="24"/>
          <w:szCs w:val="24"/>
        </w:rPr>
        <w:t>6. 安全文明施工与环境保护</w:t>
      </w:r>
      <w:bookmarkEnd w:id="217"/>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6.1安全文明施工</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6.1.1</w:t>
      </w:r>
      <w:r>
        <w:rPr>
          <w:rFonts w:ascii="Times New Roman" w:hAnsi="Times New Roman" w:eastAsia="仿宋_GB2312"/>
          <w:color w:val="000000"/>
          <w:sz w:val="24"/>
          <w:szCs w:val="24"/>
        </w:rPr>
        <w:t xml:space="preserve"> 项目安全生产的达标目标及相应事项的约定：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6.1.4 关于治安保卫的特别约定：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ascii="Times New Roman" w:hAnsi="Times New Roman" w:eastAsia="仿宋_GB2312"/>
          <w:sz w:val="24"/>
          <w:szCs w:val="24"/>
        </w:rPr>
        <w:t>关于编制施工场地治安管理计划的约定：</w:t>
      </w:r>
      <w:r>
        <w:rPr>
          <w:rFonts w:ascii="Times New Roman" w:hAnsi="Times New Roman" w:eastAsia="仿宋_GB2312"/>
          <w:sz w:val="24"/>
          <w:szCs w:val="24"/>
          <w:u w:val="single"/>
        </w:rPr>
        <w:t xml:space="preserve">                  </w:t>
      </w:r>
      <w:r>
        <w:rPr>
          <w:rFonts w:ascii="Times New Roman" w:hAnsi="Times New Roman" w:eastAsia="仿宋_GB2312"/>
          <w:sz w:val="24"/>
          <w:szCs w:val="24"/>
          <w:u w:val="single"/>
        </w:rPr>
        <w:br w:type="textWrapping"/>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6.1.5 文明施工</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hint="eastAsia" w:ascii="Times New Roman" w:hAnsi="Times New Roman" w:eastAsia="仿宋_GB2312"/>
          <w:sz w:val="24"/>
          <w:szCs w:val="24"/>
        </w:rPr>
        <w:t>合同当事人对文明施工的要求：</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ascii="Times New Roman" w:hAnsi="Times New Roman" w:eastAsia="仿宋_GB2312"/>
          <w:sz w:val="24"/>
          <w:szCs w:val="24"/>
        </w:rPr>
        <w:t>6.1.6 关于安全文明施工费支付比例和支付期限的约定：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210"/>
    <w:bookmarkEnd w:id="211"/>
    <w:bookmarkEnd w:id="212"/>
    <w:bookmarkEnd w:id="213"/>
    <w:bookmarkEnd w:id="214"/>
    <w:bookmarkEnd w:id="215"/>
    <w:bookmarkEnd w:id="216"/>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218" w:name="_Toc351203639"/>
      <w:r>
        <w:rPr>
          <w:rFonts w:ascii="Times New Roman" w:hAnsi="Times New Roman" w:eastAsia="黑体"/>
          <w:b w:val="0"/>
          <w:color w:val="000000"/>
          <w:sz w:val="24"/>
          <w:szCs w:val="24"/>
        </w:rPr>
        <w:t>7. 工期和进度</w:t>
      </w:r>
      <w:bookmarkEnd w:id="218"/>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7.1 施工组织设计</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7.1.</w:t>
      </w:r>
      <w:r>
        <w:rPr>
          <w:rFonts w:hint="eastAsia" w:ascii="Times New Roman" w:hAnsi="Times New Roman" w:eastAsia="仿宋_GB2312"/>
          <w:sz w:val="24"/>
          <w:szCs w:val="24"/>
        </w:rPr>
        <w:t xml:space="preserve">1 </w:t>
      </w:r>
      <w:r>
        <w:rPr>
          <w:rFonts w:hint="eastAsia" w:ascii="Times New Roman" w:hAnsi="Times New Roman" w:eastAsia="仿宋_GB2312"/>
          <w:color w:val="000000"/>
          <w:sz w:val="24"/>
          <w:szCs w:val="24"/>
        </w:rPr>
        <w:t>合</w:t>
      </w:r>
      <w:r>
        <w:rPr>
          <w:rFonts w:hint="eastAsia" w:ascii="Times New Roman" w:hAnsi="Times New Roman" w:eastAsia="仿宋_GB2312"/>
          <w:color w:val="000000"/>
          <w:kern w:val="0"/>
          <w:sz w:val="24"/>
          <w:szCs w:val="24"/>
        </w:rPr>
        <w:t>同当事人约定的</w:t>
      </w:r>
      <w:r>
        <w:rPr>
          <w:rFonts w:ascii="Times New Roman" w:hAnsi="Times New Roman" w:eastAsia="仿宋_GB2312"/>
          <w:color w:val="000000"/>
          <w:kern w:val="0"/>
          <w:sz w:val="24"/>
          <w:szCs w:val="24"/>
        </w:rPr>
        <w:t>施工组织设计</w:t>
      </w:r>
      <w:r>
        <w:rPr>
          <w:rFonts w:hint="eastAsia" w:ascii="Times New Roman" w:hAnsi="Times New Roman" w:eastAsia="仿宋_GB2312"/>
          <w:color w:val="000000"/>
          <w:kern w:val="0"/>
          <w:sz w:val="24"/>
          <w:szCs w:val="24"/>
        </w:rPr>
        <w:t>应包括的其他内容</w:t>
      </w:r>
      <w:r>
        <w:rPr>
          <w:rFonts w:ascii="Times New Roman" w:hAnsi="Times New Roman" w:eastAsia="仿宋_GB2312"/>
          <w:color w:val="000000"/>
          <w:kern w:val="0"/>
          <w:sz w:val="24"/>
          <w:szCs w:val="24"/>
        </w:rPr>
        <w:t>：</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color w:val="000000"/>
          <w:kern w:val="0"/>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sz w:val="24"/>
          <w:szCs w:val="24"/>
        </w:rPr>
        <w:t>7.1.2</w:t>
      </w:r>
      <w:r>
        <w:rPr>
          <w:rFonts w:ascii="Times New Roman" w:hAnsi="Times New Roman" w:eastAsia="仿宋_GB2312"/>
          <w:color w:val="000000"/>
          <w:sz w:val="24"/>
          <w:szCs w:val="24"/>
        </w:rPr>
        <w:t xml:space="preserve"> </w:t>
      </w:r>
      <w:r>
        <w:rPr>
          <w:rFonts w:ascii="Times New Roman" w:hAnsi="Times New Roman" w:eastAsia="仿宋_GB2312"/>
          <w:color w:val="000000"/>
          <w:kern w:val="0"/>
          <w:sz w:val="24"/>
          <w:szCs w:val="24"/>
        </w:rPr>
        <w:t>施工组织设计的提交和修改</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color w:val="000000"/>
          <w:kern w:val="0"/>
          <w:sz w:val="24"/>
          <w:szCs w:val="24"/>
        </w:rPr>
        <w:t>承包人提交详细施工组织设计的期限的约定：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发包人和监理人在收到</w:t>
      </w:r>
      <w:r>
        <w:rPr>
          <w:rFonts w:hint="eastAsia" w:ascii="Times New Roman" w:hAnsi="Times New Roman" w:eastAsia="仿宋_GB2312"/>
          <w:color w:val="000000"/>
          <w:sz w:val="24"/>
          <w:szCs w:val="24"/>
        </w:rPr>
        <w:t>详细的施工组织设计</w:t>
      </w:r>
      <w:r>
        <w:rPr>
          <w:rFonts w:ascii="Times New Roman" w:hAnsi="Times New Roman" w:eastAsia="仿宋_GB2312"/>
          <w:color w:val="000000"/>
          <w:sz w:val="24"/>
          <w:szCs w:val="24"/>
        </w:rPr>
        <w:t>后确认或提出修改意见的期限：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w:t>
      </w:r>
      <w:bookmarkStart w:id="219" w:name="_Toc312677479"/>
      <w:bookmarkStart w:id="220" w:name="_Toc300934966"/>
      <w:bookmarkStart w:id="221" w:name="_Toc303539123"/>
      <w:bookmarkStart w:id="222" w:name="_Toc312678005"/>
      <w:bookmarkStart w:id="223" w:name="_Toc297123514"/>
      <w:bookmarkStart w:id="224" w:name="_Toc304295541"/>
      <w:bookmarkStart w:id="225" w:name="_Toc297216173"/>
      <w:r>
        <w:rPr>
          <w:rFonts w:ascii="Times New Roman" w:hAnsi="Times New Roman" w:eastAsia="黑体"/>
          <w:color w:val="000000"/>
          <w:sz w:val="24"/>
          <w:szCs w:val="24"/>
        </w:rPr>
        <w:t>.2 施工进度计划</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7.2.2 施工进度计划的修订</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发包人和监理人在收到修订的施工进度计划后确认或提出修改意见的期限：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7.3 开工</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7.3.1 开工准备</w:t>
      </w:r>
    </w:p>
    <w:p>
      <w:pPr>
        <w:pageBreakBefore w:val="0"/>
        <w:widowControl w:val="0"/>
        <w:kinsoku/>
        <w:wordWrap/>
        <w:overflowPunct/>
        <w:topLinePunct w:val="0"/>
        <w:bidi w:val="0"/>
        <w:snapToGrid/>
        <w:spacing w:line="480" w:lineRule="exact"/>
        <w:ind w:firstLine="645"/>
        <w:jc w:val="left"/>
        <w:textAlignment w:val="auto"/>
        <w:rPr>
          <w:rFonts w:ascii="Times New Roman" w:hAnsi="Times New Roman" w:eastAsia="仿宋_GB2312"/>
          <w:sz w:val="24"/>
          <w:szCs w:val="24"/>
          <w:u w:val="single"/>
        </w:rPr>
      </w:pPr>
      <w:r>
        <w:rPr>
          <w:rFonts w:ascii="Times New Roman" w:hAnsi="Times New Roman" w:eastAsia="仿宋_GB2312"/>
          <w:color w:val="000000"/>
          <w:sz w:val="24"/>
          <w:szCs w:val="24"/>
        </w:rPr>
        <w:t>关于承包人提交</w:t>
      </w:r>
      <w:r>
        <w:rPr>
          <w:rFonts w:ascii="Times New Roman" w:hAnsi="Times New Roman" w:eastAsia="仿宋_GB2312"/>
          <w:color w:val="000000"/>
          <w:kern w:val="0"/>
          <w:sz w:val="24"/>
          <w:szCs w:val="24"/>
        </w:rPr>
        <w:t>工程开工报审表的期限：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645"/>
        <w:jc w:val="left"/>
        <w:textAlignment w:val="auto"/>
        <w:rPr>
          <w:rFonts w:ascii="Times New Roman" w:hAnsi="Times New Roman" w:eastAsia="仿宋_GB2312"/>
          <w:sz w:val="24"/>
          <w:szCs w:val="24"/>
          <w:u w:val="single"/>
        </w:rPr>
      </w:pPr>
      <w:r>
        <w:rPr>
          <w:rFonts w:ascii="Times New Roman" w:hAnsi="Times New Roman" w:eastAsia="仿宋_GB2312"/>
          <w:color w:val="000000"/>
          <w:sz w:val="24"/>
          <w:szCs w:val="24"/>
        </w:rPr>
        <w:t>关于发包人应完成的其他开工准备工作及期限：</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color w:val="000000"/>
          <w:sz w:val="24"/>
          <w:szCs w:val="24"/>
        </w:rPr>
        <w:t>关于承包人应完成的其他开工准备工作及期限：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7.3.2开工通知</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因发包人原因造成监理人未能在计划开工日期之日起</w:t>
      </w:r>
      <w:r>
        <w:rPr>
          <w:rFonts w:ascii="Times New Roman" w:hAnsi="Times New Roman" w:eastAsia="仿宋_GB2312"/>
          <w:sz w:val="24"/>
          <w:szCs w:val="24"/>
          <w:u w:val="single"/>
        </w:rPr>
        <w:t xml:space="preserve">     </w:t>
      </w:r>
      <w:r>
        <w:rPr>
          <w:rFonts w:ascii="Times New Roman" w:hAnsi="Times New Roman" w:eastAsia="仿宋_GB2312"/>
          <w:color w:val="000000"/>
          <w:sz w:val="24"/>
          <w:szCs w:val="24"/>
        </w:rPr>
        <w:t>天内发出开工通知的，承包人有权提出价格调整要求，或者解除合同。</w:t>
      </w:r>
    </w:p>
    <w:bookmarkEnd w:id="219"/>
    <w:bookmarkEnd w:id="220"/>
    <w:bookmarkEnd w:id="221"/>
    <w:bookmarkEnd w:id="222"/>
    <w:bookmarkEnd w:id="223"/>
    <w:bookmarkEnd w:id="224"/>
    <w:bookmarkEnd w:id="225"/>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7.4 测量放线</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7.4.1发包人通过监理人向承包人提供测量基准点、基准线和水准点及其书面资料的期限：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w:t>
      </w:r>
      <w:bookmarkStart w:id="226" w:name="_Toc300934968"/>
      <w:bookmarkStart w:id="227" w:name="_Toc304295546"/>
      <w:bookmarkStart w:id="228" w:name="_Toc312678010"/>
      <w:bookmarkStart w:id="229" w:name="_Toc312677484"/>
      <w:bookmarkStart w:id="230" w:name="_Toc297123516"/>
      <w:bookmarkStart w:id="231" w:name="_Toc303539125"/>
      <w:bookmarkStart w:id="232" w:name="_Toc297216175"/>
      <w:r>
        <w:rPr>
          <w:rFonts w:ascii="Times New Roman" w:hAnsi="Times New Roman" w:eastAsia="黑体"/>
          <w:color w:val="000000"/>
          <w:sz w:val="24"/>
          <w:szCs w:val="24"/>
        </w:rPr>
        <w:t>.5 工期延误</w:t>
      </w:r>
    </w:p>
    <w:bookmarkEnd w:id="226"/>
    <w:bookmarkEnd w:id="227"/>
    <w:bookmarkEnd w:id="228"/>
    <w:bookmarkEnd w:id="229"/>
    <w:bookmarkEnd w:id="230"/>
    <w:bookmarkEnd w:id="231"/>
    <w:bookmarkEnd w:id="232"/>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7.5.1 因发包人原因导致工期延误</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（7）因发包人原因导致工期延误的其他情形：</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7</w:t>
      </w:r>
      <w:bookmarkStart w:id="233" w:name="_Toc318581169"/>
      <w:bookmarkStart w:id="234" w:name="_Toc312677486"/>
      <w:bookmarkStart w:id="235" w:name="_Toc312678012"/>
      <w:bookmarkStart w:id="236" w:name="_Toc300934970"/>
      <w:bookmarkStart w:id="237" w:name="_Toc304295548"/>
      <w:bookmarkStart w:id="238" w:name="_Toc297123518"/>
      <w:bookmarkStart w:id="239" w:name="_Toc297216177"/>
      <w:bookmarkStart w:id="240" w:name="_Toc303539127"/>
      <w:r>
        <w:rPr>
          <w:rFonts w:ascii="Times New Roman" w:hAnsi="Times New Roman" w:eastAsia="仿宋_GB2312"/>
          <w:sz w:val="24"/>
          <w:szCs w:val="24"/>
        </w:rPr>
        <w:t>.5.2 因承包人原因导致工期延误</w:t>
      </w:r>
    </w:p>
    <w:bookmarkEnd w:id="233"/>
    <w:bookmarkEnd w:id="234"/>
    <w:bookmarkEnd w:id="235"/>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因</w:t>
      </w:r>
      <w:bookmarkStart w:id="241" w:name="_Toc312677487"/>
      <w:bookmarkStart w:id="242" w:name="_Toc312678013"/>
      <w:bookmarkStart w:id="243" w:name="_Toc318581170"/>
      <w:r>
        <w:rPr>
          <w:rFonts w:ascii="Times New Roman" w:hAnsi="Times New Roman" w:eastAsia="仿宋_GB2312"/>
          <w:sz w:val="24"/>
          <w:szCs w:val="24"/>
        </w:rPr>
        <w:t>承包人原因造成工期延误，逾期竣工违约金的计算方法为：</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bookmarkEnd w:id="236"/>
      <w:bookmarkEnd w:id="237"/>
      <w:bookmarkEnd w:id="238"/>
      <w:bookmarkEnd w:id="239"/>
      <w:bookmarkEnd w:id="240"/>
      <w:bookmarkEnd w:id="241"/>
      <w:bookmarkEnd w:id="242"/>
    </w:p>
    <w:bookmarkEnd w:id="243"/>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因承包人原因造成工期延误，逾</w:t>
      </w:r>
      <w:bookmarkStart w:id="244" w:name="_Toc318581171"/>
      <w:bookmarkStart w:id="245" w:name="_Toc312678014"/>
      <w:r>
        <w:rPr>
          <w:rFonts w:ascii="Times New Roman" w:hAnsi="Times New Roman" w:eastAsia="仿宋_GB2312"/>
          <w:sz w:val="24"/>
          <w:szCs w:val="24"/>
        </w:rPr>
        <w:t>期竣工违约金的上限：</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244"/>
    <w:bookmarkEnd w:id="245"/>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w:t>
      </w:r>
      <w:bookmarkStart w:id="246" w:name="_Toc297216178"/>
      <w:bookmarkStart w:id="247" w:name="_Toc297123519"/>
      <w:bookmarkStart w:id="248" w:name="_Toc303539128"/>
      <w:bookmarkStart w:id="249" w:name="_Toc312678015"/>
      <w:bookmarkStart w:id="250" w:name="_Toc300934971"/>
      <w:bookmarkStart w:id="251" w:name="_Toc304295549"/>
      <w:r>
        <w:rPr>
          <w:rFonts w:ascii="Times New Roman" w:hAnsi="Times New Roman" w:eastAsia="黑体"/>
          <w:color w:val="000000"/>
          <w:sz w:val="24"/>
          <w:szCs w:val="24"/>
        </w:rPr>
        <w:t>.6 不</w:t>
      </w:r>
      <w:bookmarkEnd w:id="246"/>
      <w:bookmarkEnd w:id="247"/>
      <w:bookmarkEnd w:id="248"/>
      <w:bookmarkEnd w:id="249"/>
      <w:bookmarkEnd w:id="250"/>
      <w:bookmarkEnd w:id="251"/>
      <w:r>
        <w:rPr>
          <w:rFonts w:ascii="Times New Roman" w:hAnsi="Times New Roman" w:eastAsia="黑体"/>
          <w:color w:val="000000"/>
          <w:sz w:val="24"/>
          <w:szCs w:val="24"/>
        </w:rPr>
        <w:t>利物质条件</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bookmarkStart w:id="252" w:name="_Toc303539129"/>
      <w:bookmarkStart w:id="253" w:name="_Toc300934972"/>
      <w:bookmarkStart w:id="254" w:name="_Toc304295550"/>
      <w:bookmarkStart w:id="255" w:name="_Toc297216179"/>
      <w:bookmarkStart w:id="256" w:name="_Toc318581172"/>
      <w:bookmarkStart w:id="257" w:name="_Toc312678016"/>
      <w:bookmarkStart w:id="258" w:name="_Toc297123520"/>
      <w:r>
        <w:rPr>
          <w:rFonts w:ascii="Times New Roman" w:hAnsi="Times New Roman" w:eastAsia="仿宋_GB2312"/>
          <w:sz w:val="24"/>
          <w:szCs w:val="24"/>
        </w:rPr>
        <w:t>不利物质条件的其他情形和有关约定：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252"/>
    <w:bookmarkEnd w:id="253"/>
    <w:bookmarkEnd w:id="254"/>
    <w:bookmarkEnd w:id="255"/>
    <w:bookmarkEnd w:id="256"/>
    <w:bookmarkEnd w:id="257"/>
    <w:bookmarkEnd w:id="258"/>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w:t>
      </w:r>
      <w:bookmarkStart w:id="259" w:name="_Toc312678017"/>
      <w:bookmarkStart w:id="260" w:name="_Toc303539130"/>
      <w:bookmarkStart w:id="261" w:name="_Toc297216180"/>
      <w:bookmarkStart w:id="262" w:name="_Toc297123521"/>
      <w:bookmarkStart w:id="263" w:name="_Toc304295551"/>
      <w:bookmarkStart w:id="264" w:name="_Toc300934973"/>
      <w:r>
        <w:rPr>
          <w:rFonts w:ascii="Times New Roman" w:hAnsi="Times New Roman" w:eastAsia="黑体"/>
          <w:color w:val="000000"/>
          <w:sz w:val="24"/>
          <w:szCs w:val="24"/>
        </w:rPr>
        <w:t>.7异常恶劣的气候条件</w:t>
      </w:r>
    </w:p>
    <w:bookmarkEnd w:id="259"/>
    <w:bookmarkEnd w:id="260"/>
    <w:bookmarkEnd w:id="261"/>
    <w:bookmarkEnd w:id="262"/>
    <w:bookmarkEnd w:id="263"/>
    <w:bookmarkEnd w:id="264"/>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发包人和承包人同意以下情形视为异常恶劣的气候条件：</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（2）</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（3）</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7.9 提前竣工的奖励</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ascii="Times New Roman" w:hAnsi="Times New Roman" w:eastAsia="仿宋_GB2312"/>
          <w:sz w:val="24"/>
          <w:szCs w:val="24"/>
        </w:rPr>
        <w:t>7.9.2提前竣工的奖励：</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265" w:name="_Toc351203640"/>
      <w:r>
        <w:rPr>
          <w:rFonts w:ascii="Times New Roman" w:hAnsi="Times New Roman" w:eastAsia="黑体"/>
          <w:b w:val="0"/>
          <w:color w:val="000000"/>
          <w:sz w:val="24"/>
          <w:szCs w:val="24"/>
        </w:rPr>
        <w:t>8. 材料与设备</w:t>
      </w:r>
      <w:bookmarkEnd w:id="265"/>
    </w:p>
    <w:bookmarkEnd w:id="200"/>
    <w:bookmarkEnd w:id="201"/>
    <w:bookmarkEnd w:id="202"/>
    <w:bookmarkEnd w:id="203"/>
    <w:bookmarkEnd w:id="204"/>
    <w:bookmarkEnd w:id="205"/>
    <w:bookmarkEnd w:id="206"/>
    <w:bookmarkEnd w:id="207"/>
    <w:bookmarkEnd w:id="208"/>
    <w:bookmarkEnd w:id="209"/>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8</w:t>
      </w:r>
      <w:bookmarkStart w:id="266" w:name="_Toc303539136"/>
      <w:bookmarkStart w:id="267" w:name="_Toc297123527"/>
      <w:bookmarkStart w:id="268" w:name="_Toc296347166"/>
      <w:bookmarkStart w:id="269" w:name="_Toc300934979"/>
      <w:bookmarkStart w:id="270" w:name="_Toc312678019"/>
      <w:bookmarkStart w:id="271" w:name="_Toc296346668"/>
      <w:bookmarkStart w:id="272" w:name="_Toc292559877"/>
      <w:bookmarkStart w:id="273" w:name="_Toc304295556"/>
      <w:bookmarkStart w:id="274" w:name="_Toc292559372"/>
      <w:bookmarkStart w:id="275" w:name="_Toc296944506"/>
      <w:bookmarkStart w:id="276" w:name="_Toc280868654"/>
      <w:bookmarkStart w:id="277" w:name="_Toc297216186"/>
      <w:bookmarkStart w:id="278" w:name="_Toc296890995"/>
      <w:bookmarkStart w:id="279" w:name="_Toc296503167"/>
      <w:bookmarkStart w:id="280" w:name="_Toc296891207"/>
      <w:bookmarkStart w:id="281" w:name="_Toc312677493"/>
      <w:bookmarkStart w:id="282" w:name="_Toc297048353"/>
      <w:bookmarkStart w:id="283" w:name="_Toc297120467"/>
      <w:bookmarkStart w:id="284" w:name="_Toc280868655"/>
      <w:bookmarkStart w:id="285" w:name="_Toc280868656"/>
      <w:bookmarkStart w:id="286" w:name="_Toc267251424"/>
      <w:r>
        <w:rPr>
          <w:rFonts w:ascii="Times New Roman" w:hAnsi="Times New Roman" w:eastAsia="黑体"/>
          <w:color w:val="000000"/>
          <w:sz w:val="24"/>
          <w:szCs w:val="24"/>
        </w:rPr>
        <w:t>.4材料与工程设备的保管与使用</w:t>
      </w:r>
    </w:p>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8</w:t>
      </w:r>
      <w:bookmarkStart w:id="287" w:name="_Toc292559878"/>
      <w:bookmarkStart w:id="288" w:name="_Toc292559373"/>
      <w:bookmarkStart w:id="289" w:name="_Toc296346669"/>
      <w:bookmarkStart w:id="290" w:name="_Toc296891208"/>
      <w:bookmarkStart w:id="291" w:name="_Toc304295557"/>
      <w:bookmarkStart w:id="292" w:name="_Toc296890996"/>
      <w:bookmarkStart w:id="293" w:name="_Toc297120468"/>
      <w:bookmarkStart w:id="294" w:name="_Toc318581173"/>
      <w:bookmarkStart w:id="295" w:name="_Toc296503168"/>
      <w:bookmarkStart w:id="296" w:name="_Toc312677494"/>
      <w:bookmarkStart w:id="297" w:name="_Toc312678020"/>
      <w:bookmarkStart w:id="298" w:name="_Toc296944507"/>
      <w:bookmarkStart w:id="299" w:name="_Toc296347167"/>
      <w:bookmarkStart w:id="300" w:name="_Toc300934980"/>
      <w:bookmarkStart w:id="301" w:name="_Toc297048354"/>
      <w:bookmarkStart w:id="302" w:name="_Toc297123528"/>
      <w:bookmarkStart w:id="303" w:name="_Toc303539137"/>
      <w:bookmarkStart w:id="304" w:name="_Toc297216187"/>
      <w:r>
        <w:rPr>
          <w:rFonts w:ascii="Times New Roman" w:hAnsi="Times New Roman" w:eastAsia="仿宋_GB2312"/>
          <w:sz w:val="24"/>
          <w:szCs w:val="24"/>
        </w:rPr>
        <w:t>.4.1发包人供应的材料设备的保管费用的承担：</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bookmarkEnd w:id="287"/>
      <w:bookmarkEnd w:id="288"/>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8.6 样品</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8.6.1</w:t>
      </w:r>
      <w:r>
        <w:rPr>
          <w:rFonts w:ascii="Times New Roman" w:hAnsi="Times New Roman" w:eastAsia="仿宋_GB2312"/>
          <w:color w:val="000000"/>
          <w:kern w:val="0"/>
          <w:sz w:val="24"/>
          <w:szCs w:val="24"/>
        </w:rPr>
        <w:tab/>
      </w:r>
      <w:r>
        <w:rPr>
          <w:rFonts w:ascii="Times New Roman" w:hAnsi="Times New Roman" w:eastAsia="仿宋_GB2312"/>
          <w:color w:val="000000"/>
          <w:kern w:val="0"/>
          <w:sz w:val="24"/>
          <w:szCs w:val="24"/>
        </w:rPr>
        <w:t>样品的报送</w:t>
      </w:r>
      <w:r>
        <w:rPr>
          <w:rFonts w:hint="eastAsia" w:ascii="Times New Roman" w:hAnsi="Times New Roman" w:eastAsia="仿宋_GB2312"/>
          <w:color w:val="000000"/>
          <w:kern w:val="0"/>
          <w:sz w:val="24"/>
          <w:szCs w:val="24"/>
        </w:rPr>
        <w:t>与封存</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color w:val="000000"/>
          <w:kern w:val="0"/>
          <w:sz w:val="24"/>
          <w:szCs w:val="24"/>
        </w:rPr>
        <w:t>需要承包人报送样品的材料或工程设备，样品的种类、名称、规格、数量要求：</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8.8 施工设备和临时设施</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8.8.1 承包人提供的施工设备和临时设施</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关于修建临时设施费用承担的约定：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305" w:name="_Toc351203641"/>
      <w:r>
        <w:rPr>
          <w:rFonts w:ascii="Times New Roman" w:hAnsi="Times New Roman" w:eastAsia="黑体"/>
          <w:b w:val="0"/>
          <w:color w:val="000000"/>
          <w:sz w:val="24"/>
          <w:szCs w:val="24"/>
        </w:rPr>
        <w:t>9</w:t>
      </w:r>
      <w:bookmarkEnd w:id="284"/>
      <w:bookmarkEnd w:id="285"/>
      <w:bookmarkEnd w:id="286"/>
      <w:bookmarkStart w:id="306" w:name="_Toc312678021"/>
      <w:bookmarkStart w:id="307" w:name="_Toc297123533"/>
      <w:bookmarkStart w:id="308" w:name="_Toc300934982"/>
      <w:bookmarkStart w:id="309" w:name="_Toc297216192"/>
      <w:bookmarkStart w:id="310" w:name="_Toc312677495"/>
      <w:bookmarkStart w:id="311" w:name="_Toc304295559"/>
      <w:bookmarkStart w:id="312" w:name="_Toc303539139"/>
      <w:bookmarkStart w:id="313" w:name="_Toc296503173"/>
      <w:bookmarkStart w:id="314" w:name="_Toc267251428"/>
      <w:bookmarkStart w:id="315" w:name="_Toc267251427"/>
      <w:bookmarkStart w:id="316" w:name="_Toc292559883"/>
      <w:bookmarkStart w:id="317" w:name="_Toc296347172"/>
      <w:bookmarkStart w:id="318" w:name="_Toc296346674"/>
      <w:bookmarkStart w:id="319" w:name="_Toc296944512"/>
      <w:bookmarkStart w:id="320" w:name="_Toc297120473"/>
      <w:bookmarkStart w:id="321" w:name="_Toc297048359"/>
      <w:bookmarkStart w:id="322" w:name="_Toc296891001"/>
      <w:bookmarkStart w:id="323" w:name="_Toc296891213"/>
      <w:bookmarkStart w:id="324" w:name="_Toc292559378"/>
      <w:r>
        <w:rPr>
          <w:rFonts w:ascii="Times New Roman" w:hAnsi="Times New Roman" w:eastAsia="黑体"/>
          <w:b w:val="0"/>
          <w:color w:val="000000"/>
          <w:sz w:val="24"/>
          <w:szCs w:val="24"/>
        </w:rPr>
        <w:t>. 试验与检验</w:t>
      </w:r>
      <w:bookmarkEnd w:id="305"/>
    </w:p>
    <w:bookmarkEnd w:id="306"/>
    <w:bookmarkEnd w:id="307"/>
    <w:bookmarkEnd w:id="308"/>
    <w:bookmarkEnd w:id="309"/>
    <w:bookmarkEnd w:id="310"/>
    <w:bookmarkEnd w:id="311"/>
    <w:bookmarkEnd w:id="312"/>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9</w:t>
      </w:r>
      <w:bookmarkStart w:id="325" w:name="_Toc300934983"/>
      <w:bookmarkStart w:id="326" w:name="_Toc303539140"/>
      <w:bookmarkStart w:id="327" w:name="_Toc304295560"/>
      <w:bookmarkStart w:id="328" w:name="_Toc297216193"/>
      <w:bookmarkStart w:id="329" w:name="_Toc312677496"/>
      <w:bookmarkStart w:id="330" w:name="_Toc312678022"/>
      <w:bookmarkStart w:id="331" w:name="_Toc297123534"/>
      <w:r>
        <w:rPr>
          <w:rFonts w:ascii="Times New Roman" w:hAnsi="Times New Roman" w:eastAsia="黑体"/>
          <w:color w:val="000000"/>
          <w:sz w:val="24"/>
          <w:szCs w:val="24"/>
        </w:rPr>
        <w:t>.1试验设备与试验人员</w:t>
      </w:r>
    </w:p>
    <w:bookmarkEnd w:id="325"/>
    <w:bookmarkEnd w:id="326"/>
    <w:bookmarkEnd w:id="327"/>
    <w:bookmarkEnd w:id="328"/>
    <w:bookmarkEnd w:id="329"/>
    <w:bookmarkEnd w:id="330"/>
    <w:bookmarkEnd w:id="331"/>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9</w:t>
      </w:r>
      <w:bookmarkStart w:id="332" w:name="_Toc304295561"/>
      <w:bookmarkStart w:id="333" w:name="_Toc297216194"/>
      <w:bookmarkStart w:id="334" w:name="_Toc303539141"/>
      <w:bookmarkStart w:id="335" w:name="_Toc312677497"/>
      <w:bookmarkStart w:id="336" w:name="_Toc297123535"/>
      <w:bookmarkStart w:id="337" w:name="_Toc312678023"/>
      <w:bookmarkStart w:id="338" w:name="_Toc300934984"/>
      <w:bookmarkStart w:id="339" w:name="_Toc318581174"/>
      <w:r>
        <w:rPr>
          <w:rFonts w:ascii="Times New Roman" w:hAnsi="Times New Roman" w:eastAsia="仿宋_GB2312"/>
          <w:sz w:val="24"/>
          <w:szCs w:val="24"/>
        </w:rPr>
        <w:t>.1.2 试验设备</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施工现场需要配置的试验场所：</w:t>
      </w:r>
      <w:bookmarkEnd w:id="332"/>
      <w:bookmarkEnd w:id="333"/>
      <w:bookmarkEnd w:id="334"/>
      <w:bookmarkEnd w:id="335"/>
      <w:bookmarkEnd w:id="336"/>
      <w:bookmarkEnd w:id="337"/>
      <w:bookmarkEnd w:id="338"/>
      <w:bookmarkStart w:id="340" w:name="_Toc312678024"/>
      <w:bookmarkStart w:id="341" w:name="_Toc303539142"/>
      <w:bookmarkStart w:id="342" w:name="_Toc300934985"/>
      <w:bookmarkStart w:id="343" w:name="_Toc297123536"/>
      <w:bookmarkStart w:id="344" w:name="_Toc304295562"/>
      <w:bookmarkStart w:id="345" w:name="_Toc312677498"/>
      <w:bookmarkStart w:id="346" w:name="_Toc297216195"/>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r>
        <w:rPr>
          <w:rFonts w:hint="eastAsia" w:ascii="Times New Roman" w:hAnsi="Times New Roman" w:eastAsia="仿宋_GB2312"/>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施工现场需要配备的试验设备：</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施工现场需要具备的其他试验条件：</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9.4 现场工艺试验</w:t>
      </w:r>
      <w:r>
        <w:rPr>
          <w:rFonts w:hint="eastAsia" w:ascii="Times New Roman" w:hAnsi="Times New Roman" w:eastAsia="黑体"/>
          <w:color w:val="000000"/>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现场工艺试验的有关约定：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339"/>
    <w:bookmarkEnd w:id="340"/>
    <w:bookmarkEnd w:id="341"/>
    <w:bookmarkEnd w:id="342"/>
    <w:bookmarkEnd w:id="343"/>
    <w:bookmarkEnd w:id="344"/>
    <w:bookmarkEnd w:id="345"/>
    <w:bookmarkEnd w:id="346"/>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347" w:name="_Toc351203642"/>
      <w:r>
        <w:rPr>
          <w:rFonts w:ascii="Times New Roman" w:hAnsi="Times New Roman" w:eastAsia="黑体"/>
          <w:b w:val="0"/>
          <w:color w:val="000000"/>
          <w:sz w:val="24"/>
          <w:szCs w:val="24"/>
        </w:rPr>
        <w:t>1</w:t>
      </w:r>
      <w:bookmarkEnd w:id="313"/>
      <w:bookmarkEnd w:id="314"/>
      <w:bookmarkEnd w:id="315"/>
      <w:bookmarkEnd w:id="316"/>
      <w:bookmarkEnd w:id="317"/>
      <w:bookmarkEnd w:id="318"/>
      <w:bookmarkEnd w:id="319"/>
      <w:bookmarkEnd w:id="320"/>
      <w:bookmarkEnd w:id="321"/>
      <w:bookmarkEnd w:id="322"/>
      <w:bookmarkEnd w:id="323"/>
      <w:bookmarkEnd w:id="324"/>
      <w:bookmarkStart w:id="348" w:name="_Toc296503193"/>
      <w:bookmarkStart w:id="349" w:name="_Toc297216199"/>
      <w:bookmarkStart w:id="350" w:name="_Toc297123540"/>
      <w:bookmarkStart w:id="351" w:name="_Toc300934989"/>
      <w:bookmarkStart w:id="352" w:name="_Toc297120493"/>
      <w:bookmarkStart w:id="353" w:name="_Toc297048379"/>
      <w:bookmarkStart w:id="354" w:name="_Toc292559903"/>
      <w:bookmarkStart w:id="355" w:name="_Toc296347192"/>
      <w:bookmarkStart w:id="356" w:name="_Toc296891021"/>
      <w:bookmarkStart w:id="357" w:name="_Toc296346694"/>
      <w:bookmarkStart w:id="358" w:name="_Toc304295566"/>
      <w:bookmarkStart w:id="359" w:name="_Toc292559398"/>
      <w:bookmarkStart w:id="360" w:name="_Toc303539146"/>
      <w:bookmarkStart w:id="361" w:name="_Toc296944532"/>
      <w:bookmarkStart w:id="362" w:name="_Toc296891233"/>
      <w:bookmarkStart w:id="363" w:name="_Toc312678025"/>
      <w:bookmarkStart w:id="364" w:name="_Toc312677499"/>
      <w:bookmarkStart w:id="365" w:name="_Toc267251437"/>
      <w:bookmarkStart w:id="366" w:name="_Toc267251441"/>
      <w:bookmarkStart w:id="367" w:name="_Toc267251439"/>
      <w:bookmarkStart w:id="368" w:name="_Toc267251433"/>
      <w:bookmarkStart w:id="369" w:name="_Toc267251435"/>
      <w:bookmarkStart w:id="370" w:name="_Toc267251440"/>
      <w:bookmarkStart w:id="371" w:name="_Toc267251442"/>
      <w:r>
        <w:rPr>
          <w:rFonts w:ascii="Times New Roman" w:hAnsi="Times New Roman" w:eastAsia="黑体"/>
          <w:b w:val="0"/>
          <w:color w:val="000000"/>
          <w:sz w:val="24"/>
          <w:szCs w:val="24"/>
        </w:rPr>
        <w:t>0. 变更</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bookmarkEnd w:id="363"/>
    <w:bookmarkEnd w:id="364"/>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w:t>
      </w:r>
      <w:bookmarkStart w:id="372" w:name="_Toc300934990"/>
      <w:bookmarkStart w:id="373" w:name="_Toc312678026"/>
      <w:bookmarkStart w:id="374" w:name="_Toc297123541"/>
      <w:bookmarkStart w:id="375" w:name="_Toc292559399"/>
      <w:bookmarkStart w:id="376" w:name="_Toc296891022"/>
      <w:bookmarkStart w:id="377" w:name="_Toc297048380"/>
      <w:bookmarkStart w:id="378" w:name="_Toc303539147"/>
      <w:bookmarkStart w:id="379" w:name="_Toc304295567"/>
      <w:bookmarkStart w:id="380" w:name="_Toc296347193"/>
      <w:bookmarkStart w:id="381" w:name="_Toc296891234"/>
      <w:bookmarkStart w:id="382" w:name="_Toc297120494"/>
      <w:bookmarkStart w:id="383" w:name="_Toc296503194"/>
      <w:bookmarkStart w:id="384" w:name="_Toc296944533"/>
      <w:bookmarkStart w:id="385" w:name="_Toc292559904"/>
      <w:bookmarkStart w:id="386" w:name="_Toc296346695"/>
      <w:bookmarkStart w:id="387" w:name="_Toc312677500"/>
      <w:bookmarkStart w:id="388" w:name="_Toc297216200"/>
      <w:r>
        <w:rPr>
          <w:rFonts w:ascii="Times New Roman" w:hAnsi="Times New Roman" w:eastAsia="黑体"/>
          <w:color w:val="000000"/>
          <w:sz w:val="24"/>
          <w:szCs w:val="24"/>
        </w:rPr>
        <w:t>0.1变更的范围</w:t>
      </w:r>
    </w:p>
    <w:p>
      <w:pPr>
        <w:pageBreakBefore w:val="0"/>
        <w:widowControl w:val="0"/>
        <w:kinsoku/>
        <w:wordWrap/>
        <w:overflowPunct/>
        <w:topLinePunct w:val="0"/>
        <w:bidi w:val="0"/>
        <w:snapToGrid/>
        <w:spacing w:line="480" w:lineRule="exact"/>
        <w:ind w:firstLine="6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关于变更的范围的约定：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10.4 变更估价</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10.4.1 变更估价原则</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 xml:space="preserve">关于变更估价的约定: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Start w:id="389" w:name="_Toc300934993"/>
      <w:bookmarkStart w:id="390" w:name="_Toc296944536"/>
      <w:bookmarkStart w:id="391" w:name="_Toc303539150"/>
      <w:bookmarkStart w:id="392" w:name="_Toc292559907"/>
      <w:bookmarkStart w:id="393" w:name="_Toc296503197"/>
      <w:bookmarkStart w:id="394" w:name="_Toc297123544"/>
      <w:bookmarkStart w:id="395" w:name="_Toc296891025"/>
      <w:bookmarkStart w:id="396" w:name="_Toc292559402"/>
      <w:bookmarkStart w:id="397" w:name="_Toc297120497"/>
      <w:bookmarkStart w:id="398" w:name="_Toc296346698"/>
      <w:bookmarkStart w:id="399" w:name="_Toc297048383"/>
      <w:bookmarkStart w:id="400" w:name="_Toc296891237"/>
      <w:bookmarkStart w:id="401" w:name="_Toc296347196"/>
      <w:bookmarkStart w:id="402" w:name="_Toc297216203"/>
      <w:bookmarkStart w:id="403" w:name="_Toc312677503"/>
      <w:bookmarkStart w:id="404" w:name="_Toc312678029"/>
      <w:bookmarkStart w:id="405" w:name="_Toc304295570"/>
      <w:r>
        <w:rPr>
          <w:rFonts w:ascii="Times New Roman" w:hAnsi="Times New Roman" w:eastAsia="黑体"/>
          <w:color w:val="000000"/>
          <w:sz w:val="24"/>
          <w:szCs w:val="24"/>
        </w:rPr>
        <w:t>0.5承</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Start w:id="406" w:name="_Toc297216204"/>
      <w:bookmarkStart w:id="407" w:name="_Toc297120503"/>
      <w:bookmarkStart w:id="408" w:name="_Toc296891243"/>
      <w:bookmarkStart w:id="409" w:name="_Toc292559408"/>
      <w:bookmarkStart w:id="410" w:name="_Toc297123545"/>
      <w:bookmarkStart w:id="411" w:name="_Toc300934994"/>
      <w:bookmarkStart w:id="412" w:name="_Toc296891031"/>
      <w:bookmarkStart w:id="413" w:name="_Toc303539151"/>
      <w:bookmarkStart w:id="414" w:name="_Toc292559913"/>
      <w:bookmarkStart w:id="415" w:name="_Toc296503203"/>
      <w:bookmarkStart w:id="416" w:name="_Toc297048389"/>
      <w:bookmarkStart w:id="417" w:name="_Toc296944542"/>
      <w:bookmarkStart w:id="418" w:name="_Toc296346704"/>
      <w:bookmarkStart w:id="419" w:name="_Toc296347202"/>
      <w:r>
        <w:rPr>
          <w:rFonts w:ascii="Times New Roman" w:hAnsi="Times New Roman" w:eastAsia="黑体"/>
          <w:color w:val="000000"/>
          <w:sz w:val="24"/>
          <w:szCs w:val="24"/>
        </w:rPr>
        <w:t>包人的合理化建议</w:t>
      </w:r>
    </w:p>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监理人审查承包人合理化建议的期限：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发包人审批承包人合理化建议的期限：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承</w:t>
      </w:r>
      <w:bookmarkStart w:id="420" w:name="_Toc292559914"/>
      <w:bookmarkStart w:id="421" w:name="_Toc297123546"/>
      <w:bookmarkStart w:id="422" w:name="_Toc312677504"/>
      <w:bookmarkStart w:id="423" w:name="_Toc297048390"/>
      <w:bookmarkStart w:id="424" w:name="_Toc312678030"/>
      <w:bookmarkStart w:id="425" w:name="_Toc296891244"/>
      <w:bookmarkStart w:id="426" w:name="_Toc296347203"/>
      <w:bookmarkStart w:id="427" w:name="_Toc297120504"/>
      <w:bookmarkStart w:id="428" w:name="_Toc292559409"/>
      <w:bookmarkStart w:id="429" w:name="_Toc296944543"/>
      <w:bookmarkStart w:id="430" w:name="_Toc296891032"/>
      <w:bookmarkStart w:id="431" w:name="_Toc318581175"/>
      <w:bookmarkStart w:id="432" w:name="_Toc296503204"/>
      <w:bookmarkStart w:id="433" w:name="_Toc296346705"/>
      <w:bookmarkStart w:id="434" w:name="_Toc300934995"/>
      <w:bookmarkStart w:id="435" w:name="_Toc303539152"/>
      <w:bookmarkStart w:id="436" w:name="_Toc297216205"/>
      <w:bookmarkStart w:id="437" w:name="_Toc304295571"/>
      <w:r>
        <w:rPr>
          <w:rFonts w:ascii="Times New Roman" w:hAnsi="Times New Roman" w:eastAsia="仿宋_GB2312"/>
          <w:sz w:val="24"/>
          <w:szCs w:val="24"/>
        </w:rPr>
        <w:t>包人提出的合理化建议降低了合同价格或者提高了工程经济效益的奖励的方法和金额为：</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u w:val="single"/>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w:t>
      </w:r>
      <w:bookmarkStart w:id="438" w:name="_Toc297120499"/>
      <w:bookmarkStart w:id="439" w:name="_Toc312678033"/>
      <w:bookmarkStart w:id="440" w:name="_Toc303539154"/>
      <w:bookmarkStart w:id="441" w:name="_Toc297123548"/>
      <w:bookmarkStart w:id="442" w:name="_Toc300934997"/>
      <w:bookmarkStart w:id="443" w:name="_Toc296503199"/>
      <w:bookmarkStart w:id="444" w:name="_Toc297048385"/>
      <w:bookmarkStart w:id="445" w:name="_Toc292559909"/>
      <w:bookmarkStart w:id="446" w:name="_Toc297216207"/>
      <w:bookmarkStart w:id="447" w:name="_Toc292559404"/>
      <w:bookmarkStart w:id="448" w:name="_Toc296891239"/>
      <w:bookmarkStart w:id="449" w:name="_Toc296944538"/>
      <w:bookmarkStart w:id="450" w:name="_Toc312677507"/>
      <w:bookmarkStart w:id="451" w:name="_Toc296346700"/>
      <w:bookmarkStart w:id="452" w:name="_Toc296891027"/>
      <w:bookmarkStart w:id="453" w:name="_Toc296347198"/>
      <w:bookmarkStart w:id="454" w:name="_Toc304295574"/>
      <w:r>
        <w:rPr>
          <w:rFonts w:ascii="Times New Roman" w:hAnsi="Times New Roman" w:eastAsia="黑体"/>
          <w:color w:val="000000"/>
          <w:sz w:val="24"/>
          <w:szCs w:val="24"/>
        </w:rPr>
        <w:t>0.7 暂估价</w:t>
      </w:r>
    </w:p>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kern w:val="0"/>
          <w:sz w:val="24"/>
          <w:szCs w:val="24"/>
        </w:rPr>
        <w:t>暂</w:t>
      </w:r>
      <w:bookmarkStart w:id="455" w:name="_Toc318581176"/>
      <w:bookmarkStart w:id="456" w:name="_Toc312677508"/>
      <w:bookmarkStart w:id="457" w:name="_Toc312678034"/>
      <w:r>
        <w:rPr>
          <w:rFonts w:ascii="Times New Roman" w:hAnsi="Times New Roman" w:eastAsia="仿宋_GB2312"/>
          <w:kern w:val="0"/>
          <w:sz w:val="24"/>
          <w:szCs w:val="24"/>
        </w:rPr>
        <w:t>估价材料和工程设备的明细详见附件</w:t>
      </w:r>
      <w:r>
        <w:rPr>
          <w:rFonts w:hint="eastAsia" w:ascii="Times New Roman" w:hAnsi="Times New Roman" w:eastAsia="仿宋_GB2312"/>
          <w:kern w:val="0"/>
          <w:sz w:val="24"/>
          <w:szCs w:val="24"/>
        </w:rPr>
        <w:t>11：《</w:t>
      </w:r>
      <w:r>
        <w:rPr>
          <w:rFonts w:ascii="Times New Roman" w:hAnsi="Times New Roman" w:eastAsia="仿宋_GB2312"/>
          <w:color w:val="000000"/>
          <w:sz w:val="24"/>
          <w:szCs w:val="24"/>
        </w:rPr>
        <w:t>暂估价一览表</w:t>
      </w:r>
      <w:r>
        <w:rPr>
          <w:rFonts w:hint="eastAsia" w:ascii="Times New Roman" w:hAnsi="Times New Roman" w:eastAsia="仿宋_GB2312"/>
          <w:color w:val="000000"/>
          <w:sz w:val="24"/>
          <w:szCs w:val="24"/>
        </w:rPr>
        <w:t>》</w:t>
      </w:r>
      <w:r>
        <w:rPr>
          <w:rFonts w:hint="eastAsia" w:ascii="Times New Roman" w:hAnsi="Times New Roman" w:eastAsia="仿宋_GB2312"/>
          <w:kern w:val="0"/>
          <w:sz w:val="24"/>
          <w:szCs w:val="24"/>
        </w:rPr>
        <w:t>。</w:t>
      </w:r>
    </w:p>
    <w:bookmarkEnd w:id="455"/>
    <w:bookmarkEnd w:id="456"/>
    <w:bookmarkEnd w:id="457"/>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w:t>
      </w:r>
      <w:bookmarkStart w:id="458" w:name="_Toc312678035"/>
      <w:bookmarkStart w:id="459" w:name="_Toc312677509"/>
      <w:bookmarkStart w:id="460" w:name="_Toc318581177"/>
      <w:r>
        <w:rPr>
          <w:rFonts w:ascii="Times New Roman" w:hAnsi="Times New Roman" w:eastAsia="仿宋_GB2312"/>
          <w:sz w:val="24"/>
          <w:szCs w:val="24"/>
        </w:rPr>
        <w:t>0.7.1 依法必须招标的暂估价项目</w:t>
      </w:r>
    </w:p>
    <w:bookmarkEnd w:id="458"/>
    <w:bookmarkEnd w:id="459"/>
    <w:bookmarkEnd w:id="460"/>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对于依法必须招标的暂估价项目的确认和批准采取第</w:t>
      </w:r>
      <w:r>
        <w:rPr>
          <w:rFonts w:ascii="Times New Roman" w:hAnsi="Times New Roman" w:eastAsia="仿宋_GB2312"/>
          <w:sz w:val="24"/>
          <w:szCs w:val="24"/>
          <w:u w:val="single"/>
        </w:rPr>
        <w:t xml:space="preserve">    </w:t>
      </w:r>
      <w:r>
        <w:rPr>
          <w:rFonts w:ascii="Times New Roman" w:hAnsi="Times New Roman" w:eastAsia="仿宋_GB2312"/>
          <w:sz w:val="24"/>
          <w:szCs w:val="24"/>
        </w:rPr>
        <w:t>种方式确定。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10.7.2 不属于依法必须招标的暂估价项目</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ascii="Times New Roman" w:hAnsi="Times New Roman" w:eastAsia="仿宋_GB2312"/>
          <w:sz w:val="24"/>
          <w:szCs w:val="24"/>
        </w:rPr>
        <w:t>对于不属于依法必须招标的暂估价项目的确认和批准采取第</w:t>
      </w:r>
      <w:r>
        <w:rPr>
          <w:rFonts w:ascii="Times New Roman" w:hAnsi="Times New Roman" w:eastAsia="仿宋_GB2312"/>
          <w:sz w:val="24"/>
          <w:szCs w:val="24"/>
          <w:u w:val="single"/>
        </w:rPr>
        <w:t xml:space="preserve">   </w:t>
      </w:r>
      <w:r>
        <w:rPr>
          <w:rFonts w:ascii="Times New Roman" w:hAnsi="Times New Roman" w:eastAsia="仿宋_GB2312"/>
          <w:sz w:val="24"/>
          <w:szCs w:val="24"/>
        </w:rPr>
        <w:t xml:space="preserve"> 种方式确定。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sz w:val="24"/>
          <w:szCs w:val="24"/>
        </w:rPr>
        <w:t>第3种方式：</w:t>
      </w:r>
      <w:r>
        <w:rPr>
          <w:rFonts w:ascii="Times New Roman" w:hAnsi="Times New Roman" w:eastAsia="仿宋_GB2312"/>
          <w:color w:val="000000"/>
          <w:kern w:val="0"/>
          <w:sz w:val="24"/>
          <w:szCs w:val="24"/>
        </w:rPr>
        <w:t>承包人直接实施的暂估价项目</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承包人直接实施的暂估价项目的约定：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10.8 暂列金额</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hint="eastAsia" w:ascii="Times New Roman" w:hAnsi="Times New Roman" w:eastAsia="仿宋_GB2312"/>
          <w:color w:val="000000"/>
          <w:kern w:val="0"/>
          <w:sz w:val="24"/>
          <w:szCs w:val="24"/>
        </w:rPr>
        <w:t>合同当事人关于暂列金额使用的约定：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color w:val="000000"/>
          <w:kern w:val="0"/>
          <w:sz w:val="24"/>
          <w:szCs w:val="24"/>
        </w:rPr>
      </w:pPr>
      <w:r>
        <w:rPr>
          <w:rFonts w:hint="eastAsia" w:ascii="Times New Roman" w:hAnsi="Times New Roman" w:eastAsia="仿宋_GB2312"/>
          <w:sz w:val="24"/>
          <w:szCs w:val="24"/>
          <w:u w:val="single"/>
        </w:rPr>
        <w:t xml:space="preserve">                                                         </w:t>
      </w:r>
      <w:r>
        <w:rPr>
          <w:rFonts w:hint="eastAsia" w:ascii="Times New Roman" w:hAnsi="Times New Roman" w:eastAsia="仿宋_GB2312"/>
          <w:color w:val="000000"/>
          <w:kern w:val="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461" w:name="_Toc351203643"/>
      <w:r>
        <w:rPr>
          <w:rFonts w:ascii="Times New Roman" w:hAnsi="Times New Roman" w:eastAsia="黑体"/>
          <w:b w:val="0"/>
          <w:color w:val="000000"/>
          <w:sz w:val="24"/>
          <w:szCs w:val="24"/>
        </w:rPr>
        <w:t>11. 价格调整</w:t>
      </w:r>
      <w:bookmarkEnd w:id="461"/>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bookmarkStart w:id="462" w:name="_Toc297123550"/>
      <w:bookmarkStart w:id="463" w:name="_Toc297216209"/>
      <w:bookmarkStart w:id="464" w:name="_Toc292559406"/>
      <w:bookmarkStart w:id="465" w:name="_Toc304295577"/>
      <w:bookmarkStart w:id="466" w:name="_Toc292559911"/>
      <w:bookmarkStart w:id="467" w:name="_Toc300935000"/>
      <w:bookmarkStart w:id="468" w:name="_Toc296891029"/>
      <w:bookmarkStart w:id="469" w:name="_Toc296944540"/>
      <w:bookmarkStart w:id="470" w:name="_Toc312678039"/>
      <w:bookmarkStart w:id="471" w:name="_Toc296891241"/>
      <w:bookmarkStart w:id="472" w:name="_Toc296346702"/>
      <w:bookmarkStart w:id="473" w:name="_Toc303539157"/>
      <w:bookmarkStart w:id="474" w:name="_Toc296347200"/>
      <w:bookmarkStart w:id="475" w:name="_Toc297048387"/>
      <w:bookmarkStart w:id="476" w:name="_Toc297120501"/>
      <w:bookmarkStart w:id="477" w:name="_Toc296503201"/>
      <w:r>
        <w:rPr>
          <w:rFonts w:ascii="Times New Roman" w:hAnsi="Times New Roman" w:eastAsia="黑体"/>
          <w:color w:val="000000"/>
          <w:sz w:val="24"/>
          <w:szCs w:val="24"/>
        </w:rPr>
        <w:t>11.1 市场价格波动引起的调整</w:t>
      </w:r>
    </w:p>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市场价格波动是否调整合同价格的约定：</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因市场价格波动调整合同价格，采用以下</w:t>
      </w:r>
      <w:r>
        <w:rPr>
          <w:rFonts w:ascii="Times New Roman" w:hAnsi="Times New Roman" w:eastAsia="仿宋_GB2312"/>
          <w:sz w:val="24"/>
          <w:szCs w:val="24"/>
        </w:rPr>
        <w:t>第</w:t>
      </w:r>
      <w:r>
        <w:rPr>
          <w:rFonts w:ascii="Times New Roman" w:hAnsi="Times New Roman" w:eastAsia="仿宋_GB2312"/>
          <w:sz w:val="24"/>
          <w:szCs w:val="24"/>
          <w:u w:val="single"/>
        </w:rPr>
        <w:t xml:space="preserve">    </w:t>
      </w:r>
      <w:r>
        <w:rPr>
          <w:rFonts w:ascii="Times New Roman" w:hAnsi="Times New Roman" w:eastAsia="仿宋_GB2312"/>
          <w:color w:val="000000"/>
          <w:sz w:val="24"/>
          <w:szCs w:val="24"/>
        </w:rPr>
        <w:t>种方式对合同价格进行调整：</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第1种方式：采用价格指数</w:t>
      </w:r>
      <w:r>
        <w:rPr>
          <w:rFonts w:hint="eastAsia" w:ascii="Times New Roman" w:hAnsi="Times New Roman" w:eastAsia="仿宋_GB2312"/>
          <w:color w:val="000000"/>
          <w:sz w:val="24"/>
          <w:szCs w:val="24"/>
        </w:rPr>
        <w:t>进行价格</w:t>
      </w:r>
      <w:r>
        <w:rPr>
          <w:rFonts w:ascii="Times New Roman" w:hAnsi="Times New Roman" w:eastAsia="仿宋_GB2312"/>
          <w:color w:val="000000"/>
          <w:sz w:val="24"/>
          <w:szCs w:val="24"/>
        </w:rPr>
        <w:t>调整。</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关于各可调因子、定值和变值权重，以及基本价格指数及其来源的约定：</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第2种方式：采用造价信息</w:t>
      </w:r>
      <w:r>
        <w:rPr>
          <w:rFonts w:hint="eastAsia" w:ascii="Times New Roman" w:hAnsi="Times New Roman" w:eastAsia="仿宋_GB2312"/>
          <w:color w:val="000000"/>
          <w:sz w:val="24"/>
          <w:szCs w:val="24"/>
        </w:rPr>
        <w:t>进行价格</w:t>
      </w:r>
      <w:r>
        <w:rPr>
          <w:rFonts w:ascii="Times New Roman" w:hAnsi="Times New Roman" w:eastAsia="仿宋_GB2312"/>
          <w:color w:val="000000"/>
          <w:sz w:val="24"/>
          <w:szCs w:val="24"/>
        </w:rPr>
        <w:t>调整。</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（2）关于基准价格的约定：</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专用合同条款</w:t>
      </w:r>
      <w:r>
        <w:rPr>
          <w:rFonts w:hint="eastAsia" w:ascii="宋体" w:hAnsi="宋体" w:cs="宋体"/>
          <w:color w:val="000000"/>
          <w:sz w:val="24"/>
          <w:szCs w:val="24"/>
        </w:rPr>
        <w:t>①</w:t>
      </w:r>
      <w:r>
        <w:rPr>
          <w:rFonts w:ascii="Times New Roman" w:hAnsi="Times New Roman" w:eastAsia="仿宋_GB2312"/>
          <w:color w:val="000000"/>
          <w:sz w:val="24"/>
          <w:szCs w:val="24"/>
        </w:rPr>
        <w:t>承包人在已标价工程量清单或预算书中载明的材料单价低于基准价格的：专用合同条款合同履行期间材料单价涨幅以基准价格为基础超过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%时，或材料单价跌幅以已标价工程量清单或预算书中载明材料单价为基础超过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%时，其超过部分据实调整。</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hint="eastAsia" w:ascii="宋体" w:hAnsi="宋体" w:cs="宋体"/>
          <w:color w:val="000000"/>
          <w:sz w:val="24"/>
          <w:szCs w:val="24"/>
        </w:rPr>
        <w:t>②</w:t>
      </w:r>
      <w:r>
        <w:rPr>
          <w:rFonts w:ascii="Times New Roman" w:hAnsi="Times New Roman" w:eastAsia="仿宋_GB2312"/>
          <w:color w:val="000000"/>
          <w:sz w:val="24"/>
          <w:szCs w:val="24"/>
        </w:rPr>
        <w:t>承包人在已标价工程量清单或预算书中载明的材料单价高于基准价格的：专用合同条款合同履行期间材料单价跌幅以基准价格为基础超过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%时，材料单价涨幅以已标价工程量清单或预算书中载明材料单价为基础超过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%时，其超过部分据实调整。</w:t>
      </w:r>
    </w:p>
    <w:p>
      <w:pPr>
        <w:pageBreakBefore w:val="0"/>
        <w:widowControl w:val="0"/>
        <w:kinsoku/>
        <w:wordWrap/>
        <w:overflowPunct/>
        <w:topLinePunct w:val="0"/>
        <w:bidi w:val="0"/>
        <w:snapToGrid/>
        <w:spacing w:line="480" w:lineRule="exact"/>
        <w:ind w:firstLine="645"/>
        <w:jc w:val="left"/>
        <w:textAlignment w:val="auto"/>
        <w:rPr>
          <w:rFonts w:ascii="Times New Roman" w:hAnsi="Times New Roman" w:eastAsia="仿宋_GB2312"/>
          <w:color w:val="000000"/>
          <w:sz w:val="24"/>
          <w:szCs w:val="24"/>
        </w:rPr>
      </w:pPr>
      <w:r>
        <w:rPr>
          <w:rFonts w:hint="eastAsia" w:ascii="宋体" w:hAnsi="宋体" w:cs="宋体"/>
          <w:color w:val="000000"/>
          <w:sz w:val="24"/>
          <w:szCs w:val="24"/>
        </w:rPr>
        <w:t>③</w:t>
      </w:r>
      <w:r>
        <w:rPr>
          <w:rFonts w:ascii="Times New Roman" w:hAnsi="Times New Roman" w:eastAsia="仿宋_GB2312"/>
          <w:color w:val="000000"/>
          <w:sz w:val="24"/>
          <w:szCs w:val="24"/>
        </w:rPr>
        <w:t>承包人在已标价工程量清单或预算书中载明的材料单价等于基准单价的：专用合同条款合同履行期间材料单价涨跌幅以基准单价为基础超过±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%时，其超过部分据实调整。</w:t>
      </w:r>
    </w:p>
    <w:p>
      <w:pPr>
        <w:pageBreakBefore w:val="0"/>
        <w:widowControl w:val="0"/>
        <w:kinsoku/>
        <w:wordWrap/>
        <w:overflowPunct/>
        <w:topLinePunct w:val="0"/>
        <w:bidi w:val="0"/>
        <w:snapToGrid/>
        <w:spacing w:line="480" w:lineRule="exact"/>
        <w:ind w:firstLine="645"/>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第3种方式：其他价格调整方式：</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365"/>
    <w:bookmarkEnd w:id="366"/>
    <w:bookmarkEnd w:id="367"/>
    <w:bookmarkEnd w:id="368"/>
    <w:bookmarkEnd w:id="369"/>
    <w:bookmarkEnd w:id="370"/>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478" w:name="_Toc292559915"/>
      <w:bookmarkStart w:id="479" w:name="_Toc297120505"/>
      <w:bookmarkStart w:id="480" w:name="_Toc296891245"/>
      <w:bookmarkStart w:id="481" w:name="_Toc297048391"/>
      <w:bookmarkStart w:id="482" w:name="_Toc296346706"/>
      <w:bookmarkStart w:id="483" w:name="_Toc296944544"/>
      <w:bookmarkStart w:id="484" w:name="_Toc296347204"/>
      <w:bookmarkStart w:id="485" w:name="_Toc296503205"/>
      <w:bookmarkStart w:id="486" w:name="_Toc296891033"/>
      <w:bookmarkStart w:id="487" w:name="_Toc292559410"/>
      <w:bookmarkStart w:id="488" w:name="_Toc351203644"/>
      <w:bookmarkStart w:id="489" w:name="_Toc297216211"/>
      <w:bookmarkStart w:id="490" w:name="_Toc312678040"/>
      <w:bookmarkStart w:id="491" w:name="_Toc303539159"/>
      <w:bookmarkStart w:id="492" w:name="_Toc304295579"/>
      <w:bookmarkStart w:id="493" w:name="_Toc300935002"/>
      <w:bookmarkStart w:id="494" w:name="_Toc297123552"/>
      <w:r>
        <w:rPr>
          <w:rFonts w:ascii="Times New Roman" w:hAnsi="Times New Roman" w:eastAsia="黑体"/>
          <w:b w:val="0"/>
          <w:color w:val="000000"/>
          <w:sz w:val="24"/>
          <w:szCs w:val="24"/>
        </w:rPr>
        <w:t xml:space="preserve">12. </w:t>
      </w:r>
      <w:bookmarkEnd w:id="478"/>
      <w:bookmarkEnd w:id="479"/>
      <w:bookmarkEnd w:id="480"/>
      <w:bookmarkEnd w:id="481"/>
      <w:bookmarkEnd w:id="482"/>
      <w:bookmarkEnd w:id="483"/>
      <w:bookmarkEnd w:id="484"/>
      <w:bookmarkEnd w:id="485"/>
      <w:bookmarkEnd w:id="486"/>
      <w:bookmarkEnd w:id="487"/>
      <w:r>
        <w:rPr>
          <w:rFonts w:ascii="Times New Roman" w:hAnsi="Times New Roman" w:eastAsia="黑体"/>
          <w:b w:val="0"/>
          <w:color w:val="000000"/>
          <w:sz w:val="24"/>
          <w:szCs w:val="24"/>
        </w:rPr>
        <w:t>合同价格、计量与支付</w:t>
      </w:r>
      <w:bookmarkEnd w:id="488"/>
    </w:p>
    <w:bookmarkEnd w:id="489"/>
    <w:bookmarkEnd w:id="490"/>
    <w:bookmarkEnd w:id="491"/>
    <w:bookmarkEnd w:id="492"/>
    <w:bookmarkEnd w:id="493"/>
    <w:bookmarkEnd w:id="494"/>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bookmarkStart w:id="495" w:name="_Toc267251461"/>
      <w:bookmarkStart w:id="496" w:name="_Toc292559411"/>
      <w:bookmarkStart w:id="497" w:name="_Toc292559916"/>
      <w:bookmarkStart w:id="498" w:name="_Toc296346707"/>
      <w:bookmarkStart w:id="499" w:name="_Toc296503206"/>
      <w:bookmarkStart w:id="500" w:name="_Toc296891034"/>
      <w:bookmarkStart w:id="501" w:name="_Toc296944545"/>
      <w:bookmarkStart w:id="502" w:name="_Toc296891246"/>
      <w:bookmarkStart w:id="503" w:name="_Toc297048392"/>
      <w:bookmarkStart w:id="504" w:name="_Toc296347205"/>
      <w:bookmarkStart w:id="505" w:name="_Toc297120506"/>
      <w:bookmarkStart w:id="506" w:name="_Toc300935003"/>
      <w:bookmarkStart w:id="507" w:name="_Toc303539160"/>
      <w:bookmarkStart w:id="508" w:name="_Toc297216212"/>
      <w:bookmarkStart w:id="509" w:name="_Toc297123553"/>
      <w:bookmarkStart w:id="510" w:name="_Toc304295580"/>
      <w:bookmarkStart w:id="511" w:name="_Toc312678041"/>
      <w:r>
        <w:rPr>
          <w:rFonts w:ascii="Times New Roman" w:hAnsi="Times New Roman" w:eastAsia="黑体"/>
          <w:color w:val="000000"/>
          <w:sz w:val="24"/>
          <w:szCs w:val="24"/>
        </w:rPr>
        <w:t>12.1 合</w:t>
      </w:r>
      <w:bookmarkEnd w:id="495"/>
      <w:bookmarkEnd w:id="496"/>
      <w:bookmarkEnd w:id="497"/>
      <w:r>
        <w:rPr>
          <w:rFonts w:ascii="Times New Roman" w:hAnsi="Times New Roman" w:eastAsia="黑体"/>
          <w:color w:val="000000"/>
          <w:sz w:val="24"/>
          <w:szCs w:val="24"/>
        </w:rPr>
        <w:t>同价</w:t>
      </w:r>
      <w:bookmarkEnd w:id="498"/>
      <w:bookmarkEnd w:id="499"/>
      <w:bookmarkEnd w:id="500"/>
      <w:bookmarkEnd w:id="501"/>
      <w:bookmarkEnd w:id="502"/>
      <w:bookmarkEnd w:id="503"/>
      <w:bookmarkEnd w:id="504"/>
      <w:bookmarkEnd w:id="505"/>
      <w:r>
        <w:rPr>
          <w:rFonts w:ascii="Times New Roman" w:hAnsi="Times New Roman" w:eastAsia="黑体"/>
          <w:color w:val="000000"/>
          <w:sz w:val="24"/>
          <w:szCs w:val="24"/>
        </w:rPr>
        <w:t>格形式</w:t>
      </w:r>
    </w:p>
    <w:bookmarkEnd w:id="506"/>
    <w:bookmarkEnd w:id="507"/>
    <w:bookmarkEnd w:id="508"/>
    <w:bookmarkEnd w:id="509"/>
    <w:bookmarkEnd w:id="510"/>
    <w:bookmarkEnd w:id="511"/>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1、单价合同。</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综合单价包含的风险范围：</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风险费用的计算方法：</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风险范围以外合同价格的调整方法：</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2、总价合同。</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总价包含的风险范围：</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风险费用的计算方法：</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风险范围以外合同价格的调整方法：</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numPr>
          <w:ilvl w:val="0"/>
          <w:numId w:val="4"/>
        </w:numPr>
        <w:kinsoku/>
        <w:wordWrap/>
        <w:overflowPunct/>
        <w:topLinePunct w:val="0"/>
        <w:bidi w:val="0"/>
        <w:snapToGrid/>
        <w:spacing w:line="480" w:lineRule="exact"/>
        <w:ind w:left="0" w:leftChars="0" w:firstLine="481" w:firstLineChars="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其他价格方式：</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bookmarkStart w:id="512" w:name="_Toc300935004"/>
      <w:bookmarkStart w:id="513" w:name="_Toc297216213"/>
      <w:bookmarkStart w:id="514" w:name="_Toc312678042"/>
      <w:bookmarkStart w:id="515" w:name="_Toc304295581"/>
      <w:bookmarkStart w:id="516" w:name="_Toc297123554"/>
      <w:bookmarkStart w:id="517" w:name="_Toc303539161"/>
      <w:bookmarkStart w:id="518" w:name="_Toc292559917"/>
      <w:bookmarkStart w:id="519" w:name="_Toc297120507"/>
      <w:bookmarkStart w:id="520" w:name="_Toc296346708"/>
      <w:bookmarkStart w:id="521" w:name="_Toc297048393"/>
      <w:bookmarkStart w:id="522" w:name="_Toc296503207"/>
      <w:bookmarkStart w:id="523" w:name="_Toc292559412"/>
      <w:bookmarkStart w:id="524" w:name="_Toc296944546"/>
      <w:bookmarkStart w:id="525" w:name="_Toc296347206"/>
      <w:bookmarkStart w:id="526" w:name="_Toc296891035"/>
      <w:bookmarkStart w:id="527" w:name="_Toc296891247"/>
      <w:r>
        <w:rPr>
          <w:rFonts w:ascii="Times New Roman" w:hAnsi="Times New Roman" w:eastAsia="黑体"/>
          <w:color w:val="000000"/>
          <w:sz w:val="24"/>
          <w:szCs w:val="24"/>
        </w:rPr>
        <w:t>12.2 预付款</w:t>
      </w:r>
    </w:p>
    <w:bookmarkEnd w:id="512"/>
    <w:bookmarkEnd w:id="513"/>
    <w:bookmarkEnd w:id="514"/>
    <w:bookmarkEnd w:id="515"/>
    <w:bookmarkEnd w:id="516"/>
    <w:bookmarkEnd w:id="517"/>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12.2.1 预付款的支付</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预付款支付比例或金额：</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预付款支付期限：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预付款扣回的方式：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12.2.2 预付款担保</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承包人提交预付款担保的期限：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预付款担保的形式为：</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18"/>
    <w:bookmarkEnd w:id="519"/>
    <w:bookmarkEnd w:id="520"/>
    <w:bookmarkEnd w:id="521"/>
    <w:bookmarkEnd w:id="522"/>
    <w:bookmarkEnd w:id="523"/>
    <w:bookmarkEnd w:id="524"/>
    <w:bookmarkEnd w:id="525"/>
    <w:bookmarkEnd w:id="526"/>
    <w:bookmarkEnd w:id="527"/>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12.3 计量</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12.3.1 计量原则</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工程量计算规则：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12.3.2 计量周期</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关于计量周期的约定：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12.3.3 单价合同的计量</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关于单价合同计量的约定：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12.3.4 总价合同的计量</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关于总价合同计量的约定：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12.3.5总价合同采用支付分解表计量支付的，是否适用第</w:t>
      </w:r>
      <w:r>
        <w:rPr>
          <w:rFonts w:ascii="Times New Roman" w:hAnsi="Times New Roman" w:eastAsia="仿宋_GB2312"/>
          <w:color w:val="000000"/>
          <w:kern w:val="0"/>
          <w:sz w:val="24"/>
          <w:szCs w:val="24"/>
        </w:rPr>
        <w:t xml:space="preserve">12.3.4 </w:t>
      </w:r>
      <w:r>
        <w:rPr>
          <w:rFonts w:ascii="Times New Roman" w:hAnsi="Times New Roman" w:eastAsia="仿宋_GB2312"/>
          <w:color w:val="000000"/>
          <w:sz w:val="24"/>
          <w:szCs w:val="24"/>
        </w:rPr>
        <w:t>项</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总价合同的计量</w:t>
      </w:r>
      <w:r>
        <w:rPr>
          <w:rFonts w:hint="eastAsia" w:ascii="Times New Roman" w:hAnsi="Times New Roman" w:eastAsia="仿宋_GB2312"/>
          <w:color w:val="000000"/>
          <w:kern w:val="0"/>
          <w:sz w:val="24"/>
          <w:szCs w:val="24"/>
        </w:rPr>
        <w:t>〕</w:t>
      </w:r>
      <w:r>
        <w:rPr>
          <w:rFonts w:ascii="Times New Roman" w:hAnsi="Times New Roman" w:eastAsia="仿宋_GB2312"/>
          <w:color w:val="000000"/>
          <w:sz w:val="24"/>
          <w:szCs w:val="24"/>
        </w:rPr>
        <w:t>约定</w:t>
      </w:r>
      <w:r>
        <w:rPr>
          <w:rFonts w:hint="eastAsia" w:ascii="Times New Roman" w:hAnsi="Times New Roman" w:eastAsia="仿宋_GB2312"/>
          <w:color w:val="000000"/>
          <w:sz w:val="24"/>
          <w:szCs w:val="24"/>
        </w:rPr>
        <w:t>进行计量：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12.3.6 其他价格形式合同的计量</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其他价格形式的计量方式和程序：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12.4 工程进度款支付</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bookmarkStart w:id="528" w:name="_Toc297123556"/>
      <w:bookmarkStart w:id="529" w:name="_Toc296891039"/>
      <w:bookmarkStart w:id="530" w:name="_Toc296891251"/>
      <w:bookmarkStart w:id="531" w:name="_Toc292559416"/>
      <w:bookmarkStart w:id="532" w:name="_Toc297120511"/>
      <w:bookmarkStart w:id="533" w:name="_Toc300935006"/>
      <w:bookmarkStart w:id="534" w:name="_Toc296503211"/>
      <w:bookmarkStart w:id="535" w:name="_Toc296944550"/>
      <w:bookmarkStart w:id="536" w:name="_Toc296346712"/>
      <w:bookmarkStart w:id="537" w:name="_Toc297048397"/>
      <w:bookmarkStart w:id="538" w:name="_Toc303539163"/>
      <w:bookmarkStart w:id="539" w:name="_Toc296347210"/>
      <w:bookmarkStart w:id="540" w:name="_Toc292559921"/>
      <w:bookmarkStart w:id="541" w:name="_Toc297216215"/>
      <w:r>
        <w:rPr>
          <w:rFonts w:ascii="Times New Roman" w:hAnsi="Times New Roman" w:eastAsia="仿宋_GB2312"/>
          <w:color w:val="000000"/>
          <w:sz w:val="24"/>
          <w:szCs w:val="24"/>
        </w:rPr>
        <w:t>12.4.1 付款周期</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关于付款周期的约定：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12.4.2 进度付款申请单的编制</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关于进度付款申请单编制的约定：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Pr>
          <w:rFonts w:ascii="Times New Roman" w:hAnsi="Times New Roman" w:eastAsia="仿宋_GB2312"/>
          <w:color w:val="000000"/>
          <w:sz w:val="24"/>
          <w:szCs w:val="24"/>
        </w:rPr>
        <w:t>2.4.3 进度付款申请单的提交</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（1）单价合同进度付款申请单提交的约定</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（2）总价合同进度付款申请单提交的约定</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（3）其他价格形式合同进度付款申请单提交的约定：</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12.4.4 进度款审核和支付</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（1）监理人审查并报送发包人的期限：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发包人完成审批并签发进度款支付证书的期限：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（2）发包人支付进度款的期限：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600" w:firstLineChars="25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发包人逾期支付进度款的违约金的计算方式：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600" w:firstLineChars="250"/>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12.4.6 支付分解表的编制</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2、总价合同支付分解表的编制与审批：</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left="6000" w:hanging="4800" w:hangingChars="20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3、单价合同的总价项目支付分解表的编制与审批：</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371"/>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542" w:name="_Toc351203645"/>
      <w:bookmarkStart w:id="543" w:name="_Toc296503219"/>
      <w:bookmarkStart w:id="544" w:name="_Toc300935015"/>
      <w:bookmarkStart w:id="545" w:name="_Toc296891047"/>
      <w:bookmarkStart w:id="546" w:name="_Toc296944558"/>
      <w:bookmarkStart w:id="547" w:name="_Toc297123564"/>
      <w:bookmarkStart w:id="548" w:name="_Toc304295593"/>
      <w:bookmarkStart w:id="549" w:name="_Toc292559424"/>
      <w:bookmarkStart w:id="550" w:name="_Toc296347218"/>
      <w:bookmarkStart w:id="551" w:name="_Toc297120519"/>
      <w:bookmarkStart w:id="552" w:name="_Toc297216223"/>
      <w:bookmarkStart w:id="553" w:name="_Toc296346720"/>
      <w:bookmarkStart w:id="554" w:name="_Toc296891259"/>
      <w:bookmarkStart w:id="555" w:name="_Toc292559929"/>
      <w:bookmarkStart w:id="556" w:name="_Toc303539172"/>
      <w:bookmarkStart w:id="557" w:name="_Toc297048405"/>
      <w:bookmarkStart w:id="558" w:name="_Toc312678053"/>
      <w:r>
        <w:rPr>
          <w:rFonts w:ascii="Times New Roman" w:hAnsi="Times New Roman" w:eastAsia="黑体"/>
          <w:b w:val="0"/>
          <w:color w:val="000000"/>
          <w:sz w:val="24"/>
          <w:szCs w:val="24"/>
        </w:rPr>
        <w:t>13.</w:t>
      </w:r>
      <w:r>
        <w:rPr>
          <w:rFonts w:hint="eastAsia" w:ascii="Times New Roman" w:hAnsi="Times New Roman" w:eastAsia="黑体"/>
          <w:b w:val="0"/>
          <w:color w:val="000000"/>
          <w:sz w:val="24"/>
          <w:szCs w:val="24"/>
        </w:rPr>
        <w:t xml:space="preserve"> </w:t>
      </w:r>
      <w:r>
        <w:rPr>
          <w:rFonts w:ascii="Times New Roman" w:hAnsi="Times New Roman" w:eastAsia="黑体"/>
          <w:b w:val="0"/>
          <w:color w:val="000000"/>
          <w:sz w:val="24"/>
          <w:szCs w:val="24"/>
        </w:rPr>
        <w:t>验收和工程试车</w:t>
      </w:r>
      <w:bookmarkEnd w:id="542"/>
    </w:p>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13.1 分部分项工程验收</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13.1.2监理人不能按时进行验收时，应提前</w:t>
      </w:r>
      <w:r>
        <w:rPr>
          <w:rFonts w:ascii="Times New Roman" w:hAnsi="Times New Roman" w:eastAsia="仿宋_GB2312"/>
          <w:sz w:val="24"/>
          <w:szCs w:val="24"/>
          <w:u w:val="single"/>
        </w:rPr>
        <w:t xml:space="preserve">       </w:t>
      </w:r>
      <w:r>
        <w:rPr>
          <w:rFonts w:ascii="Times New Roman" w:hAnsi="Times New Roman" w:eastAsia="仿宋_GB2312"/>
          <w:sz w:val="24"/>
          <w:szCs w:val="24"/>
        </w:rPr>
        <w:t>小时提交书面延期要求。</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b/>
          <w:color w:val="000000"/>
          <w:sz w:val="24"/>
          <w:szCs w:val="24"/>
        </w:rPr>
      </w:pPr>
      <w:r>
        <w:rPr>
          <w:rFonts w:ascii="Times New Roman" w:hAnsi="Times New Roman" w:eastAsia="仿宋_GB2312"/>
          <w:sz w:val="24"/>
          <w:szCs w:val="24"/>
        </w:rPr>
        <w:t>关于延期最长不得超过：</w:t>
      </w:r>
      <w:r>
        <w:rPr>
          <w:rFonts w:ascii="Times New Roman" w:hAnsi="Times New Roman" w:eastAsia="仿宋_GB2312"/>
          <w:sz w:val="24"/>
          <w:szCs w:val="24"/>
          <w:u w:val="single"/>
        </w:rPr>
        <w:t xml:space="preserve">         </w:t>
      </w:r>
      <w:r>
        <w:rPr>
          <w:rFonts w:ascii="Times New Roman" w:hAnsi="Times New Roman" w:eastAsia="仿宋_GB2312"/>
          <w:sz w:val="24"/>
          <w:szCs w:val="24"/>
        </w:rPr>
        <w:t>小时。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bookmarkStart w:id="559" w:name="_Toc292559428"/>
      <w:bookmarkStart w:id="560" w:name="_Toc312678056"/>
      <w:bookmarkStart w:id="561" w:name="_Toc296503223"/>
      <w:bookmarkStart w:id="562" w:name="_Toc292559933"/>
      <w:bookmarkStart w:id="563" w:name="_Toc296944562"/>
      <w:bookmarkStart w:id="564" w:name="_Toc296891263"/>
      <w:bookmarkStart w:id="565" w:name="_Toc297123565"/>
      <w:bookmarkStart w:id="566" w:name="_Toc296347222"/>
      <w:bookmarkStart w:id="567" w:name="_Toc297216224"/>
      <w:bookmarkStart w:id="568" w:name="_Toc296891051"/>
      <w:bookmarkStart w:id="569" w:name="_Toc300935016"/>
      <w:bookmarkStart w:id="570" w:name="_Toc303539173"/>
      <w:bookmarkStart w:id="571" w:name="_Toc304295596"/>
      <w:bookmarkStart w:id="572" w:name="_Toc297120523"/>
      <w:bookmarkStart w:id="573" w:name="_Toc297048409"/>
      <w:bookmarkStart w:id="574" w:name="_Toc296346724"/>
      <w:bookmarkStart w:id="575" w:name="_Toc267251474"/>
      <w:bookmarkStart w:id="576" w:name="_Toc267251475"/>
      <w:bookmarkStart w:id="577" w:name="_Toc267251476"/>
      <w:bookmarkStart w:id="578" w:name="_Toc267251473"/>
      <w:bookmarkStart w:id="579" w:name="_Toc267251470"/>
      <w:bookmarkStart w:id="580" w:name="_Toc267251472"/>
      <w:bookmarkStart w:id="581" w:name="_Toc267251471"/>
      <w:r>
        <w:rPr>
          <w:rFonts w:ascii="Times New Roman" w:hAnsi="Times New Roman" w:eastAsia="黑体"/>
          <w:color w:val="000000"/>
          <w:sz w:val="24"/>
          <w:szCs w:val="24"/>
        </w:rPr>
        <w:t>13.2 竣工验收</w:t>
      </w:r>
    </w:p>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bookmarkStart w:id="582" w:name="_Toc280868704"/>
      <w:bookmarkStart w:id="583" w:name="_Toc280868705"/>
      <w:bookmarkStart w:id="584" w:name="_Toc280868706"/>
      <w:bookmarkStart w:id="585" w:name="_Toc280868707"/>
      <w:bookmarkStart w:id="586" w:name="_Toc280868708"/>
      <w:bookmarkStart w:id="587" w:name="_Toc280868709"/>
      <w:r>
        <w:rPr>
          <w:rFonts w:ascii="Times New Roman" w:hAnsi="Times New Roman" w:eastAsia="仿宋_GB2312"/>
          <w:color w:val="000000"/>
          <w:sz w:val="24"/>
          <w:szCs w:val="24"/>
        </w:rPr>
        <w:t>13.2.2竣工验收程序</w:t>
      </w:r>
    </w:p>
    <w:bookmarkEnd w:id="582"/>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kern w:val="0"/>
          <w:sz w:val="24"/>
          <w:szCs w:val="24"/>
        </w:rPr>
        <w:t>关于竣工验收程序的约定：</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left="6000" w:hanging="4800" w:hangingChars="20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kern w:val="0"/>
          <w:sz w:val="24"/>
          <w:szCs w:val="24"/>
        </w:rPr>
        <w:t>发包人不按照本项约定组织竣工验收、颁发工程接收证书的违约金的计算方法：</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83"/>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13.2.5移交、接收全部与部分工程</w:t>
      </w:r>
    </w:p>
    <w:bookmarkEnd w:id="584"/>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承包人向发包人移交工程的期限：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kern w:val="0"/>
          <w:sz w:val="24"/>
          <w:szCs w:val="24"/>
        </w:rPr>
        <w:t>发包人未按本合同约定接收全部或部分工程的，违约金的计算方法为：</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85"/>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承包人未按时移交工程的，违约金的计算方法为：</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13.3 工程试车</w:t>
      </w:r>
    </w:p>
    <w:bookmarkEnd w:id="586"/>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13.3.1 试车程序</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kern w:val="0"/>
          <w:sz w:val="24"/>
          <w:szCs w:val="24"/>
        </w:rPr>
        <w:t>工程试车内容：</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（1）单机无负荷试车费用由</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承担；</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（2）无负荷联动试车费用由</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承担。</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13.3.3 投料试车</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hint="eastAsia" w:ascii="Times New Roman" w:hAnsi="Times New Roman" w:eastAsia="仿宋_GB2312"/>
          <w:color w:val="000000"/>
          <w:kern w:val="0"/>
          <w:sz w:val="24"/>
          <w:szCs w:val="24"/>
        </w:rPr>
        <w:t>关于投料试车相关事项的约定：</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13.6 竣工退场</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13.6.1 竣工退场</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承包人完成竣工退场的期限：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588" w:name="_Toc351203646"/>
      <w:r>
        <w:rPr>
          <w:rFonts w:ascii="Times New Roman" w:hAnsi="Times New Roman" w:eastAsia="黑体"/>
          <w:b w:val="0"/>
          <w:color w:val="000000"/>
          <w:sz w:val="24"/>
          <w:szCs w:val="24"/>
        </w:rPr>
        <w:t>14. 竣工结算</w:t>
      </w:r>
      <w:bookmarkEnd w:id="588"/>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14.1 竣工</w:t>
      </w:r>
      <w:r>
        <w:rPr>
          <w:rFonts w:hint="eastAsia" w:ascii="Times New Roman" w:hAnsi="Times New Roman" w:eastAsia="黑体"/>
          <w:color w:val="000000"/>
          <w:sz w:val="24"/>
          <w:szCs w:val="24"/>
        </w:rPr>
        <w:t>结算</w:t>
      </w:r>
      <w:r>
        <w:rPr>
          <w:rFonts w:ascii="Times New Roman" w:hAnsi="Times New Roman" w:eastAsia="黑体"/>
          <w:color w:val="000000"/>
          <w:sz w:val="24"/>
          <w:szCs w:val="24"/>
        </w:rPr>
        <w:t>申请</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sz w:val="24"/>
          <w:szCs w:val="24"/>
        </w:rPr>
        <w:t>承包人提交竣工</w:t>
      </w:r>
      <w:r>
        <w:rPr>
          <w:rFonts w:hint="eastAsia" w:ascii="Times New Roman" w:hAnsi="Times New Roman" w:eastAsia="仿宋_GB2312"/>
          <w:sz w:val="24"/>
          <w:szCs w:val="24"/>
        </w:rPr>
        <w:t>结算</w:t>
      </w:r>
      <w:r>
        <w:rPr>
          <w:rFonts w:ascii="Times New Roman" w:hAnsi="Times New Roman" w:eastAsia="仿宋_GB2312"/>
          <w:sz w:val="24"/>
          <w:szCs w:val="24"/>
        </w:rPr>
        <w:t>申请单的期限：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竣工</w:t>
      </w:r>
      <w:r>
        <w:rPr>
          <w:rFonts w:hint="eastAsia" w:ascii="Times New Roman" w:hAnsi="Times New Roman" w:eastAsia="仿宋_GB2312"/>
          <w:color w:val="000000"/>
          <w:sz w:val="24"/>
          <w:szCs w:val="24"/>
        </w:rPr>
        <w:t>结算</w:t>
      </w:r>
      <w:r>
        <w:rPr>
          <w:rFonts w:ascii="Times New Roman" w:hAnsi="Times New Roman" w:eastAsia="仿宋_GB2312"/>
          <w:color w:val="000000"/>
          <w:sz w:val="24"/>
          <w:szCs w:val="24"/>
        </w:rPr>
        <w:t>申请单应包括的内容：</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14.2 竣工结算审核</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发包人</w:t>
      </w:r>
      <w:r>
        <w:rPr>
          <w:rFonts w:hint="eastAsia" w:ascii="Times New Roman" w:hAnsi="Times New Roman" w:eastAsia="仿宋_GB2312"/>
          <w:sz w:val="24"/>
          <w:szCs w:val="24"/>
        </w:rPr>
        <w:t>审批</w:t>
      </w:r>
      <w:r>
        <w:rPr>
          <w:rFonts w:ascii="Times New Roman" w:hAnsi="Times New Roman" w:eastAsia="仿宋_GB2312"/>
          <w:sz w:val="24"/>
          <w:szCs w:val="24"/>
        </w:rPr>
        <w:t>竣工付款申请单的期限：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ascii="Times New Roman" w:hAnsi="Times New Roman" w:eastAsia="仿宋_GB2312"/>
          <w:sz w:val="24"/>
          <w:szCs w:val="24"/>
        </w:rPr>
        <w:t>发包人完成竣工付款的期限：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hint="eastAsia" w:ascii="Times New Roman" w:hAnsi="Times New Roman" w:eastAsia="仿宋_GB2312"/>
          <w:color w:val="000000"/>
          <w:sz w:val="24"/>
          <w:szCs w:val="24"/>
        </w:rPr>
        <w:t>关于竣工付款证书异议部分复核的方式和程序：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14.4 最终结清</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14.4.1 最终结清申请单</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承包人提交最终结清申请单的份数：</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color w:val="000000"/>
          <w:kern w:val="0"/>
          <w:sz w:val="24"/>
          <w:szCs w:val="24"/>
        </w:rPr>
        <w:t>承包人提交最终结算申请单的期限：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r>
        <w:rPr>
          <w:rFonts w:ascii="Times New Roman" w:hAnsi="Times New Roman" w:eastAsia="仿宋_GB2312"/>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14.4.2 最终结清证书和支付</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（1）发包人完成最终结清申请单的</w:t>
      </w:r>
      <w:r>
        <w:rPr>
          <w:rFonts w:hint="eastAsia" w:ascii="Times New Roman" w:hAnsi="Times New Roman" w:eastAsia="仿宋_GB2312"/>
          <w:sz w:val="24"/>
          <w:szCs w:val="24"/>
        </w:rPr>
        <w:t>审批</w:t>
      </w:r>
      <w:r>
        <w:rPr>
          <w:rFonts w:ascii="Times New Roman" w:hAnsi="Times New Roman" w:eastAsia="仿宋_GB2312"/>
          <w:sz w:val="24"/>
          <w:szCs w:val="24"/>
        </w:rPr>
        <w:t>并颁发最终结清证书的期限：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（2）发包人完成支付的期限：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75"/>
    <w:bookmarkEnd w:id="576"/>
    <w:bookmarkEnd w:id="577"/>
    <w:bookmarkEnd w:id="578"/>
    <w:bookmarkEnd w:id="579"/>
    <w:bookmarkEnd w:id="580"/>
    <w:bookmarkEnd w:id="581"/>
    <w:bookmarkEnd w:id="587"/>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589" w:name="_Toc351203647"/>
      <w:bookmarkStart w:id="590" w:name="_Toc267251483"/>
      <w:bookmarkStart w:id="591" w:name="_Toc267251482"/>
      <w:bookmarkStart w:id="592" w:name="_Toc267251484"/>
      <w:bookmarkStart w:id="593" w:name="_Toc267251485"/>
      <w:bookmarkStart w:id="594" w:name="_Toc267251488"/>
      <w:bookmarkStart w:id="595" w:name="_Toc267251489"/>
      <w:bookmarkStart w:id="596" w:name="_Toc267251486"/>
      <w:bookmarkStart w:id="597" w:name="_Toc267251490"/>
      <w:bookmarkStart w:id="598" w:name="_Toc267251495"/>
      <w:bookmarkStart w:id="599" w:name="_Toc267251499"/>
      <w:bookmarkStart w:id="600" w:name="_Toc267251497"/>
      <w:bookmarkStart w:id="601" w:name="_Toc267251503"/>
      <w:bookmarkStart w:id="602" w:name="_Toc267251496"/>
      <w:bookmarkStart w:id="603" w:name="_Toc267251492"/>
      <w:bookmarkStart w:id="604" w:name="_Toc267251491"/>
      <w:bookmarkStart w:id="605" w:name="_Toc267251502"/>
      <w:bookmarkStart w:id="606" w:name="_Toc267251494"/>
      <w:bookmarkStart w:id="607" w:name="_Toc267251498"/>
      <w:bookmarkStart w:id="608" w:name="_Toc267251501"/>
      <w:bookmarkStart w:id="609" w:name="_Toc267251493"/>
      <w:bookmarkStart w:id="610" w:name="_Toc267251504"/>
      <w:bookmarkStart w:id="611" w:name="_Toc267251506"/>
      <w:bookmarkStart w:id="612" w:name="_Toc267251507"/>
      <w:bookmarkStart w:id="613" w:name="_Toc267251508"/>
      <w:bookmarkStart w:id="614" w:name="_Toc267251511"/>
      <w:bookmarkStart w:id="615" w:name="_Toc267251514"/>
      <w:bookmarkStart w:id="616" w:name="_Toc267251513"/>
      <w:bookmarkStart w:id="617" w:name="_Toc267251515"/>
      <w:bookmarkStart w:id="618" w:name="_Toc267251509"/>
      <w:bookmarkStart w:id="619" w:name="_Toc267251510"/>
      <w:r>
        <w:rPr>
          <w:rFonts w:ascii="Times New Roman" w:hAnsi="Times New Roman" w:eastAsia="黑体"/>
          <w:b w:val="0"/>
          <w:color w:val="000000"/>
          <w:sz w:val="24"/>
          <w:szCs w:val="24"/>
        </w:rPr>
        <w:t>15. 缺陷责任期与保修</w:t>
      </w:r>
      <w:bookmarkEnd w:id="589"/>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15.2缺陷责任期</w:t>
      </w:r>
      <w:bookmarkEnd w:id="590"/>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缺陷责任期的具体期限：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15.3 质量保证金</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关于是否扣留质量保证金的约定：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r>
        <w:rPr>
          <w:rFonts w:hint="eastAsia" w:eastAsia="仿宋_GB2312"/>
          <w:color w:val="000000"/>
          <w:sz w:val="24"/>
          <w:szCs w:val="24"/>
        </w:rPr>
        <w:t>在工程项目竣工前，承包人按专用合同条款第3.7条提供履约担保的，发包人不得同时预留工程质量保证金。</w:t>
      </w:r>
    </w:p>
    <w:p>
      <w:pPr>
        <w:pageBreakBefore w:val="0"/>
        <w:widowControl w:val="0"/>
        <w:kinsoku/>
        <w:wordWrap/>
        <w:overflowPunct/>
        <w:topLinePunct w:val="0"/>
        <w:bidi w:val="0"/>
        <w:snapToGrid/>
        <w:spacing w:line="480" w:lineRule="exact"/>
        <w:ind w:firstLine="480" w:firstLineChars="200"/>
        <w:jc w:val="left"/>
        <w:textAlignment w:val="auto"/>
        <w:outlineLvl w:val="0"/>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15.3.1 </w:t>
      </w:r>
      <w:r>
        <w:rPr>
          <w:rFonts w:hint="eastAsia" w:ascii="Times New Roman" w:hAnsi="Times New Roman" w:eastAsia="仿宋_GB2312"/>
          <w:color w:val="000000"/>
          <w:sz w:val="24"/>
          <w:szCs w:val="24"/>
        </w:rPr>
        <w:t>承包人提供</w:t>
      </w:r>
      <w:r>
        <w:rPr>
          <w:rFonts w:ascii="Times New Roman" w:hAnsi="Times New Roman" w:eastAsia="仿宋_GB2312"/>
          <w:color w:val="000000"/>
          <w:sz w:val="24"/>
          <w:szCs w:val="24"/>
        </w:rPr>
        <w:t>质量保证金的</w:t>
      </w:r>
      <w:r>
        <w:rPr>
          <w:rFonts w:hint="eastAsia" w:ascii="Times New Roman" w:hAnsi="Times New Roman" w:eastAsia="仿宋_GB2312"/>
          <w:color w:val="000000"/>
          <w:sz w:val="24"/>
          <w:szCs w:val="24"/>
        </w:rPr>
        <w:t>方</w:t>
      </w:r>
      <w:r>
        <w:rPr>
          <w:rFonts w:ascii="Times New Roman" w:hAnsi="Times New Roman" w:eastAsia="仿宋_GB2312"/>
          <w:color w:val="000000"/>
          <w:sz w:val="24"/>
          <w:szCs w:val="24"/>
        </w:rPr>
        <w:t>式</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质量保证金采用以下第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种方式：</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（1）质量保证金保函，保证金额为：</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 xml:space="preserve">； </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%的工程款；</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（3）其他</w:t>
      </w:r>
      <w:r>
        <w:rPr>
          <w:rFonts w:hint="eastAsia" w:ascii="Times New Roman" w:hAnsi="Times New Roman" w:eastAsia="仿宋_GB2312"/>
          <w:color w:val="000000"/>
          <w:kern w:val="0"/>
          <w:sz w:val="24"/>
          <w:szCs w:val="24"/>
        </w:rPr>
        <w:t>方</w:t>
      </w:r>
      <w:r>
        <w:rPr>
          <w:rFonts w:ascii="Times New Roman" w:hAnsi="Times New Roman" w:eastAsia="仿宋_GB2312"/>
          <w:color w:val="000000"/>
          <w:kern w:val="0"/>
          <w:sz w:val="24"/>
          <w:szCs w:val="24"/>
        </w:rPr>
        <w:t>式:</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outlineLvl w:val="0"/>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15.3.2 质量保证金的扣留 </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质量保证金的扣留采取以下第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种方式：</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（1）在支付工程进度款时逐次扣留，在此情形下，质量保证金的计算基数不包括预付款的支付、扣回以及价格调整的金额；</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outlineLvl w:val="0"/>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（2）工程竣工结算时一次性扣留质量保证金；</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（3）其他扣留方式:</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kern w:val="0"/>
          <w:sz w:val="24"/>
          <w:szCs w:val="24"/>
          <w:u w:val="single"/>
        </w:rPr>
      </w:pPr>
      <w:r>
        <w:rPr>
          <w:rFonts w:ascii="Times New Roman" w:hAnsi="Times New Roman" w:eastAsia="仿宋_GB2312"/>
          <w:color w:val="000000"/>
          <w:sz w:val="24"/>
          <w:szCs w:val="24"/>
        </w:rPr>
        <w:t>关于质量保证金的补充约定：</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bookmarkEnd w:id="591"/>
    <w:bookmarkEnd w:id="592"/>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15.4保修</w:t>
      </w:r>
    </w:p>
    <w:bookmarkEnd w:id="593"/>
    <w:p>
      <w:pPr>
        <w:pageBreakBefore w:val="0"/>
        <w:widowControl w:val="0"/>
        <w:kinsoku/>
        <w:wordWrap/>
        <w:overflowPunct/>
        <w:topLinePunct w:val="0"/>
        <w:bidi w:val="0"/>
        <w:snapToGrid/>
        <w:spacing w:line="480" w:lineRule="exact"/>
        <w:ind w:firstLine="468" w:firstLineChars="195"/>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15.4.1 保修责任</w:t>
      </w:r>
    </w:p>
    <w:p>
      <w:pPr>
        <w:pageBreakBefore w:val="0"/>
        <w:widowControl w:val="0"/>
        <w:kinsoku/>
        <w:wordWrap/>
        <w:overflowPunct/>
        <w:topLinePunct w:val="0"/>
        <w:bidi w:val="0"/>
        <w:snapToGrid/>
        <w:spacing w:line="480" w:lineRule="exact"/>
        <w:ind w:firstLine="468" w:firstLineChars="195"/>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sz w:val="24"/>
          <w:szCs w:val="24"/>
        </w:rPr>
        <w:t>工程保修期为：</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68" w:firstLineChars="195"/>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15.4.3 修复通知</w:t>
      </w:r>
    </w:p>
    <w:p>
      <w:pPr>
        <w:pageBreakBefore w:val="0"/>
        <w:widowControl w:val="0"/>
        <w:kinsoku/>
        <w:wordWrap/>
        <w:overflowPunct/>
        <w:topLinePunct w:val="0"/>
        <w:bidi w:val="0"/>
        <w:snapToGrid/>
        <w:spacing w:line="480" w:lineRule="exact"/>
        <w:ind w:firstLine="468" w:firstLineChars="195"/>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承包人收到保修通知并到达工程现场的合理时间：</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bookmarkEnd w:id="594"/>
    <w:bookmarkEnd w:id="595"/>
    <w:bookmarkEnd w:id="596"/>
    <w:bookmarkEnd w:id="597"/>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620" w:name="_Toc351203648"/>
      <w:bookmarkStart w:id="621" w:name="_Toc280868717"/>
      <w:bookmarkStart w:id="622" w:name="_Toc280868718"/>
      <w:r>
        <w:rPr>
          <w:rFonts w:ascii="Times New Roman" w:hAnsi="Times New Roman" w:eastAsia="黑体"/>
          <w:b w:val="0"/>
          <w:color w:val="000000"/>
          <w:sz w:val="24"/>
          <w:szCs w:val="24"/>
        </w:rPr>
        <w:t>16. 违约</w:t>
      </w:r>
      <w:bookmarkEnd w:id="620"/>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16.1 发包人违约</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16.1.1发包人违约的情形</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发包人违约的其他情形：</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ind w:left="1500" w:hanging="1200" w:hangingChars="500"/>
        <w:jc w:val="lef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left="1500" w:hanging="1200" w:hangingChars="5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xml:space="preserve">    16.1.2 发包人违约的责任</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发包人违约责任的承担方式和计算方法：</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（1）因发包人原因未能在计划开工日期前7天内下达开工通知的违约责任：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（2）因发包人原因未能按合同约定支付合同价款的违约责任：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（3）发包人违反第10.1款</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变更的范围</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第（2）项约定，自行实施被取消的工作或转由他人实施的违约责任：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（4）发包人提供的材料、工程设备的规格、数量或质量不符合合同约定，或因发包人原因导致交货日期延误或交货地点变更等情况的违约责任：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（5）因发包人违反合同约定造成暂停施工的违约责任：</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（6）发包人无正当理由没有在约定期限内发出复工指示，导致承包人无法复工的违约责任：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（7）</w:t>
      </w:r>
      <w:r>
        <w:rPr>
          <w:rFonts w:hint="eastAsia" w:ascii="Times New Roman" w:hAnsi="Times New Roman" w:eastAsia="仿宋_GB2312"/>
          <w:color w:val="000000"/>
          <w:kern w:val="0"/>
          <w:sz w:val="24"/>
          <w:szCs w:val="24"/>
        </w:rPr>
        <w:t>其他：</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16.1.3 因发包人违约解除合同</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承包人按16.1.1项</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发包人违约的情形</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约定暂停施工满</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天后发包人仍不纠正其违约行为并致使合同目的不能实现的，承包人有权解除合同。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16.2 承包人违约</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16.2.1 承包人违约的情形</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承包人违约的其他情形：</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16.2.2承包人违约的责任</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承包人违约责任的承担方式和计算方法：</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ind w:left="1500" w:hanging="1200" w:hangingChars="5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16.2.3 因承包人违约解除合同</w:t>
      </w:r>
    </w:p>
    <w:p>
      <w:pPr>
        <w:pageBreakBefore w:val="0"/>
        <w:widowControl w:val="0"/>
        <w:kinsoku/>
        <w:wordWrap/>
        <w:overflowPunct/>
        <w:topLinePunct w:val="0"/>
        <w:bidi w:val="0"/>
        <w:snapToGrid/>
        <w:spacing w:before="120" w:after="120" w:line="480" w:lineRule="exact"/>
        <w:ind w:firstLine="480" w:firstLineChars="200"/>
        <w:textAlignment w:val="auto"/>
        <w:rPr>
          <w:rFonts w:hint="eastAsia"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关于承包人违约解除合同的特别约定：</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before="120" w:after="120" w:line="480" w:lineRule="exac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before="120" w:after="120"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w:t>
      </w:r>
      <w:r>
        <w:rPr>
          <w:rFonts w:hint="eastAsia" w:ascii="Times New Roman" w:hAnsi="Times New Roman" w:eastAsia="仿宋_GB2312"/>
          <w:color w:val="000000"/>
          <w:kern w:val="0"/>
          <w:sz w:val="24"/>
          <w:szCs w:val="24"/>
        </w:rPr>
        <w:t>继续</w:t>
      </w:r>
      <w:r>
        <w:rPr>
          <w:rFonts w:ascii="Times New Roman" w:hAnsi="Times New Roman" w:eastAsia="仿宋_GB2312"/>
          <w:color w:val="000000"/>
          <w:kern w:val="0"/>
          <w:sz w:val="24"/>
          <w:szCs w:val="24"/>
        </w:rPr>
        <w:t>使用承包人在施工现场的材料、设备、临时工程、承包人文件和由承包人或以其名义编制的其他文件</w:t>
      </w:r>
      <w:r>
        <w:rPr>
          <w:rFonts w:hint="eastAsia" w:ascii="Times New Roman" w:hAnsi="Times New Roman" w:eastAsia="仿宋_GB2312"/>
          <w:color w:val="000000"/>
          <w:kern w:val="0"/>
          <w:sz w:val="24"/>
          <w:szCs w:val="24"/>
        </w:rPr>
        <w:t>的费用承担方式</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before="120" w:after="120"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623" w:name="_Toc351203649"/>
      <w:r>
        <w:rPr>
          <w:rFonts w:ascii="Times New Roman" w:hAnsi="Times New Roman" w:eastAsia="黑体"/>
          <w:b w:val="0"/>
          <w:color w:val="000000"/>
          <w:sz w:val="24"/>
          <w:szCs w:val="24"/>
        </w:rPr>
        <w:t>17. 不可抗力</w:t>
      </w:r>
      <w:bookmarkEnd w:id="623"/>
      <w:r>
        <w:rPr>
          <w:rFonts w:ascii="Times New Roman" w:hAnsi="Times New Roman" w:eastAsia="黑体"/>
          <w:b w:val="0"/>
          <w:color w:val="000000"/>
          <w:sz w:val="24"/>
          <w:szCs w:val="24"/>
        </w:rPr>
        <w:t xml:space="preserve"> </w:t>
      </w:r>
      <w:bookmarkEnd w:id="621"/>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17.1 不可抗力的确认</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sz w:val="24"/>
          <w:szCs w:val="24"/>
        </w:rPr>
        <w:t xml:space="preserve">除通用合同条款约定的不可抗力事件之外，视为不可抗力的其他情形：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17.4 因不可抗力解除合同</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合同解除后，发包人应在商定或确定发包人应支付款项后</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天内完成款项的支付。</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624" w:name="_Toc351203650"/>
      <w:r>
        <w:rPr>
          <w:rFonts w:ascii="Times New Roman" w:hAnsi="Times New Roman" w:eastAsia="黑体"/>
          <w:b w:val="0"/>
          <w:color w:val="000000"/>
          <w:sz w:val="24"/>
          <w:szCs w:val="24"/>
        </w:rPr>
        <w:t>18. 保险</w:t>
      </w:r>
      <w:bookmarkEnd w:id="624"/>
    </w:p>
    <w:bookmarkEnd w:id="622"/>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18.1 工程保险</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关于工程保险的特别约定：</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18.3 其他保险</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sz w:val="24"/>
          <w:szCs w:val="24"/>
        </w:rPr>
        <w:t>关于其他保险的约定：</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承包人是否应为其施工设备等办理财产保险：</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18.7 通知义务</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kern w:val="0"/>
          <w:sz w:val="24"/>
          <w:szCs w:val="24"/>
        </w:rPr>
        <w:t>关于变更保险合同时的通知义务的约定：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98"/>
    <w:bookmarkEnd w:id="599"/>
    <w:bookmarkEnd w:id="600"/>
    <w:bookmarkEnd w:id="601"/>
    <w:bookmarkEnd w:id="602"/>
    <w:bookmarkEnd w:id="603"/>
    <w:bookmarkEnd w:id="604"/>
    <w:bookmarkEnd w:id="605"/>
    <w:bookmarkEnd w:id="606"/>
    <w:bookmarkEnd w:id="607"/>
    <w:bookmarkEnd w:id="608"/>
    <w:bookmarkEnd w:id="609"/>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625" w:name="_Toc351203651"/>
      <w:r>
        <w:rPr>
          <w:rFonts w:ascii="Times New Roman" w:hAnsi="Times New Roman" w:eastAsia="黑体"/>
          <w:b w:val="0"/>
          <w:color w:val="000000"/>
          <w:sz w:val="24"/>
          <w:szCs w:val="24"/>
        </w:rPr>
        <w:t>20. 争议解决</w:t>
      </w:r>
      <w:bookmarkEnd w:id="625"/>
    </w:p>
    <w:bookmarkEnd w:id="610"/>
    <w:bookmarkEnd w:id="611"/>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20.3 争</w:t>
      </w:r>
      <w:bookmarkEnd w:id="612"/>
      <w:r>
        <w:rPr>
          <w:rFonts w:ascii="Times New Roman" w:hAnsi="Times New Roman" w:eastAsia="黑体"/>
          <w:color w:val="000000"/>
          <w:sz w:val="24"/>
          <w:szCs w:val="24"/>
        </w:rPr>
        <w:t>议评审</w:t>
      </w:r>
    </w:p>
    <w:p>
      <w:pPr>
        <w:pageBreakBefore w:val="0"/>
        <w:widowControl w:val="0"/>
        <w:kinsoku/>
        <w:wordWrap/>
        <w:overflowPunct/>
        <w:topLinePunct w:val="0"/>
        <w:bidi w:val="0"/>
        <w:snapToGrid/>
        <w:spacing w:line="480" w:lineRule="exact"/>
        <w:ind w:left="241" w:leftChars="71" w:firstLine="360" w:firstLineChars="15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合同当事人是否同意将工程争议提交争议评审小组决</w:t>
      </w:r>
      <w:r>
        <w:rPr>
          <w:rFonts w:hint="eastAsia" w:ascii="Times New Roman" w:hAnsi="Times New Roman" w:eastAsia="仿宋_GB2312"/>
          <w:color w:val="000000"/>
          <w:sz w:val="24"/>
          <w:szCs w:val="24"/>
        </w:rPr>
        <w:t>定：</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outlineLvl w:val="0"/>
        <w:rPr>
          <w:rFonts w:ascii="Times New Roman" w:hAnsi="Times New Roman" w:eastAsia="仿宋_GB2312"/>
          <w:color w:val="000000"/>
          <w:sz w:val="24"/>
          <w:szCs w:val="24"/>
        </w:rPr>
      </w:pPr>
      <w:r>
        <w:rPr>
          <w:rFonts w:ascii="Times New Roman" w:hAnsi="Times New Roman" w:eastAsia="仿宋_GB2312"/>
          <w:color w:val="000000"/>
          <w:sz w:val="24"/>
          <w:szCs w:val="24"/>
        </w:rPr>
        <w:t>20.3.1 争议评审小组的确定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争议评审小组成员的确定：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选定争议评审员的期限：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争议评审小组成员的报酬承担方式：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其他事项的约定：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outlineLvl w:val="0"/>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20.3.2 争议评审小组的决定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合同当事人关于本项的约定：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hint="eastAsia" w:ascii="Times New Roman" w:hAnsi="Times New Roman" w:eastAsia="黑体"/>
          <w:color w:val="000000"/>
          <w:sz w:val="24"/>
          <w:szCs w:val="24"/>
        </w:rPr>
      </w:pPr>
      <w:r>
        <w:rPr>
          <w:rFonts w:ascii="Times New Roman" w:hAnsi="Times New Roman" w:eastAsia="黑体"/>
          <w:color w:val="000000"/>
          <w:sz w:val="24"/>
          <w:szCs w:val="24"/>
        </w:rPr>
        <w:t>20.4仲裁或诉讼</w:t>
      </w:r>
      <w:bookmarkEnd w:id="613"/>
    </w:p>
    <w:p>
      <w:pPr>
        <w:pageBreakBefore w:val="0"/>
        <w:widowControl w:val="0"/>
        <w:kinsoku/>
        <w:wordWrap/>
        <w:overflowPunct/>
        <w:topLinePunct w:val="0"/>
        <w:bidi w:val="0"/>
        <w:snapToGrid/>
        <w:spacing w:after="120" w:line="480" w:lineRule="exact"/>
        <w:ind w:firstLine="480" w:firstLineChars="200"/>
        <w:textAlignment w:val="auto"/>
        <w:rPr>
          <w:rFonts w:ascii="Times New Roman" w:hAnsi="Times New Roman" w:eastAsia="黑体"/>
          <w:color w:val="000000"/>
          <w:sz w:val="24"/>
          <w:szCs w:val="24"/>
        </w:rPr>
      </w:pPr>
      <w:r>
        <w:rPr>
          <w:rFonts w:ascii="Times New Roman" w:hAnsi="Times New Roman" w:eastAsia="仿宋_GB2312"/>
          <w:color w:val="000000"/>
          <w:sz w:val="24"/>
          <w:szCs w:val="24"/>
        </w:rPr>
        <w:t>因合同及合同有关事项发生的争议，按下列第</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种方式</w:t>
      </w:r>
      <w:r>
        <w:rPr>
          <w:rFonts w:hint="eastAsia" w:ascii="Times New Roman" w:hAnsi="Times New Roman" w:eastAsia="仿宋_GB2312"/>
          <w:color w:val="000000"/>
          <w:sz w:val="24"/>
          <w:szCs w:val="24"/>
        </w:rPr>
        <w:t>解</w:t>
      </w:r>
      <w:r>
        <w:rPr>
          <w:rFonts w:ascii="Times New Roman" w:hAnsi="Times New Roman" w:eastAsia="仿宋_GB2312"/>
          <w:color w:val="000000"/>
          <w:sz w:val="24"/>
          <w:szCs w:val="24"/>
        </w:rPr>
        <w:t>决：</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（1）向</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仲裁委员会申请仲裁；</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（2）向</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人民法院起诉。</w:t>
      </w:r>
      <w:bookmarkEnd w:id="614"/>
      <w:bookmarkEnd w:id="615"/>
      <w:bookmarkEnd w:id="616"/>
      <w:bookmarkEnd w:id="617"/>
      <w:bookmarkEnd w:id="618"/>
      <w:bookmarkEnd w:id="619"/>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w:t>
      </w:r>
      <w:r>
        <w:rPr>
          <w:rFonts w:hint="eastAsia" w:ascii="新宋体" w:hAnsi="新宋体" w:eastAsia="新宋体"/>
          <w:sz w:val="24"/>
          <w:u w:val="single"/>
          <w:lang w:val="en-US" w:eastAsia="zh-CN"/>
        </w:rPr>
        <w:t>计价规范</w:t>
      </w:r>
      <w:r>
        <w:rPr>
          <w:rFonts w:hint="eastAsia" w:ascii="新宋体" w:hAnsi="新宋体" w:eastAsia="新宋体"/>
          <w:sz w:val="24"/>
          <w:u w:val="single"/>
        </w:rPr>
        <w:t>》（</w:t>
      </w:r>
      <w:r>
        <w:rPr>
          <w:rFonts w:hint="eastAsia" w:ascii="新宋体" w:hAnsi="新宋体" w:eastAsia="新宋体"/>
          <w:sz w:val="24"/>
          <w:u w:val="single"/>
          <w:lang w:val="en-US" w:eastAsia="zh-CN"/>
        </w:rPr>
        <w:t>GB50500-2013</w:t>
      </w:r>
      <w:r>
        <w:rPr>
          <w:rFonts w:hint="eastAsia" w:ascii="新宋体" w:hAnsi="新宋体" w:eastAsia="新宋体"/>
          <w:sz w:val="24"/>
          <w:u w:val="single"/>
        </w:rPr>
        <w:t>）</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hint="eastAsia" w:ascii="新宋体" w:hAnsi="新宋体" w:eastAsia="新宋体"/>
          <w:sz w:val="24"/>
        </w:rPr>
      </w:pPr>
      <w:r>
        <w:rPr>
          <w:rFonts w:hint="eastAsia" w:ascii="新宋体" w:hAnsi="新宋体" w:eastAsia="新宋体"/>
          <w:sz w:val="24"/>
        </w:rPr>
        <w:t>1.6 本条与下述第2条和第3条的说明内容是构成合同文件的已标价工程量清单的组成</w:t>
      </w:r>
    </w:p>
    <w:p>
      <w:pPr>
        <w:tabs>
          <w:tab w:val="left" w:pos="0"/>
        </w:tabs>
        <w:spacing w:line="440" w:lineRule="exact"/>
        <w:rPr>
          <w:rFonts w:ascii="新宋体" w:hAnsi="新宋体" w:eastAsia="新宋体"/>
          <w:sz w:val="24"/>
        </w:rPr>
      </w:pPr>
      <w:r>
        <w:rPr>
          <w:rFonts w:hint="eastAsia" w:ascii="新宋体" w:hAnsi="新宋体" w:eastAsia="新宋体"/>
          <w:sz w:val="24"/>
        </w:rPr>
        <w:t>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firstLine="240" w:firstLineChars="100"/>
        <w:rPr>
          <w:rFonts w:ascii="新宋体" w:hAnsi="新宋体" w:eastAsia="新宋体"/>
          <w:sz w:val="24"/>
        </w:rPr>
      </w:pPr>
      <w:r>
        <w:rPr>
          <w:rFonts w:hint="eastAsia" w:hAnsi="宋体" w:cs="宋体"/>
          <w:sz w:val="24"/>
          <w:szCs w:val="22"/>
        </w:rPr>
        <w:t>（1） 本</w:t>
      </w:r>
      <w:r>
        <w:rPr>
          <w:rFonts w:hint="eastAsia" w:ascii="新宋体" w:hAnsi="新宋体" w:eastAsia="新宋体"/>
          <w:sz w:val="24"/>
        </w:rPr>
        <w:t>招标文件；</w:t>
      </w:r>
    </w:p>
    <w:p>
      <w:pPr>
        <w:spacing w:line="440" w:lineRule="exact"/>
        <w:ind w:firstLine="240" w:firstLineChars="100"/>
        <w:rPr>
          <w:rFonts w:hAnsi="宋体" w:cs="宋体"/>
          <w:sz w:val="24"/>
        </w:rPr>
      </w:pPr>
      <w:r>
        <w:rPr>
          <w:rFonts w:hint="eastAsia" w:hAnsi="宋体" w:cs="宋体"/>
          <w:sz w:val="24"/>
        </w:rPr>
        <w:t>（2）《建设工程工程量清单计价规范》</w:t>
      </w:r>
      <w:r>
        <w:rPr>
          <w:rFonts w:hint="eastAsia" w:hAnsi="宋体" w:cs="宋体"/>
          <w:sz w:val="24"/>
          <w:lang w:eastAsia="zh-CN"/>
        </w:rPr>
        <w:t>（</w:t>
      </w:r>
      <w:r>
        <w:rPr>
          <w:rFonts w:hint="eastAsia" w:hAnsi="宋体" w:cs="宋体"/>
          <w:sz w:val="24"/>
          <w:lang w:val="en-US" w:eastAsia="zh-CN"/>
        </w:rPr>
        <w:t>GB 50500-</w:t>
      </w:r>
      <w:r>
        <w:rPr>
          <w:rFonts w:hint="eastAsia" w:hAnsi="宋体" w:cs="宋体"/>
          <w:sz w:val="24"/>
        </w:rPr>
        <w:t>2013</w:t>
      </w:r>
      <w:r>
        <w:rPr>
          <w:rFonts w:hint="eastAsia" w:hAnsi="宋体" w:cs="宋体"/>
          <w:sz w:val="24"/>
          <w:lang w:eastAsia="zh-CN"/>
        </w:rPr>
        <w:t>）、《</w:t>
      </w:r>
      <w:r>
        <w:rPr>
          <w:rFonts w:hint="eastAsia" w:hAnsi="宋体" w:cs="宋体"/>
          <w:sz w:val="24"/>
          <w:lang w:val="en-US" w:eastAsia="zh-CN"/>
        </w:rPr>
        <w:t>河南省市政公用工程预算定额</w:t>
      </w:r>
      <w:r>
        <w:rPr>
          <w:rFonts w:hint="eastAsia" w:hAnsi="宋体" w:cs="宋体"/>
          <w:sz w:val="24"/>
          <w:lang w:eastAsia="zh-CN"/>
        </w:rPr>
        <w:t>》（</w:t>
      </w:r>
      <w:r>
        <w:rPr>
          <w:rFonts w:hint="eastAsia" w:hAnsi="宋体" w:cs="宋体"/>
          <w:sz w:val="24"/>
          <w:lang w:val="en-US" w:eastAsia="zh-CN"/>
        </w:rPr>
        <w:t>HA A1-31-2016）以及省市相关配套文件；</w:t>
      </w:r>
    </w:p>
    <w:p>
      <w:pPr>
        <w:spacing w:line="440" w:lineRule="exact"/>
        <w:ind w:firstLine="240" w:firstLineChars="100"/>
        <w:rPr>
          <w:rFonts w:hAnsi="宋体" w:cs="宋体"/>
          <w:sz w:val="24"/>
        </w:rPr>
      </w:pPr>
      <w:r>
        <w:rPr>
          <w:rFonts w:hint="eastAsia" w:hAnsi="宋体" w:cs="宋体"/>
          <w:sz w:val="24"/>
        </w:rPr>
        <w:t>（</w:t>
      </w:r>
      <w:r>
        <w:rPr>
          <w:rFonts w:hint="eastAsia" w:hAnsi="宋体" w:cs="宋体"/>
          <w:sz w:val="24"/>
          <w:lang w:val="en-US" w:eastAsia="zh-CN"/>
        </w:rPr>
        <w:t>3</w:t>
      </w:r>
      <w:r>
        <w:rPr>
          <w:rFonts w:hint="eastAsia" w:hAnsi="宋体" w:cs="宋体"/>
          <w:sz w:val="24"/>
        </w:rPr>
        <w:t>）</w:t>
      </w:r>
      <w:r>
        <w:rPr>
          <w:rFonts w:hint="eastAsia" w:hAnsi="宋体" w:cs="宋体"/>
          <w:sz w:val="24"/>
          <w:lang w:eastAsia="zh-CN"/>
        </w:rPr>
        <w:t>因报审材料价格均低于同期信息价，本项目按报审材料单价计入</w:t>
      </w:r>
      <w:r>
        <w:rPr>
          <w:rFonts w:hint="eastAsia" w:hAnsi="宋体" w:cs="宋体"/>
          <w:sz w:val="24"/>
        </w:rPr>
        <w:t>；</w:t>
      </w:r>
    </w:p>
    <w:p>
      <w:pPr>
        <w:spacing w:line="440" w:lineRule="exact"/>
        <w:ind w:firstLine="240" w:firstLineChars="100"/>
        <w:rPr>
          <w:rFonts w:hint="eastAsia" w:hAnsi="宋体" w:cs="宋体"/>
          <w:sz w:val="24"/>
        </w:rPr>
      </w:pPr>
      <w:r>
        <w:rPr>
          <w:rFonts w:hint="eastAsia" w:hAnsi="宋体" w:cs="宋体"/>
          <w:sz w:val="24"/>
        </w:rPr>
        <w:t>（</w:t>
      </w:r>
      <w:r>
        <w:rPr>
          <w:rFonts w:hint="eastAsia" w:hAnsi="宋体" w:cs="宋体"/>
          <w:sz w:val="24"/>
          <w:lang w:val="en-US" w:eastAsia="zh-CN"/>
        </w:rPr>
        <w:t>4</w:t>
      </w:r>
      <w:r>
        <w:rPr>
          <w:rFonts w:hint="eastAsia" w:hAnsi="宋体" w:cs="宋体"/>
          <w:sz w:val="24"/>
        </w:rPr>
        <w:t>）</w:t>
      </w:r>
      <w:r>
        <w:rPr>
          <w:rFonts w:hint="eastAsia" w:hAnsi="宋体" w:cs="宋体"/>
          <w:sz w:val="24"/>
          <w:lang w:eastAsia="zh-CN"/>
        </w:rPr>
        <w:t>价格指数按许昌市第四期价格指数调整；</w:t>
      </w:r>
    </w:p>
    <w:p>
      <w:pPr>
        <w:spacing w:line="440" w:lineRule="exact"/>
        <w:ind w:firstLine="240" w:firstLineChars="100"/>
        <w:rPr>
          <w:rFonts w:hint="default" w:hAnsi="宋体" w:eastAsia="宋体" w:cs="宋体"/>
          <w:sz w:val="24"/>
          <w:lang w:val="en-US" w:eastAsia="zh-CN"/>
        </w:rPr>
      </w:pPr>
      <w:r>
        <w:rPr>
          <w:rFonts w:hint="eastAsia" w:hAnsi="宋体" w:cs="宋体"/>
          <w:sz w:val="24"/>
          <w:lang w:eastAsia="zh-CN"/>
        </w:rPr>
        <w:t>（</w:t>
      </w:r>
      <w:r>
        <w:rPr>
          <w:rFonts w:hint="eastAsia" w:hAnsi="宋体" w:cs="宋体"/>
          <w:sz w:val="24"/>
          <w:lang w:val="en-US" w:eastAsia="zh-CN"/>
        </w:rPr>
        <w:t>5</w:t>
      </w:r>
      <w:r>
        <w:rPr>
          <w:rFonts w:hint="eastAsia" w:hAnsi="宋体" w:cs="宋体"/>
          <w:sz w:val="24"/>
          <w:lang w:eastAsia="zh-CN"/>
        </w:rPr>
        <w:t>）</w:t>
      </w:r>
      <w:r>
        <w:rPr>
          <w:rFonts w:hint="eastAsia" w:hAnsi="宋体" w:cs="宋体"/>
          <w:sz w:val="24"/>
        </w:rPr>
        <w:t>税金按</w:t>
      </w:r>
      <w:r>
        <w:rPr>
          <w:rFonts w:hint="eastAsia" w:hAnsi="宋体" w:cs="宋体"/>
          <w:sz w:val="24"/>
          <w:lang w:val="en-US" w:eastAsia="zh-CN"/>
        </w:rPr>
        <w:t>9</w:t>
      </w:r>
      <w:r>
        <w:rPr>
          <w:rFonts w:hint="eastAsia" w:hAnsi="宋体" w:cs="宋体"/>
          <w:sz w:val="24"/>
        </w:rPr>
        <w:t>%计入</w:t>
      </w:r>
      <w:r>
        <w:rPr>
          <w:rFonts w:hint="eastAsia" w:hAnsi="宋体" w:cs="宋体"/>
          <w:sz w:val="24"/>
          <w:lang w:val="en-US" w:eastAsia="zh-CN"/>
        </w:rPr>
        <w:t>。</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2.2 工程量清单中的每一子目须填入单价或价格，且只允许有一个报价。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w:t>
      </w:r>
      <w:r>
        <w:rPr>
          <w:rFonts w:hint="eastAsia" w:ascii="新宋体" w:hAnsi="新宋体" w:eastAsia="新宋体"/>
          <w:sz w:val="24"/>
          <w:lang w:val="en-US" w:eastAsia="zh-CN"/>
        </w:rPr>
        <w:t>6</w:t>
      </w:r>
      <w:r>
        <w:rPr>
          <w:rFonts w:hint="eastAsia" w:ascii="新宋体" w:hAnsi="新宋体" w:eastAsia="新宋体"/>
          <w:sz w:val="24"/>
        </w:rPr>
        <w:t xml:space="preserve">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w:t>
      </w:r>
      <w:r>
        <w:rPr>
          <w:rFonts w:hint="eastAsia" w:ascii="新宋体" w:hAnsi="新宋体" w:eastAsia="新宋体"/>
          <w:sz w:val="24"/>
          <w:lang w:val="en-US" w:eastAsia="zh-CN"/>
        </w:rPr>
        <w:t>7</w:t>
      </w:r>
      <w:r>
        <w:rPr>
          <w:rFonts w:hint="eastAsia" w:ascii="新宋体" w:hAnsi="新宋体" w:eastAsia="新宋体"/>
          <w:sz w:val="24"/>
        </w:rPr>
        <w:t xml:space="preserve">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w:t>
      </w:r>
      <w:r>
        <w:rPr>
          <w:rFonts w:hint="eastAsia" w:ascii="新宋体" w:hAnsi="新宋体" w:eastAsia="新宋体"/>
          <w:sz w:val="24"/>
          <w:lang w:val="en-US" w:eastAsia="zh-CN"/>
        </w:rPr>
        <w:t>8</w:t>
      </w:r>
      <w:r>
        <w:rPr>
          <w:rFonts w:hint="eastAsia" w:ascii="新宋体" w:hAnsi="新宋体" w:eastAsia="新宋体"/>
          <w:sz w:val="24"/>
        </w:rPr>
        <w:t xml:space="preserve">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w:t>
      </w:r>
      <w:r>
        <w:rPr>
          <w:rFonts w:hint="eastAsia" w:ascii="新宋体" w:hAnsi="新宋体" w:eastAsia="新宋体"/>
          <w:sz w:val="24"/>
          <w:lang w:val="en-US" w:eastAsia="zh-CN"/>
        </w:rPr>
        <w:t xml:space="preserve">9 </w:t>
      </w:r>
      <w:r>
        <w:rPr>
          <w:rFonts w:hint="eastAsia" w:ascii="新宋体" w:hAnsi="新宋体" w:eastAsia="新宋体"/>
          <w:sz w:val="24"/>
        </w:rPr>
        <w:t>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w:t>
      </w:r>
      <w:r>
        <w:rPr>
          <w:rFonts w:hint="eastAsia" w:ascii="新宋体" w:hAnsi="新宋体" w:eastAsia="新宋体"/>
          <w:sz w:val="24"/>
          <w:lang w:val="en-US" w:eastAsia="zh-CN"/>
        </w:rPr>
        <w:t>10</w:t>
      </w:r>
      <w:r>
        <w:rPr>
          <w:rFonts w:hint="eastAsia" w:ascii="新宋体" w:hAnsi="新宋体" w:eastAsia="新宋体"/>
          <w:sz w:val="24"/>
        </w:rPr>
        <w:t xml:space="preserve">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w:t>
      </w:r>
      <w:r>
        <w:rPr>
          <w:rFonts w:hint="eastAsia" w:ascii="新宋体" w:hAnsi="新宋体" w:eastAsia="新宋体"/>
          <w:b/>
          <w:sz w:val="24"/>
          <w:lang w:val="en-US" w:eastAsia="zh-CN"/>
        </w:rPr>
        <w:t>11</w:t>
      </w:r>
      <w:r>
        <w:rPr>
          <w:rFonts w:hint="eastAsia" w:ascii="新宋体" w:hAnsi="新宋体" w:eastAsia="新宋体"/>
          <w:b/>
          <w:sz w:val="24"/>
        </w:rPr>
        <w:t xml:space="preserve">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w:t>
      </w:r>
      <w:r>
        <w:rPr>
          <w:rFonts w:hint="eastAsia" w:hAnsi="宋体" w:cs="宋体"/>
          <w:b/>
          <w:sz w:val="24"/>
          <w:szCs w:val="24"/>
          <w:lang w:val="en-US" w:eastAsia="zh-CN"/>
        </w:rPr>
        <w:t>11</w:t>
      </w:r>
      <w:r>
        <w:rPr>
          <w:rFonts w:hint="eastAsia" w:hAnsi="宋体" w:cs="宋体"/>
          <w:b/>
          <w:sz w:val="24"/>
          <w:szCs w:val="24"/>
        </w:rPr>
        <w:t>.1“规费和税金”的规定按照住建部《建设工程工程量清单计价规范》（GB50500-2013）及省住建厅有关规定，规费和税金应按规定费（税）率足额计取，即费（税）率不可竞争。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w:t>
      </w:r>
      <w:r>
        <w:rPr>
          <w:rFonts w:hint="eastAsia" w:hAnsi="宋体" w:cs="宋体"/>
          <w:b/>
          <w:sz w:val="24"/>
          <w:szCs w:val="24"/>
          <w:lang w:val="en-US" w:eastAsia="zh-CN"/>
        </w:rPr>
        <w:t>12</w:t>
      </w: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b/>
          <w:sz w:val="24"/>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rPr>
          <w:rFonts w:hint="eastAsia" w:hAnsi="宋体" w:cs="宋体"/>
          <w:sz w:val="24"/>
          <w:szCs w:val="24"/>
          <w:lang w:val="en-US" w:eastAsia="zh-CN"/>
        </w:rPr>
        <w:t>http://ggzy.xuchang.gov.cn/</w:t>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bookmarkEnd w:id="79"/>
    <w:p>
      <w:pPr>
        <w:autoSpaceDE w:val="0"/>
        <w:autoSpaceDN w:val="0"/>
        <w:adjustRightInd w:val="0"/>
        <w:jc w:val="both"/>
        <w:outlineLvl w:val="0"/>
        <w:rPr>
          <w:rFonts w:hint="eastAsia" w:hAnsi="宋体" w:cs="黑体"/>
          <w:b/>
          <w:sz w:val="36"/>
          <w:szCs w:val="36"/>
        </w:rPr>
      </w:pPr>
      <w:bookmarkStart w:id="626" w:name="_Toc278443522"/>
    </w:p>
    <w:p>
      <w:pPr>
        <w:pStyle w:val="2"/>
        <w:rPr>
          <w:rFonts w:hint="eastAsia" w:hAnsi="宋体" w:cs="黑体"/>
          <w:b/>
          <w:sz w:val="36"/>
          <w:szCs w:val="36"/>
        </w:rPr>
      </w:pPr>
    </w:p>
    <w:p>
      <w:pPr>
        <w:pStyle w:val="2"/>
        <w:rPr>
          <w:rFonts w:hint="eastAsia" w:hAnsi="宋体" w:cs="黑体"/>
          <w:b/>
          <w:sz w:val="36"/>
          <w:szCs w:val="36"/>
        </w:rPr>
      </w:pPr>
    </w:p>
    <w:p>
      <w:pPr>
        <w:pStyle w:val="2"/>
        <w:rPr>
          <w:rFonts w:hint="eastAsia" w:hAnsi="宋体" w:cs="黑体"/>
          <w:b/>
          <w:sz w:val="36"/>
          <w:szCs w:val="36"/>
        </w:rPr>
      </w:pPr>
    </w:p>
    <w:p>
      <w:pPr>
        <w:pStyle w:val="2"/>
        <w:rPr>
          <w:rFonts w:hint="eastAsia" w:hAnsi="宋体" w:cs="黑体"/>
          <w:b/>
          <w:sz w:val="36"/>
          <w:szCs w:val="36"/>
        </w:rPr>
      </w:pPr>
    </w:p>
    <w:p>
      <w:pPr>
        <w:pStyle w:val="2"/>
        <w:rPr>
          <w:rFonts w:hint="eastAsia" w:hAnsi="宋体" w:cs="黑体"/>
          <w:b/>
          <w:sz w:val="36"/>
          <w:szCs w:val="36"/>
        </w:rPr>
      </w:pPr>
    </w:p>
    <w:p>
      <w:pPr>
        <w:pStyle w:val="2"/>
        <w:rPr>
          <w:rFonts w:hint="eastAsia" w:hAnsi="宋体" w:cs="黑体"/>
          <w:b/>
          <w:sz w:val="36"/>
          <w:szCs w:val="36"/>
        </w:rPr>
      </w:pPr>
    </w:p>
    <w:p>
      <w:pPr>
        <w:pStyle w:val="2"/>
        <w:rPr>
          <w:rFonts w:hint="eastAsia" w:hAnsi="宋体" w:cs="黑体"/>
          <w:b/>
          <w:sz w:val="36"/>
          <w:szCs w:val="36"/>
        </w:rPr>
      </w:pPr>
    </w:p>
    <w:p>
      <w:pPr>
        <w:pStyle w:val="2"/>
        <w:rPr>
          <w:rFonts w:hint="eastAsia" w:hAnsi="宋体" w:cs="黑体"/>
          <w:b/>
          <w:sz w:val="36"/>
          <w:szCs w:val="36"/>
        </w:rPr>
      </w:pPr>
    </w:p>
    <w:p>
      <w:pPr>
        <w:pStyle w:val="2"/>
        <w:rPr>
          <w:rFonts w:hint="eastAsia" w:hAnsi="宋体" w:cs="黑体"/>
          <w:b/>
          <w:sz w:val="36"/>
          <w:szCs w:val="36"/>
        </w:rPr>
      </w:pPr>
    </w:p>
    <w:p>
      <w:pPr>
        <w:pStyle w:val="2"/>
        <w:rPr>
          <w:rFonts w:hint="eastAsia" w:hAnsi="宋体" w:cs="黑体"/>
          <w:b/>
          <w:sz w:val="36"/>
          <w:szCs w:val="36"/>
        </w:rPr>
      </w:pPr>
    </w:p>
    <w:p>
      <w:pPr>
        <w:pStyle w:val="2"/>
        <w:rPr>
          <w:rFonts w:hint="eastAsia" w:hAnsi="宋体" w:cs="黑体"/>
          <w:b/>
          <w:sz w:val="36"/>
          <w:szCs w:val="36"/>
        </w:rPr>
      </w:pPr>
    </w:p>
    <w:p>
      <w:pPr>
        <w:pStyle w:val="2"/>
        <w:rPr>
          <w:rFonts w:hint="eastAsia" w:hAnsi="宋体" w:cs="黑体"/>
          <w:b/>
          <w:sz w:val="36"/>
          <w:szCs w:val="36"/>
        </w:rPr>
      </w:pPr>
    </w:p>
    <w:p>
      <w:pPr>
        <w:pStyle w:val="2"/>
        <w:rPr>
          <w:rFonts w:hint="eastAsia" w:hAnsi="宋体" w:cs="黑体"/>
          <w:b/>
          <w:sz w:val="36"/>
          <w:szCs w:val="36"/>
        </w:rPr>
      </w:pPr>
    </w:p>
    <w:p>
      <w:pPr>
        <w:pStyle w:val="2"/>
        <w:rPr>
          <w:rFonts w:hint="eastAsia" w:hAnsi="宋体" w:cs="黑体"/>
          <w:b/>
          <w:sz w:val="36"/>
          <w:szCs w:val="36"/>
        </w:rPr>
      </w:pPr>
    </w:p>
    <w:p>
      <w:pPr>
        <w:pStyle w:val="2"/>
        <w:rPr>
          <w:rFonts w:hint="eastAsia" w:hAnsi="宋体" w:cs="黑体"/>
          <w:b/>
          <w:sz w:val="36"/>
          <w:szCs w:val="36"/>
        </w:rPr>
      </w:pPr>
    </w:p>
    <w:p>
      <w:pPr>
        <w:pStyle w:val="2"/>
        <w:rPr>
          <w:rFonts w:hint="eastAsia"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第六章技术标准和要求</w:t>
      </w:r>
      <w:bookmarkEnd w:id="626"/>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627" w:name="_Toc278443525"/>
    </w:p>
    <w:p>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第七章投标文件格式</w:t>
      </w:r>
      <w:bookmarkEnd w:id="627"/>
    </w:p>
    <w:p>
      <w:pPr>
        <w:autoSpaceDE w:val="0"/>
        <w:autoSpaceDN w:val="0"/>
        <w:adjustRightInd w:val="0"/>
        <w:jc w:val="right"/>
        <w:rPr>
          <w:rFonts w:hint="eastAsia" w:hAnsi="宋体" w:cs="宋体"/>
          <w:sz w:val="24"/>
          <w:szCs w:val="21"/>
        </w:rPr>
      </w:pPr>
      <w:r>
        <w:rPr>
          <w:rFonts w:hint="eastAsia" w:hAnsi="宋体" w:cs="宋体"/>
          <w:sz w:val="24"/>
          <w:szCs w:val="21"/>
        </w:rPr>
        <w:t>正（副）本</w:t>
      </w:r>
    </w:p>
    <w:p>
      <w:pPr>
        <w:autoSpaceDE w:val="0"/>
        <w:autoSpaceDN w:val="0"/>
        <w:adjustRightInd w:val="0"/>
        <w:jc w:val="center"/>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auto"/>
          <w:sz w:val="52"/>
          <w:szCs w:val="22"/>
        </w:rPr>
      </w:pPr>
      <w:r>
        <w:rPr>
          <w:rFonts w:hint="eastAsia" w:hAnsi="宋体" w:cs="宋体"/>
          <w:bCs/>
          <w:color w:val="auto"/>
          <w:sz w:val="32"/>
          <w:szCs w:val="22"/>
        </w:rPr>
        <w:t>建安建工公字〔201</w:t>
      </w:r>
      <w:r>
        <w:rPr>
          <w:rFonts w:hint="eastAsia" w:hAnsi="宋体" w:cs="宋体"/>
          <w:bCs/>
          <w:color w:val="auto"/>
          <w:sz w:val="32"/>
          <w:szCs w:val="22"/>
          <w:lang w:val="en-US" w:eastAsia="zh-CN"/>
        </w:rPr>
        <w:t>9</w:t>
      </w:r>
      <w:r>
        <w:rPr>
          <w:rFonts w:hint="eastAsia" w:hAnsi="宋体" w:cs="宋体"/>
          <w:bCs/>
          <w:color w:val="auto"/>
          <w:sz w:val="32"/>
          <w:szCs w:val="22"/>
        </w:rPr>
        <w:t>〕</w:t>
      </w:r>
      <w:r>
        <w:rPr>
          <w:rFonts w:hint="eastAsia" w:hAnsi="宋体" w:cs="宋体"/>
          <w:bCs/>
          <w:color w:val="auto"/>
          <w:sz w:val="32"/>
          <w:szCs w:val="22"/>
          <w:lang w:val="en-US" w:eastAsia="zh-CN"/>
        </w:rPr>
        <w:t>130</w:t>
      </w:r>
      <w:r>
        <w:rPr>
          <w:rFonts w:hint="eastAsia" w:hAnsi="宋体" w:cs="宋体"/>
          <w:bCs/>
          <w:color w:val="auto"/>
          <w:sz w:val="32"/>
          <w:szCs w:val="22"/>
        </w:rPr>
        <w:t>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7"/>
        <w:jc w:val="center"/>
        <w:rPr>
          <w:rFonts w:hAnsi="宋体"/>
          <w:color w:val="auto"/>
          <w:sz w:val="23"/>
          <w:u w:val="single"/>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u w:val="single"/>
        </w:rPr>
      </w:pPr>
      <w:r>
        <w:rPr>
          <w:rFonts w:hint="eastAsia" w:hAnsi="宋体"/>
          <w:color w:val="auto"/>
          <w:sz w:val="23"/>
        </w:rPr>
        <w:t>投标人：（盖单位章）</w:t>
      </w:r>
    </w:p>
    <w:p>
      <w:pPr>
        <w:pStyle w:val="67"/>
        <w:spacing w:line="400" w:lineRule="exact"/>
        <w:rPr>
          <w:rFonts w:hAnsi="宋体"/>
          <w:color w:val="auto"/>
          <w:sz w:val="23"/>
          <w:u w:val="single"/>
        </w:rPr>
      </w:pPr>
      <w:r>
        <w:rPr>
          <w:rFonts w:hint="eastAsia" w:hAnsi="宋体"/>
          <w:color w:val="auto"/>
          <w:sz w:val="23"/>
        </w:rPr>
        <w:t xml:space="preserve">              </w:t>
      </w:r>
      <w:r>
        <w:rPr>
          <w:rFonts w:hint="eastAsia" w:hAnsi="宋体"/>
          <w:color w:val="auto"/>
          <w:sz w:val="23"/>
          <w:lang w:val="en-US" w:eastAsia="zh-CN"/>
        </w:rPr>
        <w:t xml:space="preserve">        </w:t>
      </w:r>
      <w:r>
        <w:rPr>
          <w:rFonts w:hint="eastAsia" w:hAnsi="宋体"/>
          <w:color w:val="auto"/>
          <w:sz w:val="23"/>
        </w:rPr>
        <w:t xml:space="preserve">  法定代表人或其委托代理人：（签字）</w:t>
      </w:r>
    </w:p>
    <w:p>
      <w:pPr>
        <w:pStyle w:val="67"/>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ind w:firstLine="3410" w:firstLineChars="1100"/>
        <w:jc w:val="left"/>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auto"/>
          <w:sz w:val="52"/>
          <w:szCs w:val="22"/>
        </w:rPr>
      </w:pPr>
      <w:r>
        <w:rPr>
          <w:rFonts w:hint="eastAsia" w:hAnsi="宋体" w:cs="宋体"/>
          <w:bCs/>
          <w:color w:val="auto"/>
          <w:sz w:val="32"/>
          <w:szCs w:val="22"/>
        </w:rPr>
        <w:t>建安建工公字〔201</w:t>
      </w:r>
      <w:r>
        <w:rPr>
          <w:rFonts w:hint="eastAsia" w:hAnsi="宋体" w:cs="宋体"/>
          <w:bCs/>
          <w:color w:val="auto"/>
          <w:sz w:val="32"/>
          <w:szCs w:val="22"/>
          <w:lang w:val="en-US" w:eastAsia="zh-CN"/>
        </w:rPr>
        <w:t>9</w:t>
      </w:r>
      <w:r>
        <w:rPr>
          <w:rFonts w:hint="eastAsia" w:hAnsi="宋体" w:cs="宋体"/>
          <w:bCs/>
          <w:color w:val="auto"/>
          <w:sz w:val="32"/>
          <w:szCs w:val="22"/>
        </w:rPr>
        <w:t>〕</w:t>
      </w:r>
      <w:r>
        <w:rPr>
          <w:rFonts w:hint="eastAsia" w:hAnsi="宋体" w:cs="宋体"/>
          <w:bCs/>
          <w:color w:val="auto"/>
          <w:sz w:val="32"/>
          <w:szCs w:val="22"/>
          <w:lang w:val="en-US" w:eastAsia="zh-CN"/>
        </w:rPr>
        <w:t>130</w:t>
      </w:r>
      <w:r>
        <w:rPr>
          <w:rFonts w:hint="eastAsia" w:hAnsi="宋体" w:cs="宋体"/>
          <w:bCs/>
          <w:color w:val="auto"/>
          <w:sz w:val="32"/>
          <w:szCs w:val="22"/>
        </w:rPr>
        <w:t>号</w:t>
      </w:r>
    </w:p>
    <w:p>
      <w:pPr>
        <w:autoSpaceDE w:val="0"/>
        <w:autoSpaceDN w:val="0"/>
        <w:adjustRightInd w:val="0"/>
        <w:jc w:val="center"/>
        <w:rPr>
          <w:rFonts w:hAnsi="宋体" w:cs="宋体"/>
          <w:sz w:val="40"/>
          <w:szCs w:val="18"/>
        </w:rPr>
      </w:pPr>
      <w:r>
        <w:rPr>
          <w:rFonts w:hint="eastAsia"/>
          <w:bCs/>
          <w:sz w:val="40"/>
          <w:szCs w:val="40"/>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7"/>
        <w:jc w:val="center"/>
        <w:rPr>
          <w:rFonts w:hAnsi="宋体"/>
          <w:color w:val="auto"/>
          <w:sz w:val="23"/>
          <w:u w:val="single"/>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u w:val="single"/>
        </w:rPr>
      </w:pPr>
      <w:r>
        <w:rPr>
          <w:rFonts w:hint="eastAsia" w:hAnsi="宋体"/>
          <w:color w:val="auto"/>
          <w:sz w:val="23"/>
        </w:rPr>
        <w:t>投标人：（盖单位章）</w:t>
      </w:r>
    </w:p>
    <w:p>
      <w:pPr>
        <w:pStyle w:val="67"/>
        <w:spacing w:line="400" w:lineRule="exact"/>
        <w:rPr>
          <w:rFonts w:hAnsi="宋体"/>
          <w:color w:val="auto"/>
          <w:sz w:val="23"/>
          <w:u w:val="single"/>
        </w:rPr>
      </w:pPr>
      <w:r>
        <w:rPr>
          <w:rFonts w:hint="eastAsia" w:hAnsi="宋体"/>
          <w:color w:val="auto"/>
          <w:sz w:val="23"/>
        </w:rPr>
        <w:t xml:space="preserve">                </w:t>
      </w:r>
      <w:r>
        <w:rPr>
          <w:rFonts w:hint="eastAsia" w:hAnsi="宋体"/>
          <w:color w:val="auto"/>
          <w:sz w:val="23"/>
          <w:lang w:val="en-US" w:eastAsia="zh-CN"/>
        </w:rPr>
        <w:t xml:space="preserve">        </w:t>
      </w:r>
      <w:r>
        <w:rPr>
          <w:rFonts w:hint="eastAsia" w:hAnsi="宋体"/>
          <w:color w:val="auto"/>
          <w:sz w:val="23"/>
        </w:rPr>
        <w:t>法定代表人或其委托代理人：（签字）</w:t>
      </w:r>
    </w:p>
    <w:p>
      <w:pPr>
        <w:pStyle w:val="67"/>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628" w:name="_Toc271787730"/>
      <w:r>
        <w:rPr>
          <w:rFonts w:hint="eastAsia" w:ascii="黑体" w:eastAsia="黑体"/>
          <w:sz w:val="28"/>
          <w:szCs w:val="28"/>
        </w:rPr>
        <w:t>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w:t>
      </w:r>
      <w:r>
        <w:rPr>
          <w:rFonts w:hint="eastAsia" w:ascii="新宋体" w:hAnsi="新宋体" w:eastAsia="新宋体"/>
          <w:sz w:val="24"/>
          <w:u w:val="single"/>
          <w:lang w:val="en-US" w:eastAsia="zh-CN"/>
        </w:rPr>
        <w:t xml:space="preserve">     </w:t>
      </w:r>
      <w:r>
        <w:rPr>
          <w:rFonts w:hint="eastAsia" w:ascii="新宋体" w:hAnsi="新宋体" w:eastAsia="新宋体"/>
          <w:sz w:val="24"/>
        </w:rPr>
        <w:t>天（日历日）内竣工，并确保工程质量达到</w:t>
      </w:r>
      <w:r>
        <w:rPr>
          <w:rFonts w:hint="eastAsia" w:ascii="新宋体" w:hAnsi="新宋体" w:eastAsia="新宋体"/>
          <w:sz w:val="24"/>
          <w:u w:val="single"/>
          <w:lang w:val="en-US" w:eastAsia="zh-CN"/>
        </w:rPr>
        <w:t xml:space="preserve">        </w:t>
      </w:r>
      <w:r>
        <w:rPr>
          <w:rFonts w:hint="eastAsia" w:ascii="新宋体" w:hAnsi="新宋体" w:eastAsia="新宋体"/>
          <w:sz w:val="24"/>
        </w:rPr>
        <w:t>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629" w:name="_Toc250616672"/>
    </w:p>
    <w:p>
      <w:pPr>
        <w:autoSpaceDE w:val="0"/>
        <w:autoSpaceDN w:val="0"/>
        <w:adjustRightInd w:val="0"/>
        <w:outlineLvl w:val="0"/>
        <w:rPr>
          <w:rFonts w:ascii="黑体" w:hAnsi="新宋体" w:eastAsia="黑体" w:cs="黑体"/>
          <w:color w:val="0000FF"/>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629"/>
    </w:p>
    <w:tbl>
      <w:tblPr>
        <w:tblStyle w:val="29"/>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hint="eastAsia" w:ascii="新宋体" w:hAnsi="新宋体" w:eastAsia="新宋体"/>
                <w:sz w:val="24"/>
                <w:lang w:eastAsia="zh-CN"/>
              </w:rPr>
            </w:pPr>
            <w:r>
              <w:rPr>
                <w:rFonts w:hint="eastAsia" w:ascii="新宋体" w:hAnsi="新宋体" w:eastAsia="新宋体"/>
                <w:sz w:val="24"/>
                <w:lang w:eastAsia="zh-CN"/>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lang w:val="en-US" w:eastAsia="zh-CN"/>
              </w:rPr>
              <w:t>注册</w:t>
            </w:r>
            <w:r>
              <w:rPr>
                <w:rFonts w:hint="eastAsia" w:ascii="新宋体" w:hAnsi="新宋体" w:eastAsia="新宋体"/>
                <w:sz w:val="24"/>
              </w:rPr>
              <w:t>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628"/>
      <w:r>
        <w:rPr>
          <w:rFonts w:hint="eastAsia" w:hAnsi="宋体" w:cs="仿宋_GB2312"/>
          <w:b/>
          <w:sz w:val="28"/>
          <w:szCs w:val="28"/>
        </w:rPr>
        <w:t>法定代表人身份证明、授权委托书；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630" w:name="_Toc271787731"/>
      <w:r>
        <w:rPr>
          <w:rFonts w:hint="eastAsia" w:ascii="黑体" w:hAnsi="新宋体" w:eastAsia="黑体" w:cs="黑体"/>
          <w:sz w:val="28"/>
          <w:szCs w:val="28"/>
        </w:rPr>
        <w:t>（一）法定代表人身份证明</w:t>
      </w:r>
      <w:bookmarkEnd w:id="630"/>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631" w:name="_Toc271787732"/>
      <w:r>
        <w:rPr>
          <w:rFonts w:hint="eastAsia" w:ascii="黑体" w:hAnsi="新宋体" w:eastAsia="黑体" w:cs="黑体"/>
          <w:sz w:val="28"/>
          <w:szCs w:val="28"/>
        </w:rPr>
        <w:t>（二）授权委托书</w:t>
      </w:r>
      <w:bookmarkEnd w:id="631"/>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b/>
          <w:sz w:val="32"/>
        </w:rPr>
      </w:pPr>
      <w:r>
        <w:rPr>
          <w:rFonts w:hint="eastAsia" w:hAnsi="宋体" w:cs="仿宋_GB2312"/>
          <w:sz w:val="24"/>
        </w:rPr>
        <w:t>年月日</w:t>
      </w:r>
    </w:p>
    <w:p>
      <w:pPr>
        <w:spacing w:line="360" w:lineRule="auto"/>
        <w:jc w:val="both"/>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b/>
          <w:bCs/>
          <w:sz w:val="32"/>
          <w:szCs w:val="32"/>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1"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b/>
          <w:bCs/>
          <w:sz w:val="32"/>
          <w:szCs w:val="32"/>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附投标保证金有效证明。</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29"/>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w:t>
      </w:r>
      <w:r>
        <w:rPr>
          <w:rFonts w:hint="eastAsia" w:ascii="黑体" w:hAnsi="宋体" w:eastAsia="黑体"/>
          <w:sz w:val="24"/>
          <w:lang w:eastAsia="zh-CN"/>
        </w:rPr>
        <w:t>项目负责人</w:t>
      </w:r>
      <w:r>
        <w:rPr>
          <w:rFonts w:hint="eastAsia" w:ascii="黑体" w:hAnsi="宋体" w:eastAsia="黑体"/>
          <w:sz w:val="24"/>
        </w:rPr>
        <w:t>简历表</w:t>
      </w:r>
    </w:p>
    <w:tbl>
      <w:tblPr>
        <w:tblStyle w:val="29"/>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int="eastAsia" w:hAnsi="宋体" w:eastAsia="宋体"/>
                <w:sz w:val="24"/>
                <w:lang w:eastAsia="zh-CN"/>
              </w:rPr>
            </w:pPr>
            <w:r>
              <w:rPr>
                <w:rFonts w:hint="eastAsia"/>
                <w:sz w:val="24"/>
                <w:lang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29"/>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jc w:val="left"/>
              <w:rPr>
                <w:rFonts w:hAnsi="宋体"/>
                <w:sz w:val="24"/>
              </w:rPr>
            </w:pPr>
            <w:r>
              <w:rPr>
                <w:rFonts w:hint="eastAsia" w:hAnsi="宋体"/>
                <w:sz w:val="24"/>
              </w:rPr>
              <w:t>主要</w:t>
            </w:r>
          </w:p>
          <w:p>
            <w:pPr>
              <w:jc w:val="left"/>
              <w:rPr>
                <w:rFonts w:hAnsi="宋体"/>
                <w:sz w:val="24"/>
              </w:rPr>
            </w:pPr>
            <w:r>
              <w:rPr>
                <w:rFonts w:hint="eastAsia" w:hAnsi="宋体"/>
                <w:sz w:val="24"/>
              </w:rPr>
              <w:t>工作</w:t>
            </w:r>
          </w:p>
          <w:p>
            <w:pPr>
              <w:jc w:val="left"/>
              <w:rPr>
                <w:rFonts w:hAnsi="宋体"/>
                <w:sz w:val="24"/>
              </w:rPr>
            </w:pPr>
            <w:r>
              <w:rPr>
                <w:rFonts w:hint="eastAsia" w:hAnsi="宋体"/>
                <w:sz w:val="24"/>
              </w:rPr>
              <w:t>业绩</w:t>
            </w:r>
          </w:p>
          <w:p>
            <w:pPr>
              <w:jc w:val="left"/>
              <w:rPr>
                <w:rFonts w:hAnsi="宋体"/>
                <w:sz w:val="24"/>
              </w:rPr>
            </w:pPr>
            <w:r>
              <w:rPr>
                <w:rFonts w:hint="eastAsia" w:hAnsi="宋体"/>
                <w:sz w:val="24"/>
              </w:rPr>
              <w:t>及担</w:t>
            </w:r>
          </w:p>
          <w:p>
            <w:pPr>
              <w:jc w:val="left"/>
              <w:rPr>
                <w:rFonts w:hAnsi="宋体"/>
                <w:sz w:val="24"/>
              </w:rPr>
            </w:pPr>
            <w:r>
              <w:rPr>
                <w:rFonts w:hint="eastAsia" w:hAnsi="宋体"/>
                <w:sz w:val="24"/>
              </w:rPr>
              <w:t>任的</w:t>
            </w:r>
          </w:p>
          <w:p>
            <w:pPr>
              <w:jc w:val="left"/>
              <w:rPr>
                <w:rFonts w:hAnsi="宋体"/>
                <w:sz w:val="24"/>
              </w:rPr>
            </w:pPr>
            <w:r>
              <w:rPr>
                <w:rFonts w:hint="eastAsia" w:hAnsi="宋体"/>
                <w:sz w:val="24"/>
              </w:rPr>
              <w:t>主要</w:t>
            </w:r>
          </w:p>
          <w:p>
            <w:pPr>
              <w:jc w:val="left"/>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lang w:eastAsia="zh-CN"/>
        </w:rPr>
        <w:t>项目负责人</w:t>
      </w:r>
      <w:r>
        <w:rPr>
          <w:rFonts w:hint="eastAsia" w:hAnsi="宋体"/>
          <w:sz w:val="24"/>
        </w:rPr>
        <w:t>（</w:t>
      </w:r>
      <w:r>
        <w:rPr>
          <w:rFonts w:hint="eastAsia"/>
          <w:sz w:val="24"/>
          <w:lang w:eastAsia="zh-CN"/>
        </w:rPr>
        <w:t>项目负责人</w:t>
      </w:r>
      <w:r>
        <w:rPr>
          <w:rFonts w:hint="eastAsia" w:hAnsi="宋体"/>
          <w:sz w:val="24"/>
        </w:rPr>
        <w:t>姓名）现阶段没有担任任何在施建设工程项目的</w:t>
      </w:r>
      <w:r>
        <w:rPr>
          <w:rFonts w:hint="eastAsia"/>
          <w:sz w:val="24"/>
          <w:lang w:eastAsia="zh-CN"/>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jc w:val="both"/>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29"/>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int="eastAsia" w:hAnsi="宋体" w:eastAsia="宋体"/>
                <w:sz w:val="24"/>
                <w:lang w:eastAsia="zh-CN"/>
              </w:rPr>
            </w:pPr>
            <w:r>
              <w:rPr>
                <w:rFonts w:hint="eastAsia"/>
                <w:sz w:val="24"/>
                <w:lang w:eastAsia="zh-CN"/>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b/>
          <w:sz w:val="32"/>
          <w:szCs w:val="32"/>
        </w:rPr>
      </w:pPr>
    </w:p>
    <w:p>
      <w:pPr>
        <w:pStyle w:val="2"/>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29"/>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hAnsi="宋体" w:eastAsia="宋体"/>
                <w:sz w:val="24"/>
                <w:lang w:eastAsia="zh-CN"/>
              </w:rPr>
            </w:pPr>
            <w:r>
              <w:rPr>
                <w:rFonts w:hint="eastAsia"/>
                <w:sz w:val="24"/>
                <w:lang w:eastAsia="zh-CN"/>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5"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int="eastAsia" w:hAnsi="宋体" w:cs="仿宋_GB2312"/>
          <w:b/>
          <w:sz w:val="32"/>
          <w:szCs w:val="32"/>
        </w:rPr>
      </w:pPr>
    </w:p>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1、近年完成的类似项目情况</w:t>
      </w:r>
    </w:p>
    <w:tbl>
      <w:tblPr>
        <w:tblStyle w:val="29"/>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int="eastAsia" w:hAnsi="宋体" w:eastAsia="宋体"/>
                <w:sz w:val="24"/>
                <w:lang w:eastAsia="zh-CN"/>
              </w:rPr>
            </w:pPr>
            <w:r>
              <w:rPr>
                <w:rFonts w:hint="eastAsia"/>
                <w:sz w:val="24"/>
                <w:lang w:eastAsia="zh-CN"/>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autoSpaceDE w:val="0"/>
        <w:autoSpaceDN w:val="0"/>
        <w:adjustRightInd w:val="0"/>
        <w:jc w:val="right"/>
        <w:rPr>
          <w:rFonts w:hAnsi="宋体" w:cs="宋体"/>
          <w:sz w:val="24"/>
          <w:szCs w:val="21"/>
        </w:rPr>
      </w:pP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ind w:firstLine="3720" w:firstLineChars="1200"/>
        <w:jc w:val="left"/>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auto"/>
          <w:sz w:val="52"/>
          <w:szCs w:val="22"/>
        </w:rPr>
      </w:pPr>
      <w:r>
        <w:rPr>
          <w:rFonts w:hint="eastAsia" w:hAnsi="宋体" w:cs="宋体"/>
          <w:bCs/>
          <w:color w:val="auto"/>
          <w:sz w:val="32"/>
          <w:szCs w:val="22"/>
        </w:rPr>
        <w:t>建安建工公字〔201</w:t>
      </w:r>
      <w:r>
        <w:rPr>
          <w:rFonts w:hint="eastAsia" w:hAnsi="宋体" w:cs="宋体"/>
          <w:bCs/>
          <w:color w:val="auto"/>
          <w:sz w:val="32"/>
          <w:szCs w:val="22"/>
          <w:lang w:val="en-US" w:eastAsia="zh-CN"/>
        </w:rPr>
        <w:t>9</w:t>
      </w:r>
      <w:r>
        <w:rPr>
          <w:rFonts w:hint="eastAsia" w:hAnsi="宋体" w:cs="宋体"/>
          <w:bCs/>
          <w:color w:val="auto"/>
          <w:sz w:val="32"/>
          <w:szCs w:val="22"/>
        </w:rPr>
        <w:t>〕</w:t>
      </w:r>
      <w:r>
        <w:rPr>
          <w:rFonts w:hint="eastAsia" w:hAnsi="宋体" w:cs="宋体"/>
          <w:bCs/>
          <w:color w:val="auto"/>
          <w:sz w:val="32"/>
          <w:szCs w:val="22"/>
          <w:lang w:val="en-US" w:eastAsia="zh-CN"/>
        </w:rPr>
        <w:t>130</w:t>
      </w:r>
      <w:r>
        <w:rPr>
          <w:rFonts w:hint="eastAsia" w:hAnsi="宋体" w:cs="宋体"/>
          <w:bCs/>
          <w:color w:val="auto"/>
          <w:sz w:val="32"/>
          <w:szCs w:val="22"/>
        </w:rPr>
        <w:t>号</w:t>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firstLine="440"/>
        <w:rPr>
          <w:rFonts w:hAnsi="宋体" w:cs="宋体"/>
          <w:sz w:val="44"/>
        </w:rPr>
      </w:pPr>
    </w:p>
    <w:p>
      <w:pPr>
        <w:pStyle w:val="2"/>
        <w:ind w:firstLine="440"/>
        <w:rPr>
          <w:rFonts w:hAnsi="宋体" w:cs="宋体"/>
          <w:sz w:val="44"/>
        </w:rPr>
      </w:pPr>
    </w:p>
    <w:p>
      <w:pPr>
        <w:autoSpaceDE w:val="0"/>
        <w:autoSpaceDN w:val="0"/>
        <w:adjustRightInd w:val="0"/>
        <w:spacing w:line="420" w:lineRule="exact"/>
        <w:jc w:val="center"/>
        <w:rPr>
          <w:rFonts w:hAnsi="宋体" w:cs="宋体"/>
          <w:sz w:val="44"/>
        </w:rPr>
      </w:pPr>
    </w:p>
    <w:p>
      <w:pPr>
        <w:pStyle w:val="67"/>
        <w:jc w:val="center"/>
        <w:rPr>
          <w:rFonts w:hAnsi="宋体"/>
          <w:color w:val="auto"/>
          <w:sz w:val="23"/>
          <w:u w:val="single"/>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u w:val="single"/>
        </w:rPr>
      </w:pPr>
      <w:r>
        <w:rPr>
          <w:rFonts w:hint="eastAsia" w:hAnsi="宋体"/>
          <w:color w:val="auto"/>
          <w:sz w:val="23"/>
        </w:rPr>
        <w:t>投标人：（盖单位章）</w:t>
      </w:r>
    </w:p>
    <w:p>
      <w:pPr>
        <w:pStyle w:val="67"/>
        <w:spacing w:line="400" w:lineRule="exact"/>
        <w:rPr>
          <w:rFonts w:hAnsi="宋体"/>
          <w:color w:val="auto"/>
          <w:sz w:val="23"/>
          <w:u w:val="single"/>
        </w:rPr>
      </w:pPr>
      <w:r>
        <w:rPr>
          <w:rFonts w:hint="eastAsia" w:hAnsi="宋体"/>
          <w:color w:val="auto"/>
          <w:sz w:val="23"/>
        </w:rPr>
        <w:t xml:space="preserve">               </w:t>
      </w:r>
      <w:r>
        <w:rPr>
          <w:rFonts w:hint="eastAsia" w:hAnsi="宋体"/>
          <w:color w:val="auto"/>
          <w:sz w:val="23"/>
          <w:lang w:val="en-US" w:eastAsia="zh-CN"/>
        </w:rPr>
        <w:t xml:space="preserve">         </w:t>
      </w:r>
      <w:r>
        <w:rPr>
          <w:rFonts w:hint="eastAsia" w:hAnsi="宋体"/>
          <w:color w:val="auto"/>
          <w:sz w:val="23"/>
        </w:rPr>
        <w:t xml:space="preserve"> 法定代表人或其委托代理人：（签字）</w:t>
      </w:r>
    </w:p>
    <w:p>
      <w:pPr>
        <w:pStyle w:val="67"/>
        <w:spacing w:line="400" w:lineRule="exact"/>
        <w:jc w:val="center"/>
        <w:rPr>
          <w:rFonts w:hAnsi="宋体"/>
          <w:color w:val="auto"/>
          <w:sz w:val="23"/>
          <w:u w:val="single"/>
        </w:rPr>
      </w:pPr>
      <w:r>
        <w:rPr>
          <w:rFonts w:hint="eastAsia" w:hAnsi="宋体"/>
          <w:color w:val="auto"/>
          <w:sz w:val="23"/>
        </w:rPr>
        <w:t>年月日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9" w:type="first"/>
      <w:footerReference r:id="rId8"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roman"/>
    <w:pitch w:val="default"/>
    <w:sig w:usb0="A00002BF" w:usb1="38CF7CFA"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57785" cy="147955"/>
              <wp:effectExtent l="0" t="0" r="0" b="0"/>
              <wp:wrapNone/>
              <wp:docPr id="1"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v:fill on="f" focussize="0,0"/>
              <v:stroke on="f" weight="1.2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479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r>
                            <w:rPr>
                              <w:rFonts w:hint="eastAsia"/>
                              <w:sz w:val="18"/>
                            </w:rPr>
                            <w:t>1</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v:fill on="f" focussize="0,0"/>
              <v:stroke on="f" weight="1.25pt"/>
              <v:imagedata o:title=""/>
              <o:lock v:ext="edit" aspectratio="f"/>
              <v:textbox inset="0mm,0mm,0mm,0mm" style="mso-fit-shape-to-text:t;">
                <w:txbxContent>
                  <w:p>
                    <w:pPr>
                      <w:snapToGrid w:val="0"/>
                      <w:rPr>
                        <w:sz w:val="18"/>
                      </w:rPr>
                    </w:pPr>
                    <w:r>
                      <w:rPr>
                        <w:rFonts w:hint="eastAsia"/>
                        <w:sz w:val="18"/>
                      </w:rPr>
                      <w:t>1</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60</w:t>
                          </w:r>
                          <w:r>
                            <w:rPr>
                              <w:rFonts w:hint="eastAsia"/>
                              <w:sz w:val="18"/>
                            </w:rPr>
                            <w:fldChar w:fldCharType="end"/>
                          </w: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60</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margin">
                <wp:posOffset>3119755</wp:posOffset>
              </wp:positionH>
              <wp:positionV relativeFrom="paragraph">
                <wp:posOffset>-13335</wp:posOffset>
              </wp:positionV>
              <wp:extent cx="57785" cy="147955"/>
              <wp:effectExtent l="0" t="0" r="0" b="0"/>
              <wp:wrapNone/>
              <wp:docPr id="4" name="文本框 7"/>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7" o:spid="_x0000_s1026"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6" w:space="0"/>
      </w:pBdr>
      <w:jc w:val="both"/>
      <w:rPr>
        <w:rFonts w:ascii="华文新魏" w:eastAsia="华文新魏"/>
        <w:b/>
      </w:rPr>
    </w:pPr>
    <w:r>
      <w:rPr>
        <w:rFonts w:hint="eastAsia" w:ascii="华文新魏" w:eastAsia="华文新魏"/>
        <w:b/>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0"/>
      </w:pBdr>
      <w:jc w:val="both"/>
      <w:rPr>
        <w:szCs w:val="21"/>
      </w:rPr>
    </w:pPr>
    <w:r>
      <w:rPr>
        <w:rFonts w:hint="eastAsia" w:ascii="华文新魏" w:eastAsia="华文新魏"/>
        <w:b/>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4AB042"/>
    <w:multiLevelType w:val="singleLevel"/>
    <w:tmpl w:val="894AB042"/>
    <w:lvl w:ilvl="0" w:tentative="0">
      <w:start w:val="4"/>
      <w:numFmt w:val="chineseCounting"/>
      <w:suff w:val="nothing"/>
      <w:lvlText w:val="（%1）"/>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73B3EB"/>
    <w:multiLevelType w:val="singleLevel"/>
    <w:tmpl w:val="5A73B3EB"/>
    <w:lvl w:ilvl="0" w:tentative="0">
      <w:start w:val="1"/>
      <w:numFmt w:val="chineseCounting"/>
      <w:suff w:val="nothing"/>
      <w:lvlText w:val="%1、"/>
      <w:lvlJc w:val="left"/>
    </w:lvl>
  </w:abstractNum>
  <w:abstractNum w:abstractNumId="5">
    <w:nsid w:val="5A9F875C"/>
    <w:multiLevelType w:val="singleLevel"/>
    <w:tmpl w:val="5A9F875C"/>
    <w:lvl w:ilvl="0" w:tentative="0">
      <w:start w:val="1"/>
      <w:numFmt w:val="chineseCounting"/>
      <w:suff w:val="space"/>
      <w:lvlText w:val="第%1章"/>
      <w:lvlJc w:val="left"/>
    </w:lvl>
  </w:abstractNum>
  <w:abstractNum w:abstractNumId="6">
    <w:nsid w:val="7A188572"/>
    <w:multiLevelType w:val="singleLevel"/>
    <w:tmpl w:val="7A188572"/>
    <w:lvl w:ilvl="0" w:tentative="0">
      <w:start w:val="1"/>
      <w:numFmt w:val="chineseCounting"/>
      <w:suff w:val="space"/>
      <w:lvlText w:val="第%1章"/>
      <w:lvlJc w:val="left"/>
      <w:rPr>
        <w:rFonts w:hint="eastAsia"/>
      </w:rPr>
    </w:lvl>
  </w:abstractNum>
  <w:num w:numId="1">
    <w:abstractNumId w:val="6"/>
  </w:num>
  <w:num w:numId="2">
    <w:abstractNumId w:val="5"/>
  </w:num>
  <w:num w:numId="3">
    <w:abstractNumId w:val="1"/>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617DE"/>
    <w:rsid w:val="001621DF"/>
    <w:rsid w:val="00170351"/>
    <w:rsid w:val="00172A27"/>
    <w:rsid w:val="00176F7E"/>
    <w:rsid w:val="00190A8C"/>
    <w:rsid w:val="001912DC"/>
    <w:rsid w:val="001A030E"/>
    <w:rsid w:val="001C7AF9"/>
    <w:rsid w:val="001C7C8B"/>
    <w:rsid w:val="00205C6A"/>
    <w:rsid w:val="002225A8"/>
    <w:rsid w:val="00223978"/>
    <w:rsid w:val="002330D7"/>
    <w:rsid w:val="00262141"/>
    <w:rsid w:val="002838F3"/>
    <w:rsid w:val="00285179"/>
    <w:rsid w:val="00290A21"/>
    <w:rsid w:val="002941A4"/>
    <w:rsid w:val="002A38DB"/>
    <w:rsid w:val="002B449E"/>
    <w:rsid w:val="002B6CFD"/>
    <w:rsid w:val="002C349A"/>
    <w:rsid w:val="002E4AC4"/>
    <w:rsid w:val="002E5D21"/>
    <w:rsid w:val="0032098B"/>
    <w:rsid w:val="00344459"/>
    <w:rsid w:val="00352160"/>
    <w:rsid w:val="003666F0"/>
    <w:rsid w:val="00377806"/>
    <w:rsid w:val="00386B3C"/>
    <w:rsid w:val="00393239"/>
    <w:rsid w:val="003B04D0"/>
    <w:rsid w:val="003B483B"/>
    <w:rsid w:val="003E2B83"/>
    <w:rsid w:val="003E5FBF"/>
    <w:rsid w:val="003F06C8"/>
    <w:rsid w:val="003F16E6"/>
    <w:rsid w:val="003F292E"/>
    <w:rsid w:val="0041298A"/>
    <w:rsid w:val="00415BC0"/>
    <w:rsid w:val="00415F75"/>
    <w:rsid w:val="00425C54"/>
    <w:rsid w:val="004501F4"/>
    <w:rsid w:val="00461496"/>
    <w:rsid w:val="004622E3"/>
    <w:rsid w:val="0047049E"/>
    <w:rsid w:val="00477253"/>
    <w:rsid w:val="00497640"/>
    <w:rsid w:val="004A662C"/>
    <w:rsid w:val="004C2CFA"/>
    <w:rsid w:val="004D2B00"/>
    <w:rsid w:val="004D4388"/>
    <w:rsid w:val="004D4ACD"/>
    <w:rsid w:val="004E06CE"/>
    <w:rsid w:val="004E3A03"/>
    <w:rsid w:val="004F1948"/>
    <w:rsid w:val="005046F1"/>
    <w:rsid w:val="00505474"/>
    <w:rsid w:val="0051467F"/>
    <w:rsid w:val="005203E6"/>
    <w:rsid w:val="00521D31"/>
    <w:rsid w:val="00567406"/>
    <w:rsid w:val="00576DE9"/>
    <w:rsid w:val="005B35F4"/>
    <w:rsid w:val="005B4B16"/>
    <w:rsid w:val="005C2FC1"/>
    <w:rsid w:val="005C7B38"/>
    <w:rsid w:val="005C7D89"/>
    <w:rsid w:val="005E1B1D"/>
    <w:rsid w:val="005F5DB4"/>
    <w:rsid w:val="0061138F"/>
    <w:rsid w:val="0061516E"/>
    <w:rsid w:val="00661C56"/>
    <w:rsid w:val="00670388"/>
    <w:rsid w:val="006A3BD6"/>
    <w:rsid w:val="006C58EE"/>
    <w:rsid w:val="006D2897"/>
    <w:rsid w:val="006D5BAE"/>
    <w:rsid w:val="006E42B1"/>
    <w:rsid w:val="006F2F1D"/>
    <w:rsid w:val="00711825"/>
    <w:rsid w:val="00715420"/>
    <w:rsid w:val="00715CEE"/>
    <w:rsid w:val="007258B7"/>
    <w:rsid w:val="00751460"/>
    <w:rsid w:val="007545F3"/>
    <w:rsid w:val="00760E93"/>
    <w:rsid w:val="007675A2"/>
    <w:rsid w:val="007A249B"/>
    <w:rsid w:val="007C65BC"/>
    <w:rsid w:val="007E6E4C"/>
    <w:rsid w:val="007F00E2"/>
    <w:rsid w:val="008100C7"/>
    <w:rsid w:val="0081250A"/>
    <w:rsid w:val="0081767F"/>
    <w:rsid w:val="00827E47"/>
    <w:rsid w:val="00837836"/>
    <w:rsid w:val="00843389"/>
    <w:rsid w:val="00855EAA"/>
    <w:rsid w:val="0086256C"/>
    <w:rsid w:val="008A6355"/>
    <w:rsid w:val="008B19B5"/>
    <w:rsid w:val="008D64E5"/>
    <w:rsid w:val="008D77C9"/>
    <w:rsid w:val="008F5961"/>
    <w:rsid w:val="00903E33"/>
    <w:rsid w:val="009046D3"/>
    <w:rsid w:val="00913652"/>
    <w:rsid w:val="00914023"/>
    <w:rsid w:val="00942D61"/>
    <w:rsid w:val="00953E1B"/>
    <w:rsid w:val="00960292"/>
    <w:rsid w:val="009702AD"/>
    <w:rsid w:val="009A54C5"/>
    <w:rsid w:val="009B0078"/>
    <w:rsid w:val="009B413B"/>
    <w:rsid w:val="009C15B6"/>
    <w:rsid w:val="009E399B"/>
    <w:rsid w:val="009E474B"/>
    <w:rsid w:val="009E6D32"/>
    <w:rsid w:val="009F6862"/>
    <w:rsid w:val="00A02446"/>
    <w:rsid w:val="00A11DD3"/>
    <w:rsid w:val="00A11E71"/>
    <w:rsid w:val="00A20EE8"/>
    <w:rsid w:val="00A23EC7"/>
    <w:rsid w:val="00A272E1"/>
    <w:rsid w:val="00A320C6"/>
    <w:rsid w:val="00A500A7"/>
    <w:rsid w:val="00A5380D"/>
    <w:rsid w:val="00A62707"/>
    <w:rsid w:val="00A728AE"/>
    <w:rsid w:val="00A74405"/>
    <w:rsid w:val="00A76DFE"/>
    <w:rsid w:val="00A82892"/>
    <w:rsid w:val="00A919DC"/>
    <w:rsid w:val="00A926DB"/>
    <w:rsid w:val="00A96183"/>
    <w:rsid w:val="00A976FA"/>
    <w:rsid w:val="00AA1746"/>
    <w:rsid w:val="00AC4975"/>
    <w:rsid w:val="00AD7AC3"/>
    <w:rsid w:val="00AE432D"/>
    <w:rsid w:val="00AF1EF9"/>
    <w:rsid w:val="00B309E0"/>
    <w:rsid w:val="00B33A32"/>
    <w:rsid w:val="00B6140C"/>
    <w:rsid w:val="00B64709"/>
    <w:rsid w:val="00B84440"/>
    <w:rsid w:val="00B97E45"/>
    <w:rsid w:val="00BA1328"/>
    <w:rsid w:val="00BC2BAE"/>
    <w:rsid w:val="00BE3E23"/>
    <w:rsid w:val="00BF3412"/>
    <w:rsid w:val="00BF64FD"/>
    <w:rsid w:val="00C179DF"/>
    <w:rsid w:val="00C40DF7"/>
    <w:rsid w:val="00C616A4"/>
    <w:rsid w:val="00C83852"/>
    <w:rsid w:val="00C840A3"/>
    <w:rsid w:val="00C94803"/>
    <w:rsid w:val="00C96F90"/>
    <w:rsid w:val="00CD7C23"/>
    <w:rsid w:val="00CF455D"/>
    <w:rsid w:val="00D14B49"/>
    <w:rsid w:val="00D23424"/>
    <w:rsid w:val="00D30BB3"/>
    <w:rsid w:val="00D763A0"/>
    <w:rsid w:val="00D76418"/>
    <w:rsid w:val="00DA29A1"/>
    <w:rsid w:val="00DA2BDF"/>
    <w:rsid w:val="00DA3EDB"/>
    <w:rsid w:val="00DE66BC"/>
    <w:rsid w:val="00DF7149"/>
    <w:rsid w:val="00E1107C"/>
    <w:rsid w:val="00E26CD1"/>
    <w:rsid w:val="00E44B4D"/>
    <w:rsid w:val="00E52A0A"/>
    <w:rsid w:val="00E538F9"/>
    <w:rsid w:val="00EA5008"/>
    <w:rsid w:val="00F03446"/>
    <w:rsid w:val="00F10827"/>
    <w:rsid w:val="00F467A0"/>
    <w:rsid w:val="00F63C92"/>
    <w:rsid w:val="00F67CC6"/>
    <w:rsid w:val="00F70363"/>
    <w:rsid w:val="00F728FE"/>
    <w:rsid w:val="00F7314E"/>
    <w:rsid w:val="00F9261B"/>
    <w:rsid w:val="00FA563C"/>
    <w:rsid w:val="00FB52C0"/>
    <w:rsid w:val="00FC0C1C"/>
    <w:rsid w:val="00FD2C2A"/>
    <w:rsid w:val="00FF206D"/>
    <w:rsid w:val="00FF29C1"/>
    <w:rsid w:val="00FF7975"/>
    <w:rsid w:val="010422EE"/>
    <w:rsid w:val="010E73C0"/>
    <w:rsid w:val="01110E06"/>
    <w:rsid w:val="011922C1"/>
    <w:rsid w:val="011B5EC7"/>
    <w:rsid w:val="011C4FCB"/>
    <w:rsid w:val="01234E3E"/>
    <w:rsid w:val="01296C1F"/>
    <w:rsid w:val="01325959"/>
    <w:rsid w:val="01486A70"/>
    <w:rsid w:val="014C4E4F"/>
    <w:rsid w:val="0158740A"/>
    <w:rsid w:val="016962E4"/>
    <w:rsid w:val="017976CF"/>
    <w:rsid w:val="01865784"/>
    <w:rsid w:val="01916193"/>
    <w:rsid w:val="01961EEE"/>
    <w:rsid w:val="019C40A4"/>
    <w:rsid w:val="01A96207"/>
    <w:rsid w:val="01B47CC7"/>
    <w:rsid w:val="01B53613"/>
    <w:rsid w:val="01BC3552"/>
    <w:rsid w:val="01D00117"/>
    <w:rsid w:val="01D772A3"/>
    <w:rsid w:val="01D922A2"/>
    <w:rsid w:val="01DA1011"/>
    <w:rsid w:val="01DD27AE"/>
    <w:rsid w:val="01E215A1"/>
    <w:rsid w:val="01F27C77"/>
    <w:rsid w:val="01FD58A9"/>
    <w:rsid w:val="01FF5E25"/>
    <w:rsid w:val="020C401D"/>
    <w:rsid w:val="0212636B"/>
    <w:rsid w:val="02183BB5"/>
    <w:rsid w:val="02201428"/>
    <w:rsid w:val="02247BED"/>
    <w:rsid w:val="0225032D"/>
    <w:rsid w:val="02397D55"/>
    <w:rsid w:val="023A3804"/>
    <w:rsid w:val="023B5027"/>
    <w:rsid w:val="023B7FBB"/>
    <w:rsid w:val="02431DC0"/>
    <w:rsid w:val="0248240F"/>
    <w:rsid w:val="02505855"/>
    <w:rsid w:val="02510E5A"/>
    <w:rsid w:val="025C776F"/>
    <w:rsid w:val="026223DF"/>
    <w:rsid w:val="02675512"/>
    <w:rsid w:val="026D004A"/>
    <w:rsid w:val="026D1F06"/>
    <w:rsid w:val="026E716C"/>
    <w:rsid w:val="027420B3"/>
    <w:rsid w:val="028277A1"/>
    <w:rsid w:val="029976FA"/>
    <w:rsid w:val="029F01C5"/>
    <w:rsid w:val="02A420A1"/>
    <w:rsid w:val="02B071B5"/>
    <w:rsid w:val="02B27D4B"/>
    <w:rsid w:val="02B31B9E"/>
    <w:rsid w:val="02BB15E3"/>
    <w:rsid w:val="02CD1577"/>
    <w:rsid w:val="02D1725A"/>
    <w:rsid w:val="02E87DC4"/>
    <w:rsid w:val="02F679FE"/>
    <w:rsid w:val="02FD37F2"/>
    <w:rsid w:val="03163FAD"/>
    <w:rsid w:val="031A2A62"/>
    <w:rsid w:val="03213611"/>
    <w:rsid w:val="032248BA"/>
    <w:rsid w:val="033B664C"/>
    <w:rsid w:val="033E4D02"/>
    <w:rsid w:val="034C0ABC"/>
    <w:rsid w:val="034E4787"/>
    <w:rsid w:val="03500B36"/>
    <w:rsid w:val="036647A3"/>
    <w:rsid w:val="037039DE"/>
    <w:rsid w:val="037571BD"/>
    <w:rsid w:val="03770009"/>
    <w:rsid w:val="03771167"/>
    <w:rsid w:val="037C3E90"/>
    <w:rsid w:val="038E41B6"/>
    <w:rsid w:val="03966709"/>
    <w:rsid w:val="03971F22"/>
    <w:rsid w:val="03985275"/>
    <w:rsid w:val="03AA4FC1"/>
    <w:rsid w:val="03B20F4F"/>
    <w:rsid w:val="03B676B0"/>
    <w:rsid w:val="03C069E5"/>
    <w:rsid w:val="03C10F03"/>
    <w:rsid w:val="03C27CAB"/>
    <w:rsid w:val="03E8463F"/>
    <w:rsid w:val="03F04217"/>
    <w:rsid w:val="03F5780A"/>
    <w:rsid w:val="03F630D5"/>
    <w:rsid w:val="04054A2B"/>
    <w:rsid w:val="04064707"/>
    <w:rsid w:val="040934D0"/>
    <w:rsid w:val="04122E14"/>
    <w:rsid w:val="04123476"/>
    <w:rsid w:val="0414519C"/>
    <w:rsid w:val="041461E1"/>
    <w:rsid w:val="041729A1"/>
    <w:rsid w:val="042275C0"/>
    <w:rsid w:val="042B2101"/>
    <w:rsid w:val="043738DE"/>
    <w:rsid w:val="0438675C"/>
    <w:rsid w:val="04433B28"/>
    <w:rsid w:val="04475344"/>
    <w:rsid w:val="044F5570"/>
    <w:rsid w:val="04605E2A"/>
    <w:rsid w:val="04663D13"/>
    <w:rsid w:val="046A0239"/>
    <w:rsid w:val="046C195A"/>
    <w:rsid w:val="046E1037"/>
    <w:rsid w:val="048266DA"/>
    <w:rsid w:val="04865B1C"/>
    <w:rsid w:val="049F4EFD"/>
    <w:rsid w:val="04B43CCA"/>
    <w:rsid w:val="04B44F23"/>
    <w:rsid w:val="04B6403B"/>
    <w:rsid w:val="04B90108"/>
    <w:rsid w:val="04BC69BA"/>
    <w:rsid w:val="04C7430A"/>
    <w:rsid w:val="04C83562"/>
    <w:rsid w:val="04CE4631"/>
    <w:rsid w:val="04DE4AAE"/>
    <w:rsid w:val="04DF1FE0"/>
    <w:rsid w:val="04DF3FCB"/>
    <w:rsid w:val="04E05700"/>
    <w:rsid w:val="04E172CD"/>
    <w:rsid w:val="04EA3AA0"/>
    <w:rsid w:val="04F57CA3"/>
    <w:rsid w:val="04F61493"/>
    <w:rsid w:val="05166C6E"/>
    <w:rsid w:val="052A72E0"/>
    <w:rsid w:val="05336A3F"/>
    <w:rsid w:val="05397558"/>
    <w:rsid w:val="053D00B6"/>
    <w:rsid w:val="05466E43"/>
    <w:rsid w:val="0556554D"/>
    <w:rsid w:val="055E72FF"/>
    <w:rsid w:val="05674392"/>
    <w:rsid w:val="056C4502"/>
    <w:rsid w:val="057D235D"/>
    <w:rsid w:val="0596338A"/>
    <w:rsid w:val="05A07B6E"/>
    <w:rsid w:val="05B01A2F"/>
    <w:rsid w:val="05B2033B"/>
    <w:rsid w:val="05B2313E"/>
    <w:rsid w:val="05D011E8"/>
    <w:rsid w:val="05D3476D"/>
    <w:rsid w:val="05D63571"/>
    <w:rsid w:val="05E655CF"/>
    <w:rsid w:val="05F0226B"/>
    <w:rsid w:val="05F26614"/>
    <w:rsid w:val="05F810FA"/>
    <w:rsid w:val="06005707"/>
    <w:rsid w:val="06030411"/>
    <w:rsid w:val="060C6CC9"/>
    <w:rsid w:val="06150DBA"/>
    <w:rsid w:val="063D0506"/>
    <w:rsid w:val="065B0E15"/>
    <w:rsid w:val="06621415"/>
    <w:rsid w:val="06672F0B"/>
    <w:rsid w:val="066D4902"/>
    <w:rsid w:val="066E53C9"/>
    <w:rsid w:val="06717DA2"/>
    <w:rsid w:val="06783059"/>
    <w:rsid w:val="067F7AA5"/>
    <w:rsid w:val="06855742"/>
    <w:rsid w:val="069C1423"/>
    <w:rsid w:val="069F291D"/>
    <w:rsid w:val="06A7610C"/>
    <w:rsid w:val="06B80933"/>
    <w:rsid w:val="06BC76FB"/>
    <w:rsid w:val="06C35BC3"/>
    <w:rsid w:val="06C942E0"/>
    <w:rsid w:val="06CA2DCC"/>
    <w:rsid w:val="06CB0E83"/>
    <w:rsid w:val="06D8271F"/>
    <w:rsid w:val="06DE05BF"/>
    <w:rsid w:val="06E767D9"/>
    <w:rsid w:val="06F15DAF"/>
    <w:rsid w:val="06FD59D4"/>
    <w:rsid w:val="0702214E"/>
    <w:rsid w:val="07023B66"/>
    <w:rsid w:val="07134E1A"/>
    <w:rsid w:val="072221F1"/>
    <w:rsid w:val="07281AD5"/>
    <w:rsid w:val="07341714"/>
    <w:rsid w:val="07391A2B"/>
    <w:rsid w:val="073F684C"/>
    <w:rsid w:val="07407105"/>
    <w:rsid w:val="074C551B"/>
    <w:rsid w:val="07576188"/>
    <w:rsid w:val="075A37C9"/>
    <w:rsid w:val="075B1A0B"/>
    <w:rsid w:val="07637D7E"/>
    <w:rsid w:val="07757831"/>
    <w:rsid w:val="077617AB"/>
    <w:rsid w:val="07766C19"/>
    <w:rsid w:val="077B15AC"/>
    <w:rsid w:val="07855785"/>
    <w:rsid w:val="078D2E7D"/>
    <w:rsid w:val="078E7D56"/>
    <w:rsid w:val="07950733"/>
    <w:rsid w:val="079E78C0"/>
    <w:rsid w:val="07A37F61"/>
    <w:rsid w:val="07AE7D61"/>
    <w:rsid w:val="07B53603"/>
    <w:rsid w:val="07BC0724"/>
    <w:rsid w:val="07C22432"/>
    <w:rsid w:val="07CD0FB4"/>
    <w:rsid w:val="07D17C7C"/>
    <w:rsid w:val="07D461E0"/>
    <w:rsid w:val="07D97406"/>
    <w:rsid w:val="07E50E7A"/>
    <w:rsid w:val="07ED0064"/>
    <w:rsid w:val="07FA1B0E"/>
    <w:rsid w:val="08115F74"/>
    <w:rsid w:val="081258F1"/>
    <w:rsid w:val="08165D36"/>
    <w:rsid w:val="082A30ED"/>
    <w:rsid w:val="082D0BA9"/>
    <w:rsid w:val="083A5177"/>
    <w:rsid w:val="083E562A"/>
    <w:rsid w:val="08581DFD"/>
    <w:rsid w:val="085D7498"/>
    <w:rsid w:val="085F666B"/>
    <w:rsid w:val="08641845"/>
    <w:rsid w:val="086F58A5"/>
    <w:rsid w:val="087A2652"/>
    <w:rsid w:val="08812725"/>
    <w:rsid w:val="08813CB5"/>
    <w:rsid w:val="08894651"/>
    <w:rsid w:val="089B0FEE"/>
    <w:rsid w:val="089C4071"/>
    <w:rsid w:val="08A272BD"/>
    <w:rsid w:val="08AB7C23"/>
    <w:rsid w:val="08BA55B6"/>
    <w:rsid w:val="08BD0C5B"/>
    <w:rsid w:val="08C14C8E"/>
    <w:rsid w:val="08CD7F6B"/>
    <w:rsid w:val="08E535C2"/>
    <w:rsid w:val="08E6490B"/>
    <w:rsid w:val="08E77B89"/>
    <w:rsid w:val="08ED341D"/>
    <w:rsid w:val="08F91555"/>
    <w:rsid w:val="09044296"/>
    <w:rsid w:val="090479FA"/>
    <w:rsid w:val="091017BD"/>
    <w:rsid w:val="09132DF8"/>
    <w:rsid w:val="09172DBC"/>
    <w:rsid w:val="09276536"/>
    <w:rsid w:val="092B3D47"/>
    <w:rsid w:val="093E67D4"/>
    <w:rsid w:val="094165A9"/>
    <w:rsid w:val="095143AD"/>
    <w:rsid w:val="09545365"/>
    <w:rsid w:val="095A3F9A"/>
    <w:rsid w:val="09630E14"/>
    <w:rsid w:val="09631DBD"/>
    <w:rsid w:val="09680FEA"/>
    <w:rsid w:val="0970682C"/>
    <w:rsid w:val="0977793F"/>
    <w:rsid w:val="09792BE7"/>
    <w:rsid w:val="09795606"/>
    <w:rsid w:val="097F7B39"/>
    <w:rsid w:val="09867DBC"/>
    <w:rsid w:val="09893804"/>
    <w:rsid w:val="09922ABE"/>
    <w:rsid w:val="09924611"/>
    <w:rsid w:val="09944D89"/>
    <w:rsid w:val="09982958"/>
    <w:rsid w:val="09B7116B"/>
    <w:rsid w:val="09BE29A7"/>
    <w:rsid w:val="09DB37A4"/>
    <w:rsid w:val="09E337AF"/>
    <w:rsid w:val="09F94093"/>
    <w:rsid w:val="09FD10FA"/>
    <w:rsid w:val="09FE2D36"/>
    <w:rsid w:val="0A0D690A"/>
    <w:rsid w:val="0A0F3C75"/>
    <w:rsid w:val="0A3121BC"/>
    <w:rsid w:val="0A583F9A"/>
    <w:rsid w:val="0A612757"/>
    <w:rsid w:val="0A680F13"/>
    <w:rsid w:val="0A6A72D1"/>
    <w:rsid w:val="0A702524"/>
    <w:rsid w:val="0A731C56"/>
    <w:rsid w:val="0A9109E9"/>
    <w:rsid w:val="0A96082D"/>
    <w:rsid w:val="0A9A5D3D"/>
    <w:rsid w:val="0A9B67F9"/>
    <w:rsid w:val="0ABE5AFE"/>
    <w:rsid w:val="0ABF36A1"/>
    <w:rsid w:val="0AC709E5"/>
    <w:rsid w:val="0ACB45ED"/>
    <w:rsid w:val="0AD81CA6"/>
    <w:rsid w:val="0AD97181"/>
    <w:rsid w:val="0AE9299A"/>
    <w:rsid w:val="0AF92D82"/>
    <w:rsid w:val="0AFD4675"/>
    <w:rsid w:val="0AFE4389"/>
    <w:rsid w:val="0B036B82"/>
    <w:rsid w:val="0B0978FC"/>
    <w:rsid w:val="0B0D3507"/>
    <w:rsid w:val="0B0F6AB9"/>
    <w:rsid w:val="0B1109DE"/>
    <w:rsid w:val="0B15582D"/>
    <w:rsid w:val="0B2517FA"/>
    <w:rsid w:val="0B363484"/>
    <w:rsid w:val="0B405E34"/>
    <w:rsid w:val="0B422C4E"/>
    <w:rsid w:val="0B444D3C"/>
    <w:rsid w:val="0B495A95"/>
    <w:rsid w:val="0B4A0D9A"/>
    <w:rsid w:val="0B4A3D67"/>
    <w:rsid w:val="0B5F5790"/>
    <w:rsid w:val="0B6364EE"/>
    <w:rsid w:val="0B6539A0"/>
    <w:rsid w:val="0B6F76B9"/>
    <w:rsid w:val="0B8111F7"/>
    <w:rsid w:val="0B893108"/>
    <w:rsid w:val="0B8D3B33"/>
    <w:rsid w:val="0B8F0F8E"/>
    <w:rsid w:val="0B924E63"/>
    <w:rsid w:val="0B9D4A61"/>
    <w:rsid w:val="0BA0157F"/>
    <w:rsid w:val="0BAE64FD"/>
    <w:rsid w:val="0BAF573C"/>
    <w:rsid w:val="0BBC52C8"/>
    <w:rsid w:val="0BD306C1"/>
    <w:rsid w:val="0BD31DE1"/>
    <w:rsid w:val="0BD629CF"/>
    <w:rsid w:val="0BE926FE"/>
    <w:rsid w:val="0BF0362D"/>
    <w:rsid w:val="0BF607AA"/>
    <w:rsid w:val="0C057449"/>
    <w:rsid w:val="0C071F7A"/>
    <w:rsid w:val="0C123464"/>
    <w:rsid w:val="0C2F476E"/>
    <w:rsid w:val="0C355D3B"/>
    <w:rsid w:val="0C49492D"/>
    <w:rsid w:val="0C511332"/>
    <w:rsid w:val="0C5C550B"/>
    <w:rsid w:val="0C71462B"/>
    <w:rsid w:val="0C75458E"/>
    <w:rsid w:val="0CA273F1"/>
    <w:rsid w:val="0CB11936"/>
    <w:rsid w:val="0CC27407"/>
    <w:rsid w:val="0CCC5C04"/>
    <w:rsid w:val="0CD2047B"/>
    <w:rsid w:val="0CDB2A0A"/>
    <w:rsid w:val="0CDB7DFA"/>
    <w:rsid w:val="0CE12681"/>
    <w:rsid w:val="0CEF24BA"/>
    <w:rsid w:val="0CFB3760"/>
    <w:rsid w:val="0D032F9E"/>
    <w:rsid w:val="0D065361"/>
    <w:rsid w:val="0D0D6A84"/>
    <w:rsid w:val="0D245BED"/>
    <w:rsid w:val="0D2E7CDE"/>
    <w:rsid w:val="0D52544D"/>
    <w:rsid w:val="0D631BA2"/>
    <w:rsid w:val="0D761084"/>
    <w:rsid w:val="0D7A1D94"/>
    <w:rsid w:val="0D7B7B4A"/>
    <w:rsid w:val="0D851495"/>
    <w:rsid w:val="0D8F1F77"/>
    <w:rsid w:val="0D924CCC"/>
    <w:rsid w:val="0D98121C"/>
    <w:rsid w:val="0DA22EBD"/>
    <w:rsid w:val="0DD31D8F"/>
    <w:rsid w:val="0DDE19E8"/>
    <w:rsid w:val="0DDF3681"/>
    <w:rsid w:val="0DE21B55"/>
    <w:rsid w:val="0DE8177F"/>
    <w:rsid w:val="0DEC2ADB"/>
    <w:rsid w:val="0DF45C0B"/>
    <w:rsid w:val="0E0C2AFD"/>
    <w:rsid w:val="0E0E47F0"/>
    <w:rsid w:val="0E0F5D1B"/>
    <w:rsid w:val="0E121D9A"/>
    <w:rsid w:val="0E1B2CC9"/>
    <w:rsid w:val="0E20453A"/>
    <w:rsid w:val="0E2E6AB6"/>
    <w:rsid w:val="0E3B7750"/>
    <w:rsid w:val="0E510D62"/>
    <w:rsid w:val="0E63199B"/>
    <w:rsid w:val="0E7A2736"/>
    <w:rsid w:val="0E7A66D6"/>
    <w:rsid w:val="0E8E60DC"/>
    <w:rsid w:val="0E8F739E"/>
    <w:rsid w:val="0E9F1C21"/>
    <w:rsid w:val="0EA744AE"/>
    <w:rsid w:val="0EA76951"/>
    <w:rsid w:val="0EAB77A0"/>
    <w:rsid w:val="0EB35AAD"/>
    <w:rsid w:val="0ED11811"/>
    <w:rsid w:val="0EDE27F8"/>
    <w:rsid w:val="0EE43019"/>
    <w:rsid w:val="0EE80E43"/>
    <w:rsid w:val="0EE911F1"/>
    <w:rsid w:val="0EF648C6"/>
    <w:rsid w:val="0EFB25D1"/>
    <w:rsid w:val="0EFC7454"/>
    <w:rsid w:val="0F0119F6"/>
    <w:rsid w:val="0F022EE4"/>
    <w:rsid w:val="0F0239DF"/>
    <w:rsid w:val="0F0361C8"/>
    <w:rsid w:val="0F097F32"/>
    <w:rsid w:val="0F1C38A1"/>
    <w:rsid w:val="0F1D044C"/>
    <w:rsid w:val="0F2F5FE6"/>
    <w:rsid w:val="0F367B25"/>
    <w:rsid w:val="0F3E5340"/>
    <w:rsid w:val="0F4E38F5"/>
    <w:rsid w:val="0F540BFC"/>
    <w:rsid w:val="0F5B51AF"/>
    <w:rsid w:val="0F5E193B"/>
    <w:rsid w:val="0F5E1E20"/>
    <w:rsid w:val="0F632069"/>
    <w:rsid w:val="0F7125D5"/>
    <w:rsid w:val="0F794915"/>
    <w:rsid w:val="0F7E2308"/>
    <w:rsid w:val="0F854E6E"/>
    <w:rsid w:val="0F8D1D66"/>
    <w:rsid w:val="0F8E634C"/>
    <w:rsid w:val="0F923D51"/>
    <w:rsid w:val="0F960DE0"/>
    <w:rsid w:val="0FAC1D9A"/>
    <w:rsid w:val="0FB0737F"/>
    <w:rsid w:val="0FB35CCF"/>
    <w:rsid w:val="0FC97A04"/>
    <w:rsid w:val="0FCE6FEC"/>
    <w:rsid w:val="0FE426F8"/>
    <w:rsid w:val="0FE47F4E"/>
    <w:rsid w:val="0FEB6B2A"/>
    <w:rsid w:val="0FEC6591"/>
    <w:rsid w:val="10041DCD"/>
    <w:rsid w:val="100C0C63"/>
    <w:rsid w:val="10215FFC"/>
    <w:rsid w:val="10251309"/>
    <w:rsid w:val="10261BAA"/>
    <w:rsid w:val="102B15CE"/>
    <w:rsid w:val="103C6776"/>
    <w:rsid w:val="104A034A"/>
    <w:rsid w:val="106306D4"/>
    <w:rsid w:val="10645D4C"/>
    <w:rsid w:val="10660739"/>
    <w:rsid w:val="1069565E"/>
    <w:rsid w:val="106F11B4"/>
    <w:rsid w:val="10762B17"/>
    <w:rsid w:val="108B5B30"/>
    <w:rsid w:val="10957BCE"/>
    <w:rsid w:val="10965B95"/>
    <w:rsid w:val="109B7E33"/>
    <w:rsid w:val="10B06F61"/>
    <w:rsid w:val="10B477E1"/>
    <w:rsid w:val="10B70E7E"/>
    <w:rsid w:val="10B95554"/>
    <w:rsid w:val="10BE6DF1"/>
    <w:rsid w:val="10BF5AF0"/>
    <w:rsid w:val="10CC1D6A"/>
    <w:rsid w:val="10CF1CAA"/>
    <w:rsid w:val="10D8551E"/>
    <w:rsid w:val="10DC070D"/>
    <w:rsid w:val="10DC2540"/>
    <w:rsid w:val="10F93E88"/>
    <w:rsid w:val="11067954"/>
    <w:rsid w:val="11113331"/>
    <w:rsid w:val="1112518B"/>
    <w:rsid w:val="11397FCC"/>
    <w:rsid w:val="11596574"/>
    <w:rsid w:val="11691C7B"/>
    <w:rsid w:val="11963AC1"/>
    <w:rsid w:val="11B14483"/>
    <w:rsid w:val="11B1770D"/>
    <w:rsid w:val="11B96845"/>
    <w:rsid w:val="11CE0716"/>
    <w:rsid w:val="11CF78D8"/>
    <w:rsid w:val="11D65CBA"/>
    <w:rsid w:val="11D7231C"/>
    <w:rsid w:val="11E70DCC"/>
    <w:rsid w:val="11FE239A"/>
    <w:rsid w:val="12023388"/>
    <w:rsid w:val="12105780"/>
    <w:rsid w:val="12151C60"/>
    <w:rsid w:val="123021D6"/>
    <w:rsid w:val="124567D1"/>
    <w:rsid w:val="124B3A99"/>
    <w:rsid w:val="1253458F"/>
    <w:rsid w:val="126322CB"/>
    <w:rsid w:val="12691E05"/>
    <w:rsid w:val="12735ED9"/>
    <w:rsid w:val="12766327"/>
    <w:rsid w:val="127C2CBD"/>
    <w:rsid w:val="128428CC"/>
    <w:rsid w:val="1287602C"/>
    <w:rsid w:val="12934B33"/>
    <w:rsid w:val="129528F2"/>
    <w:rsid w:val="129B402D"/>
    <w:rsid w:val="129E1CBC"/>
    <w:rsid w:val="12A5368B"/>
    <w:rsid w:val="12A67371"/>
    <w:rsid w:val="12AC6B78"/>
    <w:rsid w:val="12C77051"/>
    <w:rsid w:val="12C95AA1"/>
    <w:rsid w:val="12D55ED5"/>
    <w:rsid w:val="12DF1D8A"/>
    <w:rsid w:val="12E073E8"/>
    <w:rsid w:val="12EE7D04"/>
    <w:rsid w:val="12F17637"/>
    <w:rsid w:val="13040A65"/>
    <w:rsid w:val="1306646C"/>
    <w:rsid w:val="132523FC"/>
    <w:rsid w:val="13396B15"/>
    <w:rsid w:val="136A0D4C"/>
    <w:rsid w:val="136B4255"/>
    <w:rsid w:val="13701D45"/>
    <w:rsid w:val="13A4469C"/>
    <w:rsid w:val="13AB2902"/>
    <w:rsid w:val="13B100AE"/>
    <w:rsid w:val="13BA5348"/>
    <w:rsid w:val="13BB084C"/>
    <w:rsid w:val="13D64384"/>
    <w:rsid w:val="13F46A94"/>
    <w:rsid w:val="13F6333A"/>
    <w:rsid w:val="14010277"/>
    <w:rsid w:val="14053D54"/>
    <w:rsid w:val="14066A71"/>
    <w:rsid w:val="141A56D9"/>
    <w:rsid w:val="141B4934"/>
    <w:rsid w:val="14216B57"/>
    <w:rsid w:val="14270630"/>
    <w:rsid w:val="143E0E51"/>
    <w:rsid w:val="143F5E76"/>
    <w:rsid w:val="14475CB7"/>
    <w:rsid w:val="146B646A"/>
    <w:rsid w:val="14772DD6"/>
    <w:rsid w:val="1477508C"/>
    <w:rsid w:val="148515B6"/>
    <w:rsid w:val="1487448F"/>
    <w:rsid w:val="14973195"/>
    <w:rsid w:val="14A23DCB"/>
    <w:rsid w:val="14A87F51"/>
    <w:rsid w:val="14B15ED6"/>
    <w:rsid w:val="14B450AE"/>
    <w:rsid w:val="14B67BFC"/>
    <w:rsid w:val="14B7210E"/>
    <w:rsid w:val="14BD28E4"/>
    <w:rsid w:val="14C14B89"/>
    <w:rsid w:val="14C57506"/>
    <w:rsid w:val="14C6316A"/>
    <w:rsid w:val="14D7056E"/>
    <w:rsid w:val="14E4562D"/>
    <w:rsid w:val="14E56C94"/>
    <w:rsid w:val="14EF073D"/>
    <w:rsid w:val="14F36498"/>
    <w:rsid w:val="14F36FB6"/>
    <w:rsid w:val="14F87477"/>
    <w:rsid w:val="14FA7EF1"/>
    <w:rsid w:val="1509154F"/>
    <w:rsid w:val="150B34E4"/>
    <w:rsid w:val="151E3969"/>
    <w:rsid w:val="15282B11"/>
    <w:rsid w:val="15303351"/>
    <w:rsid w:val="15343A2B"/>
    <w:rsid w:val="153C3874"/>
    <w:rsid w:val="153D3AF3"/>
    <w:rsid w:val="153E0259"/>
    <w:rsid w:val="15432082"/>
    <w:rsid w:val="154A550F"/>
    <w:rsid w:val="154C5FD5"/>
    <w:rsid w:val="15523C6B"/>
    <w:rsid w:val="156311D8"/>
    <w:rsid w:val="15656850"/>
    <w:rsid w:val="157B5D24"/>
    <w:rsid w:val="157B72EF"/>
    <w:rsid w:val="158D4130"/>
    <w:rsid w:val="15911664"/>
    <w:rsid w:val="15993788"/>
    <w:rsid w:val="1599417E"/>
    <w:rsid w:val="159B180C"/>
    <w:rsid w:val="159B6C90"/>
    <w:rsid w:val="15B73BFA"/>
    <w:rsid w:val="15BE121B"/>
    <w:rsid w:val="15CD667A"/>
    <w:rsid w:val="15DE28B3"/>
    <w:rsid w:val="15EB0836"/>
    <w:rsid w:val="1608380C"/>
    <w:rsid w:val="161530BC"/>
    <w:rsid w:val="16180A85"/>
    <w:rsid w:val="161E22D2"/>
    <w:rsid w:val="16436DF1"/>
    <w:rsid w:val="164B320D"/>
    <w:rsid w:val="164D5330"/>
    <w:rsid w:val="164E7E96"/>
    <w:rsid w:val="16577F5B"/>
    <w:rsid w:val="1684632F"/>
    <w:rsid w:val="169F1E9B"/>
    <w:rsid w:val="16AA34E3"/>
    <w:rsid w:val="16B14473"/>
    <w:rsid w:val="16B76D7A"/>
    <w:rsid w:val="16BB0206"/>
    <w:rsid w:val="16BE75EA"/>
    <w:rsid w:val="16DA63EA"/>
    <w:rsid w:val="16E44891"/>
    <w:rsid w:val="16F75C6C"/>
    <w:rsid w:val="16FD68E3"/>
    <w:rsid w:val="170034BA"/>
    <w:rsid w:val="17040016"/>
    <w:rsid w:val="170E2DF2"/>
    <w:rsid w:val="170F2832"/>
    <w:rsid w:val="170F75FB"/>
    <w:rsid w:val="17212FDD"/>
    <w:rsid w:val="172E5971"/>
    <w:rsid w:val="17357DFC"/>
    <w:rsid w:val="17364AED"/>
    <w:rsid w:val="174342F4"/>
    <w:rsid w:val="174972AA"/>
    <w:rsid w:val="176150E8"/>
    <w:rsid w:val="177E7E5E"/>
    <w:rsid w:val="1790532E"/>
    <w:rsid w:val="17907896"/>
    <w:rsid w:val="17912484"/>
    <w:rsid w:val="17937A67"/>
    <w:rsid w:val="17A44464"/>
    <w:rsid w:val="17A72250"/>
    <w:rsid w:val="17C337B8"/>
    <w:rsid w:val="17CE0C4A"/>
    <w:rsid w:val="17D61088"/>
    <w:rsid w:val="17E04FBA"/>
    <w:rsid w:val="17F2486F"/>
    <w:rsid w:val="180462DC"/>
    <w:rsid w:val="181513AA"/>
    <w:rsid w:val="181A3C74"/>
    <w:rsid w:val="18375583"/>
    <w:rsid w:val="1839097D"/>
    <w:rsid w:val="184D386A"/>
    <w:rsid w:val="18564AEC"/>
    <w:rsid w:val="185C2A97"/>
    <w:rsid w:val="18631BD8"/>
    <w:rsid w:val="189916D9"/>
    <w:rsid w:val="189D0AEC"/>
    <w:rsid w:val="18A80767"/>
    <w:rsid w:val="18AD14A5"/>
    <w:rsid w:val="18B6371F"/>
    <w:rsid w:val="18D5153F"/>
    <w:rsid w:val="18DD6A2D"/>
    <w:rsid w:val="18E72DBC"/>
    <w:rsid w:val="18EE4A1B"/>
    <w:rsid w:val="18F616EF"/>
    <w:rsid w:val="18FF026F"/>
    <w:rsid w:val="190C3ACE"/>
    <w:rsid w:val="19112AB7"/>
    <w:rsid w:val="191A476F"/>
    <w:rsid w:val="192C22CA"/>
    <w:rsid w:val="19376D41"/>
    <w:rsid w:val="19392087"/>
    <w:rsid w:val="1945534D"/>
    <w:rsid w:val="194E7CED"/>
    <w:rsid w:val="19583B9C"/>
    <w:rsid w:val="195C774E"/>
    <w:rsid w:val="19607D44"/>
    <w:rsid w:val="196175B7"/>
    <w:rsid w:val="1962311B"/>
    <w:rsid w:val="196D1BA8"/>
    <w:rsid w:val="198037EE"/>
    <w:rsid w:val="19855D16"/>
    <w:rsid w:val="19870DCB"/>
    <w:rsid w:val="198C0BF4"/>
    <w:rsid w:val="198E3A86"/>
    <w:rsid w:val="1992391C"/>
    <w:rsid w:val="1998712F"/>
    <w:rsid w:val="19992E8B"/>
    <w:rsid w:val="19A45E5C"/>
    <w:rsid w:val="19C309CE"/>
    <w:rsid w:val="19C373F7"/>
    <w:rsid w:val="19CB729E"/>
    <w:rsid w:val="19CD3561"/>
    <w:rsid w:val="19DA4658"/>
    <w:rsid w:val="19DB7DF8"/>
    <w:rsid w:val="19DF239C"/>
    <w:rsid w:val="19ED6518"/>
    <w:rsid w:val="19F55C70"/>
    <w:rsid w:val="19FA7739"/>
    <w:rsid w:val="1A031C47"/>
    <w:rsid w:val="1A1148C1"/>
    <w:rsid w:val="1A1623AD"/>
    <w:rsid w:val="1A273344"/>
    <w:rsid w:val="1A30182C"/>
    <w:rsid w:val="1A361478"/>
    <w:rsid w:val="1A3C006F"/>
    <w:rsid w:val="1A467EA1"/>
    <w:rsid w:val="1A4A02D3"/>
    <w:rsid w:val="1A5C6ED4"/>
    <w:rsid w:val="1A6F7BF0"/>
    <w:rsid w:val="1A733F51"/>
    <w:rsid w:val="1A79456A"/>
    <w:rsid w:val="1ACE1D43"/>
    <w:rsid w:val="1AD663FE"/>
    <w:rsid w:val="1AD82CE0"/>
    <w:rsid w:val="1AD86972"/>
    <w:rsid w:val="1AE60DFC"/>
    <w:rsid w:val="1AEA6440"/>
    <w:rsid w:val="1AF2794D"/>
    <w:rsid w:val="1B04344D"/>
    <w:rsid w:val="1B0C3911"/>
    <w:rsid w:val="1B186FF4"/>
    <w:rsid w:val="1B193FEE"/>
    <w:rsid w:val="1B2120AC"/>
    <w:rsid w:val="1B2E1AD0"/>
    <w:rsid w:val="1B3B41D5"/>
    <w:rsid w:val="1B464F5B"/>
    <w:rsid w:val="1B6453EE"/>
    <w:rsid w:val="1B7A7EE5"/>
    <w:rsid w:val="1B8A146C"/>
    <w:rsid w:val="1B904B94"/>
    <w:rsid w:val="1B97138E"/>
    <w:rsid w:val="1BA31A9E"/>
    <w:rsid w:val="1BAA7CD3"/>
    <w:rsid w:val="1BAB3ECE"/>
    <w:rsid w:val="1BB7733B"/>
    <w:rsid w:val="1BB83851"/>
    <w:rsid w:val="1BC042DC"/>
    <w:rsid w:val="1BC847A1"/>
    <w:rsid w:val="1BCA58EB"/>
    <w:rsid w:val="1BD522B1"/>
    <w:rsid w:val="1BE85788"/>
    <w:rsid w:val="1BEC5941"/>
    <w:rsid w:val="1BF37A2F"/>
    <w:rsid w:val="1BF51208"/>
    <w:rsid w:val="1BFC7947"/>
    <w:rsid w:val="1C166285"/>
    <w:rsid w:val="1C191124"/>
    <w:rsid w:val="1C1A1197"/>
    <w:rsid w:val="1C262C17"/>
    <w:rsid w:val="1C275CCA"/>
    <w:rsid w:val="1C2A0049"/>
    <w:rsid w:val="1C3155A1"/>
    <w:rsid w:val="1C394F6A"/>
    <w:rsid w:val="1C3A685C"/>
    <w:rsid w:val="1C414F4E"/>
    <w:rsid w:val="1C495D9A"/>
    <w:rsid w:val="1C4B07DE"/>
    <w:rsid w:val="1C4C7A56"/>
    <w:rsid w:val="1C4F1B55"/>
    <w:rsid w:val="1C5E0AF6"/>
    <w:rsid w:val="1C5F3259"/>
    <w:rsid w:val="1C667C91"/>
    <w:rsid w:val="1C6A08AC"/>
    <w:rsid w:val="1C6B0F54"/>
    <w:rsid w:val="1C724DAA"/>
    <w:rsid w:val="1C8708CB"/>
    <w:rsid w:val="1C8A2073"/>
    <w:rsid w:val="1C8A7A1D"/>
    <w:rsid w:val="1C8C66C0"/>
    <w:rsid w:val="1C982728"/>
    <w:rsid w:val="1C9D5B1D"/>
    <w:rsid w:val="1CA31BB6"/>
    <w:rsid w:val="1CB54D4E"/>
    <w:rsid w:val="1CBE3616"/>
    <w:rsid w:val="1CD03BB1"/>
    <w:rsid w:val="1CDB7529"/>
    <w:rsid w:val="1CE31762"/>
    <w:rsid w:val="1CEC79F8"/>
    <w:rsid w:val="1CF35E70"/>
    <w:rsid w:val="1D00278C"/>
    <w:rsid w:val="1D135A95"/>
    <w:rsid w:val="1D140A55"/>
    <w:rsid w:val="1D236B78"/>
    <w:rsid w:val="1D2A793C"/>
    <w:rsid w:val="1D3869FB"/>
    <w:rsid w:val="1D3C3646"/>
    <w:rsid w:val="1D44451B"/>
    <w:rsid w:val="1D5505BA"/>
    <w:rsid w:val="1D564F60"/>
    <w:rsid w:val="1D5F04A2"/>
    <w:rsid w:val="1D882E0F"/>
    <w:rsid w:val="1DA97E12"/>
    <w:rsid w:val="1DAE5B43"/>
    <w:rsid w:val="1DB95EDE"/>
    <w:rsid w:val="1DC102D2"/>
    <w:rsid w:val="1DC30883"/>
    <w:rsid w:val="1DC62049"/>
    <w:rsid w:val="1DCF3BA5"/>
    <w:rsid w:val="1DD83B1E"/>
    <w:rsid w:val="1DD90759"/>
    <w:rsid w:val="1DE44FE9"/>
    <w:rsid w:val="1DFB6858"/>
    <w:rsid w:val="1E102EB0"/>
    <w:rsid w:val="1E366A51"/>
    <w:rsid w:val="1E3B54C6"/>
    <w:rsid w:val="1E481202"/>
    <w:rsid w:val="1E524C7C"/>
    <w:rsid w:val="1E5B424D"/>
    <w:rsid w:val="1E685A1E"/>
    <w:rsid w:val="1E8A2FC9"/>
    <w:rsid w:val="1E99010B"/>
    <w:rsid w:val="1EAE5F28"/>
    <w:rsid w:val="1EAF2D0A"/>
    <w:rsid w:val="1EB35614"/>
    <w:rsid w:val="1EBE108A"/>
    <w:rsid w:val="1EC834A7"/>
    <w:rsid w:val="1EF20664"/>
    <w:rsid w:val="1F015DC2"/>
    <w:rsid w:val="1F2B290F"/>
    <w:rsid w:val="1F366C08"/>
    <w:rsid w:val="1F3A315D"/>
    <w:rsid w:val="1F3A3294"/>
    <w:rsid w:val="1F3B44F5"/>
    <w:rsid w:val="1F4479BB"/>
    <w:rsid w:val="1F4A5920"/>
    <w:rsid w:val="1F591517"/>
    <w:rsid w:val="1F5C488D"/>
    <w:rsid w:val="1F7034ED"/>
    <w:rsid w:val="1F841DB6"/>
    <w:rsid w:val="1FA32B7B"/>
    <w:rsid w:val="1FB74F77"/>
    <w:rsid w:val="1FC05FD6"/>
    <w:rsid w:val="1FCC3593"/>
    <w:rsid w:val="1FEB50BE"/>
    <w:rsid w:val="1FEE261E"/>
    <w:rsid w:val="1FF82369"/>
    <w:rsid w:val="1FFB371A"/>
    <w:rsid w:val="1FFC521A"/>
    <w:rsid w:val="200D51E2"/>
    <w:rsid w:val="20151119"/>
    <w:rsid w:val="202366AA"/>
    <w:rsid w:val="202A7D3E"/>
    <w:rsid w:val="203C22F6"/>
    <w:rsid w:val="204614FA"/>
    <w:rsid w:val="20466DCB"/>
    <w:rsid w:val="204671D0"/>
    <w:rsid w:val="20497170"/>
    <w:rsid w:val="204A51CD"/>
    <w:rsid w:val="204D63F5"/>
    <w:rsid w:val="20506FFB"/>
    <w:rsid w:val="20537C02"/>
    <w:rsid w:val="206D114B"/>
    <w:rsid w:val="2072643A"/>
    <w:rsid w:val="20772799"/>
    <w:rsid w:val="207E798A"/>
    <w:rsid w:val="2083429A"/>
    <w:rsid w:val="20A278EC"/>
    <w:rsid w:val="20AE2E6A"/>
    <w:rsid w:val="20AE37FE"/>
    <w:rsid w:val="20B14A46"/>
    <w:rsid w:val="20B75901"/>
    <w:rsid w:val="20D1397F"/>
    <w:rsid w:val="20D3484E"/>
    <w:rsid w:val="20D47DB9"/>
    <w:rsid w:val="20DD35B1"/>
    <w:rsid w:val="20E8638E"/>
    <w:rsid w:val="20F35474"/>
    <w:rsid w:val="20FA25EC"/>
    <w:rsid w:val="20FA52BF"/>
    <w:rsid w:val="21035CC4"/>
    <w:rsid w:val="211439E6"/>
    <w:rsid w:val="211C5EC9"/>
    <w:rsid w:val="212F6029"/>
    <w:rsid w:val="2155633D"/>
    <w:rsid w:val="21575A0E"/>
    <w:rsid w:val="216350A7"/>
    <w:rsid w:val="2192795E"/>
    <w:rsid w:val="21940F51"/>
    <w:rsid w:val="219F1645"/>
    <w:rsid w:val="21A35923"/>
    <w:rsid w:val="21B8400D"/>
    <w:rsid w:val="21DF071A"/>
    <w:rsid w:val="21E57530"/>
    <w:rsid w:val="21E73D68"/>
    <w:rsid w:val="21F93AE4"/>
    <w:rsid w:val="2202624C"/>
    <w:rsid w:val="221F345A"/>
    <w:rsid w:val="22214561"/>
    <w:rsid w:val="2223235D"/>
    <w:rsid w:val="22286427"/>
    <w:rsid w:val="22397D8C"/>
    <w:rsid w:val="223C3819"/>
    <w:rsid w:val="224D7197"/>
    <w:rsid w:val="22523CD8"/>
    <w:rsid w:val="22530AAC"/>
    <w:rsid w:val="226024E1"/>
    <w:rsid w:val="228251F5"/>
    <w:rsid w:val="228B490B"/>
    <w:rsid w:val="228B4C9B"/>
    <w:rsid w:val="228C6115"/>
    <w:rsid w:val="22992C2A"/>
    <w:rsid w:val="229B6663"/>
    <w:rsid w:val="229D33E4"/>
    <w:rsid w:val="22A43600"/>
    <w:rsid w:val="22AC5A58"/>
    <w:rsid w:val="22BD0427"/>
    <w:rsid w:val="22D06408"/>
    <w:rsid w:val="22D572D0"/>
    <w:rsid w:val="22DB4D64"/>
    <w:rsid w:val="22FD1612"/>
    <w:rsid w:val="2301622E"/>
    <w:rsid w:val="230F581C"/>
    <w:rsid w:val="23273BD2"/>
    <w:rsid w:val="23350AE4"/>
    <w:rsid w:val="23457434"/>
    <w:rsid w:val="23496D76"/>
    <w:rsid w:val="234C745B"/>
    <w:rsid w:val="235B7F38"/>
    <w:rsid w:val="23606E4D"/>
    <w:rsid w:val="23647678"/>
    <w:rsid w:val="236503B6"/>
    <w:rsid w:val="23850B41"/>
    <w:rsid w:val="239F2CDA"/>
    <w:rsid w:val="23AA5BAD"/>
    <w:rsid w:val="23BA6F2A"/>
    <w:rsid w:val="23C0578B"/>
    <w:rsid w:val="23E63240"/>
    <w:rsid w:val="23ED5BF9"/>
    <w:rsid w:val="23FD080D"/>
    <w:rsid w:val="23FE4E88"/>
    <w:rsid w:val="23FE4EB2"/>
    <w:rsid w:val="240C3267"/>
    <w:rsid w:val="24151319"/>
    <w:rsid w:val="24253A31"/>
    <w:rsid w:val="244C7F99"/>
    <w:rsid w:val="244F0613"/>
    <w:rsid w:val="245453D0"/>
    <w:rsid w:val="245625A7"/>
    <w:rsid w:val="245D5736"/>
    <w:rsid w:val="24894FD6"/>
    <w:rsid w:val="248C7020"/>
    <w:rsid w:val="249C35F9"/>
    <w:rsid w:val="24A528B4"/>
    <w:rsid w:val="24AE1BC0"/>
    <w:rsid w:val="24B804FF"/>
    <w:rsid w:val="24C23897"/>
    <w:rsid w:val="24C343F9"/>
    <w:rsid w:val="24CA0360"/>
    <w:rsid w:val="24DC0D82"/>
    <w:rsid w:val="24E10FDA"/>
    <w:rsid w:val="24ED5C2B"/>
    <w:rsid w:val="24EF3B68"/>
    <w:rsid w:val="24F36739"/>
    <w:rsid w:val="251329BB"/>
    <w:rsid w:val="2517331B"/>
    <w:rsid w:val="25173C39"/>
    <w:rsid w:val="25341659"/>
    <w:rsid w:val="254F243E"/>
    <w:rsid w:val="25523B88"/>
    <w:rsid w:val="2561798B"/>
    <w:rsid w:val="25792C4E"/>
    <w:rsid w:val="257B5775"/>
    <w:rsid w:val="25816168"/>
    <w:rsid w:val="258D5089"/>
    <w:rsid w:val="259B532E"/>
    <w:rsid w:val="25A502DE"/>
    <w:rsid w:val="25AB6CB7"/>
    <w:rsid w:val="25B7075E"/>
    <w:rsid w:val="25B81442"/>
    <w:rsid w:val="25C833D5"/>
    <w:rsid w:val="25CA1A5E"/>
    <w:rsid w:val="25CE5476"/>
    <w:rsid w:val="25D96974"/>
    <w:rsid w:val="25E93DA5"/>
    <w:rsid w:val="26087595"/>
    <w:rsid w:val="26175924"/>
    <w:rsid w:val="26206288"/>
    <w:rsid w:val="26286BA8"/>
    <w:rsid w:val="262B336A"/>
    <w:rsid w:val="264D3C46"/>
    <w:rsid w:val="265C39F8"/>
    <w:rsid w:val="265D3A52"/>
    <w:rsid w:val="267D5F5A"/>
    <w:rsid w:val="2683726B"/>
    <w:rsid w:val="2689690A"/>
    <w:rsid w:val="268E0AD7"/>
    <w:rsid w:val="26A402D7"/>
    <w:rsid w:val="26A61982"/>
    <w:rsid w:val="26AC6103"/>
    <w:rsid w:val="26B47208"/>
    <w:rsid w:val="26DD3567"/>
    <w:rsid w:val="26E702C5"/>
    <w:rsid w:val="26FB070C"/>
    <w:rsid w:val="26FD2231"/>
    <w:rsid w:val="27075B1E"/>
    <w:rsid w:val="270E4D09"/>
    <w:rsid w:val="2713651F"/>
    <w:rsid w:val="271543AD"/>
    <w:rsid w:val="271D34AE"/>
    <w:rsid w:val="274134FB"/>
    <w:rsid w:val="2743510B"/>
    <w:rsid w:val="275128D9"/>
    <w:rsid w:val="27597D4F"/>
    <w:rsid w:val="2770629A"/>
    <w:rsid w:val="279219D6"/>
    <w:rsid w:val="27946DDD"/>
    <w:rsid w:val="27995BD4"/>
    <w:rsid w:val="27A04ED3"/>
    <w:rsid w:val="27A516D7"/>
    <w:rsid w:val="27A54D07"/>
    <w:rsid w:val="27B7398D"/>
    <w:rsid w:val="27BD3038"/>
    <w:rsid w:val="27C424FA"/>
    <w:rsid w:val="27C87524"/>
    <w:rsid w:val="27D21DCE"/>
    <w:rsid w:val="27E639D9"/>
    <w:rsid w:val="27F01DF4"/>
    <w:rsid w:val="27F53979"/>
    <w:rsid w:val="27FE0E3E"/>
    <w:rsid w:val="28066B2F"/>
    <w:rsid w:val="28073D44"/>
    <w:rsid w:val="28120868"/>
    <w:rsid w:val="281E0FE5"/>
    <w:rsid w:val="28275824"/>
    <w:rsid w:val="282934CD"/>
    <w:rsid w:val="282A16A3"/>
    <w:rsid w:val="2835363B"/>
    <w:rsid w:val="283D569E"/>
    <w:rsid w:val="28434B2F"/>
    <w:rsid w:val="28466F3C"/>
    <w:rsid w:val="284E25DA"/>
    <w:rsid w:val="28597731"/>
    <w:rsid w:val="285B0BE4"/>
    <w:rsid w:val="285C6EF8"/>
    <w:rsid w:val="286A4340"/>
    <w:rsid w:val="287E7D01"/>
    <w:rsid w:val="287F5677"/>
    <w:rsid w:val="288524EF"/>
    <w:rsid w:val="288C5967"/>
    <w:rsid w:val="288F1EE2"/>
    <w:rsid w:val="289A661F"/>
    <w:rsid w:val="28AC3FE1"/>
    <w:rsid w:val="28AE707D"/>
    <w:rsid w:val="28B44B90"/>
    <w:rsid w:val="28B5571D"/>
    <w:rsid w:val="28BD7362"/>
    <w:rsid w:val="28BE7C77"/>
    <w:rsid w:val="28C078DB"/>
    <w:rsid w:val="28C73850"/>
    <w:rsid w:val="28EB0CDA"/>
    <w:rsid w:val="28F51407"/>
    <w:rsid w:val="290D2880"/>
    <w:rsid w:val="291D05F5"/>
    <w:rsid w:val="292B2876"/>
    <w:rsid w:val="29326EC8"/>
    <w:rsid w:val="29360B91"/>
    <w:rsid w:val="293A6D89"/>
    <w:rsid w:val="29592753"/>
    <w:rsid w:val="29682B59"/>
    <w:rsid w:val="29684BCA"/>
    <w:rsid w:val="296B0A15"/>
    <w:rsid w:val="296C0DB5"/>
    <w:rsid w:val="29716689"/>
    <w:rsid w:val="297341AF"/>
    <w:rsid w:val="297E5F1B"/>
    <w:rsid w:val="299A1F40"/>
    <w:rsid w:val="299B4CCE"/>
    <w:rsid w:val="29A10CA3"/>
    <w:rsid w:val="29A52ADA"/>
    <w:rsid w:val="29AB498E"/>
    <w:rsid w:val="29B51BCE"/>
    <w:rsid w:val="29C34847"/>
    <w:rsid w:val="29C35AF7"/>
    <w:rsid w:val="29D82573"/>
    <w:rsid w:val="29D827B0"/>
    <w:rsid w:val="29D90988"/>
    <w:rsid w:val="29EA52EF"/>
    <w:rsid w:val="29EA62C6"/>
    <w:rsid w:val="29EF08CA"/>
    <w:rsid w:val="29FF038E"/>
    <w:rsid w:val="2A082E16"/>
    <w:rsid w:val="2A1E78CA"/>
    <w:rsid w:val="2A220BA5"/>
    <w:rsid w:val="2A2437B5"/>
    <w:rsid w:val="2A2D6002"/>
    <w:rsid w:val="2A3C2B26"/>
    <w:rsid w:val="2A3F2FF8"/>
    <w:rsid w:val="2A4F2715"/>
    <w:rsid w:val="2A5038D6"/>
    <w:rsid w:val="2A5100A0"/>
    <w:rsid w:val="2A687735"/>
    <w:rsid w:val="2A755986"/>
    <w:rsid w:val="2A792D4F"/>
    <w:rsid w:val="2A7A4318"/>
    <w:rsid w:val="2A815035"/>
    <w:rsid w:val="2A8D6977"/>
    <w:rsid w:val="2A933AED"/>
    <w:rsid w:val="2A97216E"/>
    <w:rsid w:val="2A9A64F8"/>
    <w:rsid w:val="2A9C18D8"/>
    <w:rsid w:val="2AAA76E2"/>
    <w:rsid w:val="2ADE189C"/>
    <w:rsid w:val="2AEA1D81"/>
    <w:rsid w:val="2AEF66A5"/>
    <w:rsid w:val="2AF730EF"/>
    <w:rsid w:val="2B053E3F"/>
    <w:rsid w:val="2B0F6C2E"/>
    <w:rsid w:val="2B0F7D39"/>
    <w:rsid w:val="2B104C7C"/>
    <w:rsid w:val="2B193D23"/>
    <w:rsid w:val="2B1C2E31"/>
    <w:rsid w:val="2B204A27"/>
    <w:rsid w:val="2B235D5E"/>
    <w:rsid w:val="2B2926C1"/>
    <w:rsid w:val="2B330D22"/>
    <w:rsid w:val="2B332BF9"/>
    <w:rsid w:val="2B351489"/>
    <w:rsid w:val="2B3730FC"/>
    <w:rsid w:val="2B3B1481"/>
    <w:rsid w:val="2B3E003D"/>
    <w:rsid w:val="2B5A0AC6"/>
    <w:rsid w:val="2B661A55"/>
    <w:rsid w:val="2B6645EF"/>
    <w:rsid w:val="2B6724FA"/>
    <w:rsid w:val="2B6C0A85"/>
    <w:rsid w:val="2B8C1610"/>
    <w:rsid w:val="2B94751F"/>
    <w:rsid w:val="2B967A5F"/>
    <w:rsid w:val="2B9E4CEF"/>
    <w:rsid w:val="2BB84E97"/>
    <w:rsid w:val="2BC9015F"/>
    <w:rsid w:val="2BD72421"/>
    <w:rsid w:val="2BDB7F43"/>
    <w:rsid w:val="2BE45464"/>
    <w:rsid w:val="2BE85CD5"/>
    <w:rsid w:val="2BF47537"/>
    <w:rsid w:val="2C032849"/>
    <w:rsid w:val="2C033E72"/>
    <w:rsid w:val="2C2B116D"/>
    <w:rsid w:val="2C3711D5"/>
    <w:rsid w:val="2C41373D"/>
    <w:rsid w:val="2C4338B1"/>
    <w:rsid w:val="2C443D3B"/>
    <w:rsid w:val="2C5F36FC"/>
    <w:rsid w:val="2C626AE7"/>
    <w:rsid w:val="2C6732B9"/>
    <w:rsid w:val="2C775CEF"/>
    <w:rsid w:val="2C816614"/>
    <w:rsid w:val="2C865271"/>
    <w:rsid w:val="2C940DDF"/>
    <w:rsid w:val="2C9B1E2A"/>
    <w:rsid w:val="2CA32136"/>
    <w:rsid w:val="2CAA7B36"/>
    <w:rsid w:val="2CAC6774"/>
    <w:rsid w:val="2CBD63FA"/>
    <w:rsid w:val="2CCE1A70"/>
    <w:rsid w:val="2CD83023"/>
    <w:rsid w:val="2CDC1FF2"/>
    <w:rsid w:val="2CE43AFB"/>
    <w:rsid w:val="2CED1B47"/>
    <w:rsid w:val="2CF17367"/>
    <w:rsid w:val="2CF7030B"/>
    <w:rsid w:val="2D0529D6"/>
    <w:rsid w:val="2D110A42"/>
    <w:rsid w:val="2D191BFC"/>
    <w:rsid w:val="2D1C41CB"/>
    <w:rsid w:val="2D277C67"/>
    <w:rsid w:val="2D2F04EF"/>
    <w:rsid w:val="2D3A170F"/>
    <w:rsid w:val="2D3D26C4"/>
    <w:rsid w:val="2D45096D"/>
    <w:rsid w:val="2D581AE2"/>
    <w:rsid w:val="2D81716B"/>
    <w:rsid w:val="2D8D5DBA"/>
    <w:rsid w:val="2D9804E1"/>
    <w:rsid w:val="2DA53C82"/>
    <w:rsid w:val="2DA7178C"/>
    <w:rsid w:val="2DB95849"/>
    <w:rsid w:val="2DBB3BC7"/>
    <w:rsid w:val="2DC44641"/>
    <w:rsid w:val="2DC76AB5"/>
    <w:rsid w:val="2DCF0C0B"/>
    <w:rsid w:val="2DE24E4E"/>
    <w:rsid w:val="2E011683"/>
    <w:rsid w:val="2E013850"/>
    <w:rsid w:val="2E1901D5"/>
    <w:rsid w:val="2E243782"/>
    <w:rsid w:val="2E272B04"/>
    <w:rsid w:val="2E31770C"/>
    <w:rsid w:val="2E4C12F6"/>
    <w:rsid w:val="2E544482"/>
    <w:rsid w:val="2E54560E"/>
    <w:rsid w:val="2E594F14"/>
    <w:rsid w:val="2E607D45"/>
    <w:rsid w:val="2E7841CC"/>
    <w:rsid w:val="2E83209F"/>
    <w:rsid w:val="2E9E3FF0"/>
    <w:rsid w:val="2EAD42E7"/>
    <w:rsid w:val="2EB9479F"/>
    <w:rsid w:val="2ECC4378"/>
    <w:rsid w:val="2ED14AA3"/>
    <w:rsid w:val="2EDF2A3C"/>
    <w:rsid w:val="2EE42D97"/>
    <w:rsid w:val="2EFA7EAE"/>
    <w:rsid w:val="2F055CA7"/>
    <w:rsid w:val="2F0D4075"/>
    <w:rsid w:val="2F0D4BF4"/>
    <w:rsid w:val="2F1A008D"/>
    <w:rsid w:val="2F1E5DC6"/>
    <w:rsid w:val="2F23132D"/>
    <w:rsid w:val="2F2D68C1"/>
    <w:rsid w:val="2F2E5819"/>
    <w:rsid w:val="2F342845"/>
    <w:rsid w:val="2F421719"/>
    <w:rsid w:val="2F467BC3"/>
    <w:rsid w:val="2F5475A7"/>
    <w:rsid w:val="2F5A7294"/>
    <w:rsid w:val="2F5E31C7"/>
    <w:rsid w:val="2F6556ED"/>
    <w:rsid w:val="2F893DD9"/>
    <w:rsid w:val="2F8B1FAF"/>
    <w:rsid w:val="2F8C1BAD"/>
    <w:rsid w:val="2F925B7F"/>
    <w:rsid w:val="2FA302D9"/>
    <w:rsid w:val="2FA4482C"/>
    <w:rsid w:val="2FAC21B4"/>
    <w:rsid w:val="2FB053ED"/>
    <w:rsid w:val="2FBE38BB"/>
    <w:rsid w:val="2FD1570F"/>
    <w:rsid w:val="2FE44C40"/>
    <w:rsid w:val="2FE80C2E"/>
    <w:rsid w:val="30033829"/>
    <w:rsid w:val="300A19BE"/>
    <w:rsid w:val="301559D3"/>
    <w:rsid w:val="301C047E"/>
    <w:rsid w:val="3026060C"/>
    <w:rsid w:val="302927B4"/>
    <w:rsid w:val="302D0111"/>
    <w:rsid w:val="303323D8"/>
    <w:rsid w:val="303954A2"/>
    <w:rsid w:val="3045040E"/>
    <w:rsid w:val="30531075"/>
    <w:rsid w:val="3057653D"/>
    <w:rsid w:val="305D279C"/>
    <w:rsid w:val="305D2A59"/>
    <w:rsid w:val="306F6E51"/>
    <w:rsid w:val="30721749"/>
    <w:rsid w:val="307675B4"/>
    <w:rsid w:val="308222E9"/>
    <w:rsid w:val="30837237"/>
    <w:rsid w:val="309040EF"/>
    <w:rsid w:val="309350DF"/>
    <w:rsid w:val="30944861"/>
    <w:rsid w:val="309843CA"/>
    <w:rsid w:val="309D6DED"/>
    <w:rsid w:val="30A95DB2"/>
    <w:rsid w:val="30AE5FFA"/>
    <w:rsid w:val="30B37BCC"/>
    <w:rsid w:val="30BB211F"/>
    <w:rsid w:val="30C51FAF"/>
    <w:rsid w:val="30CF31E3"/>
    <w:rsid w:val="30E620E5"/>
    <w:rsid w:val="30E725AD"/>
    <w:rsid w:val="30EE5F87"/>
    <w:rsid w:val="30EE6E8E"/>
    <w:rsid w:val="30F34025"/>
    <w:rsid w:val="31006CF4"/>
    <w:rsid w:val="3102177B"/>
    <w:rsid w:val="31064FE4"/>
    <w:rsid w:val="310E5C94"/>
    <w:rsid w:val="310F08BA"/>
    <w:rsid w:val="311E3B79"/>
    <w:rsid w:val="312C43CB"/>
    <w:rsid w:val="312F60DE"/>
    <w:rsid w:val="314C2934"/>
    <w:rsid w:val="31590B77"/>
    <w:rsid w:val="315C55CC"/>
    <w:rsid w:val="316164CB"/>
    <w:rsid w:val="31784FC1"/>
    <w:rsid w:val="317923F6"/>
    <w:rsid w:val="317A18D0"/>
    <w:rsid w:val="31830E9D"/>
    <w:rsid w:val="31840C06"/>
    <w:rsid w:val="31881145"/>
    <w:rsid w:val="319266F0"/>
    <w:rsid w:val="31A6072E"/>
    <w:rsid w:val="31A815F8"/>
    <w:rsid w:val="31A9113B"/>
    <w:rsid w:val="31B87014"/>
    <w:rsid w:val="31BD40F2"/>
    <w:rsid w:val="31CA7244"/>
    <w:rsid w:val="31D315D8"/>
    <w:rsid w:val="31D51DB8"/>
    <w:rsid w:val="31EE7AC2"/>
    <w:rsid w:val="31F17843"/>
    <w:rsid w:val="32001232"/>
    <w:rsid w:val="3209485F"/>
    <w:rsid w:val="320D00ED"/>
    <w:rsid w:val="321A7D0D"/>
    <w:rsid w:val="32240DA9"/>
    <w:rsid w:val="322435D5"/>
    <w:rsid w:val="322922F9"/>
    <w:rsid w:val="322B1A70"/>
    <w:rsid w:val="32304530"/>
    <w:rsid w:val="324313EB"/>
    <w:rsid w:val="3253513C"/>
    <w:rsid w:val="32547A8D"/>
    <w:rsid w:val="325F1436"/>
    <w:rsid w:val="326852F8"/>
    <w:rsid w:val="326C4966"/>
    <w:rsid w:val="3272116A"/>
    <w:rsid w:val="327927E4"/>
    <w:rsid w:val="32875ACB"/>
    <w:rsid w:val="328A67D8"/>
    <w:rsid w:val="328B7E74"/>
    <w:rsid w:val="32A362BB"/>
    <w:rsid w:val="32B35085"/>
    <w:rsid w:val="32B402F8"/>
    <w:rsid w:val="32C9672E"/>
    <w:rsid w:val="32D977A7"/>
    <w:rsid w:val="32DC197F"/>
    <w:rsid w:val="32DC3B5D"/>
    <w:rsid w:val="32DE5A9D"/>
    <w:rsid w:val="32E25E1F"/>
    <w:rsid w:val="32E31088"/>
    <w:rsid w:val="32F9789E"/>
    <w:rsid w:val="330316C9"/>
    <w:rsid w:val="33164755"/>
    <w:rsid w:val="332417BF"/>
    <w:rsid w:val="333767A2"/>
    <w:rsid w:val="33526C43"/>
    <w:rsid w:val="335D58AD"/>
    <w:rsid w:val="33755A20"/>
    <w:rsid w:val="337E24E4"/>
    <w:rsid w:val="338C545C"/>
    <w:rsid w:val="33A231C7"/>
    <w:rsid w:val="33AF11CD"/>
    <w:rsid w:val="33B71897"/>
    <w:rsid w:val="33B81DE3"/>
    <w:rsid w:val="33BA23C1"/>
    <w:rsid w:val="33BB050F"/>
    <w:rsid w:val="33C24013"/>
    <w:rsid w:val="33C91265"/>
    <w:rsid w:val="33CE5CA0"/>
    <w:rsid w:val="33D134FA"/>
    <w:rsid w:val="33DF0F3E"/>
    <w:rsid w:val="33E54E09"/>
    <w:rsid w:val="33F43B4D"/>
    <w:rsid w:val="33F63062"/>
    <w:rsid w:val="33F95E02"/>
    <w:rsid w:val="342E2586"/>
    <w:rsid w:val="34327F9C"/>
    <w:rsid w:val="343417B6"/>
    <w:rsid w:val="34345869"/>
    <w:rsid w:val="343D6A23"/>
    <w:rsid w:val="344E57CE"/>
    <w:rsid w:val="34614A70"/>
    <w:rsid w:val="347348CC"/>
    <w:rsid w:val="347B06D5"/>
    <w:rsid w:val="347E5E4E"/>
    <w:rsid w:val="34B462E0"/>
    <w:rsid w:val="34C93E6E"/>
    <w:rsid w:val="34CF0EBB"/>
    <w:rsid w:val="34D3018A"/>
    <w:rsid w:val="34DB3478"/>
    <w:rsid w:val="34DB7451"/>
    <w:rsid w:val="34DE0455"/>
    <w:rsid w:val="34DE70CB"/>
    <w:rsid w:val="34EB34AC"/>
    <w:rsid w:val="350267A3"/>
    <w:rsid w:val="35202B7F"/>
    <w:rsid w:val="35291E25"/>
    <w:rsid w:val="352A4911"/>
    <w:rsid w:val="352E5990"/>
    <w:rsid w:val="35347E5E"/>
    <w:rsid w:val="3543129D"/>
    <w:rsid w:val="354541DE"/>
    <w:rsid w:val="35662417"/>
    <w:rsid w:val="35675FFE"/>
    <w:rsid w:val="356E7DF2"/>
    <w:rsid w:val="357120E6"/>
    <w:rsid w:val="35776D27"/>
    <w:rsid w:val="357A61BB"/>
    <w:rsid w:val="358302B3"/>
    <w:rsid w:val="358F2BB8"/>
    <w:rsid w:val="35914F63"/>
    <w:rsid w:val="35AB322A"/>
    <w:rsid w:val="35AD6B9C"/>
    <w:rsid w:val="35AF065E"/>
    <w:rsid w:val="35C3323B"/>
    <w:rsid w:val="35CC783D"/>
    <w:rsid w:val="35D04464"/>
    <w:rsid w:val="35EE4B3B"/>
    <w:rsid w:val="35EF5EAE"/>
    <w:rsid w:val="35F6773F"/>
    <w:rsid w:val="35FE439C"/>
    <w:rsid w:val="36087603"/>
    <w:rsid w:val="361E5551"/>
    <w:rsid w:val="362004FF"/>
    <w:rsid w:val="362066E9"/>
    <w:rsid w:val="364411F3"/>
    <w:rsid w:val="36534A2B"/>
    <w:rsid w:val="365605AB"/>
    <w:rsid w:val="3665213D"/>
    <w:rsid w:val="36652728"/>
    <w:rsid w:val="36664758"/>
    <w:rsid w:val="36707940"/>
    <w:rsid w:val="367B33FE"/>
    <w:rsid w:val="367C0C5C"/>
    <w:rsid w:val="36832176"/>
    <w:rsid w:val="36A80D1E"/>
    <w:rsid w:val="36B13142"/>
    <w:rsid w:val="36B932B8"/>
    <w:rsid w:val="36BE69F6"/>
    <w:rsid w:val="36CE3F14"/>
    <w:rsid w:val="36CF33EE"/>
    <w:rsid w:val="36CF3A06"/>
    <w:rsid w:val="36D014BD"/>
    <w:rsid w:val="36E357BF"/>
    <w:rsid w:val="36E432D2"/>
    <w:rsid w:val="36E45E61"/>
    <w:rsid w:val="36F157FC"/>
    <w:rsid w:val="370B7F8A"/>
    <w:rsid w:val="37142FA4"/>
    <w:rsid w:val="373F129E"/>
    <w:rsid w:val="37481961"/>
    <w:rsid w:val="375D1E3E"/>
    <w:rsid w:val="3762597F"/>
    <w:rsid w:val="377320B8"/>
    <w:rsid w:val="377F2132"/>
    <w:rsid w:val="377F4F81"/>
    <w:rsid w:val="37854B5B"/>
    <w:rsid w:val="3786773A"/>
    <w:rsid w:val="37932AD8"/>
    <w:rsid w:val="3795431C"/>
    <w:rsid w:val="379B733A"/>
    <w:rsid w:val="37A06F15"/>
    <w:rsid w:val="37A27E43"/>
    <w:rsid w:val="37A47B03"/>
    <w:rsid w:val="37A9530D"/>
    <w:rsid w:val="37AF1E47"/>
    <w:rsid w:val="37B3163C"/>
    <w:rsid w:val="37C84EE8"/>
    <w:rsid w:val="37C85DE6"/>
    <w:rsid w:val="37DE20C8"/>
    <w:rsid w:val="37ED6756"/>
    <w:rsid w:val="37EE7E8B"/>
    <w:rsid w:val="37FE503C"/>
    <w:rsid w:val="380C136C"/>
    <w:rsid w:val="3815162A"/>
    <w:rsid w:val="38180BCC"/>
    <w:rsid w:val="381B2FD0"/>
    <w:rsid w:val="381B7852"/>
    <w:rsid w:val="381F0F23"/>
    <w:rsid w:val="38246319"/>
    <w:rsid w:val="382F4F00"/>
    <w:rsid w:val="3834728A"/>
    <w:rsid w:val="383F7F2E"/>
    <w:rsid w:val="38457B26"/>
    <w:rsid w:val="384905DE"/>
    <w:rsid w:val="385023B1"/>
    <w:rsid w:val="3878042E"/>
    <w:rsid w:val="38784F89"/>
    <w:rsid w:val="387B6B57"/>
    <w:rsid w:val="38AE517B"/>
    <w:rsid w:val="38D63519"/>
    <w:rsid w:val="38E35F12"/>
    <w:rsid w:val="38F71600"/>
    <w:rsid w:val="38F81758"/>
    <w:rsid w:val="38FB486B"/>
    <w:rsid w:val="39056723"/>
    <w:rsid w:val="391E2C91"/>
    <w:rsid w:val="3926422B"/>
    <w:rsid w:val="39331A89"/>
    <w:rsid w:val="3940391C"/>
    <w:rsid w:val="394B386E"/>
    <w:rsid w:val="394B5136"/>
    <w:rsid w:val="39567274"/>
    <w:rsid w:val="39627EB7"/>
    <w:rsid w:val="39705634"/>
    <w:rsid w:val="39871F4C"/>
    <w:rsid w:val="39906819"/>
    <w:rsid w:val="39935C42"/>
    <w:rsid w:val="399E3F57"/>
    <w:rsid w:val="399E6655"/>
    <w:rsid w:val="39BF1AE9"/>
    <w:rsid w:val="39C935EA"/>
    <w:rsid w:val="39CA20D6"/>
    <w:rsid w:val="39CD3A71"/>
    <w:rsid w:val="39CF6562"/>
    <w:rsid w:val="39DA2C71"/>
    <w:rsid w:val="39DF3F96"/>
    <w:rsid w:val="39E94462"/>
    <w:rsid w:val="39F1790B"/>
    <w:rsid w:val="3A021774"/>
    <w:rsid w:val="3A1917B8"/>
    <w:rsid w:val="3A195548"/>
    <w:rsid w:val="3A1A2B85"/>
    <w:rsid w:val="3A1B55B0"/>
    <w:rsid w:val="3A372CE7"/>
    <w:rsid w:val="3A3F2FC0"/>
    <w:rsid w:val="3A426B31"/>
    <w:rsid w:val="3A56566D"/>
    <w:rsid w:val="3A5771CA"/>
    <w:rsid w:val="3A5F5373"/>
    <w:rsid w:val="3A60120E"/>
    <w:rsid w:val="3A8457E9"/>
    <w:rsid w:val="3A952F9B"/>
    <w:rsid w:val="3AA45EAC"/>
    <w:rsid w:val="3ABD7B89"/>
    <w:rsid w:val="3AC50924"/>
    <w:rsid w:val="3ACF4766"/>
    <w:rsid w:val="3AD37D3F"/>
    <w:rsid w:val="3AE96818"/>
    <w:rsid w:val="3AF2191D"/>
    <w:rsid w:val="3AFC71FD"/>
    <w:rsid w:val="3B0D6C43"/>
    <w:rsid w:val="3B303AA0"/>
    <w:rsid w:val="3B3C7DA5"/>
    <w:rsid w:val="3B41130E"/>
    <w:rsid w:val="3B4C3DB2"/>
    <w:rsid w:val="3B504B09"/>
    <w:rsid w:val="3B5102FE"/>
    <w:rsid w:val="3B651539"/>
    <w:rsid w:val="3B656DBF"/>
    <w:rsid w:val="3B6B5142"/>
    <w:rsid w:val="3B73751E"/>
    <w:rsid w:val="3B764496"/>
    <w:rsid w:val="3B792376"/>
    <w:rsid w:val="3B7C2DEA"/>
    <w:rsid w:val="3B81545F"/>
    <w:rsid w:val="3B8B47CF"/>
    <w:rsid w:val="3B9059FD"/>
    <w:rsid w:val="3BA052D2"/>
    <w:rsid w:val="3BAA58B1"/>
    <w:rsid w:val="3BB829D4"/>
    <w:rsid w:val="3BB863FA"/>
    <w:rsid w:val="3BBF6814"/>
    <w:rsid w:val="3BC23A0E"/>
    <w:rsid w:val="3BCB1D59"/>
    <w:rsid w:val="3BD15A61"/>
    <w:rsid w:val="3BE6193C"/>
    <w:rsid w:val="3BFC0F79"/>
    <w:rsid w:val="3BFF5BC2"/>
    <w:rsid w:val="3C04169E"/>
    <w:rsid w:val="3C043ACB"/>
    <w:rsid w:val="3C07395E"/>
    <w:rsid w:val="3C0A747E"/>
    <w:rsid w:val="3C0F2C7B"/>
    <w:rsid w:val="3C1079DE"/>
    <w:rsid w:val="3C1975A9"/>
    <w:rsid w:val="3C416BDA"/>
    <w:rsid w:val="3C435589"/>
    <w:rsid w:val="3C4444C3"/>
    <w:rsid w:val="3C4C6D49"/>
    <w:rsid w:val="3C4D305E"/>
    <w:rsid w:val="3C4F110A"/>
    <w:rsid w:val="3C60438C"/>
    <w:rsid w:val="3C6732A7"/>
    <w:rsid w:val="3C68401C"/>
    <w:rsid w:val="3C7E6FB3"/>
    <w:rsid w:val="3C8A45FC"/>
    <w:rsid w:val="3C953734"/>
    <w:rsid w:val="3CB17DFC"/>
    <w:rsid w:val="3CBB7816"/>
    <w:rsid w:val="3CBD72CF"/>
    <w:rsid w:val="3CC2265C"/>
    <w:rsid w:val="3CCE2163"/>
    <w:rsid w:val="3CD066AB"/>
    <w:rsid w:val="3CDB78F3"/>
    <w:rsid w:val="3CE70D6B"/>
    <w:rsid w:val="3CE90FFD"/>
    <w:rsid w:val="3CEB5F2A"/>
    <w:rsid w:val="3CF276C6"/>
    <w:rsid w:val="3D0728FF"/>
    <w:rsid w:val="3D140CF3"/>
    <w:rsid w:val="3D154BA8"/>
    <w:rsid w:val="3D1F43C9"/>
    <w:rsid w:val="3D25676B"/>
    <w:rsid w:val="3D357BDB"/>
    <w:rsid w:val="3D3C3F6B"/>
    <w:rsid w:val="3D3F09DA"/>
    <w:rsid w:val="3D412AC6"/>
    <w:rsid w:val="3D624AB6"/>
    <w:rsid w:val="3D641CBD"/>
    <w:rsid w:val="3D757922"/>
    <w:rsid w:val="3D8728DF"/>
    <w:rsid w:val="3DB27522"/>
    <w:rsid w:val="3DBA0DE7"/>
    <w:rsid w:val="3DD439B5"/>
    <w:rsid w:val="3DE610AB"/>
    <w:rsid w:val="3DE95942"/>
    <w:rsid w:val="3DFB53FC"/>
    <w:rsid w:val="3E05197D"/>
    <w:rsid w:val="3E074FBE"/>
    <w:rsid w:val="3E0811A4"/>
    <w:rsid w:val="3E0C41BF"/>
    <w:rsid w:val="3E16694F"/>
    <w:rsid w:val="3E1F0990"/>
    <w:rsid w:val="3E29681C"/>
    <w:rsid w:val="3E3A6C92"/>
    <w:rsid w:val="3E5B03AA"/>
    <w:rsid w:val="3E65104A"/>
    <w:rsid w:val="3E72712D"/>
    <w:rsid w:val="3E991461"/>
    <w:rsid w:val="3E9D334D"/>
    <w:rsid w:val="3E9F43A0"/>
    <w:rsid w:val="3EA0125E"/>
    <w:rsid w:val="3EA12C1D"/>
    <w:rsid w:val="3EAC6066"/>
    <w:rsid w:val="3EC0764D"/>
    <w:rsid w:val="3EC84ED0"/>
    <w:rsid w:val="3EC9788D"/>
    <w:rsid w:val="3ED830C1"/>
    <w:rsid w:val="3ED94147"/>
    <w:rsid w:val="3EEA5FB7"/>
    <w:rsid w:val="3EEE7261"/>
    <w:rsid w:val="3EF04038"/>
    <w:rsid w:val="3F067E66"/>
    <w:rsid w:val="3F1E4F89"/>
    <w:rsid w:val="3F2D158E"/>
    <w:rsid w:val="3F5F5B0A"/>
    <w:rsid w:val="3F6E75BE"/>
    <w:rsid w:val="3F6F3B4F"/>
    <w:rsid w:val="3F7B0C3E"/>
    <w:rsid w:val="3F812801"/>
    <w:rsid w:val="3F86163E"/>
    <w:rsid w:val="3F867AE0"/>
    <w:rsid w:val="3F922F0E"/>
    <w:rsid w:val="3F942AE1"/>
    <w:rsid w:val="3FB803BC"/>
    <w:rsid w:val="3FBB7C2B"/>
    <w:rsid w:val="3FD225D7"/>
    <w:rsid w:val="3FE301C3"/>
    <w:rsid w:val="3FE9328C"/>
    <w:rsid w:val="3FEB0156"/>
    <w:rsid w:val="3FED5807"/>
    <w:rsid w:val="3FEF10D8"/>
    <w:rsid w:val="3FF623EF"/>
    <w:rsid w:val="4004250A"/>
    <w:rsid w:val="401457BD"/>
    <w:rsid w:val="401E51CD"/>
    <w:rsid w:val="402F2E6D"/>
    <w:rsid w:val="40300D0E"/>
    <w:rsid w:val="40452EB0"/>
    <w:rsid w:val="40531097"/>
    <w:rsid w:val="405C723C"/>
    <w:rsid w:val="40602524"/>
    <w:rsid w:val="40756BFA"/>
    <w:rsid w:val="40825FDC"/>
    <w:rsid w:val="40833C36"/>
    <w:rsid w:val="40874723"/>
    <w:rsid w:val="40981A85"/>
    <w:rsid w:val="409E301A"/>
    <w:rsid w:val="40A66A9E"/>
    <w:rsid w:val="40A76EF3"/>
    <w:rsid w:val="40AB5D79"/>
    <w:rsid w:val="40D87256"/>
    <w:rsid w:val="40D97543"/>
    <w:rsid w:val="40E67EF3"/>
    <w:rsid w:val="410B7871"/>
    <w:rsid w:val="410C4602"/>
    <w:rsid w:val="41373F3E"/>
    <w:rsid w:val="41380022"/>
    <w:rsid w:val="41396733"/>
    <w:rsid w:val="413A7595"/>
    <w:rsid w:val="413A779B"/>
    <w:rsid w:val="413D6CEB"/>
    <w:rsid w:val="414119BC"/>
    <w:rsid w:val="414B7C4E"/>
    <w:rsid w:val="415C2051"/>
    <w:rsid w:val="41606074"/>
    <w:rsid w:val="4171572A"/>
    <w:rsid w:val="41792E20"/>
    <w:rsid w:val="41851BD1"/>
    <w:rsid w:val="41937C94"/>
    <w:rsid w:val="41AB68E1"/>
    <w:rsid w:val="41AF72C1"/>
    <w:rsid w:val="41C124F9"/>
    <w:rsid w:val="41D03CD9"/>
    <w:rsid w:val="41D20F6D"/>
    <w:rsid w:val="41D65682"/>
    <w:rsid w:val="41DD38CC"/>
    <w:rsid w:val="41EB0141"/>
    <w:rsid w:val="41F46F01"/>
    <w:rsid w:val="41F91632"/>
    <w:rsid w:val="420A6E21"/>
    <w:rsid w:val="420B640A"/>
    <w:rsid w:val="420E4C15"/>
    <w:rsid w:val="420F73FB"/>
    <w:rsid w:val="42115848"/>
    <w:rsid w:val="42271F26"/>
    <w:rsid w:val="42385A57"/>
    <w:rsid w:val="423B0C83"/>
    <w:rsid w:val="423E6CF6"/>
    <w:rsid w:val="423E710F"/>
    <w:rsid w:val="42453399"/>
    <w:rsid w:val="42545D27"/>
    <w:rsid w:val="42585005"/>
    <w:rsid w:val="42756582"/>
    <w:rsid w:val="42800834"/>
    <w:rsid w:val="428845E4"/>
    <w:rsid w:val="42895E7D"/>
    <w:rsid w:val="428B3970"/>
    <w:rsid w:val="42931289"/>
    <w:rsid w:val="42947222"/>
    <w:rsid w:val="42974016"/>
    <w:rsid w:val="429806AD"/>
    <w:rsid w:val="42A41781"/>
    <w:rsid w:val="42AF6EAF"/>
    <w:rsid w:val="42BA127A"/>
    <w:rsid w:val="42BC6491"/>
    <w:rsid w:val="42C11694"/>
    <w:rsid w:val="42C7045F"/>
    <w:rsid w:val="42D15EE7"/>
    <w:rsid w:val="42E07EA7"/>
    <w:rsid w:val="42E551A7"/>
    <w:rsid w:val="42E62140"/>
    <w:rsid w:val="43074B6B"/>
    <w:rsid w:val="43101E90"/>
    <w:rsid w:val="431369D2"/>
    <w:rsid w:val="43155376"/>
    <w:rsid w:val="431A04FB"/>
    <w:rsid w:val="431A322F"/>
    <w:rsid w:val="43267C44"/>
    <w:rsid w:val="432B03E6"/>
    <w:rsid w:val="43342D02"/>
    <w:rsid w:val="43515855"/>
    <w:rsid w:val="43575876"/>
    <w:rsid w:val="436922F9"/>
    <w:rsid w:val="43785B1D"/>
    <w:rsid w:val="43814A52"/>
    <w:rsid w:val="43877EFB"/>
    <w:rsid w:val="438C24C3"/>
    <w:rsid w:val="43A92F20"/>
    <w:rsid w:val="43AC68B2"/>
    <w:rsid w:val="43AF3496"/>
    <w:rsid w:val="43B07C6D"/>
    <w:rsid w:val="43D4154E"/>
    <w:rsid w:val="43EF3070"/>
    <w:rsid w:val="43F0750A"/>
    <w:rsid w:val="43FC4765"/>
    <w:rsid w:val="4413719D"/>
    <w:rsid w:val="44190BF7"/>
    <w:rsid w:val="441C3BED"/>
    <w:rsid w:val="44420C90"/>
    <w:rsid w:val="444314A3"/>
    <w:rsid w:val="44497A42"/>
    <w:rsid w:val="4451561F"/>
    <w:rsid w:val="44537DBC"/>
    <w:rsid w:val="4456364C"/>
    <w:rsid w:val="44620122"/>
    <w:rsid w:val="44641E1F"/>
    <w:rsid w:val="44723672"/>
    <w:rsid w:val="447804CA"/>
    <w:rsid w:val="448F2375"/>
    <w:rsid w:val="4493779E"/>
    <w:rsid w:val="44965B61"/>
    <w:rsid w:val="44984C1A"/>
    <w:rsid w:val="44986569"/>
    <w:rsid w:val="449C6625"/>
    <w:rsid w:val="44AA2B6B"/>
    <w:rsid w:val="44AC5B1B"/>
    <w:rsid w:val="44AF1CB4"/>
    <w:rsid w:val="44C82EB7"/>
    <w:rsid w:val="44D14757"/>
    <w:rsid w:val="44E86CB8"/>
    <w:rsid w:val="44EA4F9E"/>
    <w:rsid w:val="44FD16E5"/>
    <w:rsid w:val="45016584"/>
    <w:rsid w:val="45270417"/>
    <w:rsid w:val="45314EEE"/>
    <w:rsid w:val="45583629"/>
    <w:rsid w:val="455C770B"/>
    <w:rsid w:val="456A0E72"/>
    <w:rsid w:val="457734D8"/>
    <w:rsid w:val="458C013A"/>
    <w:rsid w:val="459267A0"/>
    <w:rsid w:val="45A70E51"/>
    <w:rsid w:val="45B34E9E"/>
    <w:rsid w:val="45B97366"/>
    <w:rsid w:val="45E033B4"/>
    <w:rsid w:val="45E05619"/>
    <w:rsid w:val="45EA2A62"/>
    <w:rsid w:val="45F329DC"/>
    <w:rsid w:val="45F3766A"/>
    <w:rsid w:val="460C76EA"/>
    <w:rsid w:val="462A0480"/>
    <w:rsid w:val="4634113C"/>
    <w:rsid w:val="464A3ADD"/>
    <w:rsid w:val="46597930"/>
    <w:rsid w:val="465C610C"/>
    <w:rsid w:val="465E1080"/>
    <w:rsid w:val="4666373F"/>
    <w:rsid w:val="4683561D"/>
    <w:rsid w:val="46891ADF"/>
    <w:rsid w:val="468A4033"/>
    <w:rsid w:val="468C526C"/>
    <w:rsid w:val="469D1377"/>
    <w:rsid w:val="46A20458"/>
    <w:rsid w:val="46A67B8E"/>
    <w:rsid w:val="46B12B71"/>
    <w:rsid w:val="46BB61D7"/>
    <w:rsid w:val="46C171E3"/>
    <w:rsid w:val="46C22401"/>
    <w:rsid w:val="46D701D5"/>
    <w:rsid w:val="46DA52EC"/>
    <w:rsid w:val="46E061F1"/>
    <w:rsid w:val="46E74935"/>
    <w:rsid w:val="46E813ED"/>
    <w:rsid w:val="46F07C37"/>
    <w:rsid w:val="46F378CE"/>
    <w:rsid w:val="46F7715F"/>
    <w:rsid w:val="46FF00EE"/>
    <w:rsid w:val="46FF3AD6"/>
    <w:rsid w:val="47017745"/>
    <w:rsid w:val="47041B32"/>
    <w:rsid w:val="470F6D4D"/>
    <w:rsid w:val="472170BD"/>
    <w:rsid w:val="47375F45"/>
    <w:rsid w:val="473E7703"/>
    <w:rsid w:val="47451DFC"/>
    <w:rsid w:val="47531DD7"/>
    <w:rsid w:val="47645B43"/>
    <w:rsid w:val="47672F66"/>
    <w:rsid w:val="477751EC"/>
    <w:rsid w:val="477A2088"/>
    <w:rsid w:val="479F6447"/>
    <w:rsid w:val="47A84DA9"/>
    <w:rsid w:val="47AC2DC1"/>
    <w:rsid w:val="47B54A8C"/>
    <w:rsid w:val="47B8584F"/>
    <w:rsid w:val="47BD4A55"/>
    <w:rsid w:val="47BE1862"/>
    <w:rsid w:val="47C660BC"/>
    <w:rsid w:val="47C759B2"/>
    <w:rsid w:val="47C84C3C"/>
    <w:rsid w:val="47DF7B25"/>
    <w:rsid w:val="47E133F8"/>
    <w:rsid w:val="48110298"/>
    <w:rsid w:val="48160AA7"/>
    <w:rsid w:val="4819425B"/>
    <w:rsid w:val="481B64AF"/>
    <w:rsid w:val="481D3C11"/>
    <w:rsid w:val="483C21EA"/>
    <w:rsid w:val="48465E78"/>
    <w:rsid w:val="48541B38"/>
    <w:rsid w:val="48605458"/>
    <w:rsid w:val="48651BCD"/>
    <w:rsid w:val="48745655"/>
    <w:rsid w:val="487E013D"/>
    <w:rsid w:val="487E3B6C"/>
    <w:rsid w:val="48A16E39"/>
    <w:rsid w:val="48AD22AA"/>
    <w:rsid w:val="48BA7D6D"/>
    <w:rsid w:val="48BE32E6"/>
    <w:rsid w:val="48BF0FEA"/>
    <w:rsid w:val="48C009C1"/>
    <w:rsid w:val="48C20D29"/>
    <w:rsid w:val="48C721B6"/>
    <w:rsid w:val="48D91582"/>
    <w:rsid w:val="48ED4530"/>
    <w:rsid w:val="48EE12C1"/>
    <w:rsid w:val="48F0581F"/>
    <w:rsid w:val="48F12B8B"/>
    <w:rsid w:val="48F13265"/>
    <w:rsid w:val="49004013"/>
    <w:rsid w:val="49032A86"/>
    <w:rsid w:val="491F4A2F"/>
    <w:rsid w:val="492B4677"/>
    <w:rsid w:val="493612BF"/>
    <w:rsid w:val="49365140"/>
    <w:rsid w:val="493F1D69"/>
    <w:rsid w:val="49455943"/>
    <w:rsid w:val="494855C1"/>
    <w:rsid w:val="49516A12"/>
    <w:rsid w:val="49594955"/>
    <w:rsid w:val="495C537B"/>
    <w:rsid w:val="495E7503"/>
    <w:rsid w:val="496144AA"/>
    <w:rsid w:val="497B2B11"/>
    <w:rsid w:val="498E6E61"/>
    <w:rsid w:val="49A07A0C"/>
    <w:rsid w:val="49A75B36"/>
    <w:rsid w:val="49AA59B2"/>
    <w:rsid w:val="49C07148"/>
    <w:rsid w:val="49CD2A8D"/>
    <w:rsid w:val="49CF2911"/>
    <w:rsid w:val="49CF59B6"/>
    <w:rsid w:val="49D418B1"/>
    <w:rsid w:val="49E50628"/>
    <w:rsid w:val="49E93C46"/>
    <w:rsid w:val="49EB018C"/>
    <w:rsid w:val="49EC5AA5"/>
    <w:rsid w:val="49EF1699"/>
    <w:rsid w:val="49F30E9C"/>
    <w:rsid w:val="49FD0AA4"/>
    <w:rsid w:val="4A0C7F02"/>
    <w:rsid w:val="4A0F57C3"/>
    <w:rsid w:val="4A130855"/>
    <w:rsid w:val="4A156CA7"/>
    <w:rsid w:val="4A1A4CA7"/>
    <w:rsid w:val="4A2D6303"/>
    <w:rsid w:val="4A363EB8"/>
    <w:rsid w:val="4A3B4BD8"/>
    <w:rsid w:val="4A4907E5"/>
    <w:rsid w:val="4A513344"/>
    <w:rsid w:val="4A5E387A"/>
    <w:rsid w:val="4A5F2FA3"/>
    <w:rsid w:val="4A7927AA"/>
    <w:rsid w:val="4A7B0D63"/>
    <w:rsid w:val="4A7D687D"/>
    <w:rsid w:val="4A8E7904"/>
    <w:rsid w:val="4A8F4094"/>
    <w:rsid w:val="4AA116D0"/>
    <w:rsid w:val="4AAF7853"/>
    <w:rsid w:val="4AB061E4"/>
    <w:rsid w:val="4AB11443"/>
    <w:rsid w:val="4ABB3920"/>
    <w:rsid w:val="4AC202BA"/>
    <w:rsid w:val="4AC859CA"/>
    <w:rsid w:val="4ADB3F9A"/>
    <w:rsid w:val="4ADD0CFA"/>
    <w:rsid w:val="4AF51500"/>
    <w:rsid w:val="4B002A20"/>
    <w:rsid w:val="4B022E6D"/>
    <w:rsid w:val="4B0629C6"/>
    <w:rsid w:val="4B09475D"/>
    <w:rsid w:val="4B0F4F3E"/>
    <w:rsid w:val="4B157C35"/>
    <w:rsid w:val="4B1C09F4"/>
    <w:rsid w:val="4B1F0707"/>
    <w:rsid w:val="4B2129EE"/>
    <w:rsid w:val="4B29342B"/>
    <w:rsid w:val="4B2E6623"/>
    <w:rsid w:val="4B3D17EB"/>
    <w:rsid w:val="4B410885"/>
    <w:rsid w:val="4B50375B"/>
    <w:rsid w:val="4B5140FD"/>
    <w:rsid w:val="4B514A9F"/>
    <w:rsid w:val="4B59231A"/>
    <w:rsid w:val="4B595C4C"/>
    <w:rsid w:val="4B5D3849"/>
    <w:rsid w:val="4B6A1344"/>
    <w:rsid w:val="4B7756BC"/>
    <w:rsid w:val="4B8D7C37"/>
    <w:rsid w:val="4B91311E"/>
    <w:rsid w:val="4B980238"/>
    <w:rsid w:val="4BA6718C"/>
    <w:rsid w:val="4BCC521B"/>
    <w:rsid w:val="4BD00903"/>
    <w:rsid w:val="4BD6313B"/>
    <w:rsid w:val="4BDD46E0"/>
    <w:rsid w:val="4BDD56DC"/>
    <w:rsid w:val="4BDE6987"/>
    <w:rsid w:val="4BE34048"/>
    <w:rsid w:val="4BEA162C"/>
    <w:rsid w:val="4BEC39C9"/>
    <w:rsid w:val="4BF47C24"/>
    <w:rsid w:val="4BFA2D30"/>
    <w:rsid w:val="4BFD26C8"/>
    <w:rsid w:val="4BFF06A6"/>
    <w:rsid w:val="4C0064EB"/>
    <w:rsid w:val="4C014F35"/>
    <w:rsid w:val="4C055AF1"/>
    <w:rsid w:val="4C062B81"/>
    <w:rsid w:val="4C2A71DA"/>
    <w:rsid w:val="4C3B516A"/>
    <w:rsid w:val="4C3D5BD1"/>
    <w:rsid w:val="4C3F71A8"/>
    <w:rsid w:val="4C447F3C"/>
    <w:rsid w:val="4C563314"/>
    <w:rsid w:val="4C5F28A1"/>
    <w:rsid w:val="4C7A067A"/>
    <w:rsid w:val="4C876F14"/>
    <w:rsid w:val="4C9301B2"/>
    <w:rsid w:val="4CA14250"/>
    <w:rsid w:val="4CB15826"/>
    <w:rsid w:val="4CBA7F11"/>
    <w:rsid w:val="4CCC6AD8"/>
    <w:rsid w:val="4CDC5370"/>
    <w:rsid w:val="4CEF557E"/>
    <w:rsid w:val="4D0101EC"/>
    <w:rsid w:val="4D0A1157"/>
    <w:rsid w:val="4D100485"/>
    <w:rsid w:val="4D11592D"/>
    <w:rsid w:val="4D153D64"/>
    <w:rsid w:val="4D2F59D2"/>
    <w:rsid w:val="4D363C0B"/>
    <w:rsid w:val="4D37685C"/>
    <w:rsid w:val="4D3B6DAA"/>
    <w:rsid w:val="4D41311F"/>
    <w:rsid w:val="4D5A18FE"/>
    <w:rsid w:val="4D687814"/>
    <w:rsid w:val="4D7F5C38"/>
    <w:rsid w:val="4D8E5F8B"/>
    <w:rsid w:val="4D93304A"/>
    <w:rsid w:val="4D955331"/>
    <w:rsid w:val="4D9E716C"/>
    <w:rsid w:val="4DA023BB"/>
    <w:rsid w:val="4DA421BC"/>
    <w:rsid w:val="4DB23D18"/>
    <w:rsid w:val="4DB909AF"/>
    <w:rsid w:val="4DBC24D9"/>
    <w:rsid w:val="4DC539CD"/>
    <w:rsid w:val="4DD4508E"/>
    <w:rsid w:val="4DEF1903"/>
    <w:rsid w:val="4DFB0CA7"/>
    <w:rsid w:val="4DFD3A9D"/>
    <w:rsid w:val="4E0114DA"/>
    <w:rsid w:val="4E011D29"/>
    <w:rsid w:val="4E0F4B1C"/>
    <w:rsid w:val="4E345F2C"/>
    <w:rsid w:val="4E350611"/>
    <w:rsid w:val="4E42201F"/>
    <w:rsid w:val="4E4A07D9"/>
    <w:rsid w:val="4E59654F"/>
    <w:rsid w:val="4E5A5335"/>
    <w:rsid w:val="4E5D52F4"/>
    <w:rsid w:val="4E5E1C79"/>
    <w:rsid w:val="4E60303C"/>
    <w:rsid w:val="4E7757DA"/>
    <w:rsid w:val="4E810360"/>
    <w:rsid w:val="4E97377E"/>
    <w:rsid w:val="4EA04FCD"/>
    <w:rsid w:val="4EAF7AF8"/>
    <w:rsid w:val="4EB02A00"/>
    <w:rsid w:val="4EB02AFA"/>
    <w:rsid w:val="4ECC0A63"/>
    <w:rsid w:val="4ECD2B22"/>
    <w:rsid w:val="4ED11A46"/>
    <w:rsid w:val="4EDD509D"/>
    <w:rsid w:val="4EE52AC1"/>
    <w:rsid w:val="4EE601DB"/>
    <w:rsid w:val="4EE77E17"/>
    <w:rsid w:val="4F033E62"/>
    <w:rsid w:val="4F036A55"/>
    <w:rsid w:val="4F0B4416"/>
    <w:rsid w:val="4F0E6AC9"/>
    <w:rsid w:val="4F121B0B"/>
    <w:rsid w:val="4F143918"/>
    <w:rsid w:val="4F172E60"/>
    <w:rsid w:val="4F2159C0"/>
    <w:rsid w:val="4F2B024A"/>
    <w:rsid w:val="4F2F3D4F"/>
    <w:rsid w:val="4F39005A"/>
    <w:rsid w:val="4F680013"/>
    <w:rsid w:val="4F692200"/>
    <w:rsid w:val="4F6A3BA4"/>
    <w:rsid w:val="4F760AE0"/>
    <w:rsid w:val="4F817B37"/>
    <w:rsid w:val="4FB07C78"/>
    <w:rsid w:val="50100886"/>
    <w:rsid w:val="503F19CC"/>
    <w:rsid w:val="50506634"/>
    <w:rsid w:val="50543A73"/>
    <w:rsid w:val="50583DB2"/>
    <w:rsid w:val="50660E2A"/>
    <w:rsid w:val="50665A2B"/>
    <w:rsid w:val="50673B5C"/>
    <w:rsid w:val="50681DF5"/>
    <w:rsid w:val="506A4060"/>
    <w:rsid w:val="50760C36"/>
    <w:rsid w:val="507A0041"/>
    <w:rsid w:val="5082131A"/>
    <w:rsid w:val="508274F8"/>
    <w:rsid w:val="508B158A"/>
    <w:rsid w:val="50960658"/>
    <w:rsid w:val="50982913"/>
    <w:rsid w:val="50A335EC"/>
    <w:rsid w:val="50AA2150"/>
    <w:rsid w:val="50AB1BC0"/>
    <w:rsid w:val="50BB28BF"/>
    <w:rsid w:val="50BF52A8"/>
    <w:rsid w:val="50C01B39"/>
    <w:rsid w:val="50C161BA"/>
    <w:rsid w:val="50C21833"/>
    <w:rsid w:val="50CB0142"/>
    <w:rsid w:val="50CE42A9"/>
    <w:rsid w:val="50D91C6D"/>
    <w:rsid w:val="50DD752B"/>
    <w:rsid w:val="50DE1A2C"/>
    <w:rsid w:val="50E878A3"/>
    <w:rsid w:val="50FD6417"/>
    <w:rsid w:val="510420F7"/>
    <w:rsid w:val="51107F2E"/>
    <w:rsid w:val="5112310D"/>
    <w:rsid w:val="5120133B"/>
    <w:rsid w:val="512821C5"/>
    <w:rsid w:val="512E43EE"/>
    <w:rsid w:val="513460FC"/>
    <w:rsid w:val="513C33D8"/>
    <w:rsid w:val="513D34B8"/>
    <w:rsid w:val="513F24F9"/>
    <w:rsid w:val="51402B46"/>
    <w:rsid w:val="5143219A"/>
    <w:rsid w:val="514B1EA6"/>
    <w:rsid w:val="514B43E3"/>
    <w:rsid w:val="51567631"/>
    <w:rsid w:val="51600F7C"/>
    <w:rsid w:val="5162639F"/>
    <w:rsid w:val="517902DF"/>
    <w:rsid w:val="518668E5"/>
    <w:rsid w:val="51882D23"/>
    <w:rsid w:val="519D79E5"/>
    <w:rsid w:val="51AA21BB"/>
    <w:rsid w:val="51B539F5"/>
    <w:rsid w:val="51BA7944"/>
    <w:rsid w:val="51BB248E"/>
    <w:rsid w:val="51C27787"/>
    <w:rsid w:val="51C42F09"/>
    <w:rsid w:val="51CF463C"/>
    <w:rsid w:val="51D20A7D"/>
    <w:rsid w:val="51D23F0C"/>
    <w:rsid w:val="51DA52E1"/>
    <w:rsid w:val="51DD5042"/>
    <w:rsid w:val="51DF2F38"/>
    <w:rsid w:val="51E60E87"/>
    <w:rsid w:val="51E87B8B"/>
    <w:rsid w:val="51F66CD0"/>
    <w:rsid w:val="520324A0"/>
    <w:rsid w:val="520C3AF0"/>
    <w:rsid w:val="520E5624"/>
    <w:rsid w:val="521F12B3"/>
    <w:rsid w:val="52291369"/>
    <w:rsid w:val="522B084B"/>
    <w:rsid w:val="52302EF8"/>
    <w:rsid w:val="523B4937"/>
    <w:rsid w:val="523E6488"/>
    <w:rsid w:val="52521258"/>
    <w:rsid w:val="525A455A"/>
    <w:rsid w:val="526577CA"/>
    <w:rsid w:val="52774857"/>
    <w:rsid w:val="52813BE7"/>
    <w:rsid w:val="52A85A71"/>
    <w:rsid w:val="52AC49F5"/>
    <w:rsid w:val="52AD4347"/>
    <w:rsid w:val="52B353F4"/>
    <w:rsid w:val="52B95847"/>
    <w:rsid w:val="52C418ED"/>
    <w:rsid w:val="52C539EF"/>
    <w:rsid w:val="52C81E5C"/>
    <w:rsid w:val="52CA2BF0"/>
    <w:rsid w:val="52CD6BEF"/>
    <w:rsid w:val="52CE2E79"/>
    <w:rsid w:val="52D3439C"/>
    <w:rsid w:val="52D52FB2"/>
    <w:rsid w:val="52EB482F"/>
    <w:rsid w:val="52F90701"/>
    <w:rsid w:val="53006DA6"/>
    <w:rsid w:val="53041ADB"/>
    <w:rsid w:val="53132328"/>
    <w:rsid w:val="531E6C37"/>
    <w:rsid w:val="53242CA4"/>
    <w:rsid w:val="532C5BCA"/>
    <w:rsid w:val="532D0D25"/>
    <w:rsid w:val="532D147E"/>
    <w:rsid w:val="535F5BDA"/>
    <w:rsid w:val="536D7784"/>
    <w:rsid w:val="53705D5C"/>
    <w:rsid w:val="53773CBD"/>
    <w:rsid w:val="53783DC1"/>
    <w:rsid w:val="538F188D"/>
    <w:rsid w:val="53940B95"/>
    <w:rsid w:val="53975176"/>
    <w:rsid w:val="539D34A5"/>
    <w:rsid w:val="53A02B1B"/>
    <w:rsid w:val="53BA04EF"/>
    <w:rsid w:val="53C13E8F"/>
    <w:rsid w:val="53D704E3"/>
    <w:rsid w:val="53E2517A"/>
    <w:rsid w:val="53F26FC1"/>
    <w:rsid w:val="53F6679C"/>
    <w:rsid w:val="53FC307D"/>
    <w:rsid w:val="53FE1486"/>
    <w:rsid w:val="54021BCD"/>
    <w:rsid w:val="540A3735"/>
    <w:rsid w:val="54113E11"/>
    <w:rsid w:val="54131042"/>
    <w:rsid w:val="54153A4D"/>
    <w:rsid w:val="541F323F"/>
    <w:rsid w:val="543040A5"/>
    <w:rsid w:val="54532076"/>
    <w:rsid w:val="54563723"/>
    <w:rsid w:val="545A6794"/>
    <w:rsid w:val="54640B2F"/>
    <w:rsid w:val="54657C06"/>
    <w:rsid w:val="54665733"/>
    <w:rsid w:val="546D6DB6"/>
    <w:rsid w:val="54716B27"/>
    <w:rsid w:val="547E706C"/>
    <w:rsid w:val="54824034"/>
    <w:rsid w:val="548B31D4"/>
    <w:rsid w:val="54984846"/>
    <w:rsid w:val="549A0AF6"/>
    <w:rsid w:val="54A473D2"/>
    <w:rsid w:val="54A93422"/>
    <w:rsid w:val="54B222BC"/>
    <w:rsid w:val="54B70268"/>
    <w:rsid w:val="54C00AB1"/>
    <w:rsid w:val="54C96D05"/>
    <w:rsid w:val="54CB6BA1"/>
    <w:rsid w:val="54E030F4"/>
    <w:rsid w:val="54E32C80"/>
    <w:rsid w:val="54E6138D"/>
    <w:rsid w:val="54E95BBC"/>
    <w:rsid w:val="552C5EB3"/>
    <w:rsid w:val="55382DAD"/>
    <w:rsid w:val="554A0ACF"/>
    <w:rsid w:val="555979C7"/>
    <w:rsid w:val="555C2BCF"/>
    <w:rsid w:val="556F26F3"/>
    <w:rsid w:val="557B2F88"/>
    <w:rsid w:val="557C712F"/>
    <w:rsid w:val="55A6717A"/>
    <w:rsid w:val="55A74E70"/>
    <w:rsid w:val="55B202EF"/>
    <w:rsid w:val="55C3006B"/>
    <w:rsid w:val="55C80C4F"/>
    <w:rsid w:val="55CB0D1D"/>
    <w:rsid w:val="55CD0C94"/>
    <w:rsid w:val="55D01BA6"/>
    <w:rsid w:val="55DF5717"/>
    <w:rsid w:val="55E159A4"/>
    <w:rsid w:val="55E910B6"/>
    <w:rsid w:val="55F113A2"/>
    <w:rsid w:val="55F877EC"/>
    <w:rsid w:val="55F93EBA"/>
    <w:rsid w:val="55F940B7"/>
    <w:rsid w:val="55FD2A54"/>
    <w:rsid w:val="55FD470E"/>
    <w:rsid w:val="56065100"/>
    <w:rsid w:val="561070CE"/>
    <w:rsid w:val="561A6B64"/>
    <w:rsid w:val="562B368C"/>
    <w:rsid w:val="563649DD"/>
    <w:rsid w:val="563655E8"/>
    <w:rsid w:val="56365C2E"/>
    <w:rsid w:val="563674B5"/>
    <w:rsid w:val="56367B62"/>
    <w:rsid w:val="56392021"/>
    <w:rsid w:val="56453ECA"/>
    <w:rsid w:val="564A7E16"/>
    <w:rsid w:val="564F43C7"/>
    <w:rsid w:val="5655638C"/>
    <w:rsid w:val="56572FEC"/>
    <w:rsid w:val="565F44D3"/>
    <w:rsid w:val="56607F78"/>
    <w:rsid w:val="567300E6"/>
    <w:rsid w:val="56754E44"/>
    <w:rsid w:val="56770197"/>
    <w:rsid w:val="567B1F2B"/>
    <w:rsid w:val="56867CAC"/>
    <w:rsid w:val="56A17A26"/>
    <w:rsid w:val="56B82F30"/>
    <w:rsid w:val="56B94260"/>
    <w:rsid w:val="56CB030D"/>
    <w:rsid w:val="56D227CA"/>
    <w:rsid w:val="56D51AEF"/>
    <w:rsid w:val="56D93732"/>
    <w:rsid w:val="56EC26FD"/>
    <w:rsid w:val="57025219"/>
    <w:rsid w:val="570526CD"/>
    <w:rsid w:val="570F47BE"/>
    <w:rsid w:val="571A030C"/>
    <w:rsid w:val="571F35BD"/>
    <w:rsid w:val="57231F21"/>
    <w:rsid w:val="57330FE1"/>
    <w:rsid w:val="574040F3"/>
    <w:rsid w:val="57433831"/>
    <w:rsid w:val="5754051B"/>
    <w:rsid w:val="575E5C30"/>
    <w:rsid w:val="57690E4F"/>
    <w:rsid w:val="576A7713"/>
    <w:rsid w:val="57774733"/>
    <w:rsid w:val="5781789E"/>
    <w:rsid w:val="5791008B"/>
    <w:rsid w:val="57935A23"/>
    <w:rsid w:val="579920D9"/>
    <w:rsid w:val="579A2E34"/>
    <w:rsid w:val="57B02BD0"/>
    <w:rsid w:val="57B45167"/>
    <w:rsid w:val="57CA5074"/>
    <w:rsid w:val="57D769D6"/>
    <w:rsid w:val="57DA3005"/>
    <w:rsid w:val="57E74B54"/>
    <w:rsid w:val="57F1178B"/>
    <w:rsid w:val="57F1635C"/>
    <w:rsid w:val="57F44CAC"/>
    <w:rsid w:val="57F51D84"/>
    <w:rsid w:val="57F60E39"/>
    <w:rsid w:val="57FF0F4F"/>
    <w:rsid w:val="58042A56"/>
    <w:rsid w:val="58085C3D"/>
    <w:rsid w:val="580A6EDB"/>
    <w:rsid w:val="5821289C"/>
    <w:rsid w:val="5830091C"/>
    <w:rsid w:val="5839077A"/>
    <w:rsid w:val="583B74D0"/>
    <w:rsid w:val="583E5434"/>
    <w:rsid w:val="58427516"/>
    <w:rsid w:val="5863420A"/>
    <w:rsid w:val="587C036F"/>
    <w:rsid w:val="5890707C"/>
    <w:rsid w:val="58957B8C"/>
    <w:rsid w:val="589859D5"/>
    <w:rsid w:val="58C462F4"/>
    <w:rsid w:val="58D44CF7"/>
    <w:rsid w:val="58DC7A23"/>
    <w:rsid w:val="58E120C2"/>
    <w:rsid w:val="58F87A38"/>
    <w:rsid w:val="58FC22F8"/>
    <w:rsid w:val="5929788E"/>
    <w:rsid w:val="59313B43"/>
    <w:rsid w:val="59351AA3"/>
    <w:rsid w:val="5938606F"/>
    <w:rsid w:val="593A75C5"/>
    <w:rsid w:val="593B05DA"/>
    <w:rsid w:val="5943699B"/>
    <w:rsid w:val="5948761B"/>
    <w:rsid w:val="594C242A"/>
    <w:rsid w:val="594E748C"/>
    <w:rsid w:val="59583D39"/>
    <w:rsid w:val="598B6C27"/>
    <w:rsid w:val="598E0D3B"/>
    <w:rsid w:val="59A35379"/>
    <w:rsid w:val="59AA7F0E"/>
    <w:rsid w:val="59B53395"/>
    <w:rsid w:val="59B718F9"/>
    <w:rsid w:val="59C30A60"/>
    <w:rsid w:val="59C43B2B"/>
    <w:rsid w:val="59CF6921"/>
    <w:rsid w:val="59DF69ED"/>
    <w:rsid w:val="59E60E2A"/>
    <w:rsid w:val="5A040B17"/>
    <w:rsid w:val="5A075673"/>
    <w:rsid w:val="5A0D04AE"/>
    <w:rsid w:val="5A103B90"/>
    <w:rsid w:val="5A1A2C4A"/>
    <w:rsid w:val="5A1E48C2"/>
    <w:rsid w:val="5A232EE3"/>
    <w:rsid w:val="5A246664"/>
    <w:rsid w:val="5A3728F0"/>
    <w:rsid w:val="5A434151"/>
    <w:rsid w:val="5A471F60"/>
    <w:rsid w:val="5A4907E4"/>
    <w:rsid w:val="5A4A12C4"/>
    <w:rsid w:val="5A5574BB"/>
    <w:rsid w:val="5A557EB5"/>
    <w:rsid w:val="5A5D411C"/>
    <w:rsid w:val="5A602845"/>
    <w:rsid w:val="5A664A8A"/>
    <w:rsid w:val="5A681BF1"/>
    <w:rsid w:val="5A6E398A"/>
    <w:rsid w:val="5A987FB9"/>
    <w:rsid w:val="5A9F3D40"/>
    <w:rsid w:val="5AA862DB"/>
    <w:rsid w:val="5AAE46AA"/>
    <w:rsid w:val="5AB204D6"/>
    <w:rsid w:val="5ABA380B"/>
    <w:rsid w:val="5ADD68C2"/>
    <w:rsid w:val="5AE32AE6"/>
    <w:rsid w:val="5AE412C2"/>
    <w:rsid w:val="5AE83649"/>
    <w:rsid w:val="5AF01F35"/>
    <w:rsid w:val="5AF3320E"/>
    <w:rsid w:val="5B19529D"/>
    <w:rsid w:val="5B264F16"/>
    <w:rsid w:val="5B3E502A"/>
    <w:rsid w:val="5B3F06DB"/>
    <w:rsid w:val="5B4356DA"/>
    <w:rsid w:val="5B4D464F"/>
    <w:rsid w:val="5B565EED"/>
    <w:rsid w:val="5B6349B8"/>
    <w:rsid w:val="5B7149F1"/>
    <w:rsid w:val="5B7D3D4C"/>
    <w:rsid w:val="5B801E98"/>
    <w:rsid w:val="5B930800"/>
    <w:rsid w:val="5BA0349A"/>
    <w:rsid w:val="5BA25E62"/>
    <w:rsid w:val="5BA46E39"/>
    <w:rsid w:val="5BA50AD1"/>
    <w:rsid w:val="5BB31251"/>
    <w:rsid w:val="5BC04523"/>
    <w:rsid w:val="5BC97DE9"/>
    <w:rsid w:val="5BD514F1"/>
    <w:rsid w:val="5BE43AD3"/>
    <w:rsid w:val="5BE518DC"/>
    <w:rsid w:val="5BEF0E43"/>
    <w:rsid w:val="5BF279CB"/>
    <w:rsid w:val="5BF77A75"/>
    <w:rsid w:val="5BFF0BB6"/>
    <w:rsid w:val="5C010172"/>
    <w:rsid w:val="5C047C0C"/>
    <w:rsid w:val="5C0800A1"/>
    <w:rsid w:val="5C0A6022"/>
    <w:rsid w:val="5C1E7FB5"/>
    <w:rsid w:val="5C226B2B"/>
    <w:rsid w:val="5C244811"/>
    <w:rsid w:val="5C306AB3"/>
    <w:rsid w:val="5C341906"/>
    <w:rsid w:val="5C4A08CE"/>
    <w:rsid w:val="5C671D5D"/>
    <w:rsid w:val="5C764759"/>
    <w:rsid w:val="5C780D81"/>
    <w:rsid w:val="5C7A4359"/>
    <w:rsid w:val="5C7E21C5"/>
    <w:rsid w:val="5CA2483B"/>
    <w:rsid w:val="5CAF3518"/>
    <w:rsid w:val="5CB010EE"/>
    <w:rsid w:val="5CB3331F"/>
    <w:rsid w:val="5CB55472"/>
    <w:rsid w:val="5CBB4A10"/>
    <w:rsid w:val="5CBF2642"/>
    <w:rsid w:val="5CC231C7"/>
    <w:rsid w:val="5CD70A5F"/>
    <w:rsid w:val="5CDB4FC8"/>
    <w:rsid w:val="5CE444CA"/>
    <w:rsid w:val="5CEA3521"/>
    <w:rsid w:val="5D011A97"/>
    <w:rsid w:val="5D09133D"/>
    <w:rsid w:val="5D190519"/>
    <w:rsid w:val="5D2D3341"/>
    <w:rsid w:val="5D397725"/>
    <w:rsid w:val="5D3D435A"/>
    <w:rsid w:val="5D4E6909"/>
    <w:rsid w:val="5D4F5BC3"/>
    <w:rsid w:val="5D5B03C3"/>
    <w:rsid w:val="5D616801"/>
    <w:rsid w:val="5D624A8F"/>
    <w:rsid w:val="5D6E22AC"/>
    <w:rsid w:val="5D6E6800"/>
    <w:rsid w:val="5D7842D3"/>
    <w:rsid w:val="5D8164DD"/>
    <w:rsid w:val="5D886297"/>
    <w:rsid w:val="5DA40E8D"/>
    <w:rsid w:val="5DCA24E7"/>
    <w:rsid w:val="5DDB710D"/>
    <w:rsid w:val="5DDD54BF"/>
    <w:rsid w:val="5DE01715"/>
    <w:rsid w:val="5DE03BCF"/>
    <w:rsid w:val="5DEE3AC0"/>
    <w:rsid w:val="5DF07B1E"/>
    <w:rsid w:val="5DF6271C"/>
    <w:rsid w:val="5DFA4F4B"/>
    <w:rsid w:val="5E0851AC"/>
    <w:rsid w:val="5E2872E8"/>
    <w:rsid w:val="5E340FC7"/>
    <w:rsid w:val="5E3762D9"/>
    <w:rsid w:val="5E38357C"/>
    <w:rsid w:val="5E387A14"/>
    <w:rsid w:val="5E421222"/>
    <w:rsid w:val="5E4A59E7"/>
    <w:rsid w:val="5E4E5934"/>
    <w:rsid w:val="5E5C408E"/>
    <w:rsid w:val="5E6838D1"/>
    <w:rsid w:val="5E6D0203"/>
    <w:rsid w:val="5E7205D5"/>
    <w:rsid w:val="5E7F6F4D"/>
    <w:rsid w:val="5E8054AC"/>
    <w:rsid w:val="5E8D5E03"/>
    <w:rsid w:val="5E99223B"/>
    <w:rsid w:val="5EA20588"/>
    <w:rsid w:val="5EA26A35"/>
    <w:rsid w:val="5EA309BC"/>
    <w:rsid w:val="5EB22BF1"/>
    <w:rsid w:val="5EBC22A1"/>
    <w:rsid w:val="5EC97EE0"/>
    <w:rsid w:val="5ED60635"/>
    <w:rsid w:val="5ED7582B"/>
    <w:rsid w:val="5EE93B70"/>
    <w:rsid w:val="5EF069FA"/>
    <w:rsid w:val="5EF56606"/>
    <w:rsid w:val="5EFA1D84"/>
    <w:rsid w:val="5EFC3C5C"/>
    <w:rsid w:val="5F0345EF"/>
    <w:rsid w:val="5F0E6504"/>
    <w:rsid w:val="5F1624A0"/>
    <w:rsid w:val="5F2464EA"/>
    <w:rsid w:val="5F2556F8"/>
    <w:rsid w:val="5F361247"/>
    <w:rsid w:val="5F3F7625"/>
    <w:rsid w:val="5F450A54"/>
    <w:rsid w:val="5F472817"/>
    <w:rsid w:val="5F4E3E35"/>
    <w:rsid w:val="5F65126D"/>
    <w:rsid w:val="5F7C76CB"/>
    <w:rsid w:val="5F8209F5"/>
    <w:rsid w:val="5F851A81"/>
    <w:rsid w:val="5F870CD7"/>
    <w:rsid w:val="5F934D13"/>
    <w:rsid w:val="5FA54418"/>
    <w:rsid w:val="5FAA7F21"/>
    <w:rsid w:val="5FAB2CE3"/>
    <w:rsid w:val="5FAD7579"/>
    <w:rsid w:val="5FBE3C12"/>
    <w:rsid w:val="5FC05838"/>
    <w:rsid w:val="5FCB2E0F"/>
    <w:rsid w:val="5FCF0510"/>
    <w:rsid w:val="5FD641A2"/>
    <w:rsid w:val="5FD95C28"/>
    <w:rsid w:val="5FE65A16"/>
    <w:rsid w:val="5FEA7D16"/>
    <w:rsid w:val="5FEB396E"/>
    <w:rsid w:val="5FFC3ABA"/>
    <w:rsid w:val="600123DB"/>
    <w:rsid w:val="60057BD0"/>
    <w:rsid w:val="6015568F"/>
    <w:rsid w:val="60182510"/>
    <w:rsid w:val="601B39F0"/>
    <w:rsid w:val="602D3B2B"/>
    <w:rsid w:val="602E4ABD"/>
    <w:rsid w:val="602E7D42"/>
    <w:rsid w:val="60396726"/>
    <w:rsid w:val="60434110"/>
    <w:rsid w:val="6052100F"/>
    <w:rsid w:val="60527275"/>
    <w:rsid w:val="6053567B"/>
    <w:rsid w:val="6070725C"/>
    <w:rsid w:val="607238A5"/>
    <w:rsid w:val="60761768"/>
    <w:rsid w:val="608B51EA"/>
    <w:rsid w:val="60B400EC"/>
    <w:rsid w:val="60B905F3"/>
    <w:rsid w:val="60C345AA"/>
    <w:rsid w:val="60C45FFD"/>
    <w:rsid w:val="60C50406"/>
    <w:rsid w:val="60C65C2C"/>
    <w:rsid w:val="60C818AE"/>
    <w:rsid w:val="60C90BD3"/>
    <w:rsid w:val="60D53DCF"/>
    <w:rsid w:val="60ED1F9C"/>
    <w:rsid w:val="60ED4C93"/>
    <w:rsid w:val="610415BB"/>
    <w:rsid w:val="61114351"/>
    <w:rsid w:val="611E6DB7"/>
    <w:rsid w:val="61327616"/>
    <w:rsid w:val="61335E3E"/>
    <w:rsid w:val="613B24A1"/>
    <w:rsid w:val="61584C85"/>
    <w:rsid w:val="615F388A"/>
    <w:rsid w:val="615F4317"/>
    <w:rsid w:val="61631D18"/>
    <w:rsid w:val="61702885"/>
    <w:rsid w:val="61725C54"/>
    <w:rsid w:val="6175595E"/>
    <w:rsid w:val="61786C61"/>
    <w:rsid w:val="6179504F"/>
    <w:rsid w:val="618D6B11"/>
    <w:rsid w:val="619D52EF"/>
    <w:rsid w:val="61A66F89"/>
    <w:rsid w:val="61B4342B"/>
    <w:rsid w:val="61B7146B"/>
    <w:rsid w:val="61C03A37"/>
    <w:rsid w:val="61CF38F8"/>
    <w:rsid w:val="61D52C52"/>
    <w:rsid w:val="61E251F3"/>
    <w:rsid w:val="61E55E53"/>
    <w:rsid w:val="61E572CA"/>
    <w:rsid w:val="61E6165E"/>
    <w:rsid w:val="61F265D3"/>
    <w:rsid w:val="61F904BC"/>
    <w:rsid w:val="61FA24B9"/>
    <w:rsid w:val="62074F6D"/>
    <w:rsid w:val="620C3606"/>
    <w:rsid w:val="620E2701"/>
    <w:rsid w:val="62145A3E"/>
    <w:rsid w:val="621F41A4"/>
    <w:rsid w:val="62263F49"/>
    <w:rsid w:val="6226504D"/>
    <w:rsid w:val="62322573"/>
    <w:rsid w:val="62335B90"/>
    <w:rsid w:val="62431761"/>
    <w:rsid w:val="624E0623"/>
    <w:rsid w:val="62512AD5"/>
    <w:rsid w:val="62536463"/>
    <w:rsid w:val="6255136F"/>
    <w:rsid w:val="62620E6D"/>
    <w:rsid w:val="62664464"/>
    <w:rsid w:val="62673636"/>
    <w:rsid w:val="62681508"/>
    <w:rsid w:val="6272555A"/>
    <w:rsid w:val="62730367"/>
    <w:rsid w:val="627C640F"/>
    <w:rsid w:val="629B426B"/>
    <w:rsid w:val="62AB23AE"/>
    <w:rsid w:val="62AF39C3"/>
    <w:rsid w:val="62B260A2"/>
    <w:rsid w:val="62B934ED"/>
    <w:rsid w:val="62BD1FE4"/>
    <w:rsid w:val="62C51493"/>
    <w:rsid w:val="62CA6F4A"/>
    <w:rsid w:val="62CC393B"/>
    <w:rsid w:val="62CE3AAD"/>
    <w:rsid w:val="62E06B83"/>
    <w:rsid w:val="62E719F2"/>
    <w:rsid w:val="62FD7ED4"/>
    <w:rsid w:val="62FF055C"/>
    <w:rsid w:val="62FF58E7"/>
    <w:rsid w:val="63033826"/>
    <w:rsid w:val="63046CD6"/>
    <w:rsid w:val="63101FC3"/>
    <w:rsid w:val="63110BD7"/>
    <w:rsid w:val="63112E82"/>
    <w:rsid w:val="631471BD"/>
    <w:rsid w:val="63193B3E"/>
    <w:rsid w:val="631F350B"/>
    <w:rsid w:val="6322141E"/>
    <w:rsid w:val="6324439E"/>
    <w:rsid w:val="6327291C"/>
    <w:rsid w:val="634A2117"/>
    <w:rsid w:val="63613B44"/>
    <w:rsid w:val="63617C3F"/>
    <w:rsid w:val="63663411"/>
    <w:rsid w:val="63693E52"/>
    <w:rsid w:val="636E5379"/>
    <w:rsid w:val="636E5C0D"/>
    <w:rsid w:val="63725411"/>
    <w:rsid w:val="63764367"/>
    <w:rsid w:val="638C029E"/>
    <w:rsid w:val="63A931DA"/>
    <w:rsid w:val="63BF2AA4"/>
    <w:rsid w:val="63D40918"/>
    <w:rsid w:val="63D430FA"/>
    <w:rsid w:val="63D873B3"/>
    <w:rsid w:val="63D91DAE"/>
    <w:rsid w:val="63F22584"/>
    <w:rsid w:val="64015898"/>
    <w:rsid w:val="641261B1"/>
    <w:rsid w:val="64163E99"/>
    <w:rsid w:val="641D53F9"/>
    <w:rsid w:val="641E3A4F"/>
    <w:rsid w:val="641F6C60"/>
    <w:rsid w:val="6436137F"/>
    <w:rsid w:val="64410544"/>
    <w:rsid w:val="6452759F"/>
    <w:rsid w:val="645E347D"/>
    <w:rsid w:val="6469515D"/>
    <w:rsid w:val="646973C5"/>
    <w:rsid w:val="64714BD8"/>
    <w:rsid w:val="6472228E"/>
    <w:rsid w:val="647B3489"/>
    <w:rsid w:val="648471BD"/>
    <w:rsid w:val="64940FF4"/>
    <w:rsid w:val="64980C6D"/>
    <w:rsid w:val="649D1428"/>
    <w:rsid w:val="64BC309B"/>
    <w:rsid w:val="64D42B0D"/>
    <w:rsid w:val="64DE29BA"/>
    <w:rsid w:val="64DF0ED2"/>
    <w:rsid w:val="64E43804"/>
    <w:rsid w:val="64F46FD2"/>
    <w:rsid w:val="64F549AC"/>
    <w:rsid w:val="64F8178D"/>
    <w:rsid w:val="650B7D2C"/>
    <w:rsid w:val="65290E28"/>
    <w:rsid w:val="652E2E79"/>
    <w:rsid w:val="653D1103"/>
    <w:rsid w:val="65483DA3"/>
    <w:rsid w:val="65621FA1"/>
    <w:rsid w:val="65727D75"/>
    <w:rsid w:val="65840ACD"/>
    <w:rsid w:val="65942986"/>
    <w:rsid w:val="65A15117"/>
    <w:rsid w:val="65A2510B"/>
    <w:rsid w:val="65B33DA6"/>
    <w:rsid w:val="65BE45F7"/>
    <w:rsid w:val="65CF40BF"/>
    <w:rsid w:val="65DC2619"/>
    <w:rsid w:val="65E20DFE"/>
    <w:rsid w:val="65F723A4"/>
    <w:rsid w:val="660727F2"/>
    <w:rsid w:val="66165B24"/>
    <w:rsid w:val="661C16C8"/>
    <w:rsid w:val="66222AF8"/>
    <w:rsid w:val="6627079F"/>
    <w:rsid w:val="662E3479"/>
    <w:rsid w:val="66340CB0"/>
    <w:rsid w:val="6641289B"/>
    <w:rsid w:val="664A6CD2"/>
    <w:rsid w:val="664B794E"/>
    <w:rsid w:val="664C0962"/>
    <w:rsid w:val="664F5244"/>
    <w:rsid w:val="666B61B3"/>
    <w:rsid w:val="666C1A5E"/>
    <w:rsid w:val="667F16D7"/>
    <w:rsid w:val="667F7D85"/>
    <w:rsid w:val="668101B0"/>
    <w:rsid w:val="66895425"/>
    <w:rsid w:val="668C08F1"/>
    <w:rsid w:val="6696674D"/>
    <w:rsid w:val="66974F3D"/>
    <w:rsid w:val="66A149C9"/>
    <w:rsid w:val="66A448F1"/>
    <w:rsid w:val="66B406FF"/>
    <w:rsid w:val="66BD000E"/>
    <w:rsid w:val="66C0211F"/>
    <w:rsid w:val="66CE5B10"/>
    <w:rsid w:val="66D654FF"/>
    <w:rsid w:val="66DE2157"/>
    <w:rsid w:val="66E819D7"/>
    <w:rsid w:val="66E90B52"/>
    <w:rsid w:val="66FC48AD"/>
    <w:rsid w:val="67007FBE"/>
    <w:rsid w:val="670D09EB"/>
    <w:rsid w:val="67184EF8"/>
    <w:rsid w:val="671948F5"/>
    <w:rsid w:val="671B52CA"/>
    <w:rsid w:val="671E32F5"/>
    <w:rsid w:val="6738785E"/>
    <w:rsid w:val="67455C80"/>
    <w:rsid w:val="674E70DC"/>
    <w:rsid w:val="67500D17"/>
    <w:rsid w:val="67580C06"/>
    <w:rsid w:val="675E7B94"/>
    <w:rsid w:val="67623859"/>
    <w:rsid w:val="67631224"/>
    <w:rsid w:val="677D2D55"/>
    <w:rsid w:val="67804BC2"/>
    <w:rsid w:val="67870B7B"/>
    <w:rsid w:val="678E07C6"/>
    <w:rsid w:val="678F3496"/>
    <w:rsid w:val="679D6FF4"/>
    <w:rsid w:val="67A105DD"/>
    <w:rsid w:val="67C31474"/>
    <w:rsid w:val="67C44765"/>
    <w:rsid w:val="67CC7664"/>
    <w:rsid w:val="67D67C1A"/>
    <w:rsid w:val="67DF1A8A"/>
    <w:rsid w:val="67F12F74"/>
    <w:rsid w:val="680E7CB8"/>
    <w:rsid w:val="68141A4C"/>
    <w:rsid w:val="681472ED"/>
    <w:rsid w:val="681E5881"/>
    <w:rsid w:val="68261ACF"/>
    <w:rsid w:val="68371E87"/>
    <w:rsid w:val="68380A25"/>
    <w:rsid w:val="68400078"/>
    <w:rsid w:val="685435DF"/>
    <w:rsid w:val="6868116F"/>
    <w:rsid w:val="6889395B"/>
    <w:rsid w:val="68961081"/>
    <w:rsid w:val="68A64A61"/>
    <w:rsid w:val="68B73C3E"/>
    <w:rsid w:val="68BA4D89"/>
    <w:rsid w:val="68CA7775"/>
    <w:rsid w:val="68D12EBB"/>
    <w:rsid w:val="68E9147C"/>
    <w:rsid w:val="68E958CC"/>
    <w:rsid w:val="68F80539"/>
    <w:rsid w:val="68FC26F7"/>
    <w:rsid w:val="69070A95"/>
    <w:rsid w:val="690F7BE4"/>
    <w:rsid w:val="69147C4F"/>
    <w:rsid w:val="692C606C"/>
    <w:rsid w:val="694D7694"/>
    <w:rsid w:val="69517793"/>
    <w:rsid w:val="69541FA4"/>
    <w:rsid w:val="695C7531"/>
    <w:rsid w:val="69602EEE"/>
    <w:rsid w:val="69657E2E"/>
    <w:rsid w:val="69747D39"/>
    <w:rsid w:val="6989582D"/>
    <w:rsid w:val="698F58C5"/>
    <w:rsid w:val="699E641D"/>
    <w:rsid w:val="69A9357D"/>
    <w:rsid w:val="69B17D0A"/>
    <w:rsid w:val="69BF761B"/>
    <w:rsid w:val="69CB57AB"/>
    <w:rsid w:val="69CB66E6"/>
    <w:rsid w:val="69DB27C0"/>
    <w:rsid w:val="69E57691"/>
    <w:rsid w:val="69F43BDC"/>
    <w:rsid w:val="69F513F8"/>
    <w:rsid w:val="6A002402"/>
    <w:rsid w:val="6A0D33C2"/>
    <w:rsid w:val="6A166966"/>
    <w:rsid w:val="6A2F4124"/>
    <w:rsid w:val="6A335E50"/>
    <w:rsid w:val="6A3B18E7"/>
    <w:rsid w:val="6A4508B0"/>
    <w:rsid w:val="6A454483"/>
    <w:rsid w:val="6A4C62B8"/>
    <w:rsid w:val="6A512860"/>
    <w:rsid w:val="6A6055DE"/>
    <w:rsid w:val="6A664670"/>
    <w:rsid w:val="6A6A5430"/>
    <w:rsid w:val="6A837284"/>
    <w:rsid w:val="6A935230"/>
    <w:rsid w:val="6A996742"/>
    <w:rsid w:val="6AA44825"/>
    <w:rsid w:val="6AB401A2"/>
    <w:rsid w:val="6AB47997"/>
    <w:rsid w:val="6AC72E1A"/>
    <w:rsid w:val="6ACC4372"/>
    <w:rsid w:val="6AE400FF"/>
    <w:rsid w:val="6AE461AD"/>
    <w:rsid w:val="6AE65093"/>
    <w:rsid w:val="6AEF65E6"/>
    <w:rsid w:val="6AF43944"/>
    <w:rsid w:val="6B353C69"/>
    <w:rsid w:val="6B37755E"/>
    <w:rsid w:val="6B3F08AE"/>
    <w:rsid w:val="6B521BD5"/>
    <w:rsid w:val="6B5427FA"/>
    <w:rsid w:val="6B563B97"/>
    <w:rsid w:val="6B69566B"/>
    <w:rsid w:val="6B780A0C"/>
    <w:rsid w:val="6B7D18E3"/>
    <w:rsid w:val="6B8E15AC"/>
    <w:rsid w:val="6B9E2AD3"/>
    <w:rsid w:val="6BA10998"/>
    <w:rsid w:val="6BA854E8"/>
    <w:rsid w:val="6BA97EFD"/>
    <w:rsid w:val="6BC81A9A"/>
    <w:rsid w:val="6BC8480E"/>
    <w:rsid w:val="6BD95B85"/>
    <w:rsid w:val="6BDD1068"/>
    <w:rsid w:val="6BDE7655"/>
    <w:rsid w:val="6BE74E05"/>
    <w:rsid w:val="6BED3DB3"/>
    <w:rsid w:val="6BF72F38"/>
    <w:rsid w:val="6BF77D6C"/>
    <w:rsid w:val="6BFA717B"/>
    <w:rsid w:val="6C065856"/>
    <w:rsid w:val="6C261D38"/>
    <w:rsid w:val="6C2A74A4"/>
    <w:rsid w:val="6C354FB6"/>
    <w:rsid w:val="6C387ED8"/>
    <w:rsid w:val="6C4718FB"/>
    <w:rsid w:val="6C5C2BAF"/>
    <w:rsid w:val="6C625036"/>
    <w:rsid w:val="6C6D4A37"/>
    <w:rsid w:val="6C6D7262"/>
    <w:rsid w:val="6C6F0A37"/>
    <w:rsid w:val="6C86041B"/>
    <w:rsid w:val="6C8A45D5"/>
    <w:rsid w:val="6C8C49CF"/>
    <w:rsid w:val="6C9069CF"/>
    <w:rsid w:val="6C9D1787"/>
    <w:rsid w:val="6CA4216E"/>
    <w:rsid w:val="6CA44DB8"/>
    <w:rsid w:val="6CA75AA2"/>
    <w:rsid w:val="6CA95B15"/>
    <w:rsid w:val="6CB52B9E"/>
    <w:rsid w:val="6CC5455B"/>
    <w:rsid w:val="6CC62C2C"/>
    <w:rsid w:val="6CCD4A60"/>
    <w:rsid w:val="6CE82177"/>
    <w:rsid w:val="6CEB2609"/>
    <w:rsid w:val="6CFC572F"/>
    <w:rsid w:val="6CFE37CA"/>
    <w:rsid w:val="6D13285A"/>
    <w:rsid w:val="6D1C0FED"/>
    <w:rsid w:val="6D214955"/>
    <w:rsid w:val="6D24131E"/>
    <w:rsid w:val="6D261D0F"/>
    <w:rsid w:val="6D517BB9"/>
    <w:rsid w:val="6D530358"/>
    <w:rsid w:val="6D531591"/>
    <w:rsid w:val="6D583F1A"/>
    <w:rsid w:val="6D595250"/>
    <w:rsid w:val="6D606442"/>
    <w:rsid w:val="6D612FC0"/>
    <w:rsid w:val="6D65485E"/>
    <w:rsid w:val="6D696FA7"/>
    <w:rsid w:val="6D6C3FB3"/>
    <w:rsid w:val="6D6F583F"/>
    <w:rsid w:val="6D8E6DC2"/>
    <w:rsid w:val="6DC31716"/>
    <w:rsid w:val="6DC67B27"/>
    <w:rsid w:val="6DC80BA1"/>
    <w:rsid w:val="6DD20A32"/>
    <w:rsid w:val="6DDD2215"/>
    <w:rsid w:val="6DF16741"/>
    <w:rsid w:val="6E047F0C"/>
    <w:rsid w:val="6E0E44AA"/>
    <w:rsid w:val="6E13664D"/>
    <w:rsid w:val="6E2A77E7"/>
    <w:rsid w:val="6E3762D4"/>
    <w:rsid w:val="6E381359"/>
    <w:rsid w:val="6E386383"/>
    <w:rsid w:val="6E3B1B68"/>
    <w:rsid w:val="6E3C1CAB"/>
    <w:rsid w:val="6E5346EA"/>
    <w:rsid w:val="6E5374E4"/>
    <w:rsid w:val="6E5B351E"/>
    <w:rsid w:val="6E647E42"/>
    <w:rsid w:val="6E671920"/>
    <w:rsid w:val="6E8221BD"/>
    <w:rsid w:val="6E8A099C"/>
    <w:rsid w:val="6EA72D93"/>
    <w:rsid w:val="6EAA56F6"/>
    <w:rsid w:val="6EAD4200"/>
    <w:rsid w:val="6EB13C75"/>
    <w:rsid w:val="6ECB0CA3"/>
    <w:rsid w:val="6ECE0B27"/>
    <w:rsid w:val="6ED02623"/>
    <w:rsid w:val="6ED92856"/>
    <w:rsid w:val="6EDF1AD6"/>
    <w:rsid w:val="6EEB2A66"/>
    <w:rsid w:val="6EF77132"/>
    <w:rsid w:val="6EFC3A87"/>
    <w:rsid w:val="6F084036"/>
    <w:rsid w:val="6F0913AC"/>
    <w:rsid w:val="6F0A702E"/>
    <w:rsid w:val="6F1C28F9"/>
    <w:rsid w:val="6F1D4537"/>
    <w:rsid w:val="6F206148"/>
    <w:rsid w:val="6F2464EF"/>
    <w:rsid w:val="6F25291A"/>
    <w:rsid w:val="6F2A63C0"/>
    <w:rsid w:val="6F2C3765"/>
    <w:rsid w:val="6F3B4827"/>
    <w:rsid w:val="6F493831"/>
    <w:rsid w:val="6F6531B8"/>
    <w:rsid w:val="6F6C3DB3"/>
    <w:rsid w:val="6F7C5BB2"/>
    <w:rsid w:val="6F966872"/>
    <w:rsid w:val="6FAE1262"/>
    <w:rsid w:val="6FB90805"/>
    <w:rsid w:val="6FBF25D3"/>
    <w:rsid w:val="6FC73915"/>
    <w:rsid w:val="6FC76CC4"/>
    <w:rsid w:val="6FD155F6"/>
    <w:rsid w:val="6FE67123"/>
    <w:rsid w:val="6FE87618"/>
    <w:rsid w:val="6FEE322F"/>
    <w:rsid w:val="6FEF1BB1"/>
    <w:rsid w:val="6FF6577E"/>
    <w:rsid w:val="6FFC0ADF"/>
    <w:rsid w:val="70035DA9"/>
    <w:rsid w:val="700A7FC0"/>
    <w:rsid w:val="700D4B56"/>
    <w:rsid w:val="70162C8F"/>
    <w:rsid w:val="701B4DB5"/>
    <w:rsid w:val="701F1EAD"/>
    <w:rsid w:val="702833D2"/>
    <w:rsid w:val="703C0CF7"/>
    <w:rsid w:val="703D225F"/>
    <w:rsid w:val="704558BD"/>
    <w:rsid w:val="70492B6A"/>
    <w:rsid w:val="7050763B"/>
    <w:rsid w:val="70530262"/>
    <w:rsid w:val="705E4EFE"/>
    <w:rsid w:val="70636245"/>
    <w:rsid w:val="708F44D3"/>
    <w:rsid w:val="709465EC"/>
    <w:rsid w:val="70A214DF"/>
    <w:rsid w:val="70AB74CF"/>
    <w:rsid w:val="70AE4BE5"/>
    <w:rsid w:val="70AF4A04"/>
    <w:rsid w:val="70B210DD"/>
    <w:rsid w:val="70B53817"/>
    <w:rsid w:val="70CC52BC"/>
    <w:rsid w:val="70D45145"/>
    <w:rsid w:val="70DB7E7B"/>
    <w:rsid w:val="70DD4D9F"/>
    <w:rsid w:val="70E009E1"/>
    <w:rsid w:val="70F03B20"/>
    <w:rsid w:val="70F06557"/>
    <w:rsid w:val="70FB337F"/>
    <w:rsid w:val="710412A4"/>
    <w:rsid w:val="71092FED"/>
    <w:rsid w:val="710D6845"/>
    <w:rsid w:val="71182D07"/>
    <w:rsid w:val="711A09DD"/>
    <w:rsid w:val="711F2443"/>
    <w:rsid w:val="7131641D"/>
    <w:rsid w:val="71402DF4"/>
    <w:rsid w:val="715044D6"/>
    <w:rsid w:val="71535003"/>
    <w:rsid w:val="715920CC"/>
    <w:rsid w:val="7164108C"/>
    <w:rsid w:val="71667CB7"/>
    <w:rsid w:val="71863CBA"/>
    <w:rsid w:val="718A720D"/>
    <w:rsid w:val="71905E12"/>
    <w:rsid w:val="71935972"/>
    <w:rsid w:val="71940829"/>
    <w:rsid w:val="719D4006"/>
    <w:rsid w:val="719F3D15"/>
    <w:rsid w:val="71AE3FEB"/>
    <w:rsid w:val="71BE7204"/>
    <w:rsid w:val="71C15203"/>
    <w:rsid w:val="71CA709F"/>
    <w:rsid w:val="71D97B23"/>
    <w:rsid w:val="71DB65D7"/>
    <w:rsid w:val="71E11088"/>
    <w:rsid w:val="71F56317"/>
    <w:rsid w:val="71FF78F9"/>
    <w:rsid w:val="72084708"/>
    <w:rsid w:val="721C7C17"/>
    <w:rsid w:val="72261643"/>
    <w:rsid w:val="723407DD"/>
    <w:rsid w:val="7236698E"/>
    <w:rsid w:val="7254789B"/>
    <w:rsid w:val="725C0D6D"/>
    <w:rsid w:val="726049E9"/>
    <w:rsid w:val="72671A98"/>
    <w:rsid w:val="728A320B"/>
    <w:rsid w:val="72A43286"/>
    <w:rsid w:val="72CC7471"/>
    <w:rsid w:val="72D01440"/>
    <w:rsid w:val="72D23D19"/>
    <w:rsid w:val="72D647BB"/>
    <w:rsid w:val="72FA314C"/>
    <w:rsid w:val="72FB2114"/>
    <w:rsid w:val="72FE2838"/>
    <w:rsid w:val="730208D7"/>
    <w:rsid w:val="730E3A7E"/>
    <w:rsid w:val="73180030"/>
    <w:rsid w:val="733077BC"/>
    <w:rsid w:val="733D6593"/>
    <w:rsid w:val="734F7676"/>
    <w:rsid w:val="736B1B21"/>
    <w:rsid w:val="73734CF6"/>
    <w:rsid w:val="73773105"/>
    <w:rsid w:val="737A69F2"/>
    <w:rsid w:val="737A6DD2"/>
    <w:rsid w:val="737C3B6E"/>
    <w:rsid w:val="737C789F"/>
    <w:rsid w:val="738F55BE"/>
    <w:rsid w:val="739A5F82"/>
    <w:rsid w:val="73A063CB"/>
    <w:rsid w:val="73A100EF"/>
    <w:rsid w:val="73A3244B"/>
    <w:rsid w:val="73A90825"/>
    <w:rsid w:val="73C52756"/>
    <w:rsid w:val="73CE3686"/>
    <w:rsid w:val="73D535AF"/>
    <w:rsid w:val="73DA381C"/>
    <w:rsid w:val="73F16F74"/>
    <w:rsid w:val="73FA0CF7"/>
    <w:rsid w:val="73FB5521"/>
    <w:rsid w:val="74011C69"/>
    <w:rsid w:val="74024309"/>
    <w:rsid w:val="740435E5"/>
    <w:rsid w:val="74046BA3"/>
    <w:rsid w:val="742568CA"/>
    <w:rsid w:val="743C14C0"/>
    <w:rsid w:val="743C213A"/>
    <w:rsid w:val="743D795A"/>
    <w:rsid w:val="74400FAE"/>
    <w:rsid w:val="74411D22"/>
    <w:rsid w:val="744B3786"/>
    <w:rsid w:val="746D1BD9"/>
    <w:rsid w:val="74713F3C"/>
    <w:rsid w:val="747B4797"/>
    <w:rsid w:val="747B5FBA"/>
    <w:rsid w:val="748C1F9B"/>
    <w:rsid w:val="748E6151"/>
    <w:rsid w:val="749144FC"/>
    <w:rsid w:val="74967B49"/>
    <w:rsid w:val="749D6D7B"/>
    <w:rsid w:val="74A421EA"/>
    <w:rsid w:val="74C0259A"/>
    <w:rsid w:val="74CE02B7"/>
    <w:rsid w:val="74CE7718"/>
    <w:rsid w:val="74EA3579"/>
    <w:rsid w:val="74EE29C3"/>
    <w:rsid w:val="74EF64DE"/>
    <w:rsid w:val="74F157FA"/>
    <w:rsid w:val="74F24320"/>
    <w:rsid w:val="74F60883"/>
    <w:rsid w:val="75015128"/>
    <w:rsid w:val="7508592C"/>
    <w:rsid w:val="750C260C"/>
    <w:rsid w:val="751125FC"/>
    <w:rsid w:val="7516627A"/>
    <w:rsid w:val="75183776"/>
    <w:rsid w:val="75224721"/>
    <w:rsid w:val="75285460"/>
    <w:rsid w:val="753003AF"/>
    <w:rsid w:val="75325F00"/>
    <w:rsid w:val="753700FE"/>
    <w:rsid w:val="753946E6"/>
    <w:rsid w:val="75401CFE"/>
    <w:rsid w:val="755C4181"/>
    <w:rsid w:val="75706610"/>
    <w:rsid w:val="75833722"/>
    <w:rsid w:val="758342C8"/>
    <w:rsid w:val="758A6745"/>
    <w:rsid w:val="75A41183"/>
    <w:rsid w:val="75B7596F"/>
    <w:rsid w:val="75BA0E35"/>
    <w:rsid w:val="75DC41A0"/>
    <w:rsid w:val="75DE7F2A"/>
    <w:rsid w:val="75E350FB"/>
    <w:rsid w:val="75E667B9"/>
    <w:rsid w:val="75EF4024"/>
    <w:rsid w:val="75F27FD0"/>
    <w:rsid w:val="760106CA"/>
    <w:rsid w:val="7604678A"/>
    <w:rsid w:val="76120049"/>
    <w:rsid w:val="761D01B7"/>
    <w:rsid w:val="7622448D"/>
    <w:rsid w:val="76251C4A"/>
    <w:rsid w:val="7628203F"/>
    <w:rsid w:val="7648345E"/>
    <w:rsid w:val="764A5338"/>
    <w:rsid w:val="76634335"/>
    <w:rsid w:val="7668193E"/>
    <w:rsid w:val="767801D4"/>
    <w:rsid w:val="767D01C7"/>
    <w:rsid w:val="768A39B1"/>
    <w:rsid w:val="768A4847"/>
    <w:rsid w:val="768B52C6"/>
    <w:rsid w:val="768D1691"/>
    <w:rsid w:val="768D77BE"/>
    <w:rsid w:val="768F520A"/>
    <w:rsid w:val="769102CC"/>
    <w:rsid w:val="769179B7"/>
    <w:rsid w:val="76932D64"/>
    <w:rsid w:val="76990735"/>
    <w:rsid w:val="76A47B43"/>
    <w:rsid w:val="76A907DA"/>
    <w:rsid w:val="76AD2CC9"/>
    <w:rsid w:val="76B10C5B"/>
    <w:rsid w:val="76B11FB5"/>
    <w:rsid w:val="76B17AB7"/>
    <w:rsid w:val="76B85F4E"/>
    <w:rsid w:val="76C10CF8"/>
    <w:rsid w:val="76C40C69"/>
    <w:rsid w:val="76C830A5"/>
    <w:rsid w:val="76DC63F8"/>
    <w:rsid w:val="76DE7AB3"/>
    <w:rsid w:val="76E8081C"/>
    <w:rsid w:val="770B193F"/>
    <w:rsid w:val="771A4D86"/>
    <w:rsid w:val="771C533D"/>
    <w:rsid w:val="771D00D0"/>
    <w:rsid w:val="771F3FDE"/>
    <w:rsid w:val="77330784"/>
    <w:rsid w:val="77406F97"/>
    <w:rsid w:val="77486AE3"/>
    <w:rsid w:val="77550D4B"/>
    <w:rsid w:val="77583604"/>
    <w:rsid w:val="77587D2E"/>
    <w:rsid w:val="77592527"/>
    <w:rsid w:val="7769365D"/>
    <w:rsid w:val="776C0B5A"/>
    <w:rsid w:val="77705083"/>
    <w:rsid w:val="7772175A"/>
    <w:rsid w:val="779E3786"/>
    <w:rsid w:val="77BA3908"/>
    <w:rsid w:val="77C11EE5"/>
    <w:rsid w:val="77CD498C"/>
    <w:rsid w:val="77DB7F41"/>
    <w:rsid w:val="77EB6576"/>
    <w:rsid w:val="77F447F0"/>
    <w:rsid w:val="77FF5915"/>
    <w:rsid w:val="7809335A"/>
    <w:rsid w:val="780B61C0"/>
    <w:rsid w:val="780C7E0C"/>
    <w:rsid w:val="781D03F1"/>
    <w:rsid w:val="781E1935"/>
    <w:rsid w:val="78293A6F"/>
    <w:rsid w:val="784B2550"/>
    <w:rsid w:val="78513111"/>
    <w:rsid w:val="78525B74"/>
    <w:rsid w:val="785C23A0"/>
    <w:rsid w:val="785C39A9"/>
    <w:rsid w:val="785F21D7"/>
    <w:rsid w:val="78624F42"/>
    <w:rsid w:val="78627B1D"/>
    <w:rsid w:val="786B4684"/>
    <w:rsid w:val="7879271E"/>
    <w:rsid w:val="788E6C8E"/>
    <w:rsid w:val="789074A7"/>
    <w:rsid w:val="78A64BE2"/>
    <w:rsid w:val="78BF346B"/>
    <w:rsid w:val="78CA1D23"/>
    <w:rsid w:val="78D1228F"/>
    <w:rsid w:val="78E12B75"/>
    <w:rsid w:val="78F5477B"/>
    <w:rsid w:val="78F553B7"/>
    <w:rsid w:val="78FA50E8"/>
    <w:rsid w:val="78FE3063"/>
    <w:rsid w:val="79210330"/>
    <w:rsid w:val="793A45C1"/>
    <w:rsid w:val="793B70EF"/>
    <w:rsid w:val="7949656C"/>
    <w:rsid w:val="795311B6"/>
    <w:rsid w:val="79533802"/>
    <w:rsid w:val="79684193"/>
    <w:rsid w:val="796D0D69"/>
    <w:rsid w:val="796E3E74"/>
    <w:rsid w:val="797268E2"/>
    <w:rsid w:val="79732D72"/>
    <w:rsid w:val="79743FEA"/>
    <w:rsid w:val="797B6990"/>
    <w:rsid w:val="79802C90"/>
    <w:rsid w:val="798323F8"/>
    <w:rsid w:val="7985514F"/>
    <w:rsid w:val="79870767"/>
    <w:rsid w:val="799553E2"/>
    <w:rsid w:val="799B08D3"/>
    <w:rsid w:val="79B20E02"/>
    <w:rsid w:val="79B50075"/>
    <w:rsid w:val="79C0220E"/>
    <w:rsid w:val="79C9060F"/>
    <w:rsid w:val="79D41DC3"/>
    <w:rsid w:val="79D544BA"/>
    <w:rsid w:val="79E7530B"/>
    <w:rsid w:val="79EF427F"/>
    <w:rsid w:val="79FB71AC"/>
    <w:rsid w:val="7A0254DE"/>
    <w:rsid w:val="7A0550F6"/>
    <w:rsid w:val="7A080F43"/>
    <w:rsid w:val="7A135E80"/>
    <w:rsid w:val="7A214813"/>
    <w:rsid w:val="7A2150CD"/>
    <w:rsid w:val="7A2213F0"/>
    <w:rsid w:val="7A3326FC"/>
    <w:rsid w:val="7A374022"/>
    <w:rsid w:val="7A3C5AEC"/>
    <w:rsid w:val="7A452E08"/>
    <w:rsid w:val="7A4800B0"/>
    <w:rsid w:val="7A5605FF"/>
    <w:rsid w:val="7A657225"/>
    <w:rsid w:val="7A6967B4"/>
    <w:rsid w:val="7A743833"/>
    <w:rsid w:val="7A7F15B6"/>
    <w:rsid w:val="7A845CC9"/>
    <w:rsid w:val="7A84797B"/>
    <w:rsid w:val="7A862C70"/>
    <w:rsid w:val="7AB36004"/>
    <w:rsid w:val="7AB377A7"/>
    <w:rsid w:val="7AB82515"/>
    <w:rsid w:val="7AB84296"/>
    <w:rsid w:val="7AB848D8"/>
    <w:rsid w:val="7ACA7F25"/>
    <w:rsid w:val="7AEC7422"/>
    <w:rsid w:val="7AED79A0"/>
    <w:rsid w:val="7AFC7A28"/>
    <w:rsid w:val="7AFF11C4"/>
    <w:rsid w:val="7B070F47"/>
    <w:rsid w:val="7B0B0016"/>
    <w:rsid w:val="7B0E3CB5"/>
    <w:rsid w:val="7B143447"/>
    <w:rsid w:val="7B202ABE"/>
    <w:rsid w:val="7B291D9A"/>
    <w:rsid w:val="7B2A110A"/>
    <w:rsid w:val="7B2F7E3D"/>
    <w:rsid w:val="7B3E4744"/>
    <w:rsid w:val="7B411A62"/>
    <w:rsid w:val="7B480220"/>
    <w:rsid w:val="7B4C4A7A"/>
    <w:rsid w:val="7B574266"/>
    <w:rsid w:val="7B5B3F81"/>
    <w:rsid w:val="7B5D0D19"/>
    <w:rsid w:val="7B780220"/>
    <w:rsid w:val="7B7B0D20"/>
    <w:rsid w:val="7B8570C3"/>
    <w:rsid w:val="7B8B7ED8"/>
    <w:rsid w:val="7BA95364"/>
    <w:rsid w:val="7BAA57B2"/>
    <w:rsid w:val="7BAF52B1"/>
    <w:rsid w:val="7BB327A5"/>
    <w:rsid w:val="7BB76B8E"/>
    <w:rsid w:val="7BB92813"/>
    <w:rsid w:val="7BBD384A"/>
    <w:rsid w:val="7BC00391"/>
    <w:rsid w:val="7BC71FEC"/>
    <w:rsid w:val="7BC80383"/>
    <w:rsid w:val="7BD16595"/>
    <w:rsid w:val="7BD357BA"/>
    <w:rsid w:val="7BD83FC3"/>
    <w:rsid w:val="7BDE46F5"/>
    <w:rsid w:val="7BE85F13"/>
    <w:rsid w:val="7BED1CF4"/>
    <w:rsid w:val="7BFD0718"/>
    <w:rsid w:val="7C04013E"/>
    <w:rsid w:val="7C0522C7"/>
    <w:rsid w:val="7C14707B"/>
    <w:rsid w:val="7C337676"/>
    <w:rsid w:val="7C36271E"/>
    <w:rsid w:val="7C3E1F10"/>
    <w:rsid w:val="7C4B2809"/>
    <w:rsid w:val="7C4C2430"/>
    <w:rsid w:val="7C557D34"/>
    <w:rsid w:val="7C5F5B96"/>
    <w:rsid w:val="7C852914"/>
    <w:rsid w:val="7C8B7EA7"/>
    <w:rsid w:val="7C8C57EF"/>
    <w:rsid w:val="7C920B2A"/>
    <w:rsid w:val="7C96018D"/>
    <w:rsid w:val="7CB832FA"/>
    <w:rsid w:val="7CBE6CB9"/>
    <w:rsid w:val="7CC3762D"/>
    <w:rsid w:val="7CCF74E3"/>
    <w:rsid w:val="7CD05408"/>
    <w:rsid w:val="7CD478AC"/>
    <w:rsid w:val="7CD671BF"/>
    <w:rsid w:val="7CDE0FCD"/>
    <w:rsid w:val="7CE23CCF"/>
    <w:rsid w:val="7CE44F32"/>
    <w:rsid w:val="7CEF7951"/>
    <w:rsid w:val="7CF02B44"/>
    <w:rsid w:val="7CF125B1"/>
    <w:rsid w:val="7CF30A0A"/>
    <w:rsid w:val="7CF36F5B"/>
    <w:rsid w:val="7CF40D3E"/>
    <w:rsid w:val="7CF613F9"/>
    <w:rsid w:val="7CF90AAA"/>
    <w:rsid w:val="7D0509A8"/>
    <w:rsid w:val="7D080696"/>
    <w:rsid w:val="7D143198"/>
    <w:rsid w:val="7D233D17"/>
    <w:rsid w:val="7D311055"/>
    <w:rsid w:val="7D437F94"/>
    <w:rsid w:val="7D5D01DD"/>
    <w:rsid w:val="7D641950"/>
    <w:rsid w:val="7D696952"/>
    <w:rsid w:val="7D79759A"/>
    <w:rsid w:val="7D7B4CC5"/>
    <w:rsid w:val="7D833A86"/>
    <w:rsid w:val="7D880EDF"/>
    <w:rsid w:val="7DA47F91"/>
    <w:rsid w:val="7DAA3917"/>
    <w:rsid w:val="7DB0187C"/>
    <w:rsid w:val="7DBA3498"/>
    <w:rsid w:val="7DC033E3"/>
    <w:rsid w:val="7DD20BAB"/>
    <w:rsid w:val="7DD71768"/>
    <w:rsid w:val="7DDF4738"/>
    <w:rsid w:val="7DF007AE"/>
    <w:rsid w:val="7E0D7CD7"/>
    <w:rsid w:val="7E2030CC"/>
    <w:rsid w:val="7E315B96"/>
    <w:rsid w:val="7E3172BF"/>
    <w:rsid w:val="7E320236"/>
    <w:rsid w:val="7E3261A0"/>
    <w:rsid w:val="7E485C46"/>
    <w:rsid w:val="7E540003"/>
    <w:rsid w:val="7E637970"/>
    <w:rsid w:val="7E653009"/>
    <w:rsid w:val="7E7154F5"/>
    <w:rsid w:val="7E7B05F3"/>
    <w:rsid w:val="7E830B8C"/>
    <w:rsid w:val="7E8D6272"/>
    <w:rsid w:val="7E94037B"/>
    <w:rsid w:val="7EA102C3"/>
    <w:rsid w:val="7EA212D2"/>
    <w:rsid w:val="7EAD5D01"/>
    <w:rsid w:val="7EB430A5"/>
    <w:rsid w:val="7EB94221"/>
    <w:rsid w:val="7EC70552"/>
    <w:rsid w:val="7ED60B31"/>
    <w:rsid w:val="7EDD1569"/>
    <w:rsid w:val="7EE23BBA"/>
    <w:rsid w:val="7EE32EB1"/>
    <w:rsid w:val="7EF030E0"/>
    <w:rsid w:val="7EFD1878"/>
    <w:rsid w:val="7F002510"/>
    <w:rsid w:val="7F125C1D"/>
    <w:rsid w:val="7F134D6B"/>
    <w:rsid w:val="7F2C695B"/>
    <w:rsid w:val="7F370F4F"/>
    <w:rsid w:val="7F4F6ADA"/>
    <w:rsid w:val="7F5235FC"/>
    <w:rsid w:val="7F5363F5"/>
    <w:rsid w:val="7F656973"/>
    <w:rsid w:val="7F69027F"/>
    <w:rsid w:val="7F6A19C9"/>
    <w:rsid w:val="7F722445"/>
    <w:rsid w:val="7F73792C"/>
    <w:rsid w:val="7F7867D8"/>
    <w:rsid w:val="7F7A454E"/>
    <w:rsid w:val="7F7E5012"/>
    <w:rsid w:val="7F8146A0"/>
    <w:rsid w:val="7F826B9A"/>
    <w:rsid w:val="7F89667C"/>
    <w:rsid w:val="7F991A6A"/>
    <w:rsid w:val="7F9D4939"/>
    <w:rsid w:val="7FC338D5"/>
    <w:rsid w:val="7FD22B8F"/>
    <w:rsid w:val="7FD327C3"/>
    <w:rsid w:val="7FD93C64"/>
    <w:rsid w:val="7FE23E0F"/>
    <w:rsid w:val="7FEF033A"/>
    <w:rsid w:val="7FF42D9D"/>
    <w:rsid w:val="7FF95C1C"/>
    <w:rsid w:val="7FFA17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0"/>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annotation text"/>
    <w:basedOn w:val="1"/>
    <w:qFormat/>
    <w:uiPriority w:val="0"/>
    <w:pPr>
      <w:jc w:val="left"/>
    </w:pPr>
  </w:style>
  <w:style w:type="paragraph" w:styleId="16">
    <w:name w:val="Body Text 3"/>
    <w:basedOn w:val="1"/>
    <w:qFormat/>
    <w:uiPriority w:val="0"/>
    <w:rPr>
      <w:sz w:val="24"/>
    </w:rPr>
  </w:style>
  <w:style w:type="paragraph" w:styleId="17">
    <w:name w:val="Body Text Indent"/>
    <w:basedOn w:val="1"/>
    <w:qFormat/>
    <w:uiPriority w:val="0"/>
    <w:pPr>
      <w:spacing w:after="120"/>
      <w:ind w:left="420" w:leftChars="200"/>
    </w:pPr>
  </w:style>
  <w:style w:type="paragraph" w:styleId="18">
    <w:name w:val="toc 3"/>
    <w:basedOn w:val="1"/>
    <w:next w:val="1"/>
    <w:semiHidden/>
    <w:qFormat/>
    <w:uiPriority w:val="0"/>
    <w:pPr>
      <w:ind w:left="840" w:leftChars="400"/>
    </w:pPr>
  </w:style>
  <w:style w:type="paragraph" w:styleId="19">
    <w:name w:val="Plain Text"/>
    <w:basedOn w:val="1"/>
    <w:link w:val="41"/>
    <w:qFormat/>
    <w:uiPriority w:val="0"/>
    <w:rPr>
      <w:rFonts w:hAnsi="Courier New" w:cs="Courier New"/>
      <w:kern w:val="2"/>
      <w:sz w:val="21"/>
      <w:szCs w:val="21"/>
    </w:rPr>
  </w:style>
  <w:style w:type="paragraph" w:styleId="20">
    <w:name w:val="Date"/>
    <w:basedOn w:val="1"/>
    <w:next w:val="1"/>
    <w:qFormat/>
    <w:uiPriority w:val="0"/>
    <w:pPr>
      <w:ind w:left="100" w:leftChars="2500"/>
    </w:pPr>
  </w:style>
  <w:style w:type="paragraph" w:styleId="21">
    <w:name w:val="Body Text Indent 2"/>
    <w:basedOn w:val="1"/>
    <w:qFormat/>
    <w:uiPriority w:val="0"/>
    <w:pPr>
      <w:spacing w:after="120" w:line="480" w:lineRule="auto"/>
      <w:ind w:left="420" w:leftChars="200"/>
    </w:pPr>
  </w:style>
  <w:style w:type="paragraph" w:styleId="22">
    <w:name w:val="Balloon Text"/>
    <w:basedOn w:val="1"/>
    <w:semiHidden/>
    <w:qFormat/>
    <w:uiPriority w:val="0"/>
    <w:rPr>
      <w:sz w:val="18"/>
      <w:szCs w:val="18"/>
    </w:rPr>
  </w:style>
  <w:style w:type="paragraph" w:styleId="23">
    <w:name w:val="footer"/>
    <w:basedOn w:val="1"/>
    <w:link w:val="50"/>
    <w:qFormat/>
    <w:uiPriority w:val="0"/>
    <w:pPr>
      <w:tabs>
        <w:tab w:val="center" w:pos="4153"/>
        <w:tab w:val="right" w:pos="8306"/>
      </w:tabs>
      <w:snapToGrid w:val="0"/>
      <w:jc w:val="left"/>
    </w:pPr>
    <w:rPr>
      <w:rFonts w:ascii="Times New Roman"/>
      <w:kern w:val="2"/>
      <w:sz w:val="18"/>
      <w:szCs w:val="18"/>
    </w:rPr>
  </w:style>
  <w:style w:type="paragraph" w:styleId="24">
    <w:name w:val="header"/>
    <w:basedOn w:val="1"/>
    <w:link w:val="82"/>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6">
    <w:name w:val="Body Text Indent 3"/>
    <w:basedOn w:val="1"/>
    <w:qFormat/>
    <w:uiPriority w:val="0"/>
    <w:pPr>
      <w:ind w:firstLine="420" w:firstLineChars="200"/>
    </w:pPr>
    <w:rPr>
      <w:rFonts w:hAnsi="宋体"/>
    </w:rPr>
  </w:style>
  <w:style w:type="paragraph" w:styleId="27">
    <w:name w:val="Normal (Web)"/>
    <w:basedOn w:val="1"/>
    <w:qFormat/>
    <w:uiPriority w:val="0"/>
    <w:pPr>
      <w:widowControl/>
      <w:spacing w:before="100" w:beforeAutospacing="1" w:after="100" w:afterAutospacing="1"/>
      <w:jc w:val="left"/>
    </w:pPr>
    <w:rPr>
      <w:rFonts w:hAnsi="宋体" w:cs="宋体"/>
      <w:sz w:val="24"/>
    </w:rPr>
  </w:style>
  <w:style w:type="paragraph" w:styleId="28">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qFormat/>
    <w:uiPriority w:val="0"/>
    <w:rPr>
      <w:color w:val="000000"/>
      <w:u w:val="none"/>
    </w:rPr>
  </w:style>
  <w:style w:type="character" w:styleId="34">
    <w:name w:val="Emphasis"/>
    <w:basedOn w:val="30"/>
    <w:qFormat/>
    <w:uiPriority w:val="0"/>
  </w:style>
  <w:style w:type="character" w:styleId="35">
    <w:name w:val="Hyperlink"/>
    <w:basedOn w:val="30"/>
    <w:qFormat/>
    <w:uiPriority w:val="0"/>
    <w:rPr>
      <w:color w:val="000000"/>
      <w:u w:val="none"/>
    </w:rPr>
  </w:style>
  <w:style w:type="character" w:customStyle="1" w:styleId="36">
    <w:name w:val="hover3"/>
    <w:qFormat/>
    <w:uiPriority w:val="0"/>
    <w:rPr>
      <w:bdr w:val="single" w:color="FFCC33" w:sz="6" w:space="0"/>
    </w:rPr>
  </w:style>
  <w:style w:type="character" w:customStyle="1" w:styleId="37">
    <w:name w:val="tit1"/>
    <w:basedOn w:val="30"/>
    <w:qFormat/>
    <w:uiPriority w:val="0"/>
  </w:style>
  <w:style w:type="character" w:customStyle="1" w:styleId="38">
    <w:name w:val="textcontents"/>
    <w:basedOn w:val="30"/>
    <w:qFormat/>
    <w:uiPriority w:val="0"/>
  </w:style>
  <w:style w:type="character" w:customStyle="1" w:styleId="39">
    <w:name w:val="down"/>
    <w:qFormat/>
    <w:uiPriority w:val="0"/>
    <w:rPr>
      <w:shd w:val="clear" w:color="auto" w:fill="DAEEF9"/>
    </w:rPr>
  </w:style>
  <w:style w:type="character" w:customStyle="1" w:styleId="40">
    <w:name w:val="标题 2 Char"/>
    <w:link w:val="5"/>
    <w:qFormat/>
    <w:uiPriority w:val="0"/>
    <w:rPr>
      <w:rFonts w:ascii="Arial" w:hAnsi="Arial" w:eastAsia="黑体"/>
      <w:b/>
      <w:bCs/>
      <w:kern w:val="2"/>
      <w:sz w:val="32"/>
      <w:szCs w:val="32"/>
      <w:lang w:val="en-US" w:eastAsia="zh-CN" w:bidi="ar-SA"/>
    </w:rPr>
  </w:style>
  <w:style w:type="character" w:customStyle="1" w:styleId="41">
    <w:name w:val="纯文本 Char"/>
    <w:link w:val="19"/>
    <w:qFormat/>
    <w:uiPriority w:val="0"/>
    <w:rPr>
      <w:rFonts w:ascii="宋体" w:hAnsi="Courier New" w:eastAsia="宋体" w:cs="Courier New"/>
      <w:kern w:val="2"/>
      <w:sz w:val="21"/>
      <w:szCs w:val="21"/>
      <w:lang w:val="en-US" w:eastAsia="zh-CN" w:bidi="ar-SA"/>
    </w:rPr>
  </w:style>
  <w:style w:type="character" w:customStyle="1" w:styleId="42">
    <w:name w:val="lsl"/>
    <w:basedOn w:val="30"/>
    <w:qFormat/>
    <w:uiPriority w:val="0"/>
  </w:style>
  <w:style w:type="character" w:customStyle="1" w:styleId="43">
    <w:name w:val="tit"/>
    <w:basedOn w:val="30"/>
    <w:qFormat/>
    <w:uiPriority w:val="0"/>
  </w:style>
  <w:style w:type="character" w:customStyle="1" w:styleId="44">
    <w:name w:val="sl"/>
    <w:basedOn w:val="30"/>
    <w:qFormat/>
    <w:uiPriority w:val="0"/>
  </w:style>
  <w:style w:type="character" w:customStyle="1" w:styleId="45">
    <w:name w:val="up"/>
    <w:basedOn w:val="30"/>
    <w:qFormat/>
    <w:uiPriority w:val="0"/>
  </w:style>
  <w:style w:type="character" w:customStyle="1" w:styleId="46">
    <w:name w:val="lsr"/>
    <w:basedOn w:val="30"/>
    <w:qFormat/>
    <w:uiPriority w:val="0"/>
  </w:style>
  <w:style w:type="character" w:customStyle="1" w:styleId="47">
    <w:name w:val="cpb"/>
    <w:qFormat/>
    <w:uiPriority w:val="0"/>
    <w:rPr>
      <w:color w:val="FFFFFF"/>
    </w:rPr>
  </w:style>
  <w:style w:type="character" w:customStyle="1" w:styleId="48">
    <w:name w:val="sr"/>
    <w:basedOn w:val="30"/>
    <w:qFormat/>
    <w:uiPriority w:val="0"/>
  </w:style>
  <w:style w:type="character" w:customStyle="1" w:styleId="49">
    <w:name w:val="apple-converted-space"/>
    <w:basedOn w:val="30"/>
    <w:qFormat/>
    <w:uiPriority w:val="0"/>
  </w:style>
  <w:style w:type="character" w:customStyle="1" w:styleId="50">
    <w:name w:val="页脚 Char"/>
    <w:link w:val="23"/>
    <w:qFormat/>
    <w:uiPriority w:val="0"/>
    <w:rPr>
      <w:kern w:val="2"/>
      <w:sz w:val="18"/>
      <w:szCs w:val="18"/>
    </w:rPr>
  </w:style>
  <w:style w:type="character" w:customStyle="1" w:styleId="51">
    <w:name w:val="font161"/>
    <w:qFormat/>
    <w:uiPriority w:val="0"/>
    <w:rPr>
      <w:b/>
      <w:bCs/>
      <w:sz w:val="32"/>
      <w:szCs w:val="32"/>
    </w:rPr>
  </w:style>
  <w:style w:type="paragraph" w:customStyle="1" w:styleId="52">
    <w:name w:val="z-窗体顶端1"/>
    <w:basedOn w:val="1"/>
    <w:next w:val="1"/>
    <w:qFormat/>
    <w:uiPriority w:val="0"/>
    <w:pPr>
      <w:pBdr>
        <w:bottom w:val="single" w:color="auto" w:sz="6" w:space="1"/>
      </w:pBdr>
      <w:jc w:val="center"/>
    </w:pPr>
    <w:rPr>
      <w:rFonts w:ascii="Arial"/>
      <w:vanish/>
      <w:sz w:val="16"/>
    </w:rPr>
  </w:style>
  <w:style w:type="paragraph" w:customStyle="1" w:styleId="53">
    <w:name w:val="表格"/>
    <w:basedOn w:val="1"/>
    <w:qFormat/>
    <w:uiPriority w:val="0"/>
    <w:pPr>
      <w:jc w:val="center"/>
      <w:textAlignment w:val="center"/>
    </w:pPr>
    <w:rPr>
      <w:rFonts w:ascii="华文细黑" w:hAnsi="华文细黑"/>
    </w:rPr>
  </w:style>
  <w:style w:type="paragraph" w:customStyle="1" w:styleId="54">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5">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6">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7">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9">
    <w:name w:val="Char1"/>
    <w:basedOn w:val="1"/>
    <w:qFormat/>
    <w:uiPriority w:val="0"/>
    <w:pPr>
      <w:adjustRightInd w:val="0"/>
      <w:spacing w:line="600" w:lineRule="exact"/>
      <w:ind w:firstLine="560" w:firstLineChars="200"/>
      <w:jc w:val="center"/>
    </w:pPr>
  </w:style>
  <w:style w:type="paragraph" w:customStyle="1" w:styleId="60">
    <w:name w:val="Char"/>
    <w:basedOn w:val="1"/>
    <w:qFormat/>
    <w:uiPriority w:val="0"/>
    <w:rPr>
      <w:rFonts w:ascii="仿宋_GB2312" w:eastAsia="仿宋_GB2312"/>
      <w:b/>
      <w:sz w:val="32"/>
      <w:szCs w:val="32"/>
    </w:rPr>
  </w:style>
  <w:style w:type="paragraph" w:customStyle="1" w:styleId="61">
    <w:name w:val="p0"/>
    <w:basedOn w:val="1"/>
    <w:qFormat/>
    <w:uiPriority w:val="0"/>
    <w:pPr>
      <w:widowControl/>
      <w:spacing w:line="408" w:lineRule="auto"/>
      <w:ind w:left="1"/>
      <w:textAlignment w:val="bottom"/>
    </w:pPr>
    <w:rPr>
      <w:color w:val="000000"/>
    </w:rPr>
  </w:style>
  <w:style w:type="paragraph" w:customStyle="1" w:styleId="62">
    <w:name w:val="1"/>
    <w:basedOn w:val="1"/>
    <w:next w:val="1"/>
    <w:qFormat/>
    <w:uiPriority w:val="0"/>
  </w:style>
  <w:style w:type="paragraph" w:customStyle="1" w:styleId="63">
    <w:name w:val="默认段落字体 Para Char Char Char Char Char Char Char"/>
    <w:basedOn w:val="1"/>
    <w:qFormat/>
    <w:uiPriority w:val="0"/>
    <w:rPr>
      <w:rFonts w:ascii="Tahoma" w:hAnsi="Tahoma"/>
      <w:sz w:val="24"/>
    </w:rPr>
  </w:style>
  <w:style w:type="paragraph" w:customStyle="1" w:styleId="64">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5">
    <w:name w:val="表格文字"/>
    <w:basedOn w:val="1"/>
    <w:qFormat/>
    <w:uiPriority w:val="0"/>
    <w:pPr>
      <w:adjustRightInd w:val="0"/>
      <w:spacing w:line="420" w:lineRule="atLeast"/>
      <w:jc w:val="left"/>
      <w:textAlignment w:val="baseline"/>
    </w:pPr>
  </w:style>
  <w:style w:type="paragraph" w:customStyle="1" w:styleId="66">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8">
    <w:name w:val="z-窗体底端1"/>
    <w:basedOn w:val="1"/>
    <w:next w:val="1"/>
    <w:qFormat/>
    <w:uiPriority w:val="0"/>
    <w:pPr>
      <w:pBdr>
        <w:top w:val="single" w:color="auto" w:sz="6" w:space="1"/>
      </w:pBdr>
      <w:jc w:val="center"/>
    </w:pPr>
    <w:rPr>
      <w:rFonts w:ascii="Arial"/>
      <w:vanish/>
      <w:sz w:val="16"/>
    </w:rPr>
  </w:style>
  <w:style w:type="paragraph" w:customStyle="1" w:styleId="69">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0">
    <w:name w:val="cjk"/>
    <w:basedOn w:val="1"/>
    <w:qFormat/>
    <w:uiPriority w:val="0"/>
    <w:pPr>
      <w:widowControl/>
      <w:jc w:val="left"/>
    </w:pPr>
    <w:rPr>
      <w:rFonts w:hAnsi="宋体" w:cs="宋体"/>
      <w:sz w:val="24"/>
      <w:szCs w:val="24"/>
    </w:rPr>
  </w:style>
  <w:style w:type="character" w:customStyle="1" w:styleId="71">
    <w:name w:val="15"/>
    <w:qFormat/>
    <w:uiPriority w:val="0"/>
    <w:rPr>
      <w:rFonts w:hint="default" w:ascii="Times New Roman" w:hAnsi="Times New Roman" w:cs="Times New Roman"/>
      <w:color w:val="0000FF"/>
      <w:u w:val="single"/>
    </w:rPr>
  </w:style>
  <w:style w:type="character" w:customStyle="1" w:styleId="72">
    <w:name w:val="blue"/>
    <w:basedOn w:val="30"/>
    <w:qFormat/>
    <w:uiPriority w:val="0"/>
    <w:rPr>
      <w:color w:val="0371C6"/>
      <w:sz w:val="21"/>
      <w:szCs w:val="21"/>
    </w:rPr>
  </w:style>
  <w:style w:type="character" w:customStyle="1" w:styleId="73">
    <w:name w:val="gb-jt"/>
    <w:basedOn w:val="30"/>
    <w:qFormat/>
    <w:uiPriority w:val="0"/>
  </w:style>
  <w:style w:type="character" w:customStyle="1" w:styleId="74">
    <w:name w:val="red"/>
    <w:basedOn w:val="30"/>
    <w:qFormat/>
    <w:uiPriority w:val="0"/>
    <w:rPr>
      <w:color w:val="FF0000"/>
      <w:sz w:val="18"/>
      <w:szCs w:val="18"/>
    </w:rPr>
  </w:style>
  <w:style w:type="character" w:customStyle="1" w:styleId="75">
    <w:name w:val="red1"/>
    <w:basedOn w:val="30"/>
    <w:qFormat/>
    <w:uiPriority w:val="0"/>
    <w:rPr>
      <w:color w:val="FF0000"/>
      <w:sz w:val="18"/>
      <w:szCs w:val="18"/>
    </w:rPr>
  </w:style>
  <w:style w:type="character" w:customStyle="1" w:styleId="76">
    <w:name w:val="red2"/>
    <w:basedOn w:val="30"/>
    <w:qFormat/>
    <w:uiPriority w:val="0"/>
    <w:rPr>
      <w:color w:val="FF0000"/>
    </w:rPr>
  </w:style>
  <w:style w:type="character" w:customStyle="1" w:styleId="77">
    <w:name w:val="green"/>
    <w:basedOn w:val="30"/>
    <w:qFormat/>
    <w:uiPriority w:val="0"/>
    <w:rPr>
      <w:color w:val="66AE00"/>
      <w:sz w:val="18"/>
      <w:szCs w:val="18"/>
    </w:rPr>
  </w:style>
  <w:style w:type="character" w:customStyle="1" w:styleId="78">
    <w:name w:val="green1"/>
    <w:basedOn w:val="30"/>
    <w:qFormat/>
    <w:uiPriority w:val="0"/>
    <w:rPr>
      <w:color w:val="66AE00"/>
      <w:sz w:val="18"/>
      <w:szCs w:val="18"/>
    </w:rPr>
  </w:style>
  <w:style w:type="character" w:customStyle="1" w:styleId="79">
    <w:name w:val="hover25"/>
    <w:basedOn w:val="30"/>
    <w:qFormat/>
    <w:uiPriority w:val="0"/>
  </w:style>
  <w:style w:type="character" w:customStyle="1" w:styleId="80">
    <w:name w:val="right"/>
    <w:basedOn w:val="30"/>
    <w:qFormat/>
    <w:uiPriority w:val="0"/>
    <w:rPr>
      <w:color w:val="999999"/>
      <w:sz w:val="18"/>
      <w:szCs w:val="18"/>
    </w:rPr>
  </w:style>
  <w:style w:type="character" w:customStyle="1" w:styleId="81">
    <w:name w:val="hover"/>
    <w:basedOn w:val="30"/>
    <w:qFormat/>
    <w:uiPriority w:val="0"/>
  </w:style>
  <w:style w:type="character" w:customStyle="1" w:styleId="82">
    <w:name w:val="页眉 Char"/>
    <w:basedOn w:val="30"/>
    <w:link w:val="24"/>
    <w:qFormat/>
    <w:uiPriority w:val="0"/>
    <w:rPr>
      <w:rFonts w:ascii="宋体"/>
      <w:sz w:val="18"/>
      <w:szCs w:val="18"/>
    </w:rPr>
  </w:style>
  <w:style w:type="character" w:customStyle="1" w:styleId="83">
    <w:name w:val="red3"/>
    <w:basedOn w:val="30"/>
    <w:qFormat/>
    <w:uiPriority w:val="0"/>
    <w:rPr>
      <w:color w:val="FF0000"/>
    </w:rPr>
  </w:style>
  <w:style w:type="character" w:customStyle="1" w:styleId="84">
    <w:name w:val="hover24"/>
    <w:basedOn w:val="3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944609-8746-4A95-9FF7-B0FCD1ED1F1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61</Pages>
  <Words>5001</Words>
  <Characters>28511</Characters>
  <Lines>237</Lines>
  <Paragraphs>66</Paragraphs>
  <TotalTime>26</TotalTime>
  <ScaleCrop>false</ScaleCrop>
  <LinksUpToDate>false</LinksUpToDate>
  <CharactersWithSpaces>33446</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陌陌---麻雀</cp:lastModifiedBy>
  <cp:lastPrinted>2019-07-17T01:22:00Z</cp:lastPrinted>
  <dcterms:modified xsi:type="dcterms:W3CDTF">2019-07-19T01:04:31Z</dcterms:modified>
  <dc:title>魏武大道曹操饮马河桥工程</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