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禹州市公安局购置辅警服装项目</w:t>
      </w:r>
    </w:p>
    <w:p>
      <w:pPr>
        <w:spacing w:line="600" w:lineRule="exact"/>
        <w:jc w:val="center"/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</w:pP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禹州市公安局购置辅警服装项目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G2019129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17日9:00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90万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招标公告刊登的媒体：中国政府采购网、河南省政府采购网、许昌市政府采购网、全国公共资源交易平台（河南省·许昌市）。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9196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23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许昌永兴制衣有限公司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897566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  <w:t>30日历天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许昌蓝天服装有限公司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885177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西安锦乔服装有限公司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886175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  <w:t>以签订合同为准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三家投标人均通过了资格审查。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许昌永兴制衣有限公司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许昌蓝天服装有限公司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西安锦乔服装有限公司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left="0" w:right="0" w:firstLine="627"/>
        <w:jc w:val="left"/>
        <w:textAlignment w:val="auto"/>
        <w:rPr>
          <w:rFonts w:hint="eastAsia" w:eastAsia="仿宋"/>
          <w:b w:val="0"/>
          <w:i w:val="0"/>
          <w:color w:val="FF000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left="0" w:right="0" w:firstLine="627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经过评审委员会对报价、商业部分和技术部分的综合评比，各个投标人得分情况如下：</w:t>
      </w:r>
    </w:p>
    <w:tbl>
      <w:tblPr>
        <w:tblStyle w:val="5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039"/>
        <w:gridCol w:w="2910"/>
        <w:gridCol w:w="1185"/>
        <w:gridCol w:w="211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许昌蓝天服装有限公司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904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30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98.00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30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17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97.00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30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19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99.00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30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17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97.00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30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20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98.20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039"/>
        <w:gridCol w:w="2910"/>
        <w:gridCol w:w="1185"/>
        <w:gridCol w:w="211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许昌永兴制衣有限公司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904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49.31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FF0000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79.31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49.31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14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81.31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49.31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79.31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49.31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79.31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49.31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18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79.31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79.71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7997" w:type="dxa"/>
        <w:tblInd w:w="11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1039"/>
        <w:gridCol w:w="2910"/>
        <w:gridCol w:w="1185"/>
        <w:gridCol w:w="211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99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西安锦乔服装有限公司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746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46.95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69.95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46.95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72.95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46.95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69.95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46.95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69.95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46.95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69.95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70.55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5"/>
        <w:tblpPr w:leftFromText="180" w:rightFromText="180" w:vertAnchor="text" w:horzAnchor="page" w:tblpX="1460" w:tblpY="11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4125"/>
        <w:gridCol w:w="162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73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1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6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许昌蓝天服装有限公司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98.20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许昌永兴制衣有限公司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79.71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西安锦乔服装有限公司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70.55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第一中标候选人：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许昌蓝天服装有限公司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FF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许昌市许由大道5号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885177.00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许昌永兴制衣有限公司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许昌市文峰路南段12号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897566.00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西安锦乔服装有限公司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西安市沣东新城阿房一路126号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886175.00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default" w:ascii="宋体" w:hAnsi="宋体" w:eastAsia="仿宋" w:cs="宋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5440" w:firstLineChars="1700"/>
        <w:jc w:val="left"/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2019年7月17日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3A40"/>
    <w:multiLevelType w:val="singleLevel"/>
    <w:tmpl w:val="11ED3A4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A89206"/>
    <w:multiLevelType w:val="singleLevel"/>
    <w:tmpl w:val="52A8920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E61B3"/>
    <w:rsid w:val="08D75275"/>
    <w:rsid w:val="08F042B2"/>
    <w:rsid w:val="091D1846"/>
    <w:rsid w:val="0E3D02A4"/>
    <w:rsid w:val="0F6B7734"/>
    <w:rsid w:val="12BB5366"/>
    <w:rsid w:val="144A3A3E"/>
    <w:rsid w:val="149464AA"/>
    <w:rsid w:val="15FC2A9B"/>
    <w:rsid w:val="17D926FA"/>
    <w:rsid w:val="1E196947"/>
    <w:rsid w:val="219845BA"/>
    <w:rsid w:val="21B12361"/>
    <w:rsid w:val="22034C9F"/>
    <w:rsid w:val="287164B2"/>
    <w:rsid w:val="28B2034C"/>
    <w:rsid w:val="29B06DA3"/>
    <w:rsid w:val="2D080062"/>
    <w:rsid w:val="2ED67925"/>
    <w:rsid w:val="313C2C12"/>
    <w:rsid w:val="31534C8B"/>
    <w:rsid w:val="3A745AA5"/>
    <w:rsid w:val="3C2C4265"/>
    <w:rsid w:val="3CC736A9"/>
    <w:rsid w:val="42A668D7"/>
    <w:rsid w:val="463B1FB6"/>
    <w:rsid w:val="4C1B1C97"/>
    <w:rsid w:val="4D565D01"/>
    <w:rsid w:val="55F515B1"/>
    <w:rsid w:val="563F1657"/>
    <w:rsid w:val="575E34E9"/>
    <w:rsid w:val="59743366"/>
    <w:rsid w:val="5DE74906"/>
    <w:rsid w:val="5E943DC4"/>
    <w:rsid w:val="63B02821"/>
    <w:rsid w:val="69DF0D7B"/>
    <w:rsid w:val="6F7613B8"/>
    <w:rsid w:val="6FC82958"/>
    <w:rsid w:val="75B75AFB"/>
    <w:rsid w:val="75F72E62"/>
    <w:rsid w:val="763860D4"/>
    <w:rsid w:val="775D0E63"/>
    <w:rsid w:val="7AC65398"/>
    <w:rsid w:val="7AD0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2019-07-17T07:48:00Z</cp:lastPrinted>
  <dcterms:modified xsi:type="dcterms:W3CDTF">2019-07-18T02:00:34Z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