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JSGC-FJ-2019114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禹州市磨街乡人民政府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</w:rPr>
        <w:t>禹州市磨街乡关庙村、黄沟村传统村落保护发展项目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2182" w:tblpY="2868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禹州市磨街乡关庙村传统村落保护发展项目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（一标段）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JSGC-FJ-2019114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磨街乡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1512978.17元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2019年6月28日 9:30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禹州市磨街乡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李航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赵晓 李占领  王旭敏  宋京铎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许昌通畅建设工程有限公司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古建筑工程专业承包叁级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1491781.5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28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1282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3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任殿民（贰级建造师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豫 241161717948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李德品（中级工程师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C11002070900007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王炫皓（证书编号：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41171010001610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王子玉（证书编号：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41171060001375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陈炜烨（证书编号：豫建安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C（2018）1003653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晓（证书编号：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H41170040000839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刘东东（证书编号：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41181140100975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both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tbl>
      <w:tblPr>
        <w:tblStyle w:val="6"/>
        <w:tblpPr w:leftFromText="180" w:rightFromText="180" w:vertAnchor="page" w:horzAnchor="page" w:tblpX="2092" w:tblpY="1807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禹州市磨街乡黄沟村传统村落保护发展项目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（二标段）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JSGC-FJ-2019114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磨街乡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1498259.35元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2019年6月28日 9:30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禹州市磨街乡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李航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赵晓 李占领  王旭敏  宋京铎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许昌通畅建设工程有限公司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古建筑工程专业承包叁级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1476296.04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28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1282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3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瑜</w:t>
            </w:r>
            <w:r>
              <w:rPr>
                <w:rFonts w:hint="eastAsia"/>
                <w:color w:val="auto"/>
                <w:lang w:eastAsia="zh-CN"/>
              </w:rPr>
              <w:t>（贰级建造师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豫241031340671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磊</w:t>
            </w:r>
            <w:r>
              <w:rPr>
                <w:rFonts w:hint="eastAsia"/>
                <w:color w:val="auto"/>
                <w:lang w:eastAsia="zh-CN"/>
              </w:rPr>
              <w:t>（中级工程师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C15917120900015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王炫皓（证书编号：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41171010001610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崔亚娴（证书编号：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41171090300280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董兴贵（证书编号：豫建安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C（2018）1003654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晓（证书编号：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H41170040000839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刘东东（证书编号：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41181140100975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行贿犯罪档案记录查询情况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无行贿记录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2AB5EB2"/>
    <w:rsid w:val="09E70BA8"/>
    <w:rsid w:val="0B67436E"/>
    <w:rsid w:val="0F5B42E7"/>
    <w:rsid w:val="14F12542"/>
    <w:rsid w:val="16161A17"/>
    <w:rsid w:val="19123FFF"/>
    <w:rsid w:val="267A5FE3"/>
    <w:rsid w:val="2A7C0ED4"/>
    <w:rsid w:val="2E3F792C"/>
    <w:rsid w:val="4279434F"/>
    <w:rsid w:val="43A84062"/>
    <w:rsid w:val="51E3794D"/>
    <w:rsid w:val="5406418E"/>
    <w:rsid w:val="56153AAF"/>
    <w:rsid w:val="71077820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2019-07-01T09:49:55Z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