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w:t>
      </w:r>
      <w:r>
        <w:rPr>
          <w:rFonts w:hint="eastAsia" w:asciiTheme="majorEastAsia" w:hAnsiTheme="majorEastAsia" w:eastAsiaTheme="majorEastAsia" w:cstheme="majorEastAsia"/>
          <w:b/>
          <w:bCs/>
          <w:color w:val="000000"/>
          <w:sz w:val="44"/>
          <w:szCs w:val="44"/>
          <w:lang w:eastAsia="zh-CN"/>
        </w:rPr>
        <w:t>市图书馆</w:t>
      </w:r>
      <w:r>
        <w:rPr>
          <w:rFonts w:hint="eastAsia" w:asciiTheme="majorEastAsia" w:hAnsiTheme="majorEastAsia" w:eastAsiaTheme="majorEastAsia" w:cstheme="majorEastAsia"/>
          <w:b/>
          <w:bCs/>
          <w:color w:val="000000"/>
          <w:sz w:val="44"/>
          <w:szCs w:val="44"/>
        </w:rPr>
        <w:t>“智慧阅读空间功能提升”项目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项目编号：ZFCG-G2019</w:t>
      </w:r>
      <w:r>
        <w:rPr>
          <w:rFonts w:hint="eastAsia" w:asciiTheme="majorEastAsia" w:hAnsiTheme="majorEastAsia" w:eastAsiaTheme="majorEastAsia" w:cstheme="majorEastAsia"/>
          <w:b/>
          <w:bCs/>
          <w:color w:val="000000"/>
          <w:sz w:val="36"/>
          <w:szCs w:val="36"/>
          <w:lang w:val="en-US" w:eastAsia="zh-CN"/>
        </w:rPr>
        <w:t>103</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w:t>
      </w:r>
      <w:r>
        <w:rPr>
          <w:rFonts w:hint="eastAsia" w:asciiTheme="majorEastAsia" w:hAnsiTheme="majorEastAsia" w:eastAsiaTheme="majorEastAsia" w:cstheme="majorEastAsia"/>
          <w:b/>
          <w:bCs/>
          <w:color w:val="000000"/>
          <w:sz w:val="36"/>
          <w:szCs w:val="36"/>
          <w:lang w:eastAsia="zh-CN"/>
        </w:rPr>
        <w:t>市图书馆</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七</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十二</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许昌市政府采购中心(以下简称采购中心) 受许昌</w:t>
      </w:r>
      <w:r>
        <w:rPr>
          <w:rFonts w:hint="eastAsia" w:cs="仿宋_GB2312" w:asciiTheme="minorEastAsia" w:hAnsiTheme="minorEastAsia" w:eastAsiaTheme="minorEastAsia"/>
          <w:color w:val="000000"/>
          <w:sz w:val="21"/>
          <w:szCs w:val="21"/>
          <w:shd w:val="clear" w:color="auto" w:fill="FFFFFF"/>
          <w:lang w:val="zh-CN" w:eastAsia="zh-CN"/>
        </w:rPr>
        <w:t>市图书馆</w:t>
      </w:r>
      <w:r>
        <w:rPr>
          <w:rFonts w:hint="eastAsia" w:cs="仿宋_GB2312" w:asciiTheme="minorEastAsia" w:hAnsiTheme="minorEastAsia" w:eastAsiaTheme="minorEastAsia"/>
          <w:color w:val="000000"/>
          <w:sz w:val="21"/>
          <w:szCs w:val="21"/>
          <w:shd w:val="clear" w:color="auto" w:fill="FFFFFF"/>
          <w:lang w:val="zh-CN"/>
        </w:rPr>
        <w:t>的委托，对智慧阅读空间功能提升项目进行公开招标。现邀请符合本招标文件规定条件的投标人前来投标。</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（一）项目名称：智慧阅读空间功能提升</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（二）项目编号：ZFCG-G2019</w:t>
      </w:r>
      <w:r>
        <w:rPr>
          <w:rFonts w:hint="eastAsia" w:cs="仿宋_GB2312" w:asciiTheme="minorEastAsia" w:hAnsiTheme="minorEastAsia" w:eastAsiaTheme="minorEastAsia"/>
          <w:color w:val="000000"/>
          <w:sz w:val="21"/>
          <w:szCs w:val="21"/>
          <w:shd w:val="clear" w:color="auto" w:fill="FFFFFF"/>
          <w:lang w:val="en-US" w:eastAsia="zh-CN"/>
        </w:rPr>
        <w:t>103</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（四）项目主要内容、数量及要求：支付宝，微信扫码借还功能模块14个，以及11座空间智能门禁系统、新风系统、馆情展示系统及空间地面改造。</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shd w:val="clear" w:color="auto" w:fill="FFFFFF"/>
          <w:lang w:val="en-US" w:eastAsia="zh-CN"/>
        </w:rPr>
        <w:t>92万</w:t>
      </w:r>
      <w:r>
        <w:rPr>
          <w:rFonts w:hint="eastAsia" w:cs="仿宋_GB2312" w:asciiTheme="minorEastAsia" w:hAnsiTheme="minorEastAsia" w:eastAsiaTheme="minorEastAsia"/>
          <w:color w:val="000000"/>
          <w:sz w:val="21"/>
          <w:szCs w:val="21"/>
          <w:shd w:val="clear" w:color="auto" w:fill="FFFFFF"/>
        </w:rPr>
        <w:t>元。最高限价：</w:t>
      </w:r>
      <w:r>
        <w:rPr>
          <w:rFonts w:hint="eastAsia" w:cs="仿宋_GB2312" w:asciiTheme="minorEastAsia" w:hAnsiTheme="minorEastAsia" w:eastAsiaTheme="minorEastAsia"/>
          <w:color w:val="000000"/>
          <w:sz w:val="21"/>
          <w:szCs w:val="21"/>
          <w:shd w:val="clear" w:color="auto" w:fill="FFFFFF"/>
          <w:lang w:val="en-US" w:eastAsia="zh-CN"/>
        </w:rPr>
        <w:t>92万</w:t>
      </w:r>
      <w:r>
        <w:rPr>
          <w:rFonts w:hint="eastAsia" w:cs="仿宋_GB2312" w:asciiTheme="minorEastAsia" w:hAnsiTheme="minorEastAsia" w:eastAsiaTheme="minorEastAsia"/>
          <w:color w:val="000000"/>
          <w:sz w:val="21"/>
          <w:szCs w:val="21"/>
          <w:shd w:val="clear" w:color="auto" w:fill="FFFFFF"/>
        </w:rPr>
        <w:t>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rPr>
        <w:t>（六）交付（服务、完工）时间 ：</w:t>
      </w:r>
      <w:bookmarkStart w:id="0" w:name="交付日期"/>
      <w:r>
        <w:rPr>
          <w:rFonts w:hint="eastAsia" w:cs="仿宋_GB2312" w:asciiTheme="minorEastAsia" w:hAnsiTheme="minorEastAsia" w:eastAsiaTheme="minorEastAsia"/>
          <w:color w:val="000000"/>
          <w:sz w:val="21"/>
          <w:szCs w:val="21"/>
          <w:shd w:val="clear" w:color="auto" w:fill="FFFFFF"/>
        </w:rPr>
        <w:t>自合同生效之日起</w:t>
      </w:r>
      <w:bookmarkEnd w:id="0"/>
      <w:r>
        <w:rPr>
          <w:rFonts w:hint="eastAsia" w:cs="仿宋_GB2312" w:asciiTheme="minorEastAsia" w:hAnsiTheme="minorEastAsia" w:eastAsiaTheme="minorEastAsia"/>
          <w:color w:val="000000"/>
          <w:sz w:val="21"/>
          <w:szCs w:val="21"/>
          <w:shd w:val="clear" w:color="auto" w:fill="FFFFFF"/>
        </w:rPr>
        <w:t>30个工作日</w:t>
      </w:r>
      <w:r>
        <w:rPr>
          <w:rFonts w:hint="eastAsia" w:cs="仿宋_GB2312" w:asciiTheme="minorEastAsia" w:hAnsiTheme="minorEastAsia" w:eastAsiaTheme="minorEastAsia"/>
          <w:color w:val="000000"/>
          <w:sz w:val="21"/>
          <w:szCs w:val="21"/>
          <w:shd w:val="clear" w:color="auto" w:fill="FFFFFF"/>
          <w:lang w:eastAsia="zh-CN"/>
        </w:rPr>
        <w:t>。</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（七）交付（服务、完工）地点：2017年所建11座智慧阅读空间。</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highlight w:val="none"/>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color w:val="000000"/>
          <w:sz w:val="21"/>
          <w:szCs w:val="21"/>
          <w:shd w:val="clear" w:color="auto" w:fill="FFFFFF"/>
        </w:rPr>
        <w:t xml:space="preserve"> </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w:t>
      </w:r>
      <w:r>
        <w:rPr>
          <w:rFonts w:cs="仿宋_GB2312" w:asciiTheme="minorEastAsia" w:hAnsiTheme="minorEastAsia" w:eastAsiaTheme="minorEastAsia"/>
          <w:color w:val="000000"/>
          <w:sz w:val="21"/>
          <w:szCs w:val="21"/>
          <w:highlight w:val="none"/>
          <w:shd w:val="clear" w:color="auto" w:fill="FFFFFF"/>
        </w:rPr>
        <w:t>名单的投标人</w:t>
      </w:r>
      <w:r>
        <w:rPr>
          <w:rFonts w:hint="eastAsia" w:cs="仿宋_GB2312" w:asciiTheme="minorEastAsia" w:hAnsiTheme="minorEastAsia" w:eastAsiaTheme="minorEastAsia"/>
          <w:color w:val="000000"/>
          <w:sz w:val="21"/>
          <w:szCs w:val="21"/>
          <w:highlight w:val="none"/>
          <w:shd w:val="clear" w:color="auto" w:fill="FFFFFF"/>
        </w:rPr>
        <w:t>；</w:t>
      </w:r>
      <w:r>
        <w:rPr>
          <w:rFonts w:hint="eastAsia" w:cs="仿宋_GB2312" w:asciiTheme="minorEastAsia" w:hAnsiTheme="minorEastAsia" w:eastAsiaTheme="minorEastAsia"/>
          <w:color w:val="000000"/>
          <w:sz w:val="21"/>
          <w:szCs w:val="21"/>
          <w:highlight w:val="none"/>
        </w:rPr>
        <w:t>“国家企业信用公示系统”网站（</w:t>
      </w:r>
      <w:r>
        <w:rPr>
          <w:rFonts w:cs="仿宋_GB2312" w:asciiTheme="minorEastAsia" w:hAnsiTheme="minorEastAsia" w:eastAsiaTheme="minorEastAsia"/>
          <w:color w:val="000000"/>
          <w:sz w:val="21"/>
          <w:szCs w:val="21"/>
          <w:highlight w:val="none"/>
        </w:rPr>
        <w:t>www.gsxt.gov.cn</w:t>
      </w:r>
      <w:r>
        <w:rPr>
          <w:rFonts w:hint="eastAsia" w:cs="仿宋_GB2312" w:asciiTheme="minorEastAsia" w:hAnsiTheme="minorEastAsia" w:eastAsiaTheme="minorEastAsia"/>
          <w:color w:val="000000"/>
          <w:sz w:val="21"/>
          <w:szCs w:val="21"/>
          <w:highlight w:val="none"/>
        </w:rPr>
        <w:t>）严重违法失信企业名单（黑名单）的投标人</w:t>
      </w:r>
      <w:r>
        <w:rPr>
          <w:rFonts w:hint="eastAsia" w:cs="仿宋_GB2312" w:asciiTheme="minorEastAsia" w:hAnsiTheme="minorEastAsia" w:eastAsiaTheme="minorEastAsia"/>
          <w:color w:val="000000"/>
          <w:sz w:val="21"/>
          <w:szCs w:val="21"/>
          <w:highlight w:val="none"/>
          <w:shd w:val="clear" w:color="auto" w:fill="FFFFFF"/>
        </w:rPr>
        <w:t>；“中国社会组织公共服务平台”网站（</w:t>
      </w:r>
      <w:r>
        <w:rPr>
          <w:rFonts w:cs="仿宋_GB2312" w:asciiTheme="minorEastAsia" w:hAnsiTheme="minorEastAsia" w:eastAsiaTheme="minorEastAsia"/>
          <w:color w:val="000000"/>
          <w:sz w:val="21"/>
          <w:szCs w:val="21"/>
          <w:highlight w:val="none"/>
          <w:shd w:val="clear" w:color="auto" w:fill="FFFFFF"/>
        </w:rPr>
        <w:t>www.chinanpo.gov.cn</w:t>
      </w:r>
      <w:r>
        <w:rPr>
          <w:rFonts w:hint="eastAsia" w:cs="仿宋_GB2312" w:asciiTheme="minorEastAsia" w:hAnsiTheme="minorEastAsia" w:eastAsiaTheme="minorEastAsia"/>
          <w:color w:val="000000"/>
          <w:sz w:val="21"/>
          <w:szCs w:val="21"/>
          <w:highlight w:val="none"/>
          <w:shd w:val="clear" w:color="auto" w:fill="FFFFFF"/>
        </w:rPr>
        <w:t>）严重违法失信名单的投标人；</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（一）投标截止及开标时间：2019年</w:t>
      </w:r>
      <w:r>
        <w:rPr>
          <w:rFonts w:hint="eastAsia" w:cs="仿宋_GB2312" w:asciiTheme="minorEastAsia" w:hAnsiTheme="minorEastAsia" w:eastAsiaTheme="minorEastAsia"/>
          <w:color w:val="000000"/>
          <w:sz w:val="21"/>
          <w:szCs w:val="21"/>
          <w:lang w:val="en-US" w:eastAsia="zh-CN"/>
        </w:rPr>
        <w:t>8</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lang w:val="en-US" w:eastAsia="zh-CN"/>
        </w:rPr>
        <w:t>2</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u w:val="none"/>
          <w:lang w:eastAsia="zh-CN"/>
        </w:rPr>
        <w:t>四</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ascii="宋体" w:hAnsi="宋体"/>
          <w:b/>
          <w:szCs w:val="21"/>
        </w:rPr>
        <w:t>采购人</w:t>
      </w:r>
      <w:r>
        <w:rPr>
          <w:rFonts w:hint="eastAsia" w:ascii="宋体" w:hAnsi="宋体"/>
          <w:szCs w:val="21"/>
        </w:rPr>
        <w:t>：</w:t>
      </w:r>
      <w:r>
        <w:rPr>
          <w:rFonts w:hint="eastAsia" w:cs="仿宋_GB2312" w:asciiTheme="minorEastAsia" w:hAnsiTheme="minorEastAsia" w:eastAsiaTheme="minorEastAsia"/>
          <w:color w:val="000000"/>
          <w:kern w:val="2"/>
          <w:sz w:val="21"/>
          <w:szCs w:val="21"/>
          <w:lang w:val="en-US" w:eastAsia="zh-CN" w:bidi="ar-SA"/>
        </w:rPr>
        <w:t>许昌市图书馆</w:t>
      </w:r>
    </w:p>
    <w:p>
      <w:pPr>
        <w:adjustRightInd w:val="0"/>
        <w:spacing w:line="360" w:lineRule="auto"/>
        <w:ind w:firstLine="840"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地址：许昌市东城区赵湾路</w:t>
      </w:r>
    </w:p>
    <w:p>
      <w:pPr>
        <w:adjustRightInd w:val="0"/>
        <w:spacing w:line="360" w:lineRule="auto"/>
        <w:ind w:firstLine="840"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联系人：杨晓燕                   联系电话：0374-2961970</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2962805</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960"/>
        <w:jc w:val="righ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许昌市图书馆</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960"/>
        <w:jc w:val="right"/>
        <w:rPr>
          <w:b w:val="0"/>
          <w:i w:val="0"/>
        </w:rPr>
      </w:pPr>
      <w:r>
        <w:rPr>
          <w:rFonts w:hint="eastAsia" w:ascii="宋体" w:hAnsi="宋体" w:eastAsia="宋体" w:cs="宋体"/>
          <w:b w:val="0"/>
          <w:i w:val="0"/>
          <w:color w:val="000000"/>
          <w:kern w:val="0"/>
          <w:sz w:val="24"/>
          <w:szCs w:val="24"/>
          <w:u w:val="none"/>
          <w:shd w:val="clear" w:fill="FFFFFF"/>
          <w:lang w:val="en-US" w:eastAsia="zh-CN" w:bidi="ar"/>
        </w:rPr>
        <w:t>二〇一九年七月十二日</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highlight w:val="none"/>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w:t>
      </w:r>
      <w:r>
        <w:rPr>
          <w:rFonts w:hint="eastAsia" w:ascii="宋体" w:hAnsi="宋体" w:eastAsia="宋体" w:cs="宋体"/>
          <w:color w:val="000000"/>
          <w:szCs w:val="21"/>
          <w:highlight w:val="none"/>
        </w:rPr>
        <w:t>昌市</w:t>
      </w:r>
      <w:r>
        <w:rPr>
          <w:rFonts w:hint="eastAsia" w:asciiTheme="minorEastAsia" w:hAnsiTheme="minorEastAsia"/>
          <w:color w:val="000000"/>
          <w:szCs w:val="21"/>
          <w:highlight w:val="none"/>
        </w:rPr>
        <w:t>)</w:t>
      </w:r>
      <w:r>
        <w:rPr>
          <w:rFonts w:hint="eastAsia" w:hAnsi="宋体"/>
          <w:color w:val="000000"/>
          <w:szCs w:val="21"/>
          <w:highlight w:val="none"/>
        </w:rPr>
        <w:t>》公共资源交易系统（</w:t>
      </w:r>
      <w:r>
        <w:rPr>
          <w:highlight w:val="none"/>
        </w:rPr>
        <w:fldChar w:fldCharType="begin"/>
      </w:r>
      <w:r>
        <w:rPr>
          <w:highlight w:val="none"/>
        </w:rPr>
        <w:instrText xml:space="preserve"> HYPERLINK "http://221.14.6.70:8088/ggzy/" </w:instrText>
      </w:r>
      <w:r>
        <w:rPr>
          <w:highlight w:val="none"/>
        </w:rPr>
        <w:fldChar w:fldCharType="separate"/>
      </w:r>
      <w:r>
        <w:rPr>
          <w:rStyle w:val="28"/>
          <w:rFonts w:hAnsi="宋体"/>
          <w:szCs w:val="21"/>
          <w:highlight w:val="none"/>
        </w:rPr>
        <w:t>http://221.14.6.70:8088/ggzy/</w:t>
      </w:r>
      <w:r>
        <w:rPr>
          <w:rStyle w:val="28"/>
          <w:rFonts w:hAnsi="宋体"/>
          <w:szCs w:val="21"/>
          <w:highlight w:val="none"/>
        </w:rPr>
        <w:fldChar w:fldCharType="end"/>
      </w:r>
      <w:r>
        <w:rPr>
          <w:rFonts w:hint="eastAsia" w:hAnsi="宋体"/>
          <w:color w:val="000000"/>
          <w:szCs w:val="21"/>
          <w:highlight w:val="none"/>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tbl>
      <w:tblPr>
        <w:tblStyle w:val="23"/>
        <w:tblW w:w="9688"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045"/>
        <w:gridCol w:w="630"/>
        <w:gridCol w:w="567"/>
        <w:gridCol w:w="581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0" w:type="dxa"/>
            <w:vAlign w:val="center"/>
          </w:tcPr>
          <w:p>
            <w:pPr>
              <w:jc w:val="center"/>
              <w:rPr>
                <w:rFonts w:asciiTheme="minorEastAsia" w:hAnsiTheme="minorEastAsia"/>
                <w:b/>
                <w:sz w:val="24"/>
                <w:szCs w:val="24"/>
              </w:rPr>
            </w:pPr>
            <w:r>
              <w:rPr>
                <w:rFonts w:hint="eastAsia" w:asciiTheme="minorEastAsia" w:hAnsiTheme="minorEastAsia"/>
                <w:b/>
                <w:sz w:val="24"/>
                <w:szCs w:val="24"/>
              </w:rPr>
              <w:t>序号</w:t>
            </w:r>
          </w:p>
        </w:tc>
        <w:tc>
          <w:tcPr>
            <w:tcW w:w="1045" w:type="dxa"/>
            <w:vAlign w:val="center"/>
          </w:tcPr>
          <w:p>
            <w:pPr>
              <w:jc w:val="center"/>
              <w:rPr>
                <w:rFonts w:asciiTheme="minorEastAsia" w:hAnsiTheme="minorEastAsia"/>
                <w:b/>
                <w:sz w:val="24"/>
                <w:szCs w:val="24"/>
              </w:rPr>
            </w:pPr>
            <w:r>
              <w:rPr>
                <w:rFonts w:hint="eastAsia" w:asciiTheme="minorEastAsia" w:hAnsiTheme="minorEastAsia"/>
                <w:b/>
                <w:sz w:val="24"/>
                <w:szCs w:val="24"/>
              </w:rPr>
              <w:t>项目名称</w:t>
            </w:r>
          </w:p>
        </w:tc>
        <w:tc>
          <w:tcPr>
            <w:tcW w:w="630" w:type="dxa"/>
            <w:vAlign w:val="center"/>
          </w:tcPr>
          <w:p>
            <w:pPr>
              <w:jc w:val="center"/>
              <w:rPr>
                <w:rFonts w:asciiTheme="minorEastAsia" w:hAnsiTheme="minorEastAsia"/>
                <w:b/>
                <w:sz w:val="24"/>
                <w:szCs w:val="24"/>
              </w:rPr>
            </w:pPr>
            <w:r>
              <w:rPr>
                <w:rFonts w:hint="eastAsia" w:asciiTheme="minorEastAsia" w:hAnsiTheme="minorEastAsia"/>
                <w:b/>
                <w:sz w:val="24"/>
                <w:szCs w:val="24"/>
              </w:rPr>
              <w:t>单位</w:t>
            </w:r>
          </w:p>
        </w:tc>
        <w:tc>
          <w:tcPr>
            <w:tcW w:w="567" w:type="dxa"/>
            <w:vAlign w:val="center"/>
          </w:tcPr>
          <w:p>
            <w:pPr>
              <w:jc w:val="center"/>
              <w:rPr>
                <w:rFonts w:asciiTheme="minorEastAsia" w:hAnsiTheme="minorEastAsia"/>
                <w:b/>
                <w:sz w:val="24"/>
                <w:szCs w:val="24"/>
              </w:rPr>
            </w:pPr>
            <w:r>
              <w:rPr>
                <w:rFonts w:hint="eastAsia" w:asciiTheme="minorEastAsia" w:hAnsiTheme="minorEastAsia"/>
                <w:b/>
                <w:sz w:val="24"/>
                <w:szCs w:val="24"/>
              </w:rPr>
              <w:t>数量</w:t>
            </w:r>
          </w:p>
        </w:tc>
        <w:tc>
          <w:tcPr>
            <w:tcW w:w="5812" w:type="dxa"/>
            <w:vAlign w:val="center"/>
          </w:tcPr>
          <w:p>
            <w:pPr>
              <w:jc w:val="center"/>
              <w:rPr>
                <w:rFonts w:asciiTheme="minorEastAsia" w:hAnsiTheme="minorEastAsia"/>
                <w:b/>
                <w:sz w:val="24"/>
                <w:szCs w:val="24"/>
              </w:rPr>
            </w:pPr>
            <w:r>
              <w:rPr>
                <w:rFonts w:hint="eastAsia" w:asciiTheme="minorEastAsia" w:hAnsiTheme="minorEastAsia"/>
                <w:b/>
                <w:sz w:val="24"/>
                <w:szCs w:val="24"/>
              </w:rPr>
              <w:t>技术要求</w:t>
            </w:r>
          </w:p>
        </w:tc>
        <w:tc>
          <w:tcPr>
            <w:tcW w:w="1134" w:type="dxa"/>
          </w:tcPr>
          <w:p>
            <w:pPr>
              <w:tabs>
                <w:tab w:val="left" w:pos="735"/>
              </w:tabs>
              <w:jc w:val="center"/>
              <w:rPr>
                <w:rFonts w:hint="eastAsia" w:asciiTheme="minorEastAsia" w:hAnsiTheme="minorEastAsia"/>
                <w:b/>
                <w:sz w:val="24"/>
                <w:szCs w:val="24"/>
              </w:rPr>
            </w:pPr>
            <w:r>
              <w:rPr>
                <w:rFonts w:hint="eastAsia" w:asciiTheme="minorEastAsia" w:hAnsiTheme="minorEastAsia"/>
                <w:b/>
                <w:sz w:val="24"/>
                <w:szCs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0" w:type="dxa"/>
            <w:vAlign w:val="center"/>
          </w:tcPr>
          <w:p>
            <w:pPr>
              <w:jc w:val="center"/>
              <w:rPr>
                <w:rFonts w:asciiTheme="minorEastAsia" w:hAnsiTheme="minorEastAsia"/>
                <w:sz w:val="24"/>
                <w:szCs w:val="24"/>
              </w:rPr>
            </w:pPr>
            <w:r>
              <w:rPr>
                <w:rFonts w:hint="eastAsia" w:asciiTheme="minorEastAsia" w:hAnsiTheme="minorEastAsia"/>
                <w:sz w:val="24"/>
                <w:szCs w:val="24"/>
              </w:rPr>
              <w:t>1</w:t>
            </w:r>
          </w:p>
        </w:tc>
        <w:tc>
          <w:tcPr>
            <w:tcW w:w="1045"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支付宝，微信扫码借还功能模块</w:t>
            </w:r>
          </w:p>
        </w:tc>
        <w:tc>
          <w:tcPr>
            <w:tcW w:w="630" w:type="dxa"/>
            <w:vAlign w:val="center"/>
          </w:tcPr>
          <w:p>
            <w:pPr>
              <w:widowControl/>
              <w:jc w:val="center"/>
              <w:rPr>
                <w:rFonts w:asciiTheme="minorEastAsia" w:hAnsiTheme="minorEastAsia"/>
                <w:sz w:val="24"/>
                <w:szCs w:val="24"/>
              </w:rPr>
            </w:pPr>
            <w:r>
              <w:rPr>
                <w:rFonts w:hint="eastAsia" w:cs="宋体" w:asciiTheme="minorEastAsia" w:hAnsiTheme="minorEastAsia"/>
                <w:sz w:val="24"/>
                <w:szCs w:val="24"/>
              </w:rPr>
              <w:t>套</w:t>
            </w:r>
          </w:p>
        </w:tc>
        <w:tc>
          <w:tcPr>
            <w:tcW w:w="567" w:type="dxa"/>
            <w:vAlign w:val="center"/>
          </w:tcPr>
          <w:p>
            <w:pPr>
              <w:widowControl/>
              <w:jc w:val="center"/>
              <w:rPr>
                <w:rFonts w:asciiTheme="minorEastAsia" w:hAnsiTheme="minorEastAsia"/>
                <w:sz w:val="24"/>
                <w:szCs w:val="24"/>
              </w:rPr>
            </w:pPr>
            <w:r>
              <w:rPr>
                <w:rFonts w:hint="eastAsia" w:cs="宋体" w:asciiTheme="minorEastAsia" w:hAnsiTheme="minorEastAsia"/>
                <w:sz w:val="24"/>
                <w:szCs w:val="24"/>
              </w:rPr>
              <w:t>14</w:t>
            </w:r>
          </w:p>
        </w:tc>
        <w:tc>
          <w:tcPr>
            <w:tcW w:w="5812" w:type="dxa"/>
            <w:vAlign w:val="center"/>
          </w:tcPr>
          <w:p>
            <w:pPr>
              <w:widowControl/>
              <w:jc w:val="left"/>
              <w:rPr>
                <w:rFonts w:cs="宋体" w:asciiTheme="minorEastAsia" w:hAnsiTheme="minorEastAsia"/>
                <w:sz w:val="24"/>
                <w:szCs w:val="24"/>
              </w:rPr>
            </w:pPr>
            <w:r>
              <w:rPr>
                <w:rFonts w:hint="eastAsia" w:cs="宋体" w:asciiTheme="minorEastAsia" w:hAnsiTheme="minorEastAsia"/>
                <w:sz w:val="24"/>
                <w:szCs w:val="24"/>
              </w:rPr>
              <w:t>功能描述：</w:t>
            </w:r>
          </w:p>
          <w:p>
            <w:pPr>
              <w:widowControl/>
              <w:jc w:val="left"/>
              <w:rPr>
                <w:rFonts w:asciiTheme="minorEastAsia" w:hAnsiTheme="minorEastAsia"/>
                <w:sz w:val="24"/>
                <w:szCs w:val="24"/>
              </w:rPr>
            </w:pPr>
            <w:r>
              <w:rPr>
                <w:rFonts w:hint="eastAsia" w:asciiTheme="minorEastAsia" w:hAnsiTheme="minorEastAsia"/>
                <w:sz w:val="24"/>
                <w:szCs w:val="24"/>
              </w:rPr>
              <w:t>1、支持支付宝扫码登录：读者在支付宝、借阅宝客户端扫自助借还机产生的二维码登录认证读者借书。</w:t>
            </w:r>
          </w:p>
          <w:p>
            <w:pPr>
              <w:widowControl/>
              <w:jc w:val="left"/>
              <w:rPr>
                <w:rFonts w:asciiTheme="minorEastAsia" w:hAnsiTheme="minorEastAsia"/>
                <w:sz w:val="24"/>
                <w:szCs w:val="24"/>
              </w:rPr>
            </w:pPr>
            <w:r>
              <w:rPr>
                <w:rFonts w:hint="eastAsia" w:asciiTheme="minorEastAsia" w:hAnsiTheme="minorEastAsia"/>
                <w:sz w:val="24"/>
                <w:szCs w:val="24"/>
              </w:rPr>
              <w:t>2、支持微信扫码登录：读者在许昌市图书馆微信公众号端扫自助借还机产生的二维码登录认证读者借书。</w:t>
            </w:r>
          </w:p>
          <w:p>
            <w:pPr>
              <w:widowControl/>
              <w:jc w:val="left"/>
              <w:rPr>
                <w:rFonts w:asciiTheme="minorEastAsia" w:hAnsiTheme="minorEastAsia"/>
                <w:sz w:val="24"/>
                <w:szCs w:val="24"/>
              </w:rPr>
            </w:pPr>
            <w:r>
              <w:rPr>
                <w:rFonts w:hint="eastAsia" w:asciiTheme="minorEastAsia" w:hAnsiTheme="minorEastAsia"/>
                <w:sz w:val="24"/>
                <w:szCs w:val="24"/>
              </w:rPr>
              <w:t>3、实现“微信端”和“支付宝端”电子借阅证功能，我馆读者使用有效读者证可通过微信或支付宝等渠道在线生成与实体证相同证号的电子借阅证。</w:t>
            </w:r>
          </w:p>
          <w:p>
            <w:pPr>
              <w:widowControl/>
              <w:jc w:val="left"/>
              <w:rPr>
                <w:rFonts w:asciiTheme="minorEastAsia" w:hAnsiTheme="minorEastAsia"/>
                <w:sz w:val="24"/>
                <w:szCs w:val="24"/>
              </w:rPr>
            </w:pPr>
            <w:r>
              <w:rPr>
                <w:rFonts w:hint="eastAsia" w:asciiTheme="minorEastAsia" w:hAnsiTheme="minorEastAsia"/>
                <w:sz w:val="24"/>
                <w:szCs w:val="24"/>
              </w:rPr>
              <w:t>4、实现支付宝芝麻信用授权办证服务，我馆的首次办证读者，可凭芝麻信用免押金在线办理我馆电子借阅证。</w:t>
            </w:r>
          </w:p>
          <w:p>
            <w:pPr>
              <w:widowControl/>
              <w:jc w:val="left"/>
              <w:rPr>
                <w:rFonts w:asciiTheme="minorEastAsia" w:hAnsiTheme="minorEastAsia"/>
                <w:sz w:val="24"/>
                <w:szCs w:val="24"/>
              </w:rPr>
            </w:pPr>
            <w:r>
              <w:rPr>
                <w:rFonts w:hint="eastAsia" w:asciiTheme="minorEastAsia" w:hAnsiTheme="minorEastAsia"/>
                <w:sz w:val="24"/>
                <w:szCs w:val="24"/>
              </w:rPr>
              <w:t>5、所投产品需要兼容许昌市图书馆馆内及已有智慧阅读空间自助借还设备并保持技术标准、业务流程和相关参数一致。</w:t>
            </w:r>
          </w:p>
          <w:p>
            <w:pPr>
              <w:widowControl/>
              <w:jc w:val="left"/>
              <w:rPr>
                <w:rFonts w:asciiTheme="minorEastAsia" w:hAnsiTheme="minorEastAsia"/>
                <w:sz w:val="24"/>
                <w:szCs w:val="24"/>
              </w:rPr>
            </w:pPr>
            <w:r>
              <w:rPr>
                <w:rFonts w:hint="eastAsia" w:asciiTheme="minorEastAsia" w:hAnsiTheme="minorEastAsia"/>
                <w:sz w:val="24"/>
                <w:szCs w:val="24"/>
              </w:rPr>
              <w:t>6、所投产品需要和许昌市图书馆现有的自助化管理系统无缝对接，所涉及与业务自助化管理系统厂家对接的开发费用及接口费由中标人自行承担。（现有的图书馆管理软件提供商为上海图创信息科技有限公司）</w:t>
            </w:r>
          </w:p>
        </w:tc>
        <w:tc>
          <w:tcPr>
            <w:tcW w:w="1134" w:type="dxa"/>
          </w:tcPr>
          <w:p>
            <w:pPr>
              <w:widowControl/>
              <w:jc w:val="left"/>
              <w:rPr>
                <w:rFonts w:hint="eastAsia" w:cs="宋体" w:asciiTheme="minorEastAsia" w:hAnsiTheme="minorEastAsia"/>
                <w:sz w:val="24"/>
                <w:szCs w:val="24"/>
              </w:rPr>
            </w:pPr>
            <w:r>
              <w:rPr>
                <w:rFonts w:hint="eastAsia" w:cs="宋体" w:asciiTheme="minorEastAsia" w:hAnsiTheme="minorEastAsia"/>
                <w:sz w:val="24"/>
                <w:szCs w:val="24"/>
              </w:rPr>
              <w:t xml:space="preserve">    </w:t>
            </w:r>
          </w:p>
          <w:p>
            <w:pPr>
              <w:widowControl/>
              <w:jc w:val="left"/>
              <w:rPr>
                <w:rFonts w:hint="eastAsia" w:cs="宋体" w:asciiTheme="minorEastAsia" w:hAnsiTheme="minorEastAsia"/>
                <w:sz w:val="24"/>
                <w:szCs w:val="24"/>
              </w:rPr>
            </w:pPr>
          </w:p>
          <w:p>
            <w:pPr>
              <w:widowControl/>
              <w:jc w:val="left"/>
              <w:rPr>
                <w:rFonts w:hint="eastAsia" w:cs="宋体" w:asciiTheme="minorEastAsia" w:hAnsiTheme="minorEastAsia"/>
                <w:sz w:val="24"/>
                <w:szCs w:val="24"/>
              </w:rPr>
            </w:pPr>
          </w:p>
          <w:p>
            <w:pPr>
              <w:widowControl/>
              <w:jc w:val="left"/>
              <w:rPr>
                <w:rFonts w:hint="eastAsia" w:cs="宋体" w:asciiTheme="minorEastAsia" w:hAnsiTheme="minorEastAsia"/>
                <w:sz w:val="24"/>
                <w:szCs w:val="24"/>
              </w:rPr>
            </w:pPr>
          </w:p>
          <w:p>
            <w:pPr>
              <w:widowControl/>
              <w:jc w:val="left"/>
              <w:rPr>
                <w:rFonts w:hint="eastAsia" w:cs="宋体" w:asciiTheme="minorEastAsia" w:hAnsiTheme="minorEastAsia"/>
                <w:sz w:val="24"/>
                <w:szCs w:val="24"/>
              </w:rPr>
            </w:pPr>
          </w:p>
          <w:p>
            <w:pPr>
              <w:widowControl/>
              <w:jc w:val="left"/>
              <w:rPr>
                <w:rFonts w:hint="eastAsia" w:cs="宋体" w:asciiTheme="minorEastAsia" w:hAnsiTheme="minorEastAsia"/>
                <w:sz w:val="24"/>
                <w:szCs w:val="24"/>
              </w:rPr>
            </w:pPr>
          </w:p>
          <w:p>
            <w:pPr>
              <w:widowControl/>
              <w:jc w:val="left"/>
              <w:rPr>
                <w:rFonts w:hint="eastAsia" w:cs="宋体" w:asciiTheme="minorEastAsia" w:hAnsiTheme="minorEastAsia"/>
                <w:sz w:val="24"/>
                <w:szCs w:val="24"/>
              </w:rPr>
            </w:pPr>
          </w:p>
          <w:p>
            <w:pPr>
              <w:widowControl/>
              <w:jc w:val="left"/>
              <w:rPr>
                <w:rFonts w:hint="eastAsia" w:cs="宋体" w:asciiTheme="minorEastAsia" w:hAnsiTheme="minorEastAsia"/>
                <w:sz w:val="24"/>
                <w:szCs w:val="24"/>
              </w:rPr>
            </w:pPr>
          </w:p>
          <w:p>
            <w:pPr>
              <w:widowControl/>
              <w:jc w:val="left"/>
              <w:rPr>
                <w:rFonts w:hint="eastAsia" w:cs="宋体" w:asciiTheme="minorEastAsia" w:hAnsiTheme="minorEastAsia"/>
                <w:sz w:val="24"/>
                <w:szCs w:val="24"/>
              </w:rPr>
            </w:pPr>
          </w:p>
          <w:p>
            <w:pPr>
              <w:widowControl/>
              <w:ind w:firstLine="360" w:firstLineChars="150"/>
              <w:jc w:val="left"/>
              <w:rPr>
                <w:rFonts w:hint="eastAsia" w:cs="宋体" w:asciiTheme="minorEastAsia" w:hAnsiTheme="minorEastAsia"/>
                <w:sz w:val="24"/>
                <w:szCs w:val="24"/>
              </w:rPr>
            </w:pPr>
            <w:r>
              <w:rPr>
                <w:rFonts w:hint="eastAsia" w:cs="宋体" w:asciiTheme="minorEastAsia" w:hAnsiTheme="minorEastAsia"/>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0" w:type="dxa"/>
            <w:vAlign w:val="center"/>
          </w:tcPr>
          <w:p>
            <w:pPr>
              <w:jc w:val="center"/>
              <w:rPr>
                <w:rFonts w:asciiTheme="minorEastAsia" w:hAnsiTheme="minorEastAsia"/>
                <w:sz w:val="24"/>
                <w:szCs w:val="24"/>
              </w:rPr>
            </w:pPr>
            <w:r>
              <w:rPr>
                <w:rFonts w:hint="eastAsia" w:asciiTheme="minorEastAsia" w:hAnsiTheme="minorEastAsia"/>
                <w:sz w:val="24"/>
                <w:szCs w:val="24"/>
              </w:rPr>
              <w:t>2</w:t>
            </w:r>
          </w:p>
        </w:tc>
        <w:tc>
          <w:tcPr>
            <w:tcW w:w="1045"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RFID智能门禁系统</w:t>
            </w:r>
          </w:p>
        </w:tc>
        <w:tc>
          <w:tcPr>
            <w:tcW w:w="630"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套</w:t>
            </w:r>
          </w:p>
        </w:tc>
        <w:tc>
          <w:tcPr>
            <w:tcW w:w="567"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11</w:t>
            </w:r>
          </w:p>
        </w:tc>
        <w:tc>
          <w:tcPr>
            <w:tcW w:w="5812" w:type="dxa"/>
            <w:vAlign w:val="center"/>
          </w:tcPr>
          <w:p>
            <w:pPr>
              <w:widowControl/>
              <w:jc w:val="left"/>
              <w:rPr>
                <w:rFonts w:cs="宋体" w:asciiTheme="minorEastAsia" w:hAnsiTheme="minorEastAsia"/>
                <w:sz w:val="24"/>
                <w:szCs w:val="24"/>
              </w:rPr>
            </w:pPr>
            <w:r>
              <w:rPr>
                <w:rFonts w:hint="eastAsia" w:cs="宋体" w:asciiTheme="minorEastAsia" w:hAnsiTheme="minorEastAsia"/>
                <w:sz w:val="24"/>
                <w:szCs w:val="24"/>
              </w:rPr>
              <w:t>1、具备入馆读者信息记录功能及入馆人流统计功能</w:t>
            </w:r>
          </w:p>
          <w:p>
            <w:pPr>
              <w:widowControl/>
              <w:jc w:val="left"/>
              <w:rPr>
                <w:rFonts w:cs="宋体" w:asciiTheme="minorEastAsia" w:hAnsiTheme="minorEastAsia"/>
                <w:sz w:val="24"/>
                <w:szCs w:val="24"/>
              </w:rPr>
            </w:pPr>
            <w:r>
              <w:rPr>
                <w:rFonts w:hint="eastAsia" w:cs="宋体" w:asciiTheme="minorEastAsia" w:hAnsiTheme="minorEastAsia"/>
                <w:sz w:val="24"/>
                <w:szCs w:val="24"/>
              </w:rPr>
              <w:t>2、设备包括多合一读写器（IC卡读者证，RFID卡读者证，身份证），红外感应模块，语音播放模块。</w:t>
            </w:r>
          </w:p>
          <w:p>
            <w:pPr>
              <w:widowControl/>
              <w:jc w:val="left"/>
              <w:rPr>
                <w:rFonts w:cs="宋体" w:asciiTheme="minorEastAsia" w:hAnsiTheme="minorEastAsia"/>
                <w:sz w:val="24"/>
                <w:szCs w:val="24"/>
              </w:rPr>
            </w:pPr>
            <w:r>
              <w:rPr>
                <w:rFonts w:hint="eastAsia" w:cs="宋体" w:asciiTheme="minorEastAsia" w:hAnsiTheme="minorEastAsia"/>
                <w:sz w:val="24"/>
                <w:szCs w:val="24"/>
              </w:rPr>
              <w:t>3、人机交互界面简单易懂，硬件设备安全可靠。</w:t>
            </w:r>
          </w:p>
          <w:p>
            <w:pPr>
              <w:widowControl/>
              <w:jc w:val="left"/>
              <w:rPr>
                <w:rFonts w:cs="宋体" w:asciiTheme="minorEastAsia" w:hAnsiTheme="minorEastAsia"/>
                <w:sz w:val="24"/>
                <w:szCs w:val="24"/>
              </w:rPr>
            </w:pPr>
            <w:r>
              <w:rPr>
                <w:rFonts w:hint="eastAsia" w:cs="宋体" w:asciiTheme="minorEastAsia" w:hAnsiTheme="minorEastAsia"/>
                <w:sz w:val="24"/>
                <w:szCs w:val="24"/>
              </w:rPr>
              <w:t>4、支持微信扫码开门，支持短信验证用户身份。</w:t>
            </w:r>
          </w:p>
          <w:p>
            <w:pPr>
              <w:widowControl/>
              <w:jc w:val="left"/>
              <w:rPr>
                <w:rFonts w:cs="宋体" w:asciiTheme="minorEastAsia" w:hAnsiTheme="minorEastAsia"/>
                <w:sz w:val="24"/>
                <w:szCs w:val="24"/>
              </w:rPr>
            </w:pPr>
            <w:r>
              <w:rPr>
                <w:rFonts w:hint="eastAsia" w:cs="宋体" w:asciiTheme="minorEastAsia" w:hAnsiTheme="minorEastAsia"/>
                <w:sz w:val="24"/>
                <w:szCs w:val="24"/>
              </w:rPr>
              <w:t>5、RFID智能门禁系统和安全检测系统构成联动环境，读者正常借还书出入时，控制磁力锁的启闭，从而实现玻璃门的开启或关闭及防盗功能。</w:t>
            </w:r>
          </w:p>
          <w:p>
            <w:pPr>
              <w:widowControl/>
              <w:jc w:val="left"/>
              <w:rPr>
                <w:rFonts w:cs="宋体" w:asciiTheme="minorEastAsia" w:hAnsiTheme="minorEastAsia"/>
                <w:sz w:val="24"/>
                <w:szCs w:val="24"/>
              </w:rPr>
            </w:pPr>
            <w:r>
              <w:rPr>
                <w:rFonts w:hint="eastAsia" w:cs="宋体" w:asciiTheme="minorEastAsia" w:hAnsiTheme="minorEastAsia"/>
                <w:sz w:val="24"/>
                <w:szCs w:val="24"/>
              </w:rPr>
              <w:t>6、当安全检测系统检测到未成功借出的书籍时发出报警提示，此时RFID智能门禁系统的磁力锁处于常锁状态，玻璃门常闭。</w:t>
            </w:r>
          </w:p>
          <w:p>
            <w:pPr>
              <w:widowControl/>
              <w:jc w:val="left"/>
              <w:rPr>
                <w:rFonts w:cs="宋体" w:asciiTheme="minorEastAsia" w:hAnsiTheme="minorEastAsia"/>
                <w:sz w:val="24"/>
                <w:szCs w:val="24"/>
              </w:rPr>
            </w:pPr>
            <w:r>
              <w:rPr>
                <w:rFonts w:hint="eastAsia" w:cs="宋体" w:asciiTheme="minorEastAsia" w:hAnsiTheme="minorEastAsia"/>
                <w:sz w:val="24"/>
                <w:szCs w:val="24"/>
              </w:rPr>
              <w:t>7、支持远程闭馆开馆，闭馆可指定闭馆原因和闭馆时间段。</w:t>
            </w:r>
          </w:p>
          <w:p>
            <w:pPr>
              <w:widowControl/>
              <w:jc w:val="left"/>
              <w:rPr>
                <w:rFonts w:cs="宋体" w:asciiTheme="minorEastAsia" w:hAnsiTheme="minorEastAsia"/>
                <w:sz w:val="24"/>
                <w:szCs w:val="24"/>
              </w:rPr>
            </w:pPr>
            <w:r>
              <w:rPr>
                <w:rFonts w:hint="eastAsia" w:cs="宋体" w:asciiTheme="minorEastAsia" w:hAnsiTheme="minorEastAsia"/>
                <w:sz w:val="24"/>
                <w:szCs w:val="24"/>
              </w:rPr>
              <w:t>8、支持设置黑白名单，可设置只允许白名单内的读者进入馆，同时可允许持身份证的非读者进入馆。</w:t>
            </w:r>
          </w:p>
          <w:p>
            <w:pPr>
              <w:widowControl/>
              <w:jc w:val="left"/>
              <w:rPr>
                <w:rFonts w:cs="宋体" w:asciiTheme="minorEastAsia" w:hAnsiTheme="minorEastAsia"/>
                <w:sz w:val="24"/>
                <w:szCs w:val="24"/>
              </w:rPr>
            </w:pPr>
            <w:r>
              <w:rPr>
                <w:rFonts w:hint="eastAsia" w:cs="宋体" w:asciiTheme="minorEastAsia" w:hAnsiTheme="minorEastAsia"/>
                <w:sz w:val="24"/>
                <w:szCs w:val="24"/>
              </w:rPr>
              <w:t>9、支持查看RFID智能门禁的操作记录、访客记录。</w:t>
            </w:r>
          </w:p>
          <w:p>
            <w:pPr>
              <w:widowControl/>
              <w:jc w:val="left"/>
              <w:rPr>
                <w:rFonts w:cs="宋体" w:asciiTheme="minorEastAsia" w:hAnsiTheme="minorEastAsia"/>
                <w:sz w:val="24"/>
                <w:szCs w:val="24"/>
              </w:rPr>
            </w:pPr>
            <w:r>
              <w:rPr>
                <w:rFonts w:hint="eastAsia" w:cs="宋体" w:asciiTheme="minorEastAsia" w:hAnsiTheme="minorEastAsia"/>
                <w:sz w:val="24"/>
                <w:szCs w:val="24"/>
              </w:rPr>
              <w:t>10、能够接入智能控制系统、市图书馆中央监控平台，满足后台远程控制及运行状态查询。</w:t>
            </w:r>
          </w:p>
        </w:tc>
        <w:tc>
          <w:tcPr>
            <w:tcW w:w="1134" w:type="dxa"/>
          </w:tcPr>
          <w:p>
            <w:pPr>
              <w:widowControl/>
              <w:ind w:firstLine="240" w:firstLineChars="100"/>
              <w:jc w:val="left"/>
              <w:rPr>
                <w:rFonts w:hint="eastAsia" w:cs="宋体" w:asciiTheme="minorEastAsia" w:hAnsiTheme="minorEastAsia"/>
                <w:sz w:val="24"/>
                <w:szCs w:val="24"/>
              </w:rPr>
            </w:pPr>
          </w:p>
          <w:p>
            <w:pPr>
              <w:widowControl/>
              <w:ind w:firstLine="240" w:firstLineChars="100"/>
              <w:jc w:val="left"/>
              <w:rPr>
                <w:rFonts w:hint="eastAsia" w:cs="宋体" w:asciiTheme="minorEastAsia" w:hAnsiTheme="minorEastAsia"/>
                <w:sz w:val="24"/>
                <w:szCs w:val="24"/>
              </w:rPr>
            </w:pPr>
          </w:p>
          <w:p>
            <w:pPr>
              <w:widowControl/>
              <w:ind w:firstLine="240" w:firstLineChars="100"/>
              <w:jc w:val="left"/>
              <w:rPr>
                <w:rFonts w:hint="eastAsia" w:cs="宋体" w:asciiTheme="minorEastAsia" w:hAnsiTheme="minorEastAsia"/>
                <w:sz w:val="24"/>
                <w:szCs w:val="24"/>
              </w:rPr>
            </w:pPr>
          </w:p>
          <w:p>
            <w:pPr>
              <w:widowControl/>
              <w:ind w:firstLine="240" w:firstLineChars="100"/>
              <w:jc w:val="left"/>
              <w:rPr>
                <w:rFonts w:hint="eastAsia" w:cs="宋体" w:asciiTheme="minorEastAsia" w:hAnsiTheme="minorEastAsia"/>
                <w:sz w:val="24"/>
                <w:szCs w:val="24"/>
              </w:rPr>
            </w:pPr>
          </w:p>
          <w:p>
            <w:pPr>
              <w:widowControl/>
              <w:ind w:firstLine="240" w:firstLineChars="100"/>
              <w:jc w:val="left"/>
              <w:rPr>
                <w:rFonts w:hint="eastAsia" w:cs="宋体" w:asciiTheme="minorEastAsia" w:hAnsiTheme="minorEastAsia"/>
                <w:sz w:val="24"/>
                <w:szCs w:val="24"/>
              </w:rPr>
            </w:pPr>
            <w:r>
              <w:rPr>
                <w:rFonts w:hint="eastAsia" w:cs="宋体" w:asciiTheme="minorEastAsia" w:hAnsiTheme="minorEastAsia"/>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0" w:type="dxa"/>
            <w:vAlign w:val="center"/>
          </w:tcPr>
          <w:p>
            <w:pPr>
              <w:jc w:val="center"/>
              <w:rPr>
                <w:rFonts w:asciiTheme="minorEastAsia" w:hAnsiTheme="minorEastAsia"/>
                <w:sz w:val="24"/>
                <w:szCs w:val="24"/>
              </w:rPr>
            </w:pPr>
            <w:r>
              <w:rPr>
                <w:rFonts w:hint="eastAsia" w:asciiTheme="minorEastAsia" w:hAnsiTheme="minorEastAsia"/>
                <w:sz w:val="24"/>
                <w:szCs w:val="24"/>
              </w:rPr>
              <w:t>3</w:t>
            </w:r>
          </w:p>
        </w:tc>
        <w:tc>
          <w:tcPr>
            <w:tcW w:w="1045"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新风系统</w:t>
            </w:r>
          </w:p>
        </w:tc>
        <w:tc>
          <w:tcPr>
            <w:tcW w:w="630"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套</w:t>
            </w:r>
          </w:p>
        </w:tc>
        <w:tc>
          <w:tcPr>
            <w:tcW w:w="567"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11</w:t>
            </w:r>
          </w:p>
        </w:tc>
        <w:tc>
          <w:tcPr>
            <w:tcW w:w="5812" w:type="dxa"/>
            <w:vAlign w:val="center"/>
          </w:tcPr>
          <w:p>
            <w:pPr>
              <w:widowControl/>
              <w:jc w:val="left"/>
              <w:rPr>
                <w:rFonts w:cs="宋体" w:asciiTheme="minorEastAsia" w:hAnsiTheme="minorEastAsia"/>
                <w:sz w:val="24"/>
                <w:szCs w:val="24"/>
              </w:rPr>
            </w:pPr>
            <w:r>
              <w:rPr>
                <w:rFonts w:hint="eastAsia" w:cs="宋体" w:asciiTheme="minorEastAsia" w:hAnsiTheme="minorEastAsia"/>
                <w:sz w:val="24"/>
                <w:szCs w:val="24"/>
              </w:rPr>
              <w:t>全热交换新风除霾机技术参数要求：</w:t>
            </w:r>
          </w:p>
          <w:p>
            <w:pPr>
              <w:widowControl/>
              <w:jc w:val="left"/>
              <w:rPr>
                <w:rFonts w:cs="宋体" w:asciiTheme="minorEastAsia" w:hAnsiTheme="minorEastAsia"/>
                <w:sz w:val="24"/>
                <w:szCs w:val="24"/>
              </w:rPr>
            </w:pPr>
            <w:r>
              <w:rPr>
                <w:rFonts w:hint="eastAsia" w:cs="宋体" w:asciiTheme="minorEastAsia" w:hAnsiTheme="minorEastAsia"/>
                <w:sz w:val="24"/>
                <w:szCs w:val="24"/>
              </w:rPr>
              <w:t>1.PM2.5一次过滤率≥99%。</w:t>
            </w:r>
          </w:p>
          <w:p>
            <w:pPr>
              <w:widowControl/>
              <w:jc w:val="left"/>
              <w:rPr>
                <w:rFonts w:cs="宋体" w:asciiTheme="minorEastAsia" w:hAnsiTheme="minorEastAsia"/>
                <w:sz w:val="24"/>
                <w:szCs w:val="24"/>
              </w:rPr>
            </w:pPr>
            <w:r>
              <w:rPr>
                <w:rFonts w:hint="eastAsia" w:cs="宋体" w:asciiTheme="minorEastAsia" w:hAnsiTheme="minorEastAsia"/>
                <w:sz w:val="24"/>
                <w:szCs w:val="24"/>
              </w:rPr>
              <w:t>2.风量350m³/h 多档控制。</w:t>
            </w:r>
          </w:p>
          <w:p>
            <w:pPr>
              <w:widowControl/>
              <w:jc w:val="left"/>
              <w:rPr>
                <w:rFonts w:cs="宋体" w:asciiTheme="minorEastAsia" w:hAnsiTheme="minorEastAsia"/>
                <w:sz w:val="24"/>
                <w:szCs w:val="24"/>
              </w:rPr>
            </w:pPr>
            <w:r>
              <w:rPr>
                <w:rFonts w:hint="eastAsia" w:cs="宋体" w:asciiTheme="minorEastAsia" w:hAnsiTheme="minorEastAsia"/>
                <w:sz w:val="24"/>
                <w:szCs w:val="24"/>
              </w:rPr>
              <w:t>3.热交换率（制热）：80%。</w:t>
            </w:r>
          </w:p>
          <w:p>
            <w:pPr>
              <w:widowControl/>
              <w:jc w:val="left"/>
              <w:rPr>
                <w:rFonts w:cs="宋体" w:asciiTheme="minorEastAsia" w:hAnsiTheme="minorEastAsia"/>
                <w:sz w:val="24"/>
                <w:szCs w:val="24"/>
              </w:rPr>
            </w:pPr>
            <w:r>
              <w:rPr>
                <w:rFonts w:hint="eastAsia" w:cs="宋体" w:asciiTheme="minorEastAsia" w:hAnsiTheme="minorEastAsia"/>
                <w:sz w:val="24"/>
                <w:szCs w:val="24"/>
              </w:rPr>
              <w:t>4.噪音（dBCA):35/22。</w:t>
            </w:r>
          </w:p>
          <w:p>
            <w:pPr>
              <w:widowControl/>
              <w:jc w:val="left"/>
              <w:rPr>
                <w:rFonts w:cs="宋体" w:asciiTheme="minorEastAsia" w:hAnsiTheme="minorEastAsia"/>
                <w:sz w:val="24"/>
                <w:szCs w:val="24"/>
              </w:rPr>
            </w:pPr>
            <w:r>
              <w:rPr>
                <w:rFonts w:hint="eastAsia" w:cs="宋体" w:asciiTheme="minorEastAsia" w:hAnsiTheme="minorEastAsia"/>
                <w:sz w:val="24"/>
                <w:szCs w:val="24"/>
              </w:rPr>
              <w:t>5.电源规格：220V 50H2。</w:t>
            </w:r>
          </w:p>
          <w:p>
            <w:pPr>
              <w:widowControl/>
              <w:jc w:val="left"/>
              <w:rPr>
                <w:rFonts w:cs="宋体" w:asciiTheme="minorEastAsia" w:hAnsiTheme="minorEastAsia"/>
                <w:sz w:val="24"/>
                <w:szCs w:val="24"/>
              </w:rPr>
            </w:pPr>
            <w:r>
              <w:rPr>
                <w:rFonts w:hint="eastAsia" w:cs="宋体" w:asciiTheme="minorEastAsia" w:hAnsiTheme="minorEastAsia"/>
                <w:sz w:val="24"/>
                <w:szCs w:val="24"/>
              </w:rPr>
              <w:t>6.四级过滤。</w:t>
            </w:r>
          </w:p>
          <w:p>
            <w:pPr>
              <w:widowControl/>
              <w:jc w:val="left"/>
              <w:rPr>
                <w:rFonts w:cs="宋体" w:asciiTheme="minorEastAsia" w:hAnsiTheme="minorEastAsia"/>
                <w:sz w:val="24"/>
                <w:szCs w:val="24"/>
              </w:rPr>
            </w:pPr>
            <w:r>
              <w:rPr>
                <w:rFonts w:hint="eastAsia" w:cs="宋体" w:asciiTheme="minorEastAsia" w:hAnsiTheme="minorEastAsia"/>
                <w:sz w:val="24"/>
                <w:szCs w:val="24"/>
              </w:rPr>
              <w:t>7.手动控制+自动控制，可实现手动控制新风机开启也可搭配空气制量检测装置，根据室内空气质量，自动开启和关闭新风机的运行，并对室内空气自动进行检测。</w:t>
            </w:r>
          </w:p>
          <w:p>
            <w:pPr>
              <w:widowControl/>
              <w:jc w:val="left"/>
              <w:rPr>
                <w:rFonts w:cs="宋体" w:asciiTheme="minorEastAsia" w:hAnsiTheme="minorEastAsia"/>
                <w:sz w:val="24"/>
                <w:szCs w:val="24"/>
              </w:rPr>
            </w:pPr>
            <w:r>
              <w:rPr>
                <w:rFonts w:hint="eastAsia" w:cs="宋体" w:asciiTheme="minorEastAsia" w:hAnsiTheme="minorEastAsia"/>
                <w:sz w:val="24"/>
                <w:szCs w:val="24"/>
              </w:rPr>
              <w:t>8.能够接入智能控制系统、市图书馆中央监控平台，满足后台远程控制及运行状态查询。</w:t>
            </w:r>
          </w:p>
        </w:tc>
        <w:tc>
          <w:tcPr>
            <w:tcW w:w="1134" w:type="dxa"/>
          </w:tcPr>
          <w:p>
            <w:pPr>
              <w:widowControl/>
              <w:ind w:firstLine="480" w:firstLineChars="200"/>
              <w:jc w:val="left"/>
              <w:rPr>
                <w:rFonts w:hint="eastAsia" w:cs="宋体" w:asciiTheme="minorEastAsia" w:hAnsiTheme="minorEastAsia"/>
                <w:sz w:val="24"/>
                <w:szCs w:val="24"/>
              </w:rPr>
            </w:pPr>
          </w:p>
          <w:p>
            <w:pPr>
              <w:widowControl/>
              <w:ind w:firstLine="480" w:firstLineChars="200"/>
              <w:jc w:val="left"/>
              <w:rPr>
                <w:rFonts w:hint="eastAsia" w:cs="宋体" w:asciiTheme="minorEastAsia" w:hAnsiTheme="minorEastAsia"/>
                <w:sz w:val="24"/>
                <w:szCs w:val="24"/>
              </w:rPr>
            </w:pPr>
          </w:p>
          <w:p>
            <w:pPr>
              <w:widowControl/>
              <w:ind w:firstLine="480" w:firstLineChars="200"/>
              <w:jc w:val="left"/>
              <w:rPr>
                <w:rFonts w:hint="eastAsia" w:cs="宋体" w:asciiTheme="minorEastAsia" w:hAnsiTheme="minorEastAsia"/>
                <w:sz w:val="24"/>
                <w:szCs w:val="24"/>
              </w:rPr>
            </w:pPr>
          </w:p>
          <w:p>
            <w:pPr>
              <w:widowControl/>
              <w:ind w:firstLine="480" w:firstLineChars="200"/>
              <w:jc w:val="left"/>
              <w:rPr>
                <w:rFonts w:hint="eastAsia" w:cs="宋体" w:asciiTheme="minorEastAsia" w:hAnsiTheme="minorEastAsia"/>
                <w:sz w:val="24"/>
                <w:szCs w:val="24"/>
              </w:rPr>
            </w:pPr>
          </w:p>
          <w:p>
            <w:pPr>
              <w:widowControl/>
              <w:ind w:firstLine="480" w:firstLineChars="200"/>
              <w:jc w:val="left"/>
              <w:rPr>
                <w:rFonts w:hint="eastAsia" w:cs="宋体" w:asciiTheme="minorEastAsia" w:hAnsiTheme="minorEastAsia"/>
                <w:sz w:val="24"/>
                <w:szCs w:val="24"/>
              </w:rPr>
            </w:pPr>
          </w:p>
          <w:p>
            <w:pPr>
              <w:widowControl/>
              <w:ind w:firstLine="480" w:firstLineChars="200"/>
              <w:jc w:val="left"/>
              <w:rPr>
                <w:rFonts w:hint="eastAsia" w:cs="宋体" w:asciiTheme="minorEastAsia" w:hAnsiTheme="minorEastAsia"/>
                <w:sz w:val="24"/>
                <w:szCs w:val="24"/>
              </w:rPr>
            </w:pPr>
          </w:p>
          <w:p>
            <w:pPr>
              <w:widowControl/>
              <w:ind w:firstLine="480" w:firstLineChars="200"/>
              <w:jc w:val="left"/>
              <w:rPr>
                <w:rFonts w:hint="eastAsia" w:cs="宋体" w:asciiTheme="minorEastAsia" w:hAnsiTheme="minorEastAsia"/>
                <w:sz w:val="24"/>
                <w:szCs w:val="24"/>
              </w:rPr>
            </w:pPr>
            <w:r>
              <w:rPr>
                <w:rFonts w:hint="eastAsia" w:cs="宋体" w:asciiTheme="minorEastAsia" w:hAnsiTheme="minorEastAsia"/>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0" w:type="dxa"/>
            <w:vAlign w:val="center"/>
          </w:tcPr>
          <w:p>
            <w:pPr>
              <w:jc w:val="center"/>
              <w:rPr>
                <w:rFonts w:asciiTheme="minorEastAsia" w:hAnsiTheme="minorEastAsia"/>
                <w:sz w:val="24"/>
                <w:szCs w:val="24"/>
              </w:rPr>
            </w:pPr>
            <w:r>
              <w:rPr>
                <w:rFonts w:hint="eastAsia" w:asciiTheme="minorEastAsia" w:hAnsiTheme="minorEastAsia"/>
                <w:sz w:val="24"/>
                <w:szCs w:val="24"/>
              </w:rPr>
              <w:t>4</w:t>
            </w:r>
          </w:p>
        </w:tc>
        <w:tc>
          <w:tcPr>
            <w:tcW w:w="1045"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智慧阅读空间</w:t>
            </w:r>
            <w:r>
              <w:rPr>
                <w:rFonts w:hint="eastAsia" w:cs="宋体" w:asciiTheme="minorEastAsia" w:hAnsiTheme="minorEastAsia"/>
                <w:sz w:val="24"/>
                <w:szCs w:val="24"/>
              </w:rPr>
              <w:br w:type="textWrapping"/>
            </w:r>
            <w:r>
              <w:rPr>
                <w:rFonts w:hint="eastAsia" w:cs="宋体" w:asciiTheme="minorEastAsia" w:hAnsiTheme="minorEastAsia"/>
                <w:sz w:val="24"/>
                <w:szCs w:val="24"/>
              </w:rPr>
              <w:t>地面改造</w:t>
            </w:r>
          </w:p>
        </w:tc>
        <w:tc>
          <w:tcPr>
            <w:tcW w:w="630"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座</w:t>
            </w:r>
          </w:p>
        </w:tc>
        <w:tc>
          <w:tcPr>
            <w:tcW w:w="567"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11</w:t>
            </w:r>
          </w:p>
        </w:tc>
        <w:tc>
          <w:tcPr>
            <w:tcW w:w="5812" w:type="dxa"/>
            <w:vAlign w:val="center"/>
          </w:tcPr>
          <w:p>
            <w:pPr>
              <w:widowControl/>
              <w:jc w:val="left"/>
              <w:rPr>
                <w:rFonts w:cs="宋体" w:asciiTheme="minorEastAsia" w:hAnsiTheme="minorEastAsia"/>
                <w:sz w:val="24"/>
                <w:szCs w:val="24"/>
              </w:rPr>
            </w:pPr>
            <w:r>
              <w:rPr>
                <w:rFonts w:hint="eastAsia" w:cs="宋体" w:asciiTheme="minorEastAsia" w:hAnsiTheme="minorEastAsia"/>
                <w:sz w:val="24"/>
                <w:szCs w:val="24"/>
              </w:rPr>
              <w:t>1、地面铺设仿古瓷砖或石材，要求美观大方，经久耐用，与室内整体风格统一协调。</w:t>
            </w:r>
          </w:p>
          <w:p>
            <w:pPr>
              <w:widowControl/>
              <w:jc w:val="left"/>
              <w:rPr>
                <w:rFonts w:cs="宋体" w:asciiTheme="minorEastAsia" w:hAnsiTheme="minorEastAsia"/>
                <w:sz w:val="24"/>
                <w:szCs w:val="24"/>
              </w:rPr>
            </w:pPr>
            <w:r>
              <w:rPr>
                <w:rFonts w:hint="eastAsia" w:cs="宋体" w:asciiTheme="minorEastAsia" w:hAnsiTheme="minorEastAsia"/>
                <w:sz w:val="24"/>
                <w:szCs w:val="24"/>
              </w:rPr>
              <w:t>2、解决空间内地面渗水问题。</w:t>
            </w:r>
          </w:p>
          <w:p>
            <w:pPr>
              <w:widowControl/>
              <w:jc w:val="left"/>
              <w:rPr>
                <w:rFonts w:cs="宋体" w:asciiTheme="minorEastAsia" w:hAnsiTheme="minorEastAsia"/>
                <w:sz w:val="24"/>
                <w:szCs w:val="24"/>
              </w:rPr>
            </w:pPr>
            <w:r>
              <w:rPr>
                <w:rFonts w:hint="eastAsia" w:cs="宋体" w:asciiTheme="minorEastAsia" w:hAnsiTheme="minorEastAsia"/>
                <w:sz w:val="24"/>
                <w:szCs w:val="24"/>
              </w:rPr>
              <w:t>3、负责改造前空间内原有设备、资产迁移保管以及改造后设备、资产复原。</w:t>
            </w:r>
          </w:p>
          <w:p>
            <w:pPr>
              <w:widowControl/>
              <w:jc w:val="left"/>
              <w:rPr>
                <w:rFonts w:cs="宋体" w:asciiTheme="minorEastAsia" w:hAnsiTheme="minorEastAsia"/>
                <w:sz w:val="24"/>
                <w:szCs w:val="24"/>
              </w:rPr>
            </w:pPr>
            <w:r>
              <w:rPr>
                <w:rFonts w:hint="eastAsia" w:cs="宋体" w:asciiTheme="minorEastAsia" w:hAnsiTheme="minorEastAsia"/>
                <w:sz w:val="24"/>
                <w:szCs w:val="24"/>
              </w:rPr>
              <w:t>4、负责原有地面地板拆除及垃圾清运。</w:t>
            </w:r>
          </w:p>
        </w:tc>
        <w:tc>
          <w:tcPr>
            <w:tcW w:w="1134" w:type="dxa"/>
          </w:tcPr>
          <w:p>
            <w:pPr>
              <w:widowControl/>
              <w:ind w:firstLine="360" w:firstLineChars="150"/>
              <w:jc w:val="left"/>
              <w:rPr>
                <w:rFonts w:hint="eastAsia" w:cs="宋体" w:asciiTheme="minorEastAsia" w:hAnsiTheme="minorEastAsia"/>
                <w:sz w:val="24"/>
                <w:szCs w:val="24"/>
              </w:rPr>
            </w:pPr>
          </w:p>
          <w:p>
            <w:pPr>
              <w:widowControl/>
              <w:ind w:firstLine="360" w:firstLineChars="150"/>
              <w:jc w:val="left"/>
              <w:rPr>
                <w:rFonts w:hint="eastAsia" w:cs="宋体" w:asciiTheme="minorEastAsia" w:hAnsiTheme="minorEastAsia"/>
                <w:sz w:val="24"/>
                <w:szCs w:val="24"/>
              </w:rPr>
            </w:pPr>
          </w:p>
          <w:p>
            <w:pPr>
              <w:widowControl/>
              <w:ind w:firstLine="360" w:firstLineChars="150"/>
              <w:jc w:val="left"/>
              <w:rPr>
                <w:rFonts w:hint="eastAsia" w:cs="宋体" w:asciiTheme="minorEastAsia" w:hAnsiTheme="minorEastAsia"/>
                <w:sz w:val="24"/>
                <w:szCs w:val="24"/>
              </w:rPr>
            </w:pPr>
            <w:r>
              <w:rPr>
                <w:rFonts w:hint="eastAsia" w:cs="宋体" w:asciiTheme="minorEastAsia" w:hAnsiTheme="minorEastAsia"/>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0" w:type="dxa"/>
            <w:vAlign w:val="center"/>
          </w:tcPr>
          <w:p>
            <w:pPr>
              <w:jc w:val="center"/>
              <w:rPr>
                <w:rFonts w:asciiTheme="minorEastAsia" w:hAnsiTheme="minorEastAsia"/>
                <w:sz w:val="24"/>
                <w:szCs w:val="24"/>
              </w:rPr>
            </w:pPr>
            <w:r>
              <w:rPr>
                <w:rFonts w:hint="eastAsia" w:asciiTheme="minorEastAsia" w:hAnsiTheme="minorEastAsia"/>
                <w:sz w:val="24"/>
                <w:szCs w:val="24"/>
              </w:rPr>
              <w:t>5</w:t>
            </w:r>
          </w:p>
        </w:tc>
        <w:tc>
          <w:tcPr>
            <w:tcW w:w="1045" w:type="dxa"/>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馆情展示系统</w:t>
            </w:r>
          </w:p>
        </w:tc>
        <w:tc>
          <w:tcPr>
            <w:tcW w:w="630" w:type="dxa"/>
            <w:vAlign w:val="center"/>
          </w:tcPr>
          <w:p>
            <w:pPr>
              <w:widowControl/>
              <w:jc w:val="center"/>
              <w:rPr>
                <w:rFonts w:cs="Arial" w:asciiTheme="minorEastAsia" w:hAnsiTheme="minorEastAsia"/>
                <w:sz w:val="24"/>
                <w:szCs w:val="24"/>
              </w:rPr>
            </w:pPr>
            <w:r>
              <w:rPr>
                <w:rFonts w:hint="eastAsia" w:cs="宋体" w:asciiTheme="minorEastAsia" w:hAnsiTheme="minorEastAsia"/>
                <w:sz w:val="24"/>
                <w:szCs w:val="24"/>
              </w:rPr>
              <w:t>套</w:t>
            </w:r>
          </w:p>
        </w:tc>
        <w:tc>
          <w:tcPr>
            <w:tcW w:w="567" w:type="dxa"/>
            <w:vAlign w:val="center"/>
          </w:tcPr>
          <w:p>
            <w:pPr>
              <w:widowControl/>
              <w:jc w:val="center"/>
              <w:rPr>
                <w:rFonts w:cs="Arial" w:asciiTheme="minorEastAsia" w:hAnsiTheme="minorEastAsia"/>
                <w:sz w:val="24"/>
                <w:szCs w:val="24"/>
              </w:rPr>
            </w:pPr>
            <w:r>
              <w:rPr>
                <w:rFonts w:hint="eastAsia" w:cs="宋体" w:asciiTheme="minorEastAsia" w:hAnsiTheme="minorEastAsia"/>
                <w:sz w:val="24"/>
                <w:szCs w:val="24"/>
              </w:rPr>
              <w:t>11</w:t>
            </w:r>
          </w:p>
        </w:tc>
        <w:tc>
          <w:tcPr>
            <w:tcW w:w="5812" w:type="dxa"/>
            <w:vAlign w:val="center"/>
          </w:tcPr>
          <w:p>
            <w:pPr>
              <w:spacing w:line="300" w:lineRule="exact"/>
              <w:ind w:firstLine="480" w:firstLineChars="200"/>
              <w:jc w:val="left"/>
              <w:rPr>
                <w:rFonts w:cs="Arial" w:asciiTheme="minorEastAsia" w:hAnsiTheme="minorEastAsia"/>
                <w:sz w:val="24"/>
                <w:szCs w:val="24"/>
              </w:rPr>
            </w:pPr>
            <w:r>
              <w:rPr>
                <w:rFonts w:hint="eastAsia" w:cs="Arial" w:asciiTheme="minorEastAsia" w:hAnsiTheme="minorEastAsia"/>
                <w:sz w:val="24"/>
                <w:szCs w:val="24"/>
              </w:rPr>
              <w:t>综合显示、展示系统主要作用为：实时动态显示阅读空间内监控视频、当日每时借还分布、总借还册次、借还排行榜，显示阅读空间内时间、温度和湿度，发布提示信息等功能。</w:t>
            </w:r>
          </w:p>
          <w:p>
            <w:pPr>
              <w:spacing w:line="300" w:lineRule="exact"/>
              <w:jc w:val="left"/>
              <w:rPr>
                <w:rFonts w:cs="Arial" w:asciiTheme="minorEastAsia" w:hAnsiTheme="minorEastAsia"/>
                <w:sz w:val="24"/>
                <w:szCs w:val="24"/>
              </w:rPr>
            </w:pPr>
            <w:r>
              <w:rPr>
                <w:rFonts w:hint="eastAsia" w:cs="Arial" w:asciiTheme="minorEastAsia" w:hAnsiTheme="minorEastAsia"/>
                <w:sz w:val="24"/>
                <w:szCs w:val="24"/>
              </w:rPr>
              <w:t>1、实时动态显示阅读空间内监控视频、当日每时借还分布、总借还册次、借还排行榜，显示阅读空间内时间、温度和湿度，发布提示信息等功能。</w:t>
            </w:r>
          </w:p>
          <w:p>
            <w:pPr>
              <w:spacing w:line="300" w:lineRule="exact"/>
              <w:jc w:val="left"/>
              <w:rPr>
                <w:rFonts w:cs="Arial" w:asciiTheme="minorEastAsia" w:hAnsiTheme="minorEastAsia"/>
                <w:sz w:val="24"/>
                <w:szCs w:val="24"/>
              </w:rPr>
            </w:pPr>
            <w:r>
              <w:rPr>
                <w:rFonts w:hint="eastAsia" w:cs="Arial" w:asciiTheme="minorEastAsia" w:hAnsiTheme="minorEastAsia"/>
                <w:sz w:val="24"/>
                <w:szCs w:val="24"/>
              </w:rPr>
              <w:t>2、与门禁控制系统、中央监控平台（大数据分析平台）、安全门、室内监控信息系统无缝对接。</w:t>
            </w:r>
          </w:p>
          <w:p>
            <w:pPr>
              <w:spacing w:line="300" w:lineRule="exact"/>
              <w:jc w:val="left"/>
              <w:rPr>
                <w:rFonts w:cs="Arial" w:asciiTheme="minorEastAsia" w:hAnsiTheme="minorEastAsia"/>
                <w:sz w:val="24"/>
                <w:szCs w:val="24"/>
              </w:rPr>
            </w:pPr>
            <w:r>
              <w:rPr>
                <w:rFonts w:hint="eastAsia" w:cs="Arial" w:asciiTheme="minorEastAsia" w:hAnsiTheme="minorEastAsia"/>
                <w:sz w:val="24"/>
                <w:szCs w:val="24"/>
              </w:rPr>
              <w:t>3、硬件配置要求：</w:t>
            </w:r>
          </w:p>
          <w:p>
            <w:pPr>
              <w:spacing w:line="300" w:lineRule="exact"/>
              <w:jc w:val="left"/>
              <w:rPr>
                <w:rFonts w:cs="Arial" w:asciiTheme="minorEastAsia" w:hAnsiTheme="minorEastAsia"/>
                <w:sz w:val="24"/>
                <w:szCs w:val="24"/>
              </w:rPr>
            </w:pPr>
            <w:r>
              <w:rPr>
                <w:rFonts w:hint="eastAsia" w:cs="Arial" w:asciiTheme="minorEastAsia" w:hAnsiTheme="minorEastAsia"/>
                <w:sz w:val="24"/>
                <w:szCs w:val="24"/>
              </w:rPr>
              <w:t>尺寸：不低于55英寸</w:t>
            </w:r>
          </w:p>
          <w:p>
            <w:pPr>
              <w:spacing w:line="300" w:lineRule="exact"/>
              <w:jc w:val="left"/>
              <w:rPr>
                <w:rFonts w:cs="Arial" w:asciiTheme="minorEastAsia" w:hAnsiTheme="minorEastAsia"/>
                <w:sz w:val="24"/>
                <w:szCs w:val="24"/>
              </w:rPr>
            </w:pPr>
            <w:r>
              <w:rPr>
                <w:rFonts w:hint="eastAsia" w:cs="Arial" w:asciiTheme="minorEastAsia" w:hAnsiTheme="minorEastAsia"/>
                <w:sz w:val="24"/>
                <w:szCs w:val="24"/>
              </w:rPr>
              <w:t>物理分辨率：1080x1920</w:t>
            </w:r>
          </w:p>
          <w:p>
            <w:pPr>
              <w:spacing w:line="300" w:lineRule="exact"/>
              <w:jc w:val="left"/>
              <w:rPr>
                <w:rFonts w:cs="Arial" w:asciiTheme="minorEastAsia" w:hAnsiTheme="minorEastAsia"/>
                <w:sz w:val="24"/>
                <w:szCs w:val="24"/>
              </w:rPr>
            </w:pPr>
            <w:r>
              <w:rPr>
                <w:rFonts w:hint="eastAsia" w:cs="Arial" w:asciiTheme="minorEastAsia" w:hAnsiTheme="minorEastAsia"/>
                <w:sz w:val="24"/>
                <w:szCs w:val="24"/>
              </w:rPr>
              <w:t>有效显示区域：1207.6(V) x678.4 (H)mm</w:t>
            </w:r>
          </w:p>
          <w:p>
            <w:pPr>
              <w:spacing w:line="300" w:lineRule="exact"/>
              <w:jc w:val="left"/>
              <w:rPr>
                <w:rFonts w:cs="Arial" w:asciiTheme="minorEastAsia" w:hAnsiTheme="minorEastAsia"/>
                <w:sz w:val="24"/>
                <w:szCs w:val="24"/>
              </w:rPr>
            </w:pPr>
            <w:r>
              <w:rPr>
                <w:rFonts w:hint="eastAsia" w:cs="Arial" w:asciiTheme="minorEastAsia" w:hAnsiTheme="minorEastAsia"/>
                <w:sz w:val="24"/>
                <w:szCs w:val="24"/>
              </w:rPr>
              <w:t>可视角度</w:t>
            </w:r>
            <w:r>
              <w:rPr>
                <w:rFonts w:hint="eastAsia" w:cs="Arial" w:asciiTheme="minorEastAsia" w:hAnsiTheme="minorEastAsia"/>
                <w:sz w:val="24"/>
                <w:szCs w:val="24"/>
              </w:rPr>
              <w:tab/>
            </w:r>
            <w:r>
              <w:rPr>
                <w:rFonts w:hint="eastAsia" w:cs="Arial" w:asciiTheme="minorEastAsia" w:hAnsiTheme="minorEastAsia"/>
                <w:sz w:val="24"/>
                <w:szCs w:val="24"/>
              </w:rPr>
              <w:t>H：178°  V：178°</w:t>
            </w:r>
          </w:p>
          <w:p>
            <w:pPr>
              <w:spacing w:line="300" w:lineRule="exact"/>
              <w:jc w:val="left"/>
              <w:rPr>
                <w:rFonts w:cs="Arial" w:asciiTheme="minorEastAsia" w:hAnsiTheme="minorEastAsia"/>
                <w:sz w:val="24"/>
                <w:szCs w:val="24"/>
              </w:rPr>
            </w:pPr>
            <w:r>
              <w:rPr>
                <w:rFonts w:hint="eastAsia" w:cs="Arial" w:asciiTheme="minorEastAsia" w:hAnsiTheme="minorEastAsia"/>
                <w:sz w:val="24"/>
                <w:szCs w:val="24"/>
              </w:rPr>
              <w:t>亮度：500cd/m2</w:t>
            </w:r>
          </w:p>
          <w:p>
            <w:pPr>
              <w:spacing w:line="300" w:lineRule="exact"/>
              <w:jc w:val="left"/>
              <w:rPr>
                <w:rFonts w:cs="Arial" w:asciiTheme="minorEastAsia" w:hAnsiTheme="minorEastAsia"/>
                <w:sz w:val="24"/>
                <w:szCs w:val="24"/>
              </w:rPr>
            </w:pPr>
            <w:r>
              <w:rPr>
                <w:rFonts w:hint="eastAsia" w:cs="Arial" w:asciiTheme="minorEastAsia" w:hAnsiTheme="minorEastAsia"/>
                <w:sz w:val="24"/>
                <w:szCs w:val="24"/>
              </w:rPr>
              <w:t>对比度：3000:1</w:t>
            </w:r>
          </w:p>
          <w:p>
            <w:pPr>
              <w:spacing w:line="300" w:lineRule="exact"/>
              <w:jc w:val="left"/>
              <w:rPr>
                <w:rFonts w:cs="Arial" w:asciiTheme="minorEastAsia" w:hAnsiTheme="minorEastAsia"/>
                <w:sz w:val="24"/>
                <w:szCs w:val="24"/>
              </w:rPr>
            </w:pPr>
            <w:r>
              <w:rPr>
                <w:rFonts w:hint="eastAsia" w:cs="Arial" w:asciiTheme="minorEastAsia" w:hAnsiTheme="minorEastAsia"/>
                <w:sz w:val="24"/>
                <w:szCs w:val="24"/>
              </w:rPr>
              <w:t>响应时间：6ms</w:t>
            </w:r>
          </w:p>
          <w:p>
            <w:pPr>
              <w:spacing w:line="300" w:lineRule="exact"/>
              <w:jc w:val="left"/>
              <w:rPr>
                <w:rFonts w:cs="Arial" w:asciiTheme="minorEastAsia" w:hAnsiTheme="minorEastAsia"/>
                <w:sz w:val="24"/>
                <w:szCs w:val="24"/>
              </w:rPr>
            </w:pPr>
            <w:r>
              <w:rPr>
                <w:rFonts w:hint="eastAsia" w:cs="Arial" w:asciiTheme="minorEastAsia" w:hAnsiTheme="minorEastAsia"/>
                <w:sz w:val="24"/>
                <w:szCs w:val="24"/>
              </w:rPr>
              <w:t>额定功率：≤180W</w:t>
            </w:r>
          </w:p>
          <w:p>
            <w:pPr>
              <w:spacing w:line="300" w:lineRule="exact"/>
              <w:jc w:val="left"/>
              <w:rPr>
                <w:rFonts w:cs="Arial" w:asciiTheme="minorEastAsia" w:hAnsiTheme="minorEastAsia"/>
                <w:sz w:val="24"/>
                <w:szCs w:val="24"/>
              </w:rPr>
            </w:pPr>
            <w:r>
              <w:rPr>
                <w:rFonts w:hint="eastAsia" w:cs="Arial" w:asciiTheme="minorEastAsia" w:hAnsiTheme="minorEastAsia"/>
                <w:sz w:val="24"/>
                <w:szCs w:val="24"/>
              </w:rPr>
              <w:t>响应时间：≤8ms</w:t>
            </w:r>
          </w:p>
          <w:p>
            <w:pPr>
              <w:spacing w:line="300" w:lineRule="exact"/>
              <w:jc w:val="left"/>
              <w:rPr>
                <w:rFonts w:cs="Arial" w:asciiTheme="minorEastAsia" w:hAnsiTheme="minorEastAsia"/>
                <w:sz w:val="24"/>
                <w:szCs w:val="24"/>
              </w:rPr>
            </w:pPr>
            <w:r>
              <w:rPr>
                <w:rFonts w:hint="eastAsia" w:cs="Arial" w:asciiTheme="minorEastAsia" w:hAnsiTheme="minorEastAsia"/>
                <w:sz w:val="24"/>
                <w:szCs w:val="24"/>
              </w:rPr>
              <w:t>输出分辨率：4096X4096</w:t>
            </w:r>
          </w:p>
          <w:p>
            <w:pPr>
              <w:spacing w:line="300" w:lineRule="exact"/>
              <w:jc w:val="left"/>
              <w:rPr>
                <w:rFonts w:cs="Arial" w:asciiTheme="minorEastAsia" w:hAnsiTheme="minorEastAsia"/>
                <w:sz w:val="24"/>
                <w:szCs w:val="24"/>
              </w:rPr>
            </w:pPr>
            <w:r>
              <w:rPr>
                <w:rFonts w:hint="eastAsia" w:cs="Arial" w:asciiTheme="minorEastAsia" w:hAnsiTheme="minorEastAsia"/>
                <w:sz w:val="24"/>
                <w:szCs w:val="24"/>
              </w:rPr>
              <w:t>使用寿命：单点大于6000万次</w:t>
            </w:r>
          </w:p>
          <w:p>
            <w:pPr>
              <w:spacing w:line="300" w:lineRule="exact"/>
              <w:jc w:val="left"/>
              <w:rPr>
                <w:rFonts w:cs="Arial" w:asciiTheme="minorEastAsia" w:hAnsiTheme="minorEastAsia"/>
                <w:sz w:val="24"/>
                <w:szCs w:val="24"/>
              </w:rPr>
            </w:pPr>
            <w:r>
              <w:rPr>
                <w:rFonts w:hint="eastAsia" w:cs="Arial" w:asciiTheme="minorEastAsia" w:hAnsiTheme="minorEastAsia"/>
                <w:sz w:val="24"/>
                <w:szCs w:val="24"/>
              </w:rPr>
              <w:t>接口方式：USB</w:t>
            </w:r>
          </w:p>
          <w:p>
            <w:pPr>
              <w:spacing w:line="300" w:lineRule="exact"/>
              <w:jc w:val="left"/>
              <w:rPr>
                <w:rFonts w:cs="Arial" w:asciiTheme="minorEastAsia" w:hAnsiTheme="minorEastAsia"/>
                <w:sz w:val="24"/>
                <w:szCs w:val="24"/>
              </w:rPr>
            </w:pPr>
            <w:r>
              <w:rPr>
                <w:rFonts w:hint="eastAsia" w:cs="Arial" w:asciiTheme="minorEastAsia" w:hAnsiTheme="minorEastAsia"/>
                <w:sz w:val="24"/>
                <w:szCs w:val="24"/>
              </w:rPr>
              <w:t>控制方式：有线网络，内置无线wifi</w:t>
            </w:r>
          </w:p>
          <w:p>
            <w:pPr>
              <w:spacing w:line="300" w:lineRule="exact"/>
              <w:jc w:val="left"/>
              <w:rPr>
                <w:rFonts w:cs="Arial" w:asciiTheme="minorEastAsia" w:hAnsiTheme="minorEastAsia"/>
                <w:sz w:val="24"/>
                <w:szCs w:val="24"/>
              </w:rPr>
            </w:pPr>
            <w:r>
              <w:rPr>
                <w:rFonts w:hint="eastAsia" w:cs="Arial" w:asciiTheme="minorEastAsia" w:hAnsiTheme="minorEastAsia"/>
                <w:sz w:val="24"/>
                <w:szCs w:val="24"/>
              </w:rPr>
              <w:t>内置主机要求：</w:t>
            </w:r>
          </w:p>
          <w:p>
            <w:pPr>
              <w:spacing w:line="300" w:lineRule="exact"/>
              <w:jc w:val="left"/>
              <w:rPr>
                <w:rFonts w:cs="Arial" w:asciiTheme="minorEastAsia" w:hAnsiTheme="minorEastAsia"/>
                <w:sz w:val="24"/>
                <w:szCs w:val="24"/>
              </w:rPr>
            </w:pPr>
            <w:r>
              <w:rPr>
                <w:rFonts w:hint="eastAsia" w:cs="Arial" w:asciiTheme="minorEastAsia" w:hAnsiTheme="minorEastAsia"/>
                <w:sz w:val="24"/>
                <w:szCs w:val="24"/>
              </w:rPr>
              <w:t>CPU：不低于Intel i3</w:t>
            </w:r>
          </w:p>
          <w:p>
            <w:pPr>
              <w:spacing w:line="300" w:lineRule="exact"/>
              <w:jc w:val="left"/>
              <w:rPr>
                <w:rFonts w:cs="Arial" w:asciiTheme="minorEastAsia" w:hAnsiTheme="minorEastAsia"/>
                <w:sz w:val="24"/>
                <w:szCs w:val="24"/>
              </w:rPr>
            </w:pPr>
            <w:r>
              <w:rPr>
                <w:rFonts w:hint="eastAsia" w:cs="Arial" w:asciiTheme="minorEastAsia" w:hAnsiTheme="minorEastAsia"/>
                <w:sz w:val="24"/>
                <w:szCs w:val="24"/>
              </w:rPr>
              <w:t>内存：不低于4G</w:t>
            </w:r>
          </w:p>
          <w:p>
            <w:pPr>
              <w:spacing w:line="300" w:lineRule="exact"/>
              <w:jc w:val="left"/>
              <w:rPr>
                <w:rFonts w:cs="Arial" w:asciiTheme="minorEastAsia" w:hAnsiTheme="minorEastAsia"/>
                <w:sz w:val="24"/>
                <w:szCs w:val="24"/>
              </w:rPr>
            </w:pPr>
            <w:r>
              <w:rPr>
                <w:rFonts w:hint="eastAsia" w:cs="Arial" w:asciiTheme="minorEastAsia" w:hAnsiTheme="minorEastAsia"/>
                <w:sz w:val="24"/>
                <w:szCs w:val="24"/>
              </w:rPr>
              <w:t>硬盘：不低于500G</w:t>
            </w:r>
          </w:p>
        </w:tc>
        <w:tc>
          <w:tcPr>
            <w:tcW w:w="1134" w:type="dxa"/>
          </w:tcPr>
          <w:p>
            <w:pPr>
              <w:spacing w:line="300" w:lineRule="exact"/>
              <w:ind w:firstLine="480" w:firstLineChars="200"/>
              <w:jc w:val="left"/>
              <w:rPr>
                <w:rFonts w:hint="eastAsia" w:cs="Arial" w:asciiTheme="minorEastAsia" w:hAnsiTheme="minorEastAsia"/>
                <w:sz w:val="24"/>
                <w:szCs w:val="24"/>
              </w:rPr>
            </w:pPr>
          </w:p>
          <w:p>
            <w:pPr>
              <w:spacing w:line="300" w:lineRule="exact"/>
              <w:ind w:firstLine="480" w:firstLineChars="200"/>
              <w:jc w:val="left"/>
              <w:rPr>
                <w:rFonts w:hint="eastAsia" w:cs="Arial" w:asciiTheme="minorEastAsia" w:hAnsiTheme="minorEastAsia"/>
                <w:sz w:val="24"/>
                <w:szCs w:val="24"/>
              </w:rPr>
            </w:pPr>
          </w:p>
          <w:p>
            <w:pPr>
              <w:spacing w:line="300" w:lineRule="exact"/>
              <w:ind w:firstLine="480" w:firstLineChars="200"/>
              <w:jc w:val="left"/>
              <w:rPr>
                <w:rFonts w:hint="eastAsia" w:cs="Arial" w:asciiTheme="minorEastAsia" w:hAnsiTheme="minorEastAsia"/>
                <w:sz w:val="24"/>
                <w:szCs w:val="24"/>
              </w:rPr>
            </w:pPr>
          </w:p>
          <w:p>
            <w:pPr>
              <w:spacing w:line="300" w:lineRule="exact"/>
              <w:ind w:firstLine="480" w:firstLineChars="200"/>
              <w:jc w:val="left"/>
              <w:rPr>
                <w:rFonts w:hint="eastAsia" w:cs="Arial" w:asciiTheme="minorEastAsia" w:hAnsiTheme="minorEastAsia"/>
                <w:sz w:val="24"/>
                <w:szCs w:val="24"/>
              </w:rPr>
            </w:pPr>
          </w:p>
          <w:p>
            <w:pPr>
              <w:spacing w:line="300" w:lineRule="exact"/>
              <w:ind w:firstLine="480" w:firstLineChars="200"/>
              <w:jc w:val="left"/>
              <w:rPr>
                <w:rFonts w:hint="eastAsia" w:cs="Arial" w:asciiTheme="minorEastAsia" w:hAnsiTheme="minorEastAsia"/>
                <w:sz w:val="24"/>
                <w:szCs w:val="24"/>
              </w:rPr>
            </w:pPr>
          </w:p>
          <w:p>
            <w:pPr>
              <w:spacing w:line="300" w:lineRule="exact"/>
              <w:ind w:firstLine="480" w:firstLineChars="200"/>
              <w:jc w:val="left"/>
              <w:rPr>
                <w:rFonts w:hint="eastAsia" w:cs="Arial" w:asciiTheme="minorEastAsia" w:hAnsiTheme="minorEastAsia"/>
                <w:sz w:val="24"/>
                <w:szCs w:val="24"/>
              </w:rPr>
            </w:pPr>
          </w:p>
          <w:p>
            <w:pPr>
              <w:spacing w:line="300" w:lineRule="exact"/>
              <w:ind w:firstLine="480" w:firstLineChars="200"/>
              <w:jc w:val="left"/>
              <w:rPr>
                <w:rFonts w:hint="eastAsia" w:cs="Arial" w:asciiTheme="minorEastAsia" w:hAnsiTheme="minorEastAsia"/>
                <w:sz w:val="24"/>
                <w:szCs w:val="24"/>
              </w:rPr>
            </w:pPr>
          </w:p>
          <w:p>
            <w:pPr>
              <w:spacing w:line="300" w:lineRule="exact"/>
              <w:ind w:firstLine="480" w:firstLineChars="200"/>
              <w:jc w:val="left"/>
              <w:rPr>
                <w:rFonts w:hint="eastAsia" w:cs="Arial" w:asciiTheme="minorEastAsia" w:hAnsiTheme="minorEastAsia"/>
                <w:sz w:val="24"/>
                <w:szCs w:val="24"/>
              </w:rPr>
            </w:pPr>
          </w:p>
          <w:p>
            <w:pPr>
              <w:spacing w:line="300" w:lineRule="exact"/>
              <w:ind w:firstLine="480" w:firstLineChars="200"/>
              <w:jc w:val="left"/>
              <w:rPr>
                <w:rFonts w:hint="eastAsia" w:cs="Arial" w:asciiTheme="minorEastAsia" w:hAnsiTheme="minorEastAsia"/>
                <w:sz w:val="24"/>
                <w:szCs w:val="24"/>
              </w:rPr>
            </w:pPr>
          </w:p>
          <w:p>
            <w:pPr>
              <w:spacing w:line="300" w:lineRule="exact"/>
              <w:ind w:firstLine="480" w:firstLineChars="200"/>
              <w:jc w:val="left"/>
              <w:rPr>
                <w:rFonts w:hint="eastAsia" w:cs="Arial" w:asciiTheme="minorEastAsia" w:hAnsiTheme="minorEastAsia"/>
                <w:sz w:val="24"/>
                <w:szCs w:val="24"/>
              </w:rPr>
            </w:pPr>
            <w:r>
              <w:rPr>
                <w:rFonts w:hint="eastAsia" w:cs="Arial" w:asciiTheme="minorEastAsia" w:hAnsiTheme="minorEastAsia"/>
                <w:sz w:val="24"/>
                <w:szCs w:val="24"/>
              </w:rPr>
              <w:t>是</w:t>
            </w:r>
          </w:p>
        </w:tc>
      </w:tr>
    </w:tbl>
    <w:p>
      <w:pPr>
        <w:spacing w:line="360" w:lineRule="auto"/>
        <w:ind w:firstLine="602" w:firstLineChars="250"/>
        <w:contextualSpacing/>
        <w:rPr>
          <w:rFonts w:hint="eastAsia" w:cs="Arial" w:asciiTheme="minorEastAsia" w:hAnsiTheme="minorEastAsia" w:eastAsiaTheme="minorEastAsia"/>
          <w:b/>
          <w:bCs/>
          <w:sz w:val="24"/>
          <w:szCs w:val="24"/>
          <w:lang w:eastAsia="zh-CN"/>
        </w:rPr>
      </w:pPr>
      <w:r>
        <w:rPr>
          <w:rFonts w:hint="eastAsia" w:cs="Arial" w:asciiTheme="minorEastAsia" w:hAnsiTheme="minorEastAsia"/>
          <w:b/>
          <w:bCs/>
          <w:sz w:val="24"/>
          <w:szCs w:val="24"/>
        </w:rPr>
        <w:t>2017年改造提升智慧阅读空间名称及位置</w:t>
      </w:r>
      <w:r>
        <w:rPr>
          <w:rFonts w:hint="eastAsia" w:cs="Arial" w:asciiTheme="minorEastAsia" w:hAnsiTheme="minorEastAsia"/>
          <w:b/>
          <w:bCs/>
          <w:sz w:val="24"/>
          <w:szCs w:val="24"/>
          <w:lang w:eastAsia="zh-CN"/>
        </w:rPr>
        <w:t>：</w:t>
      </w:r>
    </w:p>
    <w:p>
      <w:pPr>
        <w:spacing w:line="360" w:lineRule="auto"/>
        <w:ind w:firstLine="600" w:firstLineChars="250"/>
        <w:contextualSpacing/>
        <w:rPr>
          <w:rFonts w:cs="Arial" w:asciiTheme="minorEastAsia" w:hAnsiTheme="minorEastAsia"/>
          <w:sz w:val="24"/>
          <w:szCs w:val="24"/>
        </w:rPr>
      </w:pPr>
      <w:r>
        <w:rPr>
          <w:rFonts w:hint="eastAsia" w:cs="Arial" w:asciiTheme="minorEastAsia" w:hAnsiTheme="minorEastAsia"/>
          <w:sz w:val="24"/>
          <w:szCs w:val="24"/>
        </w:rPr>
        <w:t>1.许昌高中站（建康路许昌高中南大门对面）</w:t>
      </w:r>
    </w:p>
    <w:p>
      <w:pPr>
        <w:spacing w:line="360" w:lineRule="auto"/>
        <w:ind w:firstLine="600" w:firstLineChars="250"/>
        <w:contextualSpacing/>
        <w:rPr>
          <w:rFonts w:cs="Arial" w:asciiTheme="minorEastAsia" w:hAnsiTheme="minorEastAsia"/>
          <w:sz w:val="24"/>
          <w:szCs w:val="24"/>
        </w:rPr>
      </w:pPr>
      <w:r>
        <w:rPr>
          <w:rFonts w:hint="eastAsia" w:cs="Arial" w:asciiTheme="minorEastAsia" w:hAnsiTheme="minorEastAsia"/>
          <w:sz w:val="24"/>
          <w:szCs w:val="24"/>
        </w:rPr>
        <w:t>2.科技广场站（竹林路科技广场东南角）</w:t>
      </w:r>
    </w:p>
    <w:p>
      <w:pPr>
        <w:spacing w:line="360" w:lineRule="auto"/>
        <w:ind w:firstLine="600" w:firstLineChars="250"/>
        <w:contextualSpacing/>
        <w:rPr>
          <w:rFonts w:cs="Arial" w:asciiTheme="minorEastAsia" w:hAnsiTheme="minorEastAsia"/>
          <w:sz w:val="24"/>
          <w:szCs w:val="24"/>
        </w:rPr>
      </w:pPr>
      <w:r>
        <w:rPr>
          <w:rFonts w:hint="eastAsia" w:cs="Arial" w:asciiTheme="minorEastAsia" w:hAnsiTheme="minorEastAsia"/>
          <w:sz w:val="24"/>
          <w:szCs w:val="24"/>
        </w:rPr>
        <w:t>3.鹿鸣湖站（陈庄街鹿鸣湖体育公园假山前广场）</w:t>
      </w:r>
    </w:p>
    <w:p>
      <w:pPr>
        <w:spacing w:line="360" w:lineRule="auto"/>
        <w:ind w:firstLine="600" w:firstLineChars="250"/>
        <w:contextualSpacing/>
        <w:rPr>
          <w:rFonts w:cs="Arial" w:asciiTheme="minorEastAsia" w:hAnsiTheme="minorEastAsia"/>
          <w:sz w:val="24"/>
          <w:szCs w:val="24"/>
        </w:rPr>
      </w:pPr>
      <w:r>
        <w:rPr>
          <w:rFonts w:hint="eastAsia" w:cs="Arial" w:asciiTheme="minorEastAsia" w:hAnsiTheme="minorEastAsia"/>
          <w:sz w:val="24"/>
          <w:szCs w:val="24"/>
        </w:rPr>
        <w:t>4.滨河广场站（许都路长青游园北侧）</w:t>
      </w:r>
    </w:p>
    <w:p>
      <w:pPr>
        <w:spacing w:line="360" w:lineRule="auto"/>
        <w:ind w:firstLine="600" w:firstLineChars="250"/>
        <w:contextualSpacing/>
        <w:rPr>
          <w:rFonts w:cs="Arial" w:asciiTheme="minorEastAsia" w:hAnsiTheme="minorEastAsia"/>
          <w:sz w:val="24"/>
          <w:szCs w:val="24"/>
        </w:rPr>
      </w:pPr>
      <w:r>
        <w:rPr>
          <w:rFonts w:hint="eastAsia" w:cs="Arial" w:asciiTheme="minorEastAsia" w:hAnsiTheme="minorEastAsia"/>
          <w:sz w:val="24"/>
          <w:szCs w:val="24"/>
        </w:rPr>
        <w:t>5.唱和广场站（天宝路清潩河桥北西岸唱和健身广场）</w:t>
      </w:r>
    </w:p>
    <w:p>
      <w:pPr>
        <w:spacing w:line="360" w:lineRule="auto"/>
        <w:ind w:firstLine="600" w:firstLineChars="250"/>
        <w:contextualSpacing/>
        <w:rPr>
          <w:rFonts w:cs="Arial" w:asciiTheme="minorEastAsia" w:hAnsiTheme="minorEastAsia"/>
          <w:sz w:val="24"/>
          <w:szCs w:val="24"/>
        </w:rPr>
      </w:pPr>
      <w:r>
        <w:rPr>
          <w:rFonts w:hint="eastAsia" w:cs="Arial" w:asciiTheme="minorEastAsia" w:hAnsiTheme="minorEastAsia"/>
          <w:sz w:val="24"/>
          <w:szCs w:val="24"/>
        </w:rPr>
        <w:t>6.北海公园站（北海公园东岸A区聚贤街拱桥东向北200米处）</w:t>
      </w:r>
    </w:p>
    <w:p>
      <w:pPr>
        <w:spacing w:line="360" w:lineRule="auto"/>
        <w:ind w:firstLine="600" w:firstLineChars="250"/>
        <w:contextualSpacing/>
        <w:rPr>
          <w:rFonts w:cs="Arial" w:asciiTheme="minorEastAsia" w:hAnsiTheme="minorEastAsia"/>
          <w:sz w:val="24"/>
          <w:szCs w:val="24"/>
        </w:rPr>
      </w:pPr>
      <w:r>
        <w:rPr>
          <w:rFonts w:hint="eastAsia" w:cs="Arial" w:asciiTheme="minorEastAsia" w:hAnsiTheme="minorEastAsia"/>
          <w:sz w:val="24"/>
          <w:szCs w:val="24"/>
        </w:rPr>
        <w:t>7.中央公园站（竹林路与陈庄街交叉口向北100米）</w:t>
      </w:r>
    </w:p>
    <w:p>
      <w:pPr>
        <w:spacing w:line="360" w:lineRule="auto"/>
        <w:ind w:firstLine="600" w:firstLineChars="250"/>
        <w:contextualSpacing/>
        <w:rPr>
          <w:rFonts w:cs="Arial" w:asciiTheme="minorEastAsia" w:hAnsiTheme="minorEastAsia"/>
          <w:sz w:val="24"/>
          <w:szCs w:val="24"/>
        </w:rPr>
      </w:pPr>
      <w:r>
        <w:rPr>
          <w:rFonts w:hint="eastAsia" w:cs="Arial" w:asciiTheme="minorEastAsia" w:hAnsiTheme="minorEastAsia"/>
          <w:sz w:val="24"/>
          <w:szCs w:val="24"/>
        </w:rPr>
        <w:t>8.春秋广场站（建设路春秋广场中部西侧）</w:t>
      </w:r>
    </w:p>
    <w:p>
      <w:pPr>
        <w:spacing w:line="360" w:lineRule="auto"/>
        <w:ind w:firstLine="600" w:firstLineChars="250"/>
        <w:contextualSpacing/>
        <w:rPr>
          <w:rFonts w:cs="Arial" w:asciiTheme="minorEastAsia" w:hAnsiTheme="minorEastAsia"/>
          <w:sz w:val="24"/>
          <w:szCs w:val="24"/>
        </w:rPr>
      </w:pPr>
      <w:r>
        <w:rPr>
          <w:rFonts w:hint="eastAsia" w:cs="Arial" w:asciiTheme="minorEastAsia" w:hAnsiTheme="minorEastAsia"/>
          <w:sz w:val="24"/>
          <w:szCs w:val="24"/>
        </w:rPr>
        <w:t>9.许继花园站（许继大道许继花园北门）</w:t>
      </w:r>
    </w:p>
    <w:p>
      <w:pPr>
        <w:spacing w:line="360" w:lineRule="auto"/>
        <w:ind w:firstLine="600" w:firstLineChars="250"/>
        <w:contextualSpacing/>
        <w:rPr>
          <w:rFonts w:cs="Arial" w:asciiTheme="minorEastAsia" w:hAnsiTheme="minorEastAsia"/>
          <w:sz w:val="24"/>
          <w:szCs w:val="24"/>
        </w:rPr>
      </w:pPr>
      <w:r>
        <w:rPr>
          <w:rFonts w:hint="eastAsia" w:cs="Arial" w:asciiTheme="minorEastAsia" w:hAnsiTheme="minorEastAsia"/>
          <w:sz w:val="24"/>
          <w:szCs w:val="24"/>
        </w:rPr>
        <w:t xml:space="preserve">10.许都公园西站（建安大道南邻许都公园西侧） </w:t>
      </w:r>
    </w:p>
    <w:p>
      <w:pPr>
        <w:spacing w:line="360" w:lineRule="auto"/>
        <w:ind w:firstLine="480" w:firstLineChars="200"/>
        <w:contextualSpacing/>
        <w:rPr>
          <w:rFonts w:hint="eastAsia" w:cs="Arial" w:asciiTheme="minorEastAsia" w:hAnsiTheme="minorEastAsia"/>
          <w:sz w:val="24"/>
          <w:szCs w:val="24"/>
        </w:rPr>
      </w:pPr>
      <w:r>
        <w:rPr>
          <w:rFonts w:hint="eastAsia" w:cs="Arial" w:asciiTheme="minorEastAsia" w:hAnsiTheme="minorEastAsia"/>
          <w:sz w:val="24"/>
          <w:szCs w:val="24"/>
        </w:rPr>
        <w:t xml:space="preserve">11.许都公园东站（建安大道南邻许都公园东侧） </w:t>
      </w:r>
    </w:p>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22" w:firstLineChars="200"/>
        <w:contextualSpacing/>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二、采购标的执行标准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rPr>
        <w:t>（</w:t>
      </w:r>
      <w:r>
        <w:rPr>
          <w:rFonts w:hint="eastAsia" w:cs="宋体" w:asciiTheme="minorEastAsia" w:hAnsiTheme="minorEastAsia"/>
          <w:kern w:val="0"/>
          <w:sz w:val="24"/>
          <w:szCs w:val="24"/>
          <w:highlight w:val="none"/>
        </w:rPr>
        <w:t>2）</w:t>
      </w:r>
      <w:r>
        <w:rPr>
          <w:rFonts w:cs="宋体" w:asciiTheme="minorEastAsia" w:hAnsiTheme="minorEastAsia"/>
          <w:kern w:val="0"/>
          <w:sz w:val="24"/>
          <w:szCs w:val="24"/>
          <w:highlight w:val="none"/>
        </w:rPr>
        <w:t>信息安全产品强制性</w:t>
      </w:r>
      <w:r>
        <w:rPr>
          <w:rFonts w:hint="eastAsia" w:cs="宋体" w:asciiTheme="minorEastAsia" w:hAnsiTheme="minorEastAsia"/>
          <w:kern w:val="0"/>
          <w:sz w:val="24"/>
          <w:szCs w:val="24"/>
          <w:highlight w:val="none"/>
        </w:rPr>
        <w:t>认证</w:t>
      </w:r>
    </w:p>
    <w:p>
      <w:pPr>
        <w:spacing w:line="360" w:lineRule="auto"/>
        <w:ind w:firstLine="480" w:firstLineChars="200"/>
        <w:contextualSpacing/>
        <w:rPr>
          <w:rFonts w:cs="宋体" w:asciiTheme="minorEastAsia" w:hAnsiTheme="minorEastAsia"/>
          <w:kern w:val="0"/>
          <w:sz w:val="24"/>
          <w:szCs w:val="24"/>
          <w:highlight w:val="none"/>
        </w:rPr>
      </w:pPr>
      <w:r>
        <w:rPr>
          <w:rFonts w:hint="eastAsia" w:cs="仿宋_GB2312" w:asciiTheme="minorEastAsia" w:hAnsiTheme="minorEastAsia"/>
          <w:sz w:val="24"/>
          <w:szCs w:val="24"/>
          <w:highlight w:val="none"/>
          <w:lang w:val="zh-CN"/>
        </w:rPr>
        <w:t>如投标人所投产品</w:t>
      </w:r>
      <w:r>
        <w:rPr>
          <w:rFonts w:hint="eastAsia" w:cs="宋体" w:asciiTheme="minorEastAsia" w:hAnsiTheme="minorEastAsia"/>
          <w:kern w:val="0"/>
          <w:sz w:val="24"/>
          <w:szCs w:val="24"/>
          <w:highlight w:val="none"/>
        </w:rPr>
        <w:t>被列入</w:t>
      </w:r>
      <w:r>
        <w:rPr>
          <w:rFonts w:cs="宋体" w:asciiTheme="minorEastAsia" w:hAnsiTheme="minorEastAsia"/>
          <w:kern w:val="0"/>
          <w:sz w:val="24"/>
          <w:szCs w:val="24"/>
          <w:highlight w:val="none"/>
        </w:rPr>
        <w:t>《信息安全产品强制性认证目录》，</w:t>
      </w:r>
      <w:r>
        <w:rPr>
          <w:rFonts w:hint="eastAsia" w:cs="宋体" w:asciiTheme="minorEastAsia" w:hAnsiTheme="minorEastAsia"/>
          <w:kern w:val="0"/>
          <w:sz w:val="24"/>
          <w:szCs w:val="24"/>
          <w:highlight w:val="none"/>
        </w:rPr>
        <w:t>投标人</w:t>
      </w:r>
      <w:r>
        <w:rPr>
          <w:rFonts w:cs="宋体" w:asciiTheme="minorEastAsia" w:hAnsiTheme="minorEastAsia"/>
          <w:kern w:val="0"/>
          <w:sz w:val="24"/>
          <w:szCs w:val="24"/>
          <w:highlight w:val="none"/>
        </w:rPr>
        <w:t>不能提供超出此目录范畴外的替代品</w:t>
      </w:r>
      <w:r>
        <w:rPr>
          <w:rFonts w:hint="eastAsia" w:cs="宋体" w:asciiTheme="minorEastAsia" w:hAnsiTheme="minorEastAsia"/>
          <w:kern w:val="0"/>
          <w:sz w:val="24"/>
          <w:szCs w:val="24"/>
          <w:highlight w:val="none"/>
        </w:rPr>
        <w:t>并须在投标文件中提供：</w:t>
      </w:r>
    </w:p>
    <w:p>
      <w:pPr>
        <w:wordWrap w:val="0"/>
        <w:spacing w:line="360" w:lineRule="auto"/>
        <w:ind w:firstLine="480" w:firstLineChars="200"/>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①中国信息安全认证中心官网（</w:t>
      </w:r>
      <w:r>
        <w:rPr>
          <w:rFonts w:cs="宋体" w:asciiTheme="minorEastAsia" w:hAnsiTheme="minorEastAsia"/>
          <w:kern w:val="0"/>
          <w:sz w:val="24"/>
          <w:szCs w:val="24"/>
          <w:highlight w:val="none"/>
        </w:rPr>
        <w:t>http://www.isccc.gov.cn/index.shtml</w:t>
      </w:r>
      <w:r>
        <w:rPr>
          <w:rFonts w:hint="eastAsia" w:cs="宋体" w:asciiTheme="minorEastAsia" w:hAnsiTheme="minorEastAsia"/>
          <w:kern w:val="0"/>
          <w:sz w:val="24"/>
          <w:szCs w:val="24"/>
          <w:highlight w:val="none"/>
        </w:rPr>
        <w:t>）产品查询结果截图并加盖投标人公章；</w:t>
      </w:r>
    </w:p>
    <w:p>
      <w:pPr>
        <w:wordWrap w:val="0"/>
        <w:spacing w:line="360" w:lineRule="auto"/>
        <w:ind w:firstLine="480" w:firstLineChars="200"/>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②中国信息安全认证中心颁发的</w:t>
      </w:r>
      <w:r>
        <w:rPr>
          <w:rFonts w:cs="宋体" w:asciiTheme="minorEastAsia" w:hAnsiTheme="minorEastAsia"/>
          <w:kern w:val="0"/>
          <w:sz w:val="24"/>
          <w:szCs w:val="24"/>
          <w:highlight w:val="none"/>
        </w:rPr>
        <w:t>《</w:t>
      </w:r>
      <w:r>
        <w:rPr>
          <w:highlight w:val="none"/>
        </w:rPr>
        <w:fldChar w:fldCharType="begin"/>
      </w:r>
      <w:r>
        <w:rPr>
          <w:highlight w:val="none"/>
        </w:rPr>
        <w:instrText xml:space="preserve"> HYPERLINK "http://www.cnca.gov.cn/cnca/zwxx/ggxx/images/2010/07/19/A6C32D2A507AC2A38326896013A67542.doc" \t "_blank" </w:instrText>
      </w:r>
      <w:r>
        <w:rPr>
          <w:highlight w:val="none"/>
        </w:rPr>
        <w:fldChar w:fldCharType="separate"/>
      </w:r>
      <w:r>
        <w:rPr>
          <w:rFonts w:hint="eastAsia" w:cs="宋体" w:asciiTheme="minorEastAsia" w:hAnsiTheme="minorEastAsia"/>
          <w:kern w:val="0"/>
          <w:sz w:val="24"/>
          <w:szCs w:val="24"/>
          <w:highlight w:val="none"/>
        </w:rPr>
        <w:t>中国国家信息安全产品认证证书</w:t>
      </w:r>
      <w:r>
        <w:rPr>
          <w:rFonts w:hint="eastAsia" w:cs="宋体" w:asciiTheme="minorEastAsia" w:hAnsiTheme="minorEastAsia"/>
          <w:kern w:val="0"/>
          <w:sz w:val="24"/>
          <w:szCs w:val="24"/>
          <w:highlight w:val="none"/>
        </w:rPr>
        <w:fldChar w:fldCharType="end"/>
      </w:r>
      <w:r>
        <w:rPr>
          <w:rFonts w:cs="宋体" w:asciiTheme="minorEastAsia" w:hAnsiTheme="minorEastAsia"/>
          <w:kern w:val="0"/>
          <w:sz w:val="24"/>
          <w:szCs w:val="24"/>
          <w:highlight w:val="none"/>
        </w:rPr>
        <w:t>》</w:t>
      </w:r>
      <w:r>
        <w:rPr>
          <w:rFonts w:hint="eastAsia" w:cs="宋体" w:asciiTheme="minorEastAsia" w:hAnsiTheme="minorEastAsia"/>
          <w:kern w:val="0"/>
          <w:sz w:val="24"/>
          <w:szCs w:val="24"/>
          <w:highlight w:val="none"/>
        </w:rPr>
        <w:t>的原件扫描件（或图片）并加盖投标人公章。</w:t>
      </w:r>
    </w:p>
    <w:p>
      <w:pPr>
        <w:wordWrap w:val="0"/>
        <w:spacing w:line="360" w:lineRule="auto"/>
        <w:ind w:firstLine="480" w:firstLineChars="200"/>
        <w:contextualSpacing/>
        <w:rPr>
          <w:rFonts w:cs="宋体" w:asciiTheme="minorEastAsia" w:hAnsiTheme="minorEastAsia"/>
          <w:kern w:val="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wordWrap w:val="0"/>
        <w:spacing w:line="360" w:lineRule="auto"/>
        <w:ind w:firstLine="480" w:firstLineChars="200"/>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（3）其他国家标准</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highlight w:val="none"/>
          <w:lang w:val="zh-CN"/>
        </w:rPr>
      </w:pPr>
      <w:r>
        <w:rPr>
          <w:rFonts w:hint="eastAsia" w:cs="微软雅黑" w:asciiTheme="minorEastAsia" w:hAnsiTheme="minorEastAsia"/>
          <w:b/>
          <w:color w:val="FF0000"/>
          <w:szCs w:val="21"/>
          <w:highlight w:val="none"/>
        </w:rPr>
        <w:t>★</w:t>
      </w:r>
      <w:r>
        <w:rPr>
          <w:rFonts w:hint="eastAsia" w:cs="宋体" w:asciiTheme="minorEastAsia" w:hAnsiTheme="minorEastAsia"/>
          <w:b/>
          <w:color w:val="000000"/>
          <w:kern w:val="0"/>
          <w:sz w:val="24"/>
          <w:szCs w:val="24"/>
          <w:highlight w:val="none"/>
          <w:lang w:val="zh-CN"/>
        </w:rPr>
        <w:t>三、采购标的的其他技术、服务等要求</w:t>
      </w:r>
    </w:p>
    <w:p>
      <w:pPr>
        <w:numPr>
          <w:ilvl w:val="0"/>
          <w:numId w:val="0"/>
        </w:numPr>
        <w:wordWrap w:val="0"/>
        <w:topLinePunct/>
        <w:spacing w:line="360" w:lineRule="auto"/>
        <w:ind w:firstLine="480" w:firstLineChars="200"/>
        <w:rPr>
          <w:rFonts w:hint="eastAsia" w:ascii="宋体" w:cs="宋体"/>
          <w:b/>
          <w:sz w:val="24"/>
          <w:highlight w:val="none"/>
          <w:lang w:val="zh-CN"/>
        </w:rPr>
      </w:pPr>
      <w:r>
        <w:rPr>
          <w:rFonts w:hint="eastAsia" w:ascii="宋体" w:cs="宋体"/>
          <w:sz w:val="24"/>
          <w:highlight w:val="none"/>
          <w:lang w:val="en-US" w:eastAsia="zh-CN"/>
        </w:rPr>
        <w:t>1、</w:t>
      </w:r>
      <w:r>
        <w:rPr>
          <w:rFonts w:hint="eastAsia" w:ascii="宋体" w:cs="宋体"/>
          <w:sz w:val="24"/>
          <w:highlight w:val="none"/>
          <w:lang w:val="zh-CN"/>
        </w:rPr>
        <w:t>投标人须明确投标产品的厂家、产地、品牌、型号、详细参数，</w:t>
      </w:r>
      <w:r>
        <w:rPr>
          <w:rFonts w:hint="eastAsia" w:ascii="宋体" w:cs="宋体"/>
          <w:b/>
          <w:sz w:val="24"/>
          <w:highlight w:val="none"/>
          <w:lang w:val="zh-CN"/>
        </w:rPr>
        <w:t>否则为无效投标。</w:t>
      </w:r>
    </w:p>
    <w:p>
      <w:pPr>
        <w:wordWrap w:val="0"/>
        <w:topLinePunct/>
        <w:autoSpaceDE w:val="0"/>
        <w:autoSpaceDN w:val="0"/>
        <w:adjustRightInd w:val="0"/>
        <w:spacing w:line="360" w:lineRule="auto"/>
        <w:ind w:firstLine="482"/>
        <w:rPr>
          <w:rFonts w:hint="eastAsia" w:ascii="宋体" w:cs="宋体"/>
          <w:sz w:val="24"/>
          <w:highlight w:val="none"/>
          <w:lang w:val="zh-CN"/>
        </w:rPr>
      </w:pPr>
      <w:r>
        <w:rPr>
          <w:rFonts w:hint="eastAsia" w:ascii="宋体" w:cs="宋体"/>
          <w:sz w:val="24"/>
          <w:highlight w:val="none"/>
          <w:lang w:val="en-US" w:eastAsia="zh-CN"/>
        </w:rPr>
        <w:t>2</w:t>
      </w:r>
      <w:r>
        <w:rPr>
          <w:rFonts w:hint="eastAsia" w:ascii="宋体" w:cs="宋体"/>
          <w:sz w:val="24"/>
          <w:highlight w:val="none"/>
          <w:lang w:val="zh-CN"/>
        </w:rPr>
        <w:t>、投标人所投产品或服务须满足与智慧阅读空间运行使用中的RFID智能门禁系统兼容使用，无缝对接，否则为无效投标。</w:t>
      </w:r>
    </w:p>
    <w:p>
      <w:pPr>
        <w:wordWrap w:val="0"/>
        <w:topLinePunct/>
        <w:autoSpaceDE w:val="0"/>
        <w:autoSpaceDN w:val="0"/>
        <w:adjustRightInd w:val="0"/>
        <w:spacing w:line="360" w:lineRule="auto"/>
        <w:ind w:firstLine="482"/>
        <w:rPr>
          <w:rFonts w:hint="eastAsia" w:ascii="宋体" w:cs="宋体"/>
          <w:sz w:val="24"/>
          <w:highlight w:val="none"/>
          <w:lang w:val="zh-CN"/>
        </w:rPr>
      </w:pPr>
      <w:r>
        <w:rPr>
          <w:rFonts w:hint="eastAsia" w:ascii="宋体" w:cs="宋体"/>
          <w:sz w:val="24"/>
          <w:highlight w:val="none"/>
          <w:lang w:val="en-US" w:eastAsia="zh-CN"/>
        </w:rPr>
        <w:t>3</w:t>
      </w:r>
      <w:r>
        <w:rPr>
          <w:rFonts w:hint="eastAsia" w:ascii="宋体" w:cs="宋体"/>
          <w:sz w:val="24"/>
          <w:highlight w:val="none"/>
          <w:lang w:val="zh-CN"/>
        </w:rPr>
        <w:t>、涉及对接、测试及现场勘查等事宜，可与许昌市图书馆技术部联系沟通，联系电话：0374-2961970。</w:t>
      </w:r>
    </w:p>
    <w:p>
      <w:pPr>
        <w:wordWrap w:val="0"/>
        <w:topLinePunct/>
        <w:autoSpaceDE w:val="0"/>
        <w:autoSpaceDN w:val="0"/>
        <w:adjustRightInd w:val="0"/>
        <w:spacing w:line="360" w:lineRule="auto"/>
        <w:ind w:firstLine="482"/>
        <w:rPr>
          <w:rFonts w:hint="eastAsia" w:ascii="宋体" w:cs="宋体"/>
          <w:sz w:val="24"/>
          <w:highlight w:val="none"/>
          <w:lang w:val="zh-CN"/>
        </w:rPr>
      </w:pPr>
      <w:r>
        <w:rPr>
          <w:rFonts w:hint="eastAsia" w:ascii="宋体" w:cs="宋体"/>
          <w:sz w:val="24"/>
          <w:highlight w:val="none"/>
          <w:lang w:val="en-US" w:eastAsia="zh-CN"/>
        </w:rPr>
        <w:t>4</w:t>
      </w:r>
      <w:r>
        <w:rPr>
          <w:rFonts w:hint="eastAsia" w:ascii="宋体" w:cs="宋体"/>
          <w:sz w:val="24"/>
          <w:highlight w:val="none"/>
          <w:lang w:val="zh-CN"/>
        </w:rPr>
        <w:t>、中标人须提供设备配套驱动程序文件、开发接口及相关资料、相关图书馆业务应用程序文件及后续升级程序包。</w:t>
      </w:r>
    </w:p>
    <w:p>
      <w:pPr>
        <w:wordWrap w:val="0"/>
        <w:topLinePunct/>
        <w:autoSpaceDE w:val="0"/>
        <w:autoSpaceDN w:val="0"/>
        <w:adjustRightInd w:val="0"/>
        <w:spacing w:line="360" w:lineRule="auto"/>
        <w:ind w:firstLine="482"/>
        <w:rPr>
          <w:rFonts w:hint="eastAsia" w:ascii="宋体" w:cs="宋体"/>
          <w:sz w:val="24"/>
          <w:highlight w:val="none"/>
          <w:lang w:val="zh-CN"/>
        </w:rPr>
      </w:pPr>
      <w:r>
        <w:rPr>
          <w:rFonts w:hint="eastAsia" w:ascii="宋体" w:cs="宋体"/>
          <w:sz w:val="24"/>
          <w:highlight w:val="none"/>
          <w:lang w:val="en-US" w:eastAsia="zh-CN"/>
        </w:rPr>
        <w:t>5</w:t>
      </w:r>
      <w:r>
        <w:rPr>
          <w:rFonts w:hint="eastAsia" w:ascii="宋体" w:cs="宋体"/>
          <w:sz w:val="24"/>
          <w:highlight w:val="none"/>
          <w:lang w:val="zh-CN"/>
        </w:rPr>
        <w:t>、项目所有软硬件设备须满足免费质保3年。</w:t>
      </w:r>
    </w:p>
    <w:p>
      <w:pPr>
        <w:wordWrap w:val="0"/>
        <w:topLinePunct/>
        <w:autoSpaceDE w:val="0"/>
        <w:autoSpaceDN w:val="0"/>
        <w:adjustRightInd w:val="0"/>
        <w:spacing w:line="360" w:lineRule="auto"/>
        <w:ind w:firstLine="482"/>
        <w:rPr>
          <w:rFonts w:ascii="宋体" w:cs="宋体"/>
          <w:b/>
          <w:sz w:val="24"/>
          <w:highlight w:val="none"/>
          <w:lang w:val="zh-CN"/>
        </w:rPr>
      </w:pPr>
      <w:r>
        <w:rPr>
          <w:rFonts w:hint="eastAsia" w:ascii="宋体" w:cs="宋体"/>
          <w:sz w:val="24"/>
          <w:highlight w:val="none"/>
          <w:lang w:val="en-US" w:eastAsia="zh-CN"/>
        </w:rPr>
        <w:t>6</w:t>
      </w:r>
      <w:r>
        <w:rPr>
          <w:rFonts w:hint="eastAsia" w:ascii="宋体" w:cs="宋体"/>
          <w:sz w:val="24"/>
          <w:highlight w:val="none"/>
          <w:lang w:val="zh-CN"/>
        </w:rPr>
        <w:t>、投标人应就本项目完整投标，</w:t>
      </w:r>
      <w:r>
        <w:rPr>
          <w:rFonts w:hint="eastAsia" w:ascii="宋体" w:cs="宋体"/>
          <w:b/>
          <w:sz w:val="24"/>
          <w:highlight w:val="none"/>
          <w:lang w:val="zh-CN"/>
        </w:rPr>
        <w:t>否则为无效投标。</w:t>
      </w:r>
    </w:p>
    <w:p>
      <w:pPr>
        <w:wordWrap w:val="0"/>
        <w:topLinePunct/>
        <w:spacing w:line="360" w:lineRule="auto"/>
        <w:ind w:firstLine="480" w:firstLineChars="200"/>
        <w:rPr>
          <w:rFonts w:ascii="宋体" w:cs="宋体"/>
          <w:sz w:val="24"/>
          <w:highlight w:val="none"/>
          <w:lang w:val="zh-CN"/>
        </w:rPr>
      </w:pPr>
      <w:r>
        <w:rPr>
          <w:rFonts w:hint="eastAsia" w:ascii="宋体" w:cs="宋体"/>
          <w:sz w:val="24"/>
          <w:highlight w:val="none"/>
          <w:lang w:val="en-US" w:eastAsia="zh-CN"/>
        </w:rPr>
        <w:t>7</w:t>
      </w:r>
      <w:r>
        <w:rPr>
          <w:rFonts w:hint="eastAsia" w:ascii="宋体" w:cs="宋体"/>
          <w:sz w:val="24"/>
          <w:highlight w:val="none"/>
          <w:lang w:val="zh-CN"/>
        </w:rPr>
        <w:t>、所投产品必须符合国家质量检测标准和本招标文件规定标准的全新正品现货。</w:t>
      </w:r>
    </w:p>
    <w:p>
      <w:pPr>
        <w:wordWrap w:val="0"/>
        <w:topLinePunct/>
        <w:spacing w:line="360" w:lineRule="auto"/>
        <w:ind w:firstLine="480" w:firstLineChars="200"/>
        <w:rPr>
          <w:rFonts w:ascii="宋体" w:cs="宋体"/>
          <w:b/>
          <w:sz w:val="24"/>
          <w:highlight w:val="none"/>
          <w:lang w:val="zh-CN"/>
        </w:rPr>
      </w:pPr>
      <w:r>
        <w:rPr>
          <w:rFonts w:hint="eastAsia" w:ascii="宋体" w:cs="宋体"/>
          <w:sz w:val="24"/>
          <w:highlight w:val="none"/>
          <w:lang w:val="en-US" w:eastAsia="zh-CN"/>
        </w:rPr>
        <w:t>8</w:t>
      </w:r>
      <w:r>
        <w:rPr>
          <w:rFonts w:hint="eastAsia" w:ascii="宋体" w:cs="宋体"/>
          <w:sz w:val="24"/>
          <w:highlight w:val="none"/>
          <w:lang w:val="zh-CN"/>
        </w:rPr>
        <w:t>、本项目为交钥匙工程。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四、验收标准</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zh-CN"/>
        </w:rPr>
        <w:t>1、本项目采用现场运行、测试验收方式验收。投标人完成的项目应达到的质量标准应符合国家和履约地相关安全质量标准；行业技术规范标准；强制认证相关标准。</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zh-CN"/>
        </w:rPr>
        <w:t>2、符合招标文件要求和投标文件承诺。</w:t>
      </w:r>
    </w:p>
    <w:p>
      <w:pPr>
        <w:wordWrap w:val="0"/>
        <w:topLinePunct/>
        <w:spacing w:line="360" w:lineRule="auto"/>
        <w:ind w:firstLine="422" w:firstLineChars="200"/>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b/>
          <w:bCs/>
          <w:color w:val="000000"/>
          <w:shd w:val="clear" w:color="auto" w:fill="FFFFFF"/>
          <w:lang w:eastAsia="zh-CN"/>
        </w:rPr>
        <w:t>五</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b/>
          <w:bCs/>
          <w:color w:val="000000"/>
          <w:shd w:val="clear" w:color="auto" w:fill="FFFFFF"/>
          <w:lang w:val="en-US" w:eastAsia="zh-CN"/>
        </w:rPr>
        <w:t>92万</w:t>
      </w:r>
      <w:r>
        <w:rPr>
          <w:rFonts w:hint="eastAsia" w:cs="黑体" w:asciiTheme="minorEastAsia" w:hAnsiTheme="minorEastAsia" w:eastAsiaTheme="minorEastAsia"/>
          <w:b/>
          <w:bCs/>
          <w:color w:val="000000"/>
          <w:shd w:val="clear" w:color="auto" w:fill="FFFFFF"/>
        </w:rPr>
        <w:t>元。最高限价</w:t>
      </w:r>
      <w:r>
        <w:rPr>
          <w:rFonts w:hint="eastAsia" w:cs="黑体" w:asciiTheme="minorEastAsia" w:hAnsiTheme="minorEastAsia"/>
          <w:b/>
          <w:bCs/>
          <w:color w:val="000000"/>
          <w:shd w:val="clear" w:color="auto" w:fill="FFFFFF"/>
          <w:lang w:val="en-US" w:eastAsia="zh-CN"/>
        </w:rPr>
        <w:t>92万</w:t>
      </w:r>
      <w:r>
        <w:rPr>
          <w:rFonts w:hint="eastAsia" w:cs="宋体" w:asciiTheme="minorEastAsia" w:hAnsiTheme="minorEastAsia" w:eastAsiaTheme="minorEastAsia"/>
          <w:b/>
          <w:color w:val="000000"/>
          <w:kern w:val="0"/>
          <w:lang w:val="zh-CN"/>
        </w:rPr>
        <w:t>元。超出最高限价的投标无效。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六、资金支付</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zh-CN"/>
        </w:rPr>
        <w:t>1、支付方式：银行转账</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zh-CN"/>
        </w:rPr>
        <w:t>2、支付时间及条件：经验收合格后60天内付合同总价款的90%，剩余10%满一年无质量问题一次付清。</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项目名称：智慧阅读空间功能提升</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项目编号：ZFCG-G2019</w:t>
            </w:r>
            <w:r>
              <w:rPr>
                <w:rFonts w:hint="eastAsia" w:cs="仿宋_GB2312" w:asciiTheme="minorEastAsia" w:hAnsiTheme="minorEastAsia"/>
                <w:szCs w:val="21"/>
                <w:lang w:val="en-US" w:eastAsia="zh-CN"/>
              </w:rPr>
              <w:t>103</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项目内容：支付宝，微信扫码借还功能模块14个，以及11座空间智能门禁系统、新风系统、馆情展示系统及空间地面改造。</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项目地址：2017年所建11座智慧阅读空间。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许昌市图书馆</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地址：许昌市东城区赵湾路</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联系人：杨晓燕                    电话：0374-2961970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lang w:val="zh-CN"/>
              </w:rPr>
              <w:t>4、个体工</w:t>
            </w:r>
            <w:r>
              <w:rPr>
                <w:rFonts w:hint="eastAsia" w:cs="宋体" w:asciiTheme="minorEastAsia" w:hAnsiTheme="minorEastAsia"/>
                <w:bCs/>
                <w:szCs w:val="21"/>
                <w:highlight w:val="none"/>
                <w:lang w:val="zh-CN"/>
              </w:rPr>
              <w:t>商户营业执照。（个体工商户投标提供）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highlight w:val="none"/>
              </w:rPr>
            </w:pPr>
            <w:r>
              <w:rPr>
                <w:rFonts w:hint="eastAsia" w:cs="仿宋_GB2312" w:asciiTheme="minorEastAsia" w:hAnsiTheme="minorEastAsia"/>
                <w:b/>
                <w:szCs w:val="21"/>
                <w:highlight w:val="none"/>
              </w:rPr>
              <w:t>二、财务状况报告相关材料</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（1）投标人是法人（法人包括企业法人、机关法人、事业单位法人和社会团体法人），提供本单位：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①2017或者2018年度经审计的财务报告，包括资产负债表、利润表、现金流量表、所有者权益变动表及其附注；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②基本开户银行出具的资信证明；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spacing w:line="360" w:lineRule="auto"/>
              <w:rPr>
                <w:rFonts w:asciiTheme="minorEastAsia" w:hAnsiTheme="minorEastAsia"/>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（2）投标人（其他组织和自然人）提供本单位：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①2017或者2018年度经审计的财务报告，包括资产负债表、利润表、现金流量表、所有者权益变动表及其附注；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仿宋_GB2312" w:asciiTheme="minorEastAsia" w:hAnsiTheme="minorEastAsia"/>
                <w:b/>
                <w:szCs w:val="21"/>
                <w:highlight w:val="none"/>
              </w:rPr>
              <w:t>三、依法缴纳税收相关材料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hint="eastAsia"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bCs/>
                <w:szCs w:val="21"/>
                <w:highlight w:val="none"/>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①相关设备的购置发票、专业技术人员职称证书、用工合同等；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kern w:val="0"/>
                <w:szCs w:val="21"/>
                <w:highlight w:val="none"/>
              </w:rPr>
              <w:t>六、</w:t>
            </w:r>
            <w:r>
              <w:rPr>
                <w:rFonts w:cs="宋体" w:asciiTheme="minorEastAsia" w:hAnsiTheme="minorEastAsia"/>
                <w:b/>
                <w:bCs/>
                <w:szCs w:val="21"/>
                <w:highlight w:val="none"/>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highlight w:val="none"/>
                <w:lang w:val="zh-CN"/>
              </w:rPr>
              <w:t>投标人“</w:t>
            </w:r>
            <w:r>
              <w:rPr>
                <w:rFonts w:cs="宋体" w:asciiTheme="minorEastAsia" w:hAnsiTheme="minorEastAsia"/>
                <w:bCs/>
                <w:szCs w:val="21"/>
                <w:highlight w:val="none"/>
                <w:lang w:val="zh-CN"/>
              </w:rPr>
              <w:t>参加政府采购活动前3年内在经营活动中没有重大违</w:t>
            </w:r>
            <w:r>
              <w:rPr>
                <w:rFonts w:cs="宋体" w:asciiTheme="minorEastAsia" w:hAnsiTheme="minorEastAsia"/>
                <w:bCs/>
                <w:szCs w:val="21"/>
                <w:lang w:val="zh-CN"/>
              </w:rPr>
              <w:t>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highlight w:val="none"/>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w:t>
            </w:r>
            <w:r>
              <w:rPr>
                <w:rFonts w:cs="仿宋_GB2312" w:asciiTheme="minorEastAsia" w:hAnsiTheme="minorEastAsia"/>
                <w:b/>
                <w:color w:val="000000"/>
                <w:szCs w:val="21"/>
                <w:highlight w:val="none"/>
                <w:shd w:val="clear" w:color="auto" w:fill="FFFFFF"/>
              </w:rPr>
              <w:t>p.gov.cn)政府采购严重违法失信行为记录名单的投标人</w:t>
            </w:r>
            <w:r>
              <w:rPr>
                <w:rFonts w:hint="eastAsia" w:cs="宋体" w:asciiTheme="minorEastAsia" w:hAnsiTheme="minorEastAsia"/>
                <w:b/>
                <w:bCs/>
                <w:szCs w:val="21"/>
                <w:highlight w:val="none"/>
                <w:lang w:val="zh-CN"/>
              </w:rPr>
              <w:t>；</w:t>
            </w:r>
            <w:r>
              <w:rPr>
                <w:rFonts w:hint="eastAsia" w:cs="仿宋_GB2312" w:asciiTheme="minorEastAsia" w:hAnsiTheme="minorEastAsia"/>
                <w:b/>
                <w:color w:val="000000"/>
                <w:szCs w:val="21"/>
                <w:highlight w:val="none"/>
                <w:shd w:val="clear" w:color="auto" w:fill="FFFFFF"/>
              </w:rPr>
              <w:t>“国家企业信用公示系统”网站（</w:t>
            </w:r>
            <w:r>
              <w:rPr>
                <w:rFonts w:cs="仿宋_GB2312" w:asciiTheme="minorEastAsia" w:hAnsiTheme="minorEastAsia"/>
                <w:b/>
                <w:color w:val="000000"/>
                <w:szCs w:val="21"/>
                <w:highlight w:val="none"/>
                <w:shd w:val="clear" w:color="auto" w:fill="FFFFFF"/>
              </w:rPr>
              <w:t>www.gsxt.gov.cn</w:t>
            </w:r>
            <w:r>
              <w:rPr>
                <w:rFonts w:hint="eastAsia" w:cs="仿宋_GB2312" w:asciiTheme="minorEastAsia" w:hAnsiTheme="minorEastAsia"/>
                <w:b/>
                <w:color w:val="000000"/>
                <w:szCs w:val="21"/>
                <w:highlight w:val="none"/>
                <w:shd w:val="clear" w:color="auto" w:fill="FFFFFF"/>
              </w:rPr>
              <w:t>）严重违法失信企业名单（黑名单）的投标人；“中国社会组织公共服务平台”网站（</w:t>
            </w:r>
            <w:r>
              <w:rPr>
                <w:rFonts w:cs="仿宋_GB2312" w:asciiTheme="minorEastAsia" w:hAnsiTheme="minorEastAsia"/>
                <w:b/>
                <w:color w:val="000000"/>
                <w:szCs w:val="21"/>
                <w:highlight w:val="none"/>
                <w:shd w:val="clear" w:color="auto" w:fill="FFFFFF"/>
              </w:rPr>
              <w:t>www.chinanpo.gov.cn</w:t>
            </w:r>
            <w:r>
              <w:rPr>
                <w:rFonts w:hint="eastAsia" w:cs="仿宋_GB2312" w:asciiTheme="minorEastAsia" w:hAnsiTheme="minorEastAsia"/>
                <w:b/>
                <w:color w:val="000000"/>
                <w:szCs w:val="21"/>
                <w:highlight w:val="none"/>
                <w:shd w:val="clear" w:color="auto" w:fill="FFFFFF"/>
              </w:rPr>
              <w:t>）严重违法失信社会组织名单的投标人（</w:t>
            </w:r>
            <w:r>
              <w:rPr>
                <w:rFonts w:hint="eastAsia" w:cs="宋体" w:asciiTheme="minorEastAsia" w:hAnsiTheme="minorEastAsia"/>
                <w:kern w:val="0"/>
                <w:szCs w:val="21"/>
                <w:highlight w:val="none"/>
              </w:rPr>
              <w:t>联合体形式投标的，联合体成员存在不良信用记录，视同联合体存在不良信用记录）。</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1、查询渠道：</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cs="宋体"/>
                <w:kern w:val="0"/>
                <w:highlight w:val="none"/>
              </w:rPr>
              <w:t>www.creditchina.gov.cn</w:t>
            </w:r>
            <w:r>
              <w:rPr>
                <w:rFonts w:hint="eastAsia" w:cs="宋体"/>
                <w:kern w:val="0"/>
                <w:highlight w:val="none"/>
              </w:rPr>
              <w:fldChar w:fldCharType="end"/>
            </w:r>
            <w:r>
              <w:rPr>
                <w:rFonts w:hint="eastAsia" w:cs="宋体" w:asciiTheme="minorEastAsia" w:hAnsiTheme="minorEastAsia"/>
                <w:kern w:val="0"/>
                <w:szCs w:val="21"/>
                <w:highlight w:val="none"/>
              </w:rPr>
              <w:t>）</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②“中国政府采购网”（www.ccgp.gov.cn）</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③“国家企业信用公示系统”网站（</w:t>
            </w:r>
            <w:r>
              <w:rPr>
                <w:highlight w:val="none"/>
              </w:rPr>
              <w:fldChar w:fldCharType="begin"/>
            </w:r>
            <w:r>
              <w:rPr>
                <w:highlight w:val="none"/>
              </w:rPr>
              <w:instrText xml:space="preserve"> HYPERLINK "http://www.gsxt.gov.cn" </w:instrText>
            </w:r>
            <w:r>
              <w:rPr>
                <w:highlight w:val="none"/>
              </w:rPr>
              <w:fldChar w:fldCharType="separate"/>
            </w:r>
            <w:r>
              <w:rPr>
                <w:rFonts w:cs="宋体"/>
                <w:kern w:val="0"/>
                <w:highlight w:val="none"/>
              </w:rPr>
              <w:t>www.gsxt.gov.cn</w:t>
            </w:r>
            <w:r>
              <w:rPr>
                <w:rFonts w:cs="宋体"/>
                <w:kern w:val="0"/>
                <w:highlight w:val="none"/>
              </w:rPr>
              <w:fldChar w:fldCharType="end"/>
            </w:r>
            <w:r>
              <w:rPr>
                <w:rFonts w:hint="eastAsia" w:cs="宋体" w:asciiTheme="minorEastAsia" w:hAnsiTheme="minorEastAsia"/>
                <w:kern w:val="0"/>
                <w:szCs w:val="21"/>
                <w:highlight w:val="none"/>
              </w:rPr>
              <w:t>）</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④“中国社会组织公共服务平台”网站（</w:t>
            </w:r>
            <w:r>
              <w:rPr>
                <w:rFonts w:cs="宋体" w:asciiTheme="minorEastAsia" w:hAnsiTheme="minorEastAsia"/>
                <w:kern w:val="0"/>
                <w:szCs w:val="21"/>
                <w:highlight w:val="none"/>
              </w:rPr>
              <w:t>www.chinanpo.gov.cn</w:t>
            </w:r>
            <w:r>
              <w:rPr>
                <w:rFonts w:hint="eastAsia" w:cs="宋体" w:asciiTheme="minorEastAsia" w:hAnsiTheme="minorEastAsia"/>
                <w:kern w:val="0"/>
                <w:szCs w:val="21"/>
                <w:highlight w:val="none"/>
              </w:rPr>
              <w:t>）（仅查询社会组织）；</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2、截止时间：同投标截止时间；</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rPr>
              <w:t>3、信用信息查询记录和证据留存具体方式：经采购人确认的查询结果网页截图作为查询记录和证据，与其他采</w:t>
            </w:r>
            <w:r>
              <w:rPr>
                <w:rFonts w:hint="eastAsia" w:cs="宋体" w:asciiTheme="minorEastAsia" w:hAnsiTheme="minorEastAsia"/>
                <w:kern w:val="0"/>
                <w:szCs w:val="21"/>
                <w:highlight w:val="none"/>
              </w:rPr>
              <w:t>购文件一并保存；</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4、信用信息的使用原则：经采购人认定的被列入失信被执行人、重大税收违法案件当事人名单、</w:t>
            </w:r>
            <w:r>
              <w:rPr>
                <w:rFonts w:cs="宋体" w:asciiTheme="minorEastAsia" w:hAnsiTheme="minorEastAsia"/>
                <w:kern w:val="0"/>
                <w:szCs w:val="21"/>
                <w:highlight w:val="none"/>
              </w:rPr>
              <w:t>政府采购严重违法失信名单</w:t>
            </w:r>
            <w:r>
              <w:rPr>
                <w:rFonts w:hint="eastAsia" w:cs="宋体" w:asciiTheme="minorEastAsia" w:hAnsiTheme="minorEastAsia"/>
                <w:kern w:val="0"/>
                <w:szCs w:val="21"/>
                <w:highlight w:val="none"/>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highlight w:val="none"/>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92万</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u w:val="none"/>
                <w:lang w:val="zh-CN"/>
              </w:rPr>
              <w:t>四</w:t>
            </w:r>
            <w:r>
              <w:rPr>
                <w:rFonts w:hint="eastAsia" w:cs="宋体" w:asciiTheme="minorEastAsia" w:hAnsiTheme="minorEastAsia"/>
                <w:bCs/>
                <w:szCs w:val="21"/>
                <w:lang w:val="zh-CN"/>
              </w:rPr>
              <w:t>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金额：壹万捌仟元（¥</w:t>
            </w:r>
            <w:r>
              <w:rPr>
                <w:rFonts w:hint="eastAsia" w:cs="仿宋_GB2312" w:asciiTheme="minorEastAsia" w:hAnsiTheme="minorEastAsia"/>
                <w:szCs w:val="21"/>
                <w:lang w:val="en-US" w:eastAsia="zh-CN"/>
              </w:rPr>
              <w:t>18000</w:t>
            </w:r>
            <w:r>
              <w:rPr>
                <w:rFonts w:hint="eastAsia" w:cs="仿宋_GB2312" w:asciiTheme="minorEastAsia" w:hAnsiTheme="minorEastAsia"/>
                <w:szCs w:val="21"/>
                <w:lang w:val="zh-CN"/>
              </w:rPr>
              <w:t>元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一、投标保证金的递交方式：银行转帐、银行电汇（均需从投标人注册银行账户转出），不接受以现金方式缴纳的投标保证金。凡以现金方式缴纳投标保证金而影响其投标结果的，由投标人自行负责。</w:t>
            </w:r>
            <w:bookmarkStart w:id="14" w:name="_GoBack"/>
            <w:bookmarkEnd w:id="14"/>
            <w:r>
              <w:rPr>
                <w:rFonts w:hint="eastAsia" w:cs="仿宋_GB2312" w:asciiTheme="minorEastAsia" w:hAnsiTheme="minorEastAsia"/>
                <w:szCs w:val="21"/>
                <w:lang w:val="zh-CN"/>
              </w:rPr>
              <w:t xml:space="preserve">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highlight w:val="none"/>
                <w:lang w:val="zh-CN"/>
              </w:rPr>
            </w:pPr>
            <w:r>
              <w:rPr>
                <w:rFonts w:hint="eastAsia" w:cs="仿宋_GB2312" w:asciiTheme="minorEastAsia" w:hAnsiTheme="minorEastAsia"/>
                <w:szCs w:val="21"/>
                <w:lang w:val="zh-CN"/>
              </w:rPr>
              <w:t>四、凡投标人投标保证金交纳至同一标段相同子账号的，保证金暂不予退还，并依照《许昌市公共资源交易当事人不良行为管理暂行办法》（许公管委〔2017〕</w:t>
            </w:r>
            <w:r>
              <w:rPr>
                <w:rFonts w:hint="eastAsia" w:cs="仿宋_GB2312" w:asciiTheme="minorEastAsia" w:hAnsiTheme="minorEastAsia"/>
                <w:szCs w:val="21"/>
                <w:highlight w:val="none"/>
                <w:lang w:val="zh-CN"/>
              </w:rPr>
              <w:t>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highlight w:val="none"/>
                <w:lang w:val="zh-CN"/>
              </w:rPr>
              <w:t>五、投标保证金退还咨询电话：0374-2968027（许昌市公共资源交易中心交易见证部）。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cs="仿宋_GB2312" w:asciiTheme="minorEastAsia" w:hAnsiTheme="minorEastAsia"/>
                <w:szCs w:val="21"/>
                <w:u w:val="none"/>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纸质投标文件：投标文件封面加盖投标人公章（投标文件是指投标人电子投标文件制作完成后生成的后缀名为</w:t>
            </w:r>
            <w:r>
              <w:rPr>
                <w:rFonts w:hint="eastAsia" w:hAnsi="宋体"/>
                <w:color w:val="000000"/>
                <w:szCs w:val="21"/>
                <w:highlight w:val="none"/>
              </w:rPr>
              <w:t>“.PDF”的文件</w:t>
            </w:r>
            <w:r>
              <w:rPr>
                <w:rFonts w:hint="eastAsia" w:ascii="新宋体" w:hAnsi="新宋体" w:eastAsia="新宋体"/>
                <w:szCs w:val="21"/>
                <w:highlight w:val="none"/>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highlight w:val="none"/>
                <w:lang w:val="zh-CN"/>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cs="仿宋_GB2312" w:asciiTheme="minorEastAsia" w:hAnsiTheme="minorEastAsia"/>
                <w:szCs w:val="21"/>
                <w:highlight w:val="none"/>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highlight w:val="none"/>
                <w:lang w:val="zh-CN"/>
              </w:rPr>
            </w:pPr>
            <w:r>
              <w:rPr>
                <w:rFonts w:hint="eastAsia" w:cs="仿宋_GB2312" w:asciiTheme="minorEastAsia" w:hAnsiTheme="minorEastAsia"/>
                <w:szCs w:val="21"/>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highlight w:val="none"/>
                <w:lang w:val="zh-CN"/>
              </w:rPr>
            </w:pPr>
            <w:r>
              <w:rPr>
                <w:rFonts w:cs="宋体" w:asciiTheme="minorEastAsia" w:hAnsiTheme="minorEastAsia"/>
                <w:b/>
                <w:color w:val="000000"/>
                <w:kern w:val="0"/>
                <w:szCs w:val="21"/>
                <w:highlight w:val="none"/>
                <w:lang w:val="zh-CN"/>
              </w:rPr>
              <w:fldChar w:fldCharType="begin"/>
            </w:r>
            <w:r>
              <w:rPr>
                <w:rFonts w:cs="宋体" w:asciiTheme="minorEastAsia" w:hAnsiTheme="minorEastAsia"/>
                <w:b/>
                <w:color w:val="000000"/>
                <w:kern w:val="0"/>
                <w:szCs w:val="21"/>
                <w:highlight w:val="none"/>
                <w:lang w:val="zh-CN"/>
              </w:rPr>
              <w:instrText xml:space="preserve"> </w:instrText>
            </w:r>
            <w:r>
              <w:rPr>
                <w:rFonts w:hint="eastAsia" w:cs="宋体" w:asciiTheme="minorEastAsia" w:hAnsiTheme="minorEastAsia"/>
                <w:b/>
                <w:color w:val="000000"/>
                <w:kern w:val="0"/>
                <w:szCs w:val="21"/>
                <w:highlight w:val="none"/>
                <w:lang w:val="zh-CN"/>
              </w:rPr>
              <w:instrText xml:space="preserve">eq \o\ac(□,</w:instrText>
            </w:r>
            <w:r>
              <w:rPr>
                <w:rFonts w:hint="eastAsia" w:cs="宋体" w:asciiTheme="minorEastAsia" w:hAnsiTheme="minorEastAsia"/>
                <w:b/>
                <w:color w:val="000000"/>
                <w:kern w:val="0"/>
                <w:position w:val="2"/>
                <w:szCs w:val="21"/>
                <w:highlight w:val="none"/>
                <w:lang w:val="zh-CN"/>
              </w:rPr>
              <w:instrText xml:space="preserve">√</w:instrText>
            </w:r>
            <w:r>
              <w:rPr>
                <w:rFonts w:hint="eastAsia" w:cs="宋体" w:asciiTheme="minorEastAsia" w:hAnsiTheme="minorEastAsia"/>
                <w:b/>
                <w:color w:val="000000"/>
                <w:kern w:val="0"/>
                <w:szCs w:val="21"/>
                <w:highlight w:val="none"/>
                <w:lang w:val="zh-CN"/>
              </w:rPr>
              <w:instrText xml:space="preserve">)</w:instrText>
            </w:r>
            <w:r>
              <w:rPr>
                <w:rFonts w:cs="宋体" w:asciiTheme="minorEastAsia" w:hAnsiTheme="minorEastAsia"/>
                <w:b/>
                <w:color w:val="000000"/>
                <w:kern w:val="0"/>
                <w:szCs w:val="21"/>
                <w:highlight w:val="none"/>
                <w:lang w:val="zh-CN"/>
              </w:rPr>
              <w:fldChar w:fldCharType="end"/>
            </w:r>
            <w:r>
              <w:rPr>
                <w:rFonts w:hint="eastAsia" w:cs="宋体" w:asciiTheme="minorEastAsia" w:hAnsiTheme="minorEastAsia"/>
                <w:bCs/>
                <w:szCs w:val="21"/>
                <w:highlight w:val="none"/>
                <w:lang w:val="zh-CN"/>
              </w:rPr>
              <w:t>无要求</w:t>
            </w:r>
          </w:p>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
                <w:bCs/>
                <w:szCs w:val="21"/>
                <w:highlight w:val="none"/>
                <w:lang w:val="zh-CN"/>
              </w:rPr>
              <w:t>□</w:t>
            </w:r>
            <w:r>
              <w:rPr>
                <w:rFonts w:hint="eastAsia" w:cs="宋体" w:asciiTheme="minorEastAsia" w:hAnsiTheme="minorEastAsia"/>
                <w:color w:val="333333"/>
                <w:szCs w:val="21"/>
                <w:highlight w:val="none"/>
              </w:rPr>
              <w:t>要求提交。履约保证金的数额为合同金额</w:t>
            </w:r>
            <w:r>
              <w:rPr>
                <w:rFonts w:hint="eastAsia" w:ascii="新宋体" w:hAnsi="新宋体" w:eastAsia="新宋体"/>
                <w:szCs w:val="21"/>
                <w:highlight w:val="none"/>
              </w:rPr>
              <w:t>的10%</w:t>
            </w:r>
            <w:r>
              <w:rPr>
                <w:rFonts w:hint="eastAsia" w:cs="宋体" w:asciiTheme="minorEastAsia" w:hAnsiTheme="minorEastAsia"/>
                <w:color w:val="333333"/>
                <w:szCs w:val="21"/>
                <w:highlight w:val="none"/>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中标人在接到中标通知时，须</w:t>
            </w:r>
            <w:r>
              <w:rPr>
                <w:rFonts w:hint="eastAsia" w:ascii="新宋体" w:hAnsi="新宋体" w:eastAsia="新宋体"/>
                <w:szCs w:val="21"/>
                <w:highlight w:val="none"/>
              </w:rPr>
              <w:t>向许昌市公共资源交易中心交易见证部发</w:t>
            </w:r>
            <w:r>
              <w:rPr>
                <w:rFonts w:hint="eastAsia" w:cs="宋体" w:asciiTheme="minorEastAsia" w:hAnsiTheme="minorEastAsia"/>
                <w:bCs/>
                <w:szCs w:val="21"/>
                <w:highlight w:val="none"/>
                <w:lang w:val="zh-CN"/>
              </w:rPr>
              <w:t xml:space="preserve">送投标报价及分项报价一览表（包含主要中标标的的名称、规格型号、数量、单价、服务要求等）电子文档，并同时通知交易见证部。联系电话：0374-2968027；邮箱：jzb2968027@163.com。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不同供应商电子投标文件制作硬件特征码（网卡MAC地址、CPU序号、硬盘序列号等）雷同时，视为‘</w:t>
            </w:r>
            <w:r>
              <w:rPr>
                <w:rFonts w:ascii="ˎ̥" w:hAnsi="ˎ̥"/>
                <w:highlight w:val="none"/>
              </w:rPr>
              <w:t>不同</w:t>
            </w:r>
            <w:r>
              <w:rPr>
                <w:rFonts w:hint="eastAsia" w:ascii="ˎ̥" w:hAnsi="ˎ̥"/>
                <w:highlight w:val="none"/>
              </w:rPr>
              <w:t>投标人的投标</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投标人</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’，其投标无效。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highlight w:val="none"/>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0"/>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0"/>
        <w:autoSpaceDE w:val="0"/>
        <w:autoSpaceDN w:val="0"/>
        <w:spacing w:line="360" w:lineRule="auto"/>
        <w:ind w:left="780"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0"/>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0"/>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、政府采购严重违法失信行为记录名单、严重违法失信企业名单（黑名单）、严重违法失信社会组织名单（联合体形式投标的，联合体成员存在不良信用记录，视同联合体存在不良信用记录）。</w:t>
      </w:r>
    </w:p>
    <w:p>
      <w:pPr>
        <w:pStyle w:val="40"/>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0"/>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pStyle w:val="40"/>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pStyle w:val="40"/>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、政府采购严重违法失信行为记录名单、严重违法失信企业名单（黑名单）、严重违法失信社会组织名单的投标人，将拒绝其参与本次政府采购活动。</w:t>
      </w:r>
    </w:p>
    <w:p>
      <w:pPr>
        <w:pStyle w:val="40"/>
        <w:autoSpaceDE w:val="0"/>
        <w:autoSpaceDN w:val="0"/>
        <w:spacing w:line="360" w:lineRule="auto"/>
        <w:ind w:left="850" w:leftChars="405" w:firstLine="0"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单位负责人为同一人或者存在直接控股、管理关系的不同供应商，不得同时参加本项目投标。违反规定的，相关投标均无效。</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为采购项目提供整体设计、规范编制或者项目管理、监理、检测等服务的供应商，不得再参加该采购项目的其他采购活动。</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“投标邀请”和“投标人须知前附表”规定接受联合体投标的，除应符合本章第</w:t>
      </w:r>
      <w:r>
        <w:rPr>
          <w:rFonts w:cs="宋体" w:asciiTheme="minorEastAsia" w:hAnsiTheme="minorEastAsia"/>
          <w:kern w:val="0"/>
          <w:szCs w:val="21"/>
          <w:highlight w:val="none"/>
        </w:rPr>
        <w:t>3.1</w:t>
      </w:r>
      <w:r>
        <w:rPr>
          <w:rFonts w:hint="eastAsia" w:cs="宋体" w:asciiTheme="minorEastAsia" w:hAnsiTheme="minorEastAsia"/>
          <w:kern w:val="0"/>
          <w:szCs w:val="21"/>
          <w:highlight w:val="none"/>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0"/>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w:t>
      </w:r>
      <w:r>
        <w:rPr>
          <w:rFonts w:hint="eastAsia" w:cs="宋体" w:asciiTheme="minorEastAsia" w:hAnsiTheme="minorEastAsia"/>
          <w:kern w:val="0"/>
          <w:szCs w:val="21"/>
          <w:highlight w:val="none"/>
        </w:rPr>
        <w:t>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highlight w:val="none"/>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采购代理机构代理费用收取标准和方式</w:t>
      </w:r>
    </w:p>
    <w:p>
      <w:pPr>
        <w:pStyle w:val="40"/>
        <w:numPr>
          <w:ilvl w:val="0"/>
          <w:numId w:val="8"/>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收取标准：不收取。详见投标人须知前附表。</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收取方式：一次性以银</w:t>
      </w:r>
      <w:r>
        <w:rPr>
          <w:rFonts w:hint="eastAsia" w:cs="宋体" w:asciiTheme="minorEastAsia" w:hAnsiTheme="minorEastAsia"/>
          <w:kern w:val="0"/>
          <w:szCs w:val="21"/>
        </w:rPr>
        <w:t>行划账、电汇、汇票或支票的形式支付。</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0"/>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0"/>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0"/>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0"/>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40"/>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0"/>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0"/>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投标人根据招标文件的规定和采购项目的实际情</w:t>
      </w:r>
      <w:r>
        <w:rPr>
          <w:rFonts w:hint="eastAsia" w:cs="宋体" w:asciiTheme="minorEastAsia" w:hAnsiTheme="minorEastAsia"/>
          <w:kern w:val="0"/>
          <w:szCs w:val="21"/>
          <w:highlight w:val="none"/>
        </w:rPr>
        <w:t>况，拟在中标后将中标项目的非主体、非关键性工作分包的，应当在投标文件中载明分包承担主体，分包承担主体应当具备相应资质条件且不得再次分包。</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highlight w:val="none"/>
        </w:rPr>
        <w:t>.file</w:t>
      </w:r>
      <w:r>
        <w:rPr>
          <w:rFonts w:hint="eastAsia" w:cs="宋体" w:asciiTheme="minorEastAsia" w:hAnsiTheme="minorEastAsia"/>
          <w:kern w:val="0"/>
          <w:szCs w:val="21"/>
          <w:highlight w:val="none"/>
        </w:rPr>
        <w:t>”的文件用于电子投标使用，后缀名为“.PDF”的文件用于打印纸质投</w:t>
      </w:r>
      <w:r>
        <w:rPr>
          <w:rFonts w:hint="eastAsia" w:cs="宋体" w:asciiTheme="minorEastAsia" w:hAnsiTheme="minorEastAsia"/>
          <w:kern w:val="0"/>
          <w:szCs w:val="21"/>
        </w:rPr>
        <w:t>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0"/>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0"/>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40"/>
        <w:numPr>
          <w:ilvl w:val="1"/>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0"/>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40"/>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0"/>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0"/>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0"/>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rPr>
        <w:t>评标委员会的组成</w:t>
      </w:r>
    </w:p>
    <w:p>
      <w:pPr>
        <w:pStyle w:val="40"/>
        <w:numPr>
          <w:ilvl w:val="0"/>
          <w:numId w:val="14"/>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91" w:leftChars="202" w:hanging="567" w:hangingChars="27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426"/>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26.1.2  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（1）采购预算金额在1000万元以上；</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0"/>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0"/>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40"/>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按照《关于推进全流程电子化交易和在线监管工作有关问题的通知》（许公管办[2019]3号）规定，不同投标人电子投标文件制作硬件特征码（网卡MAC地址、CPU序号、硬盘序列号等）雷同时，视为‘</w:t>
      </w:r>
      <w:r>
        <w:rPr>
          <w:rFonts w:ascii="ˎ̥" w:hAnsi="ˎ̥"/>
          <w:highlight w:val="none"/>
        </w:rPr>
        <w:t>不同</w:t>
      </w:r>
      <w:r>
        <w:rPr>
          <w:rFonts w:hint="eastAsia" w:ascii="ˎ̥" w:hAnsi="ˎ̥"/>
          <w:highlight w:val="none"/>
        </w:rPr>
        <w:t>投标人</w:t>
      </w:r>
      <w:r>
        <w:rPr>
          <w:rFonts w:ascii="ˎ̥" w:hAnsi="ˎ̥"/>
          <w:highlight w:val="none"/>
        </w:rPr>
        <w:t>的</w:t>
      </w:r>
      <w:r>
        <w:rPr>
          <w:rFonts w:hint="eastAsia" w:ascii="ˎ̥" w:hAnsi="ˎ̥"/>
          <w:highlight w:val="none"/>
        </w:rPr>
        <w:t>投标</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投标人</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’，其投标无效。</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cs="宋体" w:asciiTheme="minorEastAsia" w:hAnsiTheme="minorEastAsia"/>
          <w:kern w:val="0"/>
          <w:szCs w:val="21"/>
          <w:highlight w:val="none"/>
        </w:rPr>
        <w:t>法律、法规和招标文件规定的其他无效情形。</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40"/>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40"/>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0"/>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0"/>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0"/>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0"/>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0"/>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lang w:val="zh-CN"/>
        </w:rPr>
        <w:t>根据《中华人民共</w:t>
      </w:r>
      <w:r>
        <w:rPr>
          <w:rFonts w:hint="eastAsia" w:cs="仿宋_GB2312" w:asciiTheme="minorEastAsia" w:hAnsiTheme="minorEastAsia"/>
          <w:szCs w:val="21"/>
          <w:highlight w:val="none"/>
          <w:lang w:val="zh-CN"/>
        </w:rPr>
        <w:t>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highlight w:val="none"/>
          <w:lang w:val="zh-CN"/>
        </w:rPr>
      </w:pPr>
      <w:r>
        <w:rPr>
          <w:rFonts w:hint="eastAsia" w:cs="仿宋_GB2312" w:asciiTheme="minorEastAsia" w:hAnsiTheme="minorEastAsia" w:eastAsiaTheme="minorEastAsia"/>
          <w:b/>
          <w:sz w:val="21"/>
          <w:szCs w:val="21"/>
          <w:highlight w:val="none"/>
          <w:lang w:val="zh-CN"/>
        </w:rPr>
        <w:t>一、</w:t>
      </w:r>
      <w:r>
        <w:rPr>
          <w:rFonts w:hint="eastAsia" w:cs="仿宋_GB2312" w:asciiTheme="minorEastAsia" w:hAnsiTheme="minorEastAsia"/>
          <w:b/>
          <w:sz w:val="21"/>
          <w:szCs w:val="21"/>
          <w:highlight w:val="none"/>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highlight w:val="none"/>
          <w:lang w:val="zh-CN"/>
        </w:rPr>
        <w:t>1、按照财政部、工业和信息化部发布的《政府采购促进中小企业发展暂行办法》（财库[2011]181号）规定，本项目为非专门面向</w:t>
      </w:r>
      <w:r>
        <w:rPr>
          <w:rFonts w:hint="eastAsia" w:cs="仿宋_GB2312" w:asciiTheme="minorEastAsia" w:hAnsiTheme="minorEastAsia"/>
          <w:szCs w:val="21"/>
          <w:lang w:val="zh-CN"/>
        </w:rPr>
        <w:t>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highlight w:val="none"/>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highlight w:val="none"/>
        </w:rPr>
      </w:pPr>
      <w:r>
        <w:rPr>
          <w:rFonts w:hint="eastAsia" w:asciiTheme="minorEastAsia" w:hAnsiTheme="minorEastAsia"/>
          <w:bCs/>
          <w:szCs w:val="21"/>
          <w:highlight w:val="none"/>
        </w:rPr>
        <w:t>（一）</w:t>
      </w:r>
      <w:r>
        <w:rPr>
          <w:rFonts w:asciiTheme="minorEastAsia" w:hAnsiTheme="minorEastAsia"/>
          <w:bCs/>
          <w:szCs w:val="21"/>
          <w:highlight w:val="none"/>
        </w:rPr>
        <w:t>开标结束后，</w:t>
      </w:r>
      <w:r>
        <w:rPr>
          <w:rFonts w:hint="eastAsia" w:asciiTheme="minorEastAsia" w:hAnsiTheme="minorEastAsia"/>
          <w:bCs/>
          <w:szCs w:val="21"/>
          <w:highlight w:val="none"/>
        </w:rPr>
        <w:t>采购人依法对投标人资格进行审查</w:t>
      </w:r>
      <w:r>
        <w:rPr>
          <w:rFonts w:asciiTheme="minorEastAsia" w:hAnsiTheme="minorEastAsia"/>
          <w:bCs/>
          <w:szCs w:val="21"/>
          <w:highlight w:val="none"/>
        </w:rPr>
        <w:t>。</w:t>
      </w:r>
      <w:r>
        <w:rPr>
          <w:rFonts w:hint="eastAsia" w:asciiTheme="minorEastAsia" w:hAnsiTheme="minorEastAsia"/>
          <w:bCs/>
          <w:szCs w:val="21"/>
          <w:highlight w:val="none"/>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①与本项目投标相关设备的购置发票、专业技术人员职称证书、用工合同等；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spacing w:line="360" w:lineRule="auto"/>
              <w:rPr>
                <w:rFonts w:asciiTheme="minorEastAsia" w:hAnsiTheme="minorEastAsia"/>
                <w:b/>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政府采购活动中查询及使用投标人信用记录的具体要求为：投标人未被列入</w:t>
            </w:r>
            <w:r>
              <w:rPr>
                <w:rFonts w:asciiTheme="minorEastAsia" w:hAnsiTheme="minorEastAsia"/>
                <w:bCs/>
                <w:szCs w:val="21"/>
                <w:highlight w:val="none"/>
              </w:rPr>
              <w:t>“信用中国”网站</w:t>
            </w:r>
            <w:r>
              <w:rPr>
                <w:rFonts w:hint="eastAsia" w:asciiTheme="minorEastAsia" w:hAnsiTheme="minorEastAsia"/>
                <w:bCs/>
                <w:szCs w:val="21"/>
                <w:highlight w:val="none"/>
              </w:rPr>
              <w:t>失信被执行人、重大税收违法案件当事人名单、</w:t>
            </w:r>
            <w:r>
              <w:rPr>
                <w:rFonts w:asciiTheme="minorEastAsia" w:hAnsiTheme="minorEastAsia"/>
                <w:bCs/>
                <w:szCs w:val="21"/>
                <w:highlight w:val="none"/>
              </w:rPr>
              <w:t>政府采购严重违法失信名单</w:t>
            </w:r>
            <w:r>
              <w:rPr>
                <w:rFonts w:hint="eastAsia" w:asciiTheme="minorEastAsia" w:hAnsiTheme="minorEastAsia"/>
                <w:bCs/>
                <w:szCs w:val="21"/>
                <w:highlight w:val="none"/>
              </w:rPr>
              <w:t>、“</w:t>
            </w:r>
            <w:r>
              <w:rPr>
                <w:rFonts w:asciiTheme="minorEastAsia" w:hAnsiTheme="minorEastAsia"/>
                <w:bCs/>
                <w:szCs w:val="21"/>
                <w:highlight w:val="none"/>
              </w:rPr>
              <w:t>中国政府采购网</w:t>
            </w:r>
            <w:r>
              <w:rPr>
                <w:rFonts w:hint="eastAsia" w:asciiTheme="minorEastAsia" w:hAnsiTheme="minorEastAsia"/>
                <w:bCs/>
                <w:szCs w:val="21"/>
                <w:highlight w:val="none"/>
              </w:rPr>
              <w:t>”政府采购严重违法失信行为记录名单、“国家企业信用公示系统”网站严重违法失信企业名单（黑名单）、</w:t>
            </w:r>
            <w:r>
              <w:rPr>
                <w:rFonts w:hint="eastAsia" w:cs="仿宋_GB2312" w:asciiTheme="minorEastAsia" w:hAnsiTheme="minorEastAsia"/>
                <w:color w:val="000000"/>
                <w:szCs w:val="21"/>
                <w:highlight w:val="none"/>
              </w:rPr>
              <w:t>“中国社会组织公共服务平台”网站（</w:t>
            </w:r>
            <w:r>
              <w:rPr>
                <w:rFonts w:cs="仿宋_GB2312" w:asciiTheme="minorEastAsia" w:hAnsiTheme="minorEastAsia"/>
                <w:color w:val="000000"/>
                <w:szCs w:val="21"/>
                <w:highlight w:val="none"/>
              </w:rPr>
              <w:t>www.chinanpo.gov.cn</w:t>
            </w:r>
            <w:r>
              <w:rPr>
                <w:rFonts w:hint="eastAsia" w:cs="仿宋_GB2312" w:asciiTheme="minorEastAsia" w:hAnsiTheme="minorEastAsia"/>
                <w:color w:val="000000"/>
                <w:szCs w:val="21"/>
                <w:highlight w:val="none"/>
              </w:rPr>
              <w:t>）严重违法失信社会组织名单的投标人</w:t>
            </w:r>
            <w:r>
              <w:rPr>
                <w:rFonts w:hint="eastAsia" w:cs="仿宋_GB2312" w:asciiTheme="minorEastAsia" w:hAnsiTheme="minorEastAsia"/>
                <w:b/>
                <w:color w:val="000000"/>
                <w:szCs w:val="21"/>
                <w:highlight w:val="none"/>
              </w:rPr>
              <w:t>；</w:t>
            </w:r>
            <w:r>
              <w:rPr>
                <w:rFonts w:hint="eastAsia" w:asciiTheme="minorEastAsia" w:hAnsiTheme="minorEastAsia"/>
                <w:bCs/>
                <w:szCs w:val="21"/>
                <w:highlight w:val="none"/>
              </w:rPr>
              <w:t>（联合体形式投标的，联合体成员存在不良信用记录，视同联合体存在不良信用记录）。</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（1）查询渠道：</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28"/>
                <w:rFonts w:hint="eastAsia" w:asciiTheme="minorEastAsia" w:hAnsiTheme="minorEastAsia"/>
                <w:bCs/>
                <w:szCs w:val="21"/>
                <w:highlight w:val="none"/>
              </w:rPr>
              <w:t>www.creditchina.gov.cn</w:t>
            </w:r>
            <w:r>
              <w:rPr>
                <w:rStyle w:val="28"/>
                <w:rFonts w:hint="eastAsia" w:asciiTheme="minorEastAsia" w:hAnsiTheme="minorEastAsia"/>
                <w:bCs/>
                <w:szCs w:val="21"/>
                <w:highlight w:val="none"/>
              </w:rPr>
              <w:fldChar w:fldCharType="end"/>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②“中国政府采购网”（www.ccgp.gov.cn）</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③“国家企业信用公示系统”网站（</w:t>
            </w:r>
            <w:r>
              <w:rPr>
                <w:highlight w:val="none"/>
              </w:rPr>
              <w:fldChar w:fldCharType="begin"/>
            </w:r>
            <w:r>
              <w:rPr>
                <w:highlight w:val="none"/>
              </w:rPr>
              <w:instrText xml:space="preserve"> HYPERLINK "http://www.gsxt.gov.cn" </w:instrText>
            </w:r>
            <w:r>
              <w:rPr>
                <w:highlight w:val="none"/>
              </w:rPr>
              <w:fldChar w:fldCharType="separate"/>
            </w:r>
            <w:r>
              <w:rPr>
                <w:rStyle w:val="28"/>
                <w:rFonts w:asciiTheme="minorEastAsia" w:hAnsiTheme="minorEastAsia"/>
                <w:bCs/>
                <w:szCs w:val="21"/>
                <w:highlight w:val="none"/>
              </w:rPr>
              <w:t>www.gsxt.gov.cn</w:t>
            </w:r>
            <w:r>
              <w:rPr>
                <w:rStyle w:val="28"/>
                <w:rFonts w:asciiTheme="minorEastAsia" w:hAnsiTheme="minorEastAsia"/>
                <w:bCs/>
                <w:szCs w:val="21"/>
                <w:highlight w:val="none"/>
              </w:rPr>
              <w:fldChar w:fldCharType="end"/>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④</w:t>
            </w:r>
            <w:r>
              <w:rPr>
                <w:rFonts w:hint="eastAsia" w:cs="仿宋_GB2312" w:asciiTheme="minorEastAsia" w:hAnsiTheme="minorEastAsia"/>
                <w:color w:val="000000"/>
                <w:szCs w:val="21"/>
                <w:highlight w:val="none"/>
              </w:rPr>
              <w:t>“中国社会组织公共服务平台”网站（</w:t>
            </w:r>
            <w:r>
              <w:rPr>
                <w:rFonts w:cs="仿宋_GB2312" w:asciiTheme="minorEastAsia" w:hAnsiTheme="minorEastAsia"/>
                <w:color w:val="000000"/>
                <w:szCs w:val="21"/>
                <w:highlight w:val="none"/>
              </w:rPr>
              <w:t>www.chinanpo.gov.cn</w:t>
            </w:r>
            <w:r>
              <w:rPr>
                <w:rFonts w:hint="eastAsia" w:cs="仿宋_GB2312" w:asciiTheme="minorEastAsia" w:hAnsiTheme="minorEastAsia"/>
                <w:color w:val="000000"/>
                <w:szCs w:val="21"/>
                <w:highlight w:val="none"/>
              </w:rPr>
              <w:t>）（仅查询社会组织）</w:t>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（2）截止时间：同投标截止时间；</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highlight w:val="none"/>
              </w:rPr>
            </w:pPr>
            <w:r>
              <w:rPr>
                <w:rFonts w:hint="eastAsia" w:asciiTheme="minorEastAsia" w:hAnsiTheme="minorEastAsia"/>
                <w:bCs/>
                <w:szCs w:val="21"/>
                <w:highlight w:val="none"/>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highlight w:val="none"/>
              </w:rPr>
              <w:t>严重违法失信社会组织</w:t>
            </w:r>
            <w:r>
              <w:rPr>
                <w:rFonts w:hint="eastAsia" w:asciiTheme="minorEastAsia" w:hAnsiTheme="minorEastAsia"/>
                <w:bCs/>
                <w:szCs w:val="21"/>
                <w:highlight w:val="none"/>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3" w:name="baidusnap2"/>
            <w:bookmarkEnd w:id="3"/>
            <w:r>
              <w:rPr>
                <w:rFonts w:hint="eastAsia" w:cs="仿宋_GB2312" w:asciiTheme="minorEastAsia" w:hAnsiTheme="minorEastAsia"/>
                <w:szCs w:val="21"/>
                <w:lang w:val="zh-CN"/>
              </w:rPr>
              <w:t>提供未为本项目提供整体设计、</w:t>
            </w:r>
            <w:bookmarkStart w:id="4" w:name="baidusnap9"/>
            <w:bookmarkEnd w:id="4"/>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hint="eastAsia"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highlight w:val="none"/>
          <w:lang w:val="zh-CN"/>
        </w:rPr>
        <w:t>小型和微型企业不包含民办非企业单位。</w:t>
      </w: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highlight w:val="none"/>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2)投标人所投产品如被列入</w:t>
      </w:r>
      <w:r>
        <w:rPr>
          <w:rFonts w:cs="宋体" w:asciiTheme="minorEastAsia" w:hAnsiTheme="minorEastAsia"/>
          <w:kern w:val="0"/>
          <w:szCs w:val="21"/>
          <w:highlight w:val="none"/>
        </w:rPr>
        <w:t>《信息安全产品强制性认证目录》，</w:t>
      </w:r>
      <w:r>
        <w:rPr>
          <w:rFonts w:hint="eastAsia" w:cs="仿宋_GB2312" w:asciiTheme="minorEastAsia" w:hAnsiTheme="minorEastAsia"/>
          <w:szCs w:val="21"/>
          <w:highlight w:val="none"/>
          <w:lang w:val="zh-CN"/>
        </w:rPr>
        <w:t>则投标文件中应根据本项目招标文件“第二章 项目需求”</w:t>
      </w:r>
      <w:r>
        <w:rPr>
          <w:rFonts w:cs="仿宋_GB2312" w:asciiTheme="minorEastAsia" w:hAnsiTheme="minorEastAsia"/>
          <w:szCs w:val="21"/>
          <w:highlight w:val="none"/>
          <w:lang w:val="zh-CN"/>
        </w:rPr>
        <w:t>提供</w:t>
      </w:r>
      <w:r>
        <w:rPr>
          <w:rFonts w:hint="eastAsia" w:cs="仿宋_GB2312" w:asciiTheme="minorEastAsia" w:hAnsiTheme="minorEastAsia"/>
          <w:szCs w:val="21"/>
          <w:highlight w:val="none"/>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①中国信息安全认证中心官网（</w:t>
      </w:r>
      <w:r>
        <w:rPr>
          <w:rFonts w:cs="宋体" w:asciiTheme="minorEastAsia" w:hAnsiTheme="minorEastAsia"/>
          <w:kern w:val="0"/>
          <w:szCs w:val="21"/>
          <w:highlight w:val="none"/>
        </w:rPr>
        <w:t>http://www.isccc.gov.cn/index.shtml</w:t>
      </w:r>
      <w:r>
        <w:rPr>
          <w:rFonts w:hint="eastAsia" w:cs="宋体" w:asciiTheme="minorEastAsia" w:hAnsiTheme="minorEastAsia"/>
          <w:kern w:val="0"/>
          <w:szCs w:val="21"/>
          <w:highlight w:val="none"/>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②中国信息安全认证中心</w:t>
      </w:r>
      <w:r>
        <w:rPr>
          <w:rFonts w:hint="eastAsia" w:cs="仿宋_GB2312" w:asciiTheme="minorEastAsia" w:hAnsiTheme="minorEastAsia"/>
          <w:szCs w:val="21"/>
          <w:highlight w:val="none"/>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FF0000"/>
                <w:szCs w:val="21"/>
                <w:u w:val="single"/>
                <w:lang w:val="en-US" w:eastAsia="zh-CN"/>
              </w:rPr>
              <w:t>30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FF0000"/>
                <w:szCs w:val="21"/>
                <w:u w:val="single"/>
                <w:lang w:val="en-US" w:eastAsia="zh-CN"/>
              </w:rPr>
              <w:t>26</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color w:val="FF0000"/>
                <w:szCs w:val="21"/>
                <w:u w:val="single"/>
                <w:lang w:val="en-US" w:eastAsia="zh-CN"/>
              </w:rPr>
              <w:t>26</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color w:val="FF0000"/>
                <w:szCs w:val="21"/>
                <w:u w:val="single"/>
                <w:lang w:val="en-US" w:eastAsia="zh-CN"/>
              </w:rPr>
              <w:t>18</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30</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30</w:t>
            </w:r>
            <w:r>
              <w:rPr>
                <w:rFonts w:hint="eastAsia" w:ascii="宋体" w:hAnsi="宋体" w:eastAsia="宋体" w:cs="宋体"/>
                <w:szCs w:val="21"/>
              </w:rPr>
              <w:t>分）</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hint="default" w:ascii="宋体" w:hAnsi="宋体" w:cs="宋体" w:eastAsiaTheme="minorEastAsia"/>
                <w:szCs w:val="21"/>
                <w:lang w:val="en-US" w:eastAsia="zh-CN"/>
              </w:rPr>
            </w:pPr>
            <w:r>
              <w:rPr>
                <w:rFonts w:hint="eastAsia" w:asciiTheme="minorEastAsia" w:hAnsiTheme="minorEastAsia"/>
                <w:szCs w:val="21"/>
              </w:rPr>
              <w:t>投标报价得分=（评标基准价/投标报价）×</w:t>
            </w:r>
            <w:r>
              <w:rPr>
                <w:rFonts w:hint="eastAsia" w:asciiTheme="minorEastAsia" w:hAnsiTheme="minorEastAsia"/>
                <w:color w:val="FF0000"/>
                <w:szCs w:val="21"/>
                <w:u w:val="singl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26</w:t>
            </w:r>
            <w:r>
              <w:rPr>
                <w:rFonts w:hint="eastAsia" w:ascii="宋体" w:hAnsi="宋体" w:eastAsia="宋体" w:cs="宋体"/>
                <w:szCs w:val="21"/>
              </w:rPr>
              <w:t>分）</w:t>
            </w:r>
          </w:p>
        </w:tc>
        <w:tc>
          <w:tcPr>
            <w:tcW w:w="1560" w:type="dxa"/>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业绩</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14</w:t>
            </w:r>
            <w:r>
              <w:rPr>
                <w:rFonts w:hint="eastAsia" w:ascii="宋体" w:hAnsi="宋体" w:eastAsia="宋体" w:cs="Times New Roman"/>
                <w:szCs w:val="21"/>
              </w:rPr>
              <w:t>分）</w:t>
            </w:r>
          </w:p>
        </w:tc>
        <w:tc>
          <w:tcPr>
            <w:tcW w:w="6095" w:type="dxa"/>
            <w:vAlign w:val="center"/>
          </w:tcPr>
          <w:p>
            <w:pPr>
              <w:spacing w:line="360" w:lineRule="auto"/>
              <w:rPr>
                <w:rFonts w:hint="eastAsia" w:asciiTheme="minorEastAsia" w:hAnsiTheme="minorEastAsia"/>
                <w:szCs w:val="21"/>
                <w:lang w:val="zh-CN"/>
              </w:rPr>
            </w:pPr>
            <w:r>
              <w:rPr>
                <w:rFonts w:hint="eastAsia" w:asciiTheme="minorEastAsia" w:hAnsiTheme="minorEastAsia"/>
                <w:szCs w:val="21"/>
                <w:lang w:val="zh-CN"/>
              </w:rPr>
              <w:t>投标人2017年以来,具有类似项目业绩（业绩中需含馆情展示系统或智能门禁系统），每提供一份得2分，最高得</w:t>
            </w:r>
            <w:r>
              <w:rPr>
                <w:rFonts w:hint="eastAsia" w:asciiTheme="minorEastAsia" w:hAnsiTheme="minorEastAsia"/>
                <w:szCs w:val="21"/>
              </w:rPr>
              <w:t>14</w:t>
            </w:r>
            <w:r>
              <w:rPr>
                <w:rFonts w:hint="eastAsia" w:asciiTheme="minorEastAsia" w:hAnsiTheme="minorEastAsia"/>
                <w:szCs w:val="21"/>
                <w:lang w:val="zh-CN"/>
              </w:rPr>
              <w:t>分。（需提供中标公告网络截图、中标通知书、合同，缺少其中之一此项不得分。）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napToGrid w:val="0"/>
              <w:spacing w:beforeLines="50"/>
              <w:jc w:val="center"/>
              <w:rPr>
                <w:rFonts w:ascii="宋体" w:hAnsi="宋体" w:eastAsia="宋体" w:cs="Times New Roman"/>
                <w:szCs w:val="21"/>
              </w:rPr>
            </w:pPr>
            <w:r>
              <w:rPr>
                <w:rFonts w:ascii="宋体" w:hAnsi="宋体" w:eastAsia="宋体" w:cs="Times New Roman"/>
                <w:szCs w:val="21"/>
              </w:rPr>
              <w:t>管理体系</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9</w:t>
            </w:r>
            <w:r>
              <w:rPr>
                <w:rFonts w:hint="eastAsia" w:ascii="宋体" w:hAnsi="宋体" w:eastAsia="宋体" w:cs="Times New Roman"/>
                <w:szCs w:val="21"/>
              </w:rPr>
              <w:t>分）</w:t>
            </w:r>
          </w:p>
        </w:tc>
        <w:tc>
          <w:tcPr>
            <w:tcW w:w="6095" w:type="dxa"/>
            <w:vAlign w:val="center"/>
          </w:tcPr>
          <w:p>
            <w:pPr>
              <w:spacing w:line="360" w:lineRule="auto"/>
              <w:rPr>
                <w:rFonts w:hint="eastAsia" w:asciiTheme="minorEastAsia" w:hAnsiTheme="minorEastAsia"/>
                <w:szCs w:val="21"/>
                <w:lang w:val="zh-CN"/>
              </w:rPr>
            </w:pPr>
            <w:r>
              <w:rPr>
                <w:rFonts w:hint="eastAsia" w:asciiTheme="minorEastAsia" w:hAnsiTheme="minorEastAsia"/>
                <w:szCs w:val="21"/>
                <w:lang w:val="zh-CN"/>
              </w:rPr>
              <w:t>1、投标人具有《职业健康安全管理体系认证证书》；</w:t>
            </w:r>
          </w:p>
          <w:p>
            <w:pPr>
              <w:spacing w:line="360" w:lineRule="auto"/>
              <w:rPr>
                <w:rFonts w:hint="eastAsia" w:asciiTheme="minorEastAsia" w:hAnsiTheme="minorEastAsia"/>
                <w:szCs w:val="21"/>
                <w:lang w:val="zh-CN"/>
              </w:rPr>
            </w:pPr>
            <w:r>
              <w:rPr>
                <w:rFonts w:hint="eastAsia" w:asciiTheme="minorEastAsia" w:hAnsiTheme="minorEastAsia"/>
                <w:szCs w:val="21"/>
                <w:lang w:val="zh-CN"/>
              </w:rPr>
              <w:t>2、投标人具有《质量管理体系认证证书》；</w:t>
            </w:r>
          </w:p>
          <w:p>
            <w:pPr>
              <w:spacing w:line="360" w:lineRule="auto"/>
              <w:rPr>
                <w:rFonts w:hint="eastAsia" w:asciiTheme="minorEastAsia" w:hAnsiTheme="minorEastAsia"/>
                <w:szCs w:val="21"/>
                <w:lang w:val="zh-CN"/>
              </w:rPr>
            </w:pPr>
            <w:r>
              <w:rPr>
                <w:rFonts w:hint="eastAsia" w:asciiTheme="minorEastAsia" w:hAnsiTheme="minorEastAsia"/>
                <w:szCs w:val="21"/>
                <w:lang w:val="zh-CN"/>
              </w:rPr>
              <w:t>3、投标人具有《环境管理体系认证证书》。</w:t>
            </w:r>
          </w:p>
          <w:p>
            <w:pPr>
              <w:spacing w:line="360" w:lineRule="auto"/>
              <w:rPr>
                <w:rFonts w:hint="eastAsia" w:asciiTheme="minorEastAsia" w:hAnsiTheme="minorEastAsia"/>
                <w:szCs w:val="21"/>
                <w:lang w:val="zh-CN"/>
              </w:rPr>
            </w:pPr>
            <w:r>
              <w:rPr>
                <w:rFonts w:hint="eastAsia" w:asciiTheme="minorEastAsia" w:hAnsiTheme="minorEastAsia"/>
                <w:szCs w:val="21"/>
                <w:lang w:val="zh-CN"/>
              </w:rPr>
              <w:t>以上证书需在中国认证认可监督管理委员会（http://www.cnca.gov.cn/中的认证认可业务信息统一查询平台）网站上查询的网页打印件（应有该网页网址）且认证证书所覆盖范围包含图书防盗设备、计算机应用软件开发，每提供一项得</w:t>
            </w:r>
            <w:r>
              <w:rPr>
                <w:rFonts w:hint="eastAsia" w:asciiTheme="minorEastAsia" w:hAnsiTheme="minorEastAsia"/>
                <w:szCs w:val="21"/>
              </w:rPr>
              <w:t>3</w:t>
            </w:r>
            <w:r>
              <w:rPr>
                <w:rFonts w:hint="eastAsia" w:asciiTheme="minorEastAsia" w:hAnsiTheme="minorEastAsia"/>
                <w:szCs w:val="21"/>
                <w:lang w:val="zh-CN"/>
              </w:rPr>
              <w:t>分，满分</w:t>
            </w:r>
            <w:r>
              <w:rPr>
                <w:rFonts w:hint="eastAsia" w:asciiTheme="minorEastAsia" w:hAnsiTheme="minorEastAsia"/>
                <w:szCs w:val="21"/>
              </w:rPr>
              <w:t>9</w:t>
            </w:r>
            <w:r>
              <w:rPr>
                <w:rFonts w:hint="eastAsia" w:asciiTheme="minorEastAsia" w:hAnsiTheme="minorEastAsia"/>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napToGrid w:val="0"/>
              <w:spacing w:beforeLines="50"/>
              <w:jc w:val="center"/>
              <w:rPr>
                <w:rFonts w:hint="eastAsia" w:ascii="宋体" w:hAnsi="宋体" w:eastAsia="宋体" w:cs="Times New Roman"/>
                <w:szCs w:val="21"/>
                <w:lang w:eastAsia="zh-CN"/>
              </w:rPr>
            </w:pPr>
            <w:r>
              <w:rPr>
                <w:rFonts w:hint="eastAsia" w:ascii="宋体" w:hAnsi="宋体" w:eastAsia="宋体" w:cs="Times New Roman"/>
                <w:szCs w:val="21"/>
                <w:lang w:eastAsia="zh-CN"/>
              </w:rPr>
              <w:t>信誉</w:t>
            </w:r>
          </w:p>
          <w:p>
            <w:pPr>
              <w:snapToGrid w:val="0"/>
              <w:spacing w:beforeLines="50"/>
              <w:jc w:val="center"/>
              <w:rPr>
                <w:rFonts w:hint="eastAsia" w:ascii="宋体" w:hAnsi="宋体" w:eastAsia="宋体" w:cs="Times New Roman"/>
                <w:szCs w:val="21"/>
                <w:lang w:eastAsia="zh-CN"/>
              </w:rPr>
            </w:pPr>
            <w:r>
              <w:rPr>
                <w:rFonts w:hint="eastAsia" w:ascii="宋体" w:hAnsi="宋体" w:eastAsia="宋体" w:cs="Times New Roman"/>
                <w:szCs w:val="21"/>
                <w:lang w:eastAsia="zh-CN"/>
              </w:rPr>
              <w:t>（</w:t>
            </w:r>
            <w:r>
              <w:rPr>
                <w:rFonts w:hint="eastAsia" w:eastAsia="宋体" w:asciiTheme="minorEastAsia" w:hAnsiTheme="minorEastAsia"/>
                <w:color w:val="FF0000"/>
                <w:szCs w:val="21"/>
                <w:u w:val="single"/>
                <w:lang w:val="en-US" w:eastAsia="zh-CN"/>
              </w:rPr>
              <w:t>3</w:t>
            </w:r>
            <w:r>
              <w:rPr>
                <w:rFonts w:hint="eastAsia" w:ascii="宋体" w:hAnsi="宋体" w:eastAsia="宋体" w:cs="Times New Roman"/>
                <w:szCs w:val="21"/>
              </w:rPr>
              <w:t>分</w:t>
            </w:r>
            <w:r>
              <w:rPr>
                <w:rFonts w:hint="eastAsia" w:ascii="宋体" w:hAnsi="宋体" w:eastAsia="宋体" w:cs="Times New Roman"/>
                <w:szCs w:val="21"/>
                <w:lang w:eastAsia="zh-CN"/>
              </w:rPr>
              <w:t>）</w:t>
            </w:r>
          </w:p>
        </w:tc>
        <w:tc>
          <w:tcPr>
            <w:tcW w:w="6095" w:type="dxa"/>
            <w:vAlign w:val="center"/>
          </w:tcPr>
          <w:p>
            <w:pPr>
              <w:spacing w:line="360" w:lineRule="auto"/>
              <w:rPr>
                <w:rFonts w:hint="eastAsia" w:asciiTheme="minorEastAsia" w:hAnsiTheme="minorEastAsia"/>
                <w:szCs w:val="21"/>
                <w:lang w:val="zh-CN"/>
              </w:rPr>
            </w:pPr>
            <w:r>
              <w:rPr>
                <w:rFonts w:hint="eastAsia" w:asciiTheme="minorEastAsia" w:hAnsiTheme="minorEastAsia"/>
                <w:szCs w:val="21"/>
                <w:lang w:val="zh-CN"/>
              </w:rPr>
              <w:t>投标人提供 2016年1月1日以来有效的企业信用报告,等级为AAA级的得3分；AA 级的得1分；A 级的得0.5分。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4"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技术部分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26</w:t>
            </w:r>
            <w:r>
              <w:rPr>
                <w:rFonts w:hint="eastAsia" w:ascii="宋体" w:hAnsi="宋体" w:eastAsia="宋体" w:cs="宋体"/>
                <w:szCs w:val="21"/>
              </w:rPr>
              <w:t>分）</w:t>
            </w:r>
          </w:p>
        </w:tc>
        <w:tc>
          <w:tcPr>
            <w:tcW w:w="1560" w:type="dxa"/>
            <w:tcBorders>
              <w:right w:val="single" w:color="auto" w:sz="4" w:space="0"/>
            </w:tcBorders>
            <w:vAlign w:val="center"/>
          </w:tcPr>
          <w:p>
            <w:pPr>
              <w:widowControl/>
              <w:snapToGrid w:val="0"/>
              <w:spacing w:beforeLines="50"/>
              <w:jc w:val="center"/>
              <w:rPr>
                <w:rFonts w:hint="eastAsia" w:ascii="宋体" w:hAnsi="宋体" w:eastAsia="宋体" w:cs="Times New Roman"/>
                <w:szCs w:val="21"/>
                <w:lang w:eastAsia="zh-CN"/>
              </w:rPr>
            </w:pPr>
            <w:r>
              <w:rPr>
                <w:rFonts w:hint="eastAsia" w:ascii="宋体" w:hAnsi="宋体" w:eastAsia="宋体" w:cs="Times New Roman"/>
                <w:szCs w:val="21"/>
                <w:lang w:eastAsia="zh-CN"/>
              </w:rPr>
              <w:t>检测报告</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6</w:t>
            </w:r>
            <w:r>
              <w:rPr>
                <w:rFonts w:hint="eastAsia" w:ascii="宋体" w:hAnsi="宋体" w:eastAsia="宋体" w:cs="Times New Roman"/>
                <w:szCs w:val="21"/>
              </w:rPr>
              <w:t>分）</w:t>
            </w:r>
          </w:p>
        </w:tc>
        <w:tc>
          <w:tcPr>
            <w:tcW w:w="6095" w:type="dxa"/>
            <w:tcBorders>
              <w:right w:val="single" w:color="auto" w:sz="4" w:space="0"/>
            </w:tcBorders>
            <w:vAlign w:val="center"/>
          </w:tcPr>
          <w:p>
            <w:pPr>
              <w:spacing w:line="360" w:lineRule="auto"/>
              <w:rPr>
                <w:rFonts w:hint="eastAsia" w:asciiTheme="minorEastAsia" w:hAnsiTheme="minorEastAsia"/>
                <w:szCs w:val="21"/>
                <w:lang w:val="zh-CN"/>
              </w:rPr>
            </w:pPr>
            <w:r>
              <w:rPr>
                <w:rFonts w:hint="eastAsia" w:asciiTheme="minorEastAsia" w:hAnsiTheme="minorEastAsia"/>
                <w:szCs w:val="21"/>
                <w:lang w:val="zh-CN"/>
              </w:rPr>
              <w:t>1、提供第三方质量检测部门出具的RFID智能门禁系统测试报告得2分</w:t>
            </w:r>
          </w:p>
          <w:p>
            <w:pPr>
              <w:spacing w:line="360" w:lineRule="auto"/>
              <w:rPr>
                <w:rFonts w:hint="eastAsia" w:asciiTheme="minorEastAsia" w:hAnsiTheme="minorEastAsia"/>
                <w:szCs w:val="21"/>
                <w:lang w:val="zh-CN"/>
              </w:rPr>
            </w:pPr>
            <w:r>
              <w:rPr>
                <w:rFonts w:hint="eastAsia" w:asciiTheme="minorEastAsia" w:hAnsiTheme="minorEastAsia"/>
                <w:szCs w:val="21"/>
                <w:lang w:val="zh-CN"/>
              </w:rPr>
              <w:t>2、提供第三方质量检测部门出具的人员流量统计应用系统测试报告得2分。</w:t>
            </w:r>
          </w:p>
          <w:p>
            <w:pPr>
              <w:spacing w:line="360" w:lineRule="auto"/>
              <w:rPr>
                <w:rFonts w:hint="eastAsia" w:asciiTheme="minorEastAsia" w:hAnsiTheme="minorEastAsia"/>
                <w:szCs w:val="21"/>
                <w:lang w:val="zh-CN"/>
              </w:rPr>
            </w:pPr>
            <w:r>
              <w:rPr>
                <w:rFonts w:hint="eastAsia" w:asciiTheme="minorEastAsia" w:hAnsiTheme="minorEastAsia"/>
                <w:szCs w:val="21"/>
                <w:lang w:val="zh-CN"/>
              </w:rPr>
              <w:t>3、提供第三方质量检测部门出具的馆情展示系统测试报告得2分。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center"/>
          </w:tcPr>
          <w:p>
            <w:pPr>
              <w:snapToGrid w:val="0"/>
              <w:spacing w:beforeLines="50"/>
              <w:rPr>
                <w:rFonts w:ascii="宋体" w:hAnsi="宋体" w:eastAsia="宋体" w:cs="宋体"/>
                <w:szCs w:val="21"/>
              </w:rPr>
            </w:pPr>
          </w:p>
        </w:tc>
        <w:tc>
          <w:tcPr>
            <w:tcW w:w="1560" w:type="dxa"/>
            <w:tcBorders>
              <w:right w:val="single" w:color="auto" w:sz="4" w:space="0"/>
            </w:tcBorders>
            <w:vAlign w:val="center"/>
          </w:tcPr>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lang w:eastAsia="zh-CN"/>
              </w:rPr>
              <w:t>实施</w:t>
            </w:r>
            <w:r>
              <w:rPr>
                <w:rFonts w:hint="eastAsia" w:ascii="宋体" w:hAnsi="宋体" w:eastAsia="宋体" w:cs="Times New Roman"/>
                <w:szCs w:val="21"/>
              </w:rPr>
              <w:t>方案</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20</w:t>
            </w:r>
            <w:r>
              <w:rPr>
                <w:rFonts w:hint="eastAsia" w:ascii="宋体" w:hAnsi="宋体" w:eastAsia="宋体" w:cs="Times New Roman"/>
                <w:szCs w:val="21"/>
              </w:rPr>
              <w:t>分）</w:t>
            </w:r>
          </w:p>
        </w:tc>
        <w:tc>
          <w:tcPr>
            <w:tcW w:w="6095" w:type="dxa"/>
            <w:tcBorders>
              <w:bottom w:val="single" w:color="auto" w:sz="4" w:space="0"/>
              <w:right w:val="single" w:color="auto" w:sz="4" w:space="0"/>
            </w:tcBorders>
            <w:vAlign w:val="center"/>
          </w:tcPr>
          <w:p>
            <w:pPr>
              <w:spacing w:line="360" w:lineRule="auto"/>
              <w:rPr>
                <w:rFonts w:hint="eastAsia" w:asciiTheme="minorEastAsia" w:hAnsiTheme="minorEastAsia"/>
                <w:szCs w:val="21"/>
                <w:lang w:val="zh-CN"/>
              </w:rPr>
            </w:pPr>
            <w:r>
              <w:rPr>
                <w:rFonts w:hint="eastAsia" w:asciiTheme="minorEastAsia" w:hAnsiTheme="minorEastAsia"/>
                <w:szCs w:val="21"/>
                <w:lang w:val="zh-CN"/>
              </w:rPr>
              <w:t>对本项目的现状、业务需求、系统功能要求等方面进行评比：</w:t>
            </w:r>
          </w:p>
          <w:p>
            <w:pPr>
              <w:spacing w:line="360" w:lineRule="auto"/>
              <w:rPr>
                <w:rFonts w:hint="eastAsia" w:asciiTheme="minorEastAsia" w:hAnsiTheme="minorEastAsia"/>
                <w:szCs w:val="21"/>
                <w:lang w:val="zh-CN"/>
              </w:rPr>
            </w:pPr>
            <w:r>
              <w:rPr>
                <w:rFonts w:hint="eastAsia" w:asciiTheme="minorEastAsia" w:hAnsiTheme="minorEastAsia"/>
                <w:szCs w:val="21"/>
                <w:lang w:val="zh-CN"/>
              </w:rPr>
              <w:t>1.对支付宝，微信扫码借还功能模块，以及空间智能门禁系统、新风系统、馆情展示系统对许昌市图书馆现使用的设备的兼容的安全性、稳定性、科学性等进行详细描述的得10分，</w:t>
            </w:r>
            <w:r>
              <w:rPr>
                <w:rFonts w:hint="eastAsia" w:asciiTheme="minorEastAsia" w:hAnsiTheme="minorEastAsia"/>
                <w:szCs w:val="21"/>
                <w:lang w:val="zh-CN" w:eastAsia="zh-CN"/>
              </w:rPr>
              <w:t>仅进行</w:t>
            </w:r>
            <w:r>
              <w:rPr>
                <w:rFonts w:hint="eastAsia" w:asciiTheme="minorEastAsia" w:hAnsiTheme="minorEastAsia"/>
                <w:szCs w:val="21"/>
                <w:lang w:val="zh-CN"/>
              </w:rPr>
              <w:t>简单描述的得5分，没有相关描述的不得分。</w:t>
            </w:r>
          </w:p>
          <w:p>
            <w:pPr>
              <w:spacing w:line="360" w:lineRule="auto"/>
              <w:rPr>
                <w:rFonts w:hint="eastAsia" w:asciiTheme="minorEastAsia" w:hAnsiTheme="minorEastAsia"/>
                <w:szCs w:val="21"/>
                <w:lang w:val="zh-CN"/>
              </w:rPr>
            </w:pPr>
            <w:r>
              <w:rPr>
                <w:rFonts w:hint="eastAsia" w:asciiTheme="minorEastAsia" w:hAnsiTheme="minorEastAsia"/>
                <w:szCs w:val="21"/>
                <w:lang w:val="zh-CN"/>
              </w:rPr>
              <w:t>2.施工进度计划，工程总体进度计划的合理性，科学性及可靠度;工期保证措施;提供劳动力及工程进度计划中应详细列出每阶段配备的项目管理机构人员数量，以及配备劳动力数量等进行详细描述的得10分，</w:t>
            </w:r>
            <w:r>
              <w:rPr>
                <w:rFonts w:hint="eastAsia" w:asciiTheme="minorEastAsia" w:hAnsiTheme="minorEastAsia"/>
                <w:szCs w:val="21"/>
                <w:lang w:val="zh-CN" w:eastAsia="zh-CN"/>
              </w:rPr>
              <w:t>仅进行</w:t>
            </w:r>
            <w:r>
              <w:rPr>
                <w:rFonts w:hint="eastAsia" w:asciiTheme="minorEastAsia" w:hAnsiTheme="minorEastAsia"/>
                <w:szCs w:val="21"/>
                <w:lang w:val="zh-CN"/>
              </w:rPr>
              <w:t>简单描述的得5分，没有相关描述的不得分。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18</w:t>
            </w:r>
            <w:r>
              <w:rPr>
                <w:rFonts w:hint="eastAsia" w:ascii="宋体" w:hAnsi="宋体" w:eastAsia="宋体" w:cs="宋体"/>
                <w:szCs w:val="21"/>
              </w:rPr>
              <w:t>分）</w:t>
            </w:r>
          </w:p>
        </w:tc>
        <w:tc>
          <w:tcPr>
            <w:tcW w:w="1560" w:type="dxa"/>
            <w:tcBorders>
              <w:top w:val="single" w:color="auto" w:sz="4" w:space="0"/>
              <w:left w:val="single" w:color="auto" w:sz="4" w:space="0"/>
              <w:right w:val="single" w:color="auto" w:sz="4" w:space="0"/>
            </w:tcBorders>
            <w:vAlign w:val="center"/>
          </w:tcPr>
          <w:p>
            <w:pPr>
              <w:snapToGrid w:val="0"/>
              <w:spacing w:beforeLines="50"/>
              <w:jc w:val="center"/>
              <w:rPr>
                <w:rFonts w:ascii="宋体" w:hAnsi="宋体" w:eastAsia="宋体" w:cs="宋体"/>
                <w:szCs w:val="21"/>
              </w:rPr>
            </w:pPr>
            <w:bookmarkStart w:id="5" w:name="_Hlk535157568"/>
            <w:r>
              <w:rPr>
                <w:rFonts w:hint="eastAsia" w:ascii="宋体" w:hAnsi="宋体" w:eastAsia="宋体" w:cs="宋体"/>
                <w:szCs w:val="21"/>
              </w:rPr>
              <w:t>售后服务</w:t>
            </w:r>
            <w:bookmarkEnd w:id="5"/>
          </w:p>
          <w:p>
            <w:pPr>
              <w:snapToGrid w:val="0"/>
              <w:spacing w:beforeLines="50"/>
              <w:jc w:val="center"/>
              <w:rPr>
                <w:rFonts w:ascii="宋体" w:hAnsi="宋体" w:eastAsia="宋体" w:cs="Times New Roman"/>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15</w:t>
            </w:r>
            <w:r>
              <w:rPr>
                <w:rFonts w:hint="eastAsia" w:ascii="宋体" w:hAnsi="宋体" w:eastAsia="宋体" w:cs="宋体"/>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szCs w:val="21"/>
                <w:lang w:val="zh-CN" w:eastAsia="zh-CN"/>
              </w:rPr>
            </w:pPr>
            <w:r>
              <w:rPr>
                <w:rFonts w:hint="eastAsia" w:asciiTheme="minorEastAsia" w:hAnsiTheme="minorEastAsia"/>
                <w:szCs w:val="21"/>
                <w:lang w:val="zh-CN"/>
              </w:rPr>
              <w:t>1、投标人有完善的售后服务方案，包括切实可行的售后服务季后以及服务承诺得4分</w:t>
            </w:r>
            <w:r>
              <w:rPr>
                <w:rFonts w:hint="eastAsia" w:asciiTheme="minorEastAsia" w:hAnsiTheme="minorEastAsia"/>
                <w:szCs w:val="21"/>
                <w:lang w:val="zh-CN" w:eastAsia="zh-CN"/>
              </w:rPr>
              <w:t>；</w:t>
            </w:r>
          </w:p>
          <w:p>
            <w:pPr>
              <w:spacing w:line="360" w:lineRule="auto"/>
              <w:rPr>
                <w:rFonts w:hint="eastAsia" w:asciiTheme="minorEastAsia" w:hAnsiTheme="minorEastAsia"/>
                <w:szCs w:val="21"/>
                <w:lang w:val="zh-CN"/>
              </w:rPr>
            </w:pPr>
            <w:r>
              <w:rPr>
                <w:rFonts w:hint="eastAsia" w:asciiTheme="minorEastAsia" w:hAnsiTheme="minorEastAsia"/>
                <w:szCs w:val="21"/>
                <w:lang w:val="zh-CN"/>
              </w:rPr>
              <w:t>2、解决问题时间以小时为单位，以4小时为起点，每减少1小时得2分，满分6分；</w:t>
            </w:r>
          </w:p>
          <w:p>
            <w:pPr>
              <w:spacing w:line="360" w:lineRule="auto"/>
              <w:rPr>
                <w:rFonts w:hint="eastAsia" w:asciiTheme="minorEastAsia" w:hAnsiTheme="minorEastAsia"/>
                <w:szCs w:val="21"/>
                <w:lang w:val="zh-CN"/>
              </w:rPr>
            </w:pPr>
            <w:r>
              <w:rPr>
                <w:rFonts w:hint="eastAsia" w:asciiTheme="minorEastAsia" w:hAnsiTheme="minorEastAsia"/>
                <w:szCs w:val="21"/>
                <w:lang w:val="zh-CN"/>
              </w:rPr>
              <w:t xml:space="preserve">3、免费保修时间以年为单位，以1年为起点，基础分1分，每增加1年得2分，满分5分。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tcPr>
          <w:p>
            <w:pPr>
              <w:snapToGrid w:val="0"/>
              <w:spacing w:beforeLines="50"/>
              <w:rPr>
                <w:rFonts w:ascii="宋体" w:hAnsi="宋体" w:eastAsia="宋体" w:cs="Times New Roman"/>
                <w:szCs w:val="21"/>
              </w:rPr>
            </w:pPr>
          </w:p>
        </w:tc>
        <w:tc>
          <w:tcPr>
            <w:tcW w:w="1560" w:type="dxa"/>
            <w:tcBorders>
              <w:left w:val="single" w:color="auto" w:sz="4" w:space="0"/>
              <w:right w:val="single" w:color="auto" w:sz="4" w:space="0"/>
            </w:tcBorders>
            <w:vAlign w:val="center"/>
          </w:tcPr>
          <w:p>
            <w:pPr>
              <w:snapToGrid w:val="0"/>
              <w:spacing w:beforeLines="50"/>
              <w:jc w:val="center"/>
              <w:rPr>
                <w:rFonts w:ascii="宋体" w:hAnsi="宋体" w:eastAsia="宋体" w:cs="Times New Roman"/>
                <w:szCs w:val="21"/>
              </w:rPr>
            </w:pPr>
            <w:r>
              <w:rPr>
                <w:rFonts w:hint="eastAsia" w:ascii="宋体" w:hAnsi="宋体" w:eastAsia="宋体" w:cs="Times New Roman"/>
                <w:szCs w:val="21"/>
              </w:rPr>
              <w:t>投标文件编制</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3</w:t>
            </w:r>
            <w:r>
              <w:rPr>
                <w:rFonts w:hint="eastAsia" w:ascii="宋体" w:hAnsi="宋体" w:eastAsia="宋体" w:cs="Times New Roman"/>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szCs w:val="21"/>
                <w:lang w:val="zh-CN"/>
              </w:rPr>
            </w:pPr>
            <w:r>
              <w:rPr>
                <w:rFonts w:hint="eastAsia" w:asciiTheme="minorEastAsia" w:hAnsiTheme="minorEastAsia"/>
                <w:szCs w:val="21"/>
                <w:lang w:val="zh-CN"/>
              </w:rPr>
              <w:t>1、投标文件排版规范、图文清晰得2分，否则不得分；</w:t>
            </w:r>
          </w:p>
          <w:p>
            <w:pPr>
              <w:spacing w:line="360" w:lineRule="auto"/>
              <w:rPr>
                <w:rFonts w:hint="eastAsia" w:asciiTheme="minorEastAsia" w:hAnsiTheme="minorEastAsia"/>
                <w:szCs w:val="21"/>
                <w:lang w:val="zh-CN"/>
              </w:rPr>
            </w:pPr>
            <w:r>
              <w:rPr>
                <w:rFonts w:hint="eastAsia" w:asciiTheme="minorEastAsia" w:hAnsiTheme="minorEastAsia"/>
                <w:szCs w:val="21"/>
                <w:lang w:val="zh-CN"/>
              </w:rPr>
              <w:t>2、所提供资料准确完整，无差错得1分，否则不得分。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color w:val="FF0000"/>
          <w:szCs w:val="21"/>
          <w:lang w:val="en-GB"/>
        </w:rPr>
      </w:pPr>
      <w:r>
        <w:rPr>
          <w:rFonts w:hint="eastAsia" w:ascii="宋体" w:hAnsi="宋体"/>
          <w:bCs/>
          <w:color w:val="FF0000"/>
          <w:szCs w:val="21"/>
          <w:lang w:val="en-GB"/>
        </w:rPr>
        <w:t>备注：</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a、不接受联合体投标的项目，本表中第2项、第3项情形不适用。</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lang w:val="en-GB"/>
        </w:rPr>
        <w:t>b、小型</w:t>
      </w:r>
      <w:r>
        <w:rPr>
          <w:rFonts w:hint="eastAsia" w:ascii="宋体" w:hAnsi="宋体"/>
          <w:bCs/>
          <w:color w:val="FF0000"/>
          <w:szCs w:val="21"/>
          <w:highlight w:val="none"/>
          <w:lang w:val="en-GB"/>
        </w:rPr>
        <w:t>和微型企业产品包括货物及其提供的服务与工程。</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highlight w:val="none"/>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highlight w:val="none"/>
          <w:lang w:val="en-GB"/>
        </w:rPr>
        <w:t>d、残疾人福利性单位属于小型、微型企业的，不重复享受政策。</w:t>
      </w:r>
    </w:p>
    <w:p>
      <w:pPr>
        <w:spacing w:line="360" w:lineRule="auto"/>
        <w:ind w:firstLine="420" w:firstLineChars="200"/>
        <w:rPr>
          <w:rFonts w:ascii="宋体" w:hAnsi="宋体"/>
          <w:bCs/>
          <w:color w:val="FF0000"/>
          <w:szCs w:val="21"/>
          <w:highlight w:val="none"/>
          <w:lang w:val="en-GB"/>
        </w:rPr>
      </w:pPr>
      <w:r>
        <w:rPr>
          <w:rFonts w:ascii="宋体" w:hAnsi="宋体"/>
          <w:bCs/>
          <w:color w:val="FF0000"/>
          <w:szCs w:val="21"/>
          <w:highlight w:val="none"/>
          <w:lang w:val="en-GB"/>
        </w:rPr>
        <w:t>E</w:t>
      </w:r>
      <w:r>
        <w:rPr>
          <w:rFonts w:hint="eastAsia" w:ascii="宋体" w:hAnsi="宋体"/>
          <w:bCs/>
          <w:color w:val="FF0000"/>
          <w:szCs w:val="21"/>
          <w:highlight w:val="none"/>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cs="仿宋_GB2312" w:asciiTheme="minorEastAsia" w:hAnsiTheme="minorEastAsia"/>
          <w:szCs w:val="21"/>
          <w:lang w:val="zh-CN"/>
        </w:rPr>
        <w:t>投标人对本条第一款情形提出质疑的，采购人或者采购代理机构可以组织原评标委员会进行</w:t>
      </w:r>
      <w:r>
        <w:rPr>
          <w:rFonts w:cs="仿宋_GB2312" w:asciiTheme="minorEastAsia" w:hAnsiTheme="minorEastAsia"/>
          <w:szCs w:val="21"/>
          <w:highlight w:val="none"/>
          <w:lang w:val="zh-CN"/>
        </w:rPr>
        <w:t>重新评审，重新评审改变评标结果的，应当书面报告本级财政部门。</w:t>
      </w:r>
    </w:p>
    <w:p>
      <w:pPr>
        <w:wordWrap w:val="0"/>
        <w:spacing w:line="360" w:lineRule="auto"/>
        <w:ind w:firstLine="422" w:firstLineChars="200"/>
        <w:contextualSpacing/>
        <w:rPr>
          <w:rFonts w:cs="仿宋_GB2312" w:asciiTheme="minorEastAsia" w:hAnsiTheme="minorEastAsia"/>
          <w:szCs w:val="21"/>
          <w:highlight w:val="none"/>
          <w:lang w:val="zh-CN"/>
        </w:rPr>
      </w:pPr>
      <w:r>
        <w:rPr>
          <w:rFonts w:hint="eastAsia" w:cs="仿宋_GB2312" w:asciiTheme="minorEastAsia" w:hAnsiTheme="minorEastAsia"/>
          <w:b/>
          <w:bCs/>
          <w:szCs w:val="21"/>
          <w:highlight w:val="none"/>
          <w:lang w:val="zh-CN"/>
        </w:rPr>
        <w:t>（8）按照《关于推进全流程电子化交易和在线监管工作有关问题的通知》（许公管办[2019]3号）规定：</w:t>
      </w:r>
      <w:r>
        <w:rPr>
          <w:rFonts w:hint="eastAsia" w:cs="仿宋_GB2312" w:asciiTheme="minorEastAsia" w:hAnsiTheme="minorEastAsia"/>
          <w:szCs w:val="21"/>
          <w:highlight w:val="none"/>
          <w:lang w:val="zh-CN"/>
        </w:rPr>
        <w:t>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w:t>
      </w:r>
      <w:r>
        <w:rPr>
          <w:rFonts w:hint="eastAsia" w:cs="仿宋_GB2312" w:asciiTheme="minorEastAsia" w:hAnsiTheme="minorEastAsia"/>
          <w:b/>
          <w:szCs w:val="21"/>
          <w:lang w:val="en-US" w:eastAsia="zh-CN"/>
        </w:rPr>
        <w:t>9</w:t>
      </w:r>
      <w:r>
        <w:rPr>
          <w:rFonts w:hint="eastAsia" w:cs="仿宋_GB2312" w:asciiTheme="minorEastAsia" w:hAnsiTheme="minorEastAsia"/>
          <w:b/>
          <w:szCs w:val="21"/>
          <w:lang w:val="zh-CN"/>
        </w:rPr>
        <w:t>）</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3"/>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0"/>
        <w:spacing w:before="75" w:after="75" w:line="360" w:lineRule="auto"/>
        <w:rPr>
          <w:rFonts w:hint="eastAsia" w:ascii="宋体" w:hAnsi="宋体" w:eastAsia="微软雅黑"/>
          <w:color w:val="000000"/>
          <w:highlight w:val="none"/>
          <w:u w:val="single"/>
        </w:rPr>
      </w:pP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0"/>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1"/>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6" w:name="_Toc184023138"/>
      <w:bookmarkStart w:id="7" w:name="_Toc174185203"/>
      <w:bookmarkStart w:id="8" w:name="_Toc186274126"/>
      <w:r>
        <w:rPr>
          <w:rFonts w:hint="eastAsia" w:cs="黑体" w:asciiTheme="minorEastAsia" w:hAnsiTheme="minorEastAsia" w:eastAsiaTheme="minorEastAsia"/>
          <w:color w:val="auto"/>
          <w:kern w:val="2"/>
          <w:sz w:val="28"/>
          <w:szCs w:val="28"/>
          <w:lang w:val="zh-CN"/>
        </w:rPr>
        <w:t>一、投标人应答索引表</w:t>
      </w:r>
      <w:bookmarkEnd w:id="6"/>
      <w:bookmarkEnd w:id="7"/>
      <w:bookmarkEnd w:id="8"/>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asciiTheme="majorEastAsia" w:hAnsiTheme="majorEastAsia" w:eastAsiaTheme="majorEastAsia" w:cstheme="majorEastAsia"/>
                <w:bCs/>
                <w:sz w:val="21"/>
                <w:szCs w:val="21"/>
                <w:highlight w:val="none"/>
                <w:lang w:val="zh-CN"/>
              </w:rPr>
              <w:t>法定代表人（单位负责人）</w:t>
            </w:r>
            <w:r>
              <w:rPr>
                <w:rFonts w:asciiTheme="majorEastAsia" w:hAnsiTheme="majorEastAsia" w:eastAsiaTheme="majorEastAsia" w:cstheme="majorEastAsia"/>
                <w:bCs/>
                <w:sz w:val="21"/>
                <w:szCs w:val="21"/>
                <w:highlight w:val="none"/>
                <w:lang w:val="zh-CN"/>
              </w:rPr>
              <w:t>资</w:t>
            </w:r>
            <w:r>
              <w:rPr>
                <w:rFonts w:hint="eastAsia" w:asciiTheme="majorEastAsia" w:hAnsiTheme="majorEastAsia" w:eastAsiaTheme="majorEastAsia" w:cstheme="majorEastAsia"/>
                <w:bCs/>
                <w:sz w:val="21"/>
                <w:szCs w:val="21"/>
                <w:highlight w:val="none"/>
                <w:lang w:val="zh-CN"/>
              </w:rPr>
              <w:t>格</w:t>
            </w:r>
            <w:r>
              <w:rPr>
                <w:rFonts w:asciiTheme="majorEastAsia" w:hAnsiTheme="majorEastAsia" w:eastAsiaTheme="majorEastAsia" w:cstheme="majorEastAsia"/>
                <w:bCs/>
                <w:sz w:val="21"/>
                <w:szCs w:val="21"/>
                <w:highlight w:val="none"/>
                <w:lang w:val="zh-CN"/>
              </w:rPr>
              <w:t>证</w:t>
            </w:r>
            <w:r>
              <w:rPr>
                <w:rFonts w:hint="eastAsia" w:asciiTheme="majorEastAsia" w:hAnsiTheme="majorEastAsia" w:eastAsiaTheme="majorEastAsia" w:cstheme="majorEastAsia"/>
                <w:bCs/>
                <w:sz w:val="21"/>
                <w:szCs w:val="21"/>
                <w:highlight w:val="none"/>
                <w:lang w:val="zh-CN"/>
              </w:rPr>
              <w:t>明</w:t>
            </w:r>
            <w:r>
              <w:rPr>
                <w:rFonts w:asciiTheme="majorEastAsia" w:hAnsiTheme="majorEastAsia" w:eastAsiaTheme="majorEastAsia" w:cstheme="majorEastAsia"/>
                <w:bCs/>
                <w:sz w:val="21"/>
                <w:szCs w:val="21"/>
                <w:highlight w:val="none"/>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hAnsi="宋体"/>
                <w:kern w:val="0"/>
                <w:sz w:val="21"/>
                <w:szCs w:val="21"/>
                <w:highlight w:val="none"/>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asciiTheme="minorEastAsia" w:hAnsiTheme="minorEastAsia"/>
                <w:bCs/>
                <w:sz w:val="21"/>
                <w:szCs w:val="21"/>
                <w:highlight w:val="none"/>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asciiTheme="majorEastAsia" w:hAnsiTheme="majorEastAsia" w:eastAsiaTheme="majorEastAsia" w:cstheme="majorEastAsia"/>
                <w:bCs/>
                <w:sz w:val="21"/>
                <w:szCs w:val="21"/>
                <w:highlight w:val="none"/>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仿宋_GB2312" w:asciiTheme="minorEastAsia" w:hAnsiTheme="minorEastAsia"/>
                <w:sz w:val="21"/>
                <w:szCs w:val="21"/>
                <w:highlight w:val="none"/>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highlight w:val="none"/>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highlight w:val="none"/>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highlight w:val="none"/>
                <w:lang w:val="en-US" w:eastAsia="zh-CN"/>
              </w:rPr>
            </w:pPr>
            <w:r>
              <w:rPr>
                <w:rFonts w:hint="eastAsia" w:ascii="宋体" w:hAnsi="宋体" w:cs="微软雅黑"/>
                <w:szCs w:val="21"/>
                <w:highlight w:val="none"/>
                <w:lang w:val="en-US" w:eastAsia="zh-CN"/>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highlight w:val="none"/>
              </w:rPr>
            </w:pPr>
            <w:r>
              <w:rPr>
                <w:rFonts w:cs="宋体" w:asciiTheme="minorEastAsia" w:hAnsiTheme="minorEastAsia"/>
                <w:kern w:val="0"/>
                <w:sz w:val="21"/>
                <w:szCs w:val="21"/>
                <w:highlight w:val="none"/>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宋体" w:asciiTheme="minorEastAsia" w:hAnsiTheme="minorEastAsia"/>
                <w:kern w:val="0"/>
                <w:sz w:val="21"/>
                <w:szCs w:val="21"/>
                <w:highlight w:val="none"/>
              </w:rPr>
              <w:t>认证机构颁发的认证证书</w:t>
            </w:r>
          </w:p>
        </w:tc>
        <w:tc>
          <w:tcPr>
            <w:tcW w:w="1559" w:type="dxa"/>
            <w:vAlign w:val="center"/>
          </w:tcPr>
          <w:p>
            <w:pPr>
              <w:pStyle w:val="13"/>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highlight w:val="none"/>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宋体" w:asciiTheme="minorEastAsia" w:hAnsiTheme="minorEastAsia"/>
                <w:kern w:val="0"/>
                <w:sz w:val="21"/>
                <w:szCs w:val="21"/>
                <w:highlight w:val="none"/>
              </w:rPr>
              <w:t>中国信息安全认证中心官网产品查询结果截图</w:t>
            </w:r>
          </w:p>
        </w:tc>
        <w:tc>
          <w:tcPr>
            <w:tcW w:w="1559" w:type="dxa"/>
            <w:vAlign w:val="center"/>
          </w:tcPr>
          <w:p>
            <w:pPr>
              <w:pStyle w:val="13"/>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highlight w:val="none"/>
                <w:lang w:val="en-US" w:eastAsia="zh-CN"/>
              </w:rPr>
            </w:pPr>
            <w:r>
              <w:rPr>
                <w:rFonts w:hint="eastAsia" w:ascii="宋体" w:hAnsi="宋体" w:cs="微软雅黑"/>
                <w:szCs w:val="21"/>
                <w:highlight w:val="none"/>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其它资料</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③本表序号2</w:t>
      </w:r>
      <w:r>
        <w:rPr>
          <w:rFonts w:hint="eastAsia" w:ascii="楷体" w:hAnsi="楷体" w:eastAsia="楷体"/>
          <w:color w:val="000000"/>
          <w:sz w:val="24"/>
          <w:szCs w:val="24"/>
          <w:highlight w:val="none"/>
          <w:lang w:val="en-US" w:eastAsia="zh-CN"/>
        </w:rPr>
        <w:t>6</w:t>
      </w:r>
      <w:r>
        <w:rPr>
          <w:rFonts w:hint="eastAsia" w:ascii="楷体" w:hAnsi="楷体" w:eastAsia="楷体"/>
          <w:color w:val="000000"/>
          <w:sz w:val="24"/>
          <w:szCs w:val="24"/>
          <w:highlight w:val="none"/>
        </w:rPr>
        <w:t>请根据所投产品提供证书或截图情况填写其中一项即可。</w:t>
      </w: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日期：</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年</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月</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日</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2、如招标公告明确项目交付日期以年为单位，本表应填写完成该项目的年限。</w:t>
      </w: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w:t>
      </w:r>
      <w:r>
        <w:rPr>
          <w:rFonts w:hint="eastAsia" w:cs="Courier New" w:asciiTheme="minorEastAsia" w:hAnsiTheme="minorEastAsia"/>
          <w:szCs w:val="21"/>
        </w:rPr>
        <w:t>，副本</w:t>
      </w:r>
      <w:r>
        <w:rPr>
          <w:rFonts w:hint="eastAsia" w:cs="Courier New" w:asciiTheme="minorEastAsia" w:hAnsiTheme="minorEastAsia"/>
          <w:szCs w:val="21"/>
          <w:lang w:eastAsia="zh-CN"/>
        </w:rPr>
        <w:t>一</w:t>
      </w:r>
      <w:r>
        <w:rPr>
          <w:rFonts w:hint="eastAsia" w:cs="Courier New" w:asciiTheme="minorEastAsia" w:hAnsiTheme="minorEastAsia"/>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u w:val="single"/>
          <w:lang w:val="en-US" w:eastAsia="zh-CN"/>
        </w:rPr>
        <w:t xml:space="preserve">  </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highlight w:val="none"/>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w:t>
      </w:r>
      <w:r>
        <w:rPr>
          <w:rFonts w:hint="eastAsia" w:asciiTheme="minorEastAsia" w:hAnsiTheme="minorEastAsia" w:eastAsiaTheme="minorEastAsia"/>
          <w:sz w:val="21"/>
          <w:szCs w:val="21"/>
          <w:highlight w:val="none"/>
        </w:rPr>
        <w:t>件中所作的所有承诺承担法律责任。</w:t>
      </w:r>
    </w:p>
    <w:p>
      <w:pPr>
        <w:pStyle w:val="13"/>
        <w:adjustRightInd w:val="0"/>
        <w:snapToGrid w:val="0"/>
        <w:spacing w:line="360" w:lineRule="auto"/>
        <w:rPr>
          <w:rFonts w:asciiTheme="minorEastAsia" w:hAnsiTheme="minorEastAsia" w:eastAsiaTheme="minorEastAsia"/>
          <w:sz w:val="21"/>
          <w:szCs w:val="21"/>
          <w:highlight w:val="none"/>
        </w:rPr>
      </w:pPr>
    </w:p>
    <w:p>
      <w:pPr>
        <w:pStyle w:val="13"/>
        <w:adjustRightInd w:val="0"/>
        <w:snapToGrid w:val="0"/>
        <w:spacing w:line="360" w:lineRule="auto"/>
        <w:rPr>
          <w:rFonts w:asciiTheme="minorEastAsia" w:hAnsiTheme="minorEastAsia" w:eastAsiaTheme="minorEastAsia"/>
          <w:sz w:val="21"/>
          <w:szCs w:val="21"/>
          <w:highlight w:val="none"/>
        </w:rPr>
      </w:pPr>
    </w:p>
    <w:p>
      <w:pPr>
        <w:pStyle w:val="13"/>
        <w:adjustRightInd w:val="0"/>
        <w:snapToGrid w:val="0"/>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所有与本招标有关的一切正式往来请寄：</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地    址：</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邮政编码：</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电    话：</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传    真：</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r>
        <w:rPr>
          <w:rFonts w:hint="eastAsia" w:cs="宋体" w:asciiTheme="minorEastAsia" w:hAnsiTheme="minorEastAsia"/>
          <w:szCs w:val="21"/>
          <w:highlight w:val="none"/>
        </w:rPr>
        <w:t>投标人代表姓名：</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职    务：</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投标人法定代表人（单位负责人）或法定代表人（单位负责人）授权代表签字或盖章：</w:t>
      </w:r>
      <w:r>
        <w:rPr>
          <w:rFonts w:hint="eastAsia" w:cs="宋体" w:asciiTheme="minorEastAsia" w:hAnsiTheme="minorEastAsia"/>
          <w:szCs w:val="21"/>
          <w:highlight w:val="none"/>
          <w:u w:val="single"/>
        </w:rPr>
        <w:t xml:space="preserve">         </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投标人名称（盖章）：</w:t>
      </w:r>
      <w:r>
        <w:rPr>
          <w:rFonts w:hint="eastAsia" w:cs="宋体" w:asciiTheme="minorEastAsia" w:hAnsiTheme="minorEastAsia"/>
          <w:szCs w:val="21"/>
          <w:highlight w:val="none"/>
          <w:u w:val="single"/>
        </w:rPr>
        <w:t xml:space="preserve">                   </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r>
        <w:rPr>
          <w:rFonts w:hint="eastAsia" w:cs="宋体" w:asciiTheme="minorEastAsia" w:hAnsiTheme="minorEastAsia"/>
          <w:szCs w:val="21"/>
          <w:highlight w:val="none"/>
        </w:rPr>
        <w:t>日期：    年    月    日</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spacing w:line="480" w:lineRule="exact"/>
        <w:jc w:val="center"/>
        <w:rPr>
          <w:rFonts w:asciiTheme="majorEastAsia" w:hAnsiTheme="majorEastAsia" w:eastAsiaTheme="majorEastAsia"/>
          <w:b/>
          <w:bCs/>
          <w:color w:val="000000"/>
          <w:sz w:val="24"/>
          <w:szCs w:val="24"/>
          <w:highlight w:val="none"/>
        </w:rPr>
      </w:pPr>
      <w:r>
        <w:rPr>
          <w:rFonts w:hint="eastAsia" w:asciiTheme="majorEastAsia" w:hAnsiTheme="majorEastAsia" w:eastAsiaTheme="majorEastAsia"/>
          <w:b/>
          <w:bCs/>
          <w:color w:val="000000"/>
          <w:sz w:val="24"/>
          <w:szCs w:val="24"/>
          <w:highlight w:val="none"/>
        </w:rPr>
        <w:t>3.2 法定代表人（单位负责人）</w:t>
      </w:r>
      <w:r>
        <w:rPr>
          <w:rFonts w:asciiTheme="majorEastAsia" w:hAnsiTheme="majorEastAsia" w:eastAsiaTheme="majorEastAsia"/>
          <w:b/>
          <w:bCs/>
          <w:color w:val="000000"/>
          <w:sz w:val="24"/>
          <w:szCs w:val="24"/>
          <w:highlight w:val="none"/>
        </w:rPr>
        <w:t>资</w:t>
      </w:r>
      <w:r>
        <w:rPr>
          <w:rFonts w:hint="eastAsia" w:asciiTheme="majorEastAsia" w:hAnsiTheme="majorEastAsia" w:eastAsiaTheme="majorEastAsia"/>
          <w:b/>
          <w:bCs/>
          <w:color w:val="000000"/>
          <w:sz w:val="24"/>
          <w:szCs w:val="24"/>
          <w:highlight w:val="none"/>
        </w:rPr>
        <w:t>格</w:t>
      </w:r>
      <w:r>
        <w:rPr>
          <w:rFonts w:asciiTheme="majorEastAsia" w:hAnsiTheme="majorEastAsia" w:eastAsiaTheme="majorEastAsia"/>
          <w:b/>
          <w:bCs/>
          <w:color w:val="000000"/>
          <w:sz w:val="24"/>
          <w:szCs w:val="24"/>
          <w:highlight w:val="none"/>
        </w:rPr>
        <w:t>证</w:t>
      </w:r>
      <w:r>
        <w:rPr>
          <w:rFonts w:hint="eastAsia" w:asciiTheme="majorEastAsia" w:hAnsiTheme="majorEastAsia" w:eastAsiaTheme="majorEastAsia"/>
          <w:b/>
          <w:bCs/>
          <w:color w:val="000000"/>
          <w:sz w:val="24"/>
          <w:szCs w:val="24"/>
          <w:highlight w:val="none"/>
        </w:rPr>
        <w:t>明</w:t>
      </w:r>
      <w:r>
        <w:rPr>
          <w:rFonts w:asciiTheme="majorEastAsia" w:hAnsiTheme="majorEastAsia" w:eastAsiaTheme="majorEastAsia"/>
          <w:b/>
          <w:bCs/>
          <w:color w:val="000000"/>
          <w:sz w:val="24"/>
          <w:szCs w:val="24"/>
          <w:highlight w:val="none"/>
        </w:rPr>
        <w:t>书</w:t>
      </w:r>
    </w:p>
    <w:p>
      <w:pPr>
        <w:autoSpaceDE w:val="0"/>
        <w:autoSpaceDN w:val="0"/>
        <w:adjustRightInd w:val="0"/>
        <w:spacing w:line="480" w:lineRule="auto"/>
        <w:ind w:firstLine="616" w:firstLineChars="257"/>
        <w:rPr>
          <w:rFonts w:ascii="宋体" w:hAnsi="宋体"/>
          <w:color w:val="000000"/>
          <w:sz w:val="24"/>
          <w:szCs w:val="24"/>
          <w:highlight w:val="none"/>
        </w:rPr>
      </w:pPr>
    </w:p>
    <w:p>
      <w:pPr>
        <w:pStyle w:val="42"/>
        <w:spacing w:line="480" w:lineRule="auto"/>
        <w:ind w:firstLine="472" w:firstLineChars="225"/>
        <w:jc w:val="left"/>
        <w:rPr>
          <w:rFonts w:asciiTheme="minorEastAsia" w:hAnsiTheme="minorEastAsia"/>
          <w:color w:val="000000"/>
          <w:sz w:val="21"/>
          <w:szCs w:val="21"/>
          <w:highlight w:val="none"/>
        </w:rPr>
      </w:pPr>
      <w:r>
        <w:rPr>
          <w:rFonts w:asciiTheme="minorEastAsia" w:hAnsiTheme="minorEastAsia"/>
          <w:color w:val="000000"/>
          <w:sz w:val="21"/>
          <w:szCs w:val="21"/>
          <w:highlight w:val="none"/>
        </w:rPr>
        <w:t>单</w:t>
      </w:r>
      <w:r>
        <w:rPr>
          <w:rFonts w:hint="eastAsia" w:asciiTheme="minorEastAsia" w:hAnsiTheme="minorEastAsia"/>
          <w:color w:val="000000"/>
          <w:sz w:val="21"/>
          <w:szCs w:val="21"/>
          <w:highlight w:val="none"/>
        </w:rPr>
        <w:t>位名</w:t>
      </w:r>
      <w:r>
        <w:rPr>
          <w:rFonts w:asciiTheme="minorEastAsia" w:hAnsiTheme="minorEastAsia"/>
          <w:color w:val="000000"/>
          <w:sz w:val="21"/>
          <w:szCs w:val="21"/>
          <w:highlight w:val="none"/>
        </w:rPr>
        <w:t>称</w:t>
      </w:r>
      <w:r>
        <w:rPr>
          <w:rFonts w:hint="eastAsia" w:asciiTheme="minorEastAsia" w:hAnsiTheme="minorEastAsia"/>
          <w:color w:val="000000"/>
          <w:sz w:val="21"/>
          <w:szCs w:val="21"/>
          <w:highlight w:val="none"/>
        </w:rPr>
        <w:t>：</w:t>
      </w:r>
    </w:p>
    <w:p>
      <w:pPr>
        <w:pStyle w:val="42"/>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地址：</w:t>
      </w:r>
    </w:p>
    <w:p>
      <w:pPr>
        <w:pStyle w:val="42"/>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姓名：       性</w:t>
      </w:r>
      <w:r>
        <w:rPr>
          <w:rFonts w:asciiTheme="minorEastAsia" w:hAnsiTheme="minorEastAsia"/>
          <w:color w:val="000000"/>
          <w:sz w:val="21"/>
          <w:szCs w:val="21"/>
          <w:highlight w:val="none"/>
        </w:rPr>
        <w:t>别</w:t>
      </w:r>
      <w:r>
        <w:rPr>
          <w:rFonts w:hint="eastAsia" w:asciiTheme="minorEastAsia" w:hAnsiTheme="minorEastAsia"/>
          <w:color w:val="000000"/>
          <w:sz w:val="21"/>
          <w:szCs w:val="21"/>
          <w:highlight w:val="none"/>
        </w:rPr>
        <w:t>：     年</w:t>
      </w:r>
      <w:r>
        <w:rPr>
          <w:rFonts w:asciiTheme="minorEastAsia" w:hAnsiTheme="minorEastAsia"/>
          <w:color w:val="000000"/>
          <w:sz w:val="21"/>
          <w:szCs w:val="21"/>
          <w:highlight w:val="none"/>
        </w:rPr>
        <w:t>龄</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 xml:space="preserve">     职务</w:t>
      </w:r>
      <w:r>
        <w:rPr>
          <w:rFonts w:hint="eastAsia" w:asciiTheme="minorEastAsia" w:hAnsiTheme="minorEastAsia"/>
          <w:color w:val="000000"/>
          <w:sz w:val="21"/>
          <w:szCs w:val="21"/>
          <w:highlight w:val="none"/>
        </w:rPr>
        <w:t xml:space="preserve">：        </w:t>
      </w:r>
    </w:p>
    <w:p>
      <w:pPr>
        <w:pStyle w:val="42"/>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本人系</w:t>
      </w:r>
      <w:r>
        <w:rPr>
          <w:rFonts w:hint="eastAsia" w:asciiTheme="minorEastAsia" w:hAnsiTheme="minorEastAsia"/>
          <w:color w:val="000000"/>
          <w:sz w:val="21"/>
          <w:szCs w:val="21"/>
          <w:highlight w:val="none"/>
          <w:u w:val="single"/>
        </w:rPr>
        <w:t xml:space="preserve">  </w:t>
      </w:r>
      <w:r>
        <w:rPr>
          <w:rFonts w:hint="eastAsia" w:asciiTheme="minorEastAsia" w:hAnsiTheme="minorEastAsia"/>
          <w:i/>
          <w:snapToGrid w:val="0"/>
          <w:sz w:val="21"/>
          <w:szCs w:val="21"/>
          <w:highlight w:val="none"/>
          <w:u w:val="single"/>
        </w:rPr>
        <w:t>投</w:t>
      </w:r>
      <w:r>
        <w:rPr>
          <w:rFonts w:asciiTheme="minorEastAsia" w:hAnsiTheme="minorEastAsia"/>
          <w:i/>
          <w:snapToGrid w:val="0"/>
          <w:sz w:val="21"/>
          <w:szCs w:val="21"/>
          <w:highlight w:val="none"/>
          <w:u w:val="single"/>
        </w:rPr>
        <w:t>标</w:t>
      </w:r>
      <w:r>
        <w:rPr>
          <w:rFonts w:hint="eastAsia" w:asciiTheme="minorEastAsia" w:hAnsiTheme="minorEastAsia"/>
          <w:i/>
          <w:snapToGrid w:val="0"/>
          <w:sz w:val="21"/>
          <w:szCs w:val="21"/>
          <w:highlight w:val="none"/>
          <w:u w:val="single"/>
        </w:rPr>
        <w:t>人名</w:t>
      </w:r>
      <w:r>
        <w:rPr>
          <w:rFonts w:asciiTheme="minorEastAsia" w:hAnsiTheme="minorEastAsia"/>
          <w:i/>
          <w:snapToGrid w:val="0"/>
          <w:sz w:val="21"/>
          <w:szCs w:val="21"/>
          <w:highlight w:val="none"/>
          <w:u w:val="single"/>
        </w:rPr>
        <w:t>称</w:t>
      </w:r>
      <w:r>
        <w:rPr>
          <w:rFonts w:hint="eastAsia" w:asciiTheme="minorEastAsia" w:hAnsiTheme="minorEastAsia"/>
          <w:i/>
          <w:snapToGrid w:val="0"/>
          <w:sz w:val="21"/>
          <w:szCs w:val="21"/>
          <w:highlight w:val="none"/>
          <w:u w:val="single"/>
        </w:rPr>
        <w:t xml:space="preserve">  </w:t>
      </w:r>
      <w:r>
        <w:rPr>
          <w:rFonts w:hint="eastAsia" w:asciiTheme="minorEastAsia" w:hAnsiTheme="minorEastAsia"/>
          <w:color w:val="000000"/>
          <w:sz w:val="21"/>
          <w:szCs w:val="21"/>
          <w:highlight w:val="none"/>
        </w:rPr>
        <w:t>的法定代表人（单位负责人）。就</w:t>
      </w:r>
      <w:r>
        <w:rPr>
          <w:rFonts w:asciiTheme="minorEastAsia" w:hAnsiTheme="minorEastAsia"/>
          <w:color w:val="000000"/>
          <w:sz w:val="21"/>
          <w:szCs w:val="21"/>
          <w:highlight w:val="none"/>
        </w:rPr>
        <w:t>参</w:t>
      </w:r>
      <w:r>
        <w:rPr>
          <w:rFonts w:hint="eastAsia" w:asciiTheme="minorEastAsia" w:hAnsiTheme="minorEastAsia"/>
          <w:color w:val="000000"/>
          <w:sz w:val="21"/>
          <w:szCs w:val="21"/>
          <w:highlight w:val="none"/>
        </w:rPr>
        <w:t>加贵方招</w:t>
      </w:r>
      <w:r>
        <w:rPr>
          <w:rFonts w:asciiTheme="minorEastAsia" w:hAnsiTheme="minorEastAsia"/>
          <w:color w:val="000000"/>
          <w:sz w:val="21"/>
          <w:szCs w:val="21"/>
          <w:highlight w:val="none"/>
        </w:rPr>
        <w:t>标编号为</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项目编号</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的</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w:t>
      </w:r>
      <w:r>
        <w:rPr>
          <w:rFonts w:hint="eastAsia" w:asciiTheme="minorEastAsia" w:hAnsiTheme="minorEastAsia"/>
          <w:i/>
          <w:color w:val="000000"/>
          <w:sz w:val="21"/>
          <w:szCs w:val="21"/>
          <w:highlight w:val="none"/>
          <w:u w:val="single"/>
        </w:rPr>
        <w:t>名</w:t>
      </w:r>
      <w:r>
        <w:rPr>
          <w:rFonts w:asciiTheme="minorEastAsia" w:hAnsiTheme="minorEastAsia"/>
          <w:i/>
          <w:color w:val="000000"/>
          <w:sz w:val="21"/>
          <w:szCs w:val="21"/>
          <w:highlight w:val="none"/>
          <w:u w:val="single"/>
        </w:rPr>
        <w:t>称</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公</w:t>
      </w:r>
      <w:r>
        <w:rPr>
          <w:rFonts w:asciiTheme="minorEastAsia" w:hAnsiTheme="minorEastAsia"/>
          <w:color w:val="000000"/>
          <w:sz w:val="21"/>
          <w:szCs w:val="21"/>
          <w:highlight w:val="none"/>
        </w:rPr>
        <w:t>开</w:t>
      </w:r>
      <w:r>
        <w:rPr>
          <w:rFonts w:hint="eastAsia" w:asciiTheme="minorEastAsia" w:hAnsiTheme="minorEastAsia"/>
          <w:color w:val="000000"/>
          <w:sz w:val="21"/>
          <w:szCs w:val="21"/>
          <w:highlight w:val="none"/>
        </w:rPr>
        <w:t>招</w:t>
      </w:r>
      <w:r>
        <w:rPr>
          <w:rFonts w:asciiTheme="minorEastAsia" w:hAnsiTheme="minorEastAsia"/>
          <w:color w:val="000000"/>
          <w:sz w:val="21"/>
          <w:szCs w:val="21"/>
          <w:highlight w:val="none"/>
        </w:rPr>
        <w:t>标项目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标报价</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署上</w:t>
      </w:r>
      <w:r>
        <w:rPr>
          <w:rFonts w:asciiTheme="minorEastAsia" w:hAnsiTheme="minorEastAsia"/>
          <w:color w:val="000000"/>
          <w:sz w:val="21"/>
          <w:szCs w:val="21"/>
          <w:highlight w:val="none"/>
        </w:rPr>
        <w:t>述项目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w:t>
      </w:r>
      <w:r>
        <w:rPr>
          <w:rFonts w:hint="eastAsia" w:asciiTheme="minorEastAsia" w:hAnsiTheme="minorEastAsia"/>
          <w:color w:val="000000"/>
          <w:sz w:val="21"/>
          <w:szCs w:val="21"/>
          <w:highlight w:val="none"/>
        </w:rPr>
        <w:t>文件及合同的</w:t>
      </w:r>
      <w:r>
        <w:rPr>
          <w:rFonts w:asciiTheme="minorEastAsia" w:hAnsiTheme="minorEastAsia"/>
          <w:color w:val="000000"/>
          <w:sz w:val="21"/>
          <w:szCs w:val="21"/>
          <w:highlight w:val="none"/>
        </w:rPr>
        <w:t>执</w:t>
      </w:r>
      <w:r>
        <w:rPr>
          <w:rFonts w:hint="eastAsia" w:asciiTheme="minorEastAsia" w:hAnsiTheme="minorEastAsia"/>
          <w:color w:val="000000"/>
          <w:sz w:val="21"/>
          <w:szCs w:val="21"/>
          <w:highlight w:val="none"/>
        </w:rPr>
        <w:t>行、完成、服</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和保修，</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署合同和</w:t>
      </w:r>
      <w:r>
        <w:rPr>
          <w:rFonts w:asciiTheme="minorEastAsia" w:hAnsiTheme="minorEastAsia"/>
          <w:color w:val="000000"/>
          <w:sz w:val="21"/>
          <w:szCs w:val="21"/>
          <w:highlight w:val="none"/>
        </w:rPr>
        <w:t>处</w:t>
      </w:r>
      <w:r>
        <w:rPr>
          <w:rFonts w:hint="eastAsia" w:asciiTheme="minorEastAsia" w:hAnsiTheme="minorEastAsia"/>
          <w:color w:val="000000"/>
          <w:sz w:val="21"/>
          <w:szCs w:val="21"/>
          <w:highlight w:val="none"/>
        </w:rPr>
        <w:t>理与之有</w:t>
      </w:r>
      <w:r>
        <w:rPr>
          <w:rFonts w:asciiTheme="minorEastAsia" w:hAnsiTheme="minorEastAsia"/>
          <w:color w:val="000000"/>
          <w:sz w:val="21"/>
          <w:szCs w:val="21"/>
          <w:highlight w:val="none"/>
        </w:rPr>
        <w:t>关的</w:t>
      </w:r>
      <w:r>
        <w:rPr>
          <w:rFonts w:hint="eastAsia" w:asciiTheme="minorEastAsia" w:hAnsiTheme="minorEastAsia"/>
          <w:color w:val="000000"/>
          <w:sz w:val="21"/>
          <w:szCs w:val="21"/>
          <w:highlight w:val="none"/>
        </w:rPr>
        <w:t>一切事</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w:t>
      </w:r>
    </w:p>
    <w:p>
      <w:pPr>
        <w:pStyle w:val="42"/>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特此</w:t>
      </w:r>
      <w:r>
        <w:rPr>
          <w:rFonts w:asciiTheme="minorEastAsia" w:hAnsiTheme="minorEastAsia"/>
          <w:color w:val="000000"/>
          <w:sz w:val="21"/>
          <w:szCs w:val="21"/>
          <w:highlight w:val="none"/>
        </w:rPr>
        <w:t>证</w:t>
      </w:r>
      <w:r>
        <w:rPr>
          <w:rFonts w:hint="eastAsia" w:asciiTheme="minorEastAsia" w:hAnsiTheme="minorEastAsia"/>
          <w:color w:val="000000"/>
          <w:sz w:val="21"/>
          <w:szCs w:val="21"/>
          <w:highlight w:val="none"/>
        </w:rPr>
        <w:t>明。</w:t>
      </w:r>
    </w:p>
    <w:p>
      <w:pPr>
        <w:pStyle w:val="42"/>
        <w:spacing w:line="480" w:lineRule="auto"/>
        <w:ind w:firstLine="472" w:firstLineChars="225"/>
        <w:jc w:val="left"/>
        <w:rPr>
          <w:rFonts w:asciiTheme="minorEastAsia" w:hAnsiTheme="minorEastAsia"/>
          <w:color w:val="000000"/>
          <w:sz w:val="21"/>
          <w:szCs w:val="21"/>
          <w:highlight w:val="none"/>
        </w:rPr>
      </w:pPr>
    </w:p>
    <w:p>
      <w:pPr>
        <w:pStyle w:val="42"/>
        <w:spacing w:line="480" w:lineRule="auto"/>
        <w:ind w:firstLine="472" w:firstLineChars="225"/>
        <w:jc w:val="left"/>
        <w:rPr>
          <w:rFonts w:asciiTheme="minorEastAsia" w:hAnsiTheme="minorEastAsia"/>
          <w:color w:val="000000"/>
          <w:sz w:val="21"/>
          <w:szCs w:val="21"/>
          <w:highlight w:val="none"/>
        </w:rPr>
      </w:pPr>
    </w:p>
    <w:p>
      <w:pPr>
        <w:pStyle w:val="42"/>
        <w:spacing w:line="480" w:lineRule="auto"/>
        <w:ind w:left="-538" w:leftChars="-256" w:firstLine="539" w:firstLineChars="257"/>
        <w:jc w:val="center"/>
        <w:rPr>
          <w:rFonts w:asciiTheme="minorEastAsia" w:hAnsiTheme="minorEastAsia"/>
          <w:bCs/>
          <w:color w:val="000000"/>
          <w:sz w:val="21"/>
          <w:szCs w:val="21"/>
          <w:highlight w:val="none"/>
        </w:rPr>
      </w:pPr>
      <w:r>
        <w:rPr>
          <w:rFonts w:hint="eastAsia" w:asciiTheme="minorEastAsia" w:hAnsiTheme="minorEastAsia"/>
          <w:bCs/>
          <w:color w:val="000000"/>
          <w:sz w:val="21"/>
          <w:szCs w:val="21"/>
          <w:highlight w:val="none"/>
        </w:rPr>
        <w:t>【此</w:t>
      </w:r>
      <w:r>
        <w:rPr>
          <w:rFonts w:asciiTheme="minorEastAsia" w:hAnsiTheme="minorEastAsia"/>
          <w:bCs/>
          <w:color w:val="000000"/>
          <w:sz w:val="21"/>
          <w:szCs w:val="21"/>
          <w:highlight w:val="none"/>
        </w:rPr>
        <w:t>处请</w:t>
      </w:r>
      <w:r>
        <w:rPr>
          <w:rFonts w:hint="eastAsia" w:asciiTheme="minorEastAsia" w:hAnsiTheme="minorEastAsia"/>
          <w:bCs/>
          <w:color w:val="000000"/>
          <w:sz w:val="21"/>
          <w:szCs w:val="21"/>
          <w:highlight w:val="none"/>
        </w:rPr>
        <w:t>粘</w:t>
      </w:r>
      <w:r>
        <w:rPr>
          <w:rFonts w:asciiTheme="minorEastAsia" w:hAnsiTheme="minorEastAsia"/>
          <w:bCs/>
          <w:color w:val="000000"/>
          <w:sz w:val="21"/>
          <w:szCs w:val="21"/>
          <w:highlight w:val="none"/>
        </w:rPr>
        <w:t>贴</w:t>
      </w:r>
      <w:r>
        <w:rPr>
          <w:rFonts w:hint="eastAsia" w:asciiTheme="minorEastAsia" w:hAnsiTheme="minorEastAsia"/>
          <w:bCs/>
          <w:color w:val="000000"/>
          <w:sz w:val="21"/>
          <w:szCs w:val="21"/>
          <w:highlight w:val="none"/>
        </w:rPr>
        <w:t>法定代表人（单位负责人）身份</w:t>
      </w:r>
      <w:r>
        <w:rPr>
          <w:rFonts w:asciiTheme="minorEastAsia" w:hAnsiTheme="minorEastAsia"/>
          <w:bCs/>
          <w:color w:val="000000"/>
          <w:sz w:val="21"/>
          <w:szCs w:val="21"/>
          <w:highlight w:val="none"/>
        </w:rPr>
        <w:t>证复</w:t>
      </w:r>
      <w:r>
        <w:rPr>
          <w:rFonts w:hint="eastAsia" w:asciiTheme="minorEastAsia" w:hAnsiTheme="minorEastAsia"/>
          <w:bCs/>
          <w:color w:val="000000"/>
          <w:sz w:val="21"/>
          <w:szCs w:val="21"/>
          <w:highlight w:val="none"/>
        </w:rPr>
        <w:t>印件，需清晰反映身份证有效期限】</w:t>
      </w:r>
    </w:p>
    <w:p>
      <w:pPr>
        <w:pStyle w:val="42"/>
        <w:spacing w:line="480" w:lineRule="auto"/>
        <w:ind w:left="-538" w:leftChars="-256" w:firstLine="539" w:firstLineChars="257"/>
        <w:jc w:val="center"/>
        <w:rPr>
          <w:rFonts w:asciiTheme="minorEastAsia" w:hAnsiTheme="minorEastAsia"/>
          <w:bCs/>
          <w:color w:val="000000"/>
          <w:sz w:val="21"/>
          <w:szCs w:val="21"/>
          <w:highlight w:val="none"/>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spacing w:line="480" w:lineRule="auto"/>
        <w:ind w:firstLine="3937" w:firstLineChars="1875"/>
        <w:rPr>
          <w:rFonts w:cs="Arial" w:asciiTheme="minorEastAsia" w:hAnsiTheme="minorEastAsia"/>
          <w:color w:val="000000"/>
          <w:szCs w:val="21"/>
          <w:highlight w:val="none"/>
          <w:u w:val="single"/>
        </w:rPr>
      </w:pPr>
      <w:r>
        <w:rPr>
          <w:rFonts w:hint="eastAsia" w:cs="Arial" w:asciiTheme="minorEastAsia" w:hAnsiTheme="minorEastAsia"/>
          <w:color w:val="000000"/>
          <w:szCs w:val="21"/>
          <w:highlight w:val="none"/>
        </w:rPr>
        <w:t>投标人名称（并加盖公章）：</w:t>
      </w:r>
    </w:p>
    <w:p>
      <w:pPr>
        <w:pStyle w:val="45"/>
        <w:spacing w:before="60" w:line="480" w:lineRule="auto"/>
        <w:ind w:firstLine="3937" w:firstLineChars="1875"/>
        <w:rPr>
          <w:rFonts w:cs="Arial" w:asciiTheme="minorEastAsia" w:hAnsiTheme="minorEastAsia" w:eastAsiaTheme="minorEastAsia"/>
          <w:color w:val="000000"/>
          <w:sz w:val="21"/>
          <w:szCs w:val="21"/>
          <w:highlight w:val="none"/>
        </w:rPr>
      </w:pPr>
      <w:r>
        <w:rPr>
          <w:rFonts w:hint="eastAsia" w:cs="Arial" w:asciiTheme="minorEastAsia" w:hAnsiTheme="minorEastAsia" w:eastAsiaTheme="minorEastAsia"/>
          <w:color w:val="000000"/>
          <w:sz w:val="21"/>
          <w:szCs w:val="21"/>
          <w:highlight w:val="none"/>
        </w:rPr>
        <w:t>签署日期：   年   月  日</w:t>
      </w:r>
    </w:p>
    <w:p>
      <w:pPr>
        <w:pStyle w:val="44"/>
        <w:spacing w:line="480" w:lineRule="auto"/>
        <w:rPr>
          <w:rFonts w:cs="Arial" w:asciiTheme="minorEastAsia" w:hAnsiTheme="minorEastAsia"/>
          <w:color w:val="000000"/>
          <w:sz w:val="21"/>
          <w:szCs w:val="21"/>
          <w:highlight w:val="none"/>
        </w:rPr>
      </w:pPr>
    </w:p>
    <w:p>
      <w:pPr>
        <w:rPr>
          <w:szCs w:val="21"/>
          <w:highlight w:val="none"/>
        </w:rPr>
      </w:pPr>
    </w:p>
    <w:p>
      <w:pPr>
        <w:spacing w:line="320" w:lineRule="exact"/>
        <w:ind w:firstLine="420" w:firstLineChars="200"/>
        <w:rPr>
          <w:rFonts w:asciiTheme="minorEastAsia" w:hAnsiTheme="minorEastAsia"/>
          <w:bCs/>
          <w:color w:val="000000"/>
          <w:kern w:val="12"/>
          <w:szCs w:val="21"/>
          <w:highlight w:val="none"/>
        </w:rPr>
      </w:pPr>
      <w:r>
        <w:rPr>
          <w:rFonts w:hint="eastAsia" w:asciiTheme="minorEastAsia" w:hAnsiTheme="minorEastAsia"/>
          <w:bCs/>
          <w:color w:val="000000"/>
          <w:kern w:val="12"/>
          <w:szCs w:val="21"/>
          <w:highlight w:val="none"/>
        </w:rPr>
        <w:t>说明：法定代表人（单位负责人）</w:t>
      </w:r>
      <w:r>
        <w:rPr>
          <w:rFonts w:asciiTheme="minorEastAsia" w:hAnsiTheme="minorEastAsia"/>
          <w:bCs/>
          <w:color w:val="000000"/>
          <w:kern w:val="12"/>
          <w:szCs w:val="21"/>
          <w:highlight w:val="none"/>
        </w:rPr>
        <w:t>参</w:t>
      </w:r>
      <w:r>
        <w:rPr>
          <w:rFonts w:hint="eastAsia" w:asciiTheme="minorEastAsia" w:hAnsiTheme="minorEastAsia"/>
          <w:bCs/>
          <w:color w:val="000000"/>
          <w:kern w:val="12"/>
          <w:szCs w:val="21"/>
          <w:highlight w:val="none"/>
        </w:rPr>
        <w:t>加本招</w:t>
      </w:r>
      <w:r>
        <w:rPr>
          <w:rFonts w:asciiTheme="minorEastAsia" w:hAnsiTheme="minorEastAsia"/>
          <w:bCs/>
          <w:color w:val="000000"/>
          <w:kern w:val="12"/>
          <w:szCs w:val="21"/>
          <w:highlight w:val="none"/>
        </w:rPr>
        <w:t>标项目</w:t>
      </w:r>
      <w:r>
        <w:rPr>
          <w:rFonts w:hint="eastAsia" w:asciiTheme="minorEastAsia" w:hAnsiTheme="minorEastAsia"/>
          <w:bCs/>
          <w:color w:val="000000"/>
          <w:kern w:val="12"/>
          <w:szCs w:val="21"/>
          <w:highlight w:val="none"/>
        </w:rPr>
        <w:t>投</w:t>
      </w:r>
      <w:r>
        <w:rPr>
          <w:rFonts w:asciiTheme="minorEastAsia" w:hAnsiTheme="minorEastAsia"/>
          <w:bCs/>
          <w:color w:val="000000"/>
          <w:kern w:val="12"/>
          <w:szCs w:val="21"/>
          <w:highlight w:val="none"/>
        </w:rPr>
        <w:t>标</w:t>
      </w:r>
      <w:r>
        <w:rPr>
          <w:rFonts w:hint="eastAsia" w:asciiTheme="minorEastAsia" w:hAnsiTheme="minorEastAsia"/>
          <w:bCs/>
          <w:color w:val="000000"/>
          <w:kern w:val="12"/>
          <w:szCs w:val="21"/>
          <w:highlight w:val="none"/>
        </w:rPr>
        <w:t>的，</w:t>
      </w:r>
      <w:r>
        <w:rPr>
          <w:rFonts w:asciiTheme="minorEastAsia" w:hAnsiTheme="minorEastAsia"/>
          <w:bCs/>
          <w:color w:val="000000"/>
          <w:kern w:val="12"/>
          <w:szCs w:val="21"/>
          <w:highlight w:val="none"/>
        </w:rPr>
        <w:t>仅须</w:t>
      </w:r>
      <w:r>
        <w:rPr>
          <w:rFonts w:hint="eastAsia" w:asciiTheme="minorEastAsia" w:hAnsiTheme="minorEastAsia"/>
          <w:bCs/>
          <w:color w:val="000000"/>
          <w:kern w:val="12"/>
          <w:szCs w:val="21"/>
          <w:highlight w:val="none"/>
        </w:rPr>
        <w:t>出具此</w:t>
      </w:r>
      <w:r>
        <w:rPr>
          <w:rFonts w:asciiTheme="minorEastAsia" w:hAnsiTheme="minorEastAsia"/>
          <w:bCs/>
          <w:color w:val="000000"/>
          <w:kern w:val="12"/>
          <w:szCs w:val="21"/>
          <w:highlight w:val="none"/>
        </w:rPr>
        <w:t>证</w:t>
      </w:r>
      <w:r>
        <w:rPr>
          <w:rFonts w:hint="eastAsia" w:asciiTheme="minorEastAsia" w:hAnsiTheme="minorEastAsia"/>
          <w:bCs/>
          <w:color w:val="000000"/>
          <w:kern w:val="12"/>
          <w:szCs w:val="21"/>
          <w:highlight w:val="none"/>
        </w:rPr>
        <w:t>明</w:t>
      </w:r>
      <w:r>
        <w:rPr>
          <w:rFonts w:asciiTheme="minorEastAsia" w:hAnsiTheme="minorEastAsia"/>
          <w:bCs/>
          <w:color w:val="000000"/>
          <w:kern w:val="12"/>
          <w:szCs w:val="21"/>
          <w:highlight w:val="none"/>
        </w:rPr>
        <w:t>书</w:t>
      </w:r>
      <w:r>
        <w:rPr>
          <w:rFonts w:hint="eastAsia" w:asciiTheme="minorEastAsia" w:hAnsiTheme="minorEastAsia"/>
          <w:bCs/>
          <w:color w:val="000000"/>
          <w:kern w:val="12"/>
          <w:szCs w:val="21"/>
          <w:highlight w:val="none"/>
        </w:rPr>
        <w:t>。</w:t>
      </w:r>
    </w:p>
    <w:p>
      <w:pPr>
        <w:spacing w:line="480" w:lineRule="exact"/>
        <w:jc w:val="center"/>
        <w:rPr>
          <w:rFonts w:ascii="宋体" w:hAnsi="宋体"/>
          <w:b/>
          <w:bCs/>
          <w:color w:val="000000"/>
          <w:sz w:val="36"/>
          <w:szCs w:val="36"/>
          <w:highlight w:val="none"/>
        </w:rPr>
      </w:pPr>
    </w:p>
    <w:p>
      <w:pPr>
        <w:spacing w:line="480" w:lineRule="exact"/>
        <w:jc w:val="center"/>
        <w:rPr>
          <w:rFonts w:ascii="宋体" w:hAnsi="宋体"/>
          <w:b/>
          <w:bCs/>
          <w:color w:val="000000"/>
          <w:sz w:val="24"/>
          <w:szCs w:val="24"/>
          <w:highlight w:val="none"/>
        </w:rPr>
      </w:pPr>
      <w:r>
        <w:rPr>
          <w:rFonts w:hint="eastAsia" w:ascii="宋体" w:hAnsi="宋体"/>
          <w:b/>
          <w:bCs/>
          <w:color w:val="000000"/>
          <w:sz w:val="24"/>
          <w:szCs w:val="24"/>
          <w:highlight w:val="none"/>
        </w:rPr>
        <w:t>3.3 法定代表人（单位负责人）授权书</w:t>
      </w:r>
    </w:p>
    <w:p>
      <w:pPr>
        <w:spacing w:line="480" w:lineRule="exact"/>
        <w:jc w:val="center"/>
        <w:rPr>
          <w:rFonts w:ascii="宋体" w:hAnsi="宋体"/>
          <w:b/>
          <w:bCs/>
          <w:color w:val="000000"/>
          <w:sz w:val="36"/>
          <w:szCs w:val="36"/>
          <w:highlight w:val="none"/>
        </w:rPr>
      </w:pPr>
    </w:p>
    <w:p>
      <w:pPr>
        <w:adjustRightInd w:val="0"/>
        <w:spacing w:line="360" w:lineRule="auto"/>
        <w:ind w:firstLine="441" w:firstLineChars="210"/>
        <w:contextualSpacing/>
        <w:rPr>
          <w:rFonts w:cs="Arial" w:asciiTheme="minorEastAsia" w:hAnsiTheme="minorEastAsia"/>
          <w:szCs w:val="21"/>
          <w:highlight w:val="none"/>
        </w:rPr>
      </w:pPr>
      <w:r>
        <w:rPr>
          <w:rFonts w:hint="eastAsia" w:asciiTheme="minorEastAsia" w:hAnsiTheme="minorEastAsia"/>
          <w:szCs w:val="21"/>
          <w:highlight w:val="none"/>
        </w:rPr>
        <w:t xml:space="preserve"> </w:t>
      </w:r>
      <w:r>
        <w:rPr>
          <w:rFonts w:hint="eastAsia" w:cs="Arial" w:asciiTheme="minorEastAsia" w:hAnsiTheme="minorEastAsia"/>
          <w:szCs w:val="21"/>
          <w:highlight w:val="none"/>
        </w:rPr>
        <w:t>本人</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法人姓名</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系</w:t>
      </w:r>
      <w:r>
        <w:rPr>
          <w:rFonts w:hint="eastAsia" w:cs="Arial" w:asciiTheme="minorEastAsia" w:hAnsiTheme="minorEastAsia"/>
          <w:szCs w:val="21"/>
          <w:highlight w:val="none"/>
          <w:u w:val="single"/>
        </w:rPr>
        <w:t>　</w:t>
      </w:r>
      <w:r>
        <w:rPr>
          <w:rFonts w:hint="eastAsia" w:asciiTheme="minorEastAsia" w:hAnsiTheme="minorEastAsia"/>
          <w:i/>
          <w:snapToGrid w:val="0"/>
          <w:szCs w:val="21"/>
          <w:highlight w:val="none"/>
          <w:u w:val="single"/>
        </w:rPr>
        <w:t xml:space="preserve">投标人名称  </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的法定代表人（单位负责人），现委托</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姓名，职务</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我方对被授权人的签名事项负全部责任。</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被授权人无转委托权，特此委托。</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投标人名称： </w:t>
      </w:r>
      <w:r>
        <w:rPr>
          <w:rFonts w:hint="eastAsia" w:asciiTheme="minorEastAsia" w:hAnsiTheme="minorEastAsia"/>
          <w:szCs w:val="21"/>
          <w:highlight w:val="none"/>
          <w:u w:val="single"/>
        </w:rPr>
        <w:t xml:space="preserve">       （全称）       </w:t>
      </w:r>
      <w:r>
        <w:rPr>
          <w:rFonts w:hint="eastAsia" w:asciiTheme="minorEastAsia" w:hAnsiTheme="minorEastAsia"/>
          <w:szCs w:val="21"/>
          <w:highlight w:val="none"/>
        </w:rPr>
        <w:t xml:space="preserve"> （盖单位公章）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法定代表人（单位负责人）授权代表：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法定代表人（单位负责人）身份证（正面）</w:t>
            </w:r>
          </w:p>
        </w:tc>
        <w:tc>
          <w:tcPr>
            <w:tcW w:w="4485" w:type="dxa"/>
            <w:gridSpan w:val="2"/>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highlight w:val="none"/>
              </w:rPr>
            </w:pPr>
            <w:bookmarkStart w:id="9" w:name="_资格证明文件"/>
            <w:bookmarkEnd w:id="9"/>
            <w:bookmarkStart w:id="10" w:name="_Toc364329026"/>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（正面）</w:t>
            </w:r>
            <w:bookmarkEnd w:id="10"/>
          </w:p>
        </w:tc>
        <w:tc>
          <w:tcPr>
            <w:tcW w:w="4492" w:type="dxa"/>
            <w:gridSpan w:val="2"/>
            <w:vAlign w:val="center"/>
          </w:tcPr>
          <w:p>
            <w:pPr>
              <w:jc w:val="center"/>
              <w:rPr>
                <w:rFonts w:asciiTheme="minorEastAsia" w:hAnsiTheme="minorEastAsia"/>
                <w:szCs w:val="21"/>
                <w:highlight w:val="none"/>
              </w:rPr>
            </w:pPr>
            <w:bookmarkStart w:id="11" w:name="_Toc364329027"/>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（反面）</w:t>
            </w:r>
            <w:bookmarkEnd w:id="11"/>
          </w:p>
        </w:tc>
      </w:tr>
    </w:tbl>
    <w:p>
      <w:pPr>
        <w:spacing w:line="320" w:lineRule="exact"/>
        <w:ind w:left="2" w:firstLine="357" w:firstLineChars="149"/>
        <w:rPr>
          <w:rFonts w:cs="Courier New" w:asciiTheme="minorEastAsia" w:hAnsiTheme="minorEastAsia"/>
          <w:sz w:val="24"/>
          <w:szCs w:val="24"/>
          <w:highlight w:val="none"/>
        </w:rPr>
      </w:pPr>
    </w:p>
    <w:p>
      <w:pPr>
        <w:widowControl/>
        <w:spacing w:before="100" w:beforeAutospacing="1" w:after="100" w:afterAutospacing="1" w:line="360" w:lineRule="auto"/>
        <w:jc w:val="center"/>
        <w:rPr>
          <w:rFonts w:ascii="宋体" w:hAnsi="宋体"/>
          <w:b/>
          <w:bCs/>
          <w:color w:val="000000"/>
          <w:sz w:val="24"/>
          <w:szCs w:val="24"/>
          <w:highlight w:val="none"/>
        </w:rPr>
      </w:pPr>
      <w:r>
        <w:rPr>
          <w:rFonts w:hint="eastAsia" w:ascii="宋体" w:hAnsi="宋体"/>
          <w:b/>
          <w:bCs/>
          <w:color w:val="000000"/>
          <w:sz w:val="24"/>
          <w:szCs w:val="24"/>
          <w:highlight w:val="none"/>
        </w:rPr>
        <w:t>3.4 没有重大违法记录的声明</w:t>
      </w:r>
    </w:p>
    <w:p>
      <w:pPr>
        <w:spacing w:beforeLines="50" w:afterLines="50"/>
        <w:jc w:val="center"/>
        <w:rPr>
          <w:rFonts w:ascii="宋体" w:hAnsi="宋体" w:cs="Arial"/>
          <w:color w:val="000000"/>
          <w:kern w:val="0"/>
          <w:sz w:val="28"/>
          <w:szCs w:val="28"/>
          <w:highlight w:val="none"/>
        </w:rPr>
      </w:pPr>
      <w:r>
        <w:rPr>
          <w:rFonts w:hint="eastAsia" w:ascii="宋体" w:hAnsi="宋体" w:cs="Arial"/>
          <w:color w:val="000000"/>
          <w:kern w:val="0"/>
          <w:sz w:val="28"/>
          <w:szCs w:val="28"/>
          <w:highlight w:val="none"/>
        </w:rPr>
        <w:t>声　   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特此声明。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highlight w:val="none"/>
          <w:lang w:val="zh-CN"/>
        </w:rPr>
      </w:pP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单位名称（盖章）：</w:t>
      </w: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 xml:space="preserve">日    期：     </w:t>
      </w:r>
      <w:r>
        <w:rPr>
          <w:rFonts w:hint="eastAsia" w:cs="宋体" w:asciiTheme="minorEastAsia" w:hAnsiTheme="minorEastAsia"/>
          <w:szCs w:val="21"/>
          <w:highlight w:val="none"/>
        </w:rPr>
        <w:t>年    月    日</w:t>
      </w: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3.5 投标保证金</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许昌公共资源交易中心保证金缴纳回执</w:t>
      </w:r>
    </w:p>
    <w:p>
      <w:pPr>
        <w:autoSpaceDE w:val="0"/>
        <w:autoSpaceDN w:val="0"/>
        <w:adjustRightInd w:val="0"/>
        <w:spacing w:line="360" w:lineRule="auto"/>
        <w:jc w:val="center"/>
        <w:rPr>
          <w:rFonts w:ascii="宋体" w:cs="宋体"/>
          <w:szCs w:val="21"/>
          <w:highlight w:val="none"/>
          <w:lang w:val="zh-CN"/>
        </w:rPr>
      </w:pPr>
    </w:p>
    <w:p>
      <w:pPr>
        <w:autoSpaceDE w:val="0"/>
        <w:autoSpaceDN w:val="0"/>
        <w:adjustRightInd w:val="0"/>
        <w:spacing w:line="360" w:lineRule="auto"/>
        <w:jc w:val="center"/>
        <w:rPr>
          <w:rFonts w:ascii="宋体" w:cs="宋体"/>
          <w:szCs w:val="21"/>
          <w:highlight w:val="none"/>
          <w:lang w:val="zh-CN"/>
        </w:rPr>
      </w:pPr>
      <w:r>
        <w:rPr>
          <w:rFonts w:hint="eastAsia" w:ascii="宋体" w:cs="宋体"/>
          <w:szCs w:val="21"/>
          <w:highlight w:val="none"/>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outlineLvl w:val="0"/>
        <w:rPr>
          <w:rFonts w:ascii="宋体" w:cs="宋体"/>
          <w:sz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rPr>
        <w:t>4.1 投</w:t>
      </w:r>
      <w:r>
        <w:rPr>
          <w:rFonts w:hint="eastAsia" w:ascii="宋体" w:hAnsi="宋体"/>
          <w:b/>
          <w:bCs/>
          <w:color w:val="000000"/>
          <w:sz w:val="24"/>
          <w:szCs w:val="24"/>
          <w:highlight w:val="none"/>
        </w:rPr>
        <w:t>标分项报价表（货物类项目）</w:t>
      </w:r>
    </w:p>
    <w:p>
      <w:pPr>
        <w:autoSpaceDE w:val="0"/>
        <w:autoSpaceDN w:val="0"/>
        <w:adjustRightInd w:val="0"/>
        <w:spacing w:line="360" w:lineRule="auto"/>
        <w:jc w:val="center"/>
        <w:outlineLvl w:val="0"/>
        <w:rPr>
          <w:rFonts w:ascii="宋体" w:hAnsi="宋体"/>
          <w:b/>
          <w:bCs/>
          <w:color w:val="000000"/>
          <w:sz w:val="24"/>
          <w:szCs w:val="24"/>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名</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技术</w:t>
            </w:r>
          </w:p>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数</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产地及</w:t>
            </w:r>
          </w:p>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highlight w:val="none"/>
              </w:rPr>
            </w:pPr>
            <w:r>
              <w:rPr>
                <w:rFonts w:hint="eastAsia" w:cs="宋体" w:asciiTheme="minorEastAsia" w:hAnsiTheme="minorEastAsia"/>
                <w:szCs w:val="21"/>
                <w:highlight w:val="none"/>
                <w:lang w:val="zh-CN"/>
              </w:rPr>
              <w:t>合</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highlight w:val="none"/>
                <w:lang w:val="zh-CN"/>
              </w:rPr>
            </w:pPr>
            <w:r>
              <w:rPr>
                <w:rFonts w:hint="eastAsia" w:cs="宋体" w:asciiTheme="minorEastAsia" w:hAnsiTheme="minorEastAsia"/>
                <w:szCs w:val="21"/>
                <w:highlight w:val="none"/>
                <w:lang w:val="zh-CN"/>
              </w:rPr>
              <w:t>大写：　　　　　　</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小写：</w:t>
            </w: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highlight w:val="none"/>
          <w:lang w:val="zh-CN"/>
        </w:rPr>
      </w:pPr>
    </w:p>
    <w:p>
      <w:pPr>
        <w:spacing w:line="300" w:lineRule="exact"/>
        <w:rPr>
          <w:rFonts w:asciiTheme="minorEastAsia" w:hAnsiTheme="minorEastAsia"/>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4.2 技术规格偏离表（货物类项目）</w:t>
      </w: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货物服务</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招标文件</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投标技术</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w:t>
            </w:r>
          </w:p>
          <w:p>
            <w:pPr>
              <w:jc w:val="center"/>
              <w:rPr>
                <w:rFonts w:ascii="宋体" w:hAnsi="宋体" w:eastAsia="宋体" w:cs="宋体"/>
                <w:b/>
                <w:bCs/>
                <w:szCs w:val="21"/>
                <w:highlight w:val="none"/>
              </w:rPr>
            </w:pPr>
            <w:r>
              <w:rPr>
                <w:rFonts w:hint="eastAsia" w:ascii="宋体" w:hAnsi="宋体" w:eastAsia="宋体" w:cs="宋体"/>
                <w:b/>
                <w:bCs/>
                <w:szCs w:val="21"/>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偏离内容</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bCs/>
                <w:szCs w:val="21"/>
                <w:highlight w:val="none"/>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szCs w:val="21"/>
                <w:highlight w:val="none"/>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Cs w:val="21"/>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4.3 技术方案（实施方案）</w:t>
      </w: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4.4 业绩情况表</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snapToGrid w:val="0"/>
        <w:spacing w:line="360" w:lineRule="auto"/>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序号</w:t>
            </w:r>
          </w:p>
        </w:tc>
        <w:tc>
          <w:tcPr>
            <w:tcW w:w="1808"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客户单位名称</w:t>
            </w:r>
          </w:p>
        </w:tc>
        <w:tc>
          <w:tcPr>
            <w:tcW w:w="3579"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项目名称及主要内容</w:t>
            </w:r>
          </w:p>
        </w:tc>
        <w:tc>
          <w:tcPr>
            <w:tcW w:w="1440" w:type="dxa"/>
            <w:shd w:val="clear" w:color="auto" w:fill="F3F3F3"/>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合同金额</w:t>
            </w:r>
          </w:p>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（万元）</w:t>
            </w:r>
          </w:p>
        </w:tc>
        <w:tc>
          <w:tcPr>
            <w:tcW w:w="1706"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1</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2</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3</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4</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4.5 售后服务方案</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4.6 中小企业声明函</w:t>
      </w:r>
    </w:p>
    <w:p>
      <w:pPr>
        <w:spacing w:line="360" w:lineRule="auto"/>
        <w:jc w:val="center"/>
        <w:rPr>
          <w:rFonts w:ascii="宋体" w:hAnsi="宋体"/>
          <w:b/>
          <w:bCs/>
          <w:color w:val="000000"/>
          <w:szCs w:val="21"/>
          <w:highlight w:val="none"/>
        </w:rPr>
      </w:pP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根据《工业和信息化部、国家统计局、国家发展和改革委员会、财政部关于印发中小企业划型标准规定的通知》（工信部联企业[2011]300号）规定的划分标准，</w:t>
      </w:r>
      <w:r>
        <w:rPr>
          <w:rFonts w:hint="eastAsia"/>
          <w:color w:val="000000"/>
          <w:szCs w:val="21"/>
          <w:highlight w:val="none"/>
        </w:rPr>
        <w:t>按照《国家统计局关于印发统计上大中小微型企业划分办法的通知》（国统字</w:t>
      </w:r>
      <w:r>
        <w:rPr>
          <w:color w:val="000000"/>
          <w:szCs w:val="21"/>
          <w:highlight w:val="none"/>
        </w:rPr>
        <w:t>[2011] 75</w:t>
      </w:r>
      <w:r>
        <w:rPr>
          <w:rFonts w:hint="eastAsia"/>
          <w:color w:val="000000"/>
          <w:szCs w:val="21"/>
          <w:highlight w:val="none"/>
        </w:rPr>
        <w:t>号）规定，本公司所属行业为</w:t>
      </w:r>
      <w:r>
        <w:rPr>
          <w:color w:val="000000"/>
          <w:szCs w:val="21"/>
          <w:highlight w:val="none"/>
        </w:rPr>
        <w:t>______</w:t>
      </w:r>
      <w:r>
        <w:rPr>
          <w:rFonts w:hint="eastAsia"/>
          <w:color w:val="000000"/>
          <w:szCs w:val="21"/>
          <w:highlight w:val="none"/>
        </w:rPr>
        <w:t>，截至上一财年末，公司资产总额</w:t>
      </w:r>
      <w:r>
        <w:rPr>
          <w:color w:val="000000"/>
          <w:szCs w:val="21"/>
          <w:highlight w:val="none"/>
        </w:rPr>
        <w:t>______</w:t>
      </w:r>
      <w:r>
        <w:rPr>
          <w:rFonts w:hint="eastAsia"/>
          <w:color w:val="000000"/>
          <w:szCs w:val="21"/>
          <w:highlight w:val="none"/>
        </w:rPr>
        <w:t>万元，营业收入</w:t>
      </w:r>
      <w:r>
        <w:rPr>
          <w:color w:val="000000"/>
          <w:szCs w:val="21"/>
          <w:highlight w:val="none"/>
        </w:rPr>
        <w:t>______</w:t>
      </w:r>
      <w:r>
        <w:rPr>
          <w:rFonts w:hint="eastAsia"/>
          <w:color w:val="000000"/>
          <w:szCs w:val="21"/>
          <w:highlight w:val="none"/>
        </w:rPr>
        <w:t>万元，从业人员</w:t>
      </w:r>
      <w:r>
        <w:rPr>
          <w:color w:val="000000"/>
          <w:szCs w:val="21"/>
          <w:highlight w:val="none"/>
        </w:rPr>
        <w:t>______</w:t>
      </w:r>
      <w:r>
        <w:rPr>
          <w:rFonts w:hint="eastAsia"/>
          <w:color w:val="000000"/>
          <w:szCs w:val="21"/>
          <w:highlight w:val="none"/>
        </w:rPr>
        <w:t>人，</w:t>
      </w:r>
      <w:r>
        <w:rPr>
          <w:rFonts w:hint="eastAsia" w:ascii="宋体" w:hAnsi="宋体" w:cs="Arial"/>
          <w:color w:val="000000"/>
          <w:kern w:val="0"/>
          <w:szCs w:val="21"/>
          <w:highlight w:val="none"/>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r>
        <w:rPr>
          <w:rFonts w:hint="eastAsia" w:ascii="宋体" w:hAnsi="宋体" w:cs="Arial"/>
          <w:color w:val="000000"/>
          <w:kern w:val="0"/>
          <w:szCs w:val="21"/>
          <w:highlight w:val="none"/>
        </w:rPr>
        <w:t>企业名称（盖章）：　　　　　　　　　</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xml:space="preserve">日　  期：      </w:t>
      </w:r>
      <w:r>
        <w:rPr>
          <w:rFonts w:hint="eastAsia" w:cs="宋体" w:asciiTheme="minorEastAsia" w:hAnsiTheme="minorEastAsia"/>
          <w:szCs w:val="21"/>
          <w:highlight w:val="none"/>
        </w:rPr>
        <w:t>年    月    日</w:t>
      </w:r>
    </w:p>
    <w:p>
      <w:pPr>
        <w:widowControl/>
        <w:spacing w:before="100" w:beforeAutospacing="1" w:after="100" w:afterAutospacing="1" w:line="360" w:lineRule="auto"/>
        <w:contextualSpacing/>
        <w:jc w:val="left"/>
        <w:rPr>
          <w:rFonts w:ascii="宋体" w:hAnsi="宋体"/>
          <w:color w:val="000000"/>
          <w:szCs w:val="21"/>
          <w:highlight w:val="none"/>
        </w:rPr>
      </w:pPr>
      <w:r>
        <w:rPr>
          <w:rFonts w:hint="eastAsia" w:ascii="宋体" w:hAnsi="宋体"/>
          <w:color w:val="000000"/>
          <w:szCs w:val="21"/>
          <w:highlight w:val="none"/>
        </w:rPr>
        <w:t>说明：</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highlight w:val="none"/>
        </w:rPr>
      </w:pPr>
      <w:bookmarkStart w:id="12" w:name="OLE_LINK13"/>
      <w:bookmarkStart w:id="13" w:name="OLE_LINK14"/>
      <w:r>
        <w:rPr>
          <w:rFonts w:hint="eastAsia" w:ascii="宋体" w:hAnsi="宋体"/>
          <w:b/>
          <w:bCs/>
          <w:color w:val="000000"/>
          <w:sz w:val="24"/>
          <w:szCs w:val="24"/>
          <w:highlight w:val="none"/>
        </w:rPr>
        <w:t>4.7 残疾人福利性单位声明函</w:t>
      </w:r>
    </w:p>
    <w:bookmarkEnd w:id="12"/>
    <w:bookmarkEnd w:id="13"/>
    <w:p>
      <w:pPr>
        <w:spacing w:line="360" w:lineRule="auto"/>
        <w:rPr>
          <w:rFonts w:ascii="宋体" w:hAnsi="宋体"/>
          <w:szCs w:val="21"/>
          <w:highlight w:val="none"/>
        </w:rPr>
      </w:pPr>
    </w:p>
    <w:p>
      <w:pPr>
        <w:spacing w:line="360" w:lineRule="auto"/>
        <w:ind w:firstLine="420" w:firstLineChars="200"/>
        <w:rPr>
          <w:rFonts w:ascii="宋体" w:hAnsi="宋体"/>
          <w:szCs w:val="21"/>
          <w:highlight w:val="none"/>
        </w:rPr>
      </w:pPr>
      <w:r>
        <w:rPr>
          <w:rFonts w:hint="eastAsia" w:ascii="宋体" w:hAnsi="宋体"/>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highlight w:val="none"/>
          <w:u w:val="single"/>
        </w:rPr>
        <w:t xml:space="preserve">        </w:t>
      </w:r>
      <w:r>
        <w:rPr>
          <w:rFonts w:hint="eastAsia" w:ascii="宋体" w:hAnsi="宋体"/>
          <w:szCs w:val="21"/>
          <w:highlight w:val="none"/>
        </w:rPr>
        <w:t>单位的</w:t>
      </w:r>
      <w:r>
        <w:rPr>
          <w:rFonts w:hint="eastAsia" w:ascii="宋体" w:hAnsi="宋体"/>
          <w:szCs w:val="21"/>
          <w:highlight w:val="none"/>
          <w:u w:val="single"/>
        </w:rPr>
        <w:t xml:space="preserve">           </w:t>
      </w:r>
      <w:r>
        <w:rPr>
          <w:rFonts w:hint="eastAsia" w:ascii="宋体" w:hAnsi="宋体"/>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highlight w:val="none"/>
        </w:rPr>
      </w:pPr>
      <w:r>
        <w:rPr>
          <w:rFonts w:hint="eastAsia" w:ascii="宋体" w:hAnsi="宋体"/>
          <w:szCs w:val="21"/>
          <w:highlight w:val="none"/>
        </w:rPr>
        <w:t>本单位对上述声明的真实性负责。如有虚假，将依法承担相应责任。</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 xml:space="preserve">                                    单位名称（盖章）：</w:t>
      </w:r>
    </w:p>
    <w:p>
      <w:pPr>
        <w:spacing w:line="360" w:lineRule="auto"/>
        <w:rPr>
          <w:rFonts w:ascii="宋体" w:hAnsi="宋体"/>
          <w:szCs w:val="21"/>
          <w:highlight w:val="none"/>
        </w:rPr>
      </w:pPr>
      <w:r>
        <w:rPr>
          <w:rFonts w:hint="eastAsia" w:ascii="宋体" w:hAnsi="宋体"/>
          <w:szCs w:val="21"/>
          <w:highlight w:val="none"/>
        </w:rPr>
        <w:t xml:space="preserve">                                    日    期：      </w:t>
      </w:r>
      <w:r>
        <w:rPr>
          <w:rFonts w:hint="eastAsia" w:cs="宋体" w:asciiTheme="minorEastAsia" w:hAnsiTheme="minorEastAsia"/>
          <w:szCs w:val="21"/>
          <w:highlight w:val="none"/>
        </w:rPr>
        <w:t>年    月    日</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line="360" w:lineRule="auto"/>
        <w:jc w:val="center"/>
        <w:rPr>
          <w:rFonts w:ascii="宋体" w:hAnsi="宋体" w:cs="Arial"/>
          <w:color w:val="000000"/>
          <w:kern w:val="0"/>
          <w:szCs w:val="21"/>
          <w:highlight w:val="none"/>
        </w:rPr>
      </w:pPr>
      <w:r>
        <w:rPr>
          <w:rFonts w:hint="eastAsia" w:ascii="宋体" w:hAnsi="宋体" w:cs="Arial"/>
          <w:color w:val="000000"/>
          <w:kern w:val="0"/>
          <w:szCs w:val="21"/>
          <w:highlight w:val="none"/>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highlight w:val="none"/>
        </w:rPr>
      </w:pPr>
    </w:p>
    <w:p>
      <w:pPr>
        <w:widowControl/>
        <w:spacing w:before="100" w:beforeAutospacing="1" w:after="100" w:afterAutospacing="1" w:line="360" w:lineRule="auto"/>
        <w:jc w:val="center"/>
        <w:rPr>
          <w:rFonts w:ascii="宋体" w:hAnsi="宋体"/>
          <w:b/>
          <w:bCs/>
          <w:color w:val="000000"/>
          <w:sz w:val="36"/>
          <w:szCs w:val="36"/>
          <w:highlight w:val="none"/>
        </w:rPr>
      </w:pPr>
    </w:p>
    <w:p>
      <w:pPr>
        <w:rPr>
          <w:highlight w:val="none"/>
        </w:rPr>
      </w:pPr>
    </w:p>
    <w:p>
      <w:pPr>
        <w:rPr>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zh-CN"/>
        </w:rPr>
        <w:t>五、</w:t>
      </w:r>
      <w:r>
        <w:rPr>
          <w:rFonts w:cs="黑体" w:asciiTheme="minorEastAsia" w:hAnsiTheme="minorEastAsia"/>
          <w:b/>
          <w:bCs/>
          <w:sz w:val="28"/>
          <w:szCs w:val="28"/>
          <w:highlight w:val="none"/>
          <w:lang w:val="zh-CN"/>
        </w:rPr>
        <w:t>其他资料（若有）</w:t>
      </w:r>
    </w:p>
    <w:p>
      <w:pPr>
        <w:rPr>
          <w:highlight w:val="none"/>
        </w:rPr>
      </w:pPr>
    </w:p>
    <w:p>
      <w:pPr>
        <w:rPr>
          <w:highlight w:val="none"/>
        </w:rPr>
      </w:pPr>
    </w:p>
    <w:p>
      <w:pPr>
        <w:rPr>
          <w:highlight w:val="none"/>
        </w:rPr>
      </w:pP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17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C2"/>
    <w:multiLevelType w:val="singleLevel"/>
    <w:tmpl w:val="59F817C2"/>
    <w:lvl w:ilvl="0" w:tentative="0">
      <w:start w:val="2"/>
      <w:numFmt w:val="chineseCounting"/>
      <w:suff w:val="space"/>
      <w:lvlText w:val="第%1章"/>
      <w:lvlJc w:val="left"/>
    </w:lvl>
  </w:abstractNum>
  <w:abstractNum w:abstractNumId="13">
    <w:nsid w:val="59F817E8"/>
    <w:multiLevelType w:val="singleLevel"/>
    <w:tmpl w:val="59F817E8"/>
    <w:lvl w:ilvl="0" w:tentative="0">
      <w:start w:val="1"/>
      <w:numFmt w:val="chineseCounting"/>
      <w:pStyle w:val="51"/>
      <w:suff w:val="nothing"/>
      <w:lvlText w:val="%1、"/>
      <w:lvlJc w:val="left"/>
    </w:lvl>
  </w:abstractNum>
  <w:abstractNum w:abstractNumId="14">
    <w:nsid w:val="5B9B6974"/>
    <w:multiLevelType w:val="singleLevel"/>
    <w:tmpl w:val="5B9B6974"/>
    <w:lvl w:ilvl="0" w:tentative="0">
      <w:start w:val="1"/>
      <w:numFmt w:val="chineseCounting"/>
      <w:suff w:val="nothing"/>
      <w:lvlText w:val="%1、"/>
      <w:lvlJc w:val="left"/>
      <w:rPr>
        <w:rFonts w:hint="eastAsia"/>
      </w:rPr>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3"/>
  </w:num>
  <w:num w:numId="4">
    <w:abstractNumId w:val="12"/>
  </w:num>
  <w:num w:numId="5">
    <w:abstractNumId w:val="14"/>
  </w:num>
  <w:num w:numId="6">
    <w:abstractNumId w:val="7"/>
  </w:num>
  <w:num w:numId="7">
    <w:abstractNumId w:val="15"/>
  </w:num>
  <w:num w:numId="8">
    <w:abstractNumId w:val="8"/>
  </w:num>
  <w:num w:numId="9">
    <w:abstractNumId w:val="4"/>
  </w:num>
  <w:num w:numId="10">
    <w:abstractNumId w:val="5"/>
  </w:num>
  <w:num w:numId="11">
    <w:abstractNumId w:val="17"/>
  </w:num>
  <w:num w:numId="12">
    <w:abstractNumId w:val="10"/>
  </w:num>
  <w:num w:numId="13">
    <w:abstractNumId w:val="16"/>
  </w:num>
  <w:num w:numId="14">
    <w:abstractNumId w:val="3"/>
  </w:num>
  <w:num w:numId="15">
    <w:abstractNumId w:val="6"/>
  </w:num>
  <w:num w:numId="16">
    <w:abstractNumId w:val="11"/>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527E"/>
    <w:rsid w:val="000038EC"/>
    <w:rsid w:val="000125D2"/>
    <w:rsid w:val="00013E96"/>
    <w:rsid w:val="00014754"/>
    <w:rsid w:val="000249DA"/>
    <w:rsid w:val="00025C44"/>
    <w:rsid w:val="00026B40"/>
    <w:rsid w:val="0003728F"/>
    <w:rsid w:val="00045650"/>
    <w:rsid w:val="00060E86"/>
    <w:rsid w:val="00067481"/>
    <w:rsid w:val="00067C9C"/>
    <w:rsid w:val="00081595"/>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7312"/>
    <w:rsid w:val="001D1685"/>
    <w:rsid w:val="001D2B18"/>
    <w:rsid w:val="001E1429"/>
    <w:rsid w:val="001E7708"/>
    <w:rsid w:val="00203E42"/>
    <w:rsid w:val="00204DF9"/>
    <w:rsid w:val="002175E7"/>
    <w:rsid w:val="0022188F"/>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21D34"/>
    <w:rsid w:val="0032405E"/>
    <w:rsid w:val="00331995"/>
    <w:rsid w:val="003342D8"/>
    <w:rsid w:val="0033506B"/>
    <w:rsid w:val="00342089"/>
    <w:rsid w:val="00352DF4"/>
    <w:rsid w:val="0035369D"/>
    <w:rsid w:val="00360545"/>
    <w:rsid w:val="0036152C"/>
    <w:rsid w:val="003639CB"/>
    <w:rsid w:val="0036447A"/>
    <w:rsid w:val="00371295"/>
    <w:rsid w:val="003726CA"/>
    <w:rsid w:val="00377AC4"/>
    <w:rsid w:val="00380522"/>
    <w:rsid w:val="00391A94"/>
    <w:rsid w:val="0039370D"/>
    <w:rsid w:val="003971D7"/>
    <w:rsid w:val="00397CD6"/>
    <w:rsid w:val="003A5CBF"/>
    <w:rsid w:val="003B0247"/>
    <w:rsid w:val="003B0702"/>
    <w:rsid w:val="003B11BC"/>
    <w:rsid w:val="003B2E92"/>
    <w:rsid w:val="003B5A23"/>
    <w:rsid w:val="003C2FDE"/>
    <w:rsid w:val="003D0F3B"/>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73F"/>
    <w:rsid w:val="00432BA9"/>
    <w:rsid w:val="00435C50"/>
    <w:rsid w:val="00444404"/>
    <w:rsid w:val="004458B3"/>
    <w:rsid w:val="00450FD5"/>
    <w:rsid w:val="0045454F"/>
    <w:rsid w:val="004552DD"/>
    <w:rsid w:val="004555BF"/>
    <w:rsid w:val="00455D39"/>
    <w:rsid w:val="00456AAA"/>
    <w:rsid w:val="00466052"/>
    <w:rsid w:val="00471DCF"/>
    <w:rsid w:val="0047255E"/>
    <w:rsid w:val="00473A3B"/>
    <w:rsid w:val="00475D6F"/>
    <w:rsid w:val="004836C1"/>
    <w:rsid w:val="00490B4A"/>
    <w:rsid w:val="0049409E"/>
    <w:rsid w:val="004960A0"/>
    <w:rsid w:val="004A37B2"/>
    <w:rsid w:val="004B0A88"/>
    <w:rsid w:val="004B5C96"/>
    <w:rsid w:val="004C0D4D"/>
    <w:rsid w:val="004C0F8F"/>
    <w:rsid w:val="004C41D8"/>
    <w:rsid w:val="004C526D"/>
    <w:rsid w:val="004C5E01"/>
    <w:rsid w:val="004C7600"/>
    <w:rsid w:val="004D3D55"/>
    <w:rsid w:val="004D749D"/>
    <w:rsid w:val="004E671C"/>
    <w:rsid w:val="005001C4"/>
    <w:rsid w:val="00503567"/>
    <w:rsid w:val="00506310"/>
    <w:rsid w:val="00506E21"/>
    <w:rsid w:val="00510B29"/>
    <w:rsid w:val="00511187"/>
    <w:rsid w:val="00515CD7"/>
    <w:rsid w:val="005223E7"/>
    <w:rsid w:val="005242A0"/>
    <w:rsid w:val="005242FC"/>
    <w:rsid w:val="00543774"/>
    <w:rsid w:val="0054495A"/>
    <w:rsid w:val="00551D04"/>
    <w:rsid w:val="005637E2"/>
    <w:rsid w:val="00566E94"/>
    <w:rsid w:val="0057125E"/>
    <w:rsid w:val="005723F8"/>
    <w:rsid w:val="00580FBF"/>
    <w:rsid w:val="00583761"/>
    <w:rsid w:val="00583EAF"/>
    <w:rsid w:val="00584158"/>
    <w:rsid w:val="00585056"/>
    <w:rsid w:val="00585C8D"/>
    <w:rsid w:val="00586484"/>
    <w:rsid w:val="005930FB"/>
    <w:rsid w:val="005978CC"/>
    <w:rsid w:val="005A0F07"/>
    <w:rsid w:val="005B1360"/>
    <w:rsid w:val="005D0BBF"/>
    <w:rsid w:val="005D1822"/>
    <w:rsid w:val="005D209E"/>
    <w:rsid w:val="005D2AF1"/>
    <w:rsid w:val="005E0C2F"/>
    <w:rsid w:val="005E25D4"/>
    <w:rsid w:val="005E7603"/>
    <w:rsid w:val="005F34DE"/>
    <w:rsid w:val="005F6C34"/>
    <w:rsid w:val="006042BA"/>
    <w:rsid w:val="006121F2"/>
    <w:rsid w:val="006127ED"/>
    <w:rsid w:val="00615A1B"/>
    <w:rsid w:val="006203D4"/>
    <w:rsid w:val="006251F5"/>
    <w:rsid w:val="00625517"/>
    <w:rsid w:val="00636AAD"/>
    <w:rsid w:val="006433A7"/>
    <w:rsid w:val="0065716D"/>
    <w:rsid w:val="00662CA9"/>
    <w:rsid w:val="00671430"/>
    <w:rsid w:val="006754C2"/>
    <w:rsid w:val="0067638E"/>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40DAA"/>
    <w:rsid w:val="00752433"/>
    <w:rsid w:val="00756D00"/>
    <w:rsid w:val="00762E7D"/>
    <w:rsid w:val="0076566E"/>
    <w:rsid w:val="0077354D"/>
    <w:rsid w:val="00786F9A"/>
    <w:rsid w:val="00787606"/>
    <w:rsid w:val="00787A46"/>
    <w:rsid w:val="00792FB0"/>
    <w:rsid w:val="00796F1C"/>
    <w:rsid w:val="007A4155"/>
    <w:rsid w:val="007B6124"/>
    <w:rsid w:val="007B7A09"/>
    <w:rsid w:val="007E357B"/>
    <w:rsid w:val="007E740A"/>
    <w:rsid w:val="007F13CB"/>
    <w:rsid w:val="007F44E2"/>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61CAB"/>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7E3F"/>
    <w:rsid w:val="008F09BC"/>
    <w:rsid w:val="008F25FB"/>
    <w:rsid w:val="008F4C40"/>
    <w:rsid w:val="0091007A"/>
    <w:rsid w:val="00915BCF"/>
    <w:rsid w:val="00923CEE"/>
    <w:rsid w:val="00925A0C"/>
    <w:rsid w:val="009273FE"/>
    <w:rsid w:val="00927E5E"/>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3668"/>
    <w:rsid w:val="00A44311"/>
    <w:rsid w:val="00A45162"/>
    <w:rsid w:val="00A563C1"/>
    <w:rsid w:val="00A60BAA"/>
    <w:rsid w:val="00A6470C"/>
    <w:rsid w:val="00A660D7"/>
    <w:rsid w:val="00A66E23"/>
    <w:rsid w:val="00A719D3"/>
    <w:rsid w:val="00A75F45"/>
    <w:rsid w:val="00A82ECD"/>
    <w:rsid w:val="00A92F80"/>
    <w:rsid w:val="00A9585A"/>
    <w:rsid w:val="00A9655D"/>
    <w:rsid w:val="00AA263A"/>
    <w:rsid w:val="00AA3BA5"/>
    <w:rsid w:val="00AA7436"/>
    <w:rsid w:val="00AB31CF"/>
    <w:rsid w:val="00AB7E1C"/>
    <w:rsid w:val="00AC4AA2"/>
    <w:rsid w:val="00AE3C24"/>
    <w:rsid w:val="00AF05E5"/>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2008A"/>
    <w:rsid w:val="00C2135E"/>
    <w:rsid w:val="00C2328C"/>
    <w:rsid w:val="00C24FFF"/>
    <w:rsid w:val="00C264A3"/>
    <w:rsid w:val="00C31673"/>
    <w:rsid w:val="00C34246"/>
    <w:rsid w:val="00C34BFA"/>
    <w:rsid w:val="00C3795C"/>
    <w:rsid w:val="00C37B84"/>
    <w:rsid w:val="00C42F15"/>
    <w:rsid w:val="00C4372D"/>
    <w:rsid w:val="00C47C6B"/>
    <w:rsid w:val="00C47DAB"/>
    <w:rsid w:val="00C505B8"/>
    <w:rsid w:val="00C7135F"/>
    <w:rsid w:val="00C87FE2"/>
    <w:rsid w:val="00C901F9"/>
    <w:rsid w:val="00C94030"/>
    <w:rsid w:val="00CA1263"/>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5B90"/>
    <w:rsid w:val="00DF1B6D"/>
    <w:rsid w:val="00DF7176"/>
    <w:rsid w:val="00DF768C"/>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54AB0"/>
    <w:rsid w:val="00F7295C"/>
    <w:rsid w:val="00F77444"/>
    <w:rsid w:val="00F82204"/>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F1177"/>
    <w:rsid w:val="00FF1CC3"/>
    <w:rsid w:val="00FF4CB4"/>
    <w:rsid w:val="00FF5143"/>
    <w:rsid w:val="00FF5683"/>
    <w:rsid w:val="024D63D8"/>
    <w:rsid w:val="03EA15C2"/>
    <w:rsid w:val="057B354B"/>
    <w:rsid w:val="06C90EA4"/>
    <w:rsid w:val="0A582101"/>
    <w:rsid w:val="10E64FA4"/>
    <w:rsid w:val="13464CFF"/>
    <w:rsid w:val="1EC1311C"/>
    <w:rsid w:val="1F581F8C"/>
    <w:rsid w:val="1F9146D7"/>
    <w:rsid w:val="20513484"/>
    <w:rsid w:val="23BE10D0"/>
    <w:rsid w:val="23D042A8"/>
    <w:rsid w:val="24471EC8"/>
    <w:rsid w:val="25F227F3"/>
    <w:rsid w:val="279B317D"/>
    <w:rsid w:val="2C635DC2"/>
    <w:rsid w:val="33813D07"/>
    <w:rsid w:val="33BC3DF7"/>
    <w:rsid w:val="35DB3970"/>
    <w:rsid w:val="4C343B6A"/>
    <w:rsid w:val="4F004D7D"/>
    <w:rsid w:val="59235662"/>
    <w:rsid w:val="5B1F0BB5"/>
    <w:rsid w:val="5CAE3B9E"/>
    <w:rsid w:val="5F7952C7"/>
    <w:rsid w:val="616B0130"/>
    <w:rsid w:val="62A27B5F"/>
    <w:rsid w:val="63250FF2"/>
    <w:rsid w:val="632D7F14"/>
    <w:rsid w:val="642B11B3"/>
    <w:rsid w:val="6B6D7BF2"/>
    <w:rsid w:val="757D07F4"/>
    <w:rsid w:val="768205BA"/>
    <w:rsid w:val="78735A1C"/>
    <w:rsid w:val="7EA71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8"/>
    <w:qFormat/>
    <w:uiPriority w:val="0"/>
    <w:rPr>
      <w:rFonts w:ascii="Times New Roman" w:hAnsi="Times New Roman" w:eastAsia="宋体" w:cs="Times New Roman"/>
      <w:color w:val="FF0000"/>
      <w:sz w:val="24"/>
      <w:szCs w:val="24"/>
    </w:rPr>
  </w:style>
  <w:style w:type="paragraph" w:styleId="9">
    <w:name w:val="Body Text"/>
    <w:basedOn w:val="1"/>
    <w:link w:val="52"/>
    <w:semiHidden/>
    <w:unhideWhenUsed/>
    <w:qFormat/>
    <w:uiPriority w:val="99"/>
    <w:pPr>
      <w:spacing w:after="120"/>
    </w:pPr>
  </w:style>
  <w:style w:type="paragraph" w:styleId="10">
    <w:name w:val="Body Text Indent"/>
    <w:basedOn w:val="1"/>
    <w:link w:val="56"/>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3"/>
    <w:qFormat/>
    <w:uiPriority w:val="0"/>
    <w:rPr>
      <w:rFonts w:eastAsia="宋体"/>
      <w:sz w:val="24"/>
    </w:rPr>
  </w:style>
  <w:style w:type="paragraph" w:styleId="14">
    <w:name w:val="Date"/>
    <w:basedOn w:val="1"/>
    <w:next w:val="1"/>
    <w:link w:val="34"/>
    <w:unhideWhenUsed/>
    <w:qFormat/>
    <w:uiPriority w:val="99"/>
    <w:pPr>
      <w:ind w:left="100" w:leftChars="2500"/>
    </w:pPr>
  </w:style>
  <w:style w:type="paragraph" w:styleId="15">
    <w:name w:val="Balloon Text"/>
    <w:basedOn w:val="1"/>
    <w:link w:val="58"/>
    <w:semiHidden/>
    <w:unhideWhenUsed/>
    <w:qFormat/>
    <w:uiPriority w:val="99"/>
    <w:rPr>
      <w:sz w:val="18"/>
      <w:szCs w:val="18"/>
    </w:rPr>
  </w:style>
  <w:style w:type="paragraph" w:styleId="16">
    <w:name w:val="footer"/>
    <w:basedOn w:val="1"/>
    <w:link w:val="35"/>
    <w:unhideWhenUsed/>
    <w:qFormat/>
    <w:uiPriority w:val="99"/>
    <w:pPr>
      <w:tabs>
        <w:tab w:val="center" w:pos="4153"/>
        <w:tab w:val="right" w:pos="8306"/>
      </w:tabs>
      <w:snapToGrid w:val="0"/>
      <w:jc w:val="left"/>
    </w:pPr>
    <w:rPr>
      <w:sz w:val="18"/>
      <w:szCs w:val="18"/>
    </w:rPr>
  </w:style>
  <w:style w:type="paragraph" w:styleId="17">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3"/>
    <w:qFormat/>
    <w:uiPriority w:val="0"/>
    <w:pPr>
      <w:ind w:firstLine="420" w:firstLineChars="100"/>
    </w:pPr>
    <w:rPr>
      <w:rFonts w:ascii="宋体" w:hAnsi="Times New Roman" w:eastAsia="宋体" w:cs="Times New Roman"/>
      <w:kern w:val="0"/>
      <w:sz w:val="34"/>
      <w:szCs w:val="20"/>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rPr>
  </w:style>
  <w:style w:type="character" w:styleId="27">
    <w:name w:val="Emphasis"/>
    <w:basedOn w:val="24"/>
    <w:qFormat/>
    <w:uiPriority w:val="20"/>
  </w:style>
  <w:style w:type="character" w:styleId="28">
    <w:name w:val="Hyperlink"/>
    <w:basedOn w:val="24"/>
    <w:unhideWhenUsed/>
    <w:qFormat/>
    <w:uiPriority w:val="99"/>
    <w:rPr>
      <w:color w:val="000000"/>
      <w:u w:val="none"/>
    </w:rPr>
  </w:style>
  <w:style w:type="character" w:customStyle="1" w:styleId="29">
    <w:name w:val="标题 1 Char"/>
    <w:basedOn w:val="24"/>
    <w:link w:val="2"/>
    <w:qFormat/>
    <w:uiPriority w:val="0"/>
    <w:rPr>
      <w:rFonts w:ascii="Calibri" w:hAnsi="Calibri" w:eastAsia="宋体" w:cs="Times New Roman"/>
      <w:b/>
      <w:bCs/>
      <w:kern w:val="44"/>
      <w:sz w:val="44"/>
      <w:szCs w:val="44"/>
    </w:rPr>
  </w:style>
  <w:style w:type="character" w:customStyle="1" w:styleId="30">
    <w:name w:val="标题 2 Char"/>
    <w:basedOn w:val="24"/>
    <w:link w:val="3"/>
    <w:qFormat/>
    <w:uiPriority w:val="0"/>
    <w:rPr>
      <w:rFonts w:ascii="Arial" w:hAnsi="Arial" w:eastAsia="黑体" w:cs="Times New Roman"/>
      <w:b/>
      <w:bCs/>
      <w:kern w:val="0"/>
      <w:sz w:val="32"/>
      <w:szCs w:val="32"/>
    </w:rPr>
  </w:style>
  <w:style w:type="character" w:customStyle="1" w:styleId="31">
    <w:name w:val="标题 3 Char"/>
    <w:basedOn w:val="24"/>
    <w:link w:val="4"/>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5"/>
    <w:qFormat/>
    <w:uiPriority w:val="0"/>
    <w:rPr>
      <w:rFonts w:ascii="Arial" w:hAnsi="Arial" w:eastAsia="黑体" w:cs="Times New Roman"/>
      <w:b/>
      <w:bCs/>
      <w:kern w:val="0"/>
      <w:sz w:val="28"/>
      <w:szCs w:val="28"/>
    </w:rPr>
  </w:style>
  <w:style w:type="character" w:customStyle="1" w:styleId="33">
    <w:name w:val="纯文本 Char"/>
    <w:basedOn w:val="24"/>
    <w:link w:val="13"/>
    <w:qFormat/>
    <w:uiPriority w:val="0"/>
    <w:rPr>
      <w:rFonts w:eastAsia="宋体"/>
      <w:sz w:val="24"/>
    </w:rPr>
  </w:style>
  <w:style w:type="character" w:customStyle="1" w:styleId="34">
    <w:name w:val="日期 Char"/>
    <w:basedOn w:val="24"/>
    <w:link w:val="14"/>
    <w:qFormat/>
    <w:uiPriority w:val="99"/>
  </w:style>
  <w:style w:type="character" w:customStyle="1" w:styleId="35">
    <w:name w:val="页脚 Char"/>
    <w:basedOn w:val="24"/>
    <w:link w:val="16"/>
    <w:qFormat/>
    <w:uiPriority w:val="99"/>
    <w:rPr>
      <w:sz w:val="18"/>
      <w:szCs w:val="18"/>
    </w:rPr>
  </w:style>
  <w:style w:type="character" w:customStyle="1" w:styleId="36">
    <w:name w:val="页眉 Char"/>
    <w:basedOn w:val="24"/>
    <w:link w:val="17"/>
    <w:qFormat/>
    <w:uiPriority w:val="99"/>
    <w:rPr>
      <w:sz w:val="18"/>
      <w:szCs w:val="18"/>
    </w:rPr>
  </w:style>
  <w:style w:type="character" w:customStyle="1" w:styleId="37">
    <w:name w:val="纯文本 Char1"/>
    <w:qFormat/>
    <w:uiPriority w:val="0"/>
    <w:rPr>
      <w:rFonts w:eastAsia="宋体"/>
      <w:sz w:val="24"/>
    </w:rPr>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9">
    <w:name w:val="列出段落1"/>
    <w:basedOn w:val="1"/>
    <w:qFormat/>
    <w:uiPriority w:val="34"/>
    <w:pPr>
      <w:ind w:firstLine="420" w:firstLineChars="200"/>
    </w:pPr>
  </w:style>
  <w:style w:type="paragraph" w:styleId="40">
    <w:name w:val="List Paragraph"/>
    <w:basedOn w:val="1"/>
    <w:unhideWhenUsed/>
    <w:qFormat/>
    <w:uiPriority w:val="99"/>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Char"/>
    <w:basedOn w:val="24"/>
    <w:link w:val="8"/>
    <w:qFormat/>
    <w:uiPriority w:val="0"/>
    <w:rPr>
      <w:rFonts w:ascii="Times New Roman" w:hAnsi="Times New Roman" w:eastAsia="宋体" w:cs="Times New Roman"/>
      <w:color w:val="FF0000"/>
      <w:sz w:val="24"/>
      <w:szCs w:val="24"/>
    </w:rPr>
  </w:style>
  <w:style w:type="character" w:customStyle="1" w:styleId="49">
    <w:name w:val="edittexttarea"/>
    <w:basedOn w:val="24"/>
    <w:qFormat/>
    <w:uiPriority w:val="0"/>
  </w:style>
  <w:style w:type="paragraph" w:customStyle="1" w:styleId="50">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Char"/>
    <w:basedOn w:val="24"/>
    <w:link w:val="9"/>
    <w:semiHidden/>
    <w:qFormat/>
    <w:uiPriority w:val="99"/>
  </w:style>
  <w:style w:type="character" w:customStyle="1" w:styleId="53">
    <w:name w:val="正文首行缩进 Char"/>
    <w:basedOn w:val="52"/>
    <w:link w:val="21"/>
    <w:qFormat/>
    <w:uiPriority w:val="0"/>
    <w:rPr>
      <w:rFonts w:ascii="宋体" w:hAnsi="Times New Roman" w:eastAsia="宋体" w:cs="Times New Roman"/>
      <w:kern w:val="0"/>
      <w:sz w:val="34"/>
      <w:szCs w:val="20"/>
    </w:rPr>
  </w:style>
  <w:style w:type="character" w:customStyle="1" w:styleId="54">
    <w:name w:val="HTML 预设格式 Char"/>
    <w:basedOn w:val="24"/>
    <w:link w:val="19"/>
    <w:semiHidden/>
    <w:qFormat/>
    <w:uiPriority w:val="99"/>
    <w:rPr>
      <w:rFonts w:ascii="宋体" w:hAnsi="宋体" w:eastAsia="宋体" w:cs="宋体"/>
      <w:kern w:val="0"/>
      <w:sz w:val="24"/>
      <w:szCs w:val="24"/>
    </w:rPr>
  </w:style>
  <w:style w:type="character" w:customStyle="1" w:styleId="55">
    <w:name w:val="正文文本缩进 Char"/>
    <w:link w:val="10"/>
    <w:qFormat/>
    <w:uiPriority w:val="0"/>
    <w:rPr>
      <w:sz w:val="24"/>
    </w:rPr>
  </w:style>
  <w:style w:type="character" w:customStyle="1" w:styleId="56">
    <w:name w:val="正文文本缩进 Char1"/>
    <w:basedOn w:val="24"/>
    <w:link w:val="10"/>
    <w:semiHidden/>
    <w:qFormat/>
    <w:uiPriority w:val="99"/>
  </w:style>
  <w:style w:type="character" w:styleId="57">
    <w:name w:val="Placeholder Text"/>
    <w:basedOn w:val="24"/>
    <w:semiHidden/>
    <w:qFormat/>
    <w:uiPriority w:val="99"/>
    <w:rPr>
      <w:color w:val="808080"/>
    </w:rPr>
  </w:style>
  <w:style w:type="character" w:customStyle="1" w:styleId="58">
    <w:name w:val="批注框文本 Char"/>
    <w:basedOn w:val="24"/>
    <w:link w:val="15"/>
    <w:semiHidden/>
    <w:qFormat/>
    <w:uiPriority w:val="99"/>
    <w:rPr>
      <w:sz w:val="18"/>
      <w:szCs w:val="18"/>
    </w:rPr>
  </w:style>
  <w:style w:type="character" w:customStyle="1" w:styleId="59">
    <w:name w:val="blue"/>
    <w:basedOn w:val="24"/>
    <w:qFormat/>
    <w:uiPriority w:val="0"/>
    <w:rPr>
      <w:color w:val="0371C6"/>
      <w:sz w:val="21"/>
      <w:szCs w:val="21"/>
    </w:rPr>
  </w:style>
  <w:style w:type="character" w:customStyle="1" w:styleId="60">
    <w:name w:val="green"/>
    <w:basedOn w:val="24"/>
    <w:qFormat/>
    <w:uiPriority w:val="0"/>
    <w:rPr>
      <w:color w:val="66AE00"/>
      <w:sz w:val="18"/>
      <w:szCs w:val="18"/>
    </w:rPr>
  </w:style>
  <w:style w:type="character" w:customStyle="1" w:styleId="61">
    <w:name w:val="green1"/>
    <w:basedOn w:val="24"/>
    <w:qFormat/>
    <w:uiPriority w:val="0"/>
    <w:rPr>
      <w:color w:val="66AE00"/>
      <w:sz w:val="18"/>
      <w:szCs w:val="18"/>
    </w:rPr>
  </w:style>
  <w:style w:type="character" w:customStyle="1" w:styleId="62">
    <w:name w:val="red"/>
    <w:basedOn w:val="24"/>
    <w:qFormat/>
    <w:uiPriority w:val="0"/>
    <w:rPr>
      <w:color w:val="FF0000"/>
      <w:sz w:val="18"/>
      <w:szCs w:val="18"/>
    </w:rPr>
  </w:style>
  <w:style w:type="character" w:customStyle="1" w:styleId="63">
    <w:name w:val="red1"/>
    <w:basedOn w:val="24"/>
    <w:qFormat/>
    <w:uiPriority w:val="0"/>
    <w:rPr>
      <w:color w:val="FF0000"/>
      <w:sz w:val="18"/>
      <w:szCs w:val="18"/>
    </w:rPr>
  </w:style>
  <w:style w:type="character" w:customStyle="1" w:styleId="64">
    <w:name w:val="red2"/>
    <w:basedOn w:val="24"/>
    <w:qFormat/>
    <w:uiPriority w:val="0"/>
    <w:rPr>
      <w:color w:val="CC0000"/>
    </w:rPr>
  </w:style>
  <w:style w:type="character" w:customStyle="1" w:styleId="65">
    <w:name w:val="red3"/>
    <w:basedOn w:val="24"/>
    <w:qFormat/>
    <w:uiPriority w:val="0"/>
    <w:rPr>
      <w:color w:val="FF0000"/>
    </w:rPr>
  </w:style>
  <w:style w:type="character" w:customStyle="1" w:styleId="66">
    <w:name w:val="hover25"/>
    <w:basedOn w:val="24"/>
    <w:qFormat/>
    <w:uiPriority w:val="0"/>
  </w:style>
  <w:style w:type="character" w:customStyle="1" w:styleId="67">
    <w:name w:val="gb-jt"/>
    <w:basedOn w:val="24"/>
    <w:qFormat/>
    <w:uiPriority w:val="0"/>
  </w:style>
  <w:style w:type="character" w:customStyle="1" w:styleId="68">
    <w:name w:val="right"/>
    <w:basedOn w:val="24"/>
    <w:qFormat/>
    <w:uiPriority w:val="0"/>
    <w:rPr>
      <w:color w:val="999999"/>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E1233-BF9C-49C7-BB80-2A68CE5197EF}">
  <ds:schemaRefs/>
</ds:datastoreItem>
</file>

<file path=docProps/app.xml><?xml version="1.0" encoding="utf-8"?>
<Properties xmlns="http://schemas.openxmlformats.org/officeDocument/2006/extended-properties" xmlns:vt="http://schemas.openxmlformats.org/officeDocument/2006/docPropsVTypes">
  <Template>Normal</Template>
  <Pages>68</Pages>
  <Words>5599</Words>
  <Characters>31916</Characters>
  <Lines>265</Lines>
  <Paragraphs>74</Paragraphs>
  <TotalTime>24</TotalTime>
  <ScaleCrop>false</ScaleCrop>
  <LinksUpToDate>false</LinksUpToDate>
  <CharactersWithSpaces>37441</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2019-03-07T06:11:00Z</dcterms:created>
  <dc:creator>许昌市公共资源交易中心:孟莉</dc:creator>
  <cp:lastModifiedBy>许昌市公共资源交易中心:冯静</cp:lastModifiedBy>
  <cp:lastPrinted>2019-04-28T07:36:00Z</cp:lastPrinted>
  <dcterms:modified xsi:type="dcterms:W3CDTF">2019-07-12T01:26:28Z</dcterms:modified>
  <cp:revision>545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