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rPr>
        <w:t>许昌市城乡一体化示范区工程造价咨询、财政财务审计机构备选库项目</w:t>
      </w: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Cs/>
          <w:w w:val="90"/>
          <w:sz w:val="96"/>
          <w:szCs w:val="96"/>
        </w:rPr>
      </w:pPr>
      <w:r>
        <w:rPr>
          <w:rFonts w:hint="eastAsia" w:asciiTheme="majorEastAsia" w:hAnsiTheme="majorEastAsia" w:eastAsiaTheme="majorEastAsia" w:cstheme="majorEastAsia"/>
          <w:bCs/>
          <w:w w:val="90"/>
          <w:sz w:val="96"/>
          <w:szCs w:val="96"/>
        </w:rPr>
        <w:t>招　标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项目编号：JZFCG-G2019046</w:t>
      </w:r>
      <w:r>
        <w:rPr>
          <w:rFonts w:hint="eastAsia" w:asciiTheme="majorEastAsia" w:hAnsiTheme="majorEastAsia" w:eastAsiaTheme="majorEastAsia" w:cstheme="majorEastAsia"/>
          <w:b/>
          <w:bCs/>
          <w:sz w:val="36"/>
          <w:szCs w:val="36"/>
          <w:lang w:val="en-US" w:eastAsia="zh-CN"/>
        </w:rPr>
        <w:t>-1</w:t>
      </w:r>
      <w:r>
        <w:rPr>
          <w:rFonts w:hint="eastAsia" w:asciiTheme="majorEastAsia" w:hAnsiTheme="majorEastAsia" w:eastAsiaTheme="majorEastAsia" w:cstheme="majorEastAsia"/>
          <w:b/>
          <w:bCs/>
          <w:sz w:val="36"/>
          <w:szCs w:val="36"/>
        </w:rPr>
        <w:t>号</w:t>
      </w:r>
    </w:p>
    <w:p>
      <w:pPr>
        <w:ind w:firstLine="1084" w:firstLineChars="300"/>
        <w:rPr>
          <w:rFonts w:asciiTheme="majorEastAsia" w:hAnsiTheme="majorEastAsia" w:eastAsiaTheme="majorEastAsia" w:cstheme="majorEastAsia"/>
          <w:b/>
          <w:bCs/>
          <w:sz w:val="36"/>
          <w:szCs w:val="36"/>
        </w:rPr>
      </w:pP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采购单位：许昌市城乡一体化示范区财政局</w:t>
      </w:r>
    </w:p>
    <w:p>
      <w:pPr>
        <w:ind w:firstLine="1084" w:firstLineChars="300"/>
        <w:rPr>
          <w:rFonts w:asciiTheme="majorEastAsia" w:hAnsiTheme="majorEastAsia" w:eastAsiaTheme="majorEastAsia" w:cstheme="majorEastAsia"/>
          <w:b/>
          <w:bCs/>
          <w:sz w:val="36"/>
          <w:szCs w:val="36"/>
        </w:rPr>
      </w:pP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代理机构：河南建威工程管理咨询有限公司</w:t>
      </w:r>
    </w:p>
    <w:p>
      <w:pPr>
        <w:jc w:val="cente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七</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九</w:t>
      </w:r>
      <w:r>
        <w:rPr>
          <w:rFonts w:hint="eastAsia" w:asciiTheme="majorEastAsia" w:hAnsiTheme="majorEastAsia" w:eastAsiaTheme="majorEastAsia" w:cstheme="majorEastAsia"/>
          <w:b/>
          <w:bCs/>
          <w:sz w:val="36"/>
          <w:szCs w:val="36"/>
        </w:rPr>
        <w:t>日</w:t>
      </w:r>
    </w:p>
    <w:p>
      <w:pPr>
        <w:autoSpaceDE w:val="0"/>
        <w:autoSpaceDN w:val="0"/>
        <w:adjustRightInd w:val="0"/>
        <w:spacing w:line="700" w:lineRule="exact"/>
        <w:ind w:firstLine="551"/>
        <w:jc w:val="center"/>
        <w:outlineLvl w:val="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zh-CN"/>
        </w:rPr>
        <w:t xml:space="preserve">第一章 </w:t>
      </w:r>
      <w:r>
        <w:rPr>
          <w:rFonts w:hint="eastAsia" w:asciiTheme="majorEastAsia" w:hAnsiTheme="majorEastAsia" w:eastAsiaTheme="majorEastAsia" w:cstheme="majorEastAsia"/>
          <w:b/>
          <w:bCs/>
          <w:sz w:val="32"/>
          <w:szCs w:val="32"/>
        </w:rPr>
        <w:t>招标公告</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6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第五章 政府采购政策功能</w:t>
      </w:r>
    </w:p>
    <w:p>
      <w:pPr>
        <w:autoSpaceDE w:val="0"/>
        <w:autoSpaceDN w:val="0"/>
        <w:adjustRightInd w:val="0"/>
        <w:spacing w:line="700" w:lineRule="exact"/>
        <w:ind w:firstLine="56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第六章 资格审查与评标</w:t>
      </w:r>
    </w:p>
    <w:p>
      <w:pPr>
        <w:autoSpaceDE w:val="0"/>
        <w:autoSpaceDN w:val="0"/>
        <w:adjustRightInd w:val="0"/>
        <w:spacing w:line="700" w:lineRule="exact"/>
        <w:ind w:firstLine="56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第七章 合同条款及格式</w:t>
      </w:r>
    </w:p>
    <w:p>
      <w:pPr>
        <w:autoSpaceDE w:val="0"/>
        <w:autoSpaceDN w:val="0"/>
        <w:adjustRightInd w:val="0"/>
        <w:spacing w:line="700" w:lineRule="exact"/>
        <w:ind w:firstLine="560"/>
        <w:rPr>
          <w:rFonts w:ascii="宋体" w:hAnsi="宋体" w:eastAsia="宋体" w:cs="宋体"/>
          <w:b/>
          <w:kern w:val="0"/>
          <w:sz w:val="32"/>
          <w:szCs w:val="32"/>
        </w:rPr>
      </w:pPr>
      <w:r>
        <w:rPr>
          <w:rFonts w:hint="eastAsia" w:asciiTheme="majorEastAsia" w:hAnsiTheme="majorEastAsia" w:eastAsiaTheme="majorEastAsia" w:cstheme="majorEastAsia"/>
          <w:b/>
          <w:bCs/>
          <w:sz w:val="32"/>
          <w:szCs w:val="32"/>
          <w:lang w:val="zh-CN"/>
        </w:rPr>
        <w:t>第八章 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
        <w:ind w:firstLine="340"/>
      </w:pPr>
    </w:p>
    <w:p>
      <w:pPr>
        <w:pStyle w:val="20"/>
        <w:widowControl/>
        <w:numPr>
          <w:ilvl w:val="0"/>
          <w:numId w:val="4"/>
        </w:numPr>
        <w:shd w:val="clear" w:color="auto" w:fill="FFFFFF"/>
        <w:spacing w:line="315" w:lineRule="atLeast"/>
        <w:jc w:val="center"/>
        <w:outlineLvl w:val="0"/>
        <w:rPr>
          <w:rFonts w:ascii="宋体" w:hAnsi="宋体" w:cs="宋体"/>
          <w:b/>
          <w:sz w:val="36"/>
          <w:szCs w:val="36"/>
          <w:shd w:val="clear" w:color="auto" w:fill="FFFFFF"/>
        </w:rPr>
      </w:pPr>
      <w:r>
        <w:rPr>
          <w:rFonts w:hint="eastAsia" w:ascii="宋体" w:hAnsi="宋体" w:cs="宋体"/>
          <w:b/>
          <w:sz w:val="36"/>
          <w:szCs w:val="36"/>
          <w:shd w:val="clear" w:color="auto" w:fill="FFFFFF"/>
        </w:rPr>
        <w:t>招标公告</w:t>
      </w:r>
    </w:p>
    <w:p>
      <w:pPr>
        <w:pStyle w:val="20"/>
        <w:widowControl/>
        <w:shd w:val="clear" w:color="auto" w:fill="FFFFFF"/>
        <w:spacing w:line="315" w:lineRule="atLeast"/>
        <w:outlineLvl w:val="0"/>
        <w:rPr>
          <w:rFonts w:ascii="宋体" w:hAnsi="宋体" w:cs="宋体"/>
          <w:b/>
          <w:sz w:val="36"/>
          <w:szCs w:val="36"/>
          <w:shd w:val="clear" w:color="auto" w:fill="FFFFFF"/>
        </w:rPr>
      </w:pPr>
      <w:r>
        <w:rPr>
          <w:rFonts w:hint="eastAsia" w:ascii="宋体" w:hAnsi="宋体" w:cs="宋体"/>
          <w:b/>
          <w:sz w:val="36"/>
          <w:szCs w:val="36"/>
          <w:shd w:val="clear" w:color="auto" w:fill="FFFFFF"/>
        </w:rPr>
        <w:t>JZFCG-G2019046</w:t>
      </w:r>
      <w:r>
        <w:rPr>
          <w:rFonts w:hint="eastAsia" w:ascii="宋体" w:hAnsi="宋体" w:cs="宋体"/>
          <w:b/>
          <w:sz w:val="36"/>
          <w:szCs w:val="36"/>
          <w:shd w:val="clear" w:color="auto" w:fill="FFFFFF"/>
          <w:lang w:val="en-US" w:eastAsia="zh-CN"/>
        </w:rPr>
        <w:t>-1</w:t>
      </w:r>
      <w:r>
        <w:rPr>
          <w:rFonts w:hint="eastAsia" w:ascii="宋体" w:hAnsi="宋体" w:cs="宋体"/>
          <w:b/>
          <w:sz w:val="36"/>
          <w:szCs w:val="36"/>
          <w:shd w:val="clear" w:color="auto" w:fill="FFFFFF"/>
        </w:rPr>
        <w:t>号“许昌市城乡一体化示范区工程造价咨询、财政财务审计机构备选库项目”招标公告</w:t>
      </w:r>
    </w:p>
    <w:p>
      <w:pPr>
        <w:widowControl/>
        <w:spacing w:line="432" w:lineRule="auto"/>
        <w:ind w:firstLine="480"/>
        <w:jc w:val="left"/>
        <w:rPr>
          <w:rFonts w:ascii="仿宋_GB2312" w:hAnsi="仿宋_GB2312" w:eastAsia="仿宋_GB2312" w:cs="仿宋_GB2312"/>
          <w:sz w:val="32"/>
          <w:szCs w:val="32"/>
          <w:shd w:val="clear" w:color="auto" w:fill="FFFFFF"/>
        </w:rPr>
      </w:pPr>
      <w:r>
        <w:rPr>
          <w:rFonts w:hint="eastAsia" w:ascii="宋体" w:hAnsi="宋体" w:eastAsia="宋体" w:cs="宋体"/>
          <w:kern w:val="0"/>
          <w:sz w:val="24"/>
          <w:szCs w:val="24"/>
        </w:rPr>
        <w:t>河南建威工程管理咨询有限公司受许昌市城乡一体化示范区财政局委托，就许昌市城乡一体化示范区工程造价咨询、财政财务审计机构备选库项目进行公开招标采购，现欢迎符合相关条件的投标人参加投标。</w:t>
      </w:r>
    </w:p>
    <w:p>
      <w:pPr>
        <w:pStyle w:val="20"/>
        <w:widowControl/>
        <w:shd w:val="clear" w:color="auto" w:fill="FFFFFF"/>
        <w:spacing w:line="432" w:lineRule="auto"/>
        <w:contextualSpacing/>
        <w:jc w:val="left"/>
        <w:outlineLvl w:val="1"/>
        <w:rPr>
          <w:rFonts w:cs="黑体" w:asciiTheme="minorEastAsia" w:hAnsiTheme="minorEastAsia" w:eastAsiaTheme="minorEastAsia"/>
          <w:b/>
          <w:bCs/>
        </w:rPr>
      </w:pPr>
      <w:r>
        <w:rPr>
          <w:rFonts w:hint="eastAsia" w:cs="黑体" w:asciiTheme="minorEastAsia" w:hAnsiTheme="minorEastAsia" w:eastAsiaTheme="minorEastAsia"/>
          <w:b/>
          <w:bCs/>
          <w:shd w:val="clear" w:color="auto" w:fill="FFFFFF"/>
        </w:rPr>
        <w:t>一、项目基本情况</w:t>
      </w:r>
    </w:p>
    <w:p>
      <w:pPr>
        <w:pStyle w:val="20"/>
        <w:widowControl/>
        <w:shd w:val="clear" w:color="auto" w:fill="FFFFFF"/>
        <w:spacing w:line="432" w:lineRule="auto"/>
        <w:contextualSpacing/>
        <w:jc w:val="left"/>
        <w:rPr>
          <w:rFonts w:hint="eastAsia" w:eastAsia="宋体" w:cs="仿宋_GB2312" w:asciiTheme="minorEastAsia" w:hAnsiTheme="minorEastAsia"/>
          <w:shd w:val="clear" w:color="auto" w:fill="FFFFFF"/>
          <w:lang w:eastAsia="zh-CN"/>
        </w:rPr>
      </w:pPr>
      <w:r>
        <w:rPr>
          <w:rFonts w:hint="eastAsia" w:cs="仿宋_GB2312" w:asciiTheme="minorEastAsia" w:hAnsiTheme="minorEastAsia" w:eastAsiaTheme="minorEastAsia"/>
          <w:shd w:val="clear" w:color="auto" w:fill="FFFFFF"/>
        </w:rPr>
        <w:t>（一）项目名称：</w:t>
      </w:r>
      <w:r>
        <w:rPr>
          <w:rFonts w:hint="eastAsia" w:ascii="宋体" w:hAnsi="宋体" w:cs="宋体"/>
          <w:kern w:val="0"/>
        </w:rPr>
        <w:t>许昌市城乡一体化示范区工程造价咨询、财政财务审计机构备选库</w:t>
      </w:r>
      <w:r>
        <w:rPr>
          <w:rFonts w:hint="eastAsia" w:ascii="宋体" w:hAnsi="宋体" w:cs="宋体"/>
          <w:kern w:val="0"/>
          <w:lang w:eastAsia="zh-CN"/>
        </w:rPr>
        <w:t>项目</w:t>
      </w:r>
    </w:p>
    <w:p>
      <w:pPr>
        <w:pStyle w:val="20"/>
        <w:widowControl/>
        <w:shd w:val="clear" w:color="auto" w:fill="FFFFFF"/>
        <w:spacing w:line="432" w:lineRule="auto"/>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（二）项目编号：JZFCG-G2019046</w:t>
      </w:r>
      <w:r>
        <w:rPr>
          <w:rFonts w:hint="eastAsia" w:cs="仿宋_GB2312" w:asciiTheme="minorEastAsia" w:hAnsiTheme="minorEastAsia" w:eastAsiaTheme="minorEastAsia"/>
          <w:shd w:val="clear" w:color="auto" w:fill="FFFFFF"/>
          <w:lang w:val="en-US" w:eastAsia="zh-CN"/>
        </w:rPr>
        <w:t>-1</w:t>
      </w:r>
      <w:r>
        <w:rPr>
          <w:rFonts w:hint="eastAsia" w:cs="仿宋_GB2312" w:asciiTheme="minorEastAsia" w:hAnsiTheme="minorEastAsia" w:eastAsiaTheme="minorEastAsia"/>
          <w:shd w:val="clear" w:color="auto" w:fill="FFFFFF"/>
        </w:rPr>
        <w:t xml:space="preserve">号    </w:t>
      </w:r>
    </w:p>
    <w:p>
      <w:pPr>
        <w:pStyle w:val="20"/>
        <w:widowControl/>
        <w:shd w:val="clear" w:color="auto" w:fill="FFFFFF"/>
        <w:spacing w:line="432" w:lineRule="auto"/>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xml:space="preserve">（三）采购方式：公开招标                                                                                                                          </w:t>
      </w:r>
    </w:p>
    <w:p>
      <w:pPr>
        <w:pStyle w:val="20"/>
        <w:widowControl/>
        <w:shd w:val="clear" w:color="auto" w:fill="FFFFFF"/>
        <w:spacing w:line="432" w:lineRule="auto"/>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（四）项目主要内容、数量及要求：</w:t>
      </w:r>
    </w:p>
    <w:p>
      <w:pPr>
        <w:spacing w:line="360" w:lineRule="auto"/>
        <w:ind w:firstLine="480" w:firstLineChars="200"/>
        <w:rPr>
          <w:rFonts w:ascii="宋体" w:hAnsi="宋体" w:cs="仿宋_GB2312"/>
          <w:sz w:val="24"/>
          <w:szCs w:val="24"/>
          <w:shd w:val="clear" w:color="auto" w:fill="FFFFFF"/>
        </w:rPr>
      </w:pPr>
      <w:r>
        <w:rPr>
          <w:rFonts w:hint="eastAsia" w:ascii="宋体" w:hAnsi="宋体" w:cs="仿宋_GB2312"/>
          <w:sz w:val="24"/>
          <w:szCs w:val="24"/>
          <w:shd w:val="clear" w:color="auto" w:fill="FFFFFF"/>
        </w:rPr>
        <w:t>1、招标内容：</w:t>
      </w:r>
      <w:r>
        <w:rPr>
          <w:rFonts w:hint="eastAsia" w:ascii="宋体" w:hAnsi="宋体" w:eastAsia="宋体" w:cs="宋体"/>
          <w:kern w:val="0"/>
          <w:sz w:val="24"/>
          <w:szCs w:val="24"/>
        </w:rPr>
        <w:t>许昌市城乡一体化示范区工程造价咨询、财政财务审计机构备选库</w:t>
      </w:r>
      <w:r>
        <w:rPr>
          <w:rFonts w:hint="eastAsia" w:ascii="宋体" w:hAnsi="宋体" w:eastAsia="宋体" w:cs="宋体"/>
          <w:kern w:val="0"/>
          <w:sz w:val="24"/>
          <w:szCs w:val="24"/>
          <w:lang w:eastAsia="zh-CN"/>
        </w:rPr>
        <w:t>项目</w:t>
      </w:r>
      <w:r>
        <w:rPr>
          <w:rFonts w:hint="eastAsia" w:ascii="宋体" w:hAnsi="宋体" w:cs="仿宋_GB2312"/>
          <w:sz w:val="24"/>
          <w:szCs w:val="24"/>
          <w:shd w:val="clear" w:color="auto" w:fill="FFFFFF"/>
        </w:rPr>
        <w:t>，B包：</w:t>
      </w:r>
      <w:r>
        <w:rPr>
          <w:rFonts w:hint="eastAsia" w:ascii="宋体" w:hAnsi="宋体" w:eastAsia="宋体" w:cs="宋体"/>
          <w:sz w:val="24"/>
          <w:szCs w:val="24"/>
        </w:rPr>
        <w:t>择优选定5家B类及以上会计事务所</w:t>
      </w:r>
      <w:r>
        <w:rPr>
          <w:rFonts w:hint="eastAsia" w:ascii="宋体" w:hAnsi="宋体" w:cs="仿宋_GB2312"/>
          <w:sz w:val="24"/>
          <w:szCs w:val="24"/>
          <w:shd w:val="clear" w:color="auto" w:fill="FFFFFF"/>
        </w:rPr>
        <w:t>。具体要求详见招标文件。</w:t>
      </w:r>
    </w:p>
    <w:p>
      <w:pPr>
        <w:spacing w:line="360" w:lineRule="auto"/>
        <w:ind w:firstLine="480" w:firstLineChars="200"/>
        <w:rPr>
          <w:rFonts w:ascii="宋体" w:cs="仿宋_GB2312"/>
          <w:sz w:val="24"/>
          <w:szCs w:val="24"/>
          <w:shd w:val="clear" w:color="auto" w:fill="FFFFFF"/>
        </w:rPr>
      </w:pPr>
      <w:r>
        <w:rPr>
          <w:rFonts w:hint="eastAsia" w:ascii="宋体" w:hAnsi="宋体" w:cs="仿宋_GB2312"/>
          <w:sz w:val="24"/>
          <w:szCs w:val="24"/>
          <w:shd w:val="clear" w:color="auto" w:fill="FFFFFF"/>
        </w:rPr>
        <w:t>2、入库备选及提供服务的期限：三年</w:t>
      </w:r>
    </w:p>
    <w:tbl>
      <w:tblPr>
        <w:tblStyle w:val="22"/>
        <w:tblW w:w="8859" w:type="dxa"/>
        <w:tblInd w:w="4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765"/>
        <w:gridCol w:w="2017"/>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line="360" w:lineRule="auto"/>
              <w:jc w:val="center"/>
              <w:rPr>
                <w:rFonts w:ascii="宋体" w:cs="仿宋_GB2312"/>
                <w:sz w:val="24"/>
                <w:szCs w:val="24"/>
                <w:shd w:val="clear" w:color="auto" w:fill="FFFFFF"/>
              </w:rPr>
            </w:pPr>
            <w:r>
              <w:rPr>
                <w:rFonts w:hint="eastAsia" w:ascii="宋体" w:hAnsi="宋体" w:cs="仿宋_GB2312"/>
                <w:sz w:val="24"/>
                <w:szCs w:val="24"/>
                <w:shd w:val="clear" w:color="auto" w:fill="FFFFFF"/>
              </w:rPr>
              <w:t>包号</w:t>
            </w:r>
          </w:p>
        </w:tc>
        <w:tc>
          <w:tcPr>
            <w:tcW w:w="2765" w:type="dxa"/>
          </w:tcPr>
          <w:p>
            <w:pPr>
              <w:spacing w:line="360" w:lineRule="auto"/>
              <w:jc w:val="center"/>
              <w:rPr>
                <w:rFonts w:ascii="宋体" w:cs="仿宋_GB2312"/>
                <w:sz w:val="24"/>
                <w:szCs w:val="24"/>
                <w:shd w:val="clear" w:color="auto" w:fill="FFFFFF"/>
              </w:rPr>
            </w:pPr>
            <w:r>
              <w:rPr>
                <w:rFonts w:hint="eastAsia" w:ascii="宋体" w:hAnsi="宋体" w:cs="仿宋_GB2312"/>
                <w:sz w:val="24"/>
                <w:szCs w:val="24"/>
                <w:shd w:val="clear" w:color="auto" w:fill="FFFFFF"/>
              </w:rPr>
              <w:t>中介机构名称</w:t>
            </w:r>
          </w:p>
        </w:tc>
        <w:tc>
          <w:tcPr>
            <w:tcW w:w="2017" w:type="dxa"/>
          </w:tcPr>
          <w:p>
            <w:pPr>
              <w:spacing w:line="360" w:lineRule="auto"/>
              <w:jc w:val="center"/>
              <w:rPr>
                <w:rFonts w:ascii="宋体" w:cs="仿宋_GB2312"/>
                <w:sz w:val="24"/>
                <w:szCs w:val="24"/>
                <w:shd w:val="clear" w:color="auto" w:fill="FFFFFF"/>
              </w:rPr>
            </w:pPr>
            <w:r>
              <w:rPr>
                <w:rFonts w:hint="eastAsia" w:ascii="宋体" w:hAnsi="宋体" w:cs="仿宋_GB2312"/>
                <w:sz w:val="24"/>
                <w:szCs w:val="24"/>
                <w:shd w:val="clear" w:color="auto" w:fill="FFFFFF"/>
              </w:rPr>
              <w:t>选聘数量（家）</w:t>
            </w:r>
          </w:p>
        </w:tc>
        <w:tc>
          <w:tcPr>
            <w:tcW w:w="3260" w:type="dxa"/>
          </w:tcPr>
          <w:p>
            <w:pPr>
              <w:spacing w:line="360" w:lineRule="auto"/>
              <w:jc w:val="center"/>
              <w:rPr>
                <w:rFonts w:ascii="宋体" w:cs="仿宋_GB2312"/>
                <w:sz w:val="24"/>
                <w:szCs w:val="24"/>
                <w:shd w:val="clear" w:color="auto" w:fill="FFFFFF"/>
              </w:rPr>
            </w:pPr>
            <w:r>
              <w:rPr>
                <w:rFonts w:hint="eastAsia" w:ascii="宋体" w:hAnsi="宋体" w:cs="仿宋_GB2312"/>
                <w:sz w:val="24"/>
                <w:szCs w:val="24"/>
                <w:shd w:val="clear" w:color="auto" w:fill="FFFFFF"/>
              </w:rPr>
              <w:t>入库备选及提供服务的期限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line="360" w:lineRule="auto"/>
              <w:jc w:val="center"/>
              <w:rPr>
                <w:rFonts w:ascii="宋体" w:cs="仿宋_GB2312"/>
                <w:sz w:val="24"/>
                <w:szCs w:val="24"/>
                <w:shd w:val="clear" w:color="auto" w:fill="FFFFFF"/>
              </w:rPr>
            </w:pPr>
            <w:r>
              <w:rPr>
                <w:rFonts w:hint="eastAsia" w:ascii="宋体" w:cs="仿宋_GB2312"/>
                <w:sz w:val="24"/>
                <w:szCs w:val="24"/>
                <w:shd w:val="clear" w:color="auto" w:fill="FFFFFF"/>
              </w:rPr>
              <w:t>B</w:t>
            </w:r>
          </w:p>
        </w:tc>
        <w:tc>
          <w:tcPr>
            <w:tcW w:w="2765" w:type="dxa"/>
          </w:tcPr>
          <w:p>
            <w:pPr>
              <w:spacing w:line="360" w:lineRule="auto"/>
              <w:jc w:val="center"/>
              <w:rPr>
                <w:rFonts w:ascii="宋体" w:cs="仿宋_GB2312"/>
                <w:sz w:val="24"/>
                <w:szCs w:val="24"/>
                <w:shd w:val="clear" w:color="auto" w:fill="FFFFFF"/>
              </w:rPr>
            </w:pPr>
            <w:r>
              <w:rPr>
                <w:rFonts w:hint="eastAsia" w:ascii="宋体" w:hAnsi="宋体" w:cs="仿宋_GB2312"/>
                <w:sz w:val="24"/>
                <w:szCs w:val="24"/>
                <w:shd w:val="clear" w:color="auto" w:fill="FFFFFF"/>
              </w:rPr>
              <w:t>B类及以上会计事务所</w:t>
            </w:r>
          </w:p>
        </w:tc>
        <w:tc>
          <w:tcPr>
            <w:tcW w:w="2017" w:type="dxa"/>
          </w:tcPr>
          <w:p>
            <w:pPr>
              <w:spacing w:line="360" w:lineRule="auto"/>
              <w:jc w:val="center"/>
              <w:rPr>
                <w:rFonts w:ascii="宋体" w:cs="仿宋_GB2312"/>
                <w:sz w:val="24"/>
                <w:szCs w:val="24"/>
                <w:shd w:val="clear" w:color="auto" w:fill="FFFFFF"/>
              </w:rPr>
            </w:pPr>
            <w:r>
              <w:rPr>
                <w:rFonts w:hint="eastAsia" w:ascii="宋体" w:hAnsi="宋体" w:cs="仿宋_GB2312"/>
                <w:sz w:val="24"/>
                <w:szCs w:val="24"/>
                <w:shd w:val="clear" w:color="auto" w:fill="FFFFFF"/>
              </w:rPr>
              <w:t>5</w:t>
            </w:r>
          </w:p>
        </w:tc>
        <w:tc>
          <w:tcPr>
            <w:tcW w:w="3260" w:type="dxa"/>
          </w:tcPr>
          <w:p>
            <w:pPr>
              <w:spacing w:line="360" w:lineRule="auto"/>
              <w:jc w:val="center"/>
              <w:rPr>
                <w:rFonts w:hint="eastAsia" w:ascii="宋体" w:cs="仿宋_GB2312" w:eastAsiaTheme="minorEastAsia"/>
                <w:sz w:val="24"/>
                <w:szCs w:val="24"/>
                <w:shd w:val="clear" w:color="auto" w:fill="FFFFFF"/>
                <w:lang w:eastAsia="zh-CN"/>
              </w:rPr>
            </w:pPr>
            <w:r>
              <w:rPr>
                <w:rFonts w:hint="eastAsia" w:ascii="宋体" w:cs="仿宋_GB2312"/>
                <w:sz w:val="24"/>
                <w:szCs w:val="24"/>
                <w:shd w:val="clear" w:color="auto" w:fill="FFFFFF"/>
                <w:lang w:eastAsia="zh-CN"/>
              </w:rPr>
              <w:t>三年</w:t>
            </w:r>
          </w:p>
        </w:tc>
      </w:tr>
    </w:tbl>
    <w:p>
      <w:pPr>
        <w:pStyle w:val="20"/>
        <w:widowControl/>
        <w:shd w:val="clear" w:color="auto" w:fill="FFFFFF"/>
        <w:spacing w:line="432" w:lineRule="auto"/>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（五）预算金额：</w:t>
      </w:r>
      <w:r>
        <w:rPr>
          <w:rFonts w:hint="eastAsia" w:cs="仿宋_GB2312" w:asciiTheme="minorEastAsia" w:hAnsiTheme="minorEastAsia" w:eastAsiaTheme="minorEastAsia"/>
          <w:u w:val="single"/>
          <w:shd w:val="clear" w:color="auto" w:fill="FFFFFF"/>
        </w:rPr>
        <w:t xml:space="preserve"> 无 </w:t>
      </w:r>
      <w:r>
        <w:rPr>
          <w:rFonts w:hint="eastAsia" w:cs="仿宋_GB2312" w:asciiTheme="minorEastAsia" w:hAnsiTheme="minorEastAsia" w:eastAsiaTheme="minorEastAsia"/>
          <w:shd w:val="clear" w:color="auto" w:fill="FFFFFF"/>
        </w:rPr>
        <w:t>。</w:t>
      </w:r>
    </w:p>
    <w:p>
      <w:pPr>
        <w:pStyle w:val="20"/>
        <w:widowControl/>
        <w:shd w:val="clear" w:color="auto" w:fill="FFFFFF"/>
        <w:spacing w:line="432" w:lineRule="auto"/>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（六）服务时间 ：</w:t>
      </w:r>
      <w:r>
        <w:rPr>
          <w:rFonts w:hint="eastAsia" w:cs="仿宋_GB2312" w:asciiTheme="minorEastAsia" w:hAnsiTheme="minorEastAsia"/>
          <w:shd w:val="clear" w:color="auto" w:fill="FFFFFF"/>
        </w:rPr>
        <w:t>自合同签订之日起三年。</w:t>
      </w:r>
    </w:p>
    <w:p>
      <w:pPr>
        <w:pStyle w:val="20"/>
        <w:widowControl/>
        <w:shd w:val="clear" w:color="auto" w:fill="FFFFFF"/>
        <w:spacing w:line="432" w:lineRule="auto"/>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（七）服务地点：许昌市城乡一体化示范区</w:t>
      </w:r>
    </w:p>
    <w:p>
      <w:pPr>
        <w:pStyle w:val="20"/>
        <w:widowControl/>
        <w:shd w:val="clear" w:color="auto" w:fill="FFFFFF"/>
        <w:spacing w:line="360" w:lineRule="auto"/>
        <w:contextualSpacing/>
        <w:jc w:val="left"/>
        <w:rPr>
          <w:rFonts w:ascii="宋体" w:hAnsi="宋体" w:cs="仿宋_GB2312"/>
          <w:shd w:val="clear" w:color="auto" w:fill="FFFFFF"/>
        </w:rPr>
      </w:pPr>
      <w:r>
        <w:rPr>
          <w:rFonts w:hint="eastAsia" w:ascii="宋体" w:hAnsi="宋体" w:cs="仿宋_GB2312"/>
          <w:shd w:val="clear" w:color="auto" w:fill="FFFFFF"/>
        </w:rPr>
        <w:t>（八）分包：不允许</w:t>
      </w:r>
    </w:p>
    <w:p>
      <w:pPr>
        <w:pStyle w:val="20"/>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二、需要落实的政府采购政策</w:t>
      </w:r>
    </w:p>
    <w:p>
      <w:pPr>
        <w:pStyle w:val="20"/>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若参与本项目的投标人为中小微型企业，根据《中华人民共和国政府采购法》、《中华人民共和国政府采购法实施条例》、《政府采购货物和服务招标投标管理办法》等规定，落实相关政府采购政策。</w:t>
      </w:r>
    </w:p>
    <w:p>
      <w:pPr>
        <w:pStyle w:val="20"/>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三、投标人资格要求</w:t>
      </w:r>
    </w:p>
    <w:p>
      <w:pPr>
        <w:pStyle w:val="20"/>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（一）具备《政府采购法》第二十二条规定条件并提供相关材料；</w:t>
      </w:r>
    </w:p>
    <w:p>
      <w:pPr>
        <w:pStyle w:val="20"/>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（二）B包：属于河南省注册会计师协会公布的2018年分类评价结果认定的B类及以上会计事务所；或中华人民共和国其它省注册会计师协会截止201</w:t>
      </w:r>
      <w:r>
        <w:rPr>
          <w:rFonts w:hint="eastAsia" w:ascii="宋体" w:hAnsi="宋体" w:cs="仿宋_GB2312"/>
          <w:shd w:val="clear" w:color="auto" w:fill="FFFFFF"/>
          <w:lang w:val="en-US" w:eastAsia="zh-CN"/>
        </w:rPr>
        <w:t>9</w:t>
      </w:r>
      <w:r>
        <w:rPr>
          <w:rFonts w:hint="eastAsia" w:ascii="宋体" w:hAnsi="宋体" w:cs="仿宋_GB2312"/>
          <w:shd w:val="clear" w:color="auto" w:fill="FFFFFF"/>
        </w:rPr>
        <w:t>年</w:t>
      </w:r>
      <w:r>
        <w:rPr>
          <w:rFonts w:hint="eastAsia" w:ascii="宋体" w:hAnsi="宋体" w:cs="仿宋_GB2312"/>
          <w:shd w:val="clear" w:color="auto" w:fill="FFFFFF"/>
          <w:lang w:val="en-US" w:eastAsia="zh-CN"/>
        </w:rPr>
        <w:t>7</w:t>
      </w:r>
      <w:r>
        <w:rPr>
          <w:rFonts w:hint="eastAsia" w:ascii="宋体" w:hAnsi="宋体" w:cs="仿宋_GB2312"/>
          <w:shd w:val="clear" w:color="auto" w:fill="FFFFFF"/>
        </w:rPr>
        <w:t>月20日前最新公布的分类评价结果中，排在第二类及以上的会计师事务所（或相当于河南省注册会计师协会公布的2018年分类评价结果认定的B类及以上事务所）；</w:t>
      </w:r>
    </w:p>
    <w:p>
      <w:pPr>
        <w:pStyle w:val="20"/>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shd w:val="clear" w:color="auto" w:fill="FFFFFF"/>
        </w:rPr>
        <w:t>(</w:t>
      </w:r>
      <w:r>
        <w:rPr>
          <w:rFonts w:hint="eastAsia" w:ascii="宋体" w:hAnsi="宋体" w:cs="仿宋_GB2312"/>
          <w:shd w:val="clear" w:color="auto" w:fill="FFFFFF"/>
        </w:rPr>
        <w:t>三</w:t>
      </w:r>
      <w:r>
        <w:rPr>
          <w:rFonts w:ascii="宋体" w:hAnsi="宋体" w:cs="仿宋_GB2312"/>
          <w:shd w:val="clear" w:color="auto" w:fill="FFFFFF"/>
        </w:rPr>
        <w:t xml:space="preserve">) </w:t>
      </w:r>
      <w:r>
        <w:rPr>
          <w:rFonts w:hint="eastAsia" w:ascii="宋体" w:hAnsi="宋体" w:cs="仿宋_GB2312"/>
          <w:shd w:val="clear" w:color="auto" w:fill="FFFFFF"/>
        </w:rPr>
        <w:t>未被列入“信用中国”网站</w:t>
      </w:r>
      <w:r>
        <w:rPr>
          <w:rFonts w:ascii="宋体" w:hAnsi="宋体" w:cs="仿宋_GB2312"/>
          <w:shd w:val="clear" w:color="auto" w:fill="FFFFFF"/>
        </w:rPr>
        <w:t>(www.creditchina.gov.cn)</w:t>
      </w:r>
      <w:r>
        <w:rPr>
          <w:rFonts w:hint="eastAsia" w:ascii="宋体" w:hAnsi="宋体" w:cs="仿宋_GB2312"/>
          <w:shd w:val="clear" w:color="auto" w:fill="FFFFFF"/>
        </w:rPr>
        <w:t>失信被执行人、重大税收违法案件当事人名单、政府采购严重违法失信名单的投标人；“中国政府采购网”</w:t>
      </w:r>
      <w:r>
        <w:rPr>
          <w:rFonts w:ascii="宋体" w:hAnsi="宋体" w:cs="仿宋_GB2312"/>
          <w:shd w:val="clear" w:color="auto" w:fill="FFFFFF"/>
        </w:rPr>
        <w:t xml:space="preserve"> (www.ccgp.gov.cn)</w:t>
      </w:r>
      <w:r>
        <w:rPr>
          <w:rFonts w:hint="eastAsia" w:ascii="宋体" w:hAnsi="宋体" w:cs="仿宋_GB2312"/>
          <w:shd w:val="clear" w:color="auto" w:fill="FFFFFF"/>
        </w:rPr>
        <w:t>政府采购严重违法失信行为记录名单的投标人；“国家企业信用公示系统”网站（</w:t>
      </w:r>
      <w:r>
        <w:rPr>
          <w:rFonts w:ascii="宋体" w:hAnsi="宋体" w:cs="仿宋_GB2312"/>
          <w:shd w:val="clear" w:color="auto" w:fill="FFFFFF"/>
        </w:rPr>
        <w:t>www.gsxt.gov.cn</w:t>
      </w:r>
      <w:r>
        <w:rPr>
          <w:rFonts w:hint="eastAsia" w:ascii="宋体" w:hAnsi="宋体" w:cs="仿宋_GB2312"/>
          <w:shd w:val="clear" w:color="auto" w:fill="FFFFFF"/>
        </w:rPr>
        <w:t>）严重违法失信企业名单（黑名单）的投标人</w:t>
      </w:r>
      <w:r>
        <w:rPr>
          <w:rFonts w:hint="eastAsia" w:ascii="宋体" w:hAnsi="宋体" w:cs="宋体"/>
        </w:rPr>
        <w:t>(投标人须提供网站截图)</w:t>
      </w:r>
      <w:r>
        <w:rPr>
          <w:rFonts w:hint="eastAsia" w:ascii="宋体" w:hAnsi="宋体" w:cs="仿宋_GB2312"/>
          <w:shd w:val="clear" w:color="auto" w:fill="FFFFFF"/>
        </w:rPr>
        <w:t>；</w:t>
      </w:r>
    </w:p>
    <w:p>
      <w:pPr>
        <w:pStyle w:val="20"/>
        <w:widowControl/>
        <w:shd w:val="clear" w:color="auto" w:fill="FFFFFF"/>
        <w:spacing w:line="432" w:lineRule="auto"/>
        <w:contextualSpacing/>
        <w:jc w:val="left"/>
        <w:rPr>
          <w:rFonts w:cs="仿宋_GB2312" w:asciiTheme="minorEastAsia" w:hAnsiTheme="minorEastAsia" w:eastAsiaTheme="minorEastAsia"/>
          <w:shd w:val="clear" w:color="auto" w:fill="FFFFFF"/>
        </w:rPr>
      </w:pPr>
      <w:r>
        <w:rPr>
          <w:rFonts w:hint="eastAsia" w:ascii="宋体" w:hAnsi="宋体" w:cs="仿宋_GB2312"/>
          <w:shd w:val="clear" w:color="auto" w:fill="FFFFFF"/>
        </w:rPr>
        <w:t>（四）本次招标不接受联合体投标。</w:t>
      </w:r>
    </w:p>
    <w:p>
      <w:pPr>
        <w:pStyle w:val="20"/>
        <w:widowControl/>
        <w:shd w:val="clear" w:color="auto" w:fill="FFFFFF"/>
        <w:spacing w:line="432"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四、招标文件的获取</w:t>
      </w:r>
    </w:p>
    <w:p>
      <w:pPr>
        <w:pStyle w:val="20"/>
        <w:widowControl/>
        <w:shd w:val="clear" w:color="auto" w:fill="FFFFFF"/>
        <w:spacing w:line="432"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（一）网上下载招标文件</w:t>
      </w:r>
    </w:p>
    <w:p>
      <w:pPr>
        <w:pStyle w:val="20"/>
        <w:widowControl/>
        <w:shd w:val="clear" w:color="auto" w:fill="FFFFFF"/>
        <w:spacing w:line="432"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432"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2、在投标截止时间前均可登录【全国公共资源交易平台（河南省·许昌市）】“投标人/供应商登录”入口（</w:t>
      </w:r>
      <w:r>
        <w:fldChar w:fldCharType="begin"/>
      </w:r>
      <w:r>
        <w:instrText xml:space="preserve"> HYPERLINK "http://221.14.6.70:8088/ggzy/" </w:instrText>
      </w:r>
      <w:r>
        <w:fldChar w:fldCharType="separate"/>
      </w:r>
      <w:r>
        <w:rPr>
          <w:rFonts w:hint="eastAsia" w:cs="仿宋_GB2312" w:asciiTheme="minorEastAsia" w:hAnsiTheme="minorEastAsia" w:eastAsiaTheme="minorEastAsia"/>
          <w:shd w:val="clear" w:color="auto" w:fill="FFFFFF"/>
        </w:rPr>
        <w:t>http://221.14.6.70:8088/ggzy/</w:t>
      </w:r>
      <w:r>
        <w:rPr>
          <w:rFonts w:hint="eastAsia" w:cs="仿宋_GB2312" w:asciiTheme="minorEastAsia" w:hAnsiTheme="minorEastAsia" w:eastAsiaTheme="minorEastAsia"/>
          <w:shd w:val="clear" w:color="auto" w:fill="FFFFFF"/>
        </w:rPr>
        <w:fldChar w:fldCharType="end"/>
      </w:r>
      <w:r>
        <w:rPr>
          <w:rFonts w:hint="eastAsia" w:cs="仿宋_GB2312" w:asciiTheme="minorEastAsia" w:hAnsiTheme="minorEastAsia" w:eastAsiaTheme="minorEastAsia"/>
          <w:shd w:val="clear" w:color="auto" w:fill="FFFFFF"/>
        </w:rPr>
        <w:t>）自行下载招标文件（详见“常见问题解答-交易系统操作手册”）。</w:t>
      </w:r>
    </w:p>
    <w:p>
      <w:pPr>
        <w:pStyle w:val="20"/>
        <w:widowControl/>
        <w:shd w:val="clear" w:color="auto" w:fill="FFFFFF"/>
        <w:spacing w:line="432"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（二）未通过《全国公共资源交易平台（河南省·许昌市）》下载招标文件的投标人,拒收其递交的投标文件。</w:t>
      </w:r>
    </w:p>
    <w:p>
      <w:pPr>
        <w:pStyle w:val="20"/>
        <w:widowControl/>
        <w:shd w:val="clear" w:color="auto" w:fill="FFFFFF"/>
        <w:spacing w:line="432"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(三)招标文件售价</w:t>
      </w:r>
      <w:r>
        <w:rPr>
          <w:rFonts w:hint="eastAsia" w:cs="仿宋_GB2312" w:asciiTheme="minorEastAsia" w:hAnsiTheme="minorEastAsia" w:eastAsiaTheme="minorEastAsia"/>
          <w:u w:val="single"/>
          <w:shd w:val="clear" w:color="auto" w:fill="FFFFFF"/>
        </w:rPr>
        <w:t xml:space="preserve"> 300 </w:t>
      </w:r>
      <w:r>
        <w:rPr>
          <w:rFonts w:hint="eastAsia" w:cs="仿宋_GB2312" w:asciiTheme="minorEastAsia" w:hAnsiTheme="minorEastAsia" w:eastAsiaTheme="minorEastAsia"/>
          <w:shd w:val="clear" w:color="auto" w:fill="FFFFFF"/>
        </w:rPr>
        <w:t xml:space="preserve"> 元/套，投标人在递交投标文件时向采购代理机构交纳采购文件费用，售后不退。</w:t>
      </w:r>
    </w:p>
    <w:p>
      <w:pPr>
        <w:pStyle w:val="20"/>
        <w:widowControl/>
        <w:shd w:val="clear" w:color="auto" w:fill="FFFFFF"/>
        <w:spacing w:line="432" w:lineRule="auto"/>
        <w:ind w:firstLine="420"/>
        <w:contextualSpacing/>
        <w:jc w:val="left"/>
        <w:rPr>
          <w:rFonts w:cs="黑体" w:asciiTheme="minorEastAsia" w:hAnsiTheme="minorEastAsia" w:eastAsiaTheme="minorEastAsia"/>
          <w:bCs/>
          <w:shd w:val="clear" w:color="auto" w:fill="FFFFFF"/>
        </w:rPr>
      </w:pPr>
      <w:r>
        <w:rPr>
          <w:rFonts w:hint="eastAsia" w:cs="黑体" w:asciiTheme="minorEastAsia" w:hAnsiTheme="minorEastAsia" w:eastAsiaTheme="minorEastAsia"/>
          <w:b/>
          <w:bCs/>
          <w:shd w:val="clear" w:color="auto" w:fill="FFFFFF"/>
        </w:rPr>
        <w:t>五、投标截止时间、开标时间及地</w:t>
      </w:r>
    </w:p>
    <w:p>
      <w:pPr>
        <w:pStyle w:val="20"/>
        <w:widowControl/>
        <w:shd w:val="clear" w:color="auto" w:fill="FFFFFF"/>
        <w:spacing w:line="432"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（一）投标截止及开标时间：2019年</w:t>
      </w:r>
      <w:r>
        <w:rPr>
          <w:rFonts w:hint="eastAsia" w:cs="仿宋_GB2312" w:asciiTheme="minorEastAsia" w:hAnsiTheme="minorEastAsia" w:eastAsiaTheme="minorEastAsia"/>
          <w:u w:val="single"/>
          <w:shd w:val="clear" w:color="auto" w:fill="FFFFFF"/>
        </w:rPr>
        <w:t xml:space="preserve"> </w:t>
      </w:r>
      <w:r>
        <w:rPr>
          <w:rFonts w:hint="eastAsia" w:cs="仿宋_GB2312" w:asciiTheme="minorEastAsia" w:hAnsiTheme="minorEastAsia" w:eastAsiaTheme="minorEastAsia"/>
          <w:u w:val="single"/>
          <w:shd w:val="clear" w:color="auto" w:fill="FFFFFF"/>
          <w:lang w:val="en-US" w:eastAsia="zh-CN"/>
        </w:rPr>
        <w:t xml:space="preserve"> 08 </w:t>
      </w:r>
      <w:r>
        <w:rPr>
          <w:rFonts w:hint="eastAsia" w:cs="仿宋_GB2312" w:asciiTheme="minorEastAsia" w:hAnsiTheme="minorEastAsia" w:eastAsiaTheme="minorEastAsia"/>
          <w:shd w:val="clear" w:color="auto" w:fill="FFFFFF"/>
        </w:rPr>
        <w:t>月</w:t>
      </w:r>
      <w:r>
        <w:rPr>
          <w:rFonts w:hint="eastAsia" w:cs="仿宋_GB2312" w:asciiTheme="minorEastAsia" w:hAnsiTheme="minorEastAsia" w:eastAsiaTheme="minorEastAsia"/>
          <w:u w:val="single"/>
          <w:shd w:val="clear" w:color="auto" w:fill="FFFFFF"/>
          <w:lang w:val="en-US" w:eastAsia="zh-CN"/>
        </w:rPr>
        <w:t xml:space="preserve">  01  </w:t>
      </w:r>
      <w:r>
        <w:rPr>
          <w:rFonts w:hint="eastAsia" w:cs="仿宋_GB2312" w:asciiTheme="minorEastAsia" w:hAnsiTheme="minorEastAsia" w:eastAsiaTheme="minorEastAsia"/>
          <w:shd w:val="clear" w:color="auto" w:fill="FFFFFF"/>
        </w:rPr>
        <w:t>日</w:t>
      </w:r>
      <w:r>
        <w:rPr>
          <w:rFonts w:hint="eastAsia" w:cs="仿宋_GB2312" w:asciiTheme="minorEastAsia" w:hAnsiTheme="minorEastAsia" w:eastAsiaTheme="minorEastAsia"/>
          <w:u w:val="single"/>
          <w:shd w:val="clear" w:color="auto" w:fill="FFFFFF"/>
        </w:rPr>
        <w:t xml:space="preserve">  </w:t>
      </w:r>
      <w:r>
        <w:rPr>
          <w:rFonts w:hint="eastAsia" w:cs="仿宋_GB2312" w:asciiTheme="minorEastAsia" w:hAnsiTheme="minorEastAsia" w:eastAsiaTheme="minorEastAsia"/>
          <w:u w:val="single"/>
          <w:shd w:val="clear" w:color="auto" w:fill="FFFFFF"/>
          <w:lang w:val="en-US" w:eastAsia="zh-CN"/>
        </w:rPr>
        <w:t xml:space="preserve">08 </w:t>
      </w:r>
      <w:r>
        <w:rPr>
          <w:rFonts w:hint="eastAsia" w:cs="仿宋_GB2312" w:asciiTheme="minorEastAsia" w:hAnsiTheme="minorEastAsia" w:eastAsiaTheme="minorEastAsia"/>
          <w:u w:val="single"/>
          <w:shd w:val="clear" w:color="auto" w:fill="FFFFFF"/>
        </w:rPr>
        <w:t xml:space="preserve"> </w:t>
      </w:r>
      <w:r>
        <w:rPr>
          <w:rFonts w:hint="eastAsia" w:cs="仿宋_GB2312" w:asciiTheme="minorEastAsia" w:hAnsiTheme="minorEastAsia" w:eastAsiaTheme="minorEastAsia"/>
          <w:shd w:val="clear" w:color="auto" w:fill="FFFFFF"/>
        </w:rPr>
        <w:t>时</w:t>
      </w:r>
      <w:r>
        <w:rPr>
          <w:rFonts w:hint="eastAsia" w:cs="仿宋_GB2312" w:asciiTheme="minorEastAsia" w:hAnsiTheme="minorEastAsia" w:eastAsiaTheme="minorEastAsia"/>
          <w:u w:val="single"/>
          <w:shd w:val="clear" w:color="auto" w:fill="FFFFFF"/>
        </w:rPr>
        <w:t xml:space="preserve">  </w:t>
      </w:r>
      <w:r>
        <w:rPr>
          <w:rFonts w:hint="eastAsia" w:cs="仿宋_GB2312" w:asciiTheme="minorEastAsia" w:hAnsiTheme="minorEastAsia" w:eastAsiaTheme="minorEastAsia"/>
          <w:u w:val="single"/>
          <w:shd w:val="clear" w:color="auto" w:fill="FFFFFF"/>
          <w:lang w:val="en-US" w:eastAsia="zh-CN"/>
        </w:rPr>
        <w:t xml:space="preserve">30 </w:t>
      </w:r>
      <w:r>
        <w:rPr>
          <w:rFonts w:hint="eastAsia" w:cs="仿宋_GB2312" w:asciiTheme="minorEastAsia" w:hAnsiTheme="minorEastAsia" w:eastAsiaTheme="minorEastAsia"/>
          <w:u w:val="single"/>
          <w:shd w:val="clear" w:color="auto" w:fill="FFFFFF"/>
        </w:rPr>
        <w:t xml:space="preserve"> </w:t>
      </w:r>
      <w:r>
        <w:rPr>
          <w:rFonts w:hint="eastAsia" w:cs="仿宋_GB2312" w:asciiTheme="minorEastAsia" w:hAnsiTheme="minorEastAsia" w:eastAsiaTheme="minorEastAsia"/>
          <w:shd w:val="clear" w:color="auto" w:fill="FFFFFF"/>
        </w:rPr>
        <w:t>分（北京时间），逾期送达或不符合规定的投标文件不予接受。</w:t>
      </w:r>
    </w:p>
    <w:p>
      <w:pPr>
        <w:pStyle w:val="20"/>
        <w:widowControl/>
        <w:shd w:val="clear" w:color="auto" w:fill="FFFFFF"/>
        <w:spacing w:line="432"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（二）开标地点：许昌市公共资源交易中心（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公共资源大厦）三楼开标</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u w:val="single"/>
          <w:lang w:val="en-US" w:eastAsia="zh-CN"/>
        </w:rPr>
        <w:t xml:space="preserve"> 四 </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室。</w:t>
      </w:r>
    </w:p>
    <w:p>
      <w:pPr>
        <w:widowControl/>
        <w:spacing w:line="440" w:lineRule="exact"/>
        <w:ind w:firstLine="480" w:firstLineChars="200"/>
        <w:rPr>
          <w:rFonts w:ascii="宋体" w:cs="宋体"/>
          <w:kern w:val="0"/>
          <w:sz w:val="24"/>
          <w:shd w:val="clear" w:color="auto" w:fill="FFFFFF"/>
        </w:rPr>
      </w:pPr>
      <w:r>
        <w:rPr>
          <w:rFonts w:hint="eastAsia" w:ascii="宋体" w:hAnsi="宋体" w:cs="宋体"/>
          <w:kern w:val="0"/>
          <w:sz w:val="24"/>
          <w:shd w:val="clear" w:color="auto" w:fill="FFFFFF"/>
        </w:rPr>
        <w:t>（三）本项目为全流程电子化交易项目，投标人须提交电子投标文件和纸质投标文件。</w:t>
      </w:r>
    </w:p>
    <w:p>
      <w:pPr>
        <w:widowControl/>
        <w:spacing w:line="440" w:lineRule="exact"/>
        <w:ind w:firstLine="480" w:firstLineChars="200"/>
        <w:rPr>
          <w:rFonts w:ascii="宋体" w:cs="宋体"/>
          <w:kern w:val="0"/>
          <w:sz w:val="24"/>
          <w:shd w:val="clear" w:color="auto" w:fill="FFFFFF"/>
        </w:rPr>
      </w:pPr>
      <w:r>
        <w:rPr>
          <w:rFonts w:ascii="宋体" w:hAnsi="宋体" w:cs="宋体"/>
          <w:kern w:val="0"/>
          <w:sz w:val="24"/>
          <w:shd w:val="clear" w:color="auto" w:fill="FFFFFF"/>
        </w:rPr>
        <w:t>1</w:t>
      </w:r>
      <w:r>
        <w:rPr>
          <w:rFonts w:hint="eastAsia" w:ascii="宋体" w:hAnsi="宋体" w:cs="宋体"/>
          <w:kern w:val="0"/>
          <w:sz w:val="24"/>
          <w:shd w:val="clear" w:color="auto" w:fill="FFFFFF"/>
        </w:rPr>
        <w:t>、加密电子投标文件（</w:t>
      </w:r>
      <w:r>
        <w:rPr>
          <w:rFonts w:ascii="宋体" w:hAnsi="宋体" w:cs="宋体"/>
          <w:kern w:val="0"/>
          <w:sz w:val="24"/>
          <w:shd w:val="clear" w:color="auto" w:fill="FFFFFF"/>
        </w:rPr>
        <w:t>.file</w:t>
      </w:r>
      <w:r>
        <w:rPr>
          <w:rFonts w:hint="eastAsia" w:ascii="宋体" w:hAnsi="宋体" w:cs="宋体"/>
          <w:kern w:val="0"/>
          <w:sz w:val="24"/>
          <w:shd w:val="clear" w:color="auto" w:fill="FFFFFF"/>
        </w:rPr>
        <w:t>格式）须在投标截止时间（开标时间）前通过《全国公共资源交易平台</w:t>
      </w:r>
      <w:r>
        <w:rPr>
          <w:rFonts w:ascii="宋体" w:hAnsi="宋体" w:cs="宋体"/>
          <w:kern w:val="0"/>
          <w:sz w:val="24"/>
          <w:shd w:val="clear" w:color="auto" w:fill="FFFFFF"/>
        </w:rPr>
        <w:t>(</w:t>
      </w:r>
      <w:r>
        <w:rPr>
          <w:rFonts w:hint="eastAsia" w:ascii="宋体" w:hAnsi="宋体" w:cs="宋体"/>
          <w:kern w:val="0"/>
          <w:sz w:val="24"/>
          <w:shd w:val="clear" w:color="auto" w:fill="FFFFFF"/>
        </w:rPr>
        <w:t>河南省</w:t>
      </w:r>
      <w:r>
        <w:rPr>
          <w:rFonts w:hint="eastAsia" w:ascii="MS Mincho" w:hAnsi="MS Mincho" w:eastAsia="MS Mincho" w:cs="MS Mincho"/>
          <w:kern w:val="0"/>
          <w:sz w:val="24"/>
          <w:shd w:val="clear" w:color="auto" w:fill="FFFFFF"/>
        </w:rPr>
        <w:t>▪</w:t>
      </w:r>
      <w:r>
        <w:rPr>
          <w:rFonts w:hint="eastAsia" w:ascii="宋体" w:hAnsi="宋体" w:cs="宋体"/>
          <w:kern w:val="0"/>
          <w:sz w:val="24"/>
          <w:shd w:val="clear" w:color="auto" w:fill="FFFFFF"/>
        </w:rPr>
        <w:t>许昌市</w:t>
      </w:r>
      <w:r>
        <w:rPr>
          <w:rFonts w:ascii="宋体" w:hAnsi="宋体" w:cs="宋体"/>
          <w:kern w:val="0"/>
          <w:sz w:val="24"/>
          <w:shd w:val="clear" w:color="auto" w:fill="FFFFFF"/>
        </w:rPr>
        <w:t>)</w:t>
      </w:r>
      <w:r>
        <w:rPr>
          <w:rFonts w:hint="eastAsia" w:ascii="宋体" w:hAnsi="宋体" w:cs="宋体"/>
          <w:kern w:val="0"/>
          <w:sz w:val="24"/>
          <w:shd w:val="clear" w:color="auto" w:fill="FFFFFF"/>
        </w:rPr>
        <w:t>》公共资源交易系统成功上传。</w:t>
      </w:r>
    </w:p>
    <w:p>
      <w:pPr>
        <w:widowControl/>
        <w:spacing w:line="440" w:lineRule="exact"/>
        <w:ind w:firstLine="480" w:firstLineChars="200"/>
        <w:rPr>
          <w:rFonts w:cs="仿宋_GB2312" w:asciiTheme="minorEastAsia" w:hAnsiTheme="minorEastAsia"/>
          <w:color w:val="FF0000"/>
        </w:rPr>
      </w:pPr>
      <w:r>
        <w:rPr>
          <w:rFonts w:ascii="宋体" w:hAnsi="宋体" w:cs="宋体"/>
          <w:kern w:val="0"/>
          <w:sz w:val="24"/>
          <w:shd w:val="clear" w:color="auto" w:fill="FFFFFF"/>
        </w:rPr>
        <w:t>2</w:t>
      </w:r>
      <w:r>
        <w:rPr>
          <w:rFonts w:hint="eastAsia" w:ascii="宋体" w:hAnsi="宋体" w:cs="宋体"/>
          <w:kern w:val="0"/>
          <w:sz w:val="24"/>
          <w:shd w:val="clear" w:color="auto" w:fill="FFFFFF"/>
        </w:rPr>
        <w:t>、</w:t>
      </w:r>
      <w:r>
        <w:rPr>
          <w:rFonts w:hint="eastAsia" w:ascii="宋体" w:hAnsi="宋体" w:cs="宋体"/>
          <w:color w:val="FF0000"/>
          <w:kern w:val="0"/>
          <w:sz w:val="24"/>
          <w:shd w:val="clear" w:color="auto" w:fill="FFFFFF"/>
        </w:rPr>
        <w:t>纸质投标文件（正本</w:t>
      </w:r>
      <w:r>
        <w:rPr>
          <w:rFonts w:ascii="宋体" w:hAnsi="宋体" w:cs="宋体"/>
          <w:color w:val="FF0000"/>
          <w:kern w:val="0"/>
          <w:sz w:val="24"/>
          <w:shd w:val="clear" w:color="auto" w:fill="FFFFFF"/>
        </w:rPr>
        <w:t>1</w:t>
      </w:r>
      <w:r>
        <w:rPr>
          <w:rFonts w:hint="eastAsia" w:ascii="宋体" w:hAnsi="宋体" w:cs="宋体"/>
          <w:color w:val="FF0000"/>
          <w:kern w:val="0"/>
          <w:sz w:val="24"/>
          <w:shd w:val="clear" w:color="auto" w:fill="FFFFFF"/>
        </w:rPr>
        <w:t>份、副本</w:t>
      </w:r>
      <w:r>
        <w:rPr>
          <w:rFonts w:ascii="宋体" w:hAnsi="宋体" w:cs="宋体"/>
          <w:color w:val="FF0000"/>
          <w:kern w:val="0"/>
          <w:sz w:val="24"/>
          <w:shd w:val="clear" w:color="auto" w:fill="FFFFFF"/>
        </w:rPr>
        <w:t>4</w:t>
      </w:r>
      <w:r>
        <w:rPr>
          <w:rFonts w:hint="eastAsia" w:ascii="宋体" w:hAnsi="宋体" w:cs="宋体"/>
          <w:color w:val="FF0000"/>
          <w:kern w:val="0"/>
          <w:sz w:val="24"/>
          <w:shd w:val="clear" w:color="auto" w:fill="FFFFFF"/>
        </w:rPr>
        <w:t>份）和备份文件</w:t>
      </w:r>
      <w:r>
        <w:rPr>
          <w:rFonts w:ascii="宋体" w:hAnsi="宋体" w:cs="宋体"/>
          <w:color w:val="FF0000"/>
          <w:kern w:val="0"/>
          <w:sz w:val="24"/>
          <w:shd w:val="clear" w:color="auto" w:fill="FFFFFF"/>
        </w:rPr>
        <w:t>1</w:t>
      </w:r>
      <w:r>
        <w:rPr>
          <w:rFonts w:hint="eastAsia" w:ascii="宋体" w:hAnsi="宋体" w:cs="宋体"/>
          <w:color w:val="FF0000"/>
          <w:kern w:val="0"/>
          <w:sz w:val="24"/>
          <w:shd w:val="clear" w:color="auto" w:fill="FFFFFF"/>
        </w:rPr>
        <w:t>份（使用电子介质存储）在投标截止时间（开标时间）前递交至本项目开标地点。</w:t>
      </w:r>
    </w:p>
    <w:p>
      <w:pPr>
        <w:pStyle w:val="20"/>
        <w:widowControl/>
        <w:shd w:val="clear" w:color="auto" w:fill="FFFFFF"/>
        <w:spacing w:line="432"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六、本次招标公告同时在《中国政府采购网》、《河南省政府采购网》、《许昌市政府采购网》、《全国公共资源交易平台（河南省·许昌市）》发布。</w:t>
      </w:r>
    </w:p>
    <w:p>
      <w:pPr>
        <w:pStyle w:val="20"/>
        <w:widowControl/>
        <w:shd w:val="clear" w:color="auto" w:fill="FFFFFF"/>
        <w:spacing w:line="432"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七、公告期限</w:t>
      </w:r>
    </w:p>
    <w:p>
      <w:pPr>
        <w:pStyle w:val="20"/>
        <w:widowControl/>
        <w:shd w:val="clear" w:color="auto" w:fill="FFFFFF"/>
        <w:spacing w:line="432" w:lineRule="auto"/>
        <w:ind w:firstLine="420"/>
        <w:contextualSpacing/>
        <w:jc w:val="left"/>
        <w:rPr>
          <w:rFonts w:cs="黑体" w:asciiTheme="minorEastAsia" w:hAnsiTheme="minorEastAsia" w:eastAsiaTheme="minorEastAsia"/>
          <w:b/>
          <w:bCs/>
        </w:rPr>
      </w:pPr>
      <w:r>
        <w:rPr>
          <w:rFonts w:hint="eastAsia" w:cs="仿宋_GB2312" w:asciiTheme="minorEastAsia" w:hAnsiTheme="minorEastAsia" w:eastAsiaTheme="minorEastAsia"/>
        </w:rPr>
        <w:t>本招标公告自发布之日起公告期限为5个工作日。</w:t>
      </w:r>
    </w:p>
    <w:p>
      <w:pPr>
        <w:pStyle w:val="20"/>
        <w:widowControl/>
        <w:shd w:val="clear" w:color="auto" w:fill="FFFFFF"/>
        <w:spacing w:line="432" w:lineRule="auto"/>
        <w:ind w:firstLine="420"/>
        <w:contextualSpacing/>
        <w:jc w:val="left"/>
        <w:outlineLvl w:val="1"/>
        <w:rPr>
          <w:rFonts w:cs="黑体" w:asciiTheme="minorEastAsia" w:hAnsiTheme="minorEastAsia" w:eastAsiaTheme="minorEastAsia"/>
          <w:b/>
          <w:bCs/>
        </w:rPr>
      </w:pPr>
      <w:r>
        <w:rPr>
          <w:rFonts w:hint="eastAsia" w:cs="黑体" w:asciiTheme="minorEastAsia" w:hAnsiTheme="minorEastAsia" w:eastAsiaTheme="minorEastAsia"/>
          <w:b/>
          <w:bCs/>
        </w:rPr>
        <w:t>八、联系方式</w:t>
      </w:r>
    </w:p>
    <w:p>
      <w:pPr>
        <w:pStyle w:val="20"/>
        <w:widowControl/>
        <w:shd w:val="clear" w:color="auto" w:fill="FFFFFF"/>
        <w:spacing w:line="432"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采购人：许昌市城乡一体化示范区财政局</w:t>
      </w:r>
    </w:p>
    <w:p>
      <w:pPr>
        <w:pStyle w:val="20"/>
        <w:widowControl/>
        <w:shd w:val="clear" w:color="auto" w:fill="FFFFFF"/>
        <w:spacing w:line="432"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址：许昌市东城区金融大厦9楼9</w:t>
      </w:r>
      <w:r>
        <w:rPr>
          <w:rFonts w:hint="eastAsia" w:cs="仿宋_GB2312" w:asciiTheme="minorEastAsia" w:hAnsiTheme="minorEastAsia" w:eastAsiaTheme="minorEastAsia"/>
          <w:lang w:val="en-US" w:eastAsia="zh-CN"/>
        </w:rPr>
        <w:t>1</w:t>
      </w:r>
      <w:r>
        <w:rPr>
          <w:rFonts w:hint="eastAsia" w:cs="仿宋_GB2312" w:asciiTheme="minorEastAsia" w:hAnsiTheme="minorEastAsia" w:eastAsiaTheme="minorEastAsia"/>
        </w:rPr>
        <w:t>7室</w:t>
      </w:r>
    </w:p>
    <w:p>
      <w:pPr>
        <w:pStyle w:val="20"/>
        <w:widowControl/>
        <w:shd w:val="clear" w:color="auto" w:fill="FFFFFF"/>
        <w:spacing w:line="432" w:lineRule="auto"/>
        <w:ind w:firstLine="420"/>
        <w:contextualSpacing/>
        <w:jc w:val="left"/>
        <w:rPr>
          <w:rFonts w:hint="default" w:cs="仿宋_GB2312" w:asciiTheme="minorEastAsia" w:hAnsiTheme="minorEastAsia" w:eastAsiaTheme="minorEastAsia"/>
          <w:lang w:val="en-US" w:eastAsia="zh-CN"/>
        </w:rPr>
      </w:pPr>
      <w:r>
        <w:rPr>
          <w:rFonts w:hint="eastAsia" w:cs="仿宋_GB2312" w:asciiTheme="minorEastAsia" w:hAnsiTheme="minorEastAsia" w:eastAsiaTheme="minorEastAsia"/>
        </w:rPr>
        <w:t>联系人：</w:t>
      </w:r>
      <w:r>
        <w:rPr>
          <w:rFonts w:hint="eastAsia" w:cs="仿宋_GB2312" w:asciiTheme="minorEastAsia" w:hAnsiTheme="minorEastAsia" w:eastAsiaTheme="minorEastAsia"/>
          <w:lang w:eastAsia="zh-CN"/>
        </w:rPr>
        <w:t>屈先生</w:t>
      </w:r>
      <w:r>
        <w:rPr>
          <w:rFonts w:hint="eastAsia" w:cs="仿宋_GB2312" w:asciiTheme="minorEastAsia" w:hAnsiTheme="minorEastAsia" w:eastAsiaTheme="minorEastAsia"/>
        </w:rPr>
        <w:t xml:space="preserve">   联系电话：0374-3372</w:t>
      </w:r>
      <w:r>
        <w:rPr>
          <w:rFonts w:hint="eastAsia" w:cs="仿宋_GB2312" w:asciiTheme="minorEastAsia" w:hAnsiTheme="minorEastAsia" w:eastAsiaTheme="minorEastAsia"/>
          <w:lang w:val="en-US" w:eastAsia="zh-CN"/>
        </w:rPr>
        <w:t>786</w:t>
      </w:r>
    </w:p>
    <w:p>
      <w:pPr>
        <w:pStyle w:val="20"/>
        <w:widowControl/>
        <w:shd w:val="clear" w:color="auto" w:fill="FFFFFF"/>
        <w:spacing w:line="432"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代理机构：</w:t>
      </w:r>
      <w:r>
        <w:rPr>
          <w:rFonts w:hint="eastAsia" w:ascii="宋体" w:hAnsi="宋体" w:cs="宋体" w:eastAsiaTheme="minorEastAsia"/>
          <w:kern w:val="0"/>
        </w:rPr>
        <w:t>河南建威工程管理咨询有限公司</w:t>
      </w:r>
    </w:p>
    <w:p>
      <w:pPr>
        <w:pStyle w:val="20"/>
        <w:widowControl/>
        <w:shd w:val="clear" w:color="auto" w:fill="FFFFFF"/>
        <w:spacing w:line="432" w:lineRule="auto"/>
        <w:ind w:firstLine="420"/>
        <w:contextualSpacing/>
        <w:jc w:val="left"/>
        <w:rPr>
          <w:rFonts w:hint="eastAsia" w:ascii="宋体" w:hAnsi="宋体" w:cs="宋体" w:eastAsiaTheme="minorEastAsia"/>
          <w:kern w:val="0"/>
          <w:lang w:val="en-US" w:eastAsia="zh-CN"/>
        </w:rPr>
      </w:pPr>
      <w:r>
        <w:rPr>
          <w:rFonts w:hint="eastAsia" w:cs="仿宋_GB2312" w:asciiTheme="minorEastAsia" w:hAnsiTheme="minorEastAsia" w:eastAsiaTheme="minorEastAsia"/>
        </w:rPr>
        <w:t>地 址：</w:t>
      </w:r>
      <w:r>
        <w:rPr>
          <w:rFonts w:hint="eastAsia" w:ascii="宋体" w:hAnsi="宋体" w:cs="宋体" w:eastAsiaTheme="minorEastAsia"/>
          <w:kern w:val="0"/>
        </w:rPr>
        <w:t>郑州市</w:t>
      </w:r>
      <w:r>
        <w:rPr>
          <w:rFonts w:hint="eastAsia" w:ascii="宋体" w:hAnsi="宋体" w:cs="宋体" w:eastAsiaTheme="minorEastAsia"/>
          <w:kern w:val="0"/>
          <w:lang w:eastAsia="zh-CN"/>
        </w:rPr>
        <w:t>经济技术开发区正商经开广场</w:t>
      </w:r>
      <w:r>
        <w:rPr>
          <w:rFonts w:hint="eastAsia" w:ascii="宋体" w:hAnsi="宋体" w:cs="宋体" w:eastAsiaTheme="minorEastAsia"/>
          <w:kern w:val="0"/>
          <w:lang w:val="en-US" w:eastAsia="zh-CN"/>
        </w:rPr>
        <w:t>6号楼7楼</w:t>
      </w:r>
    </w:p>
    <w:p>
      <w:pPr>
        <w:pStyle w:val="20"/>
        <w:widowControl/>
        <w:shd w:val="clear" w:color="auto" w:fill="FFFFFF"/>
        <w:spacing w:line="432" w:lineRule="auto"/>
        <w:ind w:firstLine="420"/>
        <w:contextualSpacing/>
        <w:jc w:val="left"/>
        <w:rPr>
          <w:rFonts w:hint="default" w:cs="仿宋_GB2312" w:asciiTheme="minorEastAsia" w:hAnsiTheme="minorEastAsia" w:eastAsiaTheme="minorEastAsia"/>
          <w:lang w:val="en-US" w:eastAsia="zh-CN"/>
        </w:rPr>
      </w:pPr>
      <w:r>
        <w:rPr>
          <w:rFonts w:hint="eastAsia" w:cs="仿宋_GB2312" w:asciiTheme="minorEastAsia" w:hAnsiTheme="minorEastAsia" w:eastAsiaTheme="minorEastAsia"/>
        </w:rPr>
        <w:t>联系人：夏先生    联系电话：</w:t>
      </w:r>
      <w:r>
        <w:rPr>
          <w:rFonts w:hint="eastAsia" w:cs="仿宋_GB2312" w:asciiTheme="minorEastAsia" w:hAnsiTheme="minorEastAsia" w:eastAsiaTheme="minorEastAsia"/>
          <w:lang w:val="en-US" w:eastAsia="zh-CN"/>
        </w:rPr>
        <w:t>13343783635</w:t>
      </w:r>
    </w:p>
    <w:p>
      <w:pPr>
        <w:autoSpaceDE w:val="0"/>
        <w:autoSpaceDN w:val="0"/>
        <w:adjustRightInd w:val="0"/>
        <w:spacing w:line="432" w:lineRule="auto"/>
        <w:jc w:val="right"/>
        <w:rPr>
          <w:rFonts w:cs="仿宋_GB2312" w:asciiTheme="minorEastAsia" w:hAnsiTheme="minorEastAsia"/>
          <w:sz w:val="24"/>
          <w:szCs w:val="24"/>
        </w:rPr>
      </w:pPr>
      <w:r>
        <w:rPr>
          <w:rFonts w:hint="eastAsia" w:asciiTheme="minorEastAsia" w:hAnsiTheme="minorEastAsia" w:cstheme="majorEastAsia"/>
          <w:sz w:val="24"/>
          <w:szCs w:val="24"/>
          <w:lang w:val="zh-CN"/>
        </w:rPr>
        <w:t>许昌市城乡一体化示范区财政局</w:t>
      </w:r>
    </w:p>
    <w:p>
      <w:pPr>
        <w:autoSpaceDE w:val="0"/>
        <w:autoSpaceDN w:val="0"/>
        <w:adjustRightInd w:val="0"/>
        <w:spacing w:line="432" w:lineRule="auto"/>
        <w:ind w:firstLine="560"/>
        <w:jc w:val="right"/>
        <w:rPr>
          <w:rFonts w:cs="仿宋_GB2312" w:asciiTheme="minorEastAsia" w:hAnsiTheme="minorEastAsia"/>
          <w:sz w:val="24"/>
          <w:szCs w:val="24"/>
        </w:rPr>
      </w:pPr>
      <w:r>
        <w:rPr>
          <w:rFonts w:hint="eastAsia" w:cs="仿宋_GB2312" w:asciiTheme="minorEastAsia" w:hAnsiTheme="minorEastAsia"/>
          <w:sz w:val="24"/>
          <w:szCs w:val="24"/>
        </w:rPr>
        <w:t xml:space="preserve">                              二〇一九年</w:t>
      </w:r>
      <w:r>
        <w:rPr>
          <w:rFonts w:hint="eastAsia" w:cs="仿宋_GB2312" w:asciiTheme="minorEastAsia" w:hAnsiTheme="minorEastAsia"/>
          <w:sz w:val="24"/>
          <w:szCs w:val="24"/>
          <w:lang w:eastAsia="zh-CN"/>
        </w:rPr>
        <w:t>七</w:t>
      </w:r>
      <w:r>
        <w:rPr>
          <w:rFonts w:hint="eastAsia" w:cs="仿宋_GB2312" w:asciiTheme="minorEastAsia" w:hAnsiTheme="minorEastAsia"/>
          <w:sz w:val="24"/>
          <w:szCs w:val="24"/>
        </w:rPr>
        <w:t xml:space="preserve"> 月</w:t>
      </w:r>
      <w:r>
        <w:rPr>
          <w:rFonts w:hint="eastAsia" w:cs="仿宋_GB2312" w:asciiTheme="minorEastAsia" w:hAnsiTheme="minorEastAsia"/>
          <w:sz w:val="24"/>
          <w:szCs w:val="24"/>
          <w:lang w:eastAsia="zh-CN"/>
        </w:rPr>
        <w:t>十</w:t>
      </w:r>
      <w:bookmarkStart w:id="22" w:name="_GoBack"/>
      <w:bookmarkEnd w:id="22"/>
      <w:r>
        <w:rPr>
          <w:rFonts w:hint="eastAsia" w:cs="仿宋_GB2312" w:asciiTheme="minorEastAsia" w:hAnsiTheme="minorEastAsia"/>
          <w:sz w:val="24"/>
          <w:szCs w:val="24"/>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0"/>
        <w:rPr>
          <w:rFonts w:ascii="仿宋_GB2312" w:eastAsia="仿宋_GB2312"/>
          <w:b/>
          <w:sz w:val="32"/>
          <w:szCs w:val="32"/>
        </w:rPr>
      </w:pP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投标人应按招标文件规定编制、提交电子投标文件和纸质投标文件。开、评标现场不接受投标人递交的备份电子投标文件和纸质投标文件以外的其他资料，招标文件要求提供原件的除外。</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2</w:t>
      </w:r>
      <w:r>
        <w:rPr>
          <w:rFonts w:ascii="宋体" w:hAnsi="宋体"/>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3</w:t>
      </w:r>
      <w:r>
        <w:rPr>
          <w:rFonts w:hint="eastAsia" w:ascii="宋体" w:hAnsi="宋体"/>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sz w:val="24"/>
          <w:szCs w:val="24"/>
        </w:rPr>
        <w:t>http://221.14.6.70:8088/ggzy/</w:t>
      </w:r>
      <w:r>
        <w:rPr>
          <w:rFonts w:hint="eastAsia" w:hAnsi="宋体"/>
          <w:sz w:val="24"/>
          <w:szCs w:val="24"/>
        </w:rPr>
        <w:fldChar w:fldCharType="end"/>
      </w:r>
      <w:r>
        <w:rPr>
          <w:rFonts w:hint="eastAsia" w:hAnsi="宋体"/>
          <w:sz w:val="24"/>
          <w:szCs w:val="24"/>
        </w:rPr>
        <w:t>）下载“许昌投标文件制作系统SEARUN最新版本”，按招标文件要求制作电子投标文件。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宋体" w:hAnsi="宋体"/>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4</w:t>
      </w:r>
      <w:r>
        <w:rPr>
          <w:rFonts w:hint="eastAsia" w:ascii="宋体" w:hAnsi="宋体"/>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ascii="宋体" w:hAnsi="宋体"/>
          <w:sz w:val="24"/>
          <w:szCs w:val="24"/>
        </w:rPr>
        <w:t>4</w:t>
      </w:r>
      <w:r>
        <w:rPr>
          <w:rFonts w:hint="eastAsia" w:ascii="宋体" w:hAnsi="宋体"/>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cs="仿宋_GB2312" w:asciiTheme="minorEastAsia" w:hAnsiTheme="minorEastAsia"/>
          <w:shd w:val="clear" w:color="auto" w:fill="FFFFFF"/>
        </w:rPr>
        <w:t>http://221.14.6.70:8088/ggzy/</w:t>
      </w:r>
      <w:r>
        <w:rPr>
          <w:rFonts w:hint="eastAsia" w:cs="仿宋_GB2312" w:asciiTheme="minorEastAsia" w:hAnsiTheme="minorEastAsia"/>
          <w:shd w:val="clear" w:color="auto" w:fill="FFFFFF"/>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5</w:t>
      </w:r>
      <w:r>
        <w:rPr>
          <w:rFonts w:hint="eastAsia" w:ascii="宋体" w:hAnsi="宋体"/>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hAnsi="宋体"/>
          <w:sz w:val="24"/>
          <w:szCs w:val="24"/>
        </w:rPr>
        <w:t>5.1采用全流程电子化交易评标时，评标委员会以投标人提供的与原件相一致的业绩、资格证书的电子投标文件为依据评标，现场评审要求提供相关业绩、人员资格证书原件的以现场提供的原件为准，无法提供原件的不予认定。</w:t>
      </w:r>
    </w:p>
    <w:p>
      <w:pPr>
        <w:tabs>
          <w:tab w:val="left" w:pos="7095"/>
        </w:tabs>
        <w:spacing w:line="360" w:lineRule="auto"/>
        <w:ind w:firstLine="480" w:firstLineChars="200"/>
        <w:contextualSpacing/>
        <w:rPr>
          <w:rFonts w:hAnsi="宋体"/>
          <w:sz w:val="24"/>
          <w:szCs w:val="24"/>
        </w:rPr>
      </w:pPr>
      <w:r>
        <w:rPr>
          <w:rFonts w:hint="eastAsia" w:ascii="宋体" w:hAnsi="宋体"/>
          <w:sz w:val="24"/>
          <w:szCs w:val="24"/>
        </w:rPr>
        <w:t>5.2</w:t>
      </w:r>
      <w:r>
        <w:rPr>
          <w:rFonts w:hint="eastAsia" w:hAnsi="宋体"/>
          <w:sz w:val="24"/>
          <w:szCs w:val="24"/>
        </w:rPr>
        <w:t>全流程电子化交易如因系统异常情况无法完成，将以人工方式进行。评标委员会以纸质投标文件为依据评标。</w:t>
      </w:r>
    </w:p>
    <w:p>
      <w:pPr>
        <w:pStyle w:val="2"/>
        <w:ind w:firstLine="340"/>
      </w:pPr>
    </w:p>
    <w:p>
      <w:pPr>
        <w:numPr>
          <w:ilvl w:val="0"/>
          <w:numId w:val="5"/>
        </w:numP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第二章 项目需求</w:t>
      </w:r>
    </w:p>
    <w:p>
      <w:pPr>
        <w:widowControl/>
        <w:numPr>
          <w:ilvl w:val="0"/>
          <w:numId w:val="6"/>
        </w:numPr>
        <w:shd w:val="clear" w:color="auto" w:fill="FFFFFF"/>
        <w:spacing w:line="360" w:lineRule="auto"/>
        <w:ind w:firstLine="482" w:firstLineChars="200"/>
        <w:contextualSpacing/>
        <w:jc w:val="left"/>
        <w:rPr>
          <w:rFonts w:ascii="楷体" w:hAnsi="楷体" w:eastAsia="楷体" w:cs="宋体"/>
          <w:kern w:val="0"/>
          <w:sz w:val="28"/>
          <w:szCs w:val="28"/>
          <w:lang w:val="zh-CN"/>
        </w:rPr>
      </w:pPr>
      <w:r>
        <w:rPr>
          <w:rFonts w:hint="eastAsia" w:cs="黑体" w:asciiTheme="minorEastAsia" w:hAnsiTheme="minorEastAsia"/>
          <w:b/>
          <w:bCs/>
          <w:sz w:val="24"/>
          <w:szCs w:val="24"/>
          <w:shd w:val="clear" w:color="auto" w:fill="FFFFFF"/>
        </w:rPr>
        <w:t>本项目需实现的功能或者目标</w:t>
      </w:r>
    </w:p>
    <w:p>
      <w:pPr>
        <w:widowControl/>
        <w:shd w:val="clear" w:color="auto" w:fill="FFFFFF"/>
        <w:spacing w:line="360" w:lineRule="auto"/>
        <w:ind w:firstLine="481"/>
        <w:contextualSpacing/>
        <w:jc w:val="left"/>
        <w:rPr>
          <w:rFonts w:ascii="宋体" w:hAnsi="宋体" w:eastAsia="宋体" w:cs="宋体"/>
          <w:kern w:val="0"/>
          <w:sz w:val="24"/>
          <w:szCs w:val="24"/>
        </w:rPr>
      </w:pPr>
      <w:r>
        <w:rPr>
          <w:rFonts w:hint="eastAsia" w:ascii="宋体" w:hAnsi="宋体" w:eastAsia="宋体" w:cs="宋体"/>
          <w:kern w:val="0"/>
          <w:sz w:val="24"/>
          <w:szCs w:val="24"/>
        </w:rPr>
        <w:t>通过公开招标的方式</w:t>
      </w:r>
      <w:r>
        <w:rPr>
          <w:rFonts w:hint="eastAsia" w:ascii="宋体" w:hAnsi="宋体" w:eastAsia="宋体" w:cs="宋体"/>
          <w:sz w:val="24"/>
          <w:szCs w:val="24"/>
        </w:rPr>
        <w:t>择优选定5家B类及以上会计事务所</w:t>
      </w:r>
      <w:r>
        <w:rPr>
          <w:rFonts w:hint="eastAsia" w:ascii="宋体" w:hAnsi="宋体" w:eastAsia="宋体" w:cs="宋体"/>
          <w:kern w:val="0"/>
          <w:sz w:val="24"/>
          <w:szCs w:val="24"/>
        </w:rPr>
        <w:t>。</w:t>
      </w:r>
    </w:p>
    <w:p>
      <w:pPr>
        <w:widowControl/>
        <w:shd w:val="clear" w:color="auto" w:fill="FFFFFF"/>
        <w:spacing w:line="360" w:lineRule="auto"/>
        <w:ind w:firstLine="480" w:firstLineChars="200"/>
        <w:contextualSpacing/>
        <w:jc w:val="left"/>
      </w:pPr>
      <w:r>
        <w:rPr>
          <w:rFonts w:hint="eastAsia" w:ascii="宋体" w:hAnsi="宋体" w:eastAsia="宋体" w:cs="宋体"/>
          <w:sz w:val="24"/>
        </w:rPr>
        <w:t>服务标准：</w:t>
      </w:r>
      <w:r>
        <w:rPr>
          <w:rFonts w:hint="eastAsia" w:ascii="宋体" w:hAnsi="宋体" w:cs="宋体"/>
          <w:kern w:val="0"/>
          <w:sz w:val="24"/>
          <w:szCs w:val="24"/>
        </w:rPr>
        <w:t>按照《许昌市城乡一体化示范区政府购买中介机构服务管理暂行办法（试行）》（以下简称《办法》）执行</w:t>
      </w:r>
    </w:p>
    <w:p>
      <w:pPr>
        <w:widowControl/>
        <w:shd w:val="clear" w:color="auto" w:fill="FFFFFF"/>
        <w:spacing w:line="360" w:lineRule="auto"/>
        <w:ind w:firstLine="482" w:firstLineChars="200"/>
        <w:contextualSpacing/>
        <w:jc w:val="left"/>
        <w:rPr>
          <w:rFonts w:ascii="楷体" w:hAnsi="楷体" w:eastAsia="楷体" w:cs="宋体"/>
          <w:kern w:val="0"/>
          <w:sz w:val="28"/>
          <w:szCs w:val="28"/>
          <w:lang w:val="zh-CN"/>
        </w:rPr>
      </w:pPr>
      <w:r>
        <w:rPr>
          <w:rFonts w:hint="eastAsia" w:cs="微软雅黑" w:asciiTheme="minorEastAsia" w:hAnsiTheme="minorEastAsia"/>
          <w:b/>
          <w:sz w:val="24"/>
          <w:szCs w:val="24"/>
        </w:rPr>
        <w:t>★</w:t>
      </w:r>
      <w:r>
        <w:rPr>
          <w:rFonts w:hint="eastAsia" w:cs="黑体" w:asciiTheme="minorEastAsia" w:hAnsiTheme="minorEastAsia"/>
          <w:b/>
          <w:bCs/>
          <w:sz w:val="24"/>
          <w:szCs w:val="24"/>
          <w:shd w:val="clear" w:color="auto" w:fill="FFFFFF"/>
        </w:rPr>
        <w:t>二、采购清单</w:t>
      </w:r>
    </w:p>
    <w:p>
      <w:pPr>
        <w:widowControl/>
        <w:shd w:val="clear" w:color="auto" w:fill="FFFFFF"/>
        <w:spacing w:line="360" w:lineRule="auto"/>
        <w:ind w:left="420" w:leftChars="200" w:firstLine="480" w:firstLineChars="200"/>
        <w:contextualSpacing/>
        <w:jc w:val="left"/>
        <w:rPr>
          <w:rFonts w:ascii="宋体" w:hAnsi="宋体" w:eastAsia="宋体" w:cs="宋体"/>
          <w:kern w:val="0"/>
          <w:sz w:val="24"/>
          <w:szCs w:val="24"/>
        </w:rPr>
      </w:pPr>
      <w:r>
        <w:rPr>
          <w:rFonts w:hint="eastAsia" w:ascii="宋体" w:hAnsi="宋体" w:eastAsia="宋体" w:cs="宋体"/>
          <w:sz w:val="24"/>
          <w:szCs w:val="24"/>
        </w:rPr>
        <w:t>择优选定5家B类及以上会计事务所</w:t>
      </w:r>
      <w:r>
        <w:rPr>
          <w:rFonts w:hint="eastAsia" w:ascii="宋体" w:hAnsi="宋体" w:eastAsia="宋体" w:cs="宋体"/>
          <w:kern w:val="0"/>
          <w:sz w:val="24"/>
          <w:szCs w:val="24"/>
        </w:rPr>
        <w:t>。</w:t>
      </w:r>
    </w:p>
    <w:p>
      <w:pPr>
        <w:widowControl/>
        <w:shd w:val="clear" w:color="auto" w:fill="FFFFFF"/>
        <w:spacing w:line="360" w:lineRule="auto"/>
        <w:ind w:firstLine="422" w:firstLineChars="200"/>
        <w:contextualSpacing/>
        <w:jc w:val="left"/>
        <w:rPr>
          <w:rFonts w:ascii="宋体" w:hAnsi="宋体" w:cs="宋体"/>
          <w:b/>
          <w:kern w:val="0"/>
          <w:sz w:val="24"/>
          <w:szCs w:val="24"/>
        </w:rPr>
      </w:pPr>
      <w:r>
        <w:rPr>
          <w:rFonts w:hint="eastAsia" w:ascii="宋体" w:hAnsi="宋体" w:cs="微软雅黑"/>
          <w:b/>
          <w:szCs w:val="21"/>
        </w:rPr>
        <w:t>★</w:t>
      </w:r>
      <w:r>
        <w:rPr>
          <w:rFonts w:hint="eastAsia" w:ascii="宋体" w:hAnsi="宋体" w:cs="宋体"/>
          <w:b/>
          <w:kern w:val="0"/>
          <w:sz w:val="24"/>
          <w:szCs w:val="24"/>
        </w:rPr>
        <w:t>三、服务标准、期限、效率等要求</w:t>
      </w:r>
    </w:p>
    <w:p>
      <w:pPr>
        <w:widowControl/>
        <w:shd w:val="clear" w:color="auto" w:fill="FFFFFF"/>
        <w:spacing w:line="360" w:lineRule="auto"/>
        <w:ind w:firstLine="480" w:firstLineChars="200"/>
        <w:contextualSpacing/>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、服务标准：按照《许昌市城乡一体化示范区政府购买中介机构服务管理暂行办法（试行）》执行</w:t>
      </w:r>
    </w:p>
    <w:p>
      <w:pPr>
        <w:widowControl/>
        <w:shd w:val="clear" w:color="auto" w:fill="FFFFFF"/>
        <w:spacing w:line="360" w:lineRule="auto"/>
        <w:ind w:firstLine="480" w:firstLineChars="200"/>
        <w:contextualSpacing/>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、服务期限：三年</w:t>
      </w:r>
    </w:p>
    <w:p>
      <w:pPr>
        <w:widowControl/>
        <w:shd w:val="clear" w:color="auto" w:fill="FFFFFF"/>
        <w:spacing w:line="360" w:lineRule="auto"/>
        <w:ind w:firstLine="480" w:firstLineChars="200"/>
        <w:contextualSpacing/>
        <w:jc w:val="left"/>
        <w:rPr>
          <w:lang w:val="zh-CN"/>
        </w:rPr>
      </w:pPr>
      <w:r>
        <w:rPr>
          <w:rFonts w:ascii="宋体" w:hAnsi="宋体" w:cs="宋体"/>
          <w:kern w:val="0"/>
          <w:sz w:val="24"/>
          <w:szCs w:val="24"/>
        </w:rPr>
        <w:t>3</w:t>
      </w:r>
      <w:r>
        <w:rPr>
          <w:rFonts w:hint="eastAsia" w:ascii="宋体" w:hAnsi="宋体" w:cs="宋体"/>
          <w:kern w:val="0"/>
          <w:sz w:val="24"/>
          <w:szCs w:val="24"/>
        </w:rPr>
        <w:t>、效率：根据投标人在投标文件中承诺的响应时间</w:t>
      </w:r>
    </w:p>
    <w:p>
      <w:pPr>
        <w:wordWrap w:val="0"/>
        <w:spacing w:line="360" w:lineRule="auto"/>
        <w:ind w:firstLine="422" w:firstLineChars="200"/>
        <w:contextualSpacing/>
        <w:rPr>
          <w:rFonts w:ascii="宋体" w:cs="宋体"/>
          <w:b/>
          <w:kern w:val="0"/>
          <w:sz w:val="24"/>
          <w:szCs w:val="24"/>
          <w:lang w:val="zh-CN"/>
        </w:rPr>
      </w:pPr>
      <w:r>
        <w:rPr>
          <w:rFonts w:hint="eastAsia" w:ascii="宋体" w:hAnsi="宋体" w:cs="微软雅黑"/>
          <w:b/>
          <w:szCs w:val="21"/>
        </w:rPr>
        <w:t>★四</w:t>
      </w:r>
      <w:r>
        <w:rPr>
          <w:rFonts w:hint="eastAsia" w:ascii="宋体" w:hAnsi="宋体" w:cs="宋体"/>
          <w:b/>
          <w:kern w:val="0"/>
          <w:sz w:val="24"/>
          <w:szCs w:val="24"/>
          <w:lang w:val="zh-CN"/>
        </w:rPr>
        <w:t>、采购标的的其他技术、服务等要求</w:t>
      </w:r>
    </w:p>
    <w:p>
      <w:pPr>
        <w:widowControl/>
        <w:numPr>
          <w:ilvl w:val="0"/>
          <w:numId w:val="7"/>
        </w:numPr>
        <w:spacing w:line="360" w:lineRule="auto"/>
        <w:ind w:firstLine="480" w:firstLineChars="200"/>
        <w:jc w:val="left"/>
        <w:rPr>
          <w:rFonts w:ascii="宋体" w:cs="宋体"/>
          <w:kern w:val="0"/>
          <w:sz w:val="24"/>
          <w:szCs w:val="24"/>
        </w:rPr>
      </w:pPr>
      <w:r>
        <w:rPr>
          <w:rFonts w:hint="eastAsia" w:ascii="宋体" w:hAnsi="宋体" w:cs="宋体"/>
          <w:kern w:val="0"/>
          <w:sz w:val="24"/>
          <w:szCs w:val="24"/>
        </w:rPr>
        <w:t>对中标的中介机构服务单位管理遵循“管用分离，择优进库，随机抽取、综合评价、动态管理、绩效挂钩”的原则，待有项目需要委托时，根据《办法》规定确定受委托单位。受委托单位被抽中后再与委托</w:t>
      </w:r>
      <w:r>
        <w:rPr>
          <w:rFonts w:hint="eastAsia"/>
          <w:sz w:val="24"/>
          <w:szCs w:val="24"/>
        </w:rPr>
        <w:t>人订立书面合同。受委托单位无正当理由拒签合同的，采购人取消其入库资格。并</w:t>
      </w:r>
      <w:r>
        <w:rPr>
          <w:rFonts w:hint="eastAsia" w:ascii="宋体" w:hAnsi="宋体" w:cs="宋体"/>
          <w:kern w:val="0"/>
          <w:sz w:val="24"/>
          <w:szCs w:val="24"/>
        </w:rPr>
        <w:t>为了确保清产核资、财政（财务）审计等委托项目和其他专项委托工作客观、公正，按照</w:t>
      </w:r>
      <w:r>
        <w:rPr>
          <w:rFonts w:hint="eastAsia" w:ascii="宋体" w:cs="宋体"/>
          <w:kern w:val="0"/>
          <w:sz w:val="24"/>
          <w:szCs w:val="24"/>
        </w:rPr>
        <w:t>“</w:t>
      </w:r>
      <w:r>
        <w:rPr>
          <w:rFonts w:hint="eastAsia" w:ascii="宋体" w:hAnsi="宋体" w:cs="宋体"/>
          <w:kern w:val="0"/>
          <w:sz w:val="24"/>
          <w:szCs w:val="24"/>
        </w:rPr>
        <w:t>谁使用、谁付费、谁评价</w:t>
      </w:r>
      <w:r>
        <w:rPr>
          <w:rFonts w:hint="eastAsia" w:ascii="宋体" w:cs="宋体"/>
          <w:kern w:val="0"/>
          <w:sz w:val="24"/>
          <w:szCs w:val="24"/>
        </w:rPr>
        <w:t>”</w:t>
      </w:r>
      <w:r>
        <w:rPr>
          <w:rFonts w:hint="eastAsia" w:ascii="宋体" w:hAnsi="宋体" w:cs="宋体"/>
          <w:kern w:val="0"/>
          <w:sz w:val="24"/>
          <w:szCs w:val="24"/>
        </w:rPr>
        <w:t>的原则，由委托单位向受委托单位拨付费用，受托单位不得向委托单位另行收取任何费用。</w:t>
      </w:r>
    </w:p>
    <w:p>
      <w:pPr>
        <w:widowControl/>
        <w:numPr>
          <w:ilvl w:val="0"/>
          <w:numId w:val="7"/>
        </w:numPr>
        <w:spacing w:line="360" w:lineRule="auto"/>
        <w:ind w:firstLine="480" w:firstLineChars="200"/>
        <w:jc w:val="left"/>
        <w:rPr>
          <w:rFonts w:ascii="宋体" w:cs="宋体"/>
          <w:kern w:val="0"/>
          <w:sz w:val="24"/>
          <w:szCs w:val="24"/>
        </w:rPr>
      </w:pPr>
      <w:r>
        <w:rPr>
          <w:rFonts w:hint="eastAsia" w:ascii="宋体" w:hAnsi="宋体" w:cs="宋体"/>
          <w:kern w:val="0"/>
          <w:sz w:val="24"/>
          <w:szCs w:val="24"/>
        </w:rPr>
        <w:t>其他服务要求：</w:t>
      </w:r>
    </w:p>
    <w:p>
      <w:pPr>
        <w:widowControl/>
        <w:numPr>
          <w:ilvl w:val="0"/>
          <w:numId w:val="8"/>
        </w:num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各中标会计事务所服务机构在接受招标人委托的项目服务时，派出完成该项目的工作人员必须是在拟投入专业服务该项目团队名单中的注册会计师、工作人员为常驻人员，且能胜任项目审计、检查等工作。</w:t>
      </w:r>
    </w:p>
    <w:p>
      <w:pPr>
        <w:widowControl/>
        <w:numPr>
          <w:ilvl w:val="0"/>
          <w:numId w:val="8"/>
        </w:num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入库的中介机构及其执业人员，应当按照委托合同约定，独立、客观、公正地履行职责，为委托单位和监管单位提供真实可靠的业务报告，未经许昌市城乡一体化示范区财政局同意，不得将受托业务分包或转托于其他任何中介机构。</w:t>
      </w:r>
    </w:p>
    <w:p>
      <w:pPr>
        <w:widowControl/>
        <w:shd w:val="clear" w:color="auto" w:fill="FFFFFF"/>
        <w:spacing w:line="360" w:lineRule="auto"/>
        <w:ind w:firstLine="482" w:firstLineChars="200"/>
        <w:contextualSpacing/>
        <w:jc w:val="left"/>
        <w:rPr>
          <w:rFonts w:ascii="楷体" w:hAnsi="楷体" w:eastAsia="楷体" w:cs="宋体"/>
          <w:kern w:val="0"/>
          <w:sz w:val="24"/>
          <w:szCs w:val="24"/>
          <w:lang w:val="zh-CN"/>
        </w:rPr>
      </w:pPr>
      <w:r>
        <w:rPr>
          <w:rFonts w:hint="eastAsia" w:ascii="宋体" w:hAnsi="宋体" w:cs="微软雅黑"/>
          <w:b/>
          <w:sz w:val="24"/>
          <w:szCs w:val="24"/>
        </w:rPr>
        <w:t>★五</w:t>
      </w:r>
      <w:r>
        <w:rPr>
          <w:rFonts w:hint="eastAsia" w:ascii="宋体" w:hAnsi="宋体" w:cs="宋体"/>
          <w:b/>
          <w:kern w:val="0"/>
          <w:sz w:val="24"/>
          <w:szCs w:val="24"/>
          <w:lang w:val="zh-CN"/>
        </w:rPr>
        <w:t>、验收标准</w:t>
      </w:r>
    </w:p>
    <w:p>
      <w:pPr>
        <w:pStyle w:val="20"/>
        <w:widowControl/>
        <w:shd w:val="clear" w:color="auto" w:fill="FFFFFF"/>
        <w:spacing w:line="360" w:lineRule="auto"/>
        <w:ind w:firstLine="480" w:firstLineChars="200"/>
        <w:contextualSpacing/>
        <w:jc w:val="left"/>
        <w:rPr>
          <w:rFonts w:ascii="宋体" w:hAnsi="宋体" w:cs="宋体"/>
          <w:kern w:val="0"/>
          <w:lang w:val="zh-CN"/>
        </w:rPr>
      </w:pPr>
      <w:r>
        <w:rPr>
          <w:rFonts w:hint="eastAsia" w:ascii="宋体" w:hAnsi="宋体" w:cs="宋体"/>
          <w:kern w:val="0"/>
          <w:lang w:val="zh-CN"/>
        </w:rPr>
        <w:t>1、根据</w:t>
      </w:r>
      <w:r>
        <w:rPr>
          <w:rFonts w:hint="eastAsia" w:ascii="宋体" w:hAnsi="宋体" w:cs="宋体"/>
          <w:kern w:val="0"/>
        </w:rPr>
        <w:t>《许昌市城乡一体化示范区政府购买中介机构服务管理暂行办法（试行）》</w:t>
      </w:r>
      <w:r>
        <w:rPr>
          <w:rFonts w:hint="eastAsia" w:ascii="宋体" w:hAnsi="宋体" w:cs="宋体"/>
          <w:kern w:val="0"/>
          <w:lang w:val="zh-CN"/>
        </w:rPr>
        <w:t>规定的“谁使用、谁付费、谁评价”的原则，委托人在服务项目结束后，按照合同约定的服务项目及标准，对受托中介机构服务质量进行履约验收评价。</w:t>
      </w:r>
    </w:p>
    <w:p>
      <w:pPr>
        <w:pStyle w:val="20"/>
        <w:widowControl/>
        <w:shd w:val="clear" w:color="auto" w:fill="FFFFFF"/>
        <w:spacing w:line="360" w:lineRule="auto"/>
        <w:ind w:firstLine="480" w:firstLineChars="200"/>
        <w:contextualSpacing/>
        <w:jc w:val="left"/>
        <w:rPr>
          <w:rFonts w:ascii="宋体" w:hAnsi="宋体" w:cs="宋体"/>
          <w:kern w:val="0"/>
          <w:lang w:val="zh-CN"/>
        </w:rPr>
      </w:pPr>
      <w:r>
        <w:rPr>
          <w:rFonts w:hint="eastAsia" w:ascii="宋体" w:hAnsi="宋体" w:cs="宋体"/>
          <w:kern w:val="0"/>
          <w:lang w:val="zh-CN"/>
        </w:rPr>
        <w:t>2、按照招标文件要求、投标文件响应和承诺验收。</w:t>
      </w:r>
    </w:p>
    <w:p>
      <w:pPr>
        <w:pStyle w:val="20"/>
        <w:widowControl/>
        <w:shd w:val="clear" w:color="auto" w:fill="FFFFFF"/>
        <w:spacing w:line="360" w:lineRule="auto"/>
        <w:ind w:firstLine="480" w:firstLineChars="200"/>
        <w:contextualSpacing/>
        <w:jc w:val="left"/>
        <w:rPr>
          <w:rFonts w:ascii="宋体" w:hAnsi="宋体" w:cs="宋体"/>
          <w:kern w:val="0"/>
          <w:lang w:val="zh-CN"/>
        </w:rPr>
      </w:pPr>
      <w:r>
        <w:rPr>
          <w:rFonts w:hint="eastAsia" w:ascii="宋体" w:hAnsi="宋体" w:cs="宋体"/>
          <w:kern w:val="0"/>
          <w:lang w:val="zh-CN"/>
        </w:rPr>
        <w:t xml:space="preserve">3、符合国家的法律、法规和会计的行业规范以及会计有关的制度、规章和规定等。 </w:t>
      </w:r>
    </w:p>
    <w:p>
      <w:pPr>
        <w:widowControl/>
        <w:shd w:val="clear" w:color="auto" w:fill="FFFFFF"/>
        <w:spacing w:line="360" w:lineRule="auto"/>
        <w:ind w:firstLine="480" w:firstLineChars="200"/>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微软雅黑" w:asciiTheme="minorEastAsia" w:hAnsiTheme="minorEastAsia" w:eastAsiaTheme="minorEastAsia"/>
          <w:b/>
        </w:rPr>
        <w:t>★六</w:t>
      </w:r>
      <w:r>
        <w:rPr>
          <w:rFonts w:hint="eastAsia" w:cs="黑体" w:asciiTheme="minorEastAsia" w:hAnsiTheme="minorEastAsia" w:eastAsiaTheme="minorEastAsia"/>
          <w:b/>
          <w:bCs/>
          <w:shd w:val="clear" w:color="auto" w:fill="FFFFFF"/>
        </w:rPr>
        <w:t>、本项目预算金额</w:t>
      </w:r>
      <w:r>
        <w:rPr>
          <w:rFonts w:hint="eastAsia" w:cs="黑体" w:asciiTheme="minorEastAsia" w:hAnsiTheme="minorEastAsia" w:eastAsiaTheme="minorEastAsia"/>
          <w:b/>
          <w:bCs/>
          <w:u w:val="single"/>
          <w:shd w:val="clear" w:color="auto" w:fill="FFFFFF"/>
        </w:rPr>
        <w:t xml:space="preserve"> 无 </w:t>
      </w:r>
      <w:r>
        <w:rPr>
          <w:rFonts w:hint="eastAsia" w:cs="黑体" w:asciiTheme="minorEastAsia" w:hAnsiTheme="minorEastAsia" w:eastAsiaTheme="minorEastAsia"/>
          <w:shd w:val="clear" w:color="auto" w:fill="FFFFFF"/>
        </w:rPr>
        <w:t xml:space="preserve"> 。</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★七</w:t>
      </w:r>
      <w:r>
        <w:rPr>
          <w:rFonts w:hint="eastAsia" w:cs="宋体" w:asciiTheme="minorEastAsia" w:hAnsiTheme="minorEastAsia"/>
          <w:b/>
          <w:kern w:val="0"/>
          <w:sz w:val="24"/>
          <w:szCs w:val="24"/>
          <w:lang w:val="zh-CN"/>
        </w:rPr>
        <w:t>、资金支付</w:t>
      </w:r>
    </w:p>
    <w:p>
      <w:pPr>
        <w:widowControl/>
        <w:shd w:val="clear" w:color="auto" w:fill="FFFFFF"/>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lang w:val="zh-CN"/>
        </w:rPr>
        <w:t>1、支付方式：银行转账。</w:t>
      </w:r>
    </w:p>
    <w:p>
      <w:pPr>
        <w:widowControl/>
        <w:shd w:val="clear" w:color="auto" w:fill="FFFFFF"/>
        <w:spacing w:line="360" w:lineRule="auto"/>
        <w:ind w:firstLine="480" w:firstLineChars="200"/>
        <w:jc w:val="left"/>
        <w:rPr>
          <w:rFonts w:cs="宋体" w:asciiTheme="majorEastAsia" w:hAnsiTheme="majorEastAsia" w:eastAsiaTheme="majorEastAsia"/>
          <w:b/>
          <w:kern w:val="0"/>
          <w:sz w:val="32"/>
          <w:szCs w:val="32"/>
        </w:rPr>
      </w:pPr>
      <w:r>
        <w:rPr>
          <w:rFonts w:hint="eastAsia" w:cs="宋体" w:asciiTheme="minorEastAsia" w:hAnsiTheme="minorEastAsia"/>
          <w:kern w:val="0"/>
          <w:sz w:val="24"/>
          <w:szCs w:val="24"/>
          <w:lang w:val="zh-CN"/>
        </w:rPr>
        <w:t>2、支付时间及条件：资产评估机构完成某项目后，一周内为资产评估机构结清服务费。</w:t>
      </w: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pStyle w:val="20"/>
              <w:widowControl/>
              <w:shd w:val="clear" w:color="auto" w:fill="FFFFFF"/>
              <w:spacing w:line="432" w:lineRule="auto"/>
              <w:contextualSpacing/>
              <w:jc w:val="left"/>
              <w:rPr>
                <w:rFonts w:cs="仿宋_GB2312" w:asciiTheme="minorEastAsia" w:hAnsiTheme="minorEastAsia" w:eastAsiaTheme="minorEastAsia"/>
              </w:rPr>
            </w:pPr>
            <w:r>
              <w:rPr>
                <w:rFonts w:hint="eastAsia" w:cs="仿宋_GB2312" w:asciiTheme="minorEastAsia" w:hAnsiTheme="minorEastAsia"/>
              </w:rPr>
              <w:t>项目名称：</w:t>
            </w:r>
            <w:r>
              <w:rPr>
                <w:rFonts w:hint="eastAsia" w:ascii="宋体" w:hAnsi="宋体" w:cs="宋体"/>
                <w:kern w:val="0"/>
              </w:rPr>
              <w:t>许昌市城乡一体化示范区工程造价咨询、财政财务审计机构备选库</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项目编号：JZFCG-G2019046</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rPr>
              <w:t xml:space="preserve">号 </w:t>
            </w:r>
          </w:p>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项目内容：</w:t>
            </w:r>
            <w:r>
              <w:rPr>
                <w:rFonts w:hint="eastAsia" w:ascii="宋体" w:hAnsi="宋体" w:eastAsia="宋体" w:cs="宋体"/>
                <w:kern w:val="0"/>
                <w:sz w:val="24"/>
                <w:szCs w:val="24"/>
              </w:rPr>
              <w:t>许昌市城乡一体化示范区工程造价咨询、财政财务审计机构备选库</w:t>
            </w:r>
            <w:r>
              <w:rPr>
                <w:rFonts w:hint="eastAsia" w:ascii="宋体" w:hAnsi="宋体" w:eastAsia="宋体" w:cs="宋体"/>
                <w:kern w:val="0"/>
                <w:sz w:val="24"/>
                <w:szCs w:val="24"/>
                <w:lang w:eastAsia="zh-CN"/>
              </w:rPr>
              <w:t>项目</w:t>
            </w:r>
            <w:r>
              <w:rPr>
                <w:rFonts w:hint="eastAsia" w:ascii="宋体" w:hAnsi="宋体" w:cs="仿宋_GB2312"/>
                <w:sz w:val="24"/>
                <w:szCs w:val="24"/>
              </w:rPr>
              <w:t>，B包：B类及以上会计事务所5家。具体要求详见招标文件</w:t>
            </w:r>
            <w:r>
              <w:rPr>
                <w:rFonts w:hint="eastAsia" w:ascii="宋体" w:hAnsi="宋体" w:cs="仿宋_GB2312"/>
                <w:sz w:val="24"/>
                <w:szCs w:val="24"/>
                <w:lang w:eastAsia="zh-CN"/>
              </w:rPr>
              <w:t>。</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项目地址：许昌市城乡一体化示范区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名称：许昌市城乡一体化示范区财政局</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地址：许昌市东城区金融大厦9楼9</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rPr>
              <w:t>7室</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屈先生</w:t>
            </w:r>
            <w:r>
              <w:rPr>
                <w:rFonts w:hint="eastAsia" w:cs="仿宋_GB2312" w:asciiTheme="minorEastAsia" w:hAnsiTheme="minorEastAsia"/>
                <w:sz w:val="24"/>
                <w:szCs w:val="24"/>
              </w:rPr>
              <w:t xml:space="preserve">         电话：0374-3372</w:t>
            </w:r>
            <w:r>
              <w:rPr>
                <w:rFonts w:hint="eastAsia" w:cs="仿宋_GB2312" w:asciiTheme="minorEastAsia" w:hAnsiTheme="minorEastAsia"/>
                <w:sz w:val="24"/>
                <w:szCs w:val="24"/>
                <w:lang w:val="en-US" w:eastAsia="zh-CN"/>
              </w:rPr>
              <w:t>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名称：河南建威工程管理咨询有限公司</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地址：郑州市</w:t>
            </w:r>
            <w:r>
              <w:rPr>
                <w:rFonts w:hint="eastAsia" w:cs="仿宋_GB2312" w:asciiTheme="minorEastAsia" w:hAnsiTheme="minorEastAsia"/>
                <w:sz w:val="24"/>
                <w:szCs w:val="24"/>
                <w:lang w:eastAsia="zh-CN"/>
              </w:rPr>
              <w:t>经济技术开发区正商经开广场</w:t>
            </w:r>
            <w:r>
              <w:rPr>
                <w:rFonts w:hint="eastAsia" w:cs="仿宋_GB2312" w:asciiTheme="minorEastAsia" w:hAnsiTheme="minorEastAsia"/>
                <w:sz w:val="24"/>
                <w:szCs w:val="24"/>
                <w:lang w:val="en-US" w:eastAsia="zh-CN"/>
              </w:rPr>
              <w:t>6号楼7楼</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联系人：夏先生              电话：</w:t>
            </w:r>
            <w:r>
              <w:rPr>
                <w:rFonts w:hint="eastAsia" w:cs="仿宋_GB2312" w:asciiTheme="minorEastAsia" w:hAnsiTheme="minorEastAsia"/>
                <w:sz w:val="24"/>
                <w:szCs w:val="24"/>
                <w:lang w:val="en-US" w:eastAsia="zh-CN"/>
              </w:rPr>
              <w:t>13343783635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r>
              <w:rPr>
                <w:rFonts w:hint="eastAsia" w:cs="宋体" w:asciiTheme="minorEastAsia" w:hAnsiTheme="minorEastAsia"/>
                <w:b/>
                <w:bCs/>
                <w:sz w:val="24"/>
                <w:szCs w:val="24"/>
                <w:lang w:val="zh-CN"/>
              </w:rPr>
              <w:t>（提供原件）</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1、企业法人营业执照或营业执照原件。（企业投标提供）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2、事业单位法人证书原件。（事业单位投标提供）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3、执业许可证原件。（非专业服务机构投标提供）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4、个体工商户营业执照原件。（个体工商户投标提供）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5、自然人身份证明原件。（自然人投标提供）</w:t>
            </w:r>
          </w:p>
          <w:p>
            <w:pPr>
              <w:autoSpaceDE w:val="0"/>
              <w:autoSpaceDN w:val="0"/>
              <w:adjustRightInd w:val="0"/>
              <w:spacing w:line="360" w:lineRule="auto"/>
              <w:jc w:val="left"/>
              <w:rPr>
                <w:rFonts w:hint="eastAsia" w:cs="仿宋_GB2312" w:asciiTheme="minorEastAsia" w:hAnsiTheme="minorEastAsia" w:eastAsiaTheme="minorEastAsia"/>
                <w:b/>
                <w:sz w:val="24"/>
                <w:szCs w:val="24"/>
                <w:lang w:eastAsia="zh-CN"/>
              </w:rPr>
            </w:pPr>
            <w:r>
              <w:rPr>
                <w:rFonts w:hint="eastAsia" w:cs="仿宋_GB2312" w:asciiTheme="minorEastAsia" w:hAnsiTheme="minorEastAsia"/>
                <w:b/>
                <w:sz w:val="24"/>
                <w:szCs w:val="24"/>
              </w:rPr>
              <w:t>二、财务状况报告相关材料</w:t>
            </w:r>
            <w:r>
              <w:rPr>
                <w:rFonts w:hint="eastAsia" w:cs="仿宋_GB2312" w:asciiTheme="minorEastAsia" w:hAnsiTheme="minorEastAsia"/>
                <w:b/>
                <w:sz w:val="24"/>
                <w:szCs w:val="24"/>
                <w:lang w:eastAsia="zh-CN"/>
              </w:rPr>
              <w:t>（提供原件）</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w:t>
            </w:r>
            <w:r>
              <w:rPr>
                <w:rFonts w:hint="eastAsia" w:cs="宋体" w:asciiTheme="minorEastAsia" w:hAnsiTheme="minorEastAsia"/>
                <w:bCs/>
                <w:sz w:val="24"/>
                <w:szCs w:val="24"/>
              </w:rPr>
              <w:t>7-2018</w:t>
            </w:r>
            <w:r>
              <w:rPr>
                <w:rFonts w:hint="eastAsia" w:cs="宋体" w:asciiTheme="minorEastAsia" w:hAnsiTheme="minorEastAsia"/>
                <w:bCs/>
                <w:sz w:val="24"/>
                <w:szCs w:val="24"/>
                <w:lang w:val="zh-CN"/>
              </w:rPr>
              <w:t>年度经审计的财务报告原件，包括资产负债表、利润表、现金流量表、所有者权益变动表及其附注；或基本开户银行出具的资信证明原件；或财政部门认可的政府采购专业担保机构的证明文件和担保机构出具的投标担保函原件。（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w:t>
            </w:r>
            <w:r>
              <w:rPr>
                <w:rFonts w:hint="eastAsia" w:cs="宋体" w:asciiTheme="minorEastAsia" w:hAnsiTheme="minorEastAsia"/>
                <w:bCs/>
                <w:sz w:val="24"/>
                <w:szCs w:val="24"/>
                <w:lang w:val="zh-CN"/>
              </w:rPr>
              <w:t>银行出具的资信证明原件；或财政部门认可的政府采购专业担保机构的证明文件和担保机构出具的投标担保函原件。（其他组织和自然人投标提供）</w:t>
            </w:r>
          </w:p>
          <w:p>
            <w:pPr>
              <w:autoSpaceDE w:val="0"/>
              <w:autoSpaceDN w:val="0"/>
              <w:adjustRightInd w:val="0"/>
              <w:spacing w:line="360" w:lineRule="auto"/>
              <w:ind w:right="-11"/>
              <w:rPr>
                <w:rFonts w:ascii="宋体" w:hAnsi="宋体" w:cs="仿宋_GB2312"/>
                <w:b/>
                <w:sz w:val="24"/>
                <w:szCs w:val="24"/>
              </w:rPr>
            </w:pPr>
            <w:r>
              <w:rPr>
                <w:rFonts w:hint="eastAsia" w:ascii="宋体" w:hAnsi="宋体" w:cs="仿宋_GB2312"/>
                <w:b/>
                <w:sz w:val="24"/>
                <w:szCs w:val="24"/>
              </w:rPr>
              <w:t>三、依法缴纳税收相关材料</w:t>
            </w:r>
            <w:r>
              <w:rPr>
                <w:rFonts w:hint="eastAsia" w:ascii="宋体" w:hAnsi="宋体"/>
                <w:b/>
                <w:bCs/>
                <w:sz w:val="24"/>
                <w:szCs w:val="24"/>
              </w:rPr>
              <w:t>（提供原件）</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color w:val="FF0000"/>
                <w:sz w:val="24"/>
                <w:szCs w:val="24"/>
                <w:lang w:val="zh-CN"/>
              </w:rPr>
              <w:t>税务登记证和投标截止时间前</w:t>
            </w:r>
            <w:r>
              <w:rPr>
                <w:rFonts w:hint="eastAsia" w:ascii="宋体" w:hAnsi="宋体" w:cs="宋体"/>
                <w:bCs/>
                <w:color w:val="FF0000"/>
                <w:sz w:val="24"/>
                <w:szCs w:val="24"/>
              </w:rPr>
              <w:t>2019年</w:t>
            </w:r>
            <w:r>
              <w:rPr>
                <w:rFonts w:hint="eastAsia" w:ascii="宋体" w:hAnsi="宋体" w:cs="宋体"/>
                <w:bCs/>
                <w:color w:val="FF0000"/>
                <w:sz w:val="24"/>
                <w:szCs w:val="24"/>
                <w:lang w:val="en-US" w:eastAsia="zh-CN"/>
              </w:rPr>
              <w:t>4</w:t>
            </w:r>
            <w:r>
              <w:rPr>
                <w:rFonts w:hint="eastAsia" w:ascii="宋体" w:hAnsi="宋体" w:cs="宋体"/>
                <w:bCs/>
                <w:color w:val="FF0000"/>
                <w:sz w:val="24"/>
                <w:szCs w:val="24"/>
                <w:lang w:val="zh-CN"/>
              </w:rPr>
              <w:t>月至</w:t>
            </w:r>
            <w:r>
              <w:rPr>
                <w:rFonts w:hint="eastAsia" w:ascii="宋体" w:hAnsi="宋体" w:cs="宋体"/>
                <w:bCs/>
                <w:color w:val="FF0000"/>
                <w:sz w:val="24"/>
                <w:szCs w:val="24"/>
                <w:lang w:val="en-US" w:eastAsia="zh-CN"/>
              </w:rPr>
              <w:t>6</w:t>
            </w:r>
            <w:r>
              <w:rPr>
                <w:rFonts w:hint="eastAsia" w:ascii="宋体" w:hAnsi="宋体" w:cs="宋体"/>
                <w:bCs/>
                <w:color w:val="FF0000"/>
                <w:sz w:val="24"/>
                <w:szCs w:val="24"/>
                <w:lang w:val="zh-CN"/>
              </w:rPr>
              <w:t>月三个月的缴纳税收凭据。（依法免税的投标人，应提供相应文件证明依法免税</w:t>
            </w:r>
            <w:r>
              <w:rPr>
                <w:rFonts w:hint="eastAsia" w:ascii="宋体" w:hAnsi="宋体" w:cs="宋体"/>
                <w:bCs/>
                <w:sz w:val="24"/>
                <w:szCs w:val="24"/>
                <w:lang w:val="zh-CN"/>
              </w:rPr>
              <w:t>）</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四、依法缴纳社会保障资金的证明材料</w:t>
            </w:r>
            <w:r>
              <w:rPr>
                <w:rFonts w:hint="eastAsia" w:ascii="宋体" w:hAnsi="宋体"/>
                <w:b/>
                <w:bCs/>
                <w:sz w:val="24"/>
                <w:szCs w:val="24"/>
              </w:rPr>
              <w:t>（提供原件）</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color w:val="FF0000"/>
                <w:sz w:val="24"/>
                <w:szCs w:val="24"/>
                <w:lang w:val="zh-CN"/>
              </w:rPr>
              <w:t>投标截止时间前201</w:t>
            </w:r>
            <w:r>
              <w:rPr>
                <w:rFonts w:hint="eastAsia" w:ascii="宋体" w:hAnsi="宋体" w:cs="宋体"/>
                <w:bCs/>
                <w:color w:val="FF0000"/>
                <w:sz w:val="24"/>
                <w:szCs w:val="24"/>
              </w:rPr>
              <w:t>9</w:t>
            </w:r>
            <w:r>
              <w:rPr>
                <w:rFonts w:hint="eastAsia" w:ascii="宋体" w:hAnsi="宋体" w:cs="宋体"/>
                <w:bCs/>
                <w:color w:val="FF0000"/>
                <w:sz w:val="24"/>
                <w:szCs w:val="24"/>
                <w:lang w:val="zh-CN"/>
              </w:rPr>
              <w:t>年</w:t>
            </w:r>
            <w:r>
              <w:rPr>
                <w:rFonts w:hint="eastAsia" w:ascii="宋体" w:hAnsi="宋体" w:cs="宋体"/>
                <w:bCs/>
                <w:color w:val="FF0000"/>
                <w:sz w:val="24"/>
                <w:szCs w:val="24"/>
                <w:lang w:val="en-US" w:eastAsia="zh-CN"/>
              </w:rPr>
              <w:t>4</w:t>
            </w:r>
            <w:r>
              <w:rPr>
                <w:rFonts w:hint="eastAsia" w:ascii="宋体" w:hAnsi="宋体" w:cs="宋体"/>
                <w:bCs/>
                <w:color w:val="FF0000"/>
                <w:sz w:val="24"/>
                <w:szCs w:val="24"/>
                <w:lang w:val="zh-CN"/>
              </w:rPr>
              <w:t>月至</w:t>
            </w:r>
            <w:r>
              <w:rPr>
                <w:rFonts w:hint="eastAsia" w:ascii="宋体" w:hAnsi="宋体" w:cs="宋体"/>
                <w:bCs/>
                <w:color w:val="FF0000"/>
                <w:sz w:val="24"/>
                <w:szCs w:val="24"/>
                <w:lang w:val="en-US" w:eastAsia="zh-CN"/>
              </w:rPr>
              <w:t>6</w:t>
            </w:r>
            <w:r>
              <w:rPr>
                <w:rFonts w:hint="eastAsia" w:ascii="宋体" w:hAnsi="宋体" w:cs="宋体"/>
                <w:bCs/>
                <w:color w:val="FF0000"/>
                <w:sz w:val="24"/>
                <w:szCs w:val="24"/>
                <w:lang w:val="zh-CN"/>
              </w:rPr>
              <w:t>月三个月的缴纳社会保险凭据。（依法不需要缴纳社会保障资金的投标人，应提供相应文件证明依法不需要缴纳社会保障资金）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五、履行合同所必须的设备和专业技术能力的证明材料（提供原件）</w:t>
            </w:r>
          </w:p>
          <w:p>
            <w:pPr>
              <w:autoSpaceDE w:val="0"/>
              <w:autoSpaceDN w:val="0"/>
              <w:adjustRightInd w:val="0"/>
              <w:spacing w:line="360" w:lineRule="auto"/>
              <w:jc w:val="left"/>
              <w:rPr>
                <w:rFonts w:cs="宋体" w:asciiTheme="minorEastAsia" w:hAnsiTheme="minorEastAsia" w:eastAsiaTheme="minorEastAsia"/>
                <w:bCs/>
                <w:kern w:val="2"/>
                <w:sz w:val="24"/>
                <w:szCs w:val="24"/>
                <w:lang w:val="zh-CN"/>
              </w:rPr>
            </w:pPr>
            <w:r>
              <w:rPr>
                <w:rFonts w:hint="eastAsia" w:cs="宋体" w:asciiTheme="minorEastAsia" w:hAnsiTheme="minorEastAsia"/>
                <w:bCs/>
                <w:sz w:val="24"/>
                <w:szCs w:val="24"/>
                <w:lang w:val="zh-CN"/>
              </w:rPr>
              <w:t>相关设备的购置发票原件、专业技术人员职称证书原件、用工合同原件等和</w:t>
            </w:r>
            <w:r>
              <w:rPr>
                <w:rFonts w:hint="eastAsia" w:cs="宋体" w:asciiTheme="minorEastAsia" w:hAnsiTheme="minorEastAsia"/>
                <w:kern w:val="0"/>
                <w:sz w:val="24"/>
                <w:szCs w:val="24"/>
              </w:rPr>
              <w:t>投标人相关承诺函</w:t>
            </w:r>
            <w:r>
              <w:rPr>
                <w:rFonts w:hint="eastAsia" w:cs="宋体" w:asciiTheme="minorEastAsia" w:hAnsiTheme="minorEastAsia"/>
                <w:kern w:val="0"/>
                <w:sz w:val="24"/>
                <w:szCs w:val="24"/>
                <w:lang w:eastAsia="zh-CN"/>
              </w:rPr>
              <w:t>或</w:t>
            </w:r>
            <w:r>
              <w:rPr>
                <w:rFonts w:hint="eastAsia" w:cs="宋体" w:asciiTheme="minorEastAsia" w:hAnsiTheme="minorEastAsia"/>
                <w:kern w:val="0"/>
                <w:sz w:val="24"/>
                <w:szCs w:val="24"/>
              </w:rPr>
              <w:t>声明。</w:t>
            </w:r>
            <w:r>
              <w:rPr>
                <w:rFonts w:hint="eastAsia" w:cs="宋体" w:asciiTheme="minorEastAsia" w:hAnsiTheme="minorEastAsia" w:eastAsiaTheme="minorEastAsia"/>
                <w:bCs/>
                <w:kern w:val="2"/>
                <w:sz w:val="24"/>
                <w:szCs w:val="24"/>
                <w:lang w:val="zh-CN"/>
              </w:rPr>
              <w:t>属于河南省注册会计师协会公布的201</w:t>
            </w:r>
            <w:r>
              <w:rPr>
                <w:rFonts w:hint="eastAsia" w:cs="宋体" w:asciiTheme="minorEastAsia" w:hAnsiTheme="minorEastAsia" w:eastAsiaTheme="minorEastAsia"/>
                <w:bCs/>
                <w:kern w:val="2"/>
                <w:sz w:val="24"/>
                <w:szCs w:val="24"/>
              </w:rPr>
              <w:t>8</w:t>
            </w:r>
            <w:r>
              <w:rPr>
                <w:rFonts w:hint="eastAsia" w:cs="宋体" w:asciiTheme="minorEastAsia" w:hAnsiTheme="minorEastAsia" w:eastAsiaTheme="minorEastAsia"/>
                <w:bCs/>
                <w:kern w:val="2"/>
                <w:sz w:val="24"/>
                <w:szCs w:val="24"/>
                <w:lang w:val="zh-CN"/>
              </w:rPr>
              <w:t>年分类评价结果认定的</w:t>
            </w:r>
            <w:r>
              <w:rPr>
                <w:rFonts w:hint="eastAsia" w:cs="宋体" w:asciiTheme="minorEastAsia" w:hAnsiTheme="minorEastAsia" w:eastAsiaTheme="minorEastAsia"/>
                <w:bCs/>
                <w:kern w:val="2"/>
                <w:sz w:val="24"/>
                <w:szCs w:val="24"/>
              </w:rPr>
              <w:t>B</w:t>
            </w:r>
            <w:r>
              <w:rPr>
                <w:rFonts w:hint="eastAsia" w:cs="宋体" w:asciiTheme="minorEastAsia" w:hAnsiTheme="minorEastAsia" w:eastAsiaTheme="minorEastAsia"/>
                <w:bCs/>
                <w:kern w:val="2"/>
                <w:sz w:val="24"/>
                <w:szCs w:val="24"/>
                <w:lang w:val="zh-CN"/>
              </w:rPr>
              <w:t>类及以上会计师事务所；或中华人民共和国其它省（市、自治区）注册会计师协会截止201</w:t>
            </w:r>
            <w:r>
              <w:rPr>
                <w:rFonts w:hint="eastAsia" w:cs="宋体" w:asciiTheme="minorEastAsia" w:hAnsiTheme="minorEastAsia" w:eastAsiaTheme="minorEastAsia"/>
                <w:bCs/>
                <w:kern w:val="2"/>
                <w:sz w:val="24"/>
                <w:szCs w:val="24"/>
                <w:lang w:val="en-US" w:eastAsia="zh-CN"/>
              </w:rPr>
              <w:t>9</w:t>
            </w:r>
            <w:r>
              <w:rPr>
                <w:rFonts w:hint="eastAsia" w:cs="宋体" w:asciiTheme="minorEastAsia" w:hAnsiTheme="minorEastAsia" w:eastAsiaTheme="minorEastAsia"/>
                <w:bCs/>
                <w:kern w:val="2"/>
                <w:sz w:val="24"/>
                <w:szCs w:val="24"/>
                <w:lang w:val="zh-CN"/>
              </w:rPr>
              <w:t>年</w:t>
            </w:r>
            <w:r>
              <w:rPr>
                <w:rFonts w:hint="eastAsia" w:cs="宋体" w:asciiTheme="minorEastAsia" w:hAnsiTheme="minorEastAsia" w:eastAsiaTheme="minorEastAsia"/>
                <w:bCs/>
                <w:kern w:val="2"/>
                <w:sz w:val="24"/>
                <w:szCs w:val="24"/>
                <w:lang w:val="en-US" w:eastAsia="zh-CN"/>
              </w:rPr>
              <w:t>7</w:t>
            </w:r>
            <w:r>
              <w:rPr>
                <w:rFonts w:hint="eastAsia" w:cs="宋体" w:asciiTheme="minorEastAsia" w:hAnsiTheme="minorEastAsia" w:eastAsiaTheme="minorEastAsia"/>
                <w:bCs/>
                <w:kern w:val="2"/>
                <w:sz w:val="24"/>
                <w:szCs w:val="24"/>
                <w:lang w:val="zh-CN"/>
              </w:rPr>
              <w:t>月2</w:t>
            </w:r>
            <w:r>
              <w:rPr>
                <w:rFonts w:hint="eastAsia" w:cs="宋体" w:asciiTheme="minorEastAsia" w:hAnsiTheme="minorEastAsia" w:eastAsiaTheme="minorEastAsia"/>
                <w:bCs/>
                <w:kern w:val="2"/>
                <w:sz w:val="24"/>
                <w:szCs w:val="24"/>
              </w:rPr>
              <w:t>0</w:t>
            </w:r>
            <w:r>
              <w:rPr>
                <w:rFonts w:hint="eastAsia" w:cs="宋体" w:asciiTheme="minorEastAsia" w:hAnsiTheme="minorEastAsia" w:eastAsiaTheme="minorEastAsia"/>
                <w:bCs/>
                <w:kern w:val="2"/>
                <w:sz w:val="24"/>
                <w:szCs w:val="24"/>
                <w:lang w:val="zh-CN"/>
              </w:rPr>
              <w:t>日前最新公布的分类评价结果中，排在第二类及以上的会计师事务所（或相当于河南省注册会计师协会公布的201</w:t>
            </w:r>
            <w:r>
              <w:rPr>
                <w:rFonts w:hint="eastAsia" w:cs="宋体" w:asciiTheme="minorEastAsia" w:hAnsiTheme="minorEastAsia" w:eastAsiaTheme="minorEastAsia"/>
                <w:bCs/>
                <w:kern w:val="2"/>
                <w:sz w:val="24"/>
                <w:szCs w:val="24"/>
              </w:rPr>
              <w:t>8</w:t>
            </w:r>
            <w:r>
              <w:rPr>
                <w:rFonts w:hint="eastAsia" w:cs="宋体" w:asciiTheme="minorEastAsia" w:hAnsiTheme="minorEastAsia" w:eastAsiaTheme="minorEastAsia"/>
                <w:bCs/>
                <w:kern w:val="2"/>
                <w:sz w:val="24"/>
                <w:szCs w:val="24"/>
                <w:lang w:val="zh-CN"/>
              </w:rPr>
              <w:t>年分类评价结果认定的</w:t>
            </w:r>
            <w:r>
              <w:rPr>
                <w:rFonts w:hint="eastAsia" w:cs="宋体" w:asciiTheme="minorEastAsia" w:hAnsiTheme="minorEastAsia" w:eastAsiaTheme="minorEastAsia"/>
                <w:bCs/>
                <w:kern w:val="2"/>
                <w:sz w:val="24"/>
                <w:szCs w:val="24"/>
              </w:rPr>
              <w:t>B</w:t>
            </w:r>
            <w:r>
              <w:rPr>
                <w:rFonts w:hint="eastAsia" w:cs="宋体" w:asciiTheme="minorEastAsia" w:hAnsiTheme="minorEastAsia" w:eastAsiaTheme="minorEastAsia"/>
                <w:bCs/>
                <w:kern w:val="2"/>
                <w:sz w:val="24"/>
                <w:szCs w:val="24"/>
                <w:lang w:val="zh-CN"/>
              </w:rPr>
              <w:t>类及以上会计师事务所）</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pStyle w:val="2"/>
              <w:numPr>
                <w:ilvl w:val="0"/>
                <w:numId w:val="9"/>
              </w:numPr>
              <w:ind w:firstLine="0" w:firstLineChars="0"/>
              <w:rPr>
                <w:rFonts w:cs="仿宋_GB2312" w:asciiTheme="minorEastAsia" w:hAnsiTheme="minorEastAsia" w:eastAsiaTheme="minorEastAsia"/>
                <w:b/>
                <w:kern w:val="2"/>
                <w:sz w:val="24"/>
                <w:szCs w:val="24"/>
                <w:shd w:val="clear" w:color="auto" w:fill="FFFFFF"/>
              </w:rPr>
            </w:pPr>
            <w:r>
              <w:rPr>
                <w:rFonts w:hint="eastAsia" w:cs="仿宋_GB2312" w:asciiTheme="minorEastAsia" w:hAnsiTheme="minorEastAsia" w:eastAsiaTheme="minorEastAsia"/>
                <w:b/>
                <w:kern w:val="2"/>
                <w:sz w:val="24"/>
                <w:szCs w:val="24"/>
                <w:shd w:val="clear" w:color="auto" w:fill="FFFFFF"/>
              </w:rPr>
              <w:t>投标人资格要求：</w:t>
            </w:r>
          </w:p>
          <w:p>
            <w:pPr>
              <w:pStyle w:val="2"/>
              <w:ind w:firstLine="0"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B包：属于河南省注册会计师协会公布的2018年分类评价结果认定的B类及以上事务所；或中华人民共和国其它省注册会计师协会截止201</w:t>
            </w:r>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lang w:val="en-US" w:eastAsia="zh-CN"/>
              </w:rPr>
              <w:t>7</w:t>
            </w:r>
            <w:r>
              <w:rPr>
                <w:rFonts w:hint="eastAsia" w:cs="宋体" w:asciiTheme="minorEastAsia" w:hAnsiTheme="minorEastAsia" w:eastAsiaTheme="minorEastAsia"/>
                <w:sz w:val="24"/>
                <w:szCs w:val="24"/>
              </w:rPr>
              <w:t>月20日前最新公布的分类评价结果中，排在第二类及以上的会计师事务所（或相当于河南省注册会计师协会公布 的2018年分类评价结果认定的B类及以上事务所）。</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八、</w:t>
            </w:r>
            <w:r>
              <w:rPr>
                <w:rFonts w:cs="仿宋_GB2312" w:asciiTheme="minorEastAsia" w:hAnsiTheme="minorEastAsia"/>
                <w:b/>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sz w:val="24"/>
                <w:szCs w:val="24"/>
                <w:shd w:val="clear" w:color="auto" w:fill="FFFFFF"/>
              </w:rPr>
              <w:t>“</w:t>
            </w:r>
            <w:r>
              <w:rPr>
                <w:rFonts w:cs="仿宋_GB2312" w:asciiTheme="minorEastAsia" w:hAnsiTheme="minorEastAsia"/>
                <w:b/>
                <w:sz w:val="24"/>
                <w:szCs w:val="24"/>
                <w:shd w:val="clear" w:color="auto" w:fill="FFFFFF"/>
              </w:rPr>
              <w:t>中国政府采购网</w:t>
            </w:r>
            <w:r>
              <w:rPr>
                <w:rFonts w:hint="eastAsia" w:cs="仿宋_GB2312" w:asciiTheme="minorEastAsia" w:hAnsiTheme="minorEastAsia"/>
                <w:b/>
                <w:sz w:val="24"/>
                <w:szCs w:val="24"/>
                <w:shd w:val="clear" w:color="auto" w:fill="FFFFFF"/>
              </w:rPr>
              <w:t>”</w:t>
            </w:r>
            <w:r>
              <w:rPr>
                <w:rFonts w:cs="仿宋_GB2312" w:asciiTheme="minorEastAsia" w:hAnsiTheme="minorEastAsia"/>
                <w:b/>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年</w:t>
            </w:r>
            <w:r>
              <w:rPr>
                <w:rFonts w:hint="eastAsia" w:cs="宋体" w:asciiTheme="minorEastAsia" w:hAnsiTheme="minorEastAsia"/>
                <w:bCs/>
                <w:sz w:val="24"/>
                <w:szCs w:val="24"/>
              </w:rPr>
              <w:t xml:space="preserve"> </w:t>
            </w:r>
            <w:r>
              <w:rPr>
                <w:rFonts w:hint="eastAsia" w:cs="宋体" w:asciiTheme="minorEastAsia" w:hAnsiTheme="minorEastAsia"/>
                <w:bCs/>
                <w:sz w:val="24"/>
                <w:szCs w:val="24"/>
                <w:lang w:val="en-US" w:eastAsia="zh-CN"/>
              </w:rPr>
              <w:t xml:space="preserve">08 </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01 </w:t>
            </w:r>
            <w:r>
              <w:rPr>
                <w:rFonts w:hint="eastAsia" w:cs="宋体" w:asciiTheme="minorEastAsia" w:hAnsiTheme="minorEastAsia"/>
                <w:bCs/>
                <w:sz w:val="24"/>
                <w:szCs w:val="24"/>
                <w:lang w:val="zh-CN"/>
              </w:rPr>
              <w:t>日</w:t>
            </w:r>
            <w:r>
              <w:rPr>
                <w:rFonts w:hint="eastAsia" w:cs="宋体" w:asciiTheme="minorEastAsia" w:hAnsiTheme="minorEastAsia"/>
                <w:bCs/>
                <w:sz w:val="24"/>
                <w:szCs w:val="24"/>
              </w:rPr>
              <w:t xml:space="preserve"> </w:t>
            </w:r>
            <w:r>
              <w:rPr>
                <w:rFonts w:hint="eastAsia" w:cs="宋体" w:asciiTheme="minorEastAsia" w:hAnsiTheme="minorEastAsia"/>
                <w:bCs/>
                <w:sz w:val="24"/>
                <w:szCs w:val="24"/>
                <w:lang w:val="en-US" w:eastAsia="zh-CN"/>
              </w:rPr>
              <w:t xml:space="preserve"> 08 </w:t>
            </w:r>
            <w:r>
              <w:rPr>
                <w:rFonts w:hint="eastAsia" w:cs="宋体" w:asciiTheme="minorEastAsia" w:hAnsiTheme="minorEastAsia"/>
                <w:bCs/>
                <w:sz w:val="24"/>
                <w:szCs w:val="24"/>
              </w:rPr>
              <w:t xml:space="preserve"> </w:t>
            </w:r>
            <w:r>
              <w:rPr>
                <w:rFonts w:hint="eastAsia" w:cs="宋体" w:asciiTheme="minorEastAsia" w:hAnsiTheme="minorEastAsia"/>
                <w:bCs/>
                <w:sz w:val="24"/>
                <w:szCs w:val="24"/>
                <w:lang w:val="zh-CN"/>
              </w:rPr>
              <w:t>时</w:t>
            </w:r>
            <w:r>
              <w:rPr>
                <w:rFonts w:hint="eastAsia" w:cs="宋体" w:asciiTheme="minorEastAsia" w:hAnsiTheme="minorEastAsia"/>
                <w:bCs/>
                <w:sz w:val="24"/>
                <w:szCs w:val="24"/>
              </w:rPr>
              <w:t xml:space="preserve"> </w:t>
            </w:r>
            <w:r>
              <w:rPr>
                <w:rFonts w:hint="eastAsia" w:cs="宋体" w:asciiTheme="minorEastAsia" w:hAnsiTheme="minorEastAsia"/>
                <w:bCs/>
                <w:sz w:val="24"/>
                <w:szCs w:val="24"/>
                <w:lang w:val="en-US" w:eastAsia="zh-CN"/>
              </w:rPr>
              <w:t xml:space="preserve">30 </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w:t>
            </w:r>
            <w:r>
              <w:rPr>
                <w:rFonts w:hint="eastAsia" w:cs="宋体" w:asciiTheme="minorEastAsia" w:hAnsiTheme="minorEastAsia"/>
                <w:bCs/>
                <w:sz w:val="24"/>
                <w:szCs w:val="24"/>
              </w:rPr>
              <w:t xml:space="preserve"> 三 </w:t>
            </w:r>
            <w:r>
              <w:rPr>
                <w:rFonts w:hint="eastAsia" w:cs="宋体" w:asciiTheme="minorEastAsia" w:hAnsiTheme="minorEastAsia"/>
                <w:bCs/>
                <w:sz w:val="24"/>
                <w:szCs w:val="24"/>
                <w:lang w:val="zh-CN"/>
              </w:rPr>
              <w:t>楼开标</w:t>
            </w:r>
            <w:r>
              <w:rPr>
                <w:rFonts w:hint="eastAsia" w:cs="宋体" w:asciiTheme="minorEastAsia" w:hAnsiTheme="minorEastAsia"/>
                <w:bCs/>
                <w:sz w:val="24"/>
                <w:szCs w:val="24"/>
                <w:u w:val="single"/>
              </w:rPr>
              <w:t xml:space="preserve"> </w:t>
            </w:r>
            <w:r>
              <w:rPr>
                <w:rFonts w:hint="eastAsia" w:cs="宋体" w:asciiTheme="minorEastAsia" w:hAnsiTheme="minorEastAsia"/>
                <w:bCs/>
                <w:sz w:val="24"/>
                <w:szCs w:val="24"/>
                <w:u w:val="single"/>
                <w:lang w:val="en-US" w:eastAsia="zh-CN"/>
              </w:rPr>
              <w:t>四</w:t>
            </w:r>
            <w:r>
              <w:rPr>
                <w:rFonts w:hint="eastAsia" w:cs="宋体" w:asciiTheme="minorEastAsia" w:hAnsiTheme="minorEastAsia"/>
                <w:bCs/>
                <w:sz w:val="24"/>
                <w:szCs w:val="24"/>
                <w:u w:val="single"/>
              </w:rPr>
              <w:t xml:space="preserve">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w:t>
            </w:r>
          </w:p>
          <w:p>
            <w:pPr>
              <w:pStyle w:val="2"/>
              <w:ind w:firstLine="0" w:firstLineChars="0"/>
              <w:rPr>
                <w:rFonts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B包：人民币壹万元整（</w:t>
            </w:r>
            <w:r>
              <w:rPr>
                <w:rFonts w:hint="eastAsia" w:hAnsi="宋体" w:cs="宋体"/>
                <w:kern w:val="2"/>
                <w:sz w:val="24"/>
                <w:szCs w:val="24"/>
              </w:rPr>
              <w:t>￥</w:t>
            </w:r>
            <w:r>
              <w:rPr>
                <w:rFonts w:hint="eastAsia" w:cs="仿宋_GB2312" w:asciiTheme="minorEastAsia" w:hAnsiTheme="minorEastAsia" w:eastAsiaTheme="minorEastAsia"/>
                <w:kern w:val="2"/>
                <w:sz w:val="24"/>
                <w:szCs w:val="24"/>
              </w:rPr>
              <w:t>：10000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ascii="宋体" w:hAnsi="宋体" w:cs="宋体"/>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ascii="宋体" w:hAnsi="宋体" w:cs="仿宋_GB2312"/>
                <w:sz w:val="24"/>
                <w:szCs w:val="24"/>
              </w:rPr>
              <w:t>正本</w:t>
            </w:r>
            <w:r>
              <w:rPr>
                <w:rFonts w:hint="eastAsia" w:ascii="宋体" w:hAnsi="宋体" w:cs="仿宋_GB2312"/>
                <w:b/>
                <w:sz w:val="24"/>
                <w:szCs w:val="24"/>
              </w:rPr>
              <w:t>一</w:t>
            </w:r>
            <w:r>
              <w:rPr>
                <w:rFonts w:hint="eastAsia" w:ascii="宋体" w:hAnsi="宋体" w:cs="仿宋_GB2312"/>
                <w:sz w:val="24"/>
                <w:szCs w:val="24"/>
              </w:rPr>
              <w:t>份，副本四份。使用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密封要求</w:t>
            </w:r>
          </w:p>
        </w:tc>
        <w:tc>
          <w:tcPr>
            <w:tcW w:w="6813" w:type="dxa"/>
            <w:vAlign w:val="center"/>
          </w:tcPr>
          <w:p>
            <w:pPr>
              <w:autoSpaceDE w:val="0"/>
              <w:autoSpaceDN w:val="0"/>
              <w:adjustRightInd w:val="0"/>
              <w:spacing w:line="360" w:lineRule="auto"/>
              <w:rPr>
                <w:rFonts w:ascii="新宋体" w:hAnsi="新宋体" w:eastAsia="新宋体"/>
                <w:color w:val="FF0000"/>
                <w:sz w:val="24"/>
                <w:lang w:val="zh-CN"/>
              </w:rPr>
            </w:pPr>
            <w:r>
              <w:rPr>
                <w:rFonts w:hint="eastAsia" w:ascii="新宋体" w:hAnsi="新宋体" w:eastAsia="新宋体"/>
                <w:color w:val="FF0000"/>
                <w:sz w:val="24"/>
                <w:lang w:val="zh-CN"/>
              </w:rPr>
              <w:t>投标人应将投标文件“正本”、“ 副本”“电子版”分开密封包装并注明“正本”，“副本”、“电子文档”标记。并加外层密封成一个整体后贴上封条，封条上需加盖企业公章。</w:t>
            </w:r>
          </w:p>
          <w:p>
            <w:pPr>
              <w:autoSpaceDE w:val="0"/>
              <w:autoSpaceDN w:val="0"/>
              <w:adjustRightInd w:val="0"/>
              <w:spacing w:line="360" w:lineRule="auto"/>
              <w:rPr>
                <w:rFonts w:eastAsia="新宋体"/>
              </w:rPr>
            </w:pPr>
            <w:r>
              <w:rPr>
                <w:rFonts w:hint="eastAsia" w:ascii="新宋体" w:hAnsi="新宋体" w:eastAsia="新宋体"/>
                <w:color w:val="FF0000"/>
                <w:sz w:val="24"/>
                <w:lang w:val="zh-CN"/>
              </w:rPr>
              <w:t>封面上注明一下识别标志：采购项目名称、采购项目编号、纸质投标文件正（副）本或电子文档、投标人单位名称和北京时间</w:t>
            </w:r>
            <w:r>
              <w:rPr>
                <w:rFonts w:hint="eastAsia" w:ascii="新宋体" w:hAnsi="新宋体" w:eastAsia="新宋体"/>
                <w:color w:val="FF0000"/>
                <w:sz w:val="24"/>
              </w:rPr>
              <w:t>XX年XX月XX日XX时XX分前不得启封的字样。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TimesNewRomanPSMT"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360" w:lineRule="auto"/>
              <w:rPr>
                <w:rFonts w:cs="仿宋_GB2312" w:asciiTheme="minorEastAsia" w:hAnsiTheme="minorEastAsia"/>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黑体"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收取。</w:t>
            </w:r>
            <w:r>
              <w:rPr>
                <w:rFonts w:hint="eastAsia" w:cs="宋体" w:asciiTheme="minorEastAsia" w:hAnsiTheme="minorEastAsia"/>
                <w:kern w:val="0"/>
                <w:sz w:val="24"/>
                <w:szCs w:val="24"/>
              </w:rPr>
              <w:t>收取标准:5000元/单位，一次性以银行划账、电汇、汇票或支票的形式支付。</w:t>
            </w:r>
            <w:r>
              <w:rPr>
                <w:rFonts w:hint="eastAsia" w:cs="宋体" w:asciiTheme="minorEastAsia" w:hAnsiTheme="minorEastAsia"/>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中标人在接到中标通知时，须向代理机构发送投标人价格承诺表及服务承诺电子文档，并同时通知代理机构联系人。代理机构邮箱：</w:t>
            </w:r>
            <w:r>
              <w:rPr>
                <w:rFonts w:hint="eastAsia" w:cs="宋体" w:asciiTheme="minorEastAsia" w:hAnsiTheme="minorEastAsia"/>
                <w:bCs/>
                <w:sz w:val="24"/>
                <w:szCs w:val="24"/>
              </w:rPr>
              <w:t>742581963@qq.com</w:t>
            </w:r>
          </w:p>
        </w:tc>
      </w:tr>
    </w:tbl>
    <w:p>
      <w:pP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1.1本招标文件仅适用于本次《招标公告》中所述采购项目。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1.2本招标文件解释权属于《招标公告》所述的采购人。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1"/>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2符合本项目《招标公告》和《投标人须知》前附表中规定的合格投标人所必须具备的条件。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3政府采购活动中查询及使用投标人信用记录的具体要求为：投标人未被列入失信被执行人、重大税收违法案件当事人名单、</w:t>
      </w:r>
      <w:r>
        <w:rPr>
          <w:rFonts w:cs="仿宋_GB2312" w:asciiTheme="minorEastAsia" w:hAnsiTheme="minorEastAsia"/>
          <w:sz w:val="24"/>
          <w:szCs w:val="24"/>
          <w:shd w:val="clear" w:color="auto" w:fill="FFFFFF"/>
        </w:rPr>
        <w:t>政府采购严重违法失信名单</w:t>
      </w:r>
      <w:r>
        <w:rPr>
          <w:rFonts w:hint="eastAsia" w:cs="仿宋_GB2312" w:asciiTheme="minorEastAsia" w:hAnsiTheme="minorEastAsia"/>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4单位负责人为同一人或者存在直接控股、管理关系的不同投标人，不得参加同一合同项下的政府采购活动；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5除单一来源采购项目外，为采购项目提供整体设计、规范编制或者项目管理、监理、检测等服务的投标人，不得再参加该采购项目的其他采购活动。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6《招标公告》和《投标人须知》前附表规定接受联合体投标的，除应符合本章第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（2）联合体中有同类资质的投标人按联合体分工承担相同工作的，应当按照资质等级较低的投标人确定资质等级；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（4）联合体各方不得再单独参加或者与其他投标人另外组成联合体参加同一合同项下的政府采购活动。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4．合格的服务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具备国家认监委颁</w:t>
      </w:r>
      <w:r>
        <w:rPr>
          <w:rFonts w:hint="eastAsia" w:cs="宋体" w:asciiTheme="minorEastAsia" w:hAnsiTheme="minorEastAsia"/>
          <w:kern w:val="0"/>
          <w:sz w:val="24"/>
          <w:szCs w:val="24"/>
        </w:rPr>
        <w:t>发的</w:t>
      </w:r>
      <w:r>
        <w:rPr>
          <w:rFonts w:cs="宋体" w:asciiTheme="minorEastAsia" w:hAnsiTheme="minorEastAsia"/>
          <w:kern w:val="0"/>
          <w:sz w:val="24"/>
          <w:szCs w:val="24"/>
        </w:rPr>
        <w:t>《中国强制认证》（CCC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w:t>
      </w:r>
      <w:r>
        <w:rPr>
          <w:rFonts w:hint="eastAsia" w:cs="宋体" w:asciiTheme="minorEastAsia" w:hAnsiTheme="minorEastAsia"/>
          <w:kern w:val="0"/>
          <w:sz w:val="24"/>
          <w:szCs w:val="24"/>
          <w:lang w:eastAsia="zh-CN"/>
        </w:rPr>
        <w:t>转账</w:t>
      </w:r>
      <w:r>
        <w:rPr>
          <w:rFonts w:hint="eastAsia" w:cs="宋体" w:asciiTheme="minorEastAsia" w:hAnsiTheme="minorEastAsia"/>
          <w:kern w:val="0"/>
          <w:sz w:val="24"/>
          <w:szCs w:val="24"/>
        </w:rPr>
        <w:t>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）政府采购政策功能</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）资格审查与评标</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7</w:t>
      </w:r>
      <w:r>
        <w:rPr>
          <w:rFonts w:hint="eastAsia" w:ascii="宋体" w:hAnsi="宋体" w:cs="宋体"/>
          <w:kern w:val="0"/>
          <w:sz w:val="24"/>
          <w:szCs w:val="24"/>
        </w:rPr>
        <w:t>）合同条款及格式</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8</w:t>
      </w:r>
      <w:r>
        <w:rPr>
          <w:rFonts w:hint="eastAsia" w:ascii="宋体" w:hAnsi="宋体" w:cs="宋体"/>
          <w:kern w:val="0"/>
          <w:sz w:val="24"/>
          <w:szCs w:val="24"/>
        </w:rPr>
        <w:t>）投标文件有关格式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9</w:t>
      </w:r>
      <w:r>
        <w:rPr>
          <w:rFonts w:hint="eastAsia" w:ascii="宋体" w:hAnsi="宋体" w:cs="宋体"/>
          <w:kern w:val="0"/>
          <w:sz w:val="24"/>
          <w:szCs w:val="24"/>
        </w:rPr>
        <w:t>）本项目招标文件的澄清、答复、修改、补充内容、相关文件规定、办法等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p>
    <w:p>
      <w:pPr>
        <w:pStyle w:val="52"/>
        <w:autoSpaceDE w:val="0"/>
        <w:autoSpaceDN w:val="0"/>
        <w:spacing w:line="360" w:lineRule="auto"/>
        <w:ind w:firstLine="0" w:firstLineChars="0"/>
        <w:contextualSpacing/>
        <w:rPr>
          <w:rFonts w:ascii="宋体" w:cs="宋体"/>
          <w:kern w:val="0"/>
          <w:sz w:val="24"/>
          <w:szCs w:val="24"/>
        </w:rPr>
      </w:pPr>
      <w:r>
        <w:rPr>
          <w:rFonts w:hint="eastAsia" w:cs="宋体" w:asciiTheme="minorEastAsia" w:hAnsiTheme="minorEastAsia"/>
          <w:kern w:val="0"/>
          <w:sz w:val="24"/>
          <w:szCs w:val="24"/>
        </w:rPr>
        <w:t xml:space="preserve">12.1 </w:t>
      </w:r>
      <w:r>
        <w:rPr>
          <w:rFonts w:hint="eastAsia" w:ascii="宋体" w:hAnsi="宋体" w:cs="宋体"/>
          <w:kern w:val="0"/>
          <w:sz w:val="24"/>
          <w:szCs w:val="24"/>
        </w:rPr>
        <w:t>本次招标项目的投标及中标入库后对受委托项目均以人民币为计算单位。</w:t>
      </w:r>
    </w:p>
    <w:p>
      <w:pPr>
        <w:pStyle w:val="52"/>
        <w:autoSpaceDE w:val="0"/>
        <w:autoSpaceDN w:val="0"/>
        <w:spacing w:line="360" w:lineRule="auto"/>
        <w:ind w:firstLine="0" w:firstLineChars="0"/>
        <w:contextualSpacing/>
        <w:rPr>
          <w:rFonts w:ascii="宋体" w:cs="宋体"/>
          <w:kern w:val="0"/>
          <w:sz w:val="24"/>
          <w:szCs w:val="24"/>
        </w:rPr>
      </w:pPr>
      <w:r>
        <w:rPr>
          <w:rFonts w:hint="eastAsia" w:cs="宋体" w:asciiTheme="minorEastAsia" w:hAnsiTheme="minorEastAsia"/>
          <w:kern w:val="0"/>
          <w:sz w:val="24"/>
          <w:szCs w:val="24"/>
        </w:rPr>
        <w:t xml:space="preserve">12.2 </w:t>
      </w:r>
      <w:r>
        <w:rPr>
          <w:rFonts w:hint="eastAsia" w:ascii="宋体" w:hAnsi="宋体" w:cs="宋体"/>
          <w:kern w:val="0"/>
          <w:sz w:val="24"/>
          <w:szCs w:val="24"/>
        </w:rPr>
        <w:t>采购人不得向投标人索要或者接受其给予的赠品、回扣或者与采购无关的其他商品、服务。</w:t>
      </w:r>
    </w:p>
    <w:p>
      <w:pPr>
        <w:pStyle w:val="52"/>
        <w:autoSpaceDE w:val="0"/>
        <w:autoSpaceDN w:val="0"/>
        <w:spacing w:line="360" w:lineRule="auto"/>
        <w:ind w:firstLine="0" w:firstLineChars="0"/>
        <w:contextualSpacing/>
        <w:rPr>
          <w:rFonts w:ascii="宋体" w:cs="宋体"/>
          <w:kern w:val="0"/>
          <w:sz w:val="24"/>
          <w:szCs w:val="24"/>
        </w:rPr>
      </w:pPr>
      <w:r>
        <w:rPr>
          <w:rFonts w:hint="eastAsia" w:cs="宋体" w:asciiTheme="minorEastAsia" w:hAnsiTheme="minorEastAsia"/>
          <w:kern w:val="0"/>
          <w:sz w:val="24"/>
          <w:szCs w:val="24"/>
        </w:rPr>
        <w:t xml:space="preserve">12.3 </w:t>
      </w:r>
      <w:r>
        <w:rPr>
          <w:rFonts w:hint="eastAsia" w:ascii="宋体" w:hAnsi="宋体" w:cs="宋体"/>
          <w:kern w:val="0"/>
          <w:sz w:val="24"/>
          <w:szCs w:val="24"/>
        </w:rPr>
        <w:t>入库投标人应对受委托项目要求的全部内容进行报价，少报漏报将导致其投标为非实质性响应予以拒绝。</w:t>
      </w:r>
    </w:p>
    <w:p>
      <w:pPr>
        <w:pStyle w:val="52"/>
        <w:autoSpaceDE w:val="0"/>
        <w:autoSpaceDN w:val="0"/>
        <w:spacing w:line="360" w:lineRule="auto"/>
        <w:ind w:firstLine="0" w:firstLineChars="0"/>
        <w:contextualSpacing/>
        <w:rPr>
          <w:rFonts w:ascii="宋体" w:cs="宋体"/>
          <w:kern w:val="0"/>
          <w:sz w:val="24"/>
          <w:szCs w:val="24"/>
        </w:rPr>
      </w:pPr>
      <w:r>
        <w:rPr>
          <w:rFonts w:hint="eastAsia" w:cs="宋体" w:asciiTheme="minorEastAsia" w:hAnsiTheme="minorEastAsia"/>
          <w:kern w:val="0"/>
          <w:sz w:val="24"/>
          <w:szCs w:val="24"/>
        </w:rPr>
        <w:t xml:space="preserve">12.4 </w:t>
      </w:r>
      <w:r>
        <w:rPr>
          <w:rFonts w:hint="eastAsia" w:ascii="宋体" w:hAnsi="宋体" w:cs="宋体"/>
          <w:kern w:val="0"/>
          <w:sz w:val="24"/>
          <w:szCs w:val="24"/>
        </w:rPr>
        <w:t>投标人应当按照国家相关规定及参照</w:t>
      </w:r>
      <w:r>
        <w:rPr>
          <w:rFonts w:hint="eastAsia" w:ascii="宋体" w:hAnsi="宋体"/>
          <w:bCs/>
          <w:sz w:val="24"/>
          <w:szCs w:val="24"/>
        </w:rPr>
        <w:t>本招标文件的</w:t>
      </w:r>
      <w:r>
        <w:rPr>
          <w:rFonts w:hint="eastAsia" w:ascii="宋体" w:hAnsi="宋体" w:cs="宋体"/>
          <w:kern w:val="0"/>
          <w:sz w:val="24"/>
          <w:szCs w:val="24"/>
        </w:rPr>
        <w:t>《许昌市城乡一体化示范区政府购买中介机构服务管理暂行办法（试行）》</w:t>
      </w:r>
      <w:r>
        <w:rPr>
          <w:rFonts w:hint="eastAsia" w:ascii="宋体" w:hAnsi="宋体" w:cs="宋体"/>
          <w:sz w:val="24"/>
          <w:szCs w:val="24"/>
        </w:rPr>
        <w:t>，</w:t>
      </w:r>
      <w:r>
        <w:rPr>
          <w:rFonts w:hint="eastAsia" w:ascii="宋体" w:hAnsi="宋体" w:cs="宋体"/>
          <w:kern w:val="0"/>
          <w:sz w:val="24"/>
          <w:szCs w:val="24"/>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pPr>
        <w:pStyle w:val="52"/>
        <w:autoSpaceDE w:val="0"/>
        <w:autoSpaceDN w:val="0"/>
        <w:spacing w:line="360" w:lineRule="auto"/>
        <w:ind w:firstLine="0" w:firstLineChars="0"/>
        <w:contextualSpacing/>
        <w:rPr>
          <w:rFonts w:ascii="宋体" w:cs="宋体"/>
          <w:kern w:val="0"/>
          <w:sz w:val="24"/>
          <w:szCs w:val="24"/>
        </w:rPr>
      </w:pPr>
      <w:r>
        <w:rPr>
          <w:rFonts w:hint="eastAsia" w:cs="宋体" w:asciiTheme="minorEastAsia" w:hAnsiTheme="minorEastAsia"/>
          <w:kern w:val="0"/>
          <w:sz w:val="24"/>
          <w:szCs w:val="24"/>
        </w:rPr>
        <w:t xml:space="preserve">12.5 </w:t>
      </w:r>
      <w:r>
        <w:rPr>
          <w:rFonts w:hint="eastAsia" w:ascii="宋体" w:hAnsi="宋体" w:cs="宋体"/>
          <w:kern w:val="0"/>
          <w:sz w:val="24"/>
          <w:szCs w:val="24"/>
        </w:rPr>
        <w:t>委托项目若涉及到运输、施工、安装、集成、调试、验收、备品和工具等费用均包含在投标报价中。</w:t>
      </w:r>
    </w:p>
    <w:p>
      <w:pPr>
        <w:pStyle w:val="52"/>
        <w:autoSpaceDE w:val="0"/>
        <w:autoSpaceDN w:val="0"/>
        <w:spacing w:line="360" w:lineRule="auto"/>
        <w:ind w:firstLine="0" w:firstLineChars="0"/>
        <w:contextualSpacing/>
        <w:rPr>
          <w:rFonts w:ascii="宋体" w:cs="宋体"/>
          <w:kern w:val="0"/>
          <w:sz w:val="24"/>
          <w:szCs w:val="24"/>
        </w:rPr>
      </w:pPr>
      <w:r>
        <w:rPr>
          <w:rFonts w:hint="eastAsia" w:cs="宋体" w:asciiTheme="minorEastAsia" w:hAnsiTheme="minorEastAsia"/>
          <w:kern w:val="0"/>
          <w:sz w:val="24"/>
          <w:szCs w:val="24"/>
        </w:rPr>
        <w:t xml:space="preserve">12.6 </w:t>
      </w:r>
      <w:r>
        <w:rPr>
          <w:rFonts w:hint="eastAsia" w:ascii="宋体" w:hAnsi="宋体" w:cs="宋体"/>
          <w:kern w:val="0"/>
          <w:sz w:val="24"/>
          <w:szCs w:val="24"/>
        </w:rPr>
        <w:t>本次招标不接受可选择或可调整的投标方案和报价，任何有选择的或可调整的投标方案和报价将被视为非实质性响应投标而作无效投标处理。</w:t>
      </w:r>
    </w:p>
    <w:p>
      <w:pPr>
        <w:pStyle w:val="52"/>
        <w:autoSpaceDE w:val="0"/>
        <w:autoSpaceDN w:val="0"/>
        <w:spacing w:line="360" w:lineRule="auto"/>
        <w:ind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12.7 </w:t>
      </w:r>
      <w:r>
        <w:rPr>
          <w:rFonts w:hint="eastAsia" w:ascii="宋体" w:hAnsi="宋体" w:cs="宋体"/>
          <w:kern w:val="0"/>
          <w:sz w:val="24"/>
          <w:szCs w:val="24"/>
        </w:rPr>
        <w:t>报价不得高于受委托项目最高限价，且不低于成本价。本次招标入库后的委托项目实行“最高限价（项目控制金额上限或费率上限）”</w:t>
      </w:r>
      <w:r>
        <w:rPr>
          <w:rFonts w:ascii="宋体" w:cs="宋体"/>
          <w:kern w:val="0"/>
          <w:sz w:val="24"/>
          <w:szCs w:val="24"/>
        </w:rPr>
        <w:t>,</w:t>
      </w:r>
      <w:r>
        <w:rPr>
          <w:rFonts w:hint="eastAsia" w:ascii="宋体" w:hAnsi="宋体" w:cs="宋体"/>
          <w:kern w:val="0"/>
          <w:sz w:val="24"/>
          <w:szCs w:val="24"/>
        </w:rPr>
        <w:t>投标人的投标报价高于最高限价（项目控制金额上限或费率上限）的，该投标人的投标报价将被视为非实质性响应予以拒绝。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52"/>
        <w:autoSpaceDE w:val="0"/>
        <w:autoSpaceDN w:val="0"/>
        <w:spacing w:line="360" w:lineRule="auto"/>
        <w:ind w:firstLine="0" w:firstLineChars="0"/>
        <w:contextualSpacing/>
        <w:rPr>
          <w:rFonts w:ascii="宋体" w:cs="宋体"/>
          <w:kern w:val="0"/>
          <w:sz w:val="24"/>
          <w:szCs w:val="24"/>
        </w:rPr>
      </w:pPr>
      <w:r>
        <w:rPr>
          <w:rFonts w:hint="eastAsia" w:ascii="宋体" w:hAnsi="宋体" w:cs="宋体"/>
          <w:kern w:val="0"/>
          <w:sz w:val="24"/>
          <w:szCs w:val="24"/>
        </w:rPr>
        <w:t>14.5 投标人登录许昌公共资源交易系统下载“许昌投标文件制作系统</w:t>
      </w:r>
      <w:r>
        <w:rPr>
          <w:rFonts w:ascii="宋体" w:hAnsi="宋体" w:cs="宋体"/>
          <w:kern w:val="0"/>
          <w:sz w:val="24"/>
          <w:szCs w:val="24"/>
        </w:rPr>
        <w:t xml:space="preserve">SEARUN </w:t>
      </w:r>
      <w:r>
        <w:rPr>
          <w:rFonts w:hint="eastAsia" w:ascii="宋体" w:hAnsi="宋体" w:cs="宋体"/>
          <w:kern w:val="0"/>
          <w:sz w:val="24"/>
          <w:szCs w:val="24"/>
        </w:rPr>
        <w:t>最新版本”，按招标文件要求根据所投标段制作电子投标文件。一个标段对应生成一个文件夹（</w:t>
      </w:r>
      <w:r>
        <w:rPr>
          <w:rFonts w:ascii="宋体" w:hAnsi="宋体" w:cs="宋体"/>
          <w:kern w:val="0"/>
          <w:sz w:val="24"/>
          <w:szCs w:val="24"/>
        </w:rPr>
        <w:t>xxxx</w:t>
      </w:r>
      <w:r>
        <w:rPr>
          <w:rFonts w:hint="eastAsia" w:ascii="宋体" w:hAnsi="宋体" w:cs="宋体"/>
          <w:kern w:val="0"/>
          <w:sz w:val="24"/>
          <w:szCs w:val="24"/>
        </w:rPr>
        <w:t>项目</w:t>
      </w:r>
      <w:r>
        <w:rPr>
          <w:rFonts w:ascii="宋体" w:hAnsi="宋体" w:cs="宋体"/>
          <w:kern w:val="0"/>
          <w:sz w:val="24"/>
          <w:szCs w:val="24"/>
        </w:rPr>
        <w:t>xx</w:t>
      </w:r>
      <w:r>
        <w:rPr>
          <w:rFonts w:hint="eastAsia" w:ascii="宋体" w:hAnsi="宋体" w:cs="宋体"/>
          <w:kern w:val="0"/>
          <w:sz w:val="24"/>
          <w:szCs w:val="24"/>
        </w:rPr>
        <w:t>标段）</w:t>
      </w:r>
      <w:r>
        <w:rPr>
          <w:rFonts w:ascii="宋体" w:hAnsi="宋体" w:cs="宋体"/>
          <w:kern w:val="0"/>
          <w:sz w:val="24"/>
          <w:szCs w:val="24"/>
        </w:rPr>
        <w:t xml:space="preserve">, </w:t>
      </w:r>
      <w:r>
        <w:rPr>
          <w:rFonts w:hint="eastAsia" w:ascii="宋体" w:hAnsi="宋体" w:cs="宋体"/>
          <w:kern w:val="0"/>
          <w:sz w:val="24"/>
          <w:szCs w:val="24"/>
        </w:rPr>
        <w:t>其中包含</w:t>
      </w:r>
      <w:r>
        <w:rPr>
          <w:rFonts w:ascii="宋体" w:hAnsi="宋体" w:cs="宋体"/>
          <w:kern w:val="0"/>
          <w:sz w:val="24"/>
          <w:szCs w:val="24"/>
        </w:rPr>
        <w:t>2</w:t>
      </w:r>
      <w:r>
        <w:rPr>
          <w:rFonts w:hint="eastAsia" w:ascii="宋体" w:hAnsi="宋体" w:cs="宋体"/>
          <w:kern w:val="0"/>
          <w:sz w:val="24"/>
          <w:szCs w:val="24"/>
        </w:rPr>
        <w:t>个文件和</w:t>
      </w:r>
      <w:r>
        <w:rPr>
          <w:rFonts w:ascii="宋体" w:hAnsi="宋体" w:cs="宋体"/>
          <w:kern w:val="0"/>
          <w:sz w:val="24"/>
          <w:szCs w:val="24"/>
        </w:rPr>
        <w:t>1</w:t>
      </w:r>
      <w:r>
        <w:rPr>
          <w:rFonts w:hint="eastAsia" w:ascii="宋体" w:hAnsi="宋体" w:cs="宋体"/>
          <w:kern w:val="0"/>
          <w:sz w:val="24"/>
          <w:szCs w:val="24"/>
        </w:rPr>
        <w:t>个文件夹。后缀名为“</w:t>
      </w:r>
      <w:r>
        <w:rPr>
          <w:rFonts w:ascii="宋体" w:hAnsi="宋体" w:cs="宋体"/>
          <w:kern w:val="0"/>
          <w:sz w:val="24"/>
          <w:szCs w:val="24"/>
        </w:rPr>
        <w:t>.file</w:t>
      </w:r>
      <w:r>
        <w:rPr>
          <w:rFonts w:hint="eastAsia" w:ascii="宋体" w:hAnsi="宋体" w:cs="宋体"/>
          <w:kern w:val="0"/>
          <w:sz w:val="24"/>
          <w:szCs w:val="24"/>
        </w:rPr>
        <w:t>”的文件用于电子投标使用，后缀名为“</w:t>
      </w:r>
      <w:r>
        <w:rPr>
          <w:rFonts w:ascii="宋体" w:hAnsi="宋体" w:cs="宋体"/>
          <w:kern w:val="0"/>
          <w:sz w:val="24"/>
          <w:szCs w:val="24"/>
        </w:rPr>
        <w:t>.PDF</w:t>
      </w:r>
      <w:r>
        <w:rPr>
          <w:rFonts w:hint="eastAsia" w:ascii="宋体" w:hAnsi="宋体" w:cs="宋体"/>
          <w:kern w:val="0"/>
          <w:sz w:val="24"/>
          <w:szCs w:val="24"/>
        </w:rPr>
        <w:t>”的文件用于打印纸质投标文件，名称为“备份”的文件夹使用电子介质存储，供开标现场备用。</w:t>
      </w:r>
    </w:p>
    <w:p>
      <w:pPr>
        <w:autoSpaceDE w:val="0"/>
        <w:autoSpaceDN w:val="0"/>
        <w:spacing w:line="360" w:lineRule="auto"/>
        <w:ind w:left="420" w:leftChars="200"/>
        <w:contextualSpacing/>
      </w:pPr>
      <w:r>
        <w:rPr>
          <w:rFonts w:hint="eastAsia" w:ascii="宋体" w:hAnsi="宋体" w:cs="宋体"/>
          <w:kern w:val="0"/>
          <w:sz w:val="24"/>
          <w:szCs w:val="24"/>
        </w:rPr>
        <w:t>电子投标文件制作技术咨询：</w:t>
      </w:r>
      <w:r>
        <w:rPr>
          <w:rFonts w:ascii="宋体" w:hAnsi="宋体" w:cs="宋体"/>
          <w:b/>
          <w:kern w:val="0"/>
          <w:sz w:val="24"/>
          <w:szCs w:val="24"/>
        </w:rPr>
        <w:t>0374-2961598</w:t>
      </w:r>
      <w:r>
        <w:rPr>
          <w:rFonts w:hint="eastAsia" w:ascii="宋体" w:hAnsi="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autoSpaceDE w:val="0"/>
        <w:autoSpaceDN w:val="0"/>
        <w:spacing w:line="360" w:lineRule="auto"/>
        <w:contextualSpacing/>
        <w:outlineLvl w:val="0"/>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16.1.8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16.1.10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16.2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16.3 </w:t>
      </w:r>
      <w:r>
        <w:rPr>
          <w:rFonts w:hint="eastAsia" w:cs="仿宋_GB2312" w:asciiTheme="minorEastAsia" w:hAnsiTheme="minorEastAsia"/>
          <w:sz w:val="24"/>
          <w:szCs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outlineLvl w:val="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投标文件的数量和签署盖章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投标人应提交投标文件份数见投标人须知前附表。在正本和副本投标文件封面上应清楚标明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投标文件副本，所有资料都可以是投标文件的正本复印而成。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17.4 除投标人对错处做必要修改外，投标文件不得行间插字、涂改或增删。如有修改错漏处，</w:t>
      </w:r>
      <w:r>
        <w:rPr>
          <w:rFonts w:hint="eastAsia" w:cs="仿宋_GB2312" w:asciiTheme="minorEastAsia" w:hAnsiTheme="minorEastAsia"/>
          <w:sz w:val="24"/>
          <w:szCs w:val="24"/>
          <w:lang w:val="zh-CN"/>
        </w:rPr>
        <w:t>必须由法定代表人或经其正式授权的代表</w:t>
      </w:r>
      <w:r>
        <w:rPr>
          <w:rFonts w:hint="eastAsia" w:asciiTheme="minorEastAsia" w:hAnsiTheme="minorEastAsia"/>
          <w:bCs/>
          <w:sz w:val="24"/>
          <w:szCs w:val="24"/>
        </w:rPr>
        <w:t>签字并加盖投标人公章</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.5 在招标文件中已明示需盖章及签名之处，投标文件正本均须加盖投标人公章，并经投标人法定代表人或其授权代表签名。</w:t>
      </w:r>
    </w:p>
    <w:p>
      <w:pPr>
        <w:autoSpaceDE w:val="0"/>
        <w:autoSpaceDN w:val="0"/>
        <w:adjustRightInd w:val="0"/>
        <w:spacing w:line="360" w:lineRule="auto"/>
        <w:rPr>
          <w:rFonts w:ascii="宋体" w:hAnsi="宋体" w:cs="宋体"/>
          <w:sz w:val="24"/>
          <w:szCs w:val="24"/>
        </w:rPr>
      </w:pPr>
      <w:r>
        <w:rPr>
          <w:rFonts w:hint="eastAsia" w:cs="仿宋_GB2312" w:asciiTheme="minorEastAsia" w:hAnsiTheme="minorEastAsia"/>
          <w:sz w:val="24"/>
          <w:szCs w:val="24"/>
        </w:rPr>
        <w:t>17.6</w:t>
      </w:r>
      <w:r>
        <w:rPr>
          <w:rFonts w:hint="eastAsia" w:cs="仿宋_GB2312" w:asciiTheme="minorEastAsia" w:hAnsiTheme="minorEastAsia"/>
          <w:sz w:val="24"/>
          <w:szCs w:val="24"/>
          <w:lang w:val="zh-CN"/>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pPr>
        <w:pStyle w:val="2"/>
        <w:ind w:firstLine="0" w:firstLineChars="0"/>
      </w:pP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18</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 xml:space="preserve">.1 </w:t>
      </w:r>
      <w:r>
        <w:rPr>
          <w:rFonts w:hint="eastAsia" w:cs="仿宋_GB2312" w:asciiTheme="minorEastAsia" w:hAnsiTheme="minorEastAsia"/>
          <w:b/>
          <w:bCs/>
          <w:sz w:val="24"/>
          <w:szCs w:val="24"/>
          <w:lang w:val="zh-CN"/>
        </w:rPr>
        <w:t>投标人应将投标文件“正本”、“ 副本”“电子版”分开密封包装并注明“正本”，“副本”、“电子文档”标记。并加外层密封成一个整体后贴上封条，封条上需加盖企业公章。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《招标公告</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1</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 投标人在投标截止时间前，对所递交的投标文件进行补充、修改或者撤回的，须书面通知招标人。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outlineLvl w:val="0"/>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22.6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开标结束后，采购代理机构依法对投标人的资格进行审查。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(一)参加采购活动前三年内,与投标人存在劳动关系,或者担任过投标人的董事、监事,或者是投标人的控股股东或实际控制人；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(二)与投标人的法定代表人或者负责人有夫妻、直系血亲、三代以内旁系血亲或者近姻亲关系；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(三)与投标人有其他可能影响政府采购活动公平、公正进行的关系。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评审专家发现本人与参加采购活动的投标人有利害关系的,应当主动提出回避。采购人或者代理机构发现评审专家与参加采购活动的投标人有利害关系的,应当要求其回避。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.4 总价金额与按单价汇总金额不一致的，以单价金额计算结果为准。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同时出现两种以上不一致的，按照前款规定的顺序修正。修正后的报价按照《投标人须知》2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.1.1 未按照招标文件的规定提交投标保证金的；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 xml:space="preserve">.1.5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 xml:space="preserve">.5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29</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30</w:t>
      </w:r>
      <w:r>
        <w:rPr>
          <w:rFonts w:hint="eastAsia" w:cs="仿宋_GB2312" w:asciiTheme="minorEastAsia" w:hAnsiTheme="minorEastAsia"/>
          <w:b/>
          <w:sz w:val="24"/>
          <w:szCs w:val="24"/>
          <w:lang w:val="zh-CN"/>
        </w:rPr>
        <w:t>.评标方法、评标标准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0</w:t>
      </w:r>
      <w:r>
        <w:rPr>
          <w:rFonts w:hint="eastAsia" w:cs="仿宋_GB2312" w:asciiTheme="minorEastAsia" w:hAnsiTheme="minorEastAsia"/>
          <w:sz w:val="24"/>
          <w:szCs w:val="24"/>
          <w:lang w:val="zh-CN"/>
        </w:rPr>
        <w:t>.1 评标方法为综合评分法。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0</w:t>
      </w: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0</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w:t>
      </w:r>
      <w:r>
        <w:rPr>
          <w:rFonts w:hint="eastAsia" w:cs="仿宋_GB2312" w:asciiTheme="minorEastAsia" w:hAnsiTheme="minorEastAsia"/>
          <w:b/>
          <w:sz w:val="24"/>
          <w:szCs w:val="24"/>
          <w:lang w:val="zh-CN"/>
        </w:rPr>
        <w:t>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1</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32.5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35.3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36.</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36.1 </w:t>
      </w:r>
      <w:r>
        <w:rPr>
          <w:rFonts w:hint="eastAsia" w:cs="仿宋_GB2312" w:asciiTheme="minorEastAsia" w:hAnsiTheme="minorEastAsia"/>
          <w:sz w:val="24"/>
          <w:szCs w:val="24"/>
          <w:lang w:val="zh-CN"/>
        </w:rPr>
        <w:t>投标人</w:t>
      </w:r>
      <w:r>
        <w:rPr>
          <w:rFonts w:hint="eastAsia" w:cs="仿宋_GB2312" w:asciiTheme="minorEastAsia" w:hAnsiTheme="minorEastAsia"/>
          <w:sz w:val="24"/>
          <w:szCs w:val="24"/>
        </w:rPr>
        <w:t>认为采购文件、采购过程和中标结果使自己的权益受到损害的，可以依法向采购人</w:t>
      </w:r>
      <w:r>
        <w:rPr>
          <w:rFonts w:hint="eastAsia" w:cs="宋体" w:asciiTheme="minorEastAsia" w:hAnsiTheme="minorEastAsia"/>
          <w:bCs/>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w:t>
      </w:r>
      <w:r>
        <w:rPr>
          <w:rFonts w:hint="eastAsia" w:cs="仿宋_GB2312" w:asciiTheme="minorEastAsia" w:hAnsiTheme="minorEastAsia"/>
          <w:sz w:val="24"/>
          <w:szCs w:val="24"/>
          <w:lang w:val="zh-CN"/>
        </w:rPr>
        <w:t>投标人</w:t>
      </w:r>
      <w:r>
        <w:rPr>
          <w:rFonts w:cs="仿宋_GB2312" w:asciiTheme="minorEastAsia" w:hAnsiTheme="minorEastAsia"/>
          <w:sz w:val="24"/>
          <w:szCs w:val="24"/>
        </w:rPr>
        <w:t>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w:t>
      </w:r>
      <w:r>
        <w:rPr>
          <w:rFonts w:hint="eastAsia" w:cs="仿宋_GB2312" w:asciiTheme="minorEastAsia" w:hAnsiTheme="minorEastAsia"/>
          <w:sz w:val="24"/>
          <w:szCs w:val="24"/>
          <w:lang w:val="zh-CN"/>
        </w:rPr>
        <w:t>投标人</w:t>
      </w:r>
      <w:r>
        <w:rPr>
          <w:rFonts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36.1.1对采购文件提出质疑的，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36.1.2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36.1.3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36.2 </w:t>
      </w:r>
      <w:r>
        <w:rPr>
          <w:rFonts w:cs="仿宋_GB2312" w:asciiTheme="minorEastAsia" w:hAnsiTheme="minorEastAsia"/>
          <w:sz w:val="24"/>
          <w:szCs w:val="24"/>
        </w:rPr>
        <w:t>采购人、采购代理机构认为</w:t>
      </w:r>
      <w:r>
        <w:rPr>
          <w:rFonts w:hint="eastAsia" w:cs="仿宋_GB2312" w:asciiTheme="minorEastAsia" w:hAnsiTheme="minorEastAsia"/>
          <w:sz w:val="24"/>
          <w:szCs w:val="24"/>
          <w:lang w:val="zh-CN"/>
        </w:rPr>
        <w:t>投标人</w:t>
      </w:r>
      <w:r>
        <w:rPr>
          <w:rFonts w:cs="仿宋_GB2312" w:asciiTheme="minorEastAsia" w:hAnsiTheme="minorEastAsia"/>
          <w:sz w:val="24"/>
          <w:szCs w:val="24"/>
        </w:rPr>
        <w:t>质疑不成立，或者成立但未对中标结果构成影响的，继续开展采购活动；认为</w:t>
      </w:r>
      <w:r>
        <w:rPr>
          <w:rFonts w:hint="eastAsia" w:cs="仿宋_GB2312" w:asciiTheme="minorEastAsia" w:hAnsiTheme="minorEastAsia"/>
          <w:sz w:val="24"/>
          <w:szCs w:val="24"/>
          <w:lang w:val="zh-CN"/>
        </w:rPr>
        <w:t>投标人</w:t>
      </w:r>
      <w:r>
        <w:rPr>
          <w:rFonts w:cs="仿宋_GB2312" w:asciiTheme="minorEastAsia" w:hAnsiTheme="minorEastAsia"/>
          <w:sz w:val="24"/>
          <w:szCs w:val="24"/>
        </w:rPr>
        <w:t>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36.2.1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36.2.2 </w:t>
      </w:r>
      <w:r>
        <w:rPr>
          <w:rFonts w:cs="仿宋_GB2312" w:asciiTheme="minorEastAsia" w:hAnsiTheme="minorEastAsia"/>
          <w:sz w:val="24"/>
          <w:szCs w:val="24"/>
        </w:rPr>
        <w:t>对采购过程、中标结果提出的质疑，合格</w:t>
      </w:r>
      <w:r>
        <w:rPr>
          <w:rFonts w:hint="eastAsia" w:cs="仿宋_GB2312" w:asciiTheme="minorEastAsia" w:hAnsiTheme="minorEastAsia"/>
          <w:sz w:val="24"/>
          <w:szCs w:val="24"/>
          <w:lang w:val="zh-CN"/>
        </w:rPr>
        <w:t>投标人</w:t>
      </w:r>
      <w:r>
        <w:rPr>
          <w:rFonts w:cs="仿宋_GB2312" w:asciiTheme="minorEastAsia" w:hAnsiTheme="minorEastAsia"/>
          <w:sz w:val="24"/>
          <w:szCs w:val="24"/>
        </w:rPr>
        <w:t>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w:t>
      </w:r>
      <w:r>
        <w:rPr>
          <w:rFonts w:hint="eastAsia" w:cs="仿宋_GB2312" w:asciiTheme="minorEastAsia" w:hAnsiTheme="minorEastAsia"/>
          <w:sz w:val="24"/>
          <w:szCs w:val="24"/>
          <w:lang w:val="zh-CN"/>
        </w:rPr>
        <w:t>投标人</w:t>
      </w:r>
      <w:r>
        <w:rPr>
          <w:rFonts w:cs="仿宋_GB2312" w:asciiTheme="minorEastAsia" w:hAnsiTheme="minorEastAsia"/>
          <w:sz w:val="24"/>
          <w:szCs w:val="24"/>
        </w:rPr>
        <w:t>的，应当依法另行确定中标</w:t>
      </w:r>
      <w:r>
        <w:rPr>
          <w:rFonts w:hint="eastAsia" w:cs="仿宋_GB2312" w:asciiTheme="minorEastAsia" w:hAnsiTheme="minorEastAsia"/>
          <w:sz w:val="24"/>
          <w:szCs w:val="24"/>
          <w:lang w:val="zh-CN"/>
        </w:rPr>
        <w:t>投标人</w:t>
      </w:r>
      <w:r>
        <w:rPr>
          <w:rFonts w:cs="仿宋_GB2312" w:asciiTheme="minorEastAsia" w:hAnsiTheme="minorEastAsia"/>
          <w:sz w:val="24"/>
          <w:szCs w:val="24"/>
        </w:rPr>
        <w:t>；否则应当重新开展采购活动。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37.</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38.履约保证金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jc w:val="center"/>
        <w:rPr>
          <w:rFonts w:ascii="宋体" w:hAnsi="宋体" w:eastAsia="宋体" w:cs="宋体"/>
          <w:b/>
          <w:kern w:val="0"/>
          <w:sz w:val="36"/>
          <w:szCs w:val="36"/>
        </w:rPr>
      </w:pP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一、节能能源、保护环境</w:t>
      </w:r>
    </w:p>
    <w:p>
      <w:pPr>
        <w:pStyle w:val="15"/>
        <w:spacing w:line="360" w:lineRule="auto"/>
        <w:ind w:firstLine="480" w:firstLineChars="200"/>
        <w:contextualSpacing/>
        <w:rPr>
          <w:rFonts w:ascii="宋体" w:hAnsi="宋体" w:cs="仿宋_GB2312"/>
          <w:szCs w:val="24"/>
        </w:rPr>
      </w:pPr>
      <w:r>
        <w:rPr>
          <w:rFonts w:hint="eastAsia" w:ascii="宋体" w:hAnsi="宋体" w:cs="仿宋_GB2312"/>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cs="仿宋_GB2312"/>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5"/>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cs="仿宋_GB2312"/>
          <w:szCs w:val="24"/>
        </w:rPr>
        <w:t>并加盖投标人公章的原件扫描件（或图片）</w:t>
      </w:r>
      <w:r>
        <w:rPr>
          <w:rFonts w:hint="eastAsia" w:ascii="宋体" w:hAnsi="宋体" w:cs="仿宋_GB2312"/>
          <w:szCs w:val="24"/>
          <w:lang w:val="zh-CN"/>
        </w:rPr>
        <w:t>。投标人所投其他产品若属于“节能产品政府采购清单”优先采购产品，在同等条件下，优先采购清单中的产品。</w:t>
      </w:r>
    </w:p>
    <w:p>
      <w:pPr>
        <w:pStyle w:val="15"/>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二、促进中小企业发展</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w:t>
      </w:r>
      <w:bookmarkStart w:id="0" w:name="OLE_LINK6"/>
      <w:r>
        <w:rPr>
          <w:rFonts w:hint="eastAsia" w:ascii="宋体" w:hAnsi="宋体" w:cs="仿宋_GB2312"/>
          <w:sz w:val="24"/>
          <w:szCs w:val="24"/>
          <w:lang w:val="zh-CN"/>
        </w:rPr>
        <w:t>财库[2014]68号</w:t>
      </w:r>
      <w:bookmarkEnd w:id="0"/>
      <w:r>
        <w:rPr>
          <w:rFonts w:hint="eastAsia" w:ascii="宋体"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四、促进残疾人就业</w:t>
      </w:r>
    </w:p>
    <w:p>
      <w:pPr>
        <w:pStyle w:val="15"/>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Cs w:val="24"/>
        </w:rPr>
        <w:t>残疾人福利性单位属于小型、微型企业的，不重复享受政策。</w:t>
      </w:r>
    </w:p>
    <w:p>
      <w:pPr>
        <w:pStyle w:val="15"/>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3、中标人为残疾人福利性单位的，招标人应当随中标结果同时公告其《残疾人福利性单位声明函》，接受社会监督。</w:t>
      </w:r>
    </w:p>
    <w:p>
      <w:pPr>
        <w:pStyle w:val="15"/>
        <w:spacing w:line="360" w:lineRule="auto"/>
        <w:contextualSpacing/>
        <w:jc w:val="center"/>
        <w:outlineLvl w:val="0"/>
        <w:rPr>
          <w:rFonts w:cs="宋体" w:asciiTheme="majorEastAsia" w:hAnsiTheme="majorEastAsia" w:eastAsiaTheme="majorEastAsia"/>
          <w:b/>
          <w:kern w:val="0"/>
          <w:sz w:val="36"/>
          <w:szCs w:val="36"/>
        </w:rPr>
      </w:pPr>
    </w:p>
    <w:p>
      <w:pP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5"/>
        <w:spacing w:line="360" w:lineRule="auto"/>
        <w:contextualSpacing/>
        <w:jc w:val="center"/>
        <w:outlineLvl w:val="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53"/>
        <w:spacing w:line="360" w:lineRule="auto"/>
        <w:contextualSpacing/>
        <w:rPr>
          <w:rFonts w:ascii="宋体" w:hAnsi="宋体" w:cs="仿宋_GB2312"/>
          <w:b/>
          <w:bCs/>
          <w:lang w:val="zh-CN"/>
        </w:rPr>
      </w:pPr>
      <w:r>
        <w:rPr>
          <w:rFonts w:hint="eastAsia" w:ascii="宋体" w:hAnsi="宋体" w:cs="仿宋_GB2312"/>
          <w:b/>
          <w:bCs/>
          <w:lang w:val="zh-CN"/>
        </w:rPr>
        <w:t>（对投标人挂靠借用资质、提供虚假业绩、证书等违规投标行为，一经发现，将按照《政府采购法》给与行政处罚，将其入“信用中国”网站失信被执行人、重大税收违法案件当事人名单、政府采购严重违法失信名单的投标人、“中国政府采购网” 政府采购严重违法失信行为记录名单的投标人、“国家企业信用公示系统”网站严重违法失信企业名单（黑名单），并予以公示，禁止其</w:t>
      </w:r>
      <w:r>
        <w:rPr>
          <w:rFonts w:hint="eastAsia" w:ascii="宋体" w:hAnsi="宋体" w:cs="仿宋_GB2312"/>
          <w:b/>
          <w:bCs/>
        </w:rPr>
        <w:t>在</w:t>
      </w:r>
      <w:r>
        <w:rPr>
          <w:rFonts w:hint="eastAsia" w:ascii="宋体" w:hAnsi="宋体" w:cs="仿宋_GB2312"/>
          <w:b/>
          <w:bCs/>
          <w:lang w:val="zh-CN"/>
        </w:rPr>
        <w:t>一定时限内参与政府投资项目中介服务。）</w:t>
      </w:r>
    </w:p>
    <w:p>
      <w:pPr>
        <w:pStyle w:val="15"/>
        <w:spacing w:line="360" w:lineRule="auto"/>
        <w:contextualSpacing/>
        <w:rPr>
          <w:rFonts w:cs="仿宋_GB2312" w:asciiTheme="minorEastAsia" w:hAnsiTheme="minorEastAsia"/>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（三）资格审查中所涉及到的证书及材料，均需在投标文件中提供原件或与原件一致的完整的复印件，否则为无效投标。</w:t>
      </w:r>
    </w:p>
    <w:tbl>
      <w:tblPr>
        <w:tblStyle w:val="22"/>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jc w:val="left"/>
              <w:rPr>
                <w:rFonts w:hint="eastAsia" w:asciiTheme="minorEastAsia" w:hAnsiTheme="minorEastAsia" w:eastAsiaTheme="minorEastAsia"/>
                <w:b/>
                <w:sz w:val="24"/>
                <w:szCs w:val="24"/>
                <w:lang w:eastAsia="zh-CN"/>
              </w:rPr>
            </w:pPr>
            <w:r>
              <w:rPr>
                <w:rFonts w:hint="eastAsia" w:asciiTheme="minorEastAsia" w:hAnsiTheme="minorEastAsia"/>
                <w:b/>
                <w:sz w:val="24"/>
                <w:szCs w:val="24"/>
              </w:rPr>
              <w:t>1、投标函</w:t>
            </w:r>
            <w:r>
              <w:rPr>
                <w:rFonts w:hint="eastAsia" w:asciiTheme="minorEastAsia" w:hAnsiTheme="minorEastAsia"/>
                <w:b/>
                <w:sz w:val="24"/>
                <w:szCs w:val="24"/>
                <w:lang w:eastAsia="zh-CN"/>
              </w:rPr>
              <w:t>（提供原件）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r>
              <w:rPr>
                <w:rFonts w:hint="eastAsia" w:ascii="宋体" w:hAnsi="宋体"/>
                <w:b/>
                <w:bCs/>
                <w:sz w:val="24"/>
                <w:szCs w:val="24"/>
              </w:rPr>
              <w:t>（提供原件）</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（1）企业法人营业执照或营业执照原件。（企业投标提供）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（2）事业单位法人证书原件。（事业单位投标提供）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（3）执业许可证原件。（非专业服务机构投标提供）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（4）个体工商户营业执照原件。（个体工商户投标提供）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（5）自然人身份证明原件。（自然人投标提供）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r>
              <w:rPr>
                <w:rFonts w:hint="eastAsia" w:ascii="宋体" w:hAnsi="宋体"/>
                <w:b/>
                <w:bCs/>
                <w:sz w:val="24"/>
                <w:szCs w:val="24"/>
              </w:rPr>
              <w:t>（提供原件）</w:t>
            </w:r>
          </w:p>
          <w:p>
            <w:pPr>
              <w:spacing w:line="360" w:lineRule="auto"/>
              <w:rPr>
                <w:rFonts w:asciiTheme="minorEastAsia" w:hAnsiTheme="minorEastAsia"/>
                <w:bCs/>
                <w:sz w:val="24"/>
                <w:szCs w:val="24"/>
              </w:rPr>
            </w:pPr>
            <w:r>
              <w:rPr>
                <w:rFonts w:hint="eastAsia" w:asciiTheme="minorEastAsia" w:hAnsiTheme="minorEastAsia"/>
                <w:bCs/>
                <w:sz w:val="24"/>
                <w:szCs w:val="24"/>
              </w:rPr>
              <w:t>（1）2017-2018年度经审计的财务报告原件，包括资产负债表、利润表、现金流量表、所有者权益变动表及其附注；或基本开户银行出具的资信证明原件；或财政部门认可的政府采购专业担保机构的证明文件和担保机构出具的投标担保函原件。（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（2）银行出具的资信证明原件；或财政部门认可的政府采购专业担保机构的证明文件和担保机构出具的投标担保函原件。（其他组织和自然人投标提供）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FF0000"/>
                <w:sz w:val="24"/>
                <w:szCs w:val="24"/>
              </w:rPr>
            </w:pPr>
            <w:r>
              <w:rPr>
                <w:rFonts w:hint="eastAsia" w:asciiTheme="minorEastAsia" w:hAnsiTheme="minorEastAsia"/>
                <w:b/>
                <w:bCs/>
                <w:color w:val="FF0000"/>
                <w:sz w:val="24"/>
                <w:szCs w:val="24"/>
              </w:rPr>
              <w:t>4、依法缴纳税收相关材料</w:t>
            </w:r>
            <w:r>
              <w:rPr>
                <w:rFonts w:hint="eastAsia" w:ascii="宋体" w:hAnsi="宋体"/>
                <w:b/>
                <w:bCs/>
                <w:color w:val="FF0000"/>
                <w:sz w:val="24"/>
                <w:szCs w:val="24"/>
              </w:rPr>
              <w:t>（提供原件）</w:t>
            </w:r>
          </w:p>
          <w:p>
            <w:pPr>
              <w:spacing w:line="360" w:lineRule="auto"/>
              <w:rPr>
                <w:rFonts w:asciiTheme="minorEastAsia" w:hAnsiTheme="minorEastAsia"/>
                <w:b/>
                <w:sz w:val="24"/>
                <w:szCs w:val="24"/>
              </w:rPr>
            </w:pPr>
            <w:r>
              <w:rPr>
                <w:rFonts w:hint="eastAsia" w:asciiTheme="minorEastAsia" w:hAnsiTheme="minorEastAsia"/>
                <w:bCs/>
                <w:color w:val="FF0000"/>
                <w:sz w:val="24"/>
                <w:szCs w:val="24"/>
              </w:rPr>
              <w:t>税务登记证和投标截止时间前三个月内（2019年</w:t>
            </w:r>
            <w:r>
              <w:rPr>
                <w:rFonts w:hint="eastAsia" w:asciiTheme="minorEastAsia" w:hAnsiTheme="minorEastAsia"/>
                <w:bCs/>
                <w:color w:val="FF0000"/>
                <w:sz w:val="24"/>
                <w:szCs w:val="24"/>
                <w:lang w:val="en-US" w:eastAsia="zh-CN"/>
              </w:rPr>
              <w:t>4</w:t>
            </w:r>
            <w:r>
              <w:rPr>
                <w:rFonts w:hint="eastAsia" w:asciiTheme="minorEastAsia" w:hAnsiTheme="minorEastAsia"/>
                <w:bCs/>
                <w:color w:val="FF0000"/>
                <w:sz w:val="24"/>
                <w:szCs w:val="24"/>
              </w:rPr>
              <w:t>月至</w:t>
            </w:r>
            <w:r>
              <w:rPr>
                <w:rFonts w:hint="eastAsia" w:asciiTheme="minorEastAsia" w:hAnsiTheme="minorEastAsia"/>
                <w:bCs/>
                <w:color w:val="FF0000"/>
                <w:sz w:val="24"/>
                <w:szCs w:val="24"/>
                <w:lang w:val="en-US" w:eastAsia="zh-CN"/>
              </w:rPr>
              <w:t>6</w:t>
            </w:r>
            <w:r>
              <w:rPr>
                <w:rFonts w:hint="eastAsia" w:asciiTheme="minorEastAsia" w:hAnsiTheme="minorEastAsia"/>
                <w:bCs/>
                <w:color w:val="FF0000"/>
                <w:sz w:val="24"/>
                <w:szCs w:val="24"/>
              </w:rPr>
              <w:t>月）的缴纳税收凭据原件。（依法免税的投标人，应提供相应文件证明依法免税）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FF0000"/>
                <w:sz w:val="24"/>
                <w:szCs w:val="24"/>
              </w:rPr>
            </w:pPr>
            <w:r>
              <w:rPr>
                <w:rFonts w:hint="eastAsia" w:asciiTheme="minorEastAsia" w:hAnsiTheme="minorEastAsia"/>
                <w:b/>
                <w:bCs/>
                <w:color w:val="FF0000"/>
                <w:sz w:val="24"/>
                <w:szCs w:val="24"/>
              </w:rPr>
              <w:t>5、依法缴纳社会保障资金的证明材料</w:t>
            </w:r>
            <w:r>
              <w:rPr>
                <w:rFonts w:hint="eastAsia" w:ascii="宋体" w:hAnsi="宋体"/>
                <w:b/>
                <w:bCs/>
                <w:color w:val="FF0000"/>
                <w:sz w:val="24"/>
                <w:szCs w:val="24"/>
              </w:rPr>
              <w:t>（提供原件）</w:t>
            </w:r>
          </w:p>
          <w:p>
            <w:pPr>
              <w:spacing w:line="360" w:lineRule="auto"/>
              <w:rPr>
                <w:rFonts w:asciiTheme="minorEastAsia" w:hAnsiTheme="minorEastAsia"/>
                <w:bCs/>
                <w:sz w:val="24"/>
                <w:szCs w:val="24"/>
              </w:rPr>
            </w:pPr>
            <w:r>
              <w:rPr>
                <w:rFonts w:hint="eastAsia" w:asciiTheme="minorEastAsia" w:hAnsiTheme="minorEastAsia"/>
                <w:bCs/>
                <w:color w:val="FF0000"/>
                <w:sz w:val="24"/>
                <w:szCs w:val="24"/>
              </w:rPr>
              <w:t>投标截止时间前三个月内（2019年</w:t>
            </w:r>
            <w:r>
              <w:rPr>
                <w:rFonts w:hint="eastAsia" w:asciiTheme="minorEastAsia" w:hAnsiTheme="minorEastAsia"/>
                <w:bCs/>
                <w:color w:val="FF0000"/>
                <w:sz w:val="24"/>
                <w:szCs w:val="24"/>
                <w:lang w:val="en-US" w:eastAsia="zh-CN"/>
              </w:rPr>
              <w:t>4</w:t>
            </w:r>
            <w:r>
              <w:rPr>
                <w:rFonts w:hint="eastAsia" w:asciiTheme="minorEastAsia" w:hAnsiTheme="minorEastAsia"/>
                <w:bCs/>
                <w:color w:val="FF0000"/>
                <w:sz w:val="24"/>
                <w:szCs w:val="24"/>
              </w:rPr>
              <w:t>月至</w:t>
            </w:r>
            <w:r>
              <w:rPr>
                <w:rFonts w:hint="eastAsia" w:asciiTheme="minorEastAsia" w:hAnsiTheme="minorEastAsia"/>
                <w:bCs/>
                <w:color w:val="FF0000"/>
                <w:sz w:val="24"/>
                <w:szCs w:val="24"/>
                <w:lang w:val="en-US" w:eastAsia="zh-CN"/>
              </w:rPr>
              <w:t>6</w:t>
            </w:r>
            <w:r>
              <w:rPr>
                <w:rFonts w:hint="eastAsia" w:asciiTheme="minorEastAsia" w:hAnsiTheme="minorEastAsia"/>
                <w:bCs/>
                <w:color w:val="FF0000"/>
                <w:sz w:val="24"/>
                <w:szCs w:val="24"/>
              </w:rPr>
              <w:t>月）的缴纳社会保险凭据原件。（依法不需要缴纳社会保障资金的投标人，应提供相应文件证明依法不需要缴纳社会保障资金）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6、履行合同所必须的设备和专业技术能力的证明材料（提供原件）</w:t>
            </w:r>
          </w:p>
          <w:p>
            <w:pPr>
              <w:spacing w:line="360" w:lineRule="auto"/>
            </w:pPr>
            <w:r>
              <w:rPr>
                <w:rFonts w:hint="eastAsia" w:asciiTheme="minorEastAsia" w:hAnsiTheme="minorEastAsia"/>
                <w:bCs/>
                <w:sz w:val="24"/>
                <w:szCs w:val="24"/>
              </w:rPr>
              <w:t>相关设备的购置发票原件、专业技术人员职称证书原件、用工合同原件等</w:t>
            </w:r>
            <w:r>
              <w:rPr>
                <w:rFonts w:hint="eastAsia" w:asciiTheme="minorEastAsia" w:hAnsiTheme="minorEastAsia"/>
                <w:bCs/>
                <w:sz w:val="24"/>
                <w:szCs w:val="24"/>
                <w:lang w:eastAsia="zh-CN"/>
              </w:rPr>
              <w:t>和</w:t>
            </w:r>
            <w:r>
              <w:rPr>
                <w:rFonts w:hint="eastAsia" w:asciiTheme="minorEastAsia" w:hAnsiTheme="minorEastAsia"/>
                <w:bCs/>
                <w:sz w:val="24"/>
                <w:szCs w:val="24"/>
              </w:rPr>
              <w:t>投标人相关承诺函或声明。</w:t>
            </w:r>
            <w:r>
              <w:rPr>
                <w:rFonts w:hint="eastAsia" w:hAnsi="宋体"/>
                <w:bCs/>
                <w:sz w:val="24"/>
                <w:szCs w:val="24"/>
              </w:rPr>
              <w:t>B包投标人须属于河南省注册会计师协会公布的2018年分类评价结果认定的B类及以上以上会计事务所或中华人民公共和国其他省注册会计师截止201</w:t>
            </w:r>
            <w:r>
              <w:rPr>
                <w:rFonts w:hint="eastAsia" w:hAnsi="宋体"/>
                <w:bCs/>
                <w:sz w:val="24"/>
                <w:szCs w:val="24"/>
                <w:lang w:val="en-US" w:eastAsia="zh-CN"/>
              </w:rPr>
              <w:t>9</w:t>
            </w:r>
            <w:r>
              <w:rPr>
                <w:rFonts w:hint="eastAsia" w:hAnsi="宋体"/>
                <w:bCs/>
                <w:sz w:val="24"/>
                <w:szCs w:val="24"/>
              </w:rPr>
              <w:t>年</w:t>
            </w:r>
            <w:r>
              <w:rPr>
                <w:rFonts w:hint="eastAsia" w:hAnsi="宋体"/>
                <w:bCs/>
                <w:sz w:val="24"/>
                <w:szCs w:val="24"/>
                <w:lang w:val="en-US" w:eastAsia="zh-CN"/>
              </w:rPr>
              <w:t>7</w:t>
            </w:r>
            <w:r>
              <w:rPr>
                <w:rFonts w:hint="eastAsia" w:hAnsi="宋体"/>
                <w:bCs/>
                <w:sz w:val="24"/>
                <w:szCs w:val="24"/>
              </w:rPr>
              <w:t>月20日前最新公布的分类评价结果中排在第二类及以上的会计事务所（相当于河南省注册会计书协会公布的2018年分类评价结果认定的B类及以上事务所）；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shd w:val="clear" w:color="auto" w:fill="FFFFFF"/>
              </w:rPr>
              <w:t>“</w:t>
            </w:r>
            <w:r>
              <w:rPr>
                <w:rFonts w:cs="仿宋_GB2312" w:asciiTheme="minorEastAsia" w:hAnsiTheme="minorEastAsia"/>
                <w:b/>
                <w:sz w:val="24"/>
                <w:szCs w:val="24"/>
                <w:shd w:val="clear" w:color="auto" w:fill="FFFFFF"/>
              </w:rPr>
              <w:t>中国政府采购网</w:t>
            </w:r>
            <w:r>
              <w:rPr>
                <w:rFonts w:hint="eastAsia" w:cs="仿宋_GB2312" w:asciiTheme="minorEastAsia" w:hAnsiTheme="minorEastAsia"/>
                <w:b/>
                <w:shd w:val="clear" w:color="auto" w:fill="FFFFFF"/>
              </w:rPr>
              <w:t>”</w:t>
            </w:r>
            <w:r>
              <w:rPr>
                <w:rFonts w:cs="仿宋_GB2312" w:asciiTheme="minorEastAsia" w:hAnsiTheme="minorEastAsia"/>
                <w:b/>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宋体" w:hAnsi="宋体" w:cs="宋体"/>
                <w:b/>
                <w:bCs/>
                <w:kern w:val="0"/>
                <w:sz w:val="24"/>
                <w:szCs w:val="24"/>
              </w:rPr>
              <w:t>9、投标人提供的反商业贿赂承诺书</w:t>
            </w:r>
            <w:r>
              <w:rPr>
                <w:rFonts w:hint="eastAsia" w:ascii="宋体" w:hAnsi="宋体"/>
                <w:b/>
                <w:bCs/>
                <w:sz w:val="24"/>
                <w:szCs w:val="24"/>
              </w:rPr>
              <w:t>（提供原件）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10、</w:t>
            </w:r>
            <w:r>
              <w:rPr>
                <w:rFonts w:hint="eastAsia" w:cs="仿宋_GB2312" w:asciiTheme="minorEastAsia" w:hAnsiTheme="minorEastAsia"/>
                <w:b/>
                <w:sz w:val="24"/>
                <w:szCs w:val="24"/>
                <w:lang w:val="zh-CN"/>
              </w:rPr>
              <w:t>报价承诺函（提供原件）</w:t>
            </w:r>
          </w:p>
          <w:p>
            <w:pPr>
              <w:spacing w:line="360" w:lineRule="auto"/>
              <w:rPr>
                <w:rFonts w:hint="eastAsia" w:asciiTheme="minorEastAsia" w:hAnsiTheme="minorEastAsia" w:eastAsiaTheme="minorEastAsia"/>
                <w:b/>
                <w:bCs/>
                <w:sz w:val="24"/>
                <w:szCs w:val="24"/>
                <w:lang w:eastAsia="zh-CN"/>
              </w:rPr>
            </w:pPr>
            <w:r>
              <w:rPr>
                <w:rFonts w:hint="eastAsia" w:asciiTheme="minorEastAsia" w:hAnsiTheme="minorEastAsia"/>
                <w:bCs/>
                <w:sz w:val="24"/>
                <w:szCs w:val="24"/>
                <w:lang w:eastAsia="zh-CN"/>
              </w:rPr>
              <w:t>是否按照</w:t>
            </w:r>
            <w:r>
              <w:rPr>
                <w:rFonts w:hint="eastAsia" w:ascii="宋体" w:hAnsi="宋体" w:cs="宋体"/>
                <w:kern w:val="0"/>
                <w:sz w:val="24"/>
                <w:szCs w:val="24"/>
              </w:rPr>
              <w:t>《许昌市城乡一体化示范区政府购买中介机构服务管理暂行办法（试行）》</w:t>
            </w:r>
            <w:r>
              <w:rPr>
                <w:rFonts w:hint="eastAsia" w:cs="宋体" w:asciiTheme="minorEastAsia" w:hAnsiTheme="minorEastAsia"/>
                <w:sz w:val="24"/>
                <w:szCs w:val="24"/>
              </w:rPr>
              <w:t>，提</w:t>
            </w:r>
            <w:r>
              <w:rPr>
                <w:rFonts w:hint="eastAsia" w:cs="宋体" w:asciiTheme="minorEastAsia" w:hAnsiTheme="minorEastAsia"/>
                <w:sz w:val="24"/>
                <w:szCs w:val="24"/>
                <w:lang w:eastAsia="zh-CN"/>
              </w:rPr>
              <w:t>供</w:t>
            </w:r>
            <w:r>
              <w:rPr>
                <w:rFonts w:hint="eastAsia" w:asciiTheme="minorEastAsia" w:hAnsiTheme="minorEastAsia"/>
                <w:bCs/>
                <w:sz w:val="24"/>
                <w:szCs w:val="24"/>
              </w:rPr>
              <w:t>按照该办法收取的承诺函，并加盖单位公章</w:t>
            </w:r>
            <w:r>
              <w:rPr>
                <w:rFonts w:hint="eastAsia" w:asciiTheme="minorEastAsia" w:hAnsiTheme="minorEastAsia"/>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11、联合体协议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12、投标保证金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13、法定代表人身份证明或提供法定代表人授权委托书及被授权人身份证复印件。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contextualSpacing/>
              <w:rPr>
                <w:rFonts w:asciiTheme="minorEastAsia" w:hAnsiTheme="minorEastAsia"/>
                <w:b/>
                <w:sz w:val="24"/>
                <w:szCs w:val="24"/>
              </w:rPr>
            </w:pPr>
            <w:r>
              <w:rPr>
                <w:rFonts w:hint="eastAsia" w:ascii="宋体" w:hAnsi="宋体"/>
                <w:b/>
                <w:sz w:val="24"/>
                <w:szCs w:val="24"/>
              </w:rPr>
              <w:t>14、B包：具有河南省注册会计师协会公布的2018年分类评价结果认定的B类及以上会计事务所；</w:t>
            </w: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jc w:val="center"/>
        <w:rPr>
          <w:rFonts w:ascii="宋体" w:hAnsi="宋体" w:cs="仿宋_GB2312"/>
          <w:b/>
          <w:sz w:val="32"/>
          <w:szCs w:val="32"/>
          <w:lang w:val="zh-CN"/>
        </w:rPr>
      </w:pPr>
      <w:r>
        <w:rPr>
          <w:rFonts w:hint="eastAsia" w:ascii="宋体" w:hAnsi="宋体" w:cs="仿宋_GB2312"/>
          <w:b/>
          <w:sz w:val="32"/>
          <w:szCs w:val="32"/>
          <w:lang w:val="zh-CN"/>
        </w:rPr>
        <w:t>二、评标</w:t>
      </w:r>
    </w:p>
    <w:p>
      <w:pPr>
        <w:pStyle w:val="15"/>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（一）评标方法</w:t>
      </w:r>
    </w:p>
    <w:p>
      <w:pPr>
        <w:pStyle w:val="15"/>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本项目采用综合评分法。总分为100分。</w:t>
      </w:r>
    </w:p>
    <w:p>
      <w:pPr>
        <w:pStyle w:val="15"/>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（二）</w:t>
      </w:r>
      <w:r>
        <w:rPr>
          <w:rFonts w:ascii="宋体" w:hAnsi="宋体" w:cs="仿宋_GB2312"/>
          <w:b/>
          <w:szCs w:val="24"/>
          <w:lang w:val="zh-CN"/>
        </w:rPr>
        <w:t>评标委员会负责具体评标事务，并独立履行下列职责</w:t>
      </w:r>
    </w:p>
    <w:p>
      <w:pPr>
        <w:pStyle w:val="15"/>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审查、评价投标文件是否符合招标文件的商务、技术等实质性要求；</w:t>
      </w:r>
    </w:p>
    <w:p>
      <w:pPr>
        <w:pStyle w:val="15"/>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评标委员会对符合资格的投标人的投标文件进行符合性审查，以确定其是否满足招标文件的商务、技术等实质性要求。</w:t>
      </w:r>
    </w:p>
    <w:p>
      <w:pPr>
        <w:pStyle w:val="15"/>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注：符合性审查中所涉及到的证书及材料，均应在电子投标文件中提供原件扫描件（或图片）。</w:t>
      </w:r>
    </w:p>
    <w:p>
      <w:pPr>
        <w:pStyle w:val="15"/>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要求投标人对投标文件有关事项作出澄清或者说明；</w:t>
      </w:r>
    </w:p>
    <w:p>
      <w:pPr>
        <w:pStyle w:val="15"/>
        <w:spacing w:line="360" w:lineRule="auto"/>
        <w:ind w:firstLine="480" w:firstLineChars="20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80" w:firstLineChars="20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w:t>
      </w:r>
      <w:r>
        <w:rPr>
          <w:rFonts w:hint="eastAsia" w:ascii="宋体" w:hAnsi="宋体" w:cs="仿宋_GB2312"/>
          <w:szCs w:val="24"/>
        </w:rPr>
        <w:t>或其授权的代</w:t>
      </w:r>
      <w:r>
        <w:rPr>
          <w:rFonts w:ascii="宋体" w:hAnsi="宋体" w:cs="仿宋_GB2312"/>
          <w:szCs w:val="24"/>
          <w:lang w:val="zh-CN"/>
        </w:rPr>
        <w:t>表签字。投标人的澄清、说明或者补正不得超出投标文件的范围或者改变投标文件的实质性内容。</w:t>
      </w:r>
    </w:p>
    <w:p>
      <w:pPr>
        <w:pStyle w:val="15"/>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3、</w:t>
      </w:r>
      <w:r>
        <w:rPr>
          <w:rFonts w:ascii="宋体" w:hAnsi="宋体" w:cs="仿宋_GB2312"/>
          <w:b/>
          <w:szCs w:val="24"/>
          <w:lang w:val="zh-CN"/>
        </w:rPr>
        <w:t>对投标文件进行比较和评价；</w:t>
      </w:r>
    </w:p>
    <w:p>
      <w:pPr>
        <w:pStyle w:val="15"/>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5"/>
        <w:spacing w:line="360" w:lineRule="auto"/>
        <w:ind w:firstLine="482" w:firstLineChars="200"/>
        <w:contextualSpacing/>
        <w:rPr>
          <w:rFonts w:ascii="宋体" w:hAnsi="宋体" w:cs="仿宋_GB2312"/>
          <w:szCs w:val="24"/>
        </w:rPr>
      </w:pPr>
      <w:r>
        <w:rPr>
          <w:rFonts w:hint="eastAsia" w:ascii="宋体" w:hAnsi="宋体" w:cs="仿宋_GB2312"/>
          <w:b/>
          <w:bCs/>
          <w:szCs w:val="24"/>
          <w:lang w:val="zh-CN"/>
        </w:rPr>
        <w:t>注：评标标准中所涉及到的证书及材料，均应在电子投标文件中提供原件扫描件（或</w:t>
      </w:r>
      <w:r>
        <w:rPr>
          <w:rFonts w:hint="eastAsia" w:ascii="宋体" w:hAnsi="宋体" w:cs="仿宋_GB2312"/>
          <w:b/>
          <w:bCs/>
          <w:szCs w:val="24"/>
        </w:rPr>
        <w:t>图片)</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rPr>
        <w:t>1</w:t>
      </w:r>
      <w:r>
        <w:rPr>
          <w:rFonts w:hint="eastAsia" w:ascii="宋体" w:hAnsi="宋体" w:cs="仿宋_GB2312"/>
          <w:sz w:val="24"/>
          <w:szCs w:val="24"/>
          <w:lang w:val="zh-CN"/>
        </w:rPr>
        <w:t>）符合性审查资料未按招标文件要求签署、盖章的；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rPr>
        <w:t>2</w:t>
      </w:r>
      <w:r>
        <w:rPr>
          <w:rFonts w:hint="eastAsia" w:ascii="宋体" w:hAnsi="宋体" w:cs="仿宋_GB2312"/>
          <w:sz w:val="24"/>
          <w:szCs w:val="24"/>
          <w:lang w:val="zh-CN"/>
        </w:rPr>
        <w:t>）有下列情形之一的，视为投标人串通投标，其投标无效：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5）</w:t>
      </w:r>
      <w:r>
        <w:rPr>
          <w:rFonts w:ascii="宋体" w:hAnsi="宋体" w:cs="仿宋_GB2312"/>
          <w:sz w:val="24"/>
          <w:szCs w:val="24"/>
          <w:lang w:val="zh-CN"/>
        </w:rPr>
        <w:t>法律、法规和招标文件规定的其他无效情形。</w:t>
      </w:r>
    </w:p>
    <w:p>
      <w:pPr>
        <w:pStyle w:val="15"/>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2</w:t>
      </w:r>
      <w:r>
        <w:rPr>
          <w:rFonts w:hint="eastAsia" w:cs="仿宋_GB2312" w:asciiTheme="minorEastAsia" w:hAnsiTheme="minorEastAsia" w:eastAsiaTheme="minorEastAsia"/>
          <w:b/>
          <w:szCs w:val="24"/>
          <w:lang w:val="zh-CN"/>
        </w:rPr>
        <w:t>）评标标准</w:t>
      </w:r>
    </w:p>
    <w:p>
      <w:pPr>
        <w:pStyle w:val="15"/>
        <w:spacing w:line="360" w:lineRule="auto"/>
        <w:ind w:firstLine="482" w:firstLineChars="200"/>
        <w:contextualSpacing/>
        <w:rPr>
          <w:rFonts w:cs="仿宋_GB2312" w:asciiTheme="minorEastAsia" w:hAnsiTheme="minorEastAsia"/>
          <w:b/>
          <w:szCs w:val="24"/>
        </w:rPr>
      </w:pPr>
      <w:r>
        <w:rPr>
          <w:rFonts w:hint="eastAsia" w:cs="仿宋_GB2312" w:asciiTheme="minorEastAsia" w:hAnsiTheme="minorEastAsia"/>
          <w:b/>
          <w:szCs w:val="24"/>
        </w:rPr>
        <w:t>B包：会计事务所</w:t>
      </w:r>
    </w:p>
    <w:tbl>
      <w:tblPr>
        <w:tblStyle w:val="22"/>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6558"/>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441"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分值构成</w:t>
            </w:r>
          </w:p>
          <w:p>
            <w:pPr>
              <w:spacing w:line="360"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总分</w:t>
            </w:r>
            <w:r>
              <w:rPr>
                <w:rFonts w:asciiTheme="minorEastAsia" w:hAnsiTheme="minorEastAsia"/>
                <w:sz w:val="24"/>
                <w:szCs w:val="24"/>
              </w:rPr>
              <w:t>100</w:t>
            </w:r>
            <w:r>
              <w:rPr>
                <w:rFonts w:hint="eastAsia" w:asciiTheme="minorEastAsia" w:hAnsiTheme="minorEastAsia"/>
                <w:sz w:val="24"/>
                <w:szCs w:val="24"/>
              </w:rPr>
              <w:t>分</w:t>
            </w:r>
            <w:r>
              <w:rPr>
                <w:rFonts w:asciiTheme="minorEastAsia" w:hAnsiTheme="minorEastAsia"/>
                <w:sz w:val="24"/>
                <w:szCs w:val="24"/>
              </w:rPr>
              <w:t>)</w:t>
            </w:r>
          </w:p>
        </w:tc>
        <w:tc>
          <w:tcPr>
            <w:tcW w:w="7525" w:type="dxa"/>
            <w:gridSpan w:val="2"/>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价格分值：</w:t>
            </w:r>
            <w:r>
              <w:rPr>
                <w:rFonts w:asciiTheme="minorEastAsia" w:hAnsiTheme="minorEastAsia"/>
                <w:sz w:val="24"/>
                <w:szCs w:val="24"/>
                <w:u w:val="single"/>
              </w:rPr>
              <w:t xml:space="preserve">   10   </w:t>
            </w:r>
            <w:r>
              <w:rPr>
                <w:rFonts w:hint="eastAsia" w:asciiTheme="minorEastAsia" w:hAnsiTheme="minorEastAsia"/>
                <w:sz w:val="24"/>
                <w:szCs w:val="24"/>
              </w:rPr>
              <w:t>分</w:t>
            </w:r>
          </w:p>
          <w:p>
            <w:pPr>
              <w:spacing w:line="360" w:lineRule="auto"/>
              <w:jc w:val="center"/>
              <w:rPr>
                <w:rFonts w:asciiTheme="minorEastAsia" w:hAnsiTheme="minorEastAsia"/>
                <w:sz w:val="24"/>
                <w:szCs w:val="24"/>
              </w:rPr>
            </w:pPr>
            <w:r>
              <w:rPr>
                <w:rFonts w:hint="eastAsia" w:asciiTheme="minorEastAsia" w:hAnsiTheme="minorEastAsia"/>
                <w:sz w:val="24"/>
                <w:szCs w:val="24"/>
              </w:rPr>
              <w:t>商务部分：</w:t>
            </w:r>
            <w:r>
              <w:rPr>
                <w:rFonts w:hint="eastAsia" w:asciiTheme="minorEastAsia" w:hAnsiTheme="minorEastAsia"/>
                <w:sz w:val="24"/>
                <w:szCs w:val="24"/>
                <w:u w:val="single"/>
              </w:rPr>
              <w:t>69</w:t>
            </w:r>
            <w:r>
              <w:rPr>
                <w:rFonts w:hint="eastAsia" w:asciiTheme="minorEastAsia" w:hAnsiTheme="minorEastAsia"/>
                <w:sz w:val="24"/>
                <w:szCs w:val="24"/>
              </w:rPr>
              <w:t>分</w:t>
            </w:r>
          </w:p>
          <w:p>
            <w:pPr>
              <w:spacing w:line="360" w:lineRule="auto"/>
              <w:jc w:val="center"/>
              <w:rPr>
                <w:rFonts w:asciiTheme="minorEastAsia" w:hAnsiTheme="minorEastAsia"/>
                <w:sz w:val="24"/>
                <w:szCs w:val="24"/>
              </w:rPr>
            </w:pPr>
            <w:r>
              <w:rPr>
                <w:rFonts w:hint="eastAsia" w:asciiTheme="minorEastAsia" w:hAnsiTheme="minorEastAsia"/>
                <w:sz w:val="24"/>
                <w:szCs w:val="24"/>
              </w:rPr>
              <w:t>技术部分：</w:t>
            </w:r>
            <w:r>
              <w:rPr>
                <w:rFonts w:asciiTheme="minorEastAsia" w:hAnsiTheme="minorEastAsia"/>
                <w:sz w:val="24"/>
                <w:szCs w:val="24"/>
                <w:u w:val="single"/>
              </w:rPr>
              <w:t xml:space="preserve">   2</w:t>
            </w:r>
            <w:r>
              <w:rPr>
                <w:rFonts w:hint="eastAsia" w:asciiTheme="minorEastAsia" w:hAnsiTheme="minorEastAsia"/>
                <w:sz w:val="24"/>
                <w:szCs w:val="24"/>
                <w:u w:val="single"/>
              </w:rPr>
              <w:t>1</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8966" w:type="dxa"/>
            <w:gridSpan w:val="3"/>
            <w:vAlign w:val="center"/>
          </w:tcPr>
          <w:p>
            <w:pPr>
              <w:spacing w:line="360" w:lineRule="auto"/>
              <w:jc w:val="center"/>
              <w:rPr>
                <w:rFonts w:asciiTheme="minorEastAsia" w:hAnsiTheme="minorEastAsia"/>
                <w:sz w:val="24"/>
                <w:szCs w:val="24"/>
              </w:rPr>
            </w:pPr>
            <w:r>
              <w:rPr>
                <w:rFonts w:hint="eastAsia" w:asciiTheme="minorEastAsia" w:hAnsiTheme="minorEastAsia"/>
                <w:b/>
                <w:sz w:val="24"/>
                <w:szCs w:val="24"/>
              </w:rPr>
              <w:t>价格部分（满分</w:t>
            </w:r>
            <w:r>
              <w:rPr>
                <w:rFonts w:asciiTheme="minorEastAsia" w:hAnsiTheme="minorEastAsia"/>
                <w:b/>
                <w:sz w:val="24"/>
                <w:szCs w:val="24"/>
                <w:u w:val="single"/>
              </w:rPr>
              <w:t xml:space="preserve"> 10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441" w:type="dxa"/>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558"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441" w:type="dxa"/>
            <w:vAlign w:val="center"/>
          </w:tcPr>
          <w:p>
            <w:pPr>
              <w:spacing w:line="360" w:lineRule="auto"/>
              <w:jc w:val="center"/>
              <w:rPr>
                <w:rFonts w:asciiTheme="minorEastAsia" w:hAnsiTheme="minorEastAsia"/>
                <w:sz w:val="24"/>
                <w:szCs w:val="24"/>
              </w:rPr>
            </w:pPr>
            <w:r>
              <w:rPr>
                <w:rFonts w:hint="eastAsia" w:cs="微软雅黑" w:asciiTheme="minorEastAsia" w:hAnsiTheme="minorEastAsia"/>
                <w:b/>
                <w:sz w:val="24"/>
                <w:szCs w:val="24"/>
              </w:rPr>
              <w:t>★</w:t>
            </w:r>
            <w:r>
              <w:rPr>
                <w:rFonts w:hint="eastAsia" w:asciiTheme="minorEastAsia" w:hAnsiTheme="minorEastAsia"/>
                <w:sz w:val="24"/>
                <w:szCs w:val="24"/>
              </w:rPr>
              <w:t>投标报价</w:t>
            </w:r>
          </w:p>
          <w:p>
            <w:pPr>
              <w:spacing w:line="360" w:lineRule="auto"/>
              <w:jc w:val="center"/>
              <w:rPr>
                <w:rFonts w:asciiTheme="minorEastAsia" w:hAnsiTheme="minorEastAsia"/>
                <w:sz w:val="24"/>
                <w:szCs w:val="24"/>
              </w:rPr>
            </w:pPr>
            <w:r>
              <w:rPr>
                <w:rFonts w:hint="eastAsia" w:asciiTheme="minorEastAsia" w:hAnsiTheme="minorEastAsia"/>
                <w:sz w:val="24"/>
                <w:szCs w:val="24"/>
              </w:rPr>
              <w:t>评分标准</w:t>
            </w:r>
          </w:p>
        </w:tc>
        <w:tc>
          <w:tcPr>
            <w:tcW w:w="6558" w:type="dxa"/>
            <w:vAlign w:val="center"/>
          </w:tcPr>
          <w:p>
            <w:pPr>
              <w:spacing w:line="360" w:lineRule="auto"/>
              <w:rPr>
                <w:rFonts w:asciiTheme="minorEastAsia" w:hAnsiTheme="minorEastAsia"/>
                <w:sz w:val="24"/>
                <w:szCs w:val="24"/>
              </w:rPr>
            </w:pPr>
            <w:r>
              <w:rPr>
                <w:rFonts w:hint="eastAsia" w:asciiTheme="minorEastAsia" w:hAnsiTheme="minorEastAsia"/>
                <w:bCs/>
                <w:sz w:val="24"/>
                <w:szCs w:val="24"/>
              </w:rPr>
              <w:t>投标人需针对本招标文件中的</w:t>
            </w:r>
            <w:r>
              <w:rPr>
                <w:rFonts w:hint="eastAsia" w:ascii="宋体" w:hAnsi="宋体" w:cs="宋体"/>
                <w:kern w:val="0"/>
                <w:sz w:val="24"/>
                <w:szCs w:val="24"/>
              </w:rPr>
              <w:t>《许昌市城乡一体化示范区政府购买中介机构服务管理暂行办法（试行）》</w:t>
            </w:r>
            <w:r>
              <w:rPr>
                <w:rFonts w:hint="eastAsia" w:cs="宋体" w:asciiTheme="minorEastAsia" w:hAnsiTheme="minorEastAsia"/>
                <w:sz w:val="24"/>
                <w:szCs w:val="24"/>
              </w:rPr>
              <w:t>，提供</w:t>
            </w:r>
            <w:r>
              <w:rPr>
                <w:rFonts w:hint="eastAsia" w:asciiTheme="minorEastAsia" w:hAnsiTheme="minorEastAsia"/>
                <w:bCs/>
                <w:sz w:val="24"/>
                <w:szCs w:val="24"/>
              </w:rPr>
              <w:t>收费按照该办法收取的承诺函，并加盖单位公章，有承诺函得</w:t>
            </w:r>
            <w:r>
              <w:rPr>
                <w:rFonts w:asciiTheme="minorEastAsia" w:hAnsiTheme="minorEastAsia"/>
                <w:bCs/>
                <w:sz w:val="24"/>
                <w:szCs w:val="24"/>
              </w:rPr>
              <w:t>10</w:t>
            </w:r>
            <w:r>
              <w:rPr>
                <w:rFonts w:hint="eastAsia" w:asciiTheme="minorEastAsia" w:hAnsiTheme="minorEastAsia"/>
                <w:bCs/>
                <w:sz w:val="24"/>
                <w:szCs w:val="24"/>
              </w:rPr>
              <w:t>分，无承诺函不得分。</w:t>
            </w:r>
            <w:r>
              <w:rPr>
                <w:rFonts w:hint="eastAsia" w:asciiTheme="minorEastAsia" w:hAnsiTheme="minorEastAsia"/>
                <w:sz w:val="24"/>
                <w:szCs w:val="24"/>
              </w:rPr>
              <w:t>（评标时需提供原件，投标文件中附需提供的材料扫描件、复印件且加盖投标人印章的，否则不得分。）</w:t>
            </w:r>
          </w:p>
        </w:tc>
        <w:tc>
          <w:tcPr>
            <w:tcW w:w="967" w:type="dxa"/>
            <w:vAlign w:val="center"/>
          </w:tcPr>
          <w:p>
            <w:pPr>
              <w:jc w:val="center"/>
              <w:rPr>
                <w:rFonts w:asciiTheme="minorEastAsia" w:hAnsiTheme="minorEastAsia"/>
                <w:sz w:val="24"/>
                <w:szCs w:val="24"/>
              </w:rPr>
            </w:pPr>
            <w:r>
              <w:rPr>
                <w:rFonts w:asciiTheme="minorEastAsia" w:hAnsiTheme="minorEastAsia"/>
                <w:sz w:val="24"/>
                <w:szCs w:val="24"/>
              </w:rPr>
              <w:t>10</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8966" w:type="dxa"/>
            <w:gridSpan w:val="3"/>
            <w:vAlign w:val="center"/>
          </w:tcPr>
          <w:p>
            <w:pPr>
              <w:jc w:val="center"/>
              <w:rPr>
                <w:rFonts w:asciiTheme="minorEastAsia" w:hAnsiTheme="minorEastAsia"/>
                <w:sz w:val="24"/>
                <w:szCs w:val="24"/>
              </w:rPr>
            </w:pPr>
            <w:r>
              <w:rPr>
                <w:rFonts w:hint="eastAsia" w:cs="微软雅黑" w:asciiTheme="minorEastAsia" w:hAnsiTheme="minorEastAsia"/>
                <w:b/>
                <w:sz w:val="24"/>
                <w:szCs w:val="24"/>
              </w:rPr>
              <w:t>商务</w:t>
            </w:r>
            <w:r>
              <w:rPr>
                <w:rFonts w:hint="eastAsia" w:asciiTheme="minorEastAsia" w:hAnsiTheme="minorEastAsia"/>
                <w:b/>
                <w:sz w:val="24"/>
                <w:szCs w:val="24"/>
              </w:rPr>
              <w:t>部分（满分</w:t>
            </w:r>
            <w:r>
              <w:rPr>
                <w:rFonts w:hint="eastAsia" w:asciiTheme="minorEastAsia" w:hAnsiTheme="minorEastAsia"/>
                <w:b/>
                <w:sz w:val="24"/>
                <w:szCs w:val="24"/>
                <w:u w:val="single"/>
              </w:rPr>
              <w:t>69</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441" w:type="dxa"/>
            <w:vAlign w:val="center"/>
          </w:tcPr>
          <w:p>
            <w:pPr>
              <w:spacing w:line="360" w:lineRule="auto"/>
              <w:jc w:val="center"/>
              <w:rPr>
                <w:rFonts w:asciiTheme="minorEastAsia" w:hAnsiTheme="minorEastAsia"/>
                <w:sz w:val="24"/>
                <w:szCs w:val="24"/>
              </w:rPr>
            </w:pPr>
            <w:r>
              <w:rPr>
                <w:rFonts w:hint="eastAsia" w:asciiTheme="minorEastAsia" w:hAnsiTheme="minorEastAsia"/>
                <w:b/>
                <w:sz w:val="24"/>
                <w:szCs w:val="24"/>
              </w:rPr>
              <w:t>评分因素</w:t>
            </w:r>
          </w:p>
        </w:tc>
        <w:tc>
          <w:tcPr>
            <w:tcW w:w="6558" w:type="dxa"/>
            <w:vAlign w:val="center"/>
          </w:tcPr>
          <w:p>
            <w:pPr>
              <w:spacing w:line="360" w:lineRule="auto"/>
              <w:jc w:val="center"/>
              <w:rPr>
                <w:rFonts w:asciiTheme="minorEastAsia" w:hAnsiTheme="minorEastAsia"/>
                <w:bCs/>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41" w:type="dxa"/>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信誉</w:t>
            </w:r>
          </w:p>
        </w:tc>
        <w:tc>
          <w:tcPr>
            <w:tcW w:w="6558" w:type="dxa"/>
            <w:vAlign w:val="center"/>
          </w:tcPr>
          <w:p>
            <w:pPr>
              <w:numPr>
                <w:ilvl w:val="0"/>
                <w:numId w:val="10"/>
              </w:numPr>
              <w:spacing w:line="360" w:lineRule="auto"/>
            </w:pPr>
            <w:r>
              <w:rPr>
                <w:rFonts w:hint="eastAsia"/>
              </w:rPr>
              <w:t>投标人提供2016年1月1日以来注册地市级（不包括县级市）及以上经社会信用体系建设主管部门认可的信用评级机构出具的有效的企业信用报告，等级为</w:t>
            </w:r>
            <w:r>
              <w:t>AAA</w:t>
            </w:r>
            <w:r>
              <w:rPr>
                <w:rFonts w:hint="eastAsia"/>
              </w:rPr>
              <w:t>级的得</w:t>
            </w:r>
            <w:r>
              <w:t>3</w:t>
            </w:r>
            <w:r>
              <w:rPr>
                <w:rFonts w:hint="eastAsia"/>
              </w:rPr>
              <w:t>分；</w:t>
            </w:r>
            <w:r>
              <w:t>AA</w:t>
            </w:r>
            <w:r>
              <w:rPr>
                <w:rFonts w:hint="eastAsia"/>
              </w:rPr>
              <w:t>级的得</w:t>
            </w:r>
            <w:r>
              <w:t>2</w:t>
            </w:r>
            <w:r>
              <w:rPr>
                <w:rFonts w:hint="eastAsia"/>
              </w:rPr>
              <w:t>分；</w:t>
            </w:r>
            <w:r>
              <w:t>A</w:t>
            </w:r>
            <w:r>
              <w:rPr>
                <w:rFonts w:hint="eastAsia"/>
              </w:rPr>
              <w:t>级的得</w:t>
            </w:r>
            <w:r>
              <w:t>1</w:t>
            </w:r>
            <w:r>
              <w:rPr>
                <w:rFonts w:hint="eastAsia"/>
              </w:rPr>
              <w:t>分。【投标人在投标文件中还需提供：河南省信用建设促进会-信用河南网（www.xyhnw.com）或其他省、市信用网上公布的信用等级评级机构名单，截图证明或查询网址。】</w:t>
            </w:r>
          </w:p>
          <w:p>
            <w:pPr>
              <w:tabs>
                <w:tab w:val="left" w:pos="3675"/>
              </w:tabs>
              <w:spacing w:line="360" w:lineRule="auto"/>
              <w:rPr>
                <w:rFonts w:ascii="宋体" w:hAnsi="宋体"/>
                <w:szCs w:val="21"/>
              </w:rPr>
            </w:pPr>
            <w:r>
              <w:rPr>
                <w:rFonts w:ascii="宋体" w:hAnsi="宋体"/>
                <w:szCs w:val="21"/>
              </w:rPr>
              <w:t>2</w:t>
            </w:r>
            <w:r>
              <w:rPr>
                <w:rFonts w:hint="eastAsia" w:ascii="宋体" w:hAnsi="宋体"/>
                <w:szCs w:val="21"/>
              </w:rPr>
              <w:t>、投标人提供有效的</w:t>
            </w:r>
            <w:r>
              <w:rPr>
                <w:rFonts w:ascii="宋体" w:hAnsi="宋体"/>
                <w:szCs w:val="21"/>
              </w:rPr>
              <w:t>ISO900</w:t>
            </w:r>
            <w:r>
              <w:rPr>
                <w:rFonts w:hint="eastAsia" w:ascii="宋体" w:hAnsi="宋体"/>
                <w:szCs w:val="21"/>
              </w:rPr>
              <w:t>1认证证书和中国认证认可监督管理委员会网站上查询的截图证明，得</w:t>
            </w:r>
            <w:r>
              <w:rPr>
                <w:rFonts w:ascii="宋体" w:hAnsi="宋体"/>
                <w:szCs w:val="21"/>
              </w:rPr>
              <w:t>2</w:t>
            </w:r>
            <w:r>
              <w:rPr>
                <w:rFonts w:hint="eastAsia" w:ascii="宋体" w:hAnsi="宋体"/>
                <w:szCs w:val="21"/>
              </w:rPr>
              <w:t>分。</w:t>
            </w:r>
          </w:p>
          <w:p>
            <w:pPr>
              <w:pStyle w:val="2"/>
              <w:ind w:firstLine="0" w:firstLineChars="0"/>
            </w:pPr>
            <w:r>
              <w:rPr>
                <w:rFonts w:hint="eastAsia" w:asciiTheme="minorHAnsi" w:hAnsiTheme="minorHAnsi" w:eastAsiaTheme="minorEastAsia" w:cstheme="minorBidi"/>
                <w:kern w:val="2"/>
                <w:sz w:val="21"/>
                <w:szCs w:val="22"/>
              </w:rPr>
              <w:t>【提供证书及查询截图，否则不得分。】</w:t>
            </w:r>
          </w:p>
        </w:tc>
        <w:tc>
          <w:tcPr>
            <w:tcW w:w="967" w:type="dxa"/>
            <w:vAlign w:val="center"/>
          </w:tcPr>
          <w:p>
            <w:pPr>
              <w:jc w:val="center"/>
              <w:rPr>
                <w:rFonts w:asciiTheme="minorEastAsia" w:hAnsiTheme="minorEastAsia"/>
                <w:sz w:val="24"/>
                <w:szCs w:val="24"/>
              </w:rPr>
            </w:pPr>
            <w:r>
              <w:rPr>
                <w:rFonts w:hint="eastAsia" w:asciiTheme="minorEastAsia" w:hAnsiTheme="minorEastAsia"/>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41" w:type="dxa"/>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资质等级</w:t>
            </w:r>
          </w:p>
        </w:tc>
        <w:tc>
          <w:tcPr>
            <w:tcW w:w="6558"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具有河南省注册会计师协会公布的2018年分类评价结果认定的A类会计事务所得2分；</w:t>
            </w:r>
          </w:p>
          <w:p>
            <w:pPr>
              <w:spacing w:line="360" w:lineRule="auto"/>
            </w:pPr>
            <w:r>
              <w:rPr>
                <w:rFonts w:hint="eastAsia" w:asciiTheme="minorEastAsia" w:hAnsiTheme="minorEastAsia"/>
                <w:sz w:val="24"/>
                <w:szCs w:val="24"/>
              </w:rPr>
              <w:t>具有河南省注册会计师协会公布的2018年分类评价结果认定的B类会计事务所得1分；</w:t>
            </w:r>
          </w:p>
        </w:tc>
        <w:tc>
          <w:tcPr>
            <w:tcW w:w="967" w:type="dxa"/>
            <w:vAlign w:val="center"/>
          </w:tcPr>
          <w:p>
            <w:pPr>
              <w:jc w:val="center"/>
              <w:rPr>
                <w:rFonts w:asciiTheme="minorEastAsia" w:hAnsiTheme="minorEastAsia"/>
                <w:sz w:val="24"/>
                <w:szCs w:val="24"/>
              </w:rPr>
            </w:pPr>
            <w:r>
              <w:rPr>
                <w:rFonts w:hint="eastAsia" w:asciiTheme="minorEastAsia" w:hAnsiTheme="minorEastAsia"/>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spacing w:line="400" w:lineRule="exact"/>
              <w:jc w:val="center"/>
              <w:rPr>
                <w:rFonts w:asciiTheme="minorEastAsia" w:hAnsiTheme="minorEastAsia"/>
                <w:sz w:val="24"/>
                <w:szCs w:val="24"/>
              </w:rPr>
            </w:pPr>
            <w:r>
              <w:rPr>
                <w:rFonts w:hint="eastAsia" w:asciiTheme="minorEastAsia" w:hAnsiTheme="minorEastAsia"/>
                <w:sz w:val="24"/>
                <w:szCs w:val="24"/>
              </w:rPr>
              <w:t>机构设置</w:t>
            </w:r>
          </w:p>
        </w:tc>
        <w:tc>
          <w:tcPr>
            <w:tcW w:w="6558"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评标委员会根据各投标人内部机构设置、权责分工、各个环节等是否设置有相应的机构等比较打分：</w:t>
            </w:r>
          </w:p>
          <w:p>
            <w:pPr>
              <w:spacing w:line="360" w:lineRule="auto"/>
              <w:rPr>
                <w:rFonts w:hint="default" w:asciiTheme="minorEastAsia" w:hAnsiTheme="minorEastAsia" w:eastAsiaTheme="minorEastAsia"/>
                <w:sz w:val="24"/>
                <w:szCs w:val="24"/>
                <w:lang w:val="en-US" w:eastAsia="zh-CN"/>
              </w:rPr>
            </w:pPr>
            <w:r>
              <w:rPr>
                <w:rFonts w:asciiTheme="minorEastAsia" w:hAnsiTheme="minorEastAsia"/>
                <w:sz w:val="24"/>
                <w:szCs w:val="24"/>
              </w:rPr>
              <w:t>1</w:t>
            </w:r>
            <w:r>
              <w:rPr>
                <w:rFonts w:hint="eastAsia" w:asciiTheme="minorEastAsia" w:hAnsiTheme="minorEastAsia"/>
                <w:sz w:val="24"/>
                <w:szCs w:val="24"/>
              </w:rPr>
              <w:t>、内部机构设置：有规范的法人治理结构和内部管理制度，组织架构设计适当，结构层次科学，组织机构工作程序化、标准化，机构设置科学、合理</w:t>
            </w:r>
            <w:r>
              <w:rPr>
                <w:rFonts w:hint="eastAsia" w:asciiTheme="minorEastAsia" w:hAnsiTheme="minorEastAsia"/>
                <w:sz w:val="24"/>
                <w:szCs w:val="24"/>
                <w:lang w:eastAsia="zh-CN"/>
              </w:rPr>
              <w:t>。（专家酌情打分，</w:t>
            </w:r>
            <w:r>
              <w:rPr>
                <w:rFonts w:hint="eastAsia" w:asciiTheme="minorEastAsia" w:hAnsiTheme="minorEastAsia"/>
                <w:sz w:val="24"/>
                <w:szCs w:val="24"/>
                <w:lang w:val="en-US" w:eastAsia="zh-CN"/>
              </w:rPr>
              <w:t>0-2分）</w:t>
            </w:r>
          </w:p>
          <w:p>
            <w:pPr>
              <w:spacing w:line="360" w:lineRule="auto"/>
              <w:rPr>
                <w:rFonts w:hint="default" w:asciiTheme="minorEastAsia" w:hAnsiTheme="minorEastAsia" w:eastAsiaTheme="minorEastAsia"/>
                <w:sz w:val="24"/>
                <w:szCs w:val="24"/>
                <w:lang w:val="en-US" w:eastAsia="zh-CN"/>
              </w:rPr>
            </w:pPr>
            <w:r>
              <w:rPr>
                <w:rFonts w:asciiTheme="minorEastAsia" w:hAnsiTheme="minorEastAsia"/>
                <w:sz w:val="24"/>
                <w:szCs w:val="24"/>
              </w:rPr>
              <w:t>2</w:t>
            </w:r>
            <w:r>
              <w:rPr>
                <w:rFonts w:hint="eastAsia" w:asciiTheme="minorEastAsia" w:hAnsiTheme="minorEastAsia"/>
                <w:sz w:val="24"/>
                <w:szCs w:val="24"/>
              </w:rPr>
              <w:t>、权责分工：对权责分工合理、明确规定高级管理人员、各职能部门和分支机构、以及基层作业单位的职责权限</w:t>
            </w:r>
            <w:r>
              <w:rPr>
                <w:rFonts w:hint="eastAsia" w:asciiTheme="minorEastAsia" w:hAnsiTheme="minorEastAsia"/>
                <w:sz w:val="24"/>
                <w:szCs w:val="24"/>
                <w:lang w:eastAsia="zh-CN"/>
              </w:rPr>
              <w:t>。（专家酌情打分，</w:t>
            </w:r>
            <w:r>
              <w:rPr>
                <w:rFonts w:hint="eastAsia" w:asciiTheme="minorEastAsia" w:hAnsiTheme="minorEastAsia"/>
                <w:sz w:val="24"/>
                <w:szCs w:val="24"/>
                <w:lang w:val="en-US" w:eastAsia="zh-CN"/>
              </w:rPr>
              <w:t>0-2分）</w:t>
            </w:r>
          </w:p>
          <w:p>
            <w:pPr>
              <w:spacing w:line="360" w:lineRule="auto"/>
              <w:rPr>
                <w:rFonts w:hint="eastAsia" w:asciiTheme="minorEastAsia" w:hAnsiTheme="minorEastAsia" w:eastAsiaTheme="minorEastAsia"/>
                <w:sz w:val="24"/>
                <w:szCs w:val="24"/>
                <w:lang w:eastAsia="zh-CN"/>
              </w:rPr>
            </w:pPr>
            <w:r>
              <w:rPr>
                <w:rFonts w:asciiTheme="minorEastAsia" w:hAnsiTheme="minorEastAsia"/>
                <w:sz w:val="24"/>
                <w:szCs w:val="24"/>
              </w:rPr>
              <w:t>3</w:t>
            </w:r>
            <w:r>
              <w:rPr>
                <w:rFonts w:hint="eastAsia" w:asciiTheme="minorEastAsia" w:hAnsiTheme="minorEastAsia"/>
                <w:sz w:val="24"/>
                <w:szCs w:val="24"/>
              </w:rPr>
              <w:t>、各个环节设置的机构健全，工作开展流程</w:t>
            </w:r>
            <w:r>
              <w:rPr>
                <w:rFonts w:hint="eastAsia" w:asciiTheme="minorEastAsia" w:hAnsiTheme="minorEastAsia"/>
                <w:sz w:val="24"/>
                <w:szCs w:val="24"/>
                <w:lang w:eastAsia="zh-CN"/>
              </w:rPr>
              <w:t>详细。（专家酌情打分，</w:t>
            </w:r>
            <w:r>
              <w:rPr>
                <w:rFonts w:hint="eastAsia" w:asciiTheme="minorEastAsia" w:hAnsiTheme="minorEastAsia"/>
                <w:sz w:val="24"/>
                <w:szCs w:val="24"/>
                <w:lang w:val="en-US" w:eastAsia="zh-CN"/>
              </w:rPr>
              <w:t>0-2分）</w:t>
            </w:r>
          </w:p>
          <w:p>
            <w:pPr>
              <w:spacing w:line="360" w:lineRule="auto"/>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、投标人有关机构设置的其他方面补充</w:t>
            </w:r>
            <w:r>
              <w:rPr>
                <w:rFonts w:hint="eastAsia" w:asciiTheme="minorEastAsia" w:hAnsiTheme="minorEastAsia"/>
                <w:sz w:val="24"/>
                <w:szCs w:val="24"/>
                <w:lang w:eastAsia="zh-CN"/>
              </w:rPr>
              <w:t>的</w:t>
            </w:r>
            <w:r>
              <w:rPr>
                <w:rFonts w:hint="eastAsia" w:asciiTheme="minorEastAsia" w:hAnsiTheme="minorEastAsia"/>
                <w:sz w:val="24"/>
                <w:szCs w:val="24"/>
              </w:rPr>
              <w:t>。</w:t>
            </w:r>
            <w:r>
              <w:rPr>
                <w:rFonts w:hint="eastAsia" w:asciiTheme="minorEastAsia" w:hAnsiTheme="minorEastAsia"/>
                <w:sz w:val="24"/>
                <w:szCs w:val="24"/>
                <w:lang w:eastAsia="zh-CN"/>
              </w:rPr>
              <w:t>（专家酌情打分，</w:t>
            </w:r>
            <w:r>
              <w:rPr>
                <w:rFonts w:hint="eastAsia" w:asciiTheme="minorEastAsia" w:hAnsiTheme="minorEastAsia"/>
                <w:sz w:val="24"/>
                <w:szCs w:val="24"/>
                <w:lang w:val="en-US" w:eastAsia="zh-CN"/>
              </w:rPr>
              <w:t>0-1分）</w:t>
            </w:r>
          </w:p>
        </w:tc>
        <w:tc>
          <w:tcPr>
            <w:tcW w:w="967" w:type="dxa"/>
            <w:vAlign w:val="center"/>
          </w:tcPr>
          <w:p>
            <w:pPr>
              <w:jc w:val="center"/>
              <w:rPr>
                <w:rFonts w:asciiTheme="minorEastAsia" w:hAnsiTheme="minorEastAsia"/>
                <w:sz w:val="24"/>
                <w:szCs w:val="24"/>
              </w:rPr>
            </w:pPr>
            <w:r>
              <w:rPr>
                <w:rFonts w:hint="eastAsia" w:asciiTheme="minorEastAsia" w:hAnsiTheme="minorEastAsia"/>
                <w:sz w:val="24"/>
                <w:szCs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41" w:type="dxa"/>
            <w:vAlign w:val="center"/>
          </w:tcPr>
          <w:p>
            <w:pPr>
              <w:spacing w:line="400" w:lineRule="exact"/>
              <w:jc w:val="center"/>
              <w:rPr>
                <w:rFonts w:cs="宋体" w:asciiTheme="minorEastAsia" w:hAnsiTheme="minorEastAsia"/>
                <w:sz w:val="24"/>
                <w:szCs w:val="24"/>
                <w:highlight w:val="yellow"/>
              </w:rPr>
            </w:pPr>
            <w:r>
              <w:rPr>
                <w:rFonts w:hint="eastAsia" w:cs="宋体" w:asciiTheme="minorEastAsia" w:hAnsiTheme="minorEastAsia"/>
                <w:sz w:val="24"/>
                <w:szCs w:val="24"/>
              </w:rPr>
              <w:t>会计事务所实力证明</w:t>
            </w:r>
          </w:p>
        </w:tc>
        <w:tc>
          <w:tcPr>
            <w:tcW w:w="6558" w:type="dxa"/>
            <w:vAlign w:val="center"/>
          </w:tcPr>
          <w:p>
            <w:pPr>
              <w:numPr>
                <w:ilvl w:val="0"/>
                <w:numId w:val="11"/>
              </w:numPr>
              <w:spacing w:line="360" w:lineRule="auto"/>
              <w:rPr>
                <w:rFonts w:cs="宋体" w:asciiTheme="minorEastAsia" w:hAnsiTheme="minorEastAsia"/>
                <w:sz w:val="24"/>
                <w:szCs w:val="24"/>
              </w:rPr>
            </w:pPr>
            <w:r>
              <w:rPr>
                <w:rFonts w:hint="eastAsia" w:cs="宋体" w:asciiTheme="minorEastAsia" w:hAnsiTheme="minorEastAsia"/>
                <w:sz w:val="24"/>
                <w:szCs w:val="24"/>
              </w:rPr>
              <w:t>A类会计事务所分类评价（18分）：投标人属于河南省注册会计师协会公布的2018年分类评价结果认定的A类事务所或中华人民共和国其它省（市、自治区）注册会计师协会截止201</w:t>
            </w:r>
            <w:r>
              <w:rPr>
                <w:rFonts w:hint="eastAsia" w:cs="宋体" w:asciiTheme="minorEastAsia" w:hAnsiTheme="minorEastAsia"/>
                <w:sz w:val="24"/>
                <w:szCs w:val="24"/>
                <w:lang w:val="en-US" w:eastAsia="zh-CN"/>
              </w:rPr>
              <w:t>9</w:t>
            </w:r>
            <w:r>
              <w:rPr>
                <w:rFonts w:hint="eastAsia" w:cs="宋体" w:asciiTheme="minorEastAsia" w:hAnsiTheme="minorEastAsia"/>
                <w:sz w:val="24"/>
                <w:szCs w:val="24"/>
              </w:rPr>
              <w:t>年</w:t>
            </w:r>
            <w:r>
              <w:rPr>
                <w:rFonts w:hint="eastAsia" w:cs="宋体" w:asciiTheme="minorEastAsia" w:hAnsiTheme="minorEastAsia"/>
                <w:sz w:val="24"/>
                <w:szCs w:val="24"/>
                <w:lang w:val="en-US" w:eastAsia="zh-CN"/>
              </w:rPr>
              <w:t>7</w:t>
            </w:r>
            <w:r>
              <w:rPr>
                <w:rFonts w:hint="eastAsia" w:cs="宋体" w:asciiTheme="minorEastAsia" w:hAnsiTheme="minorEastAsia"/>
                <w:sz w:val="24"/>
                <w:szCs w:val="24"/>
              </w:rPr>
              <w:t>月20日前最新公布的分类评价结果中，排在第一类的会计师事务所（或相当于河南省注册会计师协会公布2018年分类评价结果认定的A类事务所）。</w:t>
            </w:r>
          </w:p>
          <w:p>
            <w:pPr>
              <w:spacing w:line="360" w:lineRule="auto"/>
              <w:rPr>
                <w:rFonts w:cs="宋体" w:asciiTheme="minorEastAsia" w:hAnsiTheme="minorEastAsia"/>
                <w:sz w:val="24"/>
                <w:szCs w:val="24"/>
              </w:rPr>
            </w:pPr>
            <w:r>
              <w:rPr>
                <w:rFonts w:hint="eastAsia" w:cs="宋体" w:asciiTheme="minorEastAsia" w:hAnsiTheme="minorEastAsia"/>
                <w:sz w:val="24"/>
                <w:szCs w:val="24"/>
              </w:rPr>
              <w:t>河南本省投标人</w:t>
            </w:r>
            <w:r>
              <w:rPr>
                <w:rFonts w:hint="eastAsia" w:cs="宋体" w:asciiTheme="minorEastAsia" w:hAnsiTheme="minorEastAsia"/>
                <w:sz w:val="24"/>
                <w:szCs w:val="24"/>
                <w:lang w:val="zh-CN"/>
              </w:rPr>
              <w:t>根据河南省注册会计师协会公布的</w:t>
            </w:r>
            <w:r>
              <w:rPr>
                <w:rFonts w:hint="eastAsia" w:cs="宋体" w:asciiTheme="minorEastAsia" w:hAnsiTheme="minorEastAsia"/>
                <w:sz w:val="24"/>
                <w:szCs w:val="24"/>
              </w:rPr>
              <w:t>2016-2018年</w:t>
            </w:r>
            <w:r>
              <w:rPr>
                <w:rFonts w:hint="eastAsia" w:cs="宋体" w:asciiTheme="minorEastAsia" w:hAnsiTheme="minorEastAsia"/>
                <w:sz w:val="24"/>
                <w:szCs w:val="24"/>
                <w:lang w:val="zh-CN"/>
              </w:rPr>
              <w:t>全省会计事务所分类评价结果：</w:t>
            </w:r>
            <w:r>
              <w:rPr>
                <w:rFonts w:hint="eastAsia" w:cs="宋体" w:asciiTheme="minorEastAsia" w:hAnsiTheme="minorEastAsia"/>
                <w:sz w:val="24"/>
                <w:szCs w:val="24"/>
              </w:rPr>
              <w:t>2016年到2018年，三个年度均为A类会计事务所的得18分；两个年度为A类事务所，一个年度为B类事务所的得12分；一个年度为A类事务所，另外两个年度为B类事务所的得6分；否则不得分。</w:t>
            </w:r>
          </w:p>
          <w:p>
            <w:pPr>
              <w:spacing w:line="360" w:lineRule="auto"/>
              <w:rPr>
                <w:rFonts w:cs="宋体" w:asciiTheme="minorEastAsia" w:hAnsiTheme="minorEastAsia"/>
                <w:sz w:val="24"/>
                <w:szCs w:val="24"/>
              </w:rPr>
            </w:pPr>
            <w:r>
              <w:rPr>
                <w:rFonts w:hint="eastAsia" w:cs="宋体" w:asciiTheme="minorEastAsia" w:hAnsiTheme="minorEastAsia"/>
                <w:sz w:val="24"/>
                <w:szCs w:val="24"/>
              </w:rPr>
              <w:t>外省投标人以注册地所在的省（市、自治区）会计师协会公布的2016-2018年会计事务所分类评价结果：2016年到2018年，三个年度均为一类会计事务所的得18分；两个年度为第一类事务所，一个年度为第二类事务所的得12分；一个年度为第一类事务所，另外两个年度为第二类事务所的的得6分；否则不得分。第一类事务所或第二类事务所的认定参考河南省注册会计师协会公布的2018年分类评价结果认定的A类或B类事务所。</w:t>
            </w:r>
          </w:p>
          <w:p>
            <w:pPr>
              <w:spacing w:line="360" w:lineRule="auto"/>
              <w:rPr>
                <w:rFonts w:cs="宋体" w:asciiTheme="minorEastAsia" w:hAnsiTheme="minorEastAsia"/>
                <w:sz w:val="24"/>
                <w:szCs w:val="24"/>
              </w:rPr>
            </w:pPr>
            <w:r>
              <w:rPr>
                <w:rFonts w:hint="eastAsia" w:cs="宋体" w:asciiTheme="minorEastAsia" w:hAnsiTheme="minorEastAsia"/>
                <w:sz w:val="24"/>
                <w:szCs w:val="24"/>
              </w:rPr>
              <w:t>2、B类事务所分类评价（18分）：投标人属于河南省注册会计师协会公布的2018年分类评价结果认定的B类事务所或中华人民共和国其它省（市、自治区）注册会计师协会截止201</w:t>
            </w:r>
            <w:r>
              <w:rPr>
                <w:rFonts w:hint="eastAsia" w:cs="宋体" w:asciiTheme="minorEastAsia" w:hAnsiTheme="minorEastAsia"/>
                <w:sz w:val="24"/>
                <w:szCs w:val="24"/>
                <w:lang w:val="en-US" w:eastAsia="zh-CN"/>
              </w:rPr>
              <w:t>9</w:t>
            </w:r>
            <w:r>
              <w:rPr>
                <w:rFonts w:hint="eastAsia" w:cs="宋体" w:asciiTheme="minorEastAsia" w:hAnsiTheme="minorEastAsia"/>
                <w:sz w:val="24"/>
                <w:szCs w:val="24"/>
              </w:rPr>
              <w:t>年</w:t>
            </w:r>
            <w:r>
              <w:rPr>
                <w:rFonts w:hint="eastAsia" w:cs="宋体" w:asciiTheme="minorEastAsia" w:hAnsiTheme="minorEastAsia"/>
                <w:sz w:val="24"/>
                <w:szCs w:val="24"/>
                <w:lang w:val="en-US" w:eastAsia="zh-CN"/>
              </w:rPr>
              <w:t>7</w:t>
            </w:r>
            <w:r>
              <w:rPr>
                <w:rFonts w:hint="eastAsia" w:cs="宋体" w:asciiTheme="minorEastAsia" w:hAnsiTheme="minorEastAsia"/>
                <w:sz w:val="24"/>
                <w:szCs w:val="24"/>
              </w:rPr>
              <w:t>月20日前最新公布的分类评价结果中，排在第二类的会计师事务所（或相当于河南省注册会计师协会公布的2018年分类评价结果认定的B类事务所）。</w:t>
            </w:r>
          </w:p>
          <w:p>
            <w:pPr>
              <w:spacing w:line="360" w:lineRule="auto"/>
              <w:rPr>
                <w:rFonts w:cs="宋体" w:asciiTheme="minorEastAsia" w:hAnsiTheme="minorEastAsia"/>
                <w:sz w:val="24"/>
                <w:szCs w:val="24"/>
              </w:rPr>
            </w:pPr>
            <w:r>
              <w:rPr>
                <w:rFonts w:hint="eastAsia" w:cs="宋体" w:asciiTheme="minorEastAsia" w:hAnsiTheme="minorEastAsia"/>
                <w:sz w:val="24"/>
                <w:szCs w:val="24"/>
              </w:rPr>
              <w:t>河南本省投标人</w:t>
            </w:r>
            <w:r>
              <w:rPr>
                <w:rFonts w:hint="eastAsia" w:cs="宋体" w:asciiTheme="minorEastAsia" w:hAnsiTheme="minorEastAsia"/>
                <w:sz w:val="24"/>
                <w:szCs w:val="24"/>
                <w:lang w:val="zh-CN"/>
              </w:rPr>
              <w:t>根据河南省注册会计师协会公布的</w:t>
            </w:r>
            <w:r>
              <w:rPr>
                <w:rFonts w:hint="eastAsia" w:cs="宋体" w:asciiTheme="minorEastAsia" w:hAnsiTheme="minorEastAsia"/>
                <w:sz w:val="24"/>
                <w:szCs w:val="24"/>
              </w:rPr>
              <w:t>2016-2018年</w:t>
            </w:r>
            <w:r>
              <w:rPr>
                <w:rFonts w:hint="eastAsia" w:cs="宋体" w:asciiTheme="minorEastAsia" w:hAnsiTheme="minorEastAsia"/>
                <w:sz w:val="24"/>
                <w:szCs w:val="24"/>
                <w:lang w:val="zh-CN"/>
              </w:rPr>
              <w:t>全省会计事务所分类评价结果：</w:t>
            </w:r>
            <w:r>
              <w:rPr>
                <w:rFonts w:hint="eastAsia" w:cs="宋体" w:asciiTheme="minorEastAsia" w:hAnsiTheme="minorEastAsia"/>
                <w:sz w:val="24"/>
                <w:szCs w:val="24"/>
              </w:rPr>
              <w:t>2016年到2018年，三个年度均为B类（包括两个年度为A类、另外一个年度为B类或一个年度为A类、另外两个年度为B类会计事务所）的得18分；两个年度为B类事务所，一个年度为C类事务所的得12分；一个年度为B类事务所，另外两个年度为C类事务所的得6分；否则不得分。</w:t>
            </w:r>
          </w:p>
          <w:p>
            <w:pPr>
              <w:spacing w:line="360" w:lineRule="auto"/>
            </w:pPr>
            <w:r>
              <w:rPr>
                <w:rFonts w:hint="eastAsia" w:cs="宋体" w:asciiTheme="minorEastAsia" w:hAnsiTheme="minorEastAsia"/>
                <w:sz w:val="24"/>
                <w:szCs w:val="24"/>
              </w:rPr>
              <w:t>外省投标人以注册地所在的省（市、自治区）会计师协会公布的2016-2018年会计事务所分类评价结果：2016年到2018年，三个年度均为二类会计事务所（包括两个年度为第一类、另外一年度为第二类或一</w:t>
            </w:r>
            <w:r>
              <w:rPr>
                <w:rFonts w:hint="eastAsia" w:cs="宋体" w:asciiTheme="minorEastAsia" w:hAnsiTheme="minorEastAsia"/>
                <w:sz w:val="24"/>
                <w:szCs w:val="24"/>
                <w:lang w:eastAsia="zh-CN"/>
              </w:rPr>
              <w:t>个</w:t>
            </w:r>
            <w:r>
              <w:rPr>
                <w:rFonts w:hint="eastAsia" w:cs="宋体" w:asciiTheme="minorEastAsia" w:hAnsiTheme="minorEastAsia"/>
                <w:sz w:val="24"/>
                <w:szCs w:val="24"/>
              </w:rPr>
              <w:t>年度为第一类、另外两个年度为第二类事务所）的得18分；两个年度为第二类事务所，一个年度为第三类事务所的得12分；一个年度为第二类事务所，另外两个年度为第三类事务所的得6分；其他情况不得分。第二类事务所或第三类事务所的认定参考河南省注册会计师协会公布的2018年分类评价认定结果的A类B类或C类事务所。</w:t>
            </w:r>
          </w:p>
          <w:p>
            <w:pPr>
              <w:spacing w:line="360" w:lineRule="auto"/>
              <w:rPr>
                <w:rFonts w:cs="宋体" w:asciiTheme="minorEastAsia" w:hAnsiTheme="minorEastAsia"/>
                <w:b/>
                <w:bCs/>
                <w:sz w:val="24"/>
                <w:szCs w:val="24"/>
                <w:lang w:val="zh-CN"/>
              </w:rPr>
            </w:pPr>
            <w:r>
              <w:rPr>
                <w:rFonts w:hint="eastAsia" w:cs="宋体" w:asciiTheme="minorEastAsia" w:hAnsiTheme="minorEastAsia"/>
                <w:b/>
                <w:bCs/>
                <w:sz w:val="24"/>
                <w:szCs w:val="24"/>
                <w:lang w:val="zh-CN"/>
              </w:rPr>
              <w:t>（开标时应提供其所在的</w:t>
            </w:r>
            <w:r>
              <w:rPr>
                <w:rFonts w:hint="eastAsia" w:cs="宋体" w:asciiTheme="minorEastAsia" w:hAnsiTheme="minorEastAsia"/>
                <w:b/>
                <w:bCs/>
                <w:sz w:val="24"/>
                <w:szCs w:val="24"/>
              </w:rPr>
              <w:t>省（市、自治区）会计师协会公布的会计事务所分类评价结果的截图及查询网址等证明材料</w:t>
            </w:r>
            <w:r>
              <w:rPr>
                <w:rFonts w:hint="eastAsia" w:cs="宋体" w:asciiTheme="minorEastAsia" w:hAnsiTheme="minorEastAsia"/>
                <w:b/>
                <w:bCs/>
                <w:sz w:val="24"/>
                <w:szCs w:val="24"/>
                <w:lang w:val="zh-CN"/>
              </w:rPr>
              <w:t>，并加盖投标人印章，在投标文件中附加盖投标人印章的扫描件、复印件，不符合上述要求的不得分。）</w:t>
            </w:r>
          </w:p>
          <w:p>
            <w:pPr>
              <w:spacing w:line="360" w:lineRule="auto"/>
              <w:rPr>
                <w:rFonts w:cs="宋体" w:asciiTheme="minorEastAsia" w:hAnsiTheme="minorEastAsia"/>
                <w:b/>
                <w:bCs/>
                <w:sz w:val="24"/>
                <w:szCs w:val="24"/>
              </w:rPr>
            </w:pPr>
            <w:r>
              <w:rPr>
                <w:rFonts w:hint="eastAsia" w:asciiTheme="minorEastAsia" w:hAnsiTheme="minorEastAsia"/>
                <w:sz w:val="24"/>
                <w:szCs w:val="24"/>
              </w:rPr>
              <w:t>3、投标人</w:t>
            </w:r>
            <w:r>
              <w:rPr>
                <w:rFonts w:hint="eastAsia" w:cs="宋体" w:asciiTheme="minorEastAsia" w:hAnsiTheme="minorEastAsia"/>
                <w:sz w:val="24"/>
                <w:szCs w:val="24"/>
              </w:rPr>
              <w:t>会计事务所中的</w:t>
            </w:r>
            <w:r>
              <w:rPr>
                <w:rFonts w:hint="eastAsia" w:asciiTheme="minorEastAsia" w:hAnsiTheme="minorEastAsia"/>
                <w:sz w:val="24"/>
                <w:szCs w:val="24"/>
              </w:rPr>
              <w:t>人员获得过会计类行业省级及以上行政主管部门、注册会计师协会颁发的会计领军人才、学科带头人、高端人才证书的，每提供一个证书加2分，最多加6分。（评审时以上证书需提供原件，标书中附加盖投标人印章的扫描件、复印件）</w:t>
            </w:r>
          </w:p>
        </w:tc>
        <w:tc>
          <w:tcPr>
            <w:tcW w:w="967" w:type="dxa"/>
            <w:vAlign w:val="center"/>
          </w:tcPr>
          <w:p>
            <w:pPr>
              <w:jc w:val="center"/>
              <w:rPr>
                <w:rFonts w:asciiTheme="minorEastAsia" w:hAnsiTheme="minorEastAsia"/>
                <w:sz w:val="24"/>
                <w:szCs w:val="24"/>
              </w:rPr>
            </w:pPr>
            <w:r>
              <w:rPr>
                <w:rFonts w:hint="eastAsia" w:asciiTheme="minorEastAsia" w:hAnsiTheme="minorEastAsia"/>
                <w:sz w:val="24"/>
                <w:szCs w:val="24"/>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41" w:type="dxa"/>
            <w:vAlign w:val="center"/>
          </w:tcPr>
          <w:p>
            <w:pPr>
              <w:spacing w:line="400" w:lineRule="exact"/>
              <w:jc w:val="center"/>
              <w:rPr>
                <w:rFonts w:asciiTheme="minorEastAsia" w:hAnsiTheme="minorEastAsia"/>
                <w:sz w:val="24"/>
                <w:szCs w:val="24"/>
              </w:rPr>
            </w:pPr>
            <w:r>
              <w:rPr>
                <w:rFonts w:hint="eastAsia" w:cs="宋体" w:asciiTheme="minorEastAsia" w:hAnsiTheme="minorEastAsia"/>
                <w:sz w:val="24"/>
                <w:szCs w:val="24"/>
              </w:rPr>
              <w:t>会计师事务所专业服务许昌项目人员团队</w:t>
            </w:r>
          </w:p>
        </w:tc>
        <w:tc>
          <w:tcPr>
            <w:tcW w:w="6558"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会计师事务所提供15人专业服务许昌项目团队名单，在服务期限内该团队80%专业技术人员保持固定，每提供一名注册会计师加1分，最多加10分；其他人员每提供一个中级及以上的会计师职称证书的加0.6分，最多加3分。投标人还需提供专业服务许昌项目团队名单中全部人员的社保缴纳证明</w:t>
            </w:r>
            <w:r>
              <w:rPr>
                <w:rFonts w:hint="eastAsia" w:asciiTheme="minorEastAsia" w:hAnsiTheme="minorEastAsia"/>
                <w:color w:val="FF0000"/>
                <w:sz w:val="24"/>
                <w:szCs w:val="24"/>
              </w:rPr>
              <w:t>（</w:t>
            </w:r>
            <w:r>
              <w:rPr>
                <w:rFonts w:asciiTheme="minorEastAsia" w:hAnsiTheme="minorEastAsia"/>
                <w:color w:val="FF0000"/>
                <w:sz w:val="24"/>
                <w:szCs w:val="24"/>
              </w:rPr>
              <w:t>201</w:t>
            </w:r>
            <w:r>
              <w:rPr>
                <w:rFonts w:hint="eastAsia" w:asciiTheme="minorEastAsia" w:hAnsiTheme="minorEastAsia"/>
                <w:color w:val="FF0000"/>
                <w:sz w:val="24"/>
                <w:szCs w:val="24"/>
              </w:rPr>
              <w:t>9年</w:t>
            </w:r>
            <w:r>
              <w:rPr>
                <w:rFonts w:hint="eastAsia" w:asciiTheme="minorEastAsia" w:hAnsiTheme="minorEastAsia"/>
                <w:color w:val="FF0000"/>
                <w:sz w:val="24"/>
                <w:szCs w:val="24"/>
                <w:lang w:val="en-US" w:eastAsia="zh-CN"/>
              </w:rPr>
              <w:t>4</w:t>
            </w:r>
            <w:r>
              <w:rPr>
                <w:rFonts w:hint="eastAsia" w:asciiTheme="minorEastAsia" w:hAnsiTheme="minorEastAsia"/>
                <w:color w:val="FF0000"/>
                <w:sz w:val="24"/>
                <w:szCs w:val="24"/>
              </w:rPr>
              <w:t>月至</w:t>
            </w:r>
            <w:r>
              <w:rPr>
                <w:rFonts w:hint="eastAsia" w:asciiTheme="minorEastAsia" w:hAnsiTheme="minorEastAsia"/>
                <w:color w:val="FF0000"/>
                <w:sz w:val="24"/>
                <w:szCs w:val="24"/>
                <w:lang w:val="en-US" w:eastAsia="zh-CN"/>
              </w:rPr>
              <w:t>6</w:t>
            </w:r>
            <w:r>
              <w:rPr>
                <w:rFonts w:hint="eastAsia" w:asciiTheme="minorEastAsia" w:hAnsiTheme="minorEastAsia"/>
                <w:color w:val="FF0000"/>
                <w:sz w:val="24"/>
                <w:szCs w:val="24"/>
              </w:rPr>
              <w:t>月三个月）</w:t>
            </w:r>
          </w:p>
          <w:p>
            <w:pPr>
              <w:spacing w:line="360" w:lineRule="auto"/>
              <w:rPr>
                <w:rFonts w:asciiTheme="minorEastAsia" w:hAnsiTheme="minorEastAsia"/>
                <w:sz w:val="24"/>
                <w:szCs w:val="24"/>
              </w:rPr>
            </w:pPr>
            <w:r>
              <w:rPr>
                <w:rFonts w:hint="eastAsia" w:asciiTheme="minorEastAsia" w:hAnsiTheme="minorEastAsia"/>
                <w:b/>
                <w:bCs/>
                <w:sz w:val="24"/>
                <w:szCs w:val="24"/>
              </w:rPr>
              <w:t>（以上证书、证明材料在评审时须提供原件，标书中附扫描件）</w:t>
            </w:r>
          </w:p>
        </w:tc>
        <w:tc>
          <w:tcPr>
            <w:tcW w:w="967" w:type="dxa"/>
            <w:vAlign w:val="center"/>
          </w:tcPr>
          <w:p>
            <w:pPr>
              <w:jc w:val="center"/>
              <w:rPr>
                <w:rFonts w:asciiTheme="minorEastAsia" w:hAnsiTheme="minorEastAsia"/>
                <w:sz w:val="24"/>
                <w:szCs w:val="24"/>
                <w:u w:val="single"/>
              </w:rPr>
            </w:pPr>
            <w:r>
              <w:rPr>
                <w:rFonts w:hint="eastAsia" w:cs="宋体" w:asciiTheme="minorEastAsia" w:hAnsiTheme="minorEastAsia"/>
                <w:sz w:val="24"/>
                <w:szCs w:val="24"/>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441" w:type="dxa"/>
            <w:vAlign w:val="center"/>
          </w:tcPr>
          <w:p>
            <w:pPr>
              <w:spacing w:line="400" w:lineRule="exact"/>
              <w:jc w:val="center"/>
              <w:rPr>
                <w:rFonts w:asciiTheme="minorEastAsia" w:hAnsiTheme="minorEastAsia"/>
                <w:sz w:val="24"/>
                <w:szCs w:val="24"/>
              </w:rPr>
            </w:pPr>
            <w:r>
              <w:rPr>
                <w:rFonts w:hint="eastAsia" w:asciiTheme="minorEastAsia" w:hAnsiTheme="minorEastAsia"/>
                <w:sz w:val="24"/>
                <w:szCs w:val="24"/>
              </w:rPr>
              <w:t>投标人业绩</w:t>
            </w:r>
          </w:p>
        </w:tc>
        <w:tc>
          <w:tcPr>
            <w:tcW w:w="6558" w:type="dxa"/>
            <w:vAlign w:val="center"/>
          </w:tcPr>
          <w:p>
            <w:pPr>
              <w:autoSpaceDE w:val="0"/>
              <w:autoSpaceDN w:val="0"/>
              <w:adjustRightInd w:val="0"/>
              <w:spacing w:line="360" w:lineRule="auto"/>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w:t>
            </w:r>
            <w:r>
              <w:rPr>
                <w:rFonts w:cs="宋体" w:asciiTheme="minorEastAsia" w:hAnsiTheme="minorEastAsia"/>
                <w:sz w:val="24"/>
                <w:szCs w:val="24"/>
                <w:lang w:val="zh-CN"/>
              </w:rPr>
              <w:t>201</w:t>
            </w:r>
            <w:r>
              <w:rPr>
                <w:rFonts w:hint="eastAsia" w:cs="宋体" w:asciiTheme="minorEastAsia" w:hAnsiTheme="minorEastAsia"/>
                <w:sz w:val="24"/>
                <w:szCs w:val="24"/>
              </w:rPr>
              <w:t>6</w:t>
            </w:r>
            <w:r>
              <w:rPr>
                <w:rFonts w:hint="eastAsia" w:cs="宋体" w:asciiTheme="minorEastAsia" w:hAnsiTheme="minorEastAsia"/>
                <w:sz w:val="24"/>
                <w:szCs w:val="24"/>
                <w:lang w:val="zh-CN"/>
              </w:rPr>
              <w:t>年</w:t>
            </w:r>
            <w:r>
              <w:rPr>
                <w:rFonts w:cs="宋体" w:asciiTheme="minorEastAsia" w:hAnsiTheme="minorEastAsia"/>
                <w:sz w:val="24"/>
                <w:szCs w:val="24"/>
                <w:lang w:val="zh-CN"/>
              </w:rPr>
              <w:t>1</w:t>
            </w:r>
            <w:r>
              <w:rPr>
                <w:rFonts w:hint="eastAsia" w:cs="宋体" w:asciiTheme="minorEastAsia" w:hAnsiTheme="minorEastAsia"/>
                <w:sz w:val="24"/>
                <w:szCs w:val="24"/>
                <w:lang w:val="zh-CN"/>
              </w:rPr>
              <w:t>月</w:t>
            </w:r>
            <w:r>
              <w:rPr>
                <w:rFonts w:cs="宋体" w:asciiTheme="minorEastAsia" w:hAnsiTheme="minorEastAsia"/>
                <w:sz w:val="24"/>
                <w:szCs w:val="24"/>
                <w:lang w:val="zh-CN"/>
              </w:rPr>
              <w:t>1</w:t>
            </w:r>
            <w:r>
              <w:rPr>
                <w:rFonts w:hint="eastAsia" w:cs="宋体" w:asciiTheme="minorEastAsia" w:hAnsiTheme="minorEastAsia"/>
                <w:sz w:val="24"/>
                <w:szCs w:val="24"/>
                <w:lang w:val="zh-CN"/>
              </w:rPr>
              <w:t>日以来承担过机关企事业单位委托的审计业务、行政事业单位财务检查、财政专项资金检查、项目监督检查任务</w:t>
            </w:r>
            <w:r>
              <w:rPr>
                <w:rFonts w:cs="宋体" w:asciiTheme="minorEastAsia" w:hAnsiTheme="minorEastAsia"/>
                <w:sz w:val="24"/>
                <w:szCs w:val="24"/>
                <w:lang w:val="zh-CN"/>
              </w:rPr>
              <w:t>500</w:t>
            </w:r>
            <w:r>
              <w:rPr>
                <w:rFonts w:hint="eastAsia" w:cs="宋体" w:asciiTheme="minorEastAsia" w:hAnsiTheme="minorEastAsia"/>
                <w:sz w:val="24"/>
                <w:szCs w:val="24"/>
                <w:lang w:val="zh-CN"/>
              </w:rPr>
              <w:t>万元及以上的项目，每完成</w:t>
            </w:r>
            <w:r>
              <w:rPr>
                <w:rFonts w:hint="eastAsia" w:asciiTheme="minorEastAsia" w:hAnsiTheme="minorEastAsia"/>
                <w:sz w:val="24"/>
                <w:szCs w:val="24"/>
              </w:rPr>
              <w:t>一个项目得2分，最多得12</w:t>
            </w:r>
            <w:r>
              <w:rPr>
                <w:rFonts w:hint="eastAsia" w:cs="宋体" w:asciiTheme="minorEastAsia" w:hAnsiTheme="minorEastAsia"/>
                <w:sz w:val="24"/>
                <w:szCs w:val="24"/>
                <w:lang w:val="zh-CN"/>
              </w:rPr>
              <w:t>分。</w:t>
            </w:r>
          </w:p>
          <w:p>
            <w:pPr>
              <w:autoSpaceDE w:val="0"/>
              <w:autoSpaceDN w:val="0"/>
              <w:adjustRightInd w:val="0"/>
              <w:spacing w:line="360" w:lineRule="auto"/>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w:t>
            </w:r>
            <w:r>
              <w:rPr>
                <w:rFonts w:cs="宋体" w:asciiTheme="minorEastAsia" w:hAnsiTheme="minorEastAsia"/>
                <w:sz w:val="24"/>
                <w:szCs w:val="24"/>
                <w:lang w:val="zh-CN"/>
              </w:rPr>
              <w:t>201</w:t>
            </w:r>
            <w:r>
              <w:rPr>
                <w:rFonts w:hint="eastAsia" w:cs="宋体" w:asciiTheme="minorEastAsia" w:hAnsiTheme="minorEastAsia"/>
                <w:sz w:val="24"/>
                <w:szCs w:val="24"/>
              </w:rPr>
              <w:t>6</w:t>
            </w:r>
            <w:r>
              <w:rPr>
                <w:rFonts w:hint="eastAsia" w:cs="宋体" w:asciiTheme="minorEastAsia" w:hAnsiTheme="minorEastAsia"/>
                <w:sz w:val="24"/>
                <w:szCs w:val="24"/>
                <w:lang w:val="zh-CN"/>
              </w:rPr>
              <w:t>年</w:t>
            </w:r>
            <w:r>
              <w:rPr>
                <w:rFonts w:cs="宋体" w:asciiTheme="minorEastAsia" w:hAnsiTheme="minorEastAsia"/>
                <w:sz w:val="24"/>
                <w:szCs w:val="24"/>
                <w:lang w:val="zh-CN"/>
              </w:rPr>
              <w:t>1</w:t>
            </w:r>
            <w:r>
              <w:rPr>
                <w:rFonts w:hint="eastAsia" w:cs="宋体" w:asciiTheme="minorEastAsia" w:hAnsiTheme="minorEastAsia"/>
                <w:sz w:val="24"/>
                <w:szCs w:val="24"/>
                <w:lang w:val="zh-CN"/>
              </w:rPr>
              <w:t>月</w:t>
            </w:r>
            <w:r>
              <w:rPr>
                <w:rFonts w:cs="宋体" w:asciiTheme="minorEastAsia" w:hAnsiTheme="minorEastAsia"/>
                <w:sz w:val="24"/>
                <w:szCs w:val="24"/>
                <w:lang w:val="zh-CN"/>
              </w:rPr>
              <w:t>1</w:t>
            </w:r>
            <w:r>
              <w:rPr>
                <w:rFonts w:hint="eastAsia" w:cs="宋体" w:asciiTheme="minorEastAsia" w:hAnsiTheme="minorEastAsia"/>
                <w:sz w:val="24"/>
                <w:szCs w:val="24"/>
                <w:lang w:val="zh-CN"/>
              </w:rPr>
              <w:t>日以来承担过政府投资建设项目财务决算审核</w:t>
            </w:r>
            <w:r>
              <w:rPr>
                <w:rFonts w:hint="eastAsia" w:cs="宋体" w:asciiTheme="minorEastAsia" w:hAnsiTheme="minorEastAsia"/>
                <w:sz w:val="24"/>
                <w:szCs w:val="24"/>
              </w:rPr>
              <w:t>1亿</w:t>
            </w:r>
            <w:r>
              <w:rPr>
                <w:rFonts w:hint="eastAsia" w:cs="宋体" w:asciiTheme="minorEastAsia" w:hAnsiTheme="minorEastAsia"/>
                <w:sz w:val="24"/>
                <w:szCs w:val="24"/>
                <w:lang w:val="zh-CN"/>
              </w:rPr>
              <w:t>元及以上的项目，每完成</w:t>
            </w:r>
            <w:r>
              <w:rPr>
                <w:rFonts w:hint="eastAsia" w:asciiTheme="minorEastAsia" w:hAnsiTheme="minorEastAsia"/>
                <w:sz w:val="24"/>
                <w:szCs w:val="24"/>
              </w:rPr>
              <w:t>一个项目得2分，最多得6</w:t>
            </w:r>
            <w:r>
              <w:rPr>
                <w:rFonts w:hint="eastAsia" w:cs="宋体" w:asciiTheme="minorEastAsia" w:hAnsiTheme="minorEastAsia"/>
                <w:sz w:val="24"/>
                <w:szCs w:val="24"/>
                <w:lang w:val="zh-CN"/>
              </w:rPr>
              <w:t>分。</w:t>
            </w:r>
          </w:p>
          <w:p>
            <w:pPr>
              <w:spacing w:line="360" w:lineRule="auto"/>
              <w:rPr>
                <w:rFonts w:asciiTheme="minorEastAsia" w:hAnsiTheme="minorEastAsia"/>
                <w:sz w:val="24"/>
                <w:szCs w:val="24"/>
              </w:rPr>
            </w:pPr>
            <w:r>
              <w:rPr>
                <w:rFonts w:hint="eastAsia" w:cs="宋体" w:asciiTheme="minorEastAsia" w:hAnsiTheme="minorEastAsia"/>
                <w:sz w:val="24"/>
                <w:szCs w:val="24"/>
                <w:lang w:val="zh-CN"/>
              </w:rPr>
              <w:t>以上</w:t>
            </w:r>
            <w:r>
              <w:rPr>
                <w:rFonts w:hint="eastAsia" w:cs="宋体" w:asciiTheme="minorEastAsia" w:hAnsiTheme="minorEastAsia"/>
                <w:sz w:val="24"/>
                <w:szCs w:val="24"/>
              </w:rPr>
              <w:t>投标人业绩时间以出具的时间为准；需要提供</w:t>
            </w:r>
            <w:r>
              <w:rPr>
                <w:rFonts w:hint="eastAsia" w:cs="宋体" w:asciiTheme="minorEastAsia" w:hAnsiTheme="minorEastAsia"/>
                <w:sz w:val="24"/>
                <w:szCs w:val="24"/>
                <w:lang w:val="zh-CN"/>
              </w:rPr>
              <w:t>委托</w:t>
            </w:r>
            <w:r>
              <w:rPr>
                <w:rFonts w:hint="eastAsia" w:cs="宋体" w:asciiTheme="minorEastAsia" w:hAnsiTheme="minorEastAsia"/>
                <w:sz w:val="24"/>
                <w:szCs w:val="24"/>
              </w:rPr>
              <w:t>项目的</w:t>
            </w:r>
            <w:r>
              <w:rPr>
                <w:rFonts w:hint="eastAsia" w:cs="宋体" w:asciiTheme="minorEastAsia" w:hAnsiTheme="minorEastAsia"/>
                <w:sz w:val="24"/>
                <w:szCs w:val="24"/>
                <w:lang w:val="zh-CN"/>
              </w:rPr>
              <w:t>合同</w:t>
            </w:r>
            <w:r>
              <w:rPr>
                <w:rFonts w:hint="eastAsia" w:cs="宋体" w:asciiTheme="minorEastAsia" w:hAnsiTheme="minorEastAsia"/>
                <w:sz w:val="24"/>
                <w:szCs w:val="24"/>
              </w:rPr>
              <w:t>或协议</w:t>
            </w:r>
            <w:r>
              <w:rPr>
                <w:rFonts w:hint="eastAsia" w:cs="宋体" w:asciiTheme="minorEastAsia" w:hAnsiTheme="minorEastAsia"/>
                <w:sz w:val="24"/>
                <w:szCs w:val="24"/>
                <w:lang w:val="zh-CN"/>
              </w:rPr>
              <w:t>、</w:t>
            </w:r>
            <w:r>
              <w:rPr>
                <w:rFonts w:hint="eastAsia" w:asciiTheme="minorEastAsia" w:hAnsiTheme="minorEastAsia"/>
                <w:sz w:val="24"/>
                <w:szCs w:val="24"/>
              </w:rPr>
              <w:t>财务检查、财政资金检查项目监督检查、政府投资建设项目财务决算审核报告，</w:t>
            </w:r>
            <w:r>
              <w:rPr>
                <w:rFonts w:hint="eastAsia" w:asciiTheme="minorEastAsia" w:hAnsiTheme="minorEastAsia"/>
                <w:b/>
                <w:sz w:val="24"/>
                <w:szCs w:val="24"/>
              </w:rPr>
              <w:t>开标时需提供委托合同原件（能证明其财务检查、财政资金检查项目监督检查、政府投资建设项目财务决算审核标的金额、项目名称及出具日期），提供</w:t>
            </w:r>
            <w:r>
              <w:rPr>
                <w:rFonts w:hint="eastAsia" w:asciiTheme="minorEastAsia" w:hAnsiTheme="minorEastAsia"/>
                <w:b/>
                <w:bCs/>
                <w:sz w:val="24"/>
                <w:szCs w:val="24"/>
              </w:rPr>
              <w:t>政府投资建设项目财务决算审核报告的还需委托方签章认定，标书中附扫描件、复印件</w:t>
            </w:r>
            <w:r>
              <w:rPr>
                <w:rFonts w:hint="eastAsia" w:asciiTheme="minorEastAsia" w:hAnsiTheme="minorEastAsia"/>
                <w:b/>
                <w:sz w:val="24"/>
                <w:szCs w:val="24"/>
              </w:rPr>
              <w:t>。</w:t>
            </w:r>
          </w:p>
        </w:tc>
        <w:tc>
          <w:tcPr>
            <w:tcW w:w="967" w:type="dxa"/>
            <w:vAlign w:val="center"/>
          </w:tcPr>
          <w:p>
            <w:pPr>
              <w:jc w:val="center"/>
              <w:rPr>
                <w:rFonts w:asciiTheme="minorEastAsia" w:hAnsiTheme="minorEastAsia"/>
                <w:sz w:val="24"/>
                <w:szCs w:val="24"/>
                <w:u w:val="single"/>
              </w:rPr>
            </w:pPr>
            <w:r>
              <w:rPr>
                <w:rFonts w:hint="eastAsia" w:cs="宋体" w:asciiTheme="minorEastAsia" w:hAnsiTheme="minorEastAsia"/>
                <w:sz w:val="24"/>
                <w:szCs w:val="24"/>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技术部分（满分</w:t>
            </w:r>
            <w:r>
              <w:rPr>
                <w:rFonts w:asciiTheme="minorEastAsia" w:hAnsiTheme="minorEastAsia"/>
                <w:b/>
                <w:sz w:val="24"/>
                <w:szCs w:val="24"/>
                <w:u w:val="single"/>
              </w:rPr>
              <w:t xml:space="preserve"> 2</w:t>
            </w:r>
            <w:r>
              <w:rPr>
                <w:rFonts w:hint="eastAsia" w:asciiTheme="minorEastAsia" w:hAnsiTheme="minorEastAsia"/>
                <w:b/>
                <w:sz w:val="24"/>
                <w:szCs w:val="24"/>
                <w:u w:val="single"/>
              </w:rPr>
              <w:t>1</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spacing w:line="400" w:lineRule="exact"/>
              <w:jc w:val="center"/>
              <w:rPr>
                <w:rFonts w:cs="宋体" w:asciiTheme="minorEastAsia" w:hAnsiTheme="minorEastAsia"/>
                <w:sz w:val="24"/>
                <w:szCs w:val="24"/>
              </w:rPr>
            </w:pPr>
            <w:r>
              <w:rPr>
                <w:rFonts w:hint="eastAsia" w:asciiTheme="minorEastAsia" w:hAnsiTheme="minorEastAsia"/>
                <w:b/>
                <w:sz w:val="24"/>
                <w:szCs w:val="24"/>
              </w:rPr>
              <w:t>评分因素</w:t>
            </w:r>
          </w:p>
        </w:tc>
        <w:tc>
          <w:tcPr>
            <w:tcW w:w="6558" w:type="dxa"/>
            <w:vAlign w:val="center"/>
          </w:tcPr>
          <w:p>
            <w:pPr>
              <w:spacing w:line="360" w:lineRule="auto"/>
              <w:jc w:val="center"/>
              <w:rPr>
                <w:rFonts w:asciiTheme="minorEastAsia" w:hAnsiTheme="minorEastAsia"/>
                <w:sz w:val="24"/>
                <w:szCs w:val="24"/>
              </w:rPr>
            </w:pPr>
            <w:r>
              <w:rPr>
                <w:rFonts w:hint="eastAsia" w:asciiTheme="minorEastAsia" w:hAnsiTheme="minorEastAsia"/>
                <w:b/>
                <w:sz w:val="24"/>
                <w:szCs w:val="24"/>
              </w:rPr>
              <w:t>评标标准</w:t>
            </w:r>
          </w:p>
        </w:tc>
        <w:tc>
          <w:tcPr>
            <w:tcW w:w="967" w:type="dxa"/>
            <w:vAlign w:val="center"/>
          </w:tcPr>
          <w:p>
            <w:pPr>
              <w:jc w:val="center"/>
              <w:rPr>
                <w:rFonts w:cs="宋体" w:asciiTheme="minorEastAsia" w:hAnsiTheme="minorEastAsia"/>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spacing w:line="400" w:lineRule="exact"/>
              <w:jc w:val="center"/>
              <w:rPr>
                <w:rFonts w:asciiTheme="minorEastAsia" w:hAnsiTheme="minorEastAsia"/>
                <w:sz w:val="24"/>
                <w:szCs w:val="24"/>
              </w:rPr>
            </w:pPr>
            <w:r>
              <w:rPr>
                <w:rFonts w:hint="eastAsia" w:cs="宋体" w:asciiTheme="minorEastAsia" w:hAnsiTheme="minorEastAsia"/>
                <w:sz w:val="24"/>
                <w:szCs w:val="24"/>
              </w:rPr>
              <w:t>服务方案</w:t>
            </w:r>
          </w:p>
        </w:tc>
        <w:tc>
          <w:tcPr>
            <w:tcW w:w="6558"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评标委员会根据各投标人服务方案的内容是否详实完整可行，至少应包括：质量控制、保障措施、技术档案管理制度、风险控制制度。</w:t>
            </w:r>
          </w:p>
          <w:p>
            <w:pPr>
              <w:spacing w:line="360" w:lineRule="auto"/>
              <w:rPr>
                <w:rFonts w:hint="eastAsia" w:asciiTheme="minorEastAsia" w:hAnsiTheme="minorEastAsia" w:eastAsiaTheme="minorEastAsia"/>
                <w:sz w:val="24"/>
                <w:szCs w:val="24"/>
                <w:lang w:eastAsia="zh-CN"/>
              </w:rPr>
            </w:pPr>
            <w:r>
              <w:rPr>
                <w:rFonts w:asciiTheme="minorEastAsia" w:hAnsiTheme="minorEastAsia"/>
                <w:sz w:val="24"/>
                <w:szCs w:val="24"/>
              </w:rPr>
              <w:t>1</w:t>
            </w:r>
            <w:r>
              <w:rPr>
                <w:rFonts w:hint="eastAsia" w:asciiTheme="minorEastAsia" w:hAnsiTheme="minorEastAsia"/>
                <w:sz w:val="24"/>
                <w:szCs w:val="24"/>
              </w:rPr>
              <w:t>、总体服务方案的内容详实完整、实际可行，思路清楚，各服务要求齐全，制定的服务方案能够保证项目的顺利完成</w:t>
            </w:r>
            <w:r>
              <w:rPr>
                <w:rFonts w:hint="eastAsia" w:asciiTheme="minorEastAsia" w:hAnsiTheme="minorEastAsia"/>
                <w:sz w:val="24"/>
                <w:szCs w:val="24"/>
                <w:lang w:val="en-US" w:eastAsia="zh-CN"/>
              </w:rPr>
              <w:t>.</w:t>
            </w:r>
            <w:r>
              <w:rPr>
                <w:rFonts w:hint="eastAsia" w:asciiTheme="minorEastAsia" w:hAnsiTheme="minorEastAsia"/>
                <w:sz w:val="24"/>
                <w:szCs w:val="24"/>
                <w:lang w:eastAsia="zh-CN"/>
              </w:rPr>
              <w:t>（专家酌情打分，</w:t>
            </w:r>
            <w:r>
              <w:rPr>
                <w:rFonts w:hint="eastAsia" w:asciiTheme="minorEastAsia" w:hAnsiTheme="minorEastAsia"/>
                <w:sz w:val="24"/>
                <w:szCs w:val="24"/>
                <w:lang w:val="en-US" w:eastAsia="zh-CN"/>
              </w:rPr>
              <w:t>0-3分）</w:t>
            </w:r>
          </w:p>
          <w:p>
            <w:pPr>
              <w:spacing w:line="360" w:lineRule="auto"/>
              <w:rPr>
                <w:rFonts w:hint="eastAsia" w:asciiTheme="minorEastAsia" w:hAnsiTheme="minorEastAsia" w:eastAsiaTheme="minorEastAsia"/>
                <w:sz w:val="24"/>
                <w:szCs w:val="24"/>
                <w:lang w:val="en-US" w:eastAsia="zh-CN"/>
              </w:rPr>
            </w:pPr>
            <w:r>
              <w:rPr>
                <w:rFonts w:asciiTheme="minorEastAsia" w:hAnsiTheme="minorEastAsia"/>
                <w:sz w:val="24"/>
                <w:szCs w:val="24"/>
              </w:rPr>
              <w:t>2</w:t>
            </w:r>
            <w:r>
              <w:rPr>
                <w:rFonts w:hint="eastAsia" w:asciiTheme="minorEastAsia" w:hAnsiTheme="minorEastAsia"/>
                <w:sz w:val="24"/>
                <w:szCs w:val="24"/>
              </w:rPr>
              <w:t>、质量控制：针对本项目质量要求，制定出实现质量目标的具体保证措施，并根据工作内容、重点和难点，进行分析并制定出相应的处理方法</w:t>
            </w:r>
            <w:r>
              <w:rPr>
                <w:rFonts w:hint="eastAsia" w:asciiTheme="minorEastAsia" w:hAnsiTheme="minorEastAsia"/>
                <w:sz w:val="24"/>
                <w:szCs w:val="24"/>
                <w:lang w:eastAsia="zh-CN"/>
              </w:rPr>
              <w:t>。（专家酌情打分，</w:t>
            </w:r>
            <w:r>
              <w:rPr>
                <w:rFonts w:hint="eastAsia" w:asciiTheme="minorEastAsia" w:hAnsiTheme="minorEastAsia"/>
                <w:sz w:val="24"/>
                <w:szCs w:val="24"/>
                <w:lang w:val="en-US" w:eastAsia="zh-CN"/>
              </w:rPr>
              <w:t>0-2分）</w:t>
            </w:r>
          </w:p>
          <w:p>
            <w:pPr>
              <w:spacing w:line="360" w:lineRule="auto"/>
              <w:rPr>
                <w:rFonts w:hint="eastAsia" w:asciiTheme="minorEastAsia" w:hAnsiTheme="minorEastAsia" w:eastAsiaTheme="minorEastAsia"/>
                <w:sz w:val="24"/>
                <w:szCs w:val="24"/>
                <w:lang w:eastAsia="zh-CN"/>
              </w:rPr>
            </w:pPr>
            <w:r>
              <w:rPr>
                <w:rFonts w:asciiTheme="minorEastAsia" w:hAnsiTheme="minorEastAsia"/>
                <w:sz w:val="24"/>
                <w:szCs w:val="24"/>
              </w:rPr>
              <w:t>3</w:t>
            </w:r>
            <w:r>
              <w:rPr>
                <w:rFonts w:hint="eastAsia" w:asciiTheme="minorEastAsia" w:hAnsiTheme="minorEastAsia"/>
                <w:sz w:val="24"/>
                <w:szCs w:val="24"/>
              </w:rPr>
              <w:t>、保障措施：对财务检查、财政资金检查项目监督检查、政府投资建设项目财务决算审核工作质量保证措施、时间进度管理措施、组织保障措施详细说明</w:t>
            </w:r>
            <w:r>
              <w:rPr>
                <w:rFonts w:hint="eastAsia" w:asciiTheme="minorEastAsia" w:hAnsiTheme="minorEastAsia"/>
                <w:sz w:val="24"/>
                <w:szCs w:val="24"/>
                <w:lang w:eastAsia="zh-CN"/>
              </w:rPr>
              <w:t>。（专家酌情打分，</w:t>
            </w:r>
            <w:r>
              <w:rPr>
                <w:rFonts w:hint="eastAsia" w:asciiTheme="minorEastAsia" w:hAnsiTheme="minorEastAsia"/>
                <w:sz w:val="24"/>
                <w:szCs w:val="24"/>
                <w:lang w:val="en-US" w:eastAsia="zh-CN"/>
              </w:rPr>
              <w:t>0-2分）</w:t>
            </w:r>
          </w:p>
          <w:p>
            <w:pPr>
              <w:spacing w:line="360" w:lineRule="auto"/>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、技术档案管理制度：有完善档案的收集、整理、保管、利用和鉴定销毁等管理制度，并采取可靠的安全防护技术和措施，保证档案的真实、完整、可用、安全的管理制度</w:t>
            </w:r>
            <w:r>
              <w:rPr>
                <w:rFonts w:hint="eastAsia" w:asciiTheme="minorEastAsia" w:hAnsiTheme="minorEastAsia"/>
                <w:sz w:val="24"/>
                <w:szCs w:val="24"/>
                <w:lang w:eastAsia="zh-CN"/>
              </w:rPr>
              <w:t>。（专家酌情打分，</w:t>
            </w:r>
            <w:r>
              <w:rPr>
                <w:rFonts w:hint="eastAsia" w:asciiTheme="minorEastAsia" w:hAnsiTheme="minorEastAsia"/>
                <w:sz w:val="24"/>
                <w:szCs w:val="24"/>
                <w:lang w:val="en-US" w:eastAsia="zh-CN"/>
              </w:rPr>
              <w:t>0-2分）</w:t>
            </w:r>
          </w:p>
          <w:p>
            <w:pPr>
              <w:spacing w:line="360" w:lineRule="auto"/>
              <w:rPr>
                <w:rFonts w:hint="eastAsia" w:asciiTheme="minorEastAsia" w:hAnsiTheme="minorEastAsia" w:eastAsiaTheme="minorEastAsia"/>
                <w:sz w:val="24"/>
                <w:szCs w:val="24"/>
                <w:lang w:eastAsia="zh-CN"/>
              </w:rPr>
            </w:pPr>
            <w:r>
              <w:rPr>
                <w:rFonts w:asciiTheme="minorEastAsia" w:hAnsiTheme="minorEastAsia"/>
                <w:sz w:val="24"/>
                <w:szCs w:val="24"/>
              </w:rPr>
              <w:t>5</w:t>
            </w:r>
            <w:r>
              <w:rPr>
                <w:rFonts w:hint="eastAsia" w:asciiTheme="minorEastAsia" w:hAnsiTheme="minorEastAsia"/>
                <w:sz w:val="24"/>
                <w:szCs w:val="24"/>
              </w:rPr>
              <w:t>、风险控制制度：对项目风险的识别及应对有详细方案和措施</w:t>
            </w:r>
            <w:r>
              <w:rPr>
                <w:rFonts w:hint="eastAsia" w:asciiTheme="minorEastAsia" w:hAnsiTheme="minorEastAsia"/>
                <w:sz w:val="24"/>
                <w:szCs w:val="24"/>
                <w:lang w:eastAsia="zh-CN"/>
              </w:rPr>
              <w:t>。（专家酌情打分，</w:t>
            </w:r>
            <w:r>
              <w:rPr>
                <w:rFonts w:hint="eastAsia" w:asciiTheme="minorEastAsia" w:hAnsiTheme="minorEastAsia"/>
                <w:sz w:val="24"/>
                <w:szCs w:val="24"/>
                <w:lang w:val="en-US" w:eastAsia="zh-CN"/>
              </w:rPr>
              <w:t>0-2分）</w:t>
            </w:r>
          </w:p>
          <w:p>
            <w:pPr>
              <w:spacing w:line="360" w:lineRule="auto"/>
              <w:rPr>
                <w:rFonts w:asciiTheme="minorEastAsia" w:hAnsiTheme="minorEastAsia"/>
                <w:sz w:val="24"/>
                <w:szCs w:val="24"/>
              </w:rPr>
            </w:pPr>
            <w:r>
              <w:rPr>
                <w:rFonts w:asciiTheme="minorEastAsia" w:hAnsiTheme="minorEastAsia"/>
                <w:sz w:val="24"/>
                <w:szCs w:val="24"/>
              </w:rPr>
              <w:t>6</w:t>
            </w:r>
            <w:r>
              <w:rPr>
                <w:rFonts w:hint="eastAsia" w:asciiTheme="minorEastAsia" w:hAnsiTheme="minorEastAsia"/>
                <w:sz w:val="24"/>
                <w:szCs w:val="24"/>
              </w:rPr>
              <w:t>、有后续服务及其它优化服务方案、违约责任、经济赔偿方案。</w:t>
            </w:r>
            <w:r>
              <w:rPr>
                <w:rFonts w:hint="eastAsia" w:asciiTheme="minorEastAsia" w:hAnsiTheme="minorEastAsia"/>
                <w:sz w:val="24"/>
                <w:szCs w:val="24"/>
                <w:lang w:eastAsia="zh-CN"/>
              </w:rPr>
              <w:t>（专家酌情打分，</w:t>
            </w:r>
            <w:r>
              <w:rPr>
                <w:rFonts w:hint="eastAsia" w:asciiTheme="minorEastAsia" w:hAnsiTheme="minorEastAsia"/>
                <w:sz w:val="24"/>
                <w:szCs w:val="24"/>
                <w:lang w:val="en-US" w:eastAsia="zh-CN"/>
              </w:rPr>
              <w:t>0-2分）</w:t>
            </w:r>
          </w:p>
        </w:tc>
        <w:tc>
          <w:tcPr>
            <w:tcW w:w="967" w:type="dxa"/>
            <w:vAlign w:val="center"/>
          </w:tcPr>
          <w:p>
            <w:pPr>
              <w:jc w:val="center"/>
              <w:rPr>
                <w:rFonts w:asciiTheme="minorEastAsia" w:hAnsiTheme="minorEastAsia"/>
                <w:sz w:val="24"/>
                <w:szCs w:val="24"/>
                <w:u w:val="single"/>
              </w:rPr>
            </w:pPr>
            <w:r>
              <w:rPr>
                <w:rFonts w:cs="宋体" w:asciiTheme="minorEastAsia" w:hAnsiTheme="minorEastAsia"/>
                <w:sz w:val="24"/>
                <w:szCs w:val="24"/>
              </w:rPr>
              <w:t>1</w:t>
            </w:r>
            <w:r>
              <w:rPr>
                <w:rFonts w:hint="eastAsia" w:cs="宋体" w:asciiTheme="minorEastAsia" w:hAnsiTheme="minorEastAsia"/>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1441" w:type="dxa"/>
            <w:vAlign w:val="center"/>
          </w:tcPr>
          <w:p>
            <w:pPr>
              <w:spacing w:line="400" w:lineRule="exact"/>
              <w:jc w:val="center"/>
              <w:rPr>
                <w:rFonts w:cs="宋体" w:asciiTheme="minorEastAsia" w:hAnsiTheme="minorEastAsia"/>
                <w:sz w:val="24"/>
                <w:szCs w:val="24"/>
              </w:rPr>
            </w:pPr>
            <w:r>
              <w:rPr>
                <w:rFonts w:hint="eastAsia" w:cs="宋体" w:asciiTheme="minorEastAsia" w:hAnsiTheme="minorEastAsia"/>
                <w:sz w:val="24"/>
                <w:szCs w:val="24"/>
              </w:rPr>
              <w:t>技术支持和本地化全方位服务响应</w:t>
            </w:r>
          </w:p>
        </w:tc>
        <w:tc>
          <w:tcPr>
            <w:tcW w:w="6558" w:type="dxa"/>
            <w:vAlign w:val="center"/>
          </w:tcPr>
          <w:p>
            <w:pPr>
              <w:spacing w:line="360" w:lineRule="auto"/>
              <w:rPr>
                <w:rFonts w:asciiTheme="minorEastAsia" w:hAnsiTheme="minorEastAsia"/>
                <w:sz w:val="24"/>
                <w:szCs w:val="24"/>
              </w:rPr>
            </w:pPr>
            <w:r>
              <w:rPr>
                <w:rFonts w:hint="eastAsia" w:asciiTheme="minorEastAsia" w:hAnsiTheme="minorEastAsia"/>
                <w:bCs/>
                <w:sz w:val="24"/>
                <w:szCs w:val="24"/>
              </w:rPr>
              <w:t>投标人在方案中是否承诺在中标后入库服务期三年内提供</w:t>
            </w:r>
            <w:r>
              <w:rPr>
                <w:rFonts w:asciiTheme="minorEastAsia" w:hAnsiTheme="minorEastAsia"/>
                <w:bCs/>
                <w:sz w:val="24"/>
                <w:szCs w:val="24"/>
              </w:rPr>
              <w:t>7</w:t>
            </w:r>
            <w:r>
              <w:rPr>
                <w:rFonts w:hint="eastAsia" w:asciiTheme="minorEastAsia" w:hAnsiTheme="minorEastAsia"/>
                <w:bCs/>
                <w:sz w:val="24"/>
                <w:szCs w:val="24"/>
              </w:rPr>
              <w:t>×</w:t>
            </w:r>
            <w:r>
              <w:rPr>
                <w:rFonts w:asciiTheme="minorEastAsia" w:hAnsiTheme="minorEastAsia"/>
                <w:bCs/>
                <w:sz w:val="24"/>
                <w:szCs w:val="24"/>
              </w:rPr>
              <w:t>24</w:t>
            </w:r>
            <w:r>
              <w:rPr>
                <w:rFonts w:hint="eastAsia" w:asciiTheme="minorEastAsia" w:hAnsiTheme="minorEastAsia"/>
                <w:bCs/>
                <w:sz w:val="24"/>
                <w:szCs w:val="24"/>
              </w:rPr>
              <w:t>小时技术支持和项目现场服务；是否承诺在合同执行过程中在许昌</w:t>
            </w:r>
            <w:r>
              <w:rPr>
                <w:rFonts w:hint="eastAsia" w:cs="宋体" w:asciiTheme="minorEastAsia" w:hAnsiTheme="minorEastAsia"/>
                <w:sz w:val="24"/>
                <w:szCs w:val="24"/>
              </w:rPr>
              <w:t>拟投入本项目注册会计师、工作人员为</w:t>
            </w:r>
            <w:r>
              <w:rPr>
                <w:rFonts w:hint="eastAsia" w:asciiTheme="minorEastAsia" w:hAnsiTheme="minorEastAsia"/>
                <w:bCs/>
                <w:sz w:val="24"/>
                <w:szCs w:val="24"/>
              </w:rPr>
              <w:t>常驻人员；是否在许昌设有相关办事机构</w:t>
            </w:r>
            <w:r>
              <w:rPr>
                <w:rFonts w:hint="eastAsia" w:asciiTheme="minorEastAsia" w:hAnsiTheme="minorEastAsia"/>
                <w:sz w:val="24"/>
                <w:szCs w:val="24"/>
              </w:rPr>
              <w:t>（提供相关证明材料如不动产登记证书或房产证或租赁合同等）；</w:t>
            </w:r>
            <w:r>
              <w:rPr>
                <w:rFonts w:hint="eastAsia" w:asciiTheme="minorEastAsia" w:hAnsiTheme="minorEastAsia"/>
                <w:bCs/>
                <w:sz w:val="24"/>
                <w:szCs w:val="24"/>
              </w:rPr>
              <w:t>在用户提出服务需求后，是否能够及时做出响应迅速到达现场（即</w:t>
            </w:r>
            <w:r>
              <w:rPr>
                <w:rFonts w:hint="eastAsia" w:asciiTheme="minorEastAsia" w:hAnsiTheme="minorEastAsia"/>
                <w:sz w:val="24"/>
                <w:szCs w:val="24"/>
              </w:rPr>
              <w:t>响应时间）并有具体措施等进行打分。</w:t>
            </w:r>
          </w:p>
          <w:p>
            <w:pPr>
              <w:spacing w:line="360" w:lineRule="auto"/>
              <w:rPr>
                <w:rFonts w:asciiTheme="minorEastAsia" w:hAnsiTheme="minorEastAsia"/>
                <w:sz w:val="24"/>
                <w:szCs w:val="24"/>
              </w:rPr>
            </w:pPr>
            <w:r>
              <w:rPr>
                <w:rFonts w:hint="eastAsia" w:asciiTheme="minorEastAsia" w:hAnsiTheme="minorEastAsia"/>
                <w:sz w:val="24"/>
                <w:szCs w:val="24"/>
              </w:rPr>
              <w:t>一档：在许昌设置有办事机构，在方案中承诺提供7×24小时技术支持和项目现场服务并且派常驻人员在半小时内响应得8分；</w:t>
            </w:r>
          </w:p>
          <w:p>
            <w:pPr>
              <w:spacing w:line="360" w:lineRule="auto"/>
              <w:rPr>
                <w:rFonts w:asciiTheme="minorEastAsia" w:hAnsiTheme="minorEastAsia"/>
                <w:sz w:val="24"/>
                <w:szCs w:val="24"/>
              </w:rPr>
            </w:pPr>
            <w:r>
              <w:rPr>
                <w:rFonts w:hint="eastAsia" w:asciiTheme="minorEastAsia" w:hAnsiTheme="minorEastAsia"/>
                <w:sz w:val="24"/>
                <w:szCs w:val="24"/>
              </w:rPr>
              <w:t>二档：在许昌设置有办事机构，在方案中承诺提供7×24小时技术支持和项目现场服务并且派常驻人员在一小时内响应得5分；</w:t>
            </w:r>
          </w:p>
          <w:p>
            <w:pPr>
              <w:spacing w:line="360" w:lineRule="auto"/>
              <w:rPr>
                <w:rFonts w:asciiTheme="minorEastAsia" w:hAnsiTheme="minorEastAsia"/>
                <w:sz w:val="24"/>
                <w:szCs w:val="24"/>
              </w:rPr>
            </w:pPr>
            <w:r>
              <w:rPr>
                <w:rFonts w:hint="eastAsia" w:asciiTheme="minorEastAsia" w:hAnsiTheme="minorEastAsia"/>
                <w:sz w:val="24"/>
                <w:szCs w:val="24"/>
              </w:rPr>
              <w:t>三档：在许昌无设置办事机构，但在方案中承诺提供7×24小时技术支持和项目现场服务并且派常驻人员在一小时内响应得2分；无承诺的不得分。</w:t>
            </w:r>
          </w:p>
          <w:p>
            <w:pPr>
              <w:spacing w:line="360" w:lineRule="auto"/>
              <w:rPr>
                <w:rFonts w:asciiTheme="minorEastAsia" w:hAnsiTheme="minorEastAsia"/>
                <w:bCs/>
                <w:sz w:val="24"/>
                <w:szCs w:val="24"/>
              </w:rPr>
            </w:pPr>
            <w:r>
              <w:rPr>
                <w:rFonts w:hint="eastAsia" w:asciiTheme="minorEastAsia" w:hAnsiTheme="minorEastAsia"/>
                <w:b/>
                <w:bCs/>
                <w:sz w:val="24"/>
                <w:szCs w:val="24"/>
              </w:rPr>
              <w:t>（“响应时间”是指在项目委托人提出服务需求后，投标人从接到需求做出响应时至到达现场时的时间）</w:t>
            </w:r>
          </w:p>
        </w:tc>
        <w:tc>
          <w:tcPr>
            <w:tcW w:w="967" w:type="dxa"/>
            <w:vAlign w:val="center"/>
          </w:tcPr>
          <w:p>
            <w:pPr>
              <w:jc w:val="center"/>
              <w:rPr>
                <w:rFonts w:cs="宋体" w:asciiTheme="minorEastAsia" w:hAnsiTheme="minorEastAsia"/>
                <w:sz w:val="24"/>
                <w:szCs w:val="24"/>
              </w:rPr>
            </w:pPr>
            <w:r>
              <w:rPr>
                <w:rFonts w:cs="宋体" w:asciiTheme="minorEastAsia" w:hAnsiTheme="minorEastAsia"/>
                <w:sz w:val="24"/>
                <w:szCs w:val="24"/>
              </w:rPr>
              <w:t>8</w:t>
            </w:r>
            <w:r>
              <w:rPr>
                <w:rFonts w:hint="eastAsia" w:cs="宋体" w:asciiTheme="minorEastAsia" w:hAnsiTheme="minorEastAsia"/>
                <w:sz w:val="24"/>
                <w:szCs w:val="24"/>
              </w:rPr>
              <w:t>分</w:t>
            </w:r>
          </w:p>
        </w:tc>
      </w:tr>
    </w:tbl>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注：</w:t>
      </w:r>
    </w:p>
    <w:p>
      <w:pPr>
        <w:tabs>
          <w:tab w:val="left" w:pos="1260"/>
        </w:tabs>
        <w:autoSpaceDE w:val="0"/>
        <w:autoSpaceDN w:val="0"/>
        <w:spacing w:line="360" w:lineRule="auto"/>
        <w:ind w:firstLine="480" w:firstLineChars="200"/>
        <w:contextualSpacing/>
        <w:rPr>
          <w:rFonts w:ascii="宋体" w:hAnsi="宋体" w:cs="仿宋_GB2312"/>
          <w:sz w:val="24"/>
          <w:szCs w:val="24"/>
        </w:rPr>
      </w:pPr>
      <w:r>
        <w:rPr>
          <w:rFonts w:hint="eastAsia" w:ascii="宋体" w:hAnsi="宋体" w:cs="仿宋_GB2312"/>
          <w:bCs/>
          <w:sz w:val="24"/>
          <w:szCs w:val="24"/>
        </w:rPr>
        <w:t>1、</w:t>
      </w:r>
      <w:r>
        <w:rPr>
          <w:rFonts w:hint="eastAsia" w:ascii="宋体" w:hAnsi="宋体" w:cs="仿宋_GB2312"/>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sz w:val="24"/>
          <w:szCs w:val="24"/>
          <w:lang w:val="en-GB"/>
        </w:rPr>
      </w:pPr>
      <w:r>
        <w:rPr>
          <w:rFonts w:hint="eastAsia" w:ascii="宋体" w:hAnsi="宋体" w:cs="仿宋_GB2312"/>
          <w:sz w:val="24"/>
          <w:szCs w:val="24"/>
        </w:rPr>
        <w:t>2、提供拟投入本项目专业技术人员团队名单人数最多为20人，包括拟投入本项目注册</w:t>
      </w:r>
      <w:r>
        <w:rPr>
          <w:rFonts w:hint="eastAsia" w:ascii="宋体" w:hAnsi="宋体" w:cs="仿宋_GB2312"/>
          <w:sz w:val="24"/>
          <w:szCs w:val="24"/>
          <w:lang w:eastAsia="zh-CN"/>
        </w:rPr>
        <w:t>会计</w:t>
      </w:r>
      <w:r>
        <w:rPr>
          <w:rFonts w:hint="eastAsia" w:ascii="宋体" w:hAnsi="宋体" w:cs="仿宋_GB2312"/>
          <w:sz w:val="24"/>
          <w:szCs w:val="24"/>
        </w:rPr>
        <w:t>师和拟投入本项目工作人员。所提供专业团队名单，在服务期限内该团队80%专业技术人员保持固定。</w:t>
      </w:r>
    </w:p>
    <w:p>
      <w:pPr>
        <w:pStyle w:val="15"/>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3</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①分值汇总计算错误的；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②分项评分超出评分标准范围的；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③评标委员会成员对客观评审因素评分不一致的；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④经评标委员会认定评分畸高、畸低的。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宋体" w:asciiTheme="majorEastAsia" w:hAnsiTheme="majorEastAsia" w:eastAsiaTheme="majorEastAsia"/>
          <w:b/>
          <w:kern w:val="0"/>
          <w:sz w:val="36"/>
          <w:szCs w:val="36"/>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pStyle w:val="15"/>
        <w:spacing w:line="360" w:lineRule="auto"/>
        <w:contextualSpacing/>
        <w:jc w:val="center"/>
        <w:outlineLvl w:val="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5"/>
        <w:spacing w:line="360" w:lineRule="auto"/>
        <w:contextualSpacing/>
        <w:jc w:val="center"/>
        <w:outlineLvl w:val="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 定义</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1.1“合同”系指甲方和乙方 （简称合同双方）已达成的协议，即由双方签订的合同格式中的文件，包括所有的附件和组成合同部分的所有其他文件。</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1.2“合同价格”系指根据合同规定，在乙方全面正确地履行合同义务时应支付给乙方的款项。</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1.3“甲方”系指通过招标方式，接受合同服务的采购人。</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1.4“乙方”系指中标后提供合同服务的中标方或投标人。</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2.适用范围</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 本合同条款仅适用于本次招标活动。</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3.技术规格和标准</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本合同项下所提供服务的技术规格标准应与本招标文件技术规格规定的标准相一致。</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4.合同期限</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即自   年   月   日起至   年   月   日止。</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5.价格</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除非合同中另有规定，乙方为其所提供服务而要求甲方支付的金额应与其投标报价一致。</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6.索赔</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6.1乙方对所提供的服务与合同要求不符负有责任，并且甲方已于合同规定的期限内提出索赔，乙方应按甲方同意的下述一种或多种方法解决索赔事宜。</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6.1.1乙方同意甲方取消其不符合要求的服务项目，退还已经收取的该类服务的款项。</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6.1.2对于情节严重、造成甲方损失金额巨大的，同意甲方终止全部项目合同，并赔偿甲方因此造成的损失。</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7.不可抗力</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8.履约保证金</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8.1按本招标文件要求执行。（有特殊约定的按约定执行）</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8.2履约保证金的有效期至供货完毕且验收合格。</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8.3乙方提供的履约保证金按规定格式以现金、电汇的形式提供，与此有关的费用由乙方负担。</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8.4如果乙方未能按合同规定履行其义务，甲方有权从履约保证金取得补偿。</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9.争议的解决</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9.1在执行合同中发生的与本合同有关的争端，双方应通过友好协商解决，经协商在 60天内不能达成协议时，应提交仲裁。</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9.2 提交正式仲裁的争端属涉外的，应在北京或中国国内其他地点，由指定的国际经济仲裁委员会根据该委员会的仲裁程序或规则予以最终裁决。</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9.3 合同双方均为国内法人的，其争端的仲裁应由合同发生地许昌市仲裁委员会根据其仲裁程序进行。</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9.4 仲裁裁决应为最终决定，并对双方具有约束力。</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9.5 除另有裁决外，仲裁费应由败诉方负担。</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9.6 在仲裁期间，除正在进行的仲裁部分外，合同其他部分继续执行。</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10.合同终止</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10.2 出现下列情况时合同自动终止：</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10.2.1发生不可抗力时。</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10.2.2一方不履行合同条款，造成另一方无法执行合同协议，协商又不能求得解决，合同终止，责任方赔偿损失。</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11.合同修改</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对于合同的未尽事宜，需进行修改、补充和完善的，甲乙双方必须就所修改的内容签订书面的合同修改书，作为合同的补充协议。</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12.适用法律</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本合同应按中华人民共和国的法律解释。</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13.主导语言与计量单位</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13.1 合同书写应用中文书写。合同五份，甲乙双方和示范区政府采购管理办公室及相关业务科室（备案）各执一份，具有同等法律效力。</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13.2 除技术规格另有规定外，计量单位均使用中华人民共和国法定计量单位。</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14.合同生效</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除非合同中另有说明，本合同经双方签字盖章，并在招标人收到乙方的履约保证金后，即开始生效。</w:t>
      </w:r>
    </w:p>
    <w:p>
      <w:pPr>
        <w:widowControl/>
        <w:spacing w:line="360" w:lineRule="auto"/>
        <w:ind w:firstLine="420"/>
        <w:jc w:val="center"/>
        <w:rPr>
          <w:kern w:val="0"/>
          <w:szCs w:val="21"/>
        </w:rPr>
      </w:pPr>
      <w:r>
        <w:rPr>
          <w:rFonts w:hint="eastAsia" w:ascii="宋体" w:hAnsi="宋体"/>
          <w:b/>
          <w:bCs/>
          <w:kern w:val="0"/>
          <w:sz w:val="36"/>
          <w:szCs w:val="36"/>
        </w:rPr>
        <w:t>合同特殊条款</w:t>
      </w:r>
    </w:p>
    <w:p>
      <w:pPr>
        <w:widowControl/>
        <w:spacing w:line="360" w:lineRule="auto"/>
        <w:ind w:firstLine="200"/>
        <w:jc w:val="left"/>
        <w:rPr>
          <w:rFonts w:ascii="宋体" w:hAnsi="宋体" w:eastAsia="宋体" w:cs="宋体"/>
          <w:kern w:val="0"/>
          <w:sz w:val="24"/>
          <w:szCs w:val="24"/>
        </w:rPr>
      </w:pPr>
      <w:r>
        <w:rPr>
          <w:rFonts w:hint="eastAsia" w:ascii="宋体" w:hAnsi="宋体" w:eastAsia="宋体" w:cs="宋体"/>
          <w:kern w:val="0"/>
          <w:sz w:val="24"/>
          <w:szCs w:val="24"/>
        </w:rPr>
        <w:t>（具体条款由甲乙双方根据该项目的特殊性协商约定）略。</w:t>
      </w:r>
    </w:p>
    <w:p>
      <w:pPr>
        <w:widowControl/>
        <w:spacing w:line="360" w:lineRule="auto"/>
        <w:ind w:firstLine="200"/>
        <w:jc w:val="left"/>
        <w:rPr>
          <w:rFonts w:cs="宋体" w:asciiTheme="majorEastAsia" w:hAnsiTheme="majorEastAsia" w:eastAsiaTheme="majorEastAsia"/>
          <w:b/>
          <w:kern w:val="0"/>
          <w:sz w:val="36"/>
          <w:szCs w:val="36"/>
        </w:rPr>
      </w:pPr>
      <w:r>
        <w:rPr>
          <w:rFonts w:hint="eastAsia" w:ascii="宋体" w:hAnsi="宋体" w:eastAsia="宋体" w:cs="宋体"/>
          <w:kern w:val="0"/>
          <w:sz w:val="24"/>
          <w:szCs w:val="24"/>
        </w:rPr>
        <w:t>合同特殊条款是合同一般条款的补充和修改。如果两者之间有抵触，应以特殊条款为准。</w:t>
      </w:r>
      <w:bookmarkStart w:id="1" w:name="_Toc267574131"/>
      <w:bookmarkEnd w:id="1"/>
      <w:bookmarkStart w:id="2" w:name="_Toc179456560"/>
      <w:bookmarkEnd w:id="2"/>
      <w:bookmarkStart w:id="3" w:name="_Toc181348162"/>
      <w:bookmarkEnd w:id="3"/>
      <w:bookmarkStart w:id="4" w:name="_Toc181344351"/>
      <w:bookmarkEnd w:id="4"/>
      <w:bookmarkStart w:id="5" w:name="_Toc270946198"/>
      <w:bookmarkEnd w:id="5"/>
    </w:p>
    <w:p>
      <w:pPr>
        <w:pStyle w:val="15"/>
        <w:spacing w:line="360" w:lineRule="auto"/>
        <w:contextualSpacing/>
        <w:jc w:val="center"/>
        <w:outlineLvl w:val="0"/>
        <w:rPr>
          <w:rFonts w:cs="宋体" w:asciiTheme="majorEastAsia" w:hAnsiTheme="majorEastAsia" w:eastAsiaTheme="majorEastAsia"/>
          <w:b/>
          <w:kern w:val="0"/>
          <w:sz w:val="36"/>
          <w:szCs w:val="36"/>
        </w:rPr>
      </w:pPr>
    </w:p>
    <w:p>
      <w:pPr>
        <w:pStyle w:val="15"/>
        <w:spacing w:line="360" w:lineRule="auto"/>
        <w:ind w:firstLine="1807" w:firstLineChars="500"/>
        <w:contextualSpacing/>
        <w:rPr>
          <w:rFonts w:ascii="宋体" w:hAnsi="宋体" w:cs="宋体"/>
          <w:b/>
          <w:kern w:val="0"/>
          <w:sz w:val="36"/>
          <w:szCs w:val="36"/>
        </w:rPr>
      </w:pPr>
      <w:r>
        <w:rPr>
          <w:rFonts w:hint="eastAsia" w:ascii="宋体" w:hAnsi="宋体" w:cs="宋体"/>
          <w:b/>
          <w:kern w:val="0"/>
          <w:sz w:val="36"/>
          <w:szCs w:val="36"/>
        </w:rPr>
        <w:t>第八章 投标文件有关格式</w:t>
      </w:r>
    </w:p>
    <w:p>
      <w:pPr>
        <w:spacing w:line="440" w:lineRule="exact"/>
        <w:rPr>
          <w:rStyle w:val="47"/>
          <w:rFonts w:ascii="宋体" w:hAnsi="宋体" w:eastAsia="宋体" w:cs="宋体"/>
        </w:rPr>
      </w:pPr>
      <w:r>
        <w:rPr>
          <w:rStyle w:val="47"/>
          <w:rFonts w:hint="eastAsia" w:ascii="宋体" w:hAnsi="宋体" w:eastAsia="宋体" w:cs="宋体"/>
        </w:rPr>
        <w:t>投标文件封皮格式</w:t>
      </w:r>
    </w:p>
    <w:p>
      <w:pPr>
        <w:spacing w:line="440" w:lineRule="exact"/>
        <w:jc w:val="right"/>
        <w:rPr>
          <w:rStyle w:val="47"/>
          <w:rFonts w:ascii="宋体" w:hAnsi="宋体" w:eastAsia="宋体" w:cs="宋体"/>
        </w:rPr>
      </w:pPr>
      <w:bookmarkStart w:id="6" w:name="_Toc17124"/>
      <w:bookmarkStart w:id="7" w:name="_Toc5131"/>
      <w:bookmarkStart w:id="8" w:name="_Toc16238"/>
      <w:bookmarkStart w:id="9" w:name="_Toc12595"/>
      <w:bookmarkStart w:id="10" w:name="_Toc14398"/>
      <w:r>
        <w:rPr>
          <w:rStyle w:val="47"/>
          <w:rFonts w:hint="eastAsia" w:ascii="宋体" w:hAnsi="宋体" w:eastAsia="宋体" w:cs="宋体"/>
        </w:rPr>
        <w:t>正本/副本</w:t>
      </w:r>
      <w:bookmarkEnd w:id="6"/>
    </w:p>
    <w:bookmarkEnd w:id="7"/>
    <w:bookmarkEnd w:id="8"/>
    <w:bookmarkEnd w:id="9"/>
    <w:bookmarkEnd w:id="10"/>
    <w:p>
      <w:pPr>
        <w:spacing w:line="440" w:lineRule="exact"/>
        <w:rPr>
          <w:rStyle w:val="47"/>
          <w:rFonts w:ascii="宋体" w:hAnsi="宋体" w:eastAsia="宋体" w:cs="宋体"/>
        </w:rPr>
      </w:pPr>
    </w:p>
    <w:p>
      <w:pPr>
        <w:spacing w:line="440" w:lineRule="exact"/>
        <w:rPr>
          <w:rFonts w:ascii="宋体" w:hAnsi="宋体" w:eastAsia="宋体" w:cs="宋体"/>
          <w:sz w:val="28"/>
          <w:szCs w:val="28"/>
          <w:u w:val="single"/>
        </w:rPr>
      </w:pPr>
    </w:p>
    <w:p>
      <w:pPr>
        <w:spacing w:line="440" w:lineRule="exact"/>
        <w:jc w:val="center"/>
        <w:rPr>
          <w:rFonts w:ascii="宋体" w:hAnsi="宋体" w:eastAsia="宋体" w:cs="宋体"/>
          <w:b/>
          <w:bCs/>
          <w:sz w:val="40"/>
          <w:szCs w:val="40"/>
          <w:u w:val="single"/>
        </w:rPr>
      </w:pPr>
      <w:bookmarkStart w:id="11" w:name="_Toc3199"/>
      <w:r>
        <w:rPr>
          <w:rFonts w:hint="eastAsia" w:ascii="宋体" w:hAnsi="宋体" w:eastAsia="宋体" w:cs="宋体"/>
          <w:b/>
          <w:bCs/>
          <w:sz w:val="40"/>
          <w:szCs w:val="40"/>
          <w:u w:val="single"/>
        </w:rPr>
        <w:t xml:space="preserve">                   （项目名称）</w:t>
      </w:r>
      <w:bookmarkEnd w:id="11"/>
      <w:r>
        <w:rPr>
          <w:rFonts w:hint="eastAsia" w:ascii="宋体" w:hAnsi="宋体" w:eastAsia="宋体" w:cs="宋体"/>
          <w:b/>
          <w:bCs/>
          <w:sz w:val="40"/>
          <w:szCs w:val="40"/>
          <w:u w:val="single"/>
        </w:rPr>
        <w:t xml:space="preserve">   包</w:t>
      </w:r>
    </w:p>
    <w:p>
      <w:pPr>
        <w:spacing w:line="440" w:lineRule="exact"/>
        <w:jc w:val="center"/>
        <w:rPr>
          <w:rFonts w:ascii="宋体" w:hAnsi="宋体" w:eastAsia="宋体" w:cs="宋体"/>
          <w:sz w:val="28"/>
          <w:szCs w:val="28"/>
          <w:u w:val="single"/>
        </w:rPr>
      </w:pPr>
    </w:p>
    <w:p>
      <w:pPr>
        <w:spacing w:line="440" w:lineRule="exact"/>
        <w:rPr>
          <w:rFonts w:ascii="宋体" w:hAnsi="宋体" w:eastAsia="宋体" w:cs="宋体"/>
          <w:sz w:val="20"/>
          <w:szCs w:val="20"/>
        </w:rPr>
      </w:pPr>
    </w:p>
    <w:p>
      <w:pPr>
        <w:jc w:val="center"/>
        <w:rPr>
          <w:rFonts w:ascii="宋体" w:hAnsi="宋体" w:eastAsia="宋体" w:cs="宋体"/>
          <w:sz w:val="84"/>
          <w:szCs w:val="84"/>
        </w:rPr>
      </w:pPr>
    </w:p>
    <w:p>
      <w:pPr>
        <w:jc w:val="center"/>
        <w:rPr>
          <w:rFonts w:ascii="宋体" w:hAnsi="宋体" w:eastAsia="宋体" w:cs="宋体"/>
          <w:sz w:val="84"/>
          <w:szCs w:val="84"/>
        </w:rPr>
      </w:pPr>
      <w:bookmarkStart w:id="12" w:name="_Toc20681"/>
      <w:r>
        <w:rPr>
          <w:rFonts w:hint="eastAsia" w:ascii="宋体" w:hAnsi="宋体" w:eastAsia="宋体" w:cs="宋体"/>
          <w:sz w:val="84"/>
          <w:szCs w:val="84"/>
        </w:rPr>
        <w:t>投  标  文  件</w:t>
      </w:r>
      <w:bookmarkEnd w:id="12"/>
    </w:p>
    <w:p>
      <w:pPr>
        <w:spacing w:line="440" w:lineRule="exact"/>
        <w:rPr>
          <w:rFonts w:ascii="宋体" w:hAnsi="宋体" w:eastAsia="宋体" w:cs="宋体"/>
          <w:sz w:val="28"/>
          <w:szCs w:val="28"/>
        </w:rPr>
      </w:pPr>
    </w:p>
    <w:p>
      <w:pPr>
        <w:spacing w:line="440" w:lineRule="exact"/>
        <w:jc w:val="center"/>
        <w:rPr>
          <w:rFonts w:ascii="宋体" w:hAnsi="宋体" w:eastAsia="宋体" w:cs="宋体"/>
          <w:sz w:val="28"/>
          <w:szCs w:val="28"/>
        </w:rPr>
      </w:pPr>
      <w:bookmarkStart w:id="13" w:name="_Toc12236"/>
      <w:r>
        <w:rPr>
          <w:rFonts w:hint="eastAsia" w:ascii="宋体" w:hAnsi="宋体" w:eastAsia="宋体" w:cs="宋体"/>
          <w:sz w:val="28"/>
          <w:szCs w:val="28"/>
        </w:rPr>
        <w:t>项目编号：</w:t>
      </w:r>
      <w:bookmarkEnd w:id="13"/>
    </w:p>
    <w:p>
      <w:pPr>
        <w:pStyle w:val="3"/>
        <w:rPr>
          <w:rFonts w:ascii="宋体" w:hAnsi="宋体" w:eastAsia="宋体" w:cs="宋体"/>
          <w:sz w:val="28"/>
          <w:szCs w:val="28"/>
        </w:rPr>
      </w:pPr>
    </w:p>
    <w:p>
      <w:pPr>
        <w:pStyle w:val="3"/>
        <w:rPr>
          <w:rFonts w:ascii="宋体" w:hAnsi="宋体" w:eastAsia="宋体" w:cs="宋体"/>
          <w:sz w:val="28"/>
          <w:szCs w:val="28"/>
        </w:rPr>
      </w:pPr>
    </w:p>
    <w:p>
      <w:pPr>
        <w:spacing w:line="440" w:lineRule="exact"/>
        <w:rPr>
          <w:rFonts w:ascii="宋体" w:hAnsi="宋体" w:eastAsia="宋体" w:cs="宋体"/>
          <w:sz w:val="28"/>
          <w:szCs w:val="28"/>
        </w:rPr>
      </w:pPr>
    </w:p>
    <w:p>
      <w:pPr>
        <w:spacing w:line="440" w:lineRule="exact"/>
        <w:ind w:left="1079" w:leftChars="514"/>
        <w:rPr>
          <w:rFonts w:ascii="宋体" w:hAnsi="宋体" w:eastAsia="宋体" w:cs="宋体"/>
          <w:sz w:val="28"/>
          <w:szCs w:val="28"/>
          <w:u w:val="single"/>
        </w:rPr>
      </w:pPr>
      <w:bookmarkStart w:id="14" w:name="_Toc8591"/>
      <w:r>
        <w:rPr>
          <w:rFonts w:hint="eastAsia" w:ascii="宋体" w:hAnsi="宋体" w:eastAsia="宋体" w:cs="宋体"/>
          <w:sz w:val="28"/>
          <w:szCs w:val="28"/>
        </w:rPr>
        <w:t>投标人：（盖单位章）</w:t>
      </w:r>
      <w:bookmarkEnd w:id="14"/>
    </w:p>
    <w:p>
      <w:pPr>
        <w:spacing w:line="440" w:lineRule="exact"/>
        <w:ind w:left="1079" w:leftChars="514"/>
        <w:rPr>
          <w:rFonts w:ascii="宋体" w:hAnsi="宋体" w:eastAsia="宋体" w:cs="宋体"/>
          <w:sz w:val="28"/>
          <w:szCs w:val="28"/>
        </w:rPr>
      </w:pPr>
      <w:bookmarkStart w:id="15" w:name="_Toc10390"/>
      <w:r>
        <w:rPr>
          <w:rFonts w:hint="eastAsia" w:ascii="宋体" w:hAnsi="宋体" w:eastAsia="宋体" w:cs="宋体"/>
          <w:sz w:val="28"/>
          <w:szCs w:val="28"/>
        </w:rPr>
        <w:t>法定代表人或其委托代理人：（签字或盖章）</w:t>
      </w:r>
      <w:bookmarkEnd w:id="15"/>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spacing w:line="440" w:lineRule="exact"/>
        <w:ind w:left="1079" w:leftChars="514"/>
        <w:rPr>
          <w:rFonts w:hint="eastAsia" w:ascii="宋体" w:hAnsi="宋体" w:eastAsia="宋体" w:cs="宋体"/>
          <w:sz w:val="28"/>
          <w:szCs w:val="28"/>
          <w:lang w:val="zh-CN"/>
        </w:rPr>
      </w:pPr>
      <w:r>
        <w:rPr>
          <w:rFonts w:hint="eastAsia" w:ascii="宋体" w:hAnsi="宋体" w:eastAsia="宋体" w:cs="宋体"/>
          <w:sz w:val="28"/>
          <w:szCs w:val="28"/>
          <w:lang w:val="zh-CN"/>
        </w:rPr>
        <w:t>日期：年月日</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6" w:name="_Toc174185203"/>
      <w:bookmarkStart w:id="17" w:name="_Toc186274126"/>
      <w:bookmarkStart w:id="18" w:name="_Toc184023138"/>
      <w:r>
        <w:rPr>
          <w:rFonts w:hint="eastAsia" w:cs="黑体" w:asciiTheme="minorEastAsia" w:hAnsiTheme="minorEastAsia" w:eastAsiaTheme="minorEastAsia"/>
          <w:color w:val="auto"/>
          <w:kern w:val="2"/>
          <w:sz w:val="36"/>
          <w:szCs w:val="36"/>
          <w:lang w:val="zh-CN"/>
        </w:rPr>
        <w:t>一、投标人应答索引表</w:t>
      </w:r>
      <w:bookmarkEnd w:id="16"/>
      <w:bookmarkEnd w:id="17"/>
      <w:bookmarkEnd w:id="18"/>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5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5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5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53"/>
              <w:kinsoku w:val="0"/>
              <w:overflowPunct w:val="0"/>
              <w:autoSpaceDE w:val="0"/>
              <w:autoSpaceDN w:val="0"/>
              <w:spacing w:line="320" w:lineRule="exact"/>
              <w:rPr>
                <w:rFonts w:hAnsi="宋体"/>
                <w:kern w:val="0"/>
              </w:rPr>
            </w:pPr>
            <w:r>
              <w:rPr>
                <w:rFonts w:hint="eastAsia" w:ascii="宋体" w:hAnsi="宋体" w:cs="宋体"/>
                <w:bCs/>
                <w:szCs w:val="24"/>
                <w:lang w:val="zh-CN"/>
              </w:rPr>
              <w:t>法定代表人</w:t>
            </w:r>
            <w:r>
              <w:rPr>
                <w:rFonts w:ascii="宋体" w:hAnsi="宋体" w:cs="宋体"/>
                <w:bCs/>
                <w:szCs w:val="24"/>
                <w:lang w:val="zh-CN"/>
              </w:rPr>
              <w:t>资</w:t>
            </w:r>
            <w:r>
              <w:rPr>
                <w:rFonts w:hint="eastAsia" w:ascii="宋体" w:hAnsi="宋体" w:cs="宋体"/>
                <w:bCs/>
                <w:szCs w:val="24"/>
                <w:lang w:val="zh-CN"/>
              </w:rPr>
              <w:t>格</w:t>
            </w:r>
            <w:r>
              <w:rPr>
                <w:rFonts w:ascii="宋体" w:hAnsi="宋体" w:cs="宋体"/>
                <w:bCs/>
                <w:szCs w:val="24"/>
                <w:lang w:val="zh-CN"/>
              </w:rPr>
              <w:t>证</w:t>
            </w:r>
            <w:r>
              <w:rPr>
                <w:rFonts w:hint="eastAsia" w:ascii="宋体" w:hAnsi="宋体" w:cs="宋体"/>
                <w:bCs/>
                <w:szCs w:val="24"/>
                <w:lang w:val="zh-CN"/>
              </w:rPr>
              <w:t>明</w:t>
            </w:r>
            <w:r>
              <w:rPr>
                <w:rFonts w:ascii="宋体" w:hAnsi="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5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5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5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5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5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53"/>
              <w:kinsoku w:val="0"/>
              <w:overflowPunct w:val="0"/>
              <w:autoSpaceDE w:val="0"/>
              <w:autoSpaceDN w:val="0"/>
              <w:spacing w:line="320" w:lineRule="exact"/>
              <w:rPr>
                <w:rFonts w:hAnsi="宋体"/>
                <w:kern w:val="0"/>
                <w:szCs w:val="24"/>
              </w:rPr>
            </w:pPr>
            <w:r>
              <w:rPr>
                <w:rFonts w:hint="eastAsia" w:ascii="宋体" w:hAnsi="宋体"/>
                <w:bCs/>
                <w:szCs w:val="24"/>
              </w:rPr>
              <w:t>纳税凭据复印件</w:t>
            </w:r>
          </w:p>
        </w:tc>
        <w:tc>
          <w:tcPr>
            <w:tcW w:w="1559" w:type="dxa"/>
            <w:vAlign w:val="center"/>
          </w:tcPr>
          <w:p>
            <w:pPr>
              <w:pStyle w:val="5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5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5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5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5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5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5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5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5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5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5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5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53"/>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5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5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5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53"/>
              <w:kinsoku w:val="0"/>
              <w:overflowPunct w:val="0"/>
              <w:autoSpaceDE w:val="0"/>
              <w:autoSpaceDN w:val="0"/>
              <w:spacing w:line="320" w:lineRule="exact"/>
              <w:rPr>
                <w:rFonts w:hAnsi="宋体" w:cs="微软雅黑"/>
                <w:bCs/>
                <w:kern w:val="0"/>
              </w:rPr>
            </w:pPr>
            <w:r>
              <w:rPr>
                <w:rFonts w:hint="eastAsia" w:ascii="宋体" w:hAnsi="宋体" w:cs="宋体"/>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 w:val="24"/>
                <w:szCs w:val="24"/>
                <w:lang w:val="zh-CN"/>
              </w:rPr>
            </w:pPr>
            <w:r>
              <w:rPr>
                <w:rFonts w:hint="eastAsia" w:ascii="宋体" w:hAnsi="宋体" w:cs="宋体"/>
                <w:bCs/>
                <w:sz w:val="24"/>
                <w:szCs w:val="24"/>
                <w:lang w:val="zh-CN"/>
              </w:rPr>
              <w:t>14</w:t>
            </w:r>
          </w:p>
        </w:tc>
        <w:tc>
          <w:tcPr>
            <w:tcW w:w="3751" w:type="dxa"/>
            <w:gridSpan w:val="3"/>
            <w:vAlign w:val="center"/>
          </w:tcPr>
          <w:p>
            <w:pPr>
              <w:pStyle w:val="53"/>
              <w:kinsoku w:val="0"/>
              <w:overflowPunct w:val="0"/>
              <w:autoSpaceDE w:val="0"/>
              <w:autoSpaceDN w:val="0"/>
              <w:spacing w:line="320" w:lineRule="exact"/>
              <w:rPr>
                <w:rFonts w:ascii="宋体" w:hAnsi="宋体" w:cs="宋体"/>
                <w:bCs/>
                <w:szCs w:val="24"/>
                <w:lang w:val="zh-CN"/>
              </w:rPr>
            </w:pPr>
            <w:r>
              <w:rPr>
                <w:rFonts w:hint="eastAsia" w:ascii="宋体" w:hAnsi="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5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5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5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5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5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5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5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53"/>
              <w:kinsoku w:val="0"/>
              <w:overflowPunct w:val="0"/>
              <w:autoSpaceDE w:val="0"/>
              <w:autoSpaceDN w:val="0"/>
              <w:spacing w:line="320" w:lineRule="exact"/>
              <w:rPr>
                <w:rFonts w:hAnsi="宋体" w:cs="微软雅黑"/>
                <w:bCs/>
                <w:kern w:val="0"/>
              </w:rPr>
            </w:pPr>
            <w:r>
              <w:rPr>
                <w:rFonts w:hint="eastAsia" w:ascii="宋体" w:hAnsi="宋体"/>
                <w:szCs w:val="24"/>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5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53"/>
              <w:kinsoku w:val="0"/>
              <w:overflowPunct w:val="0"/>
              <w:autoSpaceDE w:val="0"/>
              <w:autoSpaceDN w:val="0"/>
              <w:spacing w:line="320" w:lineRule="exact"/>
              <w:rPr>
                <w:rFonts w:hAnsi="宋体" w:cs="微软雅黑"/>
                <w:bCs/>
                <w:kern w:val="0"/>
              </w:rPr>
            </w:pPr>
            <w:r>
              <w:rPr>
                <w:rFonts w:hint="eastAsia" w:ascii="宋体" w:hAnsi="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5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5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53"/>
              <w:kinsoku w:val="0"/>
              <w:overflowPunct w:val="0"/>
              <w:autoSpaceDE w:val="0"/>
              <w:autoSpaceDN w:val="0"/>
              <w:spacing w:line="320" w:lineRule="exact"/>
              <w:rPr>
                <w:rFonts w:hAnsi="宋体" w:cs="微软雅黑"/>
                <w:bCs/>
                <w:kern w:val="0"/>
              </w:rPr>
            </w:pPr>
            <w:r>
              <w:rPr>
                <w:rFonts w:hint="eastAsia" w:ascii="宋体" w:hAnsi="宋体" w:cs="宋体"/>
                <w:bCs/>
                <w:szCs w:val="24"/>
                <w:lang w:val="zh-CN"/>
              </w:rPr>
              <w:t>所投产品符合国家强制性要求承诺函</w:t>
            </w:r>
          </w:p>
        </w:tc>
        <w:tc>
          <w:tcPr>
            <w:tcW w:w="1559" w:type="dxa"/>
            <w:vAlign w:val="center"/>
          </w:tcPr>
          <w:p>
            <w:pPr>
              <w:pStyle w:val="5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53"/>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color="auto" w:sz="4" w:space="0"/>
            </w:tcBorders>
            <w:vAlign w:val="center"/>
          </w:tcPr>
          <w:p>
            <w:pPr>
              <w:pStyle w:val="53"/>
              <w:kinsoku w:val="0"/>
              <w:overflowPunct w:val="0"/>
              <w:autoSpaceDE w:val="0"/>
              <w:autoSpaceDN w:val="0"/>
              <w:spacing w:line="320" w:lineRule="exact"/>
              <w:rPr>
                <w:rFonts w:ascii="宋体" w:hAnsi="宋体" w:cs="宋体"/>
                <w:bCs/>
                <w:szCs w:val="24"/>
                <w:lang w:val="zh-CN"/>
              </w:rPr>
            </w:pPr>
            <w:r>
              <w:rPr>
                <w:rFonts w:hint="eastAsia" w:ascii="宋体" w:hAnsi="宋体" w:cs="宋体"/>
                <w:bCs/>
                <w:szCs w:val="24"/>
                <w:lang w:val="zh-CN"/>
              </w:rPr>
              <w:t>所投产品符合</w:t>
            </w:r>
            <w:r>
              <w:rPr>
                <w:rFonts w:ascii="宋体" w:hAnsi="宋体" w:cs="宋体"/>
                <w:kern w:val="0"/>
                <w:szCs w:val="24"/>
              </w:rPr>
              <w:t>信息安全产品强制性认证</w:t>
            </w:r>
            <w:r>
              <w:rPr>
                <w:rFonts w:hint="eastAsia" w:ascii="宋体" w:hAnsi="宋体" w:cs="宋体"/>
                <w:bCs/>
                <w:szCs w:val="24"/>
                <w:lang w:val="zh-CN"/>
              </w:rPr>
              <w:t>要求承诺函</w:t>
            </w:r>
          </w:p>
        </w:tc>
        <w:tc>
          <w:tcPr>
            <w:tcW w:w="1559" w:type="dxa"/>
            <w:vAlign w:val="center"/>
          </w:tcPr>
          <w:p>
            <w:pPr>
              <w:pStyle w:val="5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5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5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jc w:val="center"/>
        <w:rPr>
          <w:rFonts w:cs="黑体" w:asciiTheme="minorEastAsia" w:hAnsiTheme="minorEastAsia"/>
          <w:b/>
          <w:bCs/>
          <w:sz w:val="36"/>
          <w:szCs w:val="36"/>
          <w:lang w:val="zh-CN"/>
        </w:rPr>
      </w:pPr>
      <w:r>
        <w:rPr>
          <w:rFonts w:hint="eastAsia" w:cs="黑体" w:asciiTheme="minorEastAsia" w:hAnsiTheme="minorEastAsia"/>
          <w:b/>
          <w:bCs/>
          <w:sz w:val="36"/>
          <w:szCs w:val="36"/>
          <w:lang w:val="zh-CN"/>
        </w:rPr>
        <w:t>二、开标一览表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p>
    <w:tbl>
      <w:tblPr>
        <w:tblStyle w:val="22"/>
        <w:tblW w:w="9040" w:type="dxa"/>
        <w:tblInd w:w="0" w:type="dxa"/>
        <w:tblLayout w:type="fixed"/>
        <w:tblCellMar>
          <w:top w:w="0" w:type="dxa"/>
          <w:left w:w="108" w:type="dxa"/>
          <w:bottom w:w="0" w:type="dxa"/>
          <w:right w:w="108" w:type="dxa"/>
        </w:tblCellMar>
      </w:tblPr>
      <w:tblGrid>
        <w:gridCol w:w="832"/>
        <w:gridCol w:w="1985"/>
        <w:gridCol w:w="2609"/>
        <w:gridCol w:w="2435"/>
        <w:gridCol w:w="1179"/>
      </w:tblGrid>
      <w:tr>
        <w:tblPrEx>
          <w:tblLayout w:type="fixed"/>
          <w:tblCellMar>
            <w:top w:w="0" w:type="dxa"/>
            <w:left w:w="108" w:type="dxa"/>
            <w:bottom w:w="0" w:type="dxa"/>
            <w:right w:w="108" w:type="dxa"/>
          </w:tblCellMar>
        </w:tblPrEx>
        <w:trPr>
          <w:trHeight w:val="851" w:hRule="atLeast"/>
        </w:trPr>
        <w:tc>
          <w:tcPr>
            <w:tcW w:w="83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分包号</w:t>
            </w:r>
          </w:p>
        </w:tc>
        <w:tc>
          <w:tcPr>
            <w:tcW w:w="19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26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rPr>
            </w:pPr>
            <w:r>
              <w:rPr>
                <w:rFonts w:hint="eastAsia" w:ascii="宋体" w:cs="宋体"/>
                <w:b/>
                <w:szCs w:val="21"/>
              </w:rPr>
              <w:t>是否提供承诺函</w:t>
            </w:r>
          </w:p>
        </w:tc>
        <w:tc>
          <w:tcPr>
            <w:tcW w:w="243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Cs w:val="21"/>
              </w:rPr>
            </w:pPr>
            <w:r>
              <w:rPr>
                <w:rFonts w:hint="eastAsia" w:ascii="宋体" w:hAnsi="宋体" w:cs="宋体"/>
                <w:b/>
                <w:szCs w:val="21"/>
              </w:rPr>
              <w:t>服务履约期限</w:t>
            </w:r>
          </w:p>
          <w:p>
            <w:pPr>
              <w:autoSpaceDE w:val="0"/>
              <w:autoSpaceDN w:val="0"/>
              <w:adjustRightInd w:val="0"/>
              <w:spacing w:line="480" w:lineRule="exact"/>
              <w:jc w:val="center"/>
              <w:rPr>
                <w:rFonts w:cs="宋体" w:asciiTheme="minorEastAsia" w:hAnsiTheme="minorEastAsia"/>
                <w:b/>
                <w:sz w:val="24"/>
                <w:szCs w:val="24"/>
                <w:lang w:val="zh-CN"/>
              </w:rPr>
            </w:pPr>
            <w:r>
              <w:rPr>
                <w:rFonts w:hint="eastAsia" w:ascii="宋体" w:hAnsi="宋体" w:cs="宋体"/>
                <w:b/>
                <w:szCs w:val="21"/>
              </w:rPr>
              <w:t>（年）</w:t>
            </w:r>
          </w:p>
        </w:tc>
        <w:tc>
          <w:tcPr>
            <w:tcW w:w="117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8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26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p>
        </w:tc>
        <w:tc>
          <w:tcPr>
            <w:tcW w:w="2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1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注：</w:t>
      </w:r>
      <w:r>
        <w:rPr>
          <w:rFonts w:ascii="宋体" w:hAnsi="宋体" w:cs="宋体"/>
          <w:sz w:val="24"/>
          <w:szCs w:val="24"/>
          <w:lang w:val="zh-CN"/>
        </w:rPr>
        <w:t>1</w:t>
      </w:r>
      <w:r>
        <w:rPr>
          <w:rFonts w:hint="eastAsia" w:ascii="宋体" w:hAnsi="宋体" w:cs="宋体"/>
          <w:sz w:val="24"/>
          <w:szCs w:val="24"/>
          <w:lang w:val="zh-CN"/>
        </w:rPr>
        <w:t>、“是否提供承诺函”包括以下承诺函：一、投标人是否能按照对本项目招标文件中附件《许昌市城乡一体化示范区政府购买中介机构服务管理暂行办法（试行）》的规定收取费用的承诺函；二、投标人能够在中标入库后的服务期三年内提供</w:t>
      </w:r>
      <w:r>
        <w:rPr>
          <w:rFonts w:ascii="宋体" w:hAnsi="宋体" w:cs="宋体"/>
          <w:sz w:val="24"/>
          <w:szCs w:val="24"/>
          <w:lang w:val="zh-CN"/>
        </w:rPr>
        <w:t>7</w:t>
      </w:r>
      <w:r>
        <w:rPr>
          <w:rFonts w:hint="eastAsia" w:ascii="宋体" w:hAnsi="宋体" w:cs="宋体"/>
          <w:sz w:val="24"/>
          <w:szCs w:val="24"/>
          <w:lang w:val="zh-CN"/>
        </w:rPr>
        <w:t>×</w:t>
      </w:r>
      <w:r>
        <w:rPr>
          <w:rFonts w:ascii="宋体" w:hAnsi="宋体" w:cs="宋体"/>
          <w:sz w:val="24"/>
          <w:szCs w:val="24"/>
          <w:lang w:val="zh-CN"/>
        </w:rPr>
        <w:t>24</w:t>
      </w:r>
      <w:r>
        <w:rPr>
          <w:rFonts w:hint="eastAsia" w:ascii="宋体" w:hAnsi="宋体" w:cs="宋体"/>
          <w:sz w:val="24"/>
          <w:szCs w:val="24"/>
          <w:lang w:val="zh-CN"/>
        </w:rPr>
        <w:t>小时技术支持和项目现场服务的承诺函；三、投标人是否提供在合同执行过程中在许昌拟投入本项目注册会计师、工作人员为常驻人员的承诺函；四、投标人是否在许昌设有相关办事机构的承诺函。</w:t>
      </w:r>
    </w:p>
    <w:p>
      <w:pPr>
        <w:autoSpaceDE w:val="0"/>
        <w:autoSpaceDN w:val="0"/>
        <w:adjustRightInd w:val="0"/>
        <w:spacing w:line="360" w:lineRule="auto"/>
        <w:rPr>
          <w:rFonts w:ascii="宋体" w:hAnsi="宋体" w:cs="宋体"/>
          <w:sz w:val="24"/>
          <w:szCs w:val="24"/>
          <w:lang w:val="zh-CN"/>
        </w:rPr>
      </w:pPr>
      <w:r>
        <w:rPr>
          <w:rFonts w:ascii="宋体" w:hAnsi="宋体" w:cs="宋体"/>
          <w:sz w:val="24"/>
          <w:szCs w:val="24"/>
          <w:lang w:val="zh-CN"/>
        </w:rPr>
        <w:t xml:space="preserve">    2</w:t>
      </w:r>
      <w:r>
        <w:rPr>
          <w:rFonts w:hint="eastAsia" w:ascii="宋体" w:hAnsi="宋体" w:cs="宋体"/>
          <w:sz w:val="24"/>
          <w:szCs w:val="24"/>
          <w:lang w:val="zh-CN"/>
        </w:rPr>
        <w:t>、“响应时间”是指在项目委托人提出服务需求后，投标人从接到服务需求做出响应时至到达现场时的时间。</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_（项目名称、招标编号）采购的招标公告及投标邀请，_______（姓名和职务）被正式授权并代表投标人（投标人名称、地址）提交。</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hint="eastAsia" w:asciiTheme="minorEastAsia" w:hAnsiTheme="minorEastAsia" w:eastAsiaTheme="minorEastAsia"/>
          <w:snapToGrid w:val="0"/>
          <w:kern w:val="0"/>
          <w:szCs w:val="24"/>
          <w:u w:val="single"/>
          <w:lang w:val="en-US" w:eastAsia="zh-CN"/>
        </w:rPr>
        <w:t xml:space="preserve">    </w:t>
      </w:r>
      <w:r>
        <w:rPr>
          <w:rFonts w:hint="eastAsia" w:asciiTheme="minorEastAsia" w:hAnsiTheme="minorEastAsia" w:eastAsiaTheme="minorEastAsia"/>
          <w:snapToGrid w:val="0"/>
          <w:kern w:val="0"/>
          <w:szCs w:val="24"/>
        </w:rPr>
        <w:t>（项目名称、招标编号）招标文件的全部内容。</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投标人的内容，我方同意招标文件的相关条款和</w:t>
      </w:r>
      <w:r>
        <w:rPr>
          <w:rFonts w:hint="eastAsia" w:asciiTheme="minorEastAsia" w:hAnsiTheme="minorEastAsia" w:eastAsiaTheme="minorEastAsia"/>
          <w:szCs w:val="24"/>
        </w:rPr>
        <w:t>已完全理解并接受招标文的各项规定和要求，对招标文件的合理性、合法性不再有异议。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w:t>
      </w:r>
      <w:r>
        <w:rPr>
          <w:rFonts w:hint="eastAsia" w:asciiTheme="minorEastAsia" w:hAnsiTheme="minorEastAsia"/>
          <w:snapToGrid w:val="0"/>
          <w:color w:val="FF0000"/>
          <w:kern w:val="0"/>
          <w:sz w:val="24"/>
          <w:szCs w:val="24"/>
        </w:rPr>
        <w:t>，正本一份，副本</w:t>
      </w:r>
      <w:r>
        <w:rPr>
          <w:rFonts w:hint="eastAsia" w:asciiTheme="minorEastAsia" w:hAnsiTheme="minorEastAsia"/>
          <w:snapToGrid w:val="0"/>
          <w:color w:val="FF0000"/>
          <w:kern w:val="0"/>
          <w:sz w:val="24"/>
          <w:szCs w:val="24"/>
          <w:u w:val="single"/>
        </w:rPr>
        <w:t xml:space="preserve"> 四  </w:t>
      </w:r>
      <w:r>
        <w:rPr>
          <w:rFonts w:hint="eastAsia" w:asciiTheme="minorEastAsia" w:hAnsiTheme="minorEastAsia"/>
          <w:snapToGrid w:val="0"/>
          <w:color w:val="FF000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60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Cs w:val="24"/>
        </w:rPr>
      </w:pPr>
    </w:p>
    <w:p>
      <w:pPr>
        <w:pStyle w:val="15"/>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adjustRightInd w:val="0"/>
        <w:snapToGrid w:val="0"/>
        <w:spacing w:line="360" w:lineRule="auto"/>
        <w:ind w:firstLine="4920" w:firstLineChars="2050"/>
        <w:rPr>
          <w:rFonts w:cs="宋体" w:asciiTheme="minorEastAsia" w:hAnsiTheme="minorEastAsia"/>
          <w:sz w:val="24"/>
          <w:szCs w:val="24"/>
        </w:rPr>
      </w:pPr>
    </w:p>
    <w:p>
      <w:pP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br w:type="page"/>
      </w:r>
    </w:p>
    <w:p>
      <w:pPr>
        <w:spacing w:line="48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3.2 法定代表人</w:t>
      </w:r>
      <w:r>
        <w:rPr>
          <w:rFonts w:asciiTheme="majorEastAsia" w:hAnsiTheme="majorEastAsia" w:eastAsiaTheme="majorEastAsia"/>
          <w:b/>
          <w:bCs/>
          <w:sz w:val="36"/>
          <w:szCs w:val="36"/>
        </w:rPr>
        <w:t>资</w:t>
      </w:r>
      <w:r>
        <w:rPr>
          <w:rFonts w:hint="eastAsia" w:asciiTheme="majorEastAsia" w:hAnsiTheme="majorEastAsia" w:eastAsiaTheme="majorEastAsia"/>
          <w:b/>
          <w:bCs/>
          <w:sz w:val="36"/>
          <w:szCs w:val="36"/>
        </w:rPr>
        <w:t>格</w:t>
      </w:r>
      <w:r>
        <w:rPr>
          <w:rFonts w:asciiTheme="majorEastAsia" w:hAnsiTheme="majorEastAsia" w:eastAsiaTheme="majorEastAsia"/>
          <w:b/>
          <w:bCs/>
          <w:sz w:val="36"/>
          <w:szCs w:val="36"/>
        </w:rPr>
        <w:t>证</w:t>
      </w:r>
      <w:r>
        <w:rPr>
          <w:rFonts w:hint="eastAsia" w:asciiTheme="majorEastAsia" w:hAnsiTheme="majorEastAsia" w:eastAsiaTheme="majorEastAsia"/>
          <w:b/>
          <w:bCs/>
          <w:sz w:val="36"/>
          <w:szCs w:val="36"/>
        </w:rPr>
        <w:t>明</w:t>
      </w:r>
      <w:r>
        <w:rPr>
          <w:rFonts w:asciiTheme="majorEastAsia" w:hAnsiTheme="majorEastAsia" w:eastAsiaTheme="majorEastAsia"/>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37"/>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37"/>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37"/>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37"/>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37"/>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37"/>
        <w:spacing w:line="480" w:lineRule="auto"/>
        <w:ind w:firstLine="540" w:firstLineChars="225"/>
        <w:jc w:val="left"/>
        <w:rPr>
          <w:rFonts w:asciiTheme="minorEastAsia" w:hAnsiTheme="minorEastAsia"/>
          <w:szCs w:val="24"/>
        </w:rPr>
      </w:pPr>
    </w:p>
    <w:p>
      <w:pPr>
        <w:pStyle w:val="37"/>
        <w:spacing w:line="480" w:lineRule="auto"/>
        <w:ind w:firstLine="540" w:firstLineChars="225"/>
        <w:jc w:val="left"/>
        <w:rPr>
          <w:rFonts w:asciiTheme="minorEastAsia" w:hAnsiTheme="minorEastAsia"/>
          <w:szCs w:val="24"/>
        </w:rPr>
      </w:pPr>
    </w:p>
    <w:p>
      <w:pPr>
        <w:pStyle w:val="37"/>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37"/>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40"/>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39"/>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19" w:name="_资格证明文件"/>
            <w:bookmarkEnd w:id="19"/>
            <w:bookmarkStart w:id="20" w:name="_Toc364329026"/>
            <w:r>
              <w:rPr>
                <w:rFonts w:hint="eastAsia" w:asciiTheme="minorEastAsia" w:hAnsiTheme="minorEastAsia"/>
                <w:sz w:val="24"/>
                <w:szCs w:val="24"/>
              </w:rPr>
              <w:t>法定代表人授权代表身份证（正面）</w:t>
            </w:r>
            <w:bookmarkEnd w:id="20"/>
          </w:p>
        </w:tc>
        <w:tc>
          <w:tcPr>
            <w:tcW w:w="4492" w:type="dxa"/>
            <w:gridSpan w:val="2"/>
            <w:vAlign w:val="center"/>
          </w:tcPr>
          <w:p>
            <w:pPr>
              <w:jc w:val="center"/>
              <w:rPr>
                <w:rFonts w:asciiTheme="minorEastAsia" w:hAnsiTheme="minorEastAsia"/>
                <w:sz w:val="24"/>
                <w:szCs w:val="24"/>
              </w:rPr>
            </w:pPr>
            <w:bookmarkStart w:id="21" w:name="_Toc364329027"/>
            <w:r>
              <w:rPr>
                <w:rFonts w:hint="eastAsia" w:asciiTheme="minorEastAsia" w:hAnsiTheme="minorEastAsia"/>
                <w:sz w:val="24"/>
                <w:szCs w:val="24"/>
              </w:rPr>
              <w:t>法定代表人授权代表身份证（反面）</w:t>
            </w:r>
            <w:bookmarkEnd w:id="21"/>
          </w:p>
        </w:tc>
      </w:tr>
    </w:tbl>
    <w:p>
      <w:pPr>
        <w:spacing w:line="320" w:lineRule="exact"/>
        <w:ind w:left="2" w:firstLine="357" w:firstLineChars="149"/>
        <w:rPr>
          <w:rFonts w:cs="Courier New" w:asciiTheme="minorEastAsia" w:hAnsiTheme="minorEastAsia"/>
          <w:sz w:val="24"/>
          <w:szCs w:val="24"/>
        </w:rPr>
      </w:pPr>
      <w:r>
        <w:rPr>
          <w:rFonts w:hint="eastAsia" w:cs="Courier New" w:asciiTheme="minorEastAsia" w:hAnsiTheme="minorEastAsia"/>
          <w:sz w:val="24"/>
          <w:szCs w:val="24"/>
        </w:rPr>
        <w:t>日期：年月日</w:t>
      </w: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财务状况报告相关材料</w:t>
      </w:r>
    </w:p>
    <w:p>
      <w:pPr>
        <w:autoSpaceDE w:val="0"/>
        <w:autoSpaceDN w:val="0"/>
        <w:adjustRightInd w:val="0"/>
        <w:spacing w:line="360" w:lineRule="auto"/>
        <w:ind w:firstLine="480" w:firstLineChars="200"/>
        <w:jc w:val="left"/>
        <w:outlineLvl w:val="0"/>
        <w:rPr>
          <w:rFonts w:eastAsia="黑体"/>
          <w:sz w:val="24"/>
        </w:rPr>
      </w:pPr>
    </w:p>
    <w:p>
      <w:pPr>
        <w:autoSpaceDE w:val="0"/>
        <w:autoSpaceDN w:val="0"/>
        <w:adjustRightInd w:val="0"/>
        <w:spacing w:line="360" w:lineRule="auto"/>
        <w:ind w:firstLine="480" w:firstLineChars="200"/>
        <w:rPr>
          <w:rFonts w:ascii="宋体" w:cs="宋体"/>
          <w:bCs/>
          <w:sz w:val="24"/>
          <w:szCs w:val="24"/>
          <w:lang w:val="zh-CN"/>
        </w:rPr>
      </w:pPr>
      <w:r>
        <w:rPr>
          <w:rFonts w:hint="eastAsia" w:ascii="宋体" w:hAnsi="宋体" w:cs="仿宋_GB2312"/>
          <w:sz w:val="24"/>
          <w:szCs w:val="24"/>
        </w:rPr>
        <w:t>备注：在此附经第三方审计机构出具的</w:t>
      </w:r>
      <w:r>
        <w:rPr>
          <w:rFonts w:ascii="宋体" w:hAnsi="宋体" w:cs="宋体"/>
          <w:bCs/>
          <w:sz w:val="24"/>
          <w:szCs w:val="24"/>
          <w:lang w:val="zh-CN"/>
        </w:rPr>
        <w:t>201</w:t>
      </w:r>
      <w:r>
        <w:rPr>
          <w:rFonts w:ascii="宋体" w:hAnsi="宋体" w:cs="宋体"/>
          <w:bCs/>
          <w:sz w:val="24"/>
          <w:szCs w:val="24"/>
        </w:rPr>
        <w:t>7</w:t>
      </w:r>
      <w:r>
        <w:rPr>
          <w:rFonts w:hint="eastAsia" w:ascii="宋体" w:hAnsi="宋体" w:cs="宋体"/>
          <w:bCs/>
          <w:sz w:val="24"/>
          <w:szCs w:val="24"/>
        </w:rPr>
        <w:t>-2018</w:t>
      </w:r>
      <w:r>
        <w:rPr>
          <w:rFonts w:hint="eastAsia" w:ascii="宋体" w:hAnsi="宋体" w:cs="宋体"/>
          <w:bCs/>
          <w:sz w:val="24"/>
          <w:szCs w:val="24"/>
          <w:lang w:val="zh-CN"/>
        </w:rPr>
        <w:t>年度经审计的财务报告。</w:t>
      </w:r>
    </w:p>
    <w:p>
      <w:pPr>
        <w:autoSpaceDE w:val="0"/>
        <w:autoSpaceDN w:val="0"/>
        <w:adjustRightInd w:val="0"/>
        <w:spacing w:line="360" w:lineRule="auto"/>
        <w:ind w:firstLine="480" w:firstLineChars="200"/>
        <w:rPr>
          <w:rFonts w:ascii="宋体" w:cs="仿宋_GB2312"/>
          <w:sz w:val="24"/>
          <w:szCs w:val="24"/>
          <w:lang w:val="zh-CN"/>
        </w:rPr>
      </w:pPr>
      <w:r>
        <w:rPr>
          <w:rFonts w:hint="eastAsia" w:ascii="宋体" w:hAnsi="宋体" w:cs="仿宋_GB2312"/>
          <w:sz w:val="24"/>
          <w:szCs w:val="24"/>
        </w:rPr>
        <w:t>审计单位与被审计单位不能是同一个单位，否则提供的财务会计报表无效。</w:t>
      </w:r>
    </w:p>
    <w:p>
      <w:pPr>
        <w:widowControl/>
        <w:spacing w:before="100" w:beforeAutospacing="1" w:after="100" w:afterAutospacing="1" w:line="360" w:lineRule="auto"/>
        <w:jc w:val="center"/>
        <w:rPr>
          <w:rFonts w:ascii="宋体" w:hAnsi="宋体"/>
          <w:b/>
          <w:bCs/>
          <w:sz w:val="24"/>
          <w:szCs w:val="24"/>
        </w:rPr>
      </w:pPr>
    </w:p>
    <w:p>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 xml:space="preserve">3.6 </w:t>
      </w:r>
      <w:r>
        <w:rPr>
          <w:rFonts w:hint="eastAsia" w:ascii="宋体" w:hAnsi="宋体"/>
          <w:b/>
          <w:bCs/>
          <w:sz w:val="36"/>
          <w:szCs w:val="36"/>
        </w:rPr>
        <w:t>依法缴纳税收相关材料</w:t>
      </w: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ind w:firstLine="480" w:firstLineChars="200"/>
        <w:rPr>
          <w:rFonts w:ascii="宋体" w:cs="宋体"/>
          <w:bCs/>
          <w:sz w:val="24"/>
          <w:szCs w:val="24"/>
          <w:lang w:val="zh-CN"/>
        </w:rPr>
      </w:pPr>
      <w:r>
        <w:rPr>
          <w:rFonts w:hint="eastAsia" w:ascii="宋体" w:hAnsi="宋体" w:cs="宋体"/>
          <w:bCs/>
          <w:sz w:val="24"/>
          <w:szCs w:val="24"/>
          <w:lang w:val="zh-CN"/>
        </w:rPr>
        <w:t>税务登记证和投标截止时间</w:t>
      </w:r>
      <w:r>
        <w:rPr>
          <w:rFonts w:hint="eastAsia" w:ascii="宋体" w:hAnsi="宋体" w:cs="宋体"/>
          <w:bCs/>
          <w:color w:val="FF0000"/>
          <w:sz w:val="24"/>
          <w:szCs w:val="24"/>
          <w:lang w:val="zh-CN"/>
        </w:rPr>
        <w:t>前</w:t>
      </w:r>
      <w:r>
        <w:rPr>
          <w:rFonts w:hint="eastAsia" w:ascii="宋体" w:hAnsi="宋体" w:cs="宋体"/>
          <w:bCs/>
          <w:color w:val="FF0000"/>
          <w:sz w:val="24"/>
          <w:szCs w:val="24"/>
        </w:rPr>
        <w:t>2019年</w:t>
      </w:r>
      <w:r>
        <w:rPr>
          <w:rFonts w:hint="eastAsia" w:ascii="宋体" w:hAnsi="宋体" w:cs="宋体"/>
          <w:bCs/>
          <w:color w:val="FF0000"/>
          <w:sz w:val="24"/>
          <w:szCs w:val="24"/>
          <w:lang w:val="en-US" w:eastAsia="zh-CN"/>
        </w:rPr>
        <w:t>4</w:t>
      </w:r>
      <w:r>
        <w:rPr>
          <w:rFonts w:hint="eastAsia" w:ascii="宋体" w:hAnsi="宋体" w:cs="宋体"/>
          <w:bCs/>
          <w:color w:val="FF0000"/>
          <w:sz w:val="24"/>
          <w:szCs w:val="24"/>
        </w:rPr>
        <w:t>月至</w:t>
      </w:r>
      <w:r>
        <w:rPr>
          <w:rFonts w:hint="eastAsia" w:ascii="宋体" w:hAnsi="宋体" w:cs="宋体"/>
          <w:bCs/>
          <w:color w:val="FF0000"/>
          <w:sz w:val="24"/>
          <w:szCs w:val="24"/>
          <w:lang w:val="en-US" w:eastAsia="zh-CN"/>
        </w:rPr>
        <w:t>6</w:t>
      </w:r>
      <w:r>
        <w:rPr>
          <w:rFonts w:hint="eastAsia" w:ascii="宋体" w:hAnsi="宋体" w:cs="宋体"/>
          <w:bCs/>
          <w:color w:val="FF0000"/>
          <w:sz w:val="24"/>
          <w:szCs w:val="24"/>
        </w:rPr>
        <w:t>月三个月</w:t>
      </w:r>
      <w:r>
        <w:rPr>
          <w:rFonts w:hint="eastAsia" w:ascii="宋体" w:hAnsi="宋体" w:cs="宋体"/>
          <w:bCs/>
          <w:color w:val="FF0000"/>
          <w:sz w:val="24"/>
          <w:szCs w:val="24"/>
          <w:lang w:val="zh-CN"/>
        </w:rPr>
        <w:t>的缴</w:t>
      </w:r>
      <w:r>
        <w:rPr>
          <w:rFonts w:hint="eastAsia" w:ascii="宋体" w:hAnsi="宋体" w:cs="宋体"/>
          <w:bCs/>
          <w:sz w:val="24"/>
          <w:szCs w:val="24"/>
          <w:lang w:val="zh-CN"/>
        </w:rPr>
        <w:t>纳税收凭据。（依法免税的投标人，应提供相应文件证明依法免税）</w:t>
      </w: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3.7</w:t>
      </w:r>
      <w:r>
        <w:rPr>
          <w:rFonts w:hint="eastAsia" w:ascii="宋体" w:hAnsi="宋体"/>
          <w:b/>
          <w:bCs/>
          <w:sz w:val="36"/>
          <w:szCs w:val="36"/>
        </w:rPr>
        <w:t>依法缴纳社会保障资金的证明材料</w:t>
      </w:r>
    </w:p>
    <w:p>
      <w:pPr>
        <w:autoSpaceDE w:val="0"/>
        <w:autoSpaceDN w:val="0"/>
        <w:adjustRightInd w:val="0"/>
        <w:spacing w:line="360" w:lineRule="auto"/>
        <w:jc w:val="center"/>
        <w:outlineLvl w:val="0"/>
        <w:rPr>
          <w:rFonts w:ascii="宋体"/>
          <w:b/>
          <w:bCs/>
          <w:sz w:val="24"/>
          <w:szCs w:val="24"/>
          <w:lang w:val="zh-CN"/>
        </w:rPr>
      </w:pPr>
    </w:p>
    <w:p>
      <w:pPr>
        <w:autoSpaceDE w:val="0"/>
        <w:autoSpaceDN w:val="0"/>
        <w:adjustRightInd w:val="0"/>
        <w:spacing w:line="360" w:lineRule="auto"/>
        <w:ind w:firstLine="480" w:firstLineChars="200"/>
        <w:rPr>
          <w:rFonts w:ascii="宋体" w:cs="宋体"/>
          <w:bCs/>
          <w:sz w:val="24"/>
          <w:szCs w:val="24"/>
          <w:lang w:val="zh-CN"/>
        </w:rPr>
      </w:pPr>
      <w:r>
        <w:rPr>
          <w:rFonts w:hint="eastAsia" w:ascii="宋体" w:hAnsi="宋体" w:cs="宋体"/>
          <w:bCs/>
          <w:sz w:val="24"/>
          <w:szCs w:val="24"/>
          <w:lang w:val="zh-CN"/>
        </w:rPr>
        <w:t>投标截止时间</w:t>
      </w:r>
      <w:r>
        <w:rPr>
          <w:rFonts w:hint="eastAsia" w:ascii="宋体" w:hAnsi="宋体" w:cs="宋体"/>
          <w:bCs/>
          <w:color w:val="FF0000"/>
          <w:sz w:val="24"/>
          <w:szCs w:val="24"/>
          <w:lang w:val="zh-CN"/>
        </w:rPr>
        <w:t>前</w:t>
      </w:r>
      <w:r>
        <w:rPr>
          <w:rFonts w:hint="eastAsia" w:ascii="宋体" w:hAnsi="宋体" w:cs="宋体"/>
          <w:bCs/>
          <w:color w:val="FF0000"/>
          <w:sz w:val="24"/>
          <w:szCs w:val="24"/>
        </w:rPr>
        <w:t>2019年</w:t>
      </w:r>
      <w:r>
        <w:rPr>
          <w:rFonts w:hint="eastAsia" w:ascii="宋体" w:hAnsi="宋体" w:cs="宋体"/>
          <w:bCs/>
          <w:color w:val="FF0000"/>
          <w:sz w:val="24"/>
          <w:szCs w:val="24"/>
          <w:lang w:val="en-US" w:eastAsia="zh-CN"/>
        </w:rPr>
        <w:t>4</w:t>
      </w:r>
      <w:r>
        <w:rPr>
          <w:rFonts w:hint="eastAsia" w:ascii="宋体" w:hAnsi="宋体" w:cs="宋体"/>
          <w:bCs/>
          <w:color w:val="FF0000"/>
          <w:sz w:val="24"/>
          <w:szCs w:val="24"/>
        </w:rPr>
        <w:t>月至</w:t>
      </w:r>
      <w:r>
        <w:rPr>
          <w:rFonts w:hint="eastAsia" w:ascii="宋体" w:hAnsi="宋体" w:cs="宋体"/>
          <w:bCs/>
          <w:color w:val="FF0000"/>
          <w:sz w:val="24"/>
          <w:szCs w:val="24"/>
          <w:lang w:val="en-US" w:eastAsia="zh-CN"/>
        </w:rPr>
        <w:t>6</w:t>
      </w:r>
      <w:r>
        <w:rPr>
          <w:rFonts w:hint="eastAsia" w:ascii="宋体" w:hAnsi="宋体" w:cs="宋体"/>
          <w:bCs/>
          <w:color w:val="FF0000"/>
          <w:sz w:val="24"/>
          <w:szCs w:val="24"/>
        </w:rPr>
        <w:t>月三个月</w:t>
      </w:r>
      <w:r>
        <w:rPr>
          <w:rFonts w:hint="eastAsia" w:ascii="宋体" w:hAnsi="宋体" w:cs="宋体"/>
          <w:bCs/>
          <w:color w:val="FF0000"/>
          <w:sz w:val="24"/>
          <w:szCs w:val="24"/>
          <w:lang w:val="zh-CN"/>
        </w:rPr>
        <w:t>的缴</w:t>
      </w:r>
      <w:r>
        <w:rPr>
          <w:rFonts w:hint="eastAsia" w:ascii="宋体" w:hAnsi="宋体" w:cs="宋体"/>
          <w:bCs/>
          <w:sz w:val="24"/>
          <w:szCs w:val="24"/>
          <w:lang w:val="zh-CN"/>
        </w:rPr>
        <w:t>纳社会保险凭据。（依法不需要缴纳社会保障资金的投标人，应提供相应文件证明依法不需要缴纳社会保障资金）</w:t>
      </w:r>
    </w:p>
    <w:p>
      <w:pPr>
        <w:autoSpaceDE w:val="0"/>
        <w:autoSpaceDN w:val="0"/>
        <w:adjustRightInd w:val="0"/>
        <w:spacing w:line="360" w:lineRule="auto"/>
        <w:jc w:val="center"/>
        <w:outlineLvl w:val="0"/>
        <w:rPr>
          <w:rFonts w:ascii="宋体"/>
          <w:b/>
          <w:bCs/>
          <w:sz w:val="24"/>
          <w:szCs w:val="24"/>
        </w:rPr>
      </w:pPr>
    </w:p>
    <w:p>
      <w:pPr>
        <w:pStyle w:val="55"/>
        <w:spacing w:after="156"/>
        <w:rPr>
          <w:rFonts w:cs="黑体"/>
          <w:bCs/>
          <w:color w:val="auto"/>
          <w:kern w:val="2"/>
          <w:sz w:val="36"/>
          <w:szCs w:val="36"/>
        </w:rPr>
      </w:pPr>
      <w:r>
        <w:rPr>
          <w:rFonts w:cs="黑体"/>
          <w:bCs/>
          <w:color w:val="auto"/>
          <w:kern w:val="2"/>
          <w:sz w:val="36"/>
          <w:szCs w:val="36"/>
        </w:rPr>
        <w:t>3.8</w:t>
      </w:r>
      <w:r>
        <w:rPr>
          <w:rFonts w:hint="eastAsia" w:cs="黑体"/>
          <w:bCs/>
          <w:color w:val="auto"/>
          <w:kern w:val="2"/>
          <w:sz w:val="36"/>
          <w:szCs w:val="36"/>
        </w:rPr>
        <w:t>反商业贿赂承诺书（固定格式）</w:t>
      </w:r>
    </w:p>
    <w:p>
      <w:pPr>
        <w:rPr>
          <w:rFonts w:ascii="宋体"/>
          <w:sz w:val="24"/>
          <w:szCs w:val="24"/>
        </w:rPr>
      </w:pPr>
    </w:p>
    <w:p>
      <w:pPr>
        <w:autoSpaceDE w:val="0"/>
        <w:autoSpaceDN w:val="0"/>
        <w:adjustRightInd w:val="0"/>
        <w:spacing w:line="360" w:lineRule="auto"/>
        <w:rPr>
          <w:rFonts w:ascii="宋体" w:cs="宋体"/>
          <w:bCs/>
          <w:sz w:val="24"/>
          <w:szCs w:val="24"/>
          <w:lang w:val="zh-CN"/>
        </w:rPr>
      </w:pPr>
      <w:r>
        <w:rPr>
          <w:rFonts w:hint="eastAsia" w:ascii="宋体" w:hAnsi="宋体" w:cs="宋体"/>
          <w:bCs/>
          <w:sz w:val="24"/>
          <w:szCs w:val="24"/>
          <w:lang w:val="zh-CN"/>
        </w:rPr>
        <w:t>我公司承诺：</w:t>
      </w:r>
    </w:p>
    <w:p>
      <w:pPr>
        <w:autoSpaceDE w:val="0"/>
        <w:autoSpaceDN w:val="0"/>
        <w:adjustRightInd w:val="0"/>
        <w:spacing w:line="360" w:lineRule="auto"/>
        <w:ind w:firstLine="480" w:firstLineChars="200"/>
        <w:rPr>
          <w:rFonts w:ascii="宋体" w:cs="宋体"/>
          <w:bCs/>
          <w:sz w:val="24"/>
          <w:szCs w:val="24"/>
          <w:lang w:val="zh-CN"/>
        </w:rPr>
      </w:pPr>
      <w:r>
        <w:rPr>
          <w:rFonts w:hint="eastAsia" w:ascii="宋体" w:hAnsi="宋体" w:cs="宋体"/>
          <w:bCs/>
          <w:sz w:val="24"/>
          <w:szCs w:val="24"/>
          <w:lang w:val="zh-CN"/>
        </w:rPr>
        <w:t>在</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lang w:val="zh-CN"/>
        </w:rPr>
        <w:t>（投标项目名称）招标活动中，我公司保证做到：</w:t>
      </w:r>
    </w:p>
    <w:p>
      <w:pPr>
        <w:autoSpaceDE w:val="0"/>
        <w:autoSpaceDN w:val="0"/>
        <w:adjustRightInd w:val="0"/>
        <w:spacing w:line="360" w:lineRule="auto"/>
        <w:ind w:firstLine="480" w:firstLineChars="200"/>
        <w:rPr>
          <w:rFonts w:ascii="宋体" w:cs="宋体"/>
          <w:bCs/>
          <w:sz w:val="24"/>
          <w:szCs w:val="24"/>
          <w:lang w:val="zh-CN"/>
        </w:rPr>
      </w:pPr>
      <w:r>
        <w:rPr>
          <w:rFonts w:hint="eastAsia" w:ascii="宋体" w:hAnsi="宋体" w:cs="宋体"/>
          <w:bCs/>
          <w:sz w:val="24"/>
          <w:szCs w:val="24"/>
          <w:lang w:val="zh-CN"/>
        </w:rPr>
        <w:t>一、公平竞争参加本次招标活动。</w:t>
      </w:r>
    </w:p>
    <w:p>
      <w:pPr>
        <w:autoSpaceDE w:val="0"/>
        <w:autoSpaceDN w:val="0"/>
        <w:adjustRightInd w:val="0"/>
        <w:spacing w:line="360" w:lineRule="auto"/>
        <w:ind w:firstLine="480" w:firstLineChars="200"/>
        <w:rPr>
          <w:rFonts w:ascii="宋体" w:cs="宋体"/>
          <w:bCs/>
          <w:sz w:val="24"/>
          <w:szCs w:val="24"/>
          <w:lang w:val="zh-CN"/>
        </w:rPr>
      </w:pPr>
      <w:r>
        <w:rPr>
          <w:rFonts w:hint="eastAsia" w:ascii="宋体" w:hAnsi="宋体" w:cs="宋体"/>
          <w:bCs/>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autoSpaceDE w:val="0"/>
        <w:autoSpaceDN w:val="0"/>
        <w:adjustRightInd w:val="0"/>
        <w:spacing w:line="360" w:lineRule="auto"/>
        <w:ind w:firstLine="480" w:firstLineChars="200"/>
        <w:rPr>
          <w:rFonts w:ascii="宋体" w:cs="宋体"/>
          <w:bCs/>
          <w:sz w:val="24"/>
          <w:szCs w:val="24"/>
          <w:lang w:val="zh-CN"/>
        </w:rPr>
      </w:pPr>
      <w:r>
        <w:rPr>
          <w:rFonts w:hint="eastAsia" w:ascii="宋体" w:hAnsi="宋体" w:cs="宋体"/>
          <w:bCs/>
          <w:sz w:val="24"/>
          <w:szCs w:val="24"/>
          <w:lang w:val="zh-CN"/>
        </w:rPr>
        <w:t>三、若出现上述行为，我公司及参与投标的工作人员愿意接受按照国家法律法规等有关规定给予的处罚。</w:t>
      </w:r>
    </w:p>
    <w:p>
      <w:pPr>
        <w:autoSpaceDE w:val="0"/>
        <w:autoSpaceDN w:val="0"/>
        <w:adjustRightInd w:val="0"/>
        <w:spacing w:line="360" w:lineRule="auto"/>
        <w:ind w:firstLine="520" w:firstLineChars="200"/>
        <w:rPr>
          <w:rFonts w:ascii="宋体"/>
          <w:bCs/>
          <w:spacing w:val="10"/>
          <w:kern w:val="0"/>
          <w:sz w:val="24"/>
          <w:szCs w:val="24"/>
        </w:rPr>
      </w:pPr>
    </w:p>
    <w:p>
      <w:pPr>
        <w:autoSpaceDE w:val="0"/>
        <w:autoSpaceDN w:val="0"/>
        <w:adjustRightInd w:val="0"/>
        <w:spacing w:line="360" w:lineRule="auto"/>
        <w:ind w:firstLine="520" w:firstLineChars="200"/>
        <w:rPr>
          <w:rFonts w:ascii="宋体"/>
          <w:bCs/>
          <w:spacing w:val="10"/>
          <w:kern w:val="0"/>
          <w:sz w:val="24"/>
          <w:szCs w:val="24"/>
        </w:rPr>
      </w:pPr>
    </w:p>
    <w:p>
      <w:pPr>
        <w:autoSpaceDE w:val="0"/>
        <w:autoSpaceDN w:val="0"/>
        <w:adjustRightInd w:val="0"/>
        <w:spacing w:line="360" w:lineRule="auto"/>
        <w:ind w:firstLine="520" w:firstLineChars="200"/>
        <w:rPr>
          <w:rFonts w:ascii="宋体"/>
          <w:bCs/>
          <w:spacing w:val="10"/>
          <w:kern w:val="0"/>
          <w:sz w:val="24"/>
          <w:szCs w:val="24"/>
        </w:rPr>
      </w:pPr>
    </w:p>
    <w:p>
      <w:pPr>
        <w:autoSpaceDE w:val="0"/>
        <w:autoSpaceDN w:val="0"/>
        <w:adjustRightInd w:val="0"/>
        <w:spacing w:line="360" w:lineRule="auto"/>
        <w:ind w:firstLine="4030" w:firstLineChars="1550"/>
        <w:rPr>
          <w:rFonts w:ascii="宋体"/>
          <w:bCs/>
          <w:spacing w:val="10"/>
          <w:kern w:val="0"/>
          <w:sz w:val="24"/>
          <w:szCs w:val="24"/>
        </w:rPr>
      </w:pPr>
    </w:p>
    <w:p>
      <w:pPr>
        <w:autoSpaceDE w:val="0"/>
        <w:autoSpaceDN w:val="0"/>
        <w:adjustRightInd w:val="0"/>
        <w:spacing w:line="360" w:lineRule="auto"/>
        <w:ind w:right="600" w:firstLine="5070" w:firstLineChars="1950"/>
        <w:rPr>
          <w:rFonts w:ascii="宋体"/>
          <w:bCs/>
          <w:spacing w:val="10"/>
          <w:kern w:val="0"/>
          <w:sz w:val="24"/>
          <w:szCs w:val="24"/>
        </w:rPr>
      </w:pPr>
      <w:r>
        <w:rPr>
          <w:rFonts w:hint="eastAsia" w:ascii="宋体" w:hAnsi="宋体"/>
          <w:bCs/>
          <w:spacing w:val="10"/>
          <w:kern w:val="0"/>
          <w:sz w:val="24"/>
          <w:szCs w:val="24"/>
        </w:rPr>
        <w:t>投标人名称：（公章）</w:t>
      </w:r>
    </w:p>
    <w:p>
      <w:pPr>
        <w:autoSpaceDE w:val="0"/>
        <w:autoSpaceDN w:val="0"/>
        <w:adjustRightInd w:val="0"/>
        <w:spacing w:line="360" w:lineRule="auto"/>
        <w:ind w:right="600" w:firstLine="5070" w:firstLineChars="1950"/>
        <w:rPr>
          <w:rFonts w:ascii="宋体"/>
          <w:b/>
          <w:bCs/>
          <w:sz w:val="24"/>
          <w:szCs w:val="24"/>
        </w:rPr>
      </w:pPr>
      <w:r>
        <w:rPr>
          <w:rFonts w:hint="eastAsia" w:ascii="宋体" w:hAnsi="宋体"/>
          <w:bCs/>
          <w:spacing w:val="10"/>
          <w:kern w:val="0"/>
          <w:sz w:val="24"/>
          <w:szCs w:val="24"/>
          <w:lang w:eastAsia="zh-CN"/>
        </w:rPr>
        <w:t>日期：</w:t>
      </w:r>
      <w:r>
        <w:rPr>
          <w:rFonts w:hint="eastAsia" w:ascii="宋体" w:hAnsi="宋体"/>
          <w:bCs/>
          <w:spacing w:val="10"/>
          <w:kern w:val="0"/>
          <w:sz w:val="24"/>
          <w:szCs w:val="24"/>
        </w:rPr>
        <w:t>年月日</w:t>
      </w:r>
    </w:p>
    <w:p>
      <w:pPr>
        <w:spacing w:beforeLines="50" w:afterLines="50" w:line="360" w:lineRule="auto"/>
        <w:ind w:right="420"/>
        <w:jc w:val="center"/>
        <w:rPr>
          <w:rFonts w:ascii="宋体" w:hAnsi="宋体"/>
          <w:b/>
          <w:bCs/>
          <w:sz w:val="24"/>
          <w:szCs w:val="24"/>
        </w:rPr>
      </w:pPr>
    </w:p>
    <w:p>
      <w:pPr>
        <w:spacing w:beforeLines="50" w:afterLines="50" w:line="360" w:lineRule="auto"/>
        <w:ind w:right="420"/>
        <w:jc w:val="center"/>
        <w:rPr>
          <w:rFonts w:ascii="宋体" w:hAnsi="宋体"/>
          <w:b/>
          <w:bCs/>
          <w:sz w:val="24"/>
          <w:szCs w:val="24"/>
        </w:rPr>
      </w:pPr>
    </w:p>
    <w:p>
      <w:pPr>
        <w:spacing w:beforeLines="50" w:afterLines="50" w:line="360" w:lineRule="auto"/>
        <w:ind w:right="420"/>
        <w:jc w:val="center"/>
        <w:rPr>
          <w:rFonts w:ascii="宋体" w:hAnsi="宋体"/>
          <w:b/>
          <w:bCs/>
          <w:sz w:val="24"/>
          <w:szCs w:val="24"/>
        </w:rPr>
      </w:pPr>
    </w:p>
    <w:p>
      <w:pPr>
        <w:spacing w:beforeLines="50" w:afterLines="50" w:line="360" w:lineRule="auto"/>
        <w:ind w:right="420"/>
        <w:jc w:val="center"/>
        <w:rPr>
          <w:rFonts w:ascii="宋体" w:hAnsi="宋体"/>
          <w:b/>
          <w:bCs/>
          <w:sz w:val="36"/>
          <w:szCs w:val="36"/>
        </w:rPr>
      </w:pPr>
      <w:r>
        <w:rPr>
          <w:rFonts w:ascii="宋体" w:hAnsi="宋体"/>
          <w:b/>
          <w:bCs/>
          <w:sz w:val="36"/>
          <w:szCs w:val="36"/>
        </w:rPr>
        <w:t>3.9</w:t>
      </w:r>
      <w:r>
        <w:rPr>
          <w:rFonts w:hint="eastAsia" w:ascii="宋体" w:hAnsi="宋体"/>
          <w:b/>
          <w:bCs/>
          <w:sz w:val="36"/>
          <w:szCs w:val="36"/>
        </w:rPr>
        <w:t>投标保证金</w:t>
      </w:r>
    </w:p>
    <w:p>
      <w:pPr>
        <w:autoSpaceDE w:val="0"/>
        <w:autoSpaceDN w:val="0"/>
        <w:adjustRightInd w:val="0"/>
        <w:spacing w:line="360" w:lineRule="auto"/>
        <w:jc w:val="center"/>
        <w:outlineLvl w:val="0"/>
        <w:rPr>
          <w:rFonts w:hAnsi="宋体"/>
          <w:b/>
          <w:snapToGrid w:val="0"/>
          <w:kern w:val="0"/>
          <w:sz w:val="24"/>
          <w:szCs w:val="24"/>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许昌公共资源交易中心保证金缴纳回执</w:t>
      </w: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r>
        <w:rPr>
          <w:rFonts w:hint="eastAsia" w:ascii="宋体" w:cs="宋体"/>
          <w:sz w:val="24"/>
          <w:szCs w:val="24"/>
          <w:lang w:val="zh-CN"/>
        </w:rPr>
        <w:t>（注：开标现场单独提供一份“许昌公共资源交易中心保证金缴纳回执”以备查询）</w:t>
      </w:r>
    </w:p>
    <w:p>
      <w:pPr>
        <w:tabs>
          <w:tab w:val="left" w:pos="2822"/>
          <w:tab w:val="center" w:pos="4548"/>
        </w:tabs>
        <w:autoSpaceDE w:val="0"/>
        <w:autoSpaceDN w:val="0"/>
        <w:adjustRightInd w:val="0"/>
        <w:spacing w:line="360" w:lineRule="auto"/>
        <w:jc w:val="left"/>
        <w:outlineLvl w:val="0"/>
        <w:rPr>
          <w:rFonts w:ascii="宋体" w:hAnsi="宋体"/>
          <w:b/>
          <w:bCs/>
          <w:sz w:val="24"/>
          <w:szCs w:val="24"/>
        </w:rPr>
      </w:pPr>
    </w:p>
    <w:p>
      <w:pPr>
        <w:tabs>
          <w:tab w:val="left" w:pos="2822"/>
          <w:tab w:val="center" w:pos="4548"/>
        </w:tabs>
        <w:autoSpaceDE w:val="0"/>
        <w:autoSpaceDN w:val="0"/>
        <w:adjustRightInd w:val="0"/>
        <w:spacing w:line="360" w:lineRule="auto"/>
        <w:jc w:val="left"/>
        <w:outlineLvl w:val="0"/>
        <w:rPr>
          <w:rFonts w:ascii="宋体" w:hAnsi="宋体"/>
          <w:b/>
          <w:bCs/>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3.10投标人资格要求</w:t>
      </w:r>
    </w:p>
    <w:p>
      <w:pPr>
        <w:widowControl/>
        <w:spacing w:before="100" w:beforeAutospacing="1" w:after="100" w:afterAutospacing="1" w:line="360" w:lineRule="auto"/>
        <w:jc w:val="center"/>
        <w:rPr>
          <w:rFonts w:ascii="宋体" w:hAnsi="宋体"/>
          <w:b/>
          <w:bCs/>
          <w:sz w:val="36"/>
          <w:szCs w:val="36"/>
        </w:rPr>
      </w:pPr>
      <w:r>
        <w:rPr>
          <w:rFonts w:hint="eastAsia" w:ascii="宋体" w:hAnsi="宋体" w:cs="宋体"/>
          <w:b/>
          <w:kern w:val="0"/>
          <w:sz w:val="24"/>
          <w:szCs w:val="24"/>
        </w:rPr>
        <w:t>B包（提供其所在的省（市、自治区）会计师协会公布的201</w:t>
      </w:r>
      <w:r>
        <w:rPr>
          <w:rFonts w:hint="eastAsia" w:ascii="宋体" w:hAnsi="宋体" w:cs="宋体"/>
          <w:b/>
          <w:kern w:val="0"/>
          <w:sz w:val="24"/>
          <w:szCs w:val="24"/>
          <w:lang w:val="en-US" w:eastAsia="zh-CN"/>
        </w:rPr>
        <w:t>8</w:t>
      </w:r>
      <w:r>
        <w:rPr>
          <w:rFonts w:hint="eastAsia" w:ascii="宋体" w:hAnsi="宋体" w:cs="宋体"/>
          <w:b/>
          <w:kern w:val="0"/>
          <w:sz w:val="24"/>
          <w:szCs w:val="24"/>
        </w:rPr>
        <w:t>年会计事务所分类评价结果的截图及查询网址等证明材料，并加盖投标人印章</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hint="eastAsia" w:ascii="宋体" w:hAnsi="宋体" w:eastAsiaTheme="minorEastAsia"/>
          <w:b/>
          <w:bCs/>
          <w:sz w:val="36"/>
          <w:szCs w:val="36"/>
          <w:lang w:val="en-US" w:eastAsia="zh-CN"/>
        </w:rPr>
      </w:pPr>
      <w:r>
        <w:rPr>
          <w:rFonts w:hint="eastAsia" w:ascii="宋体" w:hAnsi="宋体"/>
          <w:b/>
          <w:bCs/>
          <w:sz w:val="36"/>
          <w:szCs w:val="36"/>
          <w:lang w:val="en-US" w:eastAsia="zh-CN"/>
        </w:rPr>
        <w:t>3.11</w:t>
      </w:r>
      <w:r>
        <w:rPr>
          <w:rFonts w:hint="eastAsia" w:ascii="宋体" w:hAnsi="宋体"/>
          <w:b/>
          <w:bCs/>
          <w:sz w:val="36"/>
          <w:szCs w:val="36"/>
        </w:rPr>
        <w:t>未被列入“信用中国”网站(www.creditchina.gov.cn)失信被执行人、重大税收违法案件当事人名单、政府采购严重违法失信名单的投标人；“中国政府采购网” (www.ccgp.gov.cn)政府采购严重违法失信行为记录名单的</w:t>
      </w:r>
      <w:r>
        <w:rPr>
          <w:rFonts w:hint="eastAsia" w:ascii="宋体" w:hAnsi="宋体"/>
          <w:b/>
          <w:bCs/>
          <w:sz w:val="36"/>
          <w:szCs w:val="36"/>
          <w:lang w:eastAsia="zh-CN"/>
        </w:rPr>
        <w:t>查询截图</w:t>
      </w: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3.1</w:t>
      </w:r>
      <w:r>
        <w:rPr>
          <w:rFonts w:hint="eastAsia" w:ascii="宋体" w:hAnsi="宋体"/>
          <w:b/>
          <w:bCs/>
          <w:sz w:val="36"/>
          <w:szCs w:val="36"/>
          <w:lang w:val="en-US" w:eastAsia="zh-CN"/>
        </w:rPr>
        <w:t>2</w:t>
      </w:r>
      <w:r>
        <w:rPr>
          <w:rFonts w:hint="eastAsia" w:ascii="宋体" w:hAnsi="宋体"/>
          <w:b/>
          <w:bCs/>
          <w:sz w:val="36"/>
          <w:szCs w:val="36"/>
        </w:rPr>
        <w:t xml:space="preserve">其他资格证明、证书或材料 </w:t>
      </w: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（需加盖投标人公章）</w:t>
      </w:r>
    </w:p>
    <w:p>
      <w:pPr>
        <w:widowControl/>
        <w:spacing w:before="100" w:beforeAutospacing="1" w:after="100" w:afterAutospacing="1" w:line="360" w:lineRule="auto"/>
        <w:jc w:val="center"/>
        <w:rPr>
          <w:rFonts w:ascii="宋体" w:hAnsi="宋体"/>
          <w:b/>
          <w:bCs/>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djustRightInd w:val="0"/>
        <w:snapToGrid w:val="0"/>
        <w:spacing w:line="360" w:lineRule="auto"/>
        <w:jc w:val="center"/>
        <w:rPr>
          <w:rFonts w:ascii="宋体" w:hAnsi="宋体" w:cs="宋体"/>
          <w:b/>
          <w:sz w:val="32"/>
          <w:szCs w:val="32"/>
        </w:rPr>
      </w:pPr>
      <w:r>
        <w:rPr>
          <w:rFonts w:hint="eastAsia" w:ascii="宋体" w:hAnsi="宋体" w:cs="宋体"/>
          <w:b/>
          <w:sz w:val="32"/>
          <w:szCs w:val="32"/>
        </w:rPr>
        <w:t>4.1投标人价格承诺表</w:t>
      </w:r>
    </w:p>
    <w:p>
      <w:pPr>
        <w:adjustRightInd w:val="0"/>
        <w:snapToGrid w:val="0"/>
        <w:spacing w:line="360" w:lineRule="auto"/>
        <w:jc w:val="center"/>
        <w:rPr>
          <w:rFonts w:ascii="宋体" w:hAnsi="宋体" w:cs="宋体"/>
          <w:b/>
          <w:sz w:val="24"/>
          <w:szCs w:val="24"/>
        </w:rPr>
      </w:pPr>
    </w:p>
    <w:tbl>
      <w:tblPr>
        <w:tblStyle w:val="22"/>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6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2293"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项 目 名 称</w:t>
            </w:r>
          </w:p>
        </w:tc>
        <w:tc>
          <w:tcPr>
            <w:tcW w:w="6787" w:type="dxa"/>
            <w:vAlign w:val="center"/>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2293"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投标人名称</w:t>
            </w:r>
          </w:p>
        </w:tc>
        <w:tc>
          <w:tcPr>
            <w:tcW w:w="6787" w:type="dxa"/>
            <w:vAlign w:val="center"/>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2293"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价 格 承 诺</w:t>
            </w:r>
          </w:p>
        </w:tc>
        <w:tc>
          <w:tcPr>
            <w:tcW w:w="6787" w:type="dxa"/>
            <w:vAlign w:val="center"/>
          </w:tcPr>
          <w:p>
            <w:pPr>
              <w:adjustRightInd w:val="0"/>
              <w:snapToGrid w:val="0"/>
              <w:spacing w:line="360" w:lineRule="auto"/>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是否</w:t>
            </w:r>
            <w:r>
              <w:rPr>
                <w:rFonts w:hint="eastAsia" w:ascii="宋体" w:hAnsi="宋体" w:cs="宋体"/>
                <w:sz w:val="24"/>
                <w:szCs w:val="24"/>
                <w:lang w:eastAsia="zh-CN"/>
              </w:rPr>
              <w:t>）</w:t>
            </w:r>
            <w:r>
              <w:rPr>
                <w:rFonts w:hint="eastAsia" w:ascii="宋体" w:hAnsi="宋体" w:cs="宋体"/>
                <w:sz w:val="24"/>
                <w:szCs w:val="24"/>
              </w:rPr>
              <w:t>满足招标文件相关规定费率及取费表。</w:t>
            </w:r>
          </w:p>
        </w:tc>
      </w:tr>
    </w:tbl>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投标人名称：（加盖公章）</w:t>
      </w: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投标人法定代表人（或代理人）签字或盖章：</w:t>
      </w: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p>
    <w:p>
      <w:pPr>
        <w:adjustRightInd w:val="0"/>
        <w:snapToGrid w:val="0"/>
        <w:spacing w:line="360" w:lineRule="auto"/>
        <w:jc w:val="right"/>
        <w:rPr>
          <w:rFonts w:ascii="宋体" w:hAnsi="宋体" w:cs="宋体"/>
          <w:sz w:val="24"/>
          <w:szCs w:val="24"/>
        </w:rPr>
      </w:pPr>
      <w:r>
        <w:rPr>
          <w:rFonts w:hint="eastAsia" w:ascii="宋体" w:hAnsi="宋体" w:cs="宋体"/>
          <w:sz w:val="24"/>
          <w:szCs w:val="24"/>
          <w:lang w:eastAsia="zh-CN"/>
        </w:rPr>
        <w:t>日期：</w:t>
      </w:r>
      <w:r>
        <w:rPr>
          <w:rFonts w:hint="eastAsia" w:ascii="宋体" w:hAnsi="宋体" w:cs="宋体"/>
          <w:sz w:val="24"/>
          <w:szCs w:val="24"/>
        </w:rPr>
        <w:t>年  月  日</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sz w:val="36"/>
          <w:szCs w:val="36"/>
        </w:rPr>
        <w:t xml:space="preserve">4.2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hAnsi="宋体" w:eastAsia="宋体"/>
          <w:b/>
          <w:snapToGrid w:val="0"/>
          <w:kern w:val="0"/>
          <w:sz w:val="36"/>
          <w:szCs w:val="36"/>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ascii="宋体" w:hAnsi="宋体"/>
          <w:b/>
          <w:bCs/>
          <w:sz w:val="36"/>
          <w:szCs w:val="36"/>
        </w:rPr>
      </w:pPr>
      <w:r>
        <w:rPr>
          <w:rFonts w:hint="eastAsia" w:ascii="宋体" w:hAnsi="宋体"/>
          <w:b/>
          <w:bCs/>
          <w:sz w:val="36"/>
          <w:szCs w:val="36"/>
        </w:rPr>
        <w:t xml:space="preserve">4.3 </w:t>
      </w:r>
      <w:r>
        <w:rPr>
          <w:rFonts w:hint="eastAsia" w:hAnsi="宋体" w:eastAsia="宋体"/>
          <w:b/>
          <w:snapToGrid w:val="0"/>
          <w:kern w:val="0"/>
          <w:sz w:val="36"/>
          <w:szCs w:val="36"/>
        </w:rPr>
        <w:t>业绩情况表</w:t>
      </w:r>
    </w:p>
    <w:p>
      <w:pPr>
        <w:snapToGrid w:val="0"/>
        <w:spacing w:line="360" w:lineRule="auto"/>
        <w:rPr>
          <w:rFonts w:ascii="宋体" w:hAnsi="宋体"/>
          <w:sz w:val="24"/>
          <w:szCs w:val="24"/>
        </w:rPr>
      </w:pPr>
      <w:r>
        <w:rPr>
          <w:rFonts w:hint="eastAsia" w:ascii="宋体" w:hAnsi="宋体"/>
          <w:sz w:val="24"/>
          <w:szCs w:val="24"/>
          <w:lang w:eastAsia="zh-CN"/>
        </w:rPr>
        <w:t>序号：</w:t>
      </w:r>
      <w:r>
        <w:rPr>
          <w:rFonts w:hint="eastAsia" w:ascii="宋体" w:hAnsi="宋体"/>
          <w:sz w:val="24"/>
          <w:szCs w:val="24"/>
        </w:rPr>
        <w:t xml:space="preserve">   </w:t>
      </w:r>
    </w:p>
    <w:tbl>
      <w:tblPr>
        <w:tblStyle w:val="22"/>
        <w:tblW w:w="89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szCs w:val="21"/>
              </w:rPr>
            </w:pPr>
            <w:r>
              <w:rPr>
                <w:rFonts w:hint="eastAsia"/>
                <w:szCs w:val="21"/>
              </w:rPr>
              <w:t>项目名称</w:t>
            </w:r>
          </w:p>
        </w:tc>
        <w:tc>
          <w:tcPr>
            <w:tcW w:w="6185" w:type="dxa"/>
            <w:vAlign w:val="center"/>
          </w:tcPr>
          <w:p>
            <w:pPr>
              <w:topLinePunct/>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szCs w:val="21"/>
              </w:rPr>
            </w:pPr>
            <w:r>
              <w:rPr>
                <w:rFonts w:hint="eastAsia"/>
                <w:szCs w:val="21"/>
              </w:rPr>
              <w:t>项目所在地</w:t>
            </w:r>
          </w:p>
        </w:tc>
        <w:tc>
          <w:tcPr>
            <w:tcW w:w="6185" w:type="dxa"/>
            <w:vAlign w:val="center"/>
          </w:tcPr>
          <w:p>
            <w:pPr>
              <w:topLinePunct/>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szCs w:val="21"/>
              </w:rPr>
            </w:pPr>
            <w:r>
              <w:rPr>
                <w:rFonts w:hint="eastAsia"/>
                <w:szCs w:val="21"/>
              </w:rPr>
              <w:t>委托人名称</w:t>
            </w:r>
          </w:p>
        </w:tc>
        <w:tc>
          <w:tcPr>
            <w:tcW w:w="6185" w:type="dxa"/>
            <w:vAlign w:val="center"/>
          </w:tcPr>
          <w:p>
            <w:pPr>
              <w:topLinePunct/>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szCs w:val="21"/>
              </w:rPr>
            </w:pPr>
            <w:r>
              <w:rPr>
                <w:rFonts w:hint="eastAsia"/>
                <w:szCs w:val="21"/>
              </w:rPr>
              <w:t>委托人地址</w:t>
            </w:r>
          </w:p>
        </w:tc>
        <w:tc>
          <w:tcPr>
            <w:tcW w:w="6185" w:type="dxa"/>
            <w:vAlign w:val="center"/>
          </w:tcPr>
          <w:p>
            <w:pPr>
              <w:topLinePunct/>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szCs w:val="21"/>
              </w:rPr>
            </w:pPr>
            <w:r>
              <w:rPr>
                <w:rFonts w:hint="eastAsia"/>
                <w:szCs w:val="21"/>
              </w:rPr>
              <w:t>委托人联系电话</w:t>
            </w:r>
          </w:p>
        </w:tc>
        <w:tc>
          <w:tcPr>
            <w:tcW w:w="6185" w:type="dxa"/>
            <w:vAlign w:val="center"/>
          </w:tcPr>
          <w:p>
            <w:pPr>
              <w:topLinePunct/>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szCs w:val="21"/>
              </w:rPr>
            </w:pPr>
            <w:r>
              <w:rPr>
                <w:rFonts w:hint="eastAsia"/>
                <w:szCs w:val="21"/>
              </w:rPr>
              <w:t>合同签订日期</w:t>
            </w:r>
          </w:p>
        </w:tc>
        <w:tc>
          <w:tcPr>
            <w:tcW w:w="6185" w:type="dxa"/>
            <w:vAlign w:val="center"/>
          </w:tcPr>
          <w:p>
            <w:pPr>
              <w:topLinePunct/>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szCs w:val="21"/>
              </w:rPr>
            </w:pPr>
            <w:r>
              <w:rPr>
                <w:rFonts w:hint="eastAsia"/>
                <w:szCs w:val="21"/>
              </w:rPr>
              <w:t>金额</w:t>
            </w:r>
          </w:p>
        </w:tc>
        <w:tc>
          <w:tcPr>
            <w:tcW w:w="6185" w:type="dxa"/>
            <w:vAlign w:val="center"/>
          </w:tcPr>
          <w:p>
            <w:pPr>
              <w:topLinePunct/>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szCs w:val="21"/>
              </w:rPr>
            </w:pPr>
            <w:r>
              <w:rPr>
                <w:rFonts w:hint="eastAsia"/>
                <w:szCs w:val="21"/>
              </w:rPr>
              <w:t>项目负责人</w:t>
            </w:r>
          </w:p>
        </w:tc>
        <w:tc>
          <w:tcPr>
            <w:tcW w:w="6185" w:type="dxa"/>
            <w:vAlign w:val="center"/>
          </w:tcPr>
          <w:p>
            <w:pPr>
              <w:topLinePunct/>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2775" w:type="dxa"/>
            <w:vAlign w:val="center"/>
          </w:tcPr>
          <w:p>
            <w:pPr>
              <w:topLinePunct/>
              <w:adjustRightInd w:val="0"/>
              <w:spacing w:line="440" w:lineRule="exact"/>
              <w:jc w:val="center"/>
              <w:textAlignment w:val="baseline"/>
              <w:rPr>
                <w:szCs w:val="21"/>
              </w:rPr>
            </w:pPr>
            <w:r>
              <w:rPr>
                <w:rFonts w:hint="eastAsia"/>
                <w:szCs w:val="21"/>
              </w:rPr>
              <w:t>项目描述</w:t>
            </w:r>
          </w:p>
        </w:tc>
        <w:tc>
          <w:tcPr>
            <w:tcW w:w="6185" w:type="dxa"/>
            <w:vAlign w:val="center"/>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2775" w:type="dxa"/>
            <w:vAlign w:val="center"/>
          </w:tcPr>
          <w:p>
            <w:pPr>
              <w:topLinePunct/>
              <w:adjustRightInd w:val="0"/>
              <w:spacing w:line="440" w:lineRule="exact"/>
              <w:jc w:val="center"/>
              <w:textAlignment w:val="baseline"/>
              <w:rPr>
                <w:szCs w:val="21"/>
              </w:rPr>
            </w:pPr>
            <w:r>
              <w:rPr>
                <w:rFonts w:hint="eastAsia"/>
                <w:szCs w:val="21"/>
              </w:rPr>
              <w:t>备注</w:t>
            </w:r>
          </w:p>
        </w:tc>
        <w:tc>
          <w:tcPr>
            <w:tcW w:w="6185" w:type="dxa"/>
            <w:vAlign w:val="center"/>
          </w:tcPr>
          <w:p>
            <w:pPr>
              <w:topLinePunct/>
              <w:adjustRightInd w:val="0"/>
              <w:spacing w:line="440" w:lineRule="exact"/>
              <w:jc w:val="center"/>
              <w:textAlignment w:val="baseline"/>
              <w:rPr>
                <w:szCs w:val="21"/>
              </w:rPr>
            </w:pPr>
          </w:p>
        </w:tc>
      </w:tr>
    </w:tbl>
    <w:p>
      <w:pPr>
        <w:spacing w:line="440" w:lineRule="exact"/>
        <w:rPr>
          <w:rFonts w:asci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、在本表后须附投标人与委托人签订的合同复印件（</w:t>
      </w:r>
      <w:r>
        <w:rPr>
          <w:rFonts w:hint="eastAsia" w:ascii="宋体" w:hAnsi="宋体"/>
          <w:b/>
          <w:szCs w:val="21"/>
        </w:rPr>
        <w:t>其财务检查、财政资金检查项目监督检查、政府投资建设项目财务决算审核标的金额须由第三方签章认定、项目名称及出具日期，</w:t>
      </w:r>
      <w:r>
        <w:rPr>
          <w:rFonts w:hint="eastAsia" w:ascii="宋体" w:hAnsi="宋体" w:cs="宋体"/>
          <w:szCs w:val="21"/>
        </w:rPr>
        <w:t>提供政府投资建设项目财务决算审核报告的还需委托方签章认定）</w:t>
      </w:r>
    </w:p>
    <w:p>
      <w:pPr>
        <w:spacing w:line="440" w:lineRule="exact"/>
        <w:rPr>
          <w:rFonts w:ascii="宋体" w:cs="宋体"/>
          <w:szCs w:val="21"/>
        </w:rPr>
      </w:pPr>
      <w:r>
        <w:rPr>
          <w:rFonts w:ascii="宋体" w:hAnsi="宋体" w:cs="宋体"/>
          <w:szCs w:val="21"/>
        </w:rPr>
        <w:t>2</w:t>
      </w:r>
      <w:r>
        <w:rPr>
          <w:rFonts w:hint="eastAsia" w:ascii="宋体" w:hAnsi="宋体" w:cs="宋体"/>
          <w:szCs w:val="21"/>
        </w:rPr>
        <w:t>、具体年份要求见投标人须知前附表，每张表格只填写一个项目，并标明序号。</w:t>
      </w:r>
    </w:p>
    <w:p>
      <w:pPr>
        <w:spacing w:line="440" w:lineRule="exact"/>
        <w:rPr>
          <w:rFonts w:ascii="宋体" w:cs="宋体"/>
          <w:szCs w:val="21"/>
          <w:lang w:val="zh-CN"/>
        </w:rPr>
      </w:pPr>
      <w:r>
        <w:rPr>
          <w:rFonts w:ascii="宋体" w:hAnsi="宋体" w:cs="宋体"/>
          <w:szCs w:val="21"/>
        </w:rPr>
        <w:t>3</w:t>
      </w:r>
      <w:r>
        <w:rPr>
          <w:rFonts w:hint="eastAsia" w:ascii="宋体" w:hAnsi="宋体" w:cs="宋体"/>
          <w:szCs w:val="21"/>
        </w:rPr>
        <w:t>、本表主要是用来计算投标人业绩得分，投标人只需列参与评分的项目即可。</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b/>
          <w:bCs/>
          <w:sz w:val="24"/>
          <w:szCs w:val="24"/>
        </w:rPr>
      </w:pPr>
      <w:r>
        <w:rPr>
          <w:rFonts w:hint="eastAsia" w:ascii="宋体" w:hAnsi="宋体" w:cs="宋体"/>
          <w:szCs w:val="21"/>
          <w:lang w:val="zh-CN"/>
        </w:rPr>
        <w:t>投标人法定代表人（或授权代表）签字：</w:t>
      </w:r>
    </w:p>
    <w:p>
      <w:pPr>
        <w:rPr>
          <w:rFonts w:hAnsi="宋体"/>
          <w:b/>
          <w:snapToGrid w:val="0"/>
          <w:kern w:val="0"/>
          <w:sz w:val="36"/>
          <w:szCs w:val="36"/>
        </w:rPr>
      </w:pPr>
      <w:r>
        <w:rPr>
          <w:rFonts w:hint="eastAsia" w:hAnsi="宋体"/>
          <w:b/>
          <w:snapToGrid w:val="0"/>
          <w:kern w:val="0"/>
          <w:sz w:val="36"/>
          <w:szCs w:val="36"/>
        </w:rPr>
        <w:t>4.4机构设置、内部管理制度、本地化全方位服务等</w:t>
      </w:r>
    </w:p>
    <w:p>
      <w:pPr>
        <w:autoSpaceDE w:val="0"/>
        <w:autoSpaceDN w:val="0"/>
        <w:adjustRightInd w:val="0"/>
        <w:spacing w:line="360" w:lineRule="auto"/>
        <w:jc w:val="center"/>
        <w:rPr>
          <w:rFonts w:ascii="宋体" w:cs="宋体"/>
          <w:szCs w:val="21"/>
          <w:lang w:val="zh-CN"/>
        </w:rPr>
      </w:pPr>
      <w:r>
        <w:rPr>
          <w:rFonts w:hint="eastAsia" w:ascii="宋体" w:hAnsi="宋体" w:cs="宋体"/>
          <w:szCs w:val="21"/>
          <w:lang w:val="zh-CN"/>
        </w:rPr>
        <w:t>（投标人根据招标文件要求自行编制）</w:t>
      </w:r>
    </w:p>
    <w:p>
      <w:pPr>
        <w:autoSpaceDE w:val="0"/>
        <w:autoSpaceDN w:val="0"/>
        <w:adjustRightInd w:val="0"/>
        <w:spacing w:line="360" w:lineRule="auto"/>
        <w:jc w:val="center"/>
        <w:outlineLvl w:val="0"/>
        <w:rPr>
          <w:rFonts w:ascii="宋体"/>
          <w:b/>
          <w:bCs/>
          <w:sz w:val="24"/>
          <w:szCs w:val="24"/>
        </w:rPr>
      </w:pPr>
    </w:p>
    <w:p>
      <w:pPr>
        <w:numPr>
          <w:ilvl w:val="0"/>
          <w:numId w:val="13"/>
        </w:numPr>
        <w:autoSpaceDE w:val="0"/>
        <w:autoSpaceDN w:val="0"/>
        <w:adjustRightInd w:val="0"/>
        <w:spacing w:line="360" w:lineRule="auto"/>
        <w:jc w:val="left"/>
        <w:outlineLvl w:val="0"/>
        <w:rPr>
          <w:rFonts w:ascii="宋体"/>
          <w:szCs w:val="21"/>
        </w:rPr>
      </w:pPr>
      <w:r>
        <w:rPr>
          <w:rFonts w:hint="eastAsia" w:ascii="宋体" w:hAnsi="宋体"/>
          <w:szCs w:val="21"/>
        </w:rPr>
        <w:t>投标人必须提供但不限于提供以下内容：</w:t>
      </w:r>
    </w:p>
    <w:p>
      <w:pPr>
        <w:autoSpaceDE w:val="0"/>
        <w:autoSpaceDN w:val="0"/>
        <w:adjustRightInd w:val="0"/>
        <w:spacing w:line="360" w:lineRule="auto"/>
        <w:ind w:firstLine="420" w:firstLineChars="200"/>
        <w:jc w:val="left"/>
        <w:outlineLvl w:val="0"/>
        <w:rPr>
          <w:rFonts w:ascii="宋体"/>
          <w:szCs w:val="21"/>
        </w:rPr>
      </w:pPr>
      <w:r>
        <w:rPr>
          <w:rFonts w:ascii="宋体" w:hAnsi="宋体"/>
          <w:szCs w:val="21"/>
        </w:rPr>
        <w:t>1</w:t>
      </w:r>
      <w:r>
        <w:rPr>
          <w:rFonts w:hint="eastAsia" w:ascii="宋体" w:hAnsi="宋体"/>
          <w:szCs w:val="21"/>
        </w:rPr>
        <w:t>、企业的机构设置；</w:t>
      </w:r>
    </w:p>
    <w:p>
      <w:pPr>
        <w:autoSpaceDE w:val="0"/>
        <w:autoSpaceDN w:val="0"/>
        <w:adjustRightInd w:val="0"/>
        <w:spacing w:line="360" w:lineRule="auto"/>
        <w:ind w:firstLine="420" w:firstLineChars="200"/>
        <w:jc w:val="left"/>
        <w:outlineLvl w:val="0"/>
        <w:rPr>
          <w:rFonts w:ascii="宋体"/>
          <w:szCs w:val="21"/>
        </w:rPr>
      </w:pPr>
      <w:r>
        <w:rPr>
          <w:rFonts w:ascii="宋体" w:hAnsi="宋体"/>
          <w:szCs w:val="21"/>
        </w:rPr>
        <w:t>2</w:t>
      </w:r>
      <w:r>
        <w:rPr>
          <w:rFonts w:hint="eastAsia" w:ascii="宋体" w:hAnsi="宋体"/>
          <w:szCs w:val="21"/>
        </w:rPr>
        <w:t>、内部管理制度；</w:t>
      </w:r>
    </w:p>
    <w:p>
      <w:pPr>
        <w:autoSpaceDE w:val="0"/>
        <w:autoSpaceDN w:val="0"/>
        <w:adjustRightInd w:val="0"/>
        <w:spacing w:line="360" w:lineRule="auto"/>
        <w:jc w:val="left"/>
        <w:outlineLvl w:val="0"/>
        <w:rPr>
          <w:rFonts w:ascii="宋体"/>
          <w:szCs w:val="21"/>
        </w:rPr>
      </w:pPr>
      <w:r>
        <w:rPr>
          <w:rFonts w:hint="eastAsia" w:ascii="宋体" w:hAnsi="宋体"/>
          <w:szCs w:val="21"/>
        </w:rPr>
        <w:t>二、投标人本地化全方位服务承诺；</w:t>
      </w:r>
    </w:p>
    <w:p>
      <w:pPr>
        <w:autoSpaceDE w:val="0"/>
        <w:autoSpaceDN w:val="0"/>
        <w:adjustRightInd w:val="0"/>
        <w:spacing w:line="360" w:lineRule="auto"/>
        <w:jc w:val="left"/>
        <w:outlineLvl w:val="0"/>
        <w:rPr>
          <w:rFonts w:ascii="宋体"/>
          <w:szCs w:val="21"/>
        </w:rPr>
      </w:pPr>
      <w:r>
        <w:rPr>
          <w:rFonts w:hint="eastAsia" w:ascii="宋体" w:hAnsi="宋体"/>
          <w:szCs w:val="21"/>
        </w:rPr>
        <w:t>三、</w:t>
      </w:r>
      <w:r>
        <w:rPr>
          <w:rFonts w:ascii="宋体"/>
          <w:szCs w:val="21"/>
        </w:rPr>
        <w:t>......</w:t>
      </w:r>
    </w:p>
    <w:p>
      <w:pPr>
        <w:autoSpaceDE w:val="0"/>
        <w:autoSpaceDN w:val="0"/>
        <w:adjustRightInd w:val="0"/>
        <w:spacing w:line="360" w:lineRule="auto"/>
        <w:jc w:val="left"/>
        <w:outlineLvl w:val="0"/>
        <w:rPr>
          <w:rFonts w:ascii="宋体"/>
          <w:szCs w:val="21"/>
        </w:rPr>
      </w:pPr>
    </w:p>
    <w:p>
      <w:pPr>
        <w:autoSpaceDE w:val="0"/>
        <w:autoSpaceDN w:val="0"/>
        <w:adjustRightInd w:val="0"/>
        <w:spacing w:line="360" w:lineRule="auto"/>
        <w:jc w:val="left"/>
        <w:outlineLvl w:val="0"/>
        <w:rPr>
          <w:rFonts w:ascii="宋体"/>
          <w:szCs w:val="21"/>
        </w:rPr>
      </w:pPr>
    </w:p>
    <w:p>
      <w:pPr>
        <w:autoSpaceDE w:val="0"/>
        <w:autoSpaceDN w:val="0"/>
        <w:adjustRightInd w:val="0"/>
        <w:spacing w:line="360" w:lineRule="auto"/>
        <w:jc w:val="left"/>
        <w:outlineLvl w:val="0"/>
        <w:rPr>
          <w:rFonts w:ascii="宋体"/>
          <w:szCs w:val="21"/>
        </w:rPr>
      </w:pPr>
    </w:p>
    <w:p>
      <w:pPr>
        <w:spacing w:line="360" w:lineRule="exact"/>
        <w:ind w:firstLine="3675" w:firstLineChars="1750"/>
        <w:rPr>
          <w:szCs w:val="21"/>
        </w:rPr>
      </w:pPr>
      <w:r>
        <w:rPr>
          <w:rFonts w:hint="eastAsia"/>
          <w:szCs w:val="21"/>
        </w:rPr>
        <w:t>投标人：（盖单位公章）</w:t>
      </w:r>
    </w:p>
    <w:p>
      <w:pPr>
        <w:spacing w:line="360" w:lineRule="exact"/>
        <w:ind w:firstLine="3675" w:firstLineChars="1750"/>
        <w:rPr>
          <w:szCs w:val="21"/>
        </w:rPr>
      </w:pPr>
      <w:r>
        <w:rPr>
          <w:rFonts w:hint="eastAsia"/>
          <w:szCs w:val="21"/>
        </w:rPr>
        <w:t>法定代表人或其委托代理人：（签字或盖章）</w:t>
      </w:r>
    </w:p>
    <w:p>
      <w:pPr>
        <w:spacing w:line="360" w:lineRule="exact"/>
        <w:ind w:firstLine="3780" w:firstLineChars="1800"/>
        <w:jc w:val="left"/>
        <w:rPr>
          <w:szCs w:val="21"/>
        </w:rPr>
      </w:pPr>
      <w:r>
        <w:rPr>
          <w:rFonts w:hint="eastAsia"/>
          <w:szCs w:val="21"/>
          <w:lang w:eastAsia="zh-CN"/>
        </w:rPr>
        <w:t>日期：</w:t>
      </w:r>
      <w:r>
        <w:rPr>
          <w:rFonts w:hint="eastAsia"/>
          <w:szCs w:val="21"/>
        </w:rPr>
        <w:t>年月日</w:t>
      </w:r>
    </w:p>
    <w:p>
      <w:pPr>
        <w:autoSpaceDE w:val="0"/>
        <w:autoSpaceDN w:val="0"/>
        <w:adjustRightInd w:val="0"/>
        <w:spacing w:line="360" w:lineRule="auto"/>
        <w:jc w:val="left"/>
        <w:outlineLvl w:val="0"/>
        <w:rPr>
          <w:rFonts w:ascii="宋体"/>
          <w:szCs w:val="21"/>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t xml:space="preserve">4.5 </w:t>
      </w:r>
      <w:r>
        <w:rPr>
          <w:rFonts w:hint="eastAsia" w:hAnsi="宋体"/>
          <w:b/>
          <w:snapToGrid w:val="0"/>
          <w:kern w:val="0"/>
          <w:sz w:val="36"/>
          <w:szCs w:val="36"/>
        </w:rPr>
        <w:t>投标人信用</w:t>
      </w:r>
    </w:p>
    <w:p>
      <w:pPr>
        <w:autoSpaceDE w:val="0"/>
        <w:autoSpaceDN w:val="0"/>
        <w:adjustRightInd w:val="0"/>
        <w:spacing w:line="360" w:lineRule="auto"/>
        <w:jc w:val="center"/>
        <w:outlineLvl w:val="0"/>
        <w:rPr>
          <w:rFonts w:ascii="宋体"/>
          <w:b/>
          <w:bCs/>
          <w:sz w:val="24"/>
          <w:szCs w:val="24"/>
        </w:rPr>
      </w:pPr>
    </w:p>
    <w:p>
      <w:pPr>
        <w:spacing w:line="360" w:lineRule="auto"/>
        <w:rPr>
          <w:rFonts w:ascii="宋体"/>
          <w:szCs w:val="21"/>
        </w:rPr>
      </w:pPr>
      <w:r>
        <w:rPr>
          <w:rFonts w:hint="eastAsia" w:ascii="宋体" w:hAnsi="宋体"/>
          <w:szCs w:val="21"/>
        </w:rPr>
        <w:t>1、投标人提供2016年1月1日以来注册地市级（不包括县级市）及以上经社会信用体系建设主管部门认可的信用评级机构出具的有效的企业信用报告，提供河南省信用建设促进会-信用河南网（www.xyhnw.com）或其他省、市信用网上公布的信用等级评级机构名单，截图证明或查询网址。</w:t>
      </w:r>
    </w:p>
    <w:p>
      <w:pPr>
        <w:tabs>
          <w:tab w:val="left" w:pos="3675"/>
        </w:tabs>
        <w:spacing w:line="360" w:lineRule="auto"/>
        <w:rPr>
          <w:rFonts w:ascii="宋体" w:hAnsi="宋体"/>
          <w:szCs w:val="21"/>
        </w:rPr>
      </w:pPr>
      <w:r>
        <w:rPr>
          <w:rFonts w:hint="eastAsia" w:ascii="宋体" w:hAnsi="宋体"/>
          <w:szCs w:val="21"/>
        </w:rPr>
        <w:t>2、投标人提供有效的</w:t>
      </w:r>
      <w:r>
        <w:rPr>
          <w:rFonts w:ascii="宋体" w:hAnsi="宋体"/>
          <w:szCs w:val="21"/>
        </w:rPr>
        <w:t>ISO900</w:t>
      </w:r>
      <w:r>
        <w:rPr>
          <w:rFonts w:hint="eastAsia" w:ascii="宋体" w:hAnsi="宋体"/>
          <w:szCs w:val="21"/>
        </w:rPr>
        <w:t>1认证证书和中国认证认可监督管理委员会网站上查询的截图证明。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hAnsi="宋体"/>
          <w:b/>
          <w:snapToGrid w:val="0"/>
          <w:kern w:val="0"/>
          <w:sz w:val="36"/>
          <w:szCs w:val="36"/>
        </w:rPr>
      </w:pPr>
    </w:p>
    <w:p>
      <w:pPr>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t>4.</w:t>
      </w:r>
      <w:r>
        <w:rPr>
          <w:rFonts w:hint="eastAsia" w:hAnsi="宋体"/>
          <w:b/>
          <w:snapToGrid w:val="0"/>
          <w:kern w:val="0"/>
          <w:sz w:val="36"/>
          <w:szCs w:val="36"/>
        </w:rPr>
        <w:t>6会计师事务所专业服务本项目人员团队</w:t>
      </w:r>
    </w:p>
    <w:tbl>
      <w:tblPr>
        <w:tblStyle w:val="22"/>
        <w:tblW w:w="8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88"/>
        <w:gridCol w:w="858"/>
        <w:gridCol w:w="1715"/>
        <w:gridCol w:w="1857"/>
        <w:gridCol w:w="794"/>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5" w:hRule="atLeast"/>
          <w:jc w:val="center"/>
        </w:trPr>
        <w:tc>
          <w:tcPr>
            <w:tcW w:w="828" w:type="dxa"/>
            <w:vAlign w:val="center"/>
          </w:tcPr>
          <w:p>
            <w:pPr>
              <w:spacing w:line="460" w:lineRule="exact"/>
              <w:jc w:val="center"/>
              <w:rPr>
                <w:rFonts w:ascii="宋体"/>
                <w:b/>
                <w:bCs/>
                <w:sz w:val="24"/>
              </w:rPr>
            </w:pPr>
            <w:r>
              <w:rPr>
                <w:rFonts w:hint="eastAsia" w:ascii="宋体" w:hAnsi="宋体"/>
                <w:b/>
                <w:sz w:val="24"/>
              </w:rPr>
              <w:t>序号</w:t>
            </w:r>
          </w:p>
        </w:tc>
        <w:tc>
          <w:tcPr>
            <w:tcW w:w="1588" w:type="dxa"/>
            <w:vAlign w:val="center"/>
          </w:tcPr>
          <w:p>
            <w:pPr>
              <w:spacing w:line="460" w:lineRule="exact"/>
              <w:jc w:val="center"/>
              <w:rPr>
                <w:rFonts w:ascii="宋体"/>
                <w:b/>
                <w:bCs/>
                <w:sz w:val="24"/>
              </w:rPr>
            </w:pPr>
            <w:r>
              <w:rPr>
                <w:rFonts w:hint="eastAsia" w:ascii="宋体" w:hAnsi="宋体"/>
                <w:b/>
                <w:sz w:val="24"/>
              </w:rPr>
              <w:t>姓名</w:t>
            </w:r>
          </w:p>
        </w:tc>
        <w:tc>
          <w:tcPr>
            <w:tcW w:w="858" w:type="dxa"/>
            <w:vAlign w:val="center"/>
          </w:tcPr>
          <w:p>
            <w:pPr>
              <w:spacing w:line="460" w:lineRule="exact"/>
              <w:jc w:val="center"/>
              <w:rPr>
                <w:rFonts w:ascii="宋体"/>
                <w:b/>
                <w:bCs/>
                <w:sz w:val="24"/>
              </w:rPr>
            </w:pPr>
            <w:r>
              <w:rPr>
                <w:rFonts w:hint="eastAsia" w:ascii="宋体" w:hAnsi="宋体"/>
                <w:b/>
                <w:sz w:val="24"/>
              </w:rPr>
              <w:t>性别</w:t>
            </w:r>
          </w:p>
        </w:tc>
        <w:tc>
          <w:tcPr>
            <w:tcW w:w="1715" w:type="dxa"/>
            <w:vAlign w:val="center"/>
          </w:tcPr>
          <w:p>
            <w:pPr>
              <w:spacing w:line="460" w:lineRule="exact"/>
              <w:jc w:val="center"/>
              <w:rPr>
                <w:rFonts w:ascii="宋体"/>
                <w:b/>
                <w:bCs/>
                <w:sz w:val="24"/>
              </w:rPr>
            </w:pPr>
            <w:r>
              <w:rPr>
                <w:rFonts w:hint="eastAsia" w:ascii="宋体" w:hAnsi="宋体"/>
                <w:b/>
                <w:sz w:val="24"/>
              </w:rPr>
              <w:t>年龄</w:t>
            </w:r>
          </w:p>
        </w:tc>
        <w:tc>
          <w:tcPr>
            <w:tcW w:w="1857" w:type="dxa"/>
            <w:vAlign w:val="center"/>
          </w:tcPr>
          <w:p>
            <w:pPr>
              <w:spacing w:line="460" w:lineRule="exact"/>
              <w:jc w:val="center"/>
              <w:rPr>
                <w:rFonts w:ascii="宋体"/>
                <w:b/>
                <w:bCs/>
                <w:sz w:val="24"/>
              </w:rPr>
            </w:pPr>
            <w:r>
              <w:rPr>
                <w:rFonts w:hint="eastAsia" w:ascii="宋体" w:hAnsi="宋体"/>
                <w:b/>
                <w:sz w:val="24"/>
              </w:rPr>
              <w:t>资格证书号、证书类别</w:t>
            </w:r>
          </w:p>
        </w:tc>
        <w:tc>
          <w:tcPr>
            <w:tcW w:w="794" w:type="dxa"/>
            <w:vAlign w:val="center"/>
          </w:tcPr>
          <w:p>
            <w:pPr>
              <w:spacing w:line="460" w:lineRule="exact"/>
              <w:jc w:val="center"/>
              <w:rPr>
                <w:rFonts w:ascii="宋体"/>
                <w:b/>
                <w:bCs/>
                <w:sz w:val="24"/>
              </w:rPr>
            </w:pPr>
            <w:r>
              <w:rPr>
                <w:rFonts w:hint="eastAsia" w:ascii="宋体"/>
                <w:b/>
                <w:bCs/>
                <w:sz w:val="24"/>
              </w:rPr>
              <w:t>职称</w:t>
            </w:r>
          </w:p>
        </w:tc>
        <w:tc>
          <w:tcPr>
            <w:tcW w:w="780" w:type="dxa"/>
            <w:vAlign w:val="center"/>
          </w:tcPr>
          <w:p>
            <w:pPr>
              <w:spacing w:line="46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c>
          <w:tcPr>
            <w:tcW w:w="780"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c>
          <w:tcPr>
            <w:tcW w:w="780"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c>
          <w:tcPr>
            <w:tcW w:w="780"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c>
          <w:tcPr>
            <w:tcW w:w="780"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c>
          <w:tcPr>
            <w:tcW w:w="780"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c>
          <w:tcPr>
            <w:tcW w:w="780"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828" w:type="dxa"/>
          </w:tcPr>
          <w:p>
            <w:pPr>
              <w:spacing w:line="460" w:lineRule="exact"/>
              <w:jc w:val="left"/>
              <w:rPr>
                <w:rFonts w:ascii="宋体"/>
                <w:b/>
                <w:bCs/>
                <w:szCs w:val="21"/>
              </w:rPr>
            </w:pPr>
            <w:r>
              <w:rPr>
                <w:rFonts w:hint="eastAsia" w:ascii="宋体"/>
                <w:b/>
                <w:bCs/>
                <w:szCs w:val="21"/>
              </w:rPr>
              <w:t>…</w:t>
            </w:r>
          </w:p>
        </w:tc>
        <w:tc>
          <w:tcPr>
            <w:tcW w:w="1588" w:type="dxa"/>
          </w:tcPr>
          <w:p>
            <w:pPr>
              <w:spacing w:line="460" w:lineRule="exact"/>
              <w:jc w:val="left"/>
              <w:rPr>
                <w:rFonts w:ascii="宋体"/>
                <w:b/>
                <w:bCs/>
                <w:szCs w:val="21"/>
              </w:rPr>
            </w:pPr>
            <w:r>
              <w:rPr>
                <w:rFonts w:hint="eastAsia" w:ascii="宋体"/>
                <w:b/>
                <w:bCs/>
                <w:szCs w:val="21"/>
              </w:rPr>
              <w:t>…</w:t>
            </w:r>
          </w:p>
        </w:tc>
        <w:tc>
          <w:tcPr>
            <w:tcW w:w="858" w:type="dxa"/>
          </w:tcPr>
          <w:p>
            <w:pPr>
              <w:spacing w:line="460" w:lineRule="exact"/>
              <w:jc w:val="left"/>
              <w:rPr>
                <w:rFonts w:ascii="宋体"/>
                <w:b/>
                <w:bCs/>
                <w:szCs w:val="21"/>
              </w:rPr>
            </w:pPr>
            <w:r>
              <w:rPr>
                <w:rFonts w:hint="eastAsia" w:ascii="宋体"/>
                <w:b/>
                <w:bCs/>
                <w:szCs w:val="21"/>
              </w:rPr>
              <w:t>…</w:t>
            </w:r>
          </w:p>
        </w:tc>
        <w:tc>
          <w:tcPr>
            <w:tcW w:w="1715" w:type="dxa"/>
          </w:tcPr>
          <w:p>
            <w:pPr>
              <w:spacing w:line="460" w:lineRule="exact"/>
              <w:jc w:val="left"/>
              <w:rPr>
                <w:rFonts w:ascii="宋体"/>
                <w:b/>
                <w:bCs/>
                <w:szCs w:val="21"/>
              </w:rPr>
            </w:pPr>
          </w:p>
        </w:tc>
        <w:tc>
          <w:tcPr>
            <w:tcW w:w="1857" w:type="dxa"/>
          </w:tcPr>
          <w:p>
            <w:pPr>
              <w:spacing w:line="460" w:lineRule="exact"/>
              <w:jc w:val="left"/>
              <w:rPr>
                <w:rFonts w:ascii="宋体"/>
                <w:b/>
                <w:bCs/>
                <w:szCs w:val="21"/>
              </w:rPr>
            </w:pPr>
          </w:p>
        </w:tc>
        <w:tc>
          <w:tcPr>
            <w:tcW w:w="794" w:type="dxa"/>
          </w:tcPr>
          <w:p>
            <w:pPr>
              <w:spacing w:line="460" w:lineRule="exact"/>
              <w:jc w:val="left"/>
              <w:rPr>
                <w:rFonts w:ascii="宋体"/>
                <w:b/>
                <w:bCs/>
                <w:szCs w:val="21"/>
              </w:rPr>
            </w:pPr>
          </w:p>
        </w:tc>
        <w:tc>
          <w:tcPr>
            <w:tcW w:w="780" w:type="dxa"/>
          </w:tcPr>
          <w:p>
            <w:pPr>
              <w:spacing w:line="460" w:lineRule="exact"/>
              <w:jc w:val="left"/>
              <w:rPr>
                <w:rFonts w:ascii="宋体"/>
                <w:b/>
                <w:bCs/>
                <w:szCs w:val="21"/>
              </w:rPr>
            </w:pPr>
          </w:p>
        </w:tc>
      </w:tr>
    </w:tbl>
    <w:p>
      <w:pPr>
        <w:tabs>
          <w:tab w:val="left" w:pos="1260"/>
        </w:tabs>
        <w:autoSpaceDE w:val="0"/>
        <w:autoSpaceDN w:val="0"/>
        <w:spacing w:line="360" w:lineRule="auto"/>
        <w:ind w:firstLine="482" w:firstLineChars="200"/>
        <w:contextualSpacing/>
        <w:rPr>
          <w:rFonts w:ascii="宋体" w:hAnsi="宋体" w:cs="仿宋_GB2312"/>
          <w:sz w:val="24"/>
          <w:szCs w:val="24"/>
        </w:rPr>
      </w:pPr>
      <w:r>
        <w:rPr>
          <w:rFonts w:hint="eastAsia" w:ascii="宋体" w:hAnsi="宋体"/>
          <w:b/>
          <w:bCs/>
          <w:sz w:val="24"/>
        </w:rPr>
        <w:t>注：</w:t>
      </w:r>
      <w:r>
        <w:rPr>
          <w:rFonts w:hint="eastAsia" w:ascii="宋体" w:hAnsi="宋体" w:cs="仿宋_GB2312"/>
          <w:sz w:val="24"/>
          <w:szCs w:val="24"/>
        </w:rPr>
        <w:t>提供拟投入专业服务许昌项目人员团队名单，包括拟投入本项目注册会计师和其他工作人员。所提供专业团队名单，在服务期限内该团队80%专业技术人员保持固定，还需提供专业服务许昌项目团队名单中全部人员的社保缴纳证明</w:t>
      </w:r>
      <w:r>
        <w:rPr>
          <w:rFonts w:hint="eastAsia" w:ascii="宋体" w:hAnsi="宋体" w:cs="仿宋_GB2312"/>
          <w:color w:val="FF0000"/>
          <w:sz w:val="24"/>
          <w:szCs w:val="24"/>
        </w:rPr>
        <w:t>（2019年</w:t>
      </w:r>
      <w:r>
        <w:rPr>
          <w:rFonts w:hint="eastAsia" w:ascii="宋体" w:hAnsi="宋体" w:cs="仿宋_GB2312"/>
          <w:color w:val="FF0000"/>
          <w:sz w:val="24"/>
          <w:szCs w:val="24"/>
          <w:lang w:val="en-US" w:eastAsia="zh-CN"/>
        </w:rPr>
        <w:t>4</w:t>
      </w:r>
      <w:r>
        <w:rPr>
          <w:rFonts w:hint="eastAsia" w:ascii="宋体" w:hAnsi="宋体" w:cs="仿宋_GB2312"/>
          <w:color w:val="FF0000"/>
          <w:sz w:val="24"/>
          <w:szCs w:val="24"/>
        </w:rPr>
        <w:t>月至</w:t>
      </w:r>
      <w:r>
        <w:rPr>
          <w:rFonts w:hint="eastAsia" w:ascii="宋体" w:hAnsi="宋体" w:cs="仿宋_GB2312"/>
          <w:color w:val="FF0000"/>
          <w:sz w:val="24"/>
          <w:szCs w:val="24"/>
          <w:lang w:val="en-US" w:eastAsia="zh-CN"/>
        </w:rPr>
        <w:t>6</w:t>
      </w:r>
      <w:r>
        <w:rPr>
          <w:rFonts w:hint="eastAsia" w:ascii="宋体" w:hAnsi="宋体" w:cs="仿宋_GB2312"/>
          <w:color w:val="FF0000"/>
          <w:sz w:val="24"/>
          <w:szCs w:val="24"/>
        </w:rPr>
        <w:t>月</w:t>
      </w:r>
      <w:r>
        <w:rPr>
          <w:rFonts w:hint="eastAsia" w:ascii="宋体" w:hAnsi="宋体" w:cs="仿宋_GB2312"/>
          <w:sz w:val="24"/>
          <w:szCs w:val="24"/>
        </w:rPr>
        <w:t>）。（依法不需要缴纳社会保障资金的投标人，应提供相应文件证明依法不需要缴纳社会保障资金）</w:t>
      </w:r>
    </w:p>
    <w:p>
      <w:pPr>
        <w:spacing w:line="460" w:lineRule="exact"/>
        <w:jc w:val="left"/>
        <w:rPr>
          <w:rFonts w:ascii="宋体" w:hAnsi="宋体"/>
          <w:b/>
          <w:bCs/>
          <w:sz w:val="24"/>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r>
        <w:rPr>
          <w:rFonts w:hAnsi="宋体"/>
          <w:b/>
          <w:snapToGrid w:val="0"/>
          <w:kern w:val="0"/>
          <w:sz w:val="36"/>
          <w:szCs w:val="36"/>
        </w:rPr>
        <w:t>4.</w:t>
      </w:r>
      <w:r>
        <w:rPr>
          <w:rFonts w:hint="eastAsia" w:hAnsi="宋体"/>
          <w:b/>
          <w:snapToGrid w:val="0"/>
          <w:kern w:val="0"/>
          <w:sz w:val="36"/>
          <w:szCs w:val="36"/>
        </w:rPr>
        <w:t>6</w:t>
      </w:r>
      <w:r>
        <w:rPr>
          <w:rFonts w:hAnsi="宋体"/>
          <w:b/>
          <w:snapToGrid w:val="0"/>
          <w:kern w:val="0"/>
          <w:sz w:val="36"/>
          <w:szCs w:val="36"/>
        </w:rPr>
        <w:t>.1</w:t>
      </w:r>
      <w:r>
        <w:rPr>
          <w:rFonts w:hint="eastAsia" w:hAnsi="宋体"/>
          <w:b/>
          <w:snapToGrid w:val="0"/>
          <w:kern w:val="0"/>
          <w:sz w:val="36"/>
          <w:szCs w:val="36"/>
        </w:rPr>
        <w:t>拟投入专业服务本项目注册会计师</w:t>
      </w:r>
    </w:p>
    <w:tbl>
      <w:tblPr>
        <w:tblStyle w:val="22"/>
        <w:tblW w:w="7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88"/>
        <w:gridCol w:w="858"/>
        <w:gridCol w:w="1715"/>
        <w:gridCol w:w="1857"/>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828" w:type="dxa"/>
            <w:vAlign w:val="center"/>
          </w:tcPr>
          <w:p>
            <w:pPr>
              <w:spacing w:line="460" w:lineRule="exact"/>
              <w:jc w:val="center"/>
              <w:rPr>
                <w:rFonts w:ascii="宋体"/>
                <w:b/>
                <w:bCs/>
                <w:sz w:val="24"/>
              </w:rPr>
            </w:pPr>
            <w:r>
              <w:rPr>
                <w:rFonts w:hint="eastAsia" w:ascii="宋体" w:hAnsi="宋体"/>
                <w:b/>
                <w:sz w:val="24"/>
              </w:rPr>
              <w:t>序号</w:t>
            </w:r>
          </w:p>
        </w:tc>
        <w:tc>
          <w:tcPr>
            <w:tcW w:w="1588" w:type="dxa"/>
            <w:vAlign w:val="center"/>
          </w:tcPr>
          <w:p>
            <w:pPr>
              <w:spacing w:line="460" w:lineRule="exact"/>
              <w:jc w:val="center"/>
              <w:rPr>
                <w:rFonts w:ascii="宋体"/>
                <w:b/>
                <w:bCs/>
                <w:sz w:val="24"/>
              </w:rPr>
            </w:pPr>
            <w:r>
              <w:rPr>
                <w:rFonts w:hint="eastAsia" w:ascii="宋体" w:hAnsi="宋体"/>
                <w:b/>
                <w:sz w:val="24"/>
              </w:rPr>
              <w:t>姓名</w:t>
            </w:r>
          </w:p>
        </w:tc>
        <w:tc>
          <w:tcPr>
            <w:tcW w:w="858" w:type="dxa"/>
            <w:vAlign w:val="center"/>
          </w:tcPr>
          <w:p>
            <w:pPr>
              <w:spacing w:line="460" w:lineRule="exact"/>
              <w:jc w:val="center"/>
              <w:rPr>
                <w:rFonts w:ascii="宋体"/>
                <w:b/>
                <w:bCs/>
                <w:sz w:val="24"/>
              </w:rPr>
            </w:pPr>
            <w:r>
              <w:rPr>
                <w:rFonts w:hint="eastAsia" w:ascii="宋体" w:hAnsi="宋体"/>
                <w:b/>
                <w:sz w:val="24"/>
              </w:rPr>
              <w:t>性别</w:t>
            </w:r>
          </w:p>
        </w:tc>
        <w:tc>
          <w:tcPr>
            <w:tcW w:w="1715" w:type="dxa"/>
            <w:vAlign w:val="center"/>
          </w:tcPr>
          <w:p>
            <w:pPr>
              <w:spacing w:line="460" w:lineRule="exact"/>
              <w:jc w:val="center"/>
              <w:rPr>
                <w:rFonts w:ascii="宋体"/>
                <w:b/>
                <w:bCs/>
                <w:sz w:val="24"/>
              </w:rPr>
            </w:pPr>
            <w:r>
              <w:rPr>
                <w:rFonts w:hint="eastAsia" w:ascii="宋体" w:hAnsi="宋体"/>
                <w:b/>
                <w:sz w:val="24"/>
              </w:rPr>
              <w:t>年龄</w:t>
            </w:r>
          </w:p>
        </w:tc>
        <w:tc>
          <w:tcPr>
            <w:tcW w:w="1857" w:type="dxa"/>
            <w:vAlign w:val="center"/>
          </w:tcPr>
          <w:p>
            <w:pPr>
              <w:spacing w:line="460" w:lineRule="exact"/>
              <w:jc w:val="center"/>
              <w:rPr>
                <w:rFonts w:ascii="宋体"/>
                <w:b/>
                <w:bCs/>
                <w:sz w:val="24"/>
              </w:rPr>
            </w:pPr>
            <w:r>
              <w:rPr>
                <w:rFonts w:hint="eastAsia" w:ascii="宋体" w:hAnsi="宋体"/>
                <w:b/>
                <w:sz w:val="24"/>
              </w:rPr>
              <w:t>资格证书号、证书类别</w:t>
            </w:r>
          </w:p>
        </w:tc>
        <w:tc>
          <w:tcPr>
            <w:tcW w:w="794" w:type="dxa"/>
            <w:vAlign w:val="center"/>
          </w:tcPr>
          <w:p>
            <w:pPr>
              <w:spacing w:line="460" w:lineRule="exact"/>
              <w:jc w:val="center"/>
              <w:rPr>
                <w:rFonts w:ascii="宋体"/>
                <w:b/>
                <w:bCs/>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828" w:type="dxa"/>
          </w:tcPr>
          <w:p>
            <w:pPr>
              <w:spacing w:line="460" w:lineRule="exact"/>
              <w:jc w:val="left"/>
              <w:rPr>
                <w:rFonts w:ascii="宋体"/>
                <w:b/>
                <w:bCs/>
                <w:szCs w:val="21"/>
              </w:rPr>
            </w:pPr>
            <w:r>
              <w:rPr>
                <w:rFonts w:hint="eastAsia" w:ascii="宋体"/>
                <w:b/>
                <w:bCs/>
                <w:szCs w:val="21"/>
              </w:rPr>
              <w:t>…</w:t>
            </w:r>
          </w:p>
        </w:tc>
        <w:tc>
          <w:tcPr>
            <w:tcW w:w="1588" w:type="dxa"/>
          </w:tcPr>
          <w:p>
            <w:pPr>
              <w:spacing w:line="460" w:lineRule="exact"/>
              <w:jc w:val="left"/>
              <w:rPr>
                <w:rFonts w:ascii="宋体"/>
                <w:b/>
                <w:bCs/>
                <w:szCs w:val="21"/>
              </w:rPr>
            </w:pPr>
            <w:r>
              <w:rPr>
                <w:rFonts w:hint="eastAsia" w:ascii="宋体"/>
                <w:b/>
                <w:bCs/>
                <w:szCs w:val="21"/>
              </w:rPr>
              <w:t>…</w:t>
            </w:r>
          </w:p>
        </w:tc>
        <w:tc>
          <w:tcPr>
            <w:tcW w:w="858" w:type="dxa"/>
          </w:tcPr>
          <w:p>
            <w:pPr>
              <w:spacing w:line="460" w:lineRule="exact"/>
              <w:jc w:val="left"/>
              <w:rPr>
                <w:rFonts w:ascii="宋体"/>
                <w:b/>
                <w:bCs/>
                <w:szCs w:val="21"/>
              </w:rPr>
            </w:pPr>
            <w:r>
              <w:rPr>
                <w:rFonts w:hint="eastAsia" w:ascii="宋体"/>
                <w:b/>
                <w:bCs/>
                <w:szCs w:val="21"/>
              </w:rPr>
              <w:t>…</w:t>
            </w:r>
          </w:p>
        </w:tc>
        <w:tc>
          <w:tcPr>
            <w:tcW w:w="1715" w:type="dxa"/>
          </w:tcPr>
          <w:p>
            <w:pPr>
              <w:spacing w:line="460" w:lineRule="exact"/>
              <w:jc w:val="left"/>
              <w:rPr>
                <w:rFonts w:ascii="宋体"/>
                <w:b/>
                <w:bCs/>
                <w:szCs w:val="21"/>
              </w:rPr>
            </w:pPr>
          </w:p>
        </w:tc>
        <w:tc>
          <w:tcPr>
            <w:tcW w:w="1857" w:type="dxa"/>
          </w:tcPr>
          <w:p>
            <w:pPr>
              <w:spacing w:line="460" w:lineRule="exact"/>
              <w:jc w:val="left"/>
              <w:rPr>
                <w:rFonts w:ascii="宋体"/>
                <w:b/>
                <w:bCs/>
                <w:szCs w:val="21"/>
              </w:rPr>
            </w:pPr>
          </w:p>
        </w:tc>
        <w:tc>
          <w:tcPr>
            <w:tcW w:w="794" w:type="dxa"/>
          </w:tcPr>
          <w:p>
            <w:pPr>
              <w:spacing w:line="460" w:lineRule="exact"/>
              <w:jc w:val="left"/>
              <w:rPr>
                <w:rFonts w:ascii="宋体"/>
                <w:b/>
                <w:bCs/>
                <w:szCs w:val="21"/>
              </w:rPr>
            </w:pPr>
          </w:p>
        </w:tc>
      </w:tr>
    </w:tbl>
    <w:p>
      <w:pPr>
        <w:spacing w:line="460" w:lineRule="exact"/>
        <w:jc w:val="left"/>
        <w:rPr>
          <w:rFonts w:ascii="宋体"/>
          <w:b/>
          <w:bCs/>
          <w:color w:val="FF0000"/>
          <w:szCs w:val="21"/>
        </w:rPr>
      </w:pPr>
      <w:r>
        <w:rPr>
          <w:rFonts w:hint="eastAsia" w:ascii="宋体" w:hAnsi="宋体"/>
          <w:color w:val="FF0000"/>
          <w:szCs w:val="21"/>
        </w:rPr>
        <w:t>注：后附拟投入</w:t>
      </w:r>
      <w:r>
        <w:rPr>
          <w:rFonts w:hint="eastAsia" w:ascii="宋体" w:hAnsi="宋体"/>
          <w:bCs/>
          <w:color w:val="FF0000"/>
          <w:szCs w:val="21"/>
        </w:rPr>
        <w:t>注册会计师证书</w:t>
      </w:r>
      <w:r>
        <w:rPr>
          <w:rFonts w:hint="eastAsia" w:ascii="宋体" w:hAnsi="宋体"/>
          <w:color w:val="FF0000"/>
          <w:szCs w:val="21"/>
        </w:rPr>
        <w:t>及相应</w:t>
      </w:r>
      <w:r>
        <w:rPr>
          <w:rFonts w:hint="eastAsia" w:ascii="宋体" w:hAnsi="宋体"/>
          <w:bCs/>
          <w:color w:val="FF0000"/>
          <w:szCs w:val="21"/>
        </w:rPr>
        <w:t>社保缴纳证明（2019年</w:t>
      </w:r>
      <w:r>
        <w:rPr>
          <w:rFonts w:hint="eastAsia" w:ascii="宋体" w:hAnsi="宋体"/>
          <w:bCs/>
          <w:color w:val="FF0000"/>
          <w:szCs w:val="21"/>
          <w:lang w:val="en-US" w:eastAsia="zh-CN"/>
        </w:rPr>
        <w:t>4</w:t>
      </w:r>
      <w:r>
        <w:rPr>
          <w:rFonts w:hint="eastAsia" w:ascii="宋体" w:hAnsi="宋体"/>
          <w:bCs/>
          <w:color w:val="FF0000"/>
          <w:szCs w:val="21"/>
        </w:rPr>
        <w:t>月至</w:t>
      </w:r>
      <w:r>
        <w:rPr>
          <w:rFonts w:hint="eastAsia" w:ascii="宋体" w:hAnsi="宋体"/>
          <w:bCs/>
          <w:color w:val="FF0000"/>
          <w:szCs w:val="21"/>
          <w:lang w:val="en-US" w:eastAsia="zh-CN"/>
        </w:rPr>
        <w:t>6</w:t>
      </w:r>
      <w:r>
        <w:rPr>
          <w:rFonts w:hint="eastAsia" w:ascii="宋体" w:hAnsi="宋体"/>
          <w:bCs/>
          <w:color w:val="FF0000"/>
          <w:szCs w:val="21"/>
        </w:rPr>
        <w:t>月）</w:t>
      </w:r>
      <w:r>
        <w:rPr>
          <w:rFonts w:hint="eastAsia" w:ascii="宋体" w:hAnsi="宋体"/>
          <w:color w:val="FF0000"/>
          <w:szCs w:val="21"/>
        </w:rPr>
        <w:t>并加盖单位公章。</w:t>
      </w:r>
      <w:r>
        <w:rPr>
          <w:rFonts w:hint="eastAsia" w:ascii="宋体" w:hAnsi="宋体"/>
          <w:bCs/>
          <w:color w:val="FF0000"/>
          <w:sz w:val="24"/>
          <w:szCs w:val="24"/>
        </w:rPr>
        <w:t>（依法不需要缴纳社会保障资金的投标人，应提供相应文件证明依法不需要缴纳社会保障资金）</w:t>
      </w: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r>
        <w:rPr>
          <w:rFonts w:hAnsi="宋体"/>
          <w:b/>
          <w:snapToGrid w:val="0"/>
          <w:kern w:val="0"/>
          <w:sz w:val="36"/>
          <w:szCs w:val="36"/>
        </w:rPr>
        <w:t>4.</w:t>
      </w:r>
      <w:r>
        <w:rPr>
          <w:rFonts w:hint="eastAsia" w:hAnsi="宋体"/>
          <w:b/>
          <w:snapToGrid w:val="0"/>
          <w:kern w:val="0"/>
          <w:sz w:val="36"/>
          <w:szCs w:val="36"/>
        </w:rPr>
        <w:t>6</w:t>
      </w:r>
      <w:r>
        <w:rPr>
          <w:rFonts w:hAnsi="宋体"/>
          <w:b/>
          <w:snapToGrid w:val="0"/>
          <w:kern w:val="0"/>
          <w:sz w:val="36"/>
          <w:szCs w:val="36"/>
        </w:rPr>
        <w:t>.2</w:t>
      </w:r>
      <w:r>
        <w:rPr>
          <w:rFonts w:hint="eastAsia" w:hAnsi="宋体"/>
          <w:b/>
          <w:snapToGrid w:val="0"/>
          <w:kern w:val="0"/>
          <w:sz w:val="36"/>
          <w:szCs w:val="36"/>
        </w:rPr>
        <w:t>拟投入专业服务本项目其他工作人员</w:t>
      </w:r>
    </w:p>
    <w:p>
      <w:pPr>
        <w:spacing w:line="460" w:lineRule="exact"/>
        <w:jc w:val="left"/>
        <w:rPr>
          <w:rFonts w:ascii="宋体"/>
          <w:b/>
          <w:sz w:val="28"/>
          <w:szCs w:val="28"/>
        </w:rPr>
      </w:pPr>
    </w:p>
    <w:tbl>
      <w:tblPr>
        <w:tblStyle w:val="22"/>
        <w:tblW w:w="8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276"/>
        <w:gridCol w:w="709"/>
        <w:gridCol w:w="1230"/>
        <w:gridCol w:w="1701"/>
        <w:gridCol w:w="1417"/>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821" w:type="dxa"/>
            <w:vAlign w:val="center"/>
          </w:tcPr>
          <w:p>
            <w:pPr>
              <w:spacing w:line="460" w:lineRule="exact"/>
              <w:jc w:val="center"/>
              <w:rPr>
                <w:rFonts w:ascii="宋体"/>
                <w:bCs/>
                <w:sz w:val="24"/>
              </w:rPr>
            </w:pPr>
            <w:r>
              <w:rPr>
                <w:rFonts w:hint="eastAsia" w:ascii="宋体" w:hAnsi="宋体"/>
                <w:sz w:val="24"/>
              </w:rPr>
              <w:t>序号</w:t>
            </w:r>
          </w:p>
        </w:tc>
        <w:tc>
          <w:tcPr>
            <w:tcW w:w="1276" w:type="dxa"/>
            <w:vAlign w:val="center"/>
          </w:tcPr>
          <w:p>
            <w:pPr>
              <w:spacing w:line="460" w:lineRule="exact"/>
              <w:jc w:val="center"/>
              <w:rPr>
                <w:rFonts w:ascii="宋体"/>
                <w:bCs/>
                <w:sz w:val="24"/>
              </w:rPr>
            </w:pPr>
            <w:r>
              <w:rPr>
                <w:rFonts w:hint="eastAsia" w:ascii="宋体" w:hAnsi="宋体"/>
                <w:sz w:val="24"/>
              </w:rPr>
              <w:t>姓名</w:t>
            </w:r>
          </w:p>
        </w:tc>
        <w:tc>
          <w:tcPr>
            <w:tcW w:w="709" w:type="dxa"/>
            <w:vAlign w:val="center"/>
          </w:tcPr>
          <w:p>
            <w:pPr>
              <w:spacing w:line="460" w:lineRule="exact"/>
              <w:jc w:val="center"/>
              <w:rPr>
                <w:rFonts w:ascii="宋体"/>
                <w:bCs/>
                <w:sz w:val="24"/>
              </w:rPr>
            </w:pPr>
            <w:r>
              <w:rPr>
                <w:rFonts w:hint="eastAsia" w:ascii="宋体" w:hAnsi="宋体"/>
                <w:sz w:val="24"/>
              </w:rPr>
              <w:t>性别</w:t>
            </w:r>
          </w:p>
        </w:tc>
        <w:tc>
          <w:tcPr>
            <w:tcW w:w="1230" w:type="dxa"/>
            <w:vAlign w:val="center"/>
          </w:tcPr>
          <w:p>
            <w:pPr>
              <w:spacing w:line="460" w:lineRule="exact"/>
              <w:jc w:val="center"/>
              <w:rPr>
                <w:rFonts w:ascii="宋体"/>
                <w:bCs/>
                <w:sz w:val="24"/>
              </w:rPr>
            </w:pPr>
            <w:r>
              <w:rPr>
                <w:rFonts w:hint="eastAsia" w:ascii="宋体" w:hAnsi="宋体"/>
                <w:sz w:val="24"/>
              </w:rPr>
              <w:t>年龄</w:t>
            </w:r>
          </w:p>
        </w:tc>
        <w:tc>
          <w:tcPr>
            <w:tcW w:w="1701" w:type="dxa"/>
            <w:vAlign w:val="center"/>
          </w:tcPr>
          <w:p>
            <w:pPr>
              <w:spacing w:line="460" w:lineRule="exact"/>
              <w:jc w:val="center"/>
              <w:rPr>
                <w:rFonts w:ascii="宋体"/>
                <w:sz w:val="24"/>
              </w:rPr>
            </w:pPr>
            <w:r>
              <w:rPr>
                <w:rFonts w:hint="eastAsia" w:ascii="宋体" w:hAnsi="宋体"/>
                <w:bCs/>
                <w:sz w:val="24"/>
              </w:rPr>
              <w:t>资格证书号、证书类别</w:t>
            </w:r>
          </w:p>
        </w:tc>
        <w:tc>
          <w:tcPr>
            <w:tcW w:w="1417" w:type="dxa"/>
            <w:vAlign w:val="center"/>
          </w:tcPr>
          <w:p>
            <w:pPr>
              <w:spacing w:line="460" w:lineRule="exact"/>
              <w:jc w:val="center"/>
              <w:rPr>
                <w:rFonts w:ascii="宋体"/>
                <w:bCs/>
                <w:sz w:val="24"/>
              </w:rPr>
            </w:pPr>
            <w:r>
              <w:rPr>
                <w:rFonts w:hint="eastAsia" w:ascii="宋体" w:hAnsi="宋体"/>
                <w:sz w:val="24"/>
              </w:rPr>
              <w:t>职称</w:t>
            </w:r>
          </w:p>
        </w:tc>
        <w:tc>
          <w:tcPr>
            <w:tcW w:w="866" w:type="dxa"/>
            <w:vAlign w:val="center"/>
          </w:tcPr>
          <w:p>
            <w:pPr>
              <w:spacing w:line="460" w:lineRule="exact"/>
              <w:jc w:val="center"/>
              <w:rPr>
                <w:rFonts w:ascii="宋体"/>
                <w:bCs/>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jc w:val="center"/>
        </w:trPr>
        <w:tc>
          <w:tcPr>
            <w:tcW w:w="821" w:type="dxa"/>
          </w:tcPr>
          <w:p>
            <w:pPr>
              <w:spacing w:line="460" w:lineRule="exact"/>
              <w:jc w:val="left"/>
              <w:rPr>
                <w:rFonts w:ascii="宋体"/>
                <w:bCs/>
                <w:sz w:val="24"/>
              </w:rPr>
            </w:pPr>
          </w:p>
        </w:tc>
        <w:tc>
          <w:tcPr>
            <w:tcW w:w="1276" w:type="dxa"/>
          </w:tcPr>
          <w:p>
            <w:pPr>
              <w:spacing w:line="460" w:lineRule="exact"/>
              <w:jc w:val="left"/>
              <w:rPr>
                <w:rFonts w:ascii="宋体"/>
                <w:bCs/>
                <w:sz w:val="24"/>
              </w:rPr>
            </w:pPr>
          </w:p>
        </w:tc>
        <w:tc>
          <w:tcPr>
            <w:tcW w:w="709" w:type="dxa"/>
          </w:tcPr>
          <w:p>
            <w:pPr>
              <w:spacing w:line="460" w:lineRule="exact"/>
              <w:jc w:val="left"/>
              <w:rPr>
                <w:rFonts w:ascii="宋体"/>
                <w:bCs/>
                <w:sz w:val="24"/>
              </w:rPr>
            </w:pPr>
          </w:p>
        </w:tc>
        <w:tc>
          <w:tcPr>
            <w:tcW w:w="1230"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417" w:type="dxa"/>
          </w:tcPr>
          <w:p>
            <w:pPr>
              <w:spacing w:line="460" w:lineRule="exact"/>
              <w:jc w:val="left"/>
              <w:rPr>
                <w:rFonts w:ascii="宋体"/>
                <w:bCs/>
                <w:sz w:val="24"/>
              </w:rPr>
            </w:pPr>
          </w:p>
        </w:tc>
        <w:tc>
          <w:tcPr>
            <w:tcW w:w="866" w:type="dxa"/>
          </w:tcPr>
          <w:p>
            <w:pPr>
              <w:spacing w:line="46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1" w:type="dxa"/>
          </w:tcPr>
          <w:p>
            <w:pPr>
              <w:spacing w:line="460" w:lineRule="exact"/>
              <w:jc w:val="left"/>
              <w:rPr>
                <w:rFonts w:ascii="宋体"/>
                <w:bCs/>
                <w:sz w:val="24"/>
              </w:rPr>
            </w:pPr>
          </w:p>
        </w:tc>
        <w:tc>
          <w:tcPr>
            <w:tcW w:w="1276" w:type="dxa"/>
          </w:tcPr>
          <w:p>
            <w:pPr>
              <w:spacing w:line="460" w:lineRule="exact"/>
              <w:jc w:val="left"/>
              <w:rPr>
                <w:rFonts w:ascii="宋体"/>
                <w:bCs/>
                <w:sz w:val="24"/>
              </w:rPr>
            </w:pPr>
          </w:p>
        </w:tc>
        <w:tc>
          <w:tcPr>
            <w:tcW w:w="709" w:type="dxa"/>
          </w:tcPr>
          <w:p>
            <w:pPr>
              <w:spacing w:line="460" w:lineRule="exact"/>
              <w:jc w:val="left"/>
              <w:rPr>
                <w:rFonts w:ascii="宋体"/>
                <w:bCs/>
                <w:sz w:val="24"/>
              </w:rPr>
            </w:pPr>
          </w:p>
        </w:tc>
        <w:tc>
          <w:tcPr>
            <w:tcW w:w="1230"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417" w:type="dxa"/>
          </w:tcPr>
          <w:p>
            <w:pPr>
              <w:spacing w:line="460" w:lineRule="exact"/>
              <w:jc w:val="left"/>
              <w:rPr>
                <w:rFonts w:ascii="宋体"/>
                <w:bCs/>
                <w:sz w:val="24"/>
              </w:rPr>
            </w:pPr>
          </w:p>
        </w:tc>
        <w:tc>
          <w:tcPr>
            <w:tcW w:w="866" w:type="dxa"/>
          </w:tcPr>
          <w:p>
            <w:pPr>
              <w:spacing w:line="46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1" w:type="dxa"/>
          </w:tcPr>
          <w:p>
            <w:pPr>
              <w:spacing w:line="460" w:lineRule="exact"/>
              <w:jc w:val="left"/>
              <w:rPr>
                <w:rFonts w:ascii="宋体"/>
                <w:bCs/>
                <w:sz w:val="24"/>
              </w:rPr>
            </w:pPr>
          </w:p>
        </w:tc>
        <w:tc>
          <w:tcPr>
            <w:tcW w:w="1276" w:type="dxa"/>
          </w:tcPr>
          <w:p>
            <w:pPr>
              <w:spacing w:line="460" w:lineRule="exact"/>
              <w:jc w:val="left"/>
              <w:rPr>
                <w:rFonts w:ascii="宋体"/>
                <w:bCs/>
                <w:sz w:val="24"/>
              </w:rPr>
            </w:pPr>
          </w:p>
        </w:tc>
        <w:tc>
          <w:tcPr>
            <w:tcW w:w="709" w:type="dxa"/>
          </w:tcPr>
          <w:p>
            <w:pPr>
              <w:spacing w:line="460" w:lineRule="exact"/>
              <w:jc w:val="left"/>
              <w:rPr>
                <w:rFonts w:ascii="宋体"/>
                <w:bCs/>
                <w:sz w:val="24"/>
              </w:rPr>
            </w:pPr>
          </w:p>
        </w:tc>
        <w:tc>
          <w:tcPr>
            <w:tcW w:w="1230"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417" w:type="dxa"/>
          </w:tcPr>
          <w:p>
            <w:pPr>
              <w:spacing w:line="460" w:lineRule="exact"/>
              <w:jc w:val="left"/>
              <w:rPr>
                <w:rFonts w:ascii="宋体"/>
                <w:bCs/>
                <w:sz w:val="24"/>
              </w:rPr>
            </w:pPr>
          </w:p>
        </w:tc>
        <w:tc>
          <w:tcPr>
            <w:tcW w:w="866" w:type="dxa"/>
          </w:tcPr>
          <w:p>
            <w:pPr>
              <w:spacing w:line="46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1" w:type="dxa"/>
          </w:tcPr>
          <w:p>
            <w:pPr>
              <w:spacing w:line="460" w:lineRule="exact"/>
              <w:jc w:val="left"/>
              <w:rPr>
                <w:rFonts w:ascii="宋体"/>
                <w:bCs/>
                <w:sz w:val="24"/>
              </w:rPr>
            </w:pPr>
          </w:p>
        </w:tc>
        <w:tc>
          <w:tcPr>
            <w:tcW w:w="1276" w:type="dxa"/>
          </w:tcPr>
          <w:p>
            <w:pPr>
              <w:spacing w:line="460" w:lineRule="exact"/>
              <w:jc w:val="left"/>
              <w:rPr>
                <w:rFonts w:ascii="宋体"/>
                <w:bCs/>
                <w:sz w:val="24"/>
              </w:rPr>
            </w:pPr>
          </w:p>
        </w:tc>
        <w:tc>
          <w:tcPr>
            <w:tcW w:w="709" w:type="dxa"/>
          </w:tcPr>
          <w:p>
            <w:pPr>
              <w:spacing w:line="460" w:lineRule="exact"/>
              <w:jc w:val="left"/>
              <w:rPr>
                <w:rFonts w:ascii="宋体"/>
                <w:bCs/>
                <w:sz w:val="24"/>
              </w:rPr>
            </w:pPr>
          </w:p>
        </w:tc>
        <w:tc>
          <w:tcPr>
            <w:tcW w:w="1230"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417" w:type="dxa"/>
          </w:tcPr>
          <w:p>
            <w:pPr>
              <w:spacing w:line="460" w:lineRule="exact"/>
              <w:jc w:val="left"/>
              <w:rPr>
                <w:rFonts w:ascii="宋体"/>
                <w:bCs/>
                <w:sz w:val="24"/>
              </w:rPr>
            </w:pPr>
          </w:p>
        </w:tc>
        <w:tc>
          <w:tcPr>
            <w:tcW w:w="866" w:type="dxa"/>
          </w:tcPr>
          <w:p>
            <w:pPr>
              <w:spacing w:line="46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1" w:type="dxa"/>
          </w:tcPr>
          <w:p>
            <w:pPr>
              <w:spacing w:line="460" w:lineRule="exact"/>
              <w:jc w:val="left"/>
              <w:rPr>
                <w:rFonts w:ascii="宋体"/>
                <w:bCs/>
                <w:sz w:val="24"/>
              </w:rPr>
            </w:pPr>
          </w:p>
        </w:tc>
        <w:tc>
          <w:tcPr>
            <w:tcW w:w="1276" w:type="dxa"/>
          </w:tcPr>
          <w:p>
            <w:pPr>
              <w:spacing w:line="460" w:lineRule="exact"/>
              <w:jc w:val="left"/>
              <w:rPr>
                <w:rFonts w:ascii="宋体"/>
                <w:bCs/>
                <w:sz w:val="24"/>
              </w:rPr>
            </w:pPr>
          </w:p>
        </w:tc>
        <w:tc>
          <w:tcPr>
            <w:tcW w:w="709" w:type="dxa"/>
          </w:tcPr>
          <w:p>
            <w:pPr>
              <w:spacing w:line="460" w:lineRule="exact"/>
              <w:jc w:val="left"/>
              <w:rPr>
                <w:rFonts w:ascii="宋体"/>
                <w:bCs/>
                <w:sz w:val="24"/>
              </w:rPr>
            </w:pPr>
          </w:p>
        </w:tc>
        <w:tc>
          <w:tcPr>
            <w:tcW w:w="1230"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417" w:type="dxa"/>
          </w:tcPr>
          <w:p>
            <w:pPr>
              <w:spacing w:line="460" w:lineRule="exact"/>
              <w:jc w:val="left"/>
              <w:rPr>
                <w:rFonts w:ascii="宋体"/>
                <w:bCs/>
                <w:sz w:val="24"/>
              </w:rPr>
            </w:pPr>
          </w:p>
        </w:tc>
        <w:tc>
          <w:tcPr>
            <w:tcW w:w="866" w:type="dxa"/>
          </w:tcPr>
          <w:p>
            <w:pPr>
              <w:spacing w:line="46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1" w:type="dxa"/>
          </w:tcPr>
          <w:p>
            <w:pPr>
              <w:spacing w:line="460" w:lineRule="exact"/>
              <w:jc w:val="left"/>
              <w:rPr>
                <w:rFonts w:ascii="宋体"/>
                <w:bCs/>
                <w:sz w:val="24"/>
              </w:rPr>
            </w:pPr>
          </w:p>
        </w:tc>
        <w:tc>
          <w:tcPr>
            <w:tcW w:w="1276" w:type="dxa"/>
          </w:tcPr>
          <w:p>
            <w:pPr>
              <w:spacing w:line="460" w:lineRule="exact"/>
              <w:jc w:val="left"/>
              <w:rPr>
                <w:rFonts w:ascii="宋体"/>
                <w:bCs/>
                <w:sz w:val="24"/>
              </w:rPr>
            </w:pPr>
          </w:p>
        </w:tc>
        <w:tc>
          <w:tcPr>
            <w:tcW w:w="709" w:type="dxa"/>
          </w:tcPr>
          <w:p>
            <w:pPr>
              <w:spacing w:line="460" w:lineRule="exact"/>
              <w:jc w:val="left"/>
              <w:rPr>
                <w:rFonts w:ascii="宋体"/>
                <w:bCs/>
                <w:sz w:val="24"/>
              </w:rPr>
            </w:pPr>
          </w:p>
        </w:tc>
        <w:tc>
          <w:tcPr>
            <w:tcW w:w="1230"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417" w:type="dxa"/>
          </w:tcPr>
          <w:p>
            <w:pPr>
              <w:spacing w:line="460" w:lineRule="exact"/>
              <w:jc w:val="left"/>
              <w:rPr>
                <w:rFonts w:ascii="宋体"/>
                <w:bCs/>
                <w:sz w:val="24"/>
              </w:rPr>
            </w:pPr>
          </w:p>
        </w:tc>
        <w:tc>
          <w:tcPr>
            <w:tcW w:w="866" w:type="dxa"/>
          </w:tcPr>
          <w:p>
            <w:pPr>
              <w:spacing w:line="46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1" w:type="dxa"/>
          </w:tcPr>
          <w:p>
            <w:pPr>
              <w:spacing w:line="460" w:lineRule="exact"/>
              <w:jc w:val="left"/>
              <w:rPr>
                <w:rFonts w:ascii="宋体"/>
                <w:bCs/>
                <w:sz w:val="24"/>
              </w:rPr>
            </w:pPr>
            <w:r>
              <w:rPr>
                <w:rFonts w:hint="eastAsia" w:ascii="宋体"/>
                <w:bCs/>
                <w:sz w:val="24"/>
              </w:rPr>
              <w:t>…</w:t>
            </w:r>
          </w:p>
        </w:tc>
        <w:tc>
          <w:tcPr>
            <w:tcW w:w="1276" w:type="dxa"/>
          </w:tcPr>
          <w:p>
            <w:pPr>
              <w:spacing w:line="460" w:lineRule="exact"/>
              <w:jc w:val="left"/>
              <w:rPr>
                <w:rFonts w:ascii="宋体"/>
                <w:bCs/>
                <w:sz w:val="24"/>
              </w:rPr>
            </w:pPr>
            <w:r>
              <w:rPr>
                <w:rFonts w:hint="eastAsia" w:ascii="宋体"/>
                <w:bCs/>
                <w:sz w:val="24"/>
              </w:rPr>
              <w:t>…</w:t>
            </w:r>
          </w:p>
        </w:tc>
        <w:tc>
          <w:tcPr>
            <w:tcW w:w="709" w:type="dxa"/>
          </w:tcPr>
          <w:p>
            <w:pPr>
              <w:spacing w:line="460" w:lineRule="exact"/>
              <w:jc w:val="left"/>
              <w:rPr>
                <w:rFonts w:ascii="宋体"/>
                <w:bCs/>
                <w:sz w:val="24"/>
              </w:rPr>
            </w:pPr>
            <w:r>
              <w:rPr>
                <w:rFonts w:hint="eastAsia" w:ascii="宋体"/>
                <w:bCs/>
                <w:sz w:val="24"/>
              </w:rPr>
              <w:t>…</w:t>
            </w:r>
          </w:p>
        </w:tc>
        <w:tc>
          <w:tcPr>
            <w:tcW w:w="1230"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417" w:type="dxa"/>
          </w:tcPr>
          <w:p>
            <w:pPr>
              <w:spacing w:line="460" w:lineRule="exact"/>
              <w:jc w:val="left"/>
              <w:rPr>
                <w:rFonts w:ascii="宋体"/>
                <w:bCs/>
                <w:sz w:val="24"/>
              </w:rPr>
            </w:pPr>
          </w:p>
        </w:tc>
        <w:tc>
          <w:tcPr>
            <w:tcW w:w="866" w:type="dxa"/>
          </w:tcPr>
          <w:p>
            <w:pPr>
              <w:spacing w:line="460" w:lineRule="exact"/>
              <w:jc w:val="left"/>
              <w:rPr>
                <w:rFonts w:ascii="宋体"/>
                <w:bCs/>
                <w:sz w:val="24"/>
              </w:rPr>
            </w:pPr>
          </w:p>
        </w:tc>
      </w:tr>
    </w:tbl>
    <w:p>
      <w:pPr>
        <w:spacing w:line="460" w:lineRule="exact"/>
        <w:jc w:val="left"/>
        <w:rPr>
          <w:rFonts w:ascii="宋体"/>
          <w:szCs w:val="21"/>
        </w:rPr>
      </w:pPr>
      <w:r>
        <w:rPr>
          <w:rFonts w:hint="eastAsia" w:ascii="宋体" w:hAnsi="宋体"/>
          <w:szCs w:val="21"/>
        </w:rPr>
        <w:t>注：后附拟投入人员证书及对应人员</w:t>
      </w:r>
      <w:r>
        <w:rPr>
          <w:rFonts w:hint="eastAsia" w:ascii="宋体" w:hAnsi="宋体"/>
          <w:bCs/>
          <w:szCs w:val="21"/>
        </w:rPr>
        <w:t>社保缴纳证明（2019年</w:t>
      </w:r>
      <w:r>
        <w:rPr>
          <w:rFonts w:hint="eastAsia" w:ascii="宋体" w:hAnsi="宋体"/>
          <w:bCs/>
          <w:szCs w:val="21"/>
          <w:lang w:val="en-US" w:eastAsia="zh-CN"/>
        </w:rPr>
        <w:t>4</w:t>
      </w:r>
      <w:r>
        <w:rPr>
          <w:rFonts w:hint="eastAsia" w:ascii="宋体" w:hAnsi="宋体"/>
          <w:bCs/>
          <w:szCs w:val="21"/>
        </w:rPr>
        <w:t>月至</w:t>
      </w:r>
      <w:r>
        <w:rPr>
          <w:rFonts w:hint="eastAsia" w:ascii="宋体" w:hAnsi="宋体"/>
          <w:bCs/>
          <w:szCs w:val="21"/>
          <w:lang w:val="en-US" w:eastAsia="zh-CN"/>
        </w:rPr>
        <w:t>6</w:t>
      </w:r>
      <w:r>
        <w:rPr>
          <w:rFonts w:hint="eastAsia" w:ascii="宋体" w:hAnsi="宋体"/>
          <w:bCs/>
          <w:szCs w:val="21"/>
        </w:rPr>
        <w:t>月）</w:t>
      </w:r>
      <w:r>
        <w:rPr>
          <w:rFonts w:hint="eastAsia" w:ascii="宋体" w:hAnsi="宋体"/>
          <w:szCs w:val="21"/>
        </w:rPr>
        <w:t>并加盖单位公章。</w:t>
      </w:r>
      <w:r>
        <w:rPr>
          <w:rFonts w:hint="eastAsia" w:ascii="宋体" w:hAnsi="宋体"/>
          <w:bCs/>
          <w:sz w:val="24"/>
          <w:szCs w:val="24"/>
        </w:rPr>
        <w:t>（依法不需要缴纳社会保障资金的投标人，应提供相应文件证明依法不需要缴纳社会保障资金）</w:t>
      </w:r>
    </w:p>
    <w:p>
      <w:pPr>
        <w:spacing w:line="460" w:lineRule="exact"/>
        <w:jc w:val="left"/>
        <w:rPr>
          <w:rFonts w:ascii="宋体"/>
          <w:b/>
          <w:sz w:val="24"/>
        </w:rPr>
      </w:pPr>
      <w:r>
        <w:rPr>
          <w:rFonts w:hint="eastAsia" w:ascii="宋体" w:hAnsi="宋体"/>
          <w:b/>
          <w:sz w:val="24"/>
        </w:rPr>
        <w:t>特别提示：不得与</w:t>
      </w:r>
      <w:r>
        <w:rPr>
          <w:rFonts w:ascii="宋体" w:hAnsi="宋体"/>
          <w:b/>
          <w:sz w:val="24"/>
        </w:rPr>
        <w:t>4.</w:t>
      </w:r>
      <w:r>
        <w:rPr>
          <w:rFonts w:hint="eastAsia" w:ascii="宋体" w:hAnsi="宋体"/>
          <w:b/>
          <w:sz w:val="24"/>
        </w:rPr>
        <w:t>6</w:t>
      </w:r>
      <w:r>
        <w:rPr>
          <w:rFonts w:ascii="宋体" w:hAnsi="宋体"/>
          <w:b/>
          <w:sz w:val="24"/>
        </w:rPr>
        <w:t>.</w:t>
      </w:r>
      <w:r>
        <w:rPr>
          <w:rFonts w:hint="eastAsia" w:ascii="宋体" w:hAnsi="宋体"/>
          <w:b/>
          <w:sz w:val="24"/>
        </w:rPr>
        <w:t>1表中的人员重复，否则不予计算得分。</w:t>
      </w:r>
    </w:p>
    <w:p>
      <w:pPr>
        <w:spacing w:line="460" w:lineRule="exact"/>
        <w:jc w:val="left"/>
        <w:rPr>
          <w:rFonts w:ascii="宋体"/>
          <w:sz w:val="24"/>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Pr>
        <w:jc w:val="left"/>
        <w:sectPr>
          <w:footerReference r:id="rId3" w:type="default"/>
          <w:pgSz w:w="11906" w:h="16838"/>
          <w:pgMar w:top="2098" w:right="1474" w:bottom="1928" w:left="1588" w:header="851" w:footer="992" w:gutter="0"/>
          <w:pgNumType w:start="1"/>
          <w:cols w:space="425" w:num="1"/>
          <w:docGrid w:type="lines" w:linePitch="312" w:charSpace="0"/>
        </w:sectPr>
      </w:pPr>
    </w:p>
    <w:p>
      <w:pPr>
        <w:adjustRightInd w:val="0"/>
        <w:snapToGrid w:val="0"/>
        <w:spacing w:line="360" w:lineRule="auto"/>
        <w:rPr>
          <w:rFonts w:ascii="宋体" w:hAnsi="宋体" w:cs="宋体"/>
          <w:spacing w:val="10"/>
          <w:kern w:val="0"/>
          <w:sz w:val="32"/>
          <w:szCs w:val="32"/>
        </w:rPr>
      </w:pPr>
      <w:r>
        <w:rPr>
          <w:rFonts w:hint="eastAsia" w:ascii="宋体" w:hAnsi="宋体" w:cs="宋体"/>
          <w:spacing w:val="10"/>
          <w:kern w:val="0"/>
          <w:sz w:val="24"/>
        </w:rPr>
        <w:t>附件1</w:t>
      </w: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r>
        <w:rPr>
          <w:rFonts w:hint="eastAsia" w:ascii="宋体" w:hAnsi="宋体" w:cs="宋体"/>
          <w:b/>
          <w:sz w:val="32"/>
          <w:szCs w:val="32"/>
        </w:rPr>
        <w:t>服务期限内所提供的服务承诺</w:t>
      </w:r>
    </w:p>
    <w:p>
      <w:pPr>
        <w:autoSpaceDE w:val="0"/>
        <w:autoSpaceDN w:val="0"/>
        <w:adjustRightInd w:val="0"/>
        <w:snapToGrid w:val="0"/>
        <w:spacing w:line="360" w:lineRule="auto"/>
        <w:jc w:val="left"/>
        <w:rPr>
          <w:rFonts w:ascii="宋体" w:hAnsi="宋体" w:cs="宋体"/>
          <w:spacing w:val="10"/>
          <w:kern w:val="0"/>
          <w:sz w:val="32"/>
          <w:szCs w:val="32"/>
        </w:rPr>
      </w:pPr>
    </w:p>
    <w:p>
      <w:pPr>
        <w:autoSpaceDE w:val="0"/>
        <w:autoSpaceDN w:val="0"/>
        <w:adjustRightInd w:val="0"/>
        <w:spacing w:line="580" w:lineRule="exact"/>
        <w:jc w:val="left"/>
        <w:rPr>
          <w:rFonts w:ascii="宋体" w:hAnsi="宋体" w:cs="宋体"/>
          <w:spacing w:val="10"/>
          <w:kern w:val="0"/>
          <w:sz w:val="32"/>
          <w:szCs w:val="32"/>
        </w:rPr>
      </w:pPr>
    </w:p>
    <w:p>
      <w:pPr>
        <w:autoSpaceDE w:val="0"/>
        <w:autoSpaceDN w:val="0"/>
        <w:adjustRightInd w:val="0"/>
        <w:spacing w:line="580" w:lineRule="exact"/>
        <w:jc w:val="left"/>
        <w:rPr>
          <w:rFonts w:ascii="宋体" w:hAnsi="宋体" w:cs="宋体"/>
          <w:spacing w:val="10"/>
          <w:kern w:val="0"/>
          <w:sz w:val="32"/>
          <w:szCs w:val="32"/>
        </w:rPr>
      </w:pPr>
    </w:p>
    <w:p>
      <w:pPr>
        <w:autoSpaceDE w:val="0"/>
        <w:autoSpaceDN w:val="0"/>
        <w:adjustRightInd w:val="0"/>
        <w:spacing w:line="580" w:lineRule="exact"/>
        <w:jc w:val="left"/>
        <w:rPr>
          <w:rFonts w:ascii="宋体" w:hAnsi="宋体" w:cs="宋体"/>
          <w:spacing w:val="10"/>
          <w:kern w:val="0"/>
          <w:sz w:val="32"/>
          <w:szCs w:val="32"/>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br w:type="page"/>
      </w:r>
    </w:p>
    <w:p>
      <w:pPr>
        <w:spacing w:line="360" w:lineRule="auto"/>
        <w:rPr>
          <w:rFonts w:ascii="宋体" w:hAnsi="宋体" w:cs="宋体"/>
          <w:bCs/>
          <w:sz w:val="24"/>
        </w:rPr>
      </w:pPr>
      <w:r>
        <w:rPr>
          <w:rFonts w:hint="eastAsia" w:ascii="宋体" w:hAnsi="宋体" w:cs="宋体"/>
          <w:bCs/>
          <w:sz w:val="24"/>
        </w:rPr>
        <w:t>附件2</w:t>
      </w:r>
    </w:p>
    <w:p>
      <w:pPr>
        <w:pStyle w:val="6"/>
        <w:spacing w:after="156"/>
        <w:rPr>
          <w:rFonts w:cs="宋体"/>
          <w:color w:val="auto"/>
        </w:rPr>
      </w:pPr>
      <w:r>
        <w:rPr>
          <w:rFonts w:hint="eastAsia" w:cs="宋体"/>
          <w:color w:val="auto"/>
        </w:rPr>
        <w:t>投标人证明文件原件明细表</w:t>
      </w:r>
    </w:p>
    <w:tbl>
      <w:tblPr>
        <w:tblStyle w:val="22"/>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220"/>
        <w:gridCol w:w="1440"/>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szCs w:val="21"/>
              </w:rPr>
            </w:pPr>
            <w:r>
              <w:rPr>
                <w:rFonts w:hint="eastAsia" w:ascii="宋体" w:hAnsi="宋体" w:cs="宋体"/>
                <w:szCs w:val="21"/>
              </w:rPr>
              <w:t>序号</w:t>
            </w:r>
          </w:p>
        </w:tc>
        <w:tc>
          <w:tcPr>
            <w:tcW w:w="5220" w:type="dxa"/>
            <w:vAlign w:val="center"/>
          </w:tcPr>
          <w:p>
            <w:pPr>
              <w:jc w:val="center"/>
              <w:rPr>
                <w:rFonts w:ascii="宋体" w:hAnsi="宋体" w:cs="宋体"/>
                <w:szCs w:val="21"/>
              </w:rPr>
            </w:pPr>
            <w:r>
              <w:rPr>
                <w:rFonts w:hint="eastAsia" w:ascii="宋体" w:hAnsi="宋体" w:cs="宋体"/>
                <w:szCs w:val="21"/>
              </w:rPr>
              <w:t>证明文件原件名称</w:t>
            </w:r>
          </w:p>
        </w:tc>
        <w:tc>
          <w:tcPr>
            <w:tcW w:w="1440" w:type="dxa"/>
            <w:vAlign w:val="center"/>
          </w:tcPr>
          <w:p>
            <w:pPr>
              <w:jc w:val="center"/>
              <w:rPr>
                <w:rFonts w:ascii="宋体" w:hAnsi="宋体" w:cs="宋体"/>
                <w:szCs w:val="21"/>
              </w:rPr>
            </w:pPr>
            <w:r>
              <w:rPr>
                <w:rFonts w:hint="eastAsia" w:ascii="宋体" w:hAnsi="宋体" w:cs="宋体"/>
                <w:szCs w:val="21"/>
              </w:rPr>
              <w:t>份数</w:t>
            </w:r>
          </w:p>
        </w:tc>
        <w:tc>
          <w:tcPr>
            <w:tcW w:w="1507" w:type="dxa"/>
            <w:vAlign w:val="center"/>
          </w:tcPr>
          <w:p>
            <w:pPr>
              <w:jc w:val="center"/>
              <w:rPr>
                <w:rFonts w:ascii="宋体" w:hAnsi="宋体" w:cs="宋体"/>
                <w:szCs w:val="21"/>
              </w:rPr>
            </w:pPr>
            <w:r>
              <w:rPr>
                <w:rFonts w:hint="eastAsia" w:ascii="宋体" w:hAnsi="宋体" w:cs="宋体"/>
                <w:szCs w:val="21"/>
              </w:rPr>
              <w:t>每份页数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szCs w:val="21"/>
              </w:rPr>
            </w:pPr>
            <w:r>
              <w:rPr>
                <w:rFonts w:hint="eastAsia" w:ascii="宋体" w:hAnsi="宋体" w:cs="宋体"/>
                <w:szCs w:val="21"/>
              </w:rPr>
              <w:t>1</w:t>
            </w:r>
          </w:p>
        </w:tc>
        <w:tc>
          <w:tcPr>
            <w:tcW w:w="5220" w:type="dxa"/>
            <w:vAlign w:val="center"/>
          </w:tcPr>
          <w:p>
            <w:pPr>
              <w:jc w:val="center"/>
              <w:rPr>
                <w:rFonts w:ascii="宋体" w:hAnsi="宋体" w:cs="宋体"/>
                <w:szCs w:val="21"/>
              </w:rPr>
            </w:pPr>
          </w:p>
        </w:tc>
        <w:tc>
          <w:tcPr>
            <w:tcW w:w="1440" w:type="dxa"/>
            <w:vAlign w:val="center"/>
          </w:tcPr>
          <w:p>
            <w:pPr>
              <w:jc w:val="center"/>
              <w:rPr>
                <w:rFonts w:ascii="宋体" w:hAnsi="宋体" w:cs="宋体"/>
                <w:szCs w:val="21"/>
              </w:rPr>
            </w:pPr>
          </w:p>
        </w:tc>
        <w:tc>
          <w:tcPr>
            <w:tcW w:w="1507"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szCs w:val="21"/>
              </w:rPr>
            </w:pPr>
            <w:r>
              <w:rPr>
                <w:rFonts w:hint="eastAsia" w:ascii="宋体" w:hAnsi="宋体" w:cs="宋体"/>
                <w:szCs w:val="21"/>
              </w:rPr>
              <w:t>2</w:t>
            </w:r>
          </w:p>
        </w:tc>
        <w:tc>
          <w:tcPr>
            <w:tcW w:w="5220" w:type="dxa"/>
            <w:vAlign w:val="center"/>
          </w:tcPr>
          <w:p>
            <w:pPr>
              <w:jc w:val="center"/>
              <w:rPr>
                <w:rFonts w:ascii="宋体" w:hAnsi="宋体" w:cs="宋体"/>
                <w:sz w:val="24"/>
              </w:rPr>
            </w:pPr>
          </w:p>
        </w:tc>
        <w:tc>
          <w:tcPr>
            <w:tcW w:w="1440" w:type="dxa"/>
            <w:vAlign w:val="center"/>
          </w:tcPr>
          <w:p>
            <w:pPr>
              <w:jc w:val="center"/>
              <w:rPr>
                <w:rFonts w:ascii="宋体" w:hAnsi="宋体" w:cs="宋体"/>
                <w:sz w:val="24"/>
              </w:rPr>
            </w:pPr>
          </w:p>
        </w:tc>
        <w:tc>
          <w:tcPr>
            <w:tcW w:w="150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szCs w:val="21"/>
              </w:rPr>
            </w:pPr>
            <w:r>
              <w:rPr>
                <w:rFonts w:hint="eastAsia" w:ascii="宋体" w:hAnsi="宋体" w:cs="宋体"/>
                <w:szCs w:val="21"/>
              </w:rPr>
              <w:t>3</w:t>
            </w:r>
          </w:p>
        </w:tc>
        <w:tc>
          <w:tcPr>
            <w:tcW w:w="5220" w:type="dxa"/>
            <w:vAlign w:val="center"/>
          </w:tcPr>
          <w:p>
            <w:pPr>
              <w:jc w:val="center"/>
              <w:rPr>
                <w:rFonts w:ascii="宋体" w:hAnsi="宋体" w:cs="宋体"/>
                <w:sz w:val="24"/>
              </w:rPr>
            </w:pPr>
          </w:p>
        </w:tc>
        <w:tc>
          <w:tcPr>
            <w:tcW w:w="1440" w:type="dxa"/>
            <w:vAlign w:val="center"/>
          </w:tcPr>
          <w:p>
            <w:pPr>
              <w:jc w:val="center"/>
              <w:rPr>
                <w:rFonts w:ascii="宋体" w:hAnsi="宋体" w:cs="宋体"/>
                <w:sz w:val="24"/>
              </w:rPr>
            </w:pPr>
          </w:p>
        </w:tc>
        <w:tc>
          <w:tcPr>
            <w:tcW w:w="150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szCs w:val="21"/>
              </w:rPr>
            </w:pPr>
            <w:r>
              <w:rPr>
                <w:rFonts w:hint="eastAsia" w:ascii="宋体" w:hAnsi="宋体" w:cs="宋体"/>
                <w:szCs w:val="21"/>
              </w:rPr>
              <w:t>4</w:t>
            </w:r>
          </w:p>
        </w:tc>
        <w:tc>
          <w:tcPr>
            <w:tcW w:w="5220" w:type="dxa"/>
            <w:vAlign w:val="center"/>
          </w:tcPr>
          <w:p>
            <w:pPr>
              <w:jc w:val="center"/>
              <w:rPr>
                <w:rFonts w:ascii="宋体" w:hAnsi="宋体" w:cs="宋体"/>
                <w:sz w:val="24"/>
              </w:rPr>
            </w:pPr>
          </w:p>
        </w:tc>
        <w:tc>
          <w:tcPr>
            <w:tcW w:w="1440" w:type="dxa"/>
            <w:vAlign w:val="center"/>
          </w:tcPr>
          <w:p>
            <w:pPr>
              <w:jc w:val="center"/>
              <w:rPr>
                <w:rFonts w:ascii="宋体" w:hAnsi="宋体" w:cs="宋体"/>
                <w:sz w:val="24"/>
              </w:rPr>
            </w:pPr>
          </w:p>
        </w:tc>
        <w:tc>
          <w:tcPr>
            <w:tcW w:w="150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szCs w:val="21"/>
              </w:rPr>
            </w:pPr>
            <w:r>
              <w:rPr>
                <w:rFonts w:hint="eastAsia" w:ascii="宋体" w:hAnsi="宋体" w:cs="宋体"/>
                <w:szCs w:val="21"/>
              </w:rPr>
              <w:t>5</w:t>
            </w:r>
          </w:p>
        </w:tc>
        <w:tc>
          <w:tcPr>
            <w:tcW w:w="5220" w:type="dxa"/>
            <w:vAlign w:val="center"/>
          </w:tcPr>
          <w:p>
            <w:pPr>
              <w:jc w:val="center"/>
              <w:rPr>
                <w:rFonts w:ascii="宋体" w:hAnsi="宋体" w:cs="宋体"/>
                <w:sz w:val="24"/>
              </w:rPr>
            </w:pPr>
          </w:p>
        </w:tc>
        <w:tc>
          <w:tcPr>
            <w:tcW w:w="1440" w:type="dxa"/>
            <w:vAlign w:val="center"/>
          </w:tcPr>
          <w:p>
            <w:pPr>
              <w:jc w:val="center"/>
              <w:rPr>
                <w:rFonts w:ascii="宋体" w:hAnsi="宋体" w:cs="宋体"/>
                <w:sz w:val="24"/>
              </w:rPr>
            </w:pPr>
          </w:p>
        </w:tc>
        <w:tc>
          <w:tcPr>
            <w:tcW w:w="150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szCs w:val="21"/>
              </w:rPr>
            </w:pPr>
            <w:r>
              <w:rPr>
                <w:rFonts w:hint="eastAsia" w:ascii="宋体" w:hAnsi="宋体" w:cs="宋体"/>
                <w:szCs w:val="21"/>
              </w:rPr>
              <w:t>6</w:t>
            </w:r>
          </w:p>
        </w:tc>
        <w:tc>
          <w:tcPr>
            <w:tcW w:w="5220" w:type="dxa"/>
            <w:vAlign w:val="center"/>
          </w:tcPr>
          <w:p>
            <w:pPr>
              <w:jc w:val="center"/>
              <w:rPr>
                <w:rFonts w:ascii="宋体" w:hAnsi="宋体" w:cs="宋体"/>
                <w:sz w:val="24"/>
              </w:rPr>
            </w:pPr>
          </w:p>
        </w:tc>
        <w:tc>
          <w:tcPr>
            <w:tcW w:w="1440" w:type="dxa"/>
            <w:vAlign w:val="center"/>
          </w:tcPr>
          <w:p>
            <w:pPr>
              <w:jc w:val="center"/>
              <w:rPr>
                <w:rFonts w:ascii="宋体" w:hAnsi="宋体" w:cs="宋体"/>
                <w:sz w:val="24"/>
              </w:rPr>
            </w:pPr>
          </w:p>
        </w:tc>
        <w:tc>
          <w:tcPr>
            <w:tcW w:w="150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szCs w:val="21"/>
              </w:rPr>
            </w:pPr>
            <w:r>
              <w:rPr>
                <w:rFonts w:hint="eastAsia" w:ascii="宋体" w:hAnsi="宋体" w:cs="宋体"/>
                <w:szCs w:val="21"/>
              </w:rPr>
              <w:t>7</w:t>
            </w:r>
          </w:p>
        </w:tc>
        <w:tc>
          <w:tcPr>
            <w:tcW w:w="5220" w:type="dxa"/>
            <w:vAlign w:val="center"/>
          </w:tcPr>
          <w:p>
            <w:pPr>
              <w:jc w:val="center"/>
              <w:rPr>
                <w:rFonts w:ascii="宋体" w:hAnsi="宋体" w:cs="宋体"/>
                <w:sz w:val="24"/>
              </w:rPr>
            </w:pPr>
          </w:p>
        </w:tc>
        <w:tc>
          <w:tcPr>
            <w:tcW w:w="1440" w:type="dxa"/>
            <w:vAlign w:val="center"/>
          </w:tcPr>
          <w:p>
            <w:pPr>
              <w:jc w:val="center"/>
              <w:rPr>
                <w:rFonts w:ascii="宋体" w:hAnsi="宋体" w:cs="宋体"/>
                <w:sz w:val="24"/>
              </w:rPr>
            </w:pPr>
          </w:p>
        </w:tc>
        <w:tc>
          <w:tcPr>
            <w:tcW w:w="150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szCs w:val="21"/>
              </w:rPr>
            </w:pPr>
            <w:r>
              <w:rPr>
                <w:rFonts w:hint="eastAsia" w:ascii="宋体" w:hAnsi="宋体" w:cs="宋体"/>
                <w:szCs w:val="21"/>
              </w:rPr>
              <w:t>8</w:t>
            </w:r>
          </w:p>
        </w:tc>
        <w:tc>
          <w:tcPr>
            <w:tcW w:w="5220" w:type="dxa"/>
            <w:vAlign w:val="center"/>
          </w:tcPr>
          <w:p>
            <w:pPr>
              <w:jc w:val="center"/>
              <w:rPr>
                <w:rFonts w:ascii="宋体" w:hAnsi="宋体" w:cs="宋体"/>
                <w:sz w:val="24"/>
              </w:rPr>
            </w:pPr>
          </w:p>
        </w:tc>
        <w:tc>
          <w:tcPr>
            <w:tcW w:w="1440" w:type="dxa"/>
            <w:vAlign w:val="center"/>
          </w:tcPr>
          <w:p>
            <w:pPr>
              <w:jc w:val="center"/>
              <w:rPr>
                <w:rFonts w:ascii="宋体" w:hAnsi="宋体" w:cs="宋体"/>
                <w:sz w:val="24"/>
              </w:rPr>
            </w:pPr>
          </w:p>
        </w:tc>
        <w:tc>
          <w:tcPr>
            <w:tcW w:w="150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szCs w:val="21"/>
              </w:rPr>
            </w:pPr>
            <w:r>
              <w:rPr>
                <w:rFonts w:hint="eastAsia" w:ascii="宋体" w:hAnsi="宋体" w:cs="宋体"/>
                <w:szCs w:val="21"/>
              </w:rPr>
              <w:t>9</w:t>
            </w:r>
          </w:p>
        </w:tc>
        <w:tc>
          <w:tcPr>
            <w:tcW w:w="5220" w:type="dxa"/>
            <w:vAlign w:val="center"/>
          </w:tcPr>
          <w:p>
            <w:pPr>
              <w:jc w:val="center"/>
              <w:rPr>
                <w:rFonts w:ascii="宋体" w:hAnsi="宋体" w:cs="宋体"/>
                <w:sz w:val="24"/>
              </w:rPr>
            </w:pPr>
          </w:p>
        </w:tc>
        <w:tc>
          <w:tcPr>
            <w:tcW w:w="1440" w:type="dxa"/>
            <w:vAlign w:val="center"/>
          </w:tcPr>
          <w:p>
            <w:pPr>
              <w:jc w:val="center"/>
              <w:rPr>
                <w:rFonts w:ascii="宋体" w:hAnsi="宋体" w:cs="宋体"/>
                <w:sz w:val="24"/>
              </w:rPr>
            </w:pPr>
          </w:p>
        </w:tc>
        <w:tc>
          <w:tcPr>
            <w:tcW w:w="150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szCs w:val="21"/>
              </w:rPr>
            </w:pPr>
            <w:r>
              <w:rPr>
                <w:rFonts w:hint="eastAsia" w:ascii="宋体" w:hAnsi="宋体" w:cs="宋体"/>
                <w:szCs w:val="21"/>
              </w:rPr>
              <w:t>10</w:t>
            </w:r>
          </w:p>
        </w:tc>
        <w:tc>
          <w:tcPr>
            <w:tcW w:w="5220" w:type="dxa"/>
            <w:vAlign w:val="center"/>
          </w:tcPr>
          <w:p>
            <w:pPr>
              <w:jc w:val="center"/>
              <w:rPr>
                <w:rFonts w:ascii="宋体" w:hAnsi="宋体" w:cs="宋体"/>
                <w:sz w:val="24"/>
              </w:rPr>
            </w:pPr>
          </w:p>
        </w:tc>
        <w:tc>
          <w:tcPr>
            <w:tcW w:w="1440" w:type="dxa"/>
            <w:vAlign w:val="center"/>
          </w:tcPr>
          <w:p>
            <w:pPr>
              <w:jc w:val="center"/>
              <w:rPr>
                <w:rFonts w:ascii="宋体" w:hAnsi="宋体" w:cs="宋体"/>
                <w:sz w:val="24"/>
              </w:rPr>
            </w:pPr>
          </w:p>
        </w:tc>
        <w:tc>
          <w:tcPr>
            <w:tcW w:w="150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szCs w:val="21"/>
              </w:rPr>
            </w:pPr>
            <w:r>
              <w:rPr>
                <w:rFonts w:hint="eastAsia" w:ascii="宋体" w:hAnsi="宋体" w:cs="宋体"/>
                <w:szCs w:val="21"/>
              </w:rPr>
              <w:t>11</w:t>
            </w:r>
          </w:p>
        </w:tc>
        <w:tc>
          <w:tcPr>
            <w:tcW w:w="5220" w:type="dxa"/>
            <w:vAlign w:val="center"/>
          </w:tcPr>
          <w:p>
            <w:pPr>
              <w:jc w:val="center"/>
              <w:rPr>
                <w:rFonts w:ascii="宋体" w:hAnsi="宋体" w:cs="宋体"/>
                <w:sz w:val="24"/>
              </w:rPr>
            </w:pPr>
          </w:p>
        </w:tc>
        <w:tc>
          <w:tcPr>
            <w:tcW w:w="1440" w:type="dxa"/>
            <w:vAlign w:val="center"/>
          </w:tcPr>
          <w:p>
            <w:pPr>
              <w:jc w:val="center"/>
              <w:rPr>
                <w:rFonts w:ascii="宋体" w:hAnsi="宋体" w:cs="宋体"/>
                <w:sz w:val="24"/>
              </w:rPr>
            </w:pPr>
          </w:p>
        </w:tc>
        <w:tc>
          <w:tcPr>
            <w:tcW w:w="150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szCs w:val="21"/>
              </w:rPr>
            </w:pPr>
            <w:r>
              <w:rPr>
                <w:rFonts w:hint="eastAsia" w:ascii="宋体" w:hAnsi="宋体" w:cs="宋体"/>
                <w:szCs w:val="21"/>
              </w:rPr>
              <w:t>…</w:t>
            </w:r>
          </w:p>
        </w:tc>
        <w:tc>
          <w:tcPr>
            <w:tcW w:w="5220" w:type="dxa"/>
            <w:vAlign w:val="center"/>
          </w:tcPr>
          <w:p>
            <w:pPr>
              <w:jc w:val="center"/>
              <w:rPr>
                <w:rFonts w:ascii="宋体" w:hAnsi="宋体" w:cs="宋体"/>
                <w:sz w:val="24"/>
              </w:rPr>
            </w:pPr>
          </w:p>
        </w:tc>
        <w:tc>
          <w:tcPr>
            <w:tcW w:w="1440" w:type="dxa"/>
            <w:vAlign w:val="center"/>
          </w:tcPr>
          <w:p>
            <w:pPr>
              <w:jc w:val="center"/>
              <w:rPr>
                <w:rFonts w:ascii="宋体" w:hAnsi="宋体" w:cs="宋体"/>
                <w:sz w:val="24"/>
              </w:rPr>
            </w:pPr>
          </w:p>
        </w:tc>
        <w:tc>
          <w:tcPr>
            <w:tcW w:w="1507" w:type="dxa"/>
            <w:vAlign w:val="center"/>
          </w:tcPr>
          <w:p>
            <w:pPr>
              <w:jc w:val="center"/>
              <w:rPr>
                <w:rFonts w:ascii="宋体" w:hAnsi="宋体" w:cs="宋体"/>
                <w:sz w:val="24"/>
              </w:rPr>
            </w:pPr>
          </w:p>
        </w:tc>
      </w:tr>
    </w:tbl>
    <w:p>
      <w:pPr>
        <w:spacing w:beforeLines="50" w:afterLines="50" w:line="320" w:lineRule="exact"/>
        <w:rPr>
          <w:rFonts w:ascii="宋体" w:hAnsi="宋体" w:cs="宋体"/>
          <w:sz w:val="24"/>
        </w:rPr>
      </w:pPr>
    </w:p>
    <w:p>
      <w:pPr>
        <w:spacing w:beforeLines="50" w:afterLines="50" w:line="320" w:lineRule="exact"/>
        <w:rPr>
          <w:rFonts w:ascii="宋体" w:hAnsi="宋体" w:cs="宋体"/>
          <w:szCs w:val="21"/>
          <w:u w:val="single"/>
        </w:rPr>
      </w:pPr>
      <w:r>
        <w:rPr>
          <w:rFonts w:hint="eastAsia" w:ascii="宋体" w:hAnsi="宋体" w:cs="宋体"/>
          <w:szCs w:val="21"/>
        </w:rPr>
        <w:t>投标人名称（并加盖公章）：</w:t>
      </w:r>
    </w:p>
    <w:p>
      <w:pPr>
        <w:pStyle w:val="8"/>
        <w:spacing w:before="60" w:afterLines="50" w:line="320" w:lineRule="exact"/>
        <w:ind w:firstLine="0"/>
        <w:rPr>
          <w:rFonts w:ascii="宋体" w:hAnsi="宋体" w:cs="宋体"/>
          <w:szCs w:val="21"/>
        </w:rPr>
      </w:pPr>
      <w:r>
        <w:rPr>
          <w:rFonts w:hint="eastAsia" w:ascii="宋体" w:hAnsi="宋体" w:cs="宋体"/>
          <w:szCs w:val="21"/>
        </w:rPr>
        <w:t>法定代表人或其授权委托人（签字）：</w:t>
      </w:r>
    </w:p>
    <w:p>
      <w:pPr>
        <w:pStyle w:val="8"/>
        <w:spacing w:before="60" w:afterLines="50" w:line="320" w:lineRule="exact"/>
        <w:ind w:firstLine="0"/>
        <w:rPr>
          <w:rFonts w:ascii="宋体" w:hAnsi="宋体" w:cs="宋体"/>
          <w:szCs w:val="21"/>
        </w:rPr>
      </w:pPr>
      <w:r>
        <w:rPr>
          <w:rFonts w:hint="eastAsia" w:ascii="宋体" w:hAnsi="宋体" w:cs="宋体"/>
          <w:szCs w:val="21"/>
        </w:rPr>
        <w:t>签署日期：年月日</w:t>
      </w:r>
    </w:p>
    <w:p>
      <w:pPr>
        <w:spacing w:line="480" w:lineRule="exact"/>
        <w:ind w:left="1050" w:hanging="1050" w:hangingChars="500"/>
        <w:rPr>
          <w:rFonts w:ascii="宋体" w:hAnsi="宋体" w:cs="宋体"/>
          <w:szCs w:val="21"/>
        </w:rPr>
      </w:pPr>
    </w:p>
    <w:p>
      <w:pPr>
        <w:spacing w:line="480" w:lineRule="exact"/>
        <w:ind w:left="1054" w:hanging="1054" w:hangingChars="500"/>
        <w:rPr>
          <w:rFonts w:ascii="宋体" w:hAnsi="宋体" w:cs="宋体"/>
          <w:b/>
          <w:szCs w:val="21"/>
        </w:rPr>
      </w:pPr>
      <w:r>
        <w:rPr>
          <w:rFonts w:hint="eastAsia" w:ascii="宋体" w:hAnsi="宋体" w:cs="宋体"/>
          <w:b/>
          <w:szCs w:val="21"/>
        </w:rPr>
        <w:t>使用说明：请将此表粘贴于证明文件原件包外。</w:t>
      </w:r>
    </w:p>
    <w:p>
      <w:pPr>
        <w:rPr>
          <w:rFonts w:ascii="宋体" w:hAnsi="宋体"/>
          <w:b/>
          <w:bCs/>
          <w:sz w:val="32"/>
          <w:szCs w:val="32"/>
        </w:rPr>
      </w:pPr>
      <w:r>
        <w:rPr>
          <w:rFonts w:hint="eastAsia" w:ascii="宋体" w:hAnsi="宋体"/>
          <w:b/>
          <w:bCs/>
          <w:sz w:val="32"/>
          <w:szCs w:val="32"/>
        </w:rPr>
        <w:br w:type="page"/>
      </w:r>
    </w:p>
    <w:p>
      <w:pPr>
        <w:spacing w:line="1020" w:lineRule="exact"/>
        <w:jc w:val="center"/>
      </w:pPr>
    </w:p>
    <w:p>
      <w:pPr>
        <w:jc w:val="center"/>
      </w:pPr>
      <w:r>
        <w:t>许示范财〔2019〕11号</w:t>
      </w:r>
    </w:p>
    <w:p>
      <w:pPr>
        <w:jc w:val="center"/>
      </w:pPr>
    </w:p>
    <w:p>
      <w:pPr>
        <w:spacing w:line="200" w:lineRule="exact"/>
        <w:jc w:val="center"/>
      </w:pPr>
    </w:p>
    <w:p>
      <w:pPr>
        <w:spacing w:line="660" w:lineRule="exact"/>
        <w:jc w:val="center"/>
        <w:rPr>
          <w:rFonts w:eastAsia="方正小标宋简体"/>
          <w:bCs/>
          <w:sz w:val="44"/>
          <w:szCs w:val="44"/>
        </w:rPr>
      </w:pPr>
      <w:r>
        <w:rPr>
          <w:rFonts w:hAnsi="方正小标宋简体" w:eastAsia="方正小标宋简体"/>
          <w:bCs/>
          <w:sz w:val="44"/>
          <w:szCs w:val="44"/>
        </w:rPr>
        <w:t>关于印发《许昌市城乡一体化示范区政府</w:t>
      </w:r>
    </w:p>
    <w:p>
      <w:pPr>
        <w:spacing w:line="660" w:lineRule="exact"/>
        <w:jc w:val="center"/>
        <w:rPr>
          <w:rFonts w:eastAsia="方正小标宋简体"/>
          <w:bCs/>
          <w:sz w:val="44"/>
          <w:szCs w:val="44"/>
        </w:rPr>
      </w:pPr>
      <w:r>
        <w:rPr>
          <w:rFonts w:hAnsi="方正小标宋简体" w:eastAsia="方正小标宋简体"/>
          <w:bCs/>
          <w:sz w:val="44"/>
          <w:szCs w:val="44"/>
        </w:rPr>
        <w:t>购买中介机构服务管理暂行办法（试行）》的</w:t>
      </w:r>
    </w:p>
    <w:p>
      <w:pPr>
        <w:spacing w:line="660" w:lineRule="exact"/>
        <w:jc w:val="center"/>
        <w:rPr>
          <w:rFonts w:eastAsia="方正小标宋简体"/>
          <w:bCs/>
          <w:sz w:val="44"/>
          <w:szCs w:val="44"/>
        </w:rPr>
      </w:pPr>
      <w:r>
        <w:rPr>
          <w:rFonts w:hAnsi="方正小标宋简体" w:eastAsia="方正小标宋简体"/>
          <w:bCs/>
          <w:sz w:val="44"/>
          <w:szCs w:val="44"/>
        </w:rPr>
        <w:t>通知</w:t>
      </w:r>
    </w:p>
    <w:p>
      <w:pPr>
        <w:rPr>
          <w:szCs w:val="32"/>
        </w:rPr>
      </w:pPr>
    </w:p>
    <w:p>
      <w:pPr>
        <w:spacing w:line="360" w:lineRule="auto"/>
        <w:rPr>
          <w:sz w:val="24"/>
          <w:szCs w:val="40"/>
        </w:rPr>
      </w:pPr>
      <w:r>
        <w:rPr>
          <w:rFonts w:hAnsi="仿宋_GB2312"/>
          <w:sz w:val="24"/>
          <w:szCs w:val="40"/>
        </w:rPr>
        <w:t>工信办、商务中心区，示范区各局、办，各镇（办），各直属事业单位，各派驻单位，各国有公司，瑞新公司</w:t>
      </w:r>
      <w:r>
        <w:rPr>
          <w:sz w:val="24"/>
          <w:szCs w:val="40"/>
        </w:rPr>
        <w:t>：</w:t>
      </w:r>
    </w:p>
    <w:p>
      <w:pPr>
        <w:spacing w:line="360" w:lineRule="auto"/>
        <w:ind w:firstLine="480" w:firstLineChars="200"/>
        <w:rPr>
          <w:sz w:val="24"/>
          <w:szCs w:val="40"/>
        </w:rPr>
      </w:pPr>
      <w:r>
        <w:rPr>
          <w:rFonts w:hint="eastAsia"/>
          <w:sz w:val="24"/>
          <w:szCs w:val="28"/>
        </w:rPr>
        <w:t>为进一步规范我区行政事业单位，国有公司购买中介机构</w:t>
      </w:r>
      <w:r>
        <w:rPr>
          <w:rFonts w:hint="eastAsia" w:ascii="仿宋_GB2312"/>
          <w:sz w:val="24"/>
          <w:szCs w:val="40"/>
        </w:rPr>
        <w:t>开展工程预算编制、预（结）算审核，资产评估，财政（财务）审计、清产核资等工作</w:t>
      </w:r>
      <w:r>
        <w:rPr>
          <w:rFonts w:hint="eastAsia"/>
          <w:sz w:val="24"/>
          <w:szCs w:val="28"/>
        </w:rPr>
        <w:t>，</w:t>
      </w:r>
      <w:r>
        <w:rPr>
          <w:sz w:val="24"/>
          <w:szCs w:val="28"/>
        </w:rPr>
        <w:t>提高资金使用效益，促进廉政建设，营造高效、公平、公开、公正、规范的市场竞争环境，根据《中华人民共和国政府采购法》《国务院办公厅关于政府向社会力量购买服务的指导意见》（国发〔2013</w:t>
      </w:r>
      <w:r>
        <w:rPr>
          <w:rFonts w:hAnsi="仿宋_GB2312"/>
          <w:sz w:val="24"/>
          <w:szCs w:val="28"/>
        </w:rPr>
        <w:t>〕</w:t>
      </w:r>
      <w:r>
        <w:rPr>
          <w:sz w:val="24"/>
          <w:szCs w:val="28"/>
        </w:rPr>
        <w:t>96</w:t>
      </w:r>
      <w:r>
        <w:rPr>
          <w:rFonts w:hAnsi="仿宋_GB2312"/>
          <w:sz w:val="24"/>
          <w:szCs w:val="28"/>
        </w:rPr>
        <w:t>号</w:t>
      </w:r>
      <w:r>
        <w:rPr>
          <w:sz w:val="24"/>
          <w:szCs w:val="28"/>
        </w:rPr>
        <w:t>）《许昌市政府购买服务操作指南（试行）》（许财综〔2016</w:t>
      </w:r>
      <w:r>
        <w:rPr>
          <w:rFonts w:hAnsi="仿宋_GB2312"/>
          <w:sz w:val="24"/>
          <w:szCs w:val="28"/>
        </w:rPr>
        <w:t>〕</w:t>
      </w:r>
      <w:r>
        <w:rPr>
          <w:sz w:val="24"/>
          <w:szCs w:val="28"/>
        </w:rPr>
        <w:t>28</w:t>
      </w:r>
      <w:r>
        <w:rPr>
          <w:rFonts w:hAnsi="仿宋_GB2312"/>
          <w:sz w:val="24"/>
          <w:szCs w:val="28"/>
        </w:rPr>
        <w:t>号）等相关文件</w:t>
      </w:r>
      <w:r>
        <w:rPr>
          <w:sz w:val="24"/>
          <w:szCs w:val="28"/>
        </w:rPr>
        <w:t>，特制定《许昌市城乡一体化示范区政府购买中介机构服务管理暂行办法（试行）》，</w:t>
      </w:r>
      <w:r>
        <w:rPr>
          <w:sz w:val="24"/>
          <w:szCs w:val="40"/>
        </w:rPr>
        <w:t>现印发给你们，请遵照执行。</w:t>
      </w:r>
    </w:p>
    <w:p>
      <w:pPr>
        <w:spacing w:line="360" w:lineRule="auto"/>
        <w:ind w:firstLine="480" w:firstLineChars="200"/>
        <w:rPr>
          <w:sz w:val="24"/>
          <w:szCs w:val="40"/>
        </w:rPr>
      </w:pPr>
    </w:p>
    <w:p>
      <w:pPr>
        <w:spacing w:line="360" w:lineRule="auto"/>
        <w:ind w:firstLine="480" w:firstLineChars="200"/>
        <w:rPr>
          <w:sz w:val="24"/>
          <w:szCs w:val="40"/>
        </w:rPr>
      </w:pPr>
    </w:p>
    <w:p>
      <w:pPr>
        <w:spacing w:line="360" w:lineRule="auto"/>
        <w:ind w:firstLine="480" w:firstLineChars="200"/>
        <w:rPr>
          <w:rFonts w:eastAsia="楷体_GB2312"/>
          <w:sz w:val="24"/>
          <w:szCs w:val="40"/>
        </w:rPr>
      </w:pPr>
    </w:p>
    <w:p>
      <w:pPr>
        <w:spacing w:line="360" w:lineRule="auto"/>
        <w:ind w:firstLine="480" w:firstLineChars="200"/>
        <w:jc w:val="center"/>
        <w:rPr>
          <w:sz w:val="24"/>
          <w:szCs w:val="40"/>
        </w:rPr>
      </w:pPr>
      <w:r>
        <w:rPr>
          <w:sz w:val="24"/>
          <w:szCs w:val="40"/>
        </w:rPr>
        <w:t xml:space="preserve">                    许昌市城乡一体化示范区财政局</w:t>
      </w:r>
    </w:p>
    <w:p>
      <w:pPr>
        <w:spacing w:line="360" w:lineRule="auto"/>
        <w:ind w:firstLine="1200" w:firstLineChars="500"/>
        <w:jc w:val="center"/>
        <w:rPr>
          <w:sz w:val="24"/>
          <w:szCs w:val="40"/>
        </w:rPr>
      </w:pPr>
      <w:r>
        <w:rPr>
          <w:sz w:val="24"/>
          <w:szCs w:val="40"/>
        </w:rPr>
        <w:t xml:space="preserve">                2019年5月13日</w:t>
      </w:r>
    </w:p>
    <w:p>
      <w:pPr>
        <w:ind w:firstLine="1050" w:firstLineChars="500"/>
        <w:jc w:val="right"/>
        <w:rPr>
          <w:szCs w:val="32"/>
        </w:rPr>
      </w:pPr>
    </w:p>
    <w:p>
      <w:pPr>
        <w:ind w:firstLine="1050" w:firstLineChars="500"/>
        <w:jc w:val="right"/>
        <w:rPr>
          <w:szCs w:val="32"/>
        </w:rPr>
      </w:pPr>
    </w:p>
    <w:p>
      <w:pPr>
        <w:ind w:firstLine="1050" w:firstLineChars="500"/>
        <w:jc w:val="right"/>
        <w:rPr>
          <w:szCs w:val="32"/>
        </w:rPr>
      </w:pPr>
    </w:p>
    <w:p>
      <w:pPr>
        <w:ind w:firstLine="1050" w:firstLineChars="500"/>
        <w:jc w:val="right"/>
        <w:rPr>
          <w:szCs w:val="32"/>
        </w:rPr>
      </w:pPr>
    </w:p>
    <w:p>
      <w:pPr>
        <w:rPr>
          <w:szCs w:val="32"/>
        </w:rPr>
      </w:pPr>
    </w:p>
    <w:p>
      <w:pPr>
        <w:ind w:firstLine="1050" w:firstLineChars="500"/>
        <w:jc w:val="right"/>
        <w:rPr>
          <w:szCs w:val="32"/>
        </w:rPr>
      </w:pPr>
    </w:p>
    <w:p>
      <w:pPr>
        <w:tabs>
          <w:tab w:val="left" w:pos="4620"/>
        </w:tabs>
        <w:spacing w:line="660" w:lineRule="exact"/>
        <w:jc w:val="center"/>
        <w:rPr>
          <w:rFonts w:eastAsia="方正小标宋简体"/>
          <w:bCs/>
          <w:sz w:val="36"/>
          <w:szCs w:val="36"/>
        </w:rPr>
      </w:pPr>
      <w:r>
        <w:rPr>
          <w:rFonts w:eastAsia="方正小标宋简体"/>
          <w:bCs/>
          <w:sz w:val="44"/>
          <w:szCs w:val="44"/>
        </w:rPr>
        <w:t>许昌市城乡一体化示范区政府购买中介机构服务管理暂行办法（试行）</w:t>
      </w:r>
    </w:p>
    <w:p>
      <w:pPr>
        <w:spacing w:line="540" w:lineRule="atLeast"/>
        <w:jc w:val="center"/>
        <w:rPr>
          <w:sz w:val="18"/>
          <w:szCs w:val="18"/>
        </w:rPr>
      </w:pPr>
    </w:p>
    <w:p>
      <w:pPr>
        <w:spacing w:line="360" w:lineRule="auto"/>
        <w:jc w:val="center"/>
        <w:rPr>
          <w:rFonts w:eastAsia="黑体"/>
          <w:sz w:val="24"/>
          <w:szCs w:val="24"/>
        </w:rPr>
      </w:pPr>
      <w:r>
        <w:rPr>
          <w:sz w:val="24"/>
          <w:szCs w:val="24"/>
        </w:rPr>
        <w:t>　</w:t>
      </w:r>
      <w:r>
        <w:rPr>
          <w:rFonts w:eastAsia="黑体"/>
          <w:bCs/>
          <w:sz w:val="24"/>
          <w:szCs w:val="24"/>
        </w:rPr>
        <w:t>第一章 </w:t>
      </w:r>
      <w:r>
        <w:rPr>
          <w:rStyle w:val="56"/>
          <w:rFonts w:eastAsia="黑体"/>
          <w:bCs/>
          <w:sz w:val="24"/>
          <w:szCs w:val="24"/>
        </w:rPr>
        <w:t> </w:t>
      </w:r>
      <w:r>
        <w:rPr>
          <w:rFonts w:eastAsia="黑体"/>
          <w:bCs/>
          <w:sz w:val="24"/>
          <w:szCs w:val="24"/>
        </w:rPr>
        <w:t>总 </w:t>
      </w:r>
      <w:r>
        <w:rPr>
          <w:rStyle w:val="56"/>
          <w:rFonts w:eastAsia="黑体"/>
          <w:bCs/>
          <w:sz w:val="24"/>
          <w:szCs w:val="24"/>
        </w:rPr>
        <w:t> </w:t>
      </w:r>
      <w:r>
        <w:rPr>
          <w:rFonts w:eastAsia="黑体"/>
          <w:bCs/>
          <w:sz w:val="24"/>
          <w:szCs w:val="24"/>
        </w:rPr>
        <w:t>则</w:t>
      </w:r>
      <w:r>
        <w:rPr>
          <w:rFonts w:eastAsia="黑体"/>
          <w:sz w:val="24"/>
          <w:szCs w:val="24"/>
        </w:rPr>
        <w:t> </w:t>
      </w:r>
    </w:p>
    <w:p>
      <w:pPr>
        <w:spacing w:line="360" w:lineRule="auto"/>
        <w:ind w:firstLine="482" w:firstLineChars="200"/>
        <w:rPr>
          <w:sz w:val="24"/>
          <w:szCs w:val="24"/>
        </w:rPr>
      </w:pPr>
      <w:r>
        <w:rPr>
          <w:b/>
          <w:bCs/>
          <w:sz w:val="24"/>
          <w:szCs w:val="24"/>
        </w:rPr>
        <w:t>第一条</w:t>
      </w:r>
      <w:r>
        <w:rPr>
          <w:sz w:val="24"/>
          <w:szCs w:val="24"/>
        </w:rPr>
        <w:t> </w:t>
      </w:r>
      <w:r>
        <w:rPr>
          <w:rStyle w:val="56"/>
          <w:sz w:val="24"/>
          <w:szCs w:val="24"/>
        </w:rPr>
        <w:t xml:space="preserve">  </w:t>
      </w:r>
      <w:r>
        <w:rPr>
          <w:kern w:val="0"/>
          <w:sz w:val="24"/>
          <w:szCs w:val="24"/>
        </w:rPr>
        <w:t>本办法所称中介机构，是指依法登记设立和经行业行政主管部门批准、按照规定的业务规则和程序，向委托人提供服务的具有经济鉴证执业资格的会计师事务所、资产评估机构、工程造价咨询机构等。</w:t>
      </w:r>
    </w:p>
    <w:p>
      <w:pPr>
        <w:spacing w:line="360" w:lineRule="auto"/>
        <w:ind w:firstLine="482" w:firstLineChars="200"/>
        <w:rPr>
          <w:sz w:val="24"/>
          <w:szCs w:val="24"/>
        </w:rPr>
      </w:pPr>
      <w:r>
        <w:rPr>
          <w:b/>
          <w:sz w:val="24"/>
          <w:szCs w:val="24"/>
          <w:shd w:val="clear" w:color="auto" w:fill="FFFFFF"/>
        </w:rPr>
        <w:t>第二条</w:t>
      </w:r>
      <w:r>
        <w:rPr>
          <w:sz w:val="24"/>
          <w:szCs w:val="24"/>
          <w:shd w:val="clear" w:color="auto" w:fill="FFFFFF"/>
        </w:rPr>
        <w:t xml:space="preserve">  </w:t>
      </w:r>
      <w:r>
        <w:rPr>
          <w:kern w:val="0"/>
          <w:sz w:val="24"/>
          <w:szCs w:val="24"/>
        </w:rPr>
        <w:t>本办法所称购买中介机构服务，</w:t>
      </w:r>
      <w:r>
        <w:rPr>
          <w:sz w:val="24"/>
          <w:szCs w:val="24"/>
        </w:rPr>
        <w:t>是指我区行政事业单位，国有公司（以下简称委托人）购买中介机构开展工程预算编制、预（结）算审核，资产评估，财政（财务）审计、清产核资等工作。</w:t>
      </w:r>
    </w:p>
    <w:p>
      <w:pPr>
        <w:spacing w:line="360" w:lineRule="auto"/>
        <w:ind w:firstLine="482" w:firstLineChars="200"/>
        <w:rPr>
          <w:sz w:val="24"/>
          <w:szCs w:val="24"/>
        </w:rPr>
      </w:pPr>
      <w:r>
        <w:rPr>
          <w:b/>
          <w:sz w:val="24"/>
          <w:szCs w:val="24"/>
        </w:rPr>
        <w:t xml:space="preserve">第三条  </w:t>
      </w:r>
      <w:r>
        <w:rPr>
          <w:sz w:val="24"/>
          <w:szCs w:val="24"/>
        </w:rPr>
        <w:t>财政局采用公开招标方式，确定中介机构定点服务单位,成立中介机构定点服务单位备选库（以下简称备选库），中介机构履约服务期限为三年。</w:t>
      </w:r>
    </w:p>
    <w:p>
      <w:pPr>
        <w:spacing w:line="360" w:lineRule="auto"/>
        <w:jc w:val="center"/>
        <w:rPr>
          <w:rFonts w:eastAsia="黑体"/>
          <w:sz w:val="24"/>
          <w:szCs w:val="24"/>
        </w:rPr>
      </w:pPr>
      <w:r>
        <w:rPr>
          <w:rFonts w:hAnsi="黑体" w:eastAsia="黑体"/>
          <w:sz w:val="24"/>
          <w:szCs w:val="24"/>
        </w:rPr>
        <w:t>第二章中介机构服务收费标准及管理要求</w:t>
      </w:r>
    </w:p>
    <w:p>
      <w:pPr>
        <w:widowControl/>
        <w:spacing w:line="360" w:lineRule="auto"/>
        <w:ind w:firstLine="482" w:firstLineChars="200"/>
        <w:rPr>
          <w:sz w:val="24"/>
          <w:szCs w:val="24"/>
        </w:rPr>
      </w:pPr>
      <w:r>
        <w:rPr>
          <w:b/>
          <w:sz w:val="24"/>
          <w:szCs w:val="24"/>
        </w:rPr>
        <w:t xml:space="preserve">第四条  </w:t>
      </w:r>
      <w:r>
        <w:rPr>
          <w:sz w:val="24"/>
          <w:szCs w:val="24"/>
        </w:rPr>
        <w:t>中介机构业务委托类别及收费率上限</w:t>
      </w:r>
    </w:p>
    <w:p>
      <w:pPr>
        <w:widowControl/>
        <w:spacing w:line="360" w:lineRule="auto"/>
        <w:ind w:firstLine="480" w:firstLineChars="200"/>
        <w:rPr>
          <w:sz w:val="24"/>
          <w:szCs w:val="24"/>
        </w:rPr>
      </w:pPr>
      <w:r>
        <w:rPr>
          <w:sz w:val="24"/>
          <w:szCs w:val="24"/>
        </w:rPr>
        <w:t>根据中评协〔2009〕199号、豫发改收费〔2008〕2510号、豫发改收费〔2011〕2374号等文件规定收费标准，结合周边县区中介服务费实际支付情况，将示范区有关中介机构服务费用支付标准明确如下：</w:t>
      </w:r>
    </w:p>
    <w:p>
      <w:pPr>
        <w:numPr>
          <w:ilvl w:val="0"/>
          <w:numId w:val="14"/>
        </w:numPr>
        <w:spacing w:line="360" w:lineRule="auto"/>
        <w:rPr>
          <w:b/>
          <w:bCs/>
          <w:sz w:val="24"/>
          <w:szCs w:val="24"/>
        </w:rPr>
      </w:pPr>
      <w:r>
        <w:rPr>
          <w:b/>
          <w:bCs/>
          <w:sz w:val="24"/>
          <w:szCs w:val="24"/>
        </w:rPr>
        <w:t>预算编制服务费及预（结）算审查收费标准</w:t>
      </w:r>
    </w:p>
    <w:p>
      <w:pPr>
        <w:spacing w:line="360" w:lineRule="auto"/>
        <w:ind w:firstLine="480" w:firstLineChars="200"/>
        <w:rPr>
          <w:b/>
          <w:bCs/>
          <w:kern w:val="0"/>
          <w:sz w:val="24"/>
          <w:szCs w:val="24"/>
        </w:rPr>
      </w:pPr>
      <w:r>
        <w:rPr>
          <w:sz w:val="24"/>
          <w:szCs w:val="24"/>
        </w:rPr>
        <w:t>（一）</w:t>
      </w:r>
      <w:r>
        <w:rPr>
          <w:kern w:val="0"/>
          <w:sz w:val="24"/>
          <w:szCs w:val="24"/>
        </w:rPr>
        <w:t>预（结）算审查实行业务绩效与付费挂钩，在基础费率据实计算后，</w:t>
      </w:r>
      <w:r>
        <w:rPr>
          <w:sz w:val="24"/>
          <w:szCs w:val="24"/>
        </w:rPr>
        <w:t>再按经被审单位认可的合规审减金额，根据合同约定比例，奖励性增加付费。提供造价咨询服务应与中介机构自身资质相匹配，</w:t>
      </w:r>
      <w:r>
        <w:rPr>
          <w:sz w:val="24"/>
          <w:szCs w:val="24"/>
          <w:shd w:val="clear" w:color="auto" w:fill="FFFFFF"/>
        </w:rPr>
        <w:t>按照《工程造价咨询企业管理办法》（建设部令第149号）的规定，甲级工程造价咨询机构可以从事各类建设项目的工程造价咨询业务，乙级可以从事5000万元以下工程造价咨询业务，中介机构的选择应符合此规定。</w:t>
      </w:r>
    </w:p>
    <w:p>
      <w:pPr>
        <w:spacing w:line="360" w:lineRule="auto"/>
        <w:ind w:firstLine="480" w:firstLineChars="200"/>
        <w:rPr>
          <w:sz w:val="24"/>
          <w:szCs w:val="24"/>
        </w:rPr>
      </w:pPr>
      <w:r>
        <w:rPr>
          <w:sz w:val="24"/>
          <w:szCs w:val="24"/>
        </w:rPr>
        <w:t>（二）工程量清单及预算编制费</w:t>
      </w:r>
    </w:p>
    <w:p>
      <w:pPr>
        <w:spacing w:line="360" w:lineRule="auto"/>
        <w:ind w:firstLine="480" w:firstLineChars="200"/>
        <w:rPr>
          <w:sz w:val="24"/>
          <w:szCs w:val="24"/>
        </w:rPr>
      </w:pPr>
      <w:r>
        <w:rPr>
          <w:sz w:val="24"/>
          <w:szCs w:val="24"/>
        </w:rPr>
        <w:t>工程量清单及预算编制费 =工程造价×工程量清单及预算编制费费率</w:t>
      </w:r>
    </w:p>
    <w:p>
      <w:pPr>
        <w:spacing w:line="360" w:lineRule="auto"/>
        <w:ind w:right="-216"/>
        <w:jc w:val="center"/>
        <w:rPr>
          <w:rFonts w:eastAsia="黑体"/>
          <w:bCs/>
          <w:sz w:val="24"/>
          <w:szCs w:val="24"/>
        </w:rPr>
      </w:pPr>
      <w:r>
        <w:rPr>
          <w:rFonts w:eastAsia="黑体"/>
          <w:sz w:val="24"/>
          <w:szCs w:val="24"/>
        </w:rPr>
        <w:t>表一 工程量清单及预算编制</w:t>
      </w:r>
      <w:r>
        <w:rPr>
          <w:rFonts w:eastAsia="黑体"/>
          <w:kern w:val="0"/>
          <w:sz w:val="24"/>
          <w:szCs w:val="24"/>
        </w:rPr>
        <w:t>费费率表</w:t>
      </w:r>
    </w:p>
    <w:tbl>
      <w:tblPr>
        <w:tblStyle w:val="22"/>
        <w:tblW w:w="83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3458"/>
        <w:gridCol w:w="1984"/>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989" w:type="dxa"/>
            <w:vAlign w:val="center"/>
          </w:tcPr>
          <w:p>
            <w:pPr>
              <w:spacing w:line="360" w:lineRule="auto"/>
              <w:ind w:right="-216"/>
              <w:jc w:val="center"/>
              <w:rPr>
                <w:sz w:val="24"/>
                <w:szCs w:val="24"/>
              </w:rPr>
            </w:pPr>
            <w:r>
              <w:rPr>
                <w:sz w:val="24"/>
                <w:szCs w:val="24"/>
              </w:rPr>
              <w:t>档次</w:t>
            </w:r>
          </w:p>
        </w:tc>
        <w:tc>
          <w:tcPr>
            <w:tcW w:w="3458" w:type="dxa"/>
            <w:vAlign w:val="center"/>
          </w:tcPr>
          <w:p>
            <w:pPr>
              <w:spacing w:line="360" w:lineRule="auto"/>
              <w:ind w:right="-216"/>
              <w:jc w:val="center"/>
              <w:rPr>
                <w:sz w:val="24"/>
                <w:szCs w:val="24"/>
              </w:rPr>
            </w:pPr>
            <w:r>
              <w:rPr>
                <w:sz w:val="24"/>
                <w:szCs w:val="24"/>
              </w:rPr>
              <w:t>工程造价</w:t>
            </w:r>
          </w:p>
        </w:tc>
        <w:tc>
          <w:tcPr>
            <w:tcW w:w="1984" w:type="dxa"/>
            <w:vAlign w:val="center"/>
          </w:tcPr>
          <w:p>
            <w:pPr>
              <w:spacing w:line="360" w:lineRule="auto"/>
              <w:ind w:right="-216"/>
              <w:jc w:val="center"/>
              <w:rPr>
                <w:sz w:val="24"/>
                <w:szCs w:val="24"/>
              </w:rPr>
            </w:pPr>
            <w:r>
              <w:rPr>
                <w:sz w:val="24"/>
                <w:szCs w:val="24"/>
              </w:rPr>
              <w:t>一类项目费率</w:t>
            </w:r>
          </w:p>
        </w:tc>
        <w:tc>
          <w:tcPr>
            <w:tcW w:w="1869" w:type="dxa"/>
            <w:vAlign w:val="center"/>
          </w:tcPr>
          <w:p>
            <w:pPr>
              <w:spacing w:line="360" w:lineRule="auto"/>
              <w:ind w:right="-216"/>
              <w:jc w:val="center"/>
              <w:rPr>
                <w:sz w:val="24"/>
                <w:szCs w:val="24"/>
              </w:rPr>
            </w:pPr>
            <w:r>
              <w:rPr>
                <w:sz w:val="24"/>
                <w:szCs w:val="24"/>
              </w:rPr>
              <w:t>二类项目费率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89" w:type="dxa"/>
            <w:vAlign w:val="center"/>
          </w:tcPr>
          <w:p>
            <w:pPr>
              <w:spacing w:line="360" w:lineRule="auto"/>
              <w:ind w:right="-216"/>
              <w:jc w:val="center"/>
              <w:rPr>
                <w:sz w:val="24"/>
                <w:szCs w:val="24"/>
              </w:rPr>
            </w:pPr>
            <w:r>
              <w:rPr>
                <w:sz w:val="24"/>
                <w:szCs w:val="24"/>
              </w:rPr>
              <w:t>1</w:t>
            </w:r>
          </w:p>
        </w:tc>
        <w:tc>
          <w:tcPr>
            <w:tcW w:w="3458" w:type="dxa"/>
            <w:vAlign w:val="center"/>
          </w:tcPr>
          <w:p>
            <w:pPr>
              <w:spacing w:line="360" w:lineRule="auto"/>
              <w:ind w:right="-216"/>
              <w:jc w:val="center"/>
              <w:rPr>
                <w:sz w:val="24"/>
                <w:szCs w:val="24"/>
              </w:rPr>
            </w:pPr>
            <w:r>
              <w:rPr>
                <w:sz w:val="24"/>
                <w:szCs w:val="24"/>
              </w:rPr>
              <w:t>500万元以下（含500万元）</w:t>
            </w:r>
          </w:p>
        </w:tc>
        <w:tc>
          <w:tcPr>
            <w:tcW w:w="1984" w:type="dxa"/>
            <w:vAlign w:val="center"/>
          </w:tcPr>
          <w:p>
            <w:pPr>
              <w:spacing w:line="360" w:lineRule="auto"/>
              <w:ind w:right="-216"/>
              <w:jc w:val="center"/>
              <w:rPr>
                <w:sz w:val="24"/>
                <w:szCs w:val="24"/>
              </w:rPr>
            </w:pPr>
            <w:r>
              <w:rPr>
                <w:sz w:val="24"/>
                <w:szCs w:val="24"/>
              </w:rPr>
              <w:t>3‰</w:t>
            </w:r>
          </w:p>
        </w:tc>
        <w:tc>
          <w:tcPr>
            <w:tcW w:w="1869" w:type="dxa"/>
            <w:vAlign w:val="center"/>
          </w:tcPr>
          <w:p>
            <w:pPr>
              <w:spacing w:line="360" w:lineRule="auto"/>
              <w:ind w:right="-216"/>
              <w:jc w:val="center"/>
              <w:rPr>
                <w:sz w:val="24"/>
                <w:szCs w:val="24"/>
              </w:rPr>
            </w:pPr>
            <w:r>
              <w:rPr>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89" w:type="dxa"/>
            <w:vAlign w:val="center"/>
          </w:tcPr>
          <w:p>
            <w:pPr>
              <w:spacing w:line="360" w:lineRule="auto"/>
              <w:ind w:right="-216"/>
              <w:jc w:val="center"/>
              <w:rPr>
                <w:sz w:val="24"/>
                <w:szCs w:val="24"/>
              </w:rPr>
            </w:pPr>
            <w:r>
              <w:rPr>
                <w:sz w:val="24"/>
                <w:szCs w:val="24"/>
              </w:rPr>
              <w:t>2</w:t>
            </w:r>
          </w:p>
        </w:tc>
        <w:tc>
          <w:tcPr>
            <w:tcW w:w="3458" w:type="dxa"/>
            <w:vAlign w:val="center"/>
          </w:tcPr>
          <w:p>
            <w:pPr>
              <w:spacing w:line="360" w:lineRule="auto"/>
              <w:ind w:right="-216"/>
              <w:jc w:val="center"/>
              <w:rPr>
                <w:sz w:val="24"/>
                <w:szCs w:val="24"/>
              </w:rPr>
            </w:pPr>
            <w:r>
              <w:rPr>
                <w:sz w:val="24"/>
                <w:szCs w:val="24"/>
              </w:rPr>
              <w:t>500万元以上-1000万元</w:t>
            </w:r>
          </w:p>
        </w:tc>
        <w:tc>
          <w:tcPr>
            <w:tcW w:w="1984" w:type="dxa"/>
            <w:vAlign w:val="center"/>
          </w:tcPr>
          <w:p>
            <w:pPr>
              <w:spacing w:line="360" w:lineRule="auto"/>
              <w:ind w:right="-216"/>
              <w:jc w:val="center"/>
              <w:rPr>
                <w:sz w:val="24"/>
                <w:szCs w:val="24"/>
              </w:rPr>
            </w:pPr>
            <w:r>
              <w:rPr>
                <w:sz w:val="24"/>
                <w:szCs w:val="24"/>
              </w:rPr>
              <w:t>2.5‰</w:t>
            </w:r>
          </w:p>
        </w:tc>
        <w:tc>
          <w:tcPr>
            <w:tcW w:w="1869" w:type="dxa"/>
            <w:vAlign w:val="center"/>
          </w:tcPr>
          <w:p>
            <w:pPr>
              <w:spacing w:line="360" w:lineRule="auto"/>
              <w:ind w:right="-216"/>
              <w:jc w:val="center"/>
              <w:rPr>
                <w:sz w:val="24"/>
                <w:szCs w:val="24"/>
              </w:rPr>
            </w:pPr>
            <w:r>
              <w:rPr>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89" w:type="dxa"/>
            <w:vAlign w:val="center"/>
          </w:tcPr>
          <w:p>
            <w:pPr>
              <w:spacing w:line="360" w:lineRule="auto"/>
              <w:ind w:right="-216"/>
              <w:jc w:val="center"/>
              <w:rPr>
                <w:sz w:val="24"/>
                <w:szCs w:val="24"/>
              </w:rPr>
            </w:pPr>
            <w:r>
              <w:rPr>
                <w:sz w:val="24"/>
                <w:szCs w:val="24"/>
              </w:rPr>
              <w:t>3</w:t>
            </w:r>
          </w:p>
        </w:tc>
        <w:tc>
          <w:tcPr>
            <w:tcW w:w="3458" w:type="dxa"/>
            <w:vAlign w:val="center"/>
          </w:tcPr>
          <w:p>
            <w:pPr>
              <w:spacing w:line="360" w:lineRule="auto"/>
              <w:ind w:right="-216"/>
              <w:jc w:val="center"/>
              <w:rPr>
                <w:sz w:val="24"/>
                <w:szCs w:val="24"/>
              </w:rPr>
            </w:pPr>
            <w:r>
              <w:rPr>
                <w:sz w:val="24"/>
                <w:szCs w:val="24"/>
              </w:rPr>
              <w:t>1000万元以上-5000万元</w:t>
            </w:r>
          </w:p>
        </w:tc>
        <w:tc>
          <w:tcPr>
            <w:tcW w:w="1984" w:type="dxa"/>
            <w:vAlign w:val="center"/>
          </w:tcPr>
          <w:p>
            <w:pPr>
              <w:spacing w:line="360" w:lineRule="auto"/>
              <w:ind w:right="-216"/>
              <w:jc w:val="center"/>
              <w:rPr>
                <w:sz w:val="24"/>
                <w:szCs w:val="24"/>
              </w:rPr>
            </w:pPr>
            <w:r>
              <w:rPr>
                <w:sz w:val="24"/>
                <w:szCs w:val="24"/>
              </w:rPr>
              <w:t>2‰</w:t>
            </w:r>
          </w:p>
        </w:tc>
        <w:tc>
          <w:tcPr>
            <w:tcW w:w="1869" w:type="dxa"/>
            <w:vAlign w:val="center"/>
          </w:tcPr>
          <w:p>
            <w:pPr>
              <w:spacing w:line="360" w:lineRule="auto"/>
              <w:ind w:right="-216"/>
              <w:jc w:val="center"/>
              <w:rPr>
                <w:sz w:val="24"/>
                <w:szCs w:val="24"/>
              </w:rPr>
            </w:pPr>
            <w:r>
              <w:rPr>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89" w:type="dxa"/>
            <w:vAlign w:val="center"/>
          </w:tcPr>
          <w:p>
            <w:pPr>
              <w:spacing w:line="360" w:lineRule="auto"/>
              <w:ind w:right="-216"/>
              <w:jc w:val="center"/>
              <w:rPr>
                <w:sz w:val="24"/>
                <w:szCs w:val="24"/>
              </w:rPr>
            </w:pPr>
            <w:r>
              <w:rPr>
                <w:sz w:val="24"/>
                <w:szCs w:val="24"/>
              </w:rPr>
              <w:t>4</w:t>
            </w:r>
          </w:p>
        </w:tc>
        <w:tc>
          <w:tcPr>
            <w:tcW w:w="3458" w:type="dxa"/>
            <w:vAlign w:val="center"/>
          </w:tcPr>
          <w:p>
            <w:pPr>
              <w:spacing w:line="360" w:lineRule="auto"/>
              <w:ind w:right="-216"/>
              <w:jc w:val="center"/>
              <w:rPr>
                <w:sz w:val="24"/>
                <w:szCs w:val="24"/>
              </w:rPr>
            </w:pPr>
            <w:r>
              <w:rPr>
                <w:sz w:val="24"/>
                <w:szCs w:val="24"/>
              </w:rPr>
              <w:t>5000万元以上-1亿元</w:t>
            </w:r>
          </w:p>
        </w:tc>
        <w:tc>
          <w:tcPr>
            <w:tcW w:w="1984" w:type="dxa"/>
            <w:vAlign w:val="center"/>
          </w:tcPr>
          <w:p>
            <w:pPr>
              <w:spacing w:line="360" w:lineRule="auto"/>
              <w:ind w:right="-216"/>
              <w:jc w:val="center"/>
              <w:rPr>
                <w:sz w:val="24"/>
                <w:szCs w:val="24"/>
              </w:rPr>
            </w:pPr>
            <w:r>
              <w:rPr>
                <w:sz w:val="24"/>
                <w:szCs w:val="24"/>
              </w:rPr>
              <w:t>1.5‰</w:t>
            </w:r>
          </w:p>
        </w:tc>
        <w:tc>
          <w:tcPr>
            <w:tcW w:w="1869" w:type="dxa"/>
            <w:vAlign w:val="center"/>
          </w:tcPr>
          <w:p>
            <w:pPr>
              <w:spacing w:line="360" w:lineRule="auto"/>
              <w:ind w:right="-216"/>
              <w:jc w:val="center"/>
              <w:rPr>
                <w:sz w:val="24"/>
                <w:szCs w:val="24"/>
              </w:rPr>
            </w:pPr>
            <w:r>
              <w:rPr>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989" w:type="dxa"/>
            <w:vAlign w:val="center"/>
          </w:tcPr>
          <w:p>
            <w:pPr>
              <w:spacing w:line="360" w:lineRule="auto"/>
              <w:ind w:right="-216"/>
              <w:jc w:val="center"/>
              <w:rPr>
                <w:sz w:val="24"/>
                <w:szCs w:val="24"/>
              </w:rPr>
            </w:pPr>
            <w:r>
              <w:rPr>
                <w:sz w:val="24"/>
                <w:szCs w:val="24"/>
              </w:rPr>
              <w:t>5</w:t>
            </w:r>
          </w:p>
        </w:tc>
        <w:tc>
          <w:tcPr>
            <w:tcW w:w="3458" w:type="dxa"/>
            <w:vAlign w:val="center"/>
          </w:tcPr>
          <w:p>
            <w:pPr>
              <w:spacing w:line="360" w:lineRule="auto"/>
              <w:ind w:right="-216"/>
              <w:jc w:val="center"/>
              <w:rPr>
                <w:sz w:val="24"/>
                <w:szCs w:val="24"/>
              </w:rPr>
            </w:pPr>
            <w:r>
              <w:rPr>
                <w:sz w:val="24"/>
                <w:szCs w:val="24"/>
              </w:rPr>
              <w:t>1亿元以上-5亿元</w:t>
            </w:r>
          </w:p>
        </w:tc>
        <w:tc>
          <w:tcPr>
            <w:tcW w:w="1984" w:type="dxa"/>
            <w:vAlign w:val="center"/>
          </w:tcPr>
          <w:p>
            <w:pPr>
              <w:spacing w:line="360" w:lineRule="auto"/>
              <w:ind w:right="-216"/>
              <w:jc w:val="center"/>
              <w:rPr>
                <w:sz w:val="24"/>
                <w:szCs w:val="24"/>
              </w:rPr>
            </w:pPr>
            <w:r>
              <w:rPr>
                <w:sz w:val="24"/>
                <w:szCs w:val="24"/>
              </w:rPr>
              <w:t>1‰</w:t>
            </w:r>
          </w:p>
        </w:tc>
        <w:tc>
          <w:tcPr>
            <w:tcW w:w="1869" w:type="dxa"/>
            <w:vAlign w:val="center"/>
          </w:tcPr>
          <w:p>
            <w:pPr>
              <w:spacing w:line="360" w:lineRule="auto"/>
              <w:ind w:right="-216"/>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989" w:type="dxa"/>
            <w:vAlign w:val="center"/>
          </w:tcPr>
          <w:p>
            <w:pPr>
              <w:spacing w:line="360" w:lineRule="auto"/>
              <w:ind w:right="-216"/>
              <w:jc w:val="center"/>
              <w:rPr>
                <w:sz w:val="24"/>
                <w:szCs w:val="24"/>
              </w:rPr>
            </w:pPr>
            <w:r>
              <w:rPr>
                <w:sz w:val="24"/>
                <w:szCs w:val="24"/>
              </w:rPr>
              <w:t>6</w:t>
            </w:r>
          </w:p>
        </w:tc>
        <w:tc>
          <w:tcPr>
            <w:tcW w:w="3458" w:type="dxa"/>
            <w:vAlign w:val="center"/>
          </w:tcPr>
          <w:p>
            <w:pPr>
              <w:spacing w:line="360" w:lineRule="auto"/>
              <w:ind w:right="-216"/>
              <w:jc w:val="center"/>
              <w:rPr>
                <w:sz w:val="24"/>
                <w:szCs w:val="24"/>
              </w:rPr>
            </w:pPr>
            <w:r>
              <w:rPr>
                <w:sz w:val="24"/>
                <w:szCs w:val="24"/>
              </w:rPr>
              <w:t>5亿元以上</w:t>
            </w:r>
          </w:p>
        </w:tc>
        <w:tc>
          <w:tcPr>
            <w:tcW w:w="1984" w:type="dxa"/>
            <w:vAlign w:val="center"/>
          </w:tcPr>
          <w:p>
            <w:pPr>
              <w:spacing w:line="360" w:lineRule="auto"/>
              <w:ind w:right="-216"/>
              <w:jc w:val="center"/>
              <w:rPr>
                <w:sz w:val="24"/>
                <w:szCs w:val="24"/>
              </w:rPr>
            </w:pPr>
            <w:r>
              <w:rPr>
                <w:sz w:val="24"/>
                <w:szCs w:val="24"/>
              </w:rPr>
              <w:t>0.8‰</w:t>
            </w:r>
          </w:p>
        </w:tc>
        <w:tc>
          <w:tcPr>
            <w:tcW w:w="1869" w:type="dxa"/>
            <w:vAlign w:val="center"/>
          </w:tcPr>
          <w:p>
            <w:pPr>
              <w:spacing w:line="360" w:lineRule="auto"/>
              <w:ind w:right="-216"/>
              <w:jc w:val="center"/>
              <w:rPr>
                <w:sz w:val="24"/>
                <w:szCs w:val="24"/>
              </w:rPr>
            </w:pPr>
            <w:r>
              <w:rPr>
                <w:sz w:val="24"/>
                <w:szCs w:val="24"/>
              </w:rPr>
              <w:t>0.8‰</w:t>
            </w:r>
          </w:p>
        </w:tc>
      </w:tr>
    </w:tbl>
    <w:p>
      <w:pPr>
        <w:spacing w:line="360" w:lineRule="auto"/>
        <w:ind w:firstLine="480" w:firstLineChars="200"/>
        <w:rPr>
          <w:sz w:val="24"/>
          <w:szCs w:val="24"/>
        </w:rPr>
      </w:pPr>
      <w:r>
        <w:rPr>
          <w:sz w:val="24"/>
          <w:szCs w:val="24"/>
        </w:rPr>
        <w:t>（三）工程预算审查委托费</w:t>
      </w:r>
    </w:p>
    <w:p>
      <w:pPr>
        <w:spacing w:line="360" w:lineRule="auto"/>
        <w:ind w:firstLine="480" w:firstLineChars="200"/>
        <w:rPr>
          <w:sz w:val="24"/>
          <w:szCs w:val="24"/>
        </w:rPr>
      </w:pPr>
      <w:r>
        <w:rPr>
          <w:sz w:val="24"/>
          <w:szCs w:val="24"/>
        </w:rPr>
        <w:t>工程预算审查委托费 =基本费计算基数×基本费费率+审减追加费计算基数×审减追加费费率。</w:t>
      </w:r>
    </w:p>
    <w:p>
      <w:pPr>
        <w:spacing w:line="360" w:lineRule="auto"/>
        <w:ind w:right="-216" w:firstLine="235" w:firstLineChars="98"/>
        <w:jc w:val="center"/>
        <w:rPr>
          <w:rFonts w:eastAsia="黑体"/>
          <w:sz w:val="24"/>
          <w:szCs w:val="24"/>
        </w:rPr>
      </w:pPr>
      <w:r>
        <w:rPr>
          <w:rFonts w:eastAsia="黑体"/>
          <w:sz w:val="24"/>
          <w:szCs w:val="24"/>
        </w:rPr>
        <w:t>表二 工程预算审查委托费费率表</w:t>
      </w:r>
    </w:p>
    <w:tbl>
      <w:tblPr>
        <w:tblStyle w:val="22"/>
        <w:tblW w:w="8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3036"/>
        <w:gridCol w:w="1533"/>
        <w:gridCol w:w="1551"/>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566" w:type="dxa"/>
            <w:vAlign w:val="center"/>
          </w:tcPr>
          <w:p>
            <w:pPr>
              <w:spacing w:line="360" w:lineRule="auto"/>
              <w:ind w:right="-216"/>
              <w:rPr>
                <w:sz w:val="24"/>
                <w:szCs w:val="24"/>
              </w:rPr>
            </w:pPr>
            <w:r>
              <w:rPr>
                <w:sz w:val="24"/>
                <w:szCs w:val="24"/>
              </w:rPr>
              <w:t>档次</w:t>
            </w:r>
          </w:p>
        </w:tc>
        <w:tc>
          <w:tcPr>
            <w:tcW w:w="3036" w:type="dxa"/>
            <w:vAlign w:val="center"/>
          </w:tcPr>
          <w:p>
            <w:pPr>
              <w:spacing w:line="360" w:lineRule="auto"/>
              <w:ind w:right="-216"/>
              <w:jc w:val="center"/>
              <w:rPr>
                <w:sz w:val="24"/>
                <w:szCs w:val="24"/>
              </w:rPr>
            </w:pPr>
            <w:r>
              <w:rPr>
                <w:sz w:val="24"/>
                <w:szCs w:val="24"/>
              </w:rPr>
              <w:t>工程造价</w:t>
            </w:r>
          </w:p>
        </w:tc>
        <w:tc>
          <w:tcPr>
            <w:tcW w:w="1533" w:type="dxa"/>
          </w:tcPr>
          <w:p>
            <w:pPr>
              <w:spacing w:line="360" w:lineRule="auto"/>
              <w:ind w:right="-216"/>
              <w:rPr>
                <w:sz w:val="24"/>
                <w:szCs w:val="24"/>
              </w:rPr>
            </w:pPr>
            <w:r>
              <w:rPr>
                <w:sz w:val="24"/>
                <w:szCs w:val="24"/>
              </w:rPr>
              <w:t>一类项目费率</w:t>
            </w:r>
          </w:p>
        </w:tc>
        <w:tc>
          <w:tcPr>
            <w:tcW w:w="1551" w:type="dxa"/>
            <w:vAlign w:val="center"/>
          </w:tcPr>
          <w:p>
            <w:pPr>
              <w:spacing w:line="360" w:lineRule="auto"/>
              <w:ind w:right="-216"/>
              <w:rPr>
                <w:sz w:val="24"/>
                <w:szCs w:val="24"/>
              </w:rPr>
            </w:pPr>
            <w:r>
              <w:rPr>
                <w:sz w:val="24"/>
                <w:szCs w:val="24"/>
              </w:rPr>
              <w:t>二类项目费率</w:t>
            </w:r>
          </w:p>
        </w:tc>
        <w:tc>
          <w:tcPr>
            <w:tcW w:w="1794" w:type="dxa"/>
          </w:tcPr>
          <w:p>
            <w:pPr>
              <w:spacing w:line="360" w:lineRule="auto"/>
              <w:ind w:right="-216"/>
              <w:rPr>
                <w:sz w:val="24"/>
                <w:szCs w:val="24"/>
              </w:rPr>
            </w:pPr>
            <w:r>
              <w:rPr>
                <w:sz w:val="24"/>
                <w:szCs w:val="24"/>
              </w:rPr>
              <w:t>审减追加费费率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566" w:type="dxa"/>
            <w:vAlign w:val="center"/>
          </w:tcPr>
          <w:p>
            <w:pPr>
              <w:spacing w:line="360" w:lineRule="auto"/>
              <w:ind w:right="-216"/>
              <w:jc w:val="center"/>
              <w:rPr>
                <w:sz w:val="24"/>
                <w:szCs w:val="24"/>
              </w:rPr>
            </w:pPr>
            <w:r>
              <w:rPr>
                <w:sz w:val="24"/>
                <w:szCs w:val="24"/>
              </w:rPr>
              <w:t>1</w:t>
            </w:r>
          </w:p>
        </w:tc>
        <w:tc>
          <w:tcPr>
            <w:tcW w:w="3036" w:type="dxa"/>
            <w:vAlign w:val="center"/>
          </w:tcPr>
          <w:p>
            <w:pPr>
              <w:spacing w:line="360" w:lineRule="auto"/>
              <w:ind w:right="-216"/>
              <w:jc w:val="center"/>
              <w:rPr>
                <w:sz w:val="24"/>
                <w:szCs w:val="24"/>
              </w:rPr>
            </w:pPr>
            <w:r>
              <w:rPr>
                <w:sz w:val="24"/>
                <w:szCs w:val="24"/>
              </w:rPr>
              <w:t>500万元以下（含500万元）</w:t>
            </w:r>
          </w:p>
        </w:tc>
        <w:tc>
          <w:tcPr>
            <w:tcW w:w="1533" w:type="dxa"/>
          </w:tcPr>
          <w:p>
            <w:pPr>
              <w:spacing w:line="360" w:lineRule="auto"/>
              <w:ind w:right="-216"/>
              <w:jc w:val="center"/>
              <w:rPr>
                <w:sz w:val="24"/>
                <w:szCs w:val="24"/>
              </w:rPr>
            </w:pPr>
            <w:r>
              <w:rPr>
                <w:sz w:val="24"/>
                <w:szCs w:val="24"/>
              </w:rPr>
              <w:t>1.5‰</w:t>
            </w:r>
          </w:p>
        </w:tc>
        <w:tc>
          <w:tcPr>
            <w:tcW w:w="1551" w:type="dxa"/>
            <w:vAlign w:val="center"/>
          </w:tcPr>
          <w:p>
            <w:pPr>
              <w:spacing w:line="360" w:lineRule="auto"/>
              <w:ind w:right="-216"/>
              <w:jc w:val="center"/>
              <w:rPr>
                <w:sz w:val="24"/>
                <w:szCs w:val="24"/>
              </w:rPr>
            </w:pPr>
            <w:r>
              <w:rPr>
                <w:sz w:val="24"/>
                <w:szCs w:val="24"/>
              </w:rPr>
              <w:t>1.5‰</w:t>
            </w:r>
          </w:p>
        </w:tc>
        <w:tc>
          <w:tcPr>
            <w:tcW w:w="1794" w:type="dxa"/>
          </w:tcPr>
          <w:p>
            <w:pPr>
              <w:spacing w:line="360" w:lineRule="auto"/>
              <w:ind w:right="-216"/>
              <w:jc w:val="center"/>
              <w:rPr>
                <w:sz w:val="24"/>
                <w:szCs w:val="24"/>
              </w:rPr>
            </w:pPr>
            <w:r>
              <w:rPr>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566" w:type="dxa"/>
            <w:vAlign w:val="center"/>
          </w:tcPr>
          <w:p>
            <w:pPr>
              <w:spacing w:line="360" w:lineRule="auto"/>
              <w:ind w:right="-216"/>
              <w:jc w:val="center"/>
              <w:rPr>
                <w:sz w:val="24"/>
                <w:szCs w:val="24"/>
              </w:rPr>
            </w:pPr>
            <w:r>
              <w:rPr>
                <w:sz w:val="24"/>
                <w:szCs w:val="24"/>
              </w:rPr>
              <w:t>2</w:t>
            </w:r>
          </w:p>
        </w:tc>
        <w:tc>
          <w:tcPr>
            <w:tcW w:w="3036" w:type="dxa"/>
            <w:vAlign w:val="center"/>
          </w:tcPr>
          <w:p>
            <w:pPr>
              <w:spacing w:line="360" w:lineRule="auto"/>
              <w:ind w:right="-216"/>
              <w:jc w:val="center"/>
              <w:rPr>
                <w:sz w:val="24"/>
                <w:szCs w:val="24"/>
              </w:rPr>
            </w:pPr>
            <w:r>
              <w:rPr>
                <w:sz w:val="24"/>
                <w:szCs w:val="24"/>
              </w:rPr>
              <w:t>500万元以上-1000万元</w:t>
            </w:r>
          </w:p>
        </w:tc>
        <w:tc>
          <w:tcPr>
            <w:tcW w:w="1533" w:type="dxa"/>
          </w:tcPr>
          <w:p>
            <w:pPr>
              <w:spacing w:line="360" w:lineRule="auto"/>
              <w:ind w:right="-216"/>
              <w:jc w:val="center"/>
              <w:rPr>
                <w:sz w:val="24"/>
                <w:szCs w:val="24"/>
              </w:rPr>
            </w:pPr>
            <w:r>
              <w:rPr>
                <w:sz w:val="24"/>
                <w:szCs w:val="24"/>
              </w:rPr>
              <w:t>1.3‰</w:t>
            </w:r>
          </w:p>
        </w:tc>
        <w:tc>
          <w:tcPr>
            <w:tcW w:w="1551" w:type="dxa"/>
            <w:vAlign w:val="center"/>
          </w:tcPr>
          <w:p>
            <w:pPr>
              <w:spacing w:line="360" w:lineRule="auto"/>
              <w:ind w:right="-216"/>
              <w:jc w:val="center"/>
              <w:rPr>
                <w:sz w:val="24"/>
                <w:szCs w:val="24"/>
              </w:rPr>
            </w:pPr>
            <w:r>
              <w:rPr>
                <w:sz w:val="24"/>
                <w:szCs w:val="24"/>
              </w:rPr>
              <w:t>1.1‰</w:t>
            </w:r>
          </w:p>
        </w:tc>
        <w:tc>
          <w:tcPr>
            <w:tcW w:w="1794" w:type="dxa"/>
          </w:tcPr>
          <w:p>
            <w:pPr>
              <w:spacing w:line="360" w:lineRule="auto"/>
              <w:ind w:right="-216"/>
              <w:jc w:val="center"/>
              <w:rPr>
                <w:sz w:val="24"/>
                <w:szCs w:val="24"/>
              </w:rPr>
            </w:pPr>
            <w:r>
              <w:rPr>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566" w:type="dxa"/>
            <w:vAlign w:val="center"/>
          </w:tcPr>
          <w:p>
            <w:pPr>
              <w:spacing w:line="360" w:lineRule="auto"/>
              <w:ind w:right="-216"/>
              <w:jc w:val="center"/>
              <w:rPr>
                <w:sz w:val="24"/>
                <w:szCs w:val="24"/>
              </w:rPr>
            </w:pPr>
            <w:r>
              <w:rPr>
                <w:sz w:val="24"/>
                <w:szCs w:val="24"/>
              </w:rPr>
              <w:t>3</w:t>
            </w:r>
          </w:p>
        </w:tc>
        <w:tc>
          <w:tcPr>
            <w:tcW w:w="3036" w:type="dxa"/>
            <w:vAlign w:val="center"/>
          </w:tcPr>
          <w:p>
            <w:pPr>
              <w:spacing w:line="360" w:lineRule="auto"/>
              <w:ind w:right="-216"/>
              <w:jc w:val="center"/>
              <w:rPr>
                <w:sz w:val="24"/>
                <w:szCs w:val="24"/>
              </w:rPr>
            </w:pPr>
            <w:r>
              <w:rPr>
                <w:sz w:val="24"/>
                <w:szCs w:val="24"/>
              </w:rPr>
              <w:t>1000万元以上-5000万元</w:t>
            </w:r>
          </w:p>
        </w:tc>
        <w:tc>
          <w:tcPr>
            <w:tcW w:w="1533" w:type="dxa"/>
          </w:tcPr>
          <w:p>
            <w:pPr>
              <w:spacing w:line="360" w:lineRule="auto"/>
              <w:ind w:right="-216"/>
              <w:jc w:val="center"/>
              <w:rPr>
                <w:sz w:val="24"/>
                <w:szCs w:val="24"/>
              </w:rPr>
            </w:pPr>
            <w:r>
              <w:rPr>
                <w:sz w:val="24"/>
                <w:szCs w:val="24"/>
              </w:rPr>
              <w:t>1.1‰</w:t>
            </w:r>
          </w:p>
        </w:tc>
        <w:tc>
          <w:tcPr>
            <w:tcW w:w="1551" w:type="dxa"/>
            <w:vAlign w:val="center"/>
          </w:tcPr>
          <w:p>
            <w:pPr>
              <w:spacing w:line="360" w:lineRule="auto"/>
              <w:ind w:right="-216"/>
              <w:jc w:val="center"/>
              <w:rPr>
                <w:sz w:val="24"/>
                <w:szCs w:val="24"/>
              </w:rPr>
            </w:pPr>
            <w:r>
              <w:rPr>
                <w:sz w:val="24"/>
                <w:szCs w:val="24"/>
              </w:rPr>
              <w:t>1.0‰</w:t>
            </w:r>
          </w:p>
        </w:tc>
        <w:tc>
          <w:tcPr>
            <w:tcW w:w="1794" w:type="dxa"/>
          </w:tcPr>
          <w:p>
            <w:pPr>
              <w:spacing w:line="360" w:lineRule="auto"/>
              <w:ind w:right="-216"/>
              <w:jc w:val="center"/>
              <w:rPr>
                <w:sz w:val="24"/>
                <w:szCs w:val="24"/>
              </w:rPr>
            </w:pPr>
            <w:r>
              <w:rPr>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566" w:type="dxa"/>
            <w:vAlign w:val="center"/>
          </w:tcPr>
          <w:p>
            <w:pPr>
              <w:spacing w:line="360" w:lineRule="auto"/>
              <w:ind w:right="-216"/>
              <w:jc w:val="center"/>
              <w:rPr>
                <w:sz w:val="24"/>
                <w:szCs w:val="24"/>
              </w:rPr>
            </w:pPr>
            <w:r>
              <w:rPr>
                <w:sz w:val="24"/>
                <w:szCs w:val="24"/>
              </w:rPr>
              <w:t>4</w:t>
            </w:r>
          </w:p>
        </w:tc>
        <w:tc>
          <w:tcPr>
            <w:tcW w:w="3036" w:type="dxa"/>
            <w:vAlign w:val="center"/>
          </w:tcPr>
          <w:p>
            <w:pPr>
              <w:spacing w:line="360" w:lineRule="auto"/>
              <w:ind w:right="-216"/>
              <w:jc w:val="center"/>
              <w:rPr>
                <w:sz w:val="24"/>
                <w:szCs w:val="24"/>
              </w:rPr>
            </w:pPr>
            <w:r>
              <w:rPr>
                <w:sz w:val="24"/>
                <w:szCs w:val="24"/>
              </w:rPr>
              <w:t>5000万元以上-1亿元</w:t>
            </w:r>
          </w:p>
        </w:tc>
        <w:tc>
          <w:tcPr>
            <w:tcW w:w="1533" w:type="dxa"/>
          </w:tcPr>
          <w:p>
            <w:pPr>
              <w:spacing w:line="360" w:lineRule="auto"/>
              <w:ind w:right="-216"/>
              <w:jc w:val="center"/>
              <w:rPr>
                <w:sz w:val="24"/>
                <w:szCs w:val="24"/>
              </w:rPr>
            </w:pPr>
            <w:r>
              <w:rPr>
                <w:sz w:val="24"/>
                <w:szCs w:val="24"/>
              </w:rPr>
              <w:t>1.0‰</w:t>
            </w:r>
          </w:p>
        </w:tc>
        <w:tc>
          <w:tcPr>
            <w:tcW w:w="1551" w:type="dxa"/>
            <w:vAlign w:val="center"/>
          </w:tcPr>
          <w:p>
            <w:pPr>
              <w:spacing w:line="360" w:lineRule="auto"/>
              <w:ind w:right="-216"/>
              <w:jc w:val="center"/>
              <w:rPr>
                <w:sz w:val="24"/>
                <w:szCs w:val="24"/>
              </w:rPr>
            </w:pPr>
            <w:r>
              <w:rPr>
                <w:sz w:val="24"/>
                <w:szCs w:val="24"/>
              </w:rPr>
              <w:t>0.8‰</w:t>
            </w:r>
          </w:p>
        </w:tc>
        <w:tc>
          <w:tcPr>
            <w:tcW w:w="1794" w:type="dxa"/>
          </w:tcPr>
          <w:p>
            <w:pPr>
              <w:spacing w:line="360" w:lineRule="auto"/>
              <w:ind w:right="-216"/>
              <w:jc w:val="center"/>
              <w:rPr>
                <w:sz w:val="24"/>
                <w:szCs w:val="24"/>
              </w:rPr>
            </w:pPr>
            <w:r>
              <w:rPr>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566" w:type="dxa"/>
            <w:vAlign w:val="center"/>
          </w:tcPr>
          <w:p>
            <w:pPr>
              <w:spacing w:line="360" w:lineRule="auto"/>
              <w:ind w:right="-216"/>
              <w:jc w:val="center"/>
              <w:rPr>
                <w:sz w:val="24"/>
                <w:szCs w:val="24"/>
              </w:rPr>
            </w:pPr>
            <w:r>
              <w:rPr>
                <w:sz w:val="24"/>
                <w:szCs w:val="24"/>
              </w:rPr>
              <w:t>5</w:t>
            </w:r>
          </w:p>
        </w:tc>
        <w:tc>
          <w:tcPr>
            <w:tcW w:w="3036" w:type="dxa"/>
            <w:vAlign w:val="center"/>
          </w:tcPr>
          <w:p>
            <w:pPr>
              <w:spacing w:line="360" w:lineRule="auto"/>
              <w:ind w:right="-216"/>
              <w:jc w:val="center"/>
              <w:rPr>
                <w:sz w:val="24"/>
                <w:szCs w:val="24"/>
              </w:rPr>
            </w:pPr>
            <w:r>
              <w:rPr>
                <w:sz w:val="24"/>
                <w:szCs w:val="24"/>
              </w:rPr>
              <w:t>1亿元以上-5亿元</w:t>
            </w:r>
          </w:p>
        </w:tc>
        <w:tc>
          <w:tcPr>
            <w:tcW w:w="1533" w:type="dxa"/>
          </w:tcPr>
          <w:p>
            <w:pPr>
              <w:spacing w:line="360" w:lineRule="auto"/>
              <w:ind w:right="-216"/>
              <w:jc w:val="center"/>
              <w:rPr>
                <w:sz w:val="24"/>
                <w:szCs w:val="24"/>
              </w:rPr>
            </w:pPr>
            <w:r>
              <w:rPr>
                <w:sz w:val="24"/>
                <w:szCs w:val="24"/>
              </w:rPr>
              <w:t>0.8‰</w:t>
            </w:r>
          </w:p>
        </w:tc>
        <w:tc>
          <w:tcPr>
            <w:tcW w:w="1551" w:type="dxa"/>
            <w:vAlign w:val="center"/>
          </w:tcPr>
          <w:p>
            <w:pPr>
              <w:spacing w:line="360" w:lineRule="auto"/>
              <w:ind w:right="-216"/>
              <w:jc w:val="center"/>
              <w:rPr>
                <w:sz w:val="24"/>
                <w:szCs w:val="24"/>
              </w:rPr>
            </w:pPr>
            <w:r>
              <w:rPr>
                <w:sz w:val="24"/>
                <w:szCs w:val="24"/>
              </w:rPr>
              <w:t>0.8‰</w:t>
            </w:r>
          </w:p>
        </w:tc>
        <w:tc>
          <w:tcPr>
            <w:tcW w:w="1794" w:type="dxa"/>
          </w:tcPr>
          <w:p>
            <w:pPr>
              <w:spacing w:line="360" w:lineRule="auto"/>
              <w:ind w:right="-216"/>
              <w:jc w:val="center"/>
              <w:rPr>
                <w:sz w:val="24"/>
                <w:szCs w:val="24"/>
              </w:rPr>
            </w:pPr>
            <w:r>
              <w:rPr>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566" w:type="dxa"/>
            <w:vAlign w:val="center"/>
          </w:tcPr>
          <w:p>
            <w:pPr>
              <w:spacing w:line="360" w:lineRule="auto"/>
              <w:ind w:right="-216"/>
              <w:jc w:val="center"/>
              <w:rPr>
                <w:sz w:val="24"/>
                <w:szCs w:val="24"/>
              </w:rPr>
            </w:pPr>
            <w:r>
              <w:rPr>
                <w:sz w:val="24"/>
                <w:szCs w:val="24"/>
              </w:rPr>
              <w:t>6</w:t>
            </w:r>
          </w:p>
        </w:tc>
        <w:tc>
          <w:tcPr>
            <w:tcW w:w="3036" w:type="dxa"/>
            <w:vAlign w:val="center"/>
          </w:tcPr>
          <w:p>
            <w:pPr>
              <w:spacing w:line="360" w:lineRule="auto"/>
              <w:ind w:right="-216"/>
              <w:jc w:val="center"/>
              <w:rPr>
                <w:sz w:val="24"/>
                <w:szCs w:val="24"/>
              </w:rPr>
            </w:pPr>
            <w:r>
              <w:rPr>
                <w:sz w:val="24"/>
                <w:szCs w:val="24"/>
              </w:rPr>
              <w:t>5亿元以上</w:t>
            </w:r>
          </w:p>
        </w:tc>
        <w:tc>
          <w:tcPr>
            <w:tcW w:w="1533" w:type="dxa"/>
          </w:tcPr>
          <w:p>
            <w:pPr>
              <w:spacing w:line="360" w:lineRule="auto"/>
              <w:ind w:right="-216"/>
              <w:jc w:val="center"/>
              <w:rPr>
                <w:sz w:val="24"/>
                <w:szCs w:val="24"/>
              </w:rPr>
            </w:pPr>
            <w:r>
              <w:rPr>
                <w:sz w:val="24"/>
                <w:szCs w:val="24"/>
              </w:rPr>
              <w:t>0.7‰</w:t>
            </w:r>
          </w:p>
        </w:tc>
        <w:tc>
          <w:tcPr>
            <w:tcW w:w="1551" w:type="dxa"/>
            <w:vAlign w:val="center"/>
          </w:tcPr>
          <w:p>
            <w:pPr>
              <w:spacing w:line="360" w:lineRule="auto"/>
              <w:ind w:right="-216"/>
              <w:jc w:val="center"/>
              <w:rPr>
                <w:sz w:val="24"/>
                <w:szCs w:val="24"/>
              </w:rPr>
            </w:pPr>
            <w:r>
              <w:rPr>
                <w:sz w:val="24"/>
                <w:szCs w:val="24"/>
              </w:rPr>
              <w:t>0.7‰</w:t>
            </w:r>
          </w:p>
        </w:tc>
        <w:tc>
          <w:tcPr>
            <w:tcW w:w="1794" w:type="dxa"/>
          </w:tcPr>
          <w:p>
            <w:pPr>
              <w:spacing w:line="360" w:lineRule="auto"/>
              <w:ind w:right="-216"/>
              <w:jc w:val="center"/>
              <w:rPr>
                <w:sz w:val="24"/>
                <w:szCs w:val="24"/>
              </w:rPr>
            </w:pPr>
            <w:r>
              <w:rPr>
                <w:sz w:val="24"/>
                <w:szCs w:val="24"/>
              </w:rPr>
              <w:t>0.5%</w:t>
            </w:r>
          </w:p>
        </w:tc>
      </w:tr>
    </w:tbl>
    <w:p>
      <w:pPr>
        <w:spacing w:line="360" w:lineRule="auto"/>
        <w:ind w:firstLine="480" w:firstLineChars="200"/>
        <w:rPr>
          <w:sz w:val="24"/>
          <w:szCs w:val="24"/>
        </w:rPr>
      </w:pPr>
      <w:r>
        <w:rPr>
          <w:sz w:val="24"/>
          <w:szCs w:val="24"/>
        </w:rPr>
        <w:t>基本费计算基数为财政、审计复审后的建安工程造价审定金额，审减追加费的计算基数为财政、审计复审后的审减金额。</w:t>
      </w:r>
    </w:p>
    <w:p>
      <w:pPr>
        <w:spacing w:line="360" w:lineRule="auto"/>
        <w:ind w:firstLine="480" w:firstLineChars="200"/>
        <w:rPr>
          <w:sz w:val="24"/>
          <w:szCs w:val="24"/>
        </w:rPr>
      </w:pPr>
      <w:r>
        <w:rPr>
          <w:sz w:val="24"/>
          <w:szCs w:val="24"/>
        </w:rPr>
        <w:t>（四）工程结算审查委托费</w:t>
      </w:r>
    </w:p>
    <w:p>
      <w:pPr>
        <w:spacing w:line="360" w:lineRule="auto"/>
        <w:ind w:firstLine="480" w:firstLineChars="200"/>
        <w:rPr>
          <w:sz w:val="24"/>
          <w:szCs w:val="24"/>
        </w:rPr>
      </w:pPr>
      <w:r>
        <w:rPr>
          <w:sz w:val="24"/>
          <w:szCs w:val="24"/>
        </w:rPr>
        <w:t>工程结算审查委托费 =基本费计算基数×基本费费率+审减追加费计算基数×审减追加费费率。</w:t>
      </w:r>
    </w:p>
    <w:p>
      <w:pPr>
        <w:spacing w:beforeLines="50" w:line="360" w:lineRule="auto"/>
        <w:ind w:right="-215" w:firstLine="235" w:firstLineChars="98"/>
        <w:jc w:val="center"/>
        <w:rPr>
          <w:rFonts w:eastAsia="黑体"/>
          <w:sz w:val="24"/>
          <w:szCs w:val="24"/>
        </w:rPr>
      </w:pPr>
    </w:p>
    <w:p>
      <w:pPr>
        <w:spacing w:beforeLines="50" w:line="360" w:lineRule="auto"/>
        <w:ind w:right="-215" w:firstLine="235" w:firstLineChars="98"/>
        <w:jc w:val="center"/>
        <w:rPr>
          <w:rFonts w:eastAsia="黑体"/>
          <w:sz w:val="24"/>
          <w:szCs w:val="24"/>
        </w:rPr>
      </w:pPr>
    </w:p>
    <w:p>
      <w:pPr>
        <w:spacing w:beforeLines="50" w:line="360" w:lineRule="auto"/>
        <w:ind w:right="-215" w:firstLine="235" w:firstLineChars="98"/>
        <w:jc w:val="center"/>
        <w:rPr>
          <w:rFonts w:eastAsia="黑体"/>
          <w:sz w:val="24"/>
          <w:szCs w:val="24"/>
        </w:rPr>
      </w:pPr>
      <w:r>
        <w:rPr>
          <w:rFonts w:eastAsia="黑体"/>
          <w:sz w:val="24"/>
          <w:szCs w:val="24"/>
        </w:rPr>
        <w:t>表三 工程结算审查委托费费率表</w:t>
      </w:r>
    </w:p>
    <w:tbl>
      <w:tblPr>
        <w:tblStyle w:val="22"/>
        <w:tblW w:w="935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3036"/>
        <w:gridCol w:w="1838"/>
        <w:gridCol w:w="1700"/>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566" w:type="dxa"/>
            <w:vAlign w:val="center"/>
          </w:tcPr>
          <w:p>
            <w:pPr>
              <w:spacing w:line="360" w:lineRule="auto"/>
              <w:ind w:right="-216"/>
              <w:rPr>
                <w:sz w:val="24"/>
                <w:szCs w:val="24"/>
              </w:rPr>
            </w:pPr>
            <w:r>
              <w:rPr>
                <w:sz w:val="24"/>
                <w:szCs w:val="24"/>
              </w:rPr>
              <w:t>档次</w:t>
            </w:r>
          </w:p>
        </w:tc>
        <w:tc>
          <w:tcPr>
            <w:tcW w:w="3036" w:type="dxa"/>
            <w:vAlign w:val="center"/>
          </w:tcPr>
          <w:p>
            <w:pPr>
              <w:spacing w:line="360" w:lineRule="auto"/>
              <w:ind w:right="-216"/>
              <w:jc w:val="center"/>
              <w:rPr>
                <w:sz w:val="24"/>
                <w:szCs w:val="24"/>
              </w:rPr>
            </w:pPr>
            <w:r>
              <w:rPr>
                <w:sz w:val="24"/>
                <w:szCs w:val="24"/>
              </w:rPr>
              <w:t>工程造价</w:t>
            </w:r>
          </w:p>
        </w:tc>
        <w:tc>
          <w:tcPr>
            <w:tcW w:w="1838" w:type="dxa"/>
          </w:tcPr>
          <w:p>
            <w:pPr>
              <w:spacing w:line="360" w:lineRule="auto"/>
              <w:ind w:right="-216"/>
              <w:rPr>
                <w:sz w:val="24"/>
                <w:szCs w:val="24"/>
              </w:rPr>
            </w:pPr>
            <w:r>
              <w:rPr>
                <w:sz w:val="24"/>
                <w:szCs w:val="24"/>
              </w:rPr>
              <w:t>一类项目费率</w:t>
            </w:r>
          </w:p>
        </w:tc>
        <w:tc>
          <w:tcPr>
            <w:tcW w:w="1700" w:type="dxa"/>
            <w:vAlign w:val="center"/>
          </w:tcPr>
          <w:p>
            <w:pPr>
              <w:spacing w:line="360" w:lineRule="auto"/>
              <w:ind w:right="-216"/>
              <w:rPr>
                <w:sz w:val="24"/>
                <w:szCs w:val="24"/>
              </w:rPr>
            </w:pPr>
            <w:r>
              <w:rPr>
                <w:sz w:val="24"/>
                <w:szCs w:val="24"/>
              </w:rPr>
              <w:t>二类项目费率</w:t>
            </w:r>
          </w:p>
        </w:tc>
        <w:tc>
          <w:tcPr>
            <w:tcW w:w="2210" w:type="dxa"/>
          </w:tcPr>
          <w:p>
            <w:pPr>
              <w:spacing w:line="360" w:lineRule="auto"/>
              <w:ind w:right="-216"/>
              <w:rPr>
                <w:sz w:val="24"/>
                <w:szCs w:val="24"/>
              </w:rPr>
            </w:pPr>
            <w:r>
              <w:rPr>
                <w:sz w:val="24"/>
                <w:szCs w:val="24"/>
              </w:rPr>
              <w:t>审减追加费费率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566" w:type="dxa"/>
            <w:vAlign w:val="center"/>
          </w:tcPr>
          <w:p>
            <w:pPr>
              <w:spacing w:line="360" w:lineRule="auto"/>
              <w:ind w:right="-216"/>
              <w:jc w:val="center"/>
              <w:rPr>
                <w:sz w:val="24"/>
                <w:szCs w:val="24"/>
              </w:rPr>
            </w:pPr>
            <w:r>
              <w:rPr>
                <w:sz w:val="24"/>
                <w:szCs w:val="24"/>
              </w:rPr>
              <w:t>1</w:t>
            </w:r>
          </w:p>
        </w:tc>
        <w:tc>
          <w:tcPr>
            <w:tcW w:w="3036" w:type="dxa"/>
            <w:vAlign w:val="center"/>
          </w:tcPr>
          <w:p>
            <w:pPr>
              <w:spacing w:line="360" w:lineRule="auto"/>
              <w:ind w:right="-216"/>
              <w:jc w:val="center"/>
              <w:rPr>
                <w:sz w:val="24"/>
                <w:szCs w:val="24"/>
              </w:rPr>
            </w:pPr>
            <w:r>
              <w:rPr>
                <w:sz w:val="24"/>
                <w:szCs w:val="24"/>
              </w:rPr>
              <w:t>500万元以下（含500万元）</w:t>
            </w:r>
          </w:p>
        </w:tc>
        <w:tc>
          <w:tcPr>
            <w:tcW w:w="1838" w:type="dxa"/>
          </w:tcPr>
          <w:p>
            <w:pPr>
              <w:spacing w:line="360" w:lineRule="auto"/>
              <w:ind w:right="-216"/>
              <w:jc w:val="center"/>
              <w:rPr>
                <w:sz w:val="24"/>
                <w:szCs w:val="24"/>
              </w:rPr>
            </w:pPr>
            <w:r>
              <w:rPr>
                <w:sz w:val="24"/>
                <w:szCs w:val="24"/>
              </w:rPr>
              <w:t>1.8‰</w:t>
            </w:r>
          </w:p>
        </w:tc>
        <w:tc>
          <w:tcPr>
            <w:tcW w:w="1700" w:type="dxa"/>
            <w:vAlign w:val="center"/>
          </w:tcPr>
          <w:p>
            <w:pPr>
              <w:spacing w:line="360" w:lineRule="auto"/>
              <w:ind w:right="-216"/>
              <w:jc w:val="center"/>
              <w:rPr>
                <w:sz w:val="24"/>
                <w:szCs w:val="24"/>
              </w:rPr>
            </w:pPr>
            <w:r>
              <w:rPr>
                <w:sz w:val="24"/>
                <w:szCs w:val="24"/>
              </w:rPr>
              <w:t>1.5‰</w:t>
            </w:r>
          </w:p>
        </w:tc>
        <w:tc>
          <w:tcPr>
            <w:tcW w:w="2210" w:type="dxa"/>
          </w:tcPr>
          <w:p>
            <w:pPr>
              <w:spacing w:line="360" w:lineRule="auto"/>
              <w:ind w:right="-216"/>
              <w:jc w:val="center"/>
              <w:rPr>
                <w:sz w:val="24"/>
                <w:szCs w:val="24"/>
              </w:rPr>
            </w:pPr>
            <w:r>
              <w:rPr>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566" w:type="dxa"/>
            <w:vAlign w:val="center"/>
          </w:tcPr>
          <w:p>
            <w:pPr>
              <w:spacing w:line="360" w:lineRule="auto"/>
              <w:ind w:right="-216"/>
              <w:jc w:val="center"/>
              <w:rPr>
                <w:sz w:val="24"/>
                <w:szCs w:val="24"/>
              </w:rPr>
            </w:pPr>
            <w:r>
              <w:rPr>
                <w:sz w:val="24"/>
                <w:szCs w:val="24"/>
              </w:rPr>
              <w:t>2</w:t>
            </w:r>
          </w:p>
        </w:tc>
        <w:tc>
          <w:tcPr>
            <w:tcW w:w="3036" w:type="dxa"/>
            <w:vAlign w:val="center"/>
          </w:tcPr>
          <w:p>
            <w:pPr>
              <w:spacing w:line="360" w:lineRule="auto"/>
              <w:ind w:right="-216"/>
              <w:jc w:val="center"/>
              <w:rPr>
                <w:sz w:val="24"/>
                <w:szCs w:val="24"/>
              </w:rPr>
            </w:pPr>
            <w:r>
              <w:rPr>
                <w:sz w:val="24"/>
                <w:szCs w:val="24"/>
              </w:rPr>
              <w:t>500万元以上-1000万元</w:t>
            </w:r>
          </w:p>
        </w:tc>
        <w:tc>
          <w:tcPr>
            <w:tcW w:w="1838" w:type="dxa"/>
          </w:tcPr>
          <w:p>
            <w:pPr>
              <w:spacing w:line="360" w:lineRule="auto"/>
              <w:ind w:right="-216"/>
              <w:jc w:val="center"/>
              <w:rPr>
                <w:sz w:val="24"/>
                <w:szCs w:val="24"/>
              </w:rPr>
            </w:pPr>
            <w:r>
              <w:rPr>
                <w:sz w:val="24"/>
                <w:szCs w:val="24"/>
              </w:rPr>
              <w:t>1.5‰</w:t>
            </w:r>
          </w:p>
        </w:tc>
        <w:tc>
          <w:tcPr>
            <w:tcW w:w="1700" w:type="dxa"/>
            <w:vAlign w:val="center"/>
          </w:tcPr>
          <w:p>
            <w:pPr>
              <w:spacing w:line="360" w:lineRule="auto"/>
              <w:ind w:right="-216"/>
              <w:jc w:val="center"/>
              <w:rPr>
                <w:sz w:val="24"/>
                <w:szCs w:val="24"/>
              </w:rPr>
            </w:pPr>
            <w:r>
              <w:rPr>
                <w:sz w:val="24"/>
                <w:szCs w:val="24"/>
              </w:rPr>
              <w:t>1.3‰</w:t>
            </w:r>
          </w:p>
        </w:tc>
        <w:tc>
          <w:tcPr>
            <w:tcW w:w="2210" w:type="dxa"/>
          </w:tcPr>
          <w:p>
            <w:pPr>
              <w:spacing w:line="360" w:lineRule="auto"/>
              <w:ind w:right="-216"/>
              <w:jc w:val="center"/>
              <w:rPr>
                <w:sz w:val="24"/>
                <w:szCs w:val="24"/>
              </w:rPr>
            </w:pPr>
            <w:r>
              <w:rPr>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566" w:type="dxa"/>
            <w:vAlign w:val="center"/>
          </w:tcPr>
          <w:p>
            <w:pPr>
              <w:spacing w:line="360" w:lineRule="auto"/>
              <w:ind w:right="-216"/>
              <w:jc w:val="center"/>
              <w:rPr>
                <w:sz w:val="24"/>
                <w:szCs w:val="24"/>
              </w:rPr>
            </w:pPr>
            <w:r>
              <w:rPr>
                <w:sz w:val="24"/>
                <w:szCs w:val="24"/>
              </w:rPr>
              <w:t>3</w:t>
            </w:r>
          </w:p>
        </w:tc>
        <w:tc>
          <w:tcPr>
            <w:tcW w:w="3036" w:type="dxa"/>
            <w:vAlign w:val="center"/>
          </w:tcPr>
          <w:p>
            <w:pPr>
              <w:spacing w:line="360" w:lineRule="auto"/>
              <w:ind w:right="-216"/>
              <w:jc w:val="center"/>
              <w:rPr>
                <w:sz w:val="24"/>
                <w:szCs w:val="24"/>
              </w:rPr>
            </w:pPr>
            <w:r>
              <w:rPr>
                <w:sz w:val="24"/>
                <w:szCs w:val="24"/>
              </w:rPr>
              <w:t>1000万元以上-5000万元</w:t>
            </w:r>
          </w:p>
        </w:tc>
        <w:tc>
          <w:tcPr>
            <w:tcW w:w="1838" w:type="dxa"/>
          </w:tcPr>
          <w:p>
            <w:pPr>
              <w:spacing w:line="360" w:lineRule="auto"/>
              <w:ind w:right="-216"/>
              <w:jc w:val="center"/>
              <w:rPr>
                <w:sz w:val="24"/>
                <w:szCs w:val="24"/>
              </w:rPr>
            </w:pPr>
            <w:r>
              <w:rPr>
                <w:sz w:val="24"/>
                <w:szCs w:val="24"/>
              </w:rPr>
              <w:t>1.3‰</w:t>
            </w:r>
          </w:p>
        </w:tc>
        <w:tc>
          <w:tcPr>
            <w:tcW w:w="1700" w:type="dxa"/>
            <w:vAlign w:val="center"/>
          </w:tcPr>
          <w:p>
            <w:pPr>
              <w:spacing w:line="360" w:lineRule="auto"/>
              <w:ind w:right="-216"/>
              <w:jc w:val="center"/>
              <w:rPr>
                <w:sz w:val="24"/>
                <w:szCs w:val="24"/>
              </w:rPr>
            </w:pPr>
            <w:r>
              <w:rPr>
                <w:sz w:val="24"/>
                <w:szCs w:val="24"/>
              </w:rPr>
              <w:t>1.0‰</w:t>
            </w:r>
          </w:p>
        </w:tc>
        <w:tc>
          <w:tcPr>
            <w:tcW w:w="2210" w:type="dxa"/>
          </w:tcPr>
          <w:p>
            <w:pPr>
              <w:spacing w:line="360" w:lineRule="auto"/>
              <w:ind w:right="-216"/>
              <w:jc w:val="center"/>
              <w:rPr>
                <w:sz w:val="24"/>
                <w:szCs w:val="24"/>
              </w:rPr>
            </w:pPr>
            <w:r>
              <w:rPr>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566" w:type="dxa"/>
            <w:vAlign w:val="center"/>
          </w:tcPr>
          <w:p>
            <w:pPr>
              <w:spacing w:line="360" w:lineRule="auto"/>
              <w:ind w:right="-216"/>
              <w:jc w:val="center"/>
              <w:rPr>
                <w:sz w:val="24"/>
                <w:szCs w:val="24"/>
              </w:rPr>
            </w:pPr>
            <w:r>
              <w:rPr>
                <w:sz w:val="24"/>
                <w:szCs w:val="24"/>
              </w:rPr>
              <w:t>4</w:t>
            </w:r>
          </w:p>
        </w:tc>
        <w:tc>
          <w:tcPr>
            <w:tcW w:w="3036" w:type="dxa"/>
            <w:vAlign w:val="center"/>
          </w:tcPr>
          <w:p>
            <w:pPr>
              <w:spacing w:line="360" w:lineRule="auto"/>
              <w:ind w:right="-216"/>
              <w:jc w:val="center"/>
              <w:rPr>
                <w:sz w:val="24"/>
                <w:szCs w:val="24"/>
              </w:rPr>
            </w:pPr>
            <w:r>
              <w:rPr>
                <w:sz w:val="24"/>
                <w:szCs w:val="24"/>
              </w:rPr>
              <w:t>5000万元以上-1亿元</w:t>
            </w:r>
          </w:p>
        </w:tc>
        <w:tc>
          <w:tcPr>
            <w:tcW w:w="1838" w:type="dxa"/>
          </w:tcPr>
          <w:p>
            <w:pPr>
              <w:spacing w:line="360" w:lineRule="auto"/>
              <w:ind w:right="-216"/>
              <w:jc w:val="center"/>
              <w:rPr>
                <w:sz w:val="24"/>
                <w:szCs w:val="24"/>
              </w:rPr>
            </w:pPr>
            <w:r>
              <w:rPr>
                <w:sz w:val="24"/>
                <w:szCs w:val="24"/>
              </w:rPr>
              <w:t>1.0‰</w:t>
            </w:r>
          </w:p>
        </w:tc>
        <w:tc>
          <w:tcPr>
            <w:tcW w:w="1700" w:type="dxa"/>
            <w:vAlign w:val="center"/>
          </w:tcPr>
          <w:p>
            <w:pPr>
              <w:spacing w:line="360" w:lineRule="auto"/>
              <w:ind w:right="-216"/>
              <w:jc w:val="center"/>
              <w:rPr>
                <w:sz w:val="24"/>
                <w:szCs w:val="24"/>
              </w:rPr>
            </w:pPr>
            <w:r>
              <w:rPr>
                <w:sz w:val="24"/>
                <w:szCs w:val="24"/>
              </w:rPr>
              <w:t>0.8‰</w:t>
            </w:r>
          </w:p>
        </w:tc>
        <w:tc>
          <w:tcPr>
            <w:tcW w:w="2210" w:type="dxa"/>
          </w:tcPr>
          <w:p>
            <w:pPr>
              <w:spacing w:line="360" w:lineRule="auto"/>
              <w:ind w:right="-216"/>
              <w:jc w:val="center"/>
              <w:rPr>
                <w:sz w:val="24"/>
                <w:szCs w:val="24"/>
              </w:rPr>
            </w:pPr>
            <w:r>
              <w:rPr>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566" w:type="dxa"/>
            <w:vAlign w:val="center"/>
          </w:tcPr>
          <w:p>
            <w:pPr>
              <w:spacing w:line="360" w:lineRule="auto"/>
              <w:ind w:right="-216"/>
              <w:jc w:val="center"/>
              <w:rPr>
                <w:sz w:val="24"/>
                <w:szCs w:val="24"/>
              </w:rPr>
            </w:pPr>
            <w:r>
              <w:rPr>
                <w:sz w:val="24"/>
                <w:szCs w:val="24"/>
              </w:rPr>
              <w:t>5</w:t>
            </w:r>
          </w:p>
        </w:tc>
        <w:tc>
          <w:tcPr>
            <w:tcW w:w="3036" w:type="dxa"/>
            <w:vAlign w:val="center"/>
          </w:tcPr>
          <w:p>
            <w:pPr>
              <w:spacing w:line="360" w:lineRule="auto"/>
              <w:ind w:right="-216"/>
              <w:jc w:val="center"/>
              <w:rPr>
                <w:sz w:val="24"/>
                <w:szCs w:val="24"/>
              </w:rPr>
            </w:pPr>
            <w:r>
              <w:rPr>
                <w:sz w:val="24"/>
                <w:szCs w:val="24"/>
              </w:rPr>
              <w:t>1亿元以上-5亿元</w:t>
            </w:r>
          </w:p>
        </w:tc>
        <w:tc>
          <w:tcPr>
            <w:tcW w:w="1838" w:type="dxa"/>
          </w:tcPr>
          <w:p>
            <w:pPr>
              <w:spacing w:line="360" w:lineRule="auto"/>
              <w:ind w:right="-216"/>
              <w:jc w:val="center"/>
              <w:rPr>
                <w:sz w:val="24"/>
                <w:szCs w:val="24"/>
              </w:rPr>
            </w:pPr>
            <w:r>
              <w:rPr>
                <w:sz w:val="24"/>
                <w:szCs w:val="24"/>
              </w:rPr>
              <w:t>0.8‰</w:t>
            </w:r>
          </w:p>
        </w:tc>
        <w:tc>
          <w:tcPr>
            <w:tcW w:w="1700" w:type="dxa"/>
            <w:vAlign w:val="center"/>
          </w:tcPr>
          <w:p>
            <w:pPr>
              <w:spacing w:line="360" w:lineRule="auto"/>
              <w:ind w:right="-216"/>
              <w:jc w:val="center"/>
              <w:rPr>
                <w:sz w:val="24"/>
                <w:szCs w:val="24"/>
              </w:rPr>
            </w:pPr>
            <w:r>
              <w:rPr>
                <w:sz w:val="24"/>
                <w:szCs w:val="24"/>
              </w:rPr>
              <w:t>0.8‰</w:t>
            </w:r>
          </w:p>
        </w:tc>
        <w:tc>
          <w:tcPr>
            <w:tcW w:w="2210" w:type="dxa"/>
          </w:tcPr>
          <w:p>
            <w:pPr>
              <w:spacing w:line="360" w:lineRule="auto"/>
              <w:ind w:right="-216"/>
              <w:jc w:val="center"/>
              <w:rPr>
                <w:sz w:val="24"/>
                <w:szCs w:val="24"/>
              </w:rPr>
            </w:pPr>
            <w:r>
              <w:rPr>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566" w:type="dxa"/>
            <w:vAlign w:val="center"/>
          </w:tcPr>
          <w:p>
            <w:pPr>
              <w:spacing w:line="360" w:lineRule="auto"/>
              <w:ind w:right="-216"/>
              <w:jc w:val="center"/>
              <w:rPr>
                <w:sz w:val="24"/>
                <w:szCs w:val="24"/>
              </w:rPr>
            </w:pPr>
            <w:r>
              <w:rPr>
                <w:sz w:val="24"/>
                <w:szCs w:val="24"/>
              </w:rPr>
              <w:t>6</w:t>
            </w:r>
          </w:p>
        </w:tc>
        <w:tc>
          <w:tcPr>
            <w:tcW w:w="3036" w:type="dxa"/>
            <w:vAlign w:val="center"/>
          </w:tcPr>
          <w:p>
            <w:pPr>
              <w:spacing w:line="360" w:lineRule="auto"/>
              <w:ind w:right="-216"/>
              <w:jc w:val="center"/>
              <w:rPr>
                <w:sz w:val="24"/>
                <w:szCs w:val="24"/>
              </w:rPr>
            </w:pPr>
            <w:r>
              <w:rPr>
                <w:sz w:val="24"/>
                <w:szCs w:val="24"/>
              </w:rPr>
              <w:t>5亿元以上</w:t>
            </w:r>
          </w:p>
        </w:tc>
        <w:tc>
          <w:tcPr>
            <w:tcW w:w="1838" w:type="dxa"/>
          </w:tcPr>
          <w:p>
            <w:pPr>
              <w:spacing w:line="360" w:lineRule="auto"/>
              <w:ind w:right="-216"/>
              <w:jc w:val="center"/>
              <w:rPr>
                <w:sz w:val="24"/>
                <w:szCs w:val="24"/>
              </w:rPr>
            </w:pPr>
            <w:r>
              <w:rPr>
                <w:sz w:val="24"/>
                <w:szCs w:val="24"/>
              </w:rPr>
              <w:t>0.7‰</w:t>
            </w:r>
          </w:p>
        </w:tc>
        <w:tc>
          <w:tcPr>
            <w:tcW w:w="1700" w:type="dxa"/>
            <w:vAlign w:val="center"/>
          </w:tcPr>
          <w:p>
            <w:pPr>
              <w:spacing w:line="360" w:lineRule="auto"/>
              <w:ind w:right="-216"/>
              <w:jc w:val="center"/>
              <w:rPr>
                <w:sz w:val="24"/>
                <w:szCs w:val="24"/>
              </w:rPr>
            </w:pPr>
            <w:r>
              <w:rPr>
                <w:sz w:val="24"/>
                <w:szCs w:val="24"/>
              </w:rPr>
              <w:t>0.7‰</w:t>
            </w:r>
          </w:p>
        </w:tc>
        <w:tc>
          <w:tcPr>
            <w:tcW w:w="2210" w:type="dxa"/>
          </w:tcPr>
          <w:p>
            <w:pPr>
              <w:spacing w:line="360" w:lineRule="auto"/>
              <w:ind w:right="-216"/>
              <w:jc w:val="center"/>
              <w:rPr>
                <w:sz w:val="24"/>
                <w:szCs w:val="24"/>
              </w:rPr>
            </w:pPr>
            <w:r>
              <w:rPr>
                <w:sz w:val="24"/>
                <w:szCs w:val="24"/>
              </w:rPr>
              <w:t>0.5%</w:t>
            </w:r>
          </w:p>
        </w:tc>
      </w:tr>
    </w:tbl>
    <w:p>
      <w:pPr>
        <w:spacing w:line="360" w:lineRule="auto"/>
        <w:ind w:firstLine="600" w:firstLineChars="250"/>
        <w:rPr>
          <w:sz w:val="24"/>
          <w:szCs w:val="24"/>
        </w:rPr>
      </w:pPr>
      <w:r>
        <w:rPr>
          <w:sz w:val="24"/>
          <w:szCs w:val="24"/>
        </w:rPr>
        <w:t>基本费计算基数为财政、审计复审后的建安工程造价审定金额，审减追加费的计算基数为财政、审计复审后的审减金额。</w:t>
      </w:r>
    </w:p>
    <w:p>
      <w:pPr>
        <w:spacing w:line="360" w:lineRule="auto"/>
        <w:ind w:firstLine="480" w:firstLineChars="200"/>
        <w:rPr>
          <w:sz w:val="24"/>
          <w:szCs w:val="24"/>
        </w:rPr>
      </w:pPr>
      <w:r>
        <w:rPr>
          <w:sz w:val="24"/>
          <w:szCs w:val="24"/>
        </w:rPr>
        <w:t>（五）表一、表二、表三中的一类项目是指房屋建筑工程（包含与其配套的线路管道和设备安装工程、装饰工程）、人防工程、古建工程等；二类项目是指市政工程、园林绿化工程、交通水利工程、大型土石方工程及土地整理项目等。</w:t>
      </w:r>
    </w:p>
    <w:p>
      <w:pPr>
        <w:spacing w:line="360" w:lineRule="auto"/>
        <w:ind w:firstLine="480" w:firstLineChars="200"/>
        <w:rPr>
          <w:sz w:val="24"/>
          <w:szCs w:val="24"/>
        </w:rPr>
      </w:pPr>
      <w:r>
        <w:rPr>
          <w:sz w:val="24"/>
          <w:szCs w:val="24"/>
        </w:rPr>
        <w:t>（六）房建项目审减追加费最高支付限额30万元，其他项目最高支付限额15万元，且预（结）算审查费原则上不低于编制费用。以下金额不列入审减追加费计算基数（应计费审减额）：</w:t>
      </w:r>
    </w:p>
    <w:p>
      <w:pPr>
        <w:spacing w:line="360" w:lineRule="auto"/>
        <w:ind w:firstLine="480" w:firstLineChars="200"/>
        <w:rPr>
          <w:sz w:val="24"/>
          <w:szCs w:val="24"/>
        </w:rPr>
      </w:pPr>
      <w:r>
        <w:rPr>
          <w:sz w:val="24"/>
          <w:szCs w:val="24"/>
        </w:rPr>
        <w:t>1、因变更签证优惠率产生的审减金额；</w:t>
      </w:r>
    </w:p>
    <w:p>
      <w:pPr>
        <w:spacing w:line="360" w:lineRule="auto"/>
        <w:ind w:firstLine="480" w:firstLineChars="200"/>
        <w:rPr>
          <w:sz w:val="24"/>
          <w:szCs w:val="24"/>
        </w:rPr>
      </w:pPr>
      <w:r>
        <w:rPr>
          <w:sz w:val="24"/>
          <w:szCs w:val="24"/>
        </w:rPr>
        <w:t>2、因建设单位（委托人）原因项目取消产生的审减额；</w:t>
      </w:r>
    </w:p>
    <w:p>
      <w:pPr>
        <w:spacing w:line="360" w:lineRule="auto"/>
        <w:ind w:firstLine="480" w:firstLineChars="200"/>
        <w:rPr>
          <w:sz w:val="24"/>
          <w:szCs w:val="24"/>
        </w:rPr>
      </w:pPr>
      <w:r>
        <w:rPr>
          <w:sz w:val="24"/>
          <w:szCs w:val="24"/>
        </w:rPr>
        <w:t>3、不应计取的安全文明施工措施费、暂估价、优秀奖、材料价差调整（委托单位原因）等；</w:t>
      </w:r>
    </w:p>
    <w:p>
      <w:pPr>
        <w:spacing w:line="360" w:lineRule="auto"/>
        <w:ind w:firstLine="480" w:firstLineChars="200"/>
        <w:rPr>
          <w:sz w:val="24"/>
          <w:szCs w:val="24"/>
        </w:rPr>
      </w:pPr>
      <w:r>
        <w:rPr>
          <w:sz w:val="24"/>
          <w:szCs w:val="24"/>
        </w:rPr>
        <w:t>4、由财政局提出扣减的项目及相应金额。</w:t>
      </w:r>
    </w:p>
    <w:p>
      <w:pPr>
        <w:spacing w:line="360" w:lineRule="auto"/>
        <w:ind w:firstLine="482" w:firstLineChars="200"/>
        <w:rPr>
          <w:b/>
          <w:bCs/>
          <w:sz w:val="24"/>
          <w:szCs w:val="24"/>
        </w:rPr>
      </w:pPr>
      <w:r>
        <w:rPr>
          <w:b/>
          <w:bCs/>
          <w:sz w:val="24"/>
          <w:szCs w:val="24"/>
        </w:rPr>
        <w:t>二、 资产评估收费标准</w:t>
      </w:r>
    </w:p>
    <w:p>
      <w:pPr>
        <w:spacing w:line="360" w:lineRule="auto"/>
        <w:ind w:firstLine="480" w:firstLineChars="200"/>
        <w:jc w:val="center"/>
        <w:rPr>
          <w:rFonts w:hAnsi="黑体" w:eastAsia="黑体"/>
          <w:kern w:val="0"/>
          <w:sz w:val="24"/>
          <w:szCs w:val="24"/>
        </w:rPr>
      </w:pPr>
    </w:p>
    <w:p>
      <w:pPr>
        <w:spacing w:line="360" w:lineRule="auto"/>
        <w:ind w:firstLine="480" w:firstLineChars="200"/>
        <w:jc w:val="center"/>
        <w:rPr>
          <w:rFonts w:eastAsia="黑体"/>
          <w:kern w:val="0"/>
          <w:sz w:val="24"/>
          <w:szCs w:val="24"/>
        </w:rPr>
      </w:pPr>
      <w:r>
        <w:rPr>
          <w:rFonts w:hAnsi="黑体" w:eastAsia="黑体"/>
          <w:kern w:val="0"/>
          <w:sz w:val="24"/>
          <w:szCs w:val="24"/>
        </w:rPr>
        <w:t>表四资产评估差额定率累进取费表</w:t>
      </w:r>
    </w:p>
    <w:tbl>
      <w:tblPr>
        <w:tblStyle w:val="22"/>
        <w:tblW w:w="8603" w:type="dxa"/>
        <w:jc w:val="center"/>
        <w:tblInd w:w="0" w:type="dxa"/>
        <w:tblLayout w:type="fixed"/>
        <w:tblCellMar>
          <w:top w:w="0" w:type="dxa"/>
          <w:left w:w="0" w:type="dxa"/>
          <w:bottom w:w="0" w:type="dxa"/>
          <w:right w:w="0" w:type="dxa"/>
        </w:tblCellMar>
      </w:tblPr>
      <w:tblGrid>
        <w:gridCol w:w="835"/>
        <w:gridCol w:w="4579"/>
        <w:gridCol w:w="3189"/>
      </w:tblGrid>
      <w:tr>
        <w:tblPrEx>
          <w:tblLayout w:type="fixed"/>
          <w:tblCellMar>
            <w:top w:w="0" w:type="dxa"/>
            <w:left w:w="0" w:type="dxa"/>
            <w:bottom w:w="0" w:type="dxa"/>
            <w:right w:w="0" w:type="dxa"/>
          </w:tblCellMar>
        </w:tblPrEx>
        <w:trPr>
          <w:trHeight w:val="713" w:hRule="atLeast"/>
          <w:jc w:val="center"/>
        </w:trPr>
        <w:tc>
          <w:tcPr>
            <w:tcW w:w="83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档次</w:t>
            </w:r>
          </w:p>
        </w:tc>
        <w:tc>
          <w:tcPr>
            <w:tcW w:w="45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计费额度</w:t>
            </w:r>
          </w:p>
        </w:tc>
        <w:tc>
          <w:tcPr>
            <w:tcW w:w="3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差额计费率</w:t>
            </w:r>
          </w:p>
        </w:tc>
      </w:tr>
      <w:tr>
        <w:tblPrEx>
          <w:tblLayout w:type="fixed"/>
          <w:tblCellMar>
            <w:top w:w="0" w:type="dxa"/>
            <w:left w:w="0" w:type="dxa"/>
            <w:bottom w:w="0" w:type="dxa"/>
            <w:right w:w="0" w:type="dxa"/>
          </w:tblCellMar>
        </w:tblPrEx>
        <w:trPr>
          <w:trHeight w:val="584" w:hRule="atLeast"/>
          <w:jc w:val="center"/>
        </w:trPr>
        <w:tc>
          <w:tcPr>
            <w:tcW w:w="835"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1</w:t>
            </w:r>
          </w:p>
        </w:tc>
        <w:tc>
          <w:tcPr>
            <w:tcW w:w="4579"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100万元以下（含100万元）</w:t>
            </w:r>
          </w:p>
        </w:tc>
        <w:tc>
          <w:tcPr>
            <w:tcW w:w="3189"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9‰</w:t>
            </w:r>
          </w:p>
        </w:tc>
      </w:tr>
      <w:tr>
        <w:tblPrEx>
          <w:tblLayout w:type="fixed"/>
          <w:tblCellMar>
            <w:top w:w="0" w:type="dxa"/>
            <w:left w:w="0" w:type="dxa"/>
            <w:bottom w:w="0" w:type="dxa"/>
            <w:right w:w="0" w:type="dxa"/>
          </w:tblCellMar>
        </w:tblPrEx>
        <w:trPr>
          <w:trHeight w:val="584" w:hRule="atLeast"/>
          <w:jc w:val="center"/>
        </w:trPr>
        <w:tc>
          <w:tcPr>
            <w:tcW w:w="8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2</w:t>
            </w:r>
          </w:p>
        </w:tc>
        <w:tc>
          <w:tcPr>
            <w:tcW w:w="45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100万元-1000万元（含1000万元）</w:t>
            </w:r>
          </w:p>
        </w:tc>
        <w:tc>
          <w:tcPr>
            <w:tcW w:w="31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5‰</w:t>
            </w:r>
          </w:p>
        </w:tc>
      </w:tr>
      <w:tr>
        <w:tblPrEx>
          <w:tblLayout w:type="fixed"/>
          <w:tblCellMar>
            <w:top w:w="0" w:type="dxa"/>
            <w:left w:w="0" w:type="dxa"/>
            <w:bottom w:w="0" w:type="dxa"/>
            <w:right w:w="0" w:type="dxa"/>
          </w:tblCellMar>
        </w:tblPrEx>
        <w:trPr>
          <w:trHeight w:val="584" w:hRule="atLeast"/>
          <w:jc w:val="center"/>
        </w:trPr>
        <w:tc>
          <w:tcPr>
            <w:tcW w:w="8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3</w:t>
            </w:r>
          </w:p>
        </w:tc>
        <w:tc>
          <w:tcPr>
            <w:tcW w:w="45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1000万元-5000万元（含5000万元）</w:t>
            </w:r>
          </w:p>
        </w:tc>
        <w:tc>
          <w:tcPr>
            <w:tcW w:w="31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kern w:val="0"/>
                <w:sz w:val="24"/>
                <w:szCs w:val="24"/>
              </w:rPr>
            </w:pPr>
            <w:r>
              <w:rPr>
                <w:sz w:val="24"/>
                <w:szCs w:val="24"/>
              </w:rPr>
              <w:t>1.6‰</w:t>
            </w:r>
          </w:p>
        </w:tc>
      </w:tr>
      <w:tr>
        <w:tblPrEx>
          <w:tblLayout w:type="fixed"/>
          <w:tblCellMar>
            <w:top w:w="0" w:type="dxa"/>
            <w:left w:w="0" w:type="dxa"/>
            <w:bottom w:w="0" w:type="dxa"/>
            <w:right w:w="0" w:type="dxa"/>
          </w:tblCellMar>
        </w:tblPrEx>
        <w:trPr>
          <w:trHeight w:val="584" w:hRule="atLeast"/>
          <w:jc w:val="center"/>
        </w:trPr>
        <w:tc>
          <w:tcPr>
            <w:tcW w:w="8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4</w:t>
            </w:r>
          </w:p>
        </w:tc>
        <w:tc>
          <w:tcPr>
            <w:tcW w:w="45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5000万元-1亿元（含1亿元）</w:t>
            </w:r>
          </w:p>
        </w:tc>
        <w:tc>
          <w:tcPr>
            <w:tcW w:w="31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kern w:val="0"/>
                <w:sz w:val="24"/>
                <w:szCs w:val="24"/>
              </w:rPr>
            </w:pPr>
            <w:r>
              <w:rPr>
                <w:sz w:val="24"/>
                <w:szCs w:val="24"/>
              </w:rPr>
              <w:t>0.75‰</w:t>
            </w:r>
          </w:p>
        </w:tc>
      </w:tr>
      <w:tr>
        <w:tblPrEx>
          <w:tblLayout w:type="fixed"/>
          <w:tblCellMar>
            <w:top w:w="0" w:type="dxa"/>
            <w:left w:w="0" w:type="dxa"/>
            <w:bottom w:w="0" w:type="dxa"/>
            <w:right w:w="0" w:type="dxa"/>
          </w:tblCellMar>
        </w:tblPrEx>
        <w:trPr>
          <w:trHeight w:val="630" w:hRule="atLeast"/>
          <w:jc w:val="center"/>
        </w:trPr>
        <w:tc>
          <w:tcPr>
            <w:tcW w:w="8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5</w:t>
            </w:r>
          </w:p>
        </w:tc>
        <w:tc>
          <w:tcPr>
            <w:tcW w:w="45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1亿元-10亿元（含10亿元）</w:t>
            </w:r>
          </w:p>
        </w:tc>
        <w:tc>
          <w:tcPr>
            <w:tcW w:w="31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0.15</w:t>
            </w:r>
            <w:r>
              <w:rPr>
                <w:sz w:val="24"/>
                <w:szCs w:val="24"/>
              </w:rPr>
              <w:t>‰</w:t>
            </w:r>
          </w:p>
        </w:tc>
      </w:tr>
      <w:tr>
        <w:tblPrEx>
          <w:tblLayout w:type="fixed"/>
          <w:tblCellMar>
            <w:top w:w="0" w:type="dxa"/>
            <w:left w:w="0" w:type="dxa"/>
            <w:bottom w:w="0" w:type="dxa"/>
            <w:right w:w="0" w:type="dxa"/>
          </w:tblCellMar>
        </w:tblPrEx>
        <w:trPr>
          <w:trHeight w:val="630" w:hRule="atLeast"/>
          <w:jc w:val="center"/>
        </w:trPr>
        <w:tc>
          <w:tcPr>
            <w:tcW w:w="8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6</w:t>
            </w:r>
          </w:p>
        </w:tc>
        <w:tc>
          <w:tcPr>
            <w:tcW w:w="45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10亿元以上</w:t>
            </w:r>
          </w:p>
        </w:tc>
        <w:tc>
          <w:tcPr>
            <w:tcW w:w="31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0.1</w:t>
            </w:r>
            <w:r>
              <w:rPr>
                <w:sz w:val="24"/>
                <w:szCs w:val="24"/>
              </w:rPr>
              <w:t>‰</w:t>
            </w:r>
          </w:p>
        </w:tc>
      </w:tr>
    </w:tbl>
    <w:p>
      <w:pPr>
        <w:spacing w:line="360" w:lineRule="auto"/>
        <w:ind w:firstLine="482" w:firstLineChars="200"/>
        <w:rPr>
          <w:b/>
          <w:bCs/>
          <w:sz w:val="24"/>
          <w:szCs w:val="24"/>
        </w:rPr>
      </w:pPr>
    </w:p>
    <w:p>
      <w:pPr>
        <w:numPr>
          <w:ilvl w:val="0"/>
          <w:numId w:val="15"/>
        </w:numPr>
        <w:spacing w:line="360" w:lineRule="auto"/>
        <w:ind w:firstLine="482" w:firstLineChars="200"/>
        <w:rPr>
          <w:b/>
          <w:bCs/>
          <w:sz w:val="24"/>
          <w:szCs w:val="24"/>
        </w:rPr>
      </w:pPr>
      <w:r>
        <w:rPr>
          <w:b/>
          <w:bCs/>
          <w:sz w:val="24"/>
          <w:szCs w:val="24"/>
        </w:rPr>
        <w:t>财政（财务）审计、清产核资收费标准</w:t>
      </w:r>
    </w:p>
    <w:p>
      <w:pPr>
        <w:spacing w:line="360" w:lineRule="auto"/>
        <w:ind w:firstLine="480" w:firstLineChars="200"/>
        <w:rPr>
          <w:sz w:val="24"/>
          <w:szCs w:val="24"/>
        </w:rPr>
      </w:pPr>
      <w:r>
        <w:rPr>
          <w:sz w:val="24"/>
          <w:szCs w:val="24"/>
        </w:rPr>
        <w:t>财政（财务）审计业务、清产核资类收费上限为豫发改收费〔2011〕2374号文件规定收费标准的70%。</w:t>
      </w:r>
    </w:p>
    <w:p>
      <w:pPr>
        <w:spacing w:line="360" w:lineRule="auto"/>
        <w:ind w:firstLine="593" w:firstLineChars="246"/>
        <w:rPr>
          <w:b/>
          <w:sz w:val="24"/>
          <w:szCs w:val="24"/>
        </w:rPr>
      </w:pPr>
      <w:r>
        <w:rPr>
          <w:b/>
          <w:sz w:val="24"/>
          <w:szCs w:val="24"/>
        </w:rPr>
        <w:t>第五条</w:t>
      </w:r>
      <w:r>
        <w:rPr>
          <w:bCs/>
          <w:sz w:val="24"/>
          <w:szCs w:val="24"/>
        </w:rPr>
        <w:t xml:space="preserve">  服务费支付及其他管理要求</w:t>
      </w:r>
    </w:p>
    <w:p>
      <w:pPr>
        <w:spacing w:line="360" w:lineRule="auto"/>
        <w:ind w:firstLine="480" w:firstLineChars="200"/>
        <w:rPr>
          <w:sz w:val="24"/>
          <w:szCs w:val="24"/>
        </w:rPr>
      </w:pPr>
      <w:r>
        <w:rPr>
          <w:sz w:val="24"/>
          <w:szCs w:val="24"/>
        </w:rPr>
        <w:t>（一）以上费率是最高限价，不随市场价格的波动而提高，双方可在此基础上进一步谈判和协商，以获得更优惠的价格。</w:t>
      </w:r>
    </w:p>
    <w:p>
      <w:pPr>
        <w:spacing w:line="360" w:lineRule="auto"/>
        <w:ind w:firstLine="480" w:firstLineChars="200"/>
        <w:rPr>
          <w:sz w:val="24"/>
          <w:szCs w:val="24"/>
        </w:rPr>
      </w:pPr>
      <w:r>
        <w:rPr>
          <w:sz w:val="24"/>
          <w:szCs w:val="24"/>
        </w:rPr>
        <w:t>（二）同一工程项目划分多个标段的，一类项目（5000万及以上）和二类项目（2亿元及以上）计费时可分标段计算，分标段费用不超过合并计费的1.2倍计取；一类项目（5000万以内）和二类项目（2亿元以内）计费时合并计算。</w:t>
      </w:r>
    </w:p>
    <w:p>
      <w:pPr>
        <w:spacing w:line="360" w:lineRule="auto"/>
        <w:ind w:firstLine="480" w:firstLineChars="200"/>
        <w:rPr>
          <w:sz w:val="24"/>
          <w:szCs w:val="24"/>
        </w:rPr>
      </w:pPr>
      <w:r>
        <w:rPr>
          <w:sz w:val="24"/>
          <w:szCs w:val="24"/>
        </w:rPr>
        <w:t>（三）同一套图纸实施多个相同项目的，第一个项目正常计算委托编制费，其余项目按第一个项目计算出的编制费的20%计算。同一项目出具报告后，方案又多次变动时，根据变动复杂性，按照编制费的40%-60%另行计算。</w:t>
      </w:r>
    </w:p>
    <w:p>
      <w:pPr>
        <w:spacing w:line="360" w:lineRule="auto"/>
        <w:ind w:firstLine="480" w:firstLineChars="200"/>
        <w:rPr>
          <w:sz w:val="24"/>
          <w:szCs w:val="24"/>
        </w:rPr>
      </w:pPr>
      <w:r>
        <w:rPr>
          <w:sz w:val="24"/>
          <w:szCs w:val="24"/>
        </w:rPr>
        <w:t>（四）预算编制服务费基本费计算采用差额定率累进法计算，其他工程预（结）算审查及审减追加费费率按照工程造价选取该档费率；按照编制服务费或预（结）算评审费用少于2000元的按2000元保底付费计算。</w:t>
      </w:r>
    </w:p>
    <w:p>
      <w:pPr>
        <w:spacing w:line="360" w:lineRule="auto"/>
        <w:ind w:firstLine="480" w:firstLineChars="200"/>
        <w:rPr>
          <w:sz w:val="24"/>
          <w:szCs w:val="24"/>
        </w:rPr>
      </w:pPr>
      <w:r>
        <w:rPr>
          <w:sz w:val="24"/>
          <w:szCs w:val="24"/>
        </w:rPr>
        <w:t>（五）对于抽查复核项目，若委托第三方中介机构稽核的，不超过工程预（结）算审查委托费的20%予以支付。</w:t>
      </w:r>
    </w:p>
    <w:p>
      <w:pPr>
        <w:spacing w:line="360" w:lineRule="auto"/>
        <w:ind w:firstLine="480" w:firstLineChars="200"/>
        <w:rPr>
          <w:sz w:val="24"/>
          <w:szCs w:val="24"/>
        </w:rPr>
      </w:pPr>
      <w:r>
        <w:rPr>
          <w:sz w:val="24"/>
          <w:szCs w:val="24"/>
        </w:rPr>
        <w:t>（六）委托人委托中介机构出具的工程量清单及预算控制价或预（结）算，经财政、审计等部门审核后,因中介机构编制质量问题,审减率达到10%以上,委托人不得支付所委托中介机构的预算编制劳务费;审减率达到15%以上,一年内不得参与财政投资项目;审减率达到20%以上,三年内不得参与财政投资项目。因预（结）算编制错项、漏项，大于工程造价的3%的，不予支付劳务费并取消财政投资建设项目委托业务备选库资格。</w:t>
      </w:r>
    </w:p>
    <w:p>
      <w:pPr>
        <w:spacing w:line="360" w:lineRule="auto"/>
        <w:ind w:firstLine="480" w:firstLineChars="200"/>
        <w:rPr>
          <w:sz w:val="24"/>
          <w:szCs w:val="24"/>
        </w:rPr>
      </w:pPr>
      <w:r>
        <w:rPr>
          <w:sz w:val="24"/>
          <w:szCs w:val="24"/>
        </w:rPr>
        <w:t>（七）造价咨询中介机构在具体实施编制业务时要严格按照委托合同约定的时间要求，在确保编制质量的同时，按规定的时间出具编制成果，若因承办中介机构的原因而未按时完成的，则扣除该项目的编制费用。</w:t>
      </w:r>
    </w:p>
    <w:p>
      <w:pPr>
        <w:spacing w:line="360" w:lineRule="auto"/>
        <w:ind w:firstLine="480" w:firstLineChars="200"/>
        <w:rPr>
          <w:sz w:val="24"/>
          <w:szCs w:val="24"/>
        </w:rPr>
      </w:pPr>
      <w:r>
        <w:rPr>
          <w:sz w:val="24"/>
          <w:szCs w:val="24"/>
        </w:rPr>
        <w:t>（八）造价咨询中介机构应遵守国家有关法律、法规及执业规范，应遵守财政部门的相关制度规定。因造价咨询中介机构的过失，给委托人造成经济损失的，应当依法赔偿。</w:t>
      </w:r>
    </w:p>
    <w:p>
      <w:pPr>
        <w:spacing w:line="360" w:lineRule="auto"/>
        <w:ind w:firstLine="480" w:firstLineChars="200"/>
        <w:rPr>
          <w:sz w:val="24"/>
          <w:szCs w:val="24"/>
        </w:rPr>
      </w:pPr>
      <w:r>
        <w:rPr>
          <w:sz w:val="24"/>
          <w:szCs w:val="24"/>
        </w:rPr>
        <w:t>（九）实行质量控制复核制度，中介机构内部建立三级复核制度，对造价咨询过程、工作底稿和成果质量实施专业编审人员自校、项目负责人审核、技术总负责人审定的逐级复核制度。</w:t>
      </w:r>
    </w:p>
    <w:p>
      <w:pPr>
        <w:spacing w:line="360" w:lineRule="auto"/>
        <w:ind w:firstLine="480" w:firstLineChars="200"/>
        <w:rPr>
          <w:sz w:val="24"/>
          <w:szCs w:val="24"/>
        </w:rPr>
      </w:pPr>
      <w:r>
        <w:rPr>
          <w:sz w:val="24"/>
          <w:szCs w:val="24"/>
        </w:rPr>
        <w:t>（十）造价咨询中介机构应遵守国家有关法律、法规及执业规范，应遵守财政部门的相关制度规定，并由采购人对其进行日常考核和年度综合考评。</w:t>
      </w:r>
    </w:p>
    <w:p>
      <w:pPr>
        <w:spacing w:line="360" w:lineRule="auto"/>
        <w:ind w:firstLine="642"/>
        <w:rPr>
          <w:bCs/>
          <w:sz w:val="24"/>
          <w:szCs w:val="24"/>
        </w:rPr>
      </w:pPr>
      <w:r>
        <w:rPr>
          <w:bCs/>
          <w:sz w:val="24"/>
          <w:szCs w:val="24"/>
        </w:rPr>
        <w:t>（十一）实行计件收费的法定资产评估服务，可以被评估资产账面原值为计费依据，采取差额定率累进计算办法收取评估费用。</w:t>
      </w:r>
      <w:r>
        <w:rPr>
          <w:sz w:val="24"/>
          <w:szCs w:val="24"/>
        </w:rPr>
        <w:t>资产评估类业务</w:t>
      </w:r>
      <w:r>
        <w:rPr>
          <w:bCs/>
          <w:sz w:val="24"/>
          <w:szCs w:val="24"/>
        </w:rPr>
        <w:t>服务费费率计算出的编制费少于2000元的按2000元计算。</w:t>
      </w:r>
    </w:p>
    <w:p>
      <w:pPr>
        <w:spacing w:line="360" w:lineRule="auto"/>
        <w:jc w:val="center"/>
        <w:rPr>
          <w:rFonts w:eastAsia="黑体"/>
          <w:sz w:val="24"/>
          <w:szCs w:val="24"/>
        </w:rPr>
      </w:pPr>
      <w:r>
        <w:rPr>
          <w:rFonts w:hAnsi="黑体" w:eastAsia="黑体"/>
          <w:sz w:val="24"/>
          <w:szCs w:val="24"/>
        </w:rPr>
        <w:t>第三章评价监督与责任追究</w:t>
      </w:r>
    </w:p>
    <w:p>
      <w:pPr>
        <w:spacing w:line="360" w:lineRule="auto"/>
        <w:ind w:firstLine="482" w:firstLineChars="200"/>
        <w:rPr>
          <w:kern w:val="0"/>
          <w:sz w:val="24"/>
          <w:szCs w:val="24"/>
        </w:rPr>
      </w:pPr>
      <w:r>
        <w:rPr>
          <w:b/>
          <w:kern w:val="0"/>
          <w:sz w:val="24"/>
          <w:szCs w:val="24"/>
        </w:rPr>
        <w:t>第六条</w:t>
      </w:r>
      <w:r>
        <w:rPr>
          <w:kern w:val="0"/>
          <w:sz w:val="24"/>
          <w:szCs w:val="24"/>
        </w:rPr>
        <w:t>  建立政府投资项目中介服务诚信黑名单制度，根据“谁使用、谁付费、谁评价”的原则，委托人在项目结束后对受托中介机构服务质量进行评价，有下列情形之一的，清出备选库，承办业务的中介机构不得参与政府投资项目中介服务活动：</w:t>
      </w:r>
    </w:p>
    <w:p>
      <w:pPr>
        <w:spacing w:line="360" w:lineRule="auto"/>
        <w:ind w:firstLine="480" w:firstLineChars="200"/>
        <w:rPr>
          <w:kern w:val="0"/>
          <w:sz w:val="24"/>
          <w:szCs w:val="24"/>
        </w:rPr>
      </w:pPr>
      <w:r>
        <w:rPr>
          <w:kern w:val="0"/>
          <w:sz w:val="24"/>
          <w:szCs w:val="24"/>
        </w:rPr>
        <w:t>（一）承担两次委托业务均未查出违规违纪问题，或是披露问题避重就轻、掩饰隐瞒重大问题，但事后被其他审计、检查发现，给委托人造成恶劣社会影响的；</w:t>
      </w:r>
    </w:p>
    <w:p>
      <w:pPr>
        <w:spacing w:line="360" w:lineRule="auto"/>
        <w:ind w:firstLine="480" w:firstLineChars="200"/>
        <w:rPr>
          <w:kern w:val="0"/>
          <w:sz w:val="24"/>
          <w:szCs w:val="24"/>
        </w:rPr>
      </w:pPr>
      <w:r>
        <w:rPr>
          <w:kern w:val="0"/>
          <w:sz w:val="24"/>
          <w:szCs w:val="24"/>
        </w:rPr>
        <w:t>（二）有重大违规经营事项受到处罚的；</w:t>
      </w:r>
    </w:p>
    <w:p>
      <w:pPr>
        <w:spacing w:line="360" w:lineRule="auto"/>
        <w:ind w:firstLine="480" w:firstLineChars="200"/>
        <w:rPr>
          <w:kern w:val="0"/>
          <w:sz w:val="24"/>
          <w:szCs w:val="24"/>
        </w:rPr>
      </w:pPr>
      <w:r>
        <w:rPr>
          <w:kern w:val="0"/>
          <w:sz w:val="24"/>
          <w:szCs w:val="24"/>
        </w:rPr>
        <w:t>（三）与服务单位存在恶意串通等不诚信行为的；</w:t>
      </w:r>
    </w:p>
    <w:p>
      <w:pPr>
        <w:spacing w:line="360" w:lineRule="auto"/>
        <w:ind w:firstLine="480" w:firstLineChars="200"/>
        <w:rPr>
          <w:kern w:val="0"/>
          <w:sz w:val="24"/>
          <w:szCs w:val="24"/>
        </w:rPr>
      </w:pPr>
      <w:r>
        <w:rPr>
          <w:kern w:val="0"/>
          <w:sz w:val="24"/>
          <w:szCs w:val="24"/>
        </w:rPr>
        <w:t>（四）出具虚假、不实报告或泄露商业秘密的。</w:t>
      </w:r>
    </w:p>
    <w:p>
      <w:pPr>
        <w:spacing w:line="360" w:lineRule="auto"/>
        <w:ind w:firstLine="482" w:firstLineChars="200"/>
        <w:rPr>
          <w:kern w:val="0"/>
          <w:sz w:val="24"/>
          <w:szCs w:val="24"/>
        </w:rPr>
      </w:pPr>
      <w:r>
        <w:rPr>
          <w:b/>
          <w:bCs/>
          <w:kern w:val="0"/>
          <w:sz w:val="24"/>
          <w:szCs w:val="24"/>
        </w:rPr>
        <w:t>第七条</w:t>
      </w:r>
      <w:r>
        <w:rPr>
          <w:kern w:val="0"/>
          <w:sz w:val="24"/>
          <w:szCs w:val="24"/>
        </w:rPr>
        <w:t>　相关当事人存在以下情形的，应当回避：</w:t>
      </w:r>
    </w:p>
    <w:p>
      <w:pPr>
        <w:spacing w:line="360" w:lineRule="auto"/>
        <w:ind w:firstLine="480" w:firstLineChars="200"/>
        <w:rPr>
          <w:kern w:val="0"/>
          <w:sz w:val="24"/>
          <w:szCs w:val="24"/>
        </w:rPr>
      </w:pPr>
      <w:r>
        <w:rPr>
          <w:kern w:val="0"/>
          <w:sz w:val="24"/>
          <w:szCs w:val="24"/>
        </w:rPr>
        <w:t>（一）委托方承办人与受托中介机构法人或实际控制人及项目负责人有夫妻、直系血亲、近姻亲、同学、战友关系；</w:t>
      </w:r>
    </w:p>
    <w:p>
      <w:pPr>
        <w:spacing w:line="360" w:lineRule="auto"/>
        <w:ind w:firstLine="480" w:firstLineChars="200"/>
        <w:rPr>
          <w:sz w:val="24"/>
          <w:szCs w:val="24"/>
          <w:shd w:val="clear" w:color="auto" w:fill="FFFFFF"/>
        </w:rPr>
      </w:pPr>
      <w:r>
        <w:rPr>
          <w:sz w:val="24"/>
          <w:szCs w:val="24"/>
          <w:shd w:val="clear" w:color="auto" w:fill="FFFFFF"/>
        </w:rPr>
        <w:t>（二）预（结）算编制单位和审核单位为同一家中介机构，存在股权关联或者管理关系；</w:t>
      </w:r>
    </w:p>
    <w:p>
      <w:pPr>
        <w:spacing w:line="360" w:lineRule="auto"/>
        <w:ind w:firstLine="480" w:firstLineChars="200"/>
        <w:rPr>
          <w:sz w:val="24"/>
          <w:szCs w:val="24"/>
          <w:shd w:val="clear" w:color="auto" w:fill="FFFFFF"/>
        </w:rPr>
      </w:pPr>
      <w:r>
        <w:rPr>
          <w:sz w:val="24"/>
          <w:szCs w:val="24"/>
          <w:shd w:val="clear" w:color="auto" w:fill="FFFFFF"/>
        </w:rPr>
        <w:t>（三）受托承办业务人员与被审单位工作人员有近亲属关系或其他问题，可能对所承接项目结论产生影响的；</w:t>
      </w:r>
    </w:p>
    <w:p>
      <w:pPr>
        <w:spacing w:line="360" w:lineRule="auto"/>
        <w:ind w:firstLine="480" w:firstLineChars="200"/>
        <w:rPr>
          <w:b/>
          <w:sz w:val="24"/>
          <w:szCs w:val="24"/>
          <w:shd w:val="clear" w:color="auto" w:fill="FFFFFF"/>
        </w:rPr>
      </w:pPr>
      <w:r>
        <w:rPr>
          <w:sz w:val="24"/>
          <w:szCs w:val="24"/>
          <w:shd w:val="clear" w:color="auto" w:fill="FFFFFF"/>
        </w:rPr>
        <w:t>（四）法律规定需要回避的其他情形。</w:t>
      </w:r>
    </w:p>
    <w:p>
      <w:pPr>
        <w:spacing w:line="360" w:lineRule="auto"/>
        <w:ind w:firstLine="482" w:firstLineChars="200"/>
        <w:rPr>
          <w:sz w:val="24"/>
          <w:szCs w:val="24"/>
        </w:rPr>
      </w:pPr>
      <w:r>
        <w:rPr>
          <w:b/>
          <w:kern w:val="0"/>
          <w:sz w:val="24"/>
          <w:szCs w:val="24"/>
        </w:rPr>
        <w:t>第八条</w:t>
      </w:r>
      <w:r>
        <w:rPr>
          <w:kern w:val="0"/>
          <w:sz w:val="24"/>
          <w:szCs w:val="24"/>
        </w:rPr>
        <w:t>　相关工作人员应遵守廉洁自律规定，不得利用工作之便获取不正当利益，不得违法违规干预审计、评审、检查、评估结果。以上人员有徇私舞弊、滥用职权等违法违规行为的，按有关规定给予党政纪处分。</w:t>
      </w:r>
      <w:r>
        <w:rPr>
          <w:sz w:val="24"/>
          <w:szCs w:val="24"/>
        </w:rPr>
        <w:t>构成犯罪的，依法追究刑事责任。</w:t>
      </w:r>
    </w:p>
    <w:p>
      <w:pPr>
        <w:spacing w:line="360" w:lineRule="auto"/>
        <w:jc w:val="center"/>
        <w:rPr>
          <w:rFonts w:eastAsia="黑体"/>
          <w:sz w:val="24"/>
          <w:szCs w:val="24"/>
        </w:rPr>
      </w:pPr>
      <w:r>
        <w:rPr>
          <w:rFonts w:hAnsi="黑体" w:eastAsia="黑体"/>
          <w:sz w:val="24"/>
          <w:szCs w:val="24"/>
        </w:rPr>
        <w:t>第四章其他</w:t>
      </w:r>
    </w:p>
    <w:p>
      <w:pPr>
        <w:spacing w:line="360" w:lineRule="auto"/>
        <w:ind w:firstLine="482" w:firstLineChars="200"/>
        <w:rPr>
          <w:sz w:val="24"/>
          <w:szCs w:val="24"/>
          <w:shd w:val="clear" w:color="auto" w:fill="FFFFFF"/>
        </w:rPr>
      </w:pPr>
      <w:r>
        <w:rPr>
          <w:b/>
          <w:bCs/>
          <w:sz w:val="24"/>
          <w:szCs w:val="24"/>
          <w:shd w:val="clear" w:color="auto" w:fill="FFFFFF"/>
        </w:rPr>
        <w:t>第九条</w:t>
      </w:r>
      <w:r>
        <w:rPr>
          <w:sz w:val="24"/>
          <w:szCs w:val="24"/>
          <w:shd w:val="clear" w:color="auto" w:fill="FFFFFF"/>
        </w:rPr>
        <w:t xml:space="preserve">  中标的中介服务机构，总部不在许昌市，收到中标通知书后一个月内必须在许昌设立办事机构并报财政局备案，否则财政局有权将其清出备选库。</w:t>
      </w:r>
    </w:p>
    <w:p>
      <w:pPr>
        <w:spacing w:line="360" w:lineRule="auto"/>
        <w:ind w:firstLine="482" w:firstLineChars="200"/>
        <w:rPr>
          <w:kern w:val="0"/>
          <w:sz w:val="24"/>
          <w:szCs w:val="24"/>
        </w:rPr>
      </w:pPr>
      <w:r>
        <w:rPr>
          <w:b/>
          <w:bCs/>
          <w:kern w:val="0"/>
          <w:sz w:val="24"/>
          <w:szCs w:val="24"/>
        </w:rPr>
        <w:t>第十条</w:t>
      </w:r>
      <w:r>
        <w:rPr>
          <w:kern w:val="0"/>
          <w:sz w:val="24"/>
          <w:szCs w:val="24"/>
        </w:rPr>
        <w:t xml:space="preserve">  入选备选库的中介机构书面承诺自觉接受该管理办法的各项规定。</w:t>
      </w:r>
    </w:p>
    <w:p>
      <w:pPr>
        <w:widowControl/>
        <w:shd w:val="clear" w:color="auto" w:fill="FFFFFF"/>
        <w:spacing w:line="360" w:lineRule="auto"/>
        <w:ind w:firstLine="482" w:firstLineChars="200"/>
        <w:jc w:val="left"/>
        <w:rPr>
          <w:sz w:val="24"/>
          <w:szCs w:val="24"/>
        </w:rPr>
      </w:pPr>
      <w:r>
        <w:rPr>
          <w:b/>
          <w:kern w:val="0"/>
          <w:sz w:val="24"/>
          <w:szCs w:val="24"/>
        </w:rPr>
        <w:t>第十一条</w:t>
      </w:r>
      <w:r>
        <w:rPr>
          <w:sz w:val="24"/>
          <w:szCs w:val="24"/>
        </w:rPr>
        <w:t>委托人邀请专家对项目的合规性、必要性、科学性、合理性以及成果效率等情况进行评审、论证和研讨等活动需要向专家支付劳务费的，专家的往返交通、食宿、个税缴纳等事宜均</w:t>
      </w:r>
      <w:r>
        <w:rPr>
          <w:kern w:val="0"/>
          <w:sz w:val="24"/>
          <w:szCs w:val="24"/>
        </w:rPr>
        <w:t>按照</w:t>
      </w:r>
      <w:r>
        <w:rPr>
          <w:sz w:val="24"/>
          <w:szCs w:val="24"/>
        </w:rPr>
        <w:t>河南省财政厅豫财办〔2018〕41号文件规定执行；专家的劳务费支出标准参照河南省财政厅豫财办〔2018〕41号文件规定的50%-80%执行。</w:t>
      </w:r>
    </w:p>
    <w:p>
      <w:pPr>
        <w:widowControl/>
        <w:shd w:val="clear" w:color="auto" w:fill="FFFFFF"/>
        <w:spacing w:line="360" w:lineRule="auto"/>
        <w:ind w:firstLine="482" w:firstLineChars="200"/>
        <w:jc w:val="left"/>
        <w:rPr>
          <w:rFonts w:eastAsia="黑体"/>
          <w:kern w:val="0"/>
          <w:sz w:val="24"/>
          <w:szCs w:val="24"/>
        </w:rPr>
      </w:pPr>
      <w:r>
        <w:rPr>
          <w:b/>
          <w:sz w:val="24"/>
          <w:szCs w:val="24"/>
        </w:rPr>
        <w:t>第十二条</w:t>
      </w:r>
      <w:r>
        <w:rPr>
          <w:sz w:val="24"/>
          <w:szCs w:val="24"/>
        </w:rPr>
        <w:t xml:space="preserve">  委托人使用备选库的中介机构提供服务的，应和中介机构签订相应的委托合同；委托人使用备选库外的中介机构提供服务的，应按照《许昌市政府购买服务操作指南（试行）》（许财综〔2016</w:t>
      </w:r>
      <w:r>
        <w:rPr>
          <w:rFonts w:hAnsi="仿宋_GB2312"/>
          <w:sz w:val="24"/>
          <w:szCs w:val="24"/>
        </w:rPr>
        <w:t>〕</w:t>
      </w:r>
      <w:r>
        <w:rPr>
          <w:sz w:val="24"/>
          <w:szCs w:val="24"/>
        </w:rPr>
        <w:t>28</w:t>
      </w:r>
      <w:r>
        <w:rPr>
          <w:rFonts w:hAnsi="仿宋_GB2312"/>
          <w:sz w:val="24"/>
          <w:szCs w:val="24"/>
        </w:rPr>
        <w:t>号）规定购买服务。</w:t>
      </w:r>
    </w:p>
    <w:p>
      <w:pPr>
        <w:spacing w:line="360" w:lineRule="auto"/>
        <w:ind w:firstLine="482" w:firstLineChars="200"/>
        <w:rPr>
          <w:kern w:val="0"/>
          <w:sz w:val="24"/>
          <w:szCs w:val="24"/>
        </w:rPr>
      </w:pPr>
      <w:r>
        <w:rPr>
          <w:b/>
          <w:bCs/>
          <w:kern w:val="0"/>
          <w:sz w:val="24"/>
          <w:szCs w:val="24"/>
        </w:rPr>
        <w:t>第十三条</w:t>
      </w:r>
      <w:r>
        <w:rPr>
          <w:kern w:val="0"/>
          <w:sz w:val="24"/>
          <w:szCs w:val="24"/>
        </w:rPr>
        <w:t>  本办法第二章涉及付费标准的有关文件规定，如遇国家、省、市</w:t>
      </w:r>
      <w:r>
        <w:rPr>
          <w:sz w:val="24"/>
          <w:szCs w:val="24"/>
          <w:shd w:val="clear" w:color="auto" w:fill="FFFFFF"/>
        </w:rPr>
        <w:t>有关费率政策调整</w:t>
      </w:r>
      <w:r>
        <w:rPr>
          <w:kern w:val="0"/>
          <w:sz w:val="24"/>
          <w:szCs w:val="24"/>
        </w:rPr>
        <w:t>，按照新的规定标准相应调整。未尽事宜，将以附加条款及合同方式约定，与本办法具有同等法律效力，本办法由示范区财政局负责解释。</w:t>
      </w:r>
    </w:p>
    <w:p>
      <w:pPr>
        <w:spacing w:line="360" w:lineRule="auto"/>
        <w:ind w:firstLine="482" w:firstLineChars="200"/>
        <w:rPr>
          <w:sz w:val="24"/>
          <w:szCs w:val="24"/>
        </w:rPr>
      </w:pPr>
      <w:r>
        <w:rPr>
          <w:b/>
          <w:bCs/>
          <w:kern w:val="0"/>
          <w:sz w:val="24"/>
          <w:szCs w:val="24"/>
        </w:rPr>
        <w:t>第十四条</w:t>
      </w:r>
      <w:r>
        <w:rPr>
          <w:kern w:val="0"/>
          <w:sz w:val="24"/>
          <w:szCs w:val="24"/>
        </w:rPr>
        <w:t>  本办法自2019年8月1日起试行，原</w:t>
      </w:r>
      <w:r>
        <w:rPr>
          <w:sz w:val="24"/>
          <w:szCs w:val="24"/>
        </w:rPr>
        <w:t>许示范财〔2018〕38号文件同时废止。</w:t>
      </w:r>
    </w:p>
    <w:p>
      <w:pPr>
        <w:pBdr>
          <w:top w:val="single" w:color="auto" w:sz="6" w:space="6"/>
          <w:bottom w:val="single" w:color="auto" w:sz="6" w:space="1"/>
        </w:pBdr>
        <w:spacing w:line="360" w:lineRule="auto"/>
        <w:ind w:firstLine="109" w:firstLineChars="50"/>
        <w:rPr>
          <w:sz w:val="24"/>
          <w:szCs w:val="24"/>
        </w:rPr>
      </w:pPr>
      <w:r>
        <w:rPr>
          <w:rFonts w:hAnsi="仿宋_GB2312"/>
          <w:spacing w:val="-11"/>
          <w:sz w:val="24"/>
          <w:szCs w:val="24"/>
        </w:rPr>
        <w:t>许昌市城乡一体化示范区财政局</w:t>
      </w:r>
      <w:r>
        <w:rPr>
          <w:spacing w:val="-11"/>
          <w:sz w:val="24"/>
          <w:szCs w:val="24"/>
        </w:rPr>
        <w:t xml:space="preserve">         2019</w:t>
      </w:r>
      <w:r>
        <w:rPr>
          <w:rFonts w:hAnsi="仿宋_GB2312"/>
          <w:spacing w:val="-11"/>
          <w:sz w:val="24"/>
          <w:szCs w:val="24"/>
        </w:rPr>
        <w:t>年</w:t>
      </w:r>
      <w:r>
        <w:rPr>
          <w:rFonts w:hint="eastAsia"/>
          <w:spacing w:val="-11"/>
          <w:sz w:val="24"/>
          <w:szCs w:val="24"/>
        </w:rPr>
        <w:t>5</w:t>
      </w:r>
      <w:r>
        <w:rPr>
          <w:rFonts w:hAnsi="仿宋_GB2312"/>
          <w:spacing w:val="-11"/>
          <w:sz w:val="24"/>
          <w:szCs w:val="24"/>
        </w:rPr>
        <w:t>月</w:t>
      </w:r>
      <w:r>
        <w:rPr>
          <w:rFonts w:hint="eastAsia"/>
          <w:spacing w:val="-11"/>
          <w:sz w:val="24"/>
          <w:szCs w:val="24"/>
        </w:rPr>
        <w:t>13</w:t>
      </w:r>
      <w:r>
        <w:rPr>
          <w:rFonts w:hAnsi="仿宋_GB2312"/>
          <w:spacing w:val="-11"/>
          <w:sz w:val="24"/>
          <w:szCs w:val="24"/>
        </w:rPr>
        <w:t>日印</w:t>
      </w:r>
    </w:p>
    <w:p>
      <w:pPr>
        <w:spacing w:line="360" w:lineRule="auto"/>
        <w:rPr>
          <w:sz w:val="24"/>
          <w:szCs w:val="24"/>
        </w:rPr>
      </w:pPr>
      <w:r>
        <w:rPr>
          <w:rFonts w:hAnsi="仿宋_GB2312"/>
          <w:sz w:val="24"/>
          <w:szCs w:val="24"/>
        </w:rPr>
        <w:t>（共印</w:t>
      </w:r>
      <w:r>
        <w:rPr>
          <w:rFonts w:hint="eastAsia"/>
          <w:sz w:val="24"/>
          <w:szCs w:val="24"/>
        </w:rPr>
        <w:t>40</w:t>
      </w:r>
      <w:r>
        <w:rPr>
          <w:rFonts w:hAnsi="仿宋_GB2312"/>
          <w:sz w:val="24"/>
          <w:szCs w:val="24"/>
        </w:rPr>
        <w:t>份）</w:t>
      </w:r>
    </w:p>
    <w:p>
      <w:pPr>
        <w:spacing w:line="360" w:lineRule="auto"/>
        <w:jc w:val="left"/>
        <w:rPr>
          <w:sz w:val="24"/>
          <w:szCs w:val="24"/>
        </w:rPr>
      </w:pPr>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84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BnT6Mr4BAABiAwAADgAAAAAAAAABACAAAAAeAQAAZHJzL2Uyb0RvYy54bWxQSwUGAAAA&#10;AAYABgBZAQAATg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84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1A4C7A"/>
    <w:multiLevelType w:val="singleLevel"/>
    <w:tmpl w:val="9B1A4C7A"/>
    <w:lvl w:ilvl="0" w:tentative="0">
      <w:start w:val="3"/>
      <w:numFmt w:val="chineseCounting"/>
      <w:suff w:val="nothing"/>
      <w:lvlText w:val="%1、"/>
      <w:lvlJc w:val="left"/>
      <w:rPr>
        <w:rFonts w:hint="eastAsia"/>
      </w:rPr>
    </w:lvl>
  </w:abstractNum>
  <w:abstractNum w:abstractNumId="1">
    <w:nsid w:val="9B1C4E50"/>
    <w:multiLevelType w:val="singleLevel"/>
    <w:tmpl w:val="9B1C4E50"/>
    <w:lvl w:ilvl="0" w:tentative="0">
      <w:start w:val="1"/>
      <w:numFmt w:val="decimal"/>
      <w:suff w:val="nothing"/>
      <w:lvlText w:val="%1、"/>
      <w:lvlJc w:val="left"/>
    </w:lvl>
  </w:abstractNum>
  <w:abstractNum w:abstractNumId="2">
    <w:nsid w:val="DA792FD5"/>
    <w:multiLevelType w:val="singleLevel"/>
    <w:tmpl w:val="DA792FD5"/>
    <w:lvl w:ilvl="0" w:tentative="0">
      <w:start w:val="7"/>
      <w:numFmt w:val="chineseCounting"/>
      <w:suff w:val="nothing"/>
      <w:lvlText w:val="%1、"/>
      <w:lvlJc w:val="left"/>
      <w:rPr>
        <w:rFonts w:hint="eastAsia"/>
      </w:rPr>
    </w:lvl>
  </w:abstractNum>
  <w:abstractNum w:abstractNumId="3">
    <w:nsid w:val="E0AC2FEB"/>
    <w:multiLevelType w:val="singleLevel"/>
    <w:tmpl w:val="E0AC2FEB"/>
    <w:lvl w:ilvl="0" w:tentative="0">
      <w:start w:val="1"/>
      <w:numFmt w:val="decimal"/>
      <w:suff w:val="nothing"/>
      <w:lvlText w:val="%1、"/>
      <w:lvlJc w:val="left"/>
    </w:lvl>
  </w:abstractNum>
  <w:abstractNum w:abstractNumId="4">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4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C150A76"/>
    <w:multiLevelType w:val="multilevel"/>
    <w:tmpl w:val="1C150A76"/>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suff w:val="nothing"/>
      <w:lvlText w:val="%1、"/>
      <w:lvlJc w:val="left"/>
    </w:lvl>
  </w:abstractNum>
  <w:abstractNum w:abstractNumId="10">
    <w:nsid w:val="5A66E8CF"/>
    <w:multiLevelType w:val="singleLevel"/>
    <w:tmpl w:val="5A66E8CF"/>
    <w:lvl w:ilvl="0" w:tentative="0">
      <w:start w:val="1"/>
      <w:numFmt w:val="chineseCounting"/>
      <w:suff w:val="space"/>
      <w:lvlText w:val="第%1章"/>
      <w:lvlJc w:val="left"/>
    </w:lvl>
  </w:abstractNum>
  <w:abstractNum w:abstractNumId="11">
    <w:nsid w:val="5A66EDA1"/>
    <w:multiLevelType w:val="singleLevel"/>
    <w:tmpl w:val="5A66EDA1"/>
    <w:lvl w:ilvl="0" w:tentative="0">
      <w:start w:val="1"/>
      <w:numFmt w:val="chineseCounting"/>
      <w:suff w:val="nothing"/>
      <w:lvlText w:val="%1、"/>
      <w:lvlJc w:val="left"/>
    </w:lvl>
  </w:abstractNum>
  <w:abstractNum w:abstractNumId="12">
    <w:nsid w:val="5B5584AE"/>
    <w:multiLevelType w:val="singleLevel"/>
    <w:tmpl w:val="5B5584AE"/>
    <w:lvl w:ilvl="0" w:tentative="0">
      <w:start w:val="1"/>
      <w:numFmt w:val="chineseCounting"/>
      <w:suff w:val="nothing"/>
      <w:lvlText w:val="%1、"/>
      <w:lvlJc w:val="left"/>
      <w:rPr>
        <w:rFonts w:cs="Times New Roman"/>
      </w:rPr>
    </w:lvl>
  </w:abstractNum>
  <w:abstractNum w:abstractNumId="13">
    <w:nsid w:val="5B72A3B0"/>
    <w:multiLevelType w:val="singleLevel"/>
    <w:tmpl w:val="5B72A3B0"/>
    <w:lvl w:ilvl="0" w:tentative="0">
      <w:start w:val="1"/>
      <w:numFmt w:val="decimal"/>
      <w:suff w:val="nothing"/>
      <w:lvlText w:val="%1、"/>
      <w:lvlJc w:val="left"/>
      <w:rPr>
        <w:rFonts w:cs="Times New Roman"/>
      </w:rPr>
    </w:lvl>
  </w:abstractNum>
  <w:abstractNum w:abstractNumId="14">
    <w:nsid w:val="5BCD7864"/>
    <w:multiLevelType w:val="singleLevel"/>
    <w:tmpl w:val="5BCD7864"/>
    <w:lvl w:ilvl="0" w:tentative="0">
      <w:start w:val="1"/>
      <w:numFmt w:val="decimal"/>
      <w:suff w:val="nothing"/>
      <w:lvlText w:val="（%1）"/>
      <w:lvlJc w:val="left"/>
    </w:lvl>
  </w:abstractNum>
  <w:num w:numId="1">
    <w:abstractNumId w:val="4"/>
  </w:num>
  <w:num w:numId="2">
    <w:abstractNumId w:val="5"/>
  </w:num>
  <w:num w:numId="3">
    <w:abstractNumId w:val="9"/>
  </w:num>
  <w:num w:numId="4">
    <w:abstractNumId w:val="10"/>
  </w:num>
  <w:num w:numId="5">
    <w:abstractNumId w:val="8"/>
  </w:num>
  <w:num w:numId="6">
    <w:abstractNumId w:val="11"/>
  </w:num>
  <w:num w:numId="7">
    <w:abstractNumId w:val="13"/>
  </w:num>
  <w:num w:numId="8">
    <w:abstractNumId w:val="14"/>
  </w:num>
  <w:num w:numId="9">
    <w:abstractNumId w:val="2"/>
  </w:num>
  <w:num w:numId="10">
    <w:abstractNumId w:val="3"/>
  </w:num>
  <w:num w:numId="11">
    <w:abstractNumId w:val="1"/>
  </w:num>
  <w:num w:numId="12">
    <w:abstractNumId w:val="6"/>
  </w:num>
  <w:num w:numId="13">
    <w:abstractNumId w:val="12"/>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3A1"/>
    <w:rsid w:val="00001440"/>
    <w:rsid w:val="000016EC"/>
    <w:rsid w:val="0000172F"/>
    <w:rsid w:val="00001C83"/>
    <w:rsid w:val="00003445"/>
    <w:rsid w:val="00003962"/>
    <w:rsid w:val="00004E80"/>
    <w:rsid w:val="00004FEA"/>
    <w:rsid w:val="00005A68"/>
    <w:rsid w:val="00005CE3"/>
    <w:rsid w:val="00006E94"/>
    <w:rsid w:val="0001195B"/>
    <w:rsid w:val="00014181"/>
    <w:rsid w:val="00022DC2"/>
    <w:rsid w:val="00024830"/>
    <w:rsid w:val="00027A6B"/>
    <w:rsid w:val="00034FC6"/>
    <w:rsid w:val="00035EBC"/>
    <w:rsid w:val="00037781"/>
    <w:rsid w:val="00041485"/>
    <w:rsid w:val="00042C76"/>
    <w:rsid w:val="000439EF"/>
    <w:rsid w:val="00047160"/>
    <w:rsid w:val="0005535E"/>
    <w:rsid w:val="00056413"/>
    <w:rsid w:val="000609C4"/>
    <w:rsid w:val="00061760"/>
    <w:rsid w:val="0006324B"/>
    <w:rsid w:val="000664D0"/>
    <w:rsid w:val="0006655E"/>
    <w:rsid w:val="000667CA"/>
    <w:rsid w:val="00067431"/>
    <w:rsid w:val="00070A64"/>
    <w:rsid w:val="000718F7"/>
    <w:rsid w:val="000739EE"/>
    <w:rsid w:val="00075E23"/>
    <w:rsid w:val="00076BB5"/>
    <w:rsid w:val="00081466"/>
    <w:rsid w:val="00082225"/>
    <w:rsid w:val="00082244"/>
    <w:rsid w:val="0008351C"/>
    <w:rsid w:val="00084135"/>
    <w:rsid w:val="0009131C"/>
    <w:rsid w:val="00093BD6"/>
    <w:rsid w:val="0009423D"/>
    <w:rsid w:val="00094D87"/>
    <w:rsid w:val="00094E7B"/>
    <w:rsid w:val="00095FB6"/>
    <w:rsid w:val="00096006"/>
    <w:rsid w:val="000A0951"/>
    <w:rsid w:val="000A2CE7"/>
    <w:rsid w:val="000A43C7"/>
    <w:rsid w:val="000A4A97"/>
    <w:rsid w:val="000A58AD"/>
    <w:rsid w:val="000A5E0F"/>
    <w:rsid w:val="000A5F35"/>
    <w:rsid w:val="000B0AA1"/>
    <w:rsid w:val="000B57D4"/>
    <w:rsid w:val="000B6E62"/>
    <w:rsid w:val="000C55DE"/>
    <w:rsid w:val="000C6D56"/>
    <w:rsid w:val="000C6FDE"/>
    <w:rsid w:val="000C7459"/>
    <w:rsid w:val="000D1DAA"/>
    <w:rsid w:val="000D1FC6"/>
    <w:rsid w:val="000D269F"/>
    <w:rsid w:val="000D31D3"/>
    <w:rsid w:val="000D32E8"/>
    <w:rsid w:val="000D5937"/>
    <w:rsid w:val="000D6AB3"/>
    <w:rsid w:val="000D6D8B"/>
    <w:rsid w:val="000E5F20"/>
    <w:rsid w:val="000E603D"/>
    <w:rsid w:val="000F07C0"/>
    <w:rsid w:val="000F1E5F"/>
    <w:rsid w:val="000F2AE4"/>
    <w:rsid w:val="000F5335"/>
    <w:rsid w:val="000F70F5"/>
    <w:rsid w:val="000F7BB3"/>
    <w:rsid w:val="001001F2"/>
    <w:rsid w:val="00100516"/>
    <w:rsid w:val="00100CD4"/>
    <w:rsid w:val="0010316D"/>
    <w:rsid w:val="001034EC"/>
    <w:rsid w:val="001053F2"/>
    <w:rsid w:val="0010779E"/>
    <w:rsid w:val="00107F33"/>
    <w:rsid w:val="0011003E"/>
    <w:rsid w:val="00110784"/>
    <w:rsid w:val="0011115D"/>
    <w:rsid w:val="001113AF"/>
    <w:rsid w:val="001118CE"/>
    <w:rsid w:val="00114AF2"/>
    <w:rsid w:val="00117DEA"/>
    <w:rsid w:val="00125D00"/>
    <w:rsid w:val="001310F5"/>
    <w:rsid w:val="00132EC0"/>
    <w:rsid w:val="001335C5"/>
    <w:rsid w:val="00135636"/>
    <w:rsid w:val="00141593"/>
    <w:rsid w:val="00141EF0"/>
    <w:rsid w:val="0014268D"/>
    <w:rsid w:val="0014358D"/>
    <w:rsid w:val="001453C7"/>
    <w:rsid w:val="001530A8"/>
    <w:rsid w:val="00153F0F"/>
    <w:rsid w:val="001556C0"/>
    <w:rsid w:val="00157A36"/>
    <w:rsid w:val="00161B97"/>
    <w:rsid w:val="001646E6"/>
    <w:rsid w:val="00164C83"/>
    <w:rsid w:val="001700E8"/>
    <w:rsid w:val="0017077A"/>
    <w:rsid w:val="00175E16"/>
    <w:rsid w:val="0018127B"/>
    <w:rsid w:val="00181894"/>
    <w:rsid w:val="00183B9E"/>
    <w:rsid w:val="00185E32"/>
    <w:rsid w:val="00186E6A"/>
    <w:rsid w:val="00187C7A"/>
    <w:rsid w:val="00190F4D"/>
    <w:rsid w:val="001969E6"/>
    <w:rsid w:val="001A1D8F"/>
    <w:rsid w:val="001A329E"/>
    <w:rsid w:val="001A4AF5"/>
    <w:rsid w:val="001B165F"/>
    <w:rsid w:val="001B1717"/>
    <w:rsid w:val="001B5E1A"/>
    <w:rsid w:val="001B74CA"/>
    <w:rsid w:val="001C0820"/>
    <w:rsid w:val="001C1AE2"/>
    <w:rsid w:val="001C3EF1"/>
    <w:rsid w:val="001D02F5"/>
    <w:rsid w:val="001D2070"/>
    <w:rsid w:val="001E456D"/>
    <w:rsid w:val="001E4F3F"/>
    <w:rsid w:val="001E5107"/>
    <w:rsid w:val="001E6190"/>
    <w:rsid w:val="001E676C"/>
    <w:rsid w:val="001E69EE"/>
    <w:rsid w:val="001F2588"/>
    <w:rsid w:val="001F35E5"/>
    <w:rsid w:val="001F3B70"/>
    <w:rsid w:val="001F4E0E"/>
    <w:rsid w:val="00201240"/>
    <w:rsid w:val="002019CF"/>
    <w:rsid w:val="0020745F"/>
    <w:rsid w:val="00217F5B"/>
    <w:rsid w:val="00220A5C"/>
    <w:rsid w:val="00220FF6"/>
    <w:rsid w:val="002242B1"/>
    <w:rsid w:val="00224370"/>
    <w:rsid w:val="002273B5"/>
    <w:rsid w:val="00231258"/>
    <w:rsid w:val="002347B7"/>
    <w:rsid w:val="002366A4"/>
    <w:rsid w:val="00240507"/>
    <w:rsid w:val="00240F3E"/>
    <w:rsid w:val="00250A58"/>
    <w:rsid w:val="00252145"/>
    <w:rsid w:val="002534D3"/>
    <w:rsid w:val="0025482E"/>
    <w:rsid w:val="0025539A"/>
    <w:rsid w:val="00257360"/>
    <w:rsid w:val="0026344E"/>
    <w:rsid w:val="0026380C"/>
    <w:rsid w:val="00264755"/>
    <w:rsid w:val="00267830"/>
    <w:rsid w:val="002678FE"/>
    <w:rsid w:val="0027059B"/>
    <w:rsid w:val="00271A0B"/>
    <w:rsid w:val="00273BCF"/>
    <w:rsid w:val="00280FC2"/>
    <w:rsid w:val="00282334"/>
    <w:rsid w:val="002832A7"/>
    <w:rsid w:val="00284A29"/>
    <w:rsid w:val="00284A66"/>
    <w:rsid w:val="00296C77"/>
    <w:rsid w:val="002A056C"/>
    <w:rsid w:val="002A0C42"/>
    <w:rsid w:val="002A2328"/>
    <w:rsid w:val="002A4C19"/>
    <w:rsid w:val="002A59DD"/>
    <w:rsid w:val="002A6748"/>
    <w:rsid w:val="002A6A3F"/>
    <w:rsid w:val="002B1515"/>
    <w:rsid w:val="002B3FFD"/>
    <w:rsid w:val="002B72F9"/>
    <w:rsid w:val="002B767C"/>
    <w:rsid w:val="002B769E"/>
    <w:rsid w:val="002B7BA8"/>
    <w:rsid w:val="002C26BE"/>
    <w:rsid w:val="002C4B5A"/>
    <w:rsid w:val="002C5AFB"/>
    <w:rsid w:val="002D0D6B"/>
    <w:rsid w:val="002D131E"/>
    <w:rsid w:val="002D5E76"/>
    <w:rsid w:val="002E0FDB"/>
    <w:rsid w:val="002E30BF"/>
    <w:rsid w:val="002E357D"/>
    <w:rsid w:val="002E3EA1"/>
    <w:rsid w:val="002E3FC8"/>
    <w:rsid w:val="002E5865"/>
    <w:rsid w:val="002E5A7D"/>
    <w:rsid w:val="002E7255"/>
    <w:rsid w:val="002F2195"/>
    <w:rsid w:val="002F28AB"/>
    <w:rsid w:val="002F4969"/>
    <w:rsid w:val="002F70D7"/>
    <w:rsid w:val="002F77B8"/>
    <w:rsid w:val="002F7CB3"/>
    <w:rsid w:val="002F7D35"/>
    <w:rsid w:val="00300A5D"/>
    <w:rsid w:val="00304900"/>
    <w:rsid w:val="00304E8C"/>
    <w:rsid w:val="00306CC6"/>
    <w:rsid w:val="003071C4"/>
    <w:rsid w:val="003118B2"/>
    <w:rsid w:val="0031237C"/>
    <w:rsid w:val="003127A5"/>
    <w:rsid w:val="003131B6"/>
    <w:rsid w:val="00313B0A"/>
    <w:rsid w:val="003169C6"/>
    <w:rsid w:val="00320345"/>
    <w:rsid w:val="00320D21"/>
    <w:rsid w:val="00323624"/>
    <w:rsid w:val="00325A83"/>
    <w:rsid w:val="00325CEA"/>
    <w:rsid w:val="00327597"/>
    <w:rsid w:val="00333943"/>
    <w:rsid w:val="00335541"/>
    <w:rsid w:val="00335CA6"/>
    <w:rsid w:val="00342139"/>
    <w:rsid w:val="003421AC"/>
    <w:rsid w:val="00343A4A"/>
    <w:rsid w:val="00344300"/>
    <w:rsid w:val="003462C2"/>
    <w:rsid w:val="003470C4"/>
    <w:rsid w:val="003522B1"/>
    <w:rsid w:val="00360C1E"/>
    <w:rsid w:val="00364B27"/>
    <w:rsid w:val="00373861"/>
    <w:rsid w:val="00373CA1"/>
    <w:rsid w:val="003819C9"/>
    <w:rsid w:val="00383D7A"/>
    <w:rsid w:val="00387FB3"/>
    <w:rsid w:val="00392BA4"/>
    <w:rsid w:val="003959FE"/>
    <w:rsid w:val="00395E7E"/>
    <w:rsid w:val="00396E91"/>
    <w:rsid w:val="003A35E6"/>
    <w:rsid w:val="003A4E5B"/>
    <w:rsid w:val="003A52A5"/>
    <w:rsid w:val="003A5A45"/>
    <w:rsid w:val="003A72CA"/>
    <w:rsid w:val="003B02B0"/>
    <w:rsid w:val="003B1A06"/>
    <w:rsid w:val="003B79E0"/>
    <w:rsid w:val="003C11AF"/>
    <w:rsid w:val="003C46F4"/>
    <w:rsid w:val="003C4837"/>
    <w:rsid w:val="003C56C4"/>
    <w:rsid w:val="003C605C"/>
    <w:rsid w:val="003C687C"/>
    <w:rsid w:val="003D22BB"/>
    <w:rsid w:val="003D42B2"/>
    <w:rsid w:val="003D7855"/>
    <w:rsid w:val="003D7C92"/>
    <w:rsid w:val="003E0FC3"/>
    <w:rsid w:val="003E257A"/>
    <w:rsid w:val="003E2CFC"/>
    <w:rsid w:val="003E2F26"/>
    <w:rsid w:val="003E5BE7"/>
    <w:rsid w:val="003E5DEE"/>
    <w:rsid w:val="003F0203"/>
    <w:rsid w:val="003F515A"/>
    <w:rsid w:val="003F6375"/>
    <w:rsid w:val="003F6F76"/>
    <w:rsid w:val="00400E9B"/>
    <w:rsid w:val="0040389D"/>
    <w:rsid w:val="00411EDA"/>
    <w:rsid w:val="00412698"/>
    <w:rsid w:val="00414FFA"/>
    <w:rsid w:val="00415515"/>
    <w:rsid w:val="00416281"/>
    <w:rsid w:val="00416325"/>
    <w:rsid w:val="00423BD8"/>
    <w:rsid w:val="00424984"/>
    <w:rsid w:val="00425107"/>
    <w:rsid w:val="004253D1"/>
    <w:rsid w:val="00430484"/>
    <w:rsid w:val="00431273"/>
    <w:rsid w:val="0043149C"/>
    <w:rsid w:val="00434ACC"/>
    <w:rsid w:val="00440325"/>
    <w:rsid w:val="004421A9"/>
    <w:rsid w:val="00445BCE"/>
    <w:rsid w:val="00452348"/>
    <w:rsid w:val="00453D30"/>
    <w:rsid w:val="00460ADA"/>
    <w:rsid w:val="00462BC5"/>
    <w:rsid w:val="00462C35"/>
    <w:rsid w:val="00465ED2"/>
    <w:rsid w:val="00465EE0"/>
    <w:rsid w:val="00471FE2"/>
    <w:rsid w:val="00472334"/>
    <w:rsid w:val="004725D4"/>
    <w:rsid w:val="00473FC9"/>
    <w:rsid w:val="00475435"/>
    <w:rsid w:val="004778E3"/>
    <w:rsid w:val="0048134C"/>
    <w:rsid w:val="00487621"/>
    <w:rsid w:val="004905E0"/>
    <w:rsid w:val="0049619C"/>
    <w:rsid w:val="004A0F3D"/>
    <w:rsid w:val="004A1704"/>
    <w:rsid w:val="004A4A92"/>
    <w:rsid w:val="004A615A"/>
    <w:rsid w:val="004A6FDC"/>
    <w:rsid w:val="004A7DCA"/>
    <w:rsid w:val="004A7F1C"/>
    <w:rsid w:val="004B103E"/>
    <w:rsid w:val="004B1108"/>
    <w:rsid w:val="004B41EC"/>
    <w:rsid w:val="004B462D"/>
    <w:rsid w:val="004B58B2"/>
    <w:rsid w:val="004C0081"/>
    <w:rsid w:val="004C4033"/>
    <w:rsid w:val="004C40A4"/>
    <w:rsid w:val="004C500A"/>
    <w:rsid w:val="004D29B6"/>
    <w:rsid w:val="004D5356"/>
    <w:rsid w:val="004D63A7"/>
    <w:rsid w:val="004D7F38"/>
    <w:rsid w:val="004E05BD"/>
    <w:rsid w:val="004E2F6B"/>
    <w:rsid w:val="004E5940"/>
    <w:rsid w:val="004F1E55"/>
    <w:rsid w:val="004F338C"/>
    <w:rsid w:val="00502F63"/>
    <w:rsid w:val="005049E7"/>
    <w:rsid w:val="005074EA"/>
    <w:rsid w:val="005102D6"/>
    <w:rsid w:val="00510F44"/>
    <w:rsid w:val="00515046"/>
    <w:rsid w:val="00520BCB"/>
    <w:rsid w:val="005211EB"/>
    <w:rsid w:val="00522ACC"/>
    <w:rsid w:val="00522CD5"/>
    <w:rsid w:val="00524B1C"/>
    <w:rsid w:val="00524C0A"/>
    <w:rsid w:val="00531216"/>
    <w:rsid w:val="005312ED"/>
    <w:rsid w:val="00532882"/>
    <w:rsid w:val="005345F5"/>
    <w:rsid w:val="005372F7"/>
    <w:rsid w:val="00537A6C"/>
    <w:rsid w:val="00545AF7"/>
    <w:rsid w:val="005507B1"/>
    <w:rsid w:val="00550D0D"/>
    <w:rsid w:val="00550FFD"/>
    <w:rsid w:val="005516C5"/>
    <w:rsid w:val="0055253E"/>
    <w:rsid w:val="005525CB"/>
    <w:rsid w:val="00552F19"/>
    <w:rsid w:val="0055536E"/>
    <w:rsid w:val="00557341"/>
    <w:rsid w:val="00557681"/>
    <w:rsid w:val="00557A0B"/>
    <w:rsid w:val="00560E78"/>
    <w:rsid w:val="00561F43"/>
    <w:rsid w:val="0056406B"/>
    <w:rsid w:val="00564172"/>
    <w:rsid w:val="00574E78"/>
    <w:rsid w:val="00576AF5"/>
    <w:rsid w:val="0057732D"/>
    <w:rsid w:val="00582CC1"/>
    <w:rsid w:val="00583075"/>
    <w:rsid w:val="00584FF6"/>
    <w:rsid w:val="0058534E"/>
    <w:rsid w:val="00585966"/>
    <w:rsid w:val="005859D1"/>
    <w:rsid w:val="00587AA4"/>
    <w:rsid w:val="005955F1"/>
    <w:rsid w:val="00596753"/>
    <w:rsid w:val="005A283D"/>
    <w:rsid w:val="005A331A"/>
    <w:rsid w:val="005A4808"/>
    <w:rsid w:val="005A75BC"/>
    <w:rsid w:val="005B13F3"/>
    <w:rsid w:val="005B15BC"/>
    <w:rsid w:val="005B49AF"/>
    <w:rsid w:val="005B4DE5"/>
    <w:rsid w:val="005B5AF1"/>
    <w:rsid w:val="005B7EF5"/>
    <w:rsid w:val="005C4573"/>
    <w:rsid w:val="005D04DD"/>
    <w:rsid w:val="005D0762"/>
    <w:rsid w:val="005D29CD"/>
    <w:rsid w:val="005D2BBC"/>
    <w:rsid w:val="005D6A40"/>
    <w:rsid w:val="005D6E85"/>
    <w:rsid w:val="005D6F69"/>
    <w:rsid w:val="005E271D"/>
    <w:rsid w:val="005E2CED"/>
    <w:rsid w:val="005E3359"/>
    <w:rsid w:val="005F037C"/>
    <w:rsid w:val="005F22BA"/>
    <w:rsid w:val="005F380A"/>
    <w:rsid w:val="005F3B57"/>
    <w:rsid w:val="005F5DE4"/>
    <w:rsid w:val="005F761B"/>
    <w:rsid w:val="006000FE"/>
    <w:rsid w:val="0060468E"/>
    <w:rsid w:val="00611994"/>
    <w:rsid w:val="00611CB8"/>
    <w:rsid w:val="006139E8"/>
    <w:rsid w:val="006155EC"/>
    <w:rsid w:val="006163EF"/>
    <w:rsid w:val="006204F3"/>
    <w:rsid w:val="00622EB2"/>
    <w:rsid w:val="00624C0C"/>
    <w:rsid w:val="00626573"/>
    <w:rsid w:val="00626DB3"/>
    <w:rsid w:val="00627FB2"/>
    <w:rsid w:val="00631BF3"/>
    <w:rsid w:val="00632390"/>
    <w:rsid w:val="006339C2"/>
    <w:rsid w:val="006353EA"/>
    <w:rsid w:val="00636AAD"/>
    <w:rsid w:val="0063734B"/>
    <w:rsid w:val="00637C28"/>
    <w:rsid w:val="006432B8"/>
    <w:rsid w:val="00647C7B"/>
    <w:rsid w:val="0065021C"/>
    <w:rsid w:val="00652DEA"/>
    <w:rsid w:val="006559D8"/>
    <w:rsid w:val="0065729C"/>
    <w:rsid w:val="006606DA"/>
    <w:rsid w:val="00660F6E"/>
    <w:rsid w:val="006613A1"/>
    <w:rsid w:val="006660B7"/>
    <w:rsid w:val="006705F0"/>
    <w:rsid w:val="006724CD"/>
    <w:rsid w:val="00672702"/>
    <w:rsid w:val="00672D74"/>
    <w:rsid w:val="00674D40"/>
    <w:rsid w:val="006855BE"/>
    <w:rsid w:val="006869E0"/>
    <w:rsid w:val="00687FD1"/>
    <w:rsid w:val="00691ECB"/>
    <w:rsid w:val="00692D34"/>
    <w:rsid w:val="00693591"/>
    <w:rsid w:val="0069470B"/>
    <w:rsid w:val="006A422F"/>
    <w:rsid w:val="006A42F0"/>
    <w:rsid w:val="006A6D25"/>
    <w:rsid w:val="006B0330"/>
    <w:rsid w:val="006B2642"/>
    <w:rsid w:val="006B68C4"/>
    <w:rsid w:val="006B7D00"/>
    <w:rsid w:val="006C06BF"/>
    <w:rsid w:val="006C27CE"/>
    <w:rsid w:val="006C591A"/>
    <w:rsid w:val="006C792B"/>
    <w:rsid w:val="006C7F0B"/>
    <w:rsid w:val="006D3E88"/>
    <w:rsid w:val="006D4D45"/>
    <w:rsid w:val="006D5A3F"/>
    <w:rsid w:val="006D65F8"/>
    <w:rsid w:val="006D7435"/>
    <w:rsid w:val="006E45C4"/>
    <w:rsid w:val="006F2539"/>
    <w:rsid w:val="006F531A"/>
    <w:rsid w:val="006F58C7"/>
    <w:rsid w:val="006F5CC1"/>
    <w:rsid w:val="006F5E12"/>
    <w:rsid w:val="006F6625"/>
    <w:rsid w:val="007002C4"/>
    <w:rsid w:val="007012F6"/>
    <w:rsid w:val="007044DD"/>
    <w:rsid w:val="00706632"/>
    <w:rsid w:val="007067A5"/>
    <w:rsid w:val="00706EC2"/>
    <w:rsid w:val="0070730D"/>
    <w:rsid w:val="00707C3B"/>
    <w:rsid w:val="00715E54"/>
    <w:rsid w:val="0071736A"/>
    <w:rsid w:val="007177EE"/>
    <w:rsid w:val="00721712"/>
    <w:rsid w:val="00721EA3"/>
    <w:rsid w:val="007358FC"/>
    <w:rsid w:val="00736EB7"/>
    <w:rsid w:val="00740AE1"/>
    <w:rsid w:val="007447F4"/>
    <w:rsid w:val="0074481C"/>
    <w:rsid w:val="00744BB5"/>
    <w:rsid w:val="00746244"/>
    <w:rsid w:val="00746D21"/>
    <w:rsid w:val="00751D4A"/>
    <w:rsid w:val="0075599D"/>
    <w:rsid w:val="00757D67"/>
    <w:rsid w:val="0076076B"/>
    <w:rsid w:val="00760926"/>
    <w:rsid w:val="00763F8D"/>
    <w:rsid w:val="00766F0E"/>
    <w:rsid w:val="00767083"/>
    <w:rsid w:val="00770B6E"/>
    <w:rsid w:val="007712DE"/>
    <w:rsid w:val="007735F4"/>
    <w:rsid w:val="0077367C"/>
    <w:rsid w:val="007755DB"/>
    <w:rsid w:val="00780B76"/>
    <w:rsid w:val="0078214D"/>
    <w:rsid w:val="00783ABD"/>
    <w:rsid w:val="00786A1E"/>
    <w:rsid w:val="00787CA5"/>
    <w:rsid w:val="007928B5"/>
    <w:rsid w:val="007929A3"/>
    <w:rsid w:val="007930B8"/>
    <w:rsid w:val="00795E1B"/>
    <w:rsid w:val="00795E52"/>
    <w:rsid w:val="0079726A"/>
    <w:rsid w:val="007A0BA1"/>
    <w:rsid w:val="007A286C"/>
    <w:rsid w:val="007A3E41"/>
    <w:rsid w:val="007A5671"/>
    <w:rsid w:val="007B0FAF"/>
    <w:rsid w:val="007B16DA"/>
    <w:rsid w:val="007B464A"/>
    <w:rsid w:val="007B533E"/>
    <w:rsid w:val="007B6174"/>
    <w:rsid w:val="007B725C"/>
    <w:rsid w:val="007B7706"/>
    <w:rsid w:val="007B7D78"/>
    <w:rsid w:val="007C0D3B"/>
    <w:rsid w:val="007C1179"/>
    <w:rsid w:val="007C4475"/>
    <w:rsid w:val="007D1210"/>
    <w:rsid w:val="007D310A"/>
    <w:rsid w:val="007D5AB7"/>
    <w:rsid w:val="007D63BA"/>
    <w:rsid w:val="007D7721"/>
    <w:rsid w:val="007E03B0"/>
    <w:rsid w:val="007E4EA5"/>
    <w:rsid w:val="007E64F8"/>
    <w:rsid w:val="007F301E"/>
    <w:rsid w:val="007F65DE"/>
    <w:rsid w:val="007F6652"/>
    <w:rsid w:val="00800020"/>
    <w:rsid w:val="00800342"/>
    <w:rsid w:val="00800FBA"/>
    <w:rsid w:val="00802EDA"/>
    <w:rsid w:val="00803197"/>
    <w:rsid w:val="00804102"/>
    <w:rsid w:val="008063B7"/>
    <w:rsid w:val="00807BE1"/>
    <w:rsid w:val="0081106E"/>
    <w:rsid w:val="00813C65"/>
    <w:rsid w:val="008142BD"/>
    <w:rsid w:val="0081577C"/>
    <w:rsid w:val="00823D3A"/>
    <w:rsid w:val="008253DF"/>
    <w:rsid w:val="00825EC1"/>
    <w:rsid w:val="008260AA"/>
    <w:rsid w:val="008264EC"/>
    <w:rsid w:val="00831ECC"/>
    <w:rsid w:val="008325C3"/>
    <w:rsid w:val="00832FEC"/>
    <w:rsid w:val="00836002"/>
    <w:rsid w:val="00837E62"/>
    <w:rsid w:val="008401C3"/>
    <w:rsid w:val="00840B60"/>
    <w:rsid w:val="00840EF3"/>
    <w:rsid w:val="0084121E"/>
    <w:rsid w:val="008414C6"/>
    <w:rsid w:val="00842B58"/>
    <w:rsid w:val="00842D6F"/>
    <w:rsid w:val="00845FC1"/>
    <w:rsid w:val="00846E3C"/>
    <w:rsid w:val="008474BB"/>
    <w:rsid w:val="008475D3"/>
    <w:rsid w:val="00850DB4"/>
    <w:rsid w:val="00850FC4"/>
    <w:rsid w:val="00856F2C"/>
    <w:rsid w:val="008629A2"/>
    <w:rsid w:val="00864796"/>
    <w:rsid w:val="00875038"/>
    <w:rsid w:val="008767D3"/>
    <w:rsid w:val="00877DC2"/>
    <w:rsid w:val="00883092"/>
    <w:rsid w:val="008833E7"/>
    <w:rsid w:val="0088630B"/>
    <w:rsid w:val="00890514"/>
    <w:rsid w:val="00891853"/>
    <w:rsid w:val="008932A1"/>
    <w:rsid w:val="008945D8"/>
    <w:rsid w:val="008A28DF"/>
    <w:rsid w:val="008A3330"/>
    <w:rsid w:val="008A3805"/>
    <w:rsid w:val="008A4747"/>
    <w:rsid w:val="008B14E8"/>
    <w:rsid w:val="008B2508"/>
    <w:rsid w:val="008B2739"/>
    <w:rsid w:val="008B2F30"/>
    <w:rsid w:val="008B3189"/>
    <w:rsid w:val="008B3A32"/>
    <w:rsid w:val="008B4634"/>
    <w:rsid w:val="008B5391"/>
    <w:rsid w:val="008B64DF"/>
    <w:rsid w:val="008B6556"/>
    <w:rsid w:val="008C00A1"/>
    <w:rsid w:val="008C3DA5"/>
    <w:rsid w:val="008C621A"/>
    <w:rsid w:val="008D215D"/>
    <w:rsid w:val="008D331D"/>
    <w:rsid w:val="008D5A03"/>
    <w:rsid w:val="008D7CFB"/>
    <w:rsid w:val="008E04B4"/>
    <w:rsid w:val="008E1BE4"/>
    <w:rsid w:val="008E36FF"/>
    <w:rsid w:val="008E4602"/>
    <w:rsid w:val="008E5297"/>
    <w:rsid w:val="008E6E6D"/>
    <w:rsid w:val="008E789F"/>
    <w:rsid w:val="008F001A"/>
    <w:rsid w:val="008F38C0"/>
    <w:rsid w:val="008F4260"/>
    <w:rsid w:val="008F5FAE"/>
    <w:rsid w:val="008F7BCA"/>
    <w:rsid w:val="00901EF3"/>
    <w:rsid w:val="00902AA3"/>
    <w:rsid w:val="00904103"/>
    <w:rsid w:val="0090541F"/>
    <w:rsid w:val="009059CE"/>
    <w:rsid w:val="0091049D"/>
    <w:rsid w:val="00911C08"/>
    <w:rsid w:val="00913F5C"/>
    <w:rsid w:val="00921F25"/>
    <w:rsid w:val="00923141"/>
    <w:rsid w:val="00923311"/>
    <w:rsid w:val="009247B4"/>
    <w:rsid w:val="009247F5"/>
    <w:rsid w:val="00926F27"/>
    <w:rsid w:val="00927CA4"/>
    <w:rsid w:val="00927F8D"/>
    <w:rsid w:val="0093164E"/>
    <w:rsid w:val="00935C50"/>
    <w:rsid w:val="009360C5"/>
    <w:rsid w:val="009366C2"/>
    <w:rsid w:val="00936A70"/>
    <w:rsid w:val="00937870"/>
    <w:rsid w:val="0094022B"/>
    <w:rsid w:val="00941F4F"/>
    <w:rsid w:val="00943DC4"/>
    <w:rsid w:val="00944347"/>
    <w:rsid w:val="00945A87"/>
    <w:rsid w:val="00945FB9"/>
    <w:rsid w:val="009462FF"/>
    <w:rsid w:val="0094648A"/>
    <w:rsid w:val="00947159"/>
    <w:rsid w:val="009540FB"/>
    <w:rsid w:val="00955E68"/>
    <w:rsid w:val="0095783A"/>
    <w:rsid w:val="0095796C"/>
    <w:rsid w:val="009700EB"/>
    <w:rsid w:val="00974272"/>
    <w:rsid w:val="009749FA"/>
    <w:rsid w:val="00975994"/>
    <w:rsid w:val="0097671C"/>
    <w:rsid w:val="00976C7A"/>
    <w:rsid w:val="0098125A"/>
    <w:rsid w:val="00981474"/>
    <w:rsid w:val="00982ED1"/>
    <w:rsid w:val="00983434"/>
    <w:rsid w:val="00984765"/>
    <w:rsid w:val="009907C3"/>
    <w:rsid w:val="00991C74"/>
    <w:rsid w:val="00996061"/>
    <w:rsid w:val="00996E90"/>
    <w:rsid w:val="009A127D"/>
    <w:rsid w:val="009A14C0"/>
    <w:rsid w:val="009A17EF"/>
    <w:rsid w:val="009A47CC"/>
    <w:rsid w:val="009A5BF9"/>
    <w:rsid w:val="009B123E"/>
    <w:rsid w:val="009B1B48"/>
    <w:rsid w:val="009B4ADF"/>
    <w:rsid w:val="009B5DA9"/>
    <w:rsid w:val="009B5DB0"/>
    <w:rsid w:val="009C12AB"/>
    <w:rsid w:val="009C2E86"/>
    <w:rsid w:val="009C3DC3"/>
    <w:rsid w:val="009C4EA9"/>
    <w:rsid w:val="009C69B2"/>
    <w:rsid w:val="009D1407"/>
    <w:rsid w:val="009D4160"/>
    <w:rsid w:val="009D6EA7"/>
    <w:rsid w:val="009D77F9"/>
    <w:rsid w:val="009D7937"/>
    <w:rsid w:val="009E0800"/>
    <w:rsid w:val="009E1A13"/>
    <w:rsid w:val="009E1A8C"/>
    <w:rsid w:val="009E2768"/>
    <w:rsid w:val="009E3660"/>
    <w:rsid w:val="009E5AE0"/>
    <w:rsid w:val="009F0F49"/>
    <w:rsid w:val="009F370C"/>
    <w:rsid w:val="009F45BA"/>
    <w:rsid w:val="009F69FD"/>
    <w:rsid w:val="009F7456"/>
    <w:rsid w:val="00A00D99"/>
    <w:rsid w:val="00A01051"/>
    <w:rsid w:val="00A03088"/>
    <w:rsid w:val="00A04610"/>
    <w:rsid w:val="00A06D8A"/>
    <w:rsid w:val="00A07D6D"/>
    <w:rsid w:val="00A1026C"/>
    <w:rsid w:val="00A10E24"/>
    <w:rsid w:val="00A12751"/>
    <w:rsid w:val="00A133AC"/>
    <w:rsid w:val="00A166D5"/>
    <w:rsid w:val="00A217AC"/>
    <w:rsid w:val="00A22073"/>
    <w:rsid w:val="00A2723A"/>
    <w:rsid w:val="00A27DB8"/>
    <w:rsid w:val="00A306FB"/>
    <w:rsid w:val="00A30BD3"/>
    <w:rsid w:val="00A30E51"/>
    <w:rsid w:val="00A3645D"/>
    <w:rsid w:val="00A37FC3"/>
    <w:rsid w:val="00A43806"/>
    <w:rsid w:val="00A43CC1"/>
    <w:rsid w:val="00A45D75"/>
    <w:rsid w:val="00A543AC"/>
    <w:rsid w:val="00A54D8B"/>
    <w:rsid w:val="00A57822"/>
    <w:rsid w:val="00A61173"/>
    <w:rsid w:val="00A624D2"/>
    <w:rsid w:val="00A625A9"/>
    <w:rsid w:val="00A702EA"/>
    <w:rsid w:val="00A71B13"/>
    <w:rsid w:val="00A73555"/>
    <w:rsid w:val="00A755B4"/>
    <w:rsid w:val="00A81BB9"/>
    <w:rsid w:val="00A84D81"/>
    <w:rsid w:val="00A85B0D"/>
    <w:rsid w:val="00A87297"/>
    <w:rsid w:val="00A90967"/>
    <w:rsid w:val="00A909F2"/>
    <w:rsid w:val="00A9135B"/>
    <w:rsid w:val="00A91F74"/>
    <w:rsid w:val="00A940DC"/>
    <w:rsid w:val="00A9764E"/>
    <w:rsid w:val="00AA688E"/>
    <w:rsid w:val="00AB39EF"/>
    <w:rsid w:val="00AB4E7F"/>
    <w:rsid w:val="00AB6488"/>
    <w:rsid w:val="00AB6773"/>
    <w:rsid w:val="00AC0841"/>
    <w:rsid w:val="00AC0D85"/>
    <w:rsid w:val="00AC1092"/>
    <w:rsid w:val="00AC1F37"/>
    <w:rsid w:val="00AC37DC"/>
    <w:rsid w:val="00AC54F2"/>
    <w:rsid w:val="00AC63CC"/>
    <w:rsid w:val="00AC6D88"/>
    <w:rsid w:val="00AC7FAA"/>
    <w:rsid w:val="00AD01A4"/>
    <w:rsid w:val="00AD17A7"/>
    <w:rsid w:val="00AD406C"/>
    <w:rsid w:val="00AD68EB"/>
    <w:rsid w:val="00AD6D01"/>
    <w:rsid w:val="00AE02C1"/>
    <w:rsid w:val="00AE0E7E"/>
    <w:rsid w:val="00AE1902"/>
    <w:rsid w:val="00AE2DE5"/>
    <w:rsid w:val="00AE545F"/>
    <w:rsid w:val="00AE76F1"/>
    <w:rsid w:val="00AF21DF"/>
    <w:rsid w:val="00AF3D66"/>
    <w:rsid w:val="00AF3F46"/>
    <w:rsid w:val="00B01935"/>
    <w:rsid w:val="00B022D6"/>
    <w:rsid w:val="00B02DA5"/>
    <w:rsid w:val="00B04332"/>
    <w:rsid w:val="00B045CE"/>
    <w:rsid w:val="00B071B4"/>
    <w:rsid w:val="00B10937"/>
    <w:rsid w:val="00B1187D"/>
    <w:rsid w:val="00B129F3"/>
    <w:rsid w:val="00B14043"/>
    <w:rsid w:val="00B155CB"/>
    <w:rsid w:val="00B15AFC"/>
    <w:rsid w:val="00B167E2"/>
    <w:rsid w:val="00B17E3F"/>
    <w:rsid w:val="00B212AE"/>
    <w:rsid w:val="00B24C4B"/>
    <w:rsid w:val="00B26F5B"/>
    <w:rsid w:val="00B309BB"/>
    <w:rsid w:val="00B32860"/>
    <w:rsid w:val="00B37499"/>
    <w:rsid w:val="00B4110C"/>
    <w:rsid w:val="00B45A1D"/>
    <w:rsid w:val="00B47E60"/>
    <w:rsid w:val="00B51867"/>
    <w:rsid w:val="00B51A7A"/>
    <w:rsid w:val="00B53065"/>
    <w:rsid w:val="00B54611"/>
    <w:rsid w:val="00B56A41"/>
    <w:rsid w:val="00B56C5E"/>
    <w:rsid w:val="00B60981"/>
    <w:rsid w:val="00B64EEA"/>
    <w:rsid w:val="00B65FD6"/>
    <w:rsid w:val="00B672EC"/>
    <w:rsid w:val="00B67636"/>
    <w:rsid w:val="00B71C74"/>
    <w:rsid w:val="00B751D7"/>
    <w:rsid w:val="00B75F42"/>
    <w:rsid w:val="00B772A1"/>
    <w:rsid w:val="00B77576"/>
    <w:rsid w:val="00B800A9"/>
    <w:rsid w:val="00B808D1"/>
    <w:rsid w:val="00B80F11"/>
    <w:rsid w:val="00B80FFB"/>
    <w:rsid w:val="00B834AB"/>
    <w:rsid w:val="00B86BEF"/>
    <w:rsid w:val="00B9097F"/>
    <w:rsid w:val="00B9219C"/>
    <w:rsid w:val="00B955A0"/>
    <w:rsid w:val="00B95D88"/>
    <w:rsid w:val="00BA1795"/>
    <w:rsid w:val="00BA1B01"/>
    <w:rsid w:val="00BA1F5A"/>
    <w:rsid w:val="00BA2DB1"/>
    <w:rsid w:val="00BA30C5"/>
    <w:rsid w:val="00BA44CD"/>
    <w:rsid w:val="00BA732D"/>
    <w:rsid w:val="00BB275B"/>
    <w:rsid w:val="00BB28F3"/>
    <w:rsid w:val="00BB36B3"/>
    <w:rsid w:val="00BC1BB8"/>
    <w:rsid w:val="00BC1BFF"/>
    <w:rsid w:val="00BC26B0"/>
    <w:rsid w:val="00BC5429"/>
    <w:rsid w:val="00BD119F"/>
    <w:rsid w:val="00BD33CC"/>
    <w:rsid w:val="00BD44D5"/>
    <w:rsid w:val="00BD608C"/>
    <w:rsid w:val="00BE270F"/>
    <w:rsid w:val="00BE2A4B"/>
    <w:rsid w:val="00BE32AC"/>
    <w:rsid w:val="00BE5EED"/>
    <w:rsid w:val="00BE6DDD"/>
    <w:rsid w:val="00BE7AF3"/>
    <w:rsid w:val="00BF34B3"/>
    <w:rsid w:val="00BF37C9"/>
    <w:rsid w:val="00BF4EDB"/>
    <w:rsid w:val="00BF6BDF"/>
    <w:rsid w:val="00BF6CDD"/>
    <w:rsid w:val="00BF71BC"/>
    <w:rsid w:val="00C00402"/>
    <w:rsid w:val="00C00C7B"/>
    <w:rsid w:val="00C01026"/>
    <w:rsid w:val="00C043E9"/>
    <w:rsid w:val="00C046F3"/>
    <w:rsid w:val="00C0645D"/>
    <w:rsid w:val="00C06F83"/>
    <w:rsid w:val="00C10BB7"/>
    <w:rsid w:val="00C111EA"/>
    <w:rsid w:val="00C11E92"/>
    <w:rsid w:val="00C128E1"/>
    <w:rsid w:val="00C14A2F"/>
    <w:rsid w:val="00C17152"/>
    <w:rsid w:val="00C21822"/>
    <w:rsid w:val="00C21FA4"/>
    <w:rsid w:val="00C23253"/>
    <w:rsid w:val="00C2411D"/>
    <w:rsid w:val="00C26D9D"/>
    <w:rsid w:val="00C2740E"/>
    <w:rsid w:val="00C27D47"/>
    <w:rsid w:val="00C3270C"/>
    <w:rsid w:val="00C32999"/>
    <w:rsid w:val="00C3325D"/>
    <w:rsid w:val="00C345E3"/>
    <w:rsid w:val="00C3483E"/>
    <w:rsid w:val="00C35BD9"/>
    <w:rsid w:val="00C370A3"/>
    <w:rsid w:val="00C373AC"/>
    <w:rsid w:val="00C40298"/>
    <w:rsid w:val="00C42777"/>
    <w:rsid w:val="00C42B82"/>
    <w:rsid w:val="00C4387E"/>
    <w:rsid w:val="00C456EB"/>
    <w:rsid w:val="00C467EE"/>
    <w:rsid w:val="00C52426"/>
    <w:rsid w:val="00C52F6C"/>
    <w:rsid w:val="00C54090"/>
    <w:rsid w:val="00C542DC"/>
    <w:rsid w:val="00C618CB"/>
    <w:rsid w:val="00C63FE4"/>
    <w:rsid w:val="00C646D7"/>
    <w:rsid w:val="00C657B0"/>
    <w:rsid w:val="00C711D9"/>
    <w:rsid w:val="00C71352"/>
    <w:rsid w:val="00C72640"/>
    <w:rsid w:val="00C72D2B"/>
    <w:rsid w:val="00C730D7"/>
    <w:rsid w:val="00C73466"/>
    <w:rsid w:val="00C73A42"/>
    <w:rsid w:val="00C747D2"/>
    <w:rsid w:val="00C75972"/>
    <w:rsid w:val="00C76B5D"/>
    <w:rsid w:val="00C77642"/>
    <w:rsid w:val="00C7779D"/>
    <w:rsid w:val="00C77846"/>
    <w:rsid w:val="00C80728"/>
    <w:rsid w:val="00C80A58"/>
    <w:rsid w:val="00C814E4"/>
    <w:rsid w:val="00C815D2"/>
    <w:rsid w:val="00C83879"/>
    <w:rsid w:val="00C854FF"/>
    <w:rsid w:val="00C8776F"/>
    <w:rsid w:val="00C906E4"/>
    <w:rsid w:val="00C90784"/>
    <w:rsid w:val="00C93459"/>
    <w:rsid w:val="00C94EB1"/>
    <w:rsid w:val="00C97717"/>
    <w:rsid w:val="00C977A7"/>
    <w:rsid w:val="00CA1C54"/>
    <w:rsid w:val="00CA5B5E"/>
    <w:rsid w:val="00CA7395"/>
    <w:rsid w:val="00CB19FD"/>
    <w:rsid w:val="00CB27B5"/>
    <w:rsid w:val="00CB4476"/>
    <w:rsid w:val="00CB5C16"/>
    <w:rsid w:val="00CB7B27"/>
    <w:rsid w:val="00CC07B0"/>
    <w:rsid w:val="00CC0E9B"/>
    <w:rsid w:val="00CC264C"/>
    <w:rsid w:val="00CC2D7F"/>
    <w:rsid w:val="00CC38B1"/>
    <w:rsid w:val="00CC430C"/>
    <w:rsid w:val="00CC43D4"/>
    <w:rsid w:val="00CC4F13"/>
    <w:rsid w:val="00CC66FD"/>
    <w:rsid w:val="00CC679C"/>
    <w:rsid w:val="00CC79CF"/>
    <w:rsid w:val="00CD2FD0"/>
    <w:rsid w:val="00CD623C"/>
    <w:rsid w:val="00CD6453"/>
    <w:rsid w:val="00CE0EE1"/>
    <w:rsid w:val="00CE1A55"/>
    <w:rsid w:val="00CE1C27"/>
    <w:rsid w:val="00CE222A"/>
    <w:rsid w:val="00CE6BD0"/>
    <w:rsid w:val="00CE7CA1"/>
    <w:rsid w:val="00CF3C5A"/>
    <w:rsid w:val="00CF50F7"/>
    <w:rsid w:val="00CF51F7"/>
    <w:rsid w:val="00CF67A4"/>
    <w:rsid w:val="00D03248"/>
    <w:rsid w:val="00D0453B"/>
    <w:rsid w:val="00D07698"/>
    <w:rsid w:val="00D12378"/>
    <w:rsid w:val="00D14509"/>
    <w:rsid w:val="00D154E9"/>
    <w:rsid w:val="00D15A15"/>
    <w:rsid w:val="00D165A4"/>
    <w:rsid w:val="00D1663E"/>
    <w:rsid w:val="00D169CD"/>
    <w:rsid w:val="00D17FF3"/>
    <w:rsid w:val="00D21642"/>
    <w:rsid w:val="00D219CC"/>
    <w:rsid w:val="00D22A56"/>
    <w:rsid w:val="00D2520C"/>
    <w:rsid w:val="00D26950"/>
    <w:rsid w:val="00D26CF2"/>
    <w:rsid w:val="00D31435"/>
    <w:rsid w:val="00D31E9F"/>
    <w:rsid w:val="00D33B2E"/>
    <w:rsid w:val="00D355FE"/>
    <w:rsid w:val="00D35B0E"/>
    <w:rsid w:val="00D35B42"/>
    <w:rsid w:val="00D37378"/>
    <w:rsid w:val="00D375EB"/>
    <w:rsid w:val="00D40B40"/>
    <w:rsid w:val="00D47830"/>
    <w:rsid w:val="00D50A61"/>
    <w:rsid w:val="00D51033"/>
    <w:rsid w:val="00D54704"/>
    <w:rsid w:val="00D54F0C"/>
    <w:rsid w:val="00D55032"/>
    <w:rsid w:val="00D57813"/>
    <w:rsid w:val="00D61301"/>
    <w:rsid w:val="00D61B04"/>
    <w:rsid w:val="00D636DB"/>
    <w:rsid w:val="00D703CE"/>
    <w:rsid w:val="00D754E6"/>
    <w:rsid w:val="00D803BD"/>
    <w:rsid w:val="00D806BA"/>
    <w:rsid w:val="00D845AC"/>
    <w:rsid w:val="00D8497E"/>
    <w:rsid w:val="00D85A68"/>
    <w:rsid w:val="00D90EE7"/>
    <w:rsid w:val="00D91DC6"/>
    <w:rsid w:val="00D92162"/>
    <w:rsid w:val="00D93C74"/>
    <w:rsid w:val="00D948AD"/>
    <w:rsid w:val="00DA3DE0"/>
    <w:rsid w:val="00DA69CD"/>
    <w:rsid w:val="00DA7772"/>
    <w:rsid w:val="00DB1432"/>
    <w:rsid w:val="00DC0237"/>
    <w:rsid w:val="00DC14BB"/>
    <w:rsid w:val="00DC1A5B"/>
    <w:rsid w:val="00DC1DC0"/>
    <w:rsid w:val="00DC3326"/>
    <w:rsid w:val="00DC43DD"/>
    <w:rsid w:val="00DC55C3"/>
    <w:rsid w:val="00DD1769"/>
    <w:rsid w:val="00DE28B1"/>
    <w:rsid w:val="00DE5870"/>
    <w:rsid w:val="00DE5C08"/>
    <w:rsid w:val="00DE6745"/>
    <w:rsid w:val="00DE7BC5"/>
    <w:rsid w:val="00DF2BFF"/>
    <w:rsid w:val="00DF2D8F"/>
    <w:rsid w:val="00E0278E"/>
    <w:rsid w:val="00E032AB"/>
    <w:rsid w:val="00E03D98"/>
    <w:rsid w:val="00E07152"/>
    <w:rsid w:val="00E1294B"/>
    <w:rsid w:val="00E1528E"/>
    <w:rsid w:val="00E24054"/>
    <w:rsid w:val="00E30F0E"/>
    <w:rsid w:val="00E33A3F"/>
    <w:rsid w:val="00E33D7E"/>
    <w:rsid w:val="00E3464D"/>
    <w:rsid w:val="00E40FA3"/>
    <w:rsid w:val="00E42FE8"/>
    <w:rsid w:val="00E4300B"/>
    <w:rsid w:val="00E45784"/>
    <w:rsid w:val="00E465E7"/>
    <w:rsid w:val="00E47435"/>
    <w:rsid w:val="00E519AB"/>
    <w:rsid w:val="00E52640"/>
    <w:rsid w:val="00E54487"/>
    <w:rsid w:val="00E56AA7"/>
    <w:rsid w:val="00E61095"/>
    <w:rsid w:val="00E61A1E"/>
    <w:rsid w:val="00E630C6"/>
    <w:rsid w:val="00E64B1B"/>
    <w:rsid w:val="00E64EB3"/>
    <w:rsid w:val="00E676D2"/>
    <w:rsid w:val="00E700E1"/>
    <w:rsid w:val="00E7125B"/>
    <w:rsid w:val="00E73147"/>
    <w:rsid w:val="00E74E4B"/>
    <w:rsid w:val="00E80F6B"/>
    <w:rsid w:val="00E82257"/>
    <w:rsid w:val="00E86622"/>
    <w:rsid w:val="00E87469"/>
    <w:rsid w:val="00EA1939"/>
    <w:rsid w:val="00EA354E"/>
    <w:rsid w:val="00EA361E"/>
    <w:rsid w:val="00EA42F4"/>
    <w:rsid w:val="00EB0E3E"/>
    <w:rsid w:val="00EB2E8D"/>
    <w:rsid w:val="00EB4BA1"/>
    <w:rsid w:val="00EB4E76"/>
    <w:rsid w:val="00EB6CA6"/>
    <w:rsid w:val="00EC0CD3"/>
    <w:rsid w:val="00EC2BEC"/>
    <w:rsid w:val="00EC5BD1"/>
    <w:rsid w:val="00EC5D8E"/>
    <w:rsid w:val="00EC70D0"/>
    <w:rsid w:val="00ED38BC"/>
    <w:rsid w:val="00EE02B2"/>
    <w:rsid w:val="00EE1A39"/>
    <w:rsid w:val="00EE2A04"/>
    <w:rsid w:val="00EE4DBF"/>
    <w:rsid w:val="00EE57E2"/>
    <w:rsid w:val="00EF0FBA"/>
    <w:rsid w:val="00EF5B44"/>
    <w:rsid w:val="00EF72B8"/>
    <w:rsid w:val="00F005DE"/>
    <w:rsid w:val="00F02B82"/>
    <w:rsid w:val="00F03093"/>
    <w:rsid w:val="00F03B8A"/>
    <w:rsid w:val="00F03DD5"/>
    <w:rsid w:val="00F075DB"/>
    <w:rsid w:val="00F10A23"/>
    <w:rsid w:val="00F11C68"/>
    <w:rsid w:val="00F122FA"/>
    <w:rsid w:val="00F12ADF"/>
    <w:rsid w:val="00F16F88"/>
    <w:rsid w:val="00F21523"/>
    <w:rsid w:val="00F21C47"/>
    <w:rsid w:val="00F25B96"/>
    <w:rsid w:val="00F25CB9"/>
    <w:rsid w:val="00F31027"/>
    <w:rsid w:val="00F31A68"/>
    <w:rsid w:val="00F34C72"/>
    <w:rsid w:val="00F35E90"/>
    <w:rsid w:val="00F36448"/>
    <w:rsid w:val="00F41496"/>
    <w:rsid w:val="00F4248B"/>
    <w:rsid w:val="00F5036A"/>
    <w:rsid w:val="00F5392B"/>
    <w:rsid w:val="00F539F3"/>
    <w:rsid w:val="00F552DD"/>
    <w:rsid w:val="00F5686B"/>
    <w:rsid w:val="00F56992"/>
    <w:rsid w:val="00F60BF9"/>
    <w:rsid w:val="00F60D79"/>
    <w:rsid w:val="00F62314"/>
    <w:rsid w:val="00F651DC"/>
    <w:rsid w:val="00F65919"/>
    <w:rsid w:val="00F662A9"/>
    <w:rsid w:val="00F74697"/>
    <w:rsid w:val="00F75544"/>
    <w:rsid w:val="00F7697C"/>
    <w:rsid w:val="00F81462"/>
    <w:rsid w:val="00F81FDA"/>
    <w:rsid w:val="00F833A8"/>
    <w:rsid w:val="00F863EB"/>
    <w:rsid w:val="00F903EB"/>
    <w:rsid w:val="00F940AB"/>
    <w:rsid w:val="00F97FCA"/>
    <w:rsid w:val="00FA0D8A"/>
    <w:rsid w:val="00FA0E3A"/>
    <w:rsid w:val="00FA54A1"/>
    <w:rsid w:val="00FB0421"/>
    <w:rsid w:val="00FB2DB3"/>
    <w:rsid w:val="00FB46E1"/>
    <w:rsid w:val="00FB566A"/>
    <w:rsid w:val="00FB7728"/>
    <w:rsid w:val="00FC1C0A"/>
    <w:rsid w:val="00FC551D"/>
    <w:rsid w:val="00FD2BEE"/>
    <w:rsid w:val="00FD2C9F"/>
    <w:rsid w:val="00FD5FA6"/>
    <w:rsid w:val="00FD673C"/>
    <w:rsid w:val="00FE1790"/>
    <w:rsid w:val="00FE1BF3"/>
    <w:rsid w:val="00FE1DC0"/>
    <w:rsid w:val="00FE7C6B"/>
    <w:rsid w:val="00FF00E0"/>
    <w:rsid w:val="00FF0761"/>
    <w:rsid w:val="00FF081C"/>
    <w:rsid w:val="00FF20F1"/>
    <w:rsid w:val="00FF3DFE"/>
    <w:rsid w:val="00FF59CC"/>
    <w:rsid w:val="00FF6226"/>
    <w:rsid w:val="01192E8D"/>
    <w:rsid w:val="013E288B"/>
    <w:rsid w:val="01B11872"/>
    <w:rsid w:val="02556729"/>
    <w:rsid w:val="03EB338D"/>
    <w:rsid w:val="04454BE6"/>
    <w:rsid w:val="04767FC3"/>
    <w:rsid w:val="04F72257"/>
    <w:rsid w:val="055B25F7"/>
    <w:rsid w:val="05DD3F73"/>
    <w:rsid w:val="0639130A"/>
    <w:rsid w:val="066F401F"/>
    <w:rsid w:val="07E82B1D"/>
    <w:rsid w:val="08036992"/>
    <w:rsid w:val="08984600"/>
    <w:rsid w:val="0931247F"/>
    <w:rsid w:val="095205E9"/>
    <w:rsid w:val="09EA74AC"/>
    <w:rsid w:val="0A564BBB"/>
    <w:rsid w:val="0AAF29FB"/>
    <w:rsid w:val="0BC87B7B"/>
    <w:rsid w:val="0C4B5AB9"/>
    <w:rsid w:val="0C4C1054"/>
    <w:rsid w:val="0CBA7DE2"/>
    <w:rsid w:val="0F020108"/>
    <w:rsid w:val="0F460619"/>
    <w:rsid w:val="0F5178EA"/>
    <w:rsid w:val="0FCB437C"/>
    <w:rsid w:val="10131951"/>
    <w:rsid w:val="10143E37"/>
    <w:rsid w:val="103014E9"/>
    <w:rsid w:val="107E1D03"/>
    <w:rsid w:val="10EB7AA0"/>
    <w:rsid w:val="120A78B7"/>
    <w:rsid w:val="12DC33BD"/>
    <w:rsid w:val="13037A79"/>
    <w:rsid w:val="135A64F1"/>
    <w:rsid w:val="15186D04"/>
    <w:rsid w:val="15B32592"/>
    <w:rsid w:val="16AC1E3E"/>
    <w:rsid w:val="179371F3"/>
    <w:rsid w:val="17F94183"/>
    <w:rsid w:val="18267FED"/>
    <w:rsid w:val="18487950"/>
    <w:rsid w:val="19365538"/>
    <w:rsid w:val="19AF7503"/>
    <w:rsid w:val="1A4C131F"/>
    <w:rsid w:val="1ABA7277"/>
    <w:rsid w:val="1AFE4E73"/>
    <w:rsid w:val="1BED7520"/>
    <w:rsid w:val="1C175EA7"/>
    <w:rsid w:val="1D870EF9"/>
    <w:rsid w:val="1DA8052C"/>
    <w:rsid w:val="1E055431"/>
    <w:rsid w:val="1EBE7DCB"/>
    <w:rsid w:val="1F4025BF"/>
    <w:rsid w:val="1FBA6F81"/>
    <w:rsid w:val="20D2636B"/>
    <w:rsid w:val="219F12A3"/>
    <w:rsid w:val="22CD40BB"/>
    <w:rsid w:val="22E31B1D"/>
    <w:rsid w:val="232907E9"/>
    <w:rsid w:val="247557BE"/>
    <w:rsid w:val="24FD1309"/>
    <w:rsid w:val="25682E07"/>
    <w:rsid w:val="25CB5782"/>
    <w:rsid w:val="26893D0F"/>
    <w:rsid w:val="269843E0"/>
    <w:rsid w:val="28A61129"/>
    <w:rsid w:val="29370BFF"/>
    <w:rsid w:val="294E62CF"/>
    <w:rsid w:val="2BBA4D84"/>
    <w:rsid w:val="2CE80D52"/>
    <w:rsid w:val="2D49241D"/>
    <w:rsid w:val="2E7A669D"/>
    <w:rsid w:val="2E7E772F"/>
    <w:rsid w:val="2E936DEF"/>
    <w:rsid w:val="2F2C28B9"/>
    <w:rsid w:val="2FFB141C"/>
    <w:rsid w:val="309E391B"/>
    <w:rsid w:val="333F53A8"/>
    <w:rsid w:val="336737A8"/>
    <w:rsid w:val="33B2070D"/>
    <w:rsid w:val="37866F81"/>
    <w:rsid w:val="38BF129C"/>
    <w:rsid w:val="39162307"/>
    <w:rsid w:val="3A2C43A4"/>
    <w:rsid w:val="3A755D5F"/>
    <w:rsid w:val="3AAF640E"/>
    <w:rsid w:val="3B4D6FC4"/>
    <w:rsid w:val="3BCD358E"/>
    <w:rsid w:val="3C083BFB"/>
    <w:rsid w:val="3CEE469B"/>
    <w:rsid w:val="3CF275B1"/>
    <w:rsid w:val="3FBB2D9B"/>
    <w:rsid w:val="3FF945B8"/>
    <w:rsid w:val="40CB1D68"/>
    <w:rsid w:val="42EC1392"/>
    <w:rsid w:val="430B0BBB"/>
    <w:rsid w:val="43174B08"/>
    <w:rsid w:val="43D93012"/>
    <w:rsid w:val="44C1689A"/>
    <w:rsid w:val="45487210"/>
    <w:rsid w:val="463D748C"/>
    <w:rsid w:val="47CF1C8D"/>
    <w:rsid w:val="4902667C"/>
    <w:rsid w:val="49504392"/>
    <w:rsid w:val="49DA35E8"/>
    <w:rsid w:val="4A2E2FD8"/>
    <w:rsid w:val="4B1F0E75"/>
    <w:rsid w:val="4B1F78D3"/>
    <w:rsid w:val="4C201E6D"/>
    <w:rsid w:val="4C8778DC"/>
    <w:rsid w:val="4E322486"/>
    <w:rsid w:val="4E4F45D3"/>
    <w:rsid w:val="4F234B65"/>
    <w:rsid w:val="4F5134EF"/>
    <w:rsid w:val="4F8B72E9"/>
    <w:rsid w:val="4F8F2262"/>
    <w:rsid w:val="4FB5122D"/>
    <w:rsid w:val="4FB516AF"/>
    <w:rsid w:val="4FDE2B93"/>
    <w:rsid w:val="50236E9C"/>
    <w:rsid w:val="50ED643B"/>
    <w:rsid w:val="50F135F4"/>
    <w:rsid w:val="50FF6A12"/>
    <w:rsid w:val="510B4C34"/>
    <w:rsid w:val="511C6ABF"/>
    <w:rsid w:val="51EC6C51"/>
    <w:rsid w:val="521151BB"/>
    <w:rsid w:val="52AD6A47"/>
    <w:rsid w:val="52E3581C"/>
    <w:rsid w:val="52F825C5"/>
    <w:rsid w:val="53C320A5"/>
    <w:rsid w:val="54442DB8"/>
    <w:rsid w:val="547049C9"/>
    <w:rsid w:val="55ED3E05"/>
    <w:rsid w:val="56700F4E"/>
    <w:rsid w:val="585931CF"/>
    <w:rsid w:val="587B398C"/>
    <w:rsid w:val="58FE5AFD"/>
    <w:rsid w:val="5B332884"/>
    <w:rsid w:val="5C747D86"/>
    <w:rsid w:val="5CD7749E"/>
    <w:rsid w:val="5D120A29"/>
    <w:rsid w:val="5D70364E"/>
    <w:rsid w:val="5ED66C37"/>
    <w:rsid w:val="5FC60589"/>
    <w:rsid w:val="60B21C83"/>
    <w:rsid w:val="60C92F50"/>
    <w:rsid w:val="624218FF"/>
    <w:rsid w:val="63BD5067"/>
    <w:rsid w:val="642C4097"/>
    <w:rsid w:val="64501A0F"/>
    <w:rsid w:val="648F328C"/>
    <w:rsid w:val="65E20456"/>
    <w:rsid w:val="67A07734"/>
    <w:rsid w:val="683257AF"/>
    <w:rsid w:val="68576F55"/>
    <w:rsid w:val="68EB694D"/>
    <w:rsid w:val="6C3D1B5F"/>
    <w:rsid w:val="6D0B136B"/>
    <w:rsid w:val="6E465346"/>
    <w:rsid w:val="6E7B0D6F"/>
    <w:rsid w:val="6EA13A34"/>
    <w:rsid w:val="6EAC7970"/>
    <w:rsid w:val="6FE54F72"/>
    <w:rsid w:val="7032518B"/>
    <w:rsid w:val="708B1556"/>
    <w:rsid w:val="70BE0EF4"/>
    <w:rsid w:val="72D346A4"/>
    <w:rsid w:val="733A6C33"/>
    <w:rsid w:val="73A9298E"/>
    <w:rsid w:val="74E67117"/>
    <w:rsid w:val="7538182E"/>
    <w:rsid w:val="753D522D"/>
    <w:rsid w:val="769024FC"/>
    <w:rsid w:val="77325588"/>
    <w:rsid w:val="77703D11"/>
    <w:rsid w:val="777D630D"/>
    <w:rsid w:val="77B16C57"/>
    <w:rsid w:val="786C2FF7"/>
    <w:rsid w:val="79226CF3"/>
    <w:rsid w:val="79403DCF"/>
    <w:rsid w:val="79804DEA"/>
    <w:rsid w:val="79D20AF3"/>
    <w:rsid w:val="79F915B1"/>
    <w:rsid w:val="7A043D40"/>
    <w:rsid w:val="7B187C4C"/>
    <w:rsid w:val="7B630B96"/>
    <w:rsid w:val="7BE67CA2"/>
    <w:rsid w:val="7D4200E9"/>
    <w:rsid w:val="7D885DAC"/>
    <w:rsid w:val="7DCB5EE4"/>
    <w:rsid w:val="7E4F62B6"/>
    <w:rsid w:val="7F590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4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4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4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Times New Roman" w:eastAsia="宋体" w:cs="Times New Roman"/>
      <w:kern w:val="0"/>
      <w:sz w:val="34"/>
      <w:szCs w:val="20"/>
    </w:rPr>
  </w:style>
  <w:style w:type="paragraph" w:styleId="3">
    <w:name w:val="Body Text"/>
    <w:basedOn w:val="1"/>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51"/>
    <w:semiHidden/>
    <w:unhideWhenUsed/>
    <w:qFormat/>
    <w:uiPriority w:val="99"/>
    <w:rPr>
      <w:rFonts w:ascii="宋体" w:eastAsia="宋体"/>
      <w:sz w:val="18"/>
      <w:szCs w:val="18"/>
    </w:rPr>
  </w:style>
  <w:style w:type="paragraph" w:styleId="11">
    <w:name w:val="Body Text 3"/>
    <w:basedOn w:val="1"/>
    <w:link w:val="44"/>
    <w:qFormat/>
    <w:uiPriority w:val="0"/>
    <w:rPr>
      <w:rFonts w:ascii="Times New Roman" w:hAnsi="Times New Roman" w:eastAsia="宋体" w:cs="Times New Roman"/>
      <w:color w:val="FF0000"/>
      <w:sz w:val="24"/>
      <w:szCs w:val="24"/>
    </w:rPr>
  </w:style>
  <w:style w:type="paragraph" w:styleId="12">
    <w:name w:val="Body Text Indent"/>
    <w:basedOn w:val="1"/>
    <w:qFormat/>
    <w:uiPriority w:val="0"/>
    <w:pPr>
      <w:spacing w:line="360" w:lineRule="auto"/>
      <w:ind w:left="540" w:leftChars="257" w:firstLine="480"/>
    </w:pPr>
    <w:rPr>
      <w:rFonts w:ascii="宋体" w:hAnsi="宋体"/>
      <w:sz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28"/>
    <w:qFormat/>
    <w:uiPriority w:val="0"/>
    <w:rPr>
      <w:rFonts w:eastAsia="宋体"/>
      <w:sz w:val="24"/>
    </w:rPr>
  </w:style>
  <w:style w:type="paragraph" w:styleId="16">
    <w:name w:val="Date"/>
    <w:basedOn w:val="1"/>
    <w:next w:val="1"/>
    <w:link w:val="29"/>
    <w:unhideWhenUsed/>
    <w:qFormat/>
    <w:uiPriority w:val="99"/>
    <w:pPr>
      <w:ind w:left="100" w:leftChars="2500"/>
    </w:pPr>
  </w:style>
  <w:style w:type="paragraph" w:styleId="17">
    <w:name w:val="footer"/>
    <w:basedOn w:val="1"/>
    <w:link w:val="30"/>
    <w:unhideWhenUsed/>
    <w:qFormat/>
    <w:uiPriority w:val="99"/>
    <w:pPr>
      <w:tabs>
        <w:tab w:val="center" w:pos="4153"/>
        <w:tab w:val="right" w:pos="8306"/>
      </w:tabs>
      <w:snapToGrid w:val="0"/>
      <w:jc w:val="left"/>
    </w:pPr>
    <w:rPr>
      <w:sz w:val="18"/>
      <w:szCs w:val="18"/>
    </w:rPr>
  </w:style>
  <w:style w:type="paragraph" w:styleId="18">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2"/>
    <w:basedOn w:val="12"/>
    <w:qFormat/>
    <w:uiPriority w:val="99"/>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page number"/>
    <w:basedOn w:val="24"/>
    <w:unhideWhenUsed/>
    <w:qFormat/>
    <w:uiPriority w:val="0"/>
  </w:style>
  <w:style w:type="character" w:styleId="27">
    <w:name w:val="Hyperlink"/>
    <w:basedOn w:val="24"/>
    <w:unhideWhenUsed/>
    <w:qFormat/>
    <w:uiPriority w:val="99"/>
    <w:rPr>
      <w:color w:val="0000FF"/>
      <w:u w:val="single"/>
    </w:rPr>
  </w:style>
  <w:style w:type="character" w:customStyle="1" w:styleId="28">
    <w:name w:val="纯文本 Char"/>
    <w:basedOn w:val="24"/>
    <w:link w:val="15"/>
    <w:qFormat/>
    <w:uiPriority w:val="0"/>
    <w:rPr>
      <w:rFonts w:eastAsia="宋体"/>
      <w:sz w:val="24"/>
    </w:rPr>
  </w:style>
  <w:style w:type="character" w:customStyle="1" w:styleId="29">
    <w:name w:val="日期 Char"/>
    <w:basedOn w:val="24"/>
    <w:link w:val="16"/>
    <w:qFormat/>
    <w:uiPriority w:val="99"/>
  </w:style>
  <w:style w:type="character" w:customStyle="1" w:styleId="30">
    <w:name w:val="页脚 Char"/>
    <w:basedOn w:val="24"/>
    <w:link w:val="17"/>
    <w:qFormat/>
    <w:uiPriority w:val="99"/>
    <w:rPr>
      <w:sz w:val="18"/>
      <w:szCs w:val="18"/>
    </w:rPr>
  </w:style>
  <w:style w:type="character" w:customStyle="1" w:styleId="31">
    <w:name w:val="页眉 Char"/>
    <w:basedOn w:val="24"/>
    <w:link w:val="18"/>
    <w:qFormat/>
    <w:uiPriority w:val="99"/>
    <w:rPr>
      <w:sz w:val="18"/>
      <w:szCs w:val="18"/>
    </w:rPr>
  </w:style>
  <w:style w:type="character" w:customStyle="1" w:styleId="32">
    <w:name w:val="纯文本 Char1"/>
    <w:qFormat/>
    <w:uiPriority w:val="0"/>
    <w:rPr>
      <w:rFonts w:eastAsia="宋体"/>
      <w:sz w:val="24"/>
    </w:rPr>
  </w:style>
  <w:style w:type="paragraph" w:customStyle="1" w:styleId="3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4">
    <w:name w:val="列出段落1"/>
    <w:basedOn w:val="1"/>
    <w:qFormat/>
    <w:uiPriority w:val="34"/>
    <w:pPr>
      <w:ind w:firstLine="420" w:firstLineChars="200"/>
    </w:pPr>
  </w:style>
  <w:style w:type="paragraph" w:styleId="35">
    <w:name w:val="List Paragraph"/>
    <w:basedOn w:val="1"/>
    <w:unhideWhenUsed/>
    <w:qFormat/>
    <w:uiPriority w:val="99"/>
    <w:pPr>
      <w:ind w:firstLine="420" w:firstLineChars="200"/>
    </w:pPr>
  </w:style>
  <w:style w:type="character" w:customStyle="1" w:styleId="36">
    <w:name w:val="正文文本缩进 Char Char"/>
    <w:link w:val="37"/>
    <w:qFormat/>
    <w:uiPriority w:val="0"/>
    <w:rPr>
      <w:rFonts w:ascii="宋体"/>
      <w:sz w:val="24"/>
    </w:rPr>
  </w:style>
  <w:style w:type="paragraph" w:customStyle="1" w:styleId="37">
    <w:name w:val="正文文本缩进1"/>
    <w:basedOn w:val="1"/>
    <w:link w:val="36"/>
    <w:qFormat/>
    <w:uiPriority w:val="0"/>
    <w:pPr>
      <w:spacing w:line="360" w:lineRule="auto"/>
      <w:ind w:firstLine="480" w:firstLineChars="200"/>
    </w:pPr>
    <w:rPr>
      <w:rFonts w:ascii="宋体"/>
      <w:sz w:val="24"/>
    </w:rPr>
  </w:style>
  <w:style w:type="character" w:customStyle="1" w:styleId="38">
    <w:name w:val="日期 Char Char"/>
    <w:link w:val="39"/>
    <w:qFormat/>
    <w:uiPriority w:val="0"/>
    <w:rPr>
      <w:sz w:val="24"/>
    </w:rPr>
  </w:style>
  <w:style w:type="paragraph" w:customStyle="1" w:styleId="39">
    <w:name w:val="日期1"/>
    <w:basedOn w:val="1"/>
    <w:next w:val="1"/>
    <w:link w:val="38"/>
    <w:qFormat/>
    <w:uiPriority w:val="0"/>
    <w:rPr>
      <w:sz w:val="24"/>
    </w:rPr>
  </w:style>
  <w:style w:type="paragraph" w:customStyle="1" w:styleId="4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character" w:customStyle="1" w:styleId="42">
    <w:name w:val="标题 3 Char"/>
    <w:basedOn w:val="24"/>
    <w:link w:val="6"/>
    <w:qFormat/>
    <w:uiPriority w:val="0"/>
    <w:rPr>
      <w:rFonts w:ascii="宋体" w:hAnsi="宋体" w:eastAsia="宋体" w:cs="Times New Roman"/>
      <w:b/>
      <w:color w:val="000000"/>
      <w:kern w:val="0"/>
      <w:sz w:val="24"/>
      <w:szCs w:val="20"/>
      <w:lang w:val="en-GB"/>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4"/>
    <w:link w:val="11"/>
    <w:qFormat/>
    <w:uiPriority w:val="0"/>
    <w:rPr>
      <w:rFonts w:ascii="Times New Roman" w:hAnsi="Times New Roman" w:eastAsia="宋体" w:cs="Times New Roman"/>
      <w:color w:val="FF0000"/>
      <w:sz w:val="24"/>
      <w:szCs w:val="24"/>
    </w:rPr>
  </w:style>
  <w:style w:type="character" w:customStyle="1" w:styleId="45">
    <w:name w:val="edittexttarea"/>
    <w:basedOn w:val="24"/>
    <w:qFormat/>
    <w:uiPriority w:val="0"/>
  </w:style>
  <w:style w:type="character" w:customStyle="1" w:styleId="46">
    <w:name w:val="标题 1 Char"/>
    <w:basedOn w:val="24"/>
    <w:link w:val="4"/>
    <w:qFormat/>
    <w:uiPriority w:val="0"/>
    <w:rPr>
      <w:rFonts w:ascii="Calibri" w:hAnsi="Calibri" w:eastAsia="宋体" w:cs="Times New Roman"/>
      <w:b/>
      <w:bCs/>
      <w:kern w:val="44"/>
      <w:sz w:val="44"/>
      <w:szCs w:val="44"/>
    </w:rPr>
  </w:style>
  <w:style w:type="character" w:customStyle="1" w:styleId="47">
    <w:name w:val="标题 2 Char"/>
    <w:basedOn w:val="24"/>
    <w:link w:val="5"/>
    <w:qFormat/>
    <w:uiPriority w:val="0"/>
    <w:rPr>
      <w:rFonts w:ascii="Arial" w:hAnsi="Arial" w:eastAsia="黑体" w:cs="Times New Roman"/>
      <w:b/>
      <w:bCs/>
      <w:kern w:val="0"/>
      <w:sz w:val="32"/>
      <w:szCs w:val="32"/>
    </w:rPr>
  </w:style>
  <w:style w:type="character" w:customStyle="1" w:styleId="48">
    <w:name w:val="标题 4 Char"/>
    <w:basedOn w:val="24"/>
    <w:link w:val="7"/>
    <w:qFormat/>
    <w:uiPriority w:val="0"/>
    <w:rPr>
      <w:rFonts w:ascii="Arial" w:hAnsi="Arial" w:eastAsia="黑体" w:cs="Times New Roman"/>
      <w:b/>
      <w:bCs/>
      <w:kern w:val="0"/>
      <w:sz w:val="28"/>
      <w:szCs w:val="28"/>
    </w:rPr>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1"/>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文档结构图 Char"/>
    <w:basedOn w:val="24"/>
    <w:link w:val="10"/>
    <w:semiHidden/>
    <w:qFormat/>
    <w:uiPriority w:val="99"/>
    <w:rPr>
      <w:rFonts w:ascii="宋体" w:eastAsia="宋体"/>
      <w:kern w:val="2"/>
      <w:sz w:val="18"/>
      <w:szCs w:val="18"/>
    </w:rPr>
  </w:style>
  <w:style w:type="paragraph" w:customStyle="1" w:styleId="52">
    <w:name w:val="List Paragraph1"/>
    <w:basedOn w:val="1"/>
    <w:qFormat/>
    <w:uiPriority w:val="99"/>
    <w:pPr>
      <w:ind w:firstLine="420" w:firstLineChars="200"/>
    </w:pPr>
  </w:style>
  <w:style w:type="paragraph" w:customStyle="1" w:styleId="53">
    <w:name w:val="纯文本1"/>
    <w:basedOn w:val="1"/>
    <w:qFormat/>
    <w:uiPriority w:val="99"/>
    <w:rPr>
      <w:sz w:val="24"/>
    </w:rPr>
  </w:style>
  <w:style w:type="paragraph" w:customStyle="1" w:styleId="54">
    <w:name w:val="Table Paragraph"/>
    <w:basedOn w:val="1"/>
    <w:qFormat/>
    <w:uiPriority w:val="1"/>
  </w:style>
  <w:style w:type="paragraph" w:customStyle="1" w:styleId="55">
    <w:name w:val="标题 31"/>
    <w:basedOn w:val="1"/>
    <w:next w:val="1"/>
    <w:qFormat/>
    <w:uiPriority w:val="99"/>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character" w:customStyle="1" w:styleId="56">
    <w:name w:val="apple-converted-space"/>
    <w:basedOn w:val="24"/>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9C10C-A118-49DC-AB3F-736170CED57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90</Pages>
  <Words>41101</Words>
  <Characters>6136</Characters>
  <Lines>51</Lines>
  <Paragraphs>94</Paragraphs>
  <TotalTime>96</TotalTime>
  <ScaleCrop>false</ScaleCrop>
  <LinksUpToDate>false</LinksUpToDate>
  <CharactersWithSpaces>47143</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2018-01-03T09:20:00Z</dcterms:created>
  <dc:creator>许昌市公共资源交易中心:孟莉</dc:creator>
  <cp:lastModifiedBy>夏</cp:lastModifiedBy>
  <cp:lastPrinted>2019-06-28T09:06:00Z</cp:lastPrinted>
  <dcterms:modified xsi:type="dcterms:W3CDTF">2019-07-10T03:02:12Z</dcterms:modified>
  <cp:revision>1119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