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微软雅黑" w:hAnsi="微软雅黑" w:eastAsia="微软雅黑" w:cs="微软雅黑"/>
          <w:b/>
          <w:color w:val="000000"/>
          <w:sz w:val="44"/>
          <w:szCs w:val="44"/>
          <w:u w:val="none"/>
          <w:shd w:val="clear" w:fill="FFFFFF"/>
        </w:rPr>
      </w:pPr>
      <w:r>
        <w:rPr>
          <w:rFonts w:hint="eastAsia" w:ascii="微软雅黑" w:hAnsi="微软雅黑" w:eastAsia="微软雅黑" w:cs="微软雅黑"/>
          <w:b/>
          <w:color w:val="000000"/>
          <w:sz w:val="44"/>
          <w:szCs w:val="44"/>
          <w:u w:val="none"/>
          <w:shd w:val="clear" w:fill="FFFFFF"/>
          <w:lang w:val="en-US" w:eastAsia="zh-CN"/>
        </w:rPr>
        <w:t>河南省禹州市职业中等专业学校采购校园演播室设备项目</w:t>
      </w:r>
      <w:r>
        <w:rPr>
          <w:rFonts w:ascii="微软雅黑" w:hAnsi="微软雅黑" w:eastAsia="微软雅黑" w:cs="微软雅黑"/>
          <w:b/>
          <w:color w:val="000000"/>
          <w:sz w:val="44"/>
          <w:szCs w:val="44"/>
          <w:u w:val="none"/>
          <w:shd w:val="clear" w:fill="FFFFFF"/>
        </w:rPr>
        <w:t>评标报告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left="0" w:right="0" w:firstLine="641"/>
        <w:jc w:val="left"/>
      </w:pPr>
      <w:r>
        <w:rPr>
          <w:rFonts w:ascii="黑体" w:hAnsi="宋体" w:eastAsia="黑体" w:cs="黑体"/>
          <w:color w:val="000000"/>
          <w:sz w:val="32"/>
          <w:szCs w:val="32"/>
          <w:u w:val="none"/>
          <w:shd w:val="clear" w:fill="FFFFFF"/>
        </w:rPr>
        <w:t>一、项目概况</w:t>
      </w:r>
    </w:p>
    <w:p>
      <w:pPr>
        <w:spacing w:line="600" w:lineRule="exact"/>
        <w:ind w:firstLine="320" w:firstLineChars="100"/>
        <w:jc w:val="both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（一）项目名称：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河南省禹州市职业中等专业学校采购校园演播室设备项目</w:t>
      </w:r>
    </w:p>
    <w:p>
      <w:pPr>
        <w:spacing w:line="600" w:lineRule="exact"/>
        <w:ind w:firstLine="320" w:firstLineChars="100"/>
        <w:jc w:val="both"/>
        <w:rPr>
          <w:rFonts w:hint="default" w:ascii="仿宋" w:hAnsi="仿宋" w:eastAsia="仿宋"/>
          <w:sz w:val="30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（二）项目编号：</w:t>
      </w:r>
      <w:r>
        <w:rPr>
          <w:rFonts w:hint="eastAsia" w:ascii="仿宋" w:hAnsi="仿宋" w:eastAsia="仿宋"/>
          <w:sz w:val="30"/>
        </w:rPr>
        <w:t>YZCG-</w:t>
      </w:r>
      <w:r>
        <w:rPr>
          <w:rFonts w:hint="eastAsia" w:ascii="仿宋" w:hAnsi="仿宋" w:eastAsia="仿宋"/>
          <w:sz w:val="30"/>
          <w:lang w:val="en-US" w:eastAsia="zh-CN"/>
        </w:rPr>
        <w:t>G</w:t>
      </w:r>
      <w:r>
        <w:rPr>
          <w:rFonts w:hint="eastAsia" w:ascii="仿宋" w:hAnsi="仿宋" w:eastAsia="仿宋"/>
          <w:sz w:val="30"/>
        </w:rPr>
        <w:t>201</w:t>
      </w:r>
      <w:r>
        <w:rPr>
          <w:rFonts w:hint="eastAsia" w:ascii="仿宋" w:hAnsi="仿宋" w:eastAsia="仿宋"/>
          <w:sz w:val="30"/>
          <w:lang w:val="en-US" w:eastAsia="zh-CN"/>
        </w:rPr>
        <w:t>9121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left="0" w:right="0" w:firstLine="420"/>
        <w:jc w:val="left"/>
        <w:rPr>
          <w:color w:val="FF0000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（三）招标公告发布日期：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14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日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left="0" w:right="0" w:firstLine="42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（四）变更公告发布日期：无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left="0" w:right="0" w:firstLine="420"/>
        <w:jc w:val="left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（五）开标日期：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7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5日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left="0" w:right="0" w:firstLine="42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（七）最高限价：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62万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left="0" w:right="0" w:firstLine="42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（八）评标办法：综合评分法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left="0" w:right="0" w:firstLine="42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（九）资格审查方式：资格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审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right="0" w:firstLine="640" w:firstLineChars="200"/>
        <w:jc w:val="left"/>
        <w:rPr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(十) 招标公告刊登的媒体：中国政府采购网、河南省政府采购网、许昌市政府采购网、许昌市人民政府综合门户网、全国公共资源交易平台（河南省·许昌市）。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left="0" w:right="0" w:firstLine="420"/>
        <w:jc w:val="left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/>
        </w:rPr>
        <w:t> 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二、开标记录及投标报价</w:t>
      </w:r>
    </w:p>
    <w:tbl>
      <w:tblPr>
        <w:tblStyle w:val="5"/>
        <w:tblW w:w="8748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3867"/>
        <w:gridCol w:w="2133"/>
        <w:gridCol w:w="190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交货期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520" w:lineRule="exact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禹州市蓝臻科技有限公司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594800.00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20日历天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520" w:lineRule="exact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禹州天地仁和科技有限公司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top"/>
          </w:tcPr>
          <w:p>
            <w:pPr>
              <w:spacing w:line="480" w:lineRule="exact"/>
              <w:ind w:firstLine="360" w:firstLineChars="150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606470.00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20日历天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520" w:lineRule="exact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禹州市开创电子有限公司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top"/>
          </w:tcPr>
          <w:p>
            <w:pPr>
              <w:spacing w:line="480" w:lineRule="exact"/>
              <w:ind w:firstLine="360" w:firstLineChars="150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612800.00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20日历天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324" w:right="0" w:firstLine="301"/>
        <w:jc w:val="left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三、资格审查情况</w:t>
      </w:r>
    </w:p>
    <w:tbl>
      <w:tblPr>
        <w:tblStyle w:val="5"/>
        <w:tblW w:w="8748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3"/>
        <w:gridCol w:w="7815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520" w:lineRule="exact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禹州市蓝臻科技有限公司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520" w:lineRule="exact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禹州天地仁和科技有限公司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520" w:lineRule="exact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禹州市开创电子有限公司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1"/>
        <w:jc w:val="left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四、评审情况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42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（一）符合性审查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27"/>
        <w:jc w:val="left"/>
        <w:rPr>
          <w:b w:val="0"/>
          <w:i w:val="0"/>
          <w:color w:val="FF0000"/>
        </w:rPr>
      </w:pPr>
      <w:r>
        <w:rPr>
          <w:rFonts w:hint="eastAsia" w:ascii="仿宋" w:hAnsi="仿宋" w:eastAsia="仿宋" w:cs="仿宋"/>
          <w:b w:val="0"/>
          <w:i w:val="0"/>
          <w:color w:val="FF0000"/>
          <w:sz w:val="32"/>
          <w:szCs w:val="32"/>
          <w:u w:val="none"/>
          <w:shd w:val="clear" w:fill="FFFFFF"/>
        </w:rPr>
        <w:t>通过资格审查的</w:t>
      </w:r>
      <w:r>
        <w:rPr>
          <w:rFonts w:hint="eastAsia" w:ascii="仿宋" w:hAnsi="仿宋" w:eastAsia="仿宋" w:cs="仿宋"/>
          <w:b w:val="0"/>
          <w:i w:val="0"/>
          <w:color w:val="FF0000"/>
          <w:sz w:val="32"/>
          <w:szCs w:val="32"/>
          <w:u w:val="none"/>
          <w:shd w:val="clear" w:fill="FFFFFF"/>
          <w:lang w:val="en-US" w:eastAsia="zh-CN"/>
        </w:rPr>
        <w:t>三家</w:t>
      </w:r>
      <w:r>
        <w:rPr>
          <w:rFonts w:hint="eastAsia" w:ascii="仿宋" w:hAnsi="仿宋" w:eastAsia="仿宋" w:cs="仿宋"/>
          <w:b w:val="0"/>
          <w:i w:val="0"/>
          <w:color w:val="FF0000"/>
          <w:sz w:val="32"/>
          <w:szCs w:val="32"/>
          <w:u w:val="none"/>
          <w:shd w:val="clear" w:fill="FFFFFF"/>
        </w:rPr>
        <w:t>投标人均通过符合性审查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27"/>
        <w:jc w:val="left"/>
        <w:rPr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</w:rPr>
        <w:t>综合比较与评价</w:t>
      </w: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  <w:lang w:val="en-US"/>
        </w:rPr>
        <w:t> </w:t>
      </w:r>
    </w:p>
    <w:tbl>
      <w:tblPr>
        <w:tblStyle w:val="5"/>
        <w:tblW w:w="8155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4"/>
        <w:gridCol w:w="1039"/>
        <w:gridCol w:w="2910"/>
        <w:gridCol w:w="1185"/>
        <w:gridCol w:w="2117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155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禹州市蓝臻科技有限公司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904" w:type="dxa"/>
            <w:tcBorders>
              <w:top w:val="nil"/>
              <w:left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10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29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15分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35分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0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9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22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27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99.00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03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9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22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25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97.00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0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9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22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23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95.00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0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9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22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24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96.00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0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9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22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25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97.00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96.80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tbl>
      <w:tblPr>
        <w:tblStyle w:val="5"/>
        <w:tblW w:w="8155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4"/>
        <w:gridCol w:w="1039"/>
        <w:gridCol w:w="2910"/>
        <w:gridCol w:w="1185"/>
        <w:gridCol w:w="211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155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禹州天地仁和科技有限公司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904" w:type="dxa"/>
            <w:tcBorders>
              <w:top w:val="nil"/>
              <w:left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10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29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15分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35分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0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49.04</w:t>
            </w:r>
          </w:p>
        </w:tc>
        <w:tc>
          <w:tcPr>
            <w:tcW w:w="29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16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25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90.04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03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49.04</w:t>
            </w:r>
          </w:p>
        </w:tc>
        <w:tc>
          <w:tcPr>
            <w:tcW w:w="29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16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26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91.04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03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49.04</w:t>
            </w:r>
          </w:p>
        </w:tc>
        <w:tc>
          <w:tcPr>
            <w:tcW w:w="29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16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24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89.04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03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49.04</w:t>
            </w:r>
          </w:p>
        </w:tc>
        <w:tc>
          <w:tcPr>
            <w:tcW w:w="29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16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22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87.04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03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49.04</w:t>
            </w:r>
          </w:p>
        </w:tc>
        <w:tc>
          <w:tcPr>
            <w:tcW w:w="29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16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25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90.04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89.44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right="0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tbl>
      <w:tblPr>
        <w:tblStyle w:val="5"/>
        <w:tblW w:w="7997" w:type="dxa"/>
        <w:tblInd w:w="118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6"/>
        <w:gridCol w:w="1039"/>
        <w:gridCol w:w="2910"/>
        <w:gridCol w:w="1185"/>
        <w:gridCol w:w="211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7997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禹州市开创电子有限公司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746" w:type="dxa"/>
            <w:tcBorders>
              <w:top w:val="nil"/>
              <w:left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10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29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15分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35分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4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0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48.53</w:t>
            </w:r>
          </w:p>
        </w:tc>
        <w:tc>
          <w:tcPr>
            <w:tcW w:w="29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11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26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85.53</w:t>
            </w:r>
          </w:p>
        </w:tc>
      </w:tr>
      <w:tr>
        <w:tblPrEx>
          <w:tblLayout w:type="fixed"/>
        </w:tblPrEx>
        <w:trPr>
          <w:trHeight w:val="510" w:hRule="atLeast"/>
        </w:trPr>
        <w:tc>
          <w:tcPr>
            <w:tcW w:w="74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03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48.53</w:t>
            </w:r>
          </w:p>
        </w:tc>
        <w:tc>
          <w:tcPr>
            <w:tcW w:w="29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11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26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85.53</w:t>
            </w:r>
          </w:p>
        </w:tc>
      </w:tr>
      <w:tr>
        <w:tblPrEx>
          <w:tblLayout w:type="fixed"/>
        </w:tblPrEx>
        <w:trPr>
          <w:trHeight w:val="510" w:hRule="atLeast"/>
        </w:trPr>
        <w:tc>
          <w:tcPr>
            <w:tcW w:w="74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03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48.53</w:t>
            </w:r>
          </w:p>
        </w:tc>
        <w:tc>
          <w:tcPr>
            <w:tcW w:w="29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11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26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85.53</w:t>
            </w:r>
          </w:p>
        </w:tc>
      </w:tr>
      <w:tr>
        <w:tblPrEx>
          <w:tblLayout w:type="fixed"/>
        </w:tblPrEx>
        <w:trPr>
          <w:trHeight w:val="510" w:hRule="atLeast"/>
        </w:trPr>
        <w:tc>
          <w:tcPr>
            <w:tcW w:w="74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03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48.53</w:t>
            </w:r>
          </w:p>
        </w:tc>
        <w:tc>
          <w:tcPr>
            <w:tcW w:w="29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11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26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85.53</w:t>
            </w:r>
          </w:p>
        </w:tc>
      </w:tr>
      <w:tr>
        <w:tblPrEx>
          <w:tblLayout w:type="fixed"/>
        </w:tblPrEx>
        <w:trPr>
          <w:trHeight w:val="510" w:hRule="atLeast"/>
        </w:trPr>
        <w:tc>
          <w:tcPr>
            <w:tcW w:w="7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0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48.53</w:t>
            </w:r>
          </w:p>
        </w:tc>
        <w:tc>
          <w:tcPr>
            <w:tcW w:w="29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11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26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85.53</w:t>
            </w:r>
          </w:p>
        </w:tc>
      </w:tr>
      <w:tr>
        <w:tblPrEx>
          <w:tblLayout w:type="fixed"/>
        </w:tblPrEx>
        <w:trPr>
          <w:trHeight w:val="510" w:hRule="atLeast"/>
        </w:trPr>
        <w:tc>
          <w:tcPr>
            <w:tcW w:w="7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85.53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right="0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tbl>
      <w:tblPr>
        <w:tblStyle w:val="5"/>
        <w:tblpPr w:leftFromText="180" w:rightFromText="180" w:vertAnchor="text" w:horzAnchor="page" w:tblpX="1460" w:tblpY="113"/>
        <w:tblOverlap w:val="never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7"/>
        <w:gridCol w:w="4125"/>
        <w:gridCol w:w="1625"/>
        <w:gridCol w:w="10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1737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4125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投标商名称</w:t>
            </w:r>
          </w:p>
        </w:tc>
        <w:tc>
          <w:tcPr>
            <w:tcW w:w="1625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最终得分</w:t>
            </w:r>
          </w:p>
        </w:tc>
        <w:tc>
          <w:tcPr>
            <w:tcW w:w="1035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</w:trPr>
        <w:tc>
          <w:tcPr>
            <w:tcW w:w="1737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仿宋" w:hAnsi="仿宋" w:eastAsia="仿宋"/>
                <w:sz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lang w:val="en-US" w:eastAsia="zh-CN"/>
              </w:rPr>
              <w:t>1</w:t>
            </w:r>
          </w:p>
        </w:tc>
        <w:tc>
          <w:tcPr>
            <w:tcW w:w="4125" w:type="dxa"/>
            <w:noWrap w:val="0"/>
            <w:vAlign w:val="center"/>
          </w:tcPr>
          <w:p>
            <w:pPr>
              <w:spacing w:line="520" w:lineRule="exact"/>
              <w:rPr>
                <w:rFonts w:hint="eastAsia" w:ascii="仿宋" w:hAnsi="仿宋" w:eastAsia="仿宋"/>
                <w:sz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禹州市蓝臻科技有限公司</w:t>
            </w:r>
          </w:p>
        </w:tc>
        <w:tc>
          <w:tcPr>
            <w:tcW w:w="162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96.80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</w:trPr>
        <w:tc>
          <w:tcPr>
            <w:tcW w:w="1737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仿宋" w:hAnsi="仿宋" w:eastAsia="仿宋"/>
                <w:sz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lang w:val="en-US" w:eastAsia="zh-CN"/>
              </w:rPr>
              <w:t>2</w:t>
            </w:r>
          </w:p>
        </w:tc>
        <w:tc>
          <w:tcPr>
            <w:tcW w:w="4125" w:type="dxa"/>
            <w:noWrap w:val="0"/>
            <w:vAlign w:val="center"/>
          </w:tcPr>
          <w:p>
            <w:pPr>
              <w:spacing w:line="520" w:lineRule="exact"/>
              <w:rPr>
                <w:rFonts w:hint="eastAsia" w:ascii="仿宋" w:hAnsi="仿宋" w:eastAsia="仿宋"/>
                <w:sz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禹州天地仁和科技有限公司</w:t>
            </w:r>
          </w:p>
        </w:tc>
        <w:tc>
          <w:tcPr>
            <w:tcW w:w="162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89.44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</w:trPr>
        <w:tc>
          <w:tcPr>
            <w:tcW w:w="1737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仿宋" w:hAnsi="仿宋" w:eastAsia="仿宋"/>
                <w:sz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lang w:val="en-US" w:eastAsia="zh-CN"/>
              </w:rPr>
              <w:t>3</w:t>
            </w:r>
          </w:p>
        </w:tc>
        <w:tc>
          <w:tcPr>
            <w:tcW w:w="4125" w:type="dxa"/>
            <w:noWrap w:val="0"/>
            <w:vAlign w:val="center"/>
          </w:tcPr>
          <w:p>
            <w:pPr>
              <w:spacing w:line="520" w:lineRule="exact"/>
              <w:rPr>
                <w:rFonts w:hint="eastAsia" w:ascii="仿宋" w:hAnsi="仿宋" w:eastAsia="仿宋"/>
                <w:sz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禹州市开创电子有限公司</w:t>
            </w:r>
          </w:p>
        </w:tc>
        <w:tc>
          <w:tcPr>
            <w:tcW w:w="162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85.53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3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五、评标委员会推荐中标候选人（或采购人授权确定中标人）情况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firstLine="640" w:firstLineChars="20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第一中标候选人：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禹州市蓝臻科技有限公司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rightChars="0" w:firstLine="640" w:firstLineChars="200"/>
        <w:jc w:val="left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禹州市颍川办颍川路恒达雅园101铺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3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中标金额：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594800.00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firstLine="640" w:firstLineChars="20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第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二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中标候选人：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禹州天地仁和科技有限公司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rightChars="0" w:firstLine="640" w:firstLineChars="200"/>
        <w:jc w:val="left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禹州市东商贸零号街10号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rightChars="0" w:firstLine="640" w:firstLineChars="20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中标金额：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606470.00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firstLine="640" w:firstLineChars="20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第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三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中标候选人：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禹州市开创电子有限公司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rightChars="0" w:firstLine="640" w:firstLineChars="200"/>
        <w:jc w:val="left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禹州市药城路中段恒信电脑超市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3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中标金额：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612800.00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0"/>
        <w:jc w:val="left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六、投标人根据评标委员会要求进行的澄清、说明或者补正：无。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/>
        </w:rPr>
        <w:t xml:space="preserve">       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七、是否存在评标委员会成员更换：无。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0"/>
        <w:jc w:val="left"/>
        <w:rPr>
          <w:rFonts w:hint="default" w:ascii="宋体" w:hAnsi="宋体" w:eastAsia="仿宋" w:cs="宋体"/>
          <w:color w:val="000000"/>
          <w:sz w:val="32"/>
          <w:szCs w:val="32"/>
          <w:u w:val="none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firstLine="5440" w:firstLineChars="170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2019年7月10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A89206"/>
    <w:multiLevelType w:val="singleLevel"/>
    <w:tmpl w:val="52A8920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0E61B3"/>
    <w:rsid w:val="08D75275"/>
    <w:rsid w:val="091D1846"/>
    <w:rsid w:val="0E3D02A4"/>
    <w:rsid w:val="12BB5366"/>
    <w:rsid w:val="144A3A3E"/>
    <w:rsid w:val="17D926FA"/>
    <w:rsid w:val="1E196947"/>
    <w:rsid w:val="22034C9F"/>
    <w:rsid w:val="28B2034C"/>
    <w:rsid w:val="2D080062"/>
    <w:rsid w:val="2ED67925"/>
    <w:rsid w:val="31534C8B"/>
    <w:rsid w:val="3A745AA5"/>
    <w:rsid w:val="42A668D7"/>
    <w:rsid w:val="463B1FB6"/>
    <w:rsid w:val="534C7AE0"/>
    <w:rsid w:val="563F1657"/>
    <w:rsid w:val="5DE74906"/>
    <w:rsid w:val="5E943DC4"/>
    <w:rsid w:val="63B02821"/>
    <w:rsid w:val="6F7613B8"/>
    <w:rsid w:val="74D03A8D"/>
    <w:rsid w:val="75B75AFB"/>
    <w:rsid w:val="7AD02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FollowedHyperlink"/>
    <w:basedOn w:val="6"/>
    <w:qFormat/>
    <w:uiPriority w:val="0"/>
    <w:rPr>
      <w:color w:val="000000"/>
      <w:u w:val="none"/>
    </w:rPr>
  </w:style>
  <w:style w:type="character" w:styleId="8">
    <w:name w:val="Emphasis"/>
    <w:basedOn w:val="6"/>
    <w:qFormat/>
    <w:uiPriority w:val="0"/>
  </w:style>
  <w:style w:type="character" w:styleId="9">
    <w:name w:val="Hyperlink"/>
    <w:basedOn w:val="6"/>
    <w:qFormat/>
    <w:uiPriority w:val="0"/>
    <w:rPr>
      <w:color w:val="000000"/>
      <w:u w:val="none"/>
    </w:rPr>
  </w:style>
  <w:style w:type="character" w:customStyle="1" w:styleId="10">
    <w:name w:val="red"/>
    <w:basedOn w:val="6"/>
    <w:uiPriority w:val="0"/>
    <w:rPr>
      <w:color w:val="FF0000"/>
      <w:sz w:val="18"/>
      <w:szCs w:val="18"/>
    </w:rPr>
  </w:style>
  <w:style w:type="character" w:customStyle="1" w:styleId="11">
    <w:name w:val="red1"/>
    <w:basedOn w:val="6"/>
    <w:qFormat/>
    <w:uiPriority w:val="0"/>
    <w:rPr>
      <w:color w:val="FF0000"/>
      <w:sz w:val="18"/>
      <w:szCs w:val="18"/>
    </w:rPr>
  </w:style>
  <w:style w:type="character" w:customStyle="1" w:styleId="12">
    <w:name w:val="red2"/>
    <w:basedOn w:val="6"/>
    <w:uiPriority w:val="0"/>
    <w:rPr>
      <w:color w:val="CC0000"/>
    </w:rPr>
  </w:style>
  <w:style w:type="character" w:customStyle="1" w:styleId="13">
    <w:name w:val="red3"/>
    <w:basedOn w:val="6"/>
    <w:qFormat/>
    <w:uiPriority w:val="0"/>
    <w:rPr>
      <w:color w:val="FF0000"/>
    </w:rPr>
  </w:style>
  <w:style w:type="character" w:customStyle="1" w:styleId="14">
    <w:name w:val="green"/>
    <w:basedOn w:val="6"/>
    <w:qFormat/>
    <w:uiPriority w:val="0"/>
    <w:rPr>
      <w:color w:val="66AE00"/>
      <w:sz w:val="18"/>
      <w:szCs w:val="18"/>
    </w:rPr>
  </w:style>
  <w:style w:type="character" w:customStyle="1" w:styleId="15">
    <w:name w:val="green1"/>
    <w:basedOn w:val="6"/>
    <w:uiPriority w:val="0"/>
    <w:rPr>
      <w:color w:val="66AE00"/>
      <w:sz w:val="18"/>
      <w:szCs w:val="18"/>
    </w:rPr>
  </w:style>
  <w:style w:type="character" w:customStyle="1" w:styleId="16">
    <w:name w:val="hover25"/>
    <w:basedOn w:val="6"/>
    <w:qFormat/>
    <w:uiPriority w:val="0"/>
  </w:style>
  <w:style w:type="character" w:customStyle="1" w:styleId="17">
    <w:name w:val="gb-jt"/>
    <w:basedOn w:val="6"/>
    <w:qFormat/>
    <w:uiPriority w:val="0"/>
  </w:style>
  <w:style w:type="character" w:customStyle="1" w:styleId="18">
    <w:name w:val="blue"/>
    <w:basedOn w:val="6"/>
    <w:qFormat/>
    <w:uiPriority w:val="0"/>
    <w:rPr>
      <w:color w:val="0371C6"/>
      <w:sz w:val="21"/>
      <w:szCs w:val="21"/>
    </w:rPr>
  </w:style>
  <w:style w:type="character" w:customStyle="1" w:styleId="19">
    <w:name w:val="right"/>
    <w:basedOn w:val="6"/>
    <w:qFormat/>
    <w:uiPriority w:val="0"/>
    <w:rPr>
      <w:color w:val="999999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song</cp:lastModifiedBy>
  <cp:lastPrinted>2019-07-05T05:03:00Z</cp:lastPrinted>
  <dcterms:modified xsi:type="dcterms:W3CDTF">2019-07-10T00:12:50Z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