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ind w:firstLine="4578" w:firstLineChars="1900"/>
        <w:rPr>
          <w:rFonts w:hint="eastAsia" w:ascii="宋体" w:hAnsi="宋体"/>
          <w:sz w:val="24"/>
          <w:szCs w:val="24"/>
          <w:lang w:val="en-US" w:eastAsia="zh-CN"/>
        </w:rPr>
      </w:pPr>
      <w:r>
        <w:rPr>
          <w:rFonts w:hint="eastAsia" w:ascii="宋体" w:hAnsi="宋体"/>
          <w:b/>
          <w:bCs/>
          <w:sz w:val="24"/>
          <w:szCs w:val="24"/>
          <w:lang w:val="en-US" w:eastAsia="zh-CN"/>
        </w:rPr>
        <w:t xml:space="preserve">（一） </w:t>
      </w:r>
      <w:r>
        <w:rPr>
          <w:rFonts w:hint="eastAsia" w:ascii="宋体" w:hAnsi="宋体"/>
          <w:sz w:val="24"/>
          <w:szCs w:val="24"/>
          <w:lang w:val="en-US" w:eastAsia="zh-CN"/>
        </w:rPr>
        <w:t xml:space="preserve">  </w:t>
      </w:r>
    </w:p>
    <w:p>
      <w:pPr>
        <w:spacing w:before="156" w:beforeLines="50" w:line="360" w:lineRule="auto"/>
        <w:ind w:firstLine="4560" w:firstLineChars="1900"/>
        <w:rPr>
          <w:rFonts w:hint="eastAsia" w:ascii="宋体" w:hAnsi="宋体"/>
          <w:sz w:val="24"/>
          <w:szCs w:val="24"/>
        </w:rPr>
      </w:pPr>
      <w:r>
        <w:rPr>
          <w:rFonts w:hint="eastAsia" w:ascii="宋体" w:hAnsi="宋体"/>
          <w:sz w:val="24"/>
          <w:szCs w:val="24"/>
          <w:lang w:val="en-US" w:eastAsia="zh-CN"/>
        </w:rPr>
        <w:t xml:space="preserve">                                                   </w:t>
      </w:r>
      <w:bookmarkStart w:id="0" w:name="_Toc119413769"/>
    </w:p>
    <w:bookmarkEnd w:id="0"/>
    <w:p>
      <w:pPr>
        <w:pStyle w:val="5"/>
        <w:jc w:val="center"/>
        <w:rPr>
          <w:rFonts w:hint="eastAsia" w:ascii="宋体" w:hAnsi="宋体" w:eastAsia="宋体" w:cs="宋体"/>
          <w:sz w:val="32"/>
          <w:szCs w:val="32"/>
          <w:lang w:eastAsia="zh-CN"/>
        </w:rPr>
      </w:pPr>
      <w:bookmarkStart w:id="1" w:name="_Toc20124_WPSOffice_Level1"/>
      <w:bookmarkStart w:id="2" w:name="_Toc32042_WPSOffice_Level1"/>
      <w:bookmarkStart w:id="3" w:name="_Toc11995_WPSOffice_Level1"/>
      <w:bookmarkStart w:id="4" w:name="_Toc8859_WPSOffice_Level1"/>
      <w:r>
        <w:rPr>
          <w:rFonts w:hint="eastAsia" w:ascii="宋体" w:hAnsi="宋体" w:cs="宋体"/>
          <w:sz w:val="32"/>
          <w:szCs w:val="32"/>
          <w:lang w:val="en-US" w:eastAsia="zh-CN"/>
        </w:rPr>
        <w:t xml:space="preserve">  </w:t>
      </w:r>
      <w:r>
        <w:rPr>
          <w:rFonts w:hint="eastAsia" w:ascii="宋体" w:hAnsi="宋体" w:eastAsia="宋体" w:cs="宋体"/>
          <w:sz w:val="32"/>
          <w:szCs w:val="32"/>
          <w:lang w:eastAsia="zh-CN"/>
        </w:rPr>
        <w:t>分项</w:t>
      </w:r>
      <w:r>
        <w:rPr>
          <w:rFonts w:hint="eastAsia" w:ascii="宋体" w:hAnsi="宋体" w:eastAsia="宋体" w:cs="宋体"/>
          <w:sz w:val="32"/>
          <w:szCs w:val="32"/>
        </w:rPr>
        <w:t>报价</w:t>
      </w:r>
      <w:bookmarkEnd w:id="1"/>
      <w:bookmarkEnd w:id="2"/>
      <w:bookmarkEnd w:id="3"/>
      <w:bookmarkEnd w:id="4"/>
      <w:r>
        <w:rPr>
          <w:rFonts w:hint="eastAsia" w:ascii="宋体" w:hAnsi="宋体" w:eastAsia="宋体" w:cs="宋体"/>
          <w:sz w:val="32"/>
          <w:szCs w:val="32"/>
          <w:lang w:eastAsia="zh-CN"/>
        </w:rPr>
        <w:t>清单</w:t>
      </w:r>
    </w:p>
    <w:p>
      <w:pPr>
        <w:rPr>
          <w:rFonts w:hint="eastAsia"/>
          <w:lang w:eastAsia="zh-CN"/>
        </w:rPr>
      </w:pPr>
    </w:p>
    <w:tbl>
      <w:tblPr>
        <w:tblStyle w:val="11"/>
        <w:tblpPr w:leftFromText="180" w:rightFromText="180" w:vertAnchor="text" w:horzAnchor="page" w:tblpX="1820" w:tblpY="184"/>
        <w:tblOverlap w:val="never"/>
        <w:tblW w:w="8665" w:type="dxa"/>
        <w:tblInd w:w="0" w:type="dxa"/>
        <w:tblLayout w:type="fixed"/>
        <w:tblCellMar>
          <w:top w:w="0" w:type="dxa"/>
          <w:left w:w="0" w:type="dxa"/>
          <w:bottom w:w="0" w:type="dxa"/>
          <w:right w:w="0" w:type="dxa"/>
        </w:tblCellMar>
      </w:tblPr>
      <w:tblGrid>
        <w:gridCol w:w="1120"/>
        <w:gridCol w:w="2190"/>
        <w:gridCol w:w="2790"/>
        <w:gridCol w:w="2565"/>
      </w:tblGrid>
      <w:tr>
        <w:tblPrEx>
          <w:tblLayout w:type="fixed"/>
          <w:tblCellMar>
            <w:top w:w="0" w:type="dxa"/>
            <w:left w:w="0" w:type="dxa"/>
            <w:bottom w:w="0" w:type="dxa"/>
            <w:right w:w="0" w:type="dxa"/>
          </w:tblCellMar>
        </w:tblPrEx>
        <w:trPr>
          <w:trHeight w:val="1073" w:hRule="atLeast"/>
        </w:trPr>
        <w:tc>
          <w:tcPr>
            <w:tcW w:w="1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1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分项名称</w:t>
            </w:r>
          </w:p>
        </w:tc>
        <w:tc>
          <w:tcPr>
            <w:tcW w:w="27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所占比例</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合计金额</w:t>
            </w:r>
            <w:r>
              <w:rPr>
                <w:rFonts w:hint="eastAsia" w:ascii="宋体" w:hAnsi="宋体" w:eastAsia="宋体" w:cs="宋体"/>
                <w:i w:val="0"/>
                <w:color w:val="000000"/>
                <w:kern w:val="0"/>
                <w:sz w:val="24"/>
                <w:szCs w:val="24"/>
                <w:u w:val="none"/>
                <w:lang w:val="en-US" w:eastAsia="zh-CN" w:bidi="ar"/>
              </w:rPr>
              <w:t>（元）</w:t>
            </w:r>
          </w:p>
        </w:tc>
      </w:tr>
      <w:tr>
        <w:tblPrEx>
          <w:tblLayout w:type="fixed"/>
          <w:tblCellMar>
            <w:top w:w="0" w:type="dxa"/>
            <w:left w:w="0" w:type="dxa"/>
            <w:bottom w:w="0" w:type="dxa"/>
            <w:right w:w="0" w:type="dxa"/>
          </w:tblCellMar>
        </w:tblPrEx>
        <w:trPr>
          <w:trHeight w:val="523" w:hRule="atLeast"/>
        </w:trPr>
        <w:tc>
          <w:tcPr>
            <w:tcW w:w="1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1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方案设计</w:t>
            </w:r>
          </w:p>
        </w:tc>
        <w:tc>
          <w:tcPr>
            <w:tcW w:w="27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20%</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32160.00</w:t>
            </w:r>
          </w:p>
        </w:tc>
      </w:tr>
      <w:tr>
        <w:tblPrEx>
          <w:tblLayout w:type="fixed"/>
          <w:tblCellMar>
            <w:top w:w="0" w:type="dxa"/>
            <w:left w:w="0" w:type="dxa"/>
            <w:bottom w:w="0" w:type="dxa"/>
            <w:right w:w="0" w:type="dxa"/>
          </w:tblCellMar>
        </w:tblPrEx>
        <w:trPr>
          <w:trHeight w:val="524" w:hRule="atLeast"/>
        </w:trPr>
        <w:tc>
          <w:tcPr>
            <w:tcW w:w="1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1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初步设计</w:t>
            </w:r>
          </w:p>
        </w:tc>
        <w:tc>
          <w:tcPr>
            <w:tcW w:w="27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30%</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48240.00</w:t>
            </w:r>
          </w:p>
        </w:tc>
      </w:tr>
      <w:tr>
        <w:tblPrEx>
          <w:tblLayout w:type="fixed"/>
          <w:tblCellMar>
            <w:top w:w="0" w:type="dxa"/>
            <w:left w:w="0" w:type="dxa"/>
            <w:bottom w:w="0" w:type="dxa"/>
            <w:right w:w="0" w:type="dxa"/>
          </w:tblCellMar>
        </w:tblPrEx>
        <w:trPr>
          <w:trHeight w:val="557" w:hRule="atLeast"/>
        </w:trPr>
        <w:tc>
          <w:tcPr>
            <w:tcW w:w="1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1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施工图设计</w:t>
            </w:r>
          </w:p>
        </w:tc>
        <w:tc>
          <w:tcPr>
            <w:tcW w:w="27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40%</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64320.00</w:t>
            </w:r>
          </w:p>
        </w:tc>
      </w:tr>
      <w:tr>
        <w:tblPrEx>
          <w:tblLayout w:type="fixed"/>
          <w:tblCellMar>
            <w:top w:w="0" w:type="dxa"/>
            <w:left w:w="0" w:type="dxa"/>
            <w:bottom w:w="0" w:type="dxa"/>
            <w:right w:w="0" w:type="dxa"/>
          </w:tblCellMar>
        </w:tblPrEx>
        <w:trPr>
          <w:trHeight w:val="557" w:hRule="atLeast"/>
        </w:trPr>
        <w:tc>
          <w:tcPr>
            <w:tcW w:w="1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1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设计后期服务</w:t>
            </w:r>
          </w:p>
        </w:tc>
        <w:tc>
          <w:tcPr>
            <w:tcW w:w="2790"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10%</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16080.00</w:t>
            </w:r>
          </w:p>
        </w:tc>
      </w:tr>
      <w:tr>
        <w:tblPrEx>
          <w:tblLayout w:type="fixed"/>
          <w:tblCellMar>
            <w:top w:w="0" w:type="dxa"/>
            <w:left w:w="0" w:type="dxa"/>
            <w:bottom w:w="0" w:type="dxa"/>
            <w:right w:w="0" w:type="dxa"/>
          </w:tblCellMar>
        </w:tblPrEx>
        <w:trPr>
          <w:trHeight w:val="557" w:hRule="atLeast"/>
        </w:trPr>
        <w:tc>
          <w:tcPr>
            <w:tcW w:w="610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tabs>
                <w:tab w:val="left" w:pos="4330"/>
              </w:tabs>
              <w:jc w:val="center"/>
              <w:rPr>
                <w:rFonts w:hint="eastAsia"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合计</w:t>
            </w:r>
          </w:p>
        </w:tc>
        <w:tc>
          <w:tcPr>
            <w:tcW w:w="2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160800.00</w:t>
            </w:r>
          </w:p>
        </w:tc>
      </w:tr>
    </w:tbl>
    <w:p>
      <w:pPr>
        <w:adjustRightInd w:val="0"/>
        <w:snapToGrid w:val="0"/>
        <w:spacing w:line="400" w:lineRule="atLeast"/>
        <w:ind w:firstLine="420" w:firstLineChars="200"/>
        <w:jc w:val="right"/>
        <w:rPr>
          <w:rFonts w:hint="eastAsia" w:ascii="宋体" w:hAnsi="宋体"/>
          <w:szCs w:val="21"/>
        </w:rPr>
      </w:pPr>
      <w:r>
        <w:rPr>
          <w:rFonts w:hint="eastAsia" w:ascii="宋体" w:hAnsi="宋体"/>
          <w:szCs w:val="21"/>
        </w:rPr>
        <w:t xml:space="preserve">  </w:t>
      </w:r>
    </w:p>
    <w:p>
      <w:pPr>
        <w:snapToGrid w:val="0"/>
        <w:spacing w:line="400" w:lineRule="exact"/>
        <w:ind w:firstLine="3600" w:firstLineChars="1500"/>
        <w:rPr>
          <w:rFonts w:hint="eastAsia" w:ascii="宋体" w:hAnsi="宋体"/>
          <w:sz w:val="24"/>
          <w:szCs w:val="24"/>
        </w:rPr>
      </w:pPr>
      <w:r>
        <w:rPr>
          <w:rFonts w:hint="eastAsia" w:ascii="宋体" w:hAnsi="宋体"/>
          <w:sz w:val="24"/>
          <w:szCs w:val="24"/>
        </w:rPr>
        <w:t xml:space="preserve">                          </w:t>
      </w:r>
    </w:p>
    <w:p>
      <w:pPr>
        <w:pStyle w:val="5"/>
        <w:rPr>
          <w:rFonts w:hint="eastAsia" w:ascii="宋体" w:hAnsi="宋体"/>
          <w:color w:val="000000"/>
          <w:szCs w:val="21"/>
        </w:rPr>
      </w:pPr>
    </w:p>
    <w:p>
      <w:pPr>
        <w:pStyle w:val="5"/>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ascii="宋体" w:hAnsi="宋体" w:eastAsia="宋体" w:cs="宋体"/>
          <w:b/>
          <w:kern w:val="0"/>
          <w:sz w:val="32"/>
          <w:szCs w:val="32"/>
          <w:lang w:val="en-US" w:eastAsia="zh-CN" w:bidi="ar-SA"/>
        </w:rPr>
      </w:pPr>
      <w:r>
        <w:rPr>
          <w:rFonts w:hint="eastAsia" w:ascii="宋体" w:hAnsi="宋体" w:eastAsia="宋体" w:cs="宋体"/>
          <w:b/>
          <w:kern w:val="0"/>
          <w:sz w:val="32"/>
          <w:szCs w:val="32"/>
          <w:lang w:val="en-US" w:eastAsia="zh-CN" w:bidi="ar-SA"/>
        </w:rPr>
        <w:t>（二）</w:t>
      </w:r>
    </w:p>
    <w:p>
      <w:pPr>
        <w:pStyle w:val="2"/>
        <w:rPr>
          <w:rFonts w:hint="eastAsia" w:ascii="宋体" w:hAnsi="宋体" w:eastAsia="宋体" w:cs="宋体"/>
          <w:b/>
          <w:kern w:val="0"/>
          <w:sz w:val="32"/>
          <w:szCs w:val="32"/>
          <w:lang w:val="en-US" w:eastAsia="zh-CN" w:bidi="ar-SA"/>
        </w:rPr>
      </w:pPr>
    </w:p>
    <w:p>
      <w:pPr>
        <w:spacing w:line="500" w:lineRule="exact"/>
        <w:jc w:val="center"/>
        <w:outlineLvl w:val="0"/>
        <w:rPr>
          <w:rFonts w:hint="eastAsia" w:ascii="宋体" w:hAnsi="宋体" w:eastAsia="宋体" w:cs="宋体"/>
          <w:b/>
          <w:kern w:val="0"/>
          <w:sz w:val="32"/>
          <w:szCs w:val="32"/>
          <w:lang w:val="en-US" w:eastAsia="zh-CN" w:bidi="ar-SA"/>
        </w:rPr>
      </w:pPr>
      <w:r>
        <w:rPr>
          <w:rFonts w:hint="eastAsia" w:ascii="宋体" w:hAnsi="宋体" w:eastAsia="宋体" w:cs="宋体"/>
          <w:b/>
          <w:kern w:val="0"/>
          <w:sz w:val="32"/>
          <w:szCs w:val="32"/>
          <w:lang w:val="en-US" w:eastAsia="zh-CN" w:bidi="ar-SA"/>
        </w:rPr>
        <w:t>报价一览表</w:t>
      </w:r>
    </w:p>
    <w:p>
      <w:pPr>
        <w:spacing w:line="500" w:lineRule="exact"/>
        <w:rPr>
          <w:rFonts w:hint="eastAsia" w:ascii="仿宋" w:hAnsi="仿宋" w:eastAsia="仿宋" w:cs="仿宋"/>
          <w:b/>
          <w:sz w:val="24"/>
          <w:szCs w:val="24"/>
        </w:rPr>
      </w:pPr>
    </w:p>
    <w:tbl>
      <w:tblPr>
        <w:tblStyle w:val="11"/>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项目名称</w:t>
            </w:r>
          </w:p>
        </w:tc>
        <w:tc>
          <w:tcPr>
            <w:tcW w:w="708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禹州市公安局警用射击馆设计项目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采购编号</w:t>
            </w:r>
          </w:p>
        </w:tc>
        <w:tc>
          <w:tcPr>
            <w:tcW w:w="7082" w:type="dxa"/>
            <w:noWrap w:val="0"/>
            <w:vAlign w:val="center"/>
          </w:tcPr>
          <w:p>
            <w:pPr>
              <w:keepNext w:val="0"/>
              <w:keepLines w:val="0"/>
              <w:widowControl/>
              <w:suppressLineNumbers w:val="0"/>
              <w:jc w:val="center"/>
              <w:textAlignment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eastAsia="zh-CN"/>
              </w:rPr>
              <w:t>YZCG-T2019</w:t>
            </w:r>
            <w:r>
              <w:rPr>
                <w:rFonts w:hint="eastAsia" w:ascii="宋体" w:hAnsi="宋体" w:cs="宋体"/>
                <w:i w:val="0"/>
                <w:color w:val="000000"/>
                <w:sz w:val="24"/>
                <w:szCs w:val="24"/>
                <w:u w:val="none"/>
                <w:lang w:val="en-US" w:eastAsia="zh-CN"/>
              </w:rPr>
              <w:t>113-1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谈判总报价</w:t>
            </w:r>
          </w:p>
        </w:tc>
        <w:tc>
          <w:tcPr>
            <w:tcW w:w="708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 xml:space="preserve">大写：  壹拾陆万零捌佰元                   </w:t>
            </w:r>
          </w:p>
          <w:p>
            <w:pPr>
              <w:keepNext w:val="0"/>
              <w:keepLines w:val="0"/>
              <w:widowControl/>
              <w:suppressLineNumbers w:val="0"/>
              <w:ind w:firstLine="2160" w:firstLineChars="900"/>
              <w:jc w:val="both"/>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 xml:space="preserve">小写：   </w:t>
            </w:r>
            <w:r>
              <w:rPr>
                <w:rFonts w:hint="eastAsia" w:ascii="宋体" w:hAnsi="宋体" w:cs="宋体"/>
                <w:i w:val="0"/>
                <w:color w:val="000000"/>
                <w:sz w:val="24"/>
                <w:szCs w:val="24"/>
                <w:u w:val="none"/>
                <w:lang w:val="en-US" w:eastAsia="zh-CN"/>
              </w:rPr>
              <w:t>160800元</w:t>
            </w:r>
            <w:r>
              <w:rPr>
                <w:rFonts w:hint="eastAsia" w:ascii="宋体" w:hAnsi="宋体" w:cs="宋体"/>
                <w:i w:val="0"/>
                <w:color w:val="000000"/>
                <w:sz w:val="24"/>
                <w:szCs w:val="24"/>
                <w:u w:val="non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交付时间</w:t>
            </w:r>
          </w:p>
        </w:tc>
        <w:tc>
          <w:tcPr>
            <w:tcW w:w="7082" w:type="dxa"/>
            <w:noWrap w:val="0"/>
            <w:vAlign w:val="center"/>
          </w:tcPr>
          <w:p>
            <w:pPr>
              <w:keepNext w:val="0"/>
              <w:keepLines w:val="0"/>
              <w:widowControl/>
              <w:suppressLineNumbers w:val="0"/>
              <w:jc w:val="center"/>
              <w:textAlignment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eastAsia="zh-CN"/>
              </w:rPr>
              <w:t>签订合同后</w:t>
            </w:r>
            <w:r>
              <w:rPr>
                <w:rFonts w:hint="eastAsia" w:ascii="宋体" w:hAnsi="宋体" w:cs="宋体"/>
                <w:i w:val="0"/>
                <w:color w:val="000000"/>
                <w:sz w:val="24"/>
                <w:szCs w:val="24"/>
                <w:u w:val="none"/>
                <w:lang w:val="en-US" w:eastAsia="zh-CN"/>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备注</w:t>
            </w:r>
          </w:p>
        </w:tc>
        <w:tc>
          <w:tcPr>
            <w:tcW w:w="7082" w:type="dxa"/>
            <w:noWrap w:val="0"/>
            <w:vAlign w:val="center"/>
          </w:tcPr>
          <w:p>
            <w:pPr>
              <w:keepNext w:val="0"/>
              <w:keepLines w:val="0"/>
              <w:widowControl/>
              <w:suppressLineNumbers w:val="0"/>
              <w:jc w:val="center"/>
              <w:textAlignment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无</w:t>
            </w:r>
          </w:p>
        </w:tc>
      </w:tr>
    </w:tbl>
    <w:p>
      <w:pPr>
        <w:pStyle w:val="2"/>
        <w:rPr>
          <w:rFonts w:hint="eastAsia"/>
          <w:lang w:eastAsia="zh-CN"/>
        </w:rPr>
      </w:pPr>
    </w:p>
    <w:p>
      <w:pPr>
        <w:pStyle w:val="2"/>
        <w:rPr>
          <w:rFonts w:hint="eastAsia"/>
        </w:rPr>
      </w:pPr>
    </w:p>
    <w:p>
      <w:pPr>
        <w:keepNext w:val="0"/>
        <w:keepLines w:val="0"/>
        <w:pageBreakBefore w:val="0"/>
        <w:numPr>
          <w:ilvl w:val="0"/>
          <w:numId w:val="0"/>
        </w:numPr>
        <w:kinsoku/>
        <w:wordWrap/>
        <w:overflowPunct/>
        <w:topLinePunct w:val="0"/>
        <w:autoSpaceDE/>
        <w:autoSpaceDN/>
        <w:bidi w:val="0"/>
        <w:spacing w:line="360" w:lineRule="auto"/>
        <w:ind w:leftChars="0"/>
        <w:jc w:val="both"/>
        <w:textAlignment w:val="auto"/>
        <w:outlineLvl w:val="9"/>
        <w:rPr>
          <w:rFonts w:hint="eastAsia" w:ascii="宋体" w:hAnsi="宋体" w:cs="宋体"/>
          <w:b/>
          <w:sz w:val="28"/>
          <w:szCs w:val="28"/>
          <w:lang w:val="en-US" w:eastAsia="zh-CN"/>
        </w:rPr>
      </w:pPr>
    </w:p>
    <w:p>
      <w:pPr>
        <w:keepNext w:val="0"/>
        <w:keepLines w:val="0"/>
        <w:pageBreakBefore w:val="0"/>
        <w:numPr>
          <w:ilvl w:val="0"/>
          <w:numId w:val="0"/>
        </w:numPr>
        <w:kinsoku/>
        <w:wordWrap/>
        <w:overflowPunct/>
        <w:topLinePunct w:val="0"/>
        <w:autoSpaceDE/>
        <w:autoSpaceDN/>
        <w:bidi w:val="0"/>
        <w:spacing w:line="360" w:lineRule="auto"/>
        <w:jc w:val="center"/>
        <w:textAlignment w:val="auto"/>
        <w:outlineLvl w:val="9"/>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rPr>
          <w:rFonts w:hint="default" w:ascii="宋体" w:hAnsi="宋体"/>
          <w:sz w:val="24"/>
          <w:szCs w:val="24"/>
          <w:vertAlign w:val="baseline"/>
          <w:lang w:val="en-US" w:eastAsia="zh-CN"/>
        </w:rPr>
      </w:pPr>
    </w:p>
    <w:p>
      <w:pPr>
        <w:pStyle w:val="2"/>
        <w:ind w:left="0" w:leftChars="0" w:firstLine="0" w:firstLineChars="0"/>
        <w:jc w:val="both"/>
        <w:rPr>
          <w:rFonts w:hint="default" w:ascii="宋体" w:hAnsi="宋体"/>
          <w:sz w:val="24"/>
          <w:szCs w:val="24"/>
          <w:vertAlign w:val="baseline"/>
          <w:lang w:val="en-US" w:eastAsia="zh-CN"/>
        </w:rPr>
      </w:pPr>
      <w:bookmarkStart w:id="28" w:name="_GoBack"/>
      <w:bookmarkEnd w:id="28"/>
    </w:p>
    <w:p>
      <w:pPr>
        <w:spacing w:line="500" w:lineRule="exact"/>
        <w:jc w:val="center"/>
        <w:outlineLvl w:val="0"/>
        <w:rPr>
          <w:rFonts w:hint="eastAsia" w:ascii="宋体" w:hAnsi="宋体" w:eastAsia="宋体" w:cs="宋体"/>
          <w:b/>
          <w:kern w:val="0"/>
          <w:sz w:val="32"/>
          <w:szCs w:val="32"/>
          <w:lang w:val="en-US" w:eastAsia="zh-CN" w:bidi="ar-SA"/>
        </w:rPr>
      </w:pPr>
      <w:r>
        <w:rPr>
          <w:rFonts w:hint="eastAsia" w:ascii="宋体" w:hAnsi="宋体" w:eastAsia="宋体" w:cs="宋体"/>
          <w:b/>
          <w:kern w:val="0"/>
          <w:sz w:val="32"/>
          <w:szCs w:val="32"/>
          <w:lang w:val="en-US" w:eastAsia="zh-CN" w:bidi="ar-SA"/>
        </w:rPr>
        <w:t>（三）</w:t>
      </w:r>
    </w:p>
    <w:p>
      <w:pPr>
        <w:spacing w:line="500" w:lineRule="exact"/>
        <w:jc w:val="center"/>
        <w:outlineLvl w:val="0"/>
        <w:rPr>
          <w:rFonts w:hint="eastAsia" w:ascii="宋体" w:hAnsi="宋体" w:eastAsia="宋体" w:cs="宋体"/>
          <w:b/>
          <w:kern w:val="0"/>
          <w:sz w:val="32"/>
          <w:szCs w:val="32"/>
          <w:lang w:val="en-US" w:eastAsia="zh-CN" w:bidi="ar-SA"/>
        </w:rPr>
      </w:pPr>
      <w:bookmarkStart w:id="5" w:name="_Toc326_WPSOffice_Level1"/>
      <w:bookmarkStart w:id="6" w:name="_Toc3023_WPSOffice_Level1"/>
      <w:r>
        <w:rPr>
          <w:rFonts w:hint="eastAsia" w:ascii="宋体" w:hAnsi="宋体" w:eastAsia="宋体" w:cs="宋体"/>
          <w:b/>
          <w:kern w:val="0"/>
          <w:sz w:val="32"/>
          <w:szCs w:val="32"/>
          <w:lang w:val="en-US" w:eastAsia="zh-CN" w:bidi="ar-SA"/>
        </w:rPr>
        <w:t>服务承诺</w:t>
      </w:r>
      <w:bookmarkEnd w:id="5"/>
      <w:bookmarkEnd w:id="6"/>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rPr>
      </w:pPr>
      <w:bookmarkStart w:id="7" w:name="_Toc7417_WPSOffice_Level1"/>
      <w:bookmarkStart w:id="8" w:name="_Toc14114_WPSOffice_Level2"/>
      <w:bookmarkStart w:id="9" w:name="_Toc25307_WPSOffice_Level2"/>
      <w:bookmarkStart w:id="10" w:name="_Toc28277_WPSOffice_Level2"/>
      <w:r>
        <w:rPr>
          <w:rFonts w:hint="eastAsia" w:ascii="仿宋" w:hAnsi="仿宋" w:eastAsia="仿宋" w:cs="仿宋"/>
          <w:b/>
          <w:bCs/>
          <w:sz w:val="24"/>
          <w:szCs w:val="24"/>
          <w:lang w:eastAsia="zh-CN"/>
        </w:rPr>
        <w:t>一、设计服务的承诺</w:t>
      </w:r>
      <w:bookmarkEnd w:id="7"/>
      <w:bookmarkEnd w:id="8"/>
      <w:bookmarkEnd w:id="9"/>
      <w:bookmarkEnd w:id="10"/>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在设计工作开展前期，做好人力资源、器械设备等的调配、协调准备工作，及时收集准备工程资料、国家标准、本地项目建设的规定措施，对工程项目现场及时准确的和甲方进行勘测，做到工程项目设计是的心中有数，同时在设计的各个阶段都应对工程项目进行监控，确保工程的质量、进度。</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我公司将组织强有力、高水准、敬业务实、善于交流沟通的设计团队负责工程项目的设计服务工作。项目设计团队的各专业技术人员均具备相应的技术职称、执业资格和丰富的实际经验。其中，设计总负责人及各专业负责人均具备工程（建筑）师及以上职称或国家注册工程（建筑）师资格，同时拥有类似工程项目设计的突出业绩和经验。在项目的整个设计服务过程中，我司将保持设计团队各专业技术人员相对稳定，未经</w:t>
      </w:r>
      <w:r>
        <w:rPr>
          <w:rFonts w:hint="eastAsia" w:ascii="仿宋" w:hAnsi="仿宋" w:eastAsia="仿宋" w:cs="仿宋"/>
          <w:sz w:val="24"/>
          <w:szCs w:val="24"/>
          <w:lang w:eastAsia="zh-CN"/>
        </w:rPr>
        <w:t>采购单位</w:t>
      </w:r>
      <w:r>
        <w:rPr>
          <w:rFonts w:hint="eastAsia" w:ascii="仿宋" w:hAnsi="仿宋" w:eastAsia="仿宋" w:cs="仿宋"/>
          <w:sz w:val="24"/>
          <w:szCs w:val="24"/>
        </w:rPr>
        <w:t>同意，不更换设计人员；若我司安排的某专业设计人员不符合</w:t>
      </w:r>
      <w:r>
        <w:rPr>
          <w:rFonts w:hint="eastAsia" w:ascii="仿宋" w:hAnsi="仿宋" w:eastAsia="仿宋" w:cs="仿宋"/>
          <w:sz w:val="24"/>
          <w:szCs w:val="24"/>
          <w:lang w:eastAsia="zh-CN"/>
        </w:rPr>
        <w:t>采购单位</w:t>
      </w:r>
      <w:r>
        <w:rPr>
          <w:rFonts w:hint="eastAsia" w:ascii="仿宋" w:hAnsi="仿宋" w:eastAsia="仿宋" w:cs="仿宋"/>
          <w:sz w:val="24"/>
          <w:szCs w:val="24"/>
        </w:rPr>
        <w:t>要求，或未经</w:t>
      </w:r>
      <w:r>
        <w:rPr>
          <w:rFonts w:hint="eastAsia" w:ascii="仿宋" w:hAnsi="仿宋" w:eastAsia="仿宋" w:cs="仿宋"/>
          <w:sz w:val="24"/>
          <w:szCs w:val="24"/>
          <w:lang w:eastAsia="zh-CN"/>
        </w:rPr>
        <w:t>采购单位</w:t>
      </w:r>
      <w:r>
        <w:rPr>
          <w:rFonts w:hint="eastAsia" w:ascii="仿宋" w:hAnsi="仿宋" w:eastAsia="仿宋" w:cs="仿宋"/>
          <w:sz w:val="24"/>
          <w:szCs w:val="24"/>
        </w:rPr>
        <w:t>同意更换了设计人员，</w:t>
      </w:r>
      <w:r>
        <w:rPr>
          <w:rFonts w:hint="eastAsia" w:ascii="仿宋" w:hAnsi="仿宋" w:eastAsia="仿宋" w:cs="仿宋"/>
          <w:sz w:val="24"/>
          <w:szCs w:val="24"/>
          <w:lang w:eastAsia="zh-CN"/>
        </w:rPr>
        <w:t>采购单位</w:t>
      </w:r>
      <w:r>
        <w:rPr>
          <w:rFonts w:hint="eastAsia" w:ascii="仿宋" w:hAnsi="仿宋" w:eastAsia="仿宋" w:cs="仿宋"/>
          <w:sz w:val="24"/>
          <w:szCs w:val="24"/>
        </w:rPr>
        <w:t>有权要求我院及时做出调整；同时，若</w:t>
      </w:r>
      <w:r>
        <w:rPr>
          <w:rFonts w:hint="eastAsia" w:ascii="仿宋" w:hAnsi="仿宋" w:eastAsia="仿宋" w:cs="仿宋"/>
          <w:sz w:val="24"/>
          <w:szCs w:val="24"/>
          <w:lang w:eastAsia="zh-CN"/>
        </w:rPr>
        <w:t>采购单位</w:t>
      </w:r>
      <w:r>
        <w:rPr>
          <w:rFonts w:hint="eastAsia" w:ascii="仿宋" w:hAnsi="仿宋" w:eastAsia="仿宋" w:cs="仿宋"/>
          <w:sz w:val="24"/>
          <w:szCs w:val="24"/>
        </w:rPr>
        <w:t>对设计团队中任何一位设计人员的设计服务不满意时，可随时提出更换，我司将积极配合并予以调整。</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如我司中标，我司承诺按以下措施保证设计进度：</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根据</w:t>
      </w:r>
      <w:r>
        <w:rPr>
          <w:rFonts w:hint="eastAsia" w:ascii="仿宋" w:hAnsi="仿宋" w:eastAsia="仿宋" w:cs="仿宋"/>
          <w:sz w:val="24"/>
          <w:szCs w:val="24"/>
          <w:lang w:eastAsia="zh-CN"/>
        </w:rPr>
        <w:t>采购单位</w:t>
      </w:r>
      <w:r>
        <w:rPr>
          <w:rFonts w:hint="eastAsia" w:ascii="仿宋" w:hAnsi="仿宋" w:eastAsia="仿宋" w:cs="仿宋"/>
          <w:sz w:val="24"/>
          <w:szCs w:val="24"/>
        </w:rPr>
        <w:t>提供图纸日期的要求，制定各个设计专业的进度计划，编制项目网络进度图。</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控制好时间节点，在计划内各重要时间节点，项目负责人及相关专业设计人员做好计划、执行、检查与行动的工作，给施工图深化设计的时间做好保障措施，赢得有利的时间条件。</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对各专业设计的进度安排，由项目负责人监控，相关专业设计组严格执行，并按时互相提供经审核后的有关资料。</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安排专业具有丰富工程设计经验的项目负责人和设计团队，制定规范的设计管理制度，提供高性能的绘图硬件。我司已全部应用正版CAD制图软件，并建立设计内部网络系统，各专业开发了大量的专业基础图库及计算机辅助设计软件，为确保设计的时间提供了坚强的保障</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）采用技术经济责任制，使职工的收入与设计进度、质量、数量直接挂钩，进行奖励和惩罚相结合的考评。</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rPr>
      </w:pPr>
      <w:bookmarkStart w:id="11" w:name="_Toc10505_WPSOffice_Level1"/>
      <w:bookmarkStart w:id="12" w:name="_Toc16542_WPSOffice_Level2"/>
      <w:bookmarkStart w:id="13" w:name="_Toc5925_WPSOffice_Level2"/>
      <w:bookmarkStart w:id="14" w:name="_Toc12176_WPSOffice_Level2"/>
      <w:r>
        <w:rPr>
          <w:rFonts w:hint="eastAsia" w:ascii="仿宋" w:hAnsi="仿宋" w:eastAsia="仿宋" w:cs="仿宋"/>
          <w:b/>
          <w:bCs/>
          <w:sz w:val="24"/>
          <w:szCs w:val="24"/>
          <w:lang w:eastAsia="zh-CN"/>
        </w:rPr>
        <w:t>二、及时解决处理现场问题的承诺</w:t>
      </w:r>
      <w:bookmarkEnd w:id="11"/>
      <w:bookmarkEnd w:id="12"/>
      <w:bookmarkEnd w:id="13"/>
      <w:bookmarkEnd w:id="14"/>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为顺应市场，增强公司竞争力，更好地为</w:t>
      </w:r>
      <w:r>
        <w:rPr>
          <w:rFonts w:hint="eastAsia" w:ascii="仿宋" w:hAnsi="仿宋" w:eastAsia="仿宋" w:cs="仿宋"/>
          <w:sz w:val="24"/>
          <w:szCs w:val="24"/>
          <w:lang w:eastAsia="zh-CN"/>
        </w:rPr>
        <w:t>采购单位</w:t>
      </w:r>
      <w:r>
        <w:rPr>
          <w:rFonts w:hint="eastAsia" w:ascii="仿宋" w:hAnsi="仿宋" w:eastAsia="仿宋" w:cs="仿宋"/>
          <w:sz w:val="24"/>
          <w:szCs w:val="24"/>
        </w:rPr>
        <w:t>提供服务，我公司设立了拓展部。负责收集工程从方案设计到施工图设计及工程后期服务各阶段业主满意度的调查和回访结果信息；负责处理</w:t>
      </w:r>
      <w:r>
        <w:rPr>
          <w:rFonts w:hint="eastAsia" w:ascii="仿宋" w:hAnsi="仿宋" w:eastAsia="仿宋" w:cs="仿宋"/>
          <w:sz w:val="24"/>
          <w:szCs w:val="24"/>
          <w:lang w:eastAsia="zh-CN"/>
        </w:rPr>
        <w:t>采购单位</w:t>
      </w:r>
      <w:r>
        <w:rPr>
          <w:rFonts w:hint="eastAsia" w:ascii="仿宋" w:hAnsi="仿宋" w:eastAsia="仿宋" w:cs="仿宋"/>
          <w:sz w:val="24"/>
          <w:szCs w:val="24"/>
        </w:rPr>
        <w:t>的投诉和意见；负责填写“质量信息反馈单”并督促有关部门和</w:t>
      </w:r>
      <w:r>
        <w:rPr>
          <w:rFonts w:hint="eastAsia" w:ascii="仿宋" w:hAnsi="仿宋" w:eastAsia="仿宋" w:cs="仿宋"/>
          <w:sz w:val="24"/>
          <w:szCs w:val="24"/>
          <w:lang w:eastAsia="zh-CN"/>
        </w:rPr>
        <w:t>采购单位</w:t>
      </w:r>
      <w:r>
        <w:rPr>
          <w:rFonts w:hint="eastAsia" w:ascii="仿宋" w:hAnsi="仿宋" w:eastAsia="仿宋" w:cs="仿宋"/>
          <w:sz w:val="24"/>
          <w:szCs w:val="24"/>
        </w:rPr>
        <w:t>的沟通。</w:t>
      </w:r>
      <w:r>
        <w:rPr>
          <w:rFonts w:hint="eastAsia" w:ascii="仿宋" w:hAnsi="仿宋" w:eastAsia="仿宋" w:cs="仿宋"/>
          <w:sz w:val="24"/>
          <w:szCs w:val="24"/>
          <w:lang w:eastAsia="zh-CN"/>
        </w:rPr>
        <w:t>采购单位</w:t>
      </w:r>
      <w:r>
        <w:rPr>
          <w:rFonts w:hint="eastAsia" w:ascii="仿宋" w:hAnsi="仿宋" w:eastAsia="仿宋" w:cs="仿宋"/>
          <w:sz w:val="24"/>
          <w:szCs w:val="24"/>
        </w:rPr>
        <w:t>反馈的意见，拓展部在24小时内给予答复，确因特殊情况无法在承诺时限内处理完毕的事项，拓展部将作出合理的解释。</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对违反承诺内容和工作要求的工作人员，接到投诉后我公司将立即组织调查核实，7日内给予明确答复，对违章违纪人员将按我公司相关管理制度进行严肃处理。</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我公司将提供充分的硬件条件为项目服务，文件和图纸的传递工作完全由我公司负责。同时，保证设计人员在二十四小时之内，按</w:t>
      </w:r>
      <w:r>
        <w:rPr>
          <w:rFonts w:hint="eastAsia" w:ascii="仿宋" w:hAnsi="仿宋" w:eastAsia="仿宋" w:cs="仿宋"/>
          <w:sz w:val="24"/>
          <w:szCs w:val="24"/>
          <w:lang w:eastAsia="zh-CN"/>
        </w:rPr>
        <w:t>采购单位</w:t>
      </w:r>
      <w:r>
        <w:rPr>
          <w:rFonts w:hint="eastAsia" w:ascii="仿宋" w:hAnsi="仿宋" w:eastAsia="仿宋" w:cs="仿宋"/>
          <w:sz w:val="24"/>
          <w:szCs w:val="24"/>
        </w:rPr>
        <w:t>的要求赴现场处理施工中的相关问题；保证设总和专业负责人及时应业主要求，参与和工程相关的各种研究会议。</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施工过程中，对</w:t>
      </w:r>
      <w:r>
        <w:rPr>
          <w:rFonts w:hint="eastAsia" w:ascii="仿宋" w:hAnsi="仿宋" w:eastAsia="仿宋" w:cs="仿宋"/>
          <w:sz w:val="24"/>
          <w:szCs w:val="24"/>
          <w:lang w:eastAsia="zh-CN"/>
        </w:rPr>
        <w:t>采购单位</w:t>
      </w:r>
      <w:r>
        <w:rPr>
          <w:rFonts w:hint="eastAsia" w:ascii="仿宋" w:hAnsi="仿宋" w:eastAsia="仿宋" w:cs="仿宋"/>
          <w:sz w:val="24"/>
          <w:szCs w:val="24"/>
        </w:rPr>
        <w:t>提出设计变更或图纸问题，我公司在收到</w:t>
      </w:r>
      <w:r>
        <w:rPr>
          <w:rFonts w:hint="eastAsia" w:ascii="仿宋" w:hAnsi="仿宋" w:eastAsia="仿宋" w:cs="仿宋"/>
          <w:sz w:val="24"/>
          <w:szCs w:val="24"/>
          <w:lang w:eastAsia="zh-CN"/>
        </w:rPr>
        <w:t>采购单位</w:t>
      </w:r>
      <w:r>
        <w:rPr>
          <w:rFonts w:hint="eastAsia" w:ascii="仿宋" w:hAnsi="仿宋" w:eastAsia="仿宋" w:cs="仿宋"/>
          <w:sz w:val="24"/>
          <w:szCs w:val="24"/>
        </w:rPr>
        <w:t>通知后，在24小时内与</w:t>
      </w:r>
      <w:r>
        <w:rPr>
          <w:rFonts w:hint="eastAsia" w:ascii="仿宋" w:hAnsi="仿宋" w:eastAsia="仿宋" w:cs="仿宋"/>
          <w:sz w:val="24"/>
          <w:szCs w:val="24"/>
          <w:lang w:eastAsia="zh-CN"/>
        </w:rPr>
        <w:t>采购单位</w:t>
      </w:r>
      <w:r>
        <w:rPr>
          <w:rFonts w:hint="eastAsia" w:ascii="仿宋" w:hAnsi="仿宋" w:eastAsia="仿宋" w:cs="仿宋"/>
          <w:sz w:val="24"/>
          <w:szCs w:val="24"/>
        </w:rPr>
        <w:t>协商变更的可能性或作出书面意见答复，对合理可行性的设计意见安排相关人员进行设计。</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rPr>
      </w:pPr>
      <w:bookmarkStart w:id="15" w:name="_Toc10209_WPSOffice_Level1"/>
      <w:bookmarkStart w:id="16" w:name="_Toc5023_WPSOffice_Level2"/>
      <w:bookmarkStart w:id="17" w:name="_Toc19831_WPSOffice_Level2"/>
      <w:bookmarkStart w:id="18" w:name="_Toc16972_WPSOffice_Level2"/>
      <w:r>
        <w:rPr>
          <w:rFonts w:hint="eastAsia" w:ascii="仿宋" w:hAnsi="仿宋" w:eastAsia="仿宋" w:cs="仿宋"/>
          <w:b/>
          <w:bCs/>
          <w:sz w:val="24"/>
          <w:szCs w:val="24"/>
          <w:lang w:eastAsia="zh-CN"/>
        </w:rPr>
        <w:t>三、配合相关工作的设计承诺</w:t>
      </w:r>
      <w:bookmarkEnd w:id="15"/>
      <w:bookmarkEnd w:id="16"/>
      <w:bookmarkEnd w:id="17"/>
      <w:bookmarkEnd w:id="18"/>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我公司工程设计质量与进度保证体系，严格按ISO9001质量认证体系建立，强调公司整体水平及过程控制。公司总工办负责对所承担工程全过程的质量进行控制；工程项目设计总负责人（简称设总）是工程项目设计的主持者，对主持的设计项目全面负责；专业负责人是工程项目中本专业的主持者，对所主持的专业全面负责。</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 xml:space="preserve">主动提交主要设计人员及审核人员名单，注明设计人员工作年限及职称，并保证在整个设计工作过程中，未经招标人同意，绝不随便更换投标文件中已定的设计人员。 </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制订统一技术措施。各专业负责人负责制定本专业详细的统一措施并配合</w:t>
      </w:r>
      <w:r>
        <w:rPr>
          <w:rFonts w:hint="eastAsia" w:ascii="仿宋" w:hAnsi="仿宋" w:eastAsia="仿宋" w:cs="仿宋"/>
          <w:sz w:val="24"/>
          <w:szCs w:val="24"/>
          <w:lang w:eastAsia="zh-CN"/>
        </w:rPr>
        <w:t>采购单位</w:t>
      </w:r>
      <w:r>
        <w:rPr>
          <w:rFonts w:hint="eastAsia" w:ascii="仿宋" w:hAnsi="仿宋" w:eastAsia="仿宋" w:cs="仿宋"/>
          <w:sz w:val="24"/>
          <w:szCs w:val="24"/>
        </w:rPr>
        <w:t>参与审查，通过后报设总备案，落实设计任务书要求及甲方的有关要求，统一本专业有关设计参数及构造措施，明确设计要求及通用构造做法。确保该项目组成员作业的统一性，同时提请</w:t>
      </w:r>
      <w:r>
        <w:rPr>
          <w:rFonts w:hint="eastAsia" w:ascii="仿宋" w:hAnsi="仿宋" w:eastAsia="仿宋" w:cs="仿宋"/>
          <w:sz w:val="24"/>
          <w:szCs w:val="24"/>
          <w:lang w:eastAsia="zh-CN"/>
        </w:rPr>
        <w:t>采购单位</w:t>
      </w:r>
      <w:r>
        <w:rPr>
          <w:rFonts w:hint="eastAsia" w:ascii="仿宋" w:hAnsi="仿宋" w:eastAsia="仿宋" w:cs="仿宋"/>
          <w:sz w:val="24"/>
          <w:szCs w:val="24"/>
        </w:rPr>
        <w:t>检查项目组内部校对、审查记录文件，参加各专业技术论证会议。</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eastAsia="zh-CN"/>
        </w:rPr>
        <w:t>）</w:t>
      </w:r>
      <w:r>
        <w:rPr>
          <w:rFonts w:hint="eastAsia" w:ascii="仿宋" w:hAnsi="仿宋" w:eastAsia="仿宋" w:cs="仿宋"/>
          <w:sz w:val="24"/>
          <w:szCs w:val="24"/>
        </w:rPr>
        <w:t>实行结构方案专家委员会负责制，由本公司委员会负责审批该项目结构方案，确保结构方案的科学性、合规性，经济性。</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eastAsia="zh-CN"/>
        </w:rPr>
        <w:t>）</w:t>
      </w:r>
      <w:r>
        <w:rPr>
          <w:rFonts w:hint="eastAsia" w:ascii="仿宋" w:hAnsi="仿宋" w:eastAsia="仿宋" w:cs="仿宋"/>
          <w:sz w:val="24"/>
          <w:szCs w:val="24"/>
        </w:rPr>
        <w:t>经济分析师参与设计过程，设计过程中全程结构经济性分析，协助设计人员调整并确定合理结构方案，确保项目结构经济性能最大化。</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eastAsia="zh-CN"/>
        </w:rPr>
        <w:t>）</w:t>
      </w:r>
      <w:r>
        <w:rPr>
          <w:rFonts w:hint="eastAsia" w:ascii="仿宋" w:hAnsi="仿宋" w:eastAsia="仿宋" w:cs="仿宋"/>
          <w:sz w:val="24"/>
          <w:szCs w:val="24"/>
        </w:rPr>
        <w:t>设计各阶段我公司与</w:t>
      </w:r>
      <w:r>
        <w:rPr>
          <w:rFonts w:hint="eastAsia" w:ascii="仿宋" w:hAnsi="仿宋" w:eastAsia="仿宋" w:cs="仿宋"/>
          <w:sz w:val="24"/>
          <w:szCs w:val="24"/>
          <w:lang w:eastAsia="zh-CN"/>
        </w:rPr>
        <w:t>采购单位</w:t>
      </w:r>
      <w:r>
        <w:rPr>
          <w:rFonts w:hint="eastAsia" w:ascii="仿宋" w:hAnsi="仿宋" w:eastAsia="仿宋" w:cs="仿宋"/>
          <w:sz w:val="24"/>
          <w:szCs w:val="24"/>
        </w:rPr>
        <w:t xml:space="preserve">双方紧密结合、充分沟通，及时磋商解决遇到的问题，共同确定技术方案，确保双方设计意图和功能需求在设计中得以充分体现。同时，在制定技术方案前与各专业设计管理、行业管理机构充分沟通，准确掌握相关验收标准资料并向甲方提供复印件备案。 </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w:t>
      </w:r>
      <w:r>
        <w:rPr>
          <w:rFonts w:hint="eastAsia" w:ascii="仿宋" w:hAnsi="仿宋" w:eastAsia="仿宋" w:cs="仿宋"/>
          <w:sz w:val="24"/>
          <w:szCs w:val="24"/>
        </w:rPr>
        <w:t>设计基础资料系统化管理，科学规范，并强化各专业之间的互提资料深度及协作配合。</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w:t>
      </w:r>
      <w:r>
        <w:rPr>
          <w:rFonts w:hint="eastAsia" w:ascii="仿宋" w:hAnsi="仿宋" w:eastAsia="仿宋" w:cs="仿宋"/>
          <w:sz w:val="24"/>
          <w:szCs w:val="24"/>
        </w:rPr>
        <w:t>为配合</w:t>
      </w:r>
      <w:r>
        <w:rPr>
          <w:rFonts w:hint="eastAsia" w:ascii="仿宋" w:hAnsi="仿宋" w:eastAsia="仿宋" w:cs="仿宋"/>
          <w:sz w:val="24"/>
          <w:szCs w:val="24"/>
          <w:lang w:eastAsia="zh-CN"/>
        </w:rPr>
        <w:t>采购单位</w:t>
      </w:r>
      <w:r>
        <w:rPr>
          <w:rFonts w:hint="eastAsia" w:ascii="仿宋" w:hAnsi="仿宋" w:eastAsia="仿宋" w:cs="仿宋"/>
          <w:sz w:val="24"/>
          <w:szCs w:val="24"/>
        </w:rPr>
        <w:t>报建及其它各种报批手续等有关工作，</w:t>
      </w:r>
      <w:r>
        <w:rPr>
          <w:rFonts w:hint="eastAsia" w:ascii="仿宋" w:hAnsi="仿宋" w:eastAsia="仿宋" w:cs="仿宋"/>
          <w:sz w:val="24"/>
          <w:szCs w:val="24"/>
          <w:lang w:eastAsia="zh-CN"/>
        </w:rPr>
        <w:t>我司</w:t>
      </w:r>
      <w:r>
        <w:rPr>
          <w:rFonts w:hint="eastAsia" w:ascii="仿宋" w:hAnsi="仿宋" w:eastAsia="仿宋" w:cs="仿宋"/>
          <w:sz w:val="24"/>
          <w:szCs w:val="24"/>
        </w:rPr>
        <w:t>应及时提供报建图纸，和其它相关配合文件。发包人进行方案报批手续时，</w:t>
      </w:r>
      <w:r>
        <w:rPr>
          <w:rFonts w:hint="eastAsia" w:ascii="仿宋" w:hAnsi="仿宋" w:eastAsia="仿宋" w:cs="仿宋"/>
          <w:sz w:val="24"/>
          <w:szCs w:val="24"/>
          <w:lang w:eastAsia="zh-CN"/>
        </w:rPr>
        <w:t>我司</w:t>
      </w:r>
      <w:r>
        <w:rPr>
          <w:rFonts w:hint="eastAsia" w:ascii="仿宋" w:hAnsi="仿宋" w:eastAsia="仿宋" w:cs="仿宋"/>
          <w:sz w:val="24"/>
          <w:szCs w:val="24"/>
        </w:rPr>
        <w:t>应协助</w:t>
      </w:r>
      <w:r>
        <w:rPr>
          <w:rFonts w:hint="eastAsia" w:ascii="仿宋" w:hAnsi="仿宋" w:eastAsia="仿宋" w:cs="仿宋"/>
          <w:sz w:val="24"/>
          <w:szCs w:val="24"/>
          <w:lang w:eastAsia="zh-CN"/>
        </w:rPr>
        <w:t>采购单位</w:t>
      </w:r>
      <w:r>
        <w:rPr>
          <w:rFonts w:hint="eastAsia" w:ascii="仿宋" w:hAnsi="仿宋" w:eastAsia="仿宋" w:cs="仿宋"/>
          <w:sz w:val="24"/>
          <w:szCs w:val="24"/>
        </w:rPr>
        <w:t>，</w:t>
      </w:r>
      <w:r>
        <w:rPr>
          <w:rFonts w:hint="eastAsia" w:ascii="仿宋" w:hAnsi="仿宋" w:eastAsia="仿宋" w:cs="仿宋"/>
          <w:sz w:val="24"/>
          <w:szCs w:val="24"/>
          <w:lang w:eastAsia="zh-CN"/>
        </w:rPr>
        <w:t>并</w:t>
      </w:r>
      <w:r>
        <w:rPr>
          <w:rFonts w:hint="eastAsia" w:ascii="仿宋" w:hAnsi="仿宋" w:eastAsia="仿宋" w:cs="仿宋"/>
          <w:sz w:val="24"/>
          <w:szCs w:val="24"/>
        </w:rPr>
        <w:t>应确保各专业人员参与到位。</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10</w:t>
      </w:r>
      <w:r>
        <w:rPr>
          <w:rFonts w:hint="eastAsia" w:ascii="仿宋" w:hAnsi="仿宋" w:eastAsia="仿宋" w:cs="仿宋"/>
          <w:sz w:val="24"/>
          <w:szCs w:val="24"/>
          <w:lang w:eastAsia="zh-CN"/>
        </w:rPr>
        <w:t>）我公司</w:t>
      </w:r>
      <w:r>
        <w:rPr>
          <w:rFonts w:hint="eastAsia" w:ascii="仿宋" w:hAnsi="仿宋" w:eastAsia="仿宋" w:cs="仿宋"/>
          <w:sz w:val="24"/>
          <w:szCs w:val="24"/>
        </w:rPr>
        <w:t>承诺与</w:t>
      </w:r>
      <w:r>
        <w:rPr>
          <w:rFonts w:hint="eastAsia" w:ascii="仿宋" w:hAnsi="仿宋" w:eastAsia="仿宋" w:cs="仿宋"/>
          <w:sz w:val="24"/>
          <w:szCs w:val="24"/>
          <w:lang w:eastAsia="zh-CN"/>
        </w:rPr>
        <w:t>采购单位</w:t>
      </w:r>
      <w:r>
        <w:rPr>
          <w:rFonts w:hint="eastAsia" w:ascii="仿宋" w:hAnsi="仿宋" w:eastAsia="仿宋" w:cs="仿宋"/>
          <w:sz w:val="24"/>
          <w:szCs w:val="24"/>
        </w:rPr>
        <w:t>委托的咨询单位密切配合，友好合作。方案设计公司对方案进行修改期间，设计人应保证由专业负责人做好沟通协调工作，并在规定的时间内做好方案设计到施工图设计的交接工作。</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11</w:t>
      </w:r>
      <w:r>
        <w:rPr>
          <w:rFonts w:hint="eastAsia" w:ascii="仿宋" w:hAnsi="仿宋" w:eastAsia="仿宋" w:cs="仿宋"/>
          <w:sz w:val="24"/>
          <w:szCs w:val="24"/>
          <w:lang w:eastAsia="zh-CN"/>
        </w:rPr>
        <w:t>）</w:t>
      </w:r>
      <w:r>
        <w:rPr>
          <w:rFonts w:hint="eastAsia" w:ascii="仿宋" w:hAnsi="仿宋" w:eastAsia="仿宋" w:cs="仿宋"/>
          <w:sz w:val="24"/>
          <w:szCs w:val="24"/>
        </w:rPr>
        <w:t>正式出图前至少安排三天时间，与</w:t>
      </w:r>
      <w:r>
        <w:rPr>
          <w:rFonts w:hint="eastAsia" w:ascii="仿宋" w:hAnsi="仿宋" w:eastAsia="仿宋" w:cs="仿宋"/>
          <w:sz w:val="24"/>
          <w:szCs w:val="24"/>
          <w:lang w:eastAsia="zh-CN"/>
        </w:rPr>
        <w:t>采购单位</w:t>
      </w:r>
      <w:r>
        <w:rPr>
          <w:rFonts w:hint="eastAsia" w:ascii="仿宋" w:hAnsi="仿宋" w:eastAsia="仿宋" w:cs="仿宋"/>
          <w:sz w:val="24"/>
          <w:szCs w:val="24"/>
        </w:rPr>
        <w:t>各专业工程师共同审核图纸，对发现的问题应在正式出图时予以解决。</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eastAsia="zh-CN"/>
        </w:rPr>
        <w:t>）</w:t>
      </w:r>
      <w:r>
        <w:rPr>
          <w:rFonts w:hint="eastAsia" w:ascii="仿宋" w:hAnsi="仿宋" w:eastAsia="仿宋" w:cs="仿宋"/>
          <w:sz w:val="24"/>
          <w:szCs w:val="24"/>
        </w:rPr>
        <w:t>合同履行中，设计</w:t>
      </w:r>
      <w:r>
        <w:rPr>
          <w:rFonts w:hint="eastAsia" w:ascii="仿宋" w:hAnsi="仿宋" w:eastAsia="仿宋" w:cs="仿宋"/>
          <w:sz w:val="24"/>
          <w:szCs w:val="24"/>
          <w:lang w:eastAsia="zh-CN"/>
        </w:rPr>
        <w:t>单位</w:t>
      </w:r>
      <w:r>
        <w:rPr>
          <w:rFonts w:hint="eastAsia" w:ascii="仿宋" w:hAnsi="仿宋" w:eastAsia="仿宋" w:cs="仿宋"/>
          <w:sz w:val="24"/>
          <w:szCs w:val="24"/>
        </w:rPr>
        <w:t>的工作达不到合同要求，</w:t>
      </w:r>
      <w:r>
        <w:rPr>
          <w:rFonts w:hint="eastAsia" w:ascii="仿宋" w:hAnsi="仿宋" w:eastAsia="仿宋" w:cs="仿宋"/>
          <w:sz w:val="24"/>
          <w:szCs w:val="24"/>
          <w:lang w:eastAsia="zh-CN"/>
        </w:rPr>
        <w:t>采购单位</w:t>
      </w:r>
      <w:r>
        <w:rPr>
          <w:rFonts w:hint="eastAsia" w:ascii="仿宋" w:hAnsi="仿宋" w:eastAsia="仿宋" w:cs="仿宋"/>
          <w:sz w:val="24"/>
          <w:szCs w:val="24"/>
        </w:rPr>
        <w:t>有权终止合同。</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13</w:t>
      </w:r>
      <w:r>
        <w:rPr>
          <w:rFonts w:hint="eastAsia" w:ascii="仿宋" w:hAnsi="仿宋" w:eastAsia="仿宋" w:cs="仿宋"/>
          <w:sz w:val="24"/>
          <w:szCs w:val="24"/>
          <w:lang w:eastAsia="zh-CN"/>
        </w:rPr>
        <w:t>）</w:t>
      </w:r>
      <w:r>
        <w:rPr>
          <w:rFonts w:hint="eastAsia" w:ascii="仿宋" w:hAnsi="仿宋" w:eastAsia="仿宋" w:cs="仿宋"/>
          <w:sz w:val="24"/>
          <w:szCs w:val="24"/>
        </w:rPr>
        <w:t>关于知识产权保护和保密责任的承诺：设计</w:t>
      </w:r>
      <w:r>
        <w:rPr>
          <w:rFonts w:hint="eastAsia" w:ascii="仿宋" w:hAnsi="仿宋" w:eastAsia="仿宋" w:cs="仿宋"/>
          <w:sz w:val="24"/>
          <w:szCs w:val="24"/>
          <w:lang w:eastAsia="zh-CN"/>
        </w:rPr>
        <w:t>单位</w:t>
      </w:r>
      <w:r>
        <w:rPr>
          <w:rFonts w:hint="eastAsia" w:ascii="仿宋" w:hAnsi="仿宋" w:eastAsia="仿宋" w:cs="仿宋"/>
          <w:sz w:val="24"/>
          <w:szCs w:val="24"/>
        </w:rPr>
        <w:t>和</w:t>
      </w:r>
      <w:r>
        <w:rPr>
          <w:rFonts w:hint="eastAsia" w:ascii="仿宋" w:hAnsi="仿宋" w:eastAsia="仿宋" w:cs="仿宋"/>
          <w:sz w:val="24"/>
          <w:szCs w:val="24"/>
          <w:lang w:eastAsia="zh-CN"/>
        </w:rPr>
        <w:t>采购单位</w:t>
      </w:r>
      <w:r>
        <w:rPr>
          <w:rFonts w:hint="eastAsia" w:ascii="仿宋" w:hAnsi="仿宋" w:eastAsia="仿宋" w:cs="仿宋"/>
          <w:sz w:val="24"/>
          <w:szCs w:val="24"/>
        </w:rPr>
        <w:t>相互保护对方知识产权，并相互承担设计业务合作过程中产生的所有技术文件，商务文件包括招标文件、投标文件的保密责任，不得向第三人泄露、转让上述资料。</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bookmarkStart w:id="19" w:name="_Toc5555"/>
      <w:bookmarkStart w:id="20" w:name="_Toc29544"/>
      <w:bookmarkStart w:id="21" w:name="_Toc27012"/>
      <w:bookmarkStart w:id="22" w:name="_Toc19674"/>
      <w:bookmarkStart w:id="23" w:name="_Toc17903"/>
      <w:r>
        <w:rPr>
          <w:rFonts w:hint="eastAsia" w:ascii="仿宋" w:hAnsi="仿宋" w:eastAsia="仿宋" w:cs="仿宋"/>
          <w:sz w:val="24"/>
          <w:szCs w:val="24"/>
        </w:rPr>
        <w:t>调试验收价段</w:t>
      </w:r>
      <w:bookmarkEnd w:id="19"/>
      <w:bookmarkEnd w:id="20"/>
      <w:bookmarkEnd w:id="21"/>
      <w:bookmarkEnd w:id="22"/>
      <w:bookmarkEnd w:id="23"/>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积极配合建设单位及承包商搞好竣工验收，协助整理竣工资料，积极参与工程总结的编写。加强现场材料管理工作，做到用料计划准确无误，按工程进度需要，组织不同品种、规格的材料分批进场。材料、设备的采购要货比三家，最后确定供货单位，批量材料争取由厂家直接供应，以减少中间流通环节，降低材料采购的成本。进场的材料的设备要减少露天堆放的时间，防止自然损耗的丢失，减小保管费用。施工时做到限量领料，合理用料，降低材料的损耗量。 尽量在原材料或半成品的产地完成质量验收，减少材料报废率等。在产地进行验收合格后方能运至工地。</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认真实施各项质量制度。在施工过程中，项目部应按公司质量手册、程序文件的要求确保质量体系的有效运行，严把各项质量检验关，对卫生间、隐蔽工程等重点部位加强监督检查，将质量隐患消除在萌芽状态，避免因质量问题而造成的整改、返工损失。</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rPr>
      </w:pPr>
      <w:bookmarkStart w:id="24" w:name="_Toc23853_WPSOffice_Level1"/>
      <w:bookmarkStart w:id="25" w:name="_Toc5232_WPSOffice_Level2"/>
      <w:bookmarkStart w:id="26" w:name="_Toc20252_WPSOffice_Level2"/>
      <w:bookmarkStart w:id="27" w:name="_Toc26397_WPSOffice_Level2"/>
      <w:r>
        <w:rPr>
          <w:rFonts w:hint="eastAsia" w:ascii="仿宋" w:hAnsi="仿宋" w:eastAsia="仿宋" w:cs="仿宋"/>
          <w:b/>
          <w:bCs/>
          <w:sz w:val="24"/>
          <w:szCs w:val="24"/>
          <w:lang w:eastAsia="zh-CN"/>
        </w:rPr>
        <w:t>四、其他承诺</w:t>
      </w:r>
      <w:bookmarkEnd w:id="24"/>
      <w:bookmarkEnd w:id="25"/>
      <w:bookmarkEnd w:id="26"/>
      <w:bookmarkEnd w:id="27"/>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lang w:val="en-US" w:eastAsia="zh-CN"/>
        </w:rPr>
      </w:pPr>
      <w:r>
        <w:rPr>
          <w:rFonts w:hint="eastAsia" w:ascii="仿宋" w:hAnsi="仿宋" w:eastAsia="仿宋" w:cs="仿宋"/>
          <w:sz w:val="24"/>
          <w:szCs w:val="24"/>
        </w:rPr>
        <w:t>时间控制</w:t>
      </w:r>
      <w:r>
        <w:rPr>
          <w:rFonts w:hint="eastAsia" w:ascii="仿宋" w:hAnsi="仿宋" w:eastAsia="仿宋" w:cs="仿宋"/>
          <w:sz w:val="24"/>
          <w:szCs w:val="24"/>
          <w:lang w:eastAsia="zh-CN"/>
        </w:rPr>
        <w:t>：</w:t>
      </w:r>
      <w:r>
        <w:rPr>
          <w:rFonts w:hint="eastAsia" w:ascii="仿宋" w:hAnsi="仿宋" w:eastAsia="仿宋" w:cs="仿宋"/>
          <w:sz w:val="24"/>
          <w:szCs w:val="24"/>
        </w:rPr>
        <w:t>设计进度采取分级负责，确保设计责任落实到每一个人。从设计人至专业负责人至分项负责人</w:t>
      </w:r>
      <w:r>
        <w:rPr>
          <w:rFonts w:hint="eastAsia" w:ascii="仿宋" w:hAnsi="仿宋" w:eastAsia="仿宋" w:cs="仿宋"/>
          <w:sz w:val="24"/>
          <w:szCs w:val="24"/>
          <w:lang w:val="en-US" w:eastAsia="zh-CN"/>
        </w:rPr>
        <w:t>至项目负责人（总设计师），一对一的进度负责制，防止多头管理影响进度落实；从设计人至 校核人至审核人至审定人，逐层进行把关，确保设计成果的时效性。</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主要控制措施如下： 项目负责人对项目的实施、进度安排进行策划、组织有关人员编写《工程设计进度计划表》并经分管副院长批准，具体落实到人、对完成时间提出具体要求。保证各专业、各工序间有序的</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结合和作业，合理安排各工序的进度及时机，使其有机的衔接和配合，形成流水线式的作业顺 序，避免因个别专业的迟缓影响其他专业和整体的总进度。由项目经理组织设计总负责人、各专业负责人，每周一召开项目例会， 针对近期项目设计进度 以及可能存在的风险进行预判，尽可能规避风险并及时与业主有效沟通。按设计任务和工作进度计划的要求，按规定时间提前向业主提交优质的各阶段的设计文件，且 确保设计文件达到相关要求及各项规范。若我院的工作进度没有达到设计进度计划时或有不能达到设计进度计划的危险时，业主有权要 求我司增加设计人员，我院会及时安排。</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lang w:val="en-US" w:eastAsia="zh-CN"/>
        </w:rPr>
        <w:t>后期配合，我院会尽一切努力，高效而又经济地履行合同中的服务和义务。在处理与合同或服务有关的任何事宜中，我司会始终作为业主的忠实合作伙伴，在与第三方的交往中应始终支持和维护甲方的合法利益。我司在忠实于设计理念和方案原创设计的基础上，按国内法规、规范之要求，圆满地完成本项目的全部设计和服务任务。成果提交结束后，高度协助业主提供相应配合工作。</w:t>
      </w:r>
    </w:p>
    <w:p>
      <w:pPr>
        <w:rPr>
          <w:rFonts w:hint="eastAsia"/>
          <w:lang w:val="en-US" w:eastAsia="zh-CN"/>
        </w:rPr>
      </w:pPr>
      <w:r>
        <w:rPr>
          <w:rFonts w:hint="eastAsia"/>
          <w:lang w:val="en-US" w:eastAsia="zh-CN"/>
        </w:rPr>
        <w:t xml:space="preserve">  </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5460" w:firstLineChars="2600"/>
        <w:textAlignment w:val="auto"/>
        <w:outlineLvl w:val="9"/>
        <w:rPr>
          <w:rFonts w:hint="eastAsia" w:ascii="仿宋" w:hAnsi="仿宋" w:eastAsia="仿宋" w:cs="仿宋"/>
          <w:b/>
          <w:bCs/>
          <w:sz w:val="24"/>
          <w:szCs w:val="24"/>
          <w:lang w:val="en-US" w:eastAsia="zh-CN"/>
        </w:rPr>
      </w:pPr>
      <w:r>
        <w:rPr>
          <w:rFonts w:hint="eastAsia"/>
          <w:lang w:val="en-US" w:eastAsia="zh-CN"/>
        </w:rPr>
        <w:t xml:space="preserve">   </w:t>
      </w:r>
      <w:r>
        <w:rPr>
          <w:rFonts w:hint="eastAsia" w:ascii="仿宋" w:hAnsi="仿宋" w:eastAsia="仿宋" w:cs="仿宋"/>
          <w:b/>
          <w:bCs/>
          <w:sz w:val="24"/>
          <w:szCs w:val="24"/>
          <w:lang w:val="en-US" w:eastAsia="zh-CN"/>
        </w:rPr>
        <w:t>河南博维建筑规划设计有限公司</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2019年7月3日</w:t>
      </w:r>
    </w:p>
    <w:p>
      <w:pPr>
        <w:keepNext w:val="0"/>
        <w:keepLines w:val="0"/>
        <w:pageBreakBefore w:val="0"/>
        <w:widowControl w:val="0"/>
        <w:tabs>
          <w:tab w:val="left" w:pos="1439"/>
        </w:tabs>
        <w:kinsoku/>
        <w:wordWrap/>
        <w:overflowPunct/>
        <w:topLinePunct w:val="0"/>
        <w:autoSpaceDE/>
        <w:autoSpaceDN/>
        <w:bidi w:val="0"/>
        <w:adjustRightInd/>
        <w:snapToGrid/>
        <w:spacing w:line="500" w:lineRule="exact"/>
        <w:ind w:firstLine="482" w:firstLineChars="200"/>
        <w:textAlignment w:val="auto"/>
        <w:outlineLvl w:val="9"/>
        <w:rPr>
          <w:rFonts w:hint="default" w:ascii="仿宋" w:hAnsi="仿宋" w:eastAsia="仿宋" w:cs="仿宋"/>
          <w:b/>
          <w:bCs/>
          <w:sz w:val="24"/>
          <w:szCs w:val="24"/>
          <w:lang w:val="en-US" w:eastAsia="zh-CN"/>
        </w:rPr>
      </w:pPr>
    </w:p>
    <w:sectPr>
      <w:footerReference r:id="rId3" w:type="default"/>
      <w:pgSz w:w="11906" w:h="16838"/>
      <w:pgMar w:top="1440" w:right="1247" w:bottom="1134" w:left="1247" w:header="850" w:footer="964" w:gutter="0"/>
      <w:pgBorders>
        <w:top w:val="none" w:sz="0" w:space="0"/>
        <w:left w:val="none" w:sz="0" w:space="0"/>
        <w:bottom w:val="none" w:sz="0" w:space="0"/>
        <w:right w:val="none" w:sz="0" w:space="0"/>
      </w:pgBorders>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25</w:t>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50E4F"/>
    <w:rsid w:val="015B68B8"/>
    <w:rsid w:val="01B05C88"/>
    <w:rsid w:val="01C45224"/>
    <w:rsid w:val="021E0C10"/>
    <w:rsid w:val="02BF68A9"/>
    <w:rsid w:val="052A6CD3"/>
    <w:rsid w:val="05AC73CB"/>
    <w:rsid w:val="05B45C24"/>
    <w:rsid w:val="06272876"/>
    <w:rsid w:val="06783417"/>
    <w:rsid w:val="06B105C5"/>
    <w:rsid w:val="070A2C4E"/>
    <w:rsid w:val="088D27E2"/>
    <w:rsid w:val="090E75C3"/>
    <w:rsid w:val="0A135ACE"/>
    <w:rsid w:val="0B117AE8"/>
    <w:rsid w:val="0D3539B8"/>
    <w:rsid w:val="0DD411AA"/>
    <w:rsid w:val="0EF748A2"/>
    <w:rsid w:val="0F482EC9"/>
    <w:rsid w:val="0F8D6676"/>
    <w:rsid w:val="103B2427"/>
    <w:rsid w:val="11471198"/>
    <w:rsid w:val="116D3FA1"/>
    <w:rsid w:val="11D72EA0"/>
    <w:rsid w:val="13807DEA"/>
    <w:rsid w:val="13AF1F21"/>
    <w:rsid w:val="14620687"/>
    <w:rsid w:val="14792E05"/>
    <w:rsid w:val="149A37B7"/>
    <w:rsid w:val="14E7653D"/>
    <w:rsid w:val="15324B64"/>
    <w:rsid w:val="161C7602"/>
    <w:rsid w:val="165541E5"/>
    <w:rsid w:val="166666ED"/>
    <w:rsid w:val="1788141D"/>
    <w:rsid w:val="17F67314"/>
    <w:rsid w:val="181B6F5D"/>
    <w:rsid w:val="1AB52E11"/>
    <w:rsid w:val="1AFE2291"/>
    <w:rsid w:val="1B672CB3"/>
    <w:rsid w:val="1BDA76A9"/>
    <w:rsid w:val="1BDD3C70"/>
    <w:rsid w:val="1D26288B"/>
    <w:rsid w:val="1DC15001"/>
    <w:rsid w:val="1ECF58E1"/>
    <w:rsid w:val="1FAE0E31"/>
    <w:rsid w:val="1FE3453D"/>
    <w:rsid w:val="204248C1"/>
    <w:rsid w:val="204C68D5"/>
    <w:rsid w:val="2061754E"/>
    <w:rsid w:val="20E76EF1"/>
    <w:rsid w:val="210D04F8"/>
    <w:rsid w:val="21D145EF"/>
    <w:rsid w:val="234F2563"/>
    <w:rsid w:val="23C82DB6"/>
    <w:rsid w:val="23FD6632"/>
    <w:rsid w:val="245A25ED"/>
    <w:rsid w:val="26883AF7"/>
    <w:rsid w:val="29566594"/>
    <w:rsid w:val="2C517E95"/>
    <w:rsid w:val="2CC05A72"/>
    <w:rsid w:val="2DAC5901"/>
    <w:rsid w:val="2E0640F1"/>
    <w:rsid w:val="2F10404A"/>
    <w:rsid w:val="2F414301"/>
    <w:rsid w:val="2FD21D21"/>
    <w:rsid w:val="2FDC4204"/>
    <w:rsid w:val="31956D1A"/>
    <w:rsid w:val="3328408B"/>
    <w:rsid w:val="338555B5"/>
    <w:rsid w:val="33F87F40"/>
    <w:rsid w:val="340C19B4"/>
    <w:rsid w:val="34922A6A"/>
    <w:rsid w:val="35114BB0"/>
    <w:rsid w:val="35843D38"/>
    <w:rsid w:val="37C41029"/>
    <w:rsid w:val="38904B42"/>
    <w:rsid w:val="3AEC2BEB"/>
    <w:rsid w:val="3B0769CB"/>
    <w:rsid w:val="3B3C3FBC"/>
    <w:rsid w:val="3CE4316F"/>
    <w:rsid w:val="3E166489"/>
    <w:rsid w:val="3EB7573B"/>
    <w:rsid w:val="3FEF32E0"/>
    <w:rsid w:val="4017080B"/>
    <w:rsid w:val="44D157B9"/>
    <w:rsid w:val="451810A6"/>
    <w:rsid w:val="481D4B42"/>
    <w:rsid w:val="4A526C97"/>
    <w:rsid w:val="4A996742"/>
    <w:rsid w:val="4B9663A0"/>
    <w:rsid w:val="4C0360BD"/>
    <w:rsid w:val="4E2E7EF5"/>
    <w:rsid w:val="4E834AF5"/>
    <w:rsid w:val="506A68C0"/>
    <w:rsid w:val="512F71E9"/>
    <w:rsid w:val="51595257"/>
    <w:rsid w:val="51BA7686"/>
    <w:rsid w:val="52FF0E87"/>
    <w:rsid w:val="530C15BB"/>
    <w:rsid w:val="533E2BAA"/>
    <w:rsid w:val="546B25DD"/>
    <w:rsid w:val="5617189A"/>
    <w:rsid w:val="57973321"/>
    <w:rsid w:val="585B6A2F"/>
    <w:rsid w:val="5880554F"/>
    <w:rsid w:val="58C06006"/>
    <w:rsid w:val="59110C76"/>
    <w:rsid w:val="591618A1"/>
    <w:rsid w:val="598C20D0"/>
    <w:rsid w:val="5C8341D7"/>
    <w:rsid w:val="5D88384E"/>
    <w:rsid w:val="5D8A778A"/>
    <w:rsid w:val="5E260044"/>
    <w:rsid w:val="5E6C77C4"/>
    <w:rsid w:val="600F260C"/>
    <w:rsid w:val="60206B12"/>
    <w:rsid w:val="60474DA2"/>
    <w:rsid w:val="608823DF"/>
    <w:rsid w:val="60ED42E9"/>
    <w:rsid w:val="612C748D"/>
    <w:rsid w:val="61DD74DB"/>
    <w:rsid w:val="630F6653"/>
    <w:rsid w:val="644E5F8D"/>
    <w:rsid w:val="645A64E4"/>
    <w:rsid w:val="64F056B2"/>
    <w:rsid w:val="661B3EA0"/>
    <w:rsid w:val="667C7C82"/>
    <w:rsid w:val="668753E2"/>
    <w:rsid w:val="66912327"/>
    <w:rsid w:val="67404E5C"/>
    <w:rsid w:val="67D26CA1"/>
    <w:rsid w:val="68583607"/>
    <w:rsid w:val="6A61405B"/>
    <w:rsid w:val="6BB06C3D"/>
    <w:rsid w:val="6BCB1877"/>
    <w:rsid w:val="6BD82381"/>
    <w:rsid w:val="6C614C53"/>
    <w:rsid w:val="6D36767F"/>
    <w:rsid w:val="6D535020"/>
    <w:rsid w:val="6D7A3B8E"/>
    <w:rsid w:val="6DA219DF"/>
    <w:rsid w:val="6E9D7E21"/>
    <w:rsid w:val="70101BA8"/>
    <w:rsid w:val="70584BDC"/>
    <w:rsid w:val="71192915"/>
    <w:rsid w:val="72C35701"/>
    <w:rsid w:val="73AD6EE2"/>
    <w:rsid w:val="74365CD8"/>
    <w:rsid w:val="761E2F1C"/>
    <w:rsid w:val="77C523CC"/>
    <w:rsid w:val="78EA6AE5"/>
    <w:rsid w:val="7A066E96"/>
    <w:rsid w:val="7A921513"/>
    <w:rsid w:val="7AF35A12"/>
    <w:rsid w:val="7B31568C"/>
    <w:rsid w:val="7DAF1367"/>
    <w:rsid w:val="7EA471EA"/>
    <w:rsid w:val="7EFB13DA"/>
    <w:rsid w:val="7FD70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4"/>
    <w:basedOn w:val="1"/>
    <w:next w:val="1"/>
    <w:qFormat/>
    <w:uiPriority w:val="0"/>
    <w:pPr>
      <w:keepNext/>
      <w:keepLines/>
      <w:spacing w:line="360" w:lineRule="auto"/>
      <w:outlineLvl w:val="3"/>
    </w:pPr>
    <w:rPr>
      <w:rFonts w:ascii="Arial" w:hAnsi="Arial"/>
      <w:b/>
      <w:kern w:val="0"/>
      <w:sz w:val="20"/>
    </w:rPr>
  </w:style>
  <w:style w:type="character" w:default="1" w:styleId="13">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widowControl w:val="0"/>
      <w:jc w:val="center"/>
    </w:pPr>
    <w:rPr>
      <w:rFonts w:ascii="黑体" w:hAnsi="Times New Roman" w:eastAsia="黑体" w:cs="Times New Roman"/>
      <w:b/>
      <w:bCs/>
      <w:kern w:val="2"/>
      <w:sz w:val="52"/>
      <w:szCs w:val="24"/>
      <w:lang w:val="en-US" w:eastAsia="zh-CN" w:bidi="ar-SA"/>
    </w:rPr>
  </w:style>
  <w:style w:type="paragraph" w:styleId="6">
    <w:name w:val="Body Text Indent"/>
    <w:basedOn w:val="1"/>
    <w:qFormat/>
    <w:uiPriority w:val="0"/>
    <w:pPr>
      <w:spacing w:after="120"/>
      <w:ind w:left="420" w:leftChars="200"/>
    </w:pPr>
    <w:rPr>
      <w:szCs w:val="20"/>
    </w:rPr>
  </w:style>
  <w:style w:type="paragraph" w:styleId="7">
    <w:name w:val="Date"/>
    <w:basedOn w:val="1"/>
    <w:next w:val="1"/>
    <w:qFormat/>
    <w:uiPriority w:val="0"/>
    <w:rPr>
      <w:sz w:val="24"/>
    </w:rPr>
  </w:style>
  <w:style w:type="paragraph" w:styleId="8">
    <w:name w:val="Body Text Indent 2"/>
    <w:basedOn w:val="1"/>
    <w:qFormat/>
    <w:uiPriority w:val="0"/>
    <w:pPr>
      <w:widowControl/>
      <w:spacing w:line="360" w:lineRule="auto"/>
      <w:ind w:firstLine="480" w:firstLineChars="200"/>
      <w:jc w:val="left"/>
    </w:pPr>
    <w:rPr>
      <w:rFonts w:ascii="宋体" w:hAnsi="宋体"/>
      <w:kern w:val="0"/>
      <w:sz w:val="24"/>
      <w:lang w:bidi="en-US"/>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page number"/>
    <w:basedOn w:val="13"/>
    <w:qFormat/>
    <w:uiPriority w:val="0"/>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font11"/>
    <w:basedOn w:val="13"/>
    <w:qFormat/>
    <w:uiPriority w:val="0"/>
    <w:rPr>
      <w:rFonts w:hint="eastAsia" w:ascii="宋体" w:hAnsi="宋体" w:eastAsia="宋体" w:cs="宋体"/>
      <w:color w:val="000000"/>
      <w:sz w:val="22"/>
      <w:szCs w:val="22"/>
      <w:u w:val="none"/>
    </w:rPr>
  </w:style>
  <w:style w:type="character" w:customStyle="1" w:styleId="18">
    <w:name w:val="font01"/>
    <w:basedOn w:val="13"/>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2018-08-21T02:45:00Z</dcterms:created>
  <dc:creator>A 郝梦格13939090237</dc:creator>
  <cp:lastModifiedBy>A 郝梦格13939090237</cp:lastModifiedBy>
  <cp:lastPrinted>2019-04-08T01:07:00Z</cp:lastPrinted>
  <dcterms:modified xsi:type="dcterms:W3CDTF">2019-07-03T07:30:26Z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