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sz w:val="28"/>
          <w:szCs w:val="28"/>
        </w:rPr>
      </w:pPr>
    </w:p>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黑体" w:hAnsi="黑体" w:eastAsia="黑体" w:cs="黑体"/>
          <w:b/>
          <w:bCs/>
          <w:sz w:val="36"/>
          <w:szCs w:val="36"/>
        </w:rPr>
      </w:pPr>
    </w:p>
    <w:p>
      <w:pPr>
        <w:adjustRightInd w:val="0"/>
        <w:snapToGrid w:val="0"/>
        <w:jc w:val="center"/>
        <w:rPr>
          <w:rFonts w:hint="eastAsia" w:ascii="隶书" w:hAnsi="宋体" w:eastAsia="黑体"/>
          <w:b/>
          <w:bCs/>
          <w:sz w:val="48"/>
          <w:szCs w:val="48"/>
        </w:rPr>
      </w:pPr>
      <w:r>
        <w:rPr>
          <w:rFonts w:hint="eastAsia" w:ascii="隶书" w:hAnsi="宋体" w:eastAsia="黑体"/>
          <w:b/>
          <w:bCs/>
          <w:sz w:val="48"/>
          <w:szCs w:val="48"/>
        </w:rPr>
        <w:t>建安区国储林基地生态农业体验园</w:t>
      </w:r>
    </w:p>
    <w:p>
      <w:pPr>
        <w:adjustRightInd w:val="0"/>
        <w:snapToGrid w:val="0"/>
        <w:jc w:val="center"/>
        <w:rPr>
          <w:rFonts w:ascii="隶书" w:hAnsi="宋体" w:eastAsia="黑体"/>
          <w:b/>
          <w:bCs/>
          <w:sz w:val="48"/>
          <w:szCs w:val="48"/>
        </w:rPr>
      </w:pPr>
      <w:r>
        <w:rPr>
          <w:rFonts w:hint="eastAsia" w:ascii="隶书" w:hAnsi="宋体" w:eastAsia="黑体"/>
          <w:b/>
          <w:bCs/>
          <w:sz w:val="48"/>
          <w:szCs w:val="48"/>
        </w:rPr>
        <w:t>营地帐篷采购</w:t>
      </w:r>
    </w:p>
    <w:p/>
    <w:p/>
    <w:p/>
    <w:p>
      <w:pPr>
        <w:adjustRightInd w:val="0"/>
        <w:snapToGrid w:val="0"/>
        <w:jc w:val="center"/>
        <w:rPr>
          <w:rFonts w:ascii="楷体" w:hAnsi="楷体" w:eastAsia="楷体" w:cs="楷体"/>
          <w:b/>
          <w:bCs/>
          <w:sz w:val="72"/>
          <w:szCs w:val="96"/>
        </w:rPr>
      </w:pPr>
      <w:r>
        <w:rPr>
          <w:rFonts w:hint="eastAsia" w:ascii="楷体" w:hAnsi="楷体" w:eastAsia="楷体" w:cs="楷体"/>
          <w:b/>
          <w:sz w:val="72"/>
          <w:szCs w:val="96"/>
        </w:rPr>
        <w:t>竞争性</w:t>
      </w:r>
      <w:r>
        <w:rPr>
          <w:rFonts w:hint="eastAsia" w:ascii="楷体" w:hAnsi="楷体" w:eastAsia="楷体" w:cs="楷体"/>
          <w:b/>
          <w:bCs/>
          <w:sz w:val="72"/>
          <w:szCs w:val="96"/>
        </w:rPr>
        <w:t>谈判文件</w:t>
      </w:r>
    </w:p>
    <w:p/>
    <w:p>
      <w:r>
        <w:rPr>
          <w:b/>
        </w:rPr>
        <w:drawing>
          <wp:anchor distT="0" distB="0" distL="114300" distR="114300" simplePos="0" relativeHeight="251658240" behindDoc="1" locked="0" layoutInCell="1" allowOverlap="1">
            <wp:simplePos x="0" y="0"/>
            <wp:positionH relativeFrom="column">
              <wp:posOffset>1975485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7" cstate="print"/>
                    <a:stretch>
                      <a:fillRect/>
                    </a:stretch>
                  </pic:blipFill>
                  <pic:spPr>
                    <a:xfrm>
                      <a:off x="0" y="0"/>
                      <a:ext cx="1879600" cy="3289300"/>
                    </a:xfrm>
                    <a:prstGeom prst="rect">
                      <a:avLst/>
                    </a:prstGeom>
                    <a:noFill/>
                    <a:ln w="9525">
                      <a:noFill/>
                    </a:ln>
                  </pic:spPr>
                </pic:pic>
              </a:graphicData>
            </a:graphic>
          </wp:anchor>
        </w:drawing>
      </w:r>
    </w:p>
    <w:p>
      <w:pPr>
        <w:pStyle w:val="30"/>
        <w:ind w:firstLine="240"/>
      </w:pPr>
    </w:p>
    <w:p>
      <w:pPr>
        <w:pStyle w:val="30"/>
        <w:ind w:firstLine="240"/>
      </w:pPr>
    </w:p>
    <w:p>
      <w:pPr>
        <w:pStyle w:val="30"/>
        <w:ind w:firstLine="240"/>
      </w:pPr>
    </w:p>
    <w:p>
      <w:pPr>
        <w:pStyle w:val="30"/>
        <w:ind w:firstLine="240"/>
      </w:pPr>
    </w:p>
    <w:p>
      <w:pPr>
        <w:pStyle w:val="30"/>
        <w:ind w:firstLine="240"/>
      </w:pPr>
    </w:p>
    <w:p>
      <w:pPr>
        <w:pStyle w:val="30"/>
        <w:ind w:firstLine="240"/>
      </w:pPr>
    </w:p>
    <w:p>
      <w:pPr>
        <w:pStyle w:val="30"/>
        <w:ind w:firstLine="240"/>
      </w:pPr>
    </w:p>
    <w:p>
      <w:pPr>
        <w:pStyle w:val="30"/>
        <w:ind w:firstLine="240"/>
      </w:pPr>
    </w:p>
    <w:p>
      <w:pPr>
        <w:pStyle w:val="30"/>
        <w:ind w:firstLine="240"/>
      </w:pPr>
    </w:p>
    <w:p/>
    <w:p/>
    <w:p>
      <w:pPr>
        <w:adjustRightInd w:val="0"/>
        <w:snapToGrid w:val="0"/>
        <w:spacing w:line="300" w:lineRule="auto"/>
        <w:rPr>
          <w:rFonts w:ascii="隶书" w:eastAsia="隶书"/>
          <w:b/>
          <w:bCs/>
          <w:sz w:val="28"/>
        </w:rPr>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项目编号：GZCG-T2019</w:t>
      </w:r>
      <w:r>
        <w:rPr>
          <w:rFonts w:hint="eastAsia" w:asciiTheme="minorEastAsia" w:hAnsiTheme="minorEastAsia" w:eastAsiaTheme="minorEastAsia" w:cstheme="minorEastAsia"/>
          <w:b/>
          <w:bCs/>
          <w:sz w:val="28"/>
          <w:szCs w:val="28"/>
          <w:lang w:val="en-US" w:eastAsia="zh-CN"/>
        </w:rPr>
        <w:t>006</w:t>
      </w:r>
      <w:r>
        <w:rPr>
          <w:rFonts w:hint="eastAsia" w:asciiTheme="minorEastAsia" w:hAnsiTheme="minorEastAsia" w:eastAsiaTheme="minorEastAsia" w:cstheme="minorEastAsia"/>
          <w:b/>
          <w:bCs/>
          <w:sz w:val="28"/>
          <w:szCs w:val="28"/>
        </w:rPr>
        <w:t>号</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采 购 人：许昌吉象文化旅游开发有限公司</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代理机构：中建山河建设管理集团有限公司</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时    间：二〇一九年六月</w:t>
      </w:r>
    </w:p>
    <w:p>
      <w:pPr>
        <w:widowControl/>
        <w:jc w:val="left"/>
        <w:rPr>
          <w:rFonts w:ascii="华文中宋" w:hAnsi="华文中宋" w:eastAsia="华文中宋"/>
          <w:b/>
          <w:kern w:val="36"/>
          <w:sz w:val="44"/>
          <w:szCs w:val="44"/>
        </w:rPr>
      </w:pPr>
      <w:r>
        <w:rPr>
          <w:rFonts w:ascii="华文中宋" w:hAnsi="华文中宋" w:eastAsia="华文中宋"/>
          <w:b/>
          <w:kern w:val="36"/>
          <w:sz w:val="44"/>
          <w:szCs w:val="44"/>
        </w:rPr>
        <w:br w:type="page"/>
      </w: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u w:val="single"/>
        </w:rPr>
        <w:t>中建山河建设管理集团有限公司</w:t>
      </w:r>
      <w:r>
        <w:rPr>
          <w:rFonts w:hint="eastAsia" w:ascii="宋体" w:hAnsi="宋体" w:cs="宋体"/>
          <w:kern w:val="0"/>
          <w:sz w:val="24"/>
        </w:rPr>
        <w:t>受</w:t>
      </w:r>
      <w:r>
        <w:rPr>
          <w:rFonts w:hint="eastAsia" w:ascii="宋体" w:hAnsi="宋体" w:cs="宋体"/>
          <w:kern w:val="0"/>
          <w:sz w:val="24"/>
          <w:u w:val="single"/>
        </w:rPr>
        <w:t>许昌吉象文化旅游开发有限公司</w:t>
      </w:r>
      <w:r>
        <w:rPr>
          <w:rFonts w:hint="eastAsia" w:ascii="宋体" w:hAnsi="宋体" w:cs="宋体"/>
          <w:kern w:val="0"/>
          <w:sz w:val="24"/>
        </w:rPr>
        <w:t>的委托，根据委托协议委托的事项，就“建安区国储林基地生态农业体验园营地帐篷采购”项目进行竞争性谈判采购，欢迎合格的供应商参加谈判。</w:t>
      </w:r>
    </w:p>
    <w:p>
      <w:pPr>
        <w:pStyle w:val="28"/>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（一）项目名称：建安区国储林基地生态农业体验园营地帐篷采购</w:t>
      </w:r>
    </w:p>
    <w:p>
      <w:pPr>
        <w:pStyle w:val="28"/>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（二）项目编号：GZCG-T2019</w:t>
      </w:r>
      <w:r>
        <w:rPr>
          <w:rFonts w:hint="eastAsia"/>
          <w:shd w:val="clear" w:color="auto" w:fill="FFFFFF"/>
          <w:lang w:val="en-US" w:eastAsia="zh-CN"/>
        </w:rPr>
        <w:t>006</w:t>
      </w:r>
      <w:r>
        <w:rPr>
          <w:rFonts w:hint="eastAsia"/>
          <w:shd w:val="clear" w:color="auto" w:fill="FFFFFF"/>
        </w:rPr>
        <w:t>号</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（三）采购方式：竞争性谈判</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（四）项目需求：采购62顶迷彩棉帐篷及提供62顶帐篷所需的木地板及安装，每顶帐篷的木地板面积为40平方米（5*8米），总面积2480平方米。主要产品名称：规格及数量详见采购计划表要求。</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（五）预算金额（最高限价）：A包31万元；B包</w:t>
      </w:r>
      <w:r>
        <w:rPr>
          <w:rFonts w:hint="eastAsia"/>
          <w:shd w:val="clear" w:color="auto" w:fill="FFFFFF"/>
          <w:lang w:eastAsia="zh-CN"/>
        </w:rPr>
        <w:t>60</w:t>
      </w:r>
      <w:r>
        <w:rPr>
          <w:rFonts w:hint="eastAsia"/>
          <w:shd w:val="clear" w:color="auto" w:fill="FFFFFF"/>
        </w:rPr>
        <w:t>万元。</w:t>
      </w:r>
    </w:p>
    <w:p>
      <w:pPr>
        <w:pStyle w:val="21"/>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（六）交付（服务、完工）时间：合同签订之日起30日历天。</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（七）交付（服务、完工）地点：河南省许昌市新元大道与新建107国道交叉口南2公里处（国储林基地项目所在地）。</w:t>
      </w:r>
    </w:p>
    <w:p>
      <w:pPr>
        <w:pStyle w:val="28"/>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8"/>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8"/>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8"/>
        <w:shd w:val="clear" w:color="auto" w:fill="FFFFFF"/>
        <w:spacing w:before="0" w:beforeAutospacing="0" w:after="0" w:afterAutospacing="0" w:line="360" w:lineRule="auto"/>
        <w:ind w:firstLine="562"/>
      </w:pPr>
      <w:r>
        <w:rPr>
          <w:rFonts w:hint="eastAsia"/>
        </w:rPr>
        <w:t>（一）具备《政府采购法》第二十二条第一款规定条件并提供相关材料；</w:t>
      </w:r>
    </w:p>
    <w:p>
      <w:pPr>
        <w:pStyle w:val="28"/>
        <w:shd w:val="clear" w:color="auto" w:fill="FFFFFF"/>
        <w:spacing w:before="0" w:beforeAutospacing="0" w:after="0" w:afterAutospacing="0" w:line="360" w:lineRule="auto"/>
        <w:ind w:firstLine="562"/>
      </w:pPr>
      <w:r>
        <w:rPr>
          <w:rFonts w:hint="eastAsia"/>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28"/>
        <w:shd w:val="clear" w:color="auto" w:fill="FFFFFF"/>
        <w:spacing w:before="0" w:beforeAutospacing="0" w:after="0" w:afterAutospacing="0" w:line="360" w:lineRule="auto"/>
        <w:ind w:firstLine="562"/>
      </w:pPr>
      <w:r>
        <w:rPr>
          <w:rFonts w:hint="eastAsia"/>
        </w:rPr>
        <w:t>（三）本项目不接受联合体参加谈判。</w:t>
      </w:r>
    </w:p>
    <w:p>
      <w:pPr>
        <w:pStyle w:val="28"/>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sz w:val="24"/>
          <w:shd w:val="clear" w:color="auto" w:fill="FFFFFF"/>
        </w:rPr>
      </w:pPr>
      <w:r>
        <w:rPr>
          <w:rFonts w:hint="eastAsia" w:ascii="宋体" w:hAnsi="宋体" w:cs="宋体"/>
          <w:kern w:val="0"/>
          <w:sz w:val="24"/>
        </w:rPr>
        <w:t>（三）谈判文件售价：人民币300元，供应商在递交谈判响应文件时向代理公司交纳谈判文件费用，售后不退。</w:t>
      </w:r>
    </w:p>
    <w:p>
      <w:pPr>
        <w:pStyle w:val="28"/>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8"/>
        <w:shd w:val="clear" w:color="auto" w:fill="FFFFFF"/>
        <w:spacing w:before="0" w:beforeAutospacing="0" w:after="0" w:afterAutospacing="0" w:line="360" w:lineRule="auto"/>
        <w:ind w:firstLine="562"/>
      </w:pPr>
      <w:r>
        <w:rPr>
          <w:rFonts w:hint="eastAsia"/>
          <w:shd w:val="clear" w:color="auto" w:fill="FFFFFF"/>
        </w:rPr>
        <w:t>（一）谈判文件接收截止及谈判时间：2019年</w:t>
      </w:r>
      <w:r>
        <w:rPr>
          <w:rFonts w:hint="eastAsia"/>
          <w:shd w:val="clear" w:color="auto" w:fill="FFFFFF"/>
          <w:lang w:val="en-US" w:eastAsia="zh-CN"/>
        </w:rPr>
        <w:t>7</w:t>
      </w:r>
      <w:r>
        <w:rPr>
          <w:rFonts w:hint="eastAsia"/>
          <w:shd w:val="clear" w:color="auto" w:fill="FFFFFF"/>
        </w:rPr>
        <w:t>月</w:t>
      </w:r>
      <w:r>
        <w:rPr>
          <w:rFonts w:hint="eastAsia"/>
          <w:shd w:val="clear" w:color="auto" w:fill="FFFFFF"/>
          <w:lang w:val="en-US" w:eastAsia="zh-CN"/>
        </w:rPr>
        <w:t>4</w:t>
      </w:r>
      <w:r>
        <w:rPr>
          <w:rFonts w:hint="eastAsia"/>
          <w:shd w:val="clear" w:color="auto" w:fill="FFFFFF"/>
        </w:rPr>
        <w:t>日</w:t>
      </w:r>
      <w:r>
        <w:rPr>
          <w:rFonts w:hint="eastAsia"/>
          <w:shd w:val="clear" w:color="auto" w:fill="FFFFFF"/>
          <w:lang w:val="en-US" w:eastAsia="zh-CN"/>
        </w:rPr>
        <w:t>8</w:t>
      </w:r>
      <w:r>
        <w:rPr>
          <w:rFonts w:hint="eastAsia"/>
          <w:shd w:val="clear" w:color="auto" w:fill="FFFFFF"/>
        </w:rPr>
        <w:t>时</w:t>
      </w:r>
      <w:r>
        <w:rPr>
          <w:rFonts w:hint="eastAsia"/>
          <w:shd w:val="clear" w:color="auto" w:fill="FFFFFF"/>
          <w:lang w:val="en-US" w:eastAsia="zh-CN"/>
        </w:rPr>
        <w:t>30</w:t>
      </w:r>
      <w:r>
        <w:rPr>
          <w:rFonts w:hint="eastAsia"/>
          <w:shd w:val="clear" w:color="auto" w:fill="FFFFFF"/>
        </w:rPr>
        <w:t>分（北京时间），逾期送达或不符合规定的响应文件不予接受。</w:t>
      </w:r>
    </w:p>
    <w:p>
      <w:pPr>
        <w:pStyle w:val="28"/>
        <w:shd w:val="clear" w:color="auto" w:fill="FFFFFF"/>
        <w:spacing w:before="0" w:beforeAutospacing="0" w:after="0" w:afterAutospacing="0" w:line="360" w:lineRule="auto"/>
        <w:ind w:firstLine="562"/>
        <w:rPr>
          <w:shd w:val="clear" w:color="auto" w:fill="FFFFFF"/>
        </w:rPr>
      </w:pPr>
      <w:r>
        <w:rPr>
          <w:rFonts w:hint="eastAsia"/>
          <w:shd w:val="clear" w:color="auto" w:fill="FFFFFF"/>
        </w:rPr>
        <w:t>（二）谈判地点：</w:t>
      </w:r>
      <w:r>
        <w:rPr>
          <w:rFonts w:hint="eastAsia"/>
        </w:rPr>
        <w:t xml:space="preserve">许昌公共资源交易中心开标 </w:t>
      </w:r>
      <w:r>
        <w:rPr>
          <w:rFonts w:hint="eastAsia"/>
          <w:lang w:eastAsia="zh-CN"/>
        </w:rPr>
        <w:t>五</w:t>
      </w:r>
      <w:r>
        <w:rPr>
          <w:rFonts w:hint="eastAsia"/>
          <w:lang w:val="en-US" w:eastAsia="zh-CN"/>
        </w:rPr>
        <w:t xml:space="preserve"> </w:t>
      </w:r>
      <w:r>
        <w:rPr>
          <w:rFonts w:hint="eastAsia"/>
        </w:rPr>
        <w:t>室（许昌市龙兴路与竹林路交汇处公共资源交易大厦三楼）</w:t>
      </w:r>
      <w:r>
        <w:rPr>
          <w:rFonts w:hint="eastAsia"/>
          <w:shd w:val="clear" w:color="auto" w:fill="FFFFFF"/>
        </w:rPr>
        <w:t>。</w:t>
      </w:r>
    </w:p>
    <w:p>
      <w:pPr>
        <w:pStyle w:val="28"/>
        <w:shd w:val="clear" w:color="auto" w:fill="FFFFFF"/>
        <w:spacing w:line="360" w:lineRule="auto"/>
        <w:ind w:firstLine="420"/>
        <w:contextualSpacing/>
        <w:rPr>
          <w:rFonts w:cs="仿宋_GB2312"/>
          <w:color w:val="000000"/>
        </w:rPr>
      </w:pPr>
      <w:r>
        <w:rPr>
          <w:rFonts w:hint="eastAsia" w:cs="仿宋_GB2312"/>
          <w:color w:val="000000"/>
        </w:rPr>
        <w:t>（三）本项目为全流程电子化交易项目，供应商须提交电子响应文件和纸质响应文件。</w:t>
      </w:r>
    </w:p>
    <w:p>
      <w:pPr>
        <w:pStyle w:val="28"/>
        <w:shd w:val="clear" w:color="auto" w:fill="FFFFFF"/>
        <w:spacing w:line="360" w:lineRule="auto"/>
        <w:ind w:firstLine="420"/>
        <w:contextualSpacing/>
        <w:rPr>
          <w:rFonts w:cs="仿宋_GB2312"/>
          <w:color w:val="000000"/>
        </w:rPr>
      </w:pPr>
      <w:r>
        <w:rPr>
          <w:rFonts w:hint="eastAsia" w:cs="仿宋_GB2312"/>
          <w:color w:val="000000"/>
        </w:rPr>
        <w:t>1、加密电子响应文件（.file格式）须在投标截止时间（开标时间）前通过《全国公共资源交易平台(河南省▪许昌市)》公共资源交易系统成功上传。</w:t>
      </w:r>
    </w:p>
    <w:p>
      <w:pPr>
        <w:pStyle w:val="28"/>
        <w:shd w:val="clear" w:color="auto" w:fill="FFFFFF"/>
        <w:spacing w:line="360" w:lineRule="auto"/>
        <w:ind w:firstLine="420"/>
        <w:contextualSpacing/>
        <w:rPr>
          <w:rFonts w:cs="仿宋_GB2312"/>
          <w:color w:val="000000"/>
        </w:rPr>
      </w:pPr>
      <w:r>
        <w:rPr>
          <w:rFonts w:hint="eastAsia" w:cs="仿宋_GB2312"/>
          <w:color w:val="000000"/>
        </w:rPr>
        <w:t>2、纸质响应文件（正本1份、副本2份）和备份文件1份（使用电子介质存储）在投标截止时间（开标时间）前递交至本项目开标地点。</w:t>
      </w:r>
    </w:p>
    <w:p>
      <w:pPr>
        <w:pStyle w:val="28"/>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六、本次谈判公告同时在《中国采购与招标网》、《河南招标采购综合网》、《全国公共资源交易平台（河南省·许昌市）》发布。</w:t>
      </w:r>
    </w:p>
    <w:p>
      <w:pPr>
        <w:pStyle w:val="28"/>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8"/>
        <w:shd w:val="clear" w:color="auto" w:fill="FFFFFF"/>
        <w:spacing w:before="0" w:beforeAutospacing="0" w:after="0" w:afterAutospacing="0" w:line="360" w:lineRule="auto"/>
        <w:ind w:firstLine="482" w:firstLineChars="200"/>
        <w:rPr>
          <w:b/>
          <w:bCs/>
        </w:rPr>
      </w:pPr>
      <w:r>
        <w:rPr>
          <w:rFonts w:hint="eastAsia"/>
          <w:b/>
          <w:bCs/>
          <w:shd w:val="clear" w:color="auto" w:fill="FFFFFF"/>
        </w:rPr>
        <w:t>八、联系方式</w:t>
      </w:r>
    </w:p>
    <w:p>
      <w:pPr>
        <w:pStyle w:val="28"/>
        <w:shd w:val="clear" w:color="auto" w:fill="FFFFFF"/>
        <w:spacing w:line="360" w:lineRule="auto"/>
        <w:ind w:firstLine="420"/>
        <w:contextualSpacing/>
        <w:rPr>
          <w:rFonts w:cs="仿宋_GB2312"/>
        </w:rPr>
      </w:pPr>
      <w:r>
        <w:rPr>
          <w:rFonts w:hint="eastAsia" w:cs="仿宋_GB2312"/>
        </w:rPr>
        <w:t xml:space="preserve">招 标 人：许昌吉象文化旅游开发有限公司  </w:t>
      </w:r>
    </w:p>
    <w:p>
      <w:pPr>
        <w:pStyle w:val="28"/>
        <w:shd w:val="clear" w:color="auto" w:fill="FFFFFF"/>
        <w:spacing w:line="360" w:lineRule="auto"/>
        <w:ind w:firstLine="420"/>
        <w:contextualSpacing/>
        <w:rPr>
          <w:rFonts w:cs="仿宋_GB2312"/>
        </w:rPr>
      </w:pPr>
      <w:r>
        <w:rPr>
          <w:rFonts w:hint="eastAsia" w:cs="仿宋_GB2312"/>
        </w:rPr>
        <w:t>地    址：许昌市八一东路3799号</w:t>
      </w:r>
    </w:p>
    <w:p>
      <w:pPr>
        <w:pStyle w:val="28"/>
        <w:shd w:val="clear" w:color="auto" w:fill="FFFFFF"/>
        <w:spacing w:line="360" w:lineRule="auto"/>
        <w:ind w:firstLine="420"/>
        <w:contextualSpacing/>
        <w:rPr>
          <w:rFonts w:cs="仿宋_GB2312"/>
        </w:rPr>
      </w:pPr>
      <w:r>
        <w:rPr>
          <w:rFonts w:hint="eastAsia" w:cs="仿宋_GB2312"/>
        </w:rPr>
        <w:t>联 系 人：王先生</w:t>
      </w:r>
    </w:p>
    <w:p>
      <w:pPr>
        <w:pStyle w:val="28"/>
        <w:shd w:val="clear" w:color="auto" w:fill="FFFFFF"/>
        <w:spacing w:line="360" w:lineRule="auto"/>
        <w:ind w:firstLine="420"/>
        <w:contextualSpacing/>
        <w:rPr>
          <w:rFonts w:cs="仿宋_GB2312"/>
        </w:rPr>
      </w:pPr>
      <w:r>
        <w:rPr>
          <w:rFonts w:hint="eastAsia" w:cs="仿宋_GB2312"/>
        </w:rPr>
        <w:t>联系电话： 0374-6069077</w:t>
      </w:r>
    </w:p>
    <w:p>
      <w:pPr>
        <w:pStyle w:val="28"/>
        <w:shd w:val="clear" w:color="auto" w:fill="FFFFFF"/>
        <w:spacing w:line="360" w:lineRule="auto"/>
        <w:ind w:firstLine="420"/>
        <w:contextualSpacing/>
        <w:rPr>
          <w:rFonts w:cs="仿宋_GB2312"/>
        </w:rPr>
      </w:pPr>
      <w:r>
        <w:rPr>
          <w:rFonts w:hint="eastAsia" w:cs="仿宋_GB2312"/>
        </w:rPr>
        <w:t>代理机构：中建山河建设管理集团有限公司</w:t>
      </w:r>
    </w:p>
    <w:p>
      <w:pPr>
        <w:pStyle w:val="28"/>
        <w:shd w:val="clear" w:color="auto" w:fill="FFFFFF"/>
        <w:spacing w:line="360" w:lineRule="auto"/>
        <w:ind w:firstLine="420"/>
        <w:contextualSpacing/>
        <w:rPr>
          <w:rFonts w:cs="仿宋_GB2312"/>
        </w:rPr>
      </w:pPr>
      <w:r>
        <w:rPr>
          <w:rFonts w:hint="eastAsia" w:cs="仿宋_GB2312"/>
        </w:rPr>
        <w:t>项目负责人：郭先生</w:t>
      </w:r>
    </w:p>
    <w:p>
      <w:pPr>
        <w:pStyle w:val="28"/>
        <w:shd w:val="clear" w:color="auto" w:fill="FFFFFF"/>
        <w:spacing w:line="360" w:lineRule="auto"/>
        <w:ind w:firstLine="420"/>
        <w:contextualSpacing/>
        <w:rPr>
          <w:rFonts w:cs="仿宋_GB2312"/>
          <w:shd w:val="clear" w:color="auto" w:fill="FFFFFF"/>
        </w:rPr>
      </w:pPr>
      <w:r>
        <w:rPr>
          <w:rFonts w:hint="eastAsia" w:cs="仿宋_GB2312"/>
        </w:rPr>
        <w:t>联系电话：13569917698</w:t>
      </w:r>
    </w:p>
    <w:p>
      <w:pPr>
        <w:pStyle w:val="28"/>
        <w:shd w:val="clear" w:color="auto" w:fill="FFFFFF"/>
        <w:spacing w:line="360" w:lineRule="auto"/>
        <w:ind w:left="5759" w:leftChars="228" w:hanging="5280" w:hangingChars="2200"/>
        <w:contextualSpacing/>
        <w:jc w:val="right"/>
        <w:rPr>
          <w:rFonts w:cs="仿宋_GB2312"/>
        </w:rPr>
      </w:pPr>
      <w:r>
        <w:rPr>
          <w:rFonts w:hint="eastAsia" w:cs="仿宋_GB2312"/>
        </w:rPr>
        <w:t xml:space="preserve">许昌吉象文化旅游开发有限公司                                        </w:t>
      </w:r>
    </w:p>
    <w:p>
      <w:pPr>
        <w:pStyle w:val="28"/>
        <w:shd w:val="clear" w:color="auto" w:fill="FFFFFF"/>
        <w:wordWrap w:val="0"/>
        <w:spacing w:line="360" w:lineRule="auto"/>
        <w:ind w:left="5759" w:leftChars="228" w:hanging="5280" w:hangingChars="2200"/>
        <w:contextualSpacing/>
        <w:jc w:val="right"/>
        <w:rPr>
          <w:rFonts w:cs="仿宋_GB2312"/>
        </w:rPr>
      </w:pPr>
      <w:r>
        <w:rPr>
          <w:rFonts w:hint="eastAsia" w:cs="仿宋_GB2312"/>
        </w:rPr>
        <w:t>2019年</w:t>
      </w:r>
      <w:r>
        <w:rPr>
          <w:rFonts w:hint="eastAsia" w:cs="仿宋_GB2312"/>
          <w:lang w:val="en-US" w:eastAsia="zh-CN"/>
        </w:rPr>
        <w:t>6</w:t>
      </w:r>
      <w:r>
        <w:rPr>
          <w:rFonts w:hint="eastAsia" w:cs="仿宋_GB2312"/>
        </w:rPr>
        <w:t>月</w:t>
      </w:r>
      <w:r>
        <w:rPr>
          <w:rFonts w:hint="eastAsia" w:cs="仿宋_GB2312"/>
          <w:lang w:val="en-US" w:eastAsia="zh-CN"/>
        </w:rPr>
        <w:t>28</w:t>
      </w:r>
      <w:r>
        <w:rPr>
          <w:rFonts w:hint="eastAsia" w:cs="仿宋_GB2312"/>
        </w:rPr>
        <w:t>日</w:t>
      </w:r>
    </w:p>
    <w:p>
      <w:pPr>
        <w:widowControl/>
        <w:shd w:val="clear" w:color="auto" w:fill="FFFFFF"/>
        <w:spacing w:line="330" w:lineRule="atLeast"/>
        <w:jc w:val="left"/>
        <w:rPr>
          <w:rFonts w:ascii="宋体" w:hAnsi="宋体" w:cs="宋体"/>
          <w:sz w:val="24"/>
          <w:szCs w:val="24"/>
        </w:rPr>
      </w:pPr>
      <w:r>
        <w:rPr>
          <w:rFonts w:hint="eastAsia" w:ascii="宋体" w:hAnsi="宋体" w:cs="宋体"/>
          <w:b/>
          <w:kern w:val="0"/>
          <w:sz w:val="24"/>
          <w:szCs w:val="24"/>
          <w:shd w:val="clear" w:color="auto" w:fill="FFFFFF"/>
        </w:rPr>
        <w:t>温馨提示：</w:t>
      </w:r>
    </w:p>
    <w:p>
      <w:pPr>
        <w:widowControl/>
        <w:shd w:val="clear" w:color="auto" w:fill="FFFFFF"/>
        <w:spacing w:line="360" w:lineRule="atLeast"/>
        <w:ind w:firstLine="643"/>
        <w:jc w:val="left"/>
        <w:rPr>
          <w:rFonts w:ascii="宋体" w:hAnsi="宋体" w:cs="宋体"/>
          <w:sz w:val="24"/>
          <w:szCs w:val="24"/>
        </w:rPr>
      </w:pPr>
      <w:r>
        <w:rPr>
          <w:rFonts w:hint="eastAsia" w:ascii="宋体" w:hAnsi="宋体" w:cs="宋体"/>
          <w:b/>
          <w:kern w:val="0"/>
          <w:sz w:val="24"/>
          <w:szCs w:val="24"/>
          <w:shd w:val="clear" w:color="auto" w:fill="FFFFFF"/>
        </w:rPr>
        <w:t>本项目为全流程电子化交易项目，请认真阅读采购文件，并注意以下事项。</w:t>
      </w:r>
    </w:p>
    <w:p>
      <w:pPr>
        <w:pStyle w:val="28"/>
        <w:shd w:val="clear" w:color="auto" w:fill="FFFFFF"/>
        <w:spacing w:before="0" w:beforeAutospacing="0" w:after="0" w:afterAutospacing="0" w:line="330" w:lineRule="atLeast"/>
        <w:ind w:firstLine="321"/>
      </w:pPr>
      <w:r>
        <w:rPr>
          <w:rFonts w:hint="eastAsia"/>
          <w:b/>
          <w:shd w:val="clear" w:color="auto" w:fill="FFFFFF"/>
        </w:rPr>
        <w:t> </w:t>
      </w:r>
    </w:p>
    <w:p>
      <w:pPr>
        <w:pStyle w:val="28"/>
        <w:shd w:val="clear" w:color="auto" w:fill="FFFFFF"/>
        <w:spacing w:before="0" w:beforeAutospacing="0" w:after="0" w:afterAutospacing="0" w:line="360" w:lineRule="atLeast"/>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pPr>
        <w:pStyle w:val="28"/>
        <w:shd w:val="clear" w:color="auto" w:fill="FFFFFF"/>
        <w:spacing w:before="0" w:beforeAutospacing="0" w:after="0" w:afterAutospacing="0" w:line="360" w:lineRule="atLeast"/>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8"/>
        <w:shd w:val="clear" w:color="auto" w:fill="FFFFFF"/>
        <w:spacing w:before="0" w:beforeAutospacing="0" w:after="0" w:afterAutospacing="0" w:line="360" w:lineRule="atLeast"/>
        <w:ind w:firstLine="643"/>
      </w:pPr>
      <w:r>
        <w:rPr>
          <w:rFonts w:hint="eastAsia"/>
          <w:b/>
          <w:shd w:val="clear" w:color="auto" w:fill="FFFFFF"/>
        </w:rPr>
        <w:t>3.电子响应文件的制作</w:t>
      </w:r>
    </w:p>
    <w:p>
      <w:pPr>
        <w:pStyle w:val="28"/>
        <w:shd w:val="clear" w:color="auto" w:fill="FFFFFF"/>
        <w:spacing w:before="0" w:beforeAutospacing="0" w:after="0" w:afterAutospacing="0" w:line="360" w:lineRule="atLeast"/>
        <w:ind w:firstLine="640"/>
      </w:pPr>
      <w:r>
        <w:rPr>
          <w:rFonts w:hint="eastAsia"/>
          <w:shd w:val="clear" w:color="auto" w:fill="FFFFFF"/>
        </w:rPr>
        <w:t>3.1 供应商登录《全国公共资源交易平台(河南省▪许昌市)》公共资源交易系统（</w:t>
      </w:r>
      <w:r>
        <w:fldChar w:fldCharType="begin"/>
      </w:r>
      <w:r>
        <w:instrText xml:space="preserve"> HYPERLINK "http://221.14.6.70:8088/ggzy/" </w:instrText>
      </w:r>
      <w:r>
        <w:fldChar w:fldCharType="separate"/>
      </w:r>
      <w:r>
        <w:rPr>
          <w:rStyle w:val="38"/>
          <w:rFonts w:hint="eastAsia"/>
          <w:shd w:val="clear" w:color="auto" w:fill="FFFFFF"/>
        </w:rPr>
        <w:t>http://221.14.6.70:8088/ggzy/</w:t>
      </w:r>
      <w:r>
        <w:rPr>
          <w:rStyle w:val="38"/>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8"/>
        <w:shd w:val="clear" w:color="auto" w:fill="FFFFFF"/>
        <w:spacing w:before="0" w:beforeAutospacing="0" w:after="0" w:afterAutospacing="0" w:line="360" w:lineRule="atLeast"/>
        <w:ind w:firstLine="640"/>
      </w:pPr>
      <w:r>
        <w:rPr>
          <w:rFonts w:hint="eastAsia"/>
          <w:shd w:val="clear" w:color="auto" w:fill="FFFFFF"/>
        </w:rPr>
        <w:t>电子响应文件的制作，参考《全国公共资源交易平台(河南省▪许昌市)》公共资源交易系统——组件下载——交易系统操作手册（供应商、供应商）。</w:t>
      </w:r>
    </w:p>
    <w:p>
      <w:pPr>
        <w:pStyle w:val="28"/>
        <w:shd w:val="clear" w:color="auto" w:fill="FFFFFF"/>
        <w:spacing w:before="0" w:beforeAutospacing="0" w:after="0" w:afterAutospacing="0" w:line="360" w:lineRule="atLeast"/>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8"/>
        <w:shd w:val="clear" w:color="auto" w:fill="FFFFFF"/>
        <w:spacing w:before="0" w:beforeAutospacing="0" w:after="0" w:afterAutospacing="0" w:line="360" w:lineRule="atLeast"/>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8"/>
        <w:shd w:val="clear" w:color="auto" w:fill="FFFFFF"/>
        <w:spacing w:before="0" w:beforeAutospacing="0" w:after="0" w:afterAutospacing="0" w:line="360" w:lineRule="atLeast"/>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8"/>
        <w:shd w:val="clear" w:color="auto" w:fill="FFFFFF"/>
        <w:spacing w:before="0" w:beforeAutospacing="0" w:after="0" w:afterAutospacing="0" w:line="360" w:lineRule="atLeast"/>
        <w:ind w:firstLine="643"/>
      </w:pPr>
      <w:r>
        <w:rPr>
          <w:rFonts w:hint="eastAsia"/>
          <w:b/>
          <w:shd w:val="clear" w:color="auto" w:fill="FFFFFF"/>
        </w:rPr>
        <w:t>4.加密电子响应文件的提交</w:t>
      </w:r>
    </w:p>
    <w:p>
      <w:pPr>
        <w:pStyle w:val="28"/>
        <w:shd w:val="clear" w:color="auto" w:fill="FFFFFF"/>
        <w:spacing w:before="0" w:beforeAutospacing="0" w:after="0" w:afterAutospacing="0" w:line="360" w:lineRule="atLeast"/>
        <w:ind w:firstLine="634"/>
      </w:pPr>
      <w:r>
        <w:rPr>
          <w:rFonts w:hint="eastAsia"/>
          <w:shd w:val="clear" w:color="auto" w:fill="FFFFFF"/>
        </w:rPr>
        <w:t>4.1加密电子响应文件应在采购文件规定的投标截止时间（开标时间）之前成功提交至《全国公共资源交易平台(河南省▪许昌市)》公共资源交易系统（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8"/>
          <w:rFonts w:hint="eastAsia"/>
          <w:shd w:val="clear" w:color="auto" w:fill="FFFFFF"/>
        </w:rPr>
        <w:t>http://221.14.6.70:8088/ggzy/</w:t>
      </w:r>
      <w:r>
        <w:rPr>
          <w:rStyle w:val="38"/>
          <w:rFonts w:hint="eastAsia"/>
          <w:shd w:val="clear" w:color="auto" w:fill="FFFFFF"/>
        </w:rPr>
        <w:fldChar w:fldCharType="end"/>
      </w:r>
      <w:r>
        <w:rPr>
          <w:rFonts w:hint="eastAsia"/>
          <w:shd w:val="clear" w:color="auto" w:fill="FFFFFF"/>
        </w:rPr>
        <w:t>）。</w:t>
      </w:r>
    </w:p>
    <w:p>
      <w:pPr>
        <w:pStyle w:val="28"/>
        <w:shd w:val="clear" w:color="auto" w:fill="FFFFFF"/>
        <w:spacing w:before="0" w:beforeAutospacing="0" w:after="0" w:afterAutospacing="0" w:line="360" w:lineRule="atLeast"/>
        <w:ind w:firstLine="640"/>
      </w:pPr>
      <w:r>
        <w:rPr>
          <w:rFonts w:hint="eastAsia"/>
          <w:shd w:val="clear" w:color="auto" w:fill="FFFFFF"/>
        </w:rPr>
        <w:t>供应商应充分考虑并预留技术处理和上传数据所需时间。</w:t>
      </w:r>
    </w:p>
    <w:p>
      <w:pPr>
        <w:pStyle w:val="28"/>
        <w:shd w:val="clear" w:color="auto" w:fill="FFFFFF"/>
        <w:spacing w:before="0" w:beforeAutospacing="0" w:after="0" w:afterAutospacing="0" w:line="360" w:lineRule="atLeast"/>
        <w:ind w:firstLine="640"/>
      </w:pPr>
      <w:r>
        <w:rPr>
          <w:rFonts w:hint="eastAsia"/>
          <w:shd w:val="clear" w:color="auto" w:fill="FFFFFF"/>
        </w:rPr>
        <w:t>4.2供应商对同一项目多个标段进行投标的，加密电子响应文件应按标段分别提交。</w:t>
      </w:r>
    </w:p>
    <w:p>
      <w:pPr>
        <w:pStyle w:val="28"/>
        <w:shd w:val="clear" w:color="auto" w:fill="FFFFFF"/>
        <w:spacing w:before="0" w:beforeAutospacing="0" w:after="0" w:afterAutospacing="0" w:line="360" w:lineRule="atLeast"/>
        <w:ind w:firstLine="640"/>
      </w:pPr>
      <w:r>
        <w:rPr>
          <w:rFonts w:hint="eastAsia"/>
          <w:shd w:val="clear" w:color="auto" w:fill="FFFFFF"/>
        </w:rPr>
        <w:t>4.3加密电子响应文件成功提交后，供应商应打印“响应文件提交回执单”供开标现场备查。</w:t>
      </w:r>
    </w:p>
    <w:p>
      <w:pPr>
        <w:pStyle w:val="28"/>
        <w:shd w:val="clear" w:color="auto" w:fill="FFFFFF"/>
        <w:spacing w:before="0" w:beforeAutospacing="0" w:after="0" w:afterAutospacing="0" w:line="360" w:lineRule="atLeast"/>
        <w:ind w:firstLine="643"/>
      </w:pPr>
      <w:r>
        <w:rPr>
          <w:rFonts w:hint="eastAsia"/>
          <w:b/>
          <w:shd w:val="clear" w:color="auto" w:fill="FFFFFF"/>
        </w:rPr>
        <w:t>5.评标依据</w:t>
      </w:r>
    </w:p>
    <w:p>
      <w:pPr>
        <w:pStyle w:val="28"/>
        <w:shd w:val="clear" w:color="auto" w:fill="FFFFFF"/>
        <w:spacing w:before="0" w:beforeAutospacing="0" w:after="0" w:afterAutospacing="0" w:line="360" w:lineRule="atLeast"/>
        <w:ind w:firstLine="640"/>
      </w:pPr>
      <w:r>
        <w:rPr>
          <w:rFonts w:hint="eastAsia"/>
          <w:shd w:val="clear" w:color="auto" w:fill="FFFFFF"/>
        </w:rPr>
        <w:t>5.1采用全流程电子化交易评标时，谈判小组以电子响应文件为依据评标。</w:t>
      </w:r>
    </w:p>
    <w:p>
      <w:pPr>
        <w:pStyle w:val="28"/>
        <w:shd w:val="clear" w:color="auto" w:fill="FFFFFF"/>
        <w:spacing w:before="0" w:beforeAutospacing="0" w:after="0" w:afterAutospacing="0" w:line="360" w:lineRule="atLeast"/>
        <w:ind w:firstLine="640"/>
      </w:pPr>
      <w:r>
        <w:rPr>
          <w:rFonts w:hint="eastAsia"/>
          <w:shd w:val="clear" w:color="auto" w:fill="FFFFFF"/>
        </w:rPr>
        <w:t>5.2全流程电子化交易如因系统异常情况无法完成，将以人工方式进行。谈判小组以纸质响应文件为依据评标。</w:t>
      </w:r>
    </w:p>
    <w:p>
      <w:pPr>
        <w:widowControl/>
        <w:jc w:val="left"/>
        <w:rPr>
          <w:rFonts w:ascii="宋体" w:hAnsi="宋体" w:cs="仿宋_GB2312"/>
          <w:b/>
          <w:kern w:val="0"/>
          <w:sz w:val="24"/>
          <w:szCs w:val="24"/>
        </w:rPr>
      </w:pPr>
      <w:r>
        <w:rPr>
          <w:rFonts w:cs="仿宋_GB2312"/>
          <w:b/>
        </w:rPr>
        <w:br w:type="page"/>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1"/>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0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061" w:type="dxa"/>
            <w:vAlign w:val="center"/>
          </w:tcPr>
          <w:p>
            <w:pPr>
              <w:spacing w:line="300" w:lineRule="auto"/>
              <w:rPr>
                <w:rFonts w:ascii="宋体" w:hAnsi="宋体" w:cs="宋体"/>
                <w:bCs/>
                <w:szCs w:val="21"/>
              </w:rPr>
            </w:pPr>
            <w:r>
              <w:rPr>
                <w:rFonts w:hint="eastAsia" w:ascii="宋体" w:hAnsi="宋体" w:cs="仿宋_GB2312"/>
              </w:rPr>
              <w:t xml:space="preserve">许昌吉象文化旅游开发有限公司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061" w:type="dxa"/>
            <w:vAlign w:val="center"/>
          </w:tcPr>
          <w:p>
            <w:pPr>
              <w:spacing w:line="300" w:lineRule="auto"/>
              <w:rPr>
                <w:rFonts w:ascii="宋体" w:hAnsi="宋体" w:cs="宋体"/>
                <w:bCs/>
                <w:szCs w:val="21"/>
              </w:rPr>
            </w:pPr>
            <w:r>
              <w:rPr>
                <w:rFonts w:hint="eastAsia" w:ascii="宋体" w:hAnsi="宋体" w:cs="宋体"/>
                <w:kern w:val="0"/>
                <w:sz w:val="24"/>
              </w:rPr>
              <w:t>建安区国储林基地生态农业体验园营地帐篷采购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061" w:type="dxa"/>
            <w:vAlign w:val="center"/>
          </w:tcPr>
          <w:p>
            <w:pPr>
              <w:spacing w:line="300" w:lineRule="auto"/>
              <w:rPr>
                <w:rFonts w:ascii="宋体" w:hAnsi="宋体" w:cs="宋体"/>
                <w:bCs/>
                <w:szCs w:val="21"/>
              </w:rPr>
            </w:pPr>
            <w:r>
              <w:rPr>
                <w:rFonts w:hint="eastAsia" w:ascii="宋体" w:hAnsi="宋体" w:cs="宋体"/>
                <w:bCs/>
                <w:szCs w:val="21"/>
              </w:rPr>
              <w:t>GZCG-T2019</w:t>
            </w:r>
            <w:r>
              <w:rPr>
                <w:rFonts w:hint="eastAsia" w:ascii="宋体" w:hAnsi="宋体" w:cs="宋体"/>
                <w:bCs/>
                <w:szCs w:val="21"/>
                <w:lang w:val="en-US" w:eastAsia="zh-CN"/>
              </w:rPr>
              <w:t>006</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代理机构</w:t>
            </w:r>
          </w:p>
        </w:tc>
        <w:tc>
          <w:tcPr>
            <w:tcW w:w="8061" w:type="dxa"/>
            <w:vAlign w:val="center"/>
          </w:tcPr>
          <w:p>
            <w:pPr>
              <w:spacing w:line="300" w:lineRule="auto"/>
              <w:rPr>
                <w:rFonts w:ascii="宋体" w:hAnsi="宋体" w:cs="宋体"/>
                <w:bCs/>
                <w:szCs w:val="21"/>
              </w:rPr>
            </w:pPr>
            <w:r>
              <w:rPr>
                <w:rFonts w:hint="eastAsia" w:ascii="宋体" w:hAnsi="宋体" w:cs="宋体"/>
                <w:bCs/>
                <w:szCs w:val="21"/>
              </w:rPr>
              <w:t>中建山河建设管理集团有限公司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061"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061"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5" w:leftChars="-9" w:hanging="14" w:hangingChars="7"/>
              <w:rPr>
                <w:rFonts w:ascii="宋体" w:hAnsi="宋体" w:cs="宋体"/>
                <w:bCs/>
                <w:szCs w:val="21"/>
              </w:rPr>
            </w:pPr>
            <w:r>
              <w:rPr>
                <w:rFonts w:hint="eastAsia" w:ascii="宋体" w:hAnsi="宋体" w:cs="宋体"/>
                <w:bCs/>
                <w:szCs w:val="21"/>
              </w:rPr>
              <w:t>2.未被列入“信用中国”网站(www.creditchina.gov.cn)失信被执行人、重大税收违法案件当事人名单、政府采购严重违法失信名单的投标人；“中国政府采购网”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3.满足本谈判文件的规定其他条件，完全响应谈判文件的实质性要求。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061" w:type="dxa"/>
            <w:vAlign w:val="center"/>
          </w:tcPr>
          <w:p>
            <w:pPr>
              <w:spacing w:line="300" w:lineRule="auto"/>
              <w:rPr>
                <w:rFonts w:ascii="宋体" w:hAnsi="宋体" w:cs="宋体"/>
                <w:bCs/>
                <w:szCs w:val="21"/>
              </w:rPr>
            </w:pPr>
            <w:r>
              <w:rPr>
                <w:rFonts w:hint="eastAsia" w:ascii="宋体" w:hAnsi="宋体" w:cs="宋体"/>
                <w:bCs/>
                <w:szCs w:val="21"/>
              </w:rPr>
              <w:t>1.自筹资金。</w:t>
            </w:r>
          </w:p>
          <w:p>
            <w:pPr>
              <w:spacing w:line="300" w:lineRule="auto"/>
              <w:rPr>
                <w:rFonts w:ascii="宋体" w:hAnsi="宋体" w:cs="宋体"/>
                <w:szCs w:val="21"/>
              </w:rPr>
            </w:pPr>
            <w:r>
              <w:rPr>
                <w:rFonts w:hint="eastAsia" w:ascii="宋体" w:hAnsi="宋体" w:cs="宋体"/>
                <w:bCs/>
                <w:szCs w:val="21"/>
              </w:rPr>
              <w:t>2.预算金额（最高限价）：A包31万元；B包</w:t>
            </w:r>
            <w:r>
              <w:rPr>
                <w:rFonts w:hint="eastAsia" w:ascii="宋体" w:hAnsi="宋体" w:cs="宋体"/>
                <w:bCs/>
                <w:szCs w:val="21"/>
                <w:lang w:eastAsia="zh-CN"/>
              </w:rPr>
              <w:t>60</w:t>
            </w:r>
            <w:r>
              <w:rPr>
                <w:rFonts w:hint="eastAsia" w:ascii="宋体" w:hAnsi="宋体" w:cs="宋体"/>
                <w:bCs/>
                <w:szCs w:val="21"/>
              </w:rPr>
              <w:t>万元</w:t>
            </w:r>
            <w:r>
              <w:rPr>
                <w:rFonts w:hint="eastAsia" w:ascii="宋体" w:hAnsi="宋体" w:cs="宋体"/>
                <w:szCs w:val="21"/>
                <w:shd w:val="clear" w:color="auto" w:fill="FFFFFF"/>
              </w:rPr>
              <w:t>。</w:t>
            </w:r>
            <w:r>
              <w:rPr>
                <w:rFonts w:hint="eastAsia" w:ascii="宋体" w:hAnsi="宋体" w:cs="宋体"/>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建设地点</w:t>
            </w:r>
          </w:p>
        </w:tc>
        <w:tc>
          <w:tcPr>
            <w:tcW w:w="8061" w:type="dxa"/>
            <w:vAlign w:val="center"/>
          </w:tcPr>
          <w:p>
            <w:pPr>
              <w:spacing w:line="300" w:lineRule="auto"/>
              <w:rPr>
                <w:rFonts w:ascii="宋体" w:hAnsi="宋体" w:cs="宋体"/>
                <w:szCs w:val="21"/>
              </w:rPr>
            </w:pPr>
            <w:r>
              <w:rPr>
                <w:rFonts w:hint="eastAsia" w:ascii="宋体" w:hAnsi="宋体" w:cs="宋体"/>
                <w:szCs w:val="21"/>
              </w:rPr>
              <w:t>河南省许昌市新元大道与新建107国道交叉口南2公里处（国储林基地项目所在地）。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061" w:type="dxa"/>
            <w:vAlign w:val="center"/>
          </w:tcPr>
          <w:p>
            <w:pPr>
              <w:spacing w:line="300" w:lineRule="auto"/>
              <w:rPr>
                <w:rFonts w:ascii="宋体" w:hAnsi="宋体" w:cs="宋体"/>
                <w:szCs w:val="21"/>
              </w:rPr>
            </w:pPr>
            <w:r>
              <w:rPr>
                <w:rFonts w:hint="eastAsia" w:ascii="宋体" w:hAnsi="宋体" w:cs="宋体"/>
                <w:szCs w:val="21"/>
              </w:rPr>
              <w:t>采购计划表中包含的全部设备并负责安装及完成并网送电。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kern w:val="0"/>
                <w:sz w:val="24"/>
                <w:szCs w:val="24"/>
                <w:shd w:val="clear" w:color="auto" w:fill="FFFFFF"/>
              </w:rPr>
              <w:t>工期</w:t>
            </w:r>
          </w:p>
        </w:tc>
        <w:tc>
          <w:tcPr>
            <w:tcW w:w="8061" w:type="dxa"/>
            <w:vAlign w:val="center"/>
          </w:tcPr>
          <w:p>
            <w:pPr>
              <w:spacing w:line="300" w:lineRule="auto"/>
              <w:rPr>
                <w:rFonts w:ascii="宋体" w:hAnsi="宋体" w:cs="宋体"/>
                <w:szCs w:val="21"/>
              </w:rPr>
            </w:pPr>
            <w:r>
              <w:rPr>
                <w:rFonts w:hint="eastAsia" w:ascii="宋体" w:hAnsi="宋体" w:cs="宋体"/>
                <w:szCs w:val="21"/>
              </w:rPr>
              <w:t>合同签订之日起30日历天。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061" w:type="dxa"/>
            <w:vAlign w:val="center"/>
          </w:tcPr>
          <w:p>
            <w:pPr>
              <w:spacing w:line="300" w:lineRule="auto"/>
              <w:rPr>
                <w:rFonts w:ascii="宋体" w:hAnsi="宋体" w:cs="宋体"/>
                <w:szCs w:val="21"/>
              </w:rPr>
            </w:pPr>
            <w:r>
              <w:rPr>
                <w:rFonts w:hint="eastAsia" w:ascii="宋体" w:hAnsi="宋体" w:cs="宋体"/>
                <w:szCs w:val="21"/>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061"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p>
            <w:pPr>
              <w:spacing w:line="300" w:lineRule="auto"/>
              <w:rPr>
                <w:rFonts w:ascii="宋体" w:hAnsi="宋体" w:cs="宋体"/>
                <w:bCs/>
                <w:szCs w:val="21"/>
              </w:rPr>
            </w:pPr>
            <w:r>
              <w:rPr>
                <w:rFonts w:hint="eastAsia" w:ascii="宋体" w:hAnsi="宋体" w:cs="宋体"/>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061" w:type="dxa"/>
            <w:vAlign w:val="center"/>
          </w:tcPr>
          <w:p>
            <w:pPr>
              <w:spacing w:line="300" w:lineRule="auto"/>
              <w:rPr>
                <w:rFonts w:ascii="宋体" w:hAnsi="宋体"/>
                <w:bCs/>
                <w:szCs w:val="21"/>
              </w:rPr>
            </w:pPr>
            <w:r>
              <w:rPr>
                <w:rFonts w:hint="eastAsia" w:ascii="宋体" w:hAnsi="宋体"/>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061"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纸质响应文件：正本一份，副本二份。使用格式为“响应文件（供打印）.PDF”的文件。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061"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061" w:type="dxa"/>
            <w:vAlign w:val="center"/>
          </w:tcPr>
          <w:p>
            <w:pPr>
              <w:spacing w:line="300" w:lineRule="auto"/>
              <w:rPr>
                <w:rFonts w:ascii="宋体" w:hAnsi="宋体"/>
                <w:bCs/>
                <w:szCs w:val="21"/>
              </w:rPr>
            </w:pPr>
            <w:r>
              <w:rPr>
                <w:rFonts w:hint="eastAsia" w:ascii="宋体" w:hAnsi="宋体"/>
                <w:bCs/>
                <w:szCs w:val="21"/>
              </w:rPr>
              <w:t>许昌市公共资源交易中心开标</w:t>
            </w:r>
            <w:r>
              <w:rPr>
                <w:rFonts w:hint="eastAsia" w:ascii="宋体" w:hAnsi="宋体"/>
                <w:bCs/>
                <w:szCs w:val="21"/>
                <w:lang w:val="en-US" w:eastAsia="zh-CN"/>
              </w:rPr>
              <w:t xml:space="preserve"> </w:t>
            </w:r>
            <w:r>
              <w:rPr>
                <w:rFonts w:hint="eastAsia" w:ascii="宋体" w:hAnsi="宋体"/>
                <w:bCs/>
                <w:szCs w:val="21"/>
                <w:lang w:eastAsia="zh-CN"/>
              </w:rPr>
              <w:t>五</w:t>
            </w:r>
            <w:r>
              <w:rPr>
                <w:rFonts w:hint="eastAsia" w:ascii="宋体" w:hAnsi="宋体"/>
                <w:bCs/>
                <w:szCs w:val="21"/>
              </w:rPr>
              <w:t xml:space="preserve"> 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061" w:type="dxa"/>
            <w:vAlign w:val="center"/>
          </w:tcPr>
          <w:p>
            <w:pPr>
              <w:spacing w:line="300" w:lineRule="auto"/>
              <w:rPr>
                <w:rFonts w:ascii="宋体" w:hAnsi="宋体"/>
                <w:bCs/>
                <w:szCs w:val="21"/>
              </w:rPr>
            </w:pPr>
            <w:r>
              <w:rPr>
                <w:rFonts w:hint="eastAsia" w:ascii="宋体" w:hAnsi="宋体"/>
                <w:bCs/>
                <w:szCs w:val="21"/>
              </w:rPr>
              <w:t>谈判文件接收截止时间及谈判时间：</w:t>
            </w:r>
            <w:r>
              <w:rPr>
                <w:rFonts w:hint="eastAsia"/>
                <w:shd w:val="clear" w:color="auto" w:fill="FFFFFF"/>
              </w:rPr>
              <w:t>2019年</w:t>
            </w:r>
            <w:r>
              <w:rPr>
                <w:rFonts w:hint="eastAsia"/>
                <w:shd w:val="clear" w:color="auto" w:fill="FFFFFF"/>
                <w:lang w:val="en-US" w:eastAsia="zh-CN"/>
              </w:rPr>
              <w:t>7</w:t>
            </w:r>
            <w:r>
              <w:rPr>
                <w:rFonts w:hint="eastAsia"/>
                <w:shd w:val="clear" w:color="auto" w:fill="FFFFFF"/>
              </w:rPr>
              <w:t>月</w:t>
            </w:r>
            <w:r>
              <w:rPr>
                <w:rFonts w:hint="eastAsia"/>
                <w:shd w:val="clear" w:color="auto" w:fill="FFFFFF"/>
                <w:lang w:val="en-US" w:eastAsia="zh-CN"/>
              </w:rPr>
              <w:t>4</w:t>
            </w:r>
            <w:r>
              <w:rPr>
                <w:rFonts w:hint="eastAsia"/>
                <w:shd w:val="clear" w:color="auto" w:fill="FFFFFF"/>
              </w:rPr>
              <w:t xml:space="preserve"> 日</w:t>
            </w:r>
            <w:r>
              <w:rPr>
                <w:rFonts w:hint="eastAsia"/>
                <w:shd w:val="clear" w:color="auto" w:fill="FFFFFF"/>
                <w:lang w:val="en-US" w:eastAsia="zh-CN"/>
              </w:rPr>
              <w:t>8</w:t>
            </w:r>
            <w:r>
              <w:rPr>
                <w:rFonts w:hint="eastAsia"/>
                <w:shd w:val="clear" w:color="auto" w:fill="FFFFFF"/>
              </w:rPr>
              <w:t>时</w:t>
            </w:r>
            <w:r>
              <w:rPr>
                <w:rFonts w:hint="eastAsia"/>
                <w:shd w:val="clear" w:color="auto" w:fill="FFFFFF"/>
                <w:lang w:val="en-US" w:eastAsia="zh-CN"/>
              </w:rPr>
              <w:t>30</w:t>
            </w:r>
            <w:r>
              <w:rPr>
                <w:rFonts w:hint="eastAsia"/>
                <w:shd w:val="clear" w:color="auto" w:fill="FFFFFF"/>
              </w:rPr>
              <w:t>分</w:t>
            </w:r>
            <w:r>
              <w:rPr>
                <w:rFonts w:hint="eastAsia" w:ascii="宋体" w:hAnsi="宋体"/>
                <w:bCs/>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061"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谈判保</w:t>
            </w:r>
            <w:r>
              <w:rPr>
                <w:rFonts w:ascii="宋体" w:hAnsi="宋体"/>
                <w:bCs/>
                <w:szCs w:val="21"/>
              </w:rPr>
              <w:t>证金</w:t>
            </w:r>
          </w:p>
        </w:tc>
        <w:tc>
          <w:tcPr>
            <w:tcW w:w="8061" w:type="dxa"/>
            <w:vAlign w:val="center"/>
          </w:tcPr>
          <w:p>
            <w:pPr>
              <w:spacing w:line="300" w:lineRule="auto"/>
              <w:rPr>
                <w:rFonts w:ascii="宋体" w:hAnsi="宋体" w:cs="宋体"/>
                <w:szCs w:val="21"/>
              </w:rPr>
            </w:pPr>
            <w:r>
              <w:rPr>
                <w:rFonts w:hint="eastAsia" w:ascii="宋体" w:hAnsi="宋体" w:cs="宋体"/>
                <w:szCs w:val="21"/>
              </w:rPr>
              <w:t>1.</w:t>
            </w:r>
            <w:r>
              <w:rPr>
                <w:rFonts w:hint="eastAsia" w:ascii="宋体" w:hAnsi="宋体"/>
                <w:bCs/>
                <w:szCs w:val="21"/>
              </w:rPr>
              <w:t>谈判</w:t>
            </w:r>
            <w:r>
              <w:rPr>
                <w:rFonts w:hint="eastAsia" w:ascii="宋体" w:hAnsi="宋体" w:cs="宋体"/>
                <w:szCs w:val="21"/>
              </w:rPr>
              <w:t>保证金为谈判文件的组成部分之一。</w:t>
            </w:r>
          </w:p>
          <w:p>
            <w:pPr>
              <w:spacing w:line="300" w:lineRule="auto"/>
              <w:rPr>
                <w:rFonts w:hint="eastAsia" w:ascii="宋体" w:hAnsi="宋体" w:cs="宋体"/>
                <w:szCs w:val="21"/>
              </w:rPr>
            </w:pPr>
            <w:r>
              <w:rPr>
                <w:rFonts w:hint="eastAsia" w:ascii="宋体" w:hAnsi="宋体" w:cs="宋体"/>
                <w:szCs w:val="21"/>
              </w:rPr>
              <w:t>2.供应商应提交谈判保证金：A包人民币陆仟元整（¥6000.00元）。</w:t>
            </w:r>
          </w:p>
          <w:p>
            <w:pPr>
              <w:pStyle w:val="2"/>
              <w:rPr>
                <w:rFonts w:ascii="宋体" w:hAnsi="宋体" w:cs="宋体"/>
                <w:kern w:val="2"/>
                <w:sz w:val="21"/>
                <w:szCs w:val="21"/>
              </w:rPr>
            </w:pPr>
            <w:r>
              <w:rPr>
                <w:rFonts w:hint="eastAsia" w:ascii="宋体" w:hAnsi="宋体" w:cs="宋体"/>
                <w:kern w:val="2"/>
                <w:sz w:val="21"/>
                <w:szCs w:val="21"/>
              </w:rPr>
              <w:t xml:space="preserve">                           B包人民币壹万元整（¥10000.00元）</w:t>
            </w:r>
          </w:p>
          <w:p>
            <w:pPr>
              <w:spacing w:line="300" w:lineRule="auto"/>
              <w:rPr>
                <w:rFonts w:ascii="宋体" w:hAnsi="宋体" w:cs="宋体"/>
                <w:szCs w:val="21"/>
              </w:rPr>
            </w:pPr>
            <w:r>
              <w:rPr>
                <w:rFonts w:hint="eastAsia" w:ascii="宋体" w:hAnsi="宋体" w:cs="宋体"/>
                <w:szCs w:val="21"/>
              </w:rPr>
              <w:t>3.</w:t>
            </w:r>
            <w:r>
              <w:rPr>
                <w:rFonts w:hint="eastAsia" w:ascii="宋体" w:hAnsi="宋体"/>
                <w:bCs/>
                <w:szCs w:val="21"/>
              </w:rPr>
              <w:t>谈判</w:t>
            </w:r>
            <w:r>
              <w:rPr>
                <w:rFonts w:hint="eastAsia" w:ascii="宋体" w:hAnsi="宋体" w:cs="宋体"/>
                <w:szCs w:val="21"/>
              </w:rPr>
              <w:t>保证金用于保护本次采购人免受供应商的行为而引起的风险。</w:t>
            </w:r>
          </w:p>
          <w:p>
            <w:pPr>
              <w:spacing w:line="300" w:lineRule="auto"/>
              <w:rPr>
                <w:rFonts w:ascii="宋体" w:hAnsi="宋体" w:cs="宋体"/>
                <w:szCs w:val="21"/>
              </w:rPr>
            </w:pPr>
            <w:r>
              <w:rPr>
                <w:rFonts w:hint="eastAsia" w:ascii="宋体" w:hAnsi="宋体" w:cs="宋体"/>
                <w:szCs w:val="21"/>
              </w:rPr>
              <w:t>4.提交</w:t>
            </w:r>
            <w:r>
              <w:rPr>
                <w:rFonts w:hint="eastAsia" w:ascii="宋体" w:hAnsi="宋体"/>
                <w:bCs/>
                <w:szCs w:val="21"/>
              </w:rPr>
              <w:t>谈判</w:t>
            </w:r>
            <w:r>
              <w:rPr>
                <w:rFonts w:hint="eastAsia" w:ascii="宋体" w:hAnsi="宋体" w:cs="宋体"/>
                <w:szCs w:val="21"/>
              </w:rPr>
              <w:t>保证金：</w:t>
            </w:r>
          </w:p>
          <w:p>
            <w:pPr>
              <w:spacing w:line="300" w:lineRule="auto"/>
              <w:rPr>
                <w:rFonts w:ascii="宋体" w:hAnsi="宋体" w:cs="宋体"/>
                <w:szCs w:val="21"/>
              </w:rPr>
            </w:pPr>
            <w:r>
              <w:rPr>
                <w:rFonts w:hint="eastAsia" w:ascii="宋体" w:hAnsi="宋体" w:cs="宋体"/>
                <w:szCs w:val="21"/>
              </w:rPr>
              <w:t>4.1</w:t>
            </w:r>
            <w:r>
              <w:rPr>
                <w:rFonts w:hint="eastAsia" w:ascii="宋体" w:hAnsi="宋体"/>
                <w:bCs/>
                <w:szCs w:val="21"/>
              </w:rPr>
              <w:t>谈判</w:t>
            </w:r>
            <w:r>
              <w:rPr>
                <w:rFonts w:hint="eastAsia" w:ascii="宋体" w:hAnsi="宋体" w:cs="宋体"/>
                <w:szCs w:val="21"/>
              </w:rPr>
              <w:t>保证金缴纳方式：</w:t>
            </w:r>
          </w:p>
          <w:p>
            <w:pPr>
              <w:spacing w:line="300" w:lineRule="auto"/>
              <w:ind w:firstLine="420" w:firstLineChars="200"/>
              <w:rPr>
                <w:rFonts w:ascii="宋体" w:hAnsi="宋体" w:cs="宋体"/>
                <w:szCs w:val="21"/>
              </w:rPr>
            </w:pPr>
            <w:r>
              <w:rPr>
                <w:rFonts w:hint="eastAsia" w:ascii="宋体" w:hAnsi="宋体" w:cs="宋体"/>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szCs w:val="21"/>
              </w:rPr>
            </w:pPr>
            <w:r>
              <w:rPr>
                <w:rFonts w:hint="eastAsia" w:ascii="宋体" w:hAnsi="宋体" w:cs="宋体"/>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szCs w:val="21"/>
              </w:rPr>
            </w:pPr>
            <w:r>
              <w:rPr>
                <w:rFonts w:hint="eastAsia" w:ascii="宋体" w:hAnsi="宋体" w:cs="宋体"/>
                <w:szCs w:val="21"/>
              </w:rPr>
              <w:t>供应商可根据提示情况决定是否重新缴纳。</w:t>
            </w:r>
          </w:p>
          <w:p>
            <w:pPr>
              <w:spacing w:line="300" w:lineRule="auto"/>
              <w:rPr>
                <w:rFonts w:ascii="宋体" w:hAnsi="宋体" w:cs="宋体"/>
                <w:szCs w:val="21"/>
              </w:rPr>
            </w:pPr>
            <w:r>
              <w:rPr>
                <w:rFonts w:hint="eastAsia" w:ascii="宋体" w:hAnsi="宋体" w:cs="宋体"/>
                <w:szCs w:val="21"/>
              </w:rPr>
              <w:t>保证金缴纳绑定问题咨询电话：0374-2961598。</w:t>
            </w:r>
          </w:p>
          <w:p>
            <w:pPr>
              <w:spacing w:line="300" w:lineRule="auto"/>
              <w:rPr>
                <w:rFonts w:ascii="宋体" w:hAnsi="宋体" w:cs="宋体"/>
                <w:szCs w:val="21"/>
              </w:rPr>
            </w:pPr>
            <w:r>
              <w:rPr>
                <w:rFonts w:hint="eastAsia" w:ascii="宋体" w:hAnsi="宋体" w:cs="宋体"/>
                <w:szCs w:val="21"/>
              </w:rPr>
              <w:t>4.2供应商的谈判保证金须从其公司注册银行账户转出并不接受现金方式缴纳，否则由供应商自行负责。</w:t>
            </w:r>
          </w:p>
          <w:p>
            <w:pPr>
              <w:spacing w:line="300" w:lineRule="auto"/>
              <w:rPr>
                <w:rFonts w:ascii="宋体" w:hAnsi="宋体" w:cs="宋体"/>
                <w:szCs w:val="21"/>
              </w:rPr>
            </w:pPr>
            <w:r>
              <w:rPr>
                <w:rFonts w:hint="eastAsia" w:ascii="宋体" w:hAnsi="宋体" w:cs="宋体"/>
                <w:szCs w:val="21"/>
              </w:rPr>
              <w:t>4.3要一次足额缴纳并成功绑定谈判保证金，每个供应商每个项目每个标段只有唯一缴纳账号。</w:t>
            </w:r>
          </w:p>
          <w:p>
            <w:pPr>
              <w:spacing w:line="300" w:lineRule="auto"/>
              <w:rPr>
                <w:rFonts w:ascii="宋体" w:hAnsi="宋体" w:cs="宋体"/>
                <w:szCs w:val="21"/>
              </w:rPr>
            </w:pPr>
            <w:r>
              <w:rPr>
                <w:rFonts w:hint="eastAsia" w:ascii="宋体" w:hAnsi="宋体" w:cs="宋体"/>
                <w:szCs w:val="21"/>
              </w:rPr>
              <w:t>4.4汇款凭证无须备注项目编号和项目名称。</w:t>
            </w:r>
          </w:p>
          <w:p>
            <w:pPr>
              <w:spacing w:line="300" w:lineRule="auto"/>
              <w:rPr>
                <w:rFonts w:ascii="宋体" w:hAnsi="宋体" w:cs="宋体"/>
                <w:szCs w:val="21"/>
              </w:rPr>
            </w:pPr>
            <w:r>
              <w:rPr>
                <w:rFonts w:hint="eastAsia" w:ascii="宋体" w:hAnsi="宋体" w:cs="宋体"/>
                <w:szCs w:val="21"/>
              </w:rPr>
              <w:t>4.5 提交保证金截止时间与开标时间一致，并以到账时间为准（供应商应承担节假日、异地、跨行等带来的银行系统不能支付的风险）。</w:t>
            </w:r>
          </w:p>
          <w:p>
            <w:pPr>
              <w:spacing w:line="300" w:lineRule="auto"/>
              <w:rPr>
                <w:rFonts w:ascii="宋体" w:hAnsi="宋体" w:cs="宋体"/>
                <w:szCs w:val="21"/>
              </w:rPr>
            </w:pPr>
            <w:r>
              <w:rPr>
                <w:rFonts w:hint="eastAsia" w:ascii="宋体" w:hAnsi="宋体" w:cs="宋体"/>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szCs w:val="21"/>
              </w:rPr>
            </w:pPr>
            <w:r>
              <w:rPr>
                <w:rFonts w:hint="eastAsia" w:ascii="宋体" w:hAnsi="宋体" w:cs="宋体"/>
                <w:szCs w:val="21"/>
              </w:rPr>
              <w:t>4.7中心不开具保证金收款收据。</w:t>
            </w:r>
          </w:p>
          <w:p>
            <w:pPr>
              <w:spacing w:line="300" w:lineRule="auto"/>
              <w:rPr>
                <w:rFonts w:ascii="宋体" w:hAnsi="宋体" w:cs="宋体"/>
                <w:szCs w:val="21"/>
              </w:rPr>
            </w:pPr>
            <w:r>
              <w:rPr>
                <w:rFonts w:hint="eastAsia" w:ascii="宋体" w:hAnsi="宋体" w:cs="宋体"/>
                <w:szCs w:val="21"/>
              </w:rPr>
              <w:t>5.退还谈判保证金时，区别成交与否，按不同时序由银行按来款途径原账户。</w:t>
            </w:r>
          </w:p>
          <w:p>
            <w:pPr>
              <w:spacing w:line="300" w:lineRule="auto"/>
              <w:rPr>
                <w:rFonts w:ascii="宋体" w:hAnsi="宋体" w:cs="宋体"/>
                <w:szCs w:val="21"/>
              </w:rPr>
            </w:pPr>
            <w:r>
              <w:rPr>
                <w:rFonts w:hint="eastAsia" w:ascii="宋体" w:hAnsi="宋体" w:cs="宋体"/>
                <w:szCs w:val="21"/>
              </w:rPr>
              <w:t>5.1 未中标的供应商的谈判保证金，在中标通知书发出后5个工作日内退还谈判保证金及银行同期活期存款利息。</w:t>
            </w:r>
          </w:p>
          <w:p>
            <w:pPr>
              <w:spacing w:line="300" w:lineRule="auto"/>
              <w:rPr>
                <w:rFonts w:ascii="宋体" w:hAnsi="宋体" w:cs="宋体"/>
                <w:szCs w:val="21"/>
              </w:rPr>
            </w:pPr>
            <w:r>
              <w:rPr>
                <w:rFonts w:hint="eastAsia" w:ascii="宋体" w:hAnsi="宋体" w:cs="宋体"/>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szCs w:val="21"/>
              </w:rPr>
            </w:pPr>
            <w:r>
              <w:rPr>
                <w:rFonts w:hint="eastAsia" w:ascii="宋体" w:hAnsi="宋体" w:cs="宋体"/>
                <w:szCs w:val="21"/>
              </w:rPr>
              <w:t>以上事项，请供应商仔细研读，未按规定操作引起的无效投标（谈判），由供应商自行负责。</w:t>
            </w:r>
          </w:p>
          <w:p>
            <w:pPr>
              <w:spacing w:line="300" w:lineRule="auto"/>
              <w:rPr>
                <w:rFonts w:ascii="宋体" w:hAnsi="宋体" w:cs="宋体"/>
                <w:szCs w:val="21"/>
              </w:rPr>
            </w:pPr>
            <w:r>
              <w:rPr>
                <w:rFonts w:hint="eastAsia" w:ascii="宋体" w:hAnsi="宋体" w:cs="宋体"/>
                <w:szCs w:val="21"/>
              </w:rPr>
              <w:t>6.特殊情况处理</w:t>
            </w:r>
          </w:p>
          <w:p>
            <w:pPr>
              <w:spacing w:line="300" w:lineRule="auto"/>
              <w:rPr>
                <w:rFonts w:ascii="宋体" w:hAnsi="宋体" w:cs="宋体"/>
                <w:szCs w:val="21"/>
              </w:rPr>
            </w:pPr>
            <w:r>
              <w:rPr>
                <w:rFonts w:hint="eastAsia" w:ascii="宋体" w:hAnsi="宋体" w:cs="宋体"/>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szCs w:val="21"/>
              </w:rPr>
            </w:pPr>
            <w:r>
              <w:rPr>
                <w:rFonts w:hint="eastAsia" w:ascii="宋体" w:hAnsi="宋体" w:cs="宋体"/>
                <w:szCs w:val="21"/>
              </w:rPr>
              <w:t>6.2因供应商自身原因无法及时退还谈判保证金、滞留三年以上的，谈判保证金上缴财政。</w:t>
            </w:r>
          </w:p>
          <w:p>
            <w:pPr>
              <w:spacing w:line="300" w:lineRule="auto"/>
              <w:rPr>
                <w:rFonts w:ascii="宋体" w:hAnsi="宋体" w:cs="宋体"/>
                <w:szCs w:val="21"/>
              </w:rPr>
            </w:pPr>
            <w:r>
              <w:rPr>
                <w:rFonts w:hint="eastAsia" w:ascii="宋体" w:hAnsi="宋体" w:cs="宋体"/>
                <w:szCs w:val="21"/>
              </w:rPr>
              <w:t>7.发生以下情况谈判保证金不予退还：</w:t>
            </w:r>
          </w:p>
          <w:p>
            <w:pPr>
              <w:spacing w:line="300" w:lineRule="auto"/>
              <w:rPr>
                <w:rFonts w:ascii="宋体" w:hAnsi="宋体" w:cs="宋体"/>
                <w:szCs w:val="21"/>
              </w:rPr>
            </w:pPr>
            <w:r>
              <w:rPr>
                <w:rFonts w:hint="eastAsia" w:ascii="宋体" w:hAnsi="宋体" w:cs="宋体"/>
                <w:szCs w:val="21"/>
              </w:rPr>
              <w:t>7.1供应商在提交谈判响应文件截止时间后撤销谈判响应文件的；</w:t>
            </w:r>
          </w:p>
          <w:p>
            <w:pPr>
              <w:spacing w:line="300" w:lineRule="auto"/>
              <w:rPr>
                <w:rFonts w:ascii="宋体" w:hAnsi="宋体" w:cs="宋体"/>
                <w:szCs w:val="21"/>
              </w:rPr>
            </w:pPr>
            <w:r>
              <w:rPr>
                <w:rFonts w:hint="eastAsia" w:ascii="宋体" w:hAnsi="宋体" w:cs="宋体"/>
                <w:szCs w:val="21"/>
              </w:rPr>
              <w:t>7.2 供应商在谈判响应文件中提供虚假材料的；</w:t>
            </w:r>
          </w:p>
          <w:p>
            <w:pPr>
              <w:spacing w:line="300" w:lineRule="auto"/>
              <w:rPr>
                <w:rFonts w:ascii="宋体" w:hAnsi="宋体" w:cs="宋体"/>
                <w:szCs w:val="21"/>
              </w:rPr>
            </w:pPr>
            <w:r>
              <w:rPr>
                <w:rFonts w:hint="eastAsia" w:ascii="宋体" w:hAnsi="宋体" w:cs="宋体"/>
                <w:szCs w:val="21"/>
              </w:rPr>
              <w:t>7.3 除因不可抗力或谈判响应文件认可的情形以外，成交供应商不与采购人签订合同的；</w:t>
            </w:r>
          </w:p>
          <w:p>
            <w:pPr>
              <w:spacing w:line="300" w:lineRule="auto"/>
              <w:rPr>
                <w:rFonts w:ascii="宋体" w:hAnsi="宋体" w:cs="宋体"/>
                <w:szCs w:val="21"/>
              </w:rPr>
            </w:pPr>
            <w:r>
              <w:rPr>
                <w:rFonts w:hint="eastAsia" w:ascii="宋体" w:hAnsi="宋体" w:cs="宋体"/>
                <w:szCs w:val="21"/>
              </w:rPr>
              <w:t>7.4 供应商与采购人、其他供应商或者采购代理机构恶意串通的；</w:t>
            </w:r>
          </w:p>
          <w:p>
            <w:pPr>
              <w:spacing w:line="300" w:lineRule="auto"/>
              <w:rPr>
                <w:rFonts w:ascii="宋体" w:hAnsi="宋体" w:cs="宋体"/>
                <w:szCs w:val="21"/>
              </w:rPr>
            </w:pPr>
            <w:r>
              <w:rPr>
                <w:rFonts w:hint="eastAsia" w:ascii="宋体" w:hAnsi="宋体" w:cs="宋体"/>
                <w:szCs w:val="21"/>
              </w:rPr>
              <w:t>7.5 法律法规及谈判文件规定的其他情形。</w:t>
            </w:r>
          </w:p>
          <w:p>
            <w:pPr>
              <w:spacing w:line="300" w:lineRule="auto"/>
              <w:rPr>
                <w:rFonts w:ascii="宋体" w:hAnsi="宋体" w:cs="宋体"/>
                <w:szCs w:val="21"/>
              </w:rPr>
            </w:pPr>
            <w:r>
              <w:rPr>
                <w:rFonts w:hint="eastAsia" w:ascii="宋体" w:hAnsi="宋体" w:cs="宋体"/>
                <w:szCs w:val="21"/>
              </w:rPr>
              <w:t>7.6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061" w:type="dxa"/>
            <w:vAlign w:val="center"/>
          </w:tcPr>
          <w:p>
            <w:pPr>
              <w:spacing w:line="300" w:lineRule="auto"/>
              <w:ind w:right="-88" w:rightChars="-42"/>
              <w:rPr>
                <w:rFonts w:ascii="宋体" w:hAnsi="宋体" w:cs="宋体"/>
                <w:bCs/>
                <w:szCs w:val="21"/>
              </w:rPr>
            </w:pPr>
            <w:r>
              <w:rPr>
                <w:rFonts w:hint="eastAsia" w:ascii="宋体" w:hAnsi="宋体"/>
                <w:szCs w:val="21"/>
              </w:rPr>
              <w:t>转帐或保函形式向采购人缴纳成交额10%的履约保证金。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061"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文件的解释权归采购人及所委托的代理机构</w:t>
            </w:r>
            <w:r>
              <w:rPr>
                <w:rFonts w:hint="eastAsia" w:ascii="宋体" w:hAnsi="宋体" w:cs="Arial"/>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rPr>
              <w:t>代理服务收费</w:t>
            </w:r>
          </w:p>
        </w:tc>
        <w:tc>
          <w:tcPr>
            <w:tcW w:w="8061" w:type="dxa"/>
            <w:vAlign w:val="center"/>
          </w:tcPr>
          <w:p>
            <w:pPr>
              <w:spacing w:line="300" w:lineRule="auto"/>
              <w:rPr>
                <w:rFonts w:ascii="宋体" w:hAnsi="宋体" w:cs="Arial"/>
                <w:bCs/>
                <w:szCs w:val="21"/>
              </w:rPr>
            </w:pPr>
            <w:r>
              <w:rPr>
                <w:rFonts w:hint="eastAsia" w:ascii="宋体"/>
              </w:rPr>
              <w:t>由成交供应商向代理公司支付</w:t>
            </w:r>
          </w:p>
        </w:tc>
      </w:tr>
    </w:tbl>
    <w:p>
      <w:pPr>
        <w:spacing w:afterLines="100"/>
        <w:jc w:val="center"/>
        <w:rPr>
          <w:rFonts w:ascii="华文中宋" w:hAnsi="华文中宋" w:eastAsia="华文中宋"/>
          <w:b/>
          <w:sz w:val="32"/>
          <w:szCs w:val="32"/>
        </w:rPr>
      </w:pPr>
    </w:p>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1"/>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44141212"/>
            <w:bookmarkEnd w:id="1"/>
            <w:bookmarkStart w:id="2" w:name="定位_【循环符合性证明材料】_20122314636"/>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宋体" w:hAnsi="宋体" w:cs="Arial"/>
                <w:szCs w:val="21"/>
                <w:lang w:val="zh-CN"/>
              </w:rPr>
            </w:pPr>
            <w:r>
              <w:rPr>
                <w:rFonts w:hint="eastAsia" w:ascii="宋体" w:hAnsi="宋体" w:cs="Arial"/>
                <w:szCs w:val="21"/>
              </w:rPr>
              <w:t>（1）上一</w:t>
            </w:r>
            <w:r>
              <w:rPr>
                <w:rFonts w:hint="eastAsia" w:ascii="宋体" w:hAnsi="宋体" w:cs="Arial"/>
                <w:szCs w:val="21"/>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cs="Arial"/>
                <w:szCs w:val="21"/>
              </w:rPr>
            </w:pPr>
            <w:r>
              <w:rPr>
                <w:rFonts w:hint="eastAsia" w:ascii="宋体" w:hAnsi="宋体" w:cs="Arial"/>
                <w:szCs w:val="21"/>
              </w:rPr>
              <w:t>（2）</w:t>
            </w:r>
            <w:r>
              <w:rPr>
                <w:rFonts w:hint="eastAsia" w:ascii="宋体" w:hAnsi="宋体" w:cs="Arial"/>
                <w:szCs w:val="21"/>
                <w:lang w:val="zh-CN"/>
              </w:rPr>
              <w:t>银行出具的资信证明；或财政部门认可的政府采购专业担保机构的证明文件和担保机构出具的投标担保函。（其他组织和自然人投标提供）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spacing w:line="360" w:lineRule="auto"/>
              <w:rPr>
                <w:rFonts w:ascii="宋体" w:hAnsi="宋体" w:cs="Arial"/>
                <w:szCs w:val="21"/>
              </w:rPr>
            </w:pPr>
            <w:r>
              <w:rPr>
                <w:rFonts w:hint="eastAsia" w:ascii="宋体" w:hAnsi="宋体" w:cs="Arial"/>
                <w:szCs w:val="21"/>
                <w:lang w:val="zh-CN"/>
              </w:rPr>
              <w:t>投标截止时间前三个月内任意一个月缴纳税收凭据。（依法免税的供应商，应提供相应文件证明依法免税）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4</w:t>
            </w:r>
            <w:r>
              <w:rPr>
                <w:rFonts w:hint="eastAsia" w:ascii="宋体" w:hAnsi="宋体" w:cs="Arial"/>
                <w:b/>
                <w:bCs/>
                <w:szCs w:val="21"/>
                <w:lang w:val="zh-CN"/>
              </w:rPr>
              <w:t>、依法缴纳社会保障资金的证明材料</w:t>
            </w:r>
          </w:p>
          <w:p>
            <w:pPr>
              <w:spacing w:line="360" w:lineRule="auto"/>
            </w:pPr>
            <w:r>
              <w:rPr>
                <w:rFonts w:hint="eastAsia" w:ascii="宋体" w:hAnsi="宋体" w:cs="Arial"/>
                <w:szCs w:val="21"/>
                <w:lang w:val="zh-CN"/>
              </w:rPr>
              <w:t>投标截止时间前三个月内任意一个月缴纳社会保险资金凭据。（依法不需要缴纳社会保障资金的供应商，应提供相应文件证明依法不需要缴纳社会保障资金）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相关设备的购置发票、专业技术人员职称证书、用工合同等或者附供应商相关承诺函或声明。（格式自拟）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8、谈判</w:t>
            </w:r>
            <w:r>
              <w:rPr>
                <w:rFonts w:ascii="宋体" w:hAnsi="宋体" w:cs="Arial"/>
                <w:b/>
                <w:bCs/>
                <w:szCs w:val="21"/>
              </w:rPr>
              <w:t>保证</w:t>
            </w:r>
            <w:r>
              <w:rPr>
                <w:rFonts w:hint="eastAsia" w:ascii="宋体" w:hAnsi="宋体" w:cs="Arial"/>
                <w:b/>
                <w:bCs/>
                <w:szCs w:val="21"/>
              </w:rPr>
              <w:t>金</w:t>
            </w:r>
            <w:r>
              <w:rPr>
                <w:rFonts w:ascii="宋体" w:hAnsi="宋体" w:cs="Arial"/>
                <w:b/>
                <w:bCs/>
                <w:szCs w:val="21"/>
              </w:rPr>
              <w:t>交纳</w:t>
            </w:r>
            <w:r>
              <w:rPr>
                <w:rFonts w:hint="eastAsia" w:ascii="宋体" w:hAnsi="宋体" w:cs="Arial"/>
                <w:b/>
                <w:bCs/>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9</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r>
              <w:rPr>
                <w:rFonts w:hint="eastAsia" w:ascii="宋体" w:hAnsi="宋体" w:cs="Arial"/>
                <w:b/>
                <w:bCs/>
                <w:szCs w:val="21"/>
              </w:rPr>
              <w:t>；“</w:t>
            </w:r>
            <w:r>
              <w:rPr>
                <w:rFonts w:hint="eastAsia" w:ascii="宋体" w:hAnsi="宋体" w:cs="Arial"/>
                <w:b/>
                <w:bCs/>
                <w:szCs w:val="21"/>
                <w:lang w:val="zh-CN"/>
              </w:rPr>
              <w:t>国家企业信用公示系统</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（www.gsxt.gov.cn）</w:t>
            </w:r>
            <w:r>
              <w:rPr>
                <w:rFonts w:hint="eastAsia" w:ascii="宋体" w:hAnsi="宋体" w:cs="Arial"/>
                <w:b/>
                <w:bCs/>
                <w:szCs w:val="21"/>
                <w:lang w:val="zh-CN"/>
              </w:rPr>
              <w:t>严重违法失信企业名单</w:t>
            </w:r>
            <w:r>
              <w:rPr>
                <w:rFonts w:hint="eastAsia" w:ascii="宋体" w:hAnsi="宋体" w:cs="Arial"/>
                <w:b/>
                <w:bCs/>
                <w:szCs w:val="21"/>
              </w:rPr>
              <w:t>（</w:t>
            </w:r>
            <w:r>
              <w:rPr>
                <w:rFonts w:hint="eastAsia" w:ascii="宋体" w:hAnsi="宋体" w:cs="Arial"/>
                <w:b/>
                <w:bCs/>
                <w:szCs w:val="21"/>
                <w:lang w:val="zh-CN"/>
              </w:rPr>
              <w:t>黑名单</w:t>
            </w:r>
            <w:r>
              <w:rPr>
                <w:rFonts w:hint="eastAsia" w:ascii="宋体" w:hAnsi="宋体" w:cs="Arial"/>
                <w:b/>
                <w:bCs/>
                <w:szCs w:val="21"/>
              </w:rPr>
              <w:t>）</w:t>
            </w:r>
            <w:r>
              <w:rPr>
                <w:rFonts w:hint="eastAsia" w:ascii="宋体" w:hAnsi="宋体" w:cs="Arial"/>
                <w:b/>
                <w:bCs/>
                <w:szCs w:val="21"/>
                <w:lang w:val="zh-CN"/>
              </w:rPr>
              <w:t>的供应商</w:t>
            </w:r>
            <w:r>
              <w:rPr>
                <w:rFonts w:hint="eastAsia" w:ascii="宋体" w:hAnsi="宋体" w:cs="Arial"/>
                <w:b/>
                <w:bCs/>
                <w:szCs w:val="21"/>
              </w:rPr>
              <w:t>（</w:t>
            </w:r>
            <w:r>
              <w:rPr>
                <w:rFonts w:hint="eastAsia" w:ascii="宋体" w:hAnsi="宋体" w:cs="Arial"/>
                <w:b/>
                <w:bCs/>
                <w:szCs w:val="21"/>
                <w:lang w:val="zh-CN"/>
              </w:rPr>
              <w:t>联合体形式投标的</w:t>
            </w:r>
            <w:r>
              <w:rPr>
                <w:rFonts w:hint="eastAsia" w:ascii="宋体" w:hAnsi="宋体" w:cs="Arial"/>
                <w:b/>
                <w:bCs/>
                <w:szCs w:val="21"/>
              </w:rPr>
              <w:t>，</w:t>
            </w:r>
            <w:r>
              <w:rPr>
                <w:rFonts w:hint="eastAsia" w:ascii="宋体" w:hAnsi="宋体" w:cs="Arial"/>
                <w:b/>
                <w:bCs/>
                <w:szCs w:val="21"/>
                <w:lang w:val="zh-CN"/>
              </w:rPr>
              <w:t>联合体成员存在不良信用记录</w:t>
            </w:r>
            <w:r>
              <w:rPr>
                <w:rFonts w:hint="eastAsia" w:ascii="宋体" w:hAnsi="宋体" w:cs="Arial"/>
                <w:b/>
                <w:bCs/>
                <w:szCs w:val="21"/>
              </w:rPr>
              <w:t>，</w:t>
            </w:r>
            <w:r>
              <w:rPr>
                <w:rFonts w:hint="eastAsia" w:ascii="宋体" w:hAnsi="宋体" w:cs="Arial"/>
                <w:b/>
                <w:bCs/>
                <w:szCs w:val="21"/>
                <w:lang w:val="zh-CN"/>
              </w:rPr>
              <w:t>视同联合体存在不良信用记录</w:t>
            </w:r>
            <w:r>
              <w:rPr>
                <w:rFonts w:hint="eastAsia" w:ascii="宋体" w:hAnsi="宋体" w:cs="Arial"/>
                <w:b/>
                <w:bCs/>
                <w:szCs w:val="21"/>
              </w:rPr>
              <w:t>）(</w:t>
            </w:r>
            <w:r>
              <w:rPr>
                <w:rFonts w:hint="eastAsia" w:ascii="宋体" w:hAnsi="宋体" w:cs="Arial"/>
                <w:b/>
                <w:bCs/>
                <w:szCs w:val="21"/>
                <w:lang w:val="zh-CN"/>
              </w:rPr>
              <w:t>本项目投标截止时间前三年内供应商信用记录情况</w:t>
            </w:r>
            <w:r>
              <w:rPr>
                <w:rFonts w:hint="eastAsia" w:ascii="宋体" w:hAnsi="宋体" w:cs="Arial"/>
                <w:b/>
                <w:bCs/>
                <w:szCs w:val="21"/>
              </w:rPr>
              <w:t>)</w:t>
            </w:r>
            <w:r>
              <w:rPr>
                <w:rFonts w:hint="eastAsia" w:ascii="宋体" w:hAnsi="宋体" w:cs="Arial"/>
                <w:b/>
                <w:bCs/>
                <w:szCs w:val="21"/>
                <w:lang w:val="zh-CN"/>
              </w:rPr>
              <w:t>。</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r>
              <w:rPr>
                <w:rFonts w:hint="eastAsia" w:ascii="宋体" w:hAnsi="宋体" w:cs="Arial"/>
                <w:szCs w:val="21"/>
                <w:lang w:val="zh-CN"/>
              </w:rPr>
              <w:t>国家企业信用公示系统</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（www.gsxt.gov.cn）；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（4）信用信息的使用原则：经采购人认定的被列入失信被执行人、重大税收违法案件当事人名单、政府采购严重违法失信行为记录名单、严重违法失信企业名单（黑名单）的供应商，将拒绝其参与政府采购活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bookmarkStart w:id="3" w:name="定位_【循环资格性证明材料】_20122314645"/>
            <w:bookmarkEnd w:id="3"/>
            <w:bookmarkStart w:id="4" w:name="定位_【循环资格性证明材料】_201244141223"/>
            <w:bookmarkEnd w:id="4"/>
            <w:bookmarkStart w:id="5" w:name="定位_【循环资格性证明材料】_2012261436"/>
            <w:bookmarkEnd w:id="5"/>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谈判响应</w:t>
            </w:r>
            <w:r>
              <w:rPr>
                <w:rFonts w:hint="eastAsia" w:ascii="宋体" w:hAnsi="宋体" w:cs="宋体"/>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3</w:t>
            </w:r>
            <w:r>
              <w:rPr>
                <w:rFonts w:hint="eastAsia" w:ascii="宋体" w:hAnsi="宋体" w:cs="宋体"/>
                <w:bCs/>
                <w:kern w:val="0"/>
                <w:szCs w:val="21"/>
              </w:rPr>
              <w:t>.</w:t>
            </w:r>
            <w:r>
              <w:rPr>
                <w:rFonts w:hint="eastAsia" w:ascii="宋体" w:hAnsi="宋体" w:cs="Arial"/>
                <w:szCs w:val="21"/>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5.实施方案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6.响应文件实质响应情况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4.谈判响应文件依据谈判文件的要求提供的各类证明文件，须在谈判响应文件中提供加盖公章的复印件，竞争</w:t>
      </w:r>
      <w:r>
        <w:rPr>
          <w:rFonts w:ascii="宋体" w:hAnsi="宋体" w:cs="Arial"/>
          <w:sz w:val="24"/>
        </w:rPr>
        <w:t>性</w:t>
      </w:r>
      <w:r>
        <w:rPr>
          <w:rFonts w:hint="eastAsia" w:ascii="宋体" w:hAnsi="宋体" w:cs="Arial"/>
          <w:sz w:val="24"/>
        </w:rPr>
        <w:t>谈判现场还须提供“资格性审查材料”第</w:t>
      </w:r>
      <w:r>
        <w:rPr>
          <w:rFonts w:hint="eastAsia" w:ascii="宋体" w:hAnsi="宋体" w:cs="Arial"/>
          <w:color w:val="FF0000"/>
          <w:sz w:val="24"/>
        </w:rPr>
        <w:t>5项</w:t>
      </w:r>
      <w:r>
        <w:rPr>
          <w:rFonts w:hint="eastAsia" w:ascii="宋体" w:hAnsi="宋体" w:cs="Arial"/>
          <w:sz w:val="24"/>
        </w:rPr>
        <w:t>与复印件一致的原件查验，否则拒绝其参加谈判。</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hint="eastAsia" w:ascii="宋体" w:hAnsi="宋体"/>
          <w:kern w:val="0"/>
          <w:sz w:val="24"/>
          <w:szCs w:val="24"/>
        </w:rPr>
      </w:pPr>
      <w:r>
        <w:rPr>
          <w:rFonts w:hint="eastAsia" w:ascii="宋体" w:hAnsi="宋体"/>
          <w:kern w:val="0"/>
          <w:sz w:val="24"/>
          <w:szCs w:val="24"/>
        </w:rPr>
        <w:t>9．出现影响采购公正的违法、违规行为的。</w:t>
      </w:r>
    </w:p>
    <w:p>
      <w:pPr>
        <w:pStyle w:val="2"/>
        <w:ind w:firstLine="540" w:firstLineChars="225"/>
      </w:pPr>
      <w:r>
        <w:rPr>
          <w:rFonts w:hint="eastAsia"/>
        </w:rPr>
        <w:t>10.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Theme="majorEastAsia" w:hAnsiTheme="majorEastAsia" w:eastAsiaTheme="majorEastAsia"/>
          <w:b/>
          <w:sz w:val="24"/>
        </w:rPr>
      </w:pPr>
      <w:r>
        <w:rPr>
          <w:rFonts w:hint="eastAsia" w:asciiTheme="majorEastAsia" w:hAnsiTheme="majorEastAsia" w:eastAsiaTheme="majorEastAsia"/>
          <w:b/>
          <w:sz w:val="32"/>
          <w:szCs w:val="32"/>
        </w:rPr>
        <w:t>第四章  采购项目需求及相关要求</w:t>
      </w:r>
    </w:p>
    <w:p>
      <w:pPr>
        <w:rPr>
          <w:rFonts w:ascii="宋体" w:hAnsi="宋体"/>
          <w:b/>
          <w:sz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pStyle w:val="30"/>
        <w:spacing w:line="360" w:lineRule="auto"/>
        <w:ind w:firstLine="480" w:firstLineChars="200"/>
        <w:rPr>
          <w:rFonts w:hint="eastAsia" w:ascii="宋体" w:hAnsi="宋体" w:cs="宋体"/>
          <w:bCs/>
          <w:szCs w:val="24"/>
        </w:rPr>
      </w:pPr>
      <w:r>
        <w:rPr>
          <w:rFonts w:hint="eastAsia" w:ascii="宋体" w:hAnsi="宋体" w:cs="宋体"/>
          <w:bCs/>
          <w:szCs w:val="24"/>
        </w:rPr>
        <w:t>采购62顶迷彩棉帐篷及提供62顶帐篷所需的木地板及安装，每顶帐篷的木地板面积为40平方米（5*8米），总面积2480平方米。</w:t>
      </w:r>
    </w:p>
    <w:p>
      <w:pPr>
        <w:snapToGrid w:val="0"/>
        <w:spacing w:line="360" w:lineRule="auto"/>
        <w:ind w:firstLine="482" w:firstLineChars="200"/>
        <w:rPr>
          <w:rFonts w:hint="eastAsia" w:ascii="宋体" w:hAnsi="宋体" w:cs="宋体"/>
          <w:b/>
          <w:bCs/>
          <w:sz w:val="24"/>
          <w:szCs w:val="24"/>
        </w:rPr>
      </w:pPr>
    </w:p>
    <w:p>
      <w:pPr>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A包：</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（一）、帐篷采购规格及技术指标</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1、采购产品：迷彩棉帐篷。</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2、数量：62顶。</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3、尺寸规格： 6米长、5米宽，边高2.5米，顶高不低于3.8米，设置一门，门宽不低于0.8米，共6窗，窗0.5*0.5米。</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4、支架规格及技术指标：整体采用φ38镀锌钢管，壁厚不低于1.2mm； 弯头φ42镀锌钢管，壁厚不低于1.5mm， 国标标准。框架钢管采用插头与插管对接，用松紧适度的弹簧卡锁定，插接应牢固、稳定。</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5、篷布规格：PVC夹丝网布。整体采用新型环保材料，抗冻防寒，面料柔软、具有防水、防霉、防老化、耐磨等性能。</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6、内衬：防水白布。外篷布和内衬中每平方米加不低于450g的防寒丝绵。</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7、帐篷带一个门，每个门带有一个卷帘，卷帘材质与帐篷围墙材质相同。</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8、帐篷两侧带窗户的窗口都需设有纱网和卷帘，具有防蚊虫、通风等功能。</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9、配带拉绳、绳卡、地钎、螺丝等安装帐篷过程中使用的配件。</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（二）、质量要求</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1、帐篷所用材料须符合环保要求，不得有异味或挥发性有害气体；经第三方检测不符合要求的，购货方有权将货物退回，并全额收回货款。</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2、产品必须保证不低于六年的使用期限，六年内若出现重大质量问题，包换新产品。</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3、使用过程中若出现质量问题，供货方须在接到维修申请后，在48小时内到达现场进行维修。</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4、抗雪能力不低于20公分，抗风能力不低于8级，抗震能力较强。</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（三）、安装完成时间及地点</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安装完成时间：自合同签订之日起一个月内。</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地点：河南省许昌市建安区陈曹乡前李村西。</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（四）、最高限价31万元</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 价格包含相关运费和税费。</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（五）、货款支付时间</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1、双方签订合同后，购货方预付成交总价款的30%。</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2、帐篷及安装材料送达指定地点后，购货方支付成交总款款的50%。</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3、帐篷安装完成并验收合格后，购货方支付成交总价款的17%。</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4、留取成交总价款的3%作为质量保证金，1年后若无重大质量问题，予以退回。</w:t>
      </w:r>
    </w:p>
    <w:p>
      <w:pPr>
        <w:pStyle w:val="2"/>
        <w:rPr>
          <w:rFonts w:hint="eastAsia"/>
          <w:b/>
        </w:rPr>
      </w:pPr>
    </w:p>
    <w:p>
      <w:pPr>
        <w:pStyle w:val="2"/>
        <w:rPr>
          <w:rFonts w:hint="eastAsia"/>
          <w:b/>
        </w:rPr>
      </w:pPr>
      <w:r>
        <w:rPr>
          <w:rFonts w:hint="eastAsia"/>
          <w:b/>
        </w:rPr>
        <w:t>B包：</w:t>
      </w:r>
    </w:p>
    <w:p>
      <w:pPr>
        <w:pStyle w:val="2"/>
        <w:ind w:firstLine="424" w:firstLineChars="177"/>
        <w:rPr>
          <w:rFonts w:hint="eastAsia"/>
        </w:rPr>
      </w:pPr>
      <w:r>
        <w:rPr>
          <w:rFonts w:hint="eastAsia"/>
        </w:rPr>
        <w:t>（一）、塑木地板及钢架底座采购规格及技术指标</w:t>
      </w:r>
    </w:p>
    <w:p>
      <w:pPr>
        <w:pStyle w:val="2"/>
        <w:ind w:firstLine="424" w:firstLineChars="177"/>
        <w:rPr>
          <w:rFonts w:hint="eastAsia"/>
        </w:rPr>
      </w:pPr>
      <w:r>
        <w:rPr>
          <w:rFonts w:hint="eastAsia"/>
        </w:rPr>
        <w:t>1、采购产品：圆孔塑木地板及钢架底座</w:t>
      </w:r>
    </w:p>
    <w:p>
      <w:pPr>
        <w:pStyle w:val="2"/>
        <w:ind w:firstLine="424" w:firstLineChars="177"/>
        <w:rPr>
          <w:rFonts w:hint="eastAsia"/>
        </w:rPr>
      </w:pPr>
      <w:r>
        <w:rPr>
          <w:rFonts w:hint="eastAsia"/>
        </w:rPr>
        <w:t>2、面积：提供62顶帐篷所需的木地板及安装，每顶帐篷的木地板面积为40平方米（5*8米），总面积2480平方米。</w:t>
      </w:r>
    </w:p>
    <w:p>
      <w:pPr>
        <w:pStyle w:val="2"/>
        <w:ind w:firstLine="424" w:firstLineChars="177"/>
        <w:rPr>
          <w:rFonts w:hint="eastAsia"/>
        </w:rPr>
      </w:pPr>
      <w:r>
        <w:rPr>
          <w:rFonts w:hint="eastAsia"/>
        </w:rPr>
        <w:t>3、塑木尺寸规格： 长3米，宽15公分，厚2.5公分。（含配件）</w:t>
      </w:r>
    </w:p>
    <w:p>
      <w:pPr>
        <w:pStyle w:val="2"/>
        <w:ind w:firstLine="424" w:firstLineChars="177"/>
        <w:rPr>
          <w:rFonts w:hint="eastAsia" w:eastAsia="宋体"/>
          <w:lang w:eastAsia="zh-CN"/>
        </w:rPr>
      </w:pPr>
      <w:r>
        <w:rPr>
          <w:rFonts w:hint="eastAsia"/>
          <w:lang w:val="en-US" w:eastAsia="zh-CN"/>
        </w:rPr>
        <w:t>4、</w:t>
      </w:r>
      <w:r>
        <w:rPr>
          <w:rFonts w:hint="eastAsia"/>
          <w:lang w:eastAsia="zh-CN"/>
        </w:rPr>
        <w:t>塑木颜色：胡桃木色</w:t>
      </w:r>
    </w:p>
    <w:p>
      <w:pPr>
        <w:pStyle w:val="2"/>
        <w:ind w:firstLine="424" w:firstLineChars="177"/>
        <w:rPr>
          <w:rFonts w:hint="eastAsia"/>
        </w:rPr>
      </w:pPr>
      <w:r>
        <w:rPr>
          <w:rFonts w:hint="eastAsia"/>
          <w:lang w:val="en-US" w:eastAsia="zh-CN"/>
        </w:rPr>
        <w:t>5</w:t>
      </w:r>
      <w:r>
        <w:rPr>
          <w:rFonts w:hint="eastAsia"/>
        </w:rPr>
        <w:t>、钢材支架龙骨规格：40*40mm镀锌钢，壁厚2mm，支架间距不高于35公分。</w:t>
      </w:r>
    </w:p>
    <w:p>
      <w:pPr>
        <w:pStyle w:val="2"/>
        <w:ind w:firstLine="424" w:firstLineChars="177"/>
        <w:rPr>
          <w:rFonts w:hint="eastAsia"/>
        </w:rPr>
      </w:pPr>
      <w:r>
        <w:rPr>
          <w:rFonts w:hint="eastAsia"/>
          <w:lang w:val="en-US" w:eastAsia="zh-CN"/>
        </w:rPr>
        <w:t>6</w:t>
      </w:r>
      <w:r>
        <w:rPr>
          <w:rFonts w:hint="eastAsia"/>
        </w:rPr>
        <w:t>、底部支架抬高30公分。</w:t>
      </w:r>
    </w:p>
    <w:p>
      <w:pPr>
        <w:pStyle w:val="2"/>
        <w:ind w:firstLine="424" w:firstLineChars="177"/>
        <w:rPr>
          <w:rFonts w:hint="eastAsia"/>
        </w:rPr>
      </w:pPr>
      <w:r>
        <w:rPr>
          <w:rFonts w:hint="eastAsia"/>
          <w:lang w:val="en-US" w:eastAsia="zh-CN"/>
        </w:rPr>
        <w:t>7</w:t>
      </w:r>
      <w:r>
        <w:rPr>
          <w:rFonts w:hint="eastAsia"/>
        </w:rPr>
        <w:t>、每个木平台配备一个与帐篷门相匹配的塑木台阶。</w:t>
      </w:r>
    </w:p>
    <w:p>
      <w:pPr>
        <w:pStyle w:val="2"/>
        <w:ind w:firstLine="424" w:firstLineChars="177"/>
        <w:rPr>
          <w:rFonts w:hint="eastAsia"/>
        </w:rPr>
      </w:pPr>
      <w:r>
        <w:rPr>
          <w:rFonts w:hint="eastAsia"/>
        </w:rPr>
        <w:t>（二）、质量要求</w:t>
      </w:r>
    </w:p>
    <w:p>
      <w:pPr>
        <w:pStyle w:val="2"/>
        <w:ind w:firstLine="424" w:firstLineChars="177"/>
        <w:rPr>
          <w:rFonts w:hint="eastAsia"/>
        </w:rPr>
      </w:pPr>
      <w:r>
        <w:rPr>
          <w:rFonts w:hint="eastAsia"/>
        </w:rPr>
        <w:t>1、塑木地板所用材料须符合环保要求，不得有异味或挥发性有害气体；经第三方检测不符合要求的，购货方有权将货物退回，并全额收回货款。</w:t>
      </w:r>
    </w:p>
    <w:p>
      <w:pPr>
        <w:pStyle w:val="2"/>
        <w:ind w:firstLine="424" w:firstLineChars="177"/>
        <w:rPr>
          <w:rFonts w:hint="eastAsia"/>
        </w:rPr>
      </w:pPr>
      <w:r>
        <w:rPr>
          <w:rFonts w:hint="eastAsia"/>
        </w:rPr>
        <w:t>2、产品必须保证十年以上使用期限。</w:t>
      </w:r>
    </w:p>
    <w:p>
      <w:pPr>
        <w:pStyle w:val="2"/>
        <w:ind w:firstLine="424" w:firstLineChars="177"/>
        <w:rPr>
          <w:rFonts w:hint="eastAsia"/>
        </w:rPr>
      </w:pPr>
      <w:r>
        <w:rPr>
          <w:rFonts w:hint="eastAsia"/>
        </w:rPr>
        <w:t>3、使用过程中若出现质量问题，供货方须在接到维修申请后，在48小时内到达现场进行维修。</w:t>
      </w:r>
    </w:p>
    <w:p>
      <w:pPr>
        <w:pStyle w:val="2"/>
        <w:ind w:firstLine="424" w:firstLineChars="177"/>
        <w:rPr>
          <w:rFonts w:hint="eastAsia"/>
        </w:rPr>
      </w:pPr>
      <w:r>
        <w:rPr>
          <w:rFonts w:hint="eastAsia"/>
        </w:rPr>
        <w:t>（三）、安装完成时间及地点</w:t>
      </w:r>
    </w:p>
    <w:p>
      <w:pPr>
        <w:pStyle w:val="2"/>
        <w:ind w:firstLine="424" w:firstLineChars="177"/>
        <w:rPr>
          <w:rFonts w:hint="eastAsia"/>
        </w:rPr>
      </w:pPr>
      <w:r>
        <w:rPr>
          <w:rFonts w:hint="eastAsia"/>
        </w:rPr>
        <w:t>安装完成时间：自合同签订之日起一个月内。</w:t>
      </w:r>
    </w:p>
    <w:p>
      <w:pPr>
        <w:pStyle w:val="2"/>
        <w:ind w:firstLine="424" w:firstLineChars="177"/>
        <w:rPr>
          <w:rFonts w:hint="eastAsia"/>
        </w:rPr>
      </w:pPr>
      <w:r>
        <w:rPr>
          <w:rFonts w:hint="eastAsia"/>
        </w:rPr>
        <w:t>地点：河南省许昌市建安区陈曹乡前李村西。</w:t>
      </w:r>
    </w:p>
    <w:p>
      <w:pPr>
        <w:pStyle w:val="2"/>
        <w:ind w:firstLine="424" w:firstLineChars="177"/>
        <w:rPr>
          <w:rFonts w:hint="eastAsia"/>
        </w:rPr>
      </w:pPr>
      <w:r>
        <w:rPr>
          <w:rFonts w:hint="eastAsia"/>
        </w:rPr>
        <w:t>（四）、最高限价</w:t>
      </w:r>
    </w:p>
    <w:p>
      <w:pPr>
        <w:pStyle w:val="2"/>
        <w:ind w:firstLine="424" w:firstLineChars="177"/>
        <w:rPr>
          <w:rFonts w:hint="eastAsia"/>
        </w:rPr>
      </w:pPr>
      <w:r>
        <w:rPr>
          <w:rFonts w:hint="eastAsia"/>
        </w:rPr>
        <w:t>最高限价</w:t>
      </w:r>
      <w:r>
        <w:rPr>
          <w:rFonts w:hint="eastAsia"/>
          <w:lang w:eastAsia="zh-CN"/>
        </w:rPr>
        <w:t>60</w:t>
      </w:r>
      <w:r>
        <w:rPr>
          <w:rFonts w:hint="eastAsia"/>
        </w:rPr>
        <w:t>万元。</w:t>
      </w:r>
    </w:p>
    <w:p>
      <w:pPr>
        <w:pStyle w:val="2"/>
        <w:ind w:firstLine="424" w:firstLineChars="177"/>
        <w:rPr>
          <w:rFonts w:hint="eastAsia"/>
        </w:rPr>
      </w:pPr>
      <w:r>
        <w:rPr>
          <w:rFonts w:hint="eastAsia"/>
        </w:rPr>
        <w:t xml:space="preserve"> 价格包含相关运费、安装费和税费。</w:t>
      </w:r>
    </w:p>
    <w:p>
      <w:pPr>
        <w:pStyle w:val="2"/>
        <w:ind w:firstLine="424" w:firstLineChars="177"/>
        <w:rPr>
          <w:rFonts w:hint="eastAsia"/>
        </w:rPr>
      </w:pPr>
      <w:r>
        <w:rPr>
          <w:rFonts w:hint="eastAsia"/>
        </w:rPr>
        <w:t>（五）、货款支付时间</w:t>
      </w:r>
    </w:p>
    <w:p>
      <w:pPr>
        <w:pStyle w:val="2"/>
        <w:ind w:firstLine="424" w:firstLineChars="177"/>
        <w:rPr>
          <w:rFonts w:hint="eastAsia"/>
        </w:rPr>
      </w:pPr>
      <w:r>
        <w:rPr>
          <w:rFonts w:hint="eastAsia"/>
        </w:rPr>
        <w:t>1、双方签订合同后，购货方预付成交总价款的30%。</w:t>
      </w:r>
    </w:p>
    <w:p>
      <w:pPr>
        <w:pStyle w:val="2"/>
        <w:ind w:firstLine="424" w:firstLineChars="177"/>
        <w:rPr>
          <w:rFonts w:hint="eastAsia"/>
        </w:rPr>
      </w:pPr>
      <w:r>
        <w:rPr>
          <w:rFonts w:hint="eastAsia"/>
        </w:rPr>
        <w:t>2、地板及底座安装材料送达指定地点后，购货方支付成交总款的50%。</w:t>
      </w:r>
    </w:p>
    <w:p>
      <w:pPr>
        <w:pStyle w:val="2"/>
        <w:ind w:firstLine="424" w:firstLineChars="177"/>
        <w:rPr>
          <w:rFonts w:hint="eastAsia"/>
        </w:rPr>
      </w:pPr>
      <w:r>
        <w:rPr>
          <w:rFonts w:hint="eastAsia"/>
        </w:rPr>
        <w:t>3、地板及底座安装完成并验收合格后，购货方支付成交总价款的17%。</w:t>
      </w:r>
    </w:p>
    <w:p>
      <w:pPr>
        <w:pStyle w:val="2"/>
        <w:ind w:firstLine="424" w:firstLineChars="177"/>
        <w:rPr>
          <w:rFonts w:hint="eastAsia"/>
        </w:rPr>
      </w:pPr>
      <w:r>
        <w:rPr>
          <w:rFonts w:hint="eastAsia"/>
        </w:rPr>
        <w:t>4、留取成交总价款的3%作为质量保证金，1年后若无重大质量问题，予以退回。</w:t>
      </w:r>
    </w:p>
    <w:p>
      <w:pPr>
        <w:snapToGrid w:val="0"/>
        <w:spacing w:line="360" w:lineRule="auto"/>
        <w:ind w:firstLine="426" w:firstLineChars="177"/>
        <w:rPr>
          <w:rFonts w:hint="eastAsia" w:ascii="宋体" w:hAnsi="宋体" w:cs="宋体"/>
          <w:b/>
          <w:bCs/>
          <w:sz w:val="24"/>
          <w:szCs w:val="24"/>
        </w:rPr>
      </w:pP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二、其他要求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1、本谈判文件所列的要求为最低要求，根据提供的项目需求进行报价，对谈判文件中没有列出的而对本项目必不可少的其他要求，谈判供应商必须给予实现。</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本项目的谈判报价为总报价，包括运输及协助单位所产生的费用等。</w:t>
      </w:r>
    </w:p>
    <w:p>
      <w:pPr>
        <w:widowControl/>
        <w:spacing w:line="360" w:lineRule="auto"/>
        <w:ind w:firstLine="480" w:firstLineChars="200"/>
        <w:rPr>
          <w:rFonts w:ascii="宋体" w:hAnsi="宋体" w:cs="宋体"/>
          <w:b/>
          <w:bCs/>
          <w:sz w:val="24"/>
          <w:szCs w:val="24"/>
          <w:lang w:val="zh-CN"/>
        </w:rPr>
      </w:pPr>
      <w:r>
        <w:rPr>
          <w:rFonts w:hint="eastAsia" w:ascii="宋体" w:hAnsi="宋体" w:cs="宋体"/>
          <w:sz w:val="24"/>
          <w:szCs w:val="24"/>
        </w:rPr>
        <w:t>3</w:t>
      </w:r>
      <w:r>
        <w:rPr>
          <w:rFonts w:hint="eastAsia" w:ascii="宋体" w:hAnsi="宋体" w:cs="宋体"/>
          <w:sz w:val="24"/>
          <w:szCs w:val="24"/>
          <w:lang w:val="zh-CN"/>
        </w:rPr>
        <w:t>、供应商应就该项目完整报价，</w:t>
      </w:r>
      <w:r>
        <w:rPr>
          <w:rFonts w:hint="eastAsia" w:ascii="宋体" w:hAnsi="宋体" w:cs="宋体"/>
          <w:b/>
          <w:bCs/>
          <w:sz w:val="24"/>
          <w:szCs w:val="24"/>
          <w:lang w:val="zh-CN"/>
        </w:rPr>
        <w:t>否则为无效报价。</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b/>
          <w:sz w:val="24"/>
          <w:szCs w:val="24"/>
          <w:lang w:val="zh-CN"/>
        </w:rPr>
        <w:t>验收标准</w:t>
      </w:r>
      <w:r>
        <w:rPr>
          <w:rFonts w:hint="eastAsia" w:ascii="宋体" w:hAnsi="宋体" w:cs="宋体"/>
          <w:sz w:val="24"/>
          <w:szCs w:val="24"/>
          <w:lang w:val="zh-CN"/>
        </w:rPr>
        <w:t>：由采购人成立验收小组,按照采购合同的约定对中标人履约情况进行验收。验收时,按照采购合同的约定对规格、参数等履约情况进行确认。验收结束后,出具验收书。按照招标文件要求、投标文件响应和承诺验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b/>
          <w:bCs/>
          <w:sz w:val="24"/>
          <w:szCs w:val="24"/>
          <w:lang w:val="zh-CN"/>
        </w:rPr>
        <w:t>付款方式</w:t>
      </w:r>
      <w:r>
        <w:rPr>
          <w:rFonts w:hint="eastAsia" w:ascii="宋体" w:hAnsi="宋体" w:cs="宋体"/>
          <w:sz w:val="24"/>
          <w:szCs w:val="24"/>
        </w:rPr>
        <w:t>（</w:t>
      </w:r>
      <w:r>
        <w:rPr>
          <w:rFonts w:hint="eastAsia" w:ascii="宋体" w:hAnsi="宋体" w:cs="宋体"/>
          <w:sz w:val="24"/>
          <w:szCs w:val="24"/>
          <w:lang w:val="zh-CN"/>
        </w:rPr>
        <w:t>不响应者为无效响应）</w:t>
      </w:r>
    </w:p>
    <w:p>
      <w:pPr>
        <w:pStyle w:val="30"/>
        <w:spacing w:line="360" w:lineRule="auto"/>
        <w:ind w:firstLine="480" w:firstLineChars="200"/>
        <w:rPr>
          <w:rFonts w:ascii="宋体" w:hAnsi="宋体" w:cs="宋体"/>
          <w:bCs/>
          <w:szCs w:val="24"/>
        </w:rPr>
      </w:pP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line="360" w:lineRule="auto"/>
        <w:ind w:firstLine="643" w:firstLineChars="200"/>
        <w:jc w:val="center"/>
        <w:rPr>
          <w:rFonts w:asciiTheme="majorEastAsia" w:hAnsiTheme="majorEastAsia" w:eastAsiaTheme="majorEastAsia"/>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hAnsi="宋体"/>
          <w:b/>
          <w:kern w:val="0"/>
          <w:sz w:val="24"/>
          <w:szCs w:val="24"/>
        </w:rPr>
      </w:pP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．采购代理机构应当在评审结束后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文件的规定，对响应文件中的资格证明、谈判响应保证金等进行审查，以确定谈判响应供应商是否具备谈判资格。资格审查不符合资格要求的供应商的响应文件按无效处理。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代理机构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代理机构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0"/>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30"/>
        <w:ind w:firstLine="240"/>
        <w:rPr>
          <w:rFonts w:asciiTheme="majorEastAsia" w:hAnsiTheme="majorEastAsia" w:eastAsiaTheme="majorEastAsia"/>
        </w:rPr>
      </w:pPr>
    </w:p>
    <w:tbl>
      <w:tblPr>
        <w:tblStyle w:val="31"/>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7"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计划工期</w:t>
            </w:r>
          </w:p>
        </w:tc>
        <w:tc>
          <w:tcPr>
            <w:tcW w:w="8024"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sz w:val="24"/>
                <w:szCs w:val="24"/>
              </w:rPr>
            </w:pPr>
            <w:r>
              <w:rPr>
                <w:rFonts w:hint="eastAsia" w:ascii="宋体" w:hAnsi="宋体" w:cs="宋体"/>
                <w:sz w:val="24"/>
                <w:szCs w:val="24"/>
              </w:rPr>
              <w:t>合同签订之日起30日历天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83"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sz w:val="24"/>
                <w:szCs w:val="24"/>
              </w:rPr>
            </w:pPr>
            <w:r>
              <w:rPr>
                <w:rFonts w:hint="eastAsia" w:ascii="宋体" w:hAnsi="宋体" w:cs="Arial"/>
                <w:sz w:val="24"/>
              </w:rPr>
              <w:t xml:space="preserve">  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 w:val="24"/>
                <w:szCs w:val="24"/>
              </w:rPr>
            </w:pPr>
            <w:r>
              <w:rPr>
                <w:rFonts w:hint="eastAsia" w:ascii="宋体" w:hAnsi="宋体" w:cs="宋体"/>
                <w:b/>
                <w:kern w:val="0"/>
                <w:sz w:val="24"/>
                <w:szCs w:val="24"/>
              </w:rPr>
              <w:t>付</w:t>
            </w:r>
            <w:r>
              <w:rPr>
                <w:rFonts w:ascii="宋体" w:hAnsi="宋体" w:cs="宋体"/>
                <w:b/>
                <w:kern w:val="0"/>
                <w:sz w:val="24"/>
                <w:szCs w:val="24"/>
              </w:rPr>
              <w:t>款</w:t>
            </w:r>
            <w:r>
              <w:rPr>
                <w:rFonts w:hint="eastAsia" w:ascii="宋体" w:hAnsi="宋体" w:cs="宋体"/>
                <w:b/>
                <w:kern w:val="0"/>
                <w:sz w:val="24"/>
                <w:szCs w:val="24"/>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不响应者为无效响应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14" w:hRule="atLeast"/>
          <w:jc w:val="right"/>
        </w:trPr>
        <w:tc>
          <w:tcPr>
            <w:tcW w:w="1856"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8024"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ascii="宋体" w:hAnsi="宋体" w:cs="Arial"/>
                <w:sz w:val="24"/>
              </w:rPr>
            </w:pPr>
            <w:r>
              <w:rPr>
                <w:rFonts w:hint="eastAsia" w:ascii="宋体" w:hAnsi="宋体" w:cs="Arial"/>
                <w:sz w:val="24"/>
              </w:rPr>
              <w:t>1、供应商提供的货物及相关服务必须是本谈判文件要求的所提供的货物应为全新产品，负责送货上门及施工，负责所供材料的检验。</w:t>
            </w:r>
          </w:p>
          <w:p>
            <w:pPr>
              <w:widowControl/>
              <w:ind w:firstLine="480" w:firstLineChars="200"/>
              <w:jc w:val="left"/>
              <w:rPr>
                <w:rFonts w:ascii="宋体" w:hAnsi="宋体" w:cs="Arial"/>
                <w:sz w:val="24"/>
              </w:rPr>
            </w:pPr>
            <w:r>
              <w:rPr>
                <w:rFonts w:hint="eastAsia" w:ascii="宋体" w:hAnsi="宋体" w:cs="Arial"/>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ascii="宋体" w:hAnsi="宋体" w:cs="Arial"/>
                <w:sz w:val="24"/>
              </w:rPr>
            </w:pPr>
            <w:r>
              <w:rPr>
                <w:rFonts w:hint="eastAsia" w:ascii="宋体" w:hAnsi="宋体" w:cs="Arial"/>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ascii="宋体" w:hAnsi="宋体" w:cs="Arial"/>
                <w:sz w:val="24"/>
              </w:rPr>
            </w:pPr>
            <w:r>
              <w:rPr>
                <w:rFonts w:hint="eastAsia" w:ascii="宋体" w:hAnsi="宋体" w:cs="Arial"/>
                <w:sz w:val="24"/>
              </w:rPr>
              <w:t>4、质量鉴定：因质量问题发生争议，由建设行政主管部门或其指定的机构进行质量鉴定，该鉴定结论是终局的，供需双方均应当接受鉴定结论。</w:t>
            </w:r>
          </w:p>
          <w:p>
            <w:pPr>
              <w:widowControl/>
              <w:ind w:firstLine="480" w:firstLineChars="200"/>
              <w:jc w:val="left"/>
              <w:rPr>
                <w:rFonts w:ascii="宋体" w:hAnsi="宋体" w:cs="Arial"/>
                <w:sz w:val="24"/>
              </w:rPr>
            </w:pPr>
            <w:r>
              <w:rPr>
                <w:rFonts w:hint="eastAsia" w:ascii="宋体" w:hAnsi="宋体" w:cs="Arial"/>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ascii="宋体" w:hAnsi="宋体" w:cs="Arial"/>
                <w:sz w:val="24"/>
              </w:rPr>
            </w:pPr>
            <w:r>
              <w:rPr>
                <w:rFonts w:hint="eastAsia" w:ascii="宋体" w:hAnsi="宋体" w:cs="Arial"/>
                <w:sz w:val="24"/>
              </w:rPr>
              <w:t>6、供方逾期交付货物（工程），应向需方每日支付逾期交货部分货款总值5</w:t>
            </w:r>
            <w:r>
              <w:rPr>
                <w:rFonts w:ascii="宋体" w:hAnsi="宋体" w:cs="Arial"/>
                <w:sz w:val="24"/>
              </w:rPr>
              <w:t>‰</w:t>
            </w:r>
            <w:r>
              <w:rPr>
                <w:rFonts w:hint="eastAsia" w:ascii="宋体" w:hAnsi="宋体" w:cs="Arial"/>
                <w:sz w:val="24"/>
              </w:rPr>
              <w:t>的违约金；在合同规定的交货期满15日仍未全部交货（交工），按不能交货处理。仅支付已验收货物的货款，供方应承担由此发生的全部费用。</w:t>
            </w:r>
          </w:p>
          <w:p>
            <w:pPr>
              <w:widowControl/>
              <w:ind w:firstLine="420" w:firstLineChars="175"/>
              <w:jc w:val="left"/>
              <w:rPr>
                <w:rFonts w:ascii="宋体" w:hAnsi="宋体" w:cs="Arial"/>
                <w:sz w:val="24"/>
              </w:rPr>
            </w:pPr>
            <w:r>
              <w:rPr>
                <w:rFonts w:hint="eastAsia" w:ascii="宋体" w:hAnsi="宋体" w:cs="Arial"/>
                <w:sz w:val="24"/>
              </w:rPr>
              <w:t>7、供方在本合同规定的交货期内不能交货，应向需方支付全部合同金额5%的违约金，需方有权终止合同。</w:t>
            </w:r>
          </w:p>
          <w:p>
            <w:pPr>
              <w:ind w:firstLine="480" w:firstLineChars="200"/>
              <w:rPr>
                <w:rFonts w:ascii="宋体" w:hAnsi="宋体" w:cs="宋体"/>
                <w:sz w:val="24"/>
                <w:szCs w:val="24"/>
              </w:rPr>
            </w:pPr>
            <w:r>
              <w:rPr>
                <w:rFonts w:hint="eastAsia" w:ascii="宋体" w:hAnsi="宋体" w:cs="Arial"/>
                <w:sz w:val="24"/>
              </w:rPr>
              <w:t>8、因供方原因造成逾期付款，需方不承担责任。</w:t>
            </w:r>
          </w:p>
        </w:tc>
      </w:tr>
    </w:tbl>
    <w:p>
      <w:pPr>
        <w:spacing w:after="50" w:line="320" w:lineRule="exact"/>
        <w:jc w:val="center"/>
        <w:rPr>
          <w:rFonts w:asciiTheme="majorEastAsia" w:hAnsiTheme="majorEastAsia" w:eastAsiaTheme="majorEastAsia"/>
          <w:b/>
          <w:sz w:val="32"/>
          <w:szCs w:val="32"/>
        </w:rPr>
      </w:pPr>
      <w:r>
        <w:rPr>
          <w:rFonts w:hint="eastAsia" w:ascii="宋体" w:hAnsi="宋体"/>
          <w:b/>
          <w:sz w:val="24"/>
          <w:szCs w:val="24"/>
        </w:rPr>
        <w:br w:type="page"/>
      </w: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“采购代理机构”是指受采购单位的委托具体组织采购活动采购代理公司。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ascii="宋体" w:hAnsi="宋体" w:cs="宋体"/>
          <w:b/>
          <w:sz w:val="24"/>
          <w:szCs w:val="24"/>
        </w:rPr>
      </w:pPr>
      <w:r>
        <w:rPr>
          <w:rFonts w:hint="eastAsia" w:ascii="宋体" w:hAnsi="宋体" w:cs="宋体"/>
          <w:b/>
          <w:sz w:val="24"/>
          <w:szCs w:val="24"/>
        </w:rPr>
        <w:t>8.代理服务费</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成交供应商应在领取成交通知书的同时，向代理机构支付代理服务费。</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代理机构不接受可选择的谈判报价。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sz w:val="24"/>
          <w:szCs w:val="24"/>
        </w:rPr>
      </w:pPr>
      <w:r>
        <w:rPr>
          <w:rFonts w:hint="eastAsia" w:ascii="宋体" w:hAnsi="宋体"/>
          <w:b/>
          <w:sz w:val="24"/>
          <w:szCs w:val="24"/>
        </w:rPr>
        <w:t>16.谈判保证金</w:t>
      </w:r>
    </w:p>
    <w:p>
      <w:pPr>
        <w:spacing w:line="440" w:lineRule="exact"/>
        <w:ind w:firstLine="480" w:firstLineChars="200"/>
        <w:rPr>
          <w:sz w:val="24"/>
          <w:szCs w:val="24"/>
        </w:rPr>
      </w:pPr>
      <w:r>
        <w:rPr>
          <w:rFonts w:hint="eastAsia"/>
          <w:sz w:val="24"/>
          <w:szCs w:val="24"/>
        </w:rPr>
        <w:t>16.1供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pPr>
        <w:spacing w:line="440" w:lineRule="exact"/>
        <w:ind w:firstLine="480" w:firstLineChars="200"/>
        <w:rPr>
          <w:sz w:val="24"/>
          <w:szCs w:val="24"/>
        </w:rPr>
      </w:pPr>
      <w:bookmarkStart w:id="7" w:name="_14._投标文件的有效期"/>
      <w:bookmarkEnd w:id="7"/>
      <w:bookmarkStart w:id="8" w:name="_15._投标文件的有效期"/>
      <w:bookmarkEnd w:id="8"/>
      <w:bookmarkStart w:id="9" w:name="_Toc80502558"/>
      <w:bookmarkStart w:id="10" w:name="_Toc80458903"/>
      <w:r>
        <w:rPr>
          <w:rFonts w:hint="eastAsia"/>
          <w:sz w:val="24"/>
          <w:szCs w:val="24"/>
        </w:rPr>
        <w:t>16.2 供</w:t>
      </w:r>
      <w:r>
        <w:rPr>
          <w:sz w:val="24"/>
          <w:szCs w:val="24"/>
        </w:rPr>
        <w:t>应商</w:t>
      </w:r>
      <w:r>
        <w:rPr>
          <w:rFonts w:hint="eastAsia"/>
          <w:sz w:val="24"/>
          <w:szCs w:val="24"/>
        </w:rPr>
        <w:t>必须准确填写谈判保证金汇出（交纳）人的名称，采购机构只按汇出（交纳）人的名称退还谈判保证金。</w:t>
      </w:r>
    </w:p>
    <w:p>
      <w:pPr>
        <w:spacing w:line="440" w:lineRule="exact"/>
        <w:ind w:firstLine="480" w:firstLineChars="200"/>
        <w:rPr>
          <w:sz w:val="24"/>
          <w:szCs w:val="24"/>
        </w:rPr>
      </w:pPr>
      <w:r>
        <w:rPr>
          <w:rFonts w:hint="eastAsia"/>
          <w:sz w:val="24"/>
          <w:szCs w:val="24"/>
        </w:rPr>
        <w:t>16.3 谈判保证金汇出（交纳）人和供</w:t>
      </w:r>
      <w:r>
        <w:rPr>
          <w:sz w:val="24"/>
          <w:szCs w:val="24"/>
        </w:rPr>
        <w:t>应商</w:t>
      </w:r>
      <w:r>
        <w:rPr>
          <w:rFonts w:hint="eastAsia"/>
          <w:sz w:val="24"/>
          <w:szCs w:val="24"/>
        </w:rPr>
        <w:t>必须为同一法人，否则将视同未按采购文件规定交纳谈判保证金。</w:t>
      </w:r>
    </w:p>
    <w:p>
      <w:pPr>
        <w:spacing w:line="440" w:lineRule="exact"/>
        <w:ind w:firstLine="480" w:firstLineChars="200"/>
        <w:rPr>
          <w:sz w:val="24"/>
          <w:szCs w:val="24"/>
        </w:rPr>
      </w:pPr>
      <w:r>
        <w:rPr>
          <w:rFonts w:hint="eastAsia"/>
          <w:sz w:val="24"/>
          <w:szCs w:val="24"/>
        </w:rPr>
        <w:t>16.4 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pPr>
        <w:spacing w:line="440" w:lineRule="exact"/>
        <w:ind w:firstLine="480" w:firstLineChars="200"/>
        <w:rPr>
          <w:sz w:val="24"/>
          <w:szCs w:val="24"/>
        </w:rPr>
      </w:pPr>
      <w:r>
        <w:rPr>
          <w:rFonts w:hint="eastAsia"/>
          <w:sz w:val="24"/>
          <w:szCs w:val="24"/>
        </w:rPr>
        <w:t>16.5采购代理机构将在成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pPr>
        <w:spacing w:line="400" w:lineRule="exact"/>
        <w:ind w:firstLine="480" w:firstLineChars="200"/>
        <w:rPr>
          <w:sz w:val="24"/>
          <w:szCs w:val="24"/>
        </w:rPr>
      </w:pPr>
      <w:r>
        <w:rPr>
          <w:rFonts w:hint="eastAsia"/>
          <w:sz w:val="24"/>
          <w:szCs w:val="24"/>
        </w:rPr>
        <w:t>16.6 发生下列情况之一，供</w:t>
      </w:r>
      <w:r>
        <w:rPr>
          <w:sz w:val="24"/>
          <w:szCs w:val="24"/>
        </w:rPr>
        <w:t>应商</w:t>
      </w:r>
      <w:r>
        <w:rPr>
          <w:rFonts w:hint="eastAsia"/>
          <w:sz w:val="24"/>
          <w:szCs w:val="24"/>
        </w:rPr>
        <w:t>的保证金将不予退还：</w:t>
      </w:r>
    </w:p>
    <w:p>
      <w:pPr>
        <w:spacing w:line="400" w:lineRule="exact"/>
        <w:ind w:firstLine="480" w:firstLineChars="200"/>
        <w:rPr>
          <w:sz w:val="24"/>
          <w:szCs w:val="24"/>
        </w:rPr>
      </w:pPr>
      <w:r>
        <w:rPr>
          <w:rFonts w:hint="eastAsia"/>
          <w:sz w:val="24"/>
          <w:szCs w:val="24"/>
        </w:rPr>
        <w:t>（1）供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pPr>
        <w:spacing w:line="400" w:lineRule="exact"/>
        <w:ind w:firstLine="480" w:firstLineChars="200"/>
        <w:rPr>
          <w:sz w:val="24"/>
          <w:szCs w:val="24"/>
        </w:rPr>
      </w:pPr>
      <w:r>
        <w:rPr>
          <w:rFonts w:hint="eastAsia"/>
          <w:sz w:val="24"/>
          <w:szCs w:val="24"/>
        </w:rPr>
        <w:t>（2）供</w:t>
      </w:r>
      <w:r>
        <w:rPr>
          <w:sz w:val="24"/>
          <w:szCs w:val="24"/>
        </w:rPr>
        <w:t>应商在响应文件中</w:t>
      </w:r>
      <w:r>
        <w:rPr>
          <w:rFonts w:hint="eastAsia"/>
          <w:sz w:val="24"/>
          <w:szCs w:val="24"/>
        </w:rPr>
        <w:t>提供虚假材料的；</w:t>
      </w:r>
    </w:p>
    <w:p>
      <w:pPr>
        <w:spacing w:line="400" w:lineRule="exact"/>
        <w:ind w:firstLine="480" w:firstLineChars="200"/>
        <w:rPr>
          <w:sz w:val="24"/>
          <w:szCs w:val="24"/>
        </w:rPr>
      </w:pPr>
      <w:r>
        <w:rPr>
          <w:rFonts w:hint="eastAsia"/>
          <w:sz w:val="24"/>
          <w:szCs w:val="24"/>
        </w:rPr>
        <w:t>（3）采取不正当手段诋毁、排挤其他供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pPr>
        <w:spacing w:line="400" w:lineRule="exact"/>
        <w:ind w:firstLine="480" w:firstLineChars="200"/>
        <w:rPr>
          <w:sz w:val="24"/>
          <w:szCs w:val="24"/>
        </w:rPr>
      </w:pPr>
      <w:r>
        <w:rPr>
          <w:rFonts w:hint="eastAsia"/>
          <w:sz w:val="24"/>
          <w:szCs w:val="24"/>
        </w:rPr>
        <w:t>（4）供</w:t>
      </w:r>
      <w:r>
        <w:rPr>
          <w:sz w:val="24"/>
          <w:szCs w:val="24"/>
        </w:rPr>
        <w:t>应商</w:t>
      </w:r>
      <w:r>
        <w:rPr>
          <w:rFonts w:hint="eastAsia"/>
          <w:sz w:val="24"/>
          <w:szCs w:val="24"/>
        </w:rPr>
        <w:t>向采购单位、采购机构或者评审专家行贿或者提供其他不正当利益以牟取成交资格的；</w:t>
      </w:r>
    </w:p>
    <w:p>
      <w:pPr>
        <w:spacing w:line="400" w:lineRule="exact"/>
        <w:ind w:firstLine="480" w:firstLineChars="200"/>
        <w:rPr>
          <w:sz w:val="24"/>
          <w:szCs w:val="24"/>
        </w:rPr>
      </w:pPr>
      <w:r>
        <w:rPr>
          <w:rFonts w:hint="eastAsia"/>
          <w:sz w:val="24"/>
          <w:szCs w:val="24"/>
        </w:rPr>
        <w:t>（5）成交后，成交供应商拒绝交纳履约保证金的；</w:t>
      </w:r>
    </w:p>
    <w:p>
      <w:pPr>
        <w:spacing w:line="400" w:lineRule="exact"/>
        <w:ind w:firstLine="480" w:firstLineChars="200"/>
        <w:rPr>
          <w:sz w:val="24"/>
          <w:szCs w:val="24"/>
        </w:rPr>
      </w:pPr>
      <w:r>
        <w:rPr>
          <w:rFonts w:hint="eastAsia"/>
          <w:sz w:val="24"/>
          <w:szCs w:val="24"/>
        </w:rPr>
        <w:t>（6）成交后，成交供应商无正当理由拒绝与采购单位签订采购合同的；</w:t>
      </w:r>
    </w:p>
    <w:p>
      <w:pPr>
        <w:spacing w:line="400" w:lineRule="exact"/>
        <w:ind w:firstLine="480" w:firstLineChars="200"/>
        <w:rPr>
          <w:sz w:val="24"/>
          <w:szCs w:val="24"/>
        </w:rPr>
      </w:pPr>
      <w:r>
        <w:rPr>
          <w:rFonts w:hint="eastAsia"/>
          <w:sz w:val="24"/>
          <w:szCs w:val="24"/>
        </w:rPr>
        <w:t>（7）成交后，成交供应商将成交项目转让给他人或者分包给他人的；</w:t>
      </w:r>
    </w:p>
    <w:p>
      <w:pPr>
        <w:spacing w:line="400" w:lineRule="exact"/>
        <w:ind w:firstLine="480" w:firstLineChars="200"/>
        <w:rPr>
          <w:sz w:val="24"/>
          <w:szCs w:val="24"/>
        </w:rPr>
      </w:pPr>
      <w:r>
        <w:rPr>
          <w:rFonts w:hint="eastAsia"/>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sz w:val="24"/>
          <w:szCs w:val="24"/>
        </w:rPr>
      </w:pPr>
      <w:r>
        <w:rPr>
          <w:rFonts w:hint="eastAsia"/>
          <w:sz w:val="24"/>
          <w:szCs w:val="24"/>
        </w:rPr>
        <w:t>（9）供应商的其他给采购活动带来不利后果的行为。</w:t>
      </w:r>
    </w:p>
    <w:bookmarkEnd w:id="9"/>
    <w:bookmarkEnd w:id="10"/>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1"/>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1"/>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36.术语的定义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采购代理机构发布的采购文本。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1"/>
        <w:spacing w:after="0" w:line="400" w:lineRule="exact"/>
        <w:rPr>
          <w:rFonts w:ascii="宋体" w:hAnsi="宋体"/>
          <w:b/>
          <w:sz w:val="24"/>
          <w:szCs w:val="24"/>
        </w:rPr>
      </w:pPr>
      <w:r>
        <w:rPr>
          <w:rFonts w:hint="eastAsia" w:ascii="宋体" w:hAnsi="宋体"/>
          <w:b/>
          <w:sz w:val="24"/>
          <w:szCs w:val="24"/>
        </w:rPr>
        <w:t>37.来源地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1"/>
        <w:spacing w:after="0" w:line="400" w:lineRule="exact"/>
        <w:rPr>
          <w:rFonts w:ascii="宋体" w:hAnsi="宋体"/>
          <w:b/>
          <w:snapToGrid w:val="0"/>
          <w:kern w:val="0"/>
          <w:sz w:val="24"/>
          <w:szCs w:val="24"/>
        </w:rPr>
      </w:pPr>
      <w:r>
        <w:rPr>
          <w:rFonts w:hint="eastAsia" w:ascii="宋体" w:hAnsi="宋体"/>
          <w:b/>
          <w:snapToGrid w:val="0"/>
          <w:kern w:val="0"/>
          <w:sz w:val="24"/>
          <w:szCs w:val="24"/>
        </w:rPr>
        <w:t>38. 技术规范与技术规格</w:t>
      </w:r>
    </w:p>
    <w:p>
      <w:pPr>
        <w:spacing w:line="400" w:lineRule="exact"/>
        <w:ind w:firstLine="360" w:firstLineChars="150"/>
        <w:rPr>
          <w:rFonts w:ascii="宋体" w:hAnsi="宋体"/>
          <w:sz w:val="24"/>
          <w:szCs w:val="24"/>
        </w:rPr>
      </w:pPr>
      <w:r>
        <w:rPr>
          <w:rFonts w:hint="eastAsia" w:ascii="宋体" w:hAnsi="宋体"/>
          <w:sz w:val="24"/>
          <w:szCs w:val="24"/>
        </w:rPr>
        <w:t>38.1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38.2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39.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1"/>
        <w:spacing w:after="0" w:line="400" w:lineRule="exact"/>
        <w:rPr>
          <w:rFonts w:ascii="宋体" w:hAnsi="宋体"/>
          <w:b/>
          <w:snapToGrid w:val="0"/>
          <w:kern w:val="0"/>
          <w:sz w:val="24"/>
          <w:szCs w:val="24"/>
        </w:rPr>
      </w:pPr>
      <w:r>
        <w:rPr>
          <w:rFonts w:hint="eastAsia" w:ascii="宋体" w:hAnsi="宋体"/>
          <w:b/>
          <w:snapToGrid w:val="0"/>
          <w:kern w:val="0"/>
          <w:sz w:val="24"/>
          <w:szCs w:val="24"/>
        </w:rPr>
        <w:t>40. 包装要求</w:t>
      </w:r>
    </w:p>
    <w:p>
      <w:pPr>
        <w:spacing w:line="400" w:lineRule="exact"/>
        <w:ind w:firstLine="360" w:firstLineChars="150"/>
        <w:rPr>
          <w:rFonts w:ascii="宋体" w:hAnsi="宋体"/>
          <w:sz w:val="24"/>
          <w:szCs w:val="24"/>
        </w:rPr>
      </w:pPr>
      <w:r>
        <w:rPr>
          <w:rFonts w:hint="eastAsia" w:ascii="宋体" w:hAnsi="宋体"/>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40.2每一个包装箱内应附一份详细装箱单和质量合格证书。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41.交货方式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42.装运通知</w:t>
      </w:r>
    </w:p>
    <w:p>
      <w:pPr>
        <w:spacing w:line="400" w:lineRule="exact"/>
        <w:ind w:firstLine="360" w:firstLineChars="150"/>
        <w:rPr>
          <w:rFonts w:ascii="宋体" w:hAnsi="宋体"/>
          <w:sz w:val="24"/>
          <w:szCs w:val="24"/>
        </w:rPr>
      </w:pPr>
      <w:r>
        <w:rPr>
          <w:rFonts w:hint="eastAsia" w:ascii="宋体" w:hAnsi="宋体"/>
          <w:sz w:val="24"/>
          <w:szCs w:val="24"/>
        </w:rPr>
        <w:t>42.1在将采购合同约定的货物备妥待运输后的24小时之内，卖方应将采购合同号、货号、数量、毛重、总体积（立方米）、发票金额、运输工具名称及装运日期，以书面形式通知买方。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42.2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43.付款</w:t>
      </w:r>
    </w:p>
    <w:p>
      <w:pPr>
        <w:spacing w:line="400" w:lineRule="exact"/>
        <w:ind w:firstLine="360" w:firstLineChars="150"/>
        <w:rPr>
          <w:rFonts w:ascii="宋体" w:hAnsi="宋体"/>
          <w:sz w:val="24"/>
          <w:szCs w:val="24"/>
        </w:rPr>
      </w:pPr>
      <w:r>
        <w:rPr>
          <w:rFonts w:hint="eastAsia" w:ascii="宋体" w:hAnsi="宋体"/>
          <w:sz w:val="24"/>
          <w:szCs w:val="24"/>
        </w:rPr>
        <w:t>43.1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43.2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44. 附带（伴随）服务</w:t>
      </w:r>
    </w:p>
    <w:p>
      <w:pPr>
        <w:spacing w:line="400" w:lineRule="exact"/>
        <w:ind w:firstLine="360" w:firstLineChars="150"/>
        <w:rPr>
          <w:rFonts w:ascii="宋体" w:hAnsi="宋体"/>
          <w:sz w:val="24"/>
          <w:szCs w:val="24"/>
        </w:rPr>
      </w:pPr>
      <w:r>
        <w:rPr>
          <w:rFonts w:hint="eastAsia" w:ascii="宋体" w:hAnsi="宋体"/>
          <w:sz w:val="24"/>
          <w:szCs w:val="24"/>
        </w:rPr>
        <w:t>44.1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44.2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45. 质量保证期</w:t>
      </w:r>
    </w:p>
    <w:p>
      <w:pPr>
        <w:spacing w:line="400" w:lineRule="exact"/>
        <w:ind w:firstLine="470" w:firstLineChars="196"/>
        <w:rPr>
          <w:rFonts w:ascii="宋体" w:hAnsi="宋体"/>
          <w:sz w:val="24"/>
          <w:szCs w:val="24"/>
        </w:rPr>
      </w:pPr>
      <w:r>
        <w:rPr>
          <w:rFonts w:hint="eastAsia" w:ascii="宋体" w:hAnsi="宋体"/>
          <w:sz w:val="24"/>
          <w:szCs w:val="24"/>
        </w:rPr>
        <w:t>45.1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45.2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45.3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46.质量保证</w:t>
      </w:r>
    </w:p>
    <w:p>
      <w:pPr>
        <w:spacing w:line="400" w:lineRule="exact"/>
        <w:ind w:firstLine="470" w:firstLineChars="196"/>
        <w:rPr>
          <w:rFonts w:ascii="宋体" w:hAnsi="宋体"/>
          <w:sz w:val="24"/>
          <w:szCs w:val="24"/>
        </w:rPr>
      </w:pPr>
      <w:r>
        <w:rPr>
          <w:rFonts w:hint="eastAsia" w:ascii="宋体" w:hAnsi="宋体"/>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46.4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47.检验和验收</w:t>
      </w:r>
    </w:p>
    <w:p>
      <w:pPr>
        <w:spacing w:line="400" w:lineRule="exact"/>
        <w:ind w:firstLine="470" w:firstLineChars="196"/>
        <w:rPr>
          <w:rFonts w:ascii="宋体" w:hAnsi="宋体"/>
          <w:sz w:val="24"/>
          <w:szCs w:val="24"/>
        </w:rPr>
      </w:pPr>
      <w:r>
        <w:rPr>
          <w:rFonts w:hint="eastAsia" w:ascii="宋体" w:hAnsi="宋体"/>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47.2货物运抵现场后，买方或采购代理机构应在采购合同规定的时间内组织验收，并在“采购项目验收报告单”上签字。“采购项目验收报告单”将作为申请付款文件的一部分。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47.4由买方或采购机构按照规定组织对货物进行检查验收。发生的相关费用由卖方承担。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48.索赔</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49.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50. 不可抗力</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51.税费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52. 争议的解决</w:t>
      </w:r>
    </w:p>
    <w:p>
      <w:pPr>
        <w:spacing w:line="400" w:lineRule="exact"/>
        <w:ind w:firstLine="472" w:firstLineChars="196"/>
        <w:rPr>
          <w:rFonts w:ascii="宋体" w:hAnsi="宋体"/>
          <w:sz w:val="24"/>
          <w:szCs w:val="24"/>
        </w:rPr>
      </w:pPr>
      <w:bookmarkStart w:id="11" w:name="_Toc80458943"/>
      <w:bookmarkStart w:id="12" w:name="_Toc80502600"/>
      <w:r>
        <w:rPr>
          <w:rFonts w:hint="eastAsia" w:ascii="宋体" w:hAnsi="宋体"/>
          <w:b/>
          <w:sz w:val="24"/>
          <w:szCs w:val="24"/>
        </w:rPr>
        <w:t>52</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.4 在仲裁（或诉讼）期间，除正在进行仲裁（或诉讼）的部分外，采购合同其他部分继续执行。</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53. 违约终止采购合同</w:t>
      </w:r>
    </w:p>
    <w:p>
      <w:pPr>
        <w:spacing w:line="400" w:lineRule="exact"/>
        <w:ind w:firstLine="472" w:firstLineChars="196"/>
        <w:rPr>
          <w:rFonts w:ascii="宋体" w:hAnsi="宋体"/>
          <w:sz w:val="24"/>
          <w:szCs w:val="24"/>
        </w:rPr>
      </w:pPr>
      <w:bookmarkStart w:id="13" w:name="_Toc80458944"/>
      <w:bookmarkStart w:id="14" w:name="_Toc80502601"/>
      <w:r>
        <w:rPr>
          <w:rFonts w:hint="eastAsia" w:ascii="宋体" w:hAnsi="宋体"/>
          <w:b/>
          <w:sz w:val="24"/>
          <w:szCs w:val="24"/>
        </w:rPr>
        <w:t>53</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5" w:name="_Toc80458945"/>
      <w:bookmarkStart w:id="16"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55. 转让和分包</w:t>
      </w:r>
    </w:p>
    <w:p>
      <w:pPr>
        <w:spacing w:line="400" w:lineRule="exact"/>
        <w:ind w:firstLine="470" w:firstLineChars="196"/>
        <w:rPr>
          <w:rFonts w:ascii="宋体" w:hAnsi="宋体"/>
          <w:sz w:val="24"/>
          <w:szCs w:val="24"/>
        </w:rPr>
      </w:pPr>
      <w:bookmarkStart w:id="17" w:name="_Toc80502603"/>
      <w:bookmarkStart w:id="18" w:name="_Toc80458946"/>
      <w:r>
        <w:rPr>
          <w:rFonts w:hint="eastAsia" w:ascii="宋体" w:hAnsi="宋体"/>
          <w:sz w:val="24"/>
          <w:szCs w:val="24"/>
        </w:rPr>
        <w:t>55.1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56.合同修改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57.通知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ascii="宋体" w:hAnsi="宋体"/>
          <w:b/>
          <w:sz w:val="24"/>
          <w:szCs w:val="24"/>
        </w:rPr>
      </w:pPr>
      <w:r>
        <w:rPr>
          <w:rFonts w:hint="eastAsia" w:ascii="宋体" w:hAnsi="宋体"/>
          <w:b/>
          <w:sz w:val="24"/>
          <w:szCs w:val="24"/>
        </w:rPr>
        <w:t>58.适用法律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59. 合同生效</w:t>
      </w:r>
    </w:p>
    <w:p>
      <w:pPr>
        <w:spacing w:line="400" w:lineRule="exact"/>
        <w:ind w:firstLine="470" w:firstLineChars="196"/>
        <w:rPr>
          <w:rFonts w:ascii="宋体" w:hAnsi="宋体"/>
          <w:sz w:val="24"/>
          <w:szCs w:val="24"/>
        </w:rPr>
      </w:pPr>
      <w:bookmarkStart w:id="19" w:name="_Toc80458948"/>
      <w:bookmarkStart w:id="20" w:name="_Toc80502605"/>
      <w:r>
        <w:rPr>
          <w:rFonts w:hint="eastAsia" w:ascii="宋体" w:hAnsi="宋体"/>
          <w:sz w:val="24"/>
          <w:szCs w:val="24"/>
        </w:rPr>
        <w:t>59.1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59.2 采购合同一式三份，以中文书就，具同等法律效力。买卖双方、采购代理机构各执一份。</w:t>
      </w:r>
      <w:bookmarkEnd w:id="19"/>
      <w:bookmarkEnd w:id="20"/>
    </w:p>
    <w:p>
      <w:pPr>
        <w:spacing w:line="400" w:lineRule="exact"/>
        <w:ind w:firstLine="472" w:firstLineChars="196"/>
        <w:rPr>
          <w:rFonts w:ascii="宋体" w:hAnsi="宋体"/>
          <w:b/>
          <w:sz w:val="24"/>
          <w:szCs w:val="24"/>
        </w:rPr>
      </w:pPr>
      <w:r>
        <w:rPr>
          <w:rFonts w:hint="eastAsia" w:ascii="宋体" w:hAnsi="宋体"/>
          <w:b/>
          <w:sz w:val="24"/>
          <w:szCs w:val="24"/>
        </w:rPr>
        <w:t>60.补充条款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本合同一式三份，以中文书就，具备同等法律效力。买卖双方、采购代理机构各执一份。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r>
        <w:rPr>
          <w:rFonts w:hint="eastAsia" w:ascii="隶书" w:hAnsi="宋体" w:eastAsia="隶书"/>
          <w:b/>
          <w:sz w:val="52"/>
          <w:szCs w:val="52"/>
        </w:rPr>
        <w:t>采购项目</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r>
        <w:rPr>
          <w:rFonts w:ascii="宋体" w:hAnsi="宋体"/>
          <w:b/>
          <w:kern w:val="0"/>
          <w:sz w:val="24"/>
          <w:szCs w:val="24"/>
        </w:rPr>
        <w:br w:type="page"/>
      </w: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0"/>
        <w:tabs>
          <w:tab w:val="left" w:pos="660"/>
        </w:tabs>
        <w:snapToGrid w:val="0"/>
        <w:spacing w:before="0" w:line="400" w:lineRule="exact"/>
        <w:ind w:left="0" w:firstLine="0"/>
        <w:jc w:val="center"/>
        <w:rPr>
          <w:rFonts w:cs="黑体"/>
          <w:color w:val="auto"/>
          <w:kern w:val="2"/>
          <w:sz w:val="36"/>
          <w:szCs w:val="36"/>
          <w:lang w:val="zh-CN"/>
        </w:rPr>
      </w:pPr>
      <w:bookmarkStart w:id="21" w:name="_Toc186274126"/>
      <w:bookmarkStart w:id="22" w:name="_Toc184023138"/>
      <w:bookmarkStart w:id="23" w:name="_Toc174185203"/>
      <w:r>
        <w:rPr>
          <w:rFonts w:hint="eastAsia" w:cs="黑体"/>
          <w:color w:val="auto"/>
          <w:kern w:val="2"/>
          <w:sz w:val="36"/>
          <w:szCs w:val="36"/>
          <w:lang w:val="zh-CN"/>
        </w:rPr>
        <w:t>一、供应商应答索引表</w:t>
      </w:r>
      <w:bookmarkEnd w:id="21"/>
      <w:bookmarkEnd w:id="22"/>
      <w:bookmarkEnd w:id="23"/>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9"/>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9"/>
              <w:kinsoku w:val="0"/>
              <w:overflowPunct w:val="0"/>
              <w:autoSpaceDE w:val="0"/>
              <w:autoSpaceDN w:val="0"/>
              <w:spacing w:line="320" w:lineRule="exact"/>
              <w:rPr>
                <w:rFonts w:hAnsi="宋体"/>
              </w:rPr>
            </w:pPr>
            <w:r>
              <w:rPr>
                <w:rFonts w:hint="eastAsia" w:hAnsi="宋体" w:cs="宋体"/>
                <w:bCs/>
                <w:szCs w:val="24"/>
                <w:lang w:val="zh-CN"/>
              </w:rPr>
              <w:t>法定代表人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9"/>
              <w:kinsoku w:val="0"/>
              <w:overflowPunct w:val="0"/>
              <w:autoSpaceDE w:val="0"/>
              <w:autoSpaceDN w:val="0"/>
              <w:spacing w:line="320" w:lineRule="exact"/>
              <w:rPr>
                <w:rFonts w:hAnsi="宋体"/>
              </w:rPr>
            </w:pPr>
            <w:r>
              <w:rPr>
                <w:rFonts w:hint="eastAsia" w:hAnsi="宋体"/>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9"/>
              <w:kinsoku w:val="0"/>
              <w:overflowPunct w:val="0"/>
              <w:autoSpaceDE w:val="0"/>
              <w:autoSpaceDN w:val="0"/>
              <w:spacing w:line="320" w:lineRule="exact"/>
              <w:rPr>
                <w:rFonts w:hAnsi="宋体"/>
              </w:rPr>
            </w:pPr>
            <w:r>
              <w:rPr>
                <w:rFonts w:hint="eastAsia" w:hAnsi="宋体"/>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9"/>
              <w:kinsoku w:val="0"/>
              <w:overflowPunct w:val="0"/>
              <w:autoSpaceDE w:val="0"/>
              <w:autoSpaceDN w:val="0"/>
              <w:spacing w:line="320" w:lineRule="exact"/>
              <w:jc w:val="center"/>
              <w:rPr>
                <w:rFonts w:hAnsi="宋体" w:cs="微软雅黑"/>
                <w:bCs/>
              </w:rPr>
            </w:pPr>
            <w:r>
              <w:rPr>
                <w:rFonts w:hint="eastAsia" w:hAnsi="宋体"/>
                <w:szCs w:val="24"/>
              </w:rPr>
              <w:t>纳税证明</w:t>
            </w:r>
          </w:p>
        </w:tc>
        <w:tc>
          <w:tcPr>
            <w:tcW w:w="2977" w:type="dxa"/>
            <w:gridSpan w:val="2"/>
            <w:tcBorders>
              <w:left w:val="single" w:color="auto" w:sz="6" w:space="0"/>
            </w:tcBorders>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szCs w:val="24"/>
              </w:rPr>
            </w:pPr>
          </w:p>
        </w:tc>
        <w:tc>
          <w:tcPr>
            <w:tcW w:w="2977" w:type="dxa"/>
            <w:gridSpan w:val="2"/>
            <w:tcBorders>
              <w:left w:val="single" w:color="auto" w:sz="6" w:space="0"/>
            </w:tcBorders>
            <w:vAlign w:val="center"/>
          </w:tcPr>
          <w:p>
            <w:pPr>
              <w:pStyle w:val="19"/>
              <w:kinsoku w:val="0"/>
              <w:overflowPunct w:val="0"/>
              <w:autoSpaceDE w:val="0"/>
              <w:autoSpaceDN w:val="0"/>
              <w:spacing w:line="320" w:lineRule="exact"/>
              <w:rPr>
                <w:rFonts w:hAnsi="宋体"/>
                <w:szCs w:val="24"/>
              </w:rPr>
            </w:pPr>
            <w:r>
              <w:rPr>
                <w:rFonts w:hint="eastAsia" w:hAnsi="宋体"/>
                <w:bCs/>
                <w:szCs w:val="24"/>
              </w:rPr>
              <w:t>纳税凭据复印件</w:t>
            </w:r>
          </w:p>
        </w:tc>
        <w:tc>
          <w:tcPr>
            <w:tcW w:w="1559" w:type="dxa"/>
            <w:vAlign w:val="center"/>
          </w:tcPr>
          <w:p>
            <w:pPr>
              <w:pStyle w:val="19"/>
              <w:rPr>
                <w:rFonts w:hAnsi="宋体" w:cs="微软雅黑"/>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Ansi="宋体" w:cs="微软雅黑"/>
                <w:bCs/>
                <w:szCs w:val="24"/>
              </w:rPr>
            </w:pPr>
            <w:r>
              <w:rPr>
                <w:rFonts w:hint="eastAsia" w:hAnsi="宋体" w:cs="微软雅黑"/>
                <w:bCs/>
                <w:szCs w:val="24"/>
              </w:rPr>
              <w:t>技术人员职称证书</w:t>
            </w:r>
          </w:p>
        </w:tc>
        <w:tc>
          <w:tcPr>
            <w:tcW w:w="1559" w:type="dxa"/>
            <w:vAlign w:val="center"/>
          </w:tcPr>
          <w:p>
            <w:pPr>
              <w:pStyle w:val="1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9"/>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Ansi="宋体" w:cs="微软雅黑"/>
                <w:bCs/>
                <w:szCs w:val="24"/>
              </w:rPr>
            </w:pPr>
            <w:r>
              <w:rPr>
                <w:rFonts w:hint="eastAsia" w:hAnsi="宋体" w:cs="微软雅黑"/>
                <w:bCs/>
                <w:szCs w:val="24"/>
              </w:rPr>
              <w:t>用工合同</w:t>
            </w:r>
          </w:p>
        </w:tc>
        <w:tc>
          <w:tcPr>
            <w:tcW w:w="1559" w:type="dxa"/>
            <w:vAlign w:val="center"/>
          </w:tcPr>
          <w:p>
            <w:pPr>
              <w:pStyle w:val="1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9"/>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cs="微软雅黑"/>
                <w:bCs/>
                <w:szCs w:val="24"/>
              </w:rPr>
            </w:pPr>
          </w:p>
        </w:tc>
        <w:tc>
          <w:tcPr>
            <w:tcW w:w="2977" w:type="dxa"/>
            <w:gridSpan w:val="2"/>
            <w:tcBorders>
              <w:left w:val="single" w:color="auto" w:sz="6" w:space="0"/>
            </w:tcBorders>
            <w:vAlign w:val="center"/>
          </w:tcPr>
          <w:p>
            <w:pPr>
              <w:pStyle w:val="19"/>
              <w:kinsoku w:val="0"/>
              <w:overflowPunct w:val="0"/>
              <w:autoSpaceDE w:val="0"/>
              <w:autoSpaceDN w:val="0"/>
              <w:spacing w:line="320" w:lineRule="exact"/>
              <w:rPr>
                <w:rFonts w:hAnsi="宋体" w:cs="微软雅黑"/>
                <w:bCs/>
                <w:szCs w:val="24"/>
              </w:rPr>
            </w:pPr>
            <w:r>
              <w:rPr>
                <w:rFonts w:hint="eastAsia" w:hAnsi="宋体"/>
                <w:bCs/>
                <w:szCs w:val="24"/>
              </w:rPr>
              <w:t>供应商相关承诺函或声明</w:t>
            </w:r>
          </w:p>
        </w:tc>
        <w:tc>
          <w:tcPr>
            <w:tcW w:w="1559" w:type="dxa"/>
            <w:vAlign w:val="center"/>
          </w:tcPr>
          <w:p>
            <w:pPr>
              <w:pStyle w:val="1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9"/>
              <w:kinsoku w:val="0"/>
              <w:overflowPunct w:val="0"/>
              <w:autoSpaceDE w:val="0"/>
              <w:autoSpaceDN w:val="0"/>
              <w:spacing w:line="320" w:lineRule="exact"/>
              <w:rPr>
                <w:rFonts w:hAnsi="宋体"/>
              </w:rPr>
            </w:pPr>
            <w:r>
              <w:rPr>
                <w:rFonts w:hint="eastAsia" w:hAnsi="宋体" w:cs="微软雅黑"/>
                <w:bCs/>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19"/>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CCC强制性产品认证</w:t>
            </w:r>
          </w:p>
        </w:tc>
        <w:tc>
          <w:tcPr>
            <w:tcW w:w="2977" w:type="dxa"/>
            <w:gridSpan w:val="2"/>
            <w:vAlign w:val="center"/>
          </w:tcPr>
          <w:p>
            <w:pPr>
              <w:pStyle w:val="19"/>
              <w:kinsoku w:val="0"/>
              <w:overflowPunct w:val="0"/>
              <w:autoSpaceDE w:val="0"/>
              <w:autoSpaceDN w:val="0"/>
              <w:spacing w:line="320" w:lineRule="exact"/>
            </w:pPr>
            <w:r>
              <w:rPr>
                <w:rFonts w:hint="eastAsia" w:hAnsi="宋体" w:cs="宋体"/>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774" w:type="dxa"/>
            <w:vMerge w:val="restart"/>
            <w:tcBorders>
              <w:right w:val="single" w:color="auto" w:sz="4" w:space="0"/>
            </w:tcBorders>
            <w:vAlign w:val="center"/>
          </w:tcPr>
          <w:p>
            <w:pPr>
              <w:pStyle w:val="19"/>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color="auto" w:sz="4" w:space="0"/>
            </w:tcBorders>
            <w:vAlign w:val="center"/>
          </w:tcPr>
          <w:p>
            <w:pPr>
              <w:pStyle w:val="19"/>
              <w:kinsoku w:val="0"/>
              <w:overflowPunct w:val="0"/>
              <w:autoSpaceDE w:val="0"/>
              <w:autoSpaceDN w:val="0"/>
              <w:spacing w:line="320" w:lineRule="exact"/>
              <w:rPr>
                <w:rFonts w:hAnsi="宋体" w:cs="宋体"/>
                <w:bCs/>
                <w:szCs w:val="24"/>
                <w:lang w:val="zh-CN"/>
              </w:rPr>
            </w:pPr>
            <w:r>
              <w:rPr>
                <w:rFonts w:hint="eastAsia" w:hAnsi="宋体" w:cs="宋体"/>
                <w:szCs w:val="24"/>
              </w:rPr>
              <w:t>认证机构颁发的认证证书</w:t>
            </w:r>
          </w:p>
        </w:tc>
        <w:tc>
          <w:tcPr>
            <w:tcW w:w="1559" w:type="dxa"/>
            <w:vAlign w:val="center"/>
          </w:tcPr>
          <w:p>
            <w:pPr>
              <w:pStyle w:val="1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9"/>
              <w:kinsoku w:val="0"/>
              <w:overflowPunct w:val="0"/>
              <w:autoSpaceDE w:val="0"/>
              <w:autoSpaceDN w:val="0"/>
              <w:spacing w:line="320" w:lineRule="exact"/>
              <w:rPr>
                <w:rFonts w:hAnsi="宋体" w:cs="宋体"/>
                <w:szCs w:val="24"/>
              </w:rPr>
            </w:pPr>
          </w:p>
        </w:tc>
        <w:tc>
          <w:tcPr>
            <w:tcW w:w="2977" w:type="dxa"/>
            <w:gridSpan w:val="2"/>
            <w:tcBorders>
              <w:left w:val="single" w:color="auto" w:sz="4" w:space="0"/>
            </w:tcBorders>
            <w:vAlign w:val="center"/>
          </w:tcPr>
          <w:p>
            <w:pPr>
              <w:pStyle w:val="19"/>
              <w:kinsoku w:val="0"/>
              <w:overflowPunct w:val="0"/>
              <w:autoSpaceDE w:val="0"/>
              <w:autoSpaceDN w:val="0"/>
              <w:spacing w:line="320" w:lineRule="exact"/>
              <w:rPr>
                <w:rFonts w:hAnsi="宋体" w:cs="宋体"/>
                <w:bCs/>
                <w:szCs w:val="24"/>
                <w:lang w:val="zh-CN"/>
              </w:rPr>
            </w:pPr>
            <w:r>
              <w:rPr>
                <w:rFonts w:hint="eastAsia" w:hAnsi="宋体" w:cs="宋体"/>
                <w:szCs w:val="24"/>
              </w:rPr>
              <w:t>中国信息安全认证中心官网产品查询结果截图</w:t>
            </w:r>
          </w:p>
        </w:tc>
        <w:tc>
          <w:tcPr>
            <w:tcW w:w="1559" w:type="dxa"/>
            <w:vAlign w:val="center"/>
          </w:tcPr>
          <w:p>
            <w:pPr>
              <w:pStyle w:val="1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9"/>
              <w:kinsoku w:val="0"/>
              <w:overflowPunct w:val="0"/>
              <w:autoSpaceDE w:val="0"/>
              <w:autoSpaceDN w:val="0"/>
              <w:spacing w:line="320" w:lineRule="exact"/>
              <w:rPr>
                <w:rFonts w:hAnsi="宋体" w:cs="微软雅黑"/>
                <w:bCs/>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19"/>
        <w:spacing w:line="360" w:lineRule="auto"/>
        <w:jc w:val="center"/>
        <w:rPr>
          <w:rFonts w:hAnsi="宋体"/>
          <w:b/>
          <w:snapToGrid w:val="0"/>
          <w:sz w:val="36"/>
          <w:szCs w:val="36"/>
        </w:rPr>
      </w:pPr>
      <w:r>
        <w:rPr>
          <w:rFonts w:hint="eastAsia" w:hAnsi="宋体"/>
          <w:b/>
          <w:snapToGrid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交付（服务、完工）时间</w:t>
            </w:r>
            <w:bookmarkStart w:id="29" w:name="_GoBack"/>
            <w:bookmarkEnd w:id="29"/>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hint="eastAsia"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2"/>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3.1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23"/>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3"/>
        <w:spacing w:line="480" w:lineRule="auto"/>
        <w:ind w:firstLine="540" w:firstLineChars="225"/>
        <w:jc w:val="left"/>
        <w:rPr>
          <w:rFonts w:hAnsi="宋体"/>
          <w:szCs w:val="24"/>
        </w:rPr>
      </w:pPr>
      <w:r>
        <w:rPr>
          <w:rFonts w:hint="eastAsia" w:hAnsi="宋体"/>
          <w:szCs w:val="24"/>
        </w:rPr>
        <w:t>地址：</w:t>
      </w:r>
    </w:p>
    <w:p>
      <w:pPr>
        <w:pStyle w:val="123"/>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3"/>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3"/>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3"/>
        <w:spacing w:line="480" w:lineRule="auto"/>
        <w:ind w:firstLine="540" w:firstLineChars="225"/>
        <w:jc w:val="left"/>
        <w:rPr>
          <w:rFonts w:hAnsi="宋体"/>
          <w:szCs w:val="24"/>
        </w:rPr>
      </w:pPr>
    </w:p>
    <w:p>
      <w:pPr>
        <w:pStyle w:val="123"/>
        <w:spacing w:line="480" w:lineRule="auto"/>
        <w:ind w:firstLine="540" w:firstLineChars="225"/>
        <w:jc w:val="left"/>
        <w:rPr>
          <w:rFonts w:hAnsi="宋体"/>
          <w:szCs w:val="24"/>
        </w:rPr>
      </w:pPr>
    </w:p>
    <w:p>
      <w:pPr>
        <w:pStyle w:val="123"/>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附法定代表人身份</w:t>
      </w:r>
      <w:r>
        <w:rPr>
          <w:rFonts w:hAnsi="宋体"/>
          <w:bCs/>
          <w:szCs w:val="24"/>
        </w:rPr>
        <w:t>证复</w:t>
      </w:r>
      <w:r>
        <w:rPr>
          <w:rFonts w:hint="eastAsia" w:hAnsi="宋体"/>
          <w:bCs/>
          <w:szCs w:val="24"/>
        </w:rPr>
        <w:t>印件，需清晰反映身份证有效期限】</w:t>
      </w:r>
    </w:p>
    <w:p>
      <w:pPr>
        <w:pStyle w:val="123"/>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2"/>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3.2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  （签字或加盖名章）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24" w:name="_资格证明文件"/>
            <w:bookmarkEnd w:id="24"/>
            <w:bookmarkStart w:id="25" w:name="_Toc364329026"/>
            <w:r>
              <w:rPr>
                <w:rFonts w:hint="eastAsia" w:ascii="宋体" w:hAnsi="宋体"/>
                <w:sz w:val="24"/>
                <w:szCs w:val="24"/>
              </w:rPr>
              <w:t>法定代表人授权代表身份证（正面）</w:t>
            </w:r>
            <w:bookmarkEnd w:id="25"/>
          </w:p>
        </w:tc>
        <w:tc>
          <w:tcPr>
            <w:tcW w:w="4492" w:type="dxa"/>
            <w:gridSpan w:val="2"/>
            <w:vAlign w:val="center"/>
          </w:tcPr>
          <w:p>
            <w:pPr>
              <w:jc w:val="center"/>
              <w:rPr>
                <w:rFonts w:ascii="宋体" w:hAnsi="宋体"/>
                <w:sz w:val="24"/>
                <w:szCs w:val="24"/>
              </w:rPr>
            </w:pPr>
            <w:bookmarkStart w:id="26" w:name="_Toc364329027"/>
            <w:r>
              <w:rPr>
                <w:rFonts w:hint="eastAsia" w:ascii="宋体" w:hAnsi="宋体"/>
                <w:sz w:val="24"/>
                <w:szCs w:val="24"/>
              </w:rPr>
              <w:t>法定代表人授权代表身份证（反面）</w:t>
            </w:r>
            <w:bookmarkEnd w:id="2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3.3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3.4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3.5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pStyle w:val="19"/>
        <w:spacing w:line="360" w:lineRule="auto"/>
        <w:jc w:val="center"/>
        <w:rPr>
          <w:rFonts w:hAnsi="宋体"/>
          <w:b/>
          <w:snapToGrid w:val="0"/>
          <w:sz w:val="36"/>
          <w:szCs w:val="36"/>
        </w:rPr>
      </w:pPr>
      <w:r>
        <w:rPr>
          <w:rFonts w:hint="eastAsia" w:hAnsi="宋体"/>
          <w:b/>
          <w:snapToGrid w:val="0"/>
          <w:sz w:val="36"/>
          <w:szCs w:val="36"/>
        </w:rPr>
        <w:t>4.1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19"/>
        <w:spacing w:line="360" w:lineRule="auto"/>
        <w:ind w:firstLine="420" w:firstLineChars="200"/>
        <w:contextualSpacing/>
        <w:rPr>
          <w:rFonts w:hAnsi="宋体"/>
          <w:snapToGrid w:val="0"/>
          <w:szCs w:val="24"/>
        </w:rPr>
      </w:pPr>
      <w:r>
        <w:rPr>
          <w:rFonts w:hint="eastAsia" w:hAnsi="宋体"/>
          <w:snapToGrid w:val="0"/>
          <w:szCs w:val="24"/>
        </w:rPr>
        <w:t>我方确认收到贵方提供的（项目名称、项目编号）采购文件的全部内容。</w:t>
      </w:r>
    </w:p>
    <w:p>
      <w:pPr>
        <w:pStyle w:val="19"/>
        <w:spacing w:line="360" w:lineRule="auto"/>
        <w:ind w:firstLine="420" w:firstLineChars="200"/>
        <w:contextualSpacing/>
        <w:rPr>
          <w:rFonts w:hAnsi="宋体"/>
          <w:snapToGrid w:val="0"/>
          <w:szCs w:val="24"/>
        </w:rPr>
      </w:pPr>
      <w:r>
        <w:rPr>
          <w:rFonts w:hint="eastAsia" w:hAnsi="宋体"/>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r>
        <w:rPr>
          <w:rFonts w:hint="eastAsia" w:cs="Arial"/>
          <w:sz w:val="26"/>
          <w:szCs w:val="26"/>
        </w:rPr>
        <w:t xml:space="preserve"> 电子版文件</w:t>
      </w:r>
      <w:r>
        <w:rPr>
          <w:rFonts w:hint="eastAsia" w:cs="Arial"/>
          <w:sz w:val="26"/>
          <w:szCs w:val="26"/>
          <w:u w:val="single"/>
        </w:rPr>
        <w:t xml:space="preserve">  </w:t>
      </w:r>
      <w:r>
        <w:rPr>
          <w:rFonts w:hint="eastAsia" w:cs="Arial"/>
          <w:sz w:val="26"/>
          <w:szCs w:val="26"/>
        </w:rPr>
        <w:t>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28"/>
        <w:adjustRightInd w:val="0"/>
        <w:spacing w:line="360" w:lineRule="auto"/>
        <w:ind w:firstLine="480" w:firstLineChars="200"/>
        <w:contextualSpacing/>
        <w:rPr>
          <w:rFonts w:cs="Courier New"/>
        </w:rPr>
      </w:pPr>
      <w:r>
        <w:rPr>
          <w:rFonts w:hint="eastAsia" w:cs="Courier New"/>
        </w:rPr>
        <w:t>三、我方明白并同意，在规定的开标日之后，投标有效期之内撤销投标的，则贵方将不予退还投标保证金。</w:t>
      </w:r>
    </w:p>
    <w:p>
      <w:pPr>
        <w:pStyle w:val="28"/>
        <w:adjustRightInd w:val="0"/>
        <w:spacing w:line="360" w:lineRule="auto"/>
        <w:ind w:firstLine="480" w:firstLineChars="200"/>
        <w:contextualSpacing/>
        <w:rPr>
          <w:rFonts w:cs="Courier New"/>
        </w:rPr>
      </w:pPr>
      <w:r>
        <w:rPr>
          <w:rFonts w:hint="eastAsia" w:cs="Courier New"/>
        </w:rPr>
        <w:t>四、我方同意按照贵方可能提出的要求而提供与投标有关的任何其它数据、信息或资料。</w:t>
      </w:r>
    </w:p>
    <w:p>
      <w:pPr>
        <w:pStyle w:val="28"/>
        <w:adjustRightInd w:val="0"/>
        <w:spacing w:line="360" w:lineRule="auto"/>
        <w:ind w:firstLine="480" w:firstLineChars="200"/>
        <w:contextualSpacing/>
        <w:rPr>
          <w:rFonts w:cs="Courier New"/>
        </w:rPr>
      </w:pPr>
      <w:r>
        <w:rPr>
          <w:rFonts w:hint="eastAsia" w:cs="Courier New"/>
        </w:rPr>
        <w:t>五、我方理解贵方不一定接受最低投标价或任何贵方可能收到的投标。</w:t>
      </w:r>
    </w:p>
    <w:p>
      <w:pPr>
        <w:pStyle w:val="28"/>
        <w:adjustRightInd w:val="0"/>
        <w:spacing w:line="360" w:lineRule="auto"/>
        <w:ind w:firstLine="480" w:firstLineChars="200"/>
        <w:contextualSpacing/>
        <w:rPr>
          <w:rFonts w:cs="Courier New"/>
        </w:rPr>
      </w:pPr>
      <w:r>
        <w:rPr>
          <w:rFonts w:hint="eastAsia" w:cs="Courier New"/>
        </w:rPr>
        <w:t>六、我方如果成交，将保证履行采购文件及其澄清、修改文件（如果有）中的全部责任和义务，按质、按量、按期完成《项目需求》及《合同书》中的全部任务。</w:t>
      </w:r>
    </w:p>
    <w:p>
      <w:pPr>
        <w:pStyle w:val="28"/>
        <w:adjustRightInd w:val="0"/>
        <w:spacing w:line="360" w:lineRule="auto"/>
        <w:ind w:firstLine="480" w:firstLineChars="200"/>
        <w:contextualSpacing/>
        <w:rPr>
          <w:rFonts w:cs="Courier New"/>
        </w:rPr>
      </w:pPr>
      <w:r>
        <w:rPr>
          <w:rFonts w:hint="eastAsia" w:cs="Courier New"/>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pStyle w:val="28"/>
        <w:adjustRightInd w:val="0"/>
        <w:spacing w:line="360" w:lineRule="auto"/>
        <w:ind w:firstLine="480" w:firstLineChars="200"/>
        <w:contextualSpacing/>
        <w:rPr>
          <w:rFonts w:cs="Courier New"/>
        </w:rPr>
      </w:pPr>
      <w:r>
        <w:rPr>
          <w:rFonts w:hint="eastAsia" w:cs="Courier New"/>
        </w:rPr>
        <w:t xml:space="preserve">八、我方投标报价已包含应向知识产权所有权人支付的所有相关税费，并保证采购人在中国使用我方提供的货物时，如有第三方提出侵犯其知识产权主张的，责任由我方承担。 </w:t>
      </w:r>
    </w:p>
    <w:p>
      <w:pPr>
        <w:pStyle w:val="28"/>
        <w:adjustRightInd w:val="0"/>
        <w:spacing w:line="360" w:lineRule="auto"/>
        <w:ind w:firstLine="480" w:firstLineChars="200"/>
        <w:contextualSpacing/>
        <w:rPr>
          <w:rFonts w:cs="Courier New"/>
        </w:rPr>
      </w:pPr>
      <w:r>
        <w:rPr>
          <w:rFonts w:hint="eastAsia" w:cs="Courier New"/>
        </w:rPr>
        <w:t>九、我方具备《政府采购法》第二十二条规定的条件；承诺如下：</w:t>
      </w:r>
    </w:p>
    <w:p>
      <w:pPr>
        <w:pStyle w:val="28"/>
        <w:adjustRightInd w:val="0"/>
        <w:spacing w:line="360" w:lineRule="auto"/>
        <w:ind w:firstLine="480" w:firstLineChars="200"/>
        <w:contextualSpacing/>
        <w:rPr>
          <w:rFonts w:cs="Courier New"/>
        </w:rPr>
      </w:pPr>
      <w:r>
        <w:rPr>
          <w:rFonts w:hint="eastAsia" w:cs="Courier New"/>
        </w:rPr>
        <w:t>（1）具有独立承担民事责任能力的在中华人民共和国境内注册的法人或其他组织或自然人，有效的营业执照（或事业法人登记证或身份证等相关证明）。</w:t>
      </w:r>
    </w:p>
    <w:p>
      <w:pPr>
        <w:pStyle w:val="28"/>
        <w:adjustRightInd w:val="0"/>
        <w:spacing w:line="360" w:lineRule="auto"/>
        <w:ind w:firstLine="480" w:firstLineChars="200"/>
        <w:contextualSpacing/>
        <w:rPr>
          <w:rFonts w:cs="Courier New"/>
        </w:rPr>
      </w:pPr>
      <w:r>
        <w:rPr>
          <w:rFonts w:hint="eastAsia" w:cs="Courier New"/>
        </w:rPr>
        <w:t>（2）我方已依法缴纳了各项税费及社会保险费用，如有需要，可随时向采购人提供近四个月内的相关缴费证明，以便核查。</w:t>
      </w:r>
    </w:p>
    <w:p>
      <w:pPr>
        <w:pStyle w:val="28"/>
        <w:adjustRightInd w:val="0"/>
        <w:spacing w:line="360" w:lineRule="auto"/>
        <w:ind w:firstLine="480" w:firstLineChars="200"/>
        <w:contextualSpacing/>
        <w:rPr>
          <w:rFonts w:cs="Courier New"/>
        </w:rPr>
      </w:pPr>
      <w:r>
        <w:rPr>
          <w:rFonts w:hint="eastAsia" w:cs="Courier New"/>
        </w:rPr>
        <w:t>（3）我方已依法建立健全的财务会计制度，如有需要，可随时向采购人提供相关证明材料，以便核查。</w:t>
      </w:r>
    </w:p>
    <w:p>
      <w:pPr>
        <w:pStyle w:val="28"/>
        <w:adjustRightInd w:val="0"/>
        <w:spacing w:line="360" w:lineRule="auto"/>
        <w:ind w:firstLine="480" w:firstLineChars="200"/>
        <w:contextualSpacing/>
        <w:rPr>
          <w:rFonts w:cs="Courier New"/>
        </w:rPr>
      </w:pPr>
      <w:r>
        <w:rPr>
          <w:rFonts w:hint="eastAsia" w:cs="Courier New"/>
        </w:rPr>
        <w:t>（4）参加政府采购活动前三年内，在经营活动中没有重大违法记录。</w:t>
      </w:r>
    </w:p>
    <w:p>
      <w:pPr>
        <w:pStyle w:val="28"/>
        <w:adjustRightInd w:val="0"/>
        <w:spacing w:line="360" w:lineRule="auto"/>
        <w:ind w:firstLine="480" w:firstLineChars="200"/>
        <w:contextualSpacing/>
        <w:rPr>
          <w:rFonts w:cs="Courier New"/>
        </w:rPr>
      </w:pPr>
      <w:r>
        <w:rPr>
          <w:rFonts w:hint="eastAsia" w:cs="Courier New"/>
        </w:rPr>
        <w:t>（5）符合法律、行政法规规定的其他条件。</w:t>
      </w:r>
    </w:p>
    <w:p>
      <w:pPr>
        <w:pStyle w:val="28"/>
        <w:adjustRightInd w:val="0"/>
        <w:spacing w:line="360" w:lineRule="auto"/>
        <w:ind w:firstLine="480" w:firstLineChars="200"/>
        <w:contextualSpacing/>
        <w:rPr>
          <w:rFonts w:cs="Courier New"/>
        </w:rPr>
      </w:pPr>
      <w:r>
        <w:rPr>
          <w:rFonts w:hint="eastAsia" w:cs="Courier New"/>
        </w:rPr>
        <w:t>以上内容如有虚假或与事实不符的，评审委员会可将我方做无效投标处理，我方愿意承担相应的法律责任。</w:t>
      </w:r>
    </w:p>
    <w:p>
      <w:pPr>
        <w:pStyle w:val="28"/>
        <w:adjustRightInd w:val="0"/>
        <w:spacing w:line="360" w:lineRule="auto"/>
        <w:ind w:firstLine="480" w:firstLineChars="200"/>
        <w:contextualSpacing/>
        <w:rPr>
          <w:rFonts w:cs="Courier New"/>
        </w:rPr>
      </w:pPr>
      <w:r>
        <w:rPr>
          <w:rFonts w:hint="eastAsia" w:cs="Courier New"/>
        </w:rPr>
        <w:t>十、我方具备履行合同所必需的设备和专业技术能力。</w:t>
      </w:r>
    </w:p>
    <w:p>
      <w:pPr>
        <w:pStyle w:val="28"/>
        <w:adjustRightInd w:val="0"/>
        <w:spacing w:line="360" w:lineRule="auto"/>
        <w:ind w:firstLine="480" w:firstLineChars="200"/>
        <w:contextualSpacing/>
      </w:pPr>
      <w:r>
        <w:rPr>
          <w:rFonts w:hint="eastAsia" w:cs="Courier New"/>
        </w:rPr>
        <w:t>十一、我方对在本函及响应文件中所作的所有承诺承担法律责任。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sz w:val="36"/>
          <w:szCs w:val="36"/>
        </w:rPr>
        <w:t xml:space="preserve">4.2 </w:t>
      </w:r>
      <w:r>
        <w:rPr>
          <w:rFonts w:hint="eastAsia" w:hAnsi="宋体"/>
          <w:b/>
          <w:snapToGrid w:val="0"/>
          <w:kern w:val="0"/>
          <w:sz w:val="36"/>
          <w:szCs w:val="36"/>
        </w:rPr>
        <w:t xml:space="preserve"> 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sz w:val="24"/>
          <w:szCs w:val="24"/>
        </w:rPr>
        <w:t xml:space="preserve">项目名称：   </w:t>
      </w:r>
    </w:p>
    <w:tbl>
      <w:tblPr>
        <w:tblStyle w:val="31"/>
        <w:tblW w:w="9400" w:type="dxa"/>
        <w:tblInd w:w="0" w:type="dxa"/>
        <w:tblLayout w:type="fixed"/>
        <w:tblCellMar>
          <w:top w:w="0" w:type="dxa"/>
          <w:left w:w="108" w:type="dxa"/>
          <w:bottom w:w="0" w:type="dxa"/>
          <w:right w:w="108" w:type="dxa"/>
        </w:tblCellMar>
      </w:tblPr>
      <w:tblGrid>
        <w:gridCol w:w="534"/>
        <w:gridCol w:w="992"/>
        <w:gridCol w:w="1843"/>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5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87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sz w:val="24"/>
          <w:szCs w:val="24"/>
        </w:rPr>
      </w:pPr>
    </w:p>
    <w:p>
      <w:pPr>
        <w:widowControl/>
        <w:jc w:val="left"/>
        <w:rPr>
          <w:rFonts w:ascii="宋体" w:hAnsi="宋体"/>
          <w:b/>
          <w:bCs/>
          <w:sz w:val="36"/>
          <w:szCs w:val="36"/>
        </w:rPr>
      </w:pPr>
      <w:r>
        <w:rPr>
          <w:rFonts w:ascii="宋体" w:hAnsi="宋体"/>
          <w:b/>
          <w:bCs/>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sz w:val="36"/>
          <w:szCs w:val="36"/>
        </w:rPr>
        <w:t xml:space="preserve">4.3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 xml:space="preserve">4.4 </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4.6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7" w:name="OLE_LINK14"/>
      <w:bookmarkStart w:id="28" w:name="OLE_LINK13"/>
    </w:p>
    <w:p>
      <w:pPr>
        <w:spacing w:line="360" w:lineRule="auto"/>
        <w:jc w:val="center"/>
        <w:rPr>
          <w:rFonts w:ascii="宋体" w:hAnsi="宋体"/>
          <w:b/>
          <w:bCs/>
          <w:sz w:val="36"/>
          <w:szCs w:val="36"/>
        </w:rPr>
      </w:pPr>
      <w:r>
        <w:rPr>
          <w:rFonts w:hint="eastAsia" w:ascii="宋体" w:hAnsi="宋体"/>
          <w:b/>
          <w:bCs/>
          <w:sz w:val="36"/>
          <w:szCs w:val="36"/>
        </w:rPr>
        <w:t>4.7 残疾人福利性单位声明函</w:t>
      </w:r>
    </w:p>
    <w:bookmarkEnd w:id="27"/>
    <w:bookmarkEnd w:id="2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4.8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w:t>
      </w:r>
    </w:p>
    <w:p>
      <w:pPr>
        <w:spacing w:line="360" w:lineRule="auto"/>
        <w:jc w:val="center"/>
        <w:rPr>
          <w:rFonts w:ascii="宋体" w:hAnsi="宋体" w:cs="Arial"/>
          <w:kern w:val="0"/>
          <w:sz w:val="24"/>
          <w:szCs w:val="24"/>
        </w:rPr>
      </w:pPr>
      <w:r>
        <w:rPr>
          <w:rFonts w:hint="eastAsia" w:ascii="宋体" w:hAnsi="宋体" w:cs="Arial"/>
          <w:kern w:val="0"/>
          <w:sz w:val="24"/>
          <w:szCs w:val="24"/>
        </w:rPr>
        <w:t>（格式自拟）</w:t>
      </w:r>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2"/>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r>
        <w:rPr>
          <w:rFonts w:hint="eastAsia" w:ascii="Calibri" w:hAnsi="Calibri" w:cs="黑体"/>
          <w:color w:val="000000"/>
          <w:sz w:val="24"/>
          <w:szCs w:val="24"/>
        </w:rPr>
        <w:br w:type="page"/>
      </w:r>
      <w:r>
        <w:rPr>
          <w:rFonts w:hint="eastAsia" w:ascii="宋体" w:hAnsi="宋体" w:cs="宋体"/>
          <w:b/>
          <w:bCs/>
          <w:color w:val="000000"/>
          <w:sz w:val="24"/>
          <w:szCs w:val="24"/>
        </w:rPr>
        <w:t>格式3</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30"/>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1"/>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ascii="宋体" w:hAnsi="宋体"/>
                <w:sz w:val="24"/>
                <w:szCs w:val="24"/>
              </w:rPr>
            </w:pPr>
            <w:r>
              <w:rPr>
                <w:sz w:val="24"/>
                <w:szCs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9464" w:type="dxa"/>
            <w:gridSpan w:val="4"/>
            <w:tcBorders>
              <w:left w:val="single" w:color="auto" w:sz="4" w:space="0"/>
              <w:bottom w:val="single" w:color="auto" w:sz="4" w:space="0"/>
              <w:right w:val="single" w:color="auto" w:sz="4" w:space="0"/>
            </w:tcBorders>
            <w:vAlign w:val="center"/>
          </w:tcPr>
          <w:p>
            <w:pPr>
              <w:pStyle w:val="30"/>
              <w:ind w:firstLine="240"/>
              <w:rPr>
                <w:rFonts w:ascii="Calibri" w:hAnsi="Calibri"/>
                <w:szCs w:val="24"/>
              </w:rPr>
            </w:pPr>
            <w:r>
              <w:rPr>
                <w:rFonts w:hint="eastAsia" w:ascii="Calibri" w:hAnsi="Calibri"/>
                <w:szCs w:val="24"/>
              </w:rPr>
              <w:t>报价供应商：（盖章）</w:t>
            </w:r>
          </w:p>
          <w:p>
            <w:pPr>
              <w:pStyle w:val="30"/>
              <w:ind w:firstLine="240"/>
              <w:rPr>
                <w:rFonts w:ascii="Calibri" w:hAnsi="Calibri"/>
                <w:szCs w:val="24"/>
              </w:rPr>
            </w:pPr>
          </w:p>
          <w:p>
            <w:pPr>
              <w:pStyle w:val="30"/>
              <w:ind w:firstLine="240"/>
              <w:rPr>
                <w:rFonts w:ascii="宋体" w:hAnsi="宋体"/>
                <w:bCs/>
                <w:szCs w:val="24"/>
              </w:rPr>
            </w:pPr>
            <w:r>
              <w:rPr>
                <w:rFonts w:hint="eastAsia" w:ascii="宋体" w:hAnsi="宋体"/>
                <w:bCs/>
                <w:szCs w:val="24"/>
              </w:rPr>
              <w:t>被授权人或法人代表（签字）</w:t>
            </w:r>
          </w:p>
          <w:p>
            <w:pPr>
              <w:pStyle w:val="30"/>
              <w:ind w:firstLine="240"/>
              <w:rPr>
                <w:rFonts w:ascii="宋体" w:hAnsi="宋体"/>
                <w:bCs/>
                <w:szCs w:val="24"/>
              </w:rPr>
            </w:pPr>
            <w:r>
              <w:rPr>
                <w:rFonts w:hint="eastAsia" w:ascii="宋体" w:hAnsi="宋体"/>
                <w:bCs/>
                <w:szCs w:val="24"/>
              </w:rPr>
              <w:t xml:space="preserve">                                         时间：     年     月    日</w:t>
            </w:r>
          </w:p>
        </w:tc>
      </w:tr>
    </w:tbl>
    <w:p>
      <w:pPr>
        <w:pStyle w:val="17"/>
        <w:adjustRightInd w:val="0"/>
        <w:snapToGrid w:val="0"/>
        <w:spacing w:afterLines="50" w:line="320" w:lineRule="exact"/>
        <w:jc w:val="left"/>
        <w:rPr>
          <w:rFonts w:hAnsi="宋体"/>
          <w:snapToGrid w:val="0"/>
          <w:kern w:val="0"/>
          <w:szCs w:val="24"/>
        </w:rPr>
      </w:pPr>
    </w:p>
    <w:p>
      <w:pPr>
        <w:pStyle w:val="17"/>
        <w:adjustRightInd w:val="0"/>
        <w:snapToGrid w:val="0"/>
        <w:spacing w:afterLines="50" w:line="320" w:lineRule="exact"/>
        <w:jc w:val="left"/>
        <w:rPr>
          <w:rFonts w:hint="eastAsia" w:hAnsi="宋体"/>
          <w:snapToGrid w:val="0"/>
          <w:kern w:val="0"/>
          <w:szCs w:val="24"/>
        </w:rPr>
      </w:pPr>
      <w:r>
        <w:rPr>
          <w:rFonts w:hint="eastAsia" w:hAnsi="宋体"/>
          <w:snapToGrid w:val="0"/>
          <w:kern w:val="0"/>
          <w:szCs w:val="24"/>
        </w:rPr>
        <w:t>注：本表格为供应商最后报价使用，供应商在参加谈判时自备本表格。</w:t>
      </w:r>
    </w:p>
    <w:p>
      <w:pPr>
        <w:pStyle w:val="17"/>
        <w:adjustRightInd w:val="0"/>
        <w:snapToGrid w:val="0"/>
        <w:spacing w:afterLines="50" w:line="320" w:lineRule="exact"/>
        <w:ind w:firstLine="960" w:firstLineChars="400"/>
        <w:jc w:val="left"/>
        <w:rPr>
          <w:rFonts w:hAnsi="宋体"/>
          <w:snapToGrid w:val="0"/>
          <w:kern w:val="0"/>
          <w:szCs w:val="24"/>
        </w:rPr>
      </w:pPr>
      <w:r>
        <w:rPr>
          <w:rFonts w:hint="eastAsia" w:hAnsi="宋体"/>
          <w:snapToGrid w:val="0"/>
          <w:kern w:val="0"/>
          <w:szCs w:val="24"/>
        </w:rPr>
        <w:t>投标文件不必附改表格。</w:t>
      </w:r>
    </w:p>
    <w:p>
      <w:pPr>
        <w:pStyle w:val="17"/>
        <w:spacing w:line="480" w:lineRule="exact"/>
        <w:ind w:firstLine="0" w:firstLineChars="0"/>
        <w:rPr>
          <w:rFonts w:hAnsi="宋体"/>
          <w:b/>
          <w:bCs/>
          <w:position w:val="6"/>
          <w:szCs w:val="24"/>
        </w:rPr>
      </w:pPr>
    </w:p>
    <w:p>
      <w:pPr>
        <w:pStyle w:val="17"/>
        <w:spacing w:line="480" w:lineRule="exact"/>
        <w:ind w:firstLine="0" w:firstLineChars="0"/>
        <w:rPr>
          <w:rFonts w:hAnsi="宋体"/>
          <w:b/>
          <w:bCs/>
          <w:position w:val="6"/>
          <w:szCs w:val="24"/>
        </w:rPr>
      </w:pPr>
    </w:p>
    <w:p>
      <w:pPr>
        <w:pStyle w:val="2"/>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宋体" w:hAnsi="宋体"/>
        <w:szCs w:val="21"/>
        <w:u w:val="single"/>
      </w:rPr>
    </w:pPr>
  </w:p>
  <w:p>
    <w:pPr>
      <w:pStyle w:val="23"/>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49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r>
      <w:fldChar w:fldCharType="begin"/>
    </w:r>
    <w:r>
      <w:rPr>
        <w:rStyle w:val="35"/>
      </w:rPr>
      <w:instrText xml:space="preserve">PAGE  </w:instrText>
    </w:r>
    <w:r>
      <w:fldChar w:fldCharType="separate"/>
    </w:r>
    <w:r>
      <w:rPr>
        <w:rStyle w:val="35"/>
      </w:rPr>
      <w:t>53</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99"/>
      <w:lvlText w:val="%1"/>
      <w:lvlJc w:val="left"/>
      <w:pPr>
        <w:ind w:left="432" w:hanging="432"/>
      </w:pPr>
      <w:rPr>
        <w:b w:val="0"/>
      </w:rPr>
    </w:lvl>
    <w:lvl w:ilvl="1" w:tentative="0">
      <w:start w:val="1"/>
      <w:numFmt w:val="decimal"/>
      <w:pStyle w:val="115"/>
      <w:lvlText w:val="%1.%2"/>
      <w:lvlJc w:val="left"/>
      <w:pPr>
        <w:ind w:left="576" w:hanging="576"/>
      </w:pPr>
      <w:rPr>
        <w:rFonts w:ascii="黑体" w:hAnsi="黑体" w:eastAsia="黑体"/>
        <w:b w:val="0"/>
      </w:rPr>
    </w:lvl>
    <w:lvl w:ilvl="2" w:tentative="0">
      <w:start w:val="1"/>
      <w:numFmt w:val="decimal"/>
      <w:pStyle w:val="97"/>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2"/>
      <w:lvlText w:val="%1.%2.%3.%4.%5"/>
      <w:lvlJc w:val="left"/>
      <w:pPr>
        <w:ind w:left="1008" w:hanging="1008"/>
      </w:pPr>
      <w:rPr>
        <w:rFonts w:ascii="黑体" w:hAnsi="黑体" w:eastAsia="黑体"/>
        <w:b w:val="0"/>
      </w:rPr>
    </w:lvl>
    <w:lvl w:ilvl="5" w:tentative="0">
      <w:start w:val="1"/>
      <w:numFmt w:val="decimal"/>
      <w:pStyle w:val="94"/>
      <w:lvlText w:val="%1.%2.%3.%4.%5.%6"/>
      <w:lvlJc w:val="left"/>
      <w:pPr>
        <w:ind w:left="1152" w:hanging="1152"/>
      </w:pPr>
      <w:rPr>
        <w:rFonts w:ascii="黑体" w:hAnsi="黑体" w:eastAsia="黑体"/>
        <w:lang w:val="en-US"/>
      </w:rPr>
    </w:lvl>
    <w:lvl w:ilvl="6" w:tentative="0">
      <w:start w:val="1"/>
      <w:numFmt w:val="decimal"/>
      <w:pStyle w:val="105"/>
      <w:lvlText w:val="%1.%2.%3.%4.%5.%6.%7"/>
      <w:lvlJc w:val="left"/>
      <w:pPr>
        <w:ind w:left="1296" w:hanging="1296"/>
      </w:pPr>
      <w:rPr>
        <w:rFonts w:ascii="黑体" w:hAnsi="黑体" w:eastAsia="黑体"/>
        <w:b w:val="0"/>
      </w:rPr>
    </w:lvl>
    <w:lvl w:ilvl="7" w:tentative="0">
      <w:start w:val="1"/>
      <w:numFmt w:val="decimal"/>
      <w:pStyle w:val="113"/>
      <w:lvlText w:val="%1.%2.%3.%4.%5.%6.%7.%8"/>
      <w:lvlJc w:val="left"/>
      <w:pPr>
        <w:ind w:left="1440" w:hanging="1440"/>
      </w:pPr>
    </w:lvl>
    <w:lvl w:ilvl="8" w:tentative="0">
      <w:start w:val="1"/>
      <w:numFmt w:val="decimal"/>
      <w:pStyle w:val="102"/>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2586E"/>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CD3"/>
    <w:rsid w:val="00083FF9"/>
    <w:rsid w:val="00084172"/>
    <w:rsid w:val="00090786"/>
    <w:rsid w:val="00092CE2"/>
    <w:rsid w:val="00093E40"/>
    <w:rsid w:val="0009527D"/>
    <w:rsid w:val="000A0E87"/>
    <w:rsid w:val="000A2791"/>
    <w:rsid w:val="000A307D"/>
    <w:rsid w:val="000A4DE2"/>
    <w:rsid w:val="000B4E76"/>
    <w:rsid w:val="000C053D"/>
    <w:rsid w:val="000C05C3"/>
    <w:rsid w:val="000C5049"/>
    <w:rsid w:val="000C7C7E"/>
    <w:rsid w:val="000D10B1"/>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676"/>
    <w:rsid w:val="0016206F"/>
    <w:rsid w:val="00163255"/>
    <w:rsid w:val="001638C0"/>
    <w:rsid w:val="001638F0"/>
    <w:rsid w:val="00172A27"/>
    <w:rsid w:val="00175433"/>
    <w:rsid w:val="00184AD5"/>
    <w:rsid w:val="00185641"/>
    <w:rsid w:val="00187156"/>
    <w:rsid w:val="00191A32"/>
    <w:rsid w:val="00192DB7"/>
    <w:rsid w:val="00195776"/>
    <w:rsid w:val="001A1B03"/>
    <w:rsid w:val="001A7320"/>
    <w:rsid w:val="001B0374"/>
    <w:rsid w:val="001B3D09"/>
    <w:rsid w:val="001B4D1D"/>
    <w:rsid w:val="001C41E0"/>
    <w:rsid w:val="001C71C4"/>
    <w:rsid w:val="001D024F"/>
    <w:rsid w:val="001D1A11"/>
    <w:rsid w:val="001D3A7E"/>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1667D"/>
    <w:rsid w:val="002209B2"/>
    <w:rsid w:val="0022586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5EB"/>
    <w:rsid w:val="00280360"/>
    <w:rsid w:val="00284094"/>
    <w:rsid w:val="00285CBB"/>
    <w:rsid w:val="0028747D"/>
    <w:rsid w:val="002913F4"/>
    <w:rsid w:val="0029382B"/>
    <w:rsid w:val="0029433C"/>
    <w:rsid w:val="00295072"/>
    <w:rsid w:val="002A24BD"/>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07899"/>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4FCF"/>
    <w:rsid w:val="0039672A"/>
    <w:rsid w:val="003A15FF"/>
    <w:rsid w:val="003A301A"/>
    <w:rsid w:val="003A6DE8"/>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6829"/>
    <w:rsid w:val="004F72D1"/>
    <w:rsid w:val="00500747"/>
    <w:rsid w:val="005036A2"/>
    <w:rsid w:val="00504449"/>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91666"/>
    <w:rsid w:val="00595F0F"/>
    <w:rsid w:val="005A2CC3"/>
    <w:rsid w:val="005B2B5A"/>
    <w:rsid w:val="005C0BB0"/>
    <w:rsid w:val="005C547A"/>
    <w:rsid w:val="005C6CD0"/>
    <w:rsid w:val="005D02D9"/>
    <w:rsid w:val="005D2A8F"/>
    <w:rsid w:val="005E4196"/>
    <w:rsid w:val="005E657B"/>
    <w:rsid w:val="005F38F6"/>
    <w:rsid w:val="005F4CDB"/>
    <w:rsid w:val="00602A88"/>
    <w:rsid w:val="0060323B"/>
    <w:rsid w:val="00612492"/>
    <w:rsid w:val="00613350"/>
    <w:rsid w:val="00617E6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92D"/>
    <w:rsid w:val="006964DE"/>
    <w:rsid w:val="006A5C26"/>
    <w:rsid w:val="006B7940"/>
    <w:rsid w:val="006C03F2"/>
    <w:rsid w:val="006C0F3C"/>
    <w:rsid w:val="006C139A"/>
    <w:rsid w:val="006C2CE4"/>
    <w:rsid w:val="006C33D4"/>
    <w:rsid w:val="006C45BC"/>
    <w:rsid w:val="006C616B"/>
    <w:rsid w:val="006D4E3A"/>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0E36"/>
    <w:rsid w:val="007A2A40"/>
    <w:rsid w:val="007A6613"/>
    <w:rsid w:val="007A6797"/>
    <w:rsid w:val="007A7C6E"/>
    <w:rsid w:val="007A7DC9"/>
    <w:rsid w:val="007A7F77"/>
    <w:rsid w:val="007B55EB"/>
    <w:rsid w:val="007C42E6"/>
    <w:rsid w:val="007C467C"/>
    <w:rsid w:val="007D274F"/>
    <w:rsid w:val="007D3321"/>
    <w:rsid w:val="007D3A1C"/>
    <w:rsid w:val="007D3B08"/>
    <w:rsid w:val="007D3FA3"/>
    <w:rsid w:val="007D6744"/>
    <w:rsid w:val="007E0D72"/>
    <w:rsid w:val="007E5345"/>
    <w:rsid w:val="007E57AE"/>
    <w:rsid w:val="007E5C43"/>
    <w:rsid w:val="007E6DEF"/>
    <w:rsid w:val="00801885"/>
    <w:rsid w:val="00801F8F"/>
    <w:rsid w:val="008030E4"/>
    <w:rsid w:val="00806EF2"/>
    <w:rsid w:val="00812A0C"/>
    <w:rsid w:val="00813A85"/>
    <w:rsid w:val="00815899"/>
    <w:rsid w:val="00823775"/>
    <w:rsid w:val="00825764"/>
    <w:rsid w:val="00827452"/>
    <w:rsid w:val="0083094B"/>
    <w:rsid w:val="008330A0"/>
    <w:rsid w:val="0083535A"/>
    <w:rsid w:val="00836A8F"/>
    <w:rsid w:val="0084695D"/>
    <w:rsid w:val="00847493"/>
    <w:rsid w:val="00852B92"/>
    <w:rsid w:val="008605B7"/>
    <w:rsid w:val="00860EFE"/>
    <w:rsid w:val="008616E8"/>
    <w:rsid w:val="00875D86"/>
    <w:rsid w:val="008806AC"/>
    <w:rsid w:val="00882EB2"/>
    <w:rsid w:val="00884971"/>
    <w:rsid w:val="00895A5F"/>
    <w:rsid w:val="00896F34"/>
    <w:rsid w:val="008A02C2"/>
    <w:rsid w:val="008A41B8"/>
    <w:rsid w:val="008A4709"/>
    <w:rsid w:val="008B3583"/>
    <w:rsid w:val="008B3639"/>
    <w:rsid w:val="008B72D3"/>
    <w:rsid w:val="008C3D01"/>
    <w:rsid w:val="008C46F0"/>
    <w:rsid w:val="008C664F"/>
    <w:rsid w:val="008C7A71"/>
    <w:rsid w:val="008C7B76"/>
    <w:rsid w:val="008D4419"/>
    <w:rsid w:val="008D4718"/>
    <w:rsid w:val="008D4F27"/>
    <w:rsid w:val="008E181A"/>
    <w:rsid w:val="00901DF6"/>
    <w:rsid w:val="00905994"/>
    <w:rsid w:val="00907E24"/>
    <w:rsid w:val="00911748"/>
    <w:rsid w:val="0091212E"/>
    <w:rsid w:val="0091347D"/>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4938"/>
    <w:rsid w:val="00A27D3C"/>
    <w:rsid w:val="00A42DD9"/>
    <w:rsid w:val="00A456AB"/>
    <w:rsid w:val="00A45DF3"/>
    <w:rsid w:val="00A4772C"/>
    <w:rsid w:val="00A548D4"/>
    <w:rsid w:val="00A552FC"/>
    <w:rsid w:val="00A579B6"/>
    <w:rsid w:val="00A65E74"/>
    <w:rsid w:val="00A6603F"/>
    <w:rsid w:val="00A66F84"/>
    <w:rsid w:val="00A865D4"/>
    <w:rsid w:val="00A91184"/>
    <w:rsid w:val="00AA10EC"/>
    <w:rsid w:val="00AA4C5B"/>
    <w:rsid w:val="00AA6E39"/>
    <w:rsid w:val="00AB2462"/>
    <w:rsid w:val="00AB24E6"/>
    <w:rsid w:val="00AB4CFC"/>
    <w:rsid w:val="00AB767B"/>
    <w:rsid w:val="00AC4BBD"/>
    <w:rsid w:val="00AC5796"/>
    <w:rsid w:val="00AC7586"/>
    <w:rsid w:val="00AD07D8"/>
    <w:rsid w:val="00AE1379"/>
    <w:rsid w:val="00AE28AD"/>
    <w:rsid w:val="00AE515D"/>
    <w:rsid w:val="00B01A74"/>
    <w:rsid w:val="00B01C49"/>
    <w:rsid w:val="00B0204A"/>
    <w:rsid w:val="00B02C1D"/>
    <w:rsid w:val="00B036F6"/>
    <w:rsid w:val="00B05CCE"/>
    <w:rsid w:val="00B20907"/>
    <w:rsid w:val="00B26C70"/>
    <w:rsid w:val="00B446DE"/>
    <w:rsid w:val="00B4536D"/>
    <w:rsid w:val="00B47191"/>
    <w:rsid w:val="00B47F04"/>
    <w:rsid w:val="00B51081"/>
    <w:rsid w:val="00B51278"/>
    <w:rsid w:val="00B521FF"/>
    <w:rsid w:val="00B56054"/>
    <w:rsid w:val="00B57368"/>
    <w:rsid w:val="00B65BDE"/>
    <w:rsid w:val="00B73F3C"/>
    <w:rsid w:val="00B74200"/>
    <w:rsid w:val="00B81EDB"/>
    <w:rsid w:val="00B8659A"/>
    <w:rsid w:val="00B90DD0"/>
    <w:rsid w:val="00B9327E"/>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762"/>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15DC"/>
    <w:rsid w:val="00C844CD"/>
    <w:rsid w:val="00C908A3"/>
    <w:rsid w:val="00C94938"/>
    <w:rsid w:val="00C95875"/>
    <w:rsid w:val="00C95DE7"/>
    <w:rsid w:val="00C96A27"/>
    <w:rsid w:val="00CA060E"/>
    <w:rsid w:val="00CA101A"/>
    <w:rsid w:val="00CA27EB"/>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0A04"/>
    <w:rsid w:val="00D10BC9"/>
    <w:rsid w:val="00D12A29"/>
    <w:rsid w:val="00D14148"/>
    <w:rsid w:val="00D147B8"/>
    <w:rsid w:val="00D15DCF"/>
    <w:rsid w:val="00D16DDB"/>
    <w:rsid w:val="00D17319"/>
    <w:rsid w:val="00D32F45"/>
    <w:rsid w:val="00D35770"/>
    <w:rsid w:val="00D37E0D"/>
    <w:rsid w:val="00D37FDA"/>
    <w:rsid w:val="00D4205B"/>
    <w:rsid w:val="00D43060"/>
    <w:rsid w:val="00D54A32"/>
    <w:rsid w:val="00D54A47"/>
    <w:rsid w:val="00D55D2D"/>
    <w:rsid w:val="00D56115"/>
    <w:rsid w:val="00D649AC"/>
    <w:rsid w:val="00D70CE4"/>
    <w:rsid w:val="00D70D25"/>
    <w:rsid w:val="00D73238"/>
    <w:rsid w:val="00D743E4"/>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D5BFC"/>
    <w:rsid w:val="00DD6706"/>
    <w:rsid w:val="00DD6845"/>
    <w:rsid w:val="00DD7788"/>
    <w:rsid w:val="00DE1AD7"/>
    <w:rsid w:val="00DE5F32"/>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14E5"/>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C24C8"/>
    <w:rsid w:val="00EC5FD2"/>
    <w:rsid w:val="00EC653B"/>
    <w:rsid w:val="00ED0869"/>
    <w:rsid w:val="00EE0196"/>
    <w:rsid w:val="00EE1B64"/>
    <w:rsid w:val="00EF1E8A"/>
    <w:rsid w:val="00EF3604"/>
    <w:rsid w:val="00EF3C72"/>
    <w:rsid w:val="00EF56FC"/>
    <w:rsid w:val="00F00C5E"/>
    <w:rsid w:val="00F00FD7"/>
    <w:rsid w:val="00F0168F"/>
    <w:rsid w:val="00F02931"/>
    <w:rsid w:val="00F06227"/>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3CCA"/>
    <w:rsid w:val="00F44DEA"/>
    <w:rsid w:val="00F4527A"/>
    <w:rsid w:val="00F45EC7"/>
    <w:rsid w:val="00F552FC"/>
    <w:rsid w:val="00F5640E"/>
    <w:rsid w:val="00F56A27"/>
    <w:rsid w:val="00F56D81"/>
    <w:rsid w:val="00F57CAA"/>
    <w:rsid w:val="00F612A7"/>
    <w:rsid w:val="00F64399"/>
    <w:rsid w:val="00F70867"/>
    <w:rsid w:val="00F70F93"/>
    <w:rsid w:val="00F714C4"/>
    <w:rsid w:val="00F71A83"/>
    <w:rsid w:val="00F75594"/>
    <w:rsid w:val="00F820A8"/>
    <w:rsid w:val="00F82708"/>
    <w:rsid w:val="00F83E0D"/>
    <w:rsid w:val="00F83FD3"/>
    <w:rsid w:val="00F8672F"/>
    <w:rsid w:val="00FA09D4"/>
    <w:rsid w:val="00FA4467"/>
    <w:rsid w:val="00FA46E1"/>
    <w:rsid w:val="00FA72F8"/>
    <w:rsid w:val="00FB440B"/>
    <w:rsid w:val="00FB5930"/>
    <w:rsid w:val="00FB61AE"/>
    <w:rsid w:val="00FC7C13"/>
    <w:rsid w:val="00FD05F2"/>
    <w:rsid w:val="00FD3695"/>
    <w:rsid w:val="00FD4186"/>
    <w:rsid w:val="00FD605F"/>
    <w:rsid w:val="00FE3142"/>
    <w:rsid w:val="00FE334F"/>
    <w:rsid w:val="00FE36AE"/>
    <w:rsid w:val="00FE3EBC"/>
    <w:rsid w:val="00FE5633"/>
    <w:rsid w:val="00FE6E7F"/>
    <w:rsid w:val="00FF0654"/>
    <w:rsid w:val="00FF10AE"/>
    <w:rsid w:val="00FF260D"/>
    <w:rsid w:val="00FF6162"/>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C843C9"/>
    <w:rsid w:val="063211C1"/>
    <w:rsid w:val="07543619"/>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8526DE"/>
    <w:rsid w:val="0E8A0B38"/>
    <w:rsid w:val="0FAA40BA"/>
    <w:rsid w:val="10772D1D"/>
    <w:rsid w:val="10780D82"/>
    <w:rsid w:val="10D52198"/>
    <w:rsid w:val="113605B2"/>
    <w:rsid w:val="113C19D0"/>
    <w:rsid w:val="11A46367"/>
    <w:rsid w:val="11A73FC2"/>
    <w:rsid w:val="120C7431"/>
    <w:rsid w:val="123D37EC"/>
    <w:rsid w:val="127B1065"/>
    <w:rsid w:val="12B65988"/>
    <w:rsid w:val="12F802BA"/>
    <w:rsid w:val="1308275A"/>
    <w:rsid w:val="135925DF"/>
    <w:rsid w:val="13851EEC"/>
    <w:rsid w:val="13B27C3E"/>
    <w:rsid w:val="13E253DB"/>
    <w:rsid w:val="141C2F08"/>
    <w:rsid w:val="15267F9C"/>
    <w:rsid w:val="153F65E8"/>
    <w:rsid w:val="15591C45"/>
    <w:rsid w:val="15761104"/>
    <w:rsid w:val="15864884"/>
    <w:rsid w:val="159B7FB3"/>
    <w:rsid w:val="15BD1DD2"/>
    <w:rsid w:val="160B3E63"/>
    <w:rsid w:val="1667328A"/>
    <w:rsid w:val="16EF655D"/>
    <w:rsid w:val="17F507D1"/>
    <w:rsid w:val="17F872D1"/>
    <w:rsid w:val="180010FF"/>
    <w:rsid w:val="188B1EE8"/>
    <w:rsid w:val="18FA7659"/>
    <w:rsid w:val="19117150"/>
    <w:rsid w:val="191C7CEB"/>
    <w:rsid w:val="1935292C"/>
    <w:rsid w:val="19442542"/>
    <w:rsid w:val="19806EAA"/>
    <w:rsid w:val="19AA7D6A"/>
    <w:rsid w:val="19C34448"/>
    <w:rsid w:val="1A290D6B"/>
    <w:rsid w:val="1A5943FB"/>
    <w:rsid w:val="1AC32709"/>
    <w:rsid w:val="1ACB042B"/>
    <w:rsid w:val="1ACB74F2"/>
    <w:rsid w:val="1AEC4D8D"/>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6373B7B"/>
    <w:rsid w:val="263F1C3A"/>
    <w:rsid w:val="2719221F"/>
    <w:rsid w:val="271E0072"/>
    <w:rsid w:val="275148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7A6B94"/>
    <w:rsid w:val="2CAD4518"/>
    <w:rsid w:val="2CD67175"/>
    <w:rsid w:val="2D417888"/>
    <w:rsid w:val="2D6362D3"/>
    <w:rsid w:val="2D937FF8"/>
    <w:rsid w:val="2E4F24A0"/>
    <w:rsid w:val="2F4F1DE1"/>
    <w:rsid w:val="2FB35F57"/>
    <w:rsid w:val="30EB3D78"/>
    <w:rsid w:val="30EE28D0"/>
    <w:rsid w:val="31405B68"/>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4D577C"/>
    <w:rsid w:val="366A5C4C"/>
    <w:rsid w:val="37826D6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370DC7"/>
    <w:rsid w:val="3F7457AF"/>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8C01F1D"/>
    <w:rsid w:val="49796E27"/>
    <w:rsid w:val="49C40DF6"/>
    <w:rsid w:val="4A2D0812"/>
    <w:rsid w:val="4A3A4933"/>
    <w:rsid w:val="4A6D24FF"/>
    <w:rsid w:val="4B1A5880"/>
    <w:rsid w:val="4B71793A"/>
    <w:rsid w:val="4B923520"/>
    <w:rsid w:val="4BE05207"/>
    <w:rsid w:val="4C083B05"/>
    <w:rsid w:val="4C8706B6"/>
    <w:rsid w:val="4CA95CA7"/>
    <w:rsid w:val="4CEB2F56"/>
    <w:rsid w:val="4CF16D8A"/>
    <w:rsid w:val="4D25409B"/>
    <w:rsid w:val="4D2729A1"/>
    <w:rsid w:val="4D8209F2"/>
    <w:rsid w:val="4D896328"/>
    <w:rsid w:val="4DD92CC9"/>
    <w:rsid w:val="4E3D58EC"/>
    <w:rsid w:val="4E570C2E"/>
    <w:rsid w:val="4E691682"/>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717E3"/>
    <w:rsid w:val="5451299D"/>
    <w:rsid w:val="546A6786"/>
    <w:rsid w:val="555722B0"/>
    <w:rsid w:val="559823B8"/>
    <w:rsid w:val="55AE23A0"/>
    <w:rsid w:val="55CE391A"/>
    <w:rsid w:val="55E90A4C"/>
    <w:rsid w:val="565C3D2E"/>
    <w:rsid w:val="56665AA9"/>
    <w:rsid w:val="56676289"/>
    <w:rsid w:val="56A32CC7"/>
    <w:rsid w:val="573864B2"/>
    <w:rsid w:val="579656BA"/>
    <w:rsid w:val="57BC22EE"/>
    <w:rsid w:val="58A84444"/>
    <w:rsid w:val="5A551D6A"/>
    <w:rsid w:val="5ADA4BD5"/>
    <w:rsid w:val="5B8F6B0D"/>
    <w:rsid w:val="5BA42C23"/>
    <w:rsid w:val="5D324280"/>
    <w:rsid w:val="5DA5352D"/>
    <w:rsid w:val="5E5A12C4"/>
    <w:rsid w:val="5E88036F"/>
    <w:rsid w:val="5EBA127A"/>
    <w:rsid w:val="5EC823E0"/>
    <w:rsid w:val="5F2D0585"/>
    <w:rsid w:val="5F7F62DB"/>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495E90"/>
    <w:rsid w:val="665B21E1"/>
    <w:rsid w:val="667D7C35"/>
    <w:rsid w:val="66B137E9"/>
    <w:rsid w:val="66B540ED"/>
    <w:rsid w:val="66D519C9"/>
    <w:rsid w:val="675B3DD3"/>
    <w:rsid w:val="67982614"/>
    <w:rsid w:val="67AF2518"/>
    <w:rsid w:val="67C245FA"/>
    <w:rsid w:val="67E858EB"/>
    <w:rsid w:val="68075FA1"/>
    <w:rsid w:val="681A4E23"/>
    <w:rsid w:val="69077E9F"/>
    <w:rsid w:val="690B1E5A"/>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826C53"/>
    <w:rsid w:val="79D46A44"/>
    <w:rsid w:val="79F838F2"/>
    <w:rsid w:val="7A17238D"/>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9"/>
    <w:qFormat/>
    <w:uiPriority w:val="9"/>
    <w:pPr>
      <w:keepNext/>
      <w:keepLines/>
      <w:spacing w:before="340" w:after="330" w:line="576" w:lineRule="auto"/>
      <w:outlineLvl w:val="0"/>
    </w:pPr>
    <w:rPr>
      <w:b/>
      <w:kern w:val="44"/>
      <w:sz w:val="44"/>
      <w:szCs w:val="20"/>
    </w:rPr>
  </w:style>
  <w:style w:type="paragraph" w:styleId="4">
    <w:name w:val="heading 2"/>
    <w:basedOn w:val="1"/>
    <w:next w:val="1"/>
    <w:link w:val="74"/>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sz w:val="32"/>
      <w:szCs w:val="20"/>
    </w:rPr>
  </w:style>
  <w:style w:type="paragraph" w:styleId="6">
    <w:name w:val="heading 4"/>
    <w:basedOn w:val="1"/>
    <w:next w:val="1"/>
    <w:link w:val="52"/>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57"/>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70"/>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40"/>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83"/>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42"/>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3">
    <w:name w:val="Default Paragraph Font"/>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63"/>
    <w:qFormat/>
    <w:uiPriority w:val="0"/>
    <w:pPr>
      <w:adjustRightInd w:val="0"/>
      <w:spacing w:after="120" w:line="360" w:lineRule="atLeast"/>
      <w:jc w:val="left"/>
      <w:textAlignment w:val="baseline"/>
    </w:pPr>
    <w:rPr>
      <w:kern w:val="0"/>
      <w:sz w:val="24"/>
      <w:szCs w:val="20"/>
    </w:rPr>
  </w:style>
  <w:style w:type="paragraph" w:styleId="12">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7"/>
    <w:qFormat/>
    <w:uiPriority w:val="0"/>
    <w:rPr>
      <w:rFonts w:ascii="宋体"/>
      <w:kern w:val="0"/>
      <w:sz w:val="18"/>
      <w:szCs w:val="18"/>
    </w:rPr>
  </w:style>
  <w:style w:type="paragraph" w:styleId="15">
    <w:name w:val="annotation text"/>
    <w:basedOn w:val="1"/>
    <w:link w:val="58"/>
    <w:qFormat/>
    <w:uiPriority w:val="0"/>
    <w:pPr>
      <w:jc w:val="left"/>
    </w:pPr>
  </w:style>
  <w:style w:type="paragraph" w:styleId="16">
    <w:name w:val="Body Text 3"/>
    <w:basedOn w:val="1"/>
    <w:link w:val="47"/>
    <w:qFormat/>
    <w:uiPriority w:val="0"/>
    <w:pPr>
      <w:spacing w:after="120"/>
    </w:pPr>
    <w:rPr>
      <w:sz w:val="16"/>
      <w:szCs w:val="20"/>
    </w:rPr>
  </w:style>
  <w:style w:type="paragraph" w:styleId="17">
    <w:name w:val="Body Text Indent"/>
    <w:basedOn w:val="1"/>
    <w:link w:val="72"/>
    <w:qFormat/>
    <w:uiPriority w:val="0"/>
    <w:pPr>
      <w:spacing w:line="360" w:lineRule="auto"/>
      <w:ind w:firstLine="480" w:firstLineChars="200"/>
    </w:pPr>
    <w:rPr>
      <w:rFonts w:ascii="宋体"/>
      <w:sz w:val="24"/>
      <w:szCs w:val="20"/>
    </w:rPr>
  </w:style>
  <w:style w:type="paragraph" w:styleId="18">
    <w:name w:val="toc 3"/>
    <w:basedOn w:val="1"/>
    <w:next w:val="1"/>
    <w:qFormat/>
    <w:uiPriority w:val="0"/>
    <w:pPr>
      <w:spacing w:line="360" w:lineRule="auto"/>
      <w:jc w:val="center"/>
    </w:pPr>
    <w:rPr>
      <w:rFonts w:ascii="宋体" w:hAnsi="宋体"/>
      <w:iCs/>
      <w:sz w:val="32"/>
      <w:szCs w:val="24"/>
    </w:rPr>
  </w:style>
  <w:style w:type="paragraph" w:styleId="19">
    <w:name w:val="Plain Text"/>
    <w:basedOn w:val="1"/>
    <w:link w:val="53"/>
    <w:qFormat/>
    <w:uiPriority w:val="99"/>
    <w:pPr>
      <w:adjustRightInd w:val="0"/>
      <w:spacing w:line="360" w:lineRule="atLeast"/>
      <w:jc w:val="left"/>
      <w:textAlignment w:val="baseline"/>
    </w:pPr>
    <w:rPr>
      <w:rFonts w:ascii="宋体" w:hAnsi="Courier New"/>
      <w:kern w:val="0"/>
      <w:szCs w:val="21"/>
    </w:rPr>
  </w:style>
  <w:style w:type="paragraph" w:styleId="20">
    <w:name w:val="Date"/>
    <w:basedOn w:val="1"/>
    <w:next w:val="1"/>
    <w:link w:val="60"/>
    <w:qFormat/>
    <w:uiPriority w:val="0"/>
    <w:rPr>
      <w:sz w:val="24"/>
      <w:szCs w:val="20"/>
    </w:rPr>
  </w:style>
  <w:style w:type="paragraph" w:styleId="21">
    <w:name w:val="Body Text Indent 2"/>
    <w:basedOn w:val="1"/>
    <w:link w:val="85"/>
    <w:qFormat/>
    <w:uiPriority w:val="0"/>
    <w:pPr>
      <w:spacing w:after="120" w:line="480" w:lineRule="auto"/>
      <w:ind w:left="420" w:leftChars="200"/>
    </w:pPr>
    <w:rPr>
      <w:szCs w:val="20"/>
    </w:rPr>
  </w:style>
  <w:style w:type="paragraph" w:styleId="22">
    <w:name w:val="Balloon Text"/>
    <w:basedOn w:val="1"/>
    <w:link w:val="48"/>
    <w:qFormat/>
    <w:uiPriority w:val="0"/>
    <w:rPr>
      <w:kern w:val="0"/>
      <w:sz w:val="18"/>
      <w:szCs w:val="18"/>
    </w:rPr>
  </w:style>
  <w:style w:type="paragraph" w:styleId="23">
    <w:name w:val="footer"/>
    <w:basedOn w:val="1"/>
    <w:link w:val="84"/>
    <w:qFormat/>
    <w:uiPriority w:val="0"/>
    <w:pPr>
      <w:tabs>
        <w:tab w:val="center" w:pos="4153"/>
        <w:tab w:val="right" w:pos="8306"/>
      </w:tabs>
      <w:snapToGrid w:val="0"/>
      <w:jc w:val="left"/>
    </w:pPr>
    <w:rPr>
      <w:kern w:val="0"/>
      <w:sz w:val="18"/>
      <w:szCs w:val="18"/>
    </w:rPr>
  </w:style>
  <w:style w:type="paragraph" w:styleId="24">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List"/>
    <w:basedOn w:val="1"/>
    <w:qFormat/>
    <w:uiPriority w:val="0"/>
    <w:pPr>
      <w:ind w:left="420" w:hanging="420"/>
    </w:pPr>
    <w:rPr>
      <w:rFonts w:eastAsia="楷体_GB2312"/>
      <w:sz w:val="32"/>
      <w:szCs w:val="20"/>
    </w:rPr>
  </w:style>
  <w:style w:type="paragraph" w:styleId="26">
    <w:name w:val="Body Text Indent 3"/>
    <w:basedOn w:val="1"/>
    <w:link w:val="44"/>
    <w:qFormat/>
    <w:uiPriority w:val="0"/>
    <w:pPr>
      <w:adjustRightInd w:val="0"/>
      <w:spacing w:after="120" w:line="360" w:lineRule="atLeast"/>
      <w:ind w:left="420" w:leftChars="200"/>
      <w:jc w:val="left"/>
      <w:textAlignment w:val="baseline"/>
    </w:pPr>
    <w:rPr>
      <w:kern w:val="0"/>
      <w:sz w:val="16"/>
      <w:szCs w:val="16"/>
    </w:rPr>
  </w:style>
  <w:style w:type="paragraph" w:styleId="27">
    <w:name w:val="Body Text 2"/>
    <w:basedOn w:val="1"/>
    <w:link w:val="41"/>
    <w:qFormat/>
    <w:uiPriority w:val="0"/>
    <w:pPr>
      <w:adjustRightInd w:val="0"/>
      <w:spacing w:after="120" w:line="480" w:lineRule="auto"/>
      <w:jc w:val="left"/>
      <w:textAlignment w:val="baseline"/>
    </w:pPr>
    <w:rPr>
      <w:kern w:val="0"/>
      <w:sz w:val="24"/>
      <w:szCs w:val="20"/>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5"/>
    <w:next w:val="15"/>
    <w:link w:val="55"/>
    <w:qFormat/>
    <w:uiPriority w:val="0"/>
    <w:rPr>
      <w:b/>
      <w:bCs/>
    </w:rPr>
  </w:style>
  <w:style w:type="paragraph" w:styleId="30">
    <w:name w:val="Body Text First Indent"/>
    <w:basedOn w:val="2"/>
    <w:link w:val="51"/>
    <w:qFormat/>
    <w:uiPriority w:val="0"/>
    <w:pPr>
      <w:ind w:firstLine="420" w:firstLineChars="100"/>
    </w:pPr>
  </w:style>
  <w:style w:type="table" w:styleId="32">
    <w:name w:val="Table Grid"/>
    <w:basedOn w:val="3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444444"/>
      <w:u w:val="none"/>
    </w:rPr>
  </w:style>
  <w:style w:type="character" w:styleId="37">
    <w:name w:val="Emphasis"/>
    <w:qFormat/>
    <w:uiPriority w:val="0"/>
  </w:style>
  <w:style w:type="character" w:styleId="38">
    <w:name w:val="Hyperlink"/>
    <w:qFormat/>
    <w:uiPriority w:val="0"/>
    <w:rPr>
      <w:color w:val="444444"/>
      <w:u w:val="none"/>
    </w:rPr>
  </w:style>
  <w:style w:type="character" w:styleId="39">
    <w:name w:val="annotation reference"/>
    <w:qFormat/>
    <w:uiPriority w:val="0"/>
    <w:rPr>
      <w:sz w:val="21"/>
      <w:szCs w:val="21"/>
    </w:rPr>
  </w:style>
  <w:style w:type="character" w:customStyle="1" w:styleId="40">
    <w:name w:val="标题 7 Char"/>
    <w:link w:val="9"/>
    <w:qFormat/>
    <w:uiPriority w:val="0"/>
    <w:rPr>
      <w:rFonts w:ascii="Times New Roman" w:hAnsi="Times New Roman"/>
      <w:b/>
      <w:bCs/>
      <w:sz w:val="24"/>
      <w:szCs w:val="24"/>
    </w:rPr>
  </w:style>
  <w:style w:type="character" w:customStyle="1" w:styleId="41">
    <w:name w:val="正文文本 2 Char"/>
    <w:link w:val="27"/>
    <w:qFormat/>
    <w:uiPriority w:val="0"/>
    <w:rPr>
      <w:rFonts w:ascii="Times New Roman" w:hAnsi="Times New Roman"/>
      <w:sz w:val="24"/>
    </w:rPr>
  </w:style>
  <w:style w:type="character" w:customStyle="1" w:styleId="42">
    <w:name w:val="标题 9 Char"/>
    <w:link w:val="11"/>
    <w:qFormat/>
    <w:uiPriority w:val="0"/>
    <w:rPr>
      <w:rFonts w:ascii="Arial" w:hAnsi="Arial" w:eastAsia="黑体"/>
      <w:sz w:val="21"/>
      <w:szCs w:val="21"/>
    </w:rPr>
  </w:style>
  <w:style w:type="character" w:customStyle="1" w:styleId="43">
    <w:name w:val="red1"/>
    <w:qFormat/>
    <w:uiPriority w:val="0"/>
    <w:rPr>
      <w:color w:val="FF0000"/>
      <w:sz w:val="18"/>
      <w:szCs w:val="18"/>
    </w:rPr>
  </w:style>
  <w:style w:type="character" w:customStyle="1" w:styleId="44">
    <w:name w:val="正文文本缩进 3 Char"/>
    <w:link w:val="26"/>
    <w:qFormat/>
    <w:uiPriority w:val="0"/>
    <w:rPr>
      <w:rFonts w:ascii="Times New Roman" w:hAnsi="Times New Roman"/>
      <w:sz w:val="16"/>
      <w:szCs w:val="16"/>
    </w:rPr>
  </w:style>
  <w:style w:type="character" w:customStyle="1" w:styleId="45">
    <w:name w:val="hover25"/>
    <w:basedOn w:val="33"/>
    <w:qFormat/>
    <w:uiPriority w:val="0"/>
  </w:style>
  <w:style w:type="character" w:customStyle="1" w:styleId="46">
    <w:name w:val="页码1"/>
    <w:basedOn w:val="33"/>
    <w:qFormat/>
    <w:uiPriority w:val="0"/>
  </w:style>
  <w:style w:type="character" w:customStyle="1" w:styleId="47">
    <w:name w:val="正文文本 3 Char"/>
    <w:link w:val="16"/>
    <w:qFormat/>
    <w:uiPriority w:val="0"/>
    <w:rPr>
      <w:rFonts w:ascii="Times New Roman" w:hAnsi="Times New Roman"/>
      <w:kern w:val="2"/>
      <w:sz w:val="16"/>
    </w:rPr>
  </w:style>
  <w:style w:type="character" w:customStyle="1" w:styleId="48">
    <w:name w:val="批注框文本 Char"/>
    <w:link w:val="22"/>
    <w:qFormat/>
    <w:uiPriority w:val="0"/>
    <w:rPr>
      <w:sz w:val="18"/>
      <w:szCs w:val="18"/>
    </w:rPr>
  </w:style>
  <w:style w:type="character" w:customStyle="1" w:styleId="49">
    <w:name w:val="green1"/>
    <w:qFormat/>
    <w:uiPriority w:val="0"/>
    <w:rPr>
      <w:color w:val="66AE00"/>
      <w:sz w:val="18"/>
      <w:szCs w:val="18"/>
    </w:rPr>
  </w:style>
  <w:style w:type="character" w:customStyle="1" w:styleId="50">
    <w:name w:val="right"/>
    <w:qFormat/>
    <w:uiPriority w:val="0"/>
    <w:rPr>
      <w:color w:val="999999"/>
      <w:sz w:val="18"/>
      <w:szCs w:val="18"/>
    </w:rPr>
  </w:style>
  <w:style w:type="character" w:customStyle="1" w:styleId="51">
    <w:name w:val="正文首行缩进 Char"/>
    <w:link w:val="30"/>
    <w:qFormat/>
    <w:uiPriority w:val="0"/>
    <w:rPr>
      <w:sz w:val="24"/>
    </w:rPr>
  </w:style>
  <w:style w:type="character" w:customStyle="1" w:styleId="52">
    <w:name w:val="标题 4 Char"/>
    <w:link w:val="6"/>
    <w:qFormat/>
    <w:uiPriority w:val="0"/>
    <w:rPr>
      <w:rFonts w:ascii="Arial" w:hAnsi="Arial" w:eastAsia="黑体"/>
      <w:b/>
      <w:bCs/>
      <w:sz w:val="28"/>
      <w:szCs w:val="28"/>
    </w:rPr>
  </w:style>
  <w:style w:type="character" w:customStyle="1" w:styleId="53">
    <w:name w:val="纯文本 Char"/>
    <w:link w:val="19"/>
    <w:qFormat/>
    <w:uiPriority w:val="99"/>
    <w:rPr>
      <w:rFonts w:ascii="宋体" w:hAnsi="Courier New" w:cs="Courier New"/>
      <w:sz w:val="21"/>
      <w:szCs w:val="21"/>
    </w:rPr>
  </w:style>
  <w:style w:type="character" w:customStyle="1" w:styleId="54">
    <w:name w:val="green"/>
    <w:qFormat/>
    <w:uiPriority w:val="0"/>
    <w:rPr>
      <w:color w:val="66AE00"/>
      <w:sz w:val="18"/>
      <w:szCs w:val="18"/>
    </w:rPr>
  </w:style>
  <w:style w:type="character" w:customStyle="1" w:styleId="55">
    <w:name w:val="批注主题 Char"/>
    <w:link w:val="29"/>
    <w:qFormat/>
    <w:uiPriority w:val="0"/>
    <w:rPr>
      <w:b/>
      <w:bCs/>
      <w:kern w:val="2"/>
      <w:sz w:val="21"/>
      <w:szCs w:val="22"/>
    </w:rPr>
  </w:style>
  <w:style w:type="character" w:customStyle="1" w:styleId="56">
    <w:name w:val="标题 3 Char"/>
    <w:link w:val="5"/>
    <w:qFormat/>
    <w:uiPriority w:val="0"/>
    <w:rPr>
      <w:rFonts w:ascii="Times New Roman" w:hAnsi="Times New Roman"/>
      <w:b/>
      <w:kern w:val="2"/>
      <w:sz w:val="32"/>
    </w:rPr>
  </w:style>
  <w:style w:type="character" w:customStyle="1" w:styleId="57">
    <w:name w:val="标题 5 Char"/>
    <w:link w:val="7"/>
    <w:qFormat/>
    <w:uiPriority w:val="0"/>
    <w:rPr>
      <w:rFonts w:ascii="Times New Roman" w:hAnsi="Times New Roman"/>
      <w:b/>
      <w:bCs/>
      <w:sz w:val="28"/>
      <w:szCs w:val="28"/>
    </w:rPr>
  </w:style>
  <w:style w:type="character" w:customStyle="1" w:styleId="58">
    <w:name w:val="批注文字 Char"/>
    <w:link w:val="15"/>
    <w:qFormat/>
    <w:uiPriority w:val="0"/>
    <w:rPr>
      <w:kern w:val="2"/>
      <w:sz w:val="21"/>
      <w:szCs w:val="22"/>
    </w:rPr>
  </w:style>
  <w:style w:type="character" w:customStyle="1" w:styleId="59">
    <w:name w:val="标题 1 Char"/>
    <w:link w:val="3"/>
    <w:qFormat/>
    <w:uiPriority w:val="9"/>
    <w:rPr>
      <w:rFonts w:ascii="Times New Roman" w:hAnsi="Times New Roman"/>
      <w:b/>
      <w:kern w:val="44"/>
      <w:sz w:val="44"/>
    </w:rPr>
  </w:style>
  <w:style w:type="character" w:customStyle="1" w:styleId="60">
    <w:name w:val="日期 Char"/>
    <w:link w:val="20"/>
    <w:qFormat/>
    <w:uiPriority w:val="0"/>
    <w:rPr>
      <w:rFonts w:ascii="Times New Roman" w:hAnsi="Times New Roman"/>
      <w:kern w:val="2"/>
      <w:sz w:val="24"/>
    </w:rPr>
  </w:style>
  <w:style w:type="character" w:customStyle="1" w:styleId="61">
    <w:name w:val="lw_collapsiblearea_title1"/>
    <w:qFormat/>
    <w:uiPriority w:val="0"/>
    <w:rPr>
      <w:rFonts w:hint="default" w:ascii="Segoe UI" w:hAnsi="Segoe UI" w:cs="Segoe UI"/>
      <w:b/>
      <w:bCs/>
      <w:color w:val="3F529C"/>
      <w:sz w:val="37"/>
      <w:szCs w:val="37"/>
    </w:rPr>
  </w:style>
  <w:style w:type="character" w:customStyle="1" w:styleId="62">
    <w:name w:val="red2"/>
    <w:qFormat/>
    <w:uiPriority w:val="0"/>
    <w:rPr>
      <w:color w:val="FF0000"/>
      <w:sz w:val="18"/>
      <w:szCs w:val="18"/>
    </w:rPr>
  </w:style>
  <w:style w:type="character" w:customStyle="1" w:styleId="63">
    <w:name w:val="正文文本 Char"/>
    <w:link w:val="2"/>
    <w:qFormat/>
    <w:uiPriority w:val="0"/>
    <w:rPr>
      <w:rFonts w:ascii="Times New Roman" w:hAnsi="Times New Roman"/>
      <w:sz w:val="24"/>
    </w:rPr>
  </w:style>
  <w:style w:type="character" w:customStyle="1" w:styleId="64">
    <w:name w:val="parameter"/>
    <w:basedOn w:val="33"/>
    <w:qFormat/>
    <w:uiPriority w:val="0"/>
  </w:style>
  <w:style w:type="character" w:customStyle="1" w:styleId="65">
    <w:name w:val="input"/>
    <w:qFormat/>
    <w:uiPriority w:val="0"/>
    <w:rPr>
      <w:b/>
      <w:bCs/>
    </w:rPr>
  </w:style>
  <w:style w:type="character" w:customStyle="1" w:styleId="66">
    <w:name w:val="label"/>
    <w:qFormat/>
    <w:uiPriority w:val="0"/>
    <w:rPr>
      <w:b/>
      <w:bCs/>
    </w:rPr>
  </w:style>
  <w:style w:type="character" w:customStyle="1" w:styleId="67">
    <w:name w:val="文档结构图 Char"/>
    <w:link w:val="14"/>
    <w:qFormat/>
    <w:uiPriority w:val="0"/>
    <w:rPr>
      <w:rFonts w:ascii="宋体" w:eastAsia="宋体"/>
      <w:sz w:val="18"/>
      <w:szCs w:val="18"/>
    </w:rPr>
  </w:style>
  <w:style w:type="character" w:customStyle="1" w:styleId="68">
    <w:name w:val="form-textarea-print1"/>
    <w:qFormat/>
    <w:uiPriority w:val="0"/>
    <w:rPr>
      <w:sz w:val="18"/>
      <w:szCs w:val="18"/>
    </w:rPr>
  </w:style>
  <w:style w:type="character" w:customStyle="1" w:styleId="69">
    <w:name w:val="red"/>
    <w:qFormat/>
    <w:uiPriority w:val="0"/>
    <w:rPr>
      <w:color w:val="FF0000"/>
    </w:rPr>
  </w:style>
  <w:style w:type="character" w:customStyle="1" w:styleId="70">
    <w:name w:val="标题 6 Char"/>
    <w:link w:val="8"/>
    <w:qFormat/>
    <w:uiPriority w:val="0"/>
    <w:rPr>
      <w:rFonts w:ascii="Arial" w:hAnsi="Arial" w:eastAsia="黑体"/>
      <w:b/>
      <w:bCs/>
      <w:sz w:val="24"/>
      <w:szCs w:val="24"/>
    </w:rPr>
  </w:style>
  <w:style w:type="character" w:customStyle="1" w:styleId="71">
    <w:name w:val="页眉 Char"/>
    <w:link w:val="24"/>
    <w:qFormat/>
    <w:uiPriority w:val="0"/>
    <w:rPr>
      <w:sz w:val="18"/>
      <w:szCs w:val="18"/>
    </w:rPr>
  </w:style>
  <w:style w:type="character" w:customStyle="1" w:styleId="72">
    <w:name w:val="正文文本缩进 Char"/>
    <w:link w:val="17"/>
    <w:qFormat/>
    <w:uiPriority w:val="0"/>
    <w:rPr>
      <w:rFonts w:ascii="宋体" w:hAnsi="Times New Roman"/>
      <w:kern w:val="2"/>
      <w:sz w:val="24"/>
    </w:rPr>
  </w:style>
  <w:style w:type="character" w:customStyle="1" w:styleId="73">
    <w:name w:val="tgtsentence"/>
    <w:basedOn w:val="33"/>
    <w:qFormat/>
    <w:uiPriority w:val="0"/>
  </w:style>
  <w:style w:type="character" w:customStyle="1" w:styleId="74">
    <w:name w:val="标题 2 Char"/>
    <w:link w:val="4"/>
    <w:qFormat/>
    <w:uiPriority w:val="9"/>
    <w:rPr>
      <w:rFonts w:ascii="Arial" w:hAnsi="Arial" w:eastAsia="黑体"/>
      <w:b/>
      <w:bCs/>
      <w:sz w:val="32"/>
      <w:szCs w:val="32"/>
    </w:rPr>
  </w:style>
  <w:style w:type="character" w:customStyle="1" w:styleId="75">
    <w:name w:val="font81"/>
    <w:basedOn w:val="33"/>
    <w:qFormat/>
    <w:uiPriority w:val="0"/>
    <w:rPr>
      <w:rFonts w:hint="eastAsia" w:ascii="宋体" w:hAnsi="宋体" w:eastAsia="宋体" w:cs="宋体"/>
      <w:color w:val="000000"/>
      <w:sz w:val="18"/>
      <w:szCs w:val="18"/>
      <w:u w:val="none"/>
    </w:rPr>
  </w:style>
  <w:style w:type="character" w:customStyle="1" w:styleId="76">
    <w:name w:val="列出段落 Char"/>
    <w:link w:val="77"/>
    <w:qFormat/>
    <w:uiPriority w:val="0"/>
    <w:rPr>
      <w:bCs/>
      <w:kern w:val="2"/>
      <w:sz w:val="21"/>
    </w:rPr>
  </w:style>
  <w:style w:type="paragraph" w:customStyle="1" w:styleId="77">
    <w:name w:val="列出段落1"/>
    <w:basedOn w:val="1"/>
    <w:link w:val="76"/>
    <w:qFormat/>
    <w:uiPriority w:val="0"/>
    <w:pPr>
      <w:ind w:firstLine="420" w:firstLineChars="200"/>
    </w:pPr>
    <w:rPr>
      <w:bCs/>
      <w:szCs w:val="20"/>
    </w:rPr>
  </w:style>
  <w:style w:type="character" w:customStyle="1" w:styleId="78">
    <w:name w:val="gb-jt"/>
    <w:basedOn w:val="33"/>
    <w:qFormat/>
    <w:uiPriority w:val="0"/>
  </w:style>
  <w:style w:type="character" w:customStyle="1" w:styleId="79">
    <w:name w:val="blue"/>
    <w:qFormat/>
    <w:uiPriority w:val="0"/>
    <w:rPr>
      <w:color w:val="0371C6"/>
      <w:sz w:val="21"/>
      <w:szCs w:val="21"/>
    </w:rPr>
  </w:style>
  <w:style w:type="character" w:customStyle="1" w:styleId="80">
    <w:name w:val="hover"/>
    <w:basedOn w:val="33"/>
    <w:qFormat/>
    <w:uiPriority w:val="0"/>
  </w:style>
  <w:style w:type="character" w:customStyle="1" w:styleId="81">
    <w:name w:val="font11"/>
    <w:basedOn w:val="33"/>
    <w:qFormat/>
    <w:uiPriority w:val="0"/>
    <w:rPr>
      <w:rFonts w:hint="eastAsia" w:ascii="宋体" w:hAnsi="宋体" w:eastAsia="宋体" w:cs="宋体"/>
      <w:color w:val="000000"/>
      <w:sz w:val="21"/>
      <w:szCs w:val="21"/>
      <w:u w:val="none"/>
    </w:rPr>
  </w:style>
  <w:style w:type="character" w:customStyle="1" w:styleId="82">
    <w:name w:val="font91"/>
    <w:basedOn w:val="33"/>
    <w:qFormat/>
    <w:uiPriority w:val="0"/>
    <w:rPr>
      <w:rFonts w:hint="eastAsia" w:ascii="宋体" w:hAnsi="宋体" w:eastAsia="宋体" w:cs="宋体"/>
      <w:color w:val="000000"/>
      <w:sz w:val="18"/>
      <w:szCs w:val="18"/>
      <w:u w:val="none"/>
      <w:vertAlign w:val="superscript"/>
    </w:rPr>
  </w:style>
  <w:style w:type="character" w:customStyle="1" w:styleId="83">
    <w:name w:val="标题 8 Char"/>
    <w:link w:val="10"/>
    <w:qFormat/>
    <w:uiPriority w:val="0"/>
    <w:rPr>
      <w:rFonts w:ascii="Arial" w:hAnsi="Arial" w:eastAsia="黑体"/>
      <w:sz w:val="24"/>
      <w:szCs w:val="24"/>
    </w:rPr>
  </w:style>
  <w:style w:type="character" w:customStyle="1" w:styleId="84">
    <w:name w:val="页脚 Char"/>
    <w:link w:val="23"/>
    <w:qFormat/>
    <w:uiPriority w:val="0"/>
    <w:rPr>
      <w:sz w:val="18"/>
      <w:szCs w:val="18"/>
    </w:rPr>
  </w:style>
  <w:style w:type="character" w:customStyle="1" w:styleId="85">
    <w:name w:val="正文文本缩进 2 Char"/>
    <w:link w:val="21"/>
    <w:qFormat/>
    <w:uiPriority w:val="0"/>
    <w:rPr>
      <w:rFonts w:ascii="Times New Roman" w:hAnsi="Times New Roman"/>
      <w:kern w:val="2"/>
      <w:sz w:val="21"/>
    </w:rPr>
  </w:style>
  <w:style w:type="character" w:customStyle="1" w:styleId="86">
    <w:name w:val="Char Char8"/>
    <w:qFormat/>
    <w:uiPriority w:val="0"/>
    <w:rPr>
      <w:rFonts w:ascii="Arial" w:hAnsi="Arial" w:eastAsia="黑体"/>
      <w:b/>
      <w:bCs/>
      <w:kern w:val="2"/>
      <w:sz w:val="32"/>
      <w:szCs w:val="32"/>
      <w:lang w:val="en-US" w:eastAsia="zh-CN" w:bidi="ar-SA"/>
    </w:rPr>
  </w:style>
  <w:style w:type="character" w:customStyle="1" w:styleId="87">
    <w:name w:val="font01"/>
    <w:basedOn w:val="33"/>
    <w:qFormat/>
    <w:uiPriority w:val="0"/>
    <w:rPr>
      <w:rFonts w:hint="eastAsia" w:ascii="宋体" w:hAnsi="宋体" w:eastAsia="宋体" w:cs="宋体"/>
      <w:color w:val="000000"/>
      <w:sz w:val="21"/>
      <w:szCs w:val="21"/>
      <w:u w:val="none"/>
      <w:vertAlign w:val="superscript"/>
    </w:rPr>
  </w:style>
  <w:style w:type="character" w:customStyle="1" w:styleId="88">
    <w:name w:val="code"/>
    <w:basedOn w:val="33"/>
    <w:qFormat/>
    <w:uiPriority w:val="0"/>
  </w:style>
  <w:style w:type="paragraph" w:customStyle="1" w:styleId="89">
    <w:name w:val="样式 标题 2 + 宋体 五号 非加粗 黑色"/>
    <w:basedOn w:val="4"/>
    <w:qFormat/>
    <w:uiPriority w:val="0"/>
    <w:rPr>
      <w:rFonts w:ascii="宋体" w:hAnsi="宋体" w:eastAsia="宋体"/>
      <w:b w:val="0"/>
      <w:bCs w:val="0"/>
      <w:color w:val="000000"/>
      <w:sz w:val="21"/>
    </w:rPr>
  </w:style>
  <w:style w:type="paragraph" w:customStyle="1" w:styleId="90">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1">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2">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3">
    <w:name w:val="Char Char Char Char"/>
    <w:basedOn w:val="1"/>
    <w:qFormat/>
    <w:uiPriority w:val="0"/>
    <w:rPr>
      <w:rFonts w:ascii="Tahoma" w:hAnsi="Tahoma"/>
      <w:sz w:val="24"/>
      <w:szCs w:val="20"/>
    </w:rPr>
  </w:style>
  <w:style w:type="paragraph" w:customStyle="1" w:styleId="94">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5">
    <w:name w:val="Char1 Char Char Char Char Char Char Char"/>
    <w:basedOn w:val="1"/>
    <w:qFormat/>
    <w:uiPriority w:val="0"/>
    <w:rPr>
      <w:rFonts w:ascii="Tahoma" w:hAnsi="Tahoma"/>
      <w:sz w:val="24"/>
      <w:szCs w:val="30"/>
    </w:rPr>
  </w:style>
  <w:style w:type="paragraph" w:customStyle="1" w:styleId="96">
    <w:name w:val="PMstyle"/>
    <w:qFormat/>
    <w:uiPriority w:val="0"/>
    <w:rPr>
      <w:rFonts w:ascii="Tahoma" w:hAnsi="Tahoma" w:eastAsia="宋体" w:cs="Times New Roman"/>
      <w:sz w:val="22"/>
      <w:lang w:val="en-US" w:eastAsia="zh-CN" w:bidi="ar-SA"/>
    </w:rPr>
  </w:style>
  <w:style w:type="paragraph" w:customStyle="1" w:styleId="97">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8">
    <w:name w:val="p18"/>
    <w:basedOn w:val="1"/>
    <w:qFormat/>
    <w:uiPriority w:val="0"/>
    <w:pPr>
      <w:widowControl/>
      <w:spacing w:line="440" w:lineRule="atLeast"/>
    </w:pPr>
    <w:rPr>
      <w:rFonts w:ascii="宋体" w:hAnsi="宋体" w:cs="宋体"/>
      <w:kern w:val="0"/>
      <w:sz w:val="24"/>
      <w:szCs w:val="24"/>
    </w:rPr>
  </w:style>
  <w:style w:type="paragraph" w:customStyle="1" w:styleId="99">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0">
    <w:name w:val="Char Char1 Char Char Char Char Char Char"/>
    <w:basedOn w:val="1"/>
    <w:qFormat/>
    <w:uiPriority w:val="0"/>
    <w:pPr>
      <w:widowControl/>
      <w:spacing w:after="160" w:line="240" w:lineRule="exact"/>
      <w:jc w:val="left"/>
    </w:pPr>
    <w:rPr>
      <w:szCs w:val="20"/>
    </w:rPr>
  </w:style>
  <w:style w:type="paragraph" w:customStyle="1" w:styleId="101">
    <w:name w:val="Char Char1 Char Char Char Char Char Char1"/>
    <w:basedOn w:val="1"/>
    <w:qFormat/>
    <w:uiPriority w:val="0"/>
    <w:pPr>
      <w:widowControl/>
      <w:spacing w:after="160" w:line="240" w:lineRule="exact"/>
      <w:jc w:val="left"/>
    </w:pPr>
  </w:style>
  <w:style w:type="paragraph" w:customStyle="1" w:styleId="102">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3">
    <w:name w:val="标书正文文本"/>
    <w:basedOn w:val="1"/>
    <w:qFormat/>
    <w:uiPriority w:val="0"/>
    <w:pPr>
      <w:spacing w:line="360" w:lineRule="auto"/>
      <w:ind w:firstLine="420"/>
    </w:pPr>
    <w:rPr>
      <w:rFonts w:eastAsia="楷体_GB2312" w:cs="宋体"/>
      <w:bCs/>
      <w:sz w:val="28"/>
      <w:szCs w:val="20"/>
    </w:rPr>
  </w:style>
  <w:style w:type="paragraph" w:customStyle="1" w:styleId="104">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5">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6">
    <w:name w:val="p0"/>
    <w:basedOn w:val="1"/>
    <w:qFormat/>
    <w:uiPriority w:val="0"/>
    <w:pPr>
      <w:widowControl/>
    </w:pPr>
    <w:rPr>
      <w:kern w:val="0"/>
      <w:szCs w:val="21"/>
    </w:rPr>
  </w:style>
  <w:style w:type="paragraph" w:customStyle="1" w:styleId="107">
    <w:name w:val="p16"/>
    <w:basedOn w:val="1"/>
    <w:qFormat/>
    <w:uiPriority w:val="0"/>
    <w:pPr>
      <w:widowControl/>
      <w:spacing w:after="120"/>
      <w:ind w:firstLine="210"/>
      <w:jc w:val="left"/>
    </w:pPr>
    <w:rPr>
      <w:kern w:val="0"/>
      <w:sz w:val="20"/>
      <w:szCs w:val="20"/>
    </w:rPr>
  </w:style>
  <w:style w:type="paragraph" w:customStyle="1" w:styleId="108">
    <w:name w:val="p21"/>
    <w:basedOn w:val="1"/>
    <w:qFormat/>
    <w:uiPriority w:val="0"/>
    <w:pPr>
      <w:widowControl/>
      <w:spacing w:after="120"/>
    </w:pPr>
    <w:rPr>
      <w:kern w:val="0"/>
      <w:szCs w:val="21"/>
    </w:rPr>
  </w:style>
  <w:style w:type="paragraph" w:customStyle="1" w:styleId="109">
    <w:name w:val="样式 标题 1 + 四号 居中 段前: 12 磅 段后: 12 磅 行距: 单倍行距"/>
    <w:basedOn w:val="3"/>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0">
    <w:name w:val="样式 样式 标题 2 + 宋体 五号 非加粗 黑色 + 段前: 6 磅 段后: 0 磅 行距: 单倍行距"/>
    <w:basedOn w:val="89"/>
    <w:qFormat/>
    <w:uiPriority w:val="0"/>
  </w:style>
  <w:style w:type="paragraph" w:customStyle="1" w:styleId="111">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2">
    <w:name w:val="p19"/>
    <w:basedOn w:val="1"/>
    <w:qFormat/>
    <w:uiPriority w:val="0"/>
    <w:pPr>
      <w:widowControl/>
    </w:pPr>
    <w:rPr>
      <w:rFonts w:ascii="宋体" w:hAnsi="宋体" w:cs="宋体"/>
      <w:kern w:val="0"/>
      <w:szCs w:val="21"/>
    </w:rPr>
  </w:style>
  <w:style w:type="paragraph" w:customStyle="1" w:styleId="113">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4">
    <w:name w:val="Char1"/>
    <w:basedOn w:val="1"/>
    <w:qFormat/>
    <w:uiPriority w:val="0"/>
    <w:pPr>
      <w:adjustRightInd w:val="0"/>
      <w:spacing w:line="600" w:lineRule="exact"/>
      <w:ind w:firstLine="560" w:firstLineChars="200"/>
      <w:jc w:val="center"/>
    </w:pPr>
    <w:rPr>
      <w:szCs w:val="24"/>
    </w:rPr>
  </w:style>
  <w:style w:type="paragraph" w:customStyle="1" w:styleId="115">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6">
    <w:name w:val="font21"/>
    <w:basedOn w:val="33"/>
    <w:qFormat/>
    <w:uiPriority w:val="0"/>
    <w:rPr>
      <w:rFonts w:hint="eastAsia" w:ascii="宋体" w:hAnsi="宋体" w:eastAsia="宋体" w:cs="宋体"/>
      <w:color w:val="000000"/>
      <w:sz w:val="22"/>
      <w:szCs w:val="22"/>
      <w:u w:val="none"/>
    </w:rPr>
  </w:style>
  <w:style w:type="character" w:customStyle="1" w:styleId="117">
    <w:name w:val="font31"/>
    <w:basedOn w:val="33"/>
    <w:qFormat/>
    <w:uiPriority w:val="0"/>
    <w:rPr>
      <w:rFonts w:hint="eastAsia" w:ascii="宋体" w:hAnsi="宋体" w:eastAsia="宋体" w:cs="宋体"/>
      <w:color w:val="000000"/>
      <w:sz w:val="22"/>
      <w:szCs w:val="22"/>
      <w:u w:val="none"/>
    </w:rPr>
  </w:style>
  <w:style w:type="character" w:customStyle="1" w:styleId="118">
    <w:name w:val="red3"/>
    <w:basedOn w:val="33"/>
    <w:uiPriority w:val="0"/>
    <w:rPr>
      <w:color w:val="FF0000"/>
    </w:rPr>
  </w:style>
  <w:style w:type="character" w:customStyle="1" w:styleId="119">
    <w:name w:val="hover24"/>
    <w:basedOn w:val="33"/>
    <w:qFormat/>
    <w:uiPriority w:val="0"/>
  </w:style>
  <w:style w:type="paragraph" w:customStyle="1" w:styleId="120">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1">
    <w:name w:val="日期1"/>
    <w:basedOn w:val="1"/>
    <w:next w:val="1"/>
    <w:qFormat/>
    <w:uiPriority w:val="0"/>
    <w:rPr>
      <w:rFonts w:ascii="Calibri" w:hAnsi="Calibri"/>
      <w:sz w:val="24"/>
    </w:rPr>
  </w:style>
  <w:style w:type="paragraph" w:customStyle="1" w:styleId="122">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3">
    <w:name w:val="正文文本缩进1"/>
    <w:basedOn w:val="1"/>
    <w:qFormat/>
    <w:uiPriority w:val="0"/>
    <w:pPr>
      <w:spacing w:line="360" w:lineRule="auto"/>
      <w:ind w:firstLine="480" w:firstLineChars="200"/>
    </w:pPr>
    <w:rPr>
      <w:rFonts w:ascii="宋体" w:hAnsi="Calibri"/>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29360</Words>
  <Characters>3868</Characters>
  <Lines>32</Lines>
  <Paragraphs>66</Paragraphs>
  <TotalTime>112</TotalTime>
  <ScaleCrop>false</ScaleCrop>
  <LinksUpToDate>false</LinksUpToDate>
  <CharactersWithSpaces>33162</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Administrator</cp:lastModifiedBy>
  <cp:lastPrinted>2019-06-28T06:41:00Z</cp:lastPrinted>
  <dcterms:modified xsi:type="dcterms:W3CDTF">2019-06-28T07:56:42Z</dcterms:modified>
  <dc:title>许昌市市直政府采购项目</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