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许昌市城乡一体化示范区工程造价咨询、财政财务审计机构备选库项目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96"/>
          <w:szCs w:val="96"/>
        </w:rPr>
      </w:pPr>
      <w:r>
        <w:rPr>
          <w:rFonts w:hint="eastAsia" w:asciiTheme="majorEastAsia" w:hAnsiTheme="majorEastAsia" w:eastAsiaTheme="majorEastAsia" w:cstheme="majorEastAsia"/>
          <w:bCs/>
          <w:w w:val="90"/>
          <w:sz w:val="96"/>
          <w:szCs w:val="96"/>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项目编号：JZFCG-G2019046号</w:t>
      </w:r>
    </w:p>
    <w:p>
      <w:pPr>
        <w:ind w:firstLine="1084" w:firstLineChars="300"/>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采购单位：许昌市城乡一体化示范区财政局</w:t>
      </w:r>
    </w:p>
    <w:p>
      <w:pPr>
        <w:ind w:firstLine="1084" w:firstLineChars="300"/>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代理机构：河南建威工程管理咨询有限公司</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二〇一九年五月二十九日</w:t>
      </w:r>
    </w:p>
    <w:p>
      <w:pPr>
        <w:autoSpaceDE w:val="0"/>
        <w:autoSpaceDN w:val="0"/>
        <w:adjustRightInd w:val="0"/>
        <w:spacing w:line="700" w:lineRule="exact"/>
        <w:ind w:firstLine="551"/>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第一章 </w:t>
      </w:r>
      <w:r>
        <w:rPr>
          <w:rFonts w:hint="eastAsia" w:asciiTheme="majorEastAsia" w:hAnsiTheme="majorEastAsia" w:eastAsiaTheme="majorEastAsia" w:cstheme="majorEastAsia"/>
          <w:b/>
          <w:bCs/>
          <w:sz w:val="32"/>
          <w:szCs w:val="32"/>
        </w:rPr>
        <w:t>招标公告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合同条款及格式</w:t>
      </w:r>
    </w:p>
    <w:p>
      <w:pPr>
        <w:autoSpaceDE w:val="0"/>
        <w:autoSpaceDN w:val="0"/>
        <w:adjustRightInd w:val="0"/>
        <w:spacing w:line="700" w:lineRule="exact"/>
        <w:ind w:firstLine="560"/>
        <w:rPr>
          <w:rFonts w:ascii="宋体" w:hAnsi="宋体" w:eastAsia="宋体" w:cs="宋体"/>
          <w:b/>
          <w:kern w:val="0"/>
          <w:sz w:val="32"/>
          <w:szCs w:val="32"/>
        </w:rPr>
      </w:pPr>
      <w:r>
        <w:rPr>
          <w:rFonts w:hint="eastAsia" w:asciiTheme="majorEastAsia" w:hAnsiTheme="majorEastAsia" w:eastAsiaTheme="majorEastAsia" w:cstheme="majorEastAsia"/>
          <w:b/>
          <w:bCs/>
          <w:sz w:val="32"/>
          <w:szCs w:val="32"/>
          <w:lang w:val="zh-CN"/>
        </w:rPr>
        <w:t>第八章 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ind w:firstLine="340"/>
      </w:pPr>
    </w:p>
    <w:p>
      <w:pPr>
        <w:pStyle w:val="20"/>
        <w:widowControl/>
        <w:numPr>
          <w:ilvl w:val="0"/>
          <w:numId w:val="4"/>
        </w:numPr>
        <w:shd w:val="clear" w:color="auto" w:fill="FFFFFF"/>
        <w:spacing w:line="315" w:lineRule="atLeas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招标公告</w:t>
      </w:r>
    </w:p>
    <w:p>
      <w:pPr>
        <w:pStyle w:val="20"/>
        <w:widowControl/>
        <w:shd w:val="clear" w:color="auto" w:fill="FFFFFF"/>
        <w:spacing w:line="315" w:lineRule="atLeast"/>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JZFCG-G2019046号“许昌市城乡一体化示范区工程造价咨询、财政财务审计机构备选库项目”招标公告</w:t>
      </w:r>
    </w:p>
    <w:p>
      <w:pPr>
        <w:widowControl/>
        <w:spacing w:line="432" w:lineRule="auto"/>
        <w:ind w:firstLine="480"/>
        <w:jc w:val="left"/>
        <w:rPr>
          <w:rFonts w:ascii="仿宋_GB2312" w:hAnsi="仿宋_GB2312" w:eastAsia="仿宋_GB2312" w:cs="仿宋_GB2312"/>
          <w:sz w:val="32"/>
          <w:szCs w:val="32"/>
          <w:shd w:val="clear" w:color="auto" w:fill="FFFFFF"/>
        </w:rPr>
      </w:pPr>
      <w:r>
        <w:rPr>
          <w:rFonts w:hint="eastAsia" w:ascii="宋体" w:hAnsi="宋体" w:eastAsia="宋体" w:cs="宋体"/>
          <w:kern w:val="0"/>
          <w:sz w:val="24"/>
          <w:szCs w:val="24"/>
        </w:rPr>
        <w:t>河南建威工程管理咨询有限公司受许昌市城乡一体化示范区财政局委托，就许昌市城乡一体化示范区工程造价咨询、财政财务审计机构备选库项目进行公开招标采购，现欢迎符合相关条件的投标人参加投标。</w:t>
      </w:r>
    </w:p>
    <w:p>
      <w:pPr>
        <w:pStyle w:val="20"/>
        <w:widowControl/>
        <w:shd w:val="clear" w:color="auto" w:fill="FFFFFF"/>
        <w:spacing w:line="432" w:lineRule="auto"/>
        <w:contextualSpacing/>
        <w:jc w:val="left"/>
        <w:outlineLvl w:val="1"/>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ascii="宋体" w:hAnsi="宋体" w:cs="宋体"/>
          <w:kern w:val="0"/>
        </w:rPr>
        <w:t>许昌市城乡一体化示范区工程造价咨询、财政财务审计机构备选库</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（二）项目编号：JZFCG-G2019046号    </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p>
    <w:p>
      <w:pPr>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1、招标内容：</w:t>
      </w:r>
      <w:r>
        <w:rPr>
          <w:rFonts w:hint="eastAsia" w:ascii="宋体" w:hAnsi="宋体" w:eastAsia="宋体" w:cs="宋体"/>
          <w:kern w:val="0"/>
          <w:sz w:val="24"/>
          <w:szCs w:val="24"/>
        </w:rPr>
        <w:t>许昌市城乡一体化示范区工程造价咨询、财政财务审计机构备选库</w:t>
      </w:r>
      <w:r>
        <w:rPr>
          <w:rFonts w:hint="eastAsia" w:ascii="宋体" w:hAnsi="宋体" w:cs="仿宋_GB2312"/>
          <w:sz w:val="24"/>
          <w:szCs w:val="24"/>
          <w:shd w:val="clear" w:color="auto" w:fill="FFFFFF"/>
        </w:rPr>
        <w:t>，A包：</w:t>
      </w:r>
      <w:r>
        <w:rPr>
          <w:rFonts w:hint="eastAsia" w:ascii="宋体" w:hAnsi="宋体" w:eastAsia="宋体" w:cs="宋体"/>
          <w:sz w:val="24"/>
          <w:szCs w:val="24"/>
        </w:rPr>
        <w:t>择优选定</w:t>
      </w:r>
      <w:r>
        <w:rPr>
          <w:rFonts w:hint="eastAsia" w:ascii="宋体" w:hAnsi="宋体" w:eastAsia="宋体" w:cs="宋体"/>
          <w:sz w:val="24"/>
          <w:szCs w:val="24"/>
          <w:lang w:val="en-US" w:eastAsia="zh-CN"/>
        </w:rPr>
        <w:t>15</w:t>
      </w:r>
      <w:r>
        <w:rPr>
          <w:rFonts w:hint="eastAsia" w:ascii="宋体" w:hAnsi="宋体" w:eastAsia="宋体" w:cs="宋体"/>
          <w:sz w:val="24"/>
          <w:szCs w:val="24"/>
        </w:rPr>
        <w:t>家乙级及以上工程造价咨询机构</w:t>
      </w:r>
      <w:r>
        <w:rPr>
          <w:rFonts w:hint="eastAsia" w:ascii="宋体" w:hAnsi="宋体" w:cs="仿宋_GB2312"/>
          <w:sz w:val="24"/>
          <w:szCs w:val="24"/>
          <w:shd w:val="clear" w:color="auto" w:fill="FFFFFF"/>
        </w:rPr>
        <w:t>，B包：</w:t>
      </w:r>
      <w:r>
        <w:rPr>
          <w:rFonts w:hint="eastAsia" w:ascii="宋体" w:hAnsi="宋体" w:eastAsia="宋体" w:cs="宋体"/>
          <w:sz w:val="24"/>
          <w:szCs w:val="24"/>
        </w:rPr>
        <w:t>择优选定5家B类及以上会计事务所</w:t>
      </w:r>
      <w:r>
        <w:rPr>
          <w:rFonts w:hint="eastAsia" w:ascii="宋体" w:hAnsi="宋体" w:cs="仿宋_GB2312"/>
          <w:sz w:val="24"/>
          <w:szCs w:val="24"/>
          <w:shd w:val="clear" w:color="auto" w:fill="FFFFFF"/>
        </w:rPr>
        <w:t>。具体要求详见招标文件。</w:t>
      </w:r>
    </w:p>
    <w:p>
      <w:pPr>
        <w:spacing w:line="360" w:lineRule="auto"/>
        <w:ind w:firstLine="480" w:firstLineChars="200"/>
        <w:rPr>
          <w:rFonts w:ascii="宋体" w:cs="仿宋_GB2312"/>
          <w:sz w:val="24"/>
          <w:szCs w:val="24"/>
          <w:shd w:val="clear" w:color="auto" w:fill="FFFFFF"/>
        </w:rPr>
      </w:pPr>
      <w:r>
        <w:rPr>
          <w:rFonts w:hint="eastAsia" w:ascii="宋体" w:hAnsi="宋体" w:cs="仿宋_GB2312"/>
          <w:sz w:val="24"/>
          <w:szCs w:val="24"/>
          <w:shd w:val="clear" w:color="auto" w:fill="FFFFFF"/>
        </w:rPr>
        <w:t>2、入库备选及提供服务的期限：三年</w:t>
      </w:r>
    </w:p>
    <w:tbl>
      <w:tblPr>
        <w:tblStyle w:val="22"/>
        <w:tblW w:w="8859" w:type="dxa"/>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765"/>
        <w:gridCol w:w="201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包号</w:t>
            </w:r>
          </w:p>
        </w:tc>
        <w:tc>
          <w:tcPr>
            <w:tcW w:w="2765"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中介机构名称</w:t>
            </w:r>
          </w:p>
        </w:tc>
        <w:tc>
          <w:tcPr>
            <w:tcW w:w="20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选聘数量（家）</w:t>
            </w:r>
          </w:p>
        </w:tc>
        <w:tc>
          <w:tcPr>
            <w:tcW w:w="3260"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 w:hRule="atLeast"/>
        </w:trPr>
        <w:tc>
          <w:tcPr>
            <w:tcW w:w="817" w:type="dxa"/>
          </w:tcPr>
          <w:p>
            <w:pPr>
              <w:spacing w:line="360" w:lineRule="auto"/>
              <w:jc w:val="center"/>
              <w:rPr>
                <w:rFonts w:ascii="宋体" w:cs="仿宋_GB2312"/>
                <w:sz w:val="24"/>
                <w:szCs w:val="24"/>
                <w:shd w:val="clear" w:color="auto" w:fill="FFFFFF"/>
              </w:rPr>
            </w:pPr>
            <w:r>
              <w:rPr>
                <w:rFonts w:hint="eastAsia" w:ascii="宋体" w:cs="仿宋_GB2312"/>
                <w:sz w:val="24"/>
                <w:szCs w:val="24"/>
                <w:shd w:val="clear" w:color="auto" w:fill="FFFFFF"/>
              </w:rPr>
              <w:t>A</w:t>
            </w:r>
          </w:p>
        </w:tc>
        <w:tc>
          <w:tcPr>
            <w:tcW w:w="2765"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乙级及以上工程造价咨询机构</w:t>
            </w:r>
          </w:p>
        </w:tc>
        <w:tc>
          <w:tcPr>
            <w:tcW w:w="2017" w:type="dxa"/>
            <w:vAlign w:val="center"/>
          </w:tcPr>
          <w:p>
            <w:pPr>
              <w:spacing w:line="360" w:lineRule="auto"/>
              <w:jc w:val="center"/>
              <w:rPr>
                <w:rFonts w:hint="eastAsia" w:ascii="宋体" w:cs="仿宋_GB2312" w:eastAsiaTheme="minorEastAsia"/>
                <w:sz w:val="24"/>
                <w:szCs w:val="24"/>
                <w:shd w:val="clear" w:color="auto" w:fill="FFFFFF"/>
                <w:lang w:val="en-US" w:eastAsia="zh-CN"/>
              </w:rPr>
            </w:pPr>
            <w:r>
              <w:rPr>
                <w:rFonts w:hint="eastAsia" w:ascii="宋体" w:hAnsi="宋体" w:cs="仿宋_GB2312"/>
                <w:sz w:val="24"/>
                <w:szCs w:val="24"/>
                <w:shd w:val="clear" w:color="auto" w:fill="FFFFFF"/>
              </w:rPr>
              <w:t>1</w:t>
            </w:r>
            <w:r>
              <w:rPr>
                <w:rFonts w:hint="eastAsia" w:ascii="宋体" w:hAnsi="宋体" w:cs="仿宋_GB2312"/>
                <w:sz w:val="24"/>
                <w:szCs w:val="24"/>
                <w:shd w:val="clear" w:color="auto" w:fill="FFFFFF"/>
                <w:lang w:val="en-US" w:eastAsia="zh-CN"/>
              </w:rPr>
              <w:t>5</w:t>
            </w:r>
          </w:p>
        </w:tc>
        <w:tc>
          <w:tcPr>
            <w:tcW w:w="3260" w:type="dxa"/>
            <w:vMerge w:val="restart"/>
            <w:vAlign w:val="center"/>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ascii="宋体" w:cs="仿宋_GB2312"/>
                <w:sz w:val="24"/>
                <w:szCs w:val="24"/>
                <w:shd w:val="clear" w:color="auto" w:fill="FFFFFF"/>
              </w:rPr>
            </w:pPr>
            <w:r>
              <w:rPr>
                <w:rFonts w:hint="eastAsia" w:ascii="宋体" w:cs="仿宋_GB2312"/>
                <w:sz w:val="24"/>
                <w:szCs w:val="24"/>
                <w:shd w:val="clear" w:color="auto" w:fill="FFFFFF"/>
              </w:rPr>
              <w:t>B</w:t>
            </w:r>
          </w:p>
        </w:tc>
        <w:tc>
          <w:tcPr>
            <w:tcW w:w="2765"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B类及以上会计事务所</w:t>
            </w:r>
          </w:p>
        </w:tc>
        <w:tc>
          <w:tcPr>
            <w:tcW w:w="2017" w:type="dxa"/>
          </w:tcPr>
          <w:p>
            <w:pPr>
              <w:spacing w:line="360" w:lineRule="auto"/>
              <w:jc w:val="center"/>
              <w:rPr>
                <w:rFonts w:ascii="宋体" w:cs="仿宋_GB2312"/>
                <w:sz w:val="24"/>
                <w:szCs w:val="24"/>
                <w:shd w:val="clear" w:color="auto" w:fill="FFFFFF"/>
              </w:rPr>
            </w:pPr>
            <w:r>
              <w:rPr>
                <w:rFonts w:hint="eastAsia" w:ascii="宋体" w:hAnsi="宋体" w:cs="仿宋_GB2312"/>
                <w:sz w:val="24"/>
                <w:szCs w:val="24"/>
                <w:shd w:val="clear" w:color="auto" w:fill="FFFFFF"/>
              </w:rPr>
              <w:t>5</w:t>
            </w:r>
          </w:p>
        </w:tc>
        <w:tc>
          <w:tcPr>
            <w:tcW w:w="3260" w:type="dxa"/>
            <w:vMerge w:val="continue"/>
          </w:tcPr>
          <w:p>
            <w:pPr>
              <w:spacing w:line="360" w:lineRule="auto"/>
              <w:jc w:val="left"/>
              <w:rPr>
                <w:rFonts w:ascii="宋体" w:cs="仿宋_GB2312"/>
                <w:sz w:val="24"/>
                <w:szCs w:val="24"/>
                <w:shd w:val="clear" w:color="auto" w:fill="FFFFFF"/>
              </w:rPr>
            </w:pPr>
          </w:p>
        </w:tc>
      </w:tr>
    </w:tbl>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u w:val="single"/>
          <w:shd w:val="clear" w:color="auto" w:fill="FFFFFF"/>
        </w:rPr>
        <w:t xml:space="preserve"> 无 </w:t>
      </w:r>
      <w:r>
        <w:rPr>
          <w:rFonts w:hint="eastAsia" w:cs="仿宋_GB2312" w:asciiTheme="minorEastAsia" w:hAnsiTheme="minorEastAsia" w:eastAsiaTheme="minorEastAsia"/>
          <w:shd w:val="clear" w:color="auto" w:fill="FFFFFF"/>
        </w:rPr>
        <w:t>。</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（六）服务时间 ：</w:t>
      </w:r>
      <w:r>
        <w:rPr>
          <w:rFonts w:hint="eastAsia" w:cs="仿宋_GB2312" w:asciiTheme="minorEastAsia" w:hAnsiTheme="minorEastAsia"/>
          <w:shd w:val="clear" w:color="auto" w:fill="FFFFFF"/>
        </w:rPr>
        <w:t>自合同签订之日起三年。</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（七）服务地点：许昌市城乡一体化示范区</w:t>
      </w:r>
    </w:p>
    <w:p>
      <w:pPr>
        <w:pStyle w:val="20"/>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（一）具备《政府采购法》第二十二条规定条件并提供相关材料；</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（二）A包：</w:t>
      </w:r>
      <w:r>
        <w:rPr>
          <w:rFonts w:hint="eastAsia" w:ascii="宋体" w:hAnsi="宋体" w:cs="宋体"/>
        </w:rPr>
        <w:t>具有建设行政主管部门颁发的工程造价咨询乙级及以上资质</w:t>
      </w:r>
      <w:r>
        <w:rPr>
          <w:rFonts w:hint="eastAsia" w:ascii="宋体" w:hAnsi="宋体" w:cs="仿宋_GB2312"/>
          <w:shd w:val="clear" w:color="auto" w:fill="FFFFFF"/>
        </w:rPr>
        <w:t>；</w:t>
      </w:r>
    </w:p>
    <w:p>
      <w:pPr>
        <w:pStyle w:val="20"/>
        <w:widowControl/>
        <w:shd w:val="clear" w:color="auto" w:fill="FFFFFF"/>
        <w:spacing w:line="360" w:lineRule="auto"/>
        <w:ind w:firstLine="1200" w:firstLineChars="500"/>
        <w:contextualSpacing/>
        <w:jc w:val="left"/>
        <w:rPr>
          <w:rFonts w:ascii="宋体" w:hAnsi="宋体" w:cs="仿宋_GB2312"/>
          <w:shd w:val="clear" w:color="auto" w:fill="FFFFFF"/>
        </w:rPr>
      </w:pPr>
      <w:r>
        <w:rPr>
          <w:rFonts w:hint="eastAsia" w:ascii="宋体" w:hAnsi="宋体" w:cs="仿宋_GB2312"/>
          <w:shd w:val="clear" w:color="auto" w:fill="FFFFFF"/>
        </w:rPr>
        <w:t>B包：属于河南省注册会计师协会公布的2018年分类评价结果认定的B类及以上会计事务所；或中华人民共和国其它省注册会计师协会截止2018年5月20日前最新公布的分类评价结果中，排在第二类及以上的会计师事务所（或相当于河南省注册会计师协会公布的2018年分类评价结果认定的B类及以上事务所）；</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w:t>
      </w:r>
      <w:r>
        <w:rPr>
          <w:rFonts w:hint="eastAsia" w:ascii="宋体" w:hAnsi="宋体" w:cs="仿宋_GB2312"/>
          <w:shd w:val="clear" w:color="auto" w:fill="FFFFFF"/>
        </w:rPr>
        <w:t>三</w:t>
      </w:r>
      <w:r>
        <w:rPr>
          <w:rFonts w:ascii="宋体" w:hAnsi="宋体" w:cs="仿宋_GB2312"/>
          <w:shd w:val="clear" w:color="auto" w:fill="FFFFFF"/>
        </w:rPr>
        <w:t xml:space="preserve">) </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hint="eastAsia" w:ascii="宋体" w:hAnsi="宋体" w:cs="仿宋_GB2312"/>
          <w:shd w:val="clear" w:color="auto" w:fill="FFFFFF"/>
        </w:rPr>
        <w:t>）严重违法失信企业名单（黑名单）的投标人</w:t>
      </w:r>
      <w:r>
        <w:rPr>
          <w:rFonts w:hint="eastAsia" w:ascii="宋体" w:hAnsi="宋体" w:cs="宋体"/>
        </w:rPr>
        <w:t>(投标人须提供网站截图)</w:t>
      </w:r>
      <w:r>
        <w:rPr>
          <w:rFonts w:hint="eastAsia" w:ascii="宋体" w:hAnsi="宋体" w:cs="仿宋_GB2312"/>
          <w:shd w:val="clear" w:color="auto" w:fill="FFFFFF"/>
        </w:rPr>
        <w:t>；</w:t>
      </w:r>
    </w:p>
    <w:p>
      <w:pPr>
        <w:pStyle w:val="20"/>
        <w:widowControl/>
        <w:shd w:val="clear" w:color="auto" w:fill="FFFFFF"/>
        <w:spacing w:line="432" w:lineRule="auto"/>
        <w:contextualSpacing/>
        <w:jc w:val="left"/>
        <w:rPr>
          <w:rFonts w:cs="仿宋_GB2312" w:asciiTheme="minorEastAsia" w:hAnsiTheme="minorEastAsia" w:eastAsiaTheme="minorEastAsia"/>
          <w:shd w:val="clear" w:color="auto" w:fill="FFFFFF"/>
        </w:rPr>
      </w:pPr>
      <w:r>
        <w:rPr>
          <w:rFonts w:hint="eastAsia" w:ascii="宋体" w:hAnsi="宋体" w:cs="仿宋_GB2312"/>
          <w:shd w:val="clear" w:color="auto" w:fill="FFFFFF"/>
        </w:rPr>
        <w:t>（四）本次招标不接受联合体投标。</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Fonts w:hint="eastAsia" w:cs="仿宋_GB2312" w:asciiTheme="minorEastAsia" w:hAnsiTheme="minorEastAsia" w:eastAsiaTheme="minorEastAsia"/>
          <w:shd w:val="clear" w:color="auto" w:fill="FFFFFF"/>
        </w:rPr>
        <w:t>http://221.14.6.70:8088/ggzy/</w:t>
      </w:r>
      <w:r>
        <w:rPr>
          <w:rFonts w:hint="eastAsia" w:cs="仿宋_GB2312" w:asciiTheme="minorEastAsia" w:hAnsiTheme="minorEastAsia" w:eastAsiaTheme="minorEastAsia"/>
          <w:shd w:val="clear" w:color="auto" w:fill="FFFFFF"/>
        </w:rPr>
        <w:fldChar w:fldCharType="end"/>
      </w:r>
      <w:r>
        <w:rPr>
          <w:rFonts w:hint="eastAsia" w:cs="仿宋_GB2312" w:asciiTheme="minorEastAsia" w:hAnsiTheme="minorEastAsia" w:eastAsiaTheme="minorEastAsia"/>
          <w:shd w:val="clear" w:color="auto" w:fill="FFFFFF"/>
        </w:rPr>
        <w:t>）自行下载招标文件（详见“常见问题解答-交易系统操作手册”）。</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（二）未通过《全国公共资源交易平台（河南省·许昌市）》下载招标文件的投标人,拒收其递交的投标文件。</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(三)招标文件售价</w:t>
      </w:r>
      <w:r>
        <w:rPr>
          <w:rFonts w:hint="eastAsia" w:cs="仿宋_GB2312" w:asciiTheme="minorEastAsia" w:hAnsiTheme="minorEastAsia" w:eastAsiaTheme="minorEastAsia"/>
          <w:u w:val="single"/>
          <w:shd w:val="clear" w:color="auto" w:fill="FFFFFF"/>
        </w:rPr>
        <w:t xml:space="preserve"> 300 </w:t>
      </w:r>
      <w:r>
        <w:rPr>
          <w:rFonts w:hint="eastAsia" w:cs="仿宋_GB2312" w:asciiTheme="minorEastAsia" w:hAnsiTheme="minorEastAsia" w:eastAsiaTheme="minorEastAsia"/>
          <w:shd w:val="clear" w:color="auto" w:fill="FFFFFF"/>
        </w:rPr>
        <w:t xml:space="preserve"> 元/套，投标人在递交投标文件时向采购代理机构交纳采购文件费用，售后不退。</w:t>
      </w:r>
    </w:p>
    <w:p>
      <w:pPr>
        <w:pStyle w:val="20"/>
        <w:widowControl/>
        <w:shd w:val="clear" w:color="auto" w:fill="FFFFFF"/>
        <w:spacing w:line="432" w:lineRule="auto"/>
        <w:ind w:firstLine="420"/>
        <w:contextualSpacing/>
        <w:jc w:val="left"/>
        <w:rPr>
          <w:rFonts w:cs="黑体" w:asciiTheme="minorEastAsia" w:hAnsiTheme="minorEastAsia" w:eastAsiaTheme="minorEastAsia"/>
          <w:bCs/>
          <w:shd w:val="clear" w:color="auto" w:fill="FFFFFF"/>
        </w:rPr>
      </w:pPr>
      <w:r>
        <w:rPr>
          <w:rFonts w:hint="eastAsia" w:cs="黑体" w:asciiTheme="minorEastAsia" w:hAnsiTheme="minorEastAsia" w:eastAsiaTheme="minorEastAsia"/>
          <w:b/>
          <w:bCs/>
          <w:shd w:val="clear" w:color="auto" w:fill="FFFFFF"/>
        </w:rPr>
        <w:t>五、投标截止时间、开标时间及地</w:t>
      </w:r>
    </w:p>
    <w:p>
      <w:pPr>
        <w:pStyle w:val="20"/>
        <w:widowControl/>
        <w:shd w:val="clear" w:color="auto" w:fill="FFFFFF"/>
        <w:spacing w:line="432"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（一）投标截止及开标时间：2019年</w:t>
      </w:r>
      <w:r>
        <w:rPr>
          <w:rFonts w:hint="eastAsia" w:cs="仿宋_GB2312" w:asciiTheme="minorEastAsia" w:hAnsiTheme="minorEastAsia" w:eastAsiaTheme="minorEastAsia"/>
          <w:u w:val="single"/>
          <w:shd w:val="clear" w:color="auto" w:fill="FFFFFF"/>
        </w:rPr>
        <w:t xml:space="preserve"> 07</w:t>
      </w:r>
      <w:r>
        <w:rPr>
          <w:rFonts w:hint="eastAsia" w:cs="仿宋_GB2312" w:asciiTheme="minorEastAsia" w:hAnsiTheme="minorEastAsia" w:eastAsiaTheme="minorEastAsia"/>
          <w:shd w:val="clear" w:color="auto" w:fill="FFFFFF"/>
        </w:rPr>
        <w:t>月</w:t>
      </w:r>
      <w:r>
        <w:rPr>
          <w:rFonts w:hint="eastAsia" w:cs="仿宋_GB2312" w:asciiTheme="minorEastAsia" w:hAnsiTheme="minorEastAsia" w:eastAsiaTheme="minorEastAsia"/>
          <w:u w:val="single"/>
          <w:shd w:val="clear" w:color="auto" w:fill="FFFFFF"/>
        </w:rPr>
        <w:t>01</w:t>
      </w:r>
      <w:r>
        <w:rPr>
          <w:rFonts w:hint="eastAsia" w:cs="仿宋_GB2312" w:asciiTheme="minorEastAsia" w:hAnsiTheme="minorEastAsia" w:eastAsiaTheme="minorEastAsia"/>
          <w:shd w:val="clear" w:color="auto" w:fill="FFFFFF"/>
        </w:rPr>
        <w:t>日</w:t>
      </w:r>
      <w:r>
        <w:rPr>
          <w:rFonts w:hint="eastAsia" w:cs="仿宋_GB2312" w:asciiTheme="minorEastAsia" w:hAnsiTheme="minorEastAsia" w:eastAsiaTheme="minorEastAsia"/>
          <w:u w:val="single"/>
          <w:shd w:val="clear" w:color="auto" w:fill="FFFFFF"/>
        </w:rPr>
        <w:t xml:space="preserve">  8 </w:t>
      </w:r>
      <w:r>
        <w:rPr>
          <w:rFonts w:hint="eastAsia" w:cs="仿宋_GB2312" w:asciiTheme="minorEastAsia" w:hAnsiTheme="minorEastAsia" w:eastAsiaTheme="minorEastAsia"/>
          <w:shd w:val="clear" w:color="auto" w:fill="FFFFFF"/>
        </w:rPr>
        <w:t>时</w:t>
      </w:r>
      <w:r>
        <w:rPr>
          <w:rFonts w:hint="eastAsia" w:cs="仿宋_GB2312" w:asciiTheme="minorEastAsia" w:hAnsiTheme="minorEastAsia" w:eastAsiaTheme="minorEastAsia"/>
          <w:u w:val="single"/>
          <w:shd w:val="clear" w:color="auto" w:fill="FFFFFF"/>
        </w:rPr>
        <w:t xml:space="preserve">  30 </w:t>
      </w:r>
      <w:r>
        <w:rPr>
          <w:rFonts w:hint="eastAsia" w:cs="仿宋_GB2312" w:asciiTheme="minorEastAsia" w:hAnsiTheme="minorEastAsia" w:eastAsiaTheme="minorEastAsia"/>
          <w:shd w:val="clear" w:color="auto" w:fill="FFFFFF"/>
        </w:rPr>
        <w:t>分（北京时间），逾期送达或不符合规定的投标文件不予接受。</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三 </w:t>
      </w:r>
      <w:r>
        <w:rPr>
          <w:rFonts w:hint="eastAsia" w:cs="仿宋_GB2312" w:asciiTheme="minorEastAsia" w:hAnsiTheme="minorEastAsia" w:eastAsiaTheme="minorEastAsia"/>
        </w:rPr>
        <w:t>室。</w:t>
      </w:r>
    </w:p>
    <w:p>
      <w:pPr>
        <w:widowControl/>
        <w:spacing w:line="440" w:lineRule="exact"/>
        <w:ind w:firstLine="480" w:firstLineChars="200"/>
        <w:rPr>
          <w:rFonts w:ascii="宋体" w:cs="宋体"/>
          <w:kern w:val="0"/>
          <w:sz w:val="24"/>
          <w:shd w:val="clear" w:color="auto" w:fill="FFFFFF"/>
        </w:rPr>
      </w:pPr>
      <w:r>
        <w:rPr>
          <w:rFonts w:hint="eastAsia" w:ascii="宋体" w:hAnsi="宋体" w:cs="宋体"/>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宋体" w:cs="宋体"/>
          <w:kern w:val="0"/>
          <w:sz w:val="24"/>
          <w:shd w:val="clear" w:color="auto" w:fill="FFFFFF"/>
        </w:rPr>
      </w:pPr>
      <w:r>
        <w:rPr>
          <w:rFonts w:ascii="宋体" w:hAnsi="宋体" w:cs="宋体"/>
          <w:kern w:val="0"/>
          <w:sz w:val="24"/>
          <w:shd w:val="clear" w:color="auto" w:fill="FFFFFF"/>
        </w:rPr>
        <w:t>1</w:t>
      </w:r>
      <w:r>
        <w:rPr>
          <w:rFonts w:hint="eastAsia" w:ascii="宋体" w:hAnsi="宋体" w:cs="宋体"/>
          <w:kern w:val="0"/>
          <w:sz w:val="24"/>
          <w:shd w:val="clear" w:color="auto" w:fill="FFFFFF"/>
        </w:rPr>
        <w:t>、加密电子投标文件（</w:t>
      </w:r>
      <w:r>
        <w:rPr>
          <w:rFonts w:ascii="宋体" w:hAnsi="宋体" w:cs="宋体"/>
          <w:kern w:val="0"/>
          <w:sz w:val="24"/>
          <w:shd w:val="clear" w:color="auto" w:fill="FFFFFF"/>
        </w:rPr>
        <w:t>.file</w:t>
      </w:r>
      <w:r>
        <w:rPr>
          <w:rFonts w:hint="eastAsia" w:ascii="宋体" w:hAnsi="宋体" w:cs="宋体"/>
          <w:kern w:val="0"/>
          <w:sz w:val="24"/>
          <w:shd w:val="clear" w:color="auto" w:fill="FFFFFF"/>
        </w:rPr>
        <w:t>格式）须在投标截止时间（开标时间）前通过《全国公共资源交易平台</w:t>
      </w:r>
      <w:r>
        <w:rPr>
          <w:rFonts w:ascii="宋体" w:hAnsi="宋体" w:cs="宋体"/>
          <w:kern w:val="0"/>
          <w:sz w:val="24"/>
          <w:shd w:val="clear" w:color="auto" w:fill="FFFFFF"/>
        </w:rPr>
        <w:t>(</w:t>
      </w:r>
      <w:r>
        <w:rPr>
          <w:rFonts w:hint="eastAsia" w:ascii="宋体" w:hAnsi="宋体" w:cs="宋体"/>
          <w:kern w:val="0"/>
          <w:sz w:val="24"/>
          <w:shd w:val="clear" w:color="auto" w:fill="FFFFFF"/>
        </w:rPr>
        <w:t>河南省</w:t>
      </w:r>
      <w:r>
        <w:rPr>
          <w:rFonts w:hint="eastAsia" w:ascii="MS Mincho" w:hAnsi="MS Mincho" w:eastAsia="MS Mincho" w:cs="MS Mincho"/>
          <w:kern w:val="0"/>
          <w:sz w:val="24"/>
          <w:shd w:val="clear" w:color="auto" w:fill="FFFFFF"/>
        </w:rPr>
        <w:t>▪</w:t>
      </w:r>
      <w:r>
        <w:rPr>
          <w:rFonts w:hint="eastAsia" w:ascii="宋体" w:hAnsi="宋体" w:cs="宋体"/>
          <w:kern w:val="0"/>
          <w:sz w:val="24"/>
          <w:shd w:val="clear" w:color="auto" w:fill="FFFFFF"/>
        </w:rPr>
        <w:t>许昌市</w:t>
      </w:r>
      <w:r>
        <w:rPr>
          <w:rFonts w:ascii="宋体" w:hAnsi="宋体" w:cs="宋体"/>
          <w:kern w:val="0"/>
          <w:sz w:val="24"/>
          <w:shd w:val="clear" w:color="auto" w:fill="FFFFFF"/>
        </w:rPr>
        <w:t>)</w:t>
      </w:r>
      <w:r>
        <w:rPr>
          <w:rFonts w:hint="eastAsia" w:ascii="宋体" w:hAnsi="宋体" w:cs="宋体"/>
          <w:kern w:val="0"/>
          <w:sz w:val="24"/>
          <w:shd w:val="clear" w:color="auto" w:fill="FFFFFF"/>
        </w:rPr>
        <w:t>》公共资源交易系统成功上传。</w:t>
      </w:r>
    </w:p>
    <w:p>
      <w:pPr>
        <w:widowControl/>
        <w:spacing w:line="440" w:lineRule="exact"/>
        <w:ind w:firstLine="480" w:firstLineChars="200"/>
        <w:rPr>
          <w:rFonts w:cs="仿宋_GB2312" w:asciiTheme="minorEastAsia" w:hAnsiTheme="minorEastAsia"/>
        </w:rPr>
      </w:pPr>
      <w:r>
        <w:rPr>
          <w:rFonts w:ascii="宋体" w:hAnsi="宋体" w:cs="宋体"/>
          <w:kern w:val="0"/>
          <w:sz w:val="24"/>
          <w:shd w:val="clear" w:color="auto" w:fill="FFFFFF"/>
        </w:rPr>
        <w:t>2</w:t>
      </w:r>
      <w:r>
        <w:rPr>
          <w:rFonts w:hint="eastAsia" w:ascii="宋体" w:hAnsi="宋体" w:cs="宋体"/>
          <w:kern w:val="0"/>
          <w:sz w:val="24"/>
          <w:shd w:val="clear" w:color="auto" w:fill="FFFFFF"/>
        </w:rPr>
        <w:t>、纸质投标文件（正本</w:t>
      </w:r>
      <w:r>
        <w:rPr>
          <w:rFonts w:ascii="宋体" w:hAnsi="宋体" w:cs="宋体"/>
          <w:kern w:val="0"/>
          <w:sz w:val="24"/>
          <w:shd w:val="clear" w:color="auto" w:fill="FFFFFF"/>
        </w:rPr>
        <w:t>1</w:t>
      </w:r>
      <w:r>
        <w:rPr>
          <w:rFonts w:hint="eastAsia" w:ascii="宋体" w:hAnsi="宋体" w:cs="宋体"/>
          <w:kern w:val="0"/>
          <w:sz w:val="24"/>
          <w:shd w:val="clear" w:color="auto" w:fill="FFFFFF"/>
        </w:rPr>
        <w:t>份、副本</w:t>
      </w:r>
      <w:r>
        <w:rPr>
          <w:rFonts w:ascii="宋体" w:hAnsi="宋体" w:cs="宋体"/>
          <w:kern w:val="0"/>
          <w:sz w:val="24"/>
          <w:shd w:val="clear" w:color="auto" w:fill="FFFFFF"/>
        </w:rPr>
        <w:t>4</w:t>
      </w:r>
      <w:r>
        <w:rPr>
          <w:rFonts w:hint="eastAsia" w:ascii="宋体" w:hAnsi="宋体" w:cs="宋体"/>
          <w:kern w:val="0"/>
          <w:sz w:val="24"/>
          <w:shd w:val="clear" w:color="auto" w:fill="FFFFFF"/>
        </w:rPr>
        <w:t>份）和备份文件</w:t>
      </w:r>
      <w:r>
        <w:rPr>
          <w:rFonts w:ascii="宋体" w:hAnsi="宋体" w:cs="宋体"/>
          <w:kern w:val="0"/>
          <w:sz w:val="24"/>
          <w:shd w:val="clear" w:color="auto" w:fill="FFFFFF"/>
        </w:rPr>
        <w:t>1</w:t>
      </w:r>
      <w:r>
        <w:rPr>
          <w:rFonts w:hint="eastAsia" w:ascii="宋体" w:hAnsi="宋体" w:cs="宋体"/>
          <w:kern w:val="0"/>
          <w:sz w:val="24"/>
          <w:shd w:val="clear" w:color="auto" w:fill="FFFFFF"/>
        </w:rPr>
        <w:t>份（使用电子介质存储）在投标截止时间（开标时间）前递交至本项目开标地点。</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432"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0"/>
        <w:widowControl/>
        <w:shd w:val="clear" w:color="auto" w:fill="FFFFFF"/>
        <w:spacing w:line="432" w:lineRule="auto"/>
        <w:ind w:firstLine="420"/>
        <w:contextualSpacing/>
        <w:jc w:val="left"/>
        <w:rPr>
          <w:rFonts w:cs="黑体" w:asciiTheme="minorEastAsia" w:hAnsiTheme="minorEastAsia" w:eastAsiaTheme="minorEastAsia"/>
          <w:b/>
          <w:bCs/>
        </w:rPr>
      </w:pPr>
      <w:r>
        <w:rPr>
          <w:rFonts w:hint="eastAsia" w:cs="仿宋_GB2312" w:asciiTheme="minorEastAsia" w:hAnsiTheme="minorEastAsia" w:eastAsiaTheme="minorEastAsia"/>
        </w:rPr>
        <w:t>本招标公告自发布之日起公告期限为5个工作日。</w:t>
      </w:r>
    </w:p>
    <w:p>
      <w:pPr>
        <w:pStyle w:val="20"/>
        <w:widowControl/>
        <w:shd w:val="clear" w:color="auto" w:fill="FFFFFF"/>
        <w:spacing w:line="432" w:lineRule="auto"/>
        <w:ind w:firstLine="420"/>
        <w:contextualSpacing/>
        <w:jc w:val="left"/>
        <w:outlineLvl w:val="1"/>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采购人：许昌市城乡一体化示范区财政局</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址：许昌市东城区金融大厦9楼907室</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联系人：李女士   联系电话：0374-3372668</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w:t>
      </w:r>
      <w:r>
        <w:rPr>
          <w:rFonts w:hint="eastAsia" w:ascii="宋体" w:hAnsi="宋体" w:cs="宋体" w:eastAsiaTheme="minorEastAsia"/>
          <w:kern w:val="0"/>
        </w:rPr>
        <w:t>河南建威工程管理咨询有限公司</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ascii="宋体" w:hAnsi="宋体" w:cs="宋体" w:eastAsiaTheme="minorEastAsia"/>
          <w:kern w:val="0"/>
        </w:rPr>
        <w:t>郑州市郑东新区中兴南路凯利国际中心B栋1708号</w:t>
      </w:r>
    </w:p>
    <w:p>
      <w:pPr>
        <w:pStyle w:val="20"/>
        <w:widowControl/>
        <w:shd w:val="clear" w:color="auto" w:fill="FFFFFF"/>
        <w:spacing w:line="432"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联系人：夏先生    联系电话：0371-56272589</w:t>
      </w:r>
    </w:p>
    <w:p>
      <w:pPr>
        <w:autoSpaceDE w:val="0"/>
        <w:autoSpaceDN w:val="0"/>
        <w:adjustRightInd w:val="0"/>
        <w:spacing w:line="432" w:lineRule="auto"/>
        <w:jc w:val="right"/>
        <w:rPr>
          <w:rFonts w:cs="仿宋_GB2312" w:asciiTheme="minorEastAsia" w:hAnsiTheme="minorEastAsia"/>
          <w:sz w:val="24"/>
          <w:szCs w:val="24"/>
        </w:rPr>
      </w:pPr>
      <w:r>
        <w:rPr>
          <w:rFonts w:hint="eastAsia" w:asciiTheme="minorEastAsia" w:hAnsiTheme="minorEastAsia" w:cstheme="majorEastAsia"/>
          <w:sz w:val="24"/>
          <w:szCs w:val="24"/>
          <w:lang w:val="zh-CN"/>
        </w:rPr>
        <w:t>许昌市城乡一体化示范区财政局</w:t>
      </w:r>
    </w:p>
    <w:p>
      <w:pPr>
        <w:autoSpaceDE w:val="0"/>
        <w:autoSpaceDN w:val="0"/>
        <w:adjustRightInd w:val="0"/>
        <w:spacing w:line="432" w:lineRule="auto"/>
        <w:ind w:firstLine="560"/>
        <w:jc w:val="right"/>
        <w:rPr>
          <w:rFonts w:cs="仿宋_GB2312" w:asciiTheme="minorEastAsia" w:hAnsiTheme="minorEastAsia"/>
          <w:sz w:val="24"/>
          <w:szCs w:val="24"/>
        </w:rPr>
      </w:pPr>
      <w:r>
        <w:rPr>
          <w:rFonts w:hint="eastAsia" w:cs="仿宋_GB2312" w:asciiTheme="minorEastAsia" w:hAnsiTheme="minorEastAsia"/>
          <w:sz w:val="24"/>
          <w:szCs w:val="24"/>
        </w:rPr>
        <w:t xml:space="preserve">                              二〇一九年  月  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投标人应按招标文件规定编制、提交电子投标文件和纸质投标文件。开、评标现场不接受投标人递交的备份电子投标文件和纸质投标文件以外的其他资料，招标文件要求提供原件的除外。</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szCs w:val="24"/>
        </w:rPr>
        <w:t>http://221.14.6.70:8088/ggzy/</w:t>
      </w:r>
      <w:r>
        <w:rPr>
          <w:rFonts w:hint="eastAsia" w:hAnsi="宋体"/>
          <w:sz w:val="24"/>
          <w:szCs w:val="24"/>
        </w:rPr>
        <w:fldChar w:fldCharType="end"/>
      </w:r>
      <w:r>
        <w:rPr>
          <w:rFonts w:hint="eastAsia" w:hAnsi="宋体"/>
          <w:sz w:val="24"/>
          <w:szCs w:val="24"/>
        </w:rPr>
        <w:t>）下载“许昌投标文件制作系统SEARUN最新版本”，按招标文件要求制作电子投标文件。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仿宋_GB2312" w:asciiTheme="minorEastAsia" w:hAnsiTheme="minorEastAsia"/>
          <w:shd w:val="clear" w:color="auto" w:fill="FFFFFF"/>
        </w:rPr>
        <w:t>http://221.14.6.70:8088/ggzy/</w:t>
      </w:r>
      <w:r>
        <w:rPr>
          <w:rFonts w:hint="eastAsia" w:cs="仿宋_GB2312" w:asciiTheme="minorEastAsia" w:hAnsiTheme="minorEastAsia"/>
          <w:shd w:val="clear" w:color="auto" w:fill="FFFFFF"/>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pStyle w:val="2"/>
        <w:ind w:firstLine="340"/>
      </w:pPr>
    </w:p>
    <w:p>
      <w:pPr>
        <w:numPr>
          <w:ilvl w:val="0"/>
          <w:numId w:val="5"/>
        </w:num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widowControl/>
        <w:numPr>
          <w:ilvl w:val="0"/>
          <w:numId w:val="6"/>
        </w:numPr>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本项目需实现的功能或者目标</w:t>
      </w:r>
    </w:p>
    <w:p>
      <w:pPr>
        <w:widowControl/>
        <w:shd w:val="clear" w:color="auto" w:fill="FFFFFF"/>
        <w:spacing w:line="360" w:lineRule="auto"/>
        <w:ind w:firstLine="481"/>
        <w:contextualSpacing/>
        <w:jc w:val="left"/>
        <w:rPr>
          <w:rFonts w:ascii="宋体" w:hAnsi="宋体" w:eastAsia="宋体" w:cs="宋体"/>
          <w:kern w:val="0"/>
          <w:sz w:val="24"/>
          <w:szCs w:val="24"/>
        </w:rPr>
      </w:pPr>
      <w:r>
        <w:rPr>
          <w:rFonts w:hint="eastAsia" w:ascii="宋体" w:hAnsi="宋体" w:eastAsia="宋体" w:cs="宋体"/>
          <w:kern w:val="0"/>
          <w:sz w:val="24"/>
          <w:szCs w:val="24"/>
        </w:rPr>
        <w:t>通过公开招标的方式</w:t>
      </w:r>
      <w:r>
        <w:rPr>
          <w:rFonts w:hint="eastAsia" w:ascii="宋体" w:hAnsi="宋体" w:eastAsia="宋体" w:cs="宋体"/>
          <w:sz w:val="24"/>
          <w:szCs w:val="24"/>
        </w:rPr>
        <w:t>择优选定1</w:t>
      </w:r>
      <w:r>
        <w:rPr>
          <w:rFonts w:hint="eastAsia" w:ascii="宋体" w:hAnsi="宋体" w:eastAsia="宋体" w:cs="宋体"/>
          <w:sz w:val="24"/>
          <w:szCs w:val="24"/>
          <w:lang w:val="en-US" w:eastAsia="zh-CN"/>
        </w:rPr>
        <w:t>5</w:t>
      </w:r>
      <w:r>
        <w:rPr>
          <w:rFonts w:hint="eastAsia" w:ascii="宋体" w:hAnsi="宋体" w:eastAsia="宋体" w:cs="宋体"/>
          <w:sz w:val="24"/>
          <w:szCs w:val="24"/>
        </w:rPr>
        <w:t>家乙级及以上工程造价咨询机构</w:t>
      </w:r>
      <w:r>
        <w:rPr>
          <w:rFonts w:hint="eastAsia" w:ascii="宋体" w:hAnsi="宋体" w:cs="仿宋_GB2312"/>
          <w:sz w:val="24"/>
          <w:szCs w:val="24"/>
          <w:shd w:val="clear" w:color="auto" w:fill="FFFFFF"/>
        </w:rPr>
        <w:t>，</w:t>
      </w:r>
      <w:r>
        <w:rPr>
          <w:rFonts w:hint="eastAsia" w:ascii="宋体" w:hAnsi="宋体" w:eastAsia="宋体" w:cs="宋体"/>
          <w:sz w:val="24"/>
          <w:szCs w:val="24"/>
        </w:rPr>
        <w:t>5家B类及以上会计事务所</w:t>
      </w:r>
      <w:r>
        <w:rPr>
          <w:rFonts w:hint="eastAsia" w:ascii="宋体" w:hAnsi="宋体" w:eastAsia="宋体" w:cs="宋体"/>
          <w:kern w:val="0"/>
          <w:sz w:val="24"/>
          <w:szCs w:val="24"/>
        </w:rPr>
        <w:t>。</w:t>
      </w:r>
    </w:p>
    <w:p>
      <w:pPr>
        <w:widowControl/>
        <w:shd w:val="clear" w:color="auto" w:fill="FFFFFF"/>
        <w:spacing w:line="360" w:lineRule="auto"/>
        <w:ind w:firstLine="480" w:firstLineChars="200"/>
        <w:contextualSpacing/>
        <w:jc w:val="left"/>
      </w:pPr>
      <w:r>
        <w:rPr>
          <w:rFonts w:hint="eastAsia" w:ascii="宋体" w:hAnsi="宋体" w:eastAsia="宋体" w:cs="宋体"/>
          <w:sz w:val="24"/>
        </w:rPr>
        <w:t>服务标准：</w:t>
      </w:r>
      <w:r>
        <w:rPr>
          <w:rFonts w:hint="eastAsia" w:ascii="宋体" w:hAnsi="宋体" w:cs="宋体"/>
          <w:kern w:val="0"/>
          <w:sz w:val="24"/>
          <w:szCs w:val="24"/>
        </w:rPr>
        <w:t>按照《许昌市城乡一体化示范区政府购买中介机构服务管理暂行办法（试行）》（以下简称《办法》）执行</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黑体" w:asciiTheme="minorEastAsia" w:hAnsiTheme="minorEastAsia"/>
          <w:b/>
          <w:bCs/>
          <w:sz w:val="24"/>
          <w:szCs w:val="24"/>
          <w:shd w:val="clear" w:color="auto" w:fill="FFFFFF"/>
        </w:rPr>
        <w:t>二、采购清单</w:t>
      </w:r>
    </w:p>
    <w:p>
      <w:pPr>
        <w:widowControl/>
        <w:shd w:val="clear" w:color="auto" w:fill="FFFFFF"/>
        <w:spacing w:line="360" w:lineRule="auto"/>
        <w:ind w:left="420" w:leftChars="200" w:firstLine="480" w:firstLineChars="200"/>
        <w:contextualSpacing/>
        <w:jc w:val="left"/>
        <w:rPr>
          <w:rFonts w:ascii="宋体" w:hAnsi="宋体" w:eastAsia="宋体" w:cs="宋体"/>
          <w:kern w:val="0"/>
          <w:sz w:val="24"/>
          <w:szCs w:val="24"/>
        </w:rPr>
      </w:pPr>
      <w:r>
        <w:rPr>
          <w:rFonts w:hint="eastAsia" w:ascii="宋体" w:hAnsi="宋体" w:eastAsia="宋体" w:cs="宋体"/>
          <w:sz w:val="24"/>
          <w:szCs w:val="24"/>
        </w:rPr>
        <w:t>择优选定1</w:t>
      </w:r>
      <w:r>
        <w:rPr>
          <w:rFonts w:hint="eastAsia" w:ascii="宋体" w:hAnsi="宋体" w:eastAsia="宋体" w:cs="宋体"/>
          <w:sz w:val="24"/>
          <w:szCs w:val="24"/>
          <w:lang w:val="en-US" w:eastAsia="zh-CN"/>
        </w:rPr>
        <w:t>5</w:t>
      </w:r>
      <w:r>
        <w:rPr>
          <w:rFonts w:hint="eastAsia" w:ascii="宋体" w:hAnsi="宋体" w:eastAsia="宋体" w:cs="宋体"/>
          <w:sz w:val="24"/>
          <w:szCs w:val="24"/>
        </w:rPr>
        <w:t>家乙级及以上工程造价咨询机构</w:t>
      </w:r>
      <w:r>
        <w:rPr>
          <w:rFonts w:hint="eastAsia" w:ascii="宋体" w:hAnsi="宋体" w:cs="仿宋_GB2312"/>
          <w:sz w:val="24"/>
          <w:szCs w:val="24"/>
          <w:shd w:val="clear" w:color="auto" w:fill="FFFFFF"/>
        </w:rPr>
        <w:t>，</w:t>
      </w:r>
      <w:r>
        <w:rPr>
          <w:rFonts w:hint="eastAsia" w:ascii="宋体" w:hAnsi="宋体" w:eastAsia="宋体" w:cs="宋体"/>
          <w:sz w:val="24"/>
          <w:szCs w:val="24"/>
        </w:rPr>
        <w:t>5家B类及以上会计事务所</w:t>
      </w:r>
      <w:r>
        <w:rPr>
          <w:rFonts w:hint="eastAsia" w:ascii="宋体" w:hAnsi="宋体" w:eastAsia="宋体" w:cs="宋体"/>
          <w:kern w:val="0"/>
          <w:sz w:val="24"/>
          <w:szCs w:val="24"/>
        </w:rPr>
        <w:t>。</w:t>
      </w:r>
    </w:p>
    <w:p>
      <w:pPr>
        <w:widowControl/>
        <w:shd w:val="clear" w:color="auto" w:fill="FFFFFF"/>
        <w:spacing w:line="360" w:lineRule="auto"/>
        <w:ind w:firstLine="422" w:firstLineChars="200"/>
        <w:contextualSpacing/>
        <w:jc w:val="left"/>
        <w:rPr>
          <w:rFonts w:ascii="宋体" w:hAnsi="宋体" w:cs="宋体"/>
          <w:b/>
          <w:kern w:val="0"/>
          <w:sz w:val="24"/>
          <w:szCs w:val="24"/>
        </w:rPr>
      </w:pPr>
      <w:r>
        <w:rPr>
          <w:rFonts w:hint="eastAsia" w:ascii="宋体" w:hAnsi="宋体" w:cs="微软雅黑"/>
          <w:b/>
          <w:szCs w:val="21"/>
        </w:rPr>
        <w:t>★</w:t>
      </w:r>
      <w:r>
        <w:rPr>
          <w:rFonts w:hint="eastAsia" w:ascii="宋体" w:hAnsi="宋体" w:cs="宋体"/>
          <w:b/>
          <w:kern w:val="0"/>
          <w:sz w:val="24"/>
          <w:szCs w:val="24"/>
        </w:rPr>
        <w:t>三、服务标准、期限、效率等要求</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、服务标准：按照《许昌市城乡一体化示范区政府购买中介机构服务管理暂行办法（试行）》执行</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、服务期限：三年</w:t>
      </w:r>
    </w:p>
    <w:p>
      <w:pPr>
        <w:widowControl/>
        <w:shd w:val="clear" w:color="auto" w:fill="FFFFFF"/>
        <w:spacing w:line="360" w:lineRule="auto"/>
        <w:ind w:firstLine="480" w:firstLineChars="200"/>
        <w:contextualSpacing/>
        <w:jc w:val="left"/>
        <w:rPr>
          <w:lang w:val="zh-CN"/>
        </w:rPr>
      </w:pPr>
      <w:r>
        <w:rPr>
          <w:rFonts w:ascii="宋体" w:hAnsi="宋体" w:cs="宋体"/>
          <w:kern w:val="0"/>
          <w:sz w:val="24"/>
          <w:szCs w:val="24"/>
        </w:rPr>
        <w:t>3</w:t>
      </w:r>
      <w:r>
        <w:rPr>
          <w:rFonts w:hint="eastAsia" w:ascii="宋体" w:hAnsi="宋体" w:cs="宋体"/>
          <w:kern w:val="0"/>
          <w:sz w:val="24"/>
          <w:szCs w:val="24"/>
        </w:rPr>
        <w:t>、效率：根据投标人在投标文件中承诺的响应时间</w:t>
      </w:r>
    </w:p>
    <w:p>
      <w:pPr>
        <w:wordWrap w:val="0"/>
        <w:spacing w:line="360" w:lineRule="auto"/>
        <w:ind w:firstLine="422" w:firstLineChars="200"/>
        <w:contextualSpacing/>
        <w:rPr>
          <w:rFonts w:ascii="宋体" w:cs="宋体"/>
          <w:b/>
          <w:kern w:val="0"/>
          <w:sz w:val="24"/>
          <w:szCs w:val="24"/>
          <w:lang w:val="zh-CN"/>
        </w:rPr>
      </w:pPr>
      <w:r>
        <w:rPr>
          <w:rFonts w:hint="eastAsia" w:ascii="宋体" w:hAnsi="宋体" w:cs="微软雅黑"/>
          <w:b/>
          <w:szCs w:val="21"/>
        </w:rPr>
        <w:t>★四</w:t>
      </w:r>
      <w:r>
        <w:rPr>
          <w:rFonts w:hint="eastAsia" w:ascii="宋体" w:hAnsi="宋体" w:cs="宋体"/>
          <w:b/>
          <w:kern w:val="0"/>
          <w:sz w:val="24"/>
          <w:szCs w:val="24"/>
          <w:lang w:val="zh-CN"/>
        </w:rPr>
        <w:t>、采购标的的其他技术、服务等要求</w:t>
      </w:r>
    </w:p>
    <w:p>
      <w:pPr>
        <w:widowControl/>
        <w:numPr>
          <w:ilvl w:val="0"/>
          <w:numId w:val="7"/>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对中标的中介机构服务单位管理遵循“管用分离，择优进库，随机抽取、综合评价、动态管理、绩效挂钩”的原则，待有项目需要委托时，根据《办法》规定确定受委托单位。受委托单位被抽中后再与委托</w:t>
      </w:r>
      <w:r>
        <w:rPr>
          <w:rFonts w:hint="eastAsia"/>
          <w:sz w:val="24"/>
          <w:szCs w:val="24"/>
        </w:rPr>
        <w:t>人订立书面合同。受委托单位无正当理由拒签合同的，采购人取消其入库资格。并</w:t>
      </w:r>
      <w:r>
        <w:rPr>
          <w:rFonts w:hint="eastAsia" w:ascii="宋体" w:hAnsi="宋体" w:cs="宋体"/>
          <w:kern w:val="0"/>
          <w:sz w:val="24"/>
          <w:szCs w:val="24"/>
        </w:rPr>
        <w:t>为了确保清产核资、财政（财务）审计等委托项目和其他专项委托工作客观、公正，按照</w:t>
      </w:r>
      <w:r>
        <w:rPr>
          <w:rFonts w:hint="eastAsia" w:ascii="宋体" w:cs="宋体"/>
          <w:kern w:val="0"/>
          <w:sz w:val="24"/>
          <w:szCs w:val="24"/>
        </w:rPr>
        <w:t>“</w:t>
      </w:r>
      <w:r>
        <w:rPr>
          <w:rFonts w:hint="eastAsia" w:ascii="宋体" w:hAnsi="宋体" w:cs="宋体"/>
          <w:kern w:val="0"/>
          <w:sz w:val="24"/>
          <w:szCs w:val="24"/>
        </w:rPr>
        <w:t>谁使用、谁付费、谁评价</w:t>
      </w:r>
      <w:r>
        <w:rPr>
          <w:rFonts w:hint="eastAsia" w:ascii="宋体" w:cs="宋体"/>
          <w:kern w:val="0"/>
          <w:sz w:val="24"/>
          <w:szCs w:val="24"/>
        </w:rPr>
        <w:t>”</w:t>
      </w:r>
      <w:r>
        <w:rPr>
          <w:rFonts w:hint="eastAsia" w:ascii="宋体" w:hAnsi="宋体" w:cs="宋体"/>
          <w:kern w:val="0"/>
          <w:sz w:val="24"/>
          <w:szCs w:val="24"/>
        </w:rPr>
        <w:t>的原则，由委托单位向受委托单位拨付费用，受托单位不得向委托单位另行收取任何费用。</w:t>
      </w:r>
    </w:p>
    <w:p>
      <w:pPr>
        <w:widowControl/>
        <w:numPr>
          <w:ilvl w:val="0"/>
          <w:numId w:val="7"/>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其他服务要求：</w:t>
      </w:r>
    </w:p>
    <w:p>
      <w:pPr>
        <w:widowControl/>
        <w:numPr>
          <w:ilvl w:val="0"/>
          <w:numId w:val="8"/>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各中标工程造价咨询机构（会计事务所）服务机构在接受招标人委托的项目服务时，派出完成该项目的工作人员必须是在拟投入专业服务该项目团队名单中的注册造价工程师（注册会计师）、工作人员为常驻人员，且能胜任项目审计、检查等工作。</w:t>
      </w:r>
    </w:p>
    <w:p>
      <w:pPr>
        <w:widowControl/>
        <w:numPr>
          <w:ilvl w:val="0"/>
          <w:numId w:val="8"/>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入库的中介机构及其执业人员，应当按照委托合同约定，独立、客观、公正地履行职责，为委托单位和监管单位提供真实可靠的业务报告，未经许昌市城乡一体化示范区财政局同意，不得将受托业务分包或转托于其他任何中介机构。</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ascii="宋体" w:hAnsi="宋体" w:cs="微软雅黑"/>
          <w:b/>
          <w:sz w:val="24"/>
          <w:szCs w:val="24"/>
        </w:rPr>
        <w:t>★五</w:t>
      </w:r>
      <w:r>
        <w:rPr>
          <w:rFonts w:hint="eastAsia" w:ascii="宋体" w:hAnsi="宋体" w:cs="宋体"/>
          <w:b/>
          <w:kern w:val="0"/>
          <w:sz w:val="24"/>
          <w:szCs w:val="24"/>
          <w:lang w:val="zh-CN"/>
        </w:rPr>
        <w:t>、验收标准</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1、根据</w:t>
      </w:r>
      <w:r>
        <w:rPr>
          <w:rFonts w:hint="eastAsia" w:ascii="宋体" w:hAnsi="宋体" w:cs="宋体"/>
          <w:kern w:val="0"/>
        </w:rPr>
        <w:t>《许昌市城乡一体化示范区政府购买中介机构服务管理暂行办法（试行）》</w:t>
      </w:r>
      <w:r>
        <w:rPr>
          <w:rFonts w:hint="eastAsia" w:ascii="宋体" w:hAnsi="宋体" w:cs="宋体"/>
          <w:kern w:val="0"/>
          <w:lang w:val="zh-CN"/>
        </w:rPr>
        <w:t>规定的“谁使用、谁付费、谁评价”的原则，委托人在服务项目结束后，按照合同约定的服务项目及标准，对受托中介机构服务质量进行履约验收评价。</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2、按照招标文件要求、投标文件响应和承诺验收。</w:t>
      </w:r>
    </w:p>
    <w:p>
      <w:pPr>
        <w:pStyle w:val="20"/>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 xml:space="preserve">3、符合国家的法律、法规和会计的行业规范以及会计有关的制度、规章和规定等。 </w:t>
      </w:r>
    </w:p>
    <w:p>
      <w:pPr>
        <w:widowControl/>
        <w:shd w:val="clear" w:color="auto" w:fill="FFFFFF"/>
        <w:spacing w:line="360" w:lineRule="auto"/>
        <w:ind w:firstLine="480" w:firstLineChars="20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★六</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u w:val="single"/>
          <w:shd w:val="clear" w:color="auto" w:fill="FFFFFF"/>
        </w:rPr>
        <w:t xml:space="preserve"> 无 </w:t>
      </w:r>
      <w:r>
        <w:rPr>
          <w:rFonts w:hint="eastAsia" w:cs="黑体" w:asciiTheme="minorEastAsia" w:hAnsiTheme="minorEastAsia" w:eastAsiaTheme="minorEastAsia"/>
          <w:shd w:val="clear" w:color="auto" w:fill="FFFFFF"/>
        </w:rPr>
        <w:t xml:space="preserve">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★七</w:t>
      </w:r>
      <w:r>
        <w:rPr>
          <w:rFonts w:hint="eastAsia" w:cs="宋体" w:asciiTheme="minorEastAsia" w:hAnsiTheme="minorEastAsia"/>
          <w:b/>
          <w:kern w:val="0"/>
          <w:sz w:val="24"/>
          <w:szCs w:val="24"/>
          <w:lang w:val="zh-CN"/>
        </w:rPr>
        <w:t>、资金支付</w:t>
      </w:r>
    </w:p>
    <w:p>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zh-CN"/>
        </w:rPr>
        <w:t>1、支付方式：银行转账。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kern w:val="0"/>
          <w:sz w:val="32"/>
          <w:szCs w:val="32"/>
        </w:rPr>
      </w:pPr>
      <w:r>
        <w:rPr>
          <w:rFonts w:hint="eastAsia" w:cs="宋体" w:asciiTheme="minorEastAsia" w:hAnsiTheme="minorEastAsia"/>
          <w:kern w:val="0"/>
          <w:sz w:val="24"/>
          <w:szCs w:val="24"/>
          <w:lang w:val="zh-CN"/>
        </w:rPr>
        <w:t>2、支付时间及条件：资产评估机构完成某项目后，一周内为资产评估机构结清服务费。</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20"/>
              <w:widowControl/>
              <w:shd w:val="clear" w:color="auto" w:fill="FFFFFF"/>
              <w:spacing w:line="432" w:lineRule="auto"/>
              <w:contextualSpacing/>
              <w:jc w:val="left"/>
              <w:rPr>
                <w:rFonts w:cs="仿宋_GB2312" w:asciiTheme="minorEastAsia" w:hAnsiTheme="minorEastAsia" w:eastAsiaTheme="minorEastAsia"/>
              </w:rPr>
            </w:pPr>
            <w:r>
              <w:rPr>
                <w:rFonts w:hint="eastAsia" w:cs="仿宋_GB2312" w:asciiTheme="minorEastAsia" w:hAnsiTheme="minorEastAsia"/>
              </w:rPr>
              <w:t>项目名称：</w:t>
            </w:r>
            <w:r>
              <w:rPr>
                <w:rFonts w:hint="eastAsia" w:ascii="宋体" w:hAnsi="宋体" w:cs="宋体"/>
                <w:kern w:val="0"/>
              </w:rPr>
              <w:t>许昌市城乡一体化示范区工程造价咨询、财政财务审计机构备选库</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项目编号：JZFCG-G2019046号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ascii="宋体" w:hAnsi="宋体" w:eastAsia="宋体" w:cs="宋体"/>
                <w:kern w:val="0"/>
                <w:sz w:val="24"/>
                <w:szCs w:val="24"/>
              </w:rPr>
              <w:t>许昌市城乡一体化示范区工程造价咨询、财政财务审计机构备选库</w:t>
            </w:r>
            <w:r>
              <w:rPr>
                <w:rFonts w:hint="eastAsia" w:ascii="宋体" w:hAnsi="宋体" w:cs="仿宋_GB2312"/>
                <w:sz w:val="24"/>
                <w:szCs w:val="24"/>
              </w:rPr>
              <w:t>，A包：乙级及以上工程造价咨询机构1</w:t>
            </w:r>
            <w:r>
              <w:rPr>
                <w:rFonts w:hint="eastAsia" w:ascii="宋体" w:hAnsi="宋体" w:cs="仿宋_GB2312"/>
                <w:sz w:val="24"/>
                <w:szCs w:val="24"/>
                <w:lang w:val="en-US" w:eastAsia="zh-CN"/>
              </w:rPr>
              <w:t>5</w:t>
            </w:r>
            <w:r>
              <w:rPr>
                <w:rFonts w:hint="eastAsia" w:ascii="宋体" w:hAnsi="宋体" w:cs="仿宋_GB2312"/>
                <w:sz w:val="24"/>
                <w:szCs w:val="24"/>
              </w:rPr>
              <w:t>家，B包：B类及以上会计事务所5家。具体要求详见招标文件。</w:t>
            </w:r>
            <w:r>
              <w:rPr>
                <w:rFonts w:hint="eastAsia" w:cs="仿宋_GB2312" w:asciiTheme="minorEastAsia" w:hAnsiTheme="minorEastAsia"/>
                <w:sz w:val="24"/>
                <w:szCs w:val="24"/>
              </w:rPr>
              <w:t>。</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名称：许昌市城乡一体化示范区财政局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地址：许昌市东城区金融大厦9楼907室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电话：0374-3372668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名称：河南建威工程管理咨询有限公司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地址：郑州市郑东新区中兴南路凯利国际中心B栋1708号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联系人：夏先生              电话：0371-56272589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r>
              <w:rPr>
                <w:rFonts w:hint="eastAsia" w:cs="宋体" w:asciiTheme="minorEastAsia" w:hAnsiTheme="minorEastAsia"/>
                <w:b/>
                <w:bCs/>
                <w:sz w:val="24"/>
                <w:szCs w:val="24"/>
                <w:lang w:val="zh-CN"/>
              </w:rPr>
              <w:t>（原件）</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1、企业法人营业执照或营业执照原件。（企业投标提供）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2、事业单位法人证书原件。（事业单位投标提供）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3、执业许可证原件。（非专业服务机构投标提供）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4、个体工商户营业执照原件。（个体工商户投标提供）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5、自然人身份证明原件。（自然人投标提供）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w:t>
            </w:r>
            <w:r>
              <w:rPr>
                <w:rFonts w:hint="eastAsia" w:cs="宋体" w:asciiTheme="minorEastAsia" w:hAnsiTheme="minorEastAsia"/>
                <w:bCs/>
                <w:sz w:val="24"/>
                <w:szCs w:val="24"/>
              </w:rPr>
              <w:t>7-2018</w:t>
            </w:r>
            <w:r>
              <w:rPr>
                <w:rFonts w:hint="eastAsia" w:cs="宋体" w:asciiTheme="minorEastAsia" w:hAnsiTheme="minorEastAsia"/>
                <w:bCs/>
                <w:sz w:val="24"/>
                <w:szCs w:val="24"/>
                <w:lang w:val="zh-CN"/>
              </w:rPr>
              <w:t>年度经审计的财务报告原件，包括资产负债表、利润表、现金流量表、所有者权益变动表及其附注；或基本开户银行出具的资信证明原件；或财政部门认可的政府采购专业担保机构的证明文件和担保机构出具的投标担保函原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银行出具的资信证明原件；或财政部门认可的政府采购专业担保机构的证明文件和担保机构出具的投标担保函原件。（其他组织和自然人投标提供）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r>
              <w:rPr>
                <w:rFonts w:hint="eastAsia" w:ascii="宋体" w:hAnsi="宋体"/>
                <w:b/>
                <w:bCs/>
                <w:sz w:val="24"/>
                <w:szCs w:val="24"/>
              </w:rPr>
              <w:t>（提供原件）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w:t>
            </w:r>
            <w:r>
              <w:rPr>
                <w:rFonts w:hint="eastAsia" w:ascii="宋体" w:hAnsi="宋体" w:cs="宋体"/>
                <w:bCs/>
                <w:sz w:val="24"/>
                <w:szCs w:val="24"/>
              </w:rPr>
              <w:t>2019年2</w:t>
            </w:r>
            <w:r>
              <w:rPr>
                <w:rFonts w:hint="eastAsia" w:ascii="宋体" w:hAnsi="宋体" w:cs="宋体"/>
                <w:bCs/>
                <w:sz w:val="24"/>
                <w:szCs w:val="24"/>
                <w:lang w:val="zh-CN"/>
              </w:rPr>
              <w:t>月至</w:t>
            </w:r>
            <w:r>
              <w:rPr>
                <w:rFonts w:hint="eastAsia" w:ascii="宋体" w:hAnsi="宋体" w:cs="宋体"/>
                <w:bCs/>
                <w:sz w:val="24"/>
                <w:szCs w:val="24"/>
              </w:rPr>
              <w:t>4</w:t>
            </w:r>
            <w:r>
              <w:rPr>
                <w:rFonts w:hint="eastAsia" w:ascii="宋体" w:hAnsi="宋体" w:cs="宋体"/>
                <w:bCs/>
                <w:sz w:val="24"/>
                <w:szCs w:val="24"/>
                <w:lang w:val="zh-CN"/>
              </w:rPr>
              <w:t>月三个月的缴纳税收凭据。（依法免税的投标人，应提供相应文件证明依法免税）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r>
              <w:rPr>
                <w:rFonts w:hint="eastAsia" w:ascii="宋体" w:hAnsi="宋体"/>
                <w:b/>
                <w:bCs/>
                <w:sz w:val="24"/>
                <w:szCs w:val="24"/>
              </w:rPr>
              <w:t>（提供原件）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投标截止时间前201</w:t>
            </w:r>
            <w:r>
              <w:rPr>
                <w:rFonts w:hint="eastAsia" w:ascii="宋体" w:hAnsi="宋体" w:cs="宋体"/>
                <w:bCs/>
                <w:sz w:val="24"/>
                <w:szCs w:val="24"/>
              </w:rPr>
              <w:t>9</w:t>
            </w:r>
            <w:r>
              <w:rPr>
                <w:rFonts w:hint="eastAsia" w:ascii="宋体" w:hAnsi="宋体" w:cs="宋体"/>
                <w:bCs/>
                <w:sz w:val="24"/>
                <w:szCs w:val="24"/>
                <w:lang w:val="zh-CN"/>
              </w:rPr>
              <w:t>年</w:t>
            </w:r>
            <w:r>
              <w:rPr>
                <w:rFonts w:hint="eastAsia" w:ascii="宋体" w:hAnsi="宋体" w:cs="宋体"/>
                <w:bCs/>
                <w:sz w:val="24"/>
                <w:szCs w:val="24"/>
              </w:rPr>
              <w:t>2</w:t>
            </w:r>
            <w:r>
              <w:rPr>
                <w:rFonts w:hint="eastAsia" w:ascii="宋体" w:hAnsi="宋体" w:cs="宋体"/>
                <w:bCs/>
                <w:sz w:val="24"/>
                <w:szCs w:val="24"/>
                <w:lang w:val="zh-CN"/>
              </w:rPr>
              <w:t>月至</w:t>
            </w:r>
            <w:r>
              <w:rPr>
                <w:rFonts w:hint="eastAsia" w:ascii="宋体" w:hAnsi="宋体" w:cs="宋体"/>
                <w:bCs/>
                <w:sz w:val="24"/>
                <w:szCs w:val="24"/>
              </w:rPr>
              <w:t>4</w:t>
            </w:r>
            <w:r>
              <w:rPr>
                <w:rFonts w:hint="eastAsia" w:ascii="宋体" w:hAnsi="宋体" w:cs="宋体"/>
                <w:bCs/>
                <w:sz w:val="24"/>
                <w:szCs w:val="24"/>
                <w:lang w:val="zh-CN"/>
              </w:rPr>
              <w:t>月三个月的缴纳社会保险凭据。（依法不需要缴纳社会保障资金的投标人，应提供相应文件证明依法不需要缴纳社会保障资金）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相关设备的购置发票原件、专业技术人员职称证书原件、用工合同原件等或者</w:t>
            </w:r>
            <w:r>
              <w:rPr>
                <w:rFonts w:hint="eastAsia" w:cs="宋体" w:asciiTheme="minorEastAsia" w:hAnsiTheme="minorEastAsia"/>
                <w:kern w:val="0"/>
                <w:sz w:val="24"/>
                <w:szCs w:val="24"/>
              </w:rPr>
              <w:t>附投标人相关承诺函或声明。</w:t>
            </w:r>
          </w:p>
          <w:p>
            <w:pPr>
              <w:pStyle w:val="2"/>
              <w:ind w:firstLine="240"/>
              <w:rPr>
                <w:rFonts w:cs="宋体" w:asciiTheme="minorEastAsia" w:hAnsiTheme="minorEastAsia" w:eastAsiaTheme="minorEastAsia"/>
                <w:bCs/>
                <w:kern w:val="2"/>
                <w:sz w:val="24"/>
                <w:szCs w:val="24"/>
                <w:lang w:val="zh-CN"/>
              </w:rPr>
            </w:pPr>
            <w:r>
              <w:rPr>
                <w:rFonts w:hint="eastAsia" w:cs="宋体" w:asciiTheme="minorEastAsia" w:hAnsiTheme="minorEastAsia" w:eastAsiaTheme="minorEastAsia"/>
                <w:bCs/>
                <w:kern w:val="2"/>
                <w:sz w:val="24"/>
                <w:szCs w:val="24"/>
                <w:lang w:val="zh-CN"/>
              </w:rPr>
              <w:t>属于河南省注册会计师协会公布的201</w:t>
            </w:r>
            <w:r>
              <w:rPr>
                <w:rFonts w:hint="eastAsia" w:cs="宋体" w:asciiTheme="minorEastAsia" w:hAnsiTheme="minorEastAsia" w:eastAsiaTheme="minorEastAsia"/>
                <w:bCs/>
                <w:kern w:val="2"/>
                <w:sz w:val="24"/>
                <w:szCs w:val="24"/>
              </w:rPr>
              <w:t>8</w:t>
            </w:r>
            <w:r>
              <w:rPr>
                <w:rFonts w:hint="eastAsia" w:cs="宋体" w:asciiTheme="minorEastAsia" w:hAnsiTheme="minorEastAsia" w:eastAsiaTheme="minorEastAsia"/>
                <w:bCs/>
                <w:kern w:val="2"/>
                <w:sz w:val="24"/>
                <w:szCs w:val="24"/>
                <w:lang w:val="zh-CN"/>
              </w:rPr>
              <w:t>年分类评价结果认定的</w:t>
            </w:r>
            <w:r>
              <w:rPr>
                <w:rFonts w:hint="eastAsia" w:cs="宋体" w:asciiTheme="minorEastAsia" w:hAnsiTheme="minorEastAsia" w:eastAsiaTheme="minorEastAsia"/>
                <w:bCs/>
                <w:kern w:val="2"/>
                <w:sz w:val="24"/>
                <w:szCs w:val="24"/>
              </w:rPr>
              <w:t>B</w:t>
            </w:r>
            <w:r>
              <w:rPr>
                <w:rFonts w:hint="eastAsia" w:cs="宋体" w:asciiTheme="minorEastAsia" w:hAnsiTheme="minorEastAsia" w:eastAsiaTheme="minorEastAsia"/>
                <w:bCs/>
                <w:kern w:val="2"/>
                <w:sz w:val="24"/>
                <w:szCs w:val="24"/>
                <w:lang w:val="zh-CN"/>
              </w:rPr>
              <w:t>类及以上会计师事务所；或中华人民共和国其它省（市、自治区）注册会计师协会截止201</w:t>
            </w:r>
            <w:r>
              <w:rPr>
                <w:rFonts w:hint="eastAsia" w:cs="宋体" w:asciiTheme="minorEastAsia" w:hAnsiTheme="minorEastAsia" w:eastAsiaTheme="minorEastAsia"/>
                <w:bCs/>
                <w:kern w:val="2"/>
                <w:sz w:val="24"/>
                <w:szCs w:val="24"/>
              </w:rPr>
              <w:t>8</w:t>
            </w:r>
            <w:r>
              <w:rPr>
                <w:rFonts w:hint="eastAsia" w:cs="宋体" w:asciiTheme="minorEastAsia" w:hAnsiTheme="minorEastAsia" w:eastAsiaTheme="minorEastAsia"/>
                <w:bCs/>
                <w:kern w:val="2"/>
                <w:sz w:val="24"/>
                <w:szCs w:val="24"/>
                <w:lang w:val="zh-CN"/>
              </w:rPr>
              <w:t>年</w:t>
            </w:r>
            <w:r>
              <w:rPr>
                <w:rFonts w:hint="eastAsia" w:cs="宋体" w:asciiTheme="minorEastAsia" w:hAnsiTheme="minorEastAsia" w:eastAsiaTheme="minorEastAsia"/>
                <w:bCs/>
                <w:kern w:val="2"/>
                <w:sz w:val="24"/>
                <w:szCs w:val="24"/>
              </w:rPr>
              <w:t>5</w:t>
            </w:r>
            <w:r>
              <w:rPr>
                <w:rFonts w:hint="eastAsia" w:cs="宋体" w:asciiTheme="minorEastAsia" w:hAnsiTheme="minorEastAsia" w:eastAsiaTheme="minorEastAsia"/>
                <w:bCs/>
                <w:kern w:val="2"/>
                <w:sz w:val="24"/>
                <w:szCs w:val="24"/>
                <w:lang w:val="zh-CN"/>
              </w:rPr>
              <w:t>月2</w:t>
            </w:r>
            <w:r>
              <w:rPr>
                <w:rFonts w:hint="eastAsia" w:cs="宋体" w:asciiTheme="minorEastAsia" w:hAnsiTheme="minorEastAsia" w:eastAsiaTheme="minorEastAsia"/>
                <w:bCs/>
                <w:kern w:val="2"/>
                <w:sz w:val="24"/>
                <w:szCs w:val="24"/>
              </w:rPr>
              <w:t>0</w:t>
            </w:r>
            <w:r>
              <w:rPr>
                <w:rFonts w:hint="eastAsia" w:cs="宋体" w:asciiTheme="minorEastAsia" w:hAnsiTheme="minorEastAsia" w:eastAsiaTheme="minorEastAsia"/>
                <w:bCs/>
                <w:kern w:val="2"/>
                <w:sz w:val="24"/>
                <w:szCs w:val="24"/>
                <w:lang w:val="zh-CN"/>
              </w:rPr>
              <w:t>日前最新公布的分类评价结果中，排在第二类及以上的会计师事务所（或相当于河南省注册会计师协会公布的201</w:t>
            </w:r>
            <w:r>
              <w:rPr>
                <w:rFonts w:hint="eastAsia" w:cs="宋体" w:asciiTheme="minorEastAsia" w:hAnsiTheme="minorEastAsia" w:eastAsiaTheme="minorEastAsia"/>
                <w:bCs/>
                <w:kern w:val="2"/>
                <w:sz w:val="24"/>
                <w:szCs w:val="24"/>
              </w:rPr>
              <w:t>8</w:t>
            </w:r>
            <w:r>
              <w:rPr>
                <w:rFonts w:hint="eastAsia" w:cs="宋体" w:asciiTheme="minorEastAsia" w:hAnsiTheme="minorEastAsia" w:eastAsiaTheme="minorEastAsia"/>
                <w:bCs/>
                <w:kern w:val="2"/>
                <w:sz w:val="24"/>
                <w:szCs w:val="24"/>
                <w:lang w:val="zh-CN"/>
              </w:rPr>
              <w:t>年分类评价结果认定的</w:t>
            </w:r>
            <w:r>
              <w:rPr>
                <w:rFonts w:hint="eastAsia" w:cs="宋体" w:asciiTheme="minorEastAsia" w:hAnsiTheme="minorEastAsia" w:eastAsiaTheme="minorEastAsia"/>
                <w:bCs/>
                <w:kern w:val="2"/>
                <w:sz w:val="24"/>
                <w:szCs w:val="24"/>
              </w:rPr>
              <w:t>B</w:t>
            </w:r>
            <w:r>
              <w:rPr>
                <w:rFonts w:hint="eastAsia" w:cs="宋体" w:asciiTheme="minorEastAsia" w:hAnsiTheme="minorEastAsia" w:eastAsiaTheme="minorEastAsia"/>
                <w:bCs/>
                <w:kern w:val="2"/>
                <w:sz w:val="24"/>
                <w:szCs w:val="24"/>
                <w:lang w:val="zh-CN"/>
              </w:rPr>
              <w:t>类及以上会计师事务所）</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pStyle w:val="2"/>
              <w:numPr>
                <w:ilvl w:val="0"/>
                <w:numId w:val="9"/>
              </w:numPr>
              <w:ind w:firstLine="0" w:firstLineChars="0"/>
              <w:rPr>
                <w:rFonts w:cs="仿宋_GB2312" w:asciiTheme="minorEastAsia" w:hAnsiTheme="minorEastAsia" w:eastAsiaTheme="minorEastAsia"/>
                <w:b/>
                <w:kern w:val="2"/>
                <w:sz w:val="24"/>
                <w:szCs w:val="24"/>
                <w:shd w:val="clear" w:color="auto" w:fill="FFFFFF"/>
              </w:rPr>
            </w:pPr>
            <w:r>
              <w:rPr>
                <w:rFonts w:hint="eastAsia" w:cs="仿宋_GB2312" w:asciiTheme="minorEastAsia" w:hAnsiTheme="minorEastAsia" w:eastAsiaTheme="minorEastAsia"/>
                <w:b/>
                <w:kern w:val="2"/>
                <w:sz w:val="24"/>
                <w:szCs w:val="24"/>
                <w:shd w:val="clear" w:color="auto" w:fill="FFFFFF"/>
              </w:rPr>
              <w:t>投标人资格要求：</w:t>
            </w:r>
          </w:p>
          <w:p>
            <w:pPr>
              <w:pStyle w:val="2"/>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A包：具有建设行政主管部门颁发的工程造价乙级及以上资质；</w:t>
            </w:r>
          </w:p>
          <w:p>
            <w:pPr>
              <w:pStyle w:val="2"/>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包：属于河南省注册会计师协会公布的2018年分类评价结果认定的B类及以上事务所；或中华人民共和国其它省注册会计师协会截止2018年5月20日前最新公布的分类评价结果中，排在第二类及以上的会计师事务所（或相当于河南省注册会计师协会公布 的2018年分类评价结果认定的B类及以上事务所）。</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 xml:space="preserve"> 07</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01</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 xml:space="preserve"> 8  </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 xml:space="preserve"> 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w:t>
            </w:r>
            <w:r>
              <w:rPr>
                <w:rFonts w:hint="eastAsia" w:cs="宋体" w:asciiTheme="minorEastAsia" w:hAnsiTheme="minorEastAsia"/>
                <w:bCs/>
                <w:sz w:val="24"/>
                <w:szCs w:val="24"/>
              </w:rPr>
              <w:t xml:space="preserve"> 三 </w:t>
            </w:r>
            <w:r>
              <w:rPr>
                <w:rFonts w:hint="eastAsia" w:cs="宋体" w:asciiTheme="minorEastAsia" w:hAnsiTheme="minorEastAsia"/>
                <w:bCs/>
                <w:sz w:val="24"/>
                <w:szCs w:val="24"/>
                <w:lang w:val="zh-CN"/>
              </w:rPr>
              <w:t>楼开标</w:t>
            </w:r>
            <w:r>
              <w:rPr>
                <w:rFonts w:hint="eastAsia" w:cs="宋体" w:asciiTheme="minorEastAsia" w:hAnsiTheme="minorEastAsia"/>
                <w:bCs/>
                <w:sz w:val="24"/>
                <w:szCs w:val="24"/>
                <w:u w:val="single"/>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p>
          <w:p>
            <w:pPr>
              <w:pStyle w:val="2"/>
              <w:ind w:firstLine="0" w:firstLineChars="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A包：人民币壹万元整（</w:t>
            </w:r>
            <w:r>
              <w:rPr>
                <w:rFonts w:hint="eastAsia" w:hAnsi="宋体" w:cs="宋体"/>
                <w:kern w:val="2"/>
                <w:sz w:val="24"/>
                <w:szCs w:val="24"/>
              </w:rPr>
              <w:t>￥</w:t>
            </w:r>
            <w:r>
              <w:rPr>
                <w:rFonts w:hint="eastAsia" w:cs="仿宋_GB2312" w:asciiTheme="minorEastAsia" w:hAnsiTheme="minorEastAsia" w:eastAsiaTheme="minorEastAsia"/>
                <w:kern w:val="2"/>
                <w:sz w:val="24"/>
                <w:szCs w:val="24"/>
              </w:rPr>
              <w:t>：10000 元）</w:t>
            </w:r>
          </w:p>
          <w:p>
            <w:pPr>
              <w:pStyle w:val="2"/>
              <w:ind w:firstLine="0" w:firstLineChars="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B包：人民币壹万元整（</w:t>
            </w:r>
            <w:r>
              <w:rPr>
                <w:rFonts w:hint="eastAsia" w:hAnsi="宋体" w:cs="宋体"/>
                <w:kern w:val="2"/>
                <w:sz w:val="24"/>
                <w:szCs w:val="24"/>
              </w:rPr>
              <w:t>￥</w:t>
            </w:r>
            <w:r>
              <w:rPr>
                <w:rFonts w:hint="eastAsia" w:cs="仿宋_GB2312" w:asciiTheme="minorEastAsia" w:hAnsiTheme="minorEastAsia" w:eastAsiaTheme="minorEastAsia"/>
                <w:kern w:val="2"/>
                <w:sz w:val="24"/>
                <w:szCs w:val="24"/>
              </w:rPr>
              <w:t>：10000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份，副本四份。使用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密封要求</w:t>
            </w:r>
          </w:p>
        </w:tc>
        <w:tc>
          <w:tcPr>
            <w:tcW w:w="6813" w:type="dxa"/>
            <w:vAlign w:val="center"/>
          </w:tcPr>
          <w:p>
            <w:pPr>
              <w:autoSpaceDE w:val="0"/>
              <w:autoSpaceDN w:val="0"/>
              <w:adjustRightInd w:val="0"/>
              <w:spacing w:line="360" w:lineRule="auto"/>
              <w:rPr>
                <w:rFonts w:ascii="新宋体" w:hAnsi="新宋体" w:eastAsia="新宋体"/>
                <w:sz w:val="24"/>
                <w:lang w:val="zh-CN"/>
              </w:rPr>
            </w:pPr>
            <w:r>
              <w:rPr>
                <w:rFonts w:hint="eastAsia" w:ascii="新宋体" w:hAnsi="新宋体" w:eastAsia="新宋体"/>
                <w:sz w:val="24"/>
                <w:lang w:val="zh-CN"/>
              </w:rPr>
              <w:t>投标人应将投标文件“正本”、“ 副本”“电子版”分开密封包装并注明“正本”，“副本”、“电子文档”标记。并加外层密封成一个整体后贴上封条，封条上需加盖企业公章。</w:t>
            </w:r>
          </w:p>
          <w:p>
            <w:pPr>
              <w:autoSpaceDE w:val="0"/>
              <w:autoSpaceDN w:val="0"/>
              <w:adjustRightInd w:val="0"/>
              <w:spacing w:line="360" w:lineRule="auto"/>
              <w:rPr>
                <w:rFonts w:eastAsia="新宋体"/>
              </w:rPr>
            </w:pPr>
            <w:r>
              <w:rPr>
                <w:rFonts w:hint="eastAsia" w:ascii="新宋体" w:hAnsi="新宋体" w:eastAsia="新宋体"/>
                <w:sz w:val="24"/>
                <w:lang w:val="zh-CN"/>
              </w:rPr>
              <w:t>封面上注明一下识别标志：采购项目名称、采购项目编号、纸质投标文件正（副）本或电子文档、投标人单位名称和北京时间</w:t>
            </w:r>
            <w:r>
              <w:rPr>
                <w:rFonts w:hint="eastAsia" w:ascii="新宋体" w:hAnsi="新宋体" w:eastAsia="新宋体"/>
                <w:sz w:val="24"/>
              </w:rPr>
              <w:t>XX年XX月XX日XX时XX分前不得启封的字样。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360" w:lineRule="auto"/>
              <w:rPr>
                <w:rFonts w:cs="仿宋_GB2312"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收取标准:5000元/单位，一次性以银行划账、电汇、汇票或支票的形式支付。</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中标人在接到中标通知时，须向代理机构发送投标人价格承诺表及服务承诺电子文档，并同时通知代理机构联系人。代理机构邮箱：</w:t>
            </w:r>
            <w:r>
              <w:rPr>
                <w:rFonts w:hint="eastAsia" w:cs="宋体" w:asciiTheme="minorEastAsia" w:hAnsiTheme="minorEastAsia"/>
                <w:bCs/>
                <w:sz w:val="24"/>
                <w:szCs w:val="24"/>
              </w:rPr>
              <w:t>742581963@qq.com</w:t>
            </w:r>
          </w:p>
        </w:tc>
      </w:tr>
    </w:tbl>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1.1本招标文件仅适用于本次《招标公告》中所述采购项目。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1.2本招标文件解释权属于《招标公告》所述的采购人。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2符合本项目《招标公告》和《投标人须知》前附表中规定的合格投标人所必须具备的条件。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4单位负责人为同一人或者存在直接控股、管理关系的不同投标人，不得参加同一合同项下的政府采购活动；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5除单一来源采购项目外，为采购项目提供整体设计、规范编制或者项目管理、监理、检测等服务的投标人，不得再参加该采购项目的其他采购活动。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6《招标公告》和《投标人须知》前附表规定接受联合体投标的，除应符合本章第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（2）联合体中有同类资质的投标人按联合体分工承担相同工作的，应当按照资质等级较低的投标人确定资质等级；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（4）联合体各方不得再单独参加或者与其他投标人另外组成联合体参加同一合同项下的政府采购活动。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4．合格的服务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）本项目招标文件的澄清、答复、修改、补充内容、相关文件规定、办法等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12.1 </w:t>
      </w:r>
      <w:r>
        <w:rPr>
          <w:rFonts w:hint="eastAsia" w:ascii="宋体" w:hAnsi="宋体" w:cs="宋体"/>
          <w:kern w:val="0"/>
          <w:sz w:val="24"/>
          <w:szCs w:val="24"/>
        </w:rPr>
        <w:t>本次招标项目的投标及中标入库后对受委托项目均以人民币为计算单位。</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12.2 </w:t>
      </w:r>
      <w:r>
        <w:rPr>
          <w:rFonts w:hint="eastAsia" w:ascii="宋体" w:hAnsi="宋体" w:cs="宋体"/>
          <w:kern w:val="0"/>
          <w:sz w:val="24"/>
          <w:szCs w:val="24"/>
        </w:rPr>
        <w:t>采购人不得向投标人索要或者接受其给予的赠品、回扣或者与采购无关的其他商品、服务。</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12.3 </w:t>
      </w:r>
      <w:r>
        <w:rPr>
          <w:rFonts w:hint="eastAsia" w:ascii="宋体" w:hAnsi="宋体" w:cs="宋体"/>
          <w:kern w:val="0"/>
          <w:sz w:val="24"/>
          <w:szCs w:val="24"/>
        </w:rPr>
        <w:t>入库投标人应对受委托项目要求的全部内容进行报价，少报漏报将导致其投标为非实质性响应予以拒绝。</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12.4 </w:t>
      </w:r>
      <w:r>
        <w:rPr>
          <w:rFonts w:hint="eastAsia" w:ascii="宋体" w:hAnsi="宋体" w:cs="宋体"/>
          <w:kern w:val="0"/>
          <w:sz w:val="24"/>
          <w:szCs w:val="24"/>
        </w:rPr>
        <w:t>投标人应当按照国家相关规定及参照</w:t>
      </w:r>
      <w:r>
        <w:rPr>
          <w:rFonts w:hint="eastAsia" w:ascii="宋体" w:hAnsi="宋体"/>
          <w:bCs/>
          <w:sz w:val="24"/>
          <w:szCs w:val="24"/>
        </w:rPr>
        <w:t>本招标文件的</w:t>
      </w:r>
      <w:r>
        <w:rPr>
          <w:rFonts w:hint="eastAsia" w:ascii="宋体" w:hAnsi="宋体" w:cs="宋体"/>
          <w:kern w:val="0"/>
          <w:sz w:val="24"/>
          <w:szCs w:val="24"/>
        </w:rPr>
        <w:t>《许昌市城乡一体化示范区政府购买中介机构服务管理暂行办法（试行）》</w:t>
      </w:r>
      <w:r>
        <w:rPr>
          <w:rFonts w:hint="eastAsia" w:ascii="宋体" w:hAnsi="宋体" w:cs="宋体"/>
          <w:sz w:val="24"/>
          <w:szCs w:val="24"/>
        </w:rPr>
        <w:t>，</w:t>
      </w:r>
      <w:r>
        <w:rPr>
          <w:rFonts w:hint="eastAsia" w:ascii="宋体" w:hAnsi="宋体" w:cs="宋体"/>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12.5 </w:t>
      </w:r>
      <w:r>
        <w:rPr>
          <w:rFonts w:hint="eastAsia" w:ascii="宋体" w:hAnsi="宋体" w:cs="宋体"/>
          <w:kern w:val="0"/>
          <w:sz w:val="24"/>
          <w:szCs w:val="24"/>
        </w:rPr>
        <w:t>委托项目若涉及到运输、施工、安装、集成、调试、验收、备品和工具等费用均包含在投标报价中。</w:t>
      </w:r>
    </w:p>
    <w:p>
      <w:pPr>
        <w:pStyle w:val="52"/>
        <w:autoSpaceDE w:val="0"/>
        <w:autoSpaceDN w:val="0"/>
        <w:spacing w:line="360" w:lineRule="auto"/>
        <w:ind w:firstLine="0" w:firstLineChars="0"/>
        <w:contextualSpacing/>
        <w:rPr>
          <w:rFonts w:ascii="宋体" w:cs="宋体"/>
          <w:kern w:val="0"/>
          <w:sz w:val="24"/>
          <w:szCs w:val="24"/>
        </w:rPr>
      </w:pPr>
      <w:r>
        <w:rPr>
          <w:rFonts w:hint="eastAsia" w:cs="宋体" w:asciiTheme="minorEastAsia" w:hAnsiTheme="minorEastAsia"/>
          <w:kern w:val="0"/>
          <w:sz w:val="24"/>
          <w:szCs w:val="24"/>
        </w:rPr>
        <w:t xml:space="preserve">12.6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pStyle w:val="52"/>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12.7 </w:t>
      </w:r>
      <w:r>
        <w:rPr>
          <w:rFonts w:hint="eastAsia" w:ascii="宋体" w:hAnsi="宋体" w:cs="宋体"/>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hint="eastAsia" w:ascii="宋体" w:hAnsi="宋体" w:cs="宋体"/>
          <w:kern w:val="0"/>
          <w:sz w:val="24"/>
          <w:szCs w:val="24"/>
        </w:rPr>
        <w:t>投标人的投标报价高于最高限价（项目控制金额上限或费率上限）的，该投标人的投标报价将被视为非实质性响应予以拒绝。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14.5 投标人登录许昌公共资源交易系统下载“许昌投标文件制作系统</w:t>
      </w:r>
      <w:r>
        <w:rPr>
          <w:rFonts w:ascii="宋体" w:hAnsi="宋体" w:cs="宋体"/>
          <w:kern w:val="0"/>
          <w:sz w:val="24"/>
          <w:szCs w:val="24"/>
        </w:rPr>
        <w:t xml:space="preserve">SEARUN </w:t>
      </w:r>
      <w:r>
        <w:rPr>
          <w:rFonts w:hint="eastAsia" w:ascii="宋体" w:hAnsi="宋体" w:cs="宋体"/>
          <w:kern w:val="0"/>
          <w:sz w:val="24"/>
          <w:szCs w:val="24"/>
        </w:rPr>
        <w:t>最新版本”，按招标文件要求根据所投标段制作电子投标文件。一个标段对应生成一个文件夹（</w:t>
      </w:r>
      <w:r>
        <w:rPr>
          <w:rFonts w:ascii="宋体" w:hAnsi="宋体" w:cs="宋体"/>
          <w:kern w:val="0"/>
          <w:sz w:val="24"/>
          <w:szCs w:val="24"/>
        </w:rPr>
        <w:t>xxxx</w:t>
      </w:r>
      <w:r>
        <w:rPr>
          <w:rFonts w:hint="eastAsia" w:ascii="宋体" w:hAnsi="宋体" w:cs="宋体"/>
          <w:kern w:val="0"/>
          <w:sz w:val="24"/>
          <w:szCs w:val="24"/>
        </w:rPr>
        <w:t>项目</w:t>
      </w:r>
      <w:r>
        <w:rPr>
          <w:rFonts w:ascii="宋体" w:hAnsi="宋体" w:cs="宋体"/>
          <w:kern w:val="0"/>
          <w:sz w:val="24"/>
          <w:szCs w:val="24"/>
        </w:rPr>
        <w:t>xx</w:t>
      </w:r>
      <w:r>
        <w:rPr>
          <w:rFonts w:hint="eastAsia" w:ascii="宋体" w:hAnsi="宋体" w:cs="宋体"/>
          <w:kern w:val="0"/>
          <w:sz w:val="24"/>
          <w:szCs w:val="24"/>
        </w:rPr>
        <w:t>标段）</w:t>
      </w:r>
      <w:r>
        <w:rPr>
          <w:rFonts w:ascii="宋体" w:hAnsi="宋体" w:cs="宋体"/>
          <w:kern w:val="0"/>
          <w:sz w:val="24"/>
          <w:szCs w:val="24"/>
        </w:rPr>
        <w:t xml:space="preserve">, </w:t>
      </w:r>
      <w:r>
        <w:rPr>
          <w:rFonts w:hint="eastAsia" w:ascii="宋体" w:hAnsi="宋体" w:cs="宋体"/>
          <w:kern w:val="0"/>
          <w:sz w:val="24"/>
          <w:szCs w:val="24"/>
        </w:rPr>
        <w:t>其中包含</w:t>
      </w:r>
      <w:r>
        <w:rPr>
          <w:rFonts w:ascii="宋体" w:hAnsi="宋体" w:cs="宋体"/>
          <w:kern w:val="0"/>
          <w:sz w:val="24"/>
          <w:szCs w:val="24"/>
        </w:rPr>
        <w:t>2</w:t>
      </w:r>
      <w:r>
        <w:rPr>
          <w:rFonts w:hint="eastAsia" w:ascii="宋体" w:hAnsi="宋体" w:cs="宋体"/>
          <w:kern w:val="0"/>
          <w:sz w:val="24"/>
          <w:szCs w:val="24"/>
        </w:rPr>
        <w:t>个文件和</w:t>
      </w:r>
      <w:r>
        <w:rPr>
          <w:rFonts w:ascii="宋体" w:hAnsi="宋体" w:cs="宋体"/>
          <w:kern w:val="0"/>
          <w:sz w:val="24"/>
          <w:szCs w:val="24"/>
        </w:rPr>
        <w:t>1</w:t>
      </w:r>
      <w:r>
        <w:rPr>
          <w:rFonts w:hint="eastAsia" w:ascii="宋体" w:hAnsi="宋体" w:cs="宋体"/>
          <w:kern w:val="0"/>
          <w:sz w:val="24"/>
          <w:szCs w:val="24"/>
        </w:rPr>
        <w:t>个文件夹。后缀名为“</w:t>
      </w:r>
      <w:r>
        <w:rPr>
          <w:rFonts w:ascii="宋体" w:hAnsi="宋体" w:cs="宋体"/>
          <w:kern w:val="0"/>
          <w:sz w:val="24"/>
          <w:szCs w:val="24"/>
        </w:rPr>
        <w:t>.file</w:t>
      </w:r>
      <w:r>
        <w:rPr>
          <w:rFonts w:hint="eastAsia" w:ascii="宋体" w:hAnsi="宋体" w:cs="宋体"/>
          <w:kern w:val="0"/>
          <w:sz w:val="24"/>
          <w:szCs w:val="24"/>
        </w:rPr>
        <w:t>”的文件用于电子投标使用，后缀名为“</w:t>
      </w:r>
      <w:r>
        <w:rPr>
          <w:rFonts w:ascii="宋体" w:hAnsi="宋体" w:cs="宋体"/>
          <w:kern w:val="0"/>
          <w:sz w:val="24"/>
          <w:szCs w:val="24"/>
        </w:rPr>
        <w:t>.PDF</w:t>
      </w:r>
      <w:r>
        <w:rPr>
          <w:rFonts w:hint="eastAsia" w:ascii="宋体" w:hAnsi="宋体" w:cs="宋体"/>
          <w:kern w:val="0"/>
          <w:sz w:val="24"/>
          <w:szCs w:val="24"/>
        </w:rPr>
        <w:t>”的文件用于打印纸质投标文件，名称为“备份”的文件夹使用电子介质存储，供开标现场备用。</w:t>
      </w:r>
    </w:p>
    <w:p>
      <w:pPr>
        <w:autoSpaceDE w:val="0"/>
        <w:autoSpaceDN w:val="0"/>
        <w:spacing w:line="360" w:lineRule="auto"/>
        <w:ind w:left="420" w:leftChars="200"/>
        <w:contextualSpacing/>
      </w:pPr>
      <w:r>
        <w:rPr>
          <w:rFonts w:hint="eastAsia" w:ascii="宋体" w:hAnsi="宋体" w:cs="宋体"/>
          <w:kern w:val="0"/>
          <w:sz w:val="24"/>
          <w:szCs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outlineLvl w:val="0"/>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outlineLvl w:val="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autoSpaceDE w:val="0"/>
        <w:autoSpaceDN w:val="0"/>
        <w:adjustRightInd w:val="0"/>
        <w:spacing w:line="360" w:lineRule="auto"/>
        <w:rPr>
          <w:rFonts w:ascii="宋体" w:hAnsi="宋体" w:cs="宋体"/>
          <w:sz w:val="24"/>
          <w:szCs w:val="24"/>
        </w:rPr>
      </w:pPr>
      <w:r>
        <w:rPr>
          <w:rFonts w:hint="eastAsia" w:cs="仿宋_GB2312" w:asciiTheme="minorEastAsia" w:hAnsiTheme="minorEastAsia"/>
          <w:sz w:val="24"/>
          <w:szCs w:val="24"/>
        </w:rPr>
        <w:t>17.6</w:t>
      </w:r>
      <w:r>
        <w:rPr>
          <w:rFonts w:hint="eastAsia" w:cs="仿宋_GB2312" w:asciiTheme="minorEastAsia" w:hAnsiTheme="minorEastAsia"/>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pStyle w:val="2"/>
        <w:ind w:firstLine="0" w:firstLineChars="0"/>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 xml:space="preserve">.1 </w:t>
      </w:r>
      <w:r>
        <w:rPr>
          <w:rFonts w:hint="eastAsia" w:cs="仿宋_GB2312" w:asciiTheme="minorEastAsia" w:hAnsiTheme="minorEastAsia"/>
          <w:b/>
          <w:bCs/>
          <w:sz w:val="24"/>
          <w:szCs w:val="24"/>
          <w:lang w:val="zh-CN"/>
        </w:rPr>
        <w:t>投标人应将投标文件“正本”、“ 副本”“电子版”分开密封包装并注明“正本”，“副本”、“电子文档”标记。并加外层密封成一个整体后贴上封条，封条上需加盖企业公章。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《招标公告</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outlineLvl w:val="0"/>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22.6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开标结束后，采购代理机构依法对投标人的资格进行审查。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(一)参加采购活动前三年内,与投标人存在劳动关系,或者担任过投标人的董事、监事,或者是投标人的控股股东或实际控制人；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(二)与投标人的法定代表人或者负责人有夫妻、直系血亲、三代以内旁系血亲或者近姻亲关系；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(三)与投标人有其他可能影响政府采购活动公平、公正进行的关系。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29</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.1 评标方法为综合评分法。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b/>
          <w:sz w:val="24"/>
          <w:szCs w:val="24"/>
          <w:lang w:val="zh-CN"/>
        </w:rPr>
        <w:t>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1</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35.3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36.</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36.1 </w:t>
      </w:r>
      <w:r>
        <w:rPr>
          <w:rFonts w:hint="eastAsia" w:cs="仿宋_GB2312" w:asciiTheme="minorEastAsia" w:hAnsiTheme="minorEastAsia"/>
          <w:sz w:val="24"/>
          <w:szCs w:val="24"/>
          <w:lang w:val="zh-CN"/>
        </w:rPr>
        <w:t>投标人</w:t>
      </w:r>
      <w:r>
        <w:rPr>
          <w:rFonts w:hint="eastAsia" w:cs="仿宋_GB2312" w:asciiTheme="minorEastAsia" w:hAnsiTheme="minorEastAsia"/>
          <w:sz w:val="24"/>
          <w:szCs w:val="24"/>
        </w:rPr>
        <w:t>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w:t>
      </w:r>
      <w:r>
        <w:rPr>
          <w:rFonts w:hint="eastAsia" w:cs="仿宋_GB2312" w:asciiTheme="minorEastAsia" w:hAnsiTheme="minorEastAsia"/>
          <w:sz w:val="24"/>
          <w:szCs w:val="24"/>
          <w:lang w:val="zh-CN"/>
        </w:rPr>
        <w:t>投标人</w:t>
      </w:r>
      <w:r>
        <w:rPr>
          <w:rFonts w:cs="仿宋_GB2312" w:asciiTheme="minorEastAsia" w:hAnsiTheme="minorEastAsia"/>
          <w:sz w:val="24"/>
          <w:szCs w:val="24"/>
        </w:rPr>
        <w:t>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w:t>
      </w:r>
      <w:r>
        <w:rPr>
          <w:rFonts w:hint="eastAsia" w:cs="仿宋_GB2312" w:asciiTheme="minorEastAsia" w:hAnsiTheme="minorEastAsia"/>
          <w:sz w:val="24"/>
          <w:szCs w:val="24"/>
          <w:lang w:val="zh-CN"/>
        </w:rPr>
        <w:t>投标人</w:t>
      </w:r>
      <w:r>
        <w:rPr>
          <w:rFonts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 </w:t>
      </w:r>
      <w:r>
        <w:rPr>
          <w:rFonts w:cs="仿宋_GB2312" w:asciiTheme="minorEastAsia" w:hAnsiTheme="minorEastAsia"/>
          <w:sz w:val="24"/>
          <w:szCs w:val="24"/>
        </w:rPr>
        <w:t>采购人、采购代理机构认为</w:t>
      </w:r>
      <w:r>
        <w:rPr>
          <w:rFonts w:hint="eastAsia" w:cs="仿宋_GB2312" w:asciiTheme="minorEastAsia" w:hAnsiTheme="minorEastAsia"/>
          <w:sz w:val="24"/>
          <w:szCs w:val="24"/>
          <w:lang w:val="zh-CN"/>
        </w:rPr>
        <w:t>投标人</w:t>
      </w:r>
      <w:r>
        <w:rPr>
          <w:rFonts w:cs="仿宋_GB2312" w:asciiTheme="minorEastAsia" w:hAnsiTheme="minorEastAsia"/>
          <w:sz w:val="24"/>
          <w:szCs w:val="24"/>
        </w:rPr>
        <w:t>质疑不成立，或者成立但未对中标结果构成影响的，继续开展采购活动；认为</w:t>
      </w:r>
      <w:r>
        <w:rPr>
          <w:rFonts w:hint="eastAsia" w:cs="仿宋_GB2312" w:asciiTheme="minorEastAsia" w:hAnsiTheme="minorEastAsia"/>
          <w:sz w:val="24"/>
          <w:szCs w:val="24"/>
          <w:lang w:val="zh-CN"/>
        </w:rPr>
        <w:t>投标人</w:t>
      </w:r>
      <w:r>
        <w:rPr>
          <w:rFonts w:cs="仿宋_GB2312" w:asciiTheme="minorEastAsia" w:hAnsiTheme="minorEastAsia"/>
          <w:sz w:val="24"/>
          <w:szCs w:val="24"/>
        </w:rPr>
        <w:t>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36.2.2 </w:t>
      </w:r>
      <w:r>
        <w:rPr>
          <w:rFonts w:cs="仿宋_GB2312" w:asciiTheme="minorEastAsia" w:hAnsiTheme="minorEastAsia"/>
          <w:sz w:val="24"/>
          <w:szCs w:val="24"/>
        </w:rPr>
        <w:t>对采购过程、中标结果提出的质疑，合格</w:t>
      </w:r>
      <w:r>
        <w:rPr>
          <w:rFonts w:hint="eastAsia" w:cs="仿宋_GB2312" w:asciiTheme="minorEastAsia" w:hAnsiTheme="minorEastAsia"/>
          <w:sz w:val="24"/>
          <w:szCs w:val="24"/>
          <w:lang w:val="zh-CN"/>
        </w:rPr>
        <w:t>投标人</w:t>
      </w:r>
      <w:r>
        <w:rPr>
          <w:rFonts w:cs="仿宋_GB2312" w:asciiTheme="minorEastAsia" w:hAnsiTheme="minorEastAsia"/>
          <w:sz w:val="24"/>
          <w:szCs w:val="24"/>
        </w:rPr>
        <w:t>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w:t>
      </w:r>
      <w:r>
        <w:rPr>
          <w:rFonts w:hint="eastAsia" w:cs="仿宋_GB2312" w:asciiTheme="minorEastAsia" w:hAnsiTheme="minorEastAsia"/>
          <w:sz w:val="24"/>
          <w:szCs w:val="24"/>
          <w:lang w:val="zh-CN"/>
        </w:rPr>
        <w:t>投标人</w:t>
      </w:r>
      <w:r>
        <w:rPr>
          <w:rFonts w:cs="仿宋_GB2312" w:asciiTheme="minorEastAsia" w:hAnsiTheme="minorEastAsia"/>
          <w:sz w:val="24"/>
          <w:szCs w:val="24"/>
        </w:rPr>
        <w:t>的，应当依法另行确定中标</w:t>
      </w:r>
      <w:r>
        <w:rPr>
          <w:rFonts w:hint="eastAsia" w:cs="仿宋_GB2312" w:asciiTheme="minorEastAsia" w:hAnsiTheme="minorEastAsia"/>
          <w:sz w:val="24"/>
          <w:szCs w:val="24"/>
          <w:lang w:val="zh-CN"/>
        </w:rPr>
        <w:t>投标人</w:t>
      </w:r>
      <w:r>
        <w:rPr>
          <w:rFonts w:cs="仿宋_GB2312" w:asciiTheme="minorEastAsia" w:hAnsiTheme="minorEastAsia"/>
          <w:sz w:val="24"/>
          <w:szCs w:val="24"/>
        </w:rPr>
        <w:t>；否则应当重新开展采购活动。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5"/>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5"/>
        <w:spacing w:line="360" w:lineRule="auto"/>
        <w:contextualSpacing/>
        <w:jc w:val="center"/>
        <w:outlineLvl w:val="0"/>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53"/>
        <w:spacing w:line="360" w:lineRule="auto"/>
        <w:contextualSpacing/>
        <w:rPr>
          <w:rFonts w:ascii="宋体" w:hAnsi="宋体" w:cs="仿宋_GB2312"/>
          <w:b/>
          <w:bCs/>
          <w:lang w:val="zh-CN"/>
        </w:rPr>
      </w:pPr>
      <w:r>
        <w:rPr>
          <w:rFonts w:hint="eastAsia" w:ascii="宋体" w:hAnsi="宋体" w:cs="仿宋_GB2312"/>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hint="eastAsia" w:ascii="宋体" w:hAnsi="宋体" w:cs="仿宋_GB2312"/>
          <w:b/>
          <w:bCs/>
        </w:rPr>
        <w:t>在</w:t>
      </w:r>
      <w:r>
        <w:rPr>
          <w:rFonts w:hint="eastAsia" w:ascii="宋体" w:hAnsi="宋体" w:cs="仿宋_GB2312"/>
          <w:b/>
          <w:bCs/>
          <w:lang w:val="zh-CN"/>
        </w:rPr>
        <w:t>一定时限内参与政府投资项目中介服务。）</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（三）资格审查中所涉及到的证书及材料，均需在投标文件中提供原件或与原件一致的完整的复印件，否则为无效投标。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r>
              <w:rPr>
                <w:rFonts w:hint="eastAsia" w:ascii="宋体" w:hAnsi="宋体"/>
                <w:b/>
                <w:bCs/>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（1）企业法人营业执照或营业执照原件。（企业投标提供）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（2）事业单位法人证书原件。（事业单位投标提供）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（3）执业许可证原件。（非专业服务机构投标提供）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（4）个体工商户营业执照原件。（个体工商户投标提供）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（5）自然人身份证明原件。（自然人投标提供）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r>
              <w:rPr>
                <w:rFonts w:hint="eastAsia" w:ascii="宋体" w:hAnsi="宋体"/>
                <w:b/>
                <w:bCs/>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sz w:val="24"/>
                <w:szCs w:val="24"/>
              </w:rPr>
              <w:t>（1）2017-2018年度经审计的财务报告原件，包括资产负债表、利润表、现金流量表、所有者权益变动表及其附注；或基本开户银行出具的资信证明原件；或财政部门认可的政府采购专业担保机构的证明文件和担保机构出具的投标担保函原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（2）银行出具的资信证明原件；或财政部门认可的政府采购专业担保机构的证明文件和担保机构出具的投标担保函原件。（其他组织和自然人投标提供）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r>
              <w:rPr>
                <w:rFonts w:hint="eastAsia" w:ascii="宋体" w:hAnsi="宋体"/>
                <w:b/>
                <w:bCs/>
                <w:sz w:val="24"/>
                <w:szCs w:val="24"/>
              </w:rPr>
              <w:t>（提供原件）</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税务登记证和投标截止时间前三个月内（2019年2月至4月）的缴纳税收凭据原件。（依法免税的投标人，应提供相应文件证明依法免税）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r>
              <w:rPr>
                <w:rFonts w:hint="eastAsia" w:ascii="宋体" w:hAnsi="宋体"/>
                <w:b/>
                <w:bCs/>
                <w:sz w:val="24"/>
                <w:szCs w:val="24"/>
              </w:rPr>
              <w:t>（提供原件）</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投标截止时间前三个月内（2019年2月至4月）的缴纳社会保险凭据原件。（依法不需要缴纳社会保障资金的投标人，应提供相应文件证明依法不需要缴纳社会保障资金）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6、履行合同所必须的设备和专业技术能力的证明材料（提供原件）</w:t>
            </w:r>
          </w:p>
          <w:p>
            <w:pPr>
              <w:spacing w:line="360" w:lineRule="auto"/>
              <w:rPr>
                <w:rFonts w:asciiTheme="minorEastAsia" w:hAnsiTheme="minorEastAsia"/>
                <w:bCs/>
                <w:sz w:val="24"/>
                <w:szCs w:val="24"/>
              </w:rPr>
            </w:pPr>
            <w:r>
              <w:rPr>
                <w:rFonts w:hint="eastAsia" w:asciiTheme="minorEastAsia" w:hAnsiTheme="minorEastAsia"/>
                <w:bCs/>
                <w:sz w:val="24"/>
                <w:szCs w:val="24"/>
              </w:rPr>
              <w:t>相关设备的购置发票原件、专业技术人员职称证书原件、用工合同原件等或者投标人相关承诺函或声明。</w:t>
            </w:r>
          </w:p>
          <w:p>
            <w:pPr>
              <w:pStyle w:val="2"/>
              <w:ind w:firstLine="240"/>
            </w:pPr>
            <w:r>
              <w:rPr>
                <w:rFonts w:hint="eastAsia" w:asciiTheme="minorEastAsia" w:hAnsiTheme="minorEastAsia"/>
                <w:bCs/>
                <w:sz w:val="24"/>
                <w:szCs w:val="24"/>
              </w:rPr>
              <w:t>A包具有建设行政主管部门颁发的工程造价咨询乙级及以上资质</w:t>
            </w:r>
          </w:p>
          <w:p>
            <w:pPr>
              <w:pStyle w:val="2"/>
              <w:ind w:firstLine="240"/>
            </w:pPr>
            <w:r>
              <w:rPr>
                <w:rFonts w:hint="eastAsia" w:hAnsi="宋体"/>
                <w:bCs/>
                <w:sz w:val="24"/>
                <w:szCs w:val="24"/>
              </w:rPr>
              <w:t>B包投标人须属于河南省注册会计师协会公布的2018年分类评价结果认定的B类及以上以上会计事务所或中华人民公共和国其他省注册会计师截止2018年5月20日前最新公布的分类评价结果中排在第二类及以上的会计事务所（相当于河南省注册会计书协会公布的2018年分类评价结果认定的B类及以上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宋体" w:hAnsi="宋体" w:cs="宋体"/>
                <w:b/>
                <w:bCs/>
                <w:kern w:val="0"/>
                <w:sz w:val="24"/>
                <w:szCs w:val="24"/>
              </w:rPr>
              <w:t>9、投标人提供的反商业贿赂承诺书</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14、A包：具有建设行政主管部门颁发的工程造价咨询乙级及以上资质；</w:t>
            </w:r>
          </w:p>
          <w:p>
            <w:pPr>
              <w:spacing w:line="360" w:lineRule="auto"/>
              <w:contextualSpacing/>
              <w:rPr>
                <w:rFonts w:asciiTheme="minorEastAsia" w:hAnsiTheme="minorEastAsia"/>
                <w:b/>
                <w:sz w:val="24"/>
                <w:szCs w:val="24"/>
              </w:rPr>
            </w:pPr>
            <w:r>
              <w:rPr>
                <w:rFonts w:hint="eastAsia" w:ascii="宋体" w:hAnsi="宋体"/>
                <w:b/>
                <w:sz w:val="24"/>
                <w:szCs w:val="24"/>
              </w:rPr>
              <w:t>B包：具有河南省注册会计师协会公布的2018年分类评价结果认定的B类及以上会计事务所；</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5"/>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w:t>
      </w:r>
      <w:r>
        <w:rPr>
          <w:rFonts w:hint="eastAsia" w:ascii="宋体" w:hAnsi="宋体" w:cs="仿宋_GB2312"/>
          <w:szCs w:val="24"/>
        </w:rPr>
        <w:t>或其授权的代</w:t>
      </w:r>
      <w:r>
        <w:rPr>
          <w:rFonts w:ascii="宋体" w:hAnsi="宋体" w:cs="仿宋_GB2312"/>
          <w:szCs w:val="24"/>
          <w:lang w:val="zh-CN"/>
        </w:rPr>
        <w:t>表签字。投标人的澄清、说明或者补正不得超出投标文件的范围或者改变投标文件的实质性内容。</w:t>
      </w:r>
    </w:p>
    <w:p>
      <w:pPr>
        <w:pStyle w:val="15"/>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2" w:firstLineChars="200"/>
        <w:contextualSpacing/>
        <w:rPr>
          <w:rFonts w:ascii="宋体" w:hAnsi="宋体" w:cs="仿宋_GB2312"/>
          <w:szCs w:val="24"/>
        </w:rPr>
      </w:pPr>
      <w:r>
        <w:rPr>
          <w:rFonts w:hint="eastAsia" w:ascii="宋体" w:hAnsi="宋体" w:cs="仿宋_GB2312"/>
          <w:b/>
          <w:bCs/>
          <w:szCs w:val="24"/>
          <w:lang w:val="zh-CN"/>
        </w:rPr>
        <w:t>注：评标标准中所涉及到的证书及材料，均应在电子投标文件中提供原件扫描件（或</w:t>
      </w:r>
      <w:r>
        <w:rPr>
          <w:rFonts w:hint="eastAsia" w:ascii="宋体" w:hAnsi="宋体" w:cs="仿宋_GB2312"/>
          <w:b/>
          <w:bCs/>
          <w:szCs w:val="24"/>
        </w:rPr>
        <w:t>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1</w:t>
      </w:r>
      <w:r>
        <w:rPr>
          <w:rFonts w:hint="eastAsia" w:ascii="宋体" w:hAnsi="宋体" w:cs="仿宋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2</w:t>
      </w:r>
      <w:r>
        <w:rPr>
          <w:rFonts w:hint="eastAsia" w:ascii="宋体" w:hAnsi="宋体" w:cs="仿宋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）评标标准</w:t>
      </w:r>
    </w:p>
    <w:p>
      <w:pPr>
        <w:pStyle w:val="15"/>
        <w:spacing w:line="360" w:lineRule="auto"/>
        <w:ind w:firstLine="482" w:firstLineChars="200"/>
        <w:contextualSpacing/>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A包：工程造价咨询机构</w:t>
      </w:r>
    </w:p>
    <w:tbl>
      <w:tblPr>
        <w:tblStyle w:val="22"/>
        <w:tblW w:w="8966"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6558"/>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jc w:val="center"/>
        </w:trPr>
        <w:tc>
          <w:tcPr>
            <w:tcW w:w="1441" w:type="dxa"/>
          </w:tcPr>
          <w:p>
            <w:pPr>
              <w:pStyle w:val="54"/>
              <w:spacing w:line="447" w:lineRule="exact"/>
              <w:ind w:left="147" w:right="143"/>
              <w:jc w:val="center"/>
              <w:rPr>
                <w:rFonts w:ascii="宋体" w:hAnsi="宋体" w:eastAsia="宋体" w:cs="宋体"/>
                <w:sz w:val="24"/>
                <w:szCs w:val="24"/>
              </w:rPr>
            </w:pPr>
            <w:r>
              <w:rPr>
                <w:rFonts w:hint="eastAsia" w:ascii="宋体" w:hAnsi="宋体" w:eastAsia="宋体" w:cs="宋体"/>
                <w:sz w:val="24"/>
                <w:szCs w:val="24"/>
              </w:rPr>
              <w:t>分值构成</w:t>
            </w:r>
          </w:p>
          <w:p>
            <w:pPr>
              <w:pStyle w:val="54"/>
              <w:spacing w:line="468" w:lineRule="exact"/>
              <w:ind w:left="147" w:right="143"/>
              <w:jc w:val="center"/>
              <w:rPr>
                <w:rFonts w:ascii="宋体" w:hAnsi="宋体" w:eastAsia="宋体" w:cs="宋体"/>
                <w:sz w:val="24"/>
                <w:szCs w:val="24"/>
              </w:rPr>
            </w:pPr>
            <w:r>
              <w:rPr>
                <w:rFonts w:hint="eastAsia" w:ascii="宋体" w:hAnsi="宋体" w:eastAsia="宋体" w:cs="宋体"/>
                <w:w w:val="120"/>
                <w:sz w:val="24"/>
                <w:szCs w:val="24"/>
              </w:rPr>
              <w:t>(</w:t>
            </w:r>
            <w:r>
              <w:rPr>
                <w:rFonts w:hint="eastAsia" w:ascii="宋体" w:hAnsi="宋体" w:eastAsia="宋体" w:cs="宋体"/>
                <w:sz w:val="24"/>
                <w:szCs w:val="24"/>
              </w:rPr>
              <w:t>总100 分</w:t>
            </w:r>
            <w:r>
              <w:rPr>
                <w:rFonts w:hint="eastAsia" w:ascii="宋体" w:hAnsi="宋体" w:eastAsia="宋体" w:cs="宋体"/>
                <w:w w:val="120"/>
                <w:sz w:val="24"/>
                <w:szCs w:val="24"/>
              </w:rPr>
              <w:t>)</w:t>
            </w:r>
          </w:p>
        </w:tc>
        <w:tc>
          <w:tcPr>
            <w:tcW w:w="7525" w:type="dxa"/>
            <w:gridSpan w:val="2"/>
          </w:tcPr>
          <w:p>
            <w:pPr>
              <w:pStyle w:val="54"/>
              <w:tabs>
                <w:tab w:val="left" w:pos="2265"/>
                <w:tab w:val="left" w:pos="2745"/>
              </w:tabs>
              <w:spacing w:line="447" w:lineRule="exact"/>
              <w:ind w:left="585"/>
              <w:rPr>
                <w:rFonts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ab/>
            </w:r>
            <w:r>
              <w:rPr>
                <w:rFonts w:hint="eastAsia" w:ascii="宋体" w:hAnsi="宋体" w:eastAsia="宋体" w:cs="宋体"/>
                <w:sz w:val="24"/>
                <w:szCs w:val="24"/>
                <w:u w:val="single"/>
              </w:rPr>
              <w:t>10</w:t>
            </w:r>
            <w:r>
              <w:rPr>
                <w:rFonts w:hint="eastAsia" w:ascii="宋体" w:hAnsi="宋体" w:eastAsia="宋体" w:cs="宋体"/>
                <w:sz w:val="24"/>
                <w:szCs w:val="24"/>
                <w:u w:val="single"/>
              </w:rPr>
              <w:tab/>
            </w:r>
            <w:r>
              <w:rPr>
                <w:rFonts w:hint="eastAsia" w:ascii="宋体" w:hAnsi="宋体" w:eastAsia="宋体" w:cs="宋体"/>
                <w:sz w:val="24"/>
                <w:szCs w:val="24"/>
              </w:rPr>
              <w:t>分</w:t>
            </w:r>
          </w:p>
          <w:p>
            <w:pPr>
              <w:pStyle w:val="54"/>
              <w:tabs>
                <w:tab w:val="left" w:pos="2265"/>
                <w:tab w:val="left" w:pos="2745"/>
              </w:tabs>
              <w:spacing w:line="447" w:lineRule="exact"/>
              <w:ind w:left="585"/>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ab/>
            </w:r>
            <w:r>
              <w:rPr>
                <w:rFonts w:hint="eastAsia" w:ascii="宋体" w:hAnsi="宋体" w:eastAsia="宋体" w:cs="宋体"/>
                <w:sz w:val="24"/>
                <w:szCs w:val="24"/>
                <w:u w:val="single"/>
              </w:rPr>
              <w:t>60</w:t>
            </w:r>
            <w:r>
              <w:rPr>
                <w:rFonts w:hint="eastAsia" w:ascii="宋体" w:hAnsi="宋体" w:eastAsia="宋体" w:cs="宋体"/>
                <w:sz w:val="24"/>
                <w:szCs w:val="24"/>
                <w:u w:val="single"/>
              </w:rPr>
              <w:tab/>
            </w:r>
            <w:r>
              <w:rPr>
                <w:rFonts w:hint="eastAsia" w:ascii="宋体" w:hAnsi="宋体" w:eastAsia="宋体" w:cs="宋体"/>
                <w:sz w:val="24"/>
                <w:szCs w:val="24"/>
              </w:rPr>
              <w:t>分</w:t>
            </w:r>
          </w:p>
          <w:p>
            <w:pPr>
              <w:pStyle w:val="54"/>
              <w:tabs>
                <w:tab w:val="left" w:pos="2265"/>
                <w:tab w:val="left" w:pos="2745"/>
              </w:tabs>
              <w:spacing w:line="468" w:lineRule="exact"/>
              <w:ind w:left="585"/>
              <w:rPr>
                <w:rFonts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ab/>
            </w:r>
            <w:r>
              <w:rPr>
                <w:rFonts w:hint="eastAsia" w:ascii="宋体" w:hAnsi="宋体" w:eastAsia="宋体" w:cs="宋体"/>
                <w:sz w:val="24"/>
                <w:szCs w:val="24"/>
                <w:u w:val="single"/>
              </w:rPr>
              <w:t>30</w:t>
            </w:r>
            <w:r>
              <w:rPr>
                <w:rFonts w:hint="eastAsia" w:ascii="宋体" w:hAnsi="宋体" w:eastAsia="宋体" w:cs="宋体"/>
                <w:sz w:val="24"/>
                <w:szCs w:val="24"/>
                <w:u w:val="single"/>
              </w:rPr>
              <w:tab/>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8966" w:type="dxa"/>
            <w:gridSpan w:val="3"/>
            <w:vAlign w:val="center"/>
          </w:tcPr>
          <w:p>
            <w:pPr>
              <w:pStyle w:val="54"/>
              <w:tabs>
                <w:tab w:val="left" w:pos="2265"/>
                <w:tab w:val="left" w:pos="2745"/>
              </w:tabs>
              <w:spacing w:line="468" w:lineRule="exact"/>
              <w:ind w:left="585"/>
              <w:jc w:val="center"/>
              <w:rPr>
                <w:rFonts w:ascii="宋体" w:hAnsi="宋体" w:eastAsia="宋体" w:cs="宋体"/>
                <w:sz w:val="24"/>
                <w:szCs w:val="24"/>
              </w:rPr>
            </w:pPr>
            <w:r>
              <w:rPr>
                <w:rFonts w:hint="eastAsia" w:ascii="宋体" w:hAnsi="宋体"/>
                <w:b/>
                <w:szCs w:val="21"/>
                <w:u w:val="single"/>
              </w:rPr>
              <w:t>价格部分（满分</w:t>
            </w:r>
            <w:r>
              <w:rPr>
                <w:rFonts w:ascii="宋体" w:hAnsi="宋体"/>
                <w:b/>
                <w:szCs w:val="21"/>
                <w:u w:val="single"/>
              </w:rPr>
              <w:t xml:space="preserve"> 10  </w:t>
            </w:r>
            <w:r>
              <w:rPr>
                <w:rFonts w:hint="eastAsia" w:ascii="宋体" w:hAnsi="宋体"/>
                <w:b/>
                <w:szCs w:val="21"/>
                <w:u w:val="singl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1441" w:type="dxa"/>
            <w:vAlign w:val="center"/>
          </w:tcPr>
          <w:p>
            <w:pPr>
              <w:pStyle w:val="54"/>
              <w:spacing w:line="468" w:lineRule="exact"/>
              <w:ind w:left="147" w:right="143"/>
              <w:rPr>
                <w:rFonts w:ascii="宋体" w:hAnsi="宋体" w:eastAsia="宋体" w:cs="宋体"/>
                <w:w w:val="120"/>
                <w:sz w:val="24"/>
                <w:szCs w:val="24"/>
              </w:rPr>
            </w:pPr>
            <w:r>
              <w:rPr>
                <w:rFonts w:hint="eastAsia" w:ascii="宋体" w:hAnsi="宋体"/>
                <w:b/>
                <w:szCs w:val="21"/>
              </w:rPr>
              <w:t>评分因素</w:t>
            </w:r>
          </w:p>
        </w:tc>
        <w:tc>
          <w:tcPr>
            <w:tcW w:w="6558" w:type="dxa"/>
            <w:vAlign w:val="center"/>
          </w:tcPr>
          <w:p>
            <w:pPr>
              <w:pStyle w:val="54"/>
              <w:tabs>
                <w:tab w:val="left" w:pos="2265"/>
                <w:tab w:val="left" w:pos="2745"/>
              </w:tabs>
              <w:spacing w:line="468" w:lineRule="exact"/>
              <w:ind w:left="585"/>
              <w:jc w:val="center"/>
              <w:rPr>
                <w:rFonts w:ascii="宋体" w:hAnsi="宋体" w:eastAsia="宋体" w:cs="宋体"/>
                <w:sz w:val="24"/>
                <w:szCs w:val="24"/>
              </w:rPr>
            </w:pPr>
            <w:r>
              <w:rPr>
                <w:rFonts w:hint="eastAsia" w:ascii="宋体" w:hAnsi="宋体"/>
                <w:b/>
                <w:szCs w:val="21"/>
              </w:rPr>
              <w:t>评标标准</w:t>
            </w:r>
          </w:p>
        </w:tc>
        <w:tc>
          <w:tcPr>
            <w:tcW w:w="967" w:type="dxa"/>
            <w:vAlign w:val="center"/>
          </w:tcPr>
          <w:p>
            <w:pPr>
              <w:pStyle w:val="54"/>
              <w:tabs>
                <w:tab w:val="left" w:pos="2265"/>
                <w:tab w:val="left" w:pos="2745"/>
              </w:tabs>
              <w:spacing w:line="468" w:lineRule="exact"/>
              <w:jc w:val="center"/>
              <w:rPr>
                <w:rFonts w:ascii="宋体" w:hAnsi="宋体"/>
                <w:b/>
                <w:szCs w:val="21"/>
              </w:rPr>
            </w:pPr>
            <w:r>
              <w:rPr>
                <w:rFonts w:hint="eastAsia" w:ascii="宋体" w:hAnsi="宋体"/>
                <w:b/>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1441" w:type="dxa"/>
            <w:vAlign w:val="center"/>
          </w:tcPr>
          <w:p>
            <w:pPr>
              <w:spacing w:line="360" w:lineRule="auto"/>
              <w:jc w:val="center"/>
              <w:rPr>
                <w:rFonts w:asciiTheme="minorEastAsia" w:hAnsiTheme="minorEastAsia"/>
                <w:sz w:val="24"/>
                <w:szCs w:val="24"/>
              </w:rPr>
            </w:pPr>
            <w:r>
              <w:rPr>
                <w:rFonts w:hint="eastAsia" w:cs="微软雅黑" w:asciiTheme="minorEastAsia" w:hAnsiTheme="minorEastAsia"/>
                <w:b/>
                <w:sz w:val="24"/>
                <w:szCs w:val="24"/>
              </w:rPr>
              <w:t>★</w:t>
            </w:r>
            <w:r>
              <w:rPr>
                <w:rFonts w:hint="eastAsia" w:asciiTheme="minorEastAsia" w:hAnsiTheme="minorEastAsia"/>
                <w:sz w:val="24"/>
                <w:szCs w:val="24"/>
              </w:rPr>
              <w:t>投标报价</w:t>
            </w:r>
          </w:p>
          <w:p>
            <w:pPr>
              <w:pStyle w:val="54"/>
              <w:spacing w:line="468" w:lineRule="exact"/>
              <w:ind w:left="147" w:right="143"/>
              <w:rPr>
                <w:rFonts w:ascii="宋体" w:hAnsi="宋体"/>
                <w:b/>
                <w:szCs w:val="21"/>
              </w:rPr>
            </w:pPr>
            <w:r>
              <w:rPr>
                <w:rFonts w:hint="eastAsia" w:asciiTheme="minorEastAsia" w:hAnsiTheme="minorEastAsia"/>
                <w:sz w:val="24"/>
                <w:szCs w:val="24"/>
              </w:rPr>
              <w:t>评分标准</w:t>
            </w:r>
          </w:p>
        </w:tc>
        <w:tc>
          <w:tcPr>
            <w:tcW w:w="6558" w:type="dxa"/>
            <w:vAlign w:val="center"/>
          </w:tcPr>
          <w:p>
            <w:pPr>
              <w:pStyle w:val="54"/>
              <w:tabs>
                <w:tab w:val="left" w:pos="2265"/>
                <w:tab w:val="left" w:pos="2745"/>
              </w:tabs>
              <w:spacing w:line="468" w:lineRule="exact"/>
              <w:ind w:left="585"/>
              <w:jc w:val="center"/>
              <w:rPr>
                <w:rFonts w:ascii="宋体" w:hAnsi="宋体"/>
                <w:b/>
                <w:szCs w:val="21"/>
              </w:rPr>
            </w:pPr>
            <w:r>
              <w:rPr>
                <w:rFonts w:hint="eastAsia" w:asciiTheme="minorEastAsia" w:hAnsiTheme="minorEastAsia"/>
                <w:bCs/>
                <w:sz w:val="24"/>
                <w:szCs w:val="24"/>
              </w:rPr>
              <w:t>投标人需针对本招标文件中的</w:t>
            </w:r>
            <w:r>
              <w:rPr>
                <w:rFonts w:hint="eastAsia" w:ascii="宋体" w:hAnsi="宋体" w:cs="宋体"/>
                <w:kern w:val="0"/>
                <w:sz w:val="24"/>
                <w:szCs w:val="24"/>
              </w:rPr>
              <w:t>《许昌市城乡一体化示范区政府购买中介机构服务管理暂行办法（试行）》</w:t>
            </w:r>
            <w:r>
              <w:rPr>
                <w:rFonts w:hint="eastAsia" w:cs="宋体" w:asciiTheme="minorEastAsia" w:hAnsiTheme="minorEastAsia"/>
                <w:sz w:val="24"/>
                <w:szCs w:val="24"/>
              </w:rPr>
              <w:t>，提供</w:t>
            </w:r>
            <w:r>
              <w:rPr>
                <w:rFonts w:hint="eastAsia" w:asciiTheme="minorEastAsia" w:hAnsiTheme="minorEastAsia"/>
                <w:bCs/>
                <w:sz w:val="24"/>
                <w:szCs w:val="24"/>
              </w:rPr>
              <w:t>收费按照该办法收取的承诺函，并加盖单位公章，有承诺函得</w:t>
            </w:r>
            <w:r>
              <w:rPr>
                <w:rFonts w:asciiTheme="minorEastAsia" w:hAnsiTheme="minorEastAsia"/>
                <w:bCs/>
                <w:sz w:val="24"/>
                <w:szCs w:val="24"/>
              </w:rPr>
              <w:t>10</w:t>
            </w:r>
            <w:r>
              <w:rPr>
                <w:rFonts w:hint="eastAsia" w:asciiTheme="minorEastAsia" w:hAnsiTheme="minorEastAsia"/>
                <w:bCs/>
                <w:sz w:val="24"/>
                <w:szCs w:val="24"/>
              </w:rPr>
              <w:t>分，无承诺函不得分。</w:t>
            </w:r>
            <w:r>
              <w:rPr>
                <w:rFonts w:hint="eastAsia" w:asciiTheme="minorEastAsia" w:hAnsiTheme="minorEastAsia"/>
                <w:sz w:val="24"/>
                <w:szCs w:val="24"/>
              </w:rPr>
              <w:t>（评标时需提供原件，投标文件中附需提供的材料扫描件、复印件且加盖投标人印章的，否则不得分。）</w:t>
            </w:r>
          </w:p>
        </w:tc>
        <w:tc>
          <w:tcPr>
            <w:tcW w:w="967" w:type="dxa"/>
            <w:vAlign w:val="center"/>
          </w:tcPr>
          <w:p>
            <w:pPr>
              <w:pStyle w:val="54"/>
              <w:tabs>
                <w:tab w:val="left" w:pos="2265"/>
                <w:tab w:val="left" w:pos="2745"/>
              </w:tabs>
              <w:spacing w:line="468" w:lineRule="exact"/>
              <w:jc w:val="center"/>
              <w:rPr>
                <w:rFonts w:ascii="宋体" w:hAnsi="宋体"/>
                <w:b/>
                <w:szCs w:val="21"/>
              </w:rPr>
            </w:pPr>
            <w:r>
              <w:rPr>
                <w:rFonts w:hint="eastAsia" w:ascii="宋体" w:hAnsi="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ascii="宋体"/>
                <w:szCs w:val="21"/>
              </w:rPr>
            </w:pPr>
            <w:r>
              <w:rPr>
                <w:rFonts w:hint="eastAsia" w:ascii="宋体" w:hAnsi="宋体" w:cs="微软雅黑"/>
                <w:b/>
                <w:szCs w:val="21"/>
              </w:rPr>
              <w:t>商务</w:t>
            </w:r>
            <w:r>
              <w:rPr>
                <w:rFonts w:hint="eastAsia" w:ascii="宋体" w:hAnsi="宋体"/>
                <w:b/>
                <w:szCs w:val="21"/>
              </w:rPr>
              <w:t>部分（满分</w:t>
            </w:r>
            <w:r>
              <w:rPr>
                <w:rFonts w:hint="eastAsia" w:ascii="宋体" w:hAnsi="宋体"/>
                <w:b/>
                <w:szCs w:val="21"/>
                <w:u w:val="single"/>
              </w:rPr>
              <w:t>60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ascii="宋体"/>
                <w:szCs w:val="21"/>
              </w:rPr>
            </w:pPr>
            <w:r>
              <w:rPr>
                <w:rFonts w:hint="eastAsia" w:ascii="宋体" w:hAnsi="宋体"/>
                <w:b/>
                <w:szCs w:val="21"/>
              </w:rPr>
              <w:t>评分因素</w:t>
            </w:r>
          </w:p>
        </w:tc>
        <w:tc>
          <w:tcPr>
            <w:tcW w:w="6558" w:type="dxa"/>
            <w:vAlign w:val="center"/>
          </w:tcPr>
          <w:p>
            <w:pPr>
              <w:spacing w:line="360" w:lineRule="auto"/>
              <w:jc w:val="center"/>
              <w:rPr>
                <w:rFonts w:ascii="宋体"/>
                <w:bCs/>
                <w:szCs w:val="21"/>
              </w:rPr>
            </w:pPr>
            <w:r>
              <w:rPr>
                <w:rFonts w:hint="eastAsia" w:ascii="宋体" w:hAnsi="宋体"/>
                <w:b/>
                <w:szCs w:val="21"/>
              </w:rPr>
              <w:t>评标标准</w:t>
            </w:r>
          </w:p>
        </w:tc>
        <w:tc>
          <w:tcPr>
            <w:tcW w:w="967" w:type="dxa"/>
            <w:vAlign w:val="center"/>
          </w:tcPr>
          <w:p>
            <w:pPr>
              <w:jc w:val="center"/>
              <w:rPr>
                <w:rFonts w:ascii="宋体"/>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1441" w:type="dxa"/>
            <w:vAlign w:val="center"/>
          </w:tcPr>
          <w:p>
            <w:pPr>
              <w:spacing w:line="360" w:lineRule="exact"/>
              <w:jc w:val="center"/>
              <w:rPr>
                <w:rFonts w:ascii="宋体"/>
                <w:szCs w:val="21"/>
              </w:rPr>
            </w:pPr>
            <w:r>
              <w:rPr>
                <w:rFonts w:hint="eastAsia" w:ascii="宋体" w:hAnsi="宋体"/>
                <w:szCs w:val="21"/>
              </w:rPr>
              <w:t>信誉</w:t>
            </w:r>
          </w:p>
        </w:tc>
        <w:tc>
          <w:tcPr>
            <w:tcW w:w="6558" w:type="dxa"/>
            <w:vAlign w:val="center"/>
          </w:tcPr>
          <w:p>
            <w:pPr>
              <w:numPr>
                <w:ilvl w:val="0"/>
                <w:numId w:val="10"/>
              </w:numPr>
              <w:spacing w:line="360" w:lineRule="auto"/>
            </w:pPr>
            <w:r>
              <w:rPr>
                <w:rFonts w:hint="eastAsia"/>
              </w:rPr>
              <w:t>投标人提供2016年1月1日以来注册地市级（不包括县级市）及以上经社会信用体系建设主管部门认可的信用评级机构出具的有效的企业信用报告，等级为</w:t>
            </w:r>
            <w:r>
              <w:t>AAA</w:t>
            </w:r>
            <w:r>
              <w:rPr>
                <w:rFonts w:hint="eastAsia"/>
              </w:rPr>
              <w:t>级的得</w:t>
            </w:r>
            <w:r>
              <w:t>3</w:t>
            </w:r>
            <w:r>
              <w:rPr>
                <w:rFonts w:hint="eastAsia"/>
              </w:rPr>
              <w:t>分；</w:t>
            </w:r>
            <w:r>
              <w:t>AA</w:t>
            </w:r>
            <w:r>
              <w:rPr>
                <w:rFonts w:hint="eastAsia"/>
              </w:rPr>
              <w:t>级的得</w:t>
            </w:r>
            <w:r>
              <w:t>2</w:t>
            </w:r>
            <w:r>
              <w:rPr>
                <w:rFonts w:hint="eastAsia"/>
              </w:rPr>
              <w:t>分；</w:t>
            </w:r>
            <w:r>
              <w:t>A</w:t>
            </w:r>
            <w:r>
              <w:rPr>
                <w:rFonts w:hint="eastAsia"/>
              </w:rPr>
              <w:t>级的得</w:t>
            </w:r>
            <w:r>
              <w:t>1</w:t>
            </w:r>
            <w:r>
              <w:rPr>
                <w:rFonts w:hint="eastAsia"/>
              </w:rPr>
              <w:t>分。【投标人在投标文件中提供：河南省信用建设促进会-信用河南网（www.xyhnw.com）或其他省、市信用网上公布的信用等级评级机构名单，截图证明或查询网址。】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rPr>
              <w:t>1认证证书和中国认证认可监督管理委员会网站上查询的截图证明，得</w:t>
            </w:r>
            <w:r>
              <w:rPr>
                <w:rFonts w:ascii="宋体" w:hAnsi="宋体"/>
                <w:szCs w:val="21"/>
              </w:rPr>
              <w:t>2</w:t>
            </w:r>
            <w:r>
              <w:rPr>
                <w:rFonts w:hint="eastAsia" w:ascii="宋体" w:hAnsi="宋体"/>
                <w:szCs w:val="21"/>
              </w:rPr>
              <w:t>分。</w:t>
            </w:r>
          </w:p>
          <w:p>
            <w:pPr>
              <w:pStyle w:val="2"/>
              <w:ind w:firstLine="0" w:firstLineChars="0"/>
            </w:pPr>
            <w:r>
              <w:rPr>
                <w:rFonts w:hint="eastAsia" w:asciiTheme="minorHAnsi" w:hAnsiTheme="minorHAnsi" w:eastAsiaTheme="minorEastAsia" w:cstheme="minorBidi"/>
                <w:kern w:val="2"/>
                <w:sz w:val="21"/>
                <w:szCs w:val="22"/>
              </w:rPr>
              <w:t>【提供证书及查询截图，否则不得分。】</w:t>
            </w:r>
          </w:p>
        </w:tc>
        <w:tc>
          <w:tcPr>
            <w:tcW w:w="967" w:type="dxa"/>
            <w:vAlign w:val="center"/>
          </w:tcPr>
          <w:p>
            <w:pPr>
              <w:jc w:val="center"/>
              <w:rPr>
                <w:rFonts w:asci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441" w:type="dxa"/>
            <w:vAlign w:val="center"/>
          </w:tcPr>
          <w:p>
            <w:pPr>
              <w:spacing w:line="360" w:lineRule="exact"/>
              <w:jc w:val="center"/>
              <w:rPr>
                <w:rFonts w:ascii="宋体" w:hAnsi="宋体"/>
                <w:szCs w:val="21"/>
              </w:rPr>
            </w:pPr>
            <w:r>
              <w:rPr>
                <w:rFonts w:hint="eastAsia" w:ascii="宋体" w:hAnsi="宋体"/>
                <w:szCs w:val="21"/>
              </w:rPr>
              <w:t>资质等级</w:t>
            </w:r>
          </w:p>
        </w:tc>
        <w:tc>
          <w:tcPr>
            <w:tcW w:w="6558" w:type="dxa"/>
            <w:vAlign w:val="center"/>
          </w:tcPr>
          <w:p>
            <w:pPr>
              <w:numPr>
                <w:ilvl w:val="0"/>
                <w:numId w:val="11"/>
              </w:numPr>
              <w:spacing w:line="360" w:lineRule="auto"/>
            </w:pPr>
            <w:r>
              <w:rPr>
                <w:rFonts w:hint="eastAsia"/>
              </w:rPr>
              <w:t>具有建设行政主管部门颁发的工程造价咨询甲级资质的得2分</w:t>
            </w:r>
          </w:p>
          <w:p>
            <w:pPr>
              <w:pStyle w:val="2"/>
              <w:ind w:firstLine="0" w:firstLineChars="0"/>
            </w:pPr>
            <w:r>
              <w:rPr>
                <w:rFonts w:hint="eastAsia" w:asciiTheme="minorHAnsi" w:hAnsiTheme="minorHAnsi" w:eastAsiaTheme="minorEastAsia" w:cstheme="minorBidi"/>
                <w:kern w:val="2"/>
                <w:sz w:val="21"/>
                <w:szCs w:val="22"/>
              </w:rPr>
              <w:t>2、具有建设行政主管部门颁发的工程造价咨询乙级资质的得1分</w:t>
            </w:r>
          </w:p>
        </w:tc>
        <w:tc>
          <w:tcPr>
            <w:tcW w:w="967" w:type="dxa"/>
            <w:vAlign w:val="center"/>
          </w:tcPr>
          <w:p>
            <w:pPr>
              <w:jc w:val="center"/>
              <w:rPr>
                <w:rFonts w:ascii="宋体" w:hAnsi="宋体"/>
                <w:szCs w:val="21"/>
              </w:rPr>
            </w:pP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szCs w:val="21"/>
              </w:rPr>
            </w:pPr>
            <w:r>
              <w:rPr>
                <w:rFonts w:hint="eastAsia" w:ascii="宋体" w:hAnsi="宋体"/>
                <w:szCs w:val="21"/>
              </w:rPr>
              <w:t>机构设置</w:t>
            </w:r>
          </w:p>
        </w:tc>
        <w:tc>
          <w:tcPr>
            <w:tcW w:w="6558" w:type="dxa"/>
            <w:vAlign w:val="center"/>
          </w:tcPr>
          <w:p>
            <w:pPr>
              <w:spacing w:line="360" w:lineRule="auto"/>
              <w:rPr>
                <w:rFonts w:ascii="宋体"/>
                <w:szCs w:val="21"/>
              </w:rPr>
            </w:pPr>
            <w:r>
              <w:rPr>
                <w:rFonts w:hint="eastAsia" w:ascii="宋体" w:hAnsi="宋体"/>
                <w:szCs w:val="21"/>
              </w:rPr>
              <w:t>评标委员会根据各投标人内部机构设置、权责分工、各个环节等是否设置有相应的机构等比较打分：</w:t>
            </w:r>
          </w:p>
          <w:p>
            <w:pPr>
              <w:spacing w:line="360" w:lineRule="auto"/>
              <w:rPr>
                <w:rFonts w:ascii="宋体"/>
                <w:szCs w:val="21"/>
              </w:rPr>
            </w:pPr>
            <w:r>
              <w:rPr>
                <w:rFonts w:ascii="宋体" w:hAnsi="宋体"/>
                <w:szCs w:val="21"/>
              </w:rPr>
              <w:t>1</w:t>
            </w:r>
            <w:r>
              <w:rPr>
                <w:rFonts w:hint="eastAsia" w:ascii="宋体" w:hAnsi="宋体"/>
                <w:szCs w:val="21"/>
              </w:rPr>
              <w:t>、内部机构设置：有规范的法人治理结构和内部管理制度，组织架构设计适当，结构层次科学，组织机构工作程序化、标准化，机构设置科学、合理的，得3分，仅简单描述概括的</w:t>
            </w:r>
            <w:r>
              <w:rPr>
                <w:rFonts w:ascii="宋体" w:hAnsi="宋体"/>
                <w:szCs w:val="21"/>
              </w:rPr>
              <w:t>1</w:t>
            </w:r>
            <w:r>
              <w:rPr>
                <w:rFonts w:hint="eastAsia" w:ascii="宋体" w:hAnsi="宋体"/>
                <w:szCs w:val="21"/>
              </w:rPr>
              <w:t>分，没有不得分；</w:t>
            </w:r>
          </w:p>
          <w:p>
            <w:pPr>
              <w:spacing w:line="360" w:lineRule="auto"/>
              <w:rPr>
                <w:rFonts w:ascii="宋体"/>
                <w:szCs w:val="21"/>
              </w:rPr>
            </w:pPr>
            <w:r>
              <w:rPr>
                <w:rFonts w:ascii="宋体" w:hAnsi="宋体"/>
                <w:szCs w:val="21"/>
              </w:rPr>
              <w:t>2</w:t>
            </w:r>
            <w:r>
              <w:rPr>
                <w:rFonts w:hint="eastAsia" w:ascii="宋体" w:hAnsi="宋体"/>
                <w:szCs w:val="21"/>
              </w:rPr>
              <w:t>、权责分工：</w:t>
            </w:r>
            <w:r>
              <w:rPr>
                <w:rFonts w:hint="eastAsia"/>
              </w:rPr>
              <w:t>对权责分工合理、</w:t>
            </w:r>
            <w:r>
              <w:rPr>
                <w:rFonts w:hint="eastAsia" w:ascii="宋体" w:hAnsi="宋体"/>
                <w:szCs w:val="21"/>
              </w:rPr>
              <w:t>明确规定高级管理人员、各职能部门和分支机构、以及基层作业单位的职责权限的，得</w:t>
            </w:r>
            <w:r>
              <w:rPr>
                <w:rFonts w:ascii="宋体" w:hAnsi="宋体"/>
                <w:szCs w:val="21"/>
              </w:rPr>
              <w:t>2</w:t>
            </w:r>
            <w:r>
              <w:rPr>
                <w:rFonts w:hint="eastAsia" w:ascii="宋体" w:hAnsi="宋体"/>
                <w:szCs w:val="21"/>
              </w:rPr>
              <w:t>分，仅简单描述概括的</w:t>
            </w:r>
            <w:r>
              <w:rPr>
                <w:rFonts w:ascii="宋体" w:hAnsi="宋体"/>
                <w:szCs w:val="21"/>
              </w:rPr>
              <w:t>1</w:t>
            </w:r>
            <w:r>
              <w:rPr>
                <w:rFonts w:hint="eastAsia" w:ascii="宋体" w:hAnsi="宋体"/>
                <w:szCs w:val="21"/>
              </w:rPr>
              <w:t>分，没有不得分；</w:t>
            </w:r>
          </w:p>
          <w:p>
            <w:pPr>
              <w:spacing w:line="360" w:lineRule="auto"/>
              <w:rPr>
                <w:szCs w:val="21"/>
              </w:rPr>
            </w:pPr>
            <w:r>
              <w:rPr>
                <w:rFonts w:ascii="宋体" w:hAnsi="宋体"/>
                <w:szCs w:val="21"/>
              </w:rPr>
              <w:t>3</w:t>
            </w:r>
            <w:r>
              <w:rPr>
                <w:rFonts w:hint="eastAsia" w:ascii="宋体" w:hAnsi="宋体"/>
                <w:szCs w:val="21"/>
              </w:rPr>
              <w:t>、各个环节设置的机构健全，工作开展</w:t>
            </w:r>
            <w:r>
              <w:rPr>
                <w:rFonts w:hint="eastAsia"/>
              </w:rPr>
              <w:t>流程，</w:t>
            </w:r>
            <w:r>
              <w:rPr>
                <w:rFonts w:hint="eastAsia"/>
                <w:szCs w:val="21"/>
              </w:rPr>
              <w:t>得</w:t>
            </w:r>
            <w:r>
              <w:rPr>
                <w:rFonts w:ascii="宋体" w:hAnsi="宋体"/>
                <w:szCs w:val="21"/>
              </w:rPr>
              <w:t>2</w:t>
            </w:r>
            <w:r>
              <w:rPr>
                <w:rFonts w:hint="eastAsia" w:ascii="宋体" w:hAnsi="宋体"/>
                <w:szCs w:val="21"/>
              </w:rPr>
              <w:t>分，</w:t>
            </w:r>
            <w:r>
              <w:rPr>
                <w:rFonts w:hint="eastAsia"/>
                <w:szCs w:val="21"/>
              </w:rPr>
              <w:t>仅为简单概括描述的得</w:t>
            </w:r>
            <w:r>
              <w:rPr>
                <w:szCs w:val="21"/>
              </w:rPr>
              <w:t>1</w:t>
            </w:r>
            <w:r>
              <w:rPr>
                <w:rFonts w:hint="eastAsia"/>
                <w:szCs w:val="21"/>
              </w:rPr>
              <w:t>分，缺少不得分；</w:t>
            </w:r>
          </w:p>
          <w:p>
            <w:pPr>
              <w:spacing w:line="360" w:lineRule="auto"/>
              <w:rPr>
                <w:szCs w:val="21"/>
              </w:rPr>
            </w:pPr>
            <w:r>
              <w:rPr>
                <w:szCs w:val="21"/>
              </w:rPr>
              <w:t>4</w:t>
            </w:r>
            <w:r>
              <w:rPr>
                <w:rFonts w:hint="eastAsia"/>
                <w:szCs w:val="21"/>
              </w:rPr>
              <w:t>、投标人有关机构设置的其他方面补充的，得</w:t>
            </w:r>
            <w:r>
              <w:rPr>
                <w:szCs w:val="21"/>
              </w:rPr>
              <w:t>1</w:t>
            </w:r>
            <w:r>
              <w:rPr>
                <w:rFonts w:hint="eastAsia"/>
                <w:szCs w:val="21"/>
              </w:rPr>
              <w:t>分。</w:t>
            </w:r>
          </w:p>
        </w:tc>
        <w:tc>
          <w:tcPr>
            <w:tcW w:w="967" w:type="dxa"/>
            <w:vAlign w:val="center"/>
          </w:tcPr>
          <w:p>
            <w:pPr>
              <w:jc w:val="center"/>
              <w:rPr>
                <w:rFonts w:ascii="宋体"/>
                <w:szCs w:val="21"/>
              </w:rPr>
            </w:pPr>
            <w:r>
              <w:rPr>
                <w:rFonts w:hint="eastAsia" w:ascii="宋体" w:hAnsi="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拟投入本项目注册造价工程师数量</w:t>
            </w:r>
          </w:p>
        </w:tc>
        <w:tc>
          <w:tcPr>
            <w:tcW w:w="6558" w:type="dxa"/>
            <w:vAlign w:val="center"/>
          </w:tcPr>
          <w:p>
            <w:pPr>
              <w:spacing w:beforeLines="50" w:line="400" w:lineRule="exact"/>
              <w:jc w:val="left"/>
              <w:rPr>
                <w:rFonts w:ascii="宋体" w:hAnsi="宋体"/>
                <w:szCs w:val="21"/>
              </w:rPr>
            </w:pPr>
            <w:r>
              <w:rPr>
                <w:rFonts w:hint="eastAsia" w:ascii="宋体" w:hAnsi="宋体"/>
                <w:szCs w:val="21"/>
              </w:rPr>
              <w:t>拟投入本项目专业技术人员团队(服务团队人数最多20人)中，其中</w:t>
            </w:r>
            <w:r>
              <w:rPr>
                <w:rFonts w:hint="eastAsia" w:ascii="宋体" w:hAnsi="宋体" w:cs="宋体"/>
                <w:szCs w:val="21"/>
              </w:rPr>
              <w:t>拟投入本项目</w:t>
            </w:r>
            <w:r>
              <w:rPr>
                <w:rFonts w:hint="eastAsia" w:ascii="宋体" w:hAnsi="宋体"/>
                <w:szCs w:val="21"/>
              </w:rPr>
              <w:t>注册造价工程师人数为</w:t>
            </w:r>
            <w:r>
              <w:rPr>
                <w:rFonts w:ascii="宋体" w:hAnsi="宋体"/>
                <w:szCs w:val="21"/>
              </w:rPr>
              <w:t>3</w:t>
            </w:r>
            <w:r>
              <w:rPr>
                <w:rFonts w:hint="eastAsia" w:ascii="宋体" w:hAnsi="宋体"/>
                <w:szCs w:val="21"/>
              </w:rPr>
              <w:t>人的，基本分得9分，少于</w:t>
            </w:r>
            <w:r>
              <w:rPr>
                <w:rFonts w:ascii="宋体" w:hAnsi="宋体"/>
                <w:szCs w:val="21"/>
              </w:rPr>
              <w:t>3</w:t>
            </w:r>
            <w:r>
              <w:rPr>
                <w:rFonts w:hint="eastAsia" w:ascii="宋体" w:hAnsi="宋体"/>
                <w:szCs w:val="21"/>
              </w:rPr>
              <w:t>人，不得分；在</w:t>
            </w:r>
            <w:r>
              <w:rPr>
                <w:rFonts w:ascii="宋体" w:hAnsi="宋体"/>
                <w:szCs w:val="21"/>
              </w:rPr>
              <w:t>3</w:t>
            </w:r>
            <w:r>
              <w:rPr>
                <w:rFonts w:hint="eastAsia" w:ascii="宋体" w:hAnsi="宋体"/>
                <w:szCs w:val="21"/>
              </w:rPr>
              <w:t>人的基础上每再增加</w:t>
            </w:r>
            <w:r>
              <w:rPr>
                <w:rFonts w:ascii="宋体" w:hAnsi="宋体"/>
                <w:szCs w:val="21"/>
              </w:rPr>
              <w:t>1</w:t>
            </w:r>
            <w:r>
              <w:rPr>
                <w:rFonts w:hint="eastAsia" w:ascii="宋体" w:hAnsi="宋体"/>
                <w:szCs w:val="21"/>
              </w:rPr>
              <w:t>人加</w:t>
            </w:r>
            <w:r>
              <w:rPr>
                <w:rFonts w:ascii="宋体" w:hAnsi="宋体"/>
                <w:szCs w:val="21"/>
              </w:rPr>
              <w:t>1</w:t>
            </w:r>
            <w:r>
              <w:rPr>
                <w:rFonts w:hint="eastAsia" w:ascii="宋体" w:hAnsi="宋体"/>
                <w:szCs w:val="21"/>
              </w:rPr>
              <w:t>分，最多加6分。</w:t>
            </w:r>
          </w:p>
          <w:p>
            <w:pPr>
              <w:spacing w:beforeLines="50" w:line="400" w:lineRule="exact"/>
              <w:jc w:val="left"/>
              <w:rPr>
                <w:rFonts w:ascii="宋体"/>
                <w:szCs w:val="21"/>
              </w:rPr>
            </w:pPr>
            <w:r>
              <w:rPr>
                <w:rFonts w:hint="eastAsia" w:ascii="宋体" w:hAnsi="宋体"/>
                <w:szCs w:val="21"/>
              </w:rPr>
              <w:t>需提供相应注册造价工程师证书及社保缴纳证明（近三个月），否则对应的注册造价工程师不得分。</w:t>
            </w:r>
          </w:p>
          <w:p>
            <w:pPr>
              <w:spacing w:beforeLines="50" w:line="400" w:lineRule="exact"/>
              <w:jc w:val="left"/>
              <w:rPr>
                <w:rFonts w:ascii="宋体"/>
                <w:szCs w:val="21"/>
              </w:rPr>
            </w:pPr>
            <w:r>
              <w:rPr>
                <w:rFonts w:hint="eastAsia" w:ascii="宋体" w:hAnsi="宋体"/>
                <w:b/>
                <w:bCs/>
                <w:szCs w:val="21"/>
                <w:u w:val="single"/>
              </w:rPr>
              <w:t>本项人员与拟投入本项目工作人员不重复计分。</w:t>
            </w:r>
          </w:p>
        </w:tc>
        <w:tc>
          <w:tcPr>
            <w:tcW w:w="967" w:type="dxa"/>
            <w:vAlign w:val="center"/>
          </w:tcPr>
          <w:p>
            <w:pPr>
              <w:jc w:val="center"/>
              <w:rPr>
                <w:rFonts w:ascii="宋体"/>
                <w:sz w:val="24"/>
              </w:rPr>
            </w:pPr>
            <w:r>
              <w:rPr>
                <w:rFonts w:ascii="宋体" w:hAnsi="宋体"/>
                <w:sz w:val="24"/>
              </w:rPr>
              <w:t>1</w:t>
            </w: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拟投入本项目工作人员</w:t>
            </w:r>
          </w:p>
        </w:tc>
        <w:tc>
          <w:tcPr>
            <w:tcW w:w="6558" w:type="dxa"/>
            <w:vAlign w:val="center"/>
          </w:tcPr>
          <w:p>
            <w:pPr>
              <w:spacing w:beforeLines="50" w:line="400" w:lineRule="exact"/>
              <w:jc w:val="left"/>
              <w:rPr>
                <w:rFonts w:ascii="宋体" w:hAnsi="宋体"/>
                <w:szCs w:val="21"/>
              </w:rPr>
            </w:pPr>
            <w:r>
              <w:rPr>
                <w:rFonts w:hint="eastAsia" w:ascii="宋体" w:hAnsi="宋体"/>
                <w:szCs w:val="21"/>
              </w:rPr>
              <w:t>拟投入本项目专业技术人员团队(服务团队人数最多20人)中，其中</w:t>
            </w:r>
            <w:r>
              <w:rPr>
                <w:rFonts w:hint="eastAsia" w:ascii="宋体" w:hAnsi="宋体" w:cs="宋体"/>
                <w:szCs w:val="21"/>
              </w:rPr>
              <w:t>拟投入本项目工作人员</w:t>
            </w:r>
            <w:r>
              <w:rPr>
                <w:rFonts w:hint="eastAsia" w:ascii="宋体" w:hAnsi="宋体"/>
                <w:szCs w:val="21"/>
              </w:rPr>
              <w:t>具有工程或经济类专业中级及以上专业技术人员数量有</w:t>
            </w:r>
            <w:r>
              <w:rPr>
                <w:rFonts w:ascii="宋体" w:hAnsi="宋体"/>
                <w:szCs w:val="21"/>
              </w:rPr>
              <w:t>4</w:t>
            </w:r>
            <w:r>
              <w:rPr>
                <w:rFonts w:hint="eastAsia" w:ascii="宋体" w:hAnsi="宋体"/>
                <w:szCs w:val="21"/>
              </w:rPr>
              <w:t>人的，得</w:t>
            </w:r>
            <w:r>
              <w:rPr>
                <w:rFonts w:ascii="宋体" w:hAnsi="宋体"/>
                <w:szCs w:val="21"/>
              </w:rPr>
              <w:t>4</w:t>
            </w:r>
            <w:r>
              <w:rPr>
                <w:rFonts w:hint="eastAsia" w:ascii="宋体" w:hAnsi="宋体"/>
                <w:szCs w:val="21"/>
              </w:rPr>
              <w:t>分，少于</w:t>
            </w:r>
            <w:r>
              <w:rPr>
                <w:rFonts w:ascii="宋体" w:hAnsi="宋体"/>
                <w:szCs w:val="21"/>
              </w:rPr>
              <w:t>4</w:t>
            </w:r>
            <w:r>
              <w:rPr>
                <w:rFonts w:hint="eastAsia" w:ascii="宋体" w:hAnsi="宋体"/>
                <w:szCs w:val="21"/>
              </w:rPr>
              <w:t>人的不得分；在</w:t>
            </w:r>
            <w:r>
              <w:rPr>
                <w:rFonts w:ascii="宋体" w:hAnsi="宋体"/>
                <w:szCs w:val="21"/>
              </w:rPr>
              <w:t>4</w:t>
            </w:r>
            <w:r>
              <w:rPr>
                <w:rFonts w:hint="eastAsia" w:ascii="宋体" w:hAnsi="宋体"/>
                <w:szCs w:val="21"/>
              </w:rPr>
              <w:t>人的基础上每再增加</w:t>
            </w:r>
            <w:r>
              <w:rPr>
                <w:rFonts w:ascii="宋体" w:hAnsi="宋体"/>
                <w:szCs w:val="21"/>
              </w:rPr>
              <w:t>1</w:t>
            </w:r>
            <w:r>
              <w:rPr>
                <w:rFonts w:hint="eastAsia" w:ascii="宋体" w:hAnsi="宋体"/>
                <w:szCs w:val="21"/>
              </w:rPr>
              <w:t>人得</w:t>
            </w:r>
            <w:r>
              <w:rPr>
                <w:rFonts w:ascii="宋体" w:hAnsi="宋体"/>
                <w:szCs w:val="21"/>
              </w:rPr>
              <w:t>1</w:t>
            </w:r>
            <w:r>
              <w:rPr>
                <w:rFonts w:hint="eastAsia" w:ascii="宋体" w:hAnsi="宋体"/>
                <w:szCs w:val="21"/>
              </w:rPr>
              <w:t>分，最多加5分。</w:t>
            </w:r>
          </w:p>
          <w:p>
            <w:pPr>
              <w:spacing w:beforeLines="50" w:line="400" w:lineRule="exact"/>
              <w:jc w:val="left"/>
              <w:rPr>
                <w:rFonts w:ascii="宋体"/>
                <w:szCs w:val="21"/>
              </w:rPr>
            </w:pPr>
            <w:r>
              <w:rPr>
                <w:rFonts w:hint="eastAsia" w:ascii="宋体" w:hAnsi="宋体"/>
                <w:szCs w:val="21"/>
              </w:rPr>
              <w:t>提供相应人员专业技术证书及社保缴纳证明（2019年2月至4月），否则对应的人员不得分。</w:t>
            </w:r>
          </w:p>
          <w:p>
            <w:pPr>
              <w:spacing w:line="360" w:lineRule="auto"/>
              <w:rPr>
                <w:rFonts w:ascii="宋体"/>
                <w:szCs w:val="21"/>
              </w:rPr>
            </w:pPr>
            <w:r>
              <w:rPr>
                <w:rFonts w:hint="eastAsia" w:ascii="宋体" w:hAnsi="宋体"/>
                <w:b/>
                <w:bCs/>
                <w:szCs w:val="21"/>
                <w:u w:val="single"/>
              </w:rPr>
              <w:t>本项人员与拟投入本项目注册造价工程师人员不重复计分。</w:t>
            </w:r>
          </w:p>
        </w:tc>
        <w:tc>
          <w:tcPr>
            <w:tcW w:w="967" w:type="dxa"/>
            <w:vAlign w:val="center"/>
          </w:tcPr>
          <w:p>
            <w:pPr>
              <w:jc w:val="center"/>
              <w:rPr>
                <w:rFonts w:ascii="仿宋" w:hAnsi="仿宋" w:eastAsia="仿宋"/>
                <w:szCs w:val="21"/>
                <w:u w:val="single"/>
              </w:rPr>
            </w:pPr>
            <w:r>
              <w:rPr>
                <w:rFonts w:hint="eastAsia" w:ascii="宋体" w:hAnsi="宋体"/>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1441" w:type="dxa"/>
            <w:vAlign w:val="center"/>
          </w:tcPr>
          <w:p>
            <w:pPr>
              <w:spacing w:line="400" w:lineRule="exact"/>
              <w:jc w:val="center"/>
              <w:rPr>
                <w:rFonts w:ascii="宋体" w:hAnsi="宋体" w:cs="宋体"/>
                <w:szCs w:val="21"/>
              </w:rPr>
            </w:pPr>
            <w:r>
              <w:rPr>
                <w:rFonts w:hint="eastAsia" w:ascii="宋体" w:hAnsi="宋体"/>
                <w:szCs w:val="21"/>
              </w:rPr>
              <w:t>投标人业绩</w:t>
            </w:r>
          </w:p>
        </w:tc>
        <w:tc>
          <w:tcPr>
            <w:tcW w:w="6558" w:type="dxa"/>
            <w:vAlign w:val="center"/>
          </w:tcPr>
          <w:p>
            <w:pPr>
              <w:spacing w:line="400" w:lineRule="exact"/>
              <w:rPr>
                <w:rFonts w:ascii="宋体" w:hAnsi="宋体" w:cs="宋体"/>
                <w:b/>
                <w:bCs/>
                <w:spacing w:val="-4"/>
                <w:szCs w:val="21"/>
              </w:rPr>
            </w:pPr>
            <w:r>
              <w:rPr>
                <w:rFonts w:hint="eastAsia" w:ascii="宋体" w:cs="宋体"/>
                <w:szCs w:val="21"/>
              </w:rPr>
              <w:t>自</w:t>
            </w:r>
            <w:r>
              <w:rPr>
                <w:rFonts w:hint="eastAsia" w:ascii="宋体" w:cs="宋体"/>
                <w:b/>
                <w:bCs/>
                <w:szCs w:val="21"/>
              </w:rPr>
              <w:t>2016</w:t>
            </w:r>
            <w:r>
              <w:rPr>
                <w:rFonts w:hint="eastAsia" w:ascii="宋体" w:cs="宋体"/>
                <w:szCs w:val="21"/>
              </w:rPr>
              <w:t>年以来投标单位承担过的</w:t>
            </w:r>
            <w:r>
              <w:rPr>
                <w:rFonts w:hint="eastAsia" w:ascii="宋体" w:hAnsi="宋体"/>
                <w:szCs w:val="21"/>
              </w:rPr>
              <w:t>竣工结算审核或实施阶段工程造价控制</w:t>
            </w:r>
            <w:r>
              <w:rPr>
                <w:rFonts w:hint="eastAsia" w:ascii="宋体" w:cs="宋体"/>
                <w:szCs w:val="21"/>
              </w:rPr>
              <w:t>业绩，</w:t>
            </w:r>
            <w:r>
              <w:rPr>
                <w:rFonts w:hint="eastAsia" w:ascii="宋体" w:hAnsi="宋体" w:cs="宋体"/>
                <w:spacing w:val="-4"/>
                <w:szCs w:val="21"/>
              </w:rPr>
              <w:t>每一份业绩得3分，最多得15分。</w:t>
            </w:r>
          </w:p>
          <w:p>
            <w:pPr>
              <w:pStyle w:val="52"/>
              <w:autoSpaceDE w:val="0"/>
              <w:autoSpaceDN w:val="0"/>
              <w:spacing w:line="360" w:lineRule="auto"/>
              <w:ind w:firstLine="0" w:firstLineChars="0"/>
              <w:contextualSpacing/>
              <w:rPr>
                <w:rFonts w:ascii="宋体" w:hAnsi="宋体"/>
                <w:b/>
                <w:bCs/>
                <w:szCs w:val="21"/>
                <w:u w:val="single"/>
              </w:rPr>
            </w:pPr>
            <w:r>
              <w:rPr>
                <w:rFonts w:hint="eastAsia" w:ascii="宋体" w:hAnsi="宋体" w:cs="宋体"/>
                <w:spacing w:val="-4"/>
                <w:szCs w:val="21"/>
              </w:rPr>
              <w:t>注：需提供合同及成果文件扫描件；成果文件需要加盖三方公章，否则不得分。</w:t>
            </w:r>
          </w:p>
        </w:tc>
        <w:tc>
          <w:tcPr>
            <w:tcW w:w="967" w:type="dxa"/>
            <w:vAlign w:val="center"/>
          </w:tcPr>
          <w:p>
            <w:pPr>
              <w:jc w:val="center"/>
              <w:rPr>
                <w:rFonts w:ascii="宋体" w:hAnsi="宋体"/>
                <w:sz w:val="24"/>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1" w:hRule="atLeast"/>
          <w:jc w:val="center"/>
        </w:trPr>
        <w:tc>
          <w:tcPr>
            <w:tcW w:w="1441" w:type="dxa"/>
            <w:vAlign w:val="center"/>
          </w:tcPr>
          <w:p>
            <w:pPr>
              <w:spacing w:line="360" w:lineRule="auto"/>
              <w:jc w:val="center"/>
              <w:rPr>
                <w:rFonts w:ascii="仿宋" w:hAnsi="仿宋" w:eastAsia="仿宋"/>
                <w:szCs w:val="21"/>
              </w:rPr>
            </w:pPr>
            <w:r>
              <w:rPr>
                <w:rFonts w:hint="eastAsia" w:ascii="宋体" w:hAnsi="宋体"/>
                <w:szCs w:val="21"/>
              </w:rPr>
              <w:t>造价专用软件</w:t>
            </w:r>
          </w:p>
        </w:tc>
        <w:tc>
          <w:tcPr>
            <w:tcW w:w="6558" w:type="dxa"/>
            <w:vAlign w:val="center"/>
          </w:tcPr>
          <w:p>
            <w:pPr>
              <w:spacing w:line="360" w:lineRule="auto"/>
              <w:rPr>
                <w:rFonts w:ascii="宋体" w:hAnsi="宋体"/>
                <w:b/>
                <w:szCs w:val="21"/>
              </w:rPr>
            </w:pPr>
            <w:r>
              <w:rPr>
                <w:rFonts w:hint="eastAsia" w:ascii="宋体" w:hAnsi="宋体" w:cs="宋体"/>
                <w:szCs w:val="21"/>
                <w:lang w:val="zh-CN"/>
              </w:rPr>
              <w:t>投标单位（购买或租赁）造价专用软件（算量、套价）数量为</w:t>
            </w:r>
            <w:r>
              <w:rPr>
                <w:rFonts w:ascii="宋体" w:hAnsi="宋体" w:cs="宋体"/>
                <w:szCs w:val="21"/>
                <w:lang w:val="zh-CN"/>
              </w:rPr>
              <w:t>40</w:t>
            </w:r>
            <w:r>
              <w:rPr>
                <w:rFonts w:hint="eastAsia" w:ascii="宋体" w:hAnsi="宋体" w:cs="宋体"/>
                <w:szCs w:val="21"/>
                <w:lang w:val="zh-CN"/>
              </w:rPr>
              <w:t>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的得</w:t>
            </w:r>
            <w:r>
              <w:rPr>
                <w:rFonts w:hint="eastAsia" w:ascii="宋体" w:hAnsi="宋体" w:cs="宋体"/>
                <w:szCs w:val="21"/>
              </w:rPr>
              <w:t>4</w:t>
            </w:r>
            <w:r>
              <w:rPr>
                <w:rFonts w:hint="eastAsia" w:ascii="宋体" w:hAnsi="宋体" w:cs="宋体"/>
                <w:szCs w:val="21"/>
                <w:lang w:val="zh-CN"/>
              </w:rPr>
              <w:t>分，在此基础上每再增加一套</w:t>
            </w:r>
            <w:r>
              <w:rPr>
                <w:rFonts w:ascii="宋体" w:hAnsi="宋体" w:cs="宋体"/>
                <w:szCs w:val="21"/>
                <w:lang w:val="zh-CN"/>
              </w:rPr>
              <w:t>(</w:t>
            </w:r>
            <w:r>
              <w:rPr>
                <w:rFonts w:hint="eastAsia" w:ascii="宋体" w:hAnsi="宋体" w:cs="宋体"/>
                <w:szCs w:val="21"/>
                <w:lang w:val="zh-CN"/>
              </w:rPr>
              <w:t>点</w:t>
            </w:r>
            <w:r>
              <w:rPr>
                <w:rFonts w:ascii="宋体" w:hAnsi="宋体" w:cs="宋体"/>
                <w:szCs w:val="21"/>
                <w:lang w:val="zh-CN"/>
              </w:rPr>
              <w:t>)</w:t>
            </w:r>
            <w:r>
              <w:rPr>
                <w:rFonts w:hint="eastAsia" w:ascii="宋体" w:hAnsi="宋体" w:cs="宋体"/>
                <w:szCs w:val="21"/>
                <w:lang w:val="zh-CN"/>
              </w:rPr>
              <w:t>增加</w:t>
            </w:r>
            <w:r>
              <w:rPr>
                <w:rFonts w:ascii="宋体" w:hAnsi="宋体" w:cs="宋体"/>
                <w:szCs w:val="21"/>
              </w:rPr>
              <w:t>0.5</w:t>
            </w:r>
            <w:r>
              <w:rPr>
                <w:rFonts w:hint="eastAsia" w:ascii="宋体" w:hAnsi="宋体" w:cs="宋体"/>
                <w:szCs w:val="21"/>
                <w:lang w:val="zh-CN"/>
              </w:rPr>
              <w:t>分</w:t>
            </w:r>
            <w:r>
              <w:rPr>
                <w:rFonts w:ascii="宋体" w:hAnsi="宋体" w:cs="宋体"/>
                <w:szCs w:val="21"/>
                <w:lang w:val="zh-CN"/>
              </w:rPr>
              <w:t xml:space="preserve">, </w:t>
            </w:r>
            <w:r>
              <w:rPr>
                <w:rFonts w:hint="eastAsia" w:ascii="宋体" w:hAnsi="宋体" w:cs="宋体"/>
                <w:szCs w:val="21"/>
                <w:lang w:val="zh-CN"/>
              </w:rPr>
              <w:t>最多加</w:t>
            </w:r>
            <w:r>
              <w:rPr>
                <w:rFonts w:hint="eastAsia" w:ascii="宋体" w:hAnsi="宋体" w:cs="宋体"/>
                <w:szCs w:val="21"/>
              </w:rPr>
              <w:t>2</w:t>
            </w:r>
            <w:r>
              <w:rPr>
                <w:rFonts w:hint="eastAsia" w:ascii="宋体" w:hAnsi="宋体" w:cs="宋体"/>
                <w:szCs w:val="21"/>
                <w:lang w:val="zh-CN"/>
              </w:rPr>
              <w:t>分。</w:t>
            </w:r>
            <w:r>
              <w:rPr>
                <w:rFonts w:hint="eastAsia" w:ascii="宋体" w:hAnsi="宋体" w:cs="宋体"/>
                <w:b/>
                <w:bCs/>
                <w:szCs w:val="21"/>
                <w:lang w:val="zh-CN"/>
              </w:rPr>
              <w:t>（</w:t>
            </w:r>
            <w:r>
              <w:rPr>
                <w:rFonts w:hint="eastAsia" w:ascii="宋体" w:hAnsi="宋体"/>
                <w:b/>
                <w:szCs w:val="21"/>
              </w:rPr>
              <w:t>需提供购买发票或租赁合同</w:t>
            </w:r>
            <w:r>
              <w:rPr>
                <w:rFonts w:hint="eastAsia" w:ascii="宋体" w:hAnsi="宋体" w:cs="宋体"/>
                <w:b/>
                <w:bCs/>
                <w:szCs w:val="21"/>
                <w:lang w:val="zh-CN"/>
              </w:rPr>
              <w:t>；如果是租赁，租赁的期限必需覆盖开标当天的日期；不符合上述要求的不得分。）</w:t>
            </w:r>
          </w:p>
        </w:tc>
        <w:tc>
          <w:tcPr>
            <w:tcW w:w="967" w:type="dxa"/>
            <w:vAlign w:val="center"/>
          </w:tcPr>
          <w:p>
            <w:pPr>
              <w:jc w:val="center"/>
              <w:rPr>
                <w:rFonts w:ascii="仿宋" w:hAnsi="仿宋" w:eastAsia="仿宋"/>
                <w:szCs w:val="21"/>
                <w:u w:val="single"/>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hint="eastAsia" w:ascii="宋体" w:hAnsi="宋体"/>
                <w:b/>
                <w:szCs w:val="21"/>
                <w:u w:val="single"/>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b/>
                <w:szCs w:val="21"/>
              </w:rPr>
              <w:t>评分因素</w:t>
            </w:r>
          </w:p>
        </w:tc>
        <w:tc>
          <w:tcPr>
            <w:tcW w:w="6558" w:type="dxa"/>
            <w:vAlign w:val="center"/>
          </w:tcPr>
          <w:p>
            <w:pPr>
              <w:spacing w:line="360" w:lineRule="auto"/>
              <w:jc w:val="center"/>
              <w:rPr>
                <w:rFonts w:ascii="宋体"/>
                <w:szCs w:val="21"/>
              </w:rPr>
            </w:pPr>
            <w:r>
              <w:rPr>
                <w:rFonts w:hint="eastAsia" w:ascii="宋体" w:hAnsi="宋体"/>
                <w:b/>
                <w:szCs w:val="21"/>
              </w:rPr>
              <w:t>评标标准</w:t>
            </w:r>
          </w:p>
        </w:tc>
        <w:tc>
          <w:tcPr>
            <w:tcW w:w="967" w:type="dxa"/>
            <w:vAlign w:val="center"/>
          </w:tcPr>
          <w:p>
            <w:pPr>
              <w:jc w:val="center"/>
              <w:rPr>
                <w:rFonts w:ascii="宋体" w:cs="宋体"/>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仿宋" w:hAnsi="仿宋" w:eastAsia="仿宋"/>
                <w:szCs w:val="21"/>
              </w:rPr>
            </w:pPr>
            <w:r>
              <w:rPr>
                <w:rFonts w:hint="eastAsia" w:ascii="宋体" w:hAnsi="宋体" w:cs="宋体"/>
                <w:szCs w:val="21"/>
              </w:rPr>
              <w:t>服务方案</w:t>
            </w:r>
          </w:p>
        </w:tc>
        <w:tc>
          <w:tcPr>
            <w:tcW w:w="6558" w:type="dxa"/>
            <w:vAlign w:val="center"/>
          </w:tcPr>
          <w:p>
            <w:pPr>
              <w:spacing w:line="360" w:lineRule="auto"/>
              <w:rPr>
                <w:rFonts w:ascii="宋体"/>
                <w:szCs w:val="21"/>
              </w:rPr>
            </w:pPr>
            <w:r>
              <w:rPr>
                <w:rFonts w:hint="eastAsia" w:ascii="宋体" w:hAnsi="宋体"/>
                <w:szCs w:val="21"/>
              </w:rPr>
              <w:t>评标委员会根据各投标人服务方案的内容是否详实完整可行，至少应包括：质量控制、保障措施、技术档案管理制度、风险控制制度。</w:t>
            </w:r>
          </w:p>
          <w:p>
            <w:pPr>
              <w:spacing w:line="360" w:lineRule="auto"/>
              <w:rPr>
                <w:rFonts w:ascii="宋体"/>
                <w:szCs w:val="21"/>
              </w:rPr>
            </w:pPr>
            <w:r>
              <w:rPr>
                <w:rFonts w:ascii="宋体" w:hAnsi="宋体"/>
                <w:szCs w:val="21"/>
              </w:rPr>
              <w:t>1</w:t>
            </w:r>
            <w:r>
              <w:rPr>
                <w:rFonts w:hint="eastAsia" w:ascii="宋体" w:hAnsi="宋体"/>
                <w:szCs w:val="21"/>
              </w:rPr>
              <w:t>、总体服务方案的内容详实完整、实际可行，</w:t>
            </w:r>
            <w:r>
              <w:rPr>
                <w:rFonts w:hint="eastAsia"/>
                <w:szCs w:val="21"/>
              </w:rPr>
              <w:t>思路清楚，各服务要求齐全，制定的服务方案能够保证项目的顺利完成，得4分，仅为简单概括描述的得2分，缺少不得分；</w:t>
            </w:r>
          </w:p>
          <w:p>
            <w:pPr>
              <w:spacing w:line="360" w:lineRule="auto"/>
              <w:rPr>
                <w:rFonts w:ascii="宋体"/>
                <w:szCs w:val="21"/>
              </w:rPr>
            </w:pPr>
            <w:r>
              <w:rPr>
                <w:rFonts w:ascii="宋体" w:hAnsi="宋体"/>
                <w:szCs w:val="21"/>
              </w:rPr>
              <w:t>2</w:t>
            </w:r>
            <w:r>
              <w:rPr>
                <w:rFonts w:hint="eastAsia" w:ascii="宋体" w:hAnsi="宋体"/>
                <w:szCs w:val="21"/>
              </w:rPr>
              <w:t>、质量控制：针对本项目质量要求，制定出实现质量目标的具体保证措施，并根据工作内容、重点和难点，进行分析并制定出相应的处理方法，</w:t>
            </w:r>
            <w:r>
              <w:rPr>
                <w:rFonts w:hint="eastAsia"/>
                <w:szCs w:val="21"/>
              </w:rPr>
              <w:t>得</w:t>
            </w:r>
            <w:r>
              <w:rPr>
                <w:rFonts w:hint="eastAsia" w:ascii="宋体" w:hAnsi="宋体"/>
                <w:szCs w:val="21"/>
              </w:rPr>
              <w:t>4分，</w:t>
            </w:r>
            <w:r>
              <w:rPr>
                <w:rFonts w:hint="eastAsia"/>
                <w:szCs w:val="21"/>
              </w:rPr>
              <w:t>仅为简单概括描述的得2分，缺少不得分；</w:t>
            </w:r>
          </w:p>
          <w:p>
            <w:pPr>
              <w:spacing w:line="360" w:lineRule="auto"/>
              <w:rPr>
                <w:rFonts w:ascii="宋体"/>
                <w:szCs w:val="21"/>
              </w:rPr>
            </w:pPr>
            <w:r>
              <w:rPr>
                <w:rFonts w:ascii="宋体" w:hAnsi="宋体"/>
                <w:szCs w:val="21"/>
              </w:rPr>
              <w:t>3</w:t>
            </w:r>
            <w:r>
              <w:rPr>
                <w:rFonts w:hint="eastAsia" w:ascii="宋体" w:hAnsi="宋体"/>
                <w:szCs w:val="21"/>
              </w:rPr>
              <w:t>、保障措施：</w:t>
            </w:r>
            <w:r>
              <w:rPr>
                <w:rFonts w:hint="eastAsia"/>
              </w:rPr>
              <w:t>对造价咨询工作质量保证措施、时间进度管理措施、组织保障措施详细说明的，</w:t>
            </w:r>
            <w:r>
              <w:rPr>
                <w:rFonts w:hint="eastAsia"/>
                <w:szCs w:val="21"/>
              </w:rPr>
              <w:t>得</w:t>
            </w:r>
            <w:r>
              <w:rPr>
                <w:rFonts w:hint="eastAsia" w:ascii="宋体" w:hAnsi="宋体"/>
                <w:szCs w:val="21"/>
              </w:rPr>
              <w:t>4分，</w:t>
            </w:r>
            <w:r>
              <w:rPr>
                <w:rFonts w:hint="eastAsia"/>
                <w:szCs w:val="21"/>
              </w:rPr>
              <w:t>仅为简单概括描述的得2分，缺少不得分；</w:t>
            </w:r>
          </w:p>
          <w:p>
            <w:pPr>
              <w:spacing w:line="360" w:lineRule="auto"/>
              <w:rPr>
                <w:rFonts w:ascii="宋体"/>
                <w:szCs w:val="21"/>
              </w:rPr>
            </w:pPr>
            <w:r>
              <w:rPr>
                <w:rFonts w:ascii="宋体" w:hAnsi="宋体"/>
                <w:szCs w:val="21"/>
              </w:rPr>
              <w:t>4</w:t>
            </w:r>
            <w:r>
              <w:rPr>
                <w:rFonts w:hint="eastAsia" w:ascii="宋体" w:hAnsi="宋体"/>
                <w:szCs w:val="21"/>
              </w:rPr>
              <w:t>、技术档案管理制度：有</w:t>
            </w:r>
            <w:r>
              <w:rPr>
                <w:rFonts w:hint="eastAsia"/>
              </w:rPr>
              <w:t>完善档案的收集、整理、保管、利用和鉴定销毁等管理制度，并采取可靠的安全防护技术和措施，保证档案的真</w:t>
            </w:r>
            <w:r>
              <w:rPr>
                <w:rFonts w:hint="eastAsia" w:ascii="宋体" w:hAnsi="宋体"/>
                <w:szCs w:val="21"/>
              </w:rPr>
              <w:t>实、完整、可用、安全的管理制度，得4分，仅为简单概括描述的得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5</w:t>
            </w:r>
            <w:r>
              <w:rPr>
                <w:rFonts w:hint="eastAsia" w:ascii="宋体" w:hAnsi="宋体"/>
                <w:szCs w:val="21"/>
              </w:rPr>
              <w:t>、风险控制制度：对项目风险的识别及应对有详细方案和措施的，切实可行得3分，仅为简单概括描述的得</w:t>
            </w:r>
            <w:r>
              <w:rPr>
                <w:rFonts w:ascii="宋体" w:hAnsi="宋体"/>
                <w:szCs w:val="21"/>
              </w:rPr>
              <w:t>1</w:t>
            </w:r>
            <w:r>
              <w:rPr>
                <w:rFonts w:hint="eastAsia" w:ascii="宋体" w:hAnsi="宋体"/>
                <w:szCs w:val="21"/>
              </w:rPr>
              <w:t>分，缺少不得分；</w:t>
            </w:r>
          </w:p>
          <w:p>
            <w:pPr>
              <w:spacing w:line="360" w:lineRule="auto"/>
              <w:rPr>
                <w:rFonts w:ascii="宋体"/>
                <w:szCs w:val="21"/>
              </w:rPr>
            </w:pPr>
            <w:r>
              <w:rPr>
                <w:rFonts w:ascii="宋体" w:hAnsi="宋体"/>
                <w:szCs w:val="21"/>
              </w:rPr>
              <w:t>6</w:t>
            </w:r>
            <w:r>
              <w:rPr>
                <w:rFonts w:hint="eastAsia" w:ascii="宋体" w:hAnsi="宋体"/>
                <w:szCs w:val="21"/>
              </w:rPr>
              <w:t>、有</w:t>
            </w:r>
            <w:r>
              <w:rPr>
                <w:rFonts w:hint="eastAsia" w:ascii="宋体" w:hAnsi="宋体"/>
              </w:rPr>
              <w:t>后续服务及其它优化服务方案、违约责任、经济赔偿方案的，得3分，</w:t>
            </w:r>
            <w:r>
              <w:rPr>
                <w:rFonts w:hint="eastAsia" w:ascii="宋体" w:hAnsi="宋体"/>
                <w:szCs w:val="21"/>
              </w:rPr>
              <w:t>仅为简单概括描述的得</w:t>
            </w:r>
            <w:r>
              <w:rPr>
                <w:rFonts w:ascii="宋体" w:hAnsi="宋体"/>
                <w:szCs w:val="21"/>
              </w:rPr>
              <w:t>1</w:t>
            </w:r>
            <w:r>
              <w:rPr>
                <w:rFonts w:hint="eastAsia" w:ascii="宋体" w:hAnsi="宋体"/>
                <w:szCs w:val="21"/>
              </w:rPr>
              <w:t>分，缺少不得分。</w:t>
            </w:r>
          </w:p>
        </w:tc>
        <w:tc>
          <w:tcPr>
            <w:tcW w:w="967" w:type="dxa"/>
            <w:vAlign w:val="center"/>
          </w:tcPr>
          <w:p>
            <w:pPr>
              <w:jc w:val="center"/>
              <w:rPr>
                <w:rFonts w:ascii="仿宋" w:hAnsi="仿宋" w:eastAsia="仿宋"/>
                <w:szCs w:val="21"/>
                <w:u w:val="single"/>
              </w:rPr>
            </w:pPr>
            <w:r>
              <w:rPr>
                <w:rFonts w:hint="eastAsia" w:ascii="宋体" w:hAnsi="宋体" w:cs="宋体"/>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宋体" w:cs="宋体"/>
                <w:szCs w:val="21"/>
              </w:rPr>
            </w:pPr>
            <w:r>
              <w:rPr>
                <w:rFonts w:hint="eastAsia" w:ascii="宋体" w:hAnsi="宋体" w:cs="宋体"/>
                <w:szCs w:val="21"/>
              </w:rPr>
              <w:t>技术支持和本地化全方位服务响应</w:t>
            </w:r>
          </w:p>
        </w:tc>
        <w:tc>
          <w:tcPr>
            <w:tcW w:w="6558" w:type="dxa"/>
            <w:vAlign w:val="center"/>
          </w:tcPr>
          <w:p>
            <w:pPr>
              <w:spacing w:line="360" w:lineRule="auto"/>
              <w:rPr>
                <w:rFonts w:ascii="宋体" w:hAnsi="宋体"/>
                <w:szCs w:val="21"/>
              </w:rPr>
            </w:pPr>
            <w:r>
              <w:rPr>
                <w:rFonts w:hint="eastAsia" w:ascii="宋体" w:hAnsi="宋体"/>
                <w:szCs w:val="21"/>
              </w:rPr>
              <w:t>投标人在方案中是否承诺在中标后入库服务期三年内提供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是否承诺在合同执行过程中在许昌拟投入本项目注册造价工程师、工作人员为常驻人员；是否在许昌设有相关办事机构（提供相关证明材料：如不动产登记证书或房产证及租赁合同等）；在用户提出服务需求后，是否能够及时做出响应迅速到达现场（即响应时间）并有具体措施等进行打分。</w:t>
            </w:r>
          </w:p>
          <w:p>
            <w:pPr>
              <w:spacing w:line="360" w:lineRule="auto"/>
              <w:rPr>
                <w:rFonts w:ascii="宋体" w:hAnsi="宋体"/>
                <w:szCs w:val="21"/>
              </w:rPr>
            </w:pPr>
            <w:r>
              <w:rPr>
                <w:rFonts w:hint="eastAsia" w:ascii="宋体" w:hAnsi="宋体"/>
                <w:szCs w:val="21"/>
              </w:rPr>
              <w:t>一档：在许昌设置有办事机构，在方案中承诺提供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小时技术支持和项目勘验现场服务并且派常驻人员在半小时内响应得</w:t>
            </w:r>
            <w:r>
              <w:rPr>
                <w:rFonts w:ascii="宋体" w:hAnsi="宋体"/>
                <w:szCs w:val="21"/>
              </w:rPr>
              <w:t>8</w:t>
            </w:r>
            <w:r>
              <w:rPr>
                <w:rFonts w:hint="eastAsia" w:ascii="宋体" w:hAnsi="宋体"/>
                <w:szCs w:val="21"/>
              </w:rPr>
              <w:t>分；</w:t>
            </w:r>
          </w:p>
          <w:p>
            <w:pPr>
              <w:spacing w:line="360" w:lineRule="auto"/>
              <w:rPr>
                <w:rFonts w:ascii="宋体" w:hAnsi="宋体"/>
                <w:szCs w:val="21"/>
              </w:rPr>
            </w:pPr>
            <w:r>
              <w:rPr>
                <w:rFonts w:hint="eastAsia" w:ascii="宋体" w:hAnsi="宋体"/>
                <w:szCs w:val="21"/>
              </w:rPr>
              <w:t>二档：在许昌设置有办事机构，在方案中承诺提供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小时技术支持和项目勘验现场服务并且并且派常驻人员在一小时内响应得</w:t>
            </w:r>
            <w:r>
              <w:rPr>
                <w:rFonts w:ascii="宋体" w:hAnsi="宋体"/>
                <w:szCs w:val="21"/>
              </w:rPr>
              <w:t>5</w:t>
            </w:r>
            <w:r>
              <w:rPr>
                <w:rFonts w:hint="eastAsia" w:ascii="宋体" w:hAnsi="宋体"/>
                <w:szCs w:val="21"/>
              </w:rPr>
              <w:t>分；</w:t>
            </w:r>
          </w:p>
          <w:p>
            <w:pPr>
              <w:spacing w:line="360" w:lineRule="auto"/>
              <w:rPr>
                <w:rFonts w:ascii="宋体" w:hAnsi="宋体"/>
                <w:szCs w:val="21"/>
              </w:rPr>
            </w:pPr>
            <w:r>
              <w:rPr>
                <w:rFonts w:hint="eastAsia" w:ascii="宋体" w:hAnsi="宋体"/>
                <w:szCs w:val="21"/>
              </w:rPr>
              <w:t>三挡：在许昌无设置办事机构，但在方案中承诺提供</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小时技术支持和项目勘验现场服务并且并且派常驻人员在一小时内响应得</w:t>
            </w:r>
            <w:r>
              <w:rPr>
                <w:rFonts w:ascii="宋体" w:hAnsi="宋体"/>
                <w:szCs w:val="21"/>
              </w:rPr>
              <w:t>2</w:t>
            </w:r>
            <w:r>
              <w:rPr>
                <w:rFonts w:hint="eastAsia" w:ascii="宋体" w:hAnsi="宋体"/>
                <w:szCs w:val="21"/>
              </w:rPr>
              <w:t>分；</w:t>
            </w:r>
          </w:p>
          <w:p>
            <w:pPr>
              <w:spacing w:line="360" w:lineRule="auto"/>
              <w:rPr>
                <w:rFonts w:ascii="宋体" w:hAnsi="宋体"/>
                <w:szCs w:val="21"/>
              </w:rPr>
            </w:pPr>
            <w:r>
              <w:rPr>
                <w:rFonts w:hint="eastAsia" w:ascii="宋体" w:hAnsi="宋体"/>
                <w:szCs w:val="21"/>
              </w:rPr>
              <w:t>无承诺的不得分。</w:t>
            </w:r>
          </w:p>
          <w:p>
            <w:pPr>
              <w:spacing w:line="360" w:lineRule="auto"/>
              <w:rPr>
                <w:rFonts w:ascii="宋体"/>
                <w:bCs/>
                <w:szCs w:val="21"/>
              </w:rPr>
            </w:pPr>
            <w:r>
              <w:rPr>
                <w:rFonts w:hint="eastAsia" w:ascii="宋体" w:hAnsi="宋体"/>
                <w:szCs w:val="21"/>
              </w:rPr>
              <w:t>（“响应时间”是指在项目委托人提出服务需求后，投标人从接到服务需求做出响应时至到达现场时的时间）</w:t>
            </w:r>
          </w:p>
        </w:tc>
        <w:tc>
          <w:tcPr>
            <w:tcW w:w="967"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分</w:t>
            </w:r>
          </w:p>
        </w:tc>
      </w:tr>
    </w:tbl>
    <w:p>
      <w:pPr>
        <w:rPr>
          <w:rFonts w:cs="仿宋_GB2312" w:asciiTheme="minorEastAsia" w:hAnsiTheme="minorEastAsia"/>
          <w:b/>
          <w:szCs w:val="24"/>
        </w:rPr>
      </w:pPr>
      <w:r>
        <w:rPr>
          <w:rFonts w:hint="eastAsia" w:cs="仿宋_GB2312" w:asciiTheme="minorEastAsia" w:hAnsiTheme="minorEastAsia"/>
          <w:b/>
          <w:szCs w:val="24"/>
        </w:rPr>
        <w:br w:type="page"/>
      </w:r>
    </w:p>
    <w:p>
      <w:pPr>
        <w:rPr>
          <w:rFonts w:cs="仿宋_GB2312" w:asciiTheme="minorEastAsia" w:hAnsiTheme="minorEastAsia"/>
          <w:b/>
          <w:szCs w:val="24"/>
        </w:rPr>
      </w:pPr>
      <w:r>
        <w:rPr>
          <w:rFonts w:hint="eastAsia" w:cs="仿宋_GB2312" w:asciiTheme="minorEastAsia" w:hAnsiTheme="minorEastAsia"/>
          <w:b/>
          <w:szCs w:val="24"/>
        </w:rPr>
        <w:t>B包：会计事务所</w:t>
      </w:r>
    </w:p>
    <w:tbl>
      <w:tblPr>
        <w:tblStyle w:val="2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总分</w:t>
            </w:r>
            <w:r>
              <w:rPr>
                <w:rFonts w:asciiTheme="minorEastAsia" w:hAnsiTheme="minorEastAsia"/>
                <w:sz w:val="24"/>
                <w:szCs w:val="24"/>
              </w:rPr>
              <w:t>100</w:t>
            </w:r>
            <w:r>
              <w:rPr>
                <w:rFonts w:hint="eastAsia" w:asciiTheme="minorEastAsia" w:hAnsiTheme="minorEastAsia"/>
                <w:sz w:val="24"/>
                <w:szCs w:val="24"/>
              </w:rPr>
              <w:t>分</w:t>
            </w:r>
            <w:r>
              <w:rPr>
                <w:rFonts w:asciiTheme="minorEastAsia" w:hAnsiTheme="minorEastAsia"/>
                <w:sz w:val="24"/>
                <w:szCs w:val="24"/>
              </w:rPr>
              <w:t>)</w:t>
            </w:r>
          </w:p>
        </w:tc>
        <w:tc>
          <w:tcPr>
            <w:tcW w:w="7525" w:type="dxa"/>
            <w:gridSpan w:val="2"/>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价格分值：</w:t>
            </w:r>
            <w:r>
              <w:rPr>
                <w:rFonts w:asciiTheme="minorEastAsia" w:hAnsiTheme="minorEastAsia"/>
                <w:sz w:val="24"/>
                <w:szCs w:val="24"/>
                <w:u w:val="single"/>
              </w:rPr>
              <w:t xml:space="preserve">   10   </w:t>
            </w:r>
            <w:r>
              <w:rPr>
                <w:rFonts w:hint="eastAsia" w:asciiTheme="minorEastAsia" w:hAnsiTheme="minorEastAsia"/>
                <w:sz w:val="24"/>
                <w:szCs w:val="24"/>
              </w:rPr>
              <w:t>分</w:t>
            </w:r>
          </w:p>
          <w:p>
            <w:pPr>
              <w:spacing w:line="360" w:lineRule="auto"/>
              <w:jc w:val="center"/>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u w:val="single"/>
              </w:rPr>
              <w:t>69</w:t>
            </w:r>
            <w:r>
              <w:rPr>
                <w:rFonts w:hint="eastAsia" w:asciiTheme="minorEastAsia" w:hAnsiTheme="minorEastAsia"/>
                <w:sz w:val="24"/>
                <w:szCs w:val="24"/>
              </w:rPr>
              <w:t>分</w:t>
            </w:r>
          </w:p>
          <w:p>
            <w:pPr>
              <w:spacing w:line="360" w:lineRule="auto"/>
              <w:jc w:val="center"/>
              <w:rPr>
                <w:rFonts w:asciiTheme="minorEastAsia" w:hAnsiTheme="minorEastAsia"/>
                <w:sz w:val="24"/>
                <w:szCs w:val="24"/>
              </w:rPr>
            </w:pPr>
            <w:r>
              <w:rPr>
                <w:rFonts w:hint="eastAsia" w:asciiTheme="minorEastAsia" w:hAnsiTheme="minorEastAsia"/>
                <w:sz w:val="24"/>
                <w:szCs w:val="24"/>
              </w:rPr>
              <w:t>技术部分：</w:t>
            </w:r>
            <w:r>
              <w:rPr>
                <w:rFonts w:asciiTheme="minorEastAsia" w:hAnsiTheme="minorEastAsia"/>
                <w:sz w:val="24"/>
                <w:szCs w:val="24"/>
                <w:u w:val="single"/>
              </w:rPr>
              <w:t xml:space="preserve">   2</w:t>
            </w:r>
            <w:r>
              <w:rPr>
                <w:rFonts w:hint="eastAsia" w:asciiTheme="minorEastAsia" w:hAnsiTheme="minorEastAsia"/>
                <w:sz w:val="24"/>
                <w:szCs w:val="24"/>
                <w:u w:val="single"/>
              </w:rPr>
              <w:t>1</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966" w:type="dxa"/>
            <w:gridSpan w:val="3"/>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价格部分（满分</w:t>
            </w:r>
            <w:r>
              <w:rPr>
                <w:rFonts w:asciiTheme="minorEastAsia" w:hAnsiTheme="minorEastAsia"/>
                <w:b/>
                <w:sz w:val="24"/>
                <w:szCs w:val="24"/>
                <w:u w:val="single"/>
              </w:rPr>
              <w:t xml:space="preserve"> 10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558"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41" w:type="dxa"/>
            <w:vAlign w:val="center"/>
          </w:tcPr>
          <w:p>
            <w:pPr>
              <w:spacing w:line="360" w:lineRule="auto"/>
              <w:jc w:val="center"/>
              <w:rPr>
                <w:rFonts w:asciiTheme="minorEastAsia" w:hAnsiTheme="minorEastAsia"/>
                <w:sz w:val="24"/>
                <w:szCs w:val="24"/>
              </w:rPr>
            </w:pPr>
            <w:r>
              <w:rPr>
                <w:rFonts w:hint="eastAsia" w:cs="微软雅黑" w:asciiTheme="minorEastAsia" w:hAnsiTheme="minorEastAsia"/>
                <w:b/>
                <w:sz w:val="24"/>
                <w:szCs w:val="24"/>
              </w:rPr>
              <w:t>★</w:t>
            </w: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bCs/>
                <w:sz w:val="24"/>
                <w:szCs w:val="24"/>
              </w:rPr>
              <w:t>投标人需针对本招标文件中的</w:t>
            </w:r>
            <w:r>
              <w:rPr>
                <w:rFonts w:hint="eastAsia" w:ascii="宋体" w:hAnsi="宋体" w:cs="宋体"/>
                <w:kern w:val="0"/>
                <w:sz w:val="24"/>
                <w:szCs w:val="24"/>
              </w:rPr>
              <w:t>《许昌市城乡一体化示范区政府购买中介机构服务管理暂行办法（试行）》</w:t>
            </w:r>
            <w:r>
              <w:rPr>
                <w:rFonts w:hint="eastAsia" w:cs="宋体" w:asciiTheme="minorEastAsia" w:hAnsiTheme="minorEastAsia"/>
                <w:sz w:val="24"/>
                <w:szCs w:val="24"/>
              </w:rPr>
              <w:t>，提供</w:t>
            </w:r>
            <w:r>
              <w:rPr>
                <w:rFonts w:hint="eastAsia" w:asciiTheme="minorEastAsia" w:hAnsiTheme="minorEastAsia"/>
                <w:bCs/>
                <w:sz w:val="24"/>
                <w:szCs w:val="24"/>
              </w:rPr>
              <w:t>收费按照该办法收取的承诺函，并加盖单位公章，有承诺函得</w:t>
            </w:r>
            <w:r>
              <w:rPr>
                <w:rFonts w:asciiTheme="minorEastAsia" w:hAnsiTheme="minorEastAsia"/>
                <w:bCs/>
                <w:sz w:val="24"/>
                <w:szCs w:val="24"/>
              </w:rPr>
              <w:t>10</w:t>
            </w:r>
            <w:r>
              <w:rPr>
                <w:rFonts w:hint="eastAsia" w:asciiTheme="minorEastAsia" w:hAnsiTheme="minorEastAsia"/>
                <w:bCs/>
                <w:sz w:val="24"/>
                <w:szCs w:val="24"/>
              </w:rPr>
              <w:t>分，无承诺函不得分。</w:t>
            </w:r>
            <w:r>
              <w:rPr>
                <w:rFonts w:hint="eastAsia" w:asciiTheme="minorEastAsia" w:hAnsiTheme="minorEastAsia"/>
                <w:sz w:val="24"/>
                <w:szCs w:val="24"/>
              </w:rPr>
              <w:t>（评标时需提供原件，投标文件中附需提供的材料扫描件、复印件且加盖投标人印章的，否则不得分。）</w:t>
            </w:r>
          </w:p>
        </w:tc>
        <w:tc>
          <w:tcPr>
            <w:tcW w:w="967" w:type="dxa"/>
            <w:vAlign w:val="center"/>
          </w:tcPr>
          <w:p>
            <w:pPr>
              <w:jc w:val="center"/>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8966" w:type="dxa"/>
            <w:gridSpan w:val="3"/>
            <w:vAlign w:val="center"/>
          </w:tcPr>
          <w:p>
            <w:pPr>
              <w:jc w:val="center"/>
              <w:rPr>
                <w:rFonts w:asciiTheme="minorEastAsia" w:hAnsiTheme="minorEastAsia"/>
                <w:sz w:val="24"/>
                <w:szCs w:val="24"/>
              </w:rPr>
            </w:pPr>
            <w:r>
              <w:rPr>
                <w:rFonts w:hint="eastAsia" w:cs="微软雅黑" w:asciiTheme="minorEastAsia" w:hAnsiTheme="minorEastAsia"/>
                <w:b/>
                <w:sz w:val="24"/>
                <w:szCs w:val="24"/>
              </w:rPr>
              <w:t>商务</w:t>
            </w:r>
            <w:r>
              <w:rPr>
                <w:rFonts w:hint="eastAsia" w:asciiTheme="minorEastAsia" w:hAnsiTheme="minorEastAsia"/>
                <w:b/>
                <w:sz w:val="24"/>
                <w:szCs w:val="24"/>
              </w:rPr>
              <w:t>部分（满分</w:t>
            </w:r>
            <w:r>
              <w:rPr>
                <w:rFonts w:hint="eastAsia" w:asciiTheme="minorEastAsia" w:hAnsiTheme="minorEastAsia"/>
                <w:b/>
                <w:sz w:val="24"/>
                <w:szCs w:val="24"/>
                <w:u w:val="single"/>
              </w:rPr>
              <w:t>69</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评分因素</w:t>
            </w:r>
          </w:p>
        </w:tc>
        <w:tc>
          <w:tcPr>
            <w:tcW w:w="6558" w:type="dxa"/>
            <w:vAlign w:val="center"/>
          </w:tcPr>
          <w:p>
            <w:pPr>
              <w:spacing w:line="360" w:lineRule="auto"/>
              <w:jc w:val="center"/>
              <w:rPr>
                <w:rFonts w:asciiTheme="minorEastAsia" w:hAnsiTheme="minorEastAsia"/>
                <w:bCs/>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558" w:type="dxa"/>
            <w:vAlign w:val="center"/>
          </w:tcPr>
          <w:p>
            <w:pPr>
              <w:numPr>
                <w:ilvl w:val="0"/>
                <w:numId w:val="12"/>
              </w:numPr>
              <w:spacing w:line="360" w:lineRule="auto"/>
            </w:pPr>
            <w:r>
              <w:rPr>
                <w:rFonts w:hint="eastAsia"/>
              </w:rPr>
              <w:t>投标人提供2016年1月1日以来注册地市级（不包括县级市）及以上经社会信用体系建设主管部门认可的信用评级机构出具的有效的企业信用报告，等级为</w:t>
            </w:r>
            <w:r>
              <w:t>AAA</w:t>
            </w:r>
            <w:r>
              <w:rPr>
                <w:rFonts w:hint="eastAsia"/>
              </w:rPr>
              <w:t>级的得</w:t>
            </w:r>
            <w:r>
              <w:t>3</w:t>
            </w:r>
            <w:r>
              <w:rPr>
                <w:rFonts w:hint="eastAsia"/>
              </w:rPr>
              <w:t>分；</w:t>
            </w:r>
            <w:r>
              <w:t>AA</w:t>
            </w:r>
            <w:r>
              <w:rPr>
                <w:rFonts w:hint="eastAsia"/>
              </w:rPr>
              <w:t>级的得</w:t>
            </w:r>
            <w:r>
              <w:t>2</w:t>
            </w:r>
            <w:r>
              <w:rPr>
                <w:rFonts w:hint="eastAsia"/>
              </w:rPr>
              <w:t>分；</w:t>
            </w:r>
            <w:r>
              <w:t>A</w:t>
            </w:r>
            <w:r>
              <w:rPr>
                <w:rFonts w:hint="eastAsia"/>
              </w:rPr>
              <w:t>级的得</w:t>
            </w:r>
            <w:r>
              <w:t>1</w:t>
            </w:r>
            <w:r>
              <w:rPr>
                <w:rFonts w:hint="eastAsia"/>
              </w:rPr>
              <w:t>分。【投标人在投标文件中还需提供：河南省信用建设促进会-信用河南网（www.xyhnw.com）或其他省、市信用网上公布的信用等级评级机构名单，截图证明或查询网址。】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ascii="宋体" w:hAnsi="宋体"/>
                <w:szCs w:val="21"/>
              </w:rPr>
              <w:t>2</w:t>
            </w:r>
            <w:r>
              <w:rPr>
                <w:rFonts w:hint="eastAsia" w:ascii="宋体" w:hAnsi="宋体"/>
                <w:szCs w:val="21"/>
              </w:rPr>
              <w:t>、投标人提供有效的</w:t>
            </w:r>
            <w:r>
              <w:rPr>
                <w:rFonts w:ascii="宋体" w:hAnsi="宋体"/>
                <w:szCs w:val="21"/>
              </w:rPr>
              <w:t>ISO900</w:t>
            </w:r>
            <w:r>
              <w:rPr>
                <w:rFonts w:hint="eastAsia" w:ascii="宋体" w:hAnsi="宋体"/>
                <w:szCs w:val="21"/>
              </w:rPr>
              <w:t>1认证证书和中国认证认可监督管理委员会网站上查询的截图证明，得</w:t>
            </w:r>
            <w:r>
              <w:rPr>
                <w:rFonts w:ascii="宋体" w:hAnsi="宋体"/>
                <w:szCs w:val="21"/>
              </w:rPr>
              <w:t>2</w:t>
            </w:r>
            <w:r>
              <w:rPr>
                <w:rFonts w:hint="eastAsia" w:ascii="宋体" w:hAnsi="宋体"/>
                <w:szCs w:val="21"/>
              </w:rPr>
              <w:t>分。</w:t>
            </w:r>
          </w:p>
          <w:p>
            <w:pPr>
              <w:pStyle w:val="2"/>
              <w:ind w:firstLine="0" w:firstLineChars="0"/>
            </w:pPr>
            <w:r>
              <w:rPr>
                <w:rFonts w:hint="eastAsia" w:asciiTheme="minorHAnsi" w:hAnsiTheme="minorHAnsi" w:eastAsiaTheme="minorEastAsia" w:cstheme="minorBidi"/>
                <w:kern w:val="2"/>
                <w:sz w:val="21"/>
                <w:szCs w:val="22"/>
              </w:rPr>
              <w:t>【提供证书及查询截图，否则不得分。】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资质等级</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具有河南省注册会计师协会公布的2018年分类评价结果认定的A类会计事务所得2分；</w:t>
            </w:r>
          </w:p>
          <w:p>
            <w:pPr>
              <w:spacing w:line="360" w:lineRule="auto"/>
            </w:pPr>
            <w:r>
              <w:rPr>
                <w:rFonts w:hint="eastAsia" w:asciiTheme="minorEastAsia" w:hAnsiTheme="minorEastAsia"/>
                <w:sz w:val="24"/>
                <w:szCs w:val="24"/>
              </w:rPr>
              <w:t>具有河南省注册会计师协会公布的2018年分类评价结果认定的B类会计事务所得1分；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机构设置</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评标委员会根据各投标人内部机构设置、权责分工、各个环节等是否设置有相应的机构等比较打分：</w:t>
            </w:r>
          </w:p>
          <w:p>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、内部机构设置：有规范的法人治理结构和内部管理制度，组织架构设计适当，结构层次科学，组织机构工作程序化、标准化，机构设置科学、合理的，得</w:t>
            </w:r>
            <w:r>
              <w:rPr>
                <w:rFonts w:asciiTheme="minorEastAsia" w:hAnsiTheme="minorEastAsia"/>
                <w:sz w:val="24"/>
                <w:szCs w:val="24"/>
              </w:rPr>
              <w:t>2</w:t>
            </w:r>
            <w:r>
              <w:rPr>
                <w:rFonts w:hint="eastAsia" w:asciiTheme="minorEastAsia" w:hAnsiTheme="minorEastAsia"/>
                <w:sz w:val="24"/>
                <w:szCs w:val="24"/>
              </w:rPr>
              <w:t>分，仅简单描述概括的</w:t>
            </w:r>
            <w:r>
              <w:rPr>
                <w:rFonts w:asciiTheme="minorEastAsia" w:hAnsiTheme="minorEastAsia"/>
                <w:sz w:val="24"/>
                <w:szCs w:val="24"/>
              </w:rPr>
              <w:t>1</w:t>
            </w:r>
            <w:r>
              <w:rPr>
                <w:rFonts w:hint="eastAsia" w:asciiTheme="minorEastAsia" w:hAnsiTheme="minorEastAsia"/>
                <w:sz w:val="24"/>
                <w:szCs w:val="24"/>
              </w:rPr>
              <w:t>分，没有不得分；</w:t>
            </w:r>
          </w:p>
          <w:p>
            <w:pPr>
              <w:spacing w:line="360" w:lineRule="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、权责分工：对权责分工合理、明确规定高级管理人员、各职能部门和分支机构、以及基层作业单位的职责权限的，得</w:t>
            </w:r>
            <w:r>
              <w:rPr>
                <w:rFonts w:asciiTheme="minorEastAsia" w:hAnsiTheme="minorEastAsia"/>
                <w:sz w:val="24"/>
                <w:szCs w:val="24"/>
              </w:rPr>
              <w:t>2</w:t>
            </w:r>
            <w:r>
              <w:rPr>
                <w:rFonts w:hint="eastAsia" w:asciiTheme="minorEastAsia" w:hAnsiTheme="minorEastAsia"/>
                <w:sz w:val="24"/>
                <w:szCs w:val="24"/>
              </w:rPr>
              <w:t>分，仅简单描述概括的</w:t>
            </w:r>
            <w:r>
              <w:rPr>
                <w:rFonts w:asciiTheme="minorEastAsia" w:hAnsiTheme="minorEastAsia"/>
                <w:sz w:val="24"/>
                <w:szCs w:val="24"/>
              </w:rPr>
              <w:t>1</w:t>
            </w:r>
            <w:r>
              <w:rPr>
                <w:rFonts w:hint="eastAsia" w:asciiTheme="minorEastAsia" w:hAnsiTheme="minorEastAsia"/>
                <w:sz w:val="24"/>
                <w:szCs w:val="24"/>
              </w:rPr>
              <w:t>分，没有不得分；</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、各个环节设置的机构健全，工作开展流程，得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、投标人有关机构设置的其他方面补充的，得1分。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400" w:lineRule="exact"/>
              <w:jc w:val="center"/>
              <w:rPr>
                <w:rFonts w:cs="宋体" w:asciiTheme="minorEastAsia" w:hAnsiTheme="minorEastAsia"/>
                <w:sz w:val="24"/>
                <w:szCs w:val="24"/>
                <w:highlight w:val="yellow"/>
              </w:rPr>
            </w:pPr>
            <w:r>
              <w:rPr>
                <w:rFonts w:hint="eastAsia" w:cs="宋体" w:asciiTheme="minorEastAsia" w:hAnsiTheme="minorEastAsia"/>
                <w:sz w:val="24"/>
                <w:szCs w:val="24"/>
              </w:rPr>
              <w:t>会计事务所实力证明</w:t>
            </w:r>
          </w:p>
        </w:tc>
        <w:tc>
          <w:tcPr>
            <w:tcW w:w="6558" w:type="dxa"/>
            <w:vAlign w:val="center"/>
          </w:tcPr>
          <w:p>
            <w:pPr>
              <w:numPr>
                <w:ilvl w:val="0"/>
                <w:numId w:val="13"/>
              </w:numPr>
              <w:spacing w:line="360" w:lineRule="auto"/>
              <w:rPr>
                <w:rFonts w:cs="宋体" w:asciiTheme="minorEastAsia" w:hAnsiTheme="minorEastAsia"/>
                <w:sz w:val="24"/>
                <w:szCs w:val="24"/>
              </w:rPr>
            </w:pPr>
            <w:r>
              <w:rPr>
                <w:rFonts w:hint="eastAsia" w:cs="宋体" w:asciiTheme="minorEastAsia" w:hAnsiTheme="minorEastAsia"/>
                <w:sz w:val="24"/>
                <w:szCs w:val="24"/>
              </w:rPr>
              <w:t>A类会计事务所分类评价（18分）：投标人属于河南省注册会计师协会公布的2018年分类评价结果认定的A类事务所或中华人民共和国其它省（市、自治区）注册会计师协会截止2018年5月20日前最新公布的分类评价结果中，排在第一类的会计师事务所（或相当于河南省注册会计师协会公布2018年分类评价结果认定的A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河南本省投标人</w:t>
            </w:r>
            <w:r>
              <w:rPr>
                <w:rFonts w:hint="eastAsia" w:cs="宋体" w:asciiTheme="minorEastAsia" w:hAnsiTheme="minorEastAsia"/>
                <w:sz w:val="24"/>
                <w:szCs w:val="24"/>
                <w:lang w:val="zh-CN"/>
              </w:rPr>
              <w:t>根据河南省注册会计师协会公布的</w:t>
            </w:r>
            <w:r>
              <w:rPr>
                <w:rFonts w:hint="eastAsia" w:cs="宋体" w:asciiTheme="minorEastAsia" w:hAnsiTheme="minorEastAsia"/>
                <w:sz w:val="24"/>
                <w:szCs w:val="24"/>
              </w:rPr>
              <w:t>2016-2018年</w:t>
            </w:r>
            <w:r>
              <w:rPr>
                <w:rFonts w:hint="eastAsia" w:cs="宋体" w:asciiTheme="minorEastAsia" w:hAnsiTheme="minorEastAsia"/>
                <w:sz w:val="24"/>
                <w:szCs w:val="24"/>
                <w:lang w:val="zh-CN"/>
              </w:rPr>
              <w:t>全省会计事务所分类评价结果：</w:t>
            </w:r>
            <w:r>
              <w:rPr>
                <w:rFonts w:hint="eastAsia" w:cs="宋体" w:asciiTheme="minorEastAsia" w:hAnsiTheme="minorEastAsia"/>
                <w:sz w:val="24"/>
                <w:szCs w:val="24"/>
              </w:rPr>
              <w:t>2016年到2018年，三个年度均为A类会计事务所的得18分；两个年度为A类事务所，一个年度为B类事务所的得12分；一个年度为A类事务所，另外两个年度为B类事务所的得6分；否则不得分。</w:t>
            </w:r>
          </w:p>
          <w:p>
            <w:pPr>
              <w:spacing w:line="360" w:lineRule="auto"/>
              <w:rPr>
                <w:rFonts w:cs="宋体" w:asciiTheme="minorEastAsia" w:hAnsiTheme="minorEastAsia"/>
                <w:sz w:val="24"/>
                <w:szCs w:val="24"/>
              </w:rPr>
            </w:pPr>
            <w:r>
              <w:rPr>
                <w:rFonts w:hint="eastAsia" w:cs="宋体" w:asciiTheme="minorEastAsia" w:hAnsiTheme="minorEastAsia"/>
                <w:sz w:val="24"/>
                <w:szCs w:val="24"/>
              </w:rPr>
              <w:t>外省投标人以注册地所在的省（市、自治区）会计师协会公布的2016-2018年会计事务所分类评价结果：2016年到2018年，三个年度均为一类会计事务所的得18分；两个年度为第一类事务所，一个年度为第二类事务所的得12分；一个年度为第一类事务所，另外两个年度为第二类事务所的的得6分；否则不得分。第一类事务所或第二类事务所的认定参考河南省注册会计师协会公布的2018年分类评价结果认定的A类或B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2、B类事务所分类评价（18分）：投标人属于河南省注册会计师协会公布的2018年分类评价结果认定的B类事务所或中华人民共和国其它省（市、自治区）注册会计师协会截止2018年5月20日前最新公布的分类评价结果中，排在第二类的会计师事务所（或相当于河南省注册会计师协会公布的2018年分类评价结果认定的B类事务所）。</w:t>
            </w:r>
          </w:p>
          <w:p>
            <w:pPr>
              <w:spacing w:line="360" w:lineRule="auto"/>
              <w:rPr>
                <w:rFonts w:cs="宋体" w:asciiTheme="minorEastAsia" w:hAnsiTheme="minorEastAsia"/>
                <w:sz w:val="24"/>
                <w:szCs w:val="24"/>
              </w:rPr>
            </w:pPr>
            <w:r>
              <w:rPr>
                <w:rFonts w:hint="eastAsia" w:cs="宋体" w:asciiTheme="minorEastAsia" w:hAnsiTheme="minorEastAsia"/>
                <w:sz w:val="24"/>
                <w:szCs w:val="24"/>
              </w:rPr>
              <w:t>河南本省投标人</w:t>
            </w:r>
            <w:r>
              <w:rPr>
                <w:rFonts w:hint="eastAsia" w:cs="宋体" w:asciiTheme="minorEastAsia" w:hAnsiTheme="minorEastAsia"/>
                <w:sz w:val="24"/>
                <w:szCs w:val="24"/>
                <w:lang w:val="zh-CN"/>
              </w:rPr>
              <w:t>根据河南省注册会计师协会公布的</w:t>
            </w:r>
            <w:r>
              <w:rPr>
                <w:rFonts w:hint="eastAsia" w:cs="宋体" w:asciiTheme="minorEastAsia" w:hAnsiTheme="minorEastAsia"/>
                <w:sz w:val="24"/>
                <w:szCs w:val="24"/>
              </w:rPr>
              <w:t>2016-2018年</w:t>
            </w:r>
            <w:r>
              <w:rPr>
                <w:rFonts w:hint="eastAsia" w:cs="宋体" w:asciiTheme="minorEastAsia" w:hAnsiTheme="minorEastAsia"/>
                <w:sz w:val="24"/>
                <w:szCs w:val="24"/>
                <w:lang w:val="zh-CN"/>
              </w:rPr>
              <w:t>全省会计事务所分类评价结果：</w:t>
            </w:r>
            <w:r>
              <w:rPr>
                <w:rFonts w:hint="eastAsia" w:cs="宋体" w:asciiTheme="minorEastAsia" w:hAnsiTheme="minorEastAsia"/>
                <w:sz w:val="24"/>
                <w:szCs w:val="24"/>
              </w:rPr>
              <w:t>2016年到2018年，三个年度均为B类（包括两个年度为A类、另外一个年度为B类或一个年度为A类、另外两个年度为B类会计事务所）的得18分；两个年度为B类事务所，一个年度为C类事务所的得12分；一个年度为B类事务所，另外两个年度为C类事务所的得6分；否则不得分。</w:t>
            </w:r>
          </w:p>
          <w:p>
            <w:pPr>
              <w:spacing w:line="360" w:lineRule="auto"/>
            </w:pPr>
            <w:r>
              <w:rPr>
                <w:rFonts w:hint="eastAsia" w:cs="宋体" w:asciiTheme="minorEastAsia" w:hAnsiTheme="minorEastAsia"/>
                <w:sz w:val="24"/>
                <w:szCs w:val="24"/>
              </w:rPr>
              <w:t>外省投标人以注册地所在的省（市、自治区）会计师协会公布的2016-2018年会计事务所分类评价结果：2016年到2018年，三个年度均为二类会计事务所（包括两个年度为第一类、另外一年度为第二类或一各年度为第一类、另外两个年度为第二类事务所）的得18分；两个年度为第二类事务所，一个年度为第三类事务所的得12分；一个年度为第二类事务所，另外两个年度为第三类事务所的得6分；其他情况不得分。第二类事务所或第三类事务所的认定参考河南省注册会计师协会公布的2018年分类评价认定结果的A类B类或C类事务所。</w:t>
            </w:r>
          </w:p>
          <w:p>
            <w:pPr>
              <w:spacing w:line="360" w:lineRule="auto"/>
              <w:rPr>
                <w:rFonts w:cs="宋体" w:asciiTheme="minorEastAsia" w:hAnsiTheme="minorEastAsia"/>
                <w:b/>
                <w:bCs/>
                <w:sz w:val="24"/>
                <w:szCs w:val="24"/>
                <w:lang w:val="zh-CN"/>
              </w:rPr>
            </w:pPr>
            <w:r>
              <w:rPr>
                <w:rFonts w:hint="eastAsia" w:cs="宋体" w:asciiTheme="minorEastAsia" w:hAnsiTheme="minorEastAsia"/>
                <w:b/>
                <w:bCs/>
                <w:sz w:val="24"/>
                <w:szCs w:val="24"/>
                <w:lang w:val="zh-CN"/>
              </w:rPr>
              <w:t>（开标时应提供其所在的</w:t>
            </w:r>
            <w:r>
              <w:rPr>
                <w:rFonts w:hint="eastAsia" w:cs="宋体" w:asciiTheme="minorEastAsia" w:hAnsiTheme="minorEastAsia"/>
                <w:b/>
                <w:bCs/>
                <w:sz w:val="24"/>
                <w:szCs w:val="24"/>
              </w:rPr>
              <w:t>省（市、自治区）会计师协会公布的会计事务所分类评价结果的截图及查询网址等证明材料</w:t>
            </w:r>
            <w:r>
              <w:rPr>
                <w:rFonts w:hint="eastAsia" w:cs="宋体" w:asciiTheme="minorEastAsia" w:hAnsiTheme="minorEastAsia"/>
                <w:b/>
                <w:bCs/>
                <w:sz w:val="24"/>
                <w:szCs w:val="24"/>
                <w:lang w:val="zh-CN"/>
              </w:rPr>
              <w:t>，并加盖投标人印章，在投标文件中附加盖投标人印章的扫描件、复印件，不符合上述要求的不得分。）</w:t>
            </w:r>
          </w:p>
          <w:p>
            <w:pPr>
              <w:spacing w:line="360" w:lineRule="auto"/>
              <w:rPr>
                <w:rFonts w:cs="宋体" w:asciiTheme="minorEastAsia" w:hAnsiTheme="minorEastAsia"/>
                <w:b/>
                <w:bCs/>
                <w:sz w:val="24"/>
                <w:szCs w:val="24"/>
              </w:rPr>
            </w:pPr>
            <w:r>
              <w:rPr>
                <w:rFonts w:hint="eastAsia" w:asciiTheme="minorEastAsia" w:hAnsiTheme="minorEastAsia"/>
                <w:sz w:val="24"/>
                <w:szCs w:val="24"/>
              </w:rPr>
              <w:t>3、投标人</w:t>
            </w:r>
            <w:r>
              <w:rPr>
                <w:rFonts w:hint="eastAsia" w:cs="宋体" w:asciiTheme="minorEastAsia" w:hAnsiTheme="minorEastAsia"/>
                <w:sz w:val="24"/>
                <w:szCs w:val="24"/>
              </w:rPr>
              <w:t>会计事务所中的</w:t>
            </w:r>
            <w:r>
              <w:rPr>
                <w:rFonts w:hint="eastAsia" w:asciiTheme="minorEastAsia" w:hAnsiTheme="minorEastAsia"/>
                <w:sz w:val="24"/>
                <w:szCs w:val="24"/>
              </w:rPr>
              <w:t>人员获得过会计类行业省级及以上行政主管部门、注册会计师协会颁发的会计领军人才、学科带头人、高端人才证书的，每提供一个证书加2分，最多加6分。（评审时以上证书需提供原件，标书中附加盖投标人印章的扫描件、复印件）</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41" w:type="dxa"/>
            <w:vAlign w:val="center"/>
          </w:tcPr>
          <w:p>
            <w:pPr>
              <w:spacing w:line="400" w:lineRule="exact"/>
              <w:jc w:val="center"/>
              <w:rPr>
                <w:rFonts w:asciiTheme="minorEastAsia" w:hAnsiTheme="minorEastAsia"/>
                <w:sz w:val="24"/>
                <w:szCs w:val="24"/>
              </w:rPr>
            </w:pPr>
            <w:r>
              <w:rPr>
                <w:rFonts w:hint="eastAsia" w:cs="宋体" w:asciiTheme="minorEastAsia" w:hAnsiTheme="minorEastAsia"/>
                <w:sz w:val="24"/>
                <w:szCs w:val="24"/>
              </w:rPr>
              <w:t>会计师事务所专业服务许昌项目人员团队</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会计师事务所提供15人专业服务许昌项目团队名单，在服务期限内该团队80%专业技术人员保持固定，每提供一名注册会计师加1分，最多加10分；其他人员每提供一个中级及以上的会计师职称证书的加0.6分，最多加3分。投标人还需提供专业服务许昌项目团队名单中全部人员的社保缴纳证明（</w:t>
            </w:r>
            <w:r>
              <w:rPr>
                <w:rFonts w:asciiTheme="minorEastAsia" w:hAnsiTheme="minorEastAsia"/>
                <w:sz w:val="24"/>
                <w:szCs w:val="24"/>
              </w:rPr>
              <w:t>201</w:t>
            </w:r>
            <w:r>
              <w:rPr>
                <w:rFonts w:hint="eastAsia" w:asciiTheme="minorEastAsia" w:hAnsiTheme="minorEastAsia"/>
                <w:sz w:val="24"/>
                <w:szCs w:val="24"/>
              </w:rPr>
              <w:t>9年2月至4月三个月）</w:t>
            </w:r>
          </w:p>
          <w:p>
            <w:pPr>
              <w:spacing w:line="360" w:lineRule="auto"/>
              <w:rPr>
                <w:rFonts w:asciiTheme="minorEastAsia" w:hAnsiTheme="minorEastAsia"/>
                <w:sz w:val="24"/>
                <w:szCs w:val="24"/>
              </w:rPr>
            </w:pPr>
            <w:r>
              <w:rPr>
                <w:rFonts w:hint="eastAsia" w:asciiTheme="minorEastAsia" w:hAnsiTheme="minorEastAsia"/>
                <w:b/>
                <w:bCs/>
                <w:sz w:val="24"/>
                <w:szCs w:val="24"/>
              </w:rPr>
              <w:t>（以上证书、证明材料在评审时须提供原件，标书中附加盖投标人印章的扫描件、复印件）</w:t>
            </w:r>
          </w:p>
        </w:tc>
        <w:tc>
          <w:tcPr>
            <w:tcW w:w="967" w:type="dxa"/>
            <w:vAlign w:val="center"/>
          </w:tcPr>
          <w:p>
            <w:pPr>
              <w:jc w:val="center"/>
              <w:rPr>
                <w:rFonts w:asciiTheme="minorEastAsia" w:hAnsiTheme="minorEastAsia"/>
                <w:sz w:val="24"/>
                <w:szCs w:val="24"/>
                <w:u w:val="single"/>
              </w:rPr>
            </w:pPr>
            <w:r>
              <w:rPr>
                <w:rFonts w:hint="eastAsia" w:cs="宋体" w:asciiTheme="minorEastAsia" w:hAnsiTheme="minorEastAsia"/>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41"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投标人业绩</w:t>
            </w:r>
          </w:p>
        </w:tc>
        <w:tc>
          <w:tcPr>
            <w:tcW w:w="6558" w:type="dxa"/>
            <w:vAlign w:val="center"/>
          </w:tcPr>
          <w:p>
            <w:pPr>
              <w:autoSpaceDE w:val="0"/>
              <w:autoSpaceDN w:val="0"/>
              <w:adjustRightInd w:val="0"/>
              <w:spacing w:line="360" w:lineRule="auto"/>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w:t>
            </w:r>
            <w:r>
              <w:rPr>
                <w:rFonts w:cs="宋体" w:asciiTheme="minorEastAsia" w:hAnsiTheme="minorEastAsia"/>
                <w:sz w:val="24"/>
                <w:szCs w:val="24"/>
                <w:lang w:val="zh-CN"/>
              </w:rPr>
              <w:t>201</w:t>
            </w:r>
            <w:r>
              <w:rPr>
                <w:rFonts w:hint="eastAsia" w:cs="宋体" w:asciiTheme="minorEastAsia" w:hAnsiTheme="minorEastAsia"/>
                <w:sz w:val="24"/>
                <w:szCs w:val="24"/>
              </w:rPr>
              <w:t>6</w:t>
            </w:r>
            <w:r>
              <w:rPr>
                <w:rFonts w:hint="eastAsia" w:cs="宋体" w:asciiTheme="minorEastAsia" w:hAnsiTheme="minorEastAsia"/>
                <w:sz w:val="24"/>
                <w:szCs w:val="24"/>
                <w:lang w:val="zh-CN"/>
              </w:rPr>
              <w:t>年</w:t>
            </w:r>
            <w:r>
              <w:rPr>
                <w:rFonts w:cs="宋体" w:asciiTheme="minorEastAsia" w:hAnsiTheme="minorEastAsia"/>
                <w:sz w:val="24"/>
                <w:szCs w:val="24"/>
                <w:lang w:val="zh-CN"/>
              </w:rPr>
              <w:t>1</w:t>
            </w:r>
            <w:r>
              <w:rPr>
                <w:rFonts w:hint="eastAsia" w:cs="宋体" w:asciiTheme="minorEastAsia" w:hAnsiTheme="minorEastAsia"/>
                <w:sz w:val="24"/>
                <w:szCs w:val="24"/>
                <w:lang w:val="zh-CN"/>
              </w:rPr>
              <w:t>月</w:t>
            </w:r>
            <w:r>
              <w:rPr>
                <w:rFonts w:cs="宋体" w:asciiTheme="minorEastAsia" w:hAnsiTheme="minorEastAsia"/>
                <w:sz w:val="24"/>
                <w:szCs w:val="24"/>
                <w:lang w:val="zh-CN"/>
              </w:rPr>
              <w:t>1</w:t>
            </w:r>
            <w:r>
              <w:rPr>
                <w:rFonts w:hint="eastAsia" w:cs="宋体" w:asciiTheme="minorEastAsia" w:hAnsiTheme="minorEastAsia"/>
                <w:sz w:val="24"/>
                <w:szCs w:val="24"/>
                <w:lang w:val="zh-CN"/>
              </w:rPr>
              <w:t>日以来承担过机关企事业单位委托的审计业务、行政事业单位财务检查、财政专项资金检查、项目监督检查任务</w:t>
            </w:r>
            <w:r>
              <w:rPr>
                <w:rFonts w:cs="宋体" w:asciiTheme="minorEastAsia" w:hAnsiTheme="minorEastAsia"/>
                <w:sz w:val="24"/>
                <w:szCs w:val="24"/>
                <w:lang w:val="zh-CN"/>
              </w:rPr>
              <w:t>500</w:t>
            </w:r>
            <w:r>
              <w:rPr>
                <w:rFonts w:hint="eastAsia" w:cs="宋体" w:asciiTheme="minorEastAsia" w:hAnsiTheme="minorEastAsia"/>
                <w:sz w:val="24"/>
                <w:szCs w:val="24"/>
                <w:lang w:val="zh-CN"/>
              </w:rPr>
              <w:t>万元及以上的项目，每完成</w:t>
            </w:r>
            <w:r>
              <w:rPr>
                <w:rFonts w:hint="eastAsia" w:asciiTheme="minorEastAsia" w:hAnsiTheme="minorEastAsia"/>
                <w:sz w:val="24"/>
                <w:szCs w:val="24"/>
              </w:rPr>
              <w:t>一个项目得2分，最多得12</w:t>
            </w:r>
            <w:r>
              <w:rPr>
                <w:rFonts w:hint="eastAsia" w:cs="宋体" w:asciiTheme="minorEastAsia" w:hAnsiTheme="minorEastAsia"/>
                <w:sz w:val="24"/>
                <w:szCs w:val="24"/>
                <w:lang w:val="zh-CN"/>
              </w:rPr>
              <w:t>分。</w:t>
            </w:r>
          </w:p>
          <w:p>
            <w:pPr>
              <w:autoSpaceDE w:val="0"/>
              <w:autoSpaceDN w:val="0"/>
              <w:adjustRightInd w:val="0"/>
              <w:spacing w:line="360" w:lineRule="auto"/>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w:t>
            </w:r>
            <w:r>
              <w:rPr>
                <w:rFonts w:cs="宋体" w:asciiTheme="minorEastAsia" w:hAnsiTheme="minorEastAsia"/>
                <w:sz w:val="24"/>
                <w:szCs w:val="24"/>
                <w:lang w:val="zh-CN"/>
              </w:rPr>
              <w:t>201</w:t>
            </w:r>
            <w:r>
              <w:rPr>
                <w:rFonts w:hint="eastAsia" w:cs="宋体" w:asciiTheme="minorEastAsia" w:hAnsiTheme="minorEastAsia"/>
                <w:sz w:val="24"/>
                <w:szCs w:val="24"/>
              </w:rPr>
              <w:t>6</w:t>
            </w:r>
            <w:r>
              <w:rPr>
                <w:rFonts w:hint="eastAsia" w:cs="宋体" w:asciiTheme="minorEastAsia" w:hAnsiTheme="minorEastAsia"/>
                <w:sz w:val="24"/>
                <w:szCs w:val="24"/>
                <w:lang w:val="zh-CN"/>
              </w:rPr>
              <w:t>年</w:t>
            </w:r>
            <w:r>
              <w:rPr>
                <w:rFonts w:cs="宋体" w:asciiTheme="minorEastAsia" w:hAnsiTheme="minorEastAsia"/>
                <w:sz w:val="24"/>
                <w:szCs w:val="24"/>
                <w:lang w:val="zh-CN"/>
              </w:rPr>
              <w:t>1</w:t>
            </w:r>
            <w:r>
              <w:rPr>
                <w:rFonts w:hint="eastAsia" w:cs="宋体" w:asciiTheme="minorEastAsia" w:hAnsiTheme="minorEastAsia"/>
                <w:sz w:val="24"/>
                <w:szCs w:val="24"/>
                <w:lang w:val="zh-CN"/>
              </w:rPr>
              <w:t>月</w:t>
            </w:r>
            <w:r>
              <w:rPr>
                <w:rFonts w:cs="宋体" w:asciiTheme="minorEastAsia" w:hAnsiTheme="minorEastAsia"/>
                <w:sz w:val="24"/>
                <w:szCs w:val="24"/>
                <w:lang w:val="zh-CN"/>
              </w:rPr>
              <w:t>1</w:t>
            </w:r>
            <w:r>
              <w:rPr>
                <w:rFonts w:hint="eastAsia" w:cs="宋体" w:asciiTheme="minorEastAsia" w:hAnsiTheme="minorEastAsia"/>
                <w:sz w:val="24"/>
                <w:szCs w:val="24"/>
                <w:lang w:val="zh-CN"/>
              </w:rPr>
              <w:t>日以来承担过政府投资建设项目财务决算审核</w:t>
            </w:r>
            <w:r>
              <w:rPr>
                <w:rFonts w:hint="eastAsia" w:cs="宋体" w:asciiTheme="minorEastAsia" w:hAnsiTheme="minorEastAsia"/>
                <w:sz w:val="24"/>
                <w:szCs w:val="24"/>
              </w:rPr>
              <w:t>1亿</w:t>
            </w:r>
            <w:r>
              <w:rPr>
                <w:rFonts w:hint="eastAsia" w:cs="宋体" w:asciiTheme="minorEastAsia" w:hAnsiTheme="minorEastAsia"/>
                <w:sz w:val="24"/>
                <w:szCs w:val="24"/>
                <w:lang w:val="zh-CN"/>
              </w:rPr>
              <w:t>元及以上的项目，每完成</w:t>
            </w:r>
            <w:r>
              <w:rPr>
                <w:rFonts w:hint="eastAsia" w:asciiTheme="minorEastAsia" w:hAnsiTheme="minorEastAsia"/>
                <w:sz w:val="24"/>
                <w:szCs w:val="24"/>
              </w:rPr>
              <w:t>一个项目得2分，最多得6</w:t>
            </w:r>
            <w:r>
              <w:rPr>
                <w:rFonts w:hint="eastAsia" w:cs="宋体" w:asciiTheme="minorEastAsia" w:hAnsiTheme="minorEastAsia"/>
                <w:sz w:val="24"/>
                <w:szCs w:val="24"/>
                <w:lang w:val="zh-CN"/>
              </w:rPr>
              <w:t>分。</w:t>
            </w:r>
          </w:p>
          <w:p>
            <w:pPr>
              <w:spacing w:line="360" w:lineRule="auto"/>
              <w:rPr>
                <w:rFonts w:asciiTheme="minorEastAsia" w:hAnsiTheme="minorEastAsia"/>
                <w:sz w:val="24"/>
                <w:szCs w:val="24"/>
              </w:rPr>
            </w:pPr>
            <w:r>
              <w:rPr>
                <w:rFonts w:hint="eastAsia" w:cs="宋体" w:asciiTheme="minorEastAsia" w:hAnsiTheme="minorEastAsia"/>
                <w:sz w:val="24"/>
                <w:szCs w:val="24"/>
                <w:lang w:val="zh-CN"/>
              </w:rPr>
              <w:t>以上</w:t>
            </w:r>
            <w:r>
              <w:rPr>
                <w:rFonts w:hint="eastAsia" w:cs="宋体" w:asciiTheme="minorEastAsia" w:hAnsiTheme="minorEastAsia"/>
                <w:sz w:val="24"/>
                <w:szCs w:val="24"/>
              </w:rPr>
              <w:t>投标人业绩时间以出具的时间为准；需要提供</w:t>
            </w:r>
            <w:r>
              <w:rPr>
                <w:rFonts w:hint="eastAsia" w:cs="宋体" w:asciiTheme="minorEastAsia" w:hAnsiTheme="minorEastAsia"/>
                <w:sz w:val="24"/>
                <w:szCs w:val="24"/>
                <w:lang w:val="zh-CN"/>
              </w:rPr>
              <w:t>委托</w:t>
            </w:r>
            <w:r>
              <w:rPr>
                <w:rFonts w:hint="eastAsia" w:cs="宋体" w:asciiTheme="minorEastAsia" w:hAnsiTheme="minorEastAsia"/>
                <w:sz w:val="24"/>
                <w:szCs w:val="24"/>
              </w:rPr>
              <w:t>项目的</w:t>
            </w:r>
            <w:r>
              <w:rPr>
                <w:rFonts w:hint="eastAsia" w:cs="宋体" w:asciiTheme="minorEastAsia" w:hAnsiTheme="minorEastAsia"/>
                <w:sz w:val="24"/>
                <w:szCs w:val="24"/>
                <w:lang w:val="zh-CN"/>
              </w:rPr>
              <w:t>合同</w:t>
            </w:r>
            <w:r>
              <w:rPr>
                <w:rFonts w:hint="eastAsia" w:cs="宋体" w:asciiTheme="minorEastAsia" w:hAnsiTheme="minorEastAsia"/>
                <w:sz w:val="24"/>
                <w:szCs w:val="24"/>
              </w:rPr>
              <w:t>或协议</w:t>
            </w:r>
            <w:r>
              <w:rPr>
                <w:rFonts w:hint="eastAsia" w:cs="宋体" w:asciiTheme="minorEastAsia" w:hAnsiTheme="minorEastAsia"/>
                <w:sz w:val="24"/>
                <w:szCs w:val="24"/>
                <w:lang w:val="zh-CN"/>
              </w:rPr>
              <w:t>、</w:t>
            </w:r>
            <w:r>
              <w:rPr>
                <w:rFonts w:hint="eastAsia" w:asciiTheme="minorEastAsia" w:hAnsiTheme="minorEastAsia"/>
                <w:sz w:val="24"/>
                <w:szCs w:val="24"/>
              </w:rPr>
              <w:t>财务检查、财政资金检查项目监督检查、政府投资建设项目财务决算审核报告，</w:t>
            </w:r>
            <w:r>
              <w:rPr>
                <w:rFonts w:hint="eastAsia" w:asciiTheme="minorEastAsia" w:hAnsiTheme="minorEastAsia"/>
                <w:b/>
                <w:sz w:val="24"/>
                <w:szCs w:val="24"/>
              </w:rPr>
              <w:t>开标时需提供委托合同原件（能证明其财务检查、财政资金检查项目监督检查、政府投资建设项目财务决算审核标的金额、项目名称及出具日期），提供</w:t>
            </w:r>
            <w:r>
              <w:rPr>
                <w:rFonts w:hint="eastAsia" w:asciiTheme="minorEastAsia" w:hAnsiTheme="minorEastAsia"/>
                <w:b/>
                <w:bCs/>
                <w:sz w:val="24"/>
                <w:szCs w:val="24"/>
              </w:rPr>
              <w:t>政府投资建设项目财务决算审核报告的还需委托方签章认定，标书中附加盖投标人印章的扫描件、复印件</w:t>
            </w:r>
            <w:r>
              <w:rPr>
                <w:rFonts w:hint="eastAsia" w:asciiTheme="minorEastAsia" w:hAnsiTheme="minorEastAsia"/>
                <w:b/>
                <w:sz w:val="24"/>
                <w:szCs w:val="24"/>
              </w:rPr>
              <w:t>。</w:t>
            </w:r>
          </w:p>
        </w:tc>
        <w:tc>
          <w:tcPr>
            <w:tcW w:w="967" w:type="dxa"/>
            <w:vAlign w:val="center"/>
          </w:tcPr>
          <w:p>
            <w:pPr>
              <w:jc w:val="center"/>
              <w:rPr>
                <w:rFonts w:asciiTheme="minorEastAsia" w:hAnsiTheme="minorEastAsia"/>
                <w:sz w:val="24"/>
                <w:szCs w:val="24"/>
                <w:u w:val="single"/>
              </w:rPr>
            </w:pPr>
            <w:r>
              <w:rPr>
                <w:rFonts w:hint="eastAsia" w:cs="宋体" w:asciiTheme="minorEastAsia" w:hAnsiTheme="minorEastAsia"/>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asciiTheme="minorEastAsia" w:hAnsiTheme="minorEastAsia"/>
                <w:b/>
                <w:sz w:val="24"/>
                <w:szCs w:val="24"/>
                <w:u w:val="single"/>
              </w:rPr>
              <w:t xml:space="preserve"> 2</w:t>
            </w:r>
            <w:r>
              <w:rPr>
                <w:rFonts w:hint="eastAsia" w:asciiTheme="minorEastAsia" w:hAnsiTheme="minorEastAsia"/>
                <w:b/>
                <w:sz w:val="24"/>
                <w:szCs w:val="24"/>
                <w:u w:val="single"/>
              </w:rPr>
              <w:t>1</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cs="宋体" w:asciiTheme="minorEastAsia" w:hAnsiTheme="minorEastAsia"/>
                <w:sz w:val="24"/>
                <w:szCs w:val="24"/>
              </w:rPr>
            </w:pPr>
            <w:r>
              <w:rPr>
                <w:rFonts w:hint="eastAsia" w:asciiTheme="minorEastAsia" w:hAnsiTheme="minorEastAsia"/>
                <w:b/>
                <w:sz w:val="24"/>
                <w:szCs w:val="24"/>
              </w:rPr>
              <w:t>评分因素</w:t>
            </w:r>
          </w:p>
        </w:tc>
        <w:tc>
          <w:tcPr>
            <w:tcW w:w="6558" w:type="dxa"/>
            <w:vAlign w:val="center"/>
          </w:tcPr>
          <w:p>
            <w:pPr>
              <w:spacing w:line="360" w:lineRule="auto"/>
              <w:jc w:val="center"/>
              <w:rPr>
                <w:rFonts w:asciiTheme="minorEastAsia" w:hAnsiTheme="minorEastAsia"/>
                <w:sz w:val="24"/>
                <w:szCs w:val="24"/>
              </w:rPr>
            </w:pPr>
            <w:r>
              <w:rPr>
                <w:rFonts w:hint="eastAsia" w:asciiTheme="minorEastAsia" w:hAnsiTheme="minorEastAsia"/>
                <w:b/>
                <w:sz w:val="24"/>
                <w:szCs w:val="24"/>
              </w:rPr>
              <w:t>评标标准</w:t>
            </w:r>
          </w:p>
        </w:tc>
        <w:tc>
          <w:tcPr>
            <w:tcW w:w="967" w:type="dxa"/>
            <w:vAlign w:val="center"/>
          </w:tcPr>
          <w:p>
            <w:pPr>
              <w:jc w:val="center"/>
              <w:rPr>
                <w:rFonts w:cs="宋体" w:asciiTheme="minorEastAsia" w:hAnsiTheme="minorEastAsia"/>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asciiTheme="minorEastAsia" w:hAnsiTheme="minorEastAsia"/>
                <w:sz w:val="24"/>
                <w:szCs w:val="24"/>
              </w:rPr>
            </w:pPr>
            <w:r>
              <w:rPr>
                <w:rFonts w:hint="eastAsia" w:cs="宋体" w:asciiTheme="minorEastAsia" w:hAnsiTheme="minorEastAsia"/>
                <w:sz w:val="24"/>
                <w:szCs w:val="24"/>
              </w:rPr>
              <w:t>服务方案</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评标委员会根据各投标人服务方案的内容是否详实完整可行，至少应包括：质量控制、保障措施、技术档案管理制度、风险控制制度。</w:t>
            </w:r>
          </w:p>
          <w:p>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、总体服务方案的内容详实完整、实际可行，思路清楚，各服务要求齐全，制定的服务方案能够保证项目的顺利完成，得3分，仅为简单概括描述的得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、质量控制：针对本项目质量要求，制定出实现质量目标的具体保证措施，并根据工作内容、重点和难点，进行分析并制定出相应的处理方法，得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、保障措施：对财务检查、财政资金检查项目监督检查、政府投资建设项目财务决算审核工作质量保证措施、时间进度管理措施、组织保障措施详细说明的，得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、技术档案管理制度：有完善档案的收集、整理、保管、利用和鉴定销毁等管理制度，并采取可靠的安全防护技术和措施，保证档案的真实、完整、可用、安全的管理制度，得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、风险控制制度：对项目风险的识别及应对有详细方案和措施的，得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p>
            <w:pPr>
              <w:spacing w:line="360" w:lineRule="auto"/>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、有后续服务及其它优化服务方案、违约责任、经济赔偿方案的，得</w:t>
            </w:r>
            <w:r>
              <w:rPr>
                <w:rFonts w:asciiTheme="minorEastAsia" w:hAnsiTheme="minorEastAsia"/>
                <w:sz w:val="24"/>
                <w:szCs w:val="24"/>
              </w:rPr>
              <w:t>2</w:t>
            </w:r>
            <w:r>
              <w:rPr>
                <w:rFonts w:hint="eastAsia" w:asciiTheme="minorEastAsia" w:hAnsiTheme="minorEastAsia"/>
                <w:sz w:val="24"/>
                <w:szCs w:val="24"/>
              </w:rPr>
              <w:t>分，仅为简单概括描述的得</w:t>
            </w:r>
            <w:r>
              <w:rPr>
                <w:rFonts w:asciiTheme="minorEastAsia" w:hAnsiTheme="minorEastAsia"/>
                <w:sz w:val="24"/>
                <w:szCs w:val="24"/>
              </w:rPr>
              <w:t>1</w:t>
            </w:r>
            <w:r>
              <w:rPr>
                <w:rFonts w:hint="eastAsia" w:asciiTheme="minorEastAsia" w:hAnsiTheme="minorEastAsia"/>
                <w:sz w:val="24"/>
                <w:szCs w:val="24"/>
              </w:rPr>
              <w:t>分，缺少不得分。</w:t>
            </w:r>
          </w:p>
        </w:tc>
        <w:tc>
          <w:tcPr>
            <w:tcW w:w="967" w:type="dxa"/>
            <w:vAlign w:val="center"/>
          </w:tcPr>
          <w:p>
            <w:pPr>
              <w:jc w:val="center"/>
              <w:rPr>
                <w:rFonts w:asciiTheme="minorEastAsia" w:hAnsiTheme="minorEastAsia"/>
                <w:sz w:val="24"/>
                <w:szCs w:val="24"/>
                <w:u w:val="single"/>
              </w:rPr>
            </w:pPr>
            <w:r>
              <w:rPr>
                <w:rFonts w:cs="宋体" w:asciiTheme="minorEastAsia" w:hAnsiTheme="minorEastAsia"/>
                <w:sz w:val="24"/>
                <w:szCs w:val="24"/>
              </w:rPr>
              <w:t>1</w:t>
            </w:r>
            <w:r>
              <w:rPr>
                <w:rFonts w:hint="eastAsia" w:cs="宋体"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441" w:type="dxa"/>
            <w:vAlign w:val="center"/>
          </w:tcPr>
          <w:p>
            <w:pPr>
              <w:spacing w:line="400" w:lineRule="exact"/>
              <w:jc w:val="center"/>
              <w:rPr>
                <w:rFonts w:cs="宋体" w:asciiTheme="minorEastAsia" w:hAnsiTheme="minorEastAsia"/>
                <w:sz w:val="24"/>
                <w:szCs w:val="24"/>
              </w:rPr>
            </w:pPr>
            <w:r>
              <w:rPr>
                <w:rFonts w:hint="eastAsia" w:cs="宋体" w:asciiTheme="minorEastAsia" w:hAnsiTheme="minorEastAsia"/>
                <w:sz w:val="24"/>
                <w:szCs w:val="24"/>
              </w:rPr>
              <w:t>技术支持和本地化全方位服务响应</w:t>
            </w:r>
          </w:p>
        </w:tc>
        <w:tc>
          <w:tcPr>
            <w:tcW w:w="6558" w:type="dxa"/>
            <w:vAlign w:val="center"/>
          </w:tcPr>
          <w:p>
            <w:pPr>
              <w:spacing w:line="360" w:lineRule="auto"/>
              <w:rPr>
                <w:rFonts w:asciiTheme="minorEastAsia" w:hAnsiTheme="minorEastAsia"/>
                <w:sz w:val="24"/>
                <w:szCs w:val="24"/>
              </w:rPr>
            </w:pPr>
            <w:r>
              <w:rPr>
                <w:rFonts w:hint="eastAsia" w:asciiTheme="minorEastAsia" w:hAnsiTheme="minorEastAsia"/>
                <w:bCs/>
                <w:sz w:val="24"/>
                <w:szCs w:val="24"/>
              </w:rPr>
              <w:t>投标人在方案中是否承诺在中标后入库服务期三年内提供</w:t>
            </w:r>
            <w:r>
              <w:rPr>
                <w:rFonts w:asciiTheme="minorEastAsia" w:hAnsiTheme="minorEastAsia"/>
                <w:bCs/>
                <w:sz w:val="24"/>
                <w:szCs w:val="24"/>
              </w:rPr>
              <w:t>7</w:t>
            </w:r>
            <w:r>
              <w:rPr>
                <w:rFonts w:hint="eastAsia" w:asciiTheme="minorEastAsia" w:hAnsiTheme="minorEastAsia"/>
                <w:bCs/>
                <w:sz w:val="24"/>
                <w:szCs w:val="24"/>
              </w:rPr>
              <w:t>×</w:t>
            </w:r>
            <w:r>
              <w:rPr>
                <w:rFonts w:asciiTheme="minorEastAsia" w:hAnsiTheme="minorEastAsia"/>
                <w:bCs/>
                <w:sz w:val="24"/>
                <w:szCs w:val="24"/>
              </w:rPr>
              <w:t>24</w:t>
            </w:r>
            <w:r>
              <w:rPr>
                <w:rFonts w:hint="eastAsia" w:asciiTheme="minorEastAsia" w:hAnsiTheme="minorEastAsia"/>
                <w:bCs/>
                <w:sz w:val="24"/>
                <w:szCs w:val="24"/>
              </w:rPr>
              <w:t>小时技术支持和项目现场服务；是否承诺在合同执行过程中在许昌</w:t>
            </w:r>
            <w:r>
              <w:rPr>
                <w:rFonts w:hint="eastAsia" w:cs="宋体" w:asciiTheme="minorEastAsia" w:hAnsiTheme="minorEastAsia"/>
                <w:sz w:val="24"/>
                <w:szCs w:val="24"/>
              </w:rPr>
              <w:t>拟投入本项目注册会计师、工作人员为</w:t>
            </w:r>
            <w:r>
              <w:rPr>
                <w:rFonts w:hint="eastAsia" w:asciiTheme="minorEastAsia" w:hAnsiTheme="minorEastAsia"/>
                <w:bCs/>
                <w:sz w:val="24"/>
                <w:szCs w:val="24"/>
              </w:rPr>
              <w:t>常驻人员；是否在许昌设有相关办事机构</w:t>
            </w:r>
            <w:r>
              <w:rPr>
                <w:rFonts w:hint="eastAsia" w:asciiTheme="minorEastAsia" w:hAnsiTheme="minorEastAsia"/>
                <w:sz w:val="24"/>
                <w:szCs w:val="24"/>
              </w:rPr>
              <w:t>（提供相关证明材料如不动产登记证书或房产证或租赁合同等）；</w:t>
            </w:r>
            <w:r>
              <w:rPr>
                <w:rFonts w:hint="eastAsia" w:asciiTheme="minorEastAsia" w:hAnsiTheme="minorEastAsia"/>
                <w:bCs/>
                <w:sz w:val="24"/>
                <w:szCs w:val="24"/>
              </w:rPr>
              <w:t>在用户提出服务需求后，是否能够及时做出响应迅速到达现场（即</w:t>
            </w:r>
            <w:r>
              <w:rPr>
                <w:rFonts w:hint="eastAsia" w:asciiTheme="minorEastAsia" w:hAnsiTheme="minorEastAsia"/>
                <w:sz w:val="24"/>
                <w:szCs w:val="24"/>
              </w:rPr>
              <w:t>响应时间）并有具体措施等进行打分。</w:t>
            </w:r>
          </w:p>
          <w:p>
            <w:pPr>
              <w:spacing w:line="360" w:lineRule="auto"/>
              <w:rPr>
                <w:rFonts w:asciiTheme="minorEastAsia" w:hAnsiTheme="minorEastAsia"/>
                <w:sz w:val="24"/>
                <w:szCs w:val="24"/>
              </w:rPr>
            </w:pPr>
            <w:r>
              <w:rPr>
                <w:rFonts w:hint="eastAsia" w:asciiTheme="minorEastAsia" w:hAnsiTheme="minorEastAsia"/>
                <w:sz w:val="24"/>
                <w:szCs w:val="24"/>
              </w:rPr>
              <w:t>一档：在许昌设置有办事机构，在方案中承诺提供7×24小时技术支持和项目现场服务并且派常驻人员在半小时内响应得8分；</w:t>
            </w:r>
          </w:p>
          <w:p>
            <w:pPr>
              <w:spacing w:line="360" w:lineRule="auto"/>
              <w:rPr>
                <w:rFonts w:asciiTheme="minorEastAsia" w:hAnsiTheme="minorEastAsia"/>
                <w:sz w:val="24"/>
                <w:szCs w:val="24"/>
              </w:rPr>
            </w:pPr>
            <w:r>
              <w:rPr>
                <w:rFonts w:hint="eastAsia" w:asciiTheme="minorEastAsia" w:hAnsiTheme="minorEastAsia"/>
                <w:sz w:val="24"/>
                <w:szCs w:val="24"/>
              </w:rPr>
              <w:t>二档：在许昌设置有办事机构，在方案中承诺提供7×24小时技术支持和项目现场服务并且派常驻人员在一小时内响应得5分；</w:t>
            </w:r>
          </w:p>
          <w:p>
            <w:pPr>
              <w:spacing w:line="360" w:lineRule="auto"/>
              <w:rPr>
                <w:rFonts w:asciiTheme="minorEastAsia" w:hAnsiTheme="minorEastAsia"/>
                <w:sz w:val="24"/>
                <w:szCs w:val="24"/>
              </w:rPr>
            </w:pPr>
            <w:r>
              <w:rPr>
                <w:rFonts w:hint="eastAsia" w:asciiTheme="minorEastAsia" w:hAnsiTheme="minorEastAsia"/>
                <w:sz w:val="24"/>
                <w:szCs w:val="24"/>
              </w:rPr>
              <w:t>三档：在许昌无设置办事机构，但在方案中承诺提供7×24小时技术支持和项目现场服务并且派常驻人员在一小时内响应得2分；无承诺的不得分。</w:t>
            </w:r>
          </w:p>
          <w:p>
            <w:pPr>
              <w:spacing w:line="360" w:lineRule="auto"/>
              <w:rPr>
                <w:rFonts w:asciiTheme="minorEastAsia" w:hAnsiTheme="minorEastAsia"/>
                <w:bCs/>
                <w:sz w:val="24"/>
                <w:szCs w:val="24"/>
              </w:rPr>
            </w:pPr>
            <w:r>
              <w:rPr>
                <w:rFonts w:hint="eastAsia" w:asciiTheme="minorEastAsia" w:hAnsiTheme="minorEastAsia"/>
                <w:b/>
                <w:bCs/>
                <w:sz w:val="24"/>
                <w:szCs w:val="24"/>
              </w:rPr>
              <w:t>（“响应时间”是指在项目委托人提出服务需求后，投标人从接到需求做出响应时至到达现场时的时间）</w:t>
            </w:r>
          </w:p>
        </w:tc>
        <w:tc>
          <w:tcPr>
            <w:tcW w:w="967" w:type="dxa"/>
            <w:vAlign w:val="center"/>
          </w:tcPr>
          <w:p>
            <w:pPr>
              <w:jc w:val="center"/>
              <w:rPr>
                <w:rFonts w:cs="宋体" w:asciiTheme="minorEastAsia" w:hAnsiTheme="minorEastAsia"/>
                <w:sz w:val="24"/>
                <w:szCs w:val="24"/>
              </w:rPr>
            </w:pPr>
            <w:r>
              <w:rPr>
                <w:rFonts w:cs="宋体" w:asciiTheme="minorEastAsia" w:hAnsiTheme="minorEastAsia"/>
                <w:sz w:val="24"/>
                <w:szCs w:val="24"/>
              </w:rPr>
              <w:t>8</w:t>
            </w:r>
            <w:r>
              <w:rPr>
                <w:rFonts w:hint="eastAsia" w:cs="宋体" w:asciiTheme="minorEastAsia" w:hAnsiTheme="minorEastAsia"/>
                <w:sz w:val="24"/>
                <w:szCs w:val="24"/>
              </w:rPr>
              <w:t>分</w:t>
            </w:r>
          </w:p>
        </w:tc>
      </w:tr>
    </w:tbl>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注：</w:t>
      </w:r>
    </w:p>
    <w:p>
      <w:pPr>
        <w:tabs>
          <w:tab w:val="left" w:pos="1260"/>
        </w:tabs>
        <w:autoSpaceDE w:val="0"/>
        <w:autoSpaceDN w:val="0"/>
        <w:spacing w:line="360" w:lineRule="auto"/>
        <w:ind w:firstLine="480" w:firstLineChars="200"/>
        <w:contextualSpacing/>
        <w:rPr>
          <w:rFonts w:ascii="宋体" w:hAnsi="宋体" w:cs="仿宋_GB2312"/>
          <w:sz w:val="24"/>
          <w:szCs w:val="24"/>
        </w:rPr>
      </w:pPr>
      <w:r>
        <w:rPr>
          <w:rFonts w:hint="eastAsia" w:ascii="宋体" w:hAnsi="宋体" w:cs="仿宋_GB2312"/>
          <w:bCs/>
          <w:sz w:val="24"/>
          <w:szCs w:val="24"/>
        </w:rPr>
        <w:t>1、</w:t>
      </w: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2、提供拟投入本项目专业技术人员团队名单人数最多为20人，包括拟投入本项目注册造价工程师和拟投入本项目工作人员。所提供专业团队名单，在服务期限内该团队80%专业技术人员保持固定。</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①分值汇总计算错误的；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②分项评分超出评分标准范围的；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③评标委员会成员对客观评审因素评分不一致的；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④经评标委员会认定评分畸高、畸低的。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 定义</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1.1“合同”系指甲方和乙方 （简称合同双方）已达成的协议，即由双方签订的合同格式中的文件，包括所有的附件和组成合同部分的所有其他文件。</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1.2“合同价格”系指根据合同规定，在乙方全面正确地履行合同义务时应支付给乙方的款项。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1.3“甲方”系指通过招标方式，接受合同服务的采购人。</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1.4“乙方”系指中标后提供合同服务的中标方或投标人。</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2.适用范围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 本合同条款仅适用于本次招标活动。</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3.技术规格和标准</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本合同项下所提供服务的技术规格标准应与本招标文件技术规格规定的标准相一致。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4.合同期限</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即自   年   月   日起至   年   月   日止。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5.价格</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除非合同中另有规定，乙方为其所提供服务而要求甲方支付的金额应与其投标报价一致。</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6.索赔</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6.1乙方对所提供的服务与合同要求不符负有责任，并且甲方已于合同规定的期限内提出索赔，乙方应按甲方同意的下述一种或多种方法解决索赔事宜。</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6.1.1乙方同意甲方取消其不符合要求的服务项目，退还已经收取的该类服务的款项。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6.1.2对于情节严重、造成甲方损失金额巨大的，同意甲方终止全部项目合同，并赔偿甲方因此造成的损失。</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7.不可抗力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8.履约保证金</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8.1按本招标文件要求执行。（有特殊约定的按约定执行）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8.2履约保证金的有效期至供货完毕且验收合格。</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8.3乙方提供的履约保证金按规定格式以现金、电汇的形式提供，与此有关的费用由乙方负担。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8.4如果乙方未能按合同规定履行其义务，甲方有权从履约保证金取得补偿。</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9.争议的解决</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9.1在执行合同中发生的与本合同有关的争端，双方应通过友好协商解决，经协商在 60天内不能达成协议时，应提交仲裁。</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9.2 提交正式仲裁的争端属涉外的，应在北京或中国国内其他地点，由指定的国际经济仲裁委员会根据该委员会的仲裁程序或规则予以最终裁决。</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9.3 合同双方均为国内法人的，其争端的仲裁应由合同发生地许昌市仲裁委员会根据其仲裁程序进行。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9.4 仲裁裁决应为最终决定，并对双方具有约束力。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9.5 除另有裁决外，仲裁费应由败诉方负担。</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9.6 在仲裁期间，除正在进行的仲裁部分外，合同其他部分继续执行。</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10.合同终止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 出现下列情况时合同自动终止：</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10.2.1发生不可抗力时。</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10.2.2一方不履行合同条款，造成另一方无法执行合同协议，协商又不能求得解决，合同终止，责任方赔偿损失。</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11.合同修改</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对于合同的未尽事宜，需进行修改、补充和完善的，甲乙双方必须就所修改的内容签订书面的合同修改书，作为合同的补充协议。</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12.适用法律</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本合同应按中华人民共和国的法律解释。</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13.主导语言与计量单位</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13.1 合同书写应用中文书写。合同五份，甲乙双方和示范区政府采购管理办公室及相关业务科室（备案）各执一份，具有同等法律效力。</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13.2 除技术规格另有规定外，计量单位均使用中华人民共和国法定计量单位。</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14.合同生效</w:t>
      </w:r>
    </w:p>
    <w:p>
      <w:pPr>
        <w:widowControl/>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除非合同中另有说明，本合同经双方签字盖章，并在招标人收到乙方的履约保证金后，即开始生效。</w:t>
      </w:r>
    </w:p>
    <w:p>
      <w:pPr>
        <w:widowControl/>
        <w:spacing w:line="360" w:lineRule="auto"/>
        <w:ind w:firstLine="420"/>
        <w:jc w:val="center"/>
        <w:rPr>
          <w:kern w:val="0"/>
          <w:szCs w:val="21"/>
        </w:rPr>
      </w:pPr>
      <w:r>
        <w:rPr>
          <w:rFonts w:hint="eastAsia" w:ascii="宋体" w:hAnsi="宋体"/>
          <w:b/>
          <w:bCs/>
          <w:kern w:val="0"/>
          <w:sz w:val="36"/>
          <w:szCs w:val="36"/>
        </w:rPr>
        <w:t>合同特殊条款</w:t>
      </w:r>
    </w:p>
    <w:p>
      <w:pPr>
        <w:widowControl/>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（具体条款由甲乙双方根据该项目的特殊性协商约定）略。</w:t>
      </w:r>
    </w:p>
    <w:p>
      <w:pPr>
        <w:widowControl/>
        <w:spacing w:line="360" w:lineRule="auto"/>
        <w:ind w:firstLine="200"/>
        <w:jc w:val="left"/>
        <w:rPr>
          <w:rFonts w:cs="宋体" w:asciiTheme="majorEastAsia" w:hAnsiTheme="majorEastAsia" w:eastAsiaTheme="majorEastAsia"/>
          <w:b/>
          <w:kern w:val="0"/>
          <w:sz w:val="36"/>
          <w:szCs w:val="36"/>
        </w:rPr>
      </w:pPr>
      <w:r>
        <w:rPr>
          <w:rFonts w:hint="eastAsia" w:ascii="宋体" w:hAnsi="宋体" w:eastAsia="宋体" w:cs="宋体"/>
          <w:kern w:val="0"/>
          <w:sz w:val="24"/>
          <w:szCs w:val="24"/>
        </w:rPr>
        <w:t>合同特殊条款是合同一般条款的补充和修改。如果两者之间有抵触，应以特殊条款为准。</w:t>
      </w:r>
      <w:bookmarkStart w:id="1" w:name="_Toc267574131"/>
      <w:bookmarkEnd w:id="1"/>
      <w:bookmarkStart w:id="2" w:name="_Toc181348162"/>
      <w:bookmarkEnd w:id="2"/>
      <w:bookmarkStart w:id="3" w:name="_Toc181344351"/>
      <w:bookmarkEnd w:id="3"/>
      <w:bookmarkStart w:id="4" w:name="_Toc179456560"/>
      <w:bookmarkEnd w:id="4"/>
      <w:bookmarkStart w:id="5" w:name="_Toc270946198"/>
      <w:bookmarkEnd w:id="5"/>
    </w:p>
    <w:p>
      <w:pPr>
        <w:pStyle w:val="15"/>
        <w:spacing w:line="360" w:lineRule="auto"/>
        <w:contextualSpacing/>
        <w:jc w:val="center"/>
        <w:outlineLvl w:val="0"/>
        <w:rPr>
          <w:rFonts w:cs="宋体" w:asciiTheme="majorEastAsia" w:hAnsiTheme="majorEastAsia" w:eastAsiaTheme="majorEastAsia"/>
          <w:b/>
          <w:kern w:val="0"/>
          <w:sz w:val="36"/>
          <w:szCs w:val="36"/>
        </w:rPr>
      </w:pPr>
    </w:p>
    <w:p>
      <w:pPr>
        <w:pStyle w:val="15"/>
        <w:spacing w:line="360" w:lineRule="auto"/>
        <w:ind w:firstLine="1807" w:firstLineChars="5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spacing w:line="440" w:lineRule="exact"/>
        <w:rPr>
          <w:rStyle w:val="47"/>
          <w:rFonts w:ascii="宋体" w:hAnsi="宋体" w:eastAsia="宋体" w:cs="宋体"/>
        </w:rPr>
      </w:pPr>
      <w:r>
        <w:rPr>
          <w:rStyle w:val="47"/>
          <w:rFonts w:hint="eastAsia" w:ascii="宋体" w:hAnsi="宋体" w:eastAsia="宋体" w:cs="宋体"/>
        </w:rPr>
        <w:t>投标文件封皮格式</w:t>
      </w:r>
    </w:p>
    <w:p>
      <w:pPr>
        <w:spacing w:line="440" w:lineRule="exact"/>
        <w:jc w:val="right"/>
        <w:rPr>
          <w:rStyle w:val="47"/>
          <w:rFonts w:ascii="宋体" w:hAnsi="宋体" w:eastAsia="宋体" w:cs="宋体"/>
        </w:rPr>
      </w:pPr>
      <w:bookmarkStart w:id="6" w:name="_Toc17124"/>
      <w:bookmarkStart w:id="7" w:name="_Toc5131"/>
      <w:bookmarkStart w:id="8" w:name="_Toc16238"/>
      <w:bookmarkStart w:id="9" w:name="_Toc12595"/>
      <w:bookmarkStart w:id="10" w:name="_Toc14398"/>
      <w:r>
        <w:rPr>
          <w:rStyle w:val="47"/>
          <w:rFonts w:hint="eastAsia" w:ascii="宋体" w:hAnsi="宋体" w:eastAsia="宋体" w:cs="宋体"/>
        </w:rPr>
        <w:t>正本/副本</w:t>
      </w:r>
      <w:bookmarkEnd w:id="6"/>
    </w:p>
    <w:bookmarkEnd w:id="7"/>
    <w:bookmarkEnd w:id="8"/>
    <w:bookmarkEnd w:id="9"/>
    <w:bookmarkEnd w:id="10"/>
    <w:p>
      <w:pPr>
        <w:spacing w:line="440" w:lineRule="exact"/>
        <w:rPr>
          <w:rStyle w:val="47"/>
          <w:rFonts w:ascii="宋体" w:hAnsi="宋体" w:eastAsia="宋体" w:cs="宋体"/>
        </w:rPr>
      </w:pPr>
    </w:p>
    <w:p>
      <w:pPr>
        <w:spacing w:line="440" w:lineRule="exact"/>
        <w:rPr>
          <w:rFonts w:ascii="宋体" w:hAnsi="宋体" w:eastAsia="宋体" w:cs="宋体"/>
          <w:sz w:val="28"/>
          <w:szCs w:val="28"/>
          <w:u w:val="single"/>
        </w:rPr>
      </w:pPr>
    </w:p>
    <w:p>
      <w:pPr>
        <w:spacing w:line="440" w:lineRule="exact"/>
        <w:jc w:val="center"/>
        <w:rPr>
          <w:rFonts w:ascii="宋体" w:hAnsi="宋体" w:eastAsia="宋体" w:cs="宋体"/>
          <w:b/>
          <w:bCs/>
          <w:sz w:val="40"/>
          <w:szCs w:val="40"/>
          <w:u w:val="single"/>
        </w:rPr>
      </w:pPr>
      <w:bookmarkStart w:id="11" w:name="_Toc3199"/>
      <w:r>
        <w:rPr>
          <w:rFonts w:hint="eastAsia" w:ascii="宋体" w:hAnsi="宋体" w:eastAsia="宋体" w:cs="宋体"/>
          <w:b/>
          <w:bCs/>
          <w:sz w:val="40"/>
          <w:szCs w:val="40"/>
          <w:u w:val="single"/>
        </w:rPr>
        <w:t xml:space="preserve">                   （项目名称）</w:t>
      </w:r>
      <w:bookmarkEnd w:id="11"/>
      <w:r>
        <w:rPr>
          <w:rFonts w:hint="eastAsia" w:ascii="宋体" w:hAnsi="宋体" w:eastAsia="宋体" w:cs="宋体"/>
          <w:b/>
          <w:bCs/>
          <w:sz w:val="40"/>
          <w:szCs w:val="40"/>
          <w:u w:val="single"/>
        </w:rPr>
        <w:t xml:space="preserve">   标段  包</w:t>
      </w:r>
    </w:p>
    <w:p>
      <w:pPr>
        <w:spacing w:line="440" w:lineRule="exact"/>
        <w:jc w:val="center"/>
        <w:rPr>
          <w:rFonts w:ascii="宋体" w:hAnsi="宋体" w:eastAsia="宋体" w:cs="宋体"/>
          <w:sz w:val="28"/>
          <w:szCs w:val="28"/>
          <w:u w:val="single"/>
        </w:rPr>
      </w:pPr>
    </w:p>
    <w:p>
      <w:pPr>
        <w:spacing w:line="440" w:lineRule="exact"/>
        <w:rPr>
          <w:rFonts w:ascii="宋体" w:hAnsi="宋体" w:eastAsia="宋体" w:cs="宋体"/>
          <w:sz w:val="20"/>
          <w:szCs w:val="20"/>
        </w:rPr>
      </w:pPr>
    </w:p>
    <w:p>
      <w:pPr>
        <w:jc w:val="center"/>
        <w:rPr>
          <w:rFonts w:ascii="宋体" w:hAnsi="宋体" w:eastAsia="宋体" w:cs="宋体"/>
          <w:sz w:val="84"/>
          <w:szCs w:val="84"/>
        </w:rPr>
      </w:pPr>
    </w:p>
    <w:p>
      <w:pPr>
        <w:jc w:val="center"/>
        <w:rPr>
          <w:rFonts w:ascii="宋体" w:hAnsi="宋体" w:eastAsia="宋体" w:cs="宋体"/>
          <w:sz w:val="84"/>
          <w:szCs w:val="84"/>
        </w:rPr>
      </w:pPr>
      <w:bookmarkStart w:id="12" w:name="_Toc20681"/>
      <w:r>
        <w:rPr>
          <w:rFonts w:hint="eastAsia" w:ascii="宋体" w:hAnsi="宋体" w:eastAsia="宋体" w:cs="宋体"/>
          <w:sz w:val="84"/>
          <w:szCs w:val="84"/>
        </w:rPr>
        <w:t>投  标  文  件</w:t>
      </w:r>
      <w:bookmarkEnd w:id="12"/>
    </w:p>
    <w:p>
      <w:pPr>
        <w:spacing w:line="440" w:lineRule="exact"/>
        <w:rPr>
          <w:rFonts w:ascii="宋体" w:hAnsi="宋体" w:eastAsia="宋体" w:cs="宋体"/>
          <w:sz w:val="28"/>
          <w:szCs w:val="28"/>
        </w:rPr>
      </w:pPr>
    </w:p>
    <w:p>
      <w:pPr>
        <w:spacing w:line="440" w:lineRule="exact"/>
        <w:jc w:val="center"/>
        <w:rPr>
          <w:rFonts w:ascii="宋体" w:hAnsi="宋体" w:eastAsia="宋体" w:cs="宋体"/>
          <w:sz w:val="28"/>
          <w:szCs w:val="28"/>
        </w:rPr>
      </w:pPr>
      <w:bookmarkStart w:id="13" w:name="_Toc12236"/>
      <w:r>
        <w:rPr>
          <w:rFonts w:hint="eastAsia" w:ascii="宋体" w:hAnsi="宋体" w:eastAsia="宋体" w:cs="宋体"/>
          <w:sz w:val="28"/>
          <w:szCs w:val="28"/>
        </w:rPr>
        <w:t>项目编号：</w:t>
      </w:r>
      <w:bookmarkEnd w:id="13"/>
    </w:p>
    <w:p>
      <w:pPr>
        <w:pStyle w:val="3"/>
        <w:rPr>
          <w:rFonts w:ascii="宋体" w:hAnsi="宋体" w:eastAsia="宋体" w:cs="宋体"/>
          <w:sz w:val="28"/>
          <w:szCs w:val="28"/>
        </w:rPr>
      </w:pPr>
    </w:p>
    <w:p>
      <w:pPr>
        <w:pStyle w:val="3"/>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left="1079" w:leftChars="514"/>
        <w:rPr>
          <w:rFonts w:ascii="宋体" w:hAnsi="宋体" w:eastAsia="宋体" w:cs="宋体"/>
          <w:sz w:val="28"/>
          <w:szCs w:val="28"/>
          <w:u w:val="single"/>
        </w:rPr>
      </w:pPr>
      <w:bookmarkStart w:id="14" w:name="_Toc8591"/>
      <w:r>
        <w:rPr>
          <w:rFonts w:hint="eastAsia" w:ascii="宋体" w:hAnsi="宋体" w:eastAsia="宋体" w:cs="宋体"/>
          <w:sz w:val="28"/>
          <w:szCs w:val="28"/>
        </w:rPr>
        <w:t>投标人：（盖单位章）</w:t>
      </w:r>
      <w:bookmarkEnd w:id="14"/>
    </w:p>
    <w:p>
      <w:pPr>
        <w:spacing w:line="440" w:lineRule="exact"/>
        <w:ind w:left="1079" w:leftChars="514"/>
        <w:rPr>
          <w:rFonts w:ascii="宋体" w:hAnsi="宋体" w:eastAsia="宋体" w:cs="宋体"/>
          <w:sz w:val="28"/>
          <w:szCs w:val="28"/>
        </w:rPr>
      </w:pPr>
      <w:bookmarkStart w:id="15" w:name="_Toc10390"/>
      <w:r>
        <w:rPr>
          <w:rFonts w:hint="eastAsia" w:ascii="宋体" w:hAnsi="宋体" w:eastAsia="宋体" w:cs="宋体"/>
          <w:sz w:val="28"/>
          <w:szCs w:val="28"/>
        </w:rPr>
        <w:t>法定代表人或其委托代理人：（签字或盖章）</w:t>
      </w:r>
      <w:bookmarkEnd w:id="15"/>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spacing w:line="440" w:lineRule="exact"/>
        <w:ind w:left="1079" w:leftChars="514"/>
        <w:rPr>
          <w:rFonts w:hint="eastAsia" w:ascii="宋体" w:hAnsi="宋体" w:eastAsia="宋体" w:cs="宋体"/>
          <w:sz w:val="28"/>
          <w:szCs w:val="28"/>
          <w:lang w:val="zh-CN"/>
        </w:rPr>
      </w:pPr>
      <w:r>
        <w:rPr>
          <w:rFonts w:hint="eastAsia" w:ascii="宋体" w:hAnsi="宋体" w:eastAsia="宋体" w:cs="宋体"/>
          <w:sz w:val="28"/>
          <w:szCs w:val="28"/>
          <w:lang w:val="zh-CN"/>
        </w:rPr>
        <w:t>日期：年月日</w:t>
      </w:r>
      <w:bookmarkStart w:id="22" w:name="_GoBack"/>
      <w:bookmarkEnd w:id="22"/>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6" w:name="_Toc174185203"/>
      <w:bookmarkStart w:id="17" w:name="_Toc184023138"/>
      <w:bookmarkStart w:id="18" w:name="_Toc186274126"/>
      <w:r>
        <w:rPr>
          <w:rFonts w:hint="eastAsia" w:cs="黑体" w:asciiTheme="minorEastAsia" w:hAnsiTheme="minorEastAsia" w:eastAsiaTheme="minorEastAsia"/>
          <w:color w:val="auto"/>
          <w:kern w:val="2"/>
          <w:sz w:val="36"/>
          <w:szCs w:val="36"/>
          <w:lang w:val="zh-CN"/>
        </w:rPr>
        <w:t>一、投标人应答索引表</w:t>
      </w:r>
      <w:bookmarkEnd w:id="16"/>
      <w:bookmarkEnd w:id="17"/>
      <w:bookmarkEnd w:id="1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5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5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5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5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5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5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5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5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5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5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2"/>
        <w:tblW w:w="9040" w:type="dxa"/>
        <w:tblInd w:w="0" w:type="dxa"/>
        <w:tblLayout w:type="fixed"/>
        <w:tblCellMar>
          <w:top w:w="0" w:type="dxa"/>
          <w:left w:w="108" w:type="dxa"/>
          <w:bottom w:w="0" w:type="dxa"/>
          <w:right w:w="108" w:type="dxa"/>
        </w:tblCellMar>
      </w:tblPr>
      <w:tblGrid>
        <w:gridCol w:w="832"/>
        <w:gridCol w:w="1985"/>
        <w:gridCol w:w="2609"/>
        <w:gridCol w:w="2435"/>
        <w:gridCol w:w="1179"/>
      </w:tblGrid>
      <w:tr>
        <w:tblPrEx>
          <w:tblLayout w:type="fixed"/>
          <w:tblCellMar>
            <w:top w:w="0" w:type="dxa"/>
            <w:left w:w="108" w:type="dxa"/>
            <w:bottom w:w="0" w:type="dxa"/>
            <w:right w:w="108" w:type="dxa"/>
          </w:tblCellMar>
        </w:tblPrEx>
        <w:trPr>
          <w:trHeight w:val="851" w:hRule="atLeast"/>
        </w:trPr>
        <w:tc>
          <w:tcPr>
            <w:tcW w:w="8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分包号</w:t>
            </w:r>
          </w:p>
        </w:tc>
        <w:tc>
          <w:tcPr>
            <w:tcW w:w="19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6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ascii="宋体" w:cs="宋体"/>
                <w:b/>
                <w:szCs w:val="21"/>
              </w:rPr>
              <w:t>是否提供承诺函</w:t>
            </w:r>
          </w:p>
        </w:tc>
        <w:tc>
          <w:tcPr>
            <w:tcW w:w="24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服务履约期限</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ascii="宋体" w:hAnsi="宋体" w:cs="宋体"/>
                <w:b/>
                <w:szCs w:val="21"/>
              </w:rPr>
              <w:t>（年）</w:t>
            </w:r>
          </w:p>
        </w:tc>
        <w:tc>
          <w:tcPr>
            <w:tcW w:w="11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2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1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注：</w:t>
      </w:r>
      <w:r>
        <w:rPr>
          <w:rFonts w:ascii="宋体" w:hAnsi="宋体" w:cs="宋体"/>
          <w:sz w:val="24"/>
          <w:szCs w:val="24"/>
          <w:lang w:val="zh-CN"/>
        </w:rPr>
        <w:t>1</w:t>
      </w:r>
      <w:r>
        <w:rPr>
          <w:rFonts w:hint="eastAsia" w:ascii="宋体" w:hAnsi="宋体" w:cs="宋体"/>
          <w:sz w:val="24"/>
          <w:szCs w:val="24"/>
          <w:lang w:val="zh-CN"/>
        </w:rPr>
        <w:t>、“是否提供承诺函”包括以下承诺函：一、投标人是否能按照对本项目招标文件中附件《许昌市城乡一体化示范区政府购买中介机构服务管理暂行办法（试行）》的规定收取费用的承诺函；二、投标人能够在中标入库后的服务期三年内提供</w:t>
      </w:r>
      <w:r>
        <w:rPr>
          <w:rFonts w:ascii="宋体" w:hAnsi="宋体" w:cs="宋体"/>
          <w:sz w:val="24"/>
          <w:szCs w:val="24"/>
          <w:lang w:val="zh-CN"/>
        </w:rPr>
        <w:t>7</w:t>
      </w:r>
      <w:r>
        <w:rPr>
          <w:rFonts w:hint="eastAsia" w:ascii="宋体" w:hAnsi="宋体" w:cs="宋体"/>
          <w:sz w:val="24"/>
          <w:szCs w:val="24"/>
          <w:lang w:val="zh-CN"/>
        </w:rPr>
        <w:t>×</w:t>
      </w:r>
      <w:r>
        <w:rPr>
          <w:rFonts w:ascii="宋体" w:hAnsi="宋体" w:cs="宋体"/>
          <w:sz w:val="24"/>
          <w:szCs w:val="24"/>
          <w:lang w:val="zh-CN"/>
        </w:rPr>
        <w:t>24</w:t>
      </w:r>
      <w:r>
        <w:rPr>
          <w:rFonts w:hint="eastAsia" w:ascii="宋体" w:hAnsi="宋体" w:cs="宋体"/>
          <w:sz w:val="24"/>
          <w:szCs w:val="24"/>
          <w:lang w:val="zh-CN"/>
        </w:rPr>
        <w:t>小时技术支持和项目现场服务的承诺函；三、投标人是否提供在合同执行过程中在许昌拟投入本项目注册造价师（注册会计师）、工作人员为常驻人员的承诺函；四、投标人是否在许昌设有相关办事机构的承诺函。</w:t>
      </w:r>
    </w:p>
    <w:p>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hint="eastAsia" w:ascii="宋体" w:hAnsi="宋体" w:cs="宋体"/>
          <w:sz w:val="24"/>
          <w:szCs w:val="24"/>
          <w:lang w:val="zh-CN"/>
        </w:rPr>
        <w:t>、“响应时间”是指在项目委托人提出服务需求后，投标人从接到服务需求做出响应时至到达现场时的时间。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四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60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br w:type="page"/>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7"/>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7"/>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7"/>
        <w:spacing w:line="480" w:lineRule="auto"/>
        <w:ind w:firstLine="540" w:firstLineChars="225"/>
        <w:jc w:val="left"/>
        <w:rPr>
          <w:rFonts w:asciiTheme="minorEastAsia" w:hAnsiTheme="minorEastAsia"/>
          <w:szCs w:val="24"/>
        </w:rPr>
      </w:pPr>
    </w:p>
    <w:p>
      <w:pPr>
        <w:pStyle w:val="37"/>
        <w:spacing w:line="480" w:lineRule="auto"/>
        <w:ind w:firstLine="540" w:firstLineChars="225"/>
        <w:jc w:val="left"/>
        <w:rPr>
          <w:rFonts w:asciiTheme="minorEastAsia" w:hAnsiTheme="minorEastAsia"/>
          <w:szCs w:val="24"/>
        </w:rPr>
      </w:pPr>
    </w:p>
    <w:p>
      <w:pPr>
        <w:pStyle w:val="37"/>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7"/>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0"/>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39"/>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9" w:name="_资格证明文件"/>
            <w:bookmarkEnd w:id="19"/>
            <w:bookmarkStart w:id="20" w:name="_Toc364329026"/>
            <w:r>
              <w:rPr>
                <w:rFonts w:hint="eastAsia" w:asciiTheme="minorEastAsia" w:hAnsiTheme="minorEastAsia"/>
                <w:sz w:val="24"/>
                <w:szCs w:val="24"/>
              </w:rPr>
              <w:t>法定代表人授权代表身份证（正面）</w:t>
            </w:r>
            <w:bookmarkEnd w:id="20"/>
          </w:p>
        </w:tc>
        <w:tc>
          <w:tcPr>
            <w:tcW w:w="4492" w:type="dxa"/>
            <w:gridSpan w:val="2"/>
            <w:vAlign w:val="center"/>
          </w:tcPr>
          <w:p>
            <w:pPr>
              <w:jc w:val="center"/>
              <w:rPr>
                <w:rFonts w:asciiTheme="minorEastAsia" w:hAnsiTheme="minorEastAsia"/>
                <w:sz w:val="24"/>
                <w:szCs w:val="24"/>
              </w:rPr>
            </w:pPr>
            <w:bookmarkStart w:id="21" w:name="_Toc364329027"/>
            <w:r>
              <w:rPr>
                <w:rFonts w:hint="eastAsia" w:asciiTheme="minorEastAsia" w:hAnsiTheme="minorEastAsia"/>
                <w:sz w:val="24"/>
                <w:szCs w:val="24"/>
              </w:rPr>
              <w:t>法定代表人授权代表身份证（反面）</w:t>
            </w:r>
            <w:bookmarkEnd w:id="21"/>
          </w:p>
        </w:tc>
      </w:tr>
    </w:tbl>
    <w:p>
      <w:pPr>
        <w:spacing w:line="320" w:lineRule="exact"/>
        <w:ind w:left="2" w:firstLine="357" w:firstLineChars="149"/>
        <w:rPr>
          <w:rFonts w:cs="Courier New" w:asciiTheme="minorEastAsia" w:hAnsiTheme="minorEastAsia"/>
          <w:sz w:val="24"/>
          <w:szCs w:val="24"/>
        </w:rPr>
      </w:pPr>
      <w:r>
        <w:rPr>
          <w:rFonts w:hint="eastAsia" w:cs="Courier New" w:asciiTheme="minorEastAsia" w:hAnsiTheme="minorEastAsia"/>
          <w:sz w:val="24"/>
          <w:szCs w:val="24"/>
        </w:rPr>
        <w:t>日期：年月日</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财务状况报告相关材料</w:t>
      </w:r>
    </w:p>
    <w:p>
      <w:pPr>
        <w:autoSpaceDE w:val="0"/>
        <w:autoSpaceDN w:val="0"/>
        <w:adjustRightInd w:val="0"/>
        <w:spacing w:line="360" w:lineRule="auto"/>
        <w:ind w:firstLine="480" w:firstLineChars="200"/>
        <w:jc w:val="left"/>
        <w:outlineLvl w:val="0"/>
        <w:rPr>
          <w:rFonts w:eastAsia="黑体"/>
          <w:sz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仿宋_GB2312"/>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hint="eastAsia" w:ascii="宋体" w:hAnsi="宋体" w:cs="宋体"/>
          <w:bCs/>
          <w:sz w:val="24"/>
          <w:szCs w:val="24"/>
        </w:rPr>
        <w:t>-2018</w:t>
      </w:r>
      <w:r>
        <w:rPr>
          <w:rFonts w:hint="eastAsia" w:ascii="宋体" w:hAnsi="宋体" w:cs="宋体"/>
          <w:bCs/>
          <w:sz w:val="24"/>
          <w:szCs w:val="24"/>
          <w:lang w:val="zh-CN"/>
        </w:rPr>
        <w:t>年度经审计的财务报告。</w:t>
      </w:r>
    </w:p>
    <w:p>
      <w:pPr>
        <w:autoSpaceDE w:val="0"/>
        <w:autoSpaceDN w:val="0"/>
        <w:adjustRightInd w:val="0"/>
        <w:spacing w:line="360" w:lineRule="auto"/>
        <w:ind w:firstLine="480" w:firstLineChars="200"/>
        <w:rPr>
          <w:rFonts w:ascii="宋体" w:cs="仿宋_GB2312"/>
          <w:sz w:val="24"/>
          <w:szCs w:val="24"/>
          <w:lang w:val="zh-CN"/>
        </w:rPr>
      </w:pPr>
      <w:r>
        <w:rPr>
          <w:rFonts w:hint="eastAsia" w:ascii="宋体" w:hAnsi="宋体" w:cs="仿宋_GB2312"/>
          <w:sz w:val="24"/>
          <w:szCs w:val="24"/>
        </w:rPr>
        <w:t>审计单位与被审计单位不能是同一个单位，否则提供的财务会计报表无效。</w:t>
      </w: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hint="eastAsia" w:ascii="宋体" w:hAnsi="宋体"/>
          <w:b/>
          <w:bCs/>
          <w:sz w:val="36"/>
          <w:szCs w:val="36"/>
        </w:rPr>
        <w:t>依法缴纳税收相关材料</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税务登记证和投标截止时间前</w:t>
      </w:r>
      <w:r>
        <w:rPr>
          <w:rFonts w:hint="eastAsia" w:ascii="宋体" w:hAnsi="宋体" w:cs="宋体"/>
          <w:bCs/>
          <w:sz w:val="24"/>
          <w:szCs w:val="24"/>
        </w:rPr>
        <w:t>2019年2月至4月三个月</w:t>
      </w:r>
      <w:r>
        <w:rPr>
          <w:rFonts w:hint="eastAsia" w:ascii="宋体" w:hAnsi="宋体" w:cs="宋体"/>
          <w:bCs/>
          <w:sz w:val="24"/>
          <w:szCs w:val="24"/>
          <w:lang w:val="zh-CN"/>
        </w:rPr>
        <w:t>的缴纳税收凭据。（依法免税的投标人，应提供相应文件证明依法免税）</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hint="eastAsia" w:ascii="宋体" w:hAnsi="宋体"/>
          <w:b/>
          <w:bCs/>
          <w:sz w:val="36"/>
          <w:szCs w:val="36"/>
        </w:rPr>
        <w:t>依法缴纳社会保障资金的证明材料</w:t>
      </w:r>
    </w:p>
    <w:p>
      <w:pPr>
        <w:autoSpaceDE w:val="0"/>
        <w:autoSpaceDN w:val="0"/>
        <w:adjustRightInd w:val="0"/>
        <w:spacing w:line="360" w:lineRule="auto"/>
        <w:jc w:val="center"/>
        <w:outlineLvl w:val="0"/>
        <w:rPr>
          <w:rFonts w:ascii="宋体"/>
          <w:b/>
          <w:bCs/>
          <w:sz w:val="24"/>
          <w:szCs w:val="24"/>
          <w:lang w:val="zh-CN"/>
        </w:rPr>
      </w:pP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投标截止时间前</w:t>
      </w:r>
      <w:r>
        <w:rPr>
          <w:rFonts w:hint="eastAsia" w:ascii="宋体" w:hAnsi="宋体" w:cs="宋体"/>
          <w:bCs/>
          <w:sz w:val="24"/>
          <w:szCs w:val="24"/>
        </w:rPr>
        <w:t>2019年2月至4月三个月</w:t>
      </w:r>
      <w:r>
        <w:rPr>
          <w:rFonts w:hint="eastAsia" w:ascii="宋体" w:hAnsi="宋体" w:cs="宋体"/>
          <w:bCs/>
          <w:sz w:val="24"/>
          <w:szCs w:val="24"/>
          <w:lang w:val="zh-CN"/>
        </w:rPr>
        <w:t>的缴纳社会保险凭据。（依法不需要缴纳社会保障资金的投标人，应提供相应文件证明依法不需要缴纳社会保障资金）</w:t>
      </w:r>
    </w:p>
    <w:p>
      <w:pPr>
        <w:autoSpaceDE w:val="0"/>
        <w:autoSpaceDN w:val="0"/>
        <w:adjustRightInd w:val="0"/>
        <w:spacing w:line="360" w:lineRule="auto"/>
        <w:jc w:val="center"/>
        <w:outlineLvl w:val="0"/>
        <w:rPr>
          <w:rFonts w:ascii="宋体"/>
          <w:b/>
          <w:bCs/>
          <w:sz w:val="24"/>
          <w:szCs w:val="24"/>
        </w:rPr>
      </w:pPr>
    </w:p>
    <w:p>
      <w:pPr>
        <w:pStyle w:val="55"/>
        <w:spacing w:after="156"/>
        <w:rPr>
          <w:rFonts w:cs="黑体"/>
          <w:bCs/>
          <w:color w:val="auto"/>
          <w:kern w:val="2"/>
          <w:sz w:val="36"/>
          <w:szCs w:val="36"/>
        </w:rPr>
      </w:pPr>
      <w:r>
        <w:rPr>
          <w:rFonts w:cs="黑体"/>
          <w:bCs/>
          <w:color w:val="auto"/>
          <w:kern w:val="2"/>
          <w:sz w:val="36"/>
          <w:szCs w:val="36"/>
        </w:rPr>
        <w:t>3.8</w:t>
      </w:r>
      <w:r>
        <w:rPr>
          <w:rFonts w:hint="eastAsia" w:cs="黑体"/>
          <w:bCs/>
          <w:color w:val="auto"/>
          <w:kern w:val="2"/>
          <w:sz w:val="36"/>
          <w:szCs w:val="36"/>
        </w:rPr>
        <w:t>反商业贿赂承诺书（固定格式）</w:t>
      </w:r>
    </w:p>
    <w:p>
      <w:pPr>
        <w:rPr>
          <w:rFonts w:ascii="宋体"/>
          <w:sz w:val="24"/>
          <w:szCs w:val="24"/>
        </w:rPr>
      </w:pP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我公司承诺：</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在（投标项目名称）招标活动中，我公司保证做到：</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一、公平竞争参加本次招标活动。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4030" w:firstLineChars="1550"/>
        <w:rPr>
          <w:rFonts w:ascii="宋体"/>
          <w:bCs/>
          <w:spacing w:val="10"/>
          <w:kern w:val="0"/>
          <w:sz w:val="24"/>
          <w:szCs w:val="24"/>
        </w:rPr>
      </w:pPr>
    </w:p>
    <w:p>
      <w:pPr>
        <w:autoSpaceDE w:val="0"/>
        <w:autoSpaceDN w:val="0"/>
        <w:adjustRightInd w:val="0"/>
        <w:spacing w:line="360" w:lineRule="auto"/>
        <w:ind w:right="600" w:firstLine="5070" w:firstLineChars="1950"/>
        <w:rPr>
          <w:rFonts w:ascii="宋体"/>
          <w:bCs/>
          <w:spacing w:val="10"/>
          <w:kern w:val="0"/>
          <w:sz w:val="24"/>
          <w:szCs w:val="24"/>
        </w:rPr>
      </w:pPr>
      <w:r>
        <w:rPr>
          <w:rFonts w:hint="eastAsia" w:ascii="宋体" w:hAnsi="宋体"/>
          <w:bCs/>
          <w:spacing w:val="10"/>
          <w:kern w:val="0"/>
          <w:sz w:val="24"/>
          <w:szCs w:val="24"/>
        </w:rPr>
        <w:t>投标人名称：（公章）</w:t>
      </w:r>
    </w:p>
    <w:p>
      <w:pPr>
        <w:autoSpaceDE w:val="0"/>
        <w:autoSpaceDN w:val="0"/>
        <w:adjustRightInd w:val="0"/>
        <w:spacing w:line="360" w:lineRule="auto"/>
        <w:ind w:right="600" w:firstLine="5070" w:firstLineChars="1950"/>
        <w:rPr>
          <w:rFonts w:ascii="宋体"/>
          <w:b/>
          <w:bCs/>
          <w:sz w:val="24"/>
          <w:szCs w:val="24"/>
        </w:rPr>
      </w:pPr>
      <w:r>
        <w:rPr>
          <w:rFonts w:hint="eastAsia" w:ascii="宋体" w:hAnsi="宋体"/>
          <w:bCs/>
          <w:spacing w:val="10"/>
          <w:kern w:val="0"/>
          <w:sz w:val="24"/>
          <w:szCs w:val="24"/>
        </w:rPr>
        <w:t>年月日</w:t>
      </w: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36"/>
          <w:szCs w:val="36"/>
        </w:rPr>
      </w:pPr>
      <w:r>
        <w:rPr>
          <w:rFonts w:ascii="宋体" w:hAnsi="宋体"/>
          <w:b/>
          <w:bCs/>
          <w:sz w:val="36"/>
          <w:szCs w:val="36"/>
        </w:rPr>
        <w:t>3.9</w:t>
      </w:r>
      <w:r>
        <w:rPr>
          <w:rFonts w:hint="eastAsia" w:ascii="宋体" w:hAnsi="宋体"/>
          <w:b/>
          <w:bCs/>
          <w:sz w:val="36"/>
          <w:szCs w:val="36"/>
        </w:rPr>
        <w:t>投标保证金</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3.10投标人资格要求</w:t>
      </w:r>
    </w:p>
    <w:p>
      <w:pPr>
        <w:widowControl/>
        <w:spacing w:before="100" w:beforeAutospacing="1" w:after="100" w:afterAutospacing="1" w:line="360" w:lineRule="auto"/>
        <w:jc w:val="center"/>
        <w:rPr>
          <w:rFonts w:ascii="宋体" w:hAnsi="宋体" w:cs="宋体"/>
          <w:b/>
          <w:kern w:val="0"/>
          <w:sz w:val="24"/>
          <w:szCs w:val="24"/>
        </w:rPr>
      </w:pPr>
      <w:r>
        <w:rPr>
          <w:rFonts w:hint="eastAsia" w:ascii="宋体" w:hAnsi="宋体" w:cs="宋体"/>
          <w:b/>
          <w:kern w:val="0"/>
          <w:sz w:val="24"/>
          <w:szCs w:val="24"/>
        </w:rPr>
        <w:t>A包提供其所在省提供其</w:t>
      </w:r>
      <w:r>
        <w:rPr>
          <w:rFonts w:hint="eastAsia" w:ascii="宋体" w:hAnsi="宋体"/>
          <w:b/>
          <w:sz w:val="24"/>
          <w:szCs w:val="24"/>
        </w:rPr>
        <w:t>具有建设行政主管部门颁发的工程造价咨询乙级及以上资质</w:t>
      </w:r>
    </w:p>
    <w:p>
      <w:pPr>
        <w:widowControl/>
        <w:spacing w:before="100" w:beforeAutospacing="1" w:after="100" w:afterAutospacing="1" w:line="360" w:lineRule="auto"/>
        <w:jc w:val="center"/>
        <w:rPr>
          <w:rFonts w:ascii="宋体" w:hAnsi="宋体"/>
          <w:b/>
          <w:bCs/>
          <w:sz w:val="36"/>
          <w:szCs w:val="36"/>
        </w:rPr>
      </w:pPr>
      <w:r>
        <w:rPr>
          <w:rFonts w:hint="eastAsia" w:ascii="宋体" w:hAnsi="宋体" w:cs="宋体"/>
          <w:b/>
          <w:kern w:val="0"/>
          <w:sz w:val="24"/>
          <w:szCs w:val="24"/>
        </w:rPr>
        <w:t>B包（提供其所在的省（市、自治区）会计师协会公布的2019年会计事务所分类评价结果的截图及查询网址等证明材料，并加盖投标人印章</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3.11其他资格证明、证书或材料 </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4.1投标人价格承诺表</w:t>
      </w:r>
    </w:p>
    <w:p>
      <w:pPr>
        <w:adjustRightInd w:val="0"/>
        <w:snapToGrid w:val="0"/>
        <w:spacing w:line="360" w:lineRule="auto"/>
        <w:jc w:val="center"/>
        <w:rPr>
          <w:rFonts w:ascii="宋体" w:hAnsi="宋体" w:cs="宋体"/>
          <w:b/>
          <w:sz w:val="24"/>
          <w:szCs w:val="24"/>
        </w:rPr>
      </w:pPr>
    </w:p>
    <w:tbl>
      <w:tblPr>
        <w:tblStyle w:val="2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 目 名 称</w:t>
            </w:r>
          </w:p>
        </w:tc>
        <w:tc>
          <w:tcPr>
            <w:tcW w:w="6787" w:type="dxa"/>
            <w:vAlign w:val="center"/>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投标人名称</w:t>
            </w:r>
          </w:p>
        </w:tc>
        <w:tc>
          <w:tcPr>
            <w:tcW w:w="6787" w:type="dxa"/>
            <w:vAlign w:val="center"/>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293"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价 格 承 诺</w:t>
            </w:r>
          </w:p>
        </w:tc>
        <w:tc>
          <w:tcPr>
            <w:tcW w:w="6787"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是否满足招标文件相关规定费率及取费表。</w:t>
            </w:r>
          </w:p>
        </w:tc>
      </w:tr>
    </w:tbl>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投标人名称：（加盖公章）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投标人法定代表人（或代理人）签字或盖章：</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jc w:val="right"/>
        <w:rPr>
          <w:rFonts w:ascii="宋体" w:hAnsi="宋体" w:cs="宋体"/>
          <w:sz w:val="24"/>
          <w:szCs w:val="24"/>
        </w:rPr>
      </w:pPr>
      <w:r>
        <w:rPr>
          <w:rFonts w:hint="eastAsia" w:ascii="宋体" w:hAnsi="宋体" w:cs="宋体"/>
          <w:sz w:val="24"/>
          <w:szCs w:val="24"/>
        </w:rPr>
        <w:t>年  月  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4.2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4.3 </w:t>
      </w:r>
      <w:r>
        <w:rPr>
          <w:rFonts w:hint="eastAsia" w:hAnsi="宋体" w:eastAsia="宋体"/>
          <w:b/>
          <w:snapToGrid w:val="0"/>
          <w:kern w:val="0"/>
          <w:sz w:val="36"/>
          <w:szCs w:val="36"/>
        </w:rPr>
        <w:t>业绩情况表</w:t>
      </w:r>
    </w:p>
    <w:p>
      <w:pPr>
        <w:snapToGrid w:val="0"/>
        <w:spacing w:line="360" w:lineRule="auto"/>
        <w:jc w:val="center"/>
      </w:pPr>
      <w:r>
        <w:rPr>
          <w:rFonts w:hint="eastAsia" w:ascii="宋体" w:hAnsi="宋体"/>
          <w:b/>
          <w:bCs/>
          <w:sz w:val="36"/>
          <w:szCs w:val="36"/>
        </w:rPr>
        <w:t>4.3 .1 （A包）</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序号：</w:t>
      </w:r>
    </w:p>
    <w:tbl>
      <w:tblPr>
        <w:tblStyle w:val="22"/>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标的金额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5" w:type="dxa"/>
            <w:vAlign w:val="center"/>
          </w:tcPr>
          <w:p>
            <w:pPr>
              <w:topLinePunct/>
              <w:adjustRightInd w:val="0"/>
              <w:spacing w:line="440" w:lineRule="exact"/>
              <w:jc w:val="center"/>
              <w:textAlignment w:val="baseline"/>
              <w:rPr>
                <w:szCs w:val="21"/>
              </w:rPr>
            </w:pPr>
            <w:r>
              <w:rPr>
                <w:rFonts w:hint="eastAsia"/>
                <w:szCs w:val="21"/>
              </w:rPr>
              <w:t>备注</w:t>
            </w:r>
          </w:p>
        </w:tc>
        <w:tc>
          <w:tcPr>
            <w:tcW w:w="6185" w:type="dxa"/>
            <w:vAlign w:val="center"/>
          </w:tcPr>
          <w:p>
            <w:pPr>
              <w:topLinePunct/>
              <w:adjustRightInd w:val="0"/>
              <w:spacing w:line="440" w:lineRule="exact"/>
              <w:jc w:val="center"/>
              <w:textAlignment w:val="baseline"/>
              <w:rPr>
                <w:szCs w:val="21"/>
              </w:rPr>
            </w:pPr>
          </w:p>
        </w:tc>
      </w:tr>
    </w:tbl>
    <w:p>
      <w:pPr>
        <w:spacing w:line="4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、在本表后须附投标人与委托人签订的合同复印件（</w:t>
      </w:r>
      <w:r>
        <w:rPr>
          <w:rFonts w:hint="eastAsia" w:ascii="宋体" w:hAnsi="宋体"/>
          <w:b/>
          <w:szCs w:val="21"/>
        </w:rPr>
        <w:t>能证明其预算编制、预结算评审标的金额的；如以评审报告为业绩投标的，评审报告须有委托方签章认定，不能证明委托方认定的金额不得分</w:t>
      </w:r>
      <w:r>
        <w:rPr>
          <w:rFonts w:hint="eastAsia" w:ascii="宋体" w:hAnsi="宋体" w:cs="宋体"/>
          <w:szCs w:val="21"/>
        </w:rPr>
        <w:t>）。</w:t>
      </w:r>
    </w:p>
    <w:p>
      <w:pPr>
        <w:spacing w:line="440" w:lineRule="exact"/>
        <w:rPr>
          <w:rFonts w:ascii="宋体" w:cs="宋体"/>
          <w:szCs w:val="21"/>
        </w:rPr>
      </w:pPr>
      <w:r>
        <w:rPr>
          <w:rFonts w:ascii="宋体" w:hAnsi="宋体" w:cs="宋体"/>
          <w:szCs w:val="21"/>
        </w:rPr>
        <w:t>2</w:t>
      </w:r>
      <w:r>
        <w:rPr>
          <w:rFonts w:hint="eastAsia" w:ascii="宋体" w:hAnsi="宋体" w:cs="宋体"/>
          <w:szCs w:val="21"/>
        </w:rPr>
        <w:t>、具体年份要求见投标人须知前附表，每张表格只填写一个项目，并标明序号。</w:t>
      </w:r>
    </w:p>
    <w:p>
      <w:pPr>
        <w:spacing w:line="440" w:lineRule="exact"/>
        <w:rPr>
          <w:rFonts w:ascii="宋体" w:cs="宋体"/>
          <w:szCs w:val="21"/>
        </w:rPr>
      </w:pPr>
      <w:r>
        <w:rPr>
          <w:rFonts w:ascii="宋体" w:hAnsi="宋体" w:cs="宋体"/>
          <w:szCs w:val="21"/>
        </w:rPr>
        <w:t>3</w:t>
      </w:r>
      <w:r>
        <w:rPr>
          <w:rFonts w:hint="eastAsia" w:ascii="宋体" w:hAnsi="宋体" w:cs="宋体"/>
          <w:szCs w:val="21"/>
        </w:rPr>
        <w:t>、本表主要是用来计算投标人业绩得分，投标人只需列参与评分的项目即可。</w:t>
      </w:r>
    </w:p>
    <w:p>
      <w:pPr>
        <w:spacing w:line="360" w:lineRule="auto"/>
        <w:rPr>
          <w:rFonts w:ascii="宋体" w:hAnsi="宋体"/>
          <w:b/>
          <w:szCs w:val="21"/>
        </w:rPr>
      </w:pP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b/>
          <w:bCs/>
          <w:sz w:val="24"/>
          <w:szCs w:val="24"/>
        </w:rPr>
      </w:pPr>
      <w:r>
        <w:rPr>
          <w:rFonts w:hint="eastAsia" w:ascii="宋体" w:hAnsi="宋体" w:cs="宋体"/>
          <w:szCs w:val="21"/>
          <w:lang w:val="zh-CN"/>
        </w:rPr>
        <w:t>投标人法定代表人（或授权代表）签字：</w:t>
      </w:r>
    </w:p>
    <w:p>
      <w:pPr>
        <w:spacing w:line="360" w:lineRule="auto"/>
        <w:rPr>
          <w:rFonts w:ascii="宋体" w:hAnsi="宋体"/>
          <w:b/>
          <w:bCs/>
          <w:sz w:val="36"/>
          <w:szCs w:val="36"/>
        </w:rPr>
      </w:pPr>
    </w:p>
    <w:p>
      <w:pPr>
        <w:spacing w:line="360" w:lineRule="auto"/>
        <w:jc w:val="center"/>
        <w:rPr>
          <w:rFonts w:ascii="宋体" w:hAnsi="宋体"/>
          <w:b/>
          <w:bCs/>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4.3.2  （B包） </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sz w:val="24"/>
          <w:szCs w:val="24"/>
        </w:rPr>
      </w:pPr>
      <w:r>
        <w:rPr>
          <w:rFonts w:hint="eastAsia" w:ascii="宋体" w:hAnsi="宋体"/>
          <w:sz w:val="24"/>
          <w:szCs w:val="24"/>
        </w:rPr>
        <w:t xml:space="preserve">项目名称：   </w:t>
      </w:r>
    </w:p>
    <w:tbl>
      <w:tblPr>
        <w:tblStyle w:val="22"/>
        <w:tblW w:w="89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金额</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pPr>
              <w:topLinePunct/>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775" w:type="dxa"/>
            <w:vAlign w:val="center"/>
          </w:tcPr>
          <w:p>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5" w:type="dxa"/>
            <w:vAlign w:val="center"/>
          </w:tcPr>
          <w:p>
            <w:pPr>
              <w:topLinePunct/>
              <w:adjustRightInd w:val="0"/>
              <w:spacing w:line="440" w:lineRule="exact"/>
              <w:jc w:val="center"/>
              <w:textAlignment w:val="baseline"/>
              <w:rPr>
                <w:szCs w:val="21"/>
              </w:rPr>
            </w:pPr>
            <w:r>
              <w:rPr>
                <w:rFonts w:hint="eastAsia"/>
                <w:szCs w:val="21"/>
              </w:rPr>
              <w:t>备注</w:t>
            </w:r>
          </w:p>
        </w:tc>
        <w:tc>
          <w:tcPr>
            <w:tcW w:w="6185" w:type="dxa"/>
            <w:vAlign w:val="center"/>
          </w:tcPr>
          <w:p>
            <w:pPr>
              <w:topLinePunct/>
              <w:adjustRightInd w:val="0"/>
              <w:spacing w:line="440" w:lineRule="exact"/>
              <w:jc w:val="center"/>
              <w:textAlignment w:val="baseline"/>
              <w:rPr>
                <w:szCs w:val="21"/>
              </w:rPr>
            </w:pPr>
          </w:p>
        </w:tc>
      </w:tr>
    </w:tbl>
    <w:p>
      <w:pPr>
        <w:spacing w:line="4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、在本表后须附投标人与委托人签订的合同复印件（</w:t>
      </w:r>
      <w:r>
        <w:rPr>
          <w:rFonts w:hint="eastAsia" w:ascii="宋体" w:hAnsi="宋体"/>
          <w:b/>
          <w:szCs w:val="21"/>
        </w:rPr>
        <w:t>其财务检查、财政资金检查项目监督检查、政府投资建设项目财务决算审核标的金额须由第三方签章认定、项目名称及出具日期，</w:t>
      </w:r>
      <w:r>
        <w:rPr>
          <w:rFonts w:hint="eastAsia" w:ascii="宋体" w:hAnsi="宋体" w:cs="宋体"/>
          <w:szCs w:val="21"/>
        </w:rPr>
        <w:t>提供政府投资建设项目财务决算审核报告的还需委托方签章认定）</w:t>
      </w:r>
    </w:p>
    <w:p>
      <w:pPr>
        <w:spacing w:line="440" w:lineRule="exact"/>
        <w:rPr>
          <w:rFonts w:ascii="宋体" w:cs="宋体"/>
          <w:szCs w:val="21"/>
        </w:rPr>
      </w:pPr>
      <w:r>
        <w:rPr>
          <w:rFonts w:ascii="宋体" w:hAnsi="宋体" w:cs="宋体"/>
          <w:szCs w:val="21"/>
        </w:rPr>
        <w:t>2</w:t>
      </w:r>
      <w:r>
        <w:rPr>
          <w:rFonts w:hint="eastAsia" w:ascii="宋体" w:hAnsi="宋体" w:cs="宋体"/>
          <w:szCs w:val="21"/>
        </w:rPr>
        <w:t>、具体年份要求见投标人须知前附表，每张表格只填写一个项目，并标明序号。</w:t>
      </w:r>
    </w:p>
    <w:p>
      <w:pPr>
        <w:spacing w:line="440" w:lineRule="exact"/>
        <w:rPr>
          <w:rFonts w:ascii="宋体" w:cs="宋体"/>
          <w:szCs w:val="21"/>
        </w:rPr>
      </w:pPr>
      <w:r>
        <w:rPr>
          <w:rFonts w:ascii="宋体" w:hAnsi="宋体" w:cs="宋体"/>
          <w:szCs w:val="21"/>
        </w:rPr>
        <w:t>3</w:t>
      </w:r>
      <w:r>
        <w:rPr>
          <w:rFonts w:hint="eastAsia" w:ascii="宋体" w:hAnsi="宋体" w:cs="宋体"/>
          <w:szCs w:val="21"/>
        </w:rPr>
        <w:t>、本表主要是用来计算投标人业绩得分，投标人只需列参与评分的项目即可。</w:t>
      </w:r>
    </w:p>
    <w:p>
      <w:pPr>
        <w:autoSpaceDE w:val="0"/>
        <w:autoSpaceDN w:val="0"/>
        <w:adjustRightInd w:val="0"/>
        <w:spacing w:line="480" w:lineRule="auto"/>
        <w:rPr>
          <w:rFonts w:ascii="宋体" w:cs="宋体"/>
          <w:szCs w:val="21"/>
          <w:lang w:val="zh-CN"/>
        </w:rPr>
      </w:pP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b/>
          <w:bCs/>
          <w:sz w:val="24"/>
          <w:szCs w:val="24"/>
        </w:rPr>
      </w:pPr>
      <w:r>
        <w:rPr>
          <w:rFonts w:hint="eastAsia" w:ascii="宋体" w:hAnsi="宋体" w:cs="宋体"/>
          <w:szCs w:val="21"/>
          <w:lang w:val="zh-CN"/>
        </w:rPr>
        <w:t>投标人法定代表人（或授权代表）签字：</w:t>
      </w:r>
    </w:p>
    <w:p>
      <w:pPr>
        <w:autoSpaceDE w:val="0"/>
        <w:autoSpaceDN w:val="0"/>
        <w:adjustRightInd w:val="0"/>
        <w:spacing w:line="480" w:lineRule="auto"/>
        <w:rPr>
          <w:rFonts w:ascii="宋体" w:hAnsi="宋体" w:cs="宋体"/>
          <w:sz w:val="24"/>
          <w:szCs w:val="24"/>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rPr>
          <w:rFonts w:hAnsi="宋体"/>
          <w:b/>
          <w:snapToGrid w:val="0"/>
          <w:kern w:val="0"/>
          <w:sz w:val="36"/>
          <w:szCs w:val="36"/>
        </w:rPr>
      </w:pPr>
      <w:r>
        <w:rPr>
          <w:rFonts w:hint="eastAsia" w:hAnsi="宋体"/>
          <w:b/>
          <w:snapToGrid w:val="0"/>
          <w:kern w:val="0"/>
          <w:sz w:val="36"/>
          <w:szCs w:val="36"/>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4.4机构设置、内部管理制度、本地化全方位服务等</w:t>
      </w: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b/>
          <w:bCs/>
          <w:sz w:val="24"/>
          <w:szCs w:val="24"/>
        </w:rPr>
      </w:pPr>
    </w:p>
    <w:p>
      <w:pPr>
        <w:numPr>
          <w:ilvl w:val="0"/>
          <w:numId w:val="15"/>
        </w:numPr>
        <w:autoSpaceDE w:val="0"/>
        <w:autoSpaceDN w:val="0"/>
        <w:adjustRightInd w:val="0"/>
        <w:spacing w:line="360" w:lineRule="auto"/>
        <w:jc w:val="left"/>
        <w:outlineLvl w:val="0"/>
        <w:rPr>
          <w:rFonts w:ascii="宋体"/>
          <w:szCs w:val="21"/>
        </w:rPr>
      </w:pPr>
      <w:r>
        <w:rPr>
          <w:rFonts w:hint="eastAsia" w:ascii="宋体" w:hAnsi="宋体"/>
          <w:szCs w:val="21"/>
        </w:rPr>
        <w:t>投标人必须提供但不限于提供以下内容：</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1</w:t>
      </w:r>
      <w:r>
        <w:rPr>
          <w:rFonts w:hint="eastAsia" w:ascii="宋体" w:hAnsi="宋体"/>
          <w:szCs w:val="21"/>
        </w:rPr>
        <w:t>、企业的机构设置；</w:t>
      </w:r>
    </w:p>
    <w:p>
      <w:pPr>
        <w:autoSpaceDE w:val="0"/>
        <w:autoSpaceDN w:val="0"/>
        <w:adjustRightInd w:val="0"/>
        <w:spacing w:line="360" w:lineRule="auto"/>
        <w:ind w:firstLine="420" w:firstLineChars="200"/>
        <w:jc w:val="left"/>
        <w:outlineLvl w:val="0"/>
        <w:rPr>
          <w:rFonts w:ascii="宋体"/>
          <w:szCs w:val="21"/>
        </w:rPr>
      </w:pPr>
      <w:r>
        <w:rPr>
          <w:rFonts w:ascii="宋体" w:hAnsi="宋体"/>
          <w:szCs w:val="21"/>
        </w:rPr>
        <w:t>2</w:t>
      </w:r>
      <w:r>
        <w:rPr>
          <w:rFonts w:hint="eastAsia" w:ascii="宋体" w:hAnsi="宋体"/>
          <w:szCs w:val="21"/>
        </w:rPr>
        <w:t>、内部管理制度；</w:t>
      </w:r>
    </w:p>
    <w:p>
      <w:pPr>
        <w:autoSpaceDE w:val="0"/>
        <w:autoSpaceDN w:val="0"/>
        <w:adjustRightInd w:val="0"/>
        <w:spacing w:line="360" w:lineRule="auto"/>
        <w:jc w:val="left"/>
        <w:outlineLvl w:val="0"/>
        <w:rPr>
          <w:rFonts w:ascii="宋体"/>
          <w:szCs w:val="21"/>
        </w:rPr>
      </w:pPr>
      <w:r>
        <w:rPr>
          <w:rFonts w:hint="eastAsia" w:ascii="宋体" w:hAnsi="宋体"/>
          <w:szCs w:val="21"/>
        </w:rPr>
        <w:t>二、投标人本地化全方位服务承诺；</w:t>
      </w:r>
    </w:p>
    <w:p>
      <w:pPr>
        <w:autoSpaceDE w:val="0"/>
        <w:autoSpaceDN w:val="0"/>
        <w:adjustRightInd w:val="0"/>
        <w:spacing w:line="360" w:lineRule="auto"/>
        <w:jc w:val="left"/>
        <w:outlineLvl w:val="0"/>
        <w:rPr>
          <w:rFonts w:ascii="宋体"/>
          <w:szCs w:val="21"/>
        </w:rPr>
      </w:pPr>
      <w:r>
        <w:rPr>
          <w:rFonts w:hint="eastAsia" w:ascii="宋体" w:hAnsi="宋体"/>
          <w:szCs w:val="21"/>
        </w:rPr>
        <w:t>三、</w:t>
      </w:r>
      <w:r>
        <w:rPr>
          <w:rFonts w:ascii="宋体"/>
          <w:szCs w:val="21"/>
        </w:rPr>
        <w:t>......</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left"/>
        <w:outlineLvl w:val="0"/>
        <w:rPr>
          <w:rFonts w:ascii="宋体"/>
          <w:szCs w:val="21"/>
        </w:rPr>
      </w:pPr>
    </w:p>
    <w:p>
      <w:pPr>
        <w:spacing w:line="360" w:lineRule="exact"/>
        <w:ind w:firstLine="3675" w:firstLineChars="1750"/>
        <w:rPr>
          <w:szCs w:val="21"/>
        </w:rPr>
      </w:pPr>
      <w:r>
        <w:rPr>
          <w:rFonts w:hint="eastAsia"/>
          <w:szCs w:val="21"/>
        </w:rPr>
        <w:t>投标人：（盖单位公章）</w:t>
      </w:r>
    </w:p>
    <w:p>
      <w:pPr>
        <w:spacing w:line="360" w:lineRule="exact"/>
        <w:ind w:firstLine="3675" w:firstLineChars="1750"/>
        <w:rPr>
          <w:szCs w:val="21"/>
        </w:rPr>
      </w:pPr>
      <w:r>
        <w:rPr>
          <w:rFonts w:hint="eastAsia"/>
          <w:szCs w:val="21"/>
        </w:rPr>
        <w:t>法定代表人或其委托代理人：（签字或盖章）</w:t>
      </w:r>
    </w:p>
    <w:p>
      <w:pPr>
        <w:spacing w:line="360" w:lineRule="exact"/>
        <w:ind w:firstLine="420" w:firstLineChars="200"/>
        <w:jc w:val="right"/>
        <w:rPr>
          <w:szCs w:val="21"/>
        </w:rPr>
      </w:pPr>
      <w:r>
        <w:rPr>
          <w:rFonts w:hint="eastAsia"/>
          <w:szCs w:val="21"/>
        </w:rPr>
        <w:t>年月日</w:t>
      </w:r>
    </w:p>
    <w:p>
      <w:pPr>
        <w:autoSpaceDE w:val="0"/>
        <w:autoSpaceDN w:val="0"/>
        <w:adjustRightInd w:val="0"/>
        <w:spacing w:line="360" w:lineRule="auto"/>
        <w:jc w:val="left"/>
        <w:outlineLvl w:val="0"/>
        <w:rPr>
          <w:rFonts w:ascii="宋体"/>
          <w:szCs w:val="21"/>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int="eastAsia" w:hAnsi="宋体"/>
          <w:b/>
          <w:snapToGrid w:val="0"/>
          <w:kern w:val="0"/>
          <w:sz w:val="36"/>
          <w:szCs w:val="36"/>
        </w:rPr>
        <w:t>投标人信用</w:t>
      </w:r>
    </w:p>
    <w:p>
      <w:pPr>
        <w:autoSpaceDE w:val="0"/>
        <w:autoSpaceDN w:val="0"/>
        <w:adjustRightInd w:val="0"/>
        <w:spacing w:line="360" w:lineRule="auto"/>
        <w:jc w:val="center"/>
        <w:outlineLvl w:val="0"/>
        <w:rPr>
          <w:rFonts w:ascii="宋体"/>
          <w:b/>
          <w:bCs/>
          <w:sz w:val="24"/>
          <w:szCs w:val="24"/>
        </w:rPr>
      </w:pPr>
    </w:p>
    <w:p>
      <w:pPr>
        <w:spacing w:line="360" w:lineRule="auto"/>
        <w:rPr>
          <w:rFonts w:ascii="宋体"/>
          <w:szCs w:val="21"/>
        </w:rPr>
      </w:pPr>
      <w:r>
        <w:rPr>
          <w:rFonts w:hint="eastAsia" w:ascii="宋体" w:hAnsi="宋体"/>
          <w:szCs w:val="21"/>
        </w:rPr>
        <w:t>1、投标人提供2016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pPr>
        <w:tabs>
          <w:tab w:val="left" w:pos="3675"/>
        </w:tabs>
        <w:spacing w:line="360" w:lineRule="auto"/>
        <w:rPr>
          <w:rFonts w:ascii="宋体" w:hAnsi="宋体"/>
          <w:szCs w:val="21"/>
        </w:rPr>
      </w:pPr>
      <w:r>
        <w:rPr>
          <w:rFonts w:hint="eastAsia" w:ascii="宋体" w:hAnsi="宋体"/>
          <w:szCs w:val="21"/>
        </w:rPr>
        <w:t>2、投标人提供有效的</w:t>
      </w:r>
      <w:r>
        <w:rPr>
          <w:rFonts w:ascii="宋体" w:hAnsi="宋体"/>
          <w:szCs w:val="21"/>
        </w:rPr>
        <w:t>ISO900</w:t>
      </w:r>
      <w:r>
        <w:rPr>
          <w:rFonts w:hint="eastAsia" w:ascii="宋体" w:hAnsi="宋体"/>
          <w:szCs w:val="21"/>
        </w:rPr>
        <w:t>1认证证书和中国认证认可监督管理委员会网站上查询的截图证明。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p>
    <w:p>
      <w:pPr>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A包附件表格</w:t>
      </w: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6拟投入本项目专业技术人员名单团队</w:t>
      </w:r>
    </w:p>
    <w:tbl>
      <w:tblPr>
        <w:tblStyle w:val="22"/>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b/>
                <w:bCs/>
                <w:sz w:val="24"/>
              </w:rPr>
              <w:t>职称</w:t>
            </w:r>
          </w:p>
        </w:tc>
        <w:tc>
          <w:tcPr>
            <w:tcW w:w="780" w:type="dxa"/>
            <w:vAlign w:val="center"/>
          </w:tcPr>
          <w:p>
            <w:pPr>
              <w:spacing w:line="46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c>
          <w:tcPr>
            <w:tcW w:w="780" w:type="dxa"/>
          </w:tcPr>
          <w:p>
            <w:pPr>
              <w:spacing w:line="460" w:lineRule="exact"/>
              <w:jc w:val="left"/>
              <w:rPr>
                <w:rFonts w:ascii="宋体"/>
                <w:b/>
                <w:bCs/>
                <w:szCs w:val="21"/>
              </w:rPr>
            </w:pPr>
          </w:p>
        </w:tc>
      </w:tr>
    </w:tbl>
    <w:p>
      <w:pPr>
        <w:tabs>
          <w:tab w:val="left" w:pos="1260"/>
        </w:tabs>
        <w:autoSpaceDE w:val="0"/>
        <w:autoSpaceDN w:val="0"/>
        <w:spacing w:line="360" w:lineRule="auto"/>
        <w:ind w:firstLine="482" w:firstLineChars="200"/>
        <w:contextualSpacing/>
        <w:rPr>
          <w:rFonts w:ascii="宋体" w:hAnsi="宋体" w:cs="仿宋_GB2312"/>
          <w:sz w:val="24"/>
          <w:szCs w:val="24"/>
        </w:rPr>
      </w:pPr>
      <w:r>
        <w:rPr>
          <w:rFonts w:hint="eastAsia" w:ascii="宋体" w:hAnsi="宋体"/>
          <w:b/>
          <w:bCs/>
          <w:sz w:val="24"/>
        </w:rPr>
        <w:t>注：</w:t>
      </w:r>
      <w:r>
        <w:rPr>
          <w:rFonts w:hint="eastAsia" w:ascii="宋体" w:hAnsi="宋体" w:cs="仿宋_GB2312"/>
          <w:sz w:val="24"/>
          <w:szCs w:val="24"/>
        </w:rPr>
        <w:t>提供拟投入本项目专业技术人员团队名单人数最多为20人，包括拟投入本项目注册造价工程师和拟投入本项目工作人员。所提供专业团队名单，在服务期限内该团队80%专业技术人员保持固定。</w:t>
      </w:r>
    </w:p>
    <w:p>
      <w:pPr>
        <w:spacing w:line="460" w:lineRule="exact"/>
        <w:jc w:val="left"/>
        <w:rPr>
          <w:rFonts w:ascii="宋体" w:hAnsi="宋体"/>
          <w:b/>
          <w:bCs/>
          <w:sz w:val="24"/>
        </w:rPr>
      </w:pPr>
    </w:p>
    <w:p>
      <w:pPr>
        <w:rPr>
          <w:rFonts w:hAnsi="宋体"/>
          <w:b/>
          <w:snapToGrid w:val="0"/>
          <w:kern w:val="0"/>
          <w:sz w:val="36"/>
          <w:szCs w:val="36"/>
        </w:rPr>
      </w:pPr>
      <w:r>
        <w:rPr>
          <w:rFonts w:hAnsi="宋体"/>
          <w:b/>
          <w:snapToGrid w:val="0"/>
          <w:kern w:val="0"/>
          <w:sz w:val="36"/>
          <w:szCs w:val="36"/>
        </w:rPr>
        <w:br w:type="page"/>
      </w: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.1</w:t>
      </w:r>
      <w:r>
        <w:rPr>
          <w:rFonts w:hint="eastAsia" w:hAnsi="宋体"/>
          <w:b/>
          <w:snapToGrid w:val="0"/>
          <w:kern w:val="0"/>
          <w:sz w:val="36"/>
          <w:szCs w:val="36"/>
        </w:rPr>
        <w:t>拟投入本项目注册造价工程师</w:t>
      </w:r>
    </w:p>
    <w:tbl>
      <w:tblPr>
        <w:tblStyle w:val="22"/>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w:t>
            </w:r>
          </w:p>
        </w:tc>
        <w:tc>
          <w:tcPr>
            <w:tcW w:w="794" w:type="dxa"/>
            <w:vAlign w:val="center"/>
          </w:tcPr>
          <w:p>
            <w:pPr>
              <w:spacing w:line="460" w:lineRule="exact"/>
              <w:jc w:val="center"/>
              <w:rPr>
                <w:rFonts w:ascii="宋体"/>
                <w:b/>
                <w:bCs/>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r>
    </w:tbl>
    <w:p>
      <w:pPr>
        <w:spacing w:line="460" w:lineRule="exact"/>
        <w:jc w:val="left"/>
        <w:rPr>
          <w:rFonts w:ascii="宋体"/>
          <w:b/>
          <w:bCs/>
          <w:szCs w:val="21"/>
        </w:rPr>
      </w:pPr>
      <w:r>
        <w:rPr>
          <w:rFonts w:hint="eastAsia" w:ascii="宋体" w:hAnsi="宋体"/>
          <w:szCs w:val="21"/>
        </w:rPr>
        <w:t>注：后附拟投入</w:t>
      </w:r>
      <w:r>
        <w:rPr>
          <w:rFonts w:hint="eastAsia" w:ascii="宋体" w:hAnsi="宋体"/>
          <w:bCs/>
          <w:szCs w:val="21"/>
        </w:rPr>
        <w:t>注册造价工程师证书</w:t>
      </w:r>
      <w:r>
        <w:rPr>
          <w:rFonts w:hint="eastAsia" w:ascii="宋体" w:hAnsi="宋体"/>
          <w:szCs w:val="21"/>
        </w:rPr>
        <w:t>及相应</w:t>
      </w:r>
      <w:r>
        <w:rPr>
          <w:rFonts w:hint="eastAsia" w:ascii="宋体" w:hAnsi="宋体"/>
          <w:bCs/>
          <w:szCs w:val="21"/>
        </w:rPr>
        <w:t>社保缴纳证明（2019年2月至4月）</w:t>
      </w:r>
      <w:r>
        <w:rPr>
          <w:rFonts w:hint="eastAsia" w:ascii="宋体" w:hAnsi="宋体"/>
          <w:szCs w:val="21"/>
        </w:rPr>
        <w:t>。</w:t>
      </w:r>
    </w:p>
    <w:p>
      <w:pPr>
        <w:spacing w:line="460" w:lineRule="exact"/>
        <w:rPr>
          <w:rFonts w:ascii="宋体" w:hAnsi="宋体" w:cs="仿宋_GB2312"/>
          <w:b/>
          <w:bCs/>
          <w:sz w:val="24"/>
          <w:szCs w:val="24"/>
        </w:rPr>
      </w:pPr>
    </w:p>
    <w:p>
      <w:pPr>
        <w:spacing w:line="460" w:lineRule="exact"/>
        <w:rPr>
          <w:rFonts w:ascii="宋体" w:hAnsi="宋体" w:cs="仿宋_GB2312"/>
          <w:b/>
          <w:bCs/>
          <w:sz w:val="24"/>
          <w:szCs w:val="24"/>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.2</w:t>
      </w:r>
      <w:r>
        <w:rPr>
          <w:rFonts w:hint="eastAsia" w:hAnsi="宋体"/>
          <w:b/>
          <w:snapToGrid w:val="0"/>
          <w:kern w:val="0"/>
          <w:sz w:val="36"/>
          <w:szCs w:val="36"/>
        </w:rPr>
        <w:t>拟投入本服务项目工程或经济类中级及以上专业技术职称人员</w:t>
      </w:r>
    </w:p>
    <w:p>
      <w:pPr>
        <w:spacing w:line="460" w:lineRule="exact"/>
        <w:jc w:val="left"/>
        <w:rPr>
          <w:rFonts w:ascii="宋体"/>
          <w:b/>
          <w:sz w:val="28"/>
          <w:szCs w:val="28"/>
        </w:rPr>
      </w:pPr>
    </w:p>
    <w:tbl>
      <w:tblPr>
        <w:tblStyle w:val="22"/>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709"/>
        <w:gridCol w:w="1230"/>
        <w:gridCol w:w="1701"/>
        <w:gridCol w:w="141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1" w:type="dxa"/>
            <w:vAlign w:val="center"/>
          </w:tcPr>
          <w:p>
            <w:pPr>
              <w:spacing w:line="460" w:lineRule="exact"/>
              <w:jc w:val="center"/>
              <w:rPr>
                <w:rFonts w:ascii="宋体"/>
                <w:bCs/>
                <w:sz w:val="24"/>
              </w:rPr>
            </w:pPr>
            <w:r>
              <w:rPr>
                <w:rFonts w:hint="eastAsia" w:ascii="宋体" w:hAnsi="宋体"/>
                <w:sz w:val="24"/>
              </w:rPr>
              <w:t>序号</w:t>
            </w:r>
          </w:p>
        </w:tc>
        <w:tc>
          <w:tcPr>
            <w:tcW w:w="1276" w:type="dxa"/>
            <w:vAlign w:val="center"/>
          </w:tcPr>
          <w:p>
            <w:pPr>
              <w:spacing w:line="460" w:lineRule="exact"/>
              <w:jc w:val="center"/>
              <w:rPr>
                <w:rFonts w:ascii="宋体"/>
                <w:bCs/>
                <w:sz w:val="24"/>
              </w:rPr>
            </w:pPr>
            <w:r>
              <w:rPr>
                <w:rFonts w:hint="eastAsia" w:ascii="宋体" w:hAnsi="宋体"/>
                <w:sz w:val="24"/>
              </w:rPr>
              <w:t>姓名</w:t>
            </w:r>
          </w:p>
        </w:tc>
        <w:tc>
          <w:tcPr>
            <w:tcW w:w="709" w:type="dxa"/>
            <w:vAlign w:val="center"/>
          </w:tcPr>
          <w:p>
            <w:pPr>
              <w:spacing w:line="460" w:lineRule="exact"/>
              <w:jc w:val="center"/>
              <w:rPr>
                <w:rFonts w:ascii="宋体"/>
                <w:bCs/>
                <w:sz w:val="24"/>
              </w:rPr>
            </w:pPr>
            <w:r>
              <w:rPr>
                <w:rFonts w:hint="eastAsia" w:ascii="宋体" w:hAnsi="宋体"/>
                <w:sz w:val="24"/>
              </w:rPr>
              <w:t>性别</w:t>
            </w:r>
          </w:p>
        </w:tc>
        <w:tc>
          <w:tcPr>
            <w:tcW w:w="1230" w:type="dxa"/>
            <w:vAlign w:val="center"/>
          </w:tcPr>
          <w:p>
            <w:pPr>
              <w:spacing w:line="460" w:lineRule="exact"/>
              <w:jc w:val="center"/>
              <w:rPr>
                <w:rFonts w:ascii="宋体"/>
                <w:bCs/>
                <w:sz w:val="24"/>
              </w:rPr>
            </w:pPr>
            <w:r>
              <w:rPr>
                <w:rFonts w:hint="eastAsia" w:ascii="宋体" w:hAnsi="宋体"/>
                <w:sz w:val="24"/>
              </w:rPr>
              <w:t>年龄</w:t>
            </w:r>
          </w:p>
        </w:tc>
        <w:tc>
          <w:tcPr>
            <w:tcW w:w="1701" w:type="dxa"/>
            <w:vAlign w:val="center"/>
          </w:tcPr>
          <w:p>
            <w:pPr>
              <w:spacing w:line="460" w:lineRule="exact"/>
              <w:jc w:val="center"/>
              <w:rPr>
                <w:rFonts w:ascii="宋体"/>
                <w:sz w:val="24"/>
              </w:rPr>
            </w:pPr>
            <w:r>
              <w:rPr>
                <w:rFonts w:hint="eastAsia" w:ascii="宋体" w:hAnsi="宋体"/>
                <w:sz w:val="24"/>
              </w:rPr>
              <w:t>证书类别</w:t>
            </w:r>
          </w:p>
        </w:tc>
        <w:tc>
          <w:tcPr>
            <w:tcW w:w="1417" w:type="dxa"/>
            <w:vAlign w:val="center"/>
          </w:tcPr>
          <w:p>
            <w:pPr>
              <w:spacing w:line="460" w:lineRule="exact"/>
              <w:jc w:val="center"/>
              <w:rPr>
                <w:rFonts w:ascii="宋体"/>
                <w:bCs/>
                <w:sz w:val="24"/>
              </w:rPr>
            </w:pPr>
            <w:r>
              <w:rPr>
                <w:rFonts w:hint="eastAsia" w:ascii="宋体" w:hAnsi="宋体"/>
                <w:sz w:val="24"/>
              </w:rPr>
              <w:t>职称</w:t>
            </w:r>
          </w:p>
        </w:tc>
        <w:tc>
          <w:tcPr>
            <w:tcW w:w="866" w:type="dxa"/>
            <w:vAlign w:val="center"/>
          </w:tcPr>
          <w:p>
            <w:pPr>
              <w:spacing w:line="460" w:lineRule="exact"/>
              <w:jc w:val="center"/>
              <w:rPr>
                <w:rFonts w:ascii="宋体"/>
                <w:bCs/>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r>
              <w:rPr>
                <w:rFonts w:hint="eastAsia" w:ascii="宋体"/>
                <w:bCs/>
                <w:sz w:val="24"/>
              </w:rPr>
              <w:t>…</w:t>
            </w:r>
          </w:p>
        </w:tc>
        <w:tc>
          <w:tcPr>
            <w:tcW w:w="1276" w:type="dxa"/>
          </w:tcPr>
          <w:p>
            <w:pPr>
              <w:spacing w:line="460" w:lineRule="exact"/>
              <w:jc w:val="left"/>
              <w:rPr>
                <w:rFonts w:ascii="宋体"/>
                <w:bCs/>
                <w:sz w:val="24"/>
              </w:rPr>
            </w:pPr>
            <w:r>
              <w:rPr>
                <w:rFonts w:hint="eastAsia" w:ascii="宋体"/>
                <w:bCs/>
                <w:sz w:val="24"/>
              </w:rPr>
              <w:t>…</w:t>
            </w:r>
          </w:p>
        </w:tc>
        <w:tc>
          <w:tcPr>
            <w:tcW w:w="709" w:type="dxa"/>
          </w:tcPr>
          <w:p>
            <w:pPr>
              <w:spacing w:line="460" w:lineRule="exact"/>
              <w:jc w:val="left"/>
              <w:rPr>
                <w:rFonts w:ascii="宋体"/>
                <w:bCs/>
                <w:sz w:val="24"/>
              </w:rPr>
            </w:pPr>
            <w:r>
              <w:rPr>
                <w:rFonts w:hint="eastAsia" w:ascii="宋体"/>
                <w:bCs/>
                <w:sz w:val="24"/>
              </w:rPr>
              <w:t>…</w:t>
            </w: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bl>
    <w:p>
      <w:pPr>
        <w:spacing w:line="460" w:lineRule="exact"/>
        <w:jc w:val="left"/>
        <w:rPr>
          <w:rFonts w:ascii="宋体"/>
          <w:szCs w:val="21"/>
        </w:rPr>
      </w:pPr>
      <w:r>
        <w:rPr>
          <w:rFonts w:hint="eastAsia" w:ascii="宋体" w:hAnsi="宋体"/>
          <w:szCs w:val="21"/>
        </w:rPr>
        <w:t>注：后附拟投入人员证书及对应人员</w:t>
      </w:r>
      <w:r>
        <w:rPr>
          <w:rFonts w:hint="eastAsia" w:ascii="宋体" w:hAnsi="宋体"/>
          <w:bCs/>
          <w:szCs w:val="21"/>
        </w:rPr>
        <w:t>社保缴纳证明（2019年2月至4月）</w:t>
      </w:r>
      <w:r>
        <w:rPr>
          <w:rFonts w:hint="eastAsia" w:ascii="宋体" w:hAnsi="宋体"/>
          <w:szCs w:val="21"/>
        </w:rPr>
        <w:t>。</w:t>
      </w:r>
    </w:p>
    <w:p>
      <w:pPr>
        <w:spacing w:line="460" w:lineRule="exact"/>
        <w:jc w:val="left"/>
        <w:rPr>
          <w:rFonts w:ascii="宋体"/>
          <w:b/>
          <w:sz w:val="24"/>
        </w:rPr>
      </w:pPr>
      <w:r>
        <w:rPr>
          <w:rFonts w:hint="eastAsia" w:ascii="宋体" w:hAnsi="宋体"/>
          <w:b/>
          <w:sz w:val="24"/>
        </w:rPr>
        <w:t>特别提示：不得与</w:t>
      </w:r>
      <w:r>
        <w:rPr>
          <w:rFonts w:ascii="宋体" w:hAnsi="宋体"/>
          <w:b/>
          <w:sz w:val="24"/>
        </w:rPr>
        <w:t>4.</w:t>
      </w:r>
      <w:r>
        <w:rPr>
          <w:rFonts w:hint="eastAsia" w:ascii="宋体" w:hAnsi="宋体"/>
          <w:b/>
          <w:sz w:val="24"/>
        </w:rPr>
        <w:t>6</w:t>
      </w:r>
      <w:r>
        <w:rPr>
          <w:rFonts w:ascii="宋体" w:hAnsi="宋体"/>
          <w:b/>
          <w:sz w:val="24"/>
        </w:rPr>
        <w:t>.</w:t>
      </w:r>
      <w:r>
        <w:rPr>
          <w:rFonts w:hint="eastAsia" w:ascii="宋体" w:hAnsi="宋体"/>
          <w:b/>
          <w:sz w:val="24"/>
        </w:rPr>
        <w:t>1表中的人员重复，否则不予计算得分。</w:t>
      </w:r>
    </w:p>
    <w:p>
      <w:pPr>
        <w:spacing w:line="460" w:lineRule="exac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B包附件</w:t>
      </w:r>
    </w:p>
    <w:p>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6会计师事务所专业服务本项目人员团队</w:t>
      </w:r>
    </w:p>
    <w:tbl>
      <w:tblPr>
        <w:tblStyle w:val="22"/>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b/>
                <w:bCs/>
                <w:sz w:val="24"/>
              </w:rPr>
              <w:t>职称</w:t>
            </w:r>
          </w:p>
        </w:tc>
        <w:tc>
          <w:tcPr>
            <w:tcW w:w="780" w:type="dxa"/>
            <w:vAlign w:val="center"/>
          </w:tcPr>
          <w:p>
            <w:pPr>
              <w:spacing w:line="46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c>
          <w:tcPr>
            <w:tcW w:w="780"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c>
          <w:tcPr>
            <w:tcW w:w="780" w:type="dxa"/>
          </w:tcPr>
          <w:p>
            <w:pPr>
              <w:spacing w:line="460" w:lineRule="exact"/>
              <w:jc w:val="left"/>
              <w:rPr>
                <w:rFonts w:ascii="宋体"/>
                <w:b/>
                <w:bCs/>
                <w:szCs w:val="21"/>
              </w:rPr>
            </w:pPr>
          </w:p>
        </w:tc>
      </w:tr>
    </w:tbl>
    <w:p>
      <w:pPr>
        <w:tabs>
          <w:tab w:val="left" w:pos="1260"/>
        </w:tabs>
        <w:autoSpaceDE w:val="0"/>
        <w:autoSpaceDN w:val="0"/>
        <w:spacing w:line="360" w:lineRule="auto"/>
        <w:ind w:firstLine="482" w:firstLineChars="200"/>
        <w:contextualSpacing/>
        <w:rPr>
          <w:rFonts w:ascii="宋体" w:hAnsi="宋体" w:cs="仿宋_GB2312"/>
          <w:sz w:val="24"/>
          <w:szCs w:val="24"/>
        </w:rPr>
      </w:pPr>
      <w:r>
        <w:rPr>
          <w:rFonts w:hint="eastAsia" w:ascii="宋体" w:hAnsi="宋体"/>
          <w:b/>
          <w:bCs/>
          <w:sz w:val="24"/>
        </w:rPr>
        <w:t>注：</w:t>
      </w:r>
      <w:r>
        <w:rPr>
          <w:rFonts w:hint="eastAsia" w:ascii="宋体" w:hAnsi="宋体" w:cs="仿宋_GB2312"/>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2019年2月至4月）。（依法不需要缴纳社会保障资金的投标人，应提供相应文件证明依法不需要缴纳社会保障资金）</w:t>
      </w:r>
    </w:p>
    <w:p>
      <w:pPr>
        <w:spacing w:line="460" w:lineRule="exact"/>
        <w:jc w:val="left"/>
        <w:rPr>
          <w:rFonts w:ascii="宋体" w:hAnsi="宋体"/>
          <w:b/>
          <w:bCs/>
          <w:sz w:val="24"/>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.1</w:t>
      </w:r>
      <w:r>
        <w:rPr>
          <w:rFonts w:hint="eastAsia" w:hAnsi="宋体"/>
          <w:b/>
          <w:snapToGrid w:val="0"/>
          <w:kern w:val="0"/>
          <w:sz w:val="36"/>
          <w:szCs w:val="36"/>
        </w:rPr>
        <w:t>拟投入专业服务本项目注册会计师</w:t>
      </w:r>
    </w:p>
    <w:tbl>
      <w:tblPr>
        <w:tblStyle w:val="22"/>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715"/>
        <w:gridCol w:w="185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8" w:type="dxa"/>
            <w:vAlign w:val="center"/>
          </w:tcPr>
          <w:p>
            <w:pPr>
              <w:spacing w:line="460" w:lineRule="exact"/>
              <w:jc w:val="center"/>
              <w:rPr>
                <w:rFonts w:ascii="宋体"/>
                <w:b/>
                <w:bCs/>
                <w:sz w:val="24"/>
              </w:rPr>
            </w:pPr>
            <w:r>
              <w:rPr>
                <w:rFonts w:hint="eastAsia" w:ascii="宋体" w:hAnsi="宋体"/>
                <w:b/>
                <w:sz w:val="24"/>
              </w:rPr>
              <w:t>序号</w:t>
            </w:r>
          </w:p>
        </w:tc>
        <w:tc>
          <w:tcPr>
            <w:tcW w:w="1588" w:type="dxa"/>
            <w:vAlign w:val="center"/>
          </w:tcPr>
          <w:p>
            <w:pPr>
              <w:spacing w:line="460" w:lineRule="exact"/>
              <w:jc w:val="center"/>
              <w:rPr>
                <w:rFonts w:ascii="宋体"/>
                <w:b/>
                <w:bCs/>
                <w:sz w:val="24"/>
              </w:rPr>
            </w:pPr>
            <w:r>
              <w:rPr>
                <w:rFonts w:hint="eastAsia" w:ascii="宋体" w:hAnsi="宋体"/>
                <w:b/>
                <w:sz w:val="24"/>
              </w:rPr>
              <w:t>姓名</w:t>
            </w:r>
          </w:p>
        </w:tc>
        <w:tc>
          <w:tcPr>
            <w:tcW w:w="858" w:type="dxa"/>
            <w:vAlign w:val="center"/>
          </w:tcPr>
          <w:p>
            <w:pPr>
              <w:spacing w:line="460" w:lineRule="exact"/>
              <w:jc w:val="center"/>
              <w:rPr>
                <w:rFonts w:ascii="宋体"/>
                <w:b/>
                <w:bCs/>
                <w:sz w:val="24"/>
              </w:rPr>
            </w:pPr>
            <w:r>
              <w:rPr>
                <w:rFonts w:hint="eastAsia" w:ascii="宋体" w:hAnsi="宋体"/>
                <w:b/>
                <w:sz w:val="24"/>
              </w:rPr>
              <w:t>性别</w:t>
            </w:r>
          </w:p>
        </w:tc>
        <w:tc>
          <w:tcPr>
            <w:tcW w:w="1715" w:type="dxa"/>
            <w:vAlign w:val="center"/>
          </w:tcPr>
          <w:p>
            <w:pPr>
              <w:spacing w:line="460" w:lineRule="exact"/>
              <w:jc w:val="center"/>
              <w:rPr>
                <w:rFonts w:ascii="宋体"/>
                <w:b/>
                <w:bCs/>
                <w:sz w:val="24"/>
              </w:rPr>
            </w:pPr>
            <w:r>
              <w:rPr>
                <w:rFonts w:hint="eastAsia" w:ascii="宋体" w:hAnsi="宋体"/>
                <w:b/>
                <w:sz w:val="24"/>
              </w:rPr>
              <w:t>年龄</w:t>
            </w:r>
          </w:p>
        </w:tc>
        <w:tc>
          <w:tcPr>
            <w:tcW w:w="1857" w:type="dxa"/>
            <w:vAlign w:val="center"/>
          </w:tcPr>
          <w:p>
            <w:pPr>
              <w:spacing w:line="460" w:lineRule="exact"/>
              <w:jc w:val="center"/>
              <w:rPr>
                <w:rFonts w:ascii="宋体"/>
                <w:b/>
                <w:bCs/>
                <w:sz w:val="24"/>
              </w:rPr>
            </w:pPr>
            <w:r>
              <w:rPr>
                <w:rFonts w:hint="eastAsia" w:ascii="宋体" w:hAnsi="宋体"/>
                <w:b/>
                <w:sz w:val="24"/>
              </w:rPr>
              <w:t>资格证书号、证书类别</w:t>
            </w:r>
          </w:p>
        </w:tc>
        <w:tc>
          <w:tcPr>
            <w:tcW w:w="794" w:type="dxa"/>
            <w:vAlign w:val="center"/>
          </w:tcPr>
          <w:p>
            <w:pPr>
              <w:spacing w:line="460" w:lineRule="exact"/>
              <w:jc w:val="center"/>
              <w:rPr>
                <w:rFonts w:ascii="宋体"/>
                <w:b/>
                <w:bCs/>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b/>
                <w:bCs/>
                <w:sz w:val="24"/>
              </w:rPr>
            </w:pPr>
          </w:p>
        </w:tc>
        <w:tc>
          <w:tcPr>
            <w:tcW w:w="1588" w:type="dxa"/>
          </w:tcPr>
          <w:p>
            <w:pPr>
              <w:spacing w:line="460" w:lineRule="exact"/>
              <w:jc w:val="left"/>
              <w:rPr>
                <w:rFonts w:ascii="宋体"/>
                <w:b/>
                <w:bCs/>
                <w:sz w:val="24"/>
              </w:rPr>
            </w:pPr>
          </w:p>
        </w:tc>
        <w:tc>
          <w:tcPr>
            <w:tcW w:w="858" w:type="dxa"/>
          </w:tcPr>
          <w:p>
            <w:pPr>
              <w:spacing w:line="460" w:lineRule="exact"/>
              <w:jc w:val="left"/>
              <w:rPr>
                <w:rFonts w:ascii="宋体"/>
                <w:b/>
                <w:bCs/>
                <w:sz w:val="24"/>
              </w:rPr>
            </w:pPr>
          </w:p>
        </w:tc>
        <w:tc>
          <w:tcPr>
            <w:tcW w:w="1715" w:type="dxa"/>
          </w:tcPr>
          <w:p>
            <w:pPr>
              <w:spacing w:line="460" w:lineRule="exact"/>
              <w:jc w:val="left"/>
              <w:rPr>
                <w:rFonts w:ascii="宋体"/>
                <w:b/>
                <w:bCs/>
                <w:sz w:val="24"/>
              </w:rPr>
            </w:pPr>
          </w:p>
        </w:tc>
        <w:tc>
          <w:tcPr>
            <w:tcW w:w="1857" w:type="dxa"/>
          </w:tcPr>
          <w:p>
            <w:pPr>
              <w:spacing w:line="460" w:lineRule="exact"/>
              <w:jc w:val="left"/>
              <w:rPr>
                <w:rFonts w:ascii="宋体"/>
                <w:b/>
                <w:bCs/>
                <w:sz w:val="24"/>
              </w:rPr>
            </w:pPr>
          </w:p>
        </w:tc>
        <w:tc>
          <w:tcPr>
            <w:tcW w:w="794" w:type="dxa"/>
          </w:tcPr>
          <w:p>
            <w:pPr>
              <w:spacing w:line="460" w:lineRule="exact"/>
              <w:jc w:val="left"/>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b/>
                <w:bCs/>
                <w:szCs w:val="21"/>
              </w:rPr>
            </w:pPr>
            <w:r>
              <w:rPr>
                <w:rFonts w:hint="eastAsia" w:ascii="宋体"/>
                <w:b/>
                <w:bCs/>
                <w:szCs w:val="21"/>
              </w:rPr>
              <w:t>…</w:t>
            </w:r>
          </w:p>
        </w:tc>
        <w:tc>
          <w:tcPr>
            <w:tcW w:w="1588" w:type="dxa"/>
          </w:tcPr>
          <w:p>
            <w:pPr>
              <w:spacing w:line="460" w:lineRule="exact"/>
              <w:jc w:val="left"/>
              <w:rPr>
                <w:rFonts w:ascii="宋体"/>
                <w:b/>
                <w:bCs/>
                <w:szCs w:val="21"/>
              </w:rPr>
            </w:pPr>
            <w:r>
              <w:rPr>
                <w:rFonts w:hint="eastAsia" w:ascii="宋体"/>
                <w:b/>
                <w:bCs/>
                <w:szCs w:val="21"/>
              </w:rPr>
              <w:t>…</w:t>
            </w:r>
          </w:p>
        </w:tc>
        <w:tc>
          <w:tcPr>
            <w:tcW w:w="858" w:type="dxa"/>
          </w:tcPr>
          <w:p>
            <w:pPr>
              <w:spacing w:line="460" w:lineRule="exact"/>
              <w:jc w:val="left"/>
              <w:rPr>
                <w:rFonts w:ascii="宋体"/>
                <w:b/>
                <w:bCs/>
                <w:szCs w:val="21"/>
              </w:rPr>
            </w:pPr>
            <w:r>
              <w:rPr>
                <w:rFonts w:hint="eastAsia" w:ascii="宋体"/>
                <w:b/>
                <w:bCs/>
                <w:szCs w:val="21"/>
              </w:rPr>
              <w:t>…</w:t>
            </w:r>
          </w:p>
        </w:tc>
        <w:tc>
          <w:tcPr>
            <w:tcW w:w="1715" w:type="dxa"/>
          </w:tcPr>
          <w:p>
            <w:pPr>
              <w:spacing w:line="460" w:lineRule="exact"/>
              <w:jc w:val="left"/>
              <w:rPr>
                <w:rFonts w:ascii="宋体"/>
                <w:b/>
                <w:bCs/>
                <w:szCs w:val="21"/>
              </w:rPr>
            </w:pPr>
          </w:p>
        </w:tc>
        <w:tc>
          <w:tcPr>
            <w:tcW w:w="1857" w:type="dxa"/>
          </w:tcPr>
          <w:p>
            <w:pPr>
              <w:spacing w:line="460" w:lineRule="exact"/>
              <w:jc w:val="left"/>
              <w:rPr>
                <w:rFonts w:ascii="宋体"/>
                <w:b/>
                <w:bCs/>
                <w:szCs w:val="21"/>
              </w:rPr>
            </w:pPr>
          </w:p>
        </w:tc>
        <w:tc>
          <w:tcPr>
            <w:tcW w:w="794" w:type="dxa"/>
          </w:tcPr>
          <w:p>
            <w:pPr>
              <w:spacing w:line="460" w:lineRule="exact"/>
              <w:jc w:val="left"/>
              <w:rPr>
                <w:rFonts w:ascii="宋体"/>
                <w:b/>
                <w:bCs/>
                <w:szCs w:val="21"/>
              </w:rPr>
            </w:pPr>
          </w:p>
        </w:tc>
      </w:tr>
    </w:tbl>
    <w:p>
      <w:pPr>
        <w:spacing w:line="460" w:lineRule="exact"/>
        <w:jc w:val="left"/>
        <w:rPr>
          <w:rFonts w:ascii="宋体"/>
          <w:b/>
          <w:bCs/>
          <w:szCs w:val="21"/>
        </w:rPr>
      </w:pPr>
      <w:r>
        <w:rPr>
          <w:rFonts w:hint="eastAsia" w:ascii="宋体" w:hAnsi="宋体"/>
          <w:szCs w:val="21"/>
        </w:rPr>
        <w:t>注：后附拟投入</w:t>
      </w:r>
      <w:r>
        <w:rPr>
          <w:rFonts w:hint="eastAsia" w:ascii="宋体" w:hAnsi="宋体"/>
          <w:bCs/>
          <w:szCs w:val="21"/>
        </w:rPr>
        <w:t>注册会计师证书</w:t>
      </w:r>
      <w:r>
        <w:rPr>
          <w:rFonts w:hint="eastAsia" w:ascii="宋体" w:hAnsi="宋体"/>
          <w:szCs w:val="21"/>
        </w:rPr>
        <w:t>及相应</w:t>
      </w:r>
      <w:r>
        <w:rPr>
          <w:rFonts w:hint="eastAsia" w:ascii="宋体" w:hAnsi="宋体"/>
          <w:bCs/>
          <w:szCs w:val="21"/>
        </w:rPr>
        <w:t>社保缴纳证明（2019年2月至4月）</w:t>
      </w:r>
      <w:r>
        <w:rPr>
          <w:rFonts w:hint="eastAsia" w:ascii="宋体" w:hAnsi="宋体"/>
          <w:szCs w:val="21"/>
        </w:rPr>
        <w:t>并加盖单位公章。</w:t>
      </w:r>
      <w:r>
        <w:rPr>
          <w:rFonts w:hint="eastAsia" w:ascii="宋体" w:hAnsi="宋体"/>
          <w:bCs/>
          <w:sz w:val="24"/>
          <w:szCs w:val="24"/>
        </w:rPr>
        <w:t>（依法不需要缴纳社会保障资金的投标人，应提供相应文件证明依法不需要缴纳社会保障资金）</w:t>
      </w: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p>
    <w:p>
      <w:pPr>
        <w:spacing w:line="460" w:lineRule="exact"/>
        <w:jc w:val="center"/>
        <w:rPr>
          <w:rFonts w:hAnsi="宋体"/>
          <w:b/>
          <w:snapToGrid w:val="0"/>
          <w:kern w:val="0"/>
          <w:sz w:val="36"/>
          <w:szCs w:val="36"/>
        </w:rPr>
      </w:pPr>
      <w:r>
        <w:rPr>
          <w:rFonts w:hAnsi="宋体"/>
          <w:b/>
          <w:snapToGrid w:val="0"/>
          <w:kern w:val="0"/>
          <w:sz w:val="36"/>
          <w:szCs w:val="36"/>
        </w:rPr>
        <w:t>4.</w:t>
      </w:r>
      <w:r>
        <w:rPr>
          <w:rFonts w:hint="eastAsia" w:hAnsi="宋体"/>
          <w:b/>
          <w:snapToGrid w:val="0"/>
          <w:kern w:val="0"/>
          <w:sz w:val="36"/>
          <w:szCs w:val="36"/>
        </w:rPr>
        <w:t>6</w:t>
      </w:r>
      <w:r>
        <w:rPr>
          <w:rFonts w:hAnsi="宋体"/>
          <w:b/>
          <w:snapToGrid w:val="0"/>
          <w:kern w:val="0"/>
          <w:sz w:val="36"/>
          <w:szCs w:val="36"/>
        </w:rPr>
        <w:t>.2</w:t>
      </w:r>
      <w:r>
        <w:rPr>
          <w:rFonts w:hint="eastAsia" w:hAnsi="宋体"/>
          <w:b/>
          <w:snapToGrid w:val="0"/>
          <w:kern w:val="0"/>
          <w:sz w:val="36"/>
          <w:szCs w:val="36"/>
        </w:rPr>
        <w:t>拟投入专业服务本项目其他工作人员</w:t>
      </w:r>
    </w:p>
    <w:p>
      <w:pPr>
        <w:spacing w:line="460" w:lineRule="exact"/>
        <w:jc w:val="left"/>
        <w:rPr>
          <w:rFonts w:ascii="宋体"/>
          <w:b/>
          <w:sz w:val="28"/>
          <w:szCs w:val="28"/>
        </w:rPr>
      </w:pPr>
    </w:p>
    <w:tbl>
      <w:tblPr>
        <w:tblStyle w:val="22"/>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709"/>
        <w:gridCol w:w="1230"/>
        <w:gridCol w:w="1701"/>
        <w:gridCol w:w="141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1" w:type="dxa"/>
            <w:vAlign w:val="center"/>
          </w:tcPr>
          <w:p>
            <w:pPr>
              <w:spacing w:line="460" w:lineRule="exact"/>
              <w:jc w:val="center"/>
              <w:rPr>
                <w:rFonts w:ascii="宋体"/>
                <w:bCs/>
                <w:sz w:val="24"/>
              </w:rPr>
            </w:pPr>
            <w:r>
              <w:rPr>
                <w:rFonts w:hint="eastAsia" w:ascii="宋体" w:hAnsi="宋体"/>
                <w:sz w:val="24"/>
              </w:rPr>
              <w:t>序号</w:t>
            </w:r>
          </w:p>
        </w:tc>
        <w:tc>
          <w:tcPr>
            <w:tcW w:w="1276" w:type="dxa"/>
            <w:vAlign w:val="center"/>
          </w:tcPr>
          <w:p>
            <w:pPr>
              <w:spacing w:line="460" w:lineRule="exact"/>
              <w:jc w:val="center"/>
              <w:rPr>
                <w:rFonts w:ascii="宋体"/>
                <w:bCs/>
                <w:sz w:val="24"/>
              </w:rPr>
            </w:pPr>
            <w:r>
              <w:rPr>
                <w:rFonts w:hint="eastAsia" w:ascii="宋体" w:hAnsi="宋体"/>
                <w:sz w:val="24"/>
              </w:rPr>
              <w:t>姓名</w:t>
            </w:r>
          </w:p>
        </w:tc>
        <w:tc>
          <w:tcPr>
            <w:tcW w:w="709" w:type="dxa"/>
            <w:vAlign w:val="center"/>
          </w:tcPr>
          <w:p>
            <w:pPr>
              <w:spacing w:line="460" w:lineRule="exact"/>
              <w:jc w:val="center"/>
              <w:rPr>
                <w:rFonts w:ascii="宋体"/>
                <w:bCs/>
                <w:sz w:val="24"/>
              </w:rPr>
            </w:pPr>
            <w:r>
              <w:rPr>
                <w:rFonts w:hint="eastAsia" w:ascii="宋体" w:hAnsi="宋体"/>
                <w:sz w:val="24"/>
              </w:rPr>
              <w:t>性别</w:t>
            </w:r>
          </w:p>
        </w:tc>
        <w:tc>
          <w:tcPr>
            <w:tcW w:w="1230" w:type="dxa"/>
            <w:vAlign w:val="center"/>
          </w:tcPr>
          <w:p>
            <w:pPr>
              <w:spacing w:line="460" w:lineRule="exact"/>
              <w:jc w:val="center"/>
              <w:rPr>
                <w:rFonts w:ascii="宋体"/>
                <w:bCs/>
                <w:sz w:val="24"/>
              </w:rPr>
            </w:pPr>
            <w:r>
              <w:rPr>
                <w:rFonts w:hint="eastAsia" w:ascii="宋体" w:hAnsi="宋体"/>
                <w:sz w:val="24"/>
              </w:rPr>
              <w:t>年龄</w:t>
            </w:r>
          </w:p>
        </w:tc>
        <w:tc>
          <w:tcPr>
            <w:tcW w:w="1701" w:type="dxa"/>
            <w:vAlign w:val="center"/>
          </w:tcPr>
          <w:p>
            <w:pPr>
              <w:spacing w:line="460" w:lineRule="exact"/>
              <w:jc w:val="center"/>
              <w:rPr>
                <w:rFonts w:ascii="宋体"/>
                <w:sz w:val="24"/>
              </w:rPr>
            </w:pPr>
            <w:r>
              <w:rPr>
                <w:rFonts w:hint="eastAsia" w:ascii="宋体" w:hAnsi="宋体"/>
                <w:bCs/>
                <w:sz w:val="24"/>
              </w:rPr>
              <w:t>资格证书号、证书类别</w:t>
            </w:r>
          </w:p>
        </w:tc>
        <w:tc>
          <w:tcPr>
            <w:tcW w:w="1417" w:type="dxa"/>
            <w:vAlign w:val="center"/>
          </w:tcPr>
          <w:p>
            <w:pPr>
              <w:spacing w:line="460" w:lineRule="exact"/>
              <w:jc w:val="center"/>
              <w:rPr>
                <w:rFonts w:ascii="宋体"/>
                <w:bCs/>
                <w:sz w:val="24"/>
              </w:rPr>
            </w:pPr>
            <w:r>
              <w:rPr>
                <w:rFonts w:hint="eastAsia" w:ascii="宋体" w:hAnsi="宋体"/>
                <w:sz w:val="24"/>
              </w:rPr>
              <w:t>职称</w:t>
            </w:r>
          </w:p>
        </w:tc>
        <w:tc>
          <w:tcPr>
            <w:tcW w:w="866" w:type="dxa"/>
            <w:vAlign w:val="center"/>
          </w:tcPr>
          <w:p>
            <w:pPr>
              <w:spacing w:line="460" w:lineRule="exact"/>
              <w:jc w:val="center"/>
              <w:rPr>
                <w:rFonts w:ascii="宋体"/>
                <w:bCs/>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p>
        </w:tc>
        <w:tc>
          <w:tcPr>
            <w:tcW w:w="1276" w:type="dxa"/>
          </w:tcPr>
          <w:p>
            <w:pPr>
              <w:spacing w:line="460" w:lineRule="exact"/>
              <w:jc w:val="left"/>
              <w:rPr>
                <w:rFonts w:ascii="宋体"/>
                <w:bCs/>
                <w:sz w:val="24"/>
              </w:rPr>
            </w:pPr>
          </w:p>
        </w:tc>
        <w:tc>
          <w:tcPr>
            <w:tcW w:w="709" w:type="dxa"/>
          </w:tcPr>
          <w:p>
            <w:pPr>
              <w:spacing w:line="460" w:lineRule="exact"/>
              <w:jc w:val="left"/>
              <w:rPr>
                <w:rFonts w:ascii="宋体"/>
                <w:bCs/>
                <w:sz w:val="24"/>
              </w:rPr>
            </w:pP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1" w:type="dxa"/>
          </w:tcPr>
          <w:p>
            <w:pPr>
              <w:spacing w:line="460" w:lineRule="exact"/>
              <w:jc w:val="left"/>
              <w:rPr>
                <w:rFonts w:ascii="宋体"/>
                <w:bCs/>
                <w:sz w:val="24"/>
              </w:rPr>
            </w:pPr>
            <w:r>
              <w:rPr>
                <w:rFonts w:hint="eastAsia" w:ascii="宋体"/>
                <w:bCs/>
                <w:sz w:val="24"/>
              </w:rPr>
              <w:t>…</w:t>
            </w:r>
          </w:p>
        </w:tc>
        <w:tc>
          <w:tcPr>
            <w:tcW w:w="1276" w:type="dxa"/>
          </w:tcPr>
          <w:p>
            <w:pPr>
              <w:spacing w:line="460" w:lineRule="exact"/>
              <w:jc w:val="left"/>
              <w:rPr>
                <w:rFonts w:ascii="宋体"/>
                <w:bCs/>
                <w:sz w:val="24"/>
              </w:rPr>
            </w:pPr>
            <w:r>
              <w:rPr>
                <w:rFonts w:hint="eastAsia" w:ascii="宋体"/>
                <w:bCs/>
                <w:sz w:val="24"/>
              </w:rPr>
              <w:t>…</w:t>
            </w:r>
          </w:p>
        </w:tc>
        <w:tc>
          <w:tcPr>
            <w:tcW w:w="709" w:type="dxa"/>
          </w:tcPr>
          <w:p>
            <w:pPr>
              <w:spacing w:line="460" w:lineRule="exact"/>
              <w:jc w:val="left"/>
              <w:rPr>
                <w:rFonts w:ascii="宋体"/>
                <w:bCs/>
                <w:sz w:val="24"/>
              </w:rPr>
            </w:pPr>
            <w:r>
              <w:rPr>
                <w:rFonts w:hint="eastAsia" w:ascii="宋体"/>
                <w:bCs/>
                <w:sz w:val="24"/>
              </w:rPr>
              <w:t>…</w:t>
            </w:r>
          </w:p>
        </w:tc>
        <w:tc>
          <w:tcPr>
            <w:tcW w:w="1230" w:type="dxa"/>
          </w:tcPr>
          <w:p>
            <w:pPr>
              <w:spacing w:line="460" w:lineRule="exact"/>
              <w:jc w:val="left"/>
              <w:rPr>
                <w:rFonts w:ascii="宋体"/>
                <w:bCs/>
                <w:sz w:val="24"/>
              </w:rPr>
            </w:pPr>
          </w:p>
        </w:tc>
        <w:tc>
          <w:tcPr>
            <w:tcW w:w="1701" w:type="dxa"/>
          </w:tcPr>
          <w:p>
            <w:pPr>
              <w:spacing w:line="460" w:lineRule="exact"/>
              <w:jc w:val="left"/>
              <w:rPr>
                <w:rFonts w:ascii="宋体"/>
                <w:bCs/>
                <w:sz w:val="24"/>
              </w:rPr>
            </w:pPr>
          </w:p>
        </w:tc>
        <w:tc>
          <w:tcPr>
            <w:tcW w:w="1417" w:type="dxa"/>
          </w:tcPr>
          <w:p>
            <w:pPr>
              <w:spacing w:line="460" w:lineRule="exact"/>
              <w:jc w:val="left"/>
              <w:rPr>
                <w:rFonts w:ascii="宋体"/>
                <w:bCs/>
                <w:sz w:val="24"/>
              </w:rPr>
            </w:pPr>
          </w:p>
        </w:tc>
        <w:tc>
          <w:tcPr>
            <w:tcW w:w="866" w:type="dxa"/>
          </w:tcPr>
          <w:p>
            <w:pPr>
              <w:spacing w:line="460" w:lineRule="exact"/>
              <w:jc w:val="left"/>
              <w:rPr>
                <w:rFonts w:ascii="宋体"/>
                <w:bCs/>
                <w:sz w:val="24"/>
              </w:rPr>
            </w:pPr>
          </w:p>
        </w:tc>
      </w:tr>
    </w:tbl>
    <w:p>
      <w:pPr>
        <w:spacing w:line="460" w:lineRule="exact"/>
        <w:jc w:val="left"/>
        <w:rPr>
          <w:rFonts w:ascii="宋体"/>
          <w:szCs w:val="21"/>
        </w:rPr>
      </w:pPr>
      <w:r>
        <w:rPr>
          <w:rFonts w:hint="eastAsia" w:ascii="宋体" w:hAnsi="宋体"/>
          <w:szCs w:val="21"/>
        </w:rPr>
        <w:t>注：后附拟投入人员证书及对应人员</w:t>
      </w:r>
      <w:r>
        <w:rPr>
          <w:rFonts w:hint="eastAsia" w:ascii="宋体" w:hAnsi="宋体"/>
          <w:bCs/>
          <w:szCs w:val="21"/>
        </w:rPr>
        <w:t>社保缴纳证明（2019年2月至4月）</w:t>
      </w:r>
      <w:r>
        <w:rPr>
          <w:rFonts w:hint="eastAsia" w:ascii="宋体" w:hAnsi="宋体"/>
          <w:szCs w:val="21"/>
        </w:rPr>
        <w:t>并加盖单位公章。</w:t>
      </w:r>
      <w:r>
        <w:rPr>
          <w:rFonts w:hint="eastAsia" w:ascii="宋体" w:hAnsi="宋体"/>
          <w:bCs/>
          <w:sz w:val="24"/>
          <w:szCs w:val="24"/>
        </w:rPr>
        <w:t>（依法不需要缴纳社会保障资金的投标人，应提供相应文件证明依法不需要缴纳社会保障资金）</w:t>
      </w:r>
    </w:p>
    <w:p>
      <w:pPr>
        <w:spacing w:line="460" w:lineRule="exact"/>
        <w:jc w:val="left"/>
        <w:rPr>
          <w:rFonts w:ascii="宋体"/>
          <w:b/>
          <w:sz w:val="24"/>
        </w:rPr>
      </w:pPr>
      <w:r>
        <w:rPr>
          <w:rFonts w:hint="eastAsia" w:ascii="宋体" w:hAnsi="宋体"/>
          <w:b/>
          <w:sz w:val="24"/>
        </w:rPr>
        <w:t>特别提示：不得与</w:t>
      </w:r>
      <w:r>
        <w:rPr>
          <w:rFonts w:ascii="宋体" w:hAnsi="宋体"/>
          <w:b/>
          <w:sz w:val="24"/>
        </w:rPr>
        <w:t>4.</w:t>
      </w:r>
      <w:r>
        <w:rPr>
          <w:rFonts w:hint="eastAsia" w:ascii="宋体" w:hAnsi="宋体"/>
          <w:b/>
          <w:sz w:val="24"/>
        </w:rPr>
        <w:t>6</w:t>
      </w:r>
      <w:r>
        <w:rPr>
          <w:rFonts w:ascii="宋体" w:hAnsi="宋体"/>
          <w:b/>
          <w:sz w:val="24"/>
        </w:rPr>
        <w:t>.</w:t>
      </w:r>
      <w:r>
        <w:rPr>
          <w:rFonts w:hint="eastAsia" w:ascii="宋体" w:hAnsi="宋体"/>
          <w:b/>
          <w:sz w:val="24"/>
        </w:rPr>
        <w:t>1表中的人员重复，否则不予计算得分。</w:t>
      </w:r>
    </w:p>
    <w:p>
      <w:pPr>
        <w:spacing w:line="460" w:lineRule="exact"/>
        <w:jc w:val="left"/>
        <w:rPr>
          <w:rFonts w:ascii="宋体"/>
          <w:sz w:val="24"/>
        </w:rPr>
      </w:pPr>
    </w:p>
    <w:p>
      <w:pPr>
        <w:spacing w:line="460" w:lineRule="exact"/>
        <w:jc w:val="left"/>
        <w:rPr>
          <w:rFonts w:ascii="宋体"/>
          <w:sz w:val="24"/>
        </w:rPr>
      </w:pPr>
      <w:r>
        <w:rPr>
          <w:rFonts w:hint="eastAsia" w:ascii="宋体" w:hAnsi="宋体"/>
          <w:sz w:val="24"/>
        </w:rPr>
        <w:t>投标单位：（盖章）</w:t>
      </w:r>
    </w:p>
    <w:p>
      <w:pPr>
        <w:spacing w:line="460" w:lineRule="exact"/>
        <w:jc w:val="left"/>
        <w:rPr>
          <w:rFonts w:ascii="宋体"/>
          <w:sz w:val="24"/>
        </w:rPr>
      </w:pPr>
    </w:p>
    <w:p>
      <w:pPr>
        <w:spacing w:line="460" w:lineRule="exact"/>
        <w:jc w:val="left"/>
        <w:rPr>
          <w:rFonts w:ascii="宋体"/>
          <w:sz w:val="24"/>
        </w:rPr>
      </w:pPr>
    </w:p>
    <w:p>
      <w:pPr>
        <w:spacing w:line="460" w:lineRule="exact"/>
        <w:jc w:val="left"/>
        <w:rPr>
          <w:rFonts w:ascii="宋体" w:hAnsi="宋体"/>
          <w:b/>
          <w:bCs/>
          <w:sz w:val="44"/>
          <w:szCs w:val="44"/>
          <w:lang w:val="zh-CN"/>
        </w:rPr>
      </w:pPr>
      <w:r>
        <w:rPr>
          <w:rFonts w:hint="eastAsia" w:ascii="宋体" w:hAnsi="宋体"/>
          <w:sz w:val="24"/>
        </w:rPr>
        <w:t>授权代表人签字：年月日</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Pr>
        <w:jc w:val="left"/>
        <w:sectPr>
          <w:footerReference r:id="rId3" w:type="default"/>
          <w:pgSz w:w="11906" w:h="16838"/>
          <w:pgMar w:top="2098" w:right="1474" w:bottom="1928" w:left="1588" w:header="851" w:footer="992" w:gutter="0"/>
          <w:pgNumType w:start="1"/>
          <w:cols w:space="425" w:num="1"/>
          <w:docGrid w:type="lines" w:linePitch="312" w:charSpace="0"/>
        </w:sectPr>
      </w:pPr>
    </w:p>
    <w:p>
      <w:pPr>
        <w:adjustRightInd w:val="0"/>
        <w:snapToGrid w:val="0"/>
        <w:spacing w:line="360" w:lineRule="auto"/>
        <w:rPr>
          <w:rFonts w:ascii="宋体" w:hAnsi="宋体" w:cs="宋体"/>
          <w:spacing w:val="10"/>
          <w:kern w:val="0"/>
          <w:sz w:val="32"/>
          <w:szCs w:val="32"/>
        </w:rPr>
      </w:pPr>
      <w:r>
        <w:rPr>
          <w:rFonts w:hint="eastAsia" w:ascii="宋体" w:hAnsi="宋体" w:cs="宋体"/>
          <w:spacing w:val="10"/>
          <w:kern w:val="0"/>
          <w:sz w:val="24"/>
        </w:rPr>
        <w:t>附件1</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服务期限内所提供的服务承诺</w:t>
      </w:r>
    </w:p>
    <w:p>
      <w:pPr>
        <w:autoSpaceDE w:val="0"/>
        <w:autoSpaceDN w:val="0"/>
        <w:adjustRightInd w:val="0"/>
        <w:snapToGrid w:val="0"/>
        <w:spacing w:line="360" w:lineRule="auto"/>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autoSpaceDE w:val="0"/>
        <w:autoSpaceDN w:val="0"/>
        <w:adjustRightInd w:val="0"/>
        <w:spacing w:line="580" w:lineRule="exact"/>
        <w:jc w:val="left"/>
        <w:rPr>
          <w:rFonts w:ascii="宋体" w:hAnsi="宋体" w:cs="宋体"/>
          <w:spacing w:val="10"/>
          <w:kern w:val="0"/>
          <w:sz w:val="32"/>
          <w:szCs w:val="32"/>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br w:type="page"/>
      </w:r>
    </w:p>
    <w:p>
      <w:pPr>
        <w:spacing w:line="360" w:lineRule="auto"/>
        <w:rPr>
          <w:rFonts w:ascii="宋体" w:hAnsi="宋体" w:cs="宋体"/>
          <w:bCs/>
          <w:sz w:val="24"/>
        </w:rPr>
      </w:pPr>
      <w:r>
        <w:rPr>
          <w:rFonts w:hint="eastAsia" w:ascii="宋体" w:hAnsi="宋体" w:cs="宋体"/>
          <w:bCs/>
          <w:sz w:val="24"/>
        </w:rPr>
        <w:t>附件2</w:t>
      </w:r>
    </w:p>
    <w:p>
      <w:pPr>
        <w:pStyle w:val="6"/>
        <w:spacing w:after="156"/>
        <w:rPr>
          <w:rFonts w:cs="宋体"/>
          <w:color w:val="auto"/>
        </w:rPr>
      </w:pPr>
      <w:r>
        <w:rPr>
          <w:rFonts w:hint="eastAsia" w:cs="宋体"/>
          <w:color w:val="auto"/>
        </w:rPr>
        <w:t>投标人证明文件原件明细表</w:t>
      </w:r>
    </w:p>
    <w:tbl>
      <w:tblPr>
        <w:tblStyle w:val="2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序号</w:t>
            </w:r>
          </w:p>
        </w:tc>
        <w:tc>
          <w:tcPr>
            <w:tcW w:w="5220" w:type="dxa"/>
            <w:vAlign w:val="center"/>
          </w:tcPr>
          <w:p>
            <w:pPr>
              <w:jc w:val="center"/>
              <w:rPr>
                <w:rFonts w:ascii="宋体" w:hAnsi="宋体" w:cs="宋体"/>
                <w:szCs w:val="21"/>
              </w:rPr>
            </w:pPr>
            <w:r>
              <w:rPr>
                <w:rFonts w:hint="eastAsia" w:ascii="宋体" w:hAnsi="宋体" w:cs="宋体"/>
                <w:szCs w:val="21"/>
              </w:rPr>
              <w:t>证明文件原件名称</w:t>
            </w:r>
          </w:p>
        </w:tc>
        <w:tc>
          <w:tcPr>
            <w:tcW w:w="1440" w:type="dxa"/>
            <w:vAlign w:val="center"/>
          </w:tcPr>
          <w:p>
            <w:pPr>
              <w:jc w:val="center"/>
              <w:rPr>
                <w:rFonts w:ascii="宋体" w:hAnsi="宋体" w:cs="宋体"/>
                <w:szCs w:val="21"/>
              </w:rPr>
            </w:pPr>
            <w:r>
              <w:rPr>
                <w:rFonts w:hint="eastAsia" w:ascii="宋体" w:hAnsi="宋体" w:cs="宋体"/>
                <w:szCs w:val="21"/>
              </w:rPr>
              <w:t>份数</w:t>
            </w:r>
          </w:p>
        </w:tc>
        <w:tc>
          <w:tcPr>
            <w:tcW w:w="1507" w:type="dxa"/>
            <w:vAlign w:val="center"/>
          </w:tcPr>
          <w:p>
            <w:pPr>
              <w:jc w:val="center"/>
              <w:rPr>
                <w:rFonts w:ascii="宋体" w:hAnsi="宋体" w:cs="宋体"/>
                <w:szCs w:val="21"/>
              </w:rPr>
            </w:pPr>
            <w:r>
              <w:rPr>
                <w:rFonts w:hint="eastAsia" w:ascii="宋体" w:hAnsi="宋体" w:cs="宋体"/>
                <w:szCs w:val="21"/>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w:t>
            </w:r>
          </w:p>
        </w:tc>
        <w:tc>
          <w:tcPr>
            <w:tcW w:w="522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507"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2</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3</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4</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5</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6</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7</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8</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9</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10</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11</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cs="宋体"/>
                <w:szCs w:val="21"/>
              </w:rPr>
            </w:pPr>
            <w:r>
              <w:rPr>
                <w:rFonts w:hint="eastAsia" w:ascii="宋体" w:hAnsi="宋体" w:cs="宋体"/>
                <w:szCs w:val="21"/>
              </w:rPr>
              <w:t>…</w:t>
            </w:r>
          </w:p>
        </w:tc>
        <w:tc>
          <w:tcPr>
            <w:tcW w:w="522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507" w:type="dxa"/>
            <w:vAlign w:val="center"/>
          </w:tcPr>
          <w:p>
            <w:pPr>
              <w:jc w:val="center"/>
              <w:rPr>
                <w:rFonts w:ascii="宋体" w:hAnsi="宋体" w:cs="宋体"/>
                <w:sz w:val="24"/>
              </w:rPr>
            </w:pPr>
          </w:p>
        </w:tc>
      </w:tr>
    </w:tbl>
    <w:p>
      <w:pPr>
        <w:spacing w:beforeLines="50" w:afterLines="50" w:line="320" w:lineRule="exact"/>
        <w:rPr>
          <w:rFonts w:ascii="宋体" w:hAnsi="宋体" w:cs="宋体"/>
          <w:sz w:val="24"/>
        </w:rPr>
      </w:pPr>
    </w:p>
    <w:p>
      <w:pPr>
        <w:spacing w:beforeLines="50" w:afterLines="50" w:line="320" w:lineRule="exact"/>
        <w:rPr>
          <w:rFonts w:ascii="宋体" w:hAnsi="宋体" w:cs="宋体"/>
          <w:szCs w:val="21"/>
          <w:u w:val="single"/>
        </w:rPr>
      </w:pPr>
      <w:r>
        <w:rPr>
          <w:rFonts w:hint="eastAsia" w:ascii="宋体" w:hAnsi="宋体" w:cs="宋体"/>
          <w:szCs w:val="21"/>
        </w:rPr>
        <w:t>投标人名称（并加盖公章）：</w:t>
      </w:r>
    </w:p>
    <w:p>
      <w:pPr>
        <w:pStyle w:val="8"/>
        <w:spacing w:before="60" w:afterLines="50" w:line="320" w:lineRule="exact"/>
        <w:ind w:firstLine="0"/>
        <w:rPr>
          <w:rFonts w:ascii="宋体" w:hAnsi="宋体" w:cs="宋体"/>
          <w:szCs w:val="21"/>
        </w:rPr>
      </w:pPr>
      <w:r>
        <w:rPr>
          <w:rFonts w:hint="eastAsia" w:ascii="宋体" w:hAnsi="宋体" w:cs="宋体"/>
          <w:szCs w:val="21"/>
        </w:rPr>
        <w:t>法定代表人或其授权委托人（签字）：</w:t>
      </w:r>
    </w:p>
    <w:p>
      <w:pPr>
        <w:pStyle w:val="8"/>
        <w:spacing w:before="60" w:afterLines="50" w:line="320" w:lineRule="exact"/>
        <w:ind w:firstLine="0"/>
        <w:rPr>
          <w:rFonts w:ascii="宋体" w:hAnsi="宋体" w:cs="宋体"/>
          <w:szCs w:val="21"/>
        </w:rPr>
      </w:pPr>
      <w:r>
        <w:rPr>
          <w:rFonts w:hint="eastAsia" w:ascii="宋体" w:hAnsi="宋体" w:cs="宋体"/>
          <w:szCs w:val="21"/>
        </w:rPr>
        <w:t>签署日期：年月日</w:t>
      </w:r>
    </w:p>
    <w:p>
      <w:pPr>
        <w:spacing w:line="480" w:lineRule="exact"/>
        <w:ind w:left="1050" w:hanging="1050" w:hangingChars="500"/>
        <w:rPr>
          <w:rFonts w:ascii="宋体" w:hAnsi="宋体" w:cs="宋体"/>
          <w:szCs w:val="21"/>
        </w:rPr>
      </w:pPr>
    </w:p>
    <w:p>
      <w:pPr>
        <w:spacing w:line="480" w:lineRule="exact"/>
        <w:ind w:left="1054" w:hanging="1054" w:hangingChars="500"/>
        <w:rPr>
          <w:rFonts w:ascii="宋体" w:hAnsi="宋体" w:cs="宋体"/>
          <w:b/>
          <w:szCs w:val="21"/>
        </w:rPr>
      </w:pPr>
      <w:r>
        <w:rPr>
          <w:rFonts w:hint="eastAsia" w:ascii="宋体" w:hAnsi="宋体" w:cs="宋体"/>
          <w:b/>
          <w:szCs w:val="21"/>
        </w:rPr>
        <w:t>使用说明：请将此表粘贴于证明文件原件包外。</w:t>
      </w:r>
    </w:p>
    <w:p>
      <w:pPr>
        <w:rPr>
          <w:rFonts w:ascii="宋体" w:hAnsi="宋体"/>
          <w:b/>
          <w:bCs/>
          <w:sz w:val="32"/>
          <w:szCs w:val="32"/>
        </w:rPr>
      </w:pPr>
      <w:r>
        <w:rPr>
          <w:rFonts w:hint="eastAsia" w:ascii="宋体" w:hAnsi="宋体"/>
          <w:b/>
          <w:bCs/>
          <w:sz w:val="32"/>
          <w:szCs w:val="32"/>
        </w:rPr>
        <w:br w:type="page"/>
      </w:r>
    </w:p>
    <w:p>
      <w:pPr>
        <w:spacing w:line="1020" w:lineRule="exact"/>
        <w:jc w:val="center"/>
      </w:pPr>
    </w:p>
    <w:p>
      <w:pPr>
        <w:jc w:val="center"/>
      </w:pPr>
      <w:r>
        <w:t>许示范财〔2019〕11号</w:t>
      </w:r>
    </w:p>
    <w:p>
      <w:pPr>
        <w:jc w:val="center"/>
      </w:pPr>
    </w:p>
    <w:p>
      <w:pPr>
        <w:spacing w:line="200" w:lineRule="exact"/>
        <w:jc w:val="center"/>
      </w:pPr>
    </w:p>
    <w:p>
      <w:pPr>
        <w:spacing w:line="660" w:lineRule="exact"/>
        <w:jc w:val="center"/>
        <w:rPr>
          <w:rFonts w:eastAsia="方正小标宋简体"/>
          <w:bCs/>
          <w:sz w:val="44"/>
          <w:szCs w:val="44"/>
        </w:rPr>
      </w:pPr>
      <w:r>
        <w:rPr>
          <w:rFonts w:hAnsi="方正小标宋简体" w:eastAsia="方正小标宋简体"/>
          <w:bCs/>
          <w:sz w:val="44"/>
          <w:szCs w:val="44"/>
        </w:rPr>
        <w:t>关于印发《许昌市城乡一体化示范区政府</w:t>
      </w:r>
    </w:p>
    <w:p>
      <w:pPr>
        <w:spacing w:line="660" w:lineRule="exact"/>
        <w:jc w:val="center"/>
        <w:rPr>
          <w:rFonts w:eastAsia="方正小标宋简体"/>
          <w:bCs/>
          <w:sz w:val="44"/>
          <w:szCs w:val="44"/>
        </w:rPr>
      </w:pPr>
      <w:r>
        <w:rPr>
          <w:rFonts w:hAnsi="方正小标宋简体" w:eastAsia="方正小标宋简体"/>
          <w:bCs/>
          <w:sz w:val="44"/>
          <w:szCs w:val="44"/>
        </w:rPr>
        <w:t>购买中介机构服务管理暂行办法（试行）》的</w:t>
      </w:r>
    </w:p>
    <w:p>
      <w:pPr>
        <w:spacing w:line="660" w:lineRule="exact"/>
        <w:jc w:val="center"/>
        <w:rPr>
          <w:rFonts w:eastAsia="方正小标宋简体"/>
          <w:bCs/>
          <w:sz w:val="44"/>
          <w:szCs w:val="44"/>
        </w:rPr>
      </w:pPr>
      <w:r>
        <w:rPr>
          <w:rFonts w:hAnsi="方正小标宋简体" w:eastAsia="方正小标宋简体"/>
          <w:bCs/>
          <w:sz w:val="44"/>
          <w:szCs w:val="44"/>
        </w:rPr>
        <w:t>通知</w:t>
      </w:r>
    </w:p>
    <w:p>
      <w:pPr>
        <w:rPr>
          <w:szCs w:val="32"/>
        </w:rPr>
      </w:pPr>
    </w:p>
    <w:p>
      <w:pPr>
        <w:spacing w:line="360" w:lineRule="auto"/>
        <w:rPr>
          <w:sz w:val="24"/>
          <w:szCs w:val="40"/>
        </w:rPr>
      </w:pPr>
      <w:r>
        <w:rPr>
          <w:rFonts w:hAnsi="仿宋_GB2312"/>
          <w:sz w:val="24"/>
          <w:szCs w:val="40"/>
        </w:rPr>
        <w:t>工信办、商务中心区，示范区各局、办，各镇（办），各直属事业单位，各派驻单位，各国有公司，瑞新公司</w:t>
      </w:r>
      <w:r>
        <w:rPr>
          <w:sz w:val="24"/>
          <w:szCs w:val="40"/>
        </w:rPr>
        <w:t>：</w:t>
      </w:r>
    </w:p>
    <w:p>
      <w:pPr>
        <w:spacing w:line="360" w:lineRule="auto"/>
        <w:ind w:firstLine="480" w:firstLineChars="200"/>
        <w:rPr>
          <w:sz w:val="24"/>
          <w:szCs w:val="40"/>
        </w:rPr>
      </w:pPr>
      <w:r>
        <w:rPr>
          <w:rFonts w:hint="eastAsia"/>
          <w:sz w:val="24"/>
          <w:szCs w:val="28"/>
        </w:rPr>
        <w:t>为进一步规范我区行政事业单位，国有公司购买中介机构</w:t>
      </w:r>
      <w:r>
        <w:rPr>
          <w:rFonts w:hint="eastAsia" w:ascii="仿宋_GB2312"/>
          <w:sz w:val="24"/>
          <w:szCs w:val="40"/>
        </w:rPr>
        <w:t>开展工程预算编制、预（结）算审核，资产评估，财政（财务）审计、清产核资等工作</w:t>
      </w:r>
      <w:r>
        <w:rPr>
          <w:rFonts w:hint="eastAsia"/>
          <w:sz w:val="24"/>
          <w:szCs w:val="28"/>
        </w:rPr>
        <w:t>，</w:t>
      </w:r>
      <w:r>
        <w:rPr>
          <w:sz w:val="24"/>
          <w:szCs w:val="28"/>
        </w:rPr>
        <w:t>提高资金使用效益，促进廉政建设，营造高效、公平、公开、公正、规范的市场竞争环境，根据《中华人民共和国政府采购法》《国务院办公厅关于政府向社会力量购买服务的指导意见》（国发〔2013</w:t>
      </w:r>
      <w:r>
        <w:rPr>
          <w:rFonts w:hAnsi="仿宋_GB2312"/>
          <w:sz w:val="24"/>
          <w:szCs w:val="28"/>
        </w:rPr>
        <w:t>〕</w:t>
      </w:r>
      <w:r>
        <w:rPr>
          <w:sz w:val="24"/>
          <w:szCs w:val="28"/>
        </w:rPr>
        <w:t>96</w:t>
      </w:r>
      <w:r>
        <w:rPr>
          <w:rFonts w:hAnsi="仿宋_GB2312"/>
          <w:sz w:val="24"/>
          <w:szCs w:val="28"/>
        </w:rPr>
        <w:t>号</w:t>
      </w:r>
      <w:r>
        <w:rPr>
          <w:sz w:val="24"/>
          <w:szCs w:val="28"/>
        </w:rPr>
        <w:t>）《许昌市政府购买服务操作指南（试行）》（许财综〔2016</w:t>
      </w:r>
      <w:r>
        <w:rPr>
          <w:rFonts w:hAnsi="仿宋_GB2312"/>
          <w:sz w:val="24"/>
          <w:szCs w:val="28"/>
        </w:rPr>
        <w:t>〕</w:t>
      </w:r>
      <w:r>
        <w:rPr>
          <w:sz w:val="24"/>
          <w:szCs w:val="28"/>
        </w:rPr>
        <w:t>28</w:t>
      </w:r>
      <w:r>
        <w:rPr>
          <w:rFonts w:hAnsi="仿宋_GB2312"/>
          <w:sz w:val="24"/>
          <w:szCs w:val="28"/>
        </w:rPr>
        <w:t>号）等相关文件</w:t>
      </w:r>
      <w:r>
        <w:rPr>
          <w:sz w:val="24"/>
          <w:szCs w:val="28"/>
        </w:rPr>
        <w:t>，特制定《许昌市城乡一体化示范区政府购买中介机构服务管理暂行办法（试行）》，</w:t>
      </w:r>
      <w:r>
        <w:rPr>
          <w:sz w:val="24"/>
          <w:szCs w:val="40"/>
        </w:rPr>
        <w:t>现印发给你们，请遵照执行。</w:t>
      </w:r>
    </w:p>
    <w:p>
      <w:pPr>
        <w:spacing w:line="360" w:lineRule="auto"/>
        <w:ind w:firstLine="480" w:firstLineChars="200"/>
        <w:rPr>
          <w:sz w:val="24"/>
          <w:szCs w:val="40"/>
        </w:rPr>
      </w:pPr>
    </w:p>
    <w:p>
      <w:pPr>
        <w:spacing w:line="360" w:lineRule="auto"/>
        <w:ind w:firstLine="480" w:firstLineChars="200"/>
        <w:rPr>
          <w:sz w:val="24"/>
          <w:szCs w:val="40"/>
        </w:rPr>
      </w:pPr>
    </w:p>
    <w:p>
      <w:pPr>
        <w:spacing w:line="360" w:lineRule="auto"/>
        <w:ind w:firstLine="480" w:firstLineChars="200"/>
        <w:rPr>
          <w:rFonts w:eastAsia="楷体_GB2312"/>
          <w:sz w:val="24"/>
          <w:szCs w:val="40"/>
        </w:rPr>
      </w:pPr>
    </w:p>
    <w:p>
      <w:pPr>
        <w:spacing w:line="360" w:lineRule="auto"/>
        <w:ind w:firstLine="480" w:firstLineChars="200"/>
        <w:jc w:val="center"/>
        <w:rPr>
          <w:sz w:val="24"/>
          <w:szCs w:val="40"/>
        </w:rPr>
      </w:pPr>
      <w:r>
        <w:rPr>
          <w:sz w:val="24"/>
          <w:szCs w:val="40"/>
        </w:rPr>
        <w:t xml:space="preserve">                    许昌市城乡一体化示范区财政局</w:t>
      </w:r>
    </w:p>
    <w:p>
      <w:pPr>
        <w:spacing w:line="360" w:lineRule="auto"/>
        <w:ind w:firstLine="1200" w:firstLineChars="500"/>
        <w:jc w:val="center"/>
        <w:rPr>
          <w:sz w:val="24"/>
          <w:szCs w:val="40"/>
        </w:rPr>
      </w:pPr>
      <w:r>
        <w:rPr>
          <w:sz w:val="24"/>
          <w:szCs w:val="40"/>
        </w:rPr>
        <w:t xml:space="preserve">                2019年5月13日</w:t>
      </w: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rPr>
          <w:szCs w:val="32"/>
        </w:rPr>
      </w:pPr>
    </w:p>
    <w:p>
      <w:pPr>
        <w:ind w:firstLine="1050" w:firstLineChars="500"/>
        <w:jc w:val="right"/>
        <w:rPr>
          <w:szCs w:val="32"/>
        </w:rPr>
      </w:pPr>
    </w:p>
    <w:p>
      <w:pPr>
        <w:tabs>
          <w:tab w:val="left" w:pos="4620"/>
        </w:tabs>
        <w:spacing w:line="660" w:lineRule="exact"/>
        <w:jc w:val="center"/>
        <w:rPr>
          <w:rFonts w:eastAsia="方正小标宋简体"/>
          <w:bCs/>
          <w:sz w:val="36"/>
          <w:szCs w:val="36"/>
        </w:rPr>
      </w:pPr>
      <w:r>
        <w:rPr>
          <w:rFonts w:eastAsia="方正小标宋简体"/>
          <w:bCs/>
          <w:sz w:val="44"/>
          <w:szCs w:val="44"/>
        </w:rPr>
        <w:t>许昌市城乡一体化示范区政府购买中介机构服务管理暂行办法（试行）</w:t>
      </w:r>
    </w:p>
    <w:p>
      <w:pPr>
        <w:spacing w:line="540" w:lineRule="atLeast"/>
        <w:jc w:val="center"/>
        <w:rPr>
          <w:sz w:val="18"/>
          <w:szCs w:val="18"/>
        </w:rPr>
      </w:pPr>
    </w:p>
    <w:p>
      <w:pPr>
        <w:spacing w:line="360" w:lineRule="auto"/>
        <w:jc w:val="center"/>
        <w:rPr>
          <w:rFonts w:eastAsia="黑体"/>
          <w:sz w:val="24"/>
          <w:szCs w:val="24"/>
        </w:rPr>
      </w:pPr>
      <w:r>
        <w:rPr>
          <w:sz w:val="24"/>
          <w:szCs w:val="24"/>
        </w:rPr>
        <w:t>　</w:t>
      </w:r>
      <w:r>
        <w:rPr>
          <w:rFonts w:eastAsia="黑体"/>
          <w:bCs/>
          <w:sz w:val="24"/>
          <w:szCs w:val="24"/>
        </w:rPr>
        <w:t>第一章 </w:t>
      </w:r>
      <w:r>
        <w:rPr>
          <w:rStyle w:val="56"/>
          <w:rFonts w:eastAsia="黑体"/>
          <w:bCs/>
          <w:sz w:val="24"/>
          <w:szCs w:val="24"/>
        </w:rPr>
        <w:t> </w:t>
      </w:r>
      <w:r>
        <w:rPr>
          <w:rFonts w:eastAsia="黑体"/>
          <w:bCs/>
          <w:sz w:val="24"/>
          <w:szCs w:val="24"/>
        </w:rPr>
        <w:t>总 </w:t>
      </w:r>
      <w:r>
        <w:rPr>
          <w:rStyle w:val="56"/>
          <w:rFonts w:eastAsia="黑体"/>
          <w:bCs/>
          <w:sz w:val="24"/>
          <w:szCs w:val="24"/>
        </w:rPr>
        <w:t> </w:t>
      </w:r>
      <w:r>
        <w:rPr>
          <w:rFonts w:eastAsia="黑体"/>
          <w:bCs/>
          <w:sz w:val="24"/>
          <w:szCs w:val="24"/>
        </w:rPr>
        <w:t>则</w:t>
      </w:r>
      <w:r>
        <w:rPr>
          <w:rFonts w:eastAsia="黑体"/>
          <w:sz w:val="24"/>
          <w:szCs w:val="24"/>
        </w:rPr>
        <w:t> </w:t>
      </w:r>
    </w:p>
    <w:p>
      <w:pPr>
        <w:spacing w:line="360" w:lineRule="auto"/>
        <w:ind w:firstLine="482" w:firstLineChars="200"/>
        <w:rPr>
          <w:sz w:val="24"/>
          <w:szCs w:val="24"/>
        </w:rPr>
      </w:pPr>
      <w:r>
        <w:rPr>
          <w:b/>
          <w:bCs/>
          <w:sz w:val="24"/>
          <w:szCs w:val="24"/>
        </w:rPr>
        <w:t>第一条</w:t>
      </w:r>
      <w:r>
        <w:rPr>
          <w:sz w:val="24"/>
          <w:szCs w:val="24"/>
        </w:rPr>
        <w:t> </w:t>
      </w:r>
      <w:r>
        <w:rPr>
          <w:rStyle w:val="56"/>
          <w:sz w:val="24"/>
          <w:szCs w:val="24"/>
        </w:rPr>
        <w:t xml:space="preserve">  </w:t>
      </w:r>
      <w:r>
        <w:rPr>
          <w:kern w:val="0"/>
          <w:sz w:val="24"/>
          <w:szCs w:val="24"/>
        </w:rPr>
        <w:t>本办法所称中介机构，是指依法登记设立和经行业行政主管部门批准、按照规定的业务规则和程序，向委托人提供服务的具有经济鉴证执业资格的会计师事务所、资产评估机构、工程造价咨询机构等。</w:t>
      </w:r>
    </w:p>
    <w:p>
      <w:pPr>
        <w:spacing w:line="360" w:lineRule="auto"/>
        <w:ind w:firstLine="482" w:firstLineChars="200"/>
        <w:rPr>
          <w:sz w:val="24"/>
          <w:szCs w:val="24"/>
        </w:rPr>
      </w:pPr>
      <w:r>
        <w:rPr>
          <w:b/>
          <w:sz w:val="24"/>
          <w:szCs w:val="24"/>
          <w:shd w:val="clear" w:color="auto" w:fill="FFFFFF"/>
        </w:rPr>
        <w:t>第二条</w:t>
      </w:r>
      <w:r>
        <w:rPr>
          <w:sz w:val="24"/>
          <w:szCs w:val="24"/>
          <w:shd w:val="clear" w:color="auto" w:fill="FFFFFF"/>
        </w:rPr>
        <w:t xml:space="preserve">  </w:t>
      </w:r>
      <w:r>
        <w:rPr>
          <w:kern w:val="0"/>
          <w:sz w:val="24"/>
          <w:szCs w:val="24"/>
        </w:rPr>
        <w:t>本办法所称购买中介机构服务，</w:t>
      </w:r>
      <w:r>
        <w:rPr>
          <w:sz w:val="24"/>
          <w:szCs w:val="24"/>
        </w:rPr>
        <w:t>是指我区行政事业单位，国有公司（以下简称委托人）购买中介机构开展工程预算编制、预（结）算审核，资产评估，财政（财务）审计、清产核资等工作。</w:t>
      </w:r>
    </w:p>
    <w:p>
      <w:pPr>
        <w:spacing w:line="360" w:lineRule="auto"/>
        <w:ind w:firstLine="482" w:firstLineChars="200"/>
        <w:rPr>
          <w:sz w:val="24"/>
          <w:szCs w:val="24"/>
        </w:rPr>
      </w:pPr>
      <w:r>
        <w:rPr>
          <w:b/>
          <w:sz w:val="24"/>
          <w:szCs w:val="24"/>
        </w:rPr>
        <w:t xml:space="preserve">第三条  </w:t>
      </w:r>
      <w:r>
        <w:rPr>
          <w:sz w:val="24"/>
          <w:szCs w:val="24"/>
        </w:rPr>
        <w:t>财政局采用公开招标方式，确定中介机构定点服务单位,成立中介机构定点服务单位备选库（以下简称备选库），中介机构履约服务期限为三年。</w:t>
      </w:r>
    </w:p>
    <w:p>
      <w:pPr>
        <w:spacing w:line="360" w:lineRule="auto"/>
        <w:jc w:val="center"/>
        <w:rPr>
          <w:rFonts w:eastAsia="黑体"/>
          <w:sz w:val="24"/>
          <w:szCs w:val="24"/>
        </w:rPr>
      </w:pPr>
      <w:r>
        <w:rPr>
          <w:rFonts w:hAnsi="黑体" w:eastAsia="黑体"/>
          <w:sz w:val="24"/>
          <w:szCs w:val="24"/>
        </w:rPr>
        <w:t>第二章中介机构服务收费标准及管理要求</w:t>
      </w:r>
    </w:p>
    <w:p>
      <w:pPr>
        <w:widowControl/>
        <w:spacing w:line="360" w:lineRule="auto"/>
        <w:ind w:firstLine="482" w:firstLineChars="200"/>
        <w:rPr>
          <w:sz w:val="24"/>
          <w:szCs w:val="24"/>
        </w:rPr>
      </w:pPr>
      <w:r>
        <w:rPr>
          <w:b/>
          <w:sz w:val="24"/>
          <w:szCs w:val="24"/>
        </w:rPr>
        <w:t xml:space="preserve">第四条  </w:t>
      </w:r>
      <w:r>
        <w:rPr>
          <w:sz w:val="24"/>
          <w:szCs w:val="24"/>
        </w:rPr>
        <w:t>中介机构业务委托类别及收费率上限</w:t>
      </w:r>
    </w:p>
    <w:p>
      <w:pPr>
        <w:widowControl/>
        <w:spacing w:line="360" w:lineRule="auto"/>
        <w:ind w:firstLine="480" w:firstLineChars="200"/>
        <w:rPr>
          <w:sz w:val="24"/>
          <w:szCs w:val="24"/>
        </w:rPr>
      </w:pPr>
      <w:r>
        <w:rPr>
          <w:sz w:val="24"/>
          <w:szCs w:val="24"/>
        </w:rPr>
        <w:t>根据中评协〔2009〕199号、豫发改收费〔2008〕2510号、豫发改收费〔2011〕2374号等文件规定收费标准，结合周边县区中介服务费实际支付情况，将示范区有关中介机构服务费用支付标准明确如下：</w:t>
      </w:r>
    </w:p>
    <w:p>
      <w:pPr>
        <w:numPr>
          <w:ilvl w:val="0"/>
          <w:numId w:val="16"/>
        </w:numPr>
        <w:spacing w:line="360" w:lineRule="auto"/>
        <w:rPr>
          <w:b/>
          <w:bCs/>
          <w:sz w:val="24"/>
          <w:szCs w:val="24"/>
        </w:rPr>
      </w:pPr>
      <w:r>
        <w:rPr>
          <w:b/>
          <w:bCs/>
          <w:sz w:val="24"/>
          <w:szCs w:val="24"/>
        </w:rPr>
        <w:t>预算编制服务费及预（结）算审查收费标准</w:t>
      </w:r>
    </w:p>
    <w:p>
      <w:pPr>
        <w:spacing w:line="360" w:lineRule="auto"/>
        <w:ind w:firstLine="480" w:firstLineChars="200"/>
        <w:rPr>
          <w:b/>
          <w:bCs/>
          <w:kern w:val="0"/>
          <w:sz w:val="24"/>
          <w:szCs w:val="24"/>
        </w:rPr>
      </w:pPr>
      <w:r>
        <w:rPr>
          <w:sz w:val="24"/>
          <w:szCs w:val="24"/>
        </w:rPr>
        <w:t>（一）</w:t>
      </w:r>
      <w:r>
        <w:rPr>
          <w:kern w:val="0"/>
          <w:sz w:val="24"/>
          <w:szCs w:val="24"/>
        </w:rPr>
        <w:t>预（结）算审查实行业务绩效与付费挂钩，在基础费率据实计算后，</w:t>
      </w:r>
      <w:r>
        <w:rPr>
          <w:sz w:val="24"/>
          <w:szCs w:val="24"/>
        </w:rPr>
        <w:t>再按经被审单位认可的合规审减金额，根据合同约定比例，奖励性增加付费。提供造价咨询服务应与中介机构自身资质相匹配，</w:t>
      </w:r>
      <w:r>
        <w:rPr>
          <w:sz w:val="24"/>
          <w:szCs w:val="24"/>
          <w:shd w:val="clear" w:color="auto" w:fill="FFFFFF"/>
        </w:rPr>
        <w:t>按照《工程造价咨询企业管理办法》（建设部令第149号）的规定，甲级工程造价咨询机构可以从事各类建设项目的工程造价咨询业务，乙级可以从事5000万元以下工程造价咨询业务，中介机构的选择应符合此规定。</w:t>
      </w:r>
    </w:p>
    <w:p>
      <w:pPr>
        <w:spacing w:line="360" w:lineRule="auto"/>
        <w:ind w:firstLine="480" w:firstLineChars="200"/>
        <w:rPr>
          <w:sz w:val="24"/>
          <w:szCs w:val="24"/>
        </w:rPr>
      </w:pPr>
      <w:r>
        <w:rPr>
          <w:sz w:val="24"/>
          <w:szCs w:val="24"/>
        </w:rPr>
        <w:t>（二）工程量清单及预算编制费</w:t>
      </w:r>
    </w:p>
    <w:p>
      <w:pPr>
        <w:spacing w:line="360" w:lineRule="auto"/>
        <w:ind w:firstLine="480" w:firstLineChars="200"/>
        <w:rPr>
          <w:sz w:val="24"/>
          <w:szCs w:val="24"/>
        </w:rPr>
      </w:pPr>
      <w:r>
        <w:rPr>
          <w:sz w:val="24"/>
          <w:szCs w:val="24"/>
        </w:rPr>
        <w:t>工程量清单及预算编制费 =工程造价×工程量清单及预算编制费费率</w:t>
      </w:r>
    </w:p>
    <w:p>
      <w:pPr>
        <w:spacing w:line="360" w:lineRule="auto"/>
        <w:ind w:right="-216"/>
        <w:jc w:val="center"/>
        <w:rPr>
          <w:rFonts w:eastAsia="黑体"/>
          <w:bCs/>
          <w:sz w:val="24"/>
          <w:szCs w:val="24"/>
        </w:rPr>
      </w:pPr>
      <w:r>
        <w:rPr>
          <w:rFonts w:eastAsia="黑体"/>
          <w:sz w:val="24"/>
          <w:szCs w:val="24"/>
        </w:rPr>
        <w:t>表一 工程量清单及预算编制</w:t>
      </w:r>
      <w:r>
        <w:rPr>
          <w:rFonts w:eastAsia="黑体"/>
          <w:kern w:val="0"/>
          <w:sz w:val="24"/>
          <w:szCs w:val="24"/>
        </w:rPr>
        <w:t>费费率表</w:t>
      </w:r>
    </w:p>
    <w:tbl>
      <w:tblPr>
        <w:tblStyle w:val="22"/>
        <w:tblW w:w="83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458"/>
        <w:gridCol w:w="19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89" w:type="dxa"/>
            <w:vAlign w:val="center"/>
          </w:tcPr>
          <w:p>
            <w:pPr>
              <w:spacing w:line="360" w:lineRule="auto"/>
              <w:ind w:right="-216"/>
              <w:jc w:val="center"/>
              <w:rPr>
                <w:sz w:val="24"/>
                <w:szCs w:val="24"/>
              </w:rPr>
            </w:pPr>
            <w:r>
              <w:rPr>
                <w:sz w:val="24"/>
                <w:szCs w:val="24"/>
              </w:rPr>
              <w:t>档次</w:t>
            </w:r>
          </w:p>
        </w:tc>
        <w:tc>
          <w:tcPr>
            <w:tcW w:w="3458" w:type="dxa"/>
            <w:vAlign w:val="center"/>
          </w:tcPr>
          <w:p>
            <w:pPr>
              <w:spacing w:line="360" w:lineRule="auto"/>
              <w:ind w:right="-216"/>
              <w:jc w:val="center"/>
              <w:rPr>
                <w:sz w:val="24"/>
                <w:szCs w:val="24"/>
              </w:rPr>
            </w:pPr>
            <w:r>
              <w:rPr>
                <w:sz w:val="24"/>
                <w:szCs w:val="24"/>
              </w:rPr>
              <w:t>工程造价</w:t>
            </w:r>
          </w:p>
        </w:tc>
        <w:tc>
          <w:tcPr>
            <w:tcW w:w="1984" w:type="dxa"/>
            <w:vAlign w:val="center"/>
          </w:tcPr>
          <w:p>
            <w:pPr>
              <w:spacing w:line="360" w:lineRule="auto"/>
              <w:ind w:right="-216"/>
              <w:jc w:val="center"/>
              <w:rPr>
                <w:sz w:val="24"/>
                <w:szCs w:val="24"/>
              </w:rPr>
            </w:pPr>
            <w:r>
              <w:rPr>
                <w:sz w:val="24"/>
                <w:szCs w:val="24"/>
              </w:rPr>
              <w:t>一类项目费率</w:t>
            </w:r>
          </w:p>
        </w:tc>
        <w:tc>
          <w:tcPr>
            <w:tcW w:w="1869" w:type="dxa"/>
            <w:vAlign w:val="center"/>
          </w:tcPr>
          <w:p>
            <w:pPr>
              <w:spacing w:line="360" w:lineRule="auto"/>
              <w:ind w:right="-216"/>
              <w:jc w:val="center"/>
              <w:rPr>
                <w:sz w:val="24"/>
                <w:szCs w:val="24"/>
              </w:rPr>
            </w:pPr>
            <w:r>
              <w:rPr>
                <w:sz w:val="24"/>
                <w:szCs w:val="24"/>
              </w:rPr>
              <w:t>二类项目费率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1</w:t>
            </w:r>
          </w:p>
        </w:tc>
        <w:tc>
          <w:tcPr>
            <w:tcW w:w="3458" w:type="dxa"/>
            <w:vAlign w:val="center"/>
          </w:tcPr>
          <w:p>
            <w:pPr>
              <w:spacing w:line="360" w:lineRule="auto"/>
              <w:ind w:right="-216"/>
              <w:jc w:val="center"/>
              <w:rPr>
                <w:sz w:val="24"/>
                <w:szCs w:val="24"/>
              </w:rPr>
            </w:pPr>
            <w:r>
              <w:rPr>
                <w:sz w:val="24"/>
                <w:szCs w:val="24"/>
              </w:rPr>
              <w:t>500万元以下（含500万元）</w:t>
            </w:r>
          </w:p>
        </w:tc>
        <w:tc>
          <w:tcPr>
            <w:tcW w:w="1984" w:type="dxa"/>
            <w:vAlign w:val="center"/>
          </w:tcPr>
          <w:p>
            <w:pPr>
              <w:spacing w:line="360" w:lineRule="auto"/>
              <w:ind w:right="-216"/>
              <w:jc w:val="center"/>
              <w:rPr>
                <w:sz w:val="24"/>
                <w:szCs w:val="24"/>
              </w:rPr>
            </w:pPr>
            <w:r>
              <w:rPr>
                <w:sz w:val="24"/>
                <w:szCs w:val="24"/>
              </w:rPr>
              <w:t>3‰</w:t>
            </w:r>
          </w:p>
        </w:tc>
        <w:tc>
          <w:tcPr>
            <w:tcW w:w="1869" w:type="dxa"/>
            <w:vAlign w:val="center"/>
          </w:tcPr>
          <w:p>
            <w:pPr>
              <w:spacing w:line="360" w:lineRule="auto"/>
              <w:ind w:right="-216"/>
              <w:jc w:val="center"/>
              <w:rPr>
                <w:sz w:val="24"/>
                <w:szCs w:val="24"/>
              </w:rPr>
            </w:pPr>
            <w:r>
              <w:rPr>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2</w:t>
            </w:r>
          </w:p>
        </w:tc>
        <w:tc>
          <w:tcPr>
            <w:tcW w:w="3458" w:type="dxa"/>
            <w:vAlign w:val="center"/>
          </w:tcPr>
          <w:p>
            <w:pPr>
              <w:spacing w:line="360" w:lineRule="auto"/>
              <w:ind w:right="-216"/>
              <w:jc w:val="center"/>
              <w:rPr>
                <w:sz w:val="24"/>
                <w:szCs w:val="24"/>
              </w:rPr>
            </w:pPr>
            <w:r>
              <w:rPr>
                <w:sz w:val="24"/>
                <w:szCs w:val="24"/>
              </w:rPr>
              <w:t>500万元以上-1000万元</w:t>
            </w:r>
          </w:p>
        </w:tc>
        <w:tc>
          <w:tcPr>
            <w:tcW w:w="1984" w:type="dxa"/>
            <w:vAlign w:val="center"/>
          </w:tcPr>
          <w:p>
            <w:pPr>
              <w:spacing w:line="360" w:lineRule="auto"/>
              <w:ind w:right="-216"/>
              <w:jc w:val="center"/>
              <w:rPr>
                <w:sz w:val="24"/>
                <w:szCs w:val="24"/>
              </w:rPr>
            </w:pPr>
            <w:r>
              <w:rPr>
                <w:sz w:val="24"/>
                <w:szCs w:val="24"/>
              </w:rPr>
              <w:t>2.5‰</w:t>
            </w:r>
          </w:p>
        </w:tc>
        <w:tc>
          <w:tcPr>
            <w:tcW w:w="1869" w:type="dxa"/>
            <w:vAlign w:val="center"/>
          </w:tcPr>
          <w:p>
            <w:pPr>
              <w:spacing w:line="360" w:lineRule="auto"/>
              <w:ind w:right="-216"/>
              <w:jc w:val="center"/>
              <w:rPr>
                <w:sz w:val="24"/>
                <w:szCs w:val="24"/>
              </w:rPr>
            </w:pPr>
            <w:r>
              <w:rPr>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3</w:t>
            </w:r>
          </w:p>
        </w:tc>
        <w:tc>
          <w:tcPr>
            <w:tcW w:w="3458" w:type="dxa"/>
            <w:vAlign w:val="center"/>
          </w:tcPr>
          <w:p>
            <w:pPr>
              <w:spacing w:line="360" w:lineRule="auto"/>
              <w:ind w:right="-216"/>
              <w:jc w:val="center"/>
              <w:rPr>
                <w:sz w:val="24"/>
                <w:szCs w:val="24"/>
              </w:rPr>
            </w:pPr>
            <w:r>
              <w:rPr>
                <w:sz w:val="24"/>
                <w:szCs w:val="24"/>
              </w:rPr>
              <w:t>1000万元以上-5000万元</w:t>
            </w:r>
          </w:p>
        </w:tc>
        <w:tc>
          <w:tcPr>
            <w:tcW w:w="1984" w:type="dxa"/>
            <w:vAlign w:val="center"/>
          </w:tcPr>
          <w:p>
            <w:pPr>
              <w:spacing w:line="360" w:lineRule="auto"/>
              <w:ind w:right="-216"/>
              <w:jc w:val="center"/>
              <w:rPr>
                <w:sz w:val="24"/>
                <w:szCs w:val="24"/>
              </w:rPr>
            </w:pPr>
            <w:r>
              <w:rPr>
                <w:sz w:val="24"/>
                <w:szCs w:val="24"/>
              </w:rPr>
              <w:t>2‰</w:t>
            </w:r>
          </w:p>
        </w:tc>
        <w:tc>
          <w:tcPr>
            <w:tcW w:w="1869" w:type="dxa"/>
            <w:vAlign w:val="center"/>
          </w:tcPr>
          <w:p>
            <w:pPr>
              <w:spacing w:line="360" w:lineRule="auto"/>
              <w:ind w:right="-216"/>
              <w:jc w:val="center"/>
              <w:rPr>
                <w:sz w:val="24"/>
                <w:szCs w:val="24"/>
              </w:rPr>
            </w:pPr>
            <w:r>
              <w:rPr>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Align w:val="center"/>
          </w:tcPr>
          <w:p>
            <w:pPr>
              <w:spacing w:line="360" w:lineRule="auto"/>
              <w:ind w:right="-216"/>
              <w:jc w:val="center"/>
              <w:rPr>
                <w:sz w:val="24"/>
                <w:szCs w:val="24"/>
              </w:rPr>
            </w:pPr>
            <w:r>
              <w:rPr>
                <w:sz w:val="24"/>
                <w:szCs w:val="24"/>
              </w:rPr>
              <w:t>4</w:t>
            </w:r>
          </w:p>
        </w:tc>
        <w:tc>
          <w:tcPr>
            <w:tcW w:w="3458" w:type="dxa"/>
            <w:vAlign w:val="center"/>
          </w:tcPr>
          <w:p>
            <w:pPr>
              <w:spacing w:line="360" w:lineRule="auto"/>
              <w:ind w:right="-216"/>
              <w:jc w:val="center"/>
              <w:rPr>
                <w:sz w:val="24"/>
                <w:szCs w:val="24"/>
              </w:rPr>
            </w:pPr>
            <w:r>
              <w:rPr>
                <w:sz w:val="24"/>
                <w:szCs w:val="24"/>
              </w:rPr>
              <w:t>5000万元以上-1亿元</w:t>
            </w:r>
          </w:p>
        </w:tc>
        <w:tc>
          <w:tcPr>
            <w:tcW w:w="1984" w:type="dxa"/>
            <w:vAlign w:val="center"/>
          </w:tcPr>
          <w:p>
            <w:pPr>
              <w:spacing w:line="360" w:lineRule="auto"/>
              <w:ind w:right="-216"/>
              <w:jc w:val="center"/>
              <w:rPr>
                <w:sz w:val="24"/>
                <w:szCs w:val="24"/>
              </w:rPr>
            </w:pPr>
            <w:r>
              <w:rPr>
                <w:sz w:val="24"/>
                <w:szCs w:val="24"/>
              </w:rPr>
              <w:t>1.5‰</w:t>
            </w:r>
          </w:p>
        </w:tc>
        <w:tc>
          <w:tcPr>
            <w:tcW w:w="1869" w:type="dxa"/>
            <w:vAlign w:val="center"/>
          </w:tcPr>
          <w:p>
            <w:pPr>
              <w:spacing w:line="360" w:lineRule="auto"/>
              <w:ind w:right="-216"/>
              <w:jc w:val="center"/>
              <w:rPr>
                <w:sz w:val="24"/>
                <w:szCs w:val="24"/>
              </w:rPr>
            </w:pPr>
            <w:r>
              <w:rPr>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vAlign w:val="center"/>
          </w:tcPr>
          <w:p>
            <w:pPr>
              <w:spacing w:line="360" w:lineRule="auto"/>
              <w:ind w:right="-216"/>
              <w:jc w:val="center"/>
              <w:rPr>
                <w:sz w:val="24"/>
                <w:szCs w:val="24"/>
              </w:rPr>
            </w:pPr>
            <w:r>
              <w:rPr>
                <w:sz w:val="24"/>
                <w:szCs w:val="24"/>
              </w:rPr>
              <w:t>5</w:t>
            </w:r>
          </w:p>
        </w:tc>
        <w:tc>
          <w:tcPr>
            <w:tcW w:w="3458" w:type="dxa"/>
            <w:vAlign w:val="center"/>
          </w:tcPr>
          <w:p>
            <w:pPr>
              <w:spacing w:line="360" w:lineRule="auto"/>
              <w:ind w:right="-216"/>
              <w:jc w:val="center"/>
              <w:rPr>
                <w:sz w:val="24"/>
                <w:szCs w:val="24"/>
              </w:rPr>
            </w:pPr>
            <w:r>
              <w:rPr>
                <w:sz w:val="24"/>
                <w:szCs w:val="24"/>
              </w:rPr>
              <w:t>1亿元以上-5亿元</w:t>
            </w:r>
          </w:p>
        </w:tc>
        <w:tc>
          <w:tcPr>
            <w:tcW w:w="1984" w:type="dxa"/>
            <w:vAlign w:val="center"/>
          </w:tcPr>
          <w:p>
            <w:pPr>
              <w:spacing w:line="360" w:lineRule="auto"/>
              <w:ind w:right="-216"/>
              <w:jc w:val="center"/>
              <w:rPr>
                <w:sz w:val="24"/>
                <w:szCs w:val="24"/>
              </w:rPr>
            </w:pPr>
            <w:r>
              <w:rPr>
                <w:sz w:val="24"/>
                <w:szCs w:val="24"/>
              </w:rPr>
              <w:t>1‰</w:t>
            </w:r>
          </w:p>
        </w:tc>
        <w:tc>
          <w:tcPr>
            <w:tcW w:w="1869" w:type="dxa"/>
            <w:vAlign w:val="center"/>
          </w:tcPr>
          <w:p>
            <w:pPr>
              <w:spacing w:line="360" w:lineRule="auto"/>
              <w:ind w:right="-216"/>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vAlign w:val="center"/>
          </w:tcPr>
          <w:p>
            <w:pPr>
              <w:spacing w:line="360" w:lineRule="auto"/>
              <w:ind w:right="-216"/>
              <w:jc w:val="center"/>
              <w:rPr>
                <w:sz w:val="24"/>
                <w:szCs w:val="24"/>
              </w:rPr>
            </w:pPr>
            <w:r>
              <w:rPr>
                <w:sz w:val="24"/>
                <w:szCs w:val="24"/>
              </w:rPr>
              <w:t>6</w:t>
            </w:r>
          </w:p>
        </w:tc>
        <w:tc>
          <w:tcPr>
            <w:tcW w:w="3458" w:type="dxa"/>
            <w:vAlign w:val="center"/>
          </w:tcPr>
          <w:p>
            <w:pPr>
              <w:spacing w:line="360" w:lineRule="auto"/>
              <w:ind w:right="-216"/>
              <w:jc w:val="center"/>
              <w:rPr>
                <w:sz w:val="24"/>
                <w:szCs w:val="24"/>
              </w:rPr>
            </w:pPr>
            <w:r>
              <w:rPr>
                <w:sz w:val="24"/>
                <w:szCs w:val="24"/>
              </w:rPr>
              <w:t>5亿元以上</w:t>
            </w:r>
          </w:p>
        </w:tc>
        <w:tc>
          <w:tcPr>
            <w:tcW w:w="1984" w:type="dxa"/>
            <w:vAlign w:val="center"/>
          </w:tcPr>
          <w:p>
            <w:pPr>
              <w:spacing w:line="360" w:lineRule="auto"/>
              <w:ind w:right="-216"/>
              <w:jc w:val="center"/>
              <w:rPr>
                <w:sz w:val="24"/>
                <w:szCs w:val="24"/>
              </w:rPr>
            </w:pPr>
            <w:r>
              <w:rPr>
                <w:sz w:val="24"/>
                <w:szCs w:val="24"/>
              </w:rPr>
              <w:t>0.8‰</w:t>
            </w:r>
          </w:p>
        </w:tc>
        <w:tc>
          <w:tcPr>
            <w:tcW w:w="1869" w:type="dxa"/>
            <w:vAlign w:val="center"/>
          </w:tcPr>
          <w:p>
            <w:pPr>
              <w:spacing w:line="360" w:lineRule="auto"/>
              <w:ind w:right="-216"/>
              <w:jc w:val="center"/>
              <w:rPr>
                <w:sz w:val="24"/>
                <w:szCs w:val="24"/>
              </w:rPr>
            </w:pPr>
            <w:r>
              <w:rPr>
                <w:sz w:val="24"/>
                <w:szCs w:val="24"/>
              </w:rPr>
              <w:t>0.8‰</w:t>
            </w:r>
          </w:p>
        </w:tc>
      </w:tr>
    </w:tbl>
    <w:p>
      <w:pPr>
        <w:spacing w:line="360" w:lineRule="auto"/>
        <w:ind w:firstLine="480" w:firstLineChars="200"/>
        <w:rPr>
          <w:sz w:val="24"/>
          <w:szCs w:val="24"/>
        </w:rPr>
      </w:pPr>
      <w:r>
        <w:rPr>
          <w:sz w:val="24"/>
          <w:szCs w:val="24"/>
        </w:rPr>
        <w:t>（三）工程预算审查委托费</w:t>
      </w:r>
    </w:p>
    <w:p>
      <w:pPr>
        <w:spacing w:line="360" w:lineRule="auto"/>
        <w:ind w:firstLine="480" w:firstLineChars="200"/>
        <w:rPr>
          <w:sz w:val="24"/>
          <w:szCs w:val="24"/>
        </w:rPr>
      </w:pPr>
      <w:r>
        <w:rPr>
          <w:sz w:val="24"/>
          <w:szCs w:val="24"/>
        </w:rPr>
        <w:t>工程预算审查委托费 =基本费计算基数×基本费费率+审减追加费计算基数×审减追加费费率。</w:t>
      </w:r>
    </w:p>
    <w:p>
      <w:pPr>
        <w:spacing w:line="360" w:lineRule="auto"/>
        <w:ind w:right="-216" w:firstLine="235" w:firstLineChars="98"/>
        <w:jc w:val="center"/>
        <w:rPr>
          <w:rFonts w:eastAsia="黑体"/>
          <w:sz w:val="24"/>
          <w:szCs w:val="24"/>
        </w:rPr>
      </w:pPr>
      <w:r>
        <w:rPr>
          <w:rFonts w:eastAsia="黑体"/>
          <w:sz w:val="24"/>
          <w:szCs w:val="24"/>
        </w:rPr>
        <w:t>表二 工程预算审查委托费费率表</w:t>
      </w:r>
    </w:p>
    <w:tbl>
      <w:tblPr>
        <w:tblStyle w:val="22"/>
        <w:tblW w:w="8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533"/>
        <w:gridCol w:w="155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rPr>
                <w:sz w:val="24"/>
                <w:szCs w:val="24"/>
              </w:rPr>
            </w:pPr>
            <w:r>
              <w:rPr>
                <w:sz w:val="24"/>
                <w:szCs w:val="24"/>
              </w:rPr>
              <w:t>档次</w:t>
            </w:r>
          </w:p>
        </w:tc>
        <w:tc>
          <w:tcPr>
            <w:tcW w:w="3036" w:type="dxa"/>
            <w:vAlign w:val="center"/>
          </w:tcPr>
          <w:p>
            <w:pPr>
              <w:spacing w:line="360" w:lineRule="auto"/>
              <w:ind w:right="-216"/>
              <w:jc w:val="center"/>
              <w:rPr>
                <w:sz w:val="24"/>
                <w:szCs w:val="24"/>
              </w:rPr>
            </w:pPr>
            <w:r>
              <w:rPr>
                <w:sz w:val="24"/>
                <w:szCs w:val="24"/>
              </w:rPr>
              <w:t>工程造价</w:t>
            </w:r>
          </w:p>
        </w:tc>
        <w:tc>
          <w:tcPr>
            <w:tcW w:w="1533" w:type="dxa"/>
          </w:tcPr>
          <w:p>
            <w:pPr>
              <w:spacing w:line="360" w:lineRule="auto"/>
              <w:ind w:right="-216"/>
              <w:rPr>
                <w:sz w:val="24"/>
                <w:szCs w:val="24"/>
              </w:rPr>
            </w:pPr>
            <w:r>
              <w:rPr>
                <w:sz w:val="24"/>
                <w:szCs w:val="24"/>
              </w:rPr>
              <w:t>一类项目费率</w:t>
            </w:r>
          </w:p>
        </w:tc>
        <w:tc>
          <w:tcPr>
            <w:tcW w:w="1551" w:type="dxa"/>
            <w:vAlign w:val="center"/>
          </w:tcPr>
          <w:p>
            <w:pPr>
              <w:spacing w:line="360" w:lineRule="auto"/>
              <w:ind w:right="-216"/>
              <w:rPr>
                <w:sz w:val="24"/>
                <w:szCs w:val="24"/>
              </w:rPr>
            </w:pPr>
            <w:r>
              <w:rPr>
                <w:sz w:val="24"/>
                <w:szCs w:val="24"/>
              </w:rPr>
              <w:t>二类项目费率</w:t>
            </w:r>
          </w:p>
        </w:tc>
        <w:tc>
          <w:tcPr>
            <w:tcW w:w="1794" w:type="dxa"/>
          </w:tcPr>
          <w:p>
            <w:pPr>
              <w:spacing w:line="360" w:lineRule="auto"/>
              <w:ind w:right="-216"/>
              <w:rPr>
                <w:sz w:val="24"/>
                <w:szCs w:val="24"/>
              </w:rPr>
            </w:pPr>
            <w:r>
              <w:rPr>
                <w:sz w:val="24"/>
                <w:szCs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1</w:t>
            </w:r>
          </w:p>
        </w:tc>
        <w:tc>
          <w:tcPr>
            <w:tcW w:w="3036" w:type="dxa"/>
            <w:vAlign w:val="center"/>
          </w:tcPr>
          <w:p>
            <w:pPr>
              <w:spacing w:line="360" w:lineRule="auto"/>
              <w:ind w:right="-216"/>
              <w:jc w:val="center"/>
              <w:rPr>
                <w:sz w:val="24"/>
                <w:szCs w:val="24"/>
              </w:rPr>
            </w:pPr>
            <w:r>
              <w:rPr>
                <w:sz w:val="24"/>
                <w:szCs w:val="24"/>
              </w:rPr>
              <w:t>500万元以下（含500万元）</w:t>
            </w:r>
          </w:p>
        </w:tc>
        <w:tc>
          <w:tcPr>
            <w:tcW w:w="1533" w:type="dxa"/>
          </w:tcPr>
          <w:p>
            <w:pPr>
              <w:spacing w:line="360" w:lineRule="auto"/>
              <w:ind w:right="-216"/>
              <w:jc w:val="center"/>
              <w:rPr>
                <w:sz w:val="24"/>
                <w:szCs w:val="24"/>
              </w:rPr>
            </w:pPr>
            <w:r>
              <w:rPr>
                <w:sz w:val="24"/>
                <w:szCs w:val="24"/>
              </w:rPr>
              <w:t>1.5‰</w:t>
            </w:r>
          </w:p>
        </w:tc>
        <w:tc>
          <w:tcPr>
            <w:tcW w:w="1551" w:type="dxa"/>
            <w:vAlign w:val="center"/>
          </w:tcPr>
          <w:p>
            <w:pPr>
              <w:spacing w:line="360" w:lineRule="auto"/>
              <w:ind w:right="-216"/>
              <w:jc w:val="center"/>
              <w:rPr>
                <w:sz w:val="24"/>
                <w:szCs w:val="24"/>
              </w:rPr>
            </w:pPr>
            <w:r>
              <w:rPr>
                <w:sz w:val="24"/>
                <w:szCs w:val="24"/>
              </w:rPr>
              <w:t>1.5‰</w:t>
            </w:r>
          </w:p>
        </w:tc>
        <w:tc>
          <w:tcPr>
            <w:tcW w:w="1794" w:type="dxa"/>
          </w:tcPr>
          <w:p>
            <w:pPr>
              <w:spacing w:line="360" w:lineRule="auto"/>
              <w:ind w:right="-216"/>
              <w:jc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2</w:t>
            </w:r>
          </w:p>
        </w:tc>
        <w:tc>
          <w:tcPr>
            <w:tcW w:w="3036" w:type="dxa"/>
            <w:vAlign w:val="center"/>
          </w:tcPr>
          <w:p>
            <w:pPr>
              <w:spacing w:line="360" w:lineRule="auto"/>
              <w:ind w:right="-216"/>
              <w:jc w:val="center"/>
              <w:rPr>
                <w:sz w:val="24"/>
                <w:szCs w:val="24"/>
              </w:rPr>
            </w:pPr>
            <w:r>
              <w:rPr>
                <w:sz w:val="24"/>
                <w:szCs w:val="24"/>
              </w:rPr>
              <w:t>500万元以上-1000万元</w:t>
            </w:r>
          </w:p>
        </w:tc>
        <w:tc>
          <w:tcPr>
            <w:tcW w:w="1533" w:type="dxa"/>
          </w:tcPr>
          <w:p>
            <w:pPr>
              <w:spacing w:line="360" w:lineRule="auto"/>
              <w:ind w:right="-216"/>
              <w:jc w:val="center"/>
              <w:rPr>
                <w:sz w:val="24"/>
                <w:szCs w:val="24"/>
              </w:rPr>
            </w:pPr>
            <w:r>
              <w:rPr>
                <w:sz w:val="24"/>
                <w:szCs w:val="24"/>
              </w:rPr>
              <w:t>1.3‰</w:t>
            </w:r>
          </w:p>
        </w:tc>
        <w:tc>
          <w:tcPr>
            <w:tcW w:w="1551" w:type="dxa"/>
            <w:vAlign w:val="center"/>
          </w:tcPr>
          <w:p>
            <w:pPr>
              <w:spacing w:line="360" w:lineRule="auto"/>
              <w:ind w:right="-216"/>
              <w:jc w:val="center"/>
              <w:rPr>
                <w:sz w:val="24"/>
                <w:szCs w:val="24"/>
              </w:rPr>
            </w:pPr>
            <w:r>
              <w:rPr>
                <w:sz w:val="24"/>
                <w:szCs w:val="24"/>
              </w:rPr>
              <w:t>1.1‰</w:t>
            </w:r>
          </w:p>
        </w:tc>
        <w:tc>
          <w:tcPr>
            <w:tcW w:w="1794" w:type="dxa"/>
          </w:tcPr>
          <w:p>
            <w:pPr>
              <w:spacing w:line="360" w:lineRule="auto"/>
              <w:ind w:right="-216"/>
              <w:jc w:val="center"/>
              <w:rPr>
                <w:sz w:val="24"/>
                <w:szCs w:val="24"/>
              </w:rPr>
            </w:pPr>
            <w:r>
              <w:rPr>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3</w:t>
            </w:r>
          </w:p>
        </w:tc>
        <w:tc>
          <w:tcPr>
            <w:tcW w:w="3036" w:type="dxa"/>
            <w:vAlign w:val="center"/>
          </w:tcPr>
          <w:p>
            <w:pPr>
              <w:spacing w:line="360" w:lineRule="auto"/>
              <w:ind w:right="-216"/>
              <w:jc w:val="center"/>
              <w:rPr>
                <w:sz w:val="24"/>
                <w:szCs w:val="24"/>
              </w:rPr>
            </w:pPr>
            <w:r>
              <w:rPr>
                <w:sz w:val="24"/>
                <w:szCs w:val="24"/>
              </w:rPr>
              <w:t>1000万元以上-5000万元</w:t>
            </w:r>
          </w:p>
        </w:tc>
        <w:tc>
          <w:tcPr>
            <w:tcW w:w="1533" w:type="dxa"/>
          </w:tcPr>
          <w:p>
            <w:pPr>
              <w:spacing w:line="360" w:lineRule="auto"/>
              <w:ind w:right="-216"/>
              <w:jc w:val="center"/>
              <w:rPr>
                <w:sz w:val="24"/>
                <w:szCs w:val="24"/>
              </w:rPr>
            </w:pPr>
            <w:r>
              <w:rPr>
                <w:sz w:val="24"/>
                <w:szCs w:val="24"/>
              </w:rPr>
              <w:t>1.1‰</w:t>
            </w:r>
          </w:p>
        </w:tc>
        <w:tc>
          <w:tcPr>
            <w:tcW w:w="1551" w:type="dxa"/>
            <w:vAlign w:val="center"/>
          </w:tcPr>
          <w:p>
            <w:pPr>
              <w:spacing w:line="360" w:lineRule="auto"/>
              <w:ind w:right="-216"/>
              <w:jc w:val="center"/>
              <w:rPr>
                <w:sz w:val="24"/>
                <w:szCs w:val="24"/>
              </w:rPr>
            </w:pPr>
            <w:r>
              <w:rPr>
                <w:sz w:val="24"/>
                <w:szCs w:val="24"/>
              </w:rPr>
              <w:t>1.0‰</w:t>
            </w:r>
          </w:p>
        </w:tc>
        <w:tc>
          <w:tcPr>
            <w:tcW w:w="1794" w:type="dxa"/>
          </w:tcPr>
          <w:p>
            <w:pPr>
              <w:spacing w:line="360" w:lineRule="auto"/>
              <w:ind w:right="-216"/>
              <w:jc w:val="center"/>
              <w:rPr>
                <w:sz w:val="24"/>
                <w:szCs w:val="24"/>
              </w:rPr>
            </w:pPr>
            <w:r>
              <w:rPr>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vAlign w:val="center"/>
          </w:tcPr>
          <w:p>
            <w:pPr>
              <w:spacing w:line="360" w:lineRule="auto"/>
              <w:ind w:right="-216"/>
              <w:jc w:val="center"/>
              <w:rPr>
                <w:sz w:val="24"/>
                <w:szCs w:val="24"/>
              </w:rPr>
            </w:pPr>
            <w:r>
              <w:rPr>
                <w:sz w:val="24"/>
                <w:szCs w:val="24"/>
              </w:rPr>
              <w:t>4</w:t>
            </w:r>
          </w:p>
        </w:tc>
        <w:tc>
          <w:tcPr>
            <w:tcW w:w="3036" w:type="dxa"/>
            <w:vAlign w:val="center"/>
          </w:tcPr>
          <w:p>
            <w:pPr>
              <w:spacing w:line="360" w:lineRule="auto"/>
              <w:ind w:right="-216"/>
              <w:jc w:val="center"/>
              <w:rPr>
                <w:sz w:val="24"/>
                <w:szCs w:val="24"/>
              </w:rPr>
            </w:pPr>
            <w:r>
              <w:rPr>
                <w:sz w:val="24"/>
                <w:szCs w:val="24"/>
              </w:rPr>
              <w:t>5000万元以上-1亿元</w:t>
            </w:r>
          </w:p>
        </w:tc>
        <w:tc>
          <w:tcPr>
            <w:tcW w:w="1533" w:type="dxa"/>
          </w:tcPr>
          <w:p>
            <w:pPr>
              <w:spacing w:line="360" w:lineRule="auto"/>
              <w:ind w:right="-216"/>
              <w:jc w:val="center"/>
              <w:rPr>
                <w:sz w:val="24"/>
                <w:szCs w:val="24"/>
              </w:rPr>
            </w:pPr>
            <w:r>
              <w:rPr>
                <w:sz w:val="24"/>
                <w:szCs w:val="24"/>
              </w:rPr>
              <w:t>1.0‰</w:t>
            </w:r>
          </w:p>
        </w:tc>
        <w:tc>
          <w:tcPr>
            <w:tcW w:w="1551" w:type="dxa"/>
            <w:vAlign w:val="center"/>
          </w:tcPr>
          <w:p>
            <w:pPr>
              <w:spacing w:line="360" w:lineRule="auto"/>
              <w:ind w:right="-216"/>
              <w:jc w:val="center"/>
              <w:rPr>
                <w:sz w:val="24"/>
                <w:szCs w:val="24"/>
              </w:rPr>
            </w:pPr>
            <w:r>
              <w:rPr>
                <w:sz w:val="24"/>
                <w:szCs w:val="24"/>
              </w:rPr>
              <w:t>0.8‰</w:t>
            </w:r>
          </w:p>
        </w:tc>
        <w:tc>
          <w:tcPr>
            <w:tcW w:w="1794" w:type="dxa"/>
          </w:tcPr>
          <w:p>
            <w:pPr>
              <w:spacing w:line="360" w:lineRule="auto"/>
              <w:ind w:right="-216"/>
              <w:jc w:val="center"/>
              <w:rPr>
                <w:sz w:val="24"/>
                <w:szCs w:val="24"/>
              </w:rPr>
            </w:pPr>
            <w:r>
              <w:rPr>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vAlign w:val="center"/>
          </w:tcPr>
          <w:p>
            <w:pPr>
              <w:spacing w:line="360" w:lineRule="auto"/>
              <w:ind w:right="-216"/>
              <w:jc w:val="center"/>
              <w:rPr>
                <w:sz w:val="24"/>
                <w:szCs w:val="24"/>
              </w:rPr>
            </w:pPr>
            <w:r>
              <w:rPr>
                <w:sz w:val="24"/>
                <w:szCs w:val="24"/>
              </w:rPr>
              <w:t>5</w:t>
            </w:r>
          </w:p>
        </w:tc>
        <w:tc>
          <w:tcPr>
            <w:tcW w:w="3036" w:type="dxa"/>
            <w:vAlign w:val="center"/>
          </w:tcPr>
          <w:p>
            <w:pPr>
              <w:spacing w:line="360" w:lineRule="auto"/>
              <w:ind w:right="-216"/>
              <w:jc w:val="center"/>
              <w:rPr>
                <w:sz w:val="24"/>
                <w:szCs w:val="24"/>
              </w:rPr>
            </w:pPr>
            <w:r>
              <w:rPr>
                <w:sz w:val="24"/>
                <w:szCs w:val="24"/>
              </w:rPr>
              <w:t>1亿元以上-5亿元</w:t>
            </w:r>
          </w:p>
        </w:tc>
        <w:tc>
          <w:tcPr>
            <w:tcW w:w="1533" w:type="dxa"/>
          </w:tcPr>
          <w:p>
            <w:pPr>
              <w:spacing w:line="360" w:lineRule="auto"/>
              <w:ind w:right="-216"/>
              <w:jc w:val="center"/>
              <w:rPr>
                <w:sz w:val="24"/>
                <w:szCs w:val="24"/>
              </w:rPr>
            </w:pPr>
            <w:r>
              <w:rPr>
                <w:sz w:val="24"/>
                <w:szCs w:val="24"/>
              </w:rPr>
              <w:t>0.8‰</w:t>
            </w:r>
          </w:p>
        </w:tc>
        <w:tc>
          <w:tcPr>
            <w:tcW w:w="1551" w:type="dxa"/>
            <w:vAlign w:val="center"/>
          </w:tcPr>
          <w:p>
            <w:pPr>
              <w:spacing w:line="360" w:lineRule="auto"/>
              <w:ind w:right="-216"/>
              <w:jc w:val="center"/>
              <w:rPr>
                <w:sz w:val="24"/>
                <w:szCs w:val="24"/>
              </w:rPr>
            </w:pPr>
            <w:r>
              <w:rPr>
                <w:sz w:val="24"/>
                <w:szCs w:val="24"/>
              </w:rPr>
              <w:t>0.8‰</w:t>
            </w:r>
          </w:p>
        </w:tc>
        <w:tc>
          <w:tcPr>
            <w:tcW w:w="1794" w:type="dxa"/>
          </w:tcPr>
          <w:p>
            <w:pPr>
              <w:spacing w:line="360" w:lineRule="auto"/>
              <w:ind w:right="-216"/>
              <w:jc w:val="center"/>
              <w:rPr>
                <w:sz w:val="24"/>
                <w:szCs w:val="24"/>
              </w:rPr>
            </w:pPr>
            <w:r>
              <w:rPr>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vAlign w:val="center"/>
          </w:tcPr>
          <w:p>
            <w:pPr>
              <w:spacing w:line="360" w:lineRule="auto"/>
              <w:ind w:right="-216"/>
              <w:jc w:val="center"/>
              <w:rPr>
                <w:sz w:val="24"/>
                <w:szCs w:val="24"/>
              </w:rPr>
            </w:pPr>
            <w:r>
              <w:rPr>
                <w:sz w:val="24"/>
                <w:szCs w:val="24"/>
              </w:rPr>
              <w:t>6</w:t>
            </w:r>
          </w:p>
        </w:tc>
        <w:tc>
          <w:tcPr>
            <w:tcW w:w="3036" w:type="dxa"/>
            <w:vAlign w:val="center"/>
          </w:tcPr>
          <w:p>
            <w:pPr>
              <w:spacing w:line="360" w:lineRule="auto"/>
              <w:ind w:right="-216"/>
              <w:jc w:val="center"/>
              <w:rPr>
                <w:sz w:val="24"/>
                <w:szCs w:val="24"/>
              </w:rPr>
            </w:pPr>
            <w:r>
              <w:rPr>
                <w:sz w:val="24"/>
                <w:szCs w:val="24"/>
              </w:rPr>
              <w:t>5亿元以上</w:t>
            </w:r>
          </w:p>
        </w:tc>
        <w:tc>
          <w:tcPr>
            <w:tcW w:w="1533" w:type="dxa"/>
          </w:tcPr>
          <w:p>
            <w:pPr>
              <w:spacing w:line="360" w:lineRule="auto"/>
              <w:ind w:right="-216"/>
              <w:jc w:val="center"/>
              <w:rPr>
                <w:sz w:val="24"/>
                <w:szCs w:val="24"/>
              </w:rPr>
            </w:pPr>
            <w:r>
              <w:rPr>
                <w:sz w:val="24"/>
                <w:szCs w:val="24"/>
              </w:rPr>
              <w:t>0.7‰</w:t>
            </w:r>
          </w:p>
        </w:tc>
        <w:tc>
          <w:tcPr>
            <w:tcW w:w="1551" w:type="dxa"/>
            <w:vAlign w:val="center"/>
          </w:tcPr>
          <w:p>
            <w:pPr>
              <w:spacing w:line="360" w:lineRule="auto"/>
              <w:ind w:right="-216"/>
              <w:jc w:val="center"/>
              <w:rPr>
                <w:sz w:val="24"/>
                <w:szCs w:val="24"/>
              </w:rPr>
            </w:pPr>
            <w:r>
              <w:rPr>
                <w:sz w:val="24"/>
                <w:szCs w:val="24"/>
              </w:rPr>
              <w:t>0.7‰</w:t>
            </w:r>
          </w:p>
        </w:tc>
        <w:tc>
          <w:tcPr>
            <w:tcW w:w="1794" w:type="dxa"/>
          </w:tcPr>
          <w:p>
            <w:pPr>
              <w:spacing w:line="360" w:lineRule="auto"/>
              <w:ind w:right="-216"/>
              <w:jc w:val="center"/>
              <w:rPr>
                <w:sz w:val="24"/>
                <w:szCs w:val="24"/>
              </w:rPr>
            </w:pPr>
            <w:r>
              <w:rPr>
                <w:sz w:val="24"/>
                <w:szCs w:val="24"/>
              </w:rPr>
              <w:t>0.5%</w:t>
            </w:r>
          </w:p>
        </w:tc>
      </w:tr>
    </w:tbl>
    <w:p>
      <w:pPr>
        <w:spacing w:line="360" w:lineRule="auto"/>
        <w:ind w:firstLine="480" w:firstLineChars="200"/>
        <w:rPr>
          <w:sz w:val="24"/>
          <w:szCs w:val="24"/>
        </w:rPr>
      </w:pPr>
      <w:r>
        <w:rPr>
          <w:sz w:val="24"/>
          <w:szCs w:val="24"/>
        </w:rPr>
        <w:t>基本费计算基数为财政、审计复审后的建安工程造价审定金额，审减追加费的计算基数为财政、审计复审后的审减金额。</w:t>
      </w:r>
    </w:p>
    <w:p>
      <w:pPr>
        <w:spacing w:line="360" w:lineRule="auto"/>
        <w:ind w:firstLine="480" w:firstLineChars="200"/>
        <w:rPr>
          <w:sz w:val="24"/>
          <w:szCs w:val="24"/>
        </w:rPr>
      </w:pPr>
      <w:r>
        <w:rPr>
          <w:sz w:val="24"/>
          <w:szCs w:val="24"/>
        </w:rPr>
        <w:t>（四）工程结算审查委托费</w:t>
      </w:r>
    </w:p>
    <w:p>
      <w:pPr>
        <w:spacing w:line="360" w:lineRule="auto"/>
        <w:ind w:firstLine="480" w:firstLineChars="200"/>
        <w:rPr>
          <w:sz w:val="24"/>
          <w:szCs w:val="24"/>
        </w:rPr>
      </w:pPr>
      <w:r>
        <w:rPr>
          <w:sz w:val="24"/>
          <w:szCs w:val="24"/>
        </w:rPr>
        <w:t>工程结算审查委托费 =基本费计算基数×基本费费率+审减追加费计算基数×审减追加费费率。</w:t>
      </w:r>
    </w:p>
    <w:p>
      <w:pPr>
        <w:spacing w:beforeLines="50" w:line="360" w:lineRule="auto"/>
        <w:ind w:right="-215" w:firstLine="235" w:firstLineChars="98"/>
        <w:jc w:val="center"/>
        <w:rPr>
          <w:rFonts w:eastAsia="黑体"/>
          <w:sz w:val="24"/>
          <w:szCs w:val="24"/>
        </w:rPr>
      </w:pPr>
    </w:p>
    <w:p>
      <w:pPr>
        <w:spacing w:beforeLines="50" w:line="360" w:lineRule="auto"/>
        <w:ind w:right="-215" w:firstLine="235" w:firstLineChars="98"/>
        <w:jc w:val="center"/>
        <w:rPr>
          <w:rFonts w:eastAsia="黑体"/>
          <w:sz w:val="24"/>
          <w:szCs w:val="24"/>
        </w:rPr>
      </w:pPr>
    </w:p>
    <w:p>
      <w:pPr>
        <w:spacing w:beforeLines="50" w:line="360" w:lineRule="auto"/>
        <w:ind w:right="-215" w:firstLine="235" w:firstLineChars="98"/>
        <w:jc w:val="center"/>
        <w:rPr>
          <w:rFonts w:eastAsia="黑体"/>
          <w:sz w:val="24"/>
          <w:szCs w:val="24"/>
        </w:rPr>
      </w:pPr>
      <w:r>
        <w:rPr>
          <w:rFonts w:eastAsia="黑体"/>
          <w:sz w:val="24"/>
          <w:szCs w:val="24"/>
        </w:rPr>
        <w:t>表三 工程结算审查委托费费率表</w:t>
      </w:r>
    </w:p>
    <w:tbl>
      <w:tblPr>
        <w:tblStyle w:val="22"/>
        <w:tblW w:w="93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838"/>
        <w:gridCol w:w="17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rPr>
                <w:sz w:val="24"/>
                <w:szCs w:val="24"/>
              </w:rPr>
            </w:pPr>
            <w:r>
              <w:rPr>
                <w:sz w:val="24"/>
                <w:szCs w:val="24"/>
              </w:rPr>
              <w:t>档次</w:t>
            </w:r>
          </w:p>
        </w:tc>
        <w:tc>
          <w:tcPr>
            <w:tcW w:w="3036" w:type="dxa"/>
            <w:vAlign w:val="center"/>
          </w:tcPr>
          <w:p>
            <w:pPr>
              <w:spacing w:line="360" w:lineRule="auto"/>
              <w:ind w:right="-216"/>
              <w:jc w:val="center"/>
              <w:rPr>
                <w:sz w:val="24"/>
                <w:szCs w:val="24"/>
              </w:rPr>
            </w:pPr>
            <w:r>
              <w:rPr>
                <w:sz w:val="24"/>
                <w:szCs w:val="24"/>
              </w:rPr>
              <w:t>工程造价</w:t>
            </w:r>
          </w:p>
        </w:tc>
        <w:tc>
          <w:tcPr>
            <w:tcW w:w="1838" w:type="dxa"/>
          </w:tcPr>
          <w:p>
            <w:pPr>
              <w:spacing w:line="360" w:lineRule="auto"/>
              <w:ind w:right="-216"/>
              <w:rPr>
                <w:sz w:val="24"/>
                <w:szCs w:val="24"/>
              </w:rPr>
            </w:pPr>
            <w:r>
              <w:rPr>
                <w:sz w:val="24"/>
                <w:szCs w:val="24"/>
              </w:rPr>
              <w:t>一类项目费率</w:t>
            </w:r>
          </w:p>
        </w:tc>
        <w:tc>
          <w:tcPr>
            <w:tcW w:w="1700" w:type="dxa"/>
            <w:vAlign w:val="center"/>
          </w:tcPr>
          <w:p>
            <w:pPr>
              <w:spacing w:line="360" w:lineRule="auto"/>
              <w:ind w:right="-216"/>
              <w:rPr>
                <w:sz w:val="24"/>
                <w:szCs w:val="24"/>
              </w:rPr>
            </w:pPr>
            <w:r>
              <w:rPr>
                <w:sz w:val="24"/>
                <w:szCs w:val="24"/>
              </w:rPr>
              <w:t>二类项目费率</w:t>
            </w:r>
          </w:p>
        </w:tc>
        <w:tc>
          <w:tcPr>
            <w:tcW w:w="2210" w:type="dxa"/>
          </w:tcPr>
          <w:p>
            <w:pPr>
              <w:spacing w:line="360" w:lineRule="auto"/>
              <w:ind w:right="-216"/>
              <w:rPr>
                <w:sz w:val="24"/>
                <w:szCs w:val="24"/>
              </w:rPr>
            </w:pPr>
            <w:r>
              <w:rPr>
                <w:sz w:val="24"/>
                <w:szCs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1</w:t>
            </w:r>
          </w:p>
        </w:tc>
        <w:tc>
          <w:tcPr>
            <w:tcW w:w="3036" w:type="dxa"/>
            <w:vAlign w:val="center"/>
          </w:tcPr>
          <w:p>
            <w:pPr>
              <w:spacing w:line="360" w:lineRule="auto"/>
              <w:ind w:right="-216"/>
              <w:jc w:val="center"/>
              <w:rPr>
                <w:sz w:val="24"/>
                <w:szCs w:val="24"/>
              </w:rPr>
            </w:pPr>
            <w:r>
              <w:rPr>
                <w:sz w:val="24"/>
                <w:szCs w:val="24"/>
              </w:rPr>
              <w:t>500万元以下（含500万元）</w:t>
            </w:r>
          </w:p>
        </w:tc>
        <w:tc>
          <w:tcPr>
            <w:tcW w:w="1838" w:type="dxa"/>
          </w:tcPr>
          <w:p>
            <w:pPr>
              <w:spacing w:line="360" w:lineRule="auto"/>
              <w:ind w:right="-216"/>
              <w:jc w:val="center"/>
              <w:rPr>
                <w:sz w:val="24"/>
                <w:szCs w:val="24"/>
              </w:rPr>
            </w:pPr>
            <w:r>
              <w:rPr>
                <w:sz w:val="24"/>
                <w:szCs w:val="24"/>
              </w:rPr>
              <w:t>1.8‰</w:t>
            </w:r>
          </w:p>
        </w:tc>
        <w:tc>
          <w:tcPr>
            <w:tcW w:w="1700" w:type="dxa"/>
            <w:vAlign w:val="center"/>
          </w:tcPr>
          <w:p>
            <w:pPr>
              <w:spacing w:line="360" w:lineRule="auto"/>
              <w:ind w:right="-216"/>
              <w:jc w:val="center"/>
              <w:rPr>
                <w:sz w:val="24"/>
                <w:szCs w:val="24"/>
              </w:rPr>
            </w:pPr>
            <w:r>
              <w:rPr>
                <w:sz w:val="24"/>
                <w:szCs w:val="24"/>
              </w:rPr>
              <w:t>1.5‰</w:t>
            </w:r>
          </w:p>
        </w:tc>
        <w:tc>
          <w:tcPr>
            <w:tcW w:w="2210" w:type="dxa"/>
          </w:tcPr>
          <w:p>
            <w:pPr>
              <w:spacing w:line="360" w:lineRule="auto"/>
              <w:ind w:right="-216"/>
              <w:jc w:val="center"/>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2</w:t>
            </w:r>
          </w:p>
        </w:tc>
        <w:tc>
          <w:tcPr>
            <w:tcW w:w="3036" w:type="dxa"/>
            <w:vAlign w:val="center"/>
          </w:tcPr>
          <w:p>
            <w:pPr>
              <w:spacing w:line="360" w:lineRule="auto"/>
              <w:ind w:right="-216"/>
              <w:jc w:val="center"/>
              <w:rPr>
                <w:sz w:val="24"/>
                <w:szCs w:val="24"/>
              </w:rPr>
            </w:pPr>
            <w:r>
              <w:rPr>
                <w:sz w:val="24"/>
                <w:szCs w:val="24"/>
              </w:rPr>
              <w:t>500万元以上-1000万元</w:t>
            </w:r>
          </w:p>
        </w:tc>
        <w:tc>
          <w:tcPr>
            <w:tcW w:w="1838" w:type="dxa"/>
          </w:tcPr>
          <w:p>
            <w:pPr>
              <w:spacing w:line="360" w:lineRule="auto"/>
              <w:ind w:right="-216"/>
              <w:jc w:val="center"/>
              <w:rPr>
                <w:sz w:val="24"/>
                <w:szCs w:val="24"/>
              </w:rPr>
            </w:pPr>
            <w:r>
              <w:rPr>
                <w:sz w:val="24"/>
                <w:szCs w:val="24"/>
              </w:rPr>
              <w:t>1.5‰</w:t>
            </w:r>
          </w:p>
        </w:tc>
        <w:tc>
          <w:tcPr>
            <w:tcW w:w="1700" w:type="dxa"/>
            <w:vAlign w:val="center"/>
          </w:tcPr>
          <w:p>
            <w:pPr>
              <w:spacing w:line="360" w:lineRule="auto"/>
              <w:ind w:right="-216"/>
              <w:jc w:val="center"/>
              <w:rPr>
                <w:sz w:val="24"/>
                <w:szCs w:val="24"/>
              </w:rPr>
            </w:pPr>
            <w:r>
              <w:rPr>
                <w:sz w:val="24"/>
                <w:szCs w:val="24"/>
              </w:rPr>
              <w:t>1.3‰</w:t>
            </w:r>
          </w:p>
        </w:tc>
        <w:tc>
          <w:tcPr>
            <w:tcW w:w="2210" w:type="dxa"/>
          </w:tcPr>
          <w:p>
            <w:pPr>
              <w:spacing w:line="360" w:lineRule="auto"/>
              <w:ind w:right="-216"/>
              <w:jc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3</w:t>
            </w:r>
          </w:p>
        </w:tc>
        <w:tc>
          <w:tcPr>
            <w:tcW w:w="3036" w:type="dxa"/>
            <w:vAlign w:val="center"/>
          </w:tcPr>
          <w:p>
            <w:pPr>
              <w:spacing w:line="360" w:lineRule="auto"/>
              <w:ind w:right="-216"/>
              <w:jc w:val="center"/>
              <w:rPr>
                <w:sz w:val="24"/>
                <w:szCs w:val="24"/>
              </w:rPr>
            </w:pPr>
            <w:r>
              <w:rPr>
                <w:sz w:val="24"/>
                <w:szCs w:val="24"/>
              </w:rPr>
              <w:t>1000万元以上-5000万元</w:t>
            </w:r>
          </w:p>
        </w:tc>
        <w:tc>
          <w:tcPr>
            <w:tcW w:w="1838" w:type="dxa"/>
          </w:tcPr>
          <w:p>
            <w:pPr>
              <w:spacing w:line="360" w:lineRule="auto"/>
              <w:ind w:right="-216"/>
              <w:jc w:val="center"/>
              <w:rPr>
                <w:sz w:val="24"/>
                <w:szCs w:val="24"/>
              </w:rPr>
            </w:pPr>
            <w:r>
              <w:rPr>
                <w:sz w:val="24"/>
                <w:szCs w:val="24"/>
              </w:rPr>
              <w:t>1.3‰</w:t>
            </w:r>
          </w:p>
        </w:tc>
        <w:tc>
          <w:tcPr>
            <w:tcW w:w="1700" w:type="dxa"/>
            <w:vAlign w:val="center"/>
          </w:tcPr>
          <w:p>
            <w:pPr>
              <w:spacing w:line="360" w:lineRule="auto"/>
              <w:ind w:right="-216"/>
              <w:jc w:val="center"/>
              <w:rPr>
                <w:sz w:val="24"/>
                <w:szCs w:val="24"/>
              </w:rPr>
            </w:pPr>
            <w:r>
              <w:rPr>
                <w:sz w:val="24"/>
                <w:szCs w:val="24"/>
              </w:rPr>
              <w:t>1.0‰</w:t>
            </w:r>
          </w:p>
        </w:tc>
        <w:tc>
          <w:tcPr>
            <w:tcW w:w="2210" w:type="dxa"/>
          </w:tcPr>
          <w:p>
            <w:pPr>
              <w:spacing w:line="360" w:lineRule="auto"/>
              <w:ind w:right="-216"/>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vAlign w:val="center"/>
          </w:tcPr>
          <w:p>
            <w:pPr>
              <w:spacing w:line="360" w:lineRule="auto"/>
              <w:ind w:right="-216"/>
              <w:jc w:val="center"/>
              <w:rPr>
                <w:sz w:val="24"/>
                <w:szCs w:val="24"/>
              </w:rPr>
            </w:pPr>
            <w:r>
              <w:rPr>
                <w:sz w:val="24"/>
                <w:szCs w:val="24"/>
              </w:rPr>
              <w:t>4</w:t>
            </w:r>
          </w:p>
        </w:tc>
        <w:tc>
          <w:tcPr>
            <w:tcW w:w="3036" w:type="dxa"/>
            <w:vAlign w:val="center"/>
          </w:tcPr>
          <w:p>
            <w:pPr>
              <w:spacing w:line="360" w:lineRule="auto"/>
              <w:ind w:right="-216"/>
              <w:jc w:val="center"/>
              <w:rPr>
                <w:sz w:val="24"/>
                <w:szCs w:val="24"/>
              </w:rPr>
            </w:pPr>
            <w:r>
              <w:rPr>
                <w:sz w:val="24"/>
                <w:szCs w:val="24"/>
              </w:rPr>
              <w:t>5000万元以上-1亿元</w:t>
            </w:r>
          </w:p>
        </w:tc>
        <w:tc>
          <w:tcPr>
            <w:tcW w:w="1838" w:type="dxa"/>
          </w:tcPr>
          <w:p>
            <w:pPr>
              <w:spacing w:line="360" w:lineRule="auto"/>
              <w:ind w:right="-216"/>
              <w:jc w:val="center"/>
              <w:rPr>
                <w:sz w:val="24"/>
                <w:szCs w:val="24"/>
              </w:rPr>
            </w:pPr>
            <w:r>
              <w:rPr>
                <w:sz w:val="24"/>
                <w:szCs w:val="24"/>
              </w:rPr>
              <w:t>1.0‰</w:t>
            </w:r>
          </w:p>
        </w:tc>
        <w:tc>
          <w:tcPr>
            <w:tcW w:w="1700" w:type="dxa"/>
            <w:vAlign w:val="center"/>
          </w:tcPr>
          <w:p>
            <w:pPr>
              <w:spacing w:line="360" w:lineRule="auto"/>
              <w:ind w:right="-216"/>
              <w:jc w:val="center"/>
              <w:rPr>
                <w:sz w:val="24"/>
                <w:szCs w:val="24"/>
              </w:rPr>
            </w:pPr>
            <w:r>
              <w:rPr>
                <w:sz w:val="24"/>
                <w:szCs w:val="24"/>
              </w:rPr>
              <w:t>0.8‰</w:t>
            </w:r>
          </w:p>
        </w:tc>
        <w:tc>
          <w:tcPr>
            <w:tcW w:w="2210" w:type="dxa"/>
          </w:tcPr>
          <w:p>
            <w:pPr>
              <w:spacing w:line="360" w:lineRule="auto"/>
              <w:ind w:right="-216"/>
              <w:jc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vAlign w:val="center"/>
          </w:tcPr>
          <w:p>
            <w:pPr>
              <w:spacing w:line="360" w:lineRule="auto"/>
              <w:ind w:right="-216"/>
              <w:jc w:val="center"/>
              <w:rPr>
                <w:sz w:val="24"/>
                <w:szCs w:val="24"/>
              </w:rPr>
            </w:pPr>
            <w:r>
              <w:rPr>
                <w:sz w:val="24"/>
                <w:szCs w:val="24"/>
              </w:rPr>
              <w:t>5</w:t>
            </w:r>
          </w:p>
        </w:tc>
        <w:tc>
          <w:tcPr>
            <w:tcW w:w="3036" w:type="dxa"/>
            <w:vAlign w:val="center"/>
          </w:tcPr>
          <w:p>
            <w:pPr>
              <w:spacing w:line="360" w:lineRule="auto"/>
              <w:ind w:right="-216"/>
              <w:jc w:val="center"/>
              <w:rPr>
                <w:sz w:val="24"/>
                <w:szCs w:val="24"/>
              </w:rPr>
            </w:pPr>
            <w:r>
              <w:rPr>
                <w:sz w:val="24"/>
                <w:szCs w:val="24"/>
              </w:rPr>
              <w:t>1亿元以上-5亿元</w:t>
            </w:r>
          </w:p>
        </w:tc>
        <w:tc>
          <w:tcPr>
            <w:tcW w:w="1838" w:type="dxa"/>
          </w:tcPr>
          <w:p>
            <w:pPr>
              <w:spacing w:line="360" w:lineRule="auto"/>
              <w:ind w:right="-216"/>
              <w:jc w:val="center"/>
              <w:rPr>
                <w:sz w:val="24"/>
                <w:szCs w:val="24"/>
              </w:rPr>
            </w:pPr>
            <w:r>
              <w:rPr>
                <w:sz w:val="24"/>
                <w:szCs w:val="24"/>
              </w:rPr>
              <w:t>0.8‰</w:t>
            </w:r>
          </w:p>
        </w:tc>
        <w:tc>
          <w:tcPr>
            <w:tcW w:w="1700" w:type="dxa"/>
            <w:vAlign w:val="center"/>
          </w:tcPr>
          <w:p>
            <w:pPr>
              <w:spacing w:line="360" w:lineRule="auto"/>
              <w:ind w:right="-216"/>
              <w:jc w:val="center"/>
              <w:rPr>
                <w:sz w:val="24"/>
                <w:szCs w:val="24"/>
              </w:rPr>
            </w:pPr>
            <w:r>
              <w:rPr>
                <w:sz w:val="24"/>
                <w:szCs w:val="24"/>
              </w:rPr>
              <w:t>0.8‰</w:t>
            </w:r>
          </w:p>
        </w:tc>
        <w:tc>
          <w:tcPr>
            <w:tcW w:w="2210" w:type="dxa"/>
          </w:tcPr>
          <w:p>
            <w:pPr>
              <w:spacing w:line="360" w:lineRule="auto"/>
              <w:ind w:right="-216"/>
              <w:jc w:val="center"/>
              <w:rPr>
                <w:sz w:val="24"/>
                <w:szCs w:val="24"/>
              </w:rPr>
            </w:pPr>
            <w:r>
              <w:rPr>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vAlign w:val="center"/>
          </w:tcPr>
          <w:p>
            <w:pPr>
              <w:spacing w:line="360" w:lineRule="auto"/>
              <w:ind w:right="-216"/>
              <w:jc w:val="center"/>
              <w:rPr>
                <w:sz w:val="24"/>
                <w:szCs w:val="24"/>
              </w:rPr>
            </w:pPr>
            <w:r>
              <w:rPr>
                <w:sz w:val="24"/>
                <w:szCs w:val="24"/>
              </w:rPr>
              <w:t>6</w:t>
            </w:r>
          </w:p>
        </w:tc>
        <w:tc>
          <w:tcPr>
            <w:tcW w:w="3036" w:type="dxa"/>
            <w:vAlign w:val="center"/>
          </w:tcPr>
          <w:p>
            <w:pPr>
              <w:spacing w:line="360" w:lineRule="auto"/>
              <w:ind w:right="-216"/>
              <w:jc w:val="center"/>
              <w:rPr>
                <w:sz w:val="24"/>
                <w:szCs w:val="24"/>
              </w:rPr>
            </w:pPr>
            <w:r>
              <w:rPr>
                <w:sz w:val="24"/>
                <w:szCs w:val="24"/>
              </w:rPr>
              <w:t>5亿元以上</w:t>
            </w:r>
          </w:p>
        </w:tc>
        <w:tc>
          <w:tcPr>
            <w:tcW w:w="1838" w:type="dxa"/>
          </w:tcPr>
          <w:p>
            <w:pPr>
              <w:spacing w:line="360" w:lineRule="auto"/>
              <w:ind w:right="-216"/>
              <w:jc w:val="center"/>
              <w:rPr>
                <w:sz w:val="24"/>
                <w:szCs w:val="24"/>
              </w:rPr>
            </w:pPr>
            <w:r>
              <w:rPr>
                <w:sz w:val="24"/>
                <w:szCs w:val="24"/>
              </w:rPr>
              <w:t>0.7‰</w:t>
            </w:r>
          </w:p>
        </w:tc>
        <w:tc>
          <w:tcPr>
            <w:tcW w:w="1700" w:type="dxa"/>
            <w:vAlign w:val="center"/>
          </w:tcPr>
          <w:p>
            <w:pPr>
              <w:spacing w:line="360" w:lineRule="auto"/>
              <w:ind w:right="-216"/>
              <w:jc w:val="center"/>
              <w:rPr>
                <w:sz w:val="24"/>
                <w:szCs w:val="24"/>
              </w:rPr>
            </w:pPr>
            <w:r>
              <w:rPr>
                <w:sz w:val="24"/>
                <w:szCs w:val="24"/>
              </w:rPr>
              <w:t>0.7‰</w:t>
            </w:r>
          </w:p>
        </w:tc>
        <w:tc>
          <w:tcPr>
            <w:tcW w:w="2210" w:type="dxa"/>
          </w:tcPr>
          <w:p>
            <w:pPr>
              <w:spacing w:line="360" w:lineRule="auto"/>
              <w:ind w:right="-216"/>
              <w:jc w:val="center"/>
              <w:rPr>
                <w:sz w:val="24"/>
                <w:szCs w:val="24"/>
              </w:rPr>
            </w:pPr>
            <w:r>
              <w:rPr>
                <w:sz w:val="24"/>
                <w:szCs w:val="24"/>
              </w:rPr>
              <w:t>0.5%</w:t>
            </w:r>
          </w:p>
        </w:tc>
      </w:tr>
    </w:tbl>
    <w:p>
      <w:pPr>
        <w:spacing w:line="360" w:lineRule="auto"/>
        <w:ind w:firstLine="600" w:firstLineChars="250"/>
        <w:rPr>
          <w:sz w:val="24"/>
          <w:szCs w:val="24"/>
        </w:rPr>
      </w:pPr>
      <w:r>
        <w:rPr>
          <w:sz w:val="24"/>
          <w:szCs w:val="24"/>
        </w:rPr>
        <w:t>基本费计算基数为财政、审计复审后的建安工程造价审定金额，审减追加费的计算基数为财政、审计复审后的审减金额。</w:t>
      </w:r>
    </w:p>
    <w:p>
      <w:pPr>
        <w:spacing w:line="360" w:lineRule="auto"/>
        <w:ind w:firstLine="480" w:firstLineChars="200"/>
        <w:rPr>
          <w:sz w:val="24"/>
          <w:szCs w:val="24"/>
        </w:rPr>
      </w:pPr>
      <w:r>
        <w:rPr>
          <w:sz w:val="24"/>
          <w:szCs w:val="24"/>
        </w:rPr>
        <w:t>（五）表一、表二、表三中的一类项目是指房屋建筑工程（包含与其配套的线路管道和设备安装工程、装饰工程）、人防工程、古建工程等；二类项目是指市政工程、园林绿化工程、交通水利工程、大型土石方工程及土地整理项目等。</w:t>
      </w:r>
    </w:p>
    <w:p>
      <w:pPr>
        <w:spacing w:line="360" w:lineRule="auto"/>
        <w:ind w:firstLine="480" w:firstLineChars="200"/>
        <w:rPr>
          <w:sz w:val="24"/>
          <w:szCs w:val="24"/>
        </w:rPr>
      </w:pPr>
      <w:r>
        <w:rPr>
          <w:sz w:val="24"/>
          <w:szCs w:val="24"/>
        </w:rPr>
        <w:t>（六）房建项目审减追加费最高支付限额30万元，其他项目最高支付限额15万元，且预（结）算审查费原则上不低于编制费用。以下金额不列入审减追加费计算基数（应计费审减额）：</w:t>
      </w:r>
    </w:p>
    <w:p>
      <w:pPr>
        <w:spacing w:line="360" w:lineRule="auto"/>
        <w:ind w:firstLine="480" w:firstLineChars="200"/>
        <w:rPr>
          <w:sz w:val="24"/>
          <w:szCs w:val="24"/>
        </w:rPr>
      </w:pPr>
      <w:r>
        <w:rPr>
          <w:sz w:val="24"/>
          <w:szCs w:val="24"/>
        </w:rPr>
        <w:t>1、因变更签证优惠率产生的审减金额；</w:t>
      </w:r>
    </w:p>
    <w:p>
      <w:pPr>
        <w:spacing w:line="360" w:lineRule="auto"/>
        <w:ind w:firstLine="480" w:firstLineChars="200"/>
        <w:rPr>
          <w:sz w:val="24"/>
          <w:szCs w:val="24"/>
        </w:rPr>
      </w:pPr>
      <w:r>
        <w:rPr>
          <w:sz w:val="24"/>
          <w:szCs w:val="24"/>
        </w:rPr>
        <w:t>2、因建设单位（委托人）原因项目取消产生的审减额；</w:t>
      </w:r>
    </w:p>
    <w:p>
      <w:pPr>
        <w:spacing w:line="360" w:lineRule="auto"/>
        <w:ind w:firstLine="480" w:firstLineChars="200"/>
        <w:rPr>
          <w:sz w:val="24"/>
          <w:szCs w:val="24"/>
        </w:rPr>
      </w:pPr>
      <w:r>
        <w:rPr>
          <w:sz w:val="24"/>
          <w:szCs w:val="24"/>
        </w:rPr>
        <w:t>3、不应计取的安全文明施工措施费、暂估价、优秀奖、材料价差调整（委托单位原因）等；</w:t>
      </w:r>
    </w:p>
    <w:p>
      <w:pPr>
        <w:spacing w:line="360" w:lineRule="auto"/>
        <w:ind w:firstLine="480" w:firstLineChars="200"/>
        <w:rPr>
          <w:sz w:val="24"/>
          <w:szCs w:val="24"/>
        </w:rPr>
      </w:pPr>
      <w:r>
        <w:rPr>
          <w:sz w:val="24"/>
          <w:szCs w:val="24"/>
        </w:rPr>
        <w:t>4、由财政局提出扣减的项目及相应金额。</w:t>
      </w:r>
    </w:p>
    <w:p>
      <w:pPr>
        <w:spacing w:line="360" w:lineRule="auto"/>
        <w:ind w:firstLine="482" w:firstLineChars="200"/>
        <w:rPr>
          <w:b/>
          <w:bCs/>
          <w:sz w:val="24"/>
          <w:szCs w:val="24"/>
        </w:rPr>
      </w:pPr>
      <w:r>
        <w:rPr>
          <w:b/>
          <w:bCs/>
          <w:sz w:val="24"/>
          <w:szCs w:val="24"/>
        </w:rPr>
        <w:t>二、 资产评估收费标准</w:t>
      </w:r>
    </w:p>
    <w:p>
      <w:pPr>
        <w:spacing w:line="360" w:lineRule="auto"/>
        <w:ind w:firstLine="480" w:firstLineChars="200"/>
        <w:jc w:val="center"/>
        <w:rPr>
          <w:rFonts w:hAnsi="黑体" w:eastAsia="黑体"/>
          <w:kern w:val="0"/>
          <w:sz w:val="24"/>
          <w:szCs w:val="24"/>
        </w:rPr>
      </w:pPr>
    </w:p>
    <w:p>
      <w:pPr>
        <w:spacing w:line="360" w:lineRule="auto"/>
        <w:ind w:firstLine="480" w:firstLineChars="200"/>
        <w:jc w:val="center"/>
        <w:rPr>
          <w:rFonts w:eastAsia="黑体"/>
          <w:kern w:val="0"/>
          <w:sz w:val="24"/>
          <w:szCs w:val="24"/>
        </w:rPr>
      </w:pPr>
      <w:r>
        <w:rPr>
          <w:rFonts w:hAnsi="黑体" w:eastAsia="黑体"/>
          <w:kern w:val="0"/>
          <w:sz w:val="24"/>
          <w:szCs w:val="24"/>
        </w:rPr>
        <w:t>表四资产评估差额定率累进取费表</w:t>
      </w:r>
    </w:p>
    <w:tbl>
      <w:tblPr>
        <w:tblStyle w:val="22"/>
        <w:tblW w:w="8603" w:type="dxa"/>
        <w:jc w:val="center"/>
        <w:tblInd w:w="0" w:type="dxa"/>
        <w:tblLayout w:type="fixed"/>
        <w:tblCellMar>
          <w:top w:w="0" w:type="dxa"/>
          <w:left w:w="0" w:type="dxa"/>
          <w:bottom w:w="0" w:type="dxa"/>
          <w:right w:w="0" w:type="dxa"/>
        </w:tblCellMar>
      </w:tblPr>
      <w:tblGrid>
        <w:gridCol w:w="835"/>
        <w:gridCol w:w="4579"/>
        <w:gridCol w:w="3189"/>
      </w:tblGrid>
      <w:tr>
        <w:tblPrEx>
          <w:tblLayout w:type="fixed"/>
          <w:tblCellMar>
            <w:top w:w="0" w:type="dxa"/>
            <w:left w:w="0" w:type="dxa"/>
            <w:bottom w:w="0" w:type="dxa"/>
            <w:right w:w="0" w:type="dxa"/>
          </w:tblCellMar>
        </w:tblPrEx>
        <w:trPr>
          <w:trHeight w:val="713" w:hRule="atLeast"/>
          <w:jc w:val="center"/>
        </w:trPr>
        <w:tc>
          <w:tcPr>
            <w:tcW w:w="8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档次</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计费额度</w:t>
            </w:r>
          </w:p>
        </w:tc>
        <w:tc>
          <w:tcPr>
            <w:tcW w:w="3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差额计费率</w:t>
            </w:r>
          </w:p>
        </w:tc>
      </w:tr>
      <w:tr>
        <w:tblPrEx>
          <w:tblLayout w:type="fixed"/>
          <w:tblCellMar>
            <w:top w:w="0" w:type="dxa"/>
            <w:left w:w="0" w:type="dxa"/>
            <w:bottom w:w="0" w:type="dxa"/>
            <w:right w:w="0" w:type="dxa"/>
          </w:tblCellMar>
        </w:tblPrEx>
        <w:trPr>
          <w:trHeight w:val="584" w:hRule="atLeast"/>
          <w:jc w:val="center"/>
        </w:trPr>
        <w:tc>
          <w:tcPr>
            <w:tcW w:w="83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w:t>
            </w:r>
          </w:p>
        </w:tc>
        <w:tc>
          <w:tcPr>
            <w:tcW w:w="457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100万元以下（含100万元）</w:t>
            </w:r>
          </w:p>
        </w:tc>
        <w:tc>
          <w:tcPr>
            <w:tcW w:w="318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9‰</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2</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100万元-1000万元（含1000万元）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3</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1000万元-5000万元（含5000万元）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sz w:val="24"/>
                <w:szCs w:val="24"/>
              </w:rPr>
              <w:t>1.6‰</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4</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5000万元-1亿元（含1亿元）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sz w:val="24"/>
                <w:szCs w:val="24"/>
              </w:rPr>
              <w:t>0.75‰</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5</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1亿元-10亿元（含10亿元）</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0.15</w:t>
            </w:r>
            <w:r>
              <w:rPr>
                <w:sz w:val="24"/>
                <w:szCs w:val="24"/>
              </w:rPr>
              <w:t>‰</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6</w:t>
            </w:r>
          </w:p>
        </w:tc>
        <w:tc>
          <w:tcPr>
            <w:tcW w:w="45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10亿元以上</w:t>
            </w:r>
          </w:p>
        </w:tc>
        <w:tc>
          <w:tcPr>
            <w:tcW w:w="31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kern w:val="0"/>
                <w:sz w:val="24"/>
                <w:szCs w:val="24"/>
              </w:rPr>
            </w:pPr>
            <w:r>
              <w:rPr>
                <w:kern w:val="0"/>
                <w:sz w:val="24"/>
                <w:szCs w:val="24"/>
              </w:rPr>
              <w:t>0.1</w:t>
            </w:r>
            <w:r>
              <w:rPr>
                <w:sz w:val="24"/>
                <w:szCs w:val="24"/>
              </w:rPr>
              <w:t>‰</w:t>
            </w:r>
          </w:p>
        </w:tc>
      </w:tr>
    </w:tbl>
    <w:p>
      <w:pPr>
        <w:spacing w:line="360" w:lineRule="auto"/>
        <w:ind w:firstLine="482" w:firstLineChars="200"/>
        <w:rPr>
          <w:b/>
          <w:bCs/>
          <w:sz w:val="24"/>
          <w:szCs w:val="24"/>
        </w:rPr>
      </w:pPr>
    </w:p>
    <w:p>
      <w:pPr>
        <w:numPr>
          <w:ilvl w:val="0"/>
          <w:numId w:val="17"/>
        </w:numPr>
        <w:spacing w:line="360" w:lineRule="auto"/>
        <w:ind w:firstLine="482" w:firstLineChars="200"/>
        <w:rPr>
          <w:b/>
          <w:bCs/>
          <w:sz w:val="24"/>
          <w:szCs w:val="24"/>
        </w:rPr>
      </w:pPr>
      <w:r>
        <w:rPr>
          <w:b/>
          <w:bCs/>
          <w:sz w:val="24"/>
          <w:szCs w:val="24"/>
        </w:rPr>
        <w:t>财政（财务）审计、清产核资收费标准</w:t>
      </w:r>
    </w:p>
    <w:p>
      <w:pPr>
        <w:spacing w:line="360" w:lineRule="auto"/>
        <w:ind w:firstLine="480" w:firstLineChars="200"/>
        <w:rPr>
          <w:sz w:val="24"/>
          <w:szCs w:val="24"/>
        </w:rPr>
      </w:pPr>
      <w:r>
        <w:rPr>
          <w:sz w:val="24"/>
          <w:szCs w:val="24"/>
        </w:rPr>
        <w:t>财政（财务）审计业务、清产核资类收费上限为豫发改收费〔2011〕2374号文件规定收费标准的70%。</w:t>
      </w:r>
    </w:p>
    <w:p>
      <w:pPr>
        <w:spacing w:line="360" w:lineRule="auto"/>
        <w:ind w:firstLine="593" w:firstLineChars="246"/>
        <w:rPr>
          <w:b/>
          <w:sz w:val="24"/>
          <w:szCs w:val="24"/>
        </w:rPr>
      </w:pPr>
      <w:r>
        <w:rPr>
          <w:b/>
          <w:sz w:val="24"/>
          <w:szCs w:val="24"/>
        </w:rPr>
        <w:t>第五条</w:t>
      </w:r>
      <w:r>
        <w:rPr>
          <w:bCs/>
          <w:sz w:val="24"/>
          <w:szCs w:val="24"/>
        </w:rPr>
        <w:t xml:space="preserve">  服务费支付及其他管理要求</w:t>
      </w:r>
    </w:p>
    <w:p>
      <w:pPr>
        <w:spacing w:line="360" w:lineRule="auto"/>
        <w:ind w:firstLine="480" w:firstLineChars="200"/>
        <w:rPr>
          <w:sz w:val="24"/>
          <w:szCs w:val="24"/>
        </w:rPr>
      </w:pPr>
      <w:r>
        <w:rPr>
          <w:sz w:val="24"/>
          <w:szCs w:val="24"/>
        </w:rPr>
        <w:t>（一）以上费率是最高限价，不随市场价格的波动而提高，双方可在此基础上进一步谈判和协商，以获得更优惠的价格。</w:t>
      </w:r>
    </w:p>
    <w:p>
      <w:pPr>
        <w:spacing w:line="360" w:lineRule="auto"/>
        <w:ind w:firstLine="480" w:firstLineChars="200"/>
        <w:rPr>
          <w:sz w:val="24"/>
          <w:szCs w:val="24"/>
        </w:rPr>
      </w:pPr>
      <w:r>
        <w:rPr>
          <w:sz w:val="24"/>
          <w:szCs w:val="24"/>
        </w:rPr>
        <w:t>（二）同一工程项目划分多个标段的，一类项目（5000万及以上）和二类项目（2亿元及以上）计费时可分标段计算，分标段费用不超过合并计费的1.2倍计取；一类项目（5000万以内）和二类项目（2亿元以内）计费时合并计算。</w:t>
      </w:r>
    </w:p>
    <w:p>
      <w:pPr>
        <w:spacing w:line="360" w:lineRule="auto"/>
        <w:ind w:firstLine="480" w:firstLineChars="200"/>
        <w:rPr>
          <w:sz w:val="24"/>
          <w:szCs w:val="24"/>
        </w:rPr>
      </w:pPr>
      <w:r>
        <w:rPr>
          <w:sz w:val="24"/>
          <w:szCs w:val="24"/>
        </w:rPr>
        <w:t>（三）同一套图纸实施多个相同项目的，第一个项目正常计算委托编制费，其余项目按第一个项目计算出的编制费的20%计算。同一项目出具报告后，方案又多次变动时，根据变动复杂性，按照编制费的40%-60%另行计算。</w:t>
      </w:r>
    </w:p>
    <w:p>
      <w:pPr>
        <w:spacing w:line="360" w:lineRule="auto"/>
        <w:ind w:firstLine="480" w:firstLineChars="200"/>
        <w:rPr>
          <w:sz w:val="24"/>
          <w:szCs w:val="24"/>
        </w:rPr>
      </w:pPr>
      <w:r>
        <w:rPr>
          <w:sz w:val="24"/>
          <w:szCs w:val="24"/>
        </w:rPr>
        <w:t>（四）预算编制服务费基本费计算采用差额定率累进法计算，其他工程预（结）算审查及审减追加费费率按照工程造价选取该档费率；按照编制服务费或预（结）算评审费用少于2000元的按2000元保底付费计算。</w:t>
      </w:r>
    </w:p>
    <w:p>
      <w:pPr>
        <w:spacing w:line="360" w:lineRule="auto"/>
        <w:ind w:firstLine="480" w:firstLineChars="200"/>
        <w:rPr>
          <w:sz w:val="24"/>
          <w:szCs w:val="24"/>
        </w:rPr>
      </w:pPr>
      <w:r>
        <w:rPr>
          <w:sz w:val="24"/>
          <w:szCs w:val="24"/>
        </w:rPr>
        <w:t>（五）对于抽查复核项目，若委托第三方中介机构稽核的，不超过工程预（结）算审查委托费的20%予以支付。</w:t>
      </w:r>
    </w:p>
    <w:p>
      <w:pPr>
        <w:spacing w:line="360" w:lineRule="auto"/>
        <w:ind w:firstLine="480" w:firstLineChars="200"/>
        <w:rPr>
          <w:sz w:val="24"/>
          <w:szCs w:val="24"/>
        </w:rPr>
      </w:pPr>
      <w:r>
        <w:rPr>
          <w:sz w:val="24"/>
          <w:szCs w:val="24"/>
        </w:rPr>
        <w:t>（六）委托人委托中介机构出具的工程量清单及预算控制价或预（结）算，经财政、审计等部门审核后,因中介机构编制质量问题,审减率达到10%以上,委托人不得支付所委托中介机构的预算编制劳务费;审减率达到15%以上,一年内不得参与财政投资项目;审减率达到20%以上,三年内不得参与财政投资项目。因预（结）算编制错项、漏项，大于工程造价的3%的，不予支付劳务费并取消财政投资建设项目委托业务备选库资格。</w:t>
      </w:r>
    </w:p>
    <w:p>
      <w:pPr>
        <w:spacing w:line="360" w:lineRule="auto"/>
        <w:ind w:firstLine="480" w:firstLineChars="200"/>
        <w:rPr>
          <w:sz w:val="24"/>
          <w:szCs w:val="24"/>
        </w:rPr>
      </w:pPr>
      <w:r>
        <w:rPr>
          <w:sz w:val="24"/>
          <w:szCs w:val="24"/>
        </w:rPr>
        <w:t>（七）造价咨询中介机构在具体实施编制业务时要严格按照委托合同约定的时间要求，在确保编制质量的同时，按规定的时间出具编制成果，若因承办中介机构的原因而未按时完成的，则扣除该项目的编制费用。</w:t>
      </w:r>
    </w:p>
    <w:p>
      <w:pPr>
        <w:spacing w:line="360" w:lineRule="auto"/>
        <w:ind w:firstLine="480" w:firstLineChars="200"/>
        <w:rPr>
          <w:sz w:val="24"/>
          <w:szCs w:val="24"/>
        </w:rPr>
      </w:pPr>
      <w:r>
        <w:rPr>
          <w:sz w:val="24"/>
          <w:szCs w:val="24"/>
        </w:rPr>
        <w:t>（八）造价咨询中介机构应遵守国家有关法律、法规及执业规范，应遵守财政部门的相关制度规定。因造价咨询中介机构的过失，给委托人造成经济损失的，应当依法赔偿。</w:t>
      </w:r>
    </w:p>
    <w:p>
      <w:pPr>
        <w:spacing w:line="360" w:lineRule="auto"/>
        <w:ind w:firstLine="480" w:firstLineChars="200"/>
        <w:rPr>
          <w:sz w:val="24"/>
          <w:szCs w:val="24"/>
        </w:rPr>
      </w:pPr>
      <w:r>
        <w:rPr>
          <w:sz w:val="24"/>
          <w:szCs w:val="24"/>
        </w:rPr>
        <w:t>（九）实行质量控制复核制度，中介机构内部建立三级复核制度，对造价咨询过程、工作底稿和成果质量实施专业编审人员自校、项目负责人审核、技术总负责人审定的逐级复核制度。</w:t>
      </w:r>
    </w:p>
    <w:p>
      <w:pPr>
        <w:spacing w:line="360" w:lineRule="auto"/>
        <w:ind w:firstLine="480" w:firstLineChars="200"/>
        <w:rPr>
          <w:sz w:val="24"/>
          <w:szCs w:val="24"/>
        </w:rPr>
      </w:pPr>
      <w:r>
        <w:rPr>
          <w:sz w:val="24"/>
          <w:szCs w:val="24"/>
        </w:rPr>
        <w:t>（十）造价咨询中介机构应遵守国家有关法律、法规及执业规范，应遵守财政部门的相关制度规定，并由采购人对其进行日常考核和年度综合考评。</w:t>
      </w:r>
    </w:p>
    <w:p>
      <w:pPr>
        <w:spacing w:line="360" w:lineRule="auto"/>
        <w:ind w:firstLine="642"/>
        <w:rPr>
          <w:bCs/>
          <w:sz w:val="24"/>
          <w:szCs w:val="24"/>
        </w:rPr>
      </w:pPr>
      <w:r>
        <w:rPr>
          <w:bCs/>
          <w:sz w:val="24"/>
          <w:szCs w:val="24"/>
        </w:rPr>
        <w:t>（十一）实行计件收费的法定资产评估服务，可以被评估资产账面原值为计费依据，采取差额定率累进计算办法收取评估费用。</w:t>
      </w:r>
      <w:r>
        <w:rPr>
          <w:sz w:val="24"/>
          <w:szCs w:val="24"/>
        </w:rPr>
        <w:t>资产评估类业务</w:t>
      </w:r>
      <w:r>
        <w:rPr>
          <w:bCs/>
          <w:sz w:val="24"/>
          <w:szCs w:val="24"/>
        </w:rPr>
        <w:t>服务费费率计算出的编制费少于2000元的按2000元计算。</w:t>
      </w:r>
    </w:p>
    <w:p>
      <w:pPr>
        <w:spacing w:line="360" w:lineRule="auto"/>
        <w:jc w:val="center"/>
        <w:rPr>
          <w:rFonts w:eastAsia="黑体"/>
          <w:sz w:val="24"/>
          <w:szCs w:val="24"/>
        </w:rPr>
      </w:pPr>
      <w:r>
        <w:rPr>
          <w:rFonts w:hAnsi="黑体" w:eastAsia="黑体"/>
          <w:sz w:val="24"/>
          <w:szCs w:val="24"/>
        </w:rPr>
        <w:t>第三章评价监督与责任追究</w:t>
      </w:r>
    </w:p>
    <w:p>
      <w:pPr>
        <w:spacing w:line="360" w:lineRule="auto"/>
        <w:ind w:firstLine="482" w:firstLineChars="200"/>
        <w:rPr>
          <w:kern w:val="0"/>
          <w:sz w:val="24"/>
          <w:szCs w:val="24"/>
        </w:rPr>
      </w:pPr>
      <w:r>
        <w:rPr>
          <w:b/>
          <w:kern w:val="0"/>
          <w:sz w:val="24"/>
          <w:szCs w:val="24"/>
        </w:rPr>
        <w:t>第六条</w:t>
      </w:r>
      <w:r>
        <w:rPr>
          <w:kern w:val="0"/>
          <w:sz w:val="24"/>
          <w:szCs w:val="24"/>
        </w:rPr>
        <w:t>  建立政府投资项目中介服务诚信黑名单制度，根据“谁使用、谁付费、谁评价”的原则，委托人在项目结束后对受托中介机构服务质量进行评价，有下列情形之一的，清出备选库，承办业务的中介机构不得参与政府投资项目中介服务活动：</w:t>
      </w:r>
    </w:p>
    <w:p>
      <w:pPr>
        <w:spacing w:line="360" w:lineRule="auto"/>
        <w:ind w:firstLine="480" w:firstLineChars="200"/>
        <w:rPr>
          <w:kern w:val="0"/>
          <w:sz w:val="24"/>
          <w:szCs w:val="24"/>
        </w:rPr>
      </w:pPr>
      <w:r>
        <w:rPr>
          <w:kern w:val="0"/>
          <w:sz w:val="24"/>
          <w:szCs w:val="24"/>
        </w:rPr>
        <w:t>（一）承担两次委托业务均未查出违规违纪问题，或是披露问题避重就轻、掩饰隐瞒重大问题，但事后被其他审计、检查发现，给委托人造成恶劣社会影响的；</w:t>
      </w:r>
    </w:p>
    <w:p>
      <w:pPr>
        <w:spacing w:line="360" w:lineRule="auto"/>
        <w:ind w:firstLine="480" w:firstLineChars="200"/>
        <w:rPr>
          <w:kern w:val="0"/>
          <w:sz w:val="24"/>
          <w:szCs w:val="24"/>
        </w:rPr>
      </w:pPr>
      <w:r>
        <w:rPr>
          <w:kern w:val="0"/>
          <w:sz w:val="24"/>
          <w:szCs w:val="24"/>
        </w:rPr>
        <w:t>（二）有重大违规经营事项受到处罚的；</w:t>
      </w:r>
    </w:p>
    <w:p>
      <w:pPr>
        <w:spacing w:line="360" w:lineRule="auto"/>
        <w:ind w:firstLine="480" w:firstLineChars="200"/>
        <w:rPr>
          <w:kern w:val="0"/>
          <w:sz w:val="24"/>
          <w:szCs w:val="24"/>
        </w:rPr>
      </w:pPr>
      <w:r>
        <w:rPr>
          <w:kern w:val="0"/>
          <w:sz w:val="24"/>
          <w:szCs w:val="24"/>
        </w:rPr>
        <w:t>（三）与服务单位存在恶意串通等不诚信行为的；</w:t>
      </w:r>
    </w:p>
    <w:p>
      <w:pPr>
        <w:spacing w:line="360" w:lineRule="auto"/>
        <w:ind w:firstLine="480" w:firstLineChars="200"/>
        <w:rPr>
          <w:kern w:val="0"/>
          <w:sz w:val="24"/>
          <w:szCs w:val="24"/>
        </w:rPr>
      </w:pPr>
      <w:r>
        <w:rPr>
          <w:kern w:val="0"/>
          <w:sz w:val="24"/>
          <w:szCs w:val="24"/>
        </w:rPr>
        <w:t>（四）出具虚假、不实报告或泄露商业秘密的。</w:t>
      </w:r>
    </w:p>
    <w:p>
      <w:pPr>
        <w:spacing w:line="360" w:lineRule="auto"/>
        <w:ind w:firstLine="482" w:firstLineChars="200"/>
        <w:rPr>
          <w:kern w:val="0"/>
          <w:sz w:val="24"/>
          <w:szCs w:val="24"/>
        </w:rPr>
      </w:pPr>
      <w:r>
        <w:rPr>
          <w:b/>
          <w:bCs/>
          <w:kern w:val="0"/>
          <w:sz w:val="24"/>
          <w:szCs w:val="24"/>
        </w:rPr>
        <w:t>第七条</w:t>
      </w:r>
      <w:r>
        <w:rPr>
          <w:kern w:val="0"/>
          <w:sz w:val="24"/>
          <w:szCs w:val="24"/>
        </w:rPr>
        <w:t>　相关当事人存在以下情形的，应当回避：</w:t>
      </w:r>
    </w:p>
    <w:p>
      <w:pPr>
        <w:spacing w:line="360" w:lineRule="auto"/>
        <w:ind w:firstLine="480" w:firstLineChars="200"/>
        <w:rPr>
          <w:kern w:val="0"/>
          <w:sz w:val="24"/>
          <w:szCs w:val="24"/>
        </w:rPr>
      </w:pPr>
      <w:r>
        <w:rPr>
          <w:kern w:val="0"/>
          <w:sz w:val="24"/>
          <w:szCs w:val="24"/>
        </w:rPr>
        <w:t>（一）委托方承办人与受托中介机构法人或实际控制人及项目负责人有夫妻、直系血亲、近姻亲、同学、战友关系；</w:t>
      </w:r>
    </w:p>
    <w:p>
      <w:pPr>
        <w:spacing w:line="360" w:lineRule="auto"/>
        <w:ind w:firstLine="480" w:firstLineChars="200"/>
        <w:rPr>
          <w:sz w:val="24"/>
          <w:szCs w:val="24"/>
          <w:shd w:val="clear" w:color="auto" w:fill="FFFFFF"/>
        </w:rPr>
      </w:pPr>
      <w:r>
        <w:rPr>
          <w:sz w:val="24"/>
          <w:szCs w:val="24"/>
          <w:shd w:val="clear" w:color="auto" w:fill="FFFFFF"/>
        </w:rPr>
        <w:t>（二）预（结）算编制单位和审核单位为同一家中介机构，存在股权关联或者管理关系；</w:t>
      </w:r>
    </w:p>
    <w:p>
      <w:pPr>
        <w:spacing w:line="360" w:lineRule="auto"/>
        <w:ind w:firstLine="480" w:firstLineChars="200"/>
        <w:rPr>
          <w:sz w:val="24"/>
          <w:szCs w:val="24"/>
          <w:shd w:val="clear" w:color="auto" w:fill="FFFFFF"/>
        </w:rPr>
      </w:pPr>
      <w:r>
        <w:rPr>
          <w:sz w:val="24"/>
          <w:szCs w:val="24"/>
          <w:shd w:val="clear" w:color="auto" w:fill="FFFFFF"/>
        </w:rPr>
        <w:t>（三）受托承办业务人员与被审单位工作人员有近亲属关系或其他问题，可能对所承接项目结论产生影响的；</w:t>
      </w:r>
    </w:p>
    <w:p>
      <w:pPr>
        <w:spacing w:line="360" w:lineRule="auto"/>
        <w:ind w:firstLine="480" w:firstLineChars="200"/>
        <w:rPr>
          <w:b/>
          <w:sz w:val="24"/>
          <w:szCs w:val="24"/>
          <w:shd w:val="clear" w:color="auto" w:fill="FFFFFF"/>
        </w:rPr>
      </w:pPr>
      <w:r>
        <w:rPr>
          <w:sz w:val="24"/>
          <w:szCs w:val="24"/>
          <w:shd w:val="clear" w:color="auto" w:fill="FFFFFF"/>
        </w:rPr>
        <w:t>（四）法律规定需要回避的其他情形。</w:t>
      </w:r>
    </w:p>
    <w:p>
      <w:pPr>
        <w:spacing w:line="360" w:lineRule="auto"/>
        <w:ind w:firstLine="482" w:firstLineChars="200"/>
        <w:rPr>
          <w:sz w:val="24"/>
          <w:szCs w:val="24"/>
        </w:rPr>
      </w:pPr>
      <w:r>
        <w:rPr>
          <w:b/>
          <w:kern w:val="0"/>
          <w:sz w:val="24"/>
          <w:szCs w:val="24"/>
        </w:rPr>
        <w:t>第八条</w:t>
      </w:r>
      <w:r>
        <w:rPr>
          <w:kern w:val="0"/>
          <w:sz w:val="24"/>
          <w:szCs w:val="24"/>
        </w:rPr>
        <w:t>　相关工作人员应遵守廉洁自律规定，不得利用工作之便获取不正当利益，不得违法违规干预审计、评审、检查、评估结果。以上人员有徇私舞弊、滥用职权等违法违规行为的，按有关规定给予党政纪处分。</w:t>
      </w:r>
      <w:r>
        <w:rPr>
          <w:sz w:val="24"/>
          <w:szCs w:val="24"/>
        </w:rPr>
        <w:t>构成犯罪的，依法追究刑事责任。</w:t>
      </w:r>
    </w:p>
    <w:p>
      <w:pPr>
        <w:spacing w:line="360" w:lineRule="auto"/>
        <w:jc w:val="center"/>
        <w:rPr>
          <w:rFonts w:eastAsia="黑体"/>
          <w:sz w:val="24"/>
          <w:szCs w:val="24"/>
        </w:rPr>
      </w:pPr>
      <w:r>
        <w:rPr>
          <w:rFonts w:hAnsi="黑体" w:eastAsia="黑体"/>
          <w:sz w:val="24"/>
          <w:szCs w:val="24"/>
        </w:rPr>
        <w:t>第四章其他</w:t>
      </w:r>
    </w:p>
    <w:p>
      <w:pPr>
        <w:spacing w:line="360" w:lineRule="auto"/>
        <w:ind w:firstLine="482" w:firstLineChars="200"/>
        <w:rPr>
          <w:sz w:val="24"/>
          <w:szCs w:val="24"/>
          <w:shd w:val="clear" w:color="auto" w:fill="FFFFFF"/>
        </w:rPr>
      </w:pPr>
      <w:r>
        <w:rPr>
          <w:b/>
          <w:bCs/>
          <w:sz w:val="24"/>
          <w:szCs w:val="24"/>
          <w:shd w:val="clear" w:color="auto" w:fill="FFFFFF"/>
        </w:rPr>
        <w:t>第九条</w:t>
      </w:r>
      <w:r>
        <w:rPr>
          <w:sz w:val="24"/>
          <w:szCs w:val="24"/>
          <w:shd w:val="clear" w:color="auto" w:fill="FFFFFF"/>
        </w:rPr>
        <w:t xml:space="preserve">  中标的中介服务机构，总部不在许昌市，收到中标通知书后一个月内必须在许昌设立办事机构并报财政局备案，否则财政局有权将其清出备选库。</w:t>
      </w:r>
    </w:p>
    <w:p>
      <w:pPr>
        <w:spacing w:line="360" w:lineRule="auto"/>
        <w:ind w:firstLine="482" w:firstLineChars="200"/>
        <w:rPr>
          <w:kern w:val="0"/>
          <w:sz w:val="24"/>
          <w:szCs w:val="24"/>
        </w:rPr>
      </w:pPr>
      <w:r>
        <w:rPr>
          <w:b/>
          <w:bCs/>
          <w:kern w:val="0"/>
          <w:sz w:val="24"/>
          <w:szCs w:val="24"/>
        </w:rPr>
        <w:t>第十条</w:t>
      </w:r>
      <w:r>
        <w:rPr>
          <w:kern w:val="0"/>
          <w:sz w:val="24"/>
          <w:szCs w:val="24"/>
        </w:rPr>
        <w:t xml:space="preserve">  入选备选库的中介机构书面承诺自觉接受该管理办法的各项规定。</w:t>
      </w:r>
    </w:p>
    <w:p>
      <w:pPr>
        <w:widowControl/>
        <w:shd w:val="clear" w:color="auto" w:fill="FFFFFF"/>
        <w:spacing w:line="360" w:lineRule="auto"/>
        <w:ind w:firstLine="482" w:firstLineChars="200"/>
        <w:jc w:val="left"/>
        <w:rPr>
          <w:sz w:val="24"/>
          <w:szCs w:val="24"/>
        </w:rPr>
      </w:pPr>
      <w:r>
        <w:rPr>
          <w:b/>
          <w:kern w:val="0"/>
          <w:sz w:val="24"/>
          <w:szCs w:val="24"/>
        </w:rPr>
        <w:t>第十一条</w:t>
      </w:r>
      <w:r>
        <w:rPr>
          <w:sz w:val="24"/>
          <w:szCs w:val="24"/>
        </w:rPr>
        <w:t>委托人邀请专家对项目的合规性、必要性、科学性、合理性以及成果效率等情况进行评审、论证和研讨等活动需要向专家支付劳务费的，专家的往返交通、食宿、个税缴纳等事宜均</w:t>
      </w:r>
      <w:r>
        <w:rPr>
          <w:kern w:val="0"/>
          <w:sz w:val="24"/>
          <w:szCs w:val="24"/>
        </w:rPr>
        <w:t>按照</w:t>
      </w:r>
      <w:r>
        <w:rPr>
          <w:sz w:val="24"/>
          <w:szCs w:val="24"/>
        </w:rPr>
        <w:t>河南省财政厅豫财办〔2018〕41号文件规定执行；专家的劳务费支出标准参照河南省财政厅豫财办〔2018〕41号文件规定的50%-80%执行。</w:t>
      </w:r>
    </w:p>
    <w:p>
      <w:pPr>
        <w:widowControl/>
        <w:shd w:val="clear" w:color="auto" w:fill="FFFFFF"/>
        <w:spacing w:line="360" w:lineRule="auto"/>
        <w:ind w:firstLine="482" w:firstLineChars="200"/>
        <w:jc w:val="left"/>
        <w:rPr>
          <w:rFonts w:eastAsia="黑体"/>
          <w:kern w:val="0"/>
          <w:sz w:val="24"/>
          <w:szCs w:val="24"/>
        </w:rPr>
      </w:pPr>
      <w:r>
        <w:rPr>
          <w:b/>
          <w:sz w:val="24"/>
          <w:szCs w:val="24"/>
        </w:rPr>
        <w:t>第十二条</w:t>
      </w:r>
      <w:r>
        <w:rPr>
          <w:sz w:val="24"/>
          <w:szCs w:val="24"/>
        </w:rPr>
        <w:t xml:space="preserve">  委托人使用备选库的中介机构提供服务的，应和中介机构签订相应的委托合同；委托人使用备选库外的中介机构提供服务的，应按照《许昌市政府购买服务操作指南（试行）》（许财综〔2016</w:t>
      </w:r>
      <w:r>
        <w:rPr>
          <w:rFonts w:hAnsi="仿宋_GB2312"/>
          <w:sz w:val="24"/>
          <w:szCs w:val="24"/>
        </w:rPr>
        <w:t>〕</w:t>
      </w:r>
      <w:r>
        <w:rPr>
          <w:sz w:val="24"/>
          <w:szCs w:val="24"/>
        </w:rPr>
        <w:t>28</w:t>
      </w:r>
      <w:r>
        <w:rPr>
          <w:rFonts w:hAnsi="仿宋_GB2312"/>
          <w:sz w:val="24"/>
          <w:szCs w:val="24"/>
        </w:rPr>
        <w:t>号）规定购买服务。</w:t>
      </w:r>
    </w:p>
    <w:p>
      <w:pPr>
        <w:spacing w:line="360" w:lineRule="auto"/>
        <w:ind w:firstLine="482" w:firstLineChars="200"/>
        <w:rPr>
          <w:kern w:val="0"/>
          <w:sz w:val="24"/>
          <w:szCs w:val="24"/>
        </w:rPr>
      </w:pPr>
      <w:r>
        <w:rPr>
          <w:b/>
          <w:bCs/>
          <w:kern w:val="0"/>
          <w:sz w:val="24"/>
          <w:szCs w:val="24"/>
        </w:rPr>
        <w:t>第十三条</w:t>
      </w:r>
      <w:r>
        <w:rPr>
          <w:kern w:val="0"/>
          <w:sz w:val="24"/>
          <w:szCs w:val="24"/>
        </w:rPr>
        <w:t>  本办法第二章涉及付费标准的有关文件规定，如遇国家、省、市</w:t>
      </w:r>
      <w:r>
        <w:rPr>
          <w:sz w:val="24"/>
          <w:szCs w:val="24"/>
          <w:shd w:val="clear" w:color="auto" w:fill="FFFFFF"/>
        </w:rPr>
        <w:t>有关费率政策调整</w:t>
      </w:r>
      <w:r>
        <w:rPr>
          <w:kern w:val="0"/>
          <w:sz w:val="24"/>
          <w:szCs w:val="24"/>
        </w:rPr>
        <w:t>，按照新的规定标准相应调整。未尽事宜，将以附加条款及合同方式约定，与本办法具有同等法律效力，本办法由示范区财政局负责解释。</w:t>
      </w:r>
    </w:p>
    <w:p>
      <w:pPr>
        <w:spacing w:line="360" w:lineRule="auto"/>
        <w:ind w:firstLine="482" w:firstLineChars="200"/>
        <w:rPr>
          <w:sz w:val="24"/>
          <w:szCs w:val="24"/>
        </w:rPr>
      </w:pPr>
      <w:r>
        <w:rPr>
          <w:b/>
          <w:bCs/>
          <w:kern w:val="0"/>
          <w:sz w:val="24"/>
          <w:szCs w:val="24"/>
        </w:rPr>
        <w:t>第十四条</w:t>
      </w:r>
      <w:r>
        <w:rPr>
          <w:kern w:val="0"/>
          <w:sz w:val="24"/>
          <w:szCs w:val="24"/>
        </w:rPr>
        <w:t>  本办法自2019年8月1日起试行，原</w:t>
      </w:r>
      <w:r>
        <w:rPr>
          <w:sz w:val="24"/>
          <w:szCs w:val="24"/>
        </w:rPr>
        <w:t>许示范财〔2018〕38号文件同时废止。</w:t>
      </w:r>
    </w:p>
    <w:p>
      <w:pPr>
        <w:pBdr>
          <w:top w:val="single" w:color="auto" w:sz="6" w:space="6"/>
          <w:bottom w:val="single" w:color="auto" w:sz="6" w:space="1"/>
        </w:pBdr>
        <w:spacing w:line="360" w:lineRule="auto"/>
        <w:ind w:firstLine="109" w:firstLineChars="50"/>
        <w:rPr>
          <w:sz w:val="24"/>
          <w:szCs w:val="24"/>
        </w:rPr>
      </w:pPr>
      <w:r>
        <w:rPr>
          <w:rFonts w:hAnsi="仿宋_GB2312"/>
          <w:spacing w:val="-11"/>
          <w:sz w:val="24"/>
          <w:szCs w:val="24"/>
        </w:rPr>
        <w:t>许昌市城乡一体化示范区财政局</w:t>
      </w:r>
      <w:r>
        <w:rPr>
          <w:spacing w:val="-11"/>
          <w:sz w:val="24"/>
          <w:szCs w:val="24"/>
        </w:rPr>
        <w:t xml:space="preserve">         2019</w:t>
      </w:r>
      <w:r>
        <w:rPr>
          <w:rFonts w:hAnsi="仿宋_GB2312"/>
          <w:spacing w:val="-11"/>
          <w:sz w:val="24"/>
          <w:szCs w:val="24"/>
        </w:rPr>
        <w:t>年</w:t>
      </w:r>
      <w:r>
        <w:rPr>
          <w:rFonts w:hint="eastAsia"/>
          <w:spacing w:val="-11"/>
          <w:sz w:val="24"/>
          <w:szCs w:val="24"/>
        </w:rPr>
        <w:t>5</w:t>
      </w:r>
      <w:r>
        <w:rPr>
          <w:rFonts w:hAnsi="仿宋_GB2312"/>
          <w:spacing w:val="-11"/>
          <w:sz w:val="24"/>
          <w:szCs w:val="24"/>
        </w:rPr>
        <w:t>月</w:t>
      </w:r>
      <w:r>
        <w:rPr>
          <w:rFonts w:hint="eastAsia"/>
          <w:spacing w:val="-11"/>
          <w:sz w:val="24"/>
          <w:szCs w:val="24"/>
        </w:rPr>
        <w:t>13</w:t>
      </w:r>
      <w:r>
        <w:rPr>
          <w:rFonts w:hAnsi="仿宋_GB2312"/>
          <w:spacing w:val="-11"/>
          <w:sz w:val="24"/>
          <w:szCs w:val="24"/>
        </w:rPr>
        <w:t>日印</w:t>
      </w:r>
    </w:p>
    <w:p>
      <w:pPr>
        <w:spacing w:line="360" w:lineRule="auto"/>
        <w:rPr>
          <w:sz w:val="24"/>
          <w:szCs w:val="24"/>
        </w:rPr>
      </w:pPr>
      <w:r>
        <w:rPr>
          <w:rFonts w:hAnsi="仿宋_GB2312"/>
          <w:sz w:val="24"/>
          <w:szCs w:val="24"/>
        </w:rPr>
        <w:t>（共印</w:t>
      </w:r>
      <w:r>
        <w:rPr>
          <w:rFonts w:hint="eastAsia"/>
          <w:sz w:val="24"/>
          <w:szCs w:val="24"/>
        </w:rPr>
        <w:t>40</w:t>
      </w:r>
      <w:r>
        <w:rPr>
          <w:rFonts w:hAnsi="仿宋_GB2312"/>
          <w:sz w:val="24"/>
          <w:szCs w:val="24"/>
        </w:rPr>
        <w:t>份）</w:t>
      </w:r>
    </w:p>
    <w:p>
      <w:pPr>
        <w:spacing w:line="360" w:lineRule="auto"/>
        <w:jc w:val="left"/>
        <w:rPr>
          <w:sz w:val="24"/>
          <w:szCs w:val="24"/>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A4C7A"/>
    <w:multiLevelType w:val="singleLevel"/>
    <w:tmpl w:val="9B1A4C7A"/>
    <w:lvl w:ilvl="0" w:tentative="0">
      <w:start w:val="3"/>
      <w:numFmt w:val="chineseCounting"/>
      <w:suff w:val="nothing"/>
      <w:lvlText w:val="%1、"/>
      <w:lvlJc w:val="left"/>
      <w:rPr>
        <w:rFonts w:hint="eastAsia"/>
      </w:rPr>
    </w:lvl>
  </w:abstractNum>
  <w:abstractNum w:abstractNumId="1">
    <w:nsid w:val="9B1C4E50"/>
    <w:multiLevelType w:val="singleLevel"/>
    <w:tmpl w:val="9B1C4E50"/>
    <w:lvl w:ilvl="0" w:tentative="0">
      <w:start w:val="1"/>
      <w:numFmt w:val="decimal"/>
      <w:suff w:val="nothing"/>
      <w:lvlText w:val="%1、"/>
      <w:lvlJc w:val="left"/>
    </w:lvl>
  </w:abstractNum>
  <w:abstractNum w:abstractNumId="2">
    <w:nsid w:val="DA792FD5"/>
    <w:multiLevelType w:val="singleLevel"/>
    <w:tmpl w:val="DA792FD5"/>
    <w:lvl w:ilvl="0" w:tentative="0">
      <w:start w:val="7"/>
      <w:numFmt w:val="chineseCounting"/>
      <w:suff w:val="nothing"/>
      <w:lvlText w:val="%1、"/>
      <w:lvlJc w:val="left"/>
      <w:rPr>
        <w:rFonts w:hint="eastAsia"/>
      </w:rPr>
    </w:lvl>
  </w:abstractNum>
  <w:abstractNum w:abstractNumId="3">
    <w:nsid w:val="E0AC2FEB"/>
    <w:multiLevelType w:val="singleLevel"/>
    <w:tmpl w:val="E0AC2FEB"/>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150A76"/>
    <w:multiLevelType w:val="multilevel"/>
    <w:tmpl w:val="1C150A7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1B37D27"/>
    <w:multiLevelType w:val="singleLevel"/>
    <w:tmpl w:val="21B37D27"/>
    <w:lvl w:ilvl="0" w:tentative="0">
      <w:start w:val="1"/>
      <w:numFmt w:val="decimal"/>
      <w:suff w:val="nothing"/>
      <w:lvlText w:val="%1、"/>
      <w:lvlJc w:val="left"/>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suff w:val="nothing"/>
      <w:lvlText w:val="%1、"/>
      <w:lvlJc w:val="left"/>
    </w:lvl>
  </w:abstractNum>
  <w:abstractNum w:abstractNumId="11">
    <w:nsid w:val="5A66E8CF"/>
    <w:multiLevelType w:val="singleLevel"/>
    <w:tmpl w:val="5A66E8CF"/>
    <w:lvl w:ilvl="0" w:tentative="0">
      <w:start w:val="1"/>
      <w:numFmt w:val="chineseCounting"/>
      <w:suff w:val="space"/>
      <w:lvlText w:val="第%1章"/>
      <w:lvlJc w:val="left"/>
    </w:lvl>
  </w:abstractNum>
  <w:abstractNum w:abstractNumId="12">
    <w:nsid w:val="5A66EDA1"/>
    <w:multiLevelType w:val="singleLevel"/>
    <w:tmpl w:val="5A66EDA1"/>
    <w:lvl w:ilvl="0" w:tentative="0">
      <w:start w:val="1"/>
      <w:numFmt w:val="chineseCounting"/>
      <w:suff w:val="nothing"/>
      <w:lvlText w:val="%1、"/>
      <w:lvlJc w:val="left"/>
    </w:lvl>
  </w:abstractNum>
  <w:abstractNum w:abstractNumId="13">
    <w:nsid w:val="5B5584AE"/>
    <w:multiLevelType w:val="singleLevel"/>
    <w:tmpl w:val="5B5584AE"/>
    <w:lvl w:ilvl="0" w:tentative="0">
      <w:start w:val="1"/>
      <w:numFmt w:val="chineseCounting"/>
      <w:suff w:val="nothing"/>
      <w:lvlText w:val="%1、"/>
      <w:lvlJc w:val="left"/>
      <w:rPr>
        <w:rFonts w:cs="Times New Roman"/>
      </w:rPr>
    </w:lvl>
  </w:abstractNum>
  <w:abstractNum w:abstractNumId="14">
    <w:nsid w:val="5B66B834"/>
    <w:multiLevelType w:val="singleLevel"/>
    <w:tmpl w:val="5B66B834"/>
    <w:lvl w:ilvl="0" w:tentative="0">
      <w:start w:val="1"/>
      <w:numFmt w:val="decimal"/>
      <w:suff w:val="nothing"/>
      <w:lvlText w:val="%1、"/>
      <w:lvlJc w:val="left"/>
    </w:lvl>
  </w:abstractNum>
  <w:abstractNum w:abstractNumId="15">
    <w:nsid w:val="5B72A3B0"/>
    <w:multiLevelType w:val="singleLevel"/>
    <w:tmpl w:val="5B72A3B0"/>
    <w:lvl w:ilvl="0" w:tentative="0">
      <w:start w:val="1"/>
      <w:numFmt w:val="decimal"/>
      <w:suff w:val="nothing"/>
      <w:lvlText w:val="%1、"/>
      <w:lvlJc w:val="left"/>
      <w:rPr>
        <w:rFonts w:cs="Times New Roman"/>
      </w:rPr>
    </w:lvl>
  </w:abstractNum>
  <w:abstractNum w:abstractNumId="16">
    <w:nsid w:val="5BCD7864"/>
    <w:multiLevelType w:val="singleLevel"/>
    <w:tmpl w:val="5BCD7864"/>
    <w:lvl w:ilvl="0" w:tentative="0">
      <w:start w:val="1"/>
      <w:numFmt w:val="decimal"/>
      <w:suff w:val="nothing"/>
      <w:lvlText w:val="（%1）"/>
      <w:lvlJc w:val="left"/>
    </w:lvl>
  </w:abstractNum>
  <w:num w:numId="1">
    <w:abstractNumId w:val="4"/>
  </w:num>
  <w:num w:numId="2">
    <w:abstractNumId w:val="5"/>
  </w:num>
  <w:num w:numId="3">
    <w:abstractNumId w:val="10"/>
  </w:num>
  <w:num w:numId="4">
    <w:abstractNumId w:val="11"/>
  </w:num>
  <w:num w:numId="5">
    <w:abstractNumId w:val="9"/>
  </w:num>
  <w:num w:numId="6">
    <w:abstractNumId w:val="12"/>
  </w:num>
  <w:num w:numId="7">
    <w:abstractNumId w:val="15"/>
  </w:num>
  <w:num w:numId="8">
    <w:abstractNumId w:val="16"/>
  </w:num>
  <w:num w:numId="9">
    <w:abstractNumId w:val="2"/>
  </w:num>
  <w:num w:numId="10">
    <w:abstractNumId w:val="14"/>
  </w:num>
  <w:num w:numId="11">
    <w:abstractNumId w:val="8"/>
  </w:num>
  <w:num w:numId="12">
    <w:abstractNumId w:val="3"/>
  </w:num>
  <w:num w:numId="13">
    <w:abstractNumId w:val="1"/>
  </w:num>
  <w:num w:numId="14">
    <w:abstractNumId w:val="6"/>
  </w:num>
  <w:num w:numId="15">
    <w:abstractNumId w:val="1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535E"/>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02F5"/>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19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A83"/>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8B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B5DB0"/>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AF3F46"/>
    <w:rsid w:val="00B01935"/>
    <w:rsid w:val="00B022D6"/>
    <w:rsid w:val="00B02DA5"/>
    <w:rsid w:val="00B04332"/>
    <w:rsid w:val="00B045CE"/>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4C72"/>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192E8D"/>
    <w:rsid w:val="013E288B"/>
    <w:rsid w:val="01B11872"/>
    <w:rsid w:val="02556729"/>
    <w:rsid w:val="03EB338D"/>
    <w:rsid w:val="04454BE6"/>
    <w:rsid w:val="04F72257"/>
    <w:rsid w:val="055B25F7"/>
    <w:rsid w:val="05DD3F73"/>
    <w:rsid w:val="0639130A"/>
    <w:rsid w:val="07E82B1D"/>
    <w:rsid w:val="08984600"/>
    <w:rsid w:val="0931247F"/>
    <w:rsid w:val="095205E9"/>
    <w:rsid w:val="09EA74AC"/>
    <w:rsid w:val="0A564BBB"/>
    <w:rsid w:val="0AAF29FB"/>
    <w:rsid w:val="0BC87B7B"/>
    <w:rsid w:val="0C4B5AB9"/>
    <w:rsid w:val="0C4C1054"/>
    <w:rsid w:val="0CBA7DE2"/>
    <w:rsid w:val="0F020108"/>
    <w:rsid w:val="0F460619"/>
    <w:rsid w:val="0F5178EA"/>
    <w:rsid w:val="0FCB437C"/>
    <w:rsid w:val="10131951"/>
    <w:rsid w:val="10143E37"/>
    <w:rsid w:val="103014E9"/>
    <w:rsid w:val="107E1D03"/>
    <w:rsid w:val="10EB7AA0"/>
    <w:rsid w:val="120A78B7"/>
    <w:rsid w:val="12DC33BD"/>
    <w:rsid w:val="13037A79"/>
    <w:rsid w:val="135A64F1"/>
    <w:rsid w:val="15186D04"/>
    <w:rsid w:val="15B32592"/>
    <w:rsid w:val="16AC1E3E"/>
    <w:rsid w:val="179371F3"/>
    <w:rsid w:val="17F94183"/>
    <w:rsid w:val="18267FED"/>
    <w:rsid w:val="18487950"/>
    <w:rsid w:val="19365538"/>
    <w:rsid w:val="1A4C131F"/>
    <w:rsid w:val="1ABA7277"/>
    <w:rsid w:val="1AFE4E73"/>
    <w:rsid w:val="1BED7520"/>
    <w:rsid w:val="1C175EA7"/>
    <w:rsid w:val="1D870EF9"/>
    <w:rsid w:val="1DA8052C"/>
    <w:rsid w:val="1E055431"/>
    <w:rsid w:val="1EBE7DCB"/>
    <w:rsid w:val="1F4025BF"/>
    <w:rsid w:val="1FBA6F81"/>
    <w:rsid w:val="20D2636B"/>
    <w:rsid w:val="219F12A3"/>
    <w:rsid w:val="22CD40BB"/>
    <w:rsid w:val="22E31B1D"/>
    <w:rsid w:val="232907E9"/>
    <w:rsid w:val="247557BE"/>
    <w:rsid w:val="24FD1309"/>
    <w:rsid w:val="26893D0F"/>
    <w:rsid w:val="269843E0"/>
    <w:rsid w:val="28A61129"/>
    <w:rsid w:val="29370BFF"/>
    <w:rsid w:val="294E62CF"/>
    <w:rsid w:val="2BBA4D84"/>
    <w:rsid w:val="2CE80D52"/>
    <w:rsid w:val="2D49241D"/>
    <w:rsid w:val="2E7A669D"/>
    <w:rsid w:val="2E7E772F"/>
    <w:rsid w:val="2E936DEF"/>
    <w:rsid w:val="2F2C28B9"/>
    <w:rsid w:val="2FFB141C"/>
    <w:rsid w:val="309E391B"/>
    <w:rsid w:val="333F53A8"/>
    <w:rsid w:val="336737A8"/>
    <w:rsid w:val="33B2070D"/>
    <w:rsid w:val="37866F81"/>
    <w:rsid w:val="38BF129C"/>
    <w:rsid w:val="39162307"/>
    <w:rsid w:val="3A2C43A4"/>
    <w:rsid w:val="3A755D5F"/>
    <w:rsid w:val="3AAF640E"/>
    <w:rsid w:val="3B4D6FC4"/>
    <w:rsid w:val="3BCD358E"/>
    <w:rsid w:val="3C083BFB"/>
    <w:rsid w:val="3CEE469B"/>
    <w:rsid w:val="3CF275B1"/>
    <w:rsid w:val="3FBB2D9B"/>
    <w:rsid w:val="3FF945B8"/>
    <w:rsid w:val="40CB1D68"/>
    <w:rsid w:val="42EC1392"/>
    <w:rsid w:val="430B0BBB"/>
    <w:rsid w:val="43174B08"/>
    <w:rsid w:val="43D93012"/>
    <w:rsid w:val="44C1689A"/>
    <w:rsid w:val="45487210"/>
    <w:rsid w:val="47CF1C8D"/>
    <w:rsid w:val="4902667C"/>
    <w:rsid w:val="49504392"/>
    <w:rsid w:val="49DA35E8"/>
    <w:rsid w:val="4A2E2FD8"/>
    <w:rsid w:val="4B1F0E75"/>
    <w:rsid w:val="4B1F78D3"/>
    <w:rsid w:val="4C201E6D"/>
    <w:rsid w:val="4E4F45D3"/>
    <w:rsid w:val="4F234B65"/>
    <w:rsid w:val="4F5134EF"/>
    <w:rsid w:val="4F8B72E9"/>
    <w:rsid w:val="4F8F2262"/>
    <w:rsid w:val="4FB5122D"/>
    <w:rsid w:val="4FB516AF"/>
    <w:rsid w:val="4FDE2B93"/>
    <w:rsid w:val="50236E9C"/>
    <w:rsid w:val="50ED643B"/>
    <w:rsid w:val="50F135F4"/>
    <w:rsid w:val="50FF6A12"/>
    <w:rsid w:val="510B4C34"/>
    <w:rsid w:val="511C6ABF"/>
    <w:rsid w:val="51EC6C51"/>
    <w:rsid w:val="521151BB"/>
    <w:rsid w:val="52AD6A47"/>
    <w:rsid w:val="52E3581C"/>
    <w:rsid w:val="54442DB8"/>
    <w:rsid w:val="547049C9"/>
    <w:rsid w:val="55ED3E05"/>
    <w:rsid w:val="56700F4E"/>
    <w:rsid w:val="585931CF"/>
    <w:rsid w:val="587B398C"/>
    <w:rsid w:val="5B332884"/>
    <w:rsid w:val="5C747D86"/>
    <w:rsid w:val="5CD7749E"/>
    <w:rsid w:val="5D120A29"/>
    <w:rsid w:val="5D70364E"/>
    <w:rsid w:val="5ED66C37"/>
    <w:rsid w:val="5FC60589"/>
    <w:rsid w:val="60B21C83"/>
    <w:rsid w:val="60C92F50"/>
    <w:rsid w:val="624218FF"/>
    <w:rsid w:val="63BD5067"/>
    <w:rsid w:val="642C4097"/>
    <w:rsid w:val="64501A0F"/>
    <w:rsid w:val="648F328C"/>
    <w:rsid w:val="65E20456"/>
    <w:rsid w:val="67A07734"/>
    <w:rsid w:val="683257AF"/>
    <w:rsid w:val="68576F55"/>
    <w:rsid w:val="68EB694D"/>
    <w:rsid w:val="6C3D1B5F"/>
    <w:rsid w:val="6D0B136B"/>
    <w:rsid w:val="6E465346"/>
    <w:rsid w:val="6E7B0D6F"/>
    <w:rsid w:val="6EA13A34"/>
    <w:rsid w:val="6EAC7970"/>
    <w:rsid w:val="6FE54F72"/>
    <w:rsid w:val="7032518B"/>
    <w:rsid w:val="708B1556"/>
    <w:rsid w:val="70BE0EF4"/>
    <w:rsid w:val="72D346A4"/>
    <w:rsid w:val="733A6C33"/>
    <w:rsid w:val="73A9298E"/>
    <w:rsid w:val="74E67117"/>
    <w:rsid w:val="7538182E"/>
    <w:rsid w:val="753D522D"/>
    <w:rsid w:val="769024FC"/>
    <w:rsid w:val="77325588"/>
    <w:rsid w:val="77703D11"/>
    <w:rsid w:val="777D630D"/>
    <w:rsid w:val="77B16C57"/>
    <w:rsid w:val="786C2FF7"/>
    <w:rsid w:val="79226CF3"/>
    <w:rsid w:val="79403DCF"/>
    <w:rsid w:val="79804DEA"/>
    <w:rsid w:val="79D20AF3"/>
    <w:rsid w:val="79F915B1"/>
    <w:rsid w:val="7A043D40"/>
    <w:rsid w:val="7B187C4C"/>
    <w:rsid w:val="7B630B96"/>
    <w:rsid w:val="7BE67CA2"/>
    <w:rsid w:val="7D4200E9"/>
    <w:rsid w:val="7D885DAC"/>
    <w:rsid w:val="7DCB5EE4"/>
    <w:rsid w:val="7E4F62B6"/>
    <w:rsid w:val="7F59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1"/>
    <w:semiHidden/>
    <w:unhideWhenUsed/>
    <w:qFormat/>
    <w:uiPriority w:val="99"/>
    <w:rPr>
      <w:rFonts w:ascii="宋体" w:eastAsia="宋体"/>
      <w:sz w:val="18"/>
      <w:szCs w:val="18"/>
    </w:rPr>
  </w:style>
  <w:style w:type="paragraph" w:styleId="11">
    <w:name w:val="Body Text 3"/>
    <w:basedOn w:val="1"/>
    <w:link w:val="44"/>
    <w:qFormat/>
    <w:uiPriority w:val="0"/>
    <w:rPr>
      <w:rFonts w:ascii="Times New Roman" w:hAnsi="Times New Roman" w:eastAsia="宋体" w:cs="Times New Roman"/>
      <w:color w:val="FF0000"/>
      <w:sz w:val="24"/>
      <w:szCs w:val="24"/>
    </w:rPr>
  </w:style>
  <w:style w:type="paragraph" w:styleId="12">
    <w:name w:val="Body Text Indent"/>
    <w:basedOn w:val="1"/>
    <w:qFormat/>
    <w:uiPriority w:val="0"/>
    <w:pPr>
      <w:spacing w:line="360" w:lineRule="auto"/>
      <w:ind w:left="540" w:leftChars="257" w:firstLine="480"/>
    </w:pPr>
    <w:rPr>
      <w:rFonts w:ascii="宋体" w:hAnsi="宋体"/>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28"/>
    <w:qFormat/>
    <w:uiPriority w:val="0"/>
    <w:rPr>
      <w:rFonts w:eastAsia="宋体"/>
      <w:sz w:val="24"/>
    </w:rPr>
  </w:style>
  <w:style w:type="paragraph" w:styleId="16">
    <w:name w:val="Date"/>
    <w:basedOn w:val="1"/>
    <w:next w:val="1"/>
    <w:link w:val="29"/>
    <w:unhideWhenUsed/>
    <w:qFormat/>
    <w:uiPriority w:val="99"/>
    <w:pPr>
      <w:ind w:left="100" w:leftChars="2500"/>
    </w:p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2"/>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unhideWhenUsed/>
    <w:qFormat/>
    <w:uiPriority w:val="0"/>
  </w:style>
  <w:style w:type="character" w:styleId="27">
    <w:name w:val="Hyperlink"/>
    <w:basedOn w:val="24"/>
    <w:unhideWhenUsed/>
    <w:qFormat/>
    <w:uiPriority w:val="99"/>
    <w:rPr>
      <w:color w:val="0000FF"/>
      <w:u w:val="single"/>
    </w:rPr>
  </w:style>
  <w:style w:type="character" w:customStyle="1" w:styleId="28">
    <w:name w:val="纯文本 Char"/>
    <w:basedOn w:val="24"/>
    <w:link w:val="15"/>
    <w:qFormat/>
    <w:uiPriority w:val="0"/>
    <w:rPr>
      <w:rFonts w:eastAsia="宋体"/>
      <w:sz w:val="24"/>
    </w:rPr>
  </w:style>
  <w:style w:type="character" w:customStyle="1" w:styleId="29">
    <w:name w:val="日期 Char"/>
    <w:basedOn w:val="24"/>
    <w:link w:val="16"/>
    <w:qFormat/>
    <w:uiPriority w:val="99"/>
  </w:style>
  <w:style w:type="character" w:customStyle="1" w:styleId="30">
    <w:name w:val="页脚 Char"/>
    <w:basedOn w:val="24"/>
    <w:link w:val="17"/>
    <w:qFormat/>
    <w:uiPriority w:val="99"/>
    <w:rPr>
      <w:sz w:val="18"/>
      <w:szCs w:val="18"/>
    </w:rPr>
  </w:style>
  <w:style w:type="character" w:customStyle="1" w:styleId="31">
    <w:name w:val="页眉 Char"/>
    <w:basedOn w:val="24"/>
    <w:link w:val="18"/>
    <w:qFormat/>
    <w:uiPriority w:val="99"/>
    <w:rPr>
      <w:sz w:val="18"/>
      <w:szCs w:val="18"/>
    </w:rPr>
  </w:style>
  <w:style w:type="character" w:customStyle="1" w:styleId="32">
    <w:name w:val="纯文本 Char1"/>
    <w:qFormat/>
    <w:uiPriority w:val="0"/>
    <w:rPr>
      <w:rFonts w:eastAsia="宋体"/>
      <w:sz w:val="24"/>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4">
    <w:name w:val="列出段落1"/>
    <w:basedOn w:val="1"/>
    <w:qFormat/>
    <w:uiPriority w:val="34"/>
    <w:pPr>
      <w:ind w:firstLine="420" w:firstLineChars="200"/>
    </w:pPr>
  </w:style>
  <w:style w:type="paragraph" w:styleId="35">
    <w:name w:val="List Paragraph"/>
    <w:basedOn w:val="1"/>
    <w:unhideWhenUsed/>
    <w:qFormat/>
    <w:uiPriority w:val="99"/>
    <w:pPr>
      <w:ind w:firstLine="420" w:firstLineChars="200"/>
    </w:pPr>
  </w:style>
  <w:style w:type="character" w:customStyle="1" w:styleId="36">
    <w:name w:val="正文文本缩进 Char Char"/>
    <w:link w:val="37"/>
    <w:qFormat/>
    <w:uiPriority w:val="0"/>
    <w:rPr>
      <w:rFonts w:ascii="宋体"/>
      <w:sz w:val="24"/>
    </w:rPr>
  </w:style>
  <w:style w:type="paragraph" w:customStyle="1" w:styleId="37">
    <w:name w:val="正文文本缩进1"/>
    <w:basedOn w:val="1"/>
    <w:link w:val="36"/>
    <w:qFormat/>
    <w:uiPriority w:val="0"/>
    <w:pPr>
      <w:spacing w:line="360" w:lineRule="auto"/>
      <w:ind w:firstLine="480" w:firstLineChars="200"/>
    </w:pPr>
    <w:rPr>
      <w:rFonts w:ascii="宋体"/>
      <w:sz w:val="24"/>
    </w:rPr>
  </w:style>
  <w:style w:type="character" w:customStyle="1" w:styleId="38">
    <w:name w:val="日期 Char Char"/>
    <w:link w:val="39"/>
    <w:qFormat/>
    <w:uiPriority w:val="0"/>
    <w:rPr>
      <w:sz w:val="24"/>
    </w:rPr>
  </w:style>
  <w:style w:type="paragraph" w:customStyle="1" w:styleId="39">
    <w:name w:val="日期1"/>
    <w:basedOn w:val="1"/>
    <w:next w:val="1"/>
    <w:link w:val="38"/>
    <w:qFormat/>
    <w:uiPriority w:val="0"/>
    <w:rPr>
      <w:sz w:val="24"/>
    </w:rPr>
  </w:style>
  <w:style w:type="paragraph" w:customStyle="1" w:styleId="4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42">
    <w:name w:val="标题 3 Char"/>
    <w:basedOn w:val="24"/>
    <w:link w:val="6"/>
    <w:qFormat/>
    <w:uiPriority w:val="0"/>
    <w:rPr>
      <w:rFonts w:ascii="宋体" w:hAnsi="宋体" w:eastAsia="宋体" w:cs="Times New Roman"/>
      <w:b/>
      <w:color w:val="000000"/>
      <w:kern w:val="0"/>
      <w:sz w:val="24"/>
      <w:szCs w:val="20"/>
      <w:lang w:val="en-GB"/>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4"/>
    <w:link w:val="11"/>
    <w:qFormat/>
    <w:uiPriority w:val="0"/>
    <w:rPr>
      <w:rFonts w:ascii="Times New Roman" w:hAnsi="Times New Roman" w:eastAsia="宋体" w:cs="Times New Roman"/>
      <w:color w:val="FF0000"/>
      <w:sz w:val="24"/>
      <w:szCs w:val="24"/>
    </w:rPr>
  </w:style>
  <w:style w:type="character" w:customStyle="1" w:styleId="45">
    <w:name w:val="edittexttarea"/>
    <w:basedOn w:val="24"/>
    <w:qFormat/>
    <w:uiPriority w:val="0"/>
  </w:style>
  <w:style w:type="character" w:customStyle="1" w:styleId="46">
    <w:name w:val="标题 1 Char"/>
    <w:basedOn w:val="24"/>
    <w:link w:val="4"/>
    <w:qFormat/>
    <w:uiPriority w:val="0"/>
    <w:rPr>
      <w:rFonts w:ascii="Calibri" w:hAnsi="Calibri" w:eastAsia="宋体" w:cs="Times New Roman"/>
      <w:b/>
      <w:bCs/>
      <w:kern w:val="44"/>
      <w:sz w:val="44"/>
      <w:szCs w:val="44"/>
    </w:rPr>
  </w:style>
  <w:style w:type="character" w:customStyle="1" w:styleId="47">
    <w:name w:val="标题 2 Char"/>
    <w:basedOn w:val="24"/>
    <w:link w:val="5"/>
    <w:qFormat/>
    <w:uiPriority w:val="0"/>
    <w:rPr>
      <w:rFonts w:ascii="Arial" w:hAnsi="Arial" w:eastAsia="黑体" w:cs="Times New Roman"/>
      <w:b/>
      <w:bCs/>
      <w:kern w:val="0"/>
      <w:sz w:val="32"/>
      <w:szCs w:val="32"/>
    </w:rPr>
  </w:style>
  <w:style w:type="character" w:customStyle="1" w:styleId="48">
    <w:name w:val="标题 4 Char"/>
    <w:basedOn w:val="24"/>
    <w:link w:val="7"/>
    <w:qFormat/>
    <w:uiPriority w:val="0"/>
    <w:rPr>
      <w:rFonts w:ascii="Arial" w:hAnsi="Arial" w:eastAsia="黑体" w:cs="Times New Roman"/>
      <w:b/>
      <w:bCs/>
      <w:kern w:val="0"/>
      <w:sz w:val="28"/>
      <w:szCs w:val="28"/>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文档结构图 Char"/>
    <w:basedOn w:val="24"/>
    <w:link w:val="10"/>
    <w:semiHidden/>
    <w:qFormat/>
    <w:uiPriority w:val="99"/>
    <w:rPr>
      <w:rFonts w:ascii="宋体" w:eastAsia="宋体"/>
      <w:kern w:val="2"/>
      <w:sz w:val="18"/>
      <w:szCs w:val="18"/>
    </w:rPr>
  </w:style>
  <w:style w:type="paragraph" w:customStyle="1" w:styleId="52">
    <w:name w:val="List Paragraph1"/>
    <w:basedOn w:val="1"/>
    <w:qFormat/>
    <w:uiPriority w:val="99"/>
    <w:pPr>
      <w:ind w:firstLine="420" w:firstLineChars="200"/>
    </w:pPr>
  </w:style>
  <w:style w:type="paragraph" w:customStyle="1" w:styleId="53">
    <w:name w:val="纯文本1"/>
    <w:basedOn w:val="1"/>
    <w:qFormat/>
    <w:uiPriority w:val="99"/>
    <w:rPr>
      <w:sz w:val="24"/>
    </w:rPr>
  </w:style>
  <w:style w:type="paragraph" w:customStyle="1" w:styleId="54">
    <w:name w:val="Table Paragraph"/>
    <w:basedOn w:val="1"/>
    <w:qFormat/>
    <w:uiPriority w:val="1"/>
  </w:style>
  <w:style w:type="paragraph" w:customStyle="1" w:styleId="55">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56">
    <w:name w:val="apple-converted-space"/>
    <w:basedOn w:val="24"/>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9C10C-A118-49DC-AB3F-736170CED5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90</Pages>
  <Words>41101</Words>
  <Characters>6136</Characters>
  <Lines>51</Lines>
  <Paragraphs>94</Paragraphs>
  <TotalTime>40</TotalTime>
  <ScaleCrop>false</ScaleCrop>
  <LinksUpToDate>false</LinksUpToDate>
  <CharactersWithSpaces>47143</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夏</cp:lastModifiedBy>
  <cp:lastPrinted>2019-06-28T09:06:45Z</cp:lastPrinted>
  <dcterms:modified xsi:type="dcterms:W3CDTF">2019-06-28T09:24:19Z</dcterms:modified>
  <cp:revision>1119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