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spacing w:line="480" w:lineRule="exact"/>
        <w:ind w:left="425" w:leftChars="0" w:hanging="425" w:firstLineChars="0"/>
        <w:jc w:val="center"/>
        <w:textAlignment w:val="baseline"/>
        <w:outlineLvl w:val="0"/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  <w:bookmarkStart w:id="0" w:name="_Toc12807"/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第一次报价一览表</w:t>
      </w:r>
      <w:bookmarkEnd w:id="0"/>
    </w:p>
    <w:p>
      <w:pPr>
        <w:spacing w:line="500" w:lineRule="exact"/>
        <w:rPr>
          <w:rFonts w:hint="eastAsia" w:ascii="仿宋" w:hAnsi="仿宋" w:eastAsia="仿宋" w:cs="仿宋"/>
          <w:b/>
          <w:sz w:val="28"/>
          <w:szCs w:val="28"/>
        </w:rPr>
      </w:pPr>
    </w:p>
    <w:p>
      <w:pPr>
        <w:pStyle w:val="3"/>
        <w:rPr>
          <w:rFonts w:hint="eastAsia" w:ascii="仿宋" w:hAnsi="仿宋" w:eastAsia="仿宋" w:cs="仿宋"/>
        </w:rPr>
      </w:pPr>
    </w:p>
    <w:tbl>
      <w:tblPr>
        <w:tblStyle w:val="4"/>
        <w:tblW w:w="99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7"/>
        <w:gridCol w:w="79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0" w:hRule="atLeast"/>
        </w:trPr>
        <w:tc>
          <w:tcPr>
            <w:tcW w:w="1997" w:type="dxa"/>
            <w:vAlign w:val="center"/>
          </w:tcPr>
          <w:p>
            <w:pPr>
              <w:spacing w:line="500" w:lineRule="exact"/>
              <w:ind w:firstLine="280" w:firstLineChars="100"/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项目名称</w:t>
            </w:r>
          </w:p>
        </w:tc>
        <w:tc>
          <w:tcPr>
            <w:tcW w:w="7965" w:type="dxa"/>
            <w:vAlign w:val="center"/>
          </w:tcPr>
          <w:p>
            <w:pPr>
              <w:spacing w:line="500" w:lineRule="exact"/>
              <w:ind w:firstLine="280" w:firstLineChars="100"/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禹州市公安局购置交警执法执勤装备项目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0" w:hRule="atLeast"/>
        </w:trPr>
        <w:tc>
          <w:tcPr>
            <w:tcW w:w="1997" w:type="dxa"/>
            <w:vAlign w:val="center"/>
          </w:tcPr>
          <w:p>
            <w:pPr>
              <w:spacing w:line="500" w:lineRule="exact"/>
              <w:ind w:firstLine="280" w:firstLineChars="100"/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采购编号</w:t>
            </w:r>
          </w:p>
        </w:tc>
        <w:tc>
          <w:tcPr>
            <w:tcW w:w="7965" w:type="dxa"/>
            <w:vAlign w:val="center"/>
          </w:tcPr>
          <w:p>
            <w:pPr>
              <w:spacing w:line="500" w:lineRule="exact"/>
              <w:ind w:firstLine="280" w:firstLineChars="100"/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YZCG-T2019117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5" w:hRule="atLeast"/>
        </w:trPr>
        <w:tc>
          <w:tcPr>
            <w:tcW w:w="1997" w:type="dxa"/>
            <w:vAlign w:val="center"/>
          </w:tcPr>
          <w:p>
            <w:pPr>
              <w:spacing w:line="500" w:lineRule="exact"/>
              <w:ind w:firstLine="280" w:firstLineChars="100"/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谈判总报价</w:t>
            </w:r>
          </w:p>
        </w:tc>
        <w:tc>
          <w:tcPr>
            <w:tcW w:w="7965" w:type="dxa"/>
            <w:vAlign w:val="center"/>
          </w:tcPr>
          <w:p>
            <w:pPr>
              <w:spacing w:line="500" w:lineRule="exact"/>
              <w:ind w:firstLine="280" w:firstLineChars="10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小写：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314800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 xml:space="preserve">元 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             </w:t>
            </w:r>
          </w:p>
          <w:p>
            <w:pPr>
              <w:spacing w:line="500" w:lineRule="exact"/>
              <w:ind w:firstLine="280" w:firstLineChars="100"/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大写：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叁拾壹万肆仟捌佰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0" w:hRule="atLeast"/>
        </w:trPr>
        <w:tc>
          <w:tcPr>
            <w:tcW w:w="1997" w:type="dxa"/>
            <w:vAlign w:val="center"/>
          </w:tcPr>
          <w:p>
            <w:pPr>
              <w:spacing w:line="500" w:lineRule="exact"/>
              <w:ind w:firstLine="280" w:firstLineChars="100"/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工期</w:t>
            </w:r>
          </w:p>
        </w:tc>
        <w:tc>
          <w:tcPr>
            <w:tcW w:w="7965" w:type="dxa"/>
            <w:vAlign w:val="center"/>
          </w:tcPr>
          <w:p>
            <w:pPr>
              <w:spacing w:line="500" w:lineRule="exact"/>
              <w:ind w:firstLine="280" w:firstLineChars="100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以签订合同为准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0" w:hRule="atLeast"/>
        </w:trPr>
        <w:tc>
          <w:tcPr>
            <w:tcW w:w="1997" w:type="dxa"/>
            <w:vAlign w:val="center"/>
          </w:tcPr>
          <w:p>
            <w:pPr>
              <w:spacing w:line="500" w:lineRule="exact"/>
              <w:ind w:firstLine="280" w:firstLineChars="100"/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备注</w:t>
            </w:r>
          </w:p>
        </w:tc>
        <w:tc>
          <w:tcPr>
            <w:tcW w:w="7965" w:type="dxa"/>
            <w:vAlign w:val="center"/>
          </w:tcPr>
          <w:p>
            <w:pPr>
              <w:spacing w:line="500" w:lineRule="exact"/>
              <w:ind w:firstLine="280" w:firstLineChars="100"/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</w:tr>
    </w:tbl>
    <w:p>
      <w:pPr>
        <w:spacing w:line="500" w:lineRule="exact"/>
        <w:rPr>
          <w:rFonts w:hint="eastAsia" w:ascii="仿宋" w:hAnsi="仿宋" w:eastAsia="仿宋" w:cs="仿宋"/>
          <w:sz w:val="28"/>
          <w:szCs w:val="28"/>
          <w:lang w:eastAsia="zh-CN"/>
        </w:rPr>
      </w:pPr>
    </w:p>
    <w:p>
      <w:pPr>
        <w:spacing w:line="500" w:lineRule="exact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供应商名称（公章）：禹州市捷昌通信技术有限公司</w:t>
      </w:r>
    </w:p>
    <w:p>
      <w:pPr>
        <w:spacing w:line="500" w:lineRule="exact"/>
        <w:rPr>
          <w:rFonts w:hint="eastAsia" w:ascii="仿宋" w:hAnsi="仿宋" w:eastAsia="仿宋" w:cs="仿宋"/>
          <w:sz w:val="28"/>
          <w:szCs w:val="28"/>
        </w:rPr>
      </w:pPr>
    </w:p>
    <w:p>
      <w:pPr>
        <w:spacing w:line="500" w:lineRule="exac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法定代表人 （或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授权代表</w:t>
      </w:r>
      <w:r>
        <w:rPr>
          <w:rFonts w:hint="eastAsia" w:ascii="仿宋" w:hAnsi="仿宋" w:eastAsia="仿宋" w:cs="仿宋"/>
          <w:sz w:val="28"/>
          <w:szCs w:val="28"/>
        </w:rPr>
        <w:t>）签字：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     </w:t>
      </w:r>
    </w:p>
    <w:p>
      <w:pPr>
        <w:widowControl/>
        <w:spacing w:line="500" w:lineRule="exact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                                         </w:t>
      </w:r>
    </w:p>
    <w:p>
      <w:pPr>
        <w:widowControl/>
        <w:spacing w:line="500" w:lineRule="exact"/>
        <w:jc w:val="left"/>
        <w:rPr>
          <w:rFonts w:hint="eastAsia" w:ascii="仿宋" w:hAnsi="仿宋" w:eastAsia="仿宋" w:cs="仿宋"/>
          <w:sz w:val="28"/>
          <w:szCs w:val="28"/>
        </w:rPr>
      </w:pPr>
    </w:p>
    <w:p>
      <w:pPr>
        <w:widowControl/>
        <w:spacing w:line="500" w:lineRule="exact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4"/>
        </w:rPr>
        <w:t xml:space="preserve">                                                      </w:t>
      </w:r>
      <w:r>
        <w:rPr>
          <w:rFonts w:hint="eastAsia"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2019年6月21日</w:t>
      </w:r>
    </w:p>
    <w:p>
      <w:pPr>
        <w:numPr>
          <w:ilvl w:val="0"/>
          <w:numId w:val="2"/>
        </w:numPr>
        <w:spacing w:line="480" w:lineRule="exact"/>
        <w:ind w:left="425" w:leftChars="0" w:hanging="425" w:firstLineChars="0"/>
        <w:jc w:val="center"/>
        <w:textAlignment w:val="baseline"/>
        <w:outlineLvl w:val="0"/>
        <w:rPr>
          <w:rFonts w:hint="eastAsia" w:ascii="仿宋" w:hAnsi="仿宋" w:eastAsia="仿宋" w:cs="仿宋"/>
          <w:b/>
          <w:bCs/>
          <w:sz w:val="28"/>
          <w:szCs w:val="28"/>
          <w:lang w:val="zh-CN" w:eastAsia="zh-CN"/>
        </w:rPr>
        <w:sectPr>
          <w:pgSz w:w="11906" w:h="16838"/>
          <w:pgMar w:top="1440" w:right="1080" w:bottom="1440" w:left="1080" w:header="851" w:footer="992" w:gutter="0"/>
          <w:pgNumType w:fmt="decimal"/>
          <w:cols w:space="425" w:num="1"/>
          <w:docGrid w:type="lines" w:linePitch="312" w:charSpace="0"/>
        </w:sectPr>
      </w:pPr>
    </w:p>
    <w:p>
      <w:pPr>
        <w:numPr>
          <w:ilvl w:val="0"/>
          <w:numId w:val="1"/>
        </w:numPr>
        <w:spacing w:line="480" w:lineRule="exact"/>
        <w:ind w:left="425" w:leftChars="0" w:hanging="425" w:firstLineChars="0"/>
        <w:jc w:val="center"/>
        <w:textAlignment w:val="baseline"/>
        <w:outlineLvl w:val="0"/>
        <w:rPr>
          <w:rFonts w:hint="eastAsia" w:ascii="仿宋" w:hAnsi="仿宋" w:eastAsia="仿宋" w:cs="仿宋"/>
          <w:b/>
          <w:bCs/>
          <w:sz w:val="30"/>
          <w:szCs w:val="30"/>
          <w:lang w:val="zh-CN" w:eastAsia="zh-CN"/>
        </w:rPr>
      </w:pPr>
      <w:bookmarkStart w:id="1" w:name="_Toc16424"/>
      <w:bookmarkStart w:id="92" w:name="_GoBack"/>
      <w:bookmarkEnd w:id="92"/>
      <w:r>
        <w:rPr>
          <w:rFonts w:hint="eastAsia" w:ascii="仿宋" w:hAnsi="仿宋" w:eastAsia="仿宋" w:cs="仿宋"/>
          <w:b/>
          <w:bCs/>
          <w:sz w:val="30"/>
          <w:szCs w:val="30"/>
          <w:lang w:val="zh-CN" w:eastAsia="zh-CN"/>
        </w:rPr>
        <w:t>售后服务承诺</w:t>
      </w:r>
      <w:bookmarkEnd w:id="1"/>
    </w:p>
    <w:p>
      <w:pPr>
        <w:keepNext w:val="0"/>
        <w:keepLines w:val="0"/>
        <w:pageBreakBefore w:val="0"/>
        <w:widowControl w:val="0"/>
        <w:numPr>
          <w:ilvl w:val="1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567" w:leftChars="0" w:hanging="567" w:firstLineChars="0"/>
        <w:jc w:val="left"/>
        <w:textAlignment w:val="baseline"/>
        <w:outlineLvl w:val="1"/>
        <w:rPr>
          <w:rFonts w:hint="eastAsia" w:ascii="仿宋" w:hAnsi="仿宋" w:eastAsia="仿宋" w:cs="仿宋"/>
          <w:b/>
          <w:bCs/>
          <w:sz w:val="28"/>
          <w:szCs w:val="28"/>
          <w:lang w:val="zh-CN" w:eastAsia="zh-CN"/>
        </w:rPr>
      </w:pPr>
      <w:bookmarkStart w:id="2" w:name="_Toc3012"/>
      <w:bookmarkStart w:id="3" w:name="_Toc14644"/>
      <w:bookmarkStart w:id="4" w:name="_Toc20474"/>
      <w:bookmarkStart w:id="5" w:name="_Toc21640"/>
      <w:bookmarkStart w:id="6" w:name="_Toc3227"/>
      <w:bookmarkStart w:id="7" w:name="_Toc11202"/>
      <w:bookmarkStart w:id="8" w:name="_Toc18908"/>
      <w:bookmarkStart w:id="9" w:name="_Toc29183"/>
      <w:r>
        <w:rPr>
          <w:rFonts w:hint="eastAsia" w:ascii="仿宋" w:hAnsi="仿宋" w:eastAsia="仿宋" w:cs="仿宋"/>
          <w:b/>
          <w:bCs/>
          <w:sz w:val="28"/>
          <w:szCs w:val="28"/>
          <w:lang w:val="zh-CN" w:eastAsia="zh-CN"/>
        </w:rPr>
        <w:t>维修点地址、负责人、联系人和联系电话，维修点具备的维修能力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right="0" w:rightChars="0" w:firstLine="420" w:firstLineChars="0"/>
        <w:jc w:val="both"/>
        <w:textAlignment w:val="auto"/>
        <w:outlineLvl w:val="9"/>
        <w:rPr>
          <w:rFonts w:hint="eastAsia" w:ascii="仿宋" w:hAnsi="仿宋" w:eastAsia="仿宋" w:cs="仿宋"/>
          <w:sz w:val="24"/>
          <w:lang w:val="zh-CN"/>
        </w:rPr>
      </w:pPr>
      <w:r>
        <w:rPr>
          <w:rFonts w:hint="eastAsia" w:ascii="仿宋" w:hAnsi="仿宋" w:eastAsia="仿宋" w:cs="仿宋"/>
          <w:sz w:val="24"/>
          <w:lang w:val="zh-CN" w:eastAsia="zh-CN"/>
        </w:rPr>
        <w:t>售后服务机构名称：禹州市捷昌通信技术有限公司售后服务站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right="0" w:rightChars="0" w:firstLine="420" w:firstLineChars="0"/>
        <w:jc w:val="both"/>
        <w:textAlignment w:val="auto"/>
        <w:outlineLvl w:val="9"/>
        <w:rPr>
          <w:rFonts w:hint="eastAsia" w:ascii="仿宋" w:hAnsi="仿宋" w:eastAsia="仿宋" w:cs="仿宋"/>
          <w:sz w:val="24"/>
          <w:lang w:val="zh-CN"/>
        </w:rPr>
      </w:pPr>
      <w:r>
        <w:rPr>
          <w:rFonts w:hint="eastAsia" w:ascii="仿宋" w:hAnsi="仿宋" w:eastAsia="仿宋" w:cs="仿宋"/>
          <w:sz w:val="24"/>
          <w:lang w:val="zh-CN"/>
        </w:rPr>
        <w:t>维修点地址：禹州市颍川办商贸大世界北八路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right="0" w:rightChars="0" w:firstLine="420" w:firstLineChars="0"/>
        <w:jc w:val="both"/>
        <w:textAlignment w:val="auto"/>
        <w:outlineLvl w:val="9"/>
        <w:rPr>
          <w:rFonts w:hint="eastAsia" w:ascii="仿宋" w:hAnsi="仿宋" w:eastAsia="仿宋" w:cs="仿宋"/>
          <w:sz w:val="24"/>
          <w:lang w:val="zh-CN"/>
        </w:rPr>
      </w:pPr>
      <w:r>
        <w:rPr>
          <w:rFonts w:hint="eastAsia" w:ascii="仿宋" w:hAnsi="仿宋" w:eastAsia="仿宋" w:cs="仿宋"/>
          <w:sz w:val="24"/>
          <w:lang w:val="zh-CN"/>
        </w:rPr>
        <w:t>负责人：陈晓远</w:t>
      </w:r>
      <w:r>
        <w:rPr>
          <w:rFonts w:hint="eastAsia" w:ascii="仿宋" w:hAnsi="仿宋" w:eastAsia="仿宋" w:cs="仿宋"/>
          <w:sz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lang w:val="zh-CN"/>
        </w:rPr>
        <w:t>联系电话：</w:t>
      </w:r>
      <w:r>
        <w:rPr>
          <w:rFonts w:hint="eastAsia" w:ascii="仿宋" w:hAnsi="仿宋" w:eastAsia="仿宋" w:cs="仿宋"/>
          <w:sz w:val="24"/>
          <w:lang w:val="en-US" w:eastAsia="zh-CN"/>
        </w:rPr>
        <w:t>13271243666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right="0" w:rightChars="0" w:firstLine="420" w:firstLineChars="0"/>
        <w:jc w:val="both"/>
        <w:textAlignment w:val="auto"/>
        <w:outlineLvl w:val="9"/>
        <w:rPr>
          <w:rFonts w:hint="eastAsia" w:ascii="仿宋" w:hAnsi="仿宋" w:eastAsia="仿宋" w:cs="仿宋"/>
          <w:sz w:val="24"/>
          <w:lang w:val="zh-CN"/>
        </w:rPr>
      </w:pPr>
      <w:r>
        <w:rPr>
          <w:rFonts w:hint="eastAsia" w:ascii="仿宋" w:hAnsi="仿宋" w:eastAsia="仿宋" w:cs="仿宋"/>
          <w:sz w:val="24"/>
          <w:lang w:val="zh-CN"/>
        </w:rPr>
        <w:t>维修站具备的维修能力：拥有在职员工</w:t>
      </w:r>
      <w:r>
        <w:rPr>
          <w:rFonts w:hint="eastAsia" w:ascii="仿宋" w:hAnsi="仿宋" w:eastAsia="仿宋" w:cs="仿宋"/>
          <w:sz w:val="24"/>
          <w:lang w:val="en-US" w:eastAsia="zh-CN"/>
        </w:rPr>
        <w:t>15</w:t>
      </w:r>
      <w:r>
        <w:rPr>
          <w:rFonts w:hint="eastAsia" w:ascii="仿宋" w:hAnsi="仿宋" w:eastAsia="仿宋" w:cs="仿宋"/>
          <w:sz w:val="24"/>
          <w:lang w:val="zh-CN"/>
        </w:rPr>
        <w:t>余人，负责工程的运维与建设，建立有备品备件库。内部设置有备件存放架，文档存放柜，以及测试用的设备，能维修软硬件的升级，产品的测试，设备的更换、检修等工作。</w:t>
      </w:r>
    </w:p>
    <w:p>
      <w:pPr>
        <w:keepNext w:val="0"/>
        <w:keepLines w:val="0"/>
        <w:pageBreakBefore w:val="0"/>
        <w:widowControl w:val="0"/>
        <w:numPr>
          <w:ilvl w:val="1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567" w:leftChars="0" w:hanging="567" w:firstLineChars="0"/>
        <w:jc w:val="left"/>
        <w:textAlignment w:val="baseline"/>
        <w:outlineLvl w:val="1"/>
        <w:rPr>
          <w:rFonts w:hint="eastAsia" w:ascii="仿宋" w:hAnsi="仿宋" w:eastAsia="仿宋" w:cs="仿宋"/>
          <w:b/>
          <w:bCs/>
          <w:sz w:val="28"/>
          <w:szCs w:val="28"/>
          <w:lang w:val="zh-CN" w:eastAsia="zh-CN"/>
        </w:rPr>
      </w:pPr>
      <w:bookmarkStart w:id="10" w:name="_Toc8229"/>
      <w:bookmarkStart w:id="11" w:name="_Toc8925"/>
      <w:bookmarkStart w:id="12" w:name="_Toc24972"/>
      <w:bookmarkStart w:id="13" w:name="_Toc10984"/>
      <w:bookmarkStart w:id="14" w:name="_Toc31862"/>
      <w:bookmarkStart w:id="15" w:name="_Toc28261"/>
      <w:bookmarkStart w:id="16" w:name="_Toc5722"/>
      <w:bookmarkStart w:id="17" w:name="_Toc12542"/>
      <w:r>
        <w:rPr>
          <w:rFonts w:hint="eastAsia" w:ascii="仿宋" w:hAnsi="仿宋" w:eastAsia="仿宋" w:cs="仿宋"/>
          <w:b/>
          <w:bCs/>
          <w:sz w:val="28"/>
          <w:szCs w:val="28"/>
          <w:lang w:val="zh-CN" w:eastAsia="zh-CN"/>
        </w:rPr>
        <w:t>免费包修期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right="0" w:rightChars="0" w:firstLine="420" w:firstLineChars="0"/>
        <w:jc w:val="both"/>
        <w:textAlignment w:val="auto"/>
        <w:outlineLvl w:val="9"/>
        <w:rPr>
          <w:rFonts w:hint="eastAsia" w:ascii="仿宋" w:hAnsi="仿宋" w:eastAsia="仿宋" w:cs="仿宋"/>
          <w:b/>
          <w:color w:val="auto"/>
          <w:sz w:val="24"/>
          <w:szCs w:val="24"/>
          <w:lang w:val="zh-CN"/>
        </w:rPr>
      </w:pPr>
      <w:r>
        <w:rPr>
          <w:rFonts w:hint="eastAsia" w:ascii="仿宋" w:hAnsi="仿宋" w:eastAsia="仿宋" w:cs="仿宋"/>
          <w:sz w:val="24"/>
          <w:lang w:val="zh-CN"/>
        </w:rPr>
        <w:t>免费包修期：</w:t>
      </w:r>
      <w:r>
        <w:rPr>
          <w:rFonts w:hint="eastAsia" w:ascii="仿宋" w:hAnsi="仿宋" w:eastAsia="仿宋" w:cs="仿宋"/>
          <w:sz w:val="24"/>
          <w:lang w:val="en-US" w:eastAsia="zh-CN"/>
        </w:rPr>
        <w:t>1年</w:t>
      </w:r>
    </w:p>
    <w:p>
      <w:pPr>
        <w:keepNext w:val="0"/>
        <w:keepLines w:val="0"/>
        <w:pageBreakBefore w:val="0"/>
        <w:widowControl w:val="0"/>
        <w:numPr>
          <w:ilvl w:val="1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567" w:leftChars="0" w:hanging="567" w:firstLineChars="0"/>
        <w:jc w:val="left"/>
        <w:textAlignment w:val="baseline"/>
        <w:outlineLvl w:val="1"/>
        <w:rPr>
          <w:rFonts w:hint="eastAsia" w:ascii="仿宋" w:hAnsi="仿宋" w:eastAsia="仿宋" w:cs="仿宋"/>
          <w:b/>
          <w:bCs/>
          <w:sz w:val="28"/>
          <w:szCs w:val="28"/>
          <w:lang w:val="zh-CN" w:eastAsia="zh-CN"/>
        </w:rPr>
      </w:pPr>
      <w:bookmarkStart w:id="18" w:name="_Toc21550"/>
      <w:bookmarkStart w:id="19" w:name="_Toc27640"/>
      <w:bookmarkStart w:id="20" w:name="_Toc8139"/>
      <w:bookmarkStart w:id="21" w:name="_Toc21587"/>
      <w:bookmarkStart w:id="22" w:name="_Toc5616"/>
      <w:bookmarkStart w:id="23" w:name="_Toc32323"/>
      <w:bookmarkStart w:id="24" w:name="_Toc12677"/>
      <w:bookmarkStart w:id="25" w:name="_Toc30791"/>
      <w:r>
        <w:rPr>
          <w:rFonts w:hint="eastAsia" w:ascii="仿宋" w:hAnsi="仿宋" w:eastAsia="仿宋" w:cs="仿宋"/>
          <w:b/>
          <w:bCs/>
          <w:sz w:val="28"/>
          <w:szCs w:val="28"/>
          <w:lang w:val="zh-CN" w:eastAsia="zh-CN"/>
        </w:rPr>
        <w:t>故障响应时间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p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0" w:leftChars="0" w:firstLine="420" w:firstLineChars="0"/>
        <w:rPr>
          <w:rFonts w:hint="eastAsia" w:ascii="仿宋" w:hAnsi="仿宋" w:eastAsia="仿宋" w:cs="仿宋"/>
          <w:sz w:val="24"/>
          <w:lang w:val="zh-CN"/>
        </w:rPr>
      </w:pPr>
      <w:r>
        <w:rPr>
          <w:rFonts w:hint="eastAsia" w:ascii="仿宋" w:hAnsi="仿宋" w:eastAsia="仿宋" w:cs="仿宋"/>
          <w:sz w:val="24"/>
          <w:lang w:val="zh-CN"/>
        </w:rPr>
        <w:t>响应时间：</w:t>
      </w:r>
      <w:r>
        <w:rPr>
          <w:rFonts w:hint="eastAsia" w:ascii="仿宋" w:hAnsi="仿宋" w:eastAsia="仿宋" w:cs="仿宋"/>
          <w:sz w:val="24"/>
          <w:lang w:val="en-US" w:eastAsia="zh-CN"/>
        </w:rPr>
        <w:t>5</w:t>
      </w:r>
      <w:r>
        <w:rPr>
          <w:rFonts w:hint="eastAsia" w:ascii="仿宋" w:hAnsi="仿宋" w:eastAsia="仿宋" w:cs="仿宋"/>
          <w:sz w:val="24"/>
          <w:lang w:val="zh-CN"/>
        </w:rPr>
        <w:t>分钟以内。</w:t>
      </w:r>
    </w:p>
    <w:p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0" w:leftChars="0" w:firstLine="420" w:firstLineChars="0"/>
        <w:rPr>
          <w:rFonts w:hint="eastAsia" w:ascii="仿宋" w:hAnsi="仿宋" w:eastAsia="仿宋" w:cs="仿宋"/>
          <w:sz w:val="24"/>
          <w:lang w:val="zh-CN"/>
        </w:rPr>
      </w:pPr>
      <w:r>
        <w:rPr>
          <w:rFonts w:hint="eastAsia" w:ascii="仿宋" w:hAnsi="仿宋" w:eastAsia="仿宋" w:cs="仿宋"/>
          <w:sz w:val="24"/>
          <w:lang w:val="zh-CN"/>
        </w:rPr>
        <w:t>到现场时间：</w:t>
      </w:r>
      <w:r>
        <w:rPr>
          <w:rFonts w:hint="eastAsia" w:ascii="仿宋" w:hAnsi="仿宋" w:eastAsia="仿宋" w:cs="仿宋"/>
          <w:sz w:val="24"/>
          <w:lang w:val="en-US" w:eastAsia="zh-CN"/>
        </w:rPr>
        <w:t>1</w:t>
      </w:r>
      <w:r>
        <w:rPr>
          <w:rFonts w:hint="eastAsia" w:ascii="仿宋" w:hAnsi="仿宋" w:eastAsia="仿宋" w:cs="仿宋"/>
          <w:sz w:val="24"/>
          <w:lang w:val="zh-CN"/>
        </w:rPr>
        <w:t>小时以内。</w:t>
      </w:r>
    </w:p>
    <w:p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0" w:leftChars="0" w:firstLine="420" w:firstLineChars="0"/>
        <w:rPr>
          <w:rFonts w:hint="eastAsia" w:ascii="仿宋" w:hAnsi="仿宋" w:eastAsia="仿宋" w:cs="仿宋"/>
          <w:sz w:val="24"/>
          <w:lang w:val="zh-CN"/>
        </w:rPr>
      </w:pPr>
      <w:r>
        <w:rPr>
          <w:rFonts w:hint="eastAsia" w:ascii="仿宋" w:hAnsi="仿宋" w:eastAsia="仿宋" w:cs="仿宋"/>
          <w:sz w:val="24"/>
          <w:lang w:val="zh-CN"/>
        </w:rPr>
        <w:t>故障解决时间：到现场后2小时以内；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right="0" w:rightChars="0" w:firstLine="420" w:firstLineChars="0"/>
        <w:jc w:val="both"/>
        <w:textAlignment w:val="auto"/>
        <w:outlineLvl w:val="9"/>
        <w:rPr>
          <w:rFonts w:hint="eastAsia" w:ascii="仿宋" w:hAnsi="仿宋" w:eastAsia="仿宋" w:cs="仿宋"/>
          <w:sz w:val="24"/>
          <w:lang w:val="zh-CN"/>
        </w:rPr>
      </w:pPr>
      <w:r>
        <w:rPr>
          <w:rFonts w:hint="eastAsia" w:ascii="仿宋" w:hAnsi="仿宋" w:eastAsia="仿宋" w:cs="仿宋"/>
          <w:sz w:val="24"/>
          <w:lang w:val="zh-CN"/>
        </w:rPr>
        <w:t>在用户书面授权许可的情况下，公司通过互联网进行某些维护和故障诊断工作。同时终身提供</w:t>
      </w:r>
      <w:r>
        <w:rPr>
          <w:rFonts w:hint="eastAsia" w:ascii="仿宋" w:hAnsi="仿宋" w:eastAsia="仿宋" w:cs="仿宋"/>
          <w:sz w:val="24"/>
          <w:lang w:val="en-US" w:eastAsia="zh-CN"/>
        </w:rPr>
        <w:t>360天</w:t>
      </w:r>
      <w:r>
        <w:rPr>
          <w:rFonts w:hint="eastAsia" w:ascii="仿宋" w:hAnsi="仿宋" w:eastAsia="仿宋" w:cs="仿宋"/>
          <w:sz w:val="24"/>
          <w:lang w:val="zh-CN"/>
        </w:rPr>
        <w:t>7×24小时电话热线咨询服务；服务电话：</w:t>
      </w:r>
      <w:r>
        <w:rPr>
          <w:rFonts w:hint="eastAsia" w:ascii="仿宋" w:hAnsi="仿宋" w:eastAsia="仿宋" w:cs="仿宋"/>
          <w:sz w:val="24"/>
          <w:lang w:val="en-US" w:eastAsia="zh-CN"/>
        </w:rPr>
        <w:t>13271243666。</w:t>
      </w:r>
    </w:p>
    <w:p>
      <w:pPr>
        <w:keepNext w:val="0"/>
        <w:keepLines w:val="0"/>
        <w:pageBreakBefore w:val="0"/>
        <w:widowControl w:val="0"/>
        <w:numPr>
          <w:ilvl w:val="1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567" w:leftChars="0" w:hanging="567" w:firstLineChars="0"/>
        <w:jc w:val="left"/>
        <w:textAlignment w:val="baseline"/>
        <w:outlineLvl w:val="1"/>
        <w:rPr>
          <w:rFonts w:hint="eastAsia" w:ascii="仿宋" w:hAnsi="仿宋" w:eastAsia="仿宋" w:cs="仿宋"/>
          <w:b/>
          <w:bCs/>
          <w:sz w:val="28"/>
          <w:szCs w:val="28"/>
          <w:lang w:val="zh-CN" w:eastAsia="zh-CN"/>
        </w:rPr>
      </w:pPr>
      <w:bookmarkStart w:id="26" w:name="_Toc11070"/>
      <w:bookmarkStart w:id="27" w:name="_Toc16236"/>
      <w:bookmarkStart w:id="28" w:name="_Toc7333"/>
      <w:bookmarkStart w:id="29" w:name="_Toc10952"/>
      <w:bookmarkStart w:id="30" w:name="_Toc9428"/>
      <w:bookmarkStart w:id="31" w:name="_Toc16614"/>
      <w:bookmarkStart w:id="32" w:name="_Toc10761"/>
      <w:bookmarkStart w:id="33" w:name="_Toc9619"/>
      <w:r>
        <w:rPr>
          <w:rFonts w:hint="eastAsia" w:ascii="仿宋" w:hAnsi="仿宋" w:eastAsia="仿宋" w:cs="仿宋"/>
          <w:b/>
          <w:bCs/>
          <w:sz w:val="28"/>
          <w:szCs w:val="28"/>
          <w:lang w:val="zh-CN" w:eastAsia="zh-CN"/>
        </w:rPr>
        <w:t>质保期内服务承诺：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  <w:r>
        <w:rPr>
          <w:rFonts w:hint="eastAsia" w:ascii="仿宋" w:hAnsi="仿宋" w:eastAsia="仿宋" w:cs="仿宋"/>
          <w:b/>
          <w:bCs/>
          <w:sz w:val="28"/>
          <w:szCs w:val="28"/>
          <w:lang w:val="zh-CN" w:eastAsia="zh-CN"/>
        </w:rPr>
        <w:tab/>
      </w:r>
    </w:p>
    <w:p>
      <w:pPr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sz w:val="24"/>
          <w:lang w:val="zh-CN"/>
        </w:rPr>
      </w:pPr>
      <w:r>
        <w:rPr>
          <w:rFonts w:hint="eastAsia" w:ascii="仿宋" w:hAnsi="仿宋" w:eastAsia="仿宋" w:cs="仿宋"/>
          <w:sz w:val="24"/>
          <w:lang w:val="zh-CN"/>
        </w:rPr>
        <w:t xml:space="preserve">      公司在禹州设有专门的售后网点，人员有工程师和高级技师，并配有专用车辆和工具，凡有任何售后服务要求，可迅速到现场提供优质服务。我公司负责提供的产品保修期，在保修期内，设备发生故障，由我公司负责免费维修，直至更换。</w:t>
      </w:r>
    </w:p>
    <w:p>
      <w:pPr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sz w:val="24"/>
          <w:lang w:val="zh-CN"/>
        </w:rPr>
      </w:pPr>
      <w:r>
        <w:rPr>
          <w:rFonts w:hint="eastAsia" w:ascii="仿宋" w:hAnsi="仿宋" w:eastAsia="仿宋" w:cs="仿宋"/>
          <w:sz w:val="24"/>
          <w:lang w:val="zh-CN"/>
        </w:rPr>
        <w:t>我公司承诺：</w:t>
      </w:r>
    </w:p>
    <w:p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0" w:leftChars="0" w:firstLine="420" w:firstLineChars="0"/>
        <w:rPr>
          <w:rFonts w:hint="eastAsia" w:ascii="仿宋" w:hAnsi="仿宋" w:eastAsia="仿宋" w:cs="仿宋"/>
          <w:b/>
          <w:bCs/>
          <w:sz w:val="24"/>
          <w:lang w:val="zh-CN"/>
        </w:rPr>
      </w:pPr>
      <w:r>
        <w:rPr>
          <w:rFonts w:hint="eastAsia" w:ascii="仿宋" w:hAnsi="仿宋" w:eastAsia="仿宋" w:cs="仿宋"/>
          <w:b/>
          <w:bCs/>
          <w:sz w:val="24"/>
          <w:lang w:val="zh-CN"/>
        </w:rPr>
        <w:t>在免费包修期内，同一质量问题连续两次维修仍无法正常使用，我公司予以更换同品牌、同型号的全新产品，</w:t>
      </w:r>
    </w:p>
    <w:p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0" w:leftChars="0" w:firstLine="420" w:firstLineChars="0"/>
        <w:rPr>
          <w:rFonts w:hint="eastAsia" w:ascii="仿宋" w:hAnsi="仿宋" w:eastAsia="仿宋" w:cs="仿宋"/>
          <w:b/>
          <w:bCs/>
          <w:sz w:val="24"/>
          <w:lang w:val="zh-CN"/>
        </w:rPr>
      </w:pPr>
      <w:r>
        <w:rPr>
          <w:rFonts w:hint="eastAsia" w:ascii="仿宋" w:hAnsi="仿宋" w:eastAsia="仿宋" w:cs="仿宋"/>
          <w:b/>
          <w:bCs/>
          <w:sz w:val="24"/>
          <w:lang w:val="zh-CN"/>
        </w:rPr>
        <w:t>开通的24小时热线服务电话实行即时响应服务，我们即时给予答复。</w:t>
      </w:r>
    </w:p>
    <w:p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0" w:leftChars="0" w:firstLine="420" w:firstLineChars="0"/>
        <w:rPr>
          <w:rFonts w:hint="eastAsia" w:ascii="仿宋" w:hAnsi="仿宋" w:eastAsia="仿宋" w:cs="仿宋"/>
          <w:b/>
          <w:bCs/>
          <w:sz w:val="24"/>
          <w:lang w:val="zh-CN"/>
        </w:rPr>
      </w:pPr>
      <w:r>
        <w:rPr>
          <w:rFonts w:hint="eastAsia" w:ascii="仿宋" w:hAnsi="仿宋" w:eastAsia="仿宋" w:cs="仿宋"/>
          <w:b/>
          <w:bCs/>
          <w:sz w:val="24"/>
          <w:lang w:val="zh-CN"/>
        </w:rPr>
        <w:t>服务电话：</w:t>
      </w:r>
      <w:r>
        <w:rPr>
          <w:rFonts w:hint="eastAsia" w:ascii="仿宋" w:hAnsi="仿宋" w:eastAsia="仿宋" w:cs="仿宋"/>
          <w:b/>
          <w:bCs/>
          <w:sz w:val="24"/>
          <w:lang w:val="en-US" w:eastAsia="zh-CN"/>
        </w:rPr>
        <w:t>13271243666</w:t>
      </w:r>
      <w:r>
        <w:rPr>
          <w:rFonts w:hint="eastAsia" w:ascii="仿宋" w:hAnsi="仿宋" w:eastAsia="仿宋" w:cs="仿宋"/>
          <w:b/>
          <w:bCs/>
          <w:sz w:val="24"/>
          <w:lang w:val="zh-CN"/>
        </w:rPr>
        <w:t>每半年对系统进行定期的检修、保养工作，并与用户进行沟通，定期开展技术交流活动。</w:t>
      </w:r>
    </w:p>
    <w:p>
      <w:pPr>
        <w:keepNext w:val="0"/>
        <w:keepLines w:val="0"/>
        <w:pageBreakBefore w:val="0"/>
        <w:widowControl w:val="0"/>
        <w:numPr>
          <w:ilvl w:val="1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567" w:leftChars="0" w:hanging="567" w:firstLineChars="0"/>
        <w:jc w:val="left"/>
        <w:textAlignment w:val="baseline"/>
        <w:outlineLvl w:val="1"/>
        <w:rPr>
          <w:rFonts w:hint="eastAsia" w:ascii="仿宋" w:hAnsi="仿宋" w:eastAsia="仿宋" w:cs="仿宋"/>
          <w:b/>
          <w:bCs/>
          <w:sz w:val="28"/>
          <w:szCs w:val="28"/>
          <w:lang w:val="zh-CN" w:eastAsia="zh-CN"/>
        </w:rPr>
      </w:pPr>
      <w:bookmarkStart w:id="34" w:name="_Toc24316"/>
      <w:bookmarkStart w:id="35" w:name="_Toc3039"/>
      <w:bookmarkStart w:id="36" w:name="_Toc13797"/>
      <w:bookmarkStart w:id="37" w:name="_Toc8791"/>
      <w:bookmarkStart w:id="38" w:name="_Toc1996"/>
      <w:bookmarkStart w:id="39" w:name="_Toc2669"/>
      <w:bookmarkStart w:id="40" w:name="_Toc16302"/>
      <w:bookmarkStart w:id="41" w:name="_Toc197"/>
      <w:r>
        <w:rPr>
          <w:rFonts w:hint="eastAsia" w:ascii="仿宋" w:hAnsi="仿宋" w:eastAsia="仿宋" w:cs="仿宋"/>
          <w:b/>
          <w:bCs/>
          <w:sz w:val="28"/>
          <w:szCs w:val="28"/>
          <w:lang w:val="zh-CN" w:eastAsia="zh-CN"/>
        </w:rPr>
        <w:t>质保期外服务承诺：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</w:p>
    <w:p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0" w:leftChars="0" w:firstLine="420" w:firstLineChars="0"/>
        <w:rPr>
          <w:rFonts w:hint="eastAsia" w:ascii="仿宋" w:hAnsi="仿宋" w:eastAsia="仿宋" w:cs="仿宋"/>
          <w:sz w:val="24"/>
          <w:lang w:val="zh-CN"/>
        </w:rPr>
      </w:pPr>
      <w:r>
        <w:rPr>
          <w:rFonts w:hint="eastAsia" w:ascii="仿宋" w:hAnsi="仿宋" w:eastAsia="仿宋" w:cs="仿宋"/>
          <w:sz w:val="24"/>
          <w:lang w:val="zh-CN"/>
        </w:rPr>
        <w:t>超过保修期发生故障，用户可自由选择维修单位，如委托给我方，我方不得借故推诿，并且维修费不能超过市场平均价格。</w:t>
      </w:r>
    </w:p>
    <w:p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0" w:leftChars="0" w:firstLine="420" w:firstLineChars="0"/>
        <w:rPr>
          <w:rFonts w:hint="eastAsia" w:ascii="仿宋" w:hAnsi="仿宋" w:eastAsia="仿宋" w:cs="仿宋"/>
          <w:sz w:val="24"/>
          <w:lang w:val="zh-CN"/>
        </w:rPr>
      </w:pPr>
      <w:r>
        <w:rPr>
          <w:rFonts w:hint="eastAsia" w:ascii="仿宋" w:hAnsi="仿宋" w:eastAsia="仿宋" w:cs="仿宋"/>
          <w:sz w:val="24"/>
          <w:lang w:val="zh-CN"/>
        </w:rPr>
        <w:t>保修期满后，我公司将继续提供完善的售后维修服务，且仅收取设备配件费用。</w:t>
      </w:r>
    </w:p>
    <w:p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0" w:leftChars="0" w:firstLine="420" w:firstLineChars="0"/>
        <w:rPr>
          <w:rFonts w:hint="eastAsia" w:ascii="仿宋" w:hAnsi="仿宋" w:eastAsia="仿宋" w:cs="仿宋"/>
          <w:sz w:val="24"/>
          <w:lang w:val="zh-CN"/>
        </w:rPr>
      </w:pPr>
      <w:r>
        <w:rPr>
          <w:rFonts w:hint="eastAsia" w:ascii="仿宋" w:hAnsi="仿宋" w:eastAsia="仿宋" w:cs="仿宋"/>
          <w:sz w:val="24"/>
          <w:lang w:val="zh-CN"/>
        </w:rPr>
        <w:t>系统保修结束后，对于客户日后提出的系统扩展等需求，我方将提供软件永久免费升级支持及提供最先进的技术解决方案。</w:t>
      </w:r>
    </w:p>
    <w:p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0" w:leftChars="0" w:firstLine="420" w:firstLineChars="0"/>
        <w:rPr>
          <w:rFonts w:hint="eastAsia" w:ascii="仿宋" w:hAnsi="仿宋" w:eastAsia="仿宋" w:cs="仿宋"/>
          <w:sz w:val="24"/>
          <w:lang w:val="zh-CN"/>
        </w:rPr>
      </w:pPr>
      <w:r>
        <w:rPr>
          <w:rFonts w:hint="eastAsia" w:ascii="仿宋" w:hAnsi="仿宋" w:eastAsia="仿宋" w:cs="仿宋"/>
          <w:sz w:val="24"/>
          <w:lang w:val="zh-CN"/>
        </w:rPr>
        <w:t>软件终身免费升级</w:t>
      </w:r>
    </w:p>
    <w:p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0" w:leftChars="0" w:firstLine="420" w:firstLineChars="0"/>
        <w:rPr>
          <w:rFonts w:hint="eastAsia" w:ascii="仿宋" w:hAnsi="仿宋" w:eastAsia="仿宋" w:cs="仿宋"/>
          <w:sz w:val="24"/>
          <w:lang w:val="zh-CN"/>
        </w:rPr>
      </w:pPr>
      <w:r>
        <w:rPr>
          <w:rFonts w:hint="eastAsia" w:ascii="仿宋" w:hAnsi="仿宋" w:eastAsia="仿宋" w:cs="仿宋"/>
          <w:sz w:val="24"/>
          <w:lang w:val="zh-CN"/>
        </w:rPr>
        <w:t xml:space="preserve"> 公司承诺：我公司有足够的资金储备，承诺在工程建设资金暂不到位的情况下，能连续施工，确保按时完工，保证工程质量，并有具体保证措施。</w:t>
      </w:r>
    </w:p>
    <w:p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0" w:leftChars="0" w:firstLine="420" w:firstLineChars="0"/>
        <w:rPr>
          <w:rFonts w:hint="eastAsia" w:ascii="仿宋" w:hAnsi="仿宋" w:eastAsia="仿宋" w:cs="仿宋"/>
          <w:sz w:val="24"/>
          <w:lang w:val="zh-CN"/>
        </w:rPr>
      </w:pPr>
      <w:r>
        <w:rPr>
          <w:rFonts w:hint="eastAsia" w:ascii="仿宋" w:hAnsi="仿宋" w:eastAsia="仿宋" w:cs="仿宋"/>
          <w:sz w:val="24"/>
          <w:lang w:val="zh-CN"/>
        </w:rPr>
        <w:t>承诺施工期间加强安全防护，保证不发生各种安全事故,并承担由此发生的费用。</w:t>
      </w:r>
    </w:p>
    <w:p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0" w:leftChars="0" w:firstLine="420" w:firstLineChars="0"/>
        <w:rPr>
          <w:rFonts w:hint="eastAsia" w:ascii="仿宋" w:hAnsi="仿宋" w:eastAsia="仿宋" w:cs="仿宋"/>
          <w:sz w:val="24"/>
          <w:lang w:val="zh-CN"/>
        </w:rPr>
      </w:pPr>
      <w:r>
        <w:rPr>
          <w:rFonts w:hint="eastAsia" w:ascii="仿宋" w:hAnsi="仿宋" w:eastAsia="仿宋" w:cs="仿宋"/>
          <w:sz w:val="24"/>
          <w:lang w:val="zh-CN"/>
        </w:rPr>
        <w:t>保证不拖欠工人工资，不造成上访事件。</w:t>
      </w:r>
    </w:p>
    <w:p>
      <w:pPr>
        <w:keepNext w:val="0"/>
        <w:keepLines w:val="0"/>
        <w:pageBreakBefore w:val="0"/>
        <w:widowControl w:val="0"/>
        <w:numPr>
          <w:ilvl w:val="1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567" w:leftChars="0" w:hanging="567" w:firstLineChars="0"/>
        <w:jc w:val="left"/>
        <w:textAlignment w:val="baseline"/>
        <w:outlineLvl w:val="1"/>
        <w:rPr>
          <w:rFonts w:hint="eastAsia" w:ascii="仿宋" w:hAnsi="仿宋" w:eastAsia="仿宋" w:cs="仿宋"/>
          <w:b/>
          <w:bCs/>
          <w:sz w:val="28"/>
          <w:szCs w:val="28"/>
          <w:lang w:val="zh-CN" w:eastAsia="zh-CN"/>
        </w:rPr>
      </w:pPr>
      <w:bookmarkStart w:id="42" w:name="_Toc777"/>
      <w:bookmarkStart w:id="43" w:name="_Toc31070"/>
      <w:bookmarkStart w:id="44" w:name="_Toc26924"/>
      <w:bookmarkStart w:id="45" w:name="_Toc22209"/>
      <w:bookmarkStart w:id="46" w:name="_Toc18410"/>
      <w:bookmarkStart w:id="47" w:name="_Toc10363"/>
      <w:bookmarkStart w:id="48" w:name="_Toc3305"/>
      <w:bookmarkStart w:id="49" w:name="_Toc32616"/>
      <w:r>
        <w:rPr>
          <w:rFonts w:hint="eastAsia" w:ascii="仿宋" w:hAnsi="仿宋" w:eastAsia="仿宋" w:cs="仿宋"/>
          <w:b/>
          <w:bCs/>
          <w:sz w:val="28"/>
          <w:szCs w:val="28"/>
          <w:lang w:val="zh-CN" w:eastAsia="zh-CN"/>
        </w:rPr>
        <w:t>培训计划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>
      <w:pPr>
        <w:keepNext w:val="0"/>
        <w:keepLines w:val="0"/>
        <w:pageBreakBefore w:val="0"/>
        <w:widowControl w:val="0"/>
        <w:numPr>
          <w:ilvl w:val="2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709" w:leftChars="0" w:hanging="709" w:firstLineChars="0"/>
        <w:jc w:val="left"/>
        <w:textAlignment w:val="baseline"/>
        <w:outlineLvl w:val="9"/>
        <w:rPr>
          <w:rFonts w:hint="eastAsia" w:ascii="仿宋" w:hAnsi="仿宋" w:eastAsia="仿宋" w:cs="仿宋"/>
          <w:b/>
          <w:bCs/>
          <w:sz w:val="24"/>
          <w:szCs w:val="24"/>
          <w:lang w:val="zh-CN" w:eastAsia="zh-CN"/>
        </w:rPr>
      </w:pPr>
      <w:bookmarkStart w:id="50" w:name="_Toc21064"/>
      <w:bookmarkStart w:id="51" w:name="_Toc5817"/>
      <w:bookmarkStart w:id="52" w:name="_Toc10670"/>
      <w:bookmarkStart w:id="53" w:name="_Toc10259"/>
      <w:bookmarkStart w:id="54" w:name="_Toc20271"/>
      <w:bookmarkStart w:id="55" w:name="_Toc26542"/>
      <w:r>
        <w:rPr>
          <w:rFonts w:hint="eastAsia" w:ascii="仿宋" w:hAnsi="仿宋" w:eastAsia="仿宋" w:cs="仿宋"/>
          <w:b/>
          <w:bCs/>
          <w:sz w:val="24"/>
          <w:szCs w:val="24"/>
          <w:lang w:val="zh-CN" w:eastAsia="zh-CN"/>
        </w:rPr>
        <w:t>培训内容</w:t>
      </w:r>
      <w:bookmarkEnd w:id="50"/>
      <w:bookmarkEnd w:id="51"/>
      <w:bookmarkEnd w:id="52"/>
      <w:bookmarkEnd w:id="53"/>
      <w:bookmarkEnd w:id="54"/>
      <w:bookmarkEnd w:id="55"/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val="zh-CN"/>
        </w:rPr>
      </w:pPr>
      <w:r>
        <w:rPr>
          <w:rFonts w:hint="eastAsia" w:ascii="仿宋" w:hAnsi="仿宋" w:eastAsia="仿宋" w:cs="仿宋"/>
          <w:sz w:val="24"/>
          <w:lang w:val="zh-CN"/>
        </w:rPr>
        <w:t>使受培训人员（包括有关管理人员、系统操作人员）能了解合同系统设备的结构、性能，并掌握系统设备的操作、使用和维修的方法。主要包括：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val="zh-CN"/>
        </w:rPr>
      </w:pPr>
      <w:r>
        <w:rPr>
          <w:rFonts w:hint="eastAsia" w:ascii="仿宋" w:hAnsi="仿宋" w:eastAsia="仿宋" w:cs="仿宋"/>
          <w:sz w:val="24"/>
          <w:lang w:val="zh-CN"/>
        </w:rPr>
        <w:t>基础理论及系统结构</w:t>
      </w:r>
    </w:p>
    <w:p>
      <w:pPr>
        <w:keepNext w:val="0"/>
        <w:keepLines w:val="0"/>
        <w:pageBreakBefore w:val="0"/>
        <w:widowControl w:val="0"/>
        <w:numPr>
          <w:ilvl w:val="2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709" w:leftChars="0" w:hanging="709" w:firstLineChars="0"/>
        <w:jc w:val="left"/>
        <w:textAlignment w:val="baseline"/>
        <w:outlineLvl w:val="9"/>
        <w:rPr>
          <w:rFonts w:hint="eastAsia" w:ascii="仿宋" w:hAnsi="仿宋" w:eastAsia="仿宋" w:cs="仿宋"/>
          <w:b/>
          <w:bCs/>
          <w:sz w:val="24"/>
          <w:szCs w:val="24"/>
          <w:lang w:val="zh-CN" w:eastAsia="zh-CN"/>
        </w:rPr>
      </w:pPr>
      <w:bookmarkStart w:id="56" w:name="_Toc3377"/>
      <w:bookmarkStart w:id="57" w:name="_Toc19542"/>
      <w:bookmarkStart w:id="58" w:name="_Toc1393"/>
      <w:bookmarkStart w:id="59" w:name="_Toc29243"/>
      <w:bookmarkStart w:id="60" w:name="_Toc4836"/>
      <w:bookmarkStart w:id="61" w:name="_Toc30755"/>
      <w:r>
        <w:rPr>
          <w:rFonts w:hint="eastAsia" w:ascii="仿宋" w:hAnsi="仿宋" w:eastAsia="仿宋" w:cs="仿宋"/>
          <w:b/>
          <w:bCs/>
          <w:sz w:val="24"/>
          <w:szCs w:val="24"/>
          <w:lang w:val="zh-CN" w:eastAsia="zh-CN"/>
        </w:rPr>
        <w:t>系统安装</w:t>
      </w:r>
      <w:bookmarkEnd w:id="56"/>
      <w:bookmarkEnd w:id="57"/>
      <w:bookmarkEnd w:id="58"/>
      <w:bookmarkEnd w:id="59"/>
      <w:bookmarkEnd w:id="60"/>
      <w:bookmarkEnd w:id="61"/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val="zh-CN"/>
        </w:rPr>
      </w:pPr>
      <w:r>
        <w:rPr>
          <w:rFonts w:hint="eastAsia" w:ascii="仿宋" w:hAnsi="仿宋" w:eastAsia="仿宋" w:cs="仿宋"/>
          <w:sz w:val="24"/>
          <w:lang w:val="zh-CN"/>
        </w:rPr>
        <w:t>系统维护（包括操作员手册、维护规程、简单故障判断）</w:t>
      </w:r>
    </w:p>
    <w:p>
      <w:pPr>
        <w:keepNext w:val="0"/>
        <w:keepLines w:val="0"/>
        <w:pageBreakBefore w:val="0"/>
        <w:widowControl w:val="0"/>
        <w:numPr>
          <w:ilvl w:val="2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709" w:leftChars="0" w:hanging="709" w:firstLineChars="0"/>
        <w:jc w:val="left"/>
        <w:textAlignment w:val="baseline"/>
        <w:outlineLvl w:val="9"/>
        <w:rPr>
          <w:rFonts w:hint="eastAsia" w:ascii="仿宋" w:hAnsi="仿宋" w:eastAsia="仿宋" w:cs="仿宋"/>
          <w:b/>
          <w:bCs/>
          <w:sz w:val="24"/>
          <w:szCs w:val="24"/>
          <w:lang w:val="zh-CN" w:eastAsia="zh-CN"/>
        </w:rPr>
      </w:pPr>
      <w:bookmarkStart w:id="62" w:name="_Toc13902"/>
      <w:bookmarkStart w:id="63" w:name="_Toc17833"/>
      <w:bookmarkStart w:id="64" w:name="_Toc696"/>
      <w:bookmarkStart w:id="65" w:name="_Toc12851"/>
      <w:bookmarkStart w:id="66" w:name="_Toc16189"/>
      <w:bookmarkStart w:id="67" w:name="_Toc31397"/>
      <w:r>
        <w:rPr>
          <w:rFonts w:hint="eastAsia" w:ascii="仿宋" w:hAnsi="仿宋" w:eastAsia="仿宋" w:cs="仿宋"/>
          <w:b/>
          <w:bCs/>
          <w:sz w:val="24"/>
          <w:szCs w:val="24"/>
          <w:lang w:val="zh-CN" w:eastAsia="zh-CN"/>
        </w:rPr>
        <w:t>培训目的</w:t>
      </w:r>
      <w:bookmarkEnd w:id="62"/>
      <w:bookmarkEnd w:id="63"/>
      <w:bookmarkEnd w:id="64"/>
      <w:bookmarkEnd w:id="65"/>
      <w:bookmarkEnd w:id="66"/>
      <w:bookmarkEnd w:id="67"/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val="zh-CN"/>
        </w:rPr>
      </w:pPr>
      <w:r>
        <w:rPr>
          <w:rFonts w:hint="eastAsia" w:ascii="仿宋" w:hAnsi="仿宋" w:eastAsia="仿宋" w:cs="仿宋"/>
          <w:sz w:val="24"/>
          <w:lang w:val="zh-CN"/>
        </w:rPr>
        <w:t>对操作、管理人员进行培训，通过培训，使受培训人员在系统的运行中能有效地操作和检查系统，保证系统在运行中一直处于良好状态，发挥其应有的作用。管理人员经培训后应能进行日常维护运行工作，能熟练地排除简单的故障、管理设备。</w:t>
      </w:r>
    </w:p>
    <w:p>
      <w:pPr>
        <w:keepNext w:val="0"/>
        <w:keepLines w:val="0"/>
        <w:pageBreakBefore w:val="0"/>
        <w:widowControl w:val="0"/>
        <w:numPr>
          <w:ilvl w:val="2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709" w:leftChars="0" w:hanging="709" w:firstLineChars="0"/>
        <w:jc w:val="left"/>
        <w:textAlignment w:val="baseline"/>
        <w:outlineLvl w:val="9"/>
        <w:rPr>
          <w:rFonts w:hint="eastAsia" w:ascii="仿宋" w:hAnsi="仿宋" w:eastAsia="仿宋" w:cs="仿宋"/>
          <w:b/>
          <w:bCs/>
          <w:sz w:val="24"/>
          <w:szCs w:val="24"/>
          <w:lang w:val="zh-CN" w:eastAsia="zh-CN"/>
        </w:rPr>
      </w:pPr>
      <w:bookmarkStart w:id="68" w:name="_Toc17746"/>
      <w:bookmarkStart w:id="69" w:name="_Toc26130"/>
      <w:bookmarkStart w:id="70" w:name="_Toc22365"/>
      <w:bookmarkStart w:id="71" w:name="_Toc5436"/>
      <w:bookmarkStart w:id="72" w:name="_Toc2482"/>
      <w:bookmarkStart w:id="73" w:name="_Toc3406"/>
      <w:r>
        <w:rPr>
          <w:rFonts w:hint="eastAsia" w:ascii="仿宋" w:hAnsi="仿宋" w:eastAsia="仿宋" w:cs="仿宋"/>
          <w:b/>
          <w:bCs/>
          <w:sz w:val="24"/>
          <w:szCs w:val="24"/>
          <w:lang w:val="zh-CN" w:eastAsia="zh-CN"/>
        </w:rPr>
        <w:t>培训方式</w:t>
      </w:r>
      <w:bookmarkEnd w:id="68"/>
      <w:bookmarkEnd w:id="69"/>
      <w:bookmarkEnd w:id="70"/>
      <w:bookmarkEnd w:id="71"/>
      <w:bookmarkEnd w:id="72"/>
      <w:bookmarkEnd w:id="73"/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val="zh-CN"/>
        </w:rPr>
      </w:pPr>
      <w:r>
        <w:rPr>
          <w:rFonts w:hint="eastAsia" w:ascii="仿宋" w:hAnsi="仿宋" w:eastAsia="仿宋" w:cs="仿宋"/>
          <w:sz w:val="24"/>
          <w:lang w:val="zh-CN"/>
        </w:rPr>
        <w:t>现场培训：主要是实际进行各项操作和功能的培训。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val="zh-CN"/>
        </w:rPr>
      </w:pPr>
      <w:r>
        <w:rPr>
          <w:rFonts w:hint="eastAsia" w:ascii="仿宋" w:hAnsi="仿宋" w:eastAsia="仿宋" w:cs="仿宋"/>
          <w:sz w:val="24"/>
          <w:lang w:val="zh-CN"/>
        </w:rPr>
        <w:t>本系统的培训包括听课、现场学习和试运行3方面内容。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val="zh-CN"/>
        </w:rPr>
      </w:pPr>
      <w:r>
        <w:rPr>
          <w:rFonts w:hint="eastAsia" w:ascii="仿宋" w:hAnsi="仿宋" w:eastAsia="仿宋" w:cs="仿宋"/>
          <w:sz w:val="24"/>
          <w:lang w:val="zh-CN"/>
        </w:rPr>
        <w:t>听课是指为保证培训效果，我司安排有丰富调试运行经验的人员对业主受训人员进行授课。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val="zh-CN"/>
        </w:rPr>
      </w:pPr>
      <w:r>
        <w:rPr>
          <w:rFonts w:hint="eastAsia" w:ascii="仿宋" w:hAnsi="仿宋" w:eastAsia="仿宋" w:cs="仿宋"/>
          <w:sz w:val="24"/>
          <w:lang w:val="zh-CN"/>
        </w:rPr>
        <w:t>现场学习是指在系统安装调试阶段，业主受训人员到达现场进行实地参观学习，由我司现场安装调试人员进行指导，对业主受训人员的提问进行详细的讲解。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val="zh-CN"/>
        </w:rPr>
      </w:pPr>
      <w:r>
        <w:rPr>
          <w:rFonts w:hint="eastAsia" w:ascii="仿宋" w:hAnsi="仿宋" w:eastAsia="仿宋" w:cs="仿宋"/>
          <w:sz w:val="24"/>
          <w:lang w:val="zh-CN"/>
        </w:rPr>
        <w:t>试运行是指在系统安装调试结束，进入试运行阶段时，系统的运行操作将主要的管理人员进行，我司安排足够的有丰富运行调试经验的人员进行监护。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val="zh-CN"/>
        </w:rPr>
      </w:pPr>
      <w:r>
        <w:rPr>
          <w:rFonts w:hint="eastAsia" w:ascii="仿宋" w:hAnsi="仿宋" w:eastAsia="仿宋" w:cs="仿宋"/>
          <w:sz w:val="24"/>
          <w:lang w:val="zh-CN"/>
        </w:rPr>
        <w:t>培训使用的设施、培训教材、资料</w:t>
      </w:r>
    </w:p>
    <w:p>
      <w:pPr>
        <w:keepNext w:val="0"/>
        <w:keepLines w:val="0"/>
        <w:pageBreakBefore w:val="0"/>
        <w:widowControl w:val="0"/>
        <w:numPr>
          <w:ilvl w:val="2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709" w:leftChars="0" w:hanging="709" w:firstLineChars="0"/>
        <w:jc w:val="left"/>
        <w:textAlignment w:val="baseline"/>
        <w:outlineLvl w:val="9"/>
        <w:rPr>
          <w:rFonts w:hint="eastAsia" w:ascii="仿宋" w:hAnsi="仿宋" w:eastAsia="仿宋" w:cs="仿宋"/>
          <w:b/>
          <w:bCs/>
          <w:sz w:val="24"/>
          <w:szCs w:val="24"/>
          <w:lang w:val="zh-CN" w:eastAsia="zh-CN"/>
        </w:rPr>
      </w:pPr>
      <w:bookmarkStart w:id="74" w:name="_Toc30532"/>
      <w:bookmarkStart w:id="75" w:name="_Toc21053"/>
      <w:bookmarkStart w:id="76" w:name="_Toc27199"/>
      <w:bookmarkStart w:id="77" w:name="_Toc23393"/>
      <w:bookmarkStart w:id="78" w:name="_Toc25991"/>
      <w:bookmarkStart w:id="79" w:name="_Toc3469"/>
      <w:r>
        <w:rPr>
          <w:rFonts w:hint="eastAsia" w:ascii="仿宋" w:hAnsi="仿宋" w:eastAsia="仿宋" w:cs="仿宋"/>
          <w:b/>
          <w:bCs/>
          <w:sz w:val="24"/>
          <w:szCs w:val="24"/>
          <w:lang w:val="zh-CN" w:eastAsia="zh-CN"/>
        </w:rPr>
        <w:t>培训设施</w:t>
      </w:r>
      <w:bookmarkEnd w:id="74"/>
      <w:bookmarkEnd w:id="75"/>
      <w:bookmarkEnd w:id="76"/>
      <w:bookmarkEnd w:id="77"/>
      <w:bookmarkEnd w:id="78"/>
      <w:bookmarkEnd w:id="79"/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val="zh-CN"/>
        </w:rPr>
      </w:pPr>
      <w:r>
        <w:rPr>
          <w:rFonts w:hint="eastAsia" w:ascii="仿宋" w:hAnsi="仿宋" w:eastAsia="仿宋" w:cs="仿宋"/>
          <w:sz w:val="24"/>
          <w:lang w:val="zh-CN"/>
        </w:rPr>
        <w:t>投影仪、电脑及软件、各设备及材料。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val="zh-CN"/>
        </w:rPr>
      </w:pPr>
      <w:r>
        <w:rPr>
          <w:rFonts w:hint="eastAsia" w:ascii="仿宋" w:hAnsi="仿宋" w:eastAsia="仿宋" w:cs="仿宋"/>
          <w:sz w:val="24"/>
          <w:lang w:val="zh-CN"/>
        </w:rPr>
        <w:t>系统管理人员对系统使用的熟练程度，是确保系统正常运行的重要前提条件。用直观、明确的讲解方式使受培训的人员得到最有效的培训效果。</w:t>
      </w:r>
    </w:p>
    <w:p>
      <w:pPr>
        <w:keepNext w:val="0"/>
        <w:keepLines w:val="0"/>
        <w:pageBreakBefore w:val="0"/>
        <w:widowControl w:val="0"/>
        <w:numPr>
          <w:ilvl w:val="2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709" w:leftChars="0" w:hanging="709" w:firstLineChars="0"/>
        <w:jc w:val="left"/>
        <w:textAlignment w:val="baseline"/>
        <w:outlineLvl w:val="9"/>
        <w:rPr>
          <w:rFonts w:hint="eastAsia" w:ascii="仿宋" w:hAnsi="仿宋" w:eastAsia="仿宋" w:cs="仿宋"/>
          <w:b/>
          <w:bCs/>
          <w:sz w:val="24"/>
          <w:szCs w:val="24"/>
          <w:lang w:val="zh-CN" w:eastAsia="zh-CN"/>
        </w:rPr>
      </w:pPr>
      <w:bookmarkStart w:id="80" w:name="_Toc12513"/>
      <w:bookmarkStart w:id="81" w:name="_Toc25435"/>
      <w:bookmarkStart w:id="82" w:name="_Toc15190"/>
      <w:bookmarkStart w:id="83" w:name="_Toc26030"/>
      <w:bookmarkStart w:id="84" w:name="_Toc20875"/>
      <w:bookmarkStart w:id="85" w:name="_Toc21488"/>
      <w:r>
        <w:rPr>
          <w:rFonts w:hint="eastAsia" w:ascii="仿宋" w:hAnsi="仿宋" w:eastAsia="仿宋" w:cs="仿宋"/>
          <w:b/>
          <w:bCs/>
          <w:sz w:val="24"/>
          <w:szCs w:val="24"/>
          <w:lang w:val="zh-CN" w:eastAsia="zh-CN"/>
        </w:rPr>
        <w:t>培训教材、资料</w:t>
      </w:r>
      <w:bookmarkEnd w:id="80"/>
      <w:bookmarkEnd w:id="81"/>
      <w:bookmarkEnd w:id="82"/>
      <w:bookmarkEnd w:id="83"/>
      <w:bookmarkEnd w:id="84"/>
      <w:bookmarkEnd w:id="85"/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val="zh-CN"/>
        </w:rPr>
      </w:pPr>
      <w:r>
        <w:rPr>
          <w:rFonts w:hint="eastAsia" w:ascii="仿宋" w:hAnsi="仿宋" w:eastAsia="仿宋" w:cs="仿宋"/>
          <w:sz w:val="24"/>
          <w:lang w:val="zh-CN"/>
        </w:rPr>
        <w:t>培训的教材、资料由我们（供应商）事先组织授课教师、设计人员、跟据培训内容要点编制。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val="zh-CN"/>
        </w:rPr>
      </w:pPr>
      <w:r>
        <w:rPr>
          <w:rFonts w:hint="eastAsia" w:ascii="仿宋" w:hAnsi="仿宋" w:eastAsia="仿宋" w:cs="仿宋"/>
          <w:sz w:val="24"/>
          <w:lang w:val="zh-CN"/>
        </w:rPr>
        <w:t>主要包括：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val="zh-CN"/>
        </w:rPr>
      </w:pPr>
      <w:r>
        <w:rPr>
          <w:rFonts w:hint="eastAsia" w:ascii="仿宋" w:hAnsi="仿宋" w:eastAsia="仿宋" w:cs="仿宋"/>
          <w:sz w:val="24"/>
          <w:lang w:val="zh-CN"/>
        </w:rPr>
        <w:t>培训计划、培训记录、产品标准、产品说明书、设计手册、安装手册、维护手册、软件说明书等。</w:t>
      </w:r>
    </w:p>
    <w:p>
      <w:pPr>
        <w:keepNext w:val="0"/>
        <w:keepLines w:val="0"/>
        <w:pageBreakBefore w:val="0"/>
        <w:widowControl w:val="0"/>
        <w:numPr>
          <w:ilvl w:val="2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709" w:leftChars="0" w:hanging="709" w:firstLineChars="0"/>
        <w:jc w:val="left"/>
        <w:textAlignment w:val="baseline"/>
        <w:outlineLvl w:val="9"/>
        <w:rPr>
          <w:rFonts w:hint="eastAsia" w:ascii="仿宋" w:hAnsi="仿宋" w:eastAsia="仿宋" w:cs="仿宋"/>
          <w:b/>
          <w:bCs/>
          <w:sz w:val="24"/>
          <w:szCs w:val="24"/>
          <w:lang w:val="zh-CN" w:eastAsia="zh-CN"/>
        </w:rPr>
      </w:pPr>
      <w:bookmarkStart w:id="86" w:name="_Toc11162"/>
      <w:bookmarkStart w:id="87" w:name="_Toc11539"/>
      <w:bookmarkStart w:id="88" w:name="_Toc13500"/>
      <w:bookmarkStart w:id="89" w:name="_Toc220"/>
      <w:bookmarkStart w:id="90" w:name="_Toc15237"/>
      <w:bookmarkStart w:id="91" w:name="_Toc31516"/>
      <w:r>
        <w:rPr>
          <w:rFonts w:hint="eastAsia" w:ascii="仿宋" w:hAnsi="仿宋" w:eastAsia="仿宋" w:cs="仿宋"/>
          <w:b/>
          <w:bCs/>
          <w:sz w:val="24"/>
          <w:szCs w:val="24"/>
          <w:lang w:val="zh-CN" w:eastAsia="zh-CN"/>
        </w:rPr>
        <w:t>对受培训人员要求</w:t>
      </w:r>
      <w:bookmarkEnd w:id="86"/>
      <w:bookmarkEnd w:id="87"/>
      <w:bookmarkEnd w:id="88"/>
      <w:bookmarkEnd w:id="89"/>
      <w:bookmarkEnd w:id="90"/>
      <w:bookmarkEnd w:id="91"/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val="zh-CN"/>
        </w:rPr>
      </w:pPr>
      <w:r>
        <w:rPr>
          <w:rFonts w:hint="eastAsia" w:ascii="仿宋" w:hAnsi="仿宋" w:eastAsia="仿宋" w:cs="仿宋"/>
          <w:sz w:val="24"/>
          <w:lang w:val="zh-CN"/>
        </w:rPr>
        <w:t>维护人员：具有电子设备操作经验和大专教育程度。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val="zh-CN"/>
        </w:rPr>
      </w:pPr>
      <w:r>
        <w:rPr>
          <w:rFonts w:hint="eastAsia" w:ascii="仿宋" w:hAnsi="仿宋" w:eastAsia="仿宋" w:cs="仿宋"/>
          <w:sz w:val="24"/>
          <w:lang w:val="zh-CN"/>
        </w:rPr>
        <w:t>一般操作人员：熟悉办公软件的原理的实践，受过中专或技校教育。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val="zh-CN"/>
        </w:rPr>
      </w:pPr>
      <w:r>
        <w:rPr>
          <w:rFonts w:hint="eastAsia" w:ascii="仿宋" w:hAnsi="仿宋" w:eastAsia="仿宋" w:cs="仿宋"/>
          <w:sz w:val="24"/>
          <w:lang w:val="zh-CN"/>
        </w:rPr>
        <w:t>管理人员培训课程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val="zh-CN"/>
        </w:rPr>
      </w:pPr>
      <w:r>
        <w:rPr>
          <w:rFonts w:hint="eastAsia" w:ascii="仿宋" w:hAnsi="仿宋" w:eastAsia="仿宋" w:cs="仿宋"/>
          <w:sz w:val="24"/>
          <w:lang w:val="zh-CN"/>
        </w:rPr>
        <w:t>管理人员的培训课程安排了3天，可安排2-3人参加。</w:t>
      </w:r>
    </w:p>
    <w:p>
      <w:pPr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sz w:val="24"/>
          <w:lang w:val="zh-CN"/>
        </w:rPr>
      </w:pPr>
      <w:r>
        <w:rPr>
          <w:rFonts w:hint="eastAsia" w:ascii="仿宋" w:hAnsi="仿宋" w:eastAsia="仿宋" w:cs="仿宋"/>
          <w:sz w:val="24"/>
          <w:lang w:val="zh-CN"/>
        </w:rPr>
        <w:t xml:space="preserve">                                   </w:t>
      </w:r>
    </w:p>
    <w:p>
      <w:pPr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sz w:val="24"/>
          <w:lang w:val="zh-CN"/>
        </w:rPr>
      </w:pPr>
    </w:p>
    <w:p>
      <w:pPr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sz w:val="24"/>
          <w:lang w:val="zh-CN"/>
        </w:rPr>
      </w:pPr>
      <w:r>
        <w:rPr>
          <w:rFonts w:hint="eastAsia" w:ascii="仿宋" w:hAnsi="仿宋" w:eastAsia="仿宋" w:cs="仿宋"/>
          <w:sz w:val="24"/>
          <w:lang w:val="zh-CN"/>
        </w:rPr>
        <w:t xml:space="preserve"> </w:t>
      </w:r>
    </w:p>
    <w:p>
      <w:pPr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sz w:val="24"/>
          <w:lang w:val="zh-CN"/>
        </w:rPr>
      </w:pPr>
    </w:p>
    <w:p>
      <w:pPr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sz w:val="24"/>
          <w:lang w:val="zh-CN"/>
        </w:rPr>
      </w:pPr>
    </w:p>
    <w:p>
      <w:pPr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sz w:val="24"/>
          <w:lang w:val="zh-CN"/>
        </w:rPr>
      </w:pPr>
    </w:p>
    <w:p>
      <w:pPr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sz w:val="24"/>
          <w:lang w:val="zh-CN"/>
        </w:rPr>
      </w:pPr>
      <w:r>
        <w:rPr>
          <w:rFonts w:hint="eastAsia" w:ascii="仿宋" w:hAnsi="仿宋" w:eastAsia="仿宋" w:cs="仿宋"/>
          <w:sz w:val="24"/>
          <w:lang w:val="zh-CN"/>
        </w:rPr>
        <w:t xml:space="preserve">                              供应商名称：禹州市捷昌通信技术有限公司</w:t>
      </w:r>
    </w:p>
    <w:p>
      <w:pPr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sz w:val="24"/>
          <w:lang w:val="zh-CN"/>
        </w:rPr>
      </w:pPr>
    </w:p>
    <w:p>
      <w:pPr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sz w:val="24"/>
          <w:lang w:val="zh-CN"/>
        </w:rPr>
        <w:t xml:space="preserve">                              法定代表人 （或代理人）签字：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sz w:val="24"/>
          <w:lang w:val="zh-CN"/>
        </w:rPr>
        <w:t xml:space="preserve"> </w:t>
      </w:r>
    </w:p>
    <w:p>
      <w:pPr>
        <w:ind w:firstLine="5040" w:firstLineChars="2100"/>
        <w:rPr>
          <w:rFonts w:hint="eastAsia" w:ascii="仿宋" w:hAnsi="仿宋" w:eastAsia="仿宋" w:cs="仿宋"/>
          <w:sz w:val="24"/>
          <w:lang w:val="zh-CN"/>
        </w:rPr>
      </w:pPr>
    </w:p>
    <w:p>
      <w:pPr>
        <w:ind w:firstLine="5040" w:firstLineChars="2100"/>
        <w:rPr>
          <w:rFonts w:hint="default" w:ascii="仿宋" w:hAnsi="仿宋" w:eastAsia="仿宋" w:cs="仿宋"/>
          <w:sz w:val="24"/>
          <w:lang w:val="en-US" w:eastAsia="zh-CN"/>
        </w:rPr>
        <w:sectPr>
          <w:pgSz w:w="11906" w:h="16838"/>
          <w:pgMar w:top="1440" w:right="1080" w:bottom="1440" w:left="1080" w:header="851" w:footer="992" w:gutter="0"/>
          <w:pgNumType w:fmt="decimal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sz w:val="24"/>
          <w:lang w:val="zh-CN"/>
        </w:rPr>
        <w:t>日期：</w:t>
      </w:r>
      <w:r>
        <w:rPr>
          <w:rFonts w:hint="eastAsia" w:ascii="仿宋" w:hAnsi="仿宋" w:eastAsia="仿宋" w:cs="仿宋"/>
          <w:sz w:val="24"/>
          <w:lang w:val="zh-CN" w:eastAsia="zh-CN"/>
        </w:rPr>
        <w:t>2019年6</w:t>
      </w:r>
      <w:r>
        <w:rPr>
          <w:rFonts w:hint="eastAsia" w:ascii="仿宋" w:hAnsi="仿宋" w:eastAsia="仿宋" w:cs="仿宋"/>
          <w:sz w:val="24"/>
          <w:lang w:val="en-US" w:eastAsia="zh-CN"/>
        </w:rPr>
        <w:t>月21日</w:t>
      </w:r>
    </w:p>
    <w:p>
      <w:pPr>
        <w:spacing w:line="500" w:lineRule="exact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801BE40"/>
    <w:multiLevelType w:val="singleLevel"/>
    <w:tmpl w:val="9801BE40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1">
    <w:nsid w:val="CA15583F"/>
    <w:multiLevelType w:val="singleLevel"/>
    <w:tmpl w:val="CA15583F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2">
    <w:nsid w:val="D4EDDD87"/>
    <w:multiLevelType w:val="singleLevel"/>
    <w:tmpl w:val="D4EDDD87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3">
    <w:nsid w:val="DACA0B44"/>
    <w:multiLevelType w:val="singleLevel"/>
    <w:tmpl w:val="DACA0B44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4">
    <w:nsid w:val="F20202E3"/>
    <w:multiLevelType w:val="multilevel"/>
    <w:tmpl w:val="F20202E3"/>
    <w:lvl w:ilvl="0" w:tentative="0">
      <w:start w:val="1"/>
      <w:numFmt w:val="chineseCounting"/>
      <w:suff w:val="nothing"/>
      <w:lvlText w:val="第%1章 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isLgl/>
      <w:lvlText w:val="%1.%2."/>
      <w:lvlJc w:val="left"/>
      <w:pPr>
        <w:ind w:left="567" w:hanging="567"/>
      </w:pPr>
      <w:rPr>
        <w:rFonts w:hint="eastAsia"/>
      </w:rPr>
    </w:lvl>
    <w:lvl w:ilvl="2" w:tentative="0">
      <w:start w:val="1"/>
      <w:numFmt w:val="decimal"/>
      <w:isLgl/>
      <w:lvlText w:val="%1.%2.%3."/>
      <w:lvlJc w:val="left"/>
      <w:pPr>
        <w:ind w:left="709" w:hanging="709"/>
      </w:pPr>
      <w:rPr>
        <w:rFonts w:hint="eastAsia"/>
      </w:rPr>
    </w:lvl>
    <w:lvl w:ilvl="3" w:tentative="0">
      <w:start w:val="1"/>
      <w:numFmt w:val="decimal"/>
      <w:isLgl/>
      <w:lvlText w:val="%1.%2.%3.%4."/>
      <w:lvlJc w:val="left"/>
      <w:pPr>
        <w:ind w:left="850" w:hanging="850"/>
      </w:pPr>
      <w:rPr>
        <w:rFonts w:hint="eastAsia"/>
      </w:rPr>
    </w:lvl>
    <w:lvl w:ilvl="4" w:tentative="0">
      <w:start w:val="1"/>
      <w:numFmt w:val="decimal"/>
      <w:isLgl/>
      <w:lvlText w:val="%1.%2.%3.%4.%5."/>
      <w:lvlJc w:val="left"/>
      <w:pPr>
        <w:ind w:left="991" w:hanging="991"/>
      </w:pPr>
      <w:rPr>
        <w:rFonts w:hint="eastAsia"/>
      </w:rPr>
    </w:lvl>
    <w:lvl w:ilvl="5" w:tentative="0">
      <w:start w:val="1"/>
      <w:numFmt w:val="decimal"/>
      <w:isLgl/>
      <w:lvlText w:val="%1.%2.%3.%4.%5.%6."/>
      <w:lvlJc w:val="left"/>
      <w:pPr>
        <w:ind w:left="1134" w:hanging="1134"/>
      </w:pPr>
      <w:rPr>
        <w:rFonts w:hint="eastAsia"/>
      </w:rPr>
    </w:lvl>
    <w:lvl w:ilvl="6" w:tentative="0">
      <w:start w:val="1"/>
      <w:numFmt w:val="decimal"/>
      <w:isLgl/>
      <w:lvlText w:val="%1.%2.%3.%4.%5.%6.%7."/>
      <w:lvlJc w:val="left"/>
      <w:pPr>
        <w:ind w:left="1275" w:hanging="1275"/>
      </w:pPr>
      <w:rPr>
        <w:rFonts w:hint="eastAsia"/>
      </w:rPr>
    </w:lvl>
    <w:lvl w:ilvl="7" w:tentative="0">
      <w:start w:val="1"/>
      <w:numFmt w:val="decimal"/>
      <w:isLgl/>
      <w:lvlText w:val="%1.%2.%3.%4.%5.%6.%7.%8."/>
      <w:lvlJc w:val="left"/>
      <w:pPr>
        <w:ind w:left="1418" w:hanging="1418"/>
      </w:pPr>
      <w:rPr>
        <w:rFonts w:hint="eastAsia"/>
      </w:rPr>
    </w:lvl>
    <w:lvl w:ilvl="8" w:tentative="0">
      <w:start w:val="1"/>
      <w:numFmt w:val="decimal"/>
      <w:isLgl/>
      <w:lvlText w:val="%1.%2.%3.%4.%5.%6.%7.%8.%9."/>
      <w:lvlJc w:val="left"/>
      <w:pPr>
        <w:ind w:left="1558" w:hanging="1558"/>
      </w:pPr>
      <w:rPr>
        <w:rFonts w:hint="eastAsia"/>
      </w:rPr>
    </w:lvl>
  </w:abstractNum>
  <w:abstractNum w:abstractNumId="5">
    <w:nsid w:val="28C113CE"/>
    <w:multiLevelType w:val="singleLevel"/>
    <w:tmpl w:val="28C113CE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6">
    <w:nsid w:val="4BB8E606"/>
    <w:multiLevelType w:val="multilevel"/>
    <w:tmpl w:val="4BB8E606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850" w:hanging="453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1508" w:hanging="708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2053" w:hanging="853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2495" w:hanging="895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3136" w:hanging="1136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3673" w:hanging="1273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42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4648" w:hanging="1448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AB60E9"/>
    <w:rsid w:val="04AB60E9"/>
    <w:rsid w:val="076A243E"/>
    <w:rsid w:val="172A6961"/>
    <w:rsid w:val="37483608"/>
    <w:rsid w:val="45323B94"/>
    <w:rsid w:val="613A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rPr>
      <w:rFonts w:ascii="仿宋_GB2312"/>
      <w:kern w:val="0"/>
      <w:sz w:val="24"/>
      <w:szCs w:val="24"/>
    </w:rPr>
  </w:style>
  <w:style w:type="paragraph" w:styleId="3">
    <w:name w:val="Body Text First Indent"/>
    <w:basedOn w:val="2"/>
    <w:unhideWhenUsed/>
    <w:qFormat/>
    <w:uiPriority w:val="99"/>
    <w:pPr>
      <w:spacing w:before="100" w:beforeAutospacing="1" w:after="120"/>
      <w:ind w:firstLine="420" w:firstLineChars="100"/>
    </w:pPr>
    <w:rPr>
      <w:rFonts w:ascii="Times New Roman"/>
    </w:rPr>
  </w:style>
  <w:style w:type="character" w:customStyle="1" w:styleId="6">
    <w:name w:val="font41"/>
    <w:basedOn w:val="5"/>
    <w:qFormat/>
    <w:uiPriority w:val="0"/>
    <w:rPr>
      <w:rFonts w:hint="eastAsia" w:ascii="仿宋" w:hAnsi="仿宋" w:eastAsia="仿宋" w:cs="仿宋"/>
      <w:color w:val="000000"/>
      <w:sz w:val="20"/>
      <w:szCs w:val="20"/>
      <w:u w:val="none"/>
    </w:rPr>
  </w:style>
  <w:style w:type="character" w:customStyle="1" w:styleId="7">
    <w:name w:val="font11"/>
    <w:basedOn w:val="5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2019-06-28T05:39:00Z</dcterms:created>
  <dc:creator>DELL</dc:creator>
  <cp:lastModifiedBy>song</cp:lastModifiedBy>
  <dcterms:modified xsi:type="dcterms:W3CDTF">2019-06-28T05:53:24Z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