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hint="eastAsia" w:ascii="黑体" w:hAnsi="黑体" w:eastAsia="黑体" w:cs="黑体"/>
          <w:b/>
          <w:bCs/>
          <w:kern w:val="0"/>
          <w:sz w:val="44"/>
          <w:szCs w:val="44"/>
        </w:rPr>
      </w:pPr>
    </w:p>
    <w:p>
      <w:pPr>
        <w:spacing w:line="600" w:lineRule="exact"/>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禹州市广播电视台</w:t>
      </w:r>
      <w:r>
        <w:rPr>
          <w:rFonts w:hint="eastAsia" w:ascii="微软雅黑" w:hAnsi="微软雅黑" w:eastAsia="微软雅黑" w:cs="微软雅黑"/>
          <w:b/>
          <w:bCs/>
          <w:sz w:val="44"/>
          <w:szCs w:val="44"/>
          <w:lang w:val="en-US" w:eastAsia="zh-CN"/>
        </w:rPr>
        <w:t>4K新闻制作系统</w:t>
      </w:r>
      <w:r>
        <w:rPr>
          <w:rFonts w:hint="eastAsia" w:ascii="微软雅黑" w:hAnsi="微软雅黑" w:eastAsia="微软雅黑" w:cs="微软雅黑"/>
          <w:b/>
          <w:bCs/>
          <w:sz w:val="44"/>
          <w:szCs w:val="44"/>
        </w:rPr>
        <w:t>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w:t>
      </w:r>
      <w:r>
        <w:rPr>
          <w:rFonts w:hint="eastAsia" w:ascii="仿宋" w:hAnsi="仿宋" w:eastAsia="仿宋" w:cs="仿宋"/>
          <w:b/>
          <w:bCs/>
          <w:color w:val="000000"/>
          <w:sz w:val="32"/>
          <w:szCs w:val="32"/>
          <w:lang w:eastAsia="zh-CN"/>
        </w:rPr>
        <w:t>和旅游</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124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3253" w:firstLineChars="9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禹州市广播电视台4K新闻制作系统采购项目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7"/>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禹州市政府采购中心受禹州市文化广电和旅游局的委托，就“禹州市广播电视台4K新闻制作系统采购项目”进行公开招标，欢迎合格的投标人前来投标。</w:t>
      </w:r>
    </w:p>
    <w:p>
      <w:pPr>
        <w:pStyle w:val="56"/>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禹州市广播电视台4K新闻制作系统采购项目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124</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全万兆核心交换机、</w:t>
      </w:r>
      <w:r>
        <w:rPr>
          <w:rFonts w:hint="eastAsia" w:ascii="新宋体" w:hAnsi="新宋体" w:eastAsia="新宋体" w:cs="新宋体"/>
          <w:color w:val="000000"/>
          <w:kern w:val="0"/>
          <w:sz w:val="24"/>
          <w:szCs w:val="24"/>
          <w:lang w:val="en-US" w:eastAsia="zh-CN"/>
        </w:rPr>
        <w:t>4K中心中央存储等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657.576</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657.576</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7</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22</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联系人：艾先生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地址：禹州市颍河大街</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28</w:t>
      </w:r>
      <w:bookmarkStart w:id="16" w:name="_GoBack"/>
      <w:bookmarkEnd w:id="16"/>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7"/>
        <w:rPr>
          <w:rFonts w:hint="eastAsia" w:ascii="仿宋" w:hAnsi="仿宋" w:eastAsia="仿宋" w:cs="仿宋"/>
          <w:b/>
          <w:bCs/>
          <w:sz w:val="36"/>
          <w:szCs w:val="36"/>
        </w:rPr>
      </w:pPr>
    </w:p>
    <w:p>
      <w:pPr>
        <w:pStyle w:val="27"/>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7"/>
        <w:rPr>
          <w:rFonts w:hint="eastAsia"/>
        </w:rPr>
      </w:pPr>
    </w:p>
    <w:p>
      <w:pPr>
        <w:widowControl/>
        <w:numPr>
          <w:ilvl w:val="0"/>
          <w:numId w:val="7"/>
        </w:numPr>
        <w:shd w:val="clear" w:color="auto" w:fill="FFFFFF"/>
        <w:spacing w:line="360" w:lineRule="auto"/>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widowControl/>
        <w:shd w:val="clear" w:color="auto" w:fill="FFFFFF"/>
        <w:spacing w:line="360" w:lineRule="auto"/>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禹州广播电视融合媒体平台以现有设备为核心资源，建立新闻融合生产共享机制，不仅可以借此获得新闻资讯的强大生产制作能力、共享媒体资源，并且还可以实现流量汇聚、共同发布，在运营建设方面全面提高传统媒体在当前时期的社会影响力。</w:t>
      </w:r>
    </w:p>
    <w:p>
      <w:pPr>
        <w:widowControl/>
        <w:shd w:val="clear" w:color="auto" w:fill="FFFFFF"/>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平台以融媒体融合指挥调度中心为核心区，在此基础上建立起融合生产中心、融合发布中心、融合媒资中心、大数据中心等功能节点，通过贯穿于全网的协同管理体系，彻底打通各媒体之间在资源、能力、渠道以及价值等全方位的互联互通。</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在本项目中遵循以下原则：</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兼容性原则 对接台内现有资源</w:t>
      </w:r>
    </w:p>
    <w:p>
      <w:pPr>
        <w:pStyle w:val="2"/>
        <w:ind w:left="0" w:leftChars="0" w:firstLine="0" w:firstLineChars="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新建的融媒体平台，需要最大化的利用台内的现有系统和设备，在满足业务不间断的情况下，采用分步实施的策略，逐步整合所有设备资源，实现各系统间的无缝衔接。实现传统的新闻生产与新媒体的快速生产需求有机统一。</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先进性原则 支撑融合业务拓展</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通过与各系统的对接，可以全面统筹禹州</w:t>
      </w:r>
      <w:r>
        <w:rPr>
          <w:rFonts w:hint="eastAsia" w:ascii="新宋体" w:hAnsi="新宋体" w:eastAsia="新宋体" w:cs="新宋体"/>
          <w:color w:val="000000"/>
          <w:kern w:val="0"/>
          <w:sz w:val="24"/>
          <w:szCs w:val="24"/>
          <w:lang w:eastAsia="zh-CN"/>
        </w:rPr>
        <w:t>市</w:t>
      </w:r>
      <w:r>
        <w:rPr>
          <w:rFonts w:hint="eastAsia" w:ascii="新宋体" w:hAnsi="新宋体" w:eastAsia="新宋体" w:cs="新宋体"/>
          <w:color w:val="000000"/>
          <w:kern w:val="0"/>
          <w:sz w:val="24"/>
          <w:szCs w:val="24"/>
        </w:rPr>
        <w:t>融合媒体发展的各类需求与目标，一方面对内挖掘潜力，</w:t>
      </w:r>
      <w:r>
        <w:rPr>
          <w:rFonts w:hint="eastAsia" w:ascii="新宋体" w:hAnsi="新宋体" w:eastAsia="新宋体" w:cs="新宋体"/>
          <w:color w:val="000000"/>
          <w:kern w:val="0"/>
          <w:sz w:val="24"/>
          <w:szCs w:val="24"/>
          <w:lang w:eastAsia="zh-CN"/>
        </w:rPr>
        <w:t>除</w:t>
      </w:r>
      <w:r>
        <w:rPr>
          <w:rFonts w:hint="eastAsia" w:ascii="新宋体" w:hAnsi="新宋体" w:eastAsia="新宋体" w:cs="新宋体"/>
          <w:color w:val="000000"/>
          <w:kern w:val="0"/>
          <w:sz w:val="24"/>
          <w:szCs w:val="24"/>
        </w:rPr>
        <w:t>满足并提升传统节目内容制播业务的需求，</w:t>
      </w:r>
      <w:r>
        <w:rPr>
          <w:rFonts w:hint="eastAsia" w:ascii="新宋体" w:hAnsi="新宋体" w:eastAsia="新宋体" w:cs="新宋体"/>
          <w:color w:val="000000"/>
          <w:kern w:val="0"/>
          <w:sz w:val="24"/>
          <w:szCs w:val="24"/>
          <w:lang w:eastAsia="zh-CN"/>
        </w:rPr>
        <w:t>更要</w:t>
      </w:r>
      <w:r>
        <w:rPr>
          <w:rFonts w:hint="eastAsia" w:ascii="新宋体" w:hAnsi="新宋体" w:eastAsia="新宋体" w:cs="新宋体"/>
          <w:color w:val="000000"/>
          <w:kern w:val="0"/>
          <w:sz w:val="24"/>
          <w:szCs w:val="24"/>
        </w:rPr>
        <w:t>面向融合媒体的需求，能够充分满足面向互联网的节目生产分发和其他新的业务</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要求提供的硬件为目前最先进、最稳定的设备，如发现以次充优或以落后产品将取消合同。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开放性原则  优化传播渠道</w:t>
      </w:r>
    </w:p>
    <w:p>
      <w:pPr>
        <w:pStyle w:val="2"/>
        <w:ind w:left="0" w:leftChars="0" w:firstLine="0" w:firstLineChars="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该系统应是一个可以优化用户传播渠道、扩展传播范围、提升传播与影响质量的重要平台。除了传统广播、电视制播业务以外，各类新媒体业务、创新业务的经营模式、要求都不尽相同，都面临着对于更多、更新、更快的传播功能的需求，须实现平台优势的最大化。</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扩展性原则  平台后期拓展性</w:t>
      </w:r>
    </w:p>
    <w:p>
      <w:pPr>
        <w:pStyle w:val="2"/>
        <w:ind w:left="0" w:leftChars="0" w:firstLine="0" w:firstLineChars="0"/>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在融媒体建设的发布端，升级增加最新的新媒体前沿功能，如：融合号、主播秀、党建等。实现区县和部委办局等单位入驻客户端独立模块内，进行全市政务内容上的新闻传播统一平台。</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安全性原则 安全隔离是广电网络安全的重中之重</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在保证 “安全隔离”的前提下，实现数据“交换”！ 有效阻断内、外网之间的安全受到威胁，同时保障制作网与新媒体网的业务访问安全。</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bookmarkStart w:id="0" w:name="_Toc536603065"/>
      <w:r>
        <w:rPr>
          <w:rFonts w:hint="eastAsia" w:ascii="新宋体" w:hAnsi="新宋体" w:eastAsia="新宋体" w:cs="新宋体"/>
          <w:b/>
          <w:bCs/>
          <w:color w:val="000000"/>
          <w:kern w:val="0"/>
          <w:sz w:val="24"/>
          <w:szCs w:val="24"/>
        </w:rPr>
        <w:t>总体</w:t>
      </w:r>
      <w:r>
        <w:rPr>
          <w:rFonts w:hint="eastAsia" w:ascii="新宋体" w:hAnsi="新宋体" w:eastAsia="新宋体" w:cs="新宋体"/>
          <w:b/>
          <w:bCs/>
          <w:color w:val="000000"/>
          <w:kern w:val="0"/>
          <w:sz w:val="24"/>
          <w:szCs w:val="24"/>
          <w:lang w:eastAsia="zh-CN"/>
        </w:rPr>
        <w:t>技术</w:t>
      </w:r>
      <w:r>
        <w:rPr>
          <w:rFonts w:hint="eastAsia" w:ascii="新宋体" w:hAnsi="新宋体" w:eastAsia="新宋体" w:cs="新宋体"/>
          <w:b/>
          <w:bCs/>
          <w:color w:val="000000"/>
          <w:kern w:val="0"/>
          <w:sz w:val="24"/>
          <w:szCs w:val="24"/>
        </w:rPr>
        <w:t>要求</w:t>
      </w:r>
      <w:bookmarkEnd w:id="0"/>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zh-CN"/>
        </w:rPr>
        <w:t>采用超融合系统提供媒体文件保存及共享交换能力及核心计算能力。</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zh-CN"/>
        </w:rPr>
        <w:t>面向电视传统节目生产。融合生产工具基于相同的技术架构，可共平台生产，可实现统一的内容检索，内容使用。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系统核心网络采用纯万兆光纤以太方式进行设计、建设；</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lang w:val="zh-CN"/>
        </w:rPr>
        <w:t>各子系统间的连接采用千兆光纤以太方式连接至核心交换机；</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1" w:name="_Toc536603067"/>
      <w:r>
        <w:rPr>
          <w:rFonts w:hint="eastAsia" w:ascii="新宋体" w:hAnsi="新宋体" w:eastAsia="新宋体" w:cs="新宋体"/>
          <w:color w:val="000000"/>
          <w:kern w:val="0"/>
          <w:sz w:val="24"/>
          <w:szCs w:val="24"/>
        </w:rPr>
        <w:t>计算资源设计</w:t>
      </w:r>
      <w:bookmarkEnd w:id="1"/>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系统后台核心平台必须采用超融合技术构架，区别于原有系统后台独立数据库、独立共享存储的技术构架模式，同时具备计算、存储、网络能力，具备极高的安全性、扩展性。</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次超融合系统要求采用最新的超融合技术构架，超融合基础架构是指在同一套单元设备（X86架构）中不仅仅具备计算、网络、存储和虚拟化等资源和技术，而且还包括备份软件、快照技术、重复数据删除、在线数据压缩等元素，而多套单元设备可以通过网络聚合起来，实现模块化的无缝横向扩展，形成统一的资源池。</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zh-CN"/>
        </w:rPr>
        <w:t>单节点底层采用嵌入式操作系统，提供可扩展的高性能数据存储解决方案。</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val="zh-CN"/>
        </w:rPr>
        <w:t>应用容器引擎虚拟化技术，充分利用节点服务器计算资源。</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val="zh-CN"/>
        </w:rPr>
        <w:t>系统后台服务应用工具部署在节点服务器上，提供系统所需网络管理模块、基础平台模块</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zh-CN"/>
        </w:rPr>
        <w:t>文稿模块、检索模块、资源管理模块等等。</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val="zh-CN"/>
        </w:rPr>
        <w:t>系统具备高安全性，支持N+M备份模式，可任意坏掉至少1个节点，不影响台内系统业务运行。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val="zh-CN"/>
        </w:rPr>
        <w:t>具备高可扩展性，在超融合架构下，横向扩展便捷性体现在数据扩展和业务扩展上：分布式系统能有效使系统扩展简洁起来。同时在此架构下系统良好的封装也能有效降低系统扩展难度。计算资源、存储容量、存储带宽均可通过增加节点的方式扩展。</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(6)★</w:t>
      </w:r>
      <w:r>
        <w:rPr>
          <w:rFonts w:hint="eastAsia" w:ascii="新宋体" w:hAnsi="新宋体" w:eastAsia="新宋体" w:cs="新宋体"/>
          <w:color w:val="000000"/>
          <w:kern w:val="0"/>
          <w:sz w:val="24"/>
          <w:szCs w:val="24"/>
          <w:lang w:val="zh-CN"/>
        </w:rPr>
        <w:t>所投超融合产品应具备自主知识产权，可提供软件著作权登记证书。</w:t>
      </w:r>
      <w:bookmarkStart w:id="2" w:name="_Toc536603068"/>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软件架构设计</w:t>
      </w:r>
      <w:bookmarkEnd w:id="2"/>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采用微服务技术（Micro Service Architecture）细化业务功能，实现精细的业务弹性伸缩。后台业务系统在虚拟资源池中至少具有3个集群应用节点，并可弹性部署更多集群应用节点。</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系统服务采用全对等分布式技术架构，具体如下：数据库、中间件、消息队列、转码、合成、存储管理、资源管理、内容检索引擎、工作流程引擎为多节点容器集群并行计算机制。一个系统节点故障只降低1/n（n≥3）的处理能力，损坏（n-1）/2个整数倍节点以内不会造成系统崩溃。任意一个系统服务（包括数据库）所处的虚拟服务器宕机时，业务运行无缝接续，业务数据无损续写。不同于虚拟化软件的“漂移”机制，宕机虚机“漂移”至一台新的虚机接替当前服务。分布式系统服务随时处于活跃状态，即随时都是自动负载均衡和自动故障切换。</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提供分类数据优化处理、非结构化数据管理，同时提供关系型数据库（如MySQL）、非关系型数据库（如MongoDB）、分布式集群数据库（如Codis）、内存数据库、日志数据库、图数据库来针对性处理不同数据。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数据库、集群服务、负载均衡服务、日志服务、检索引擎、消息服务、工作流引擎、内容管理、空间管理、用户及权限管理、配置管理等系统服务采用容器封装。</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系统能够面向应用提供标准开放的接口和软件开发工具包</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zh-CN"/>
        </w:rPr>
        <w:t>提供对象存储访问。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3" w:name="_Toc536603069"/>
      <w:r>
        <w:rPr>
          <w:rFonts w:hint="eastAsia" w:ascii="新宋体" w:hAnsi="新宋体" w:eastAsia="新宋体" w:cs="新宋体"/>
          <w:color w:val="000000"/>
          <w:kern w:val="0"/>
          <w:sz w:val="24"/>
          <w:szCs w:val="24"/>
        </w:rPr>
        <w:t>统一管理及运维功能要求</w:t>
      </w:r>
      <w:bookmarkEnd w:id="3"/>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4" w:name="_Toc536603070"/>
      <w:r>
        <w:rPr>
          <w:rFonts w:hint="eastAsia" w:ascii="新宋体" w:hAnsi="新宋体" w:eastAsia="新宋体" w:cs="新宋体"/>
          <w:color w:val="000000"/>
          <w:kern w:val="0"/>
          <w:sz w:val="24"/>
          <w:szCs w:val="24"/>
        </w:rPr>
        <w:t>用户管理及权限管理</w:t>
      </w:r>
      <w:bookmarkEnd w:id="4"/>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网络管理功能需支持以下几个方面的功能：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系统的统一管理用户信息、权限及密码信息，同时支持栏目管理；</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清晰的树状结构，方便编辑查看部门和用户，通过编码唯一性检查，避免出错；</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支持功能丰富的权限管理，用户可自定义丰富的角色名称和角色权限并将其授权给用户；</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5" w:name="_Toc536603072"/>
      <w:r>
        <w:rPr>
          <w:rFonts w:hint="eastAsia" w:ascii="新宋体" w:hAnsi="新宋体" w:eastAsia="新宋体" w:cs="新宋体"/>
          <w:color w:val="000000"/>
          <w:kern w:val="0"/>
          <w:sz w:val="24"/>
          <w:szCs w:val="24"/>
        </w:rPr>
        <w:t>安全设备</w:t>
      </w:r>
      <w:bookmarkEnd w:id="5"/>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为确保</w:t>
      </w:r>
      <w:r>
        <w:rPr>
          <w:rFonts w:hint="eastAsia" w:ascii="新宋体" w:hAnsi="新宋体" w:eastAsia="新宋体" w:cs="新宋体"/>
          <w:color w:val="000000"/>
          <w:kern w:val="0"/>
          <w:sz w:val="24"/>
          <w:szCs w:val="24"/>
          <w:lang w:eastAsia="zh-CN"/>
        </w:rPr>
        <w:t>系统</w:t>
      </w:r>
      <w:r>
        <w:rPr>
          <w:rFonts w:hint="eastAsia" w:ascii="新宋体" w:hAnsi="新宋体" w:eastAsia="新宋体" w:cs="新宋体"/>
          <w:color w:val="000000"/>
          <w:kern w:val="0"/>
          <w:sz w:val="24"/>
          <w:szCs w:val="24"/>
        </w:rPr>
        <w:t>安全性，对于外部素材文件导入系统需实现安全交互，应提供具备便携式安全盘解决方案。具体要求如下：</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zh-CN"/>
        </w:rPr>
        <w:t>自主知识产权文件系统，有效阻隔病毒入侵，专用硬件驱动，系统驱动层技术,有效管理USB设备使用</w:t>
      </w:r>
      <w:r>
        <w:rPr>
          <w:rFonts w:hint="eastAsia" w:ascii="新宋体" w:hAnsi="新宋体" w:eastAsia="新宋体" w:cs="新宋体"/>
          <w:color w:val="000000"/>
          <w:kern w:val="0"/>
          <w:sz w:val="24"/>
          <w:szCs w:val="24"/>
        </w:rPr>
        <w:t>.</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基于白名单的文件过滤的读写机制，有效管理文件使用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实时监控I/O访问，控制进程及目标文件格式的访问，读写更安全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专用管理工具，支持查看、删除、导入导出素材</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zh-CN"/>
        </w:rPr>
        <w:t>支持P2/蓝光介质与资料交互</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还应提供网络安全解决方案，建议采用网络双重隔离（物理隔离+协议隔离）的设备。</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bookmarkStart w:id="6" w:name="_Toc536603085"/>
      <w:r>
        <w:rPr>
          <w:rFonts w:hint="eastAsia" w:ascii="新宋体" w:hAnsi="新宋体" w:eastAsia="新宋体" w:cs="新宋体"/>
          <w:color w:val="000000"/>
          <w:kern w:val="0"/>
          <w:sz w:val="24"/>
          <w:szCs w:val="24"/>
        </w:rPr>
        <w:t>文稿系统模块</w:t>
      </w:r>
      <w:bookmarkEnd w:id="6"/>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文稿管理系统可以非常有效的解决新闻文稿、新闻素材、新闻节目及播出串联单之间的流程关系</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文稿系统需要与新闻制作系统实现无缝的结合，通过嵌入式软件接口的方式，实现文稿、节目等信息的统一管理和应用。文稿系统需要具备以下功能：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遵循本次建设的融合媒体系统架构，提供统一流程管理，采用B/S编辑模式，可通过权限控制访问不同的功能。</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具有开放的互联互通接口。 可与新闻节目制作系统、新闻演播系统实现结合，实现文稿、节目等信息的统一管理和应用，支持MOS协议。</w:t>
      </w:r>
    </w:p>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提供对线索、选题、文稿、串联单以及常用的用户工具。</w:t>
      </w:r>
    </w:p>
    <w:p>
      <w:pPr>
        <w:widowControl/>
        <w:shd w:val="clear" w:color="auto" w:fill="FFFFFF"/>
        <w:spacing w:line="360" w:lineRule="auto"/>
        <w:ind w:firstLine="600"/>
        <w:jc w:val="left"/>
        <w:rPr>
          <w:rFonts w:hint="eastAsia"/>
        </w:rPr>
      </w:pPr>
      <w:r>
        <w:rPr>
          <w:rFonts w:hint="eastAsia" w:ascii="新宋体" w:hAnsi="新宋体" w:eastAsia="新宋体" w:cs="新宋体"/>
          <w:color w:val="000000"/>
          <w:kern w:val="0"/>
          <w:sz w:val="24"/>
          <w:szCs w:val="24"/>
        </w:rPr>
        <w:t>提供稿件评分功能。</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（二）采购清单：</w:t>
      </w:r>
    </w:p>
    <w:p>
      <w:pPr>
        <w:numPr>
          <w:ilvl w:val="0"/>
          <w:numId w:val="0"/>
        </w:numPr>
        <w:spacing w:line="360" w:lineRule="auto"/>
        <w:rPr>
          <w:rFonts w:hint="eastAsia" w:ascii="新宋体" w:hAnsi="新宋体" w:eastAsia="新宋体" w:cs="新宋体"/>
          <w:b/>
          <w:bCs/>
          <w:color w:val="FF0000"/>
          <w:sz w:val="24"/>
          <w:szCs w:val="24"/>
        </w:rPr>
      </w:pPr>
      <w:r>
        <w:rPr>
          <w:rFonts w:hint="eastAsia" w:ascii="新宋体" w:hAnsi="新宋体" w:eastAsia="新宋体" w:cs="新宋体"/>
          <w:b/>
          <w:bCs/>
          <w:color w:val="FF0000"/>
          <w:sz w:val="24"/>
          <w:szCs w:val="24"/>
        </w:rPr>
        <w:t>(注： 本项目为“交钥匙”工程。投标方提供针对本项目的整体技术方案、施工、培训、售后保障措施，项目中如有未列出的，且是项目中所需要的，投标方需自行完善。)</w:t>
      </w:r>
    </w:p>
    <w:tbl>
      <w:tblPr>
        <w:tblStyle w:val="21"/>
        <w:tblW w:w="84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036"/>
        <w:gridCol w:w="897"/>
        <w:gridCol w:w="69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序号</w:t>
            </w:r>
          </w:p>
        </w:tc>
        <w:tc>
          <w:tcPr>
            <w:tcW w:w="5036"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设备名称</w:t>
            </w:r>
          </w:p>
        </w:tc>
        <w:tc>
          <w:tcPr>
            <w:tcW w:w="897"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单位</w:t>
            </w:r>
          </w:p>
        </w:tc>
        <w:tc>
          <w:tcPr>
            <w:tcW w:w="69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数量</w:t>
            </w:r>
          </w:p>
        </w:tc>
        <w:tc>
          <w:tcPr>
            <w:tcW w:w="1140"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5036"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全万兆核心交换机</w:t>
            </w:r>
          </w:p>
        </w:tc>
        <w:tc>
          <w:tcPr>
            <w:tcW w:w="897" w:type="dxa"/>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vAlign w:val="center"/>
          </w:tcPr>
          <w:p>
            <w:pPr>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652" w:type="dxa"/>
            <w:shd w:val="clear" w:color="auto" w:fill="auto"/>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全万兆核心交换机</w:t>
            </w:r>
          </w:p>
        </w:tc>
        <w:tc>
          <w:tcPr>
            <w:tcW w:w="897"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auto"/>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核心交换机</w:t>
            </w:r>
          </w:p>
        </w:tc>
        <w:tc>
          <w:tcPr>
            <w:tcW w:w="897"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4K中心中央存储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lang w:eastAsia="zh-CN"/>
              </w:rPr>
            </w:pPr>
            <w:r>
              <w:rPr>
                <w:rFonts w:hint="eastAsia" w:ascii="新宋体" w:hAnsi="新宋体" w:eastAsia="新宋体" w:cs="新宋体"/>
                <w:b w:val="0"/>
                <w:bCs/>
                <w:color w:val="FF0000"/>
                <w:sz w:val="24"/>
                <w:szCs w:val="24"/>
                <w:lang w:eastAsia="zh-CN"/>
              </w:rPr>
              <w:t>核心设备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5</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网络机柜</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6</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KVM</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7</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全媒体编辑集群服务器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8</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全媒体4K超高清音视频制作系统</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9</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4K-桌面存储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10</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4K监视器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11</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全媒体4K音视频制作/审片系统</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16</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12</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BS视音频编辑许可</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13</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全媒体高标清配音系统高</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14</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全媒体InfoShare文稿系统</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15</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全媒体素材库</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16</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w:t>
            </w:r>
            <w:r>
              <w:rPr>
                <w:rFonts w:hint="eastAsia" w:ascii="新宋体" w:hAnsi="新宋体" w:eastAsia="新宋体" w:cs="新宋体"/>
                <w:b w:val="0"/>
                <w:bCs/>
                <w:sz w:val="24"/>
                <w:szCs w:val="24"/>
                <w:lang w:eastAsia="zh-CN"/>
              </w:rPr>
              <w:t>内容</w:t>
            </w:r>
            <w:r>
              <w:rPr>
                <w:rFonts w:hint="eastAsia" w:ascii="新宋体" w:hAnsi="新宋体" w:eastAsia="新宋体" w:cs="新宋体"/>
                <w:b w:val="0"/>
                <w:bCs/>
                <w:sz w:val="24"/>
                <w:szCs w:val="24"/>
              </w:rPr>
              <w:t>管理平台集群服务器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3</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17</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w:t>
            </w:r>
            <w:r>
              <w:rPr>
                <w:rFonts w:hint="eastAsia" w:ascii="新宋体" w:hAnsi="新宋体" w:eastAsia="新宋体" w:cs="新宋体"/>
                <w:b w:val="0"/>
                <w:bCs/>
                <w:sz w:val="24"/>
                <w:szCs w:val="24"/>
                <w:lang w:eastAsia="zh-CN"/>
              </w:rPr>
              <w:t>内容</w:t>
            </w:r>
            <w:r>
              <w:rPr>
                <w:rFonts w:hint="eastAsia" w:ascii="新宋体" w:hAnsi="新宋体" w:eastAsia="新宋体" w:cs="新宋体"/>
                <w:b w:val="0"/>
                <w:bCs/>
                <w:sz w:val="24"/>
                <w:szCs w:val="24"/>
              </w:rPr>
              <w:t>管理平台存储系统</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18</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媒体处理服务器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19</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网络资源服务器</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20</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全媒体资源管理上载挑选工作站</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21</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全媒体资源编目及审核工具</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22</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全媒体资源管理客户端工具</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23</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安全网关</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24</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便携式安全盘</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台</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blHeader/>
        </w:trPr>
        <w:tc>
          <w:tcPr>
            <w:tcW w:w="652" w:type="dxa"/>
            <w:shd w:val="clear" w:color="auto" w:fill="auto"/>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25</w:t>
            </w:r>
          </w:p>
        </w:tc>
        <w:tc>
          <w:tcPr>
            <w:tcW w:w="5036"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操作台</w:t>
            </w:r>
          </w:p>
        </w:tc>
        <w:tc>
          <w:tcPr>
            <w:tcW w:w="897"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套</w:t>
            </w:r>
          </w:p>
        </w:tc>
        <w:tc>
          <w:tcPr>
            <w:tcW w:w="69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22</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26</w:t>
            </w:r>
          </w:p>
        </w:tc>
        <w:tc>
          <w:tcPr>
            <w:tcW w:w="5036"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工位椅子</w:t>
            </w:r>
          </w:p>
        </w:tc>
        <w:tc>
          <w:tcPr>
            <w:tcW w:w="897"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把</w:t>
            </w:r>
          </w:p>
        </w:tc>
        <w:tc>
          <w:tcPr>
            <w:tcW w:w="69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22</w:t>
            </w:r>
          </w:p>
        </w:tc>
        <w:tc>
          <w:tcPr>
            <w:tcW w:w="1140" w:type="dxa"/>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blHeader/>
        </w:trPr>
        <w:tc>
          <w:tcPr>
            <w:tcW w:w="65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27</w:t>
            </w:r>
          </w:p>
        </w:tc>
        <w:tc>
          <w:tcPr>
            <w:tcW w:w="5036"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配套辅材</w:t>
            </w:r>
          </w:p>
        </w:tc>
        <w:tc>
          <w:tcPr>
            <w:tcW w:w="897"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批</w:t>
            </w:r>
          </w:p>
        </w:tc>
        <w:tc>
          <w:tcPr>
            <w:tcW w:w="69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vAlign w:val="center"/>
          </w:tcPr>
          <w:p>
            <w:pPr>
              <w:tabs>
                <w:tab w:val="left" w:pos="1587"/>
              </w:tabs>
              <w:jc w:val="left"/>
              <w:rPr>
                <w:rFonts w:hint="eastAsia" w:ascii="新宋体" w:hAnsi="新宋体" w:eastAsia="新宋体" w:cs="新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blHeader/>
        </w:trPr>
        <w:tc>
          <w:tcPr>
            <w:tcW w:w="652" w:type="dxa"/>
            <w:shd w:val="clear" w:color="auto" w:fill="FFFFFF"/>
            <w:vAlign w:val="center"/>
          </w:tcPr>
          <w:p>
            <w:pPr>
              <w:tabs>
                <w:tab w:val="left" w:pos="1587"/>
              </w:tabs>
              <w:jc w:val="left"/>
              <w:rPr>
                <w:rFonts w:hint="eastAsia" w:ascii="新宋体" w:hAnsi="新宋体" w:eastAsia="新宋体" w:cs="新宋体"/>
                <w:b w:val="0"/>
                <w:bCs/>
                <w:sz w:val="24"/>
                <w:szCs w:val="24"/>
              </w:rPr>
            </w:pPr>
            <w:r>
              <w:rPr>
                <w:rFonts w:hint="eastAsia" w:ascii="新宋体" w:hAnsi="新宋体" w:eastAsia="新宋体" w:cs="新宋体"/>
                <w:b w:val="0"/>
                <w:bCs/>
                <w:sz w:val="24"/>
                <w:szCs w:val="24"/>
              </w:rPr>
              <w:t>28</w:t>
            </w:r>
          </w:p>
        </w:tc>
        <w:tc>
          <w:tcPr>
            <w:tcW w:w="5036"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系统集成,技术服务</w:t>
            </w:r>
          </w:p>
        </w:tc>
        <w:tc>
          <w:tcPr>
            <w:tcW w:w="897"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项</w:t>
            </w:r>
          </w:p>
        </w:tc>
        <w:tc>
          <w:tcPr>
            <w:tcW w:w="692" w:type="dxa"/>
            <w:shd w:val="clear" w:color="auto" w:fill="FFFFFF"/>
            <w:vAlign w:val="center"/>
          </w:tcPr>
          <w:p>
            <w:pPr>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p>
        </w:tc>
        <w:tc>
          <w:tcPr>
            <w:tcW w:w="1140" w:type="dxa"/>
            <w:shd w:val="clear" w:color="auto" w:fill="FFFFFF"/>
            <w:vAlign w:val="center"/>
          </w:tcPr>
          <w:p>
            <w:pPr>
              <w:tabs>
                <w:tab w:val="left" w:pos="1587"/>
              </w:tabs>
              <w:jc w:val="left"/>
              <w:rPr>
                <w:rFonts w:hint="eastAsia" w:ascii="新宋体" w:hAnsi="新宋体" w:eastAsia="新宋体" w:cs="新宋体"/>
                <w:b w:val="0"/>
                <w:bCs/>
                <w:sz w:val="24"/>
                <w:szCs w:val="24"/>
              </w:rPr>
            </w:pPr>
          </w:p>
        </w:tc>
      </w:tr>
    </w:tbl>
    <w:p>
      <w:pPr>
        <w:rPr>
          <w:rFonts w:hint="eastAsia" w:ascii="新宋体" w:hAnsi="新宋体" w:eastAsia="新宋体" w:cs="新宋体"/>
          <w:sz w:val="24"/>
          <w:szCs w:val="24"/>
        </w:rPr>
      </w:pPr>
    </w:p>
    <w:p>
      <w:pPr>
        <w:spacing w:line="360" w:lineRule="auto"/>
        <w:rPr>
          <w:rFonts w:hint="eastAsia" w:ascii="新宋体" w:hAnsi="新宋体" w:eastAsia="新宋体" w:cs="新宋体"/>
          <w:color w:val="000000" w:themeColor="text1"/>
          <w:sz w:val="24"/>
          <w:szCs w:val="24"/>
        </w:rPr>
      </w:pPr>
      <w:r>
        <w:rPr>
          <w:rFonts w:hint="eastAsia" w:ascii="新宋体" w:hAnsi="新宋体" w:eastAsia="新宋体" w:cs="新宋体"/>
          <w:b/>
          <w:bCs/>
          <w:color w:val="000000" w:themeColor="text1"/>
          <w:sz w:val="24"/>
          <w:szCs w:val="24"/>
        </w:rPr>
        <w:t>详细技术要求:</w:t>
      </w:r>
    </w:p>
    <w:tbl>
      <w:tblPr>
        <w:tblStyle w:val="21"/>
        <w:tblW w:w="9827"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071"/>
        <w:gridCol w:w="6596"/>
        <w:gridCol w:w="365"/>
        <w:gridCol w:w="577"/>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序号</w:t>
            </w:r>
          </w:p>
        </w:tc>
        <w:tc>
          <w:tcPr>
            <w:tcW w:w="1071"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设备名称</w:t>
            </w:r>
          </w:p>
        </w:tc>
        <w:tc>
          <w:tcPr>
            <w:tcW w:w="6596"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要求技术规格</w:t>
            </w:r>
          </w:p>
        </w:tc>
        <w:tc>
          <w:tcPr>
            <w:tcW w:w="365"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577"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635"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071"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全万兆核心交换机</w:t>
            </w:r>
          </w:p>
        </w:tc>
        <w:tc>
          <w:tcPr>
            <w:tcW w:w="6596"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主机：组合配置(24个万兆SFP+,2个40GE QSFP+,单子卡槽位,含1个600W交流电源)，电源模块（PAC-600WA-B）：600W交流电源模块(后前风道,电源面板侧出风)×1，OMXD30000：光模块-SFP+-10G-多模模块(850nm,0.3km,LC)×4，QSFP-40G-CU3M：QSFP+-40G-高速电缆-3m-(QSFP+38公)-(CC8P0.32黑(S))-(QSFP+38公)-室内用×1</w:t>
            </w:r>
          </w:p>
        </w:tc>
        <w:tc>
          <w:tcPr>
            <w:tcW w:w="365" w:type="dxa"/>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vAlign w:val="center"/>
          </w:tcPr>
          <w:p>
            <w:pP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583" w:type="dxa"/>
            <w:shd w:val="clear" w:color="auto" w:fill="auto"/>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全万兆核心交换机</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主机：组合配置(24个万兆SFP+,2个40GE QSFP+,单子卡槽位,含1个600W交流电源)，电源模块（PAC-600WA-B）：600W交流电源模块(后前风道,电源面板侧出风)×1，OMXD30000：光模块-SFP+-10G-多模模块(850nm,0.3km,LC)×24，QSFP-40G-CU3M：QSFP+-40G-高速电缆-3m-(QSFP+38公)-(CC8P0.32黑(S))-(QSFP+38公)-室内用×1</w:t>
            </w:r>
          </w:p>
        </w:tc>
        <w:tc>
          <w:tcPr>
            <w:tcW w:w="365"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auto"/>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核心交换机</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主机：48个10/100/1000Base-T以太网端口，4个万兆SFP+，单子卡槽位，含1个150W交流电源，业务板卡（ES5D21VST000）：2接口QSFP+专用堆叠后插卡（含1米QSFP+线缆1根，S5720-EI系列使用）×1</w:t>
            </w:r>
          </w:p>
        </w:tc>
        <w:tc>
          <w:tcPr>
            <w:tcW w:w="365"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4K中心中央存储</w:t>
            </w:r>
          </w:p>
        </w:tc>
        <w:tc>
          <w:tcPr>
            <w:tcW w:w="6596" w:type="dxa"/>
            <w:shd w:val="clear" w:color="auto" w:fill="FFFFFF"/>
            <w:vAlign w:val="center"/>
          </w:tcPr>
          <w:p>
            <w:pPr>
              <w:numPr>
                <w:ilvl w:val="0"/>
                <w:numId w:val="8"/>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本次共配置3个万兆高性能存储节点，每个节点支持24个硬盘插槽，共72块4TB企业级硬盘。每个节点本身支持RAID机制，存储节点之间采用2+1网络纠错码冗余技术，裸容量288TB，可用物理容量为192TB。</w:t>
            </w:r>
          </w:p>
          <w:p>
            <w:pPr>
              <w:numPr>
                <w:ilvl w:val="0"/>
                <w:numId w:val="8"/>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每个存储节点配置2万兆+2千兆以太网口，每个节点带宽不低于600 MB/S，集群总带宽大于1.8GB/S以上。</w:t>
            </w:r>
          </w:p>
          <w:p>
            <w:pPr>
              <w:tabs>
                <w:tab w:val="left" w:pos="1587"/>
              </w:tabs>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★3、平台底层分布式存储软件需为成熟商业产品，提供5年以上软件著作权证书；</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★4、集群系统在低负载或者空载情况下，支持硬盘自动休眠、风扇转速降低、电源节能等模式，该监控控制软件需提供国家版权局颁发的绿色节能软件著作权证书。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583"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网络机柜</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42U 标准机柜（含电源插排、滑轨、托板、盲板、理线架等）标准服务器机柜,外形尺寸：600mm*1000mm*42U机柜(宽×深×高) ；高质量，承重力强。静态状态机柜承重力800kg，动态状态机柜承重力600kg；机柜前标准角与前立柱之间无缝隙拼接，且可移至最前端，增大内部装机空间；机柜安装内立柱有刻度标识；  </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blHeader/>
        </w:trPr>
        <w:tc>
          <w:tcPr>
            <w:tcW w:w="583"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KVM</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8口KVM切换器，抽拉式机身设计，整合17" LED 背光之LCD屏幕与KVM控制端切换器于单一抽拉式机身内，仅占用1U机架空间。支持配备PS2或USB键盘和鼠标的服务器与控制端</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全媒体编辑集群服务器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1、主机：19" 2U 机架式服务器，CPU：INTEL Xeon 4110 2.1GHz（八核）×2，内存：16GB×8 ，系统硬盘：300GB SAS硬盘×2，数据硬盘：480GB SSD固态硬盘×2</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2、RAID：板载RAID控制器，支持RAID0/1，其它：集成千兆以太网接口×4、冗余电源、DVD-ROM，操作系统：CentOS 7.1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3、超融合媒体平台软件 V1.0,融合媒体生产业务系统 V2.0</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4、Media Star服务软件包。提供面向电视生产的后台服务。包括：Infoshare文稿服务、资源管理服务、新闻流程管理服务、编辑管理服务、业务系统配置服务</w:t>
            </w:r>
          </w:p>
          <w:p>
            <w:pPr>
              <w:pStyle w:val="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★5、提供超融合媒体平台计算机软件著作权登记证书</w:t>
            </w:r>
          </w:p>
          <w:p>
            <w:pPr>
              <w:pStyle w:val="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★6、提供用于分布式文件系统的宽带资源的动态自适应分配方法自主知识产权</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全媒体4K超高清音视频制作系统</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1、主机：国际品牌专业图形工作站：CPU：INTEL Xeon 4114 2.2GHz（十核）×2 ，内存：32GB，系统盘：480GB SATA 企业级SSD固态硬盘，数据盘：1TB SATA硬盘×1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★2、</w:t>
            </w:r>
            <w:r>
              <w:rPr>
                <w:rFonts w:hint="eastAsia" w:ascii="新宋体" w:hAnsi="新宋体" w:eastAsia="新宋体" w:cs="新宋体"/>
                <w:sz w:val="24"/>
                <w:szCs w:val="24"/>
              </w:rPr>
              <w:t>显卡：AMD Radeon Pro Duo 16GB 专业图形显卡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★3、</w:t>
            </w:r>
            <w:r>
              <w:rPr>
                <w:rFonts w:hint="eastAsia" w:ascii="新宋体" w:hAnsi="新宋体" w:eastAsia="新宋体" w:cs="新宋体"/>
                <w:sz w:val="24"/>
                <w:szCs w:val="24"/>
              </w:rPr>
              <w:t>I/O卡：MG6000E 4K或Redbridgr 4K或Mator4K 超高清/高清/标清兼容广播级数字I/O卡(3G-SDI×4)，加密狗：USB加密狗EX-E11</w:t>
            </w:r>
            <w:r>
              <w:rPr>
                <w:rFonts w:hint="eastAsia" w:ascii="新宋体" w:hAnsi="新宋体" w:eastAsia="新宋体" w:cs="新宋体"/>
                <w:sz w:val="24"/>
                <w:szCs w:val="24"/>
                <w:lang w:val="en-US" w:eastAsia="zh-CN"/>
              </w:rPr>
              <w:t>(提供板卡检测报告)</w:t>
            </w:r>
          </w:p>
          <w:p>
            <w:pPr>
              <w:numPr>
                <w:ilvl w:val="0"/>
                <w:numId w:val="9"/>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其它：集成双千兆以太网卡、声卡、DVD+/-RW可刻录光驱、标准键盘、鼠标，1125瓦电源，万兆光纤网卡及光纤模块×1;</w:t>
            </w:r>
          </w:p>
          <w:p>
            <w:pPr>
              <w:numPr>
                <w:ilvl w:val="0"/>
                <w:numId w:val="9"/>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配件：监听音箱或耳机，显示器：27寸LED广色域液晶显示器，支持2560*1440分辨率 ×2</w:t>
            </w:r>
          </w:p>
          <w:p>
            <w:pPr>
              <w:numPr>
                <w:ilvl w:val="0"/>
                <w:numId w:val="9"/>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Windows 10 Professional  64bit 正版操作系统（预装）;</w:t>
            </w:r>
          </w:p>
          <w:p>
            <w:pPr>
              <w:numPr>
                <w:ilvl w:val="0"/>
                <w:numId w:val="9"/>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4K超高清非线性编辑系统软件,4K超高清非线性编辑系统软件。 专业视频素材库， 4K字幕制作软件模块，HDR高动态范围制作模块， 专业媒体上下载系统</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4K-桌面存储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1.桌面级设备，静音设计,ARM存储专用处理器,2GB DDR3 ECC高速缓存,400W高效能电源,支持热插拔.</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2.独立RAID控制器,支持RAID-0,RAID-1,RAID-10,RAID-5,RAID-6等多种RAID保护方式以及JBOD模式,</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3.本次投标配置物理存储容量≥24TB，其中至少包含12块SATA硬盘</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4.集成存储系统管理软件,安装专用管理配置软件,支持PCIe3.0接口</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4K监视器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1、23.8英寸,527.04×296.46 mm,3840×RGB×2160,1.073G,16:9（4:3可调）,178°∕178°,300cd/㎡,1000:1;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2、12G/6G/3G/HD/SD-SDI X2, 3G/HD/SD-SDI X2,HDMI X1,RS485 X1.RS485 X1,USB X1（后壳）,USBX1（前壳）</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3、网口X1,12G/6G/3G/HD/SD-SDI X2,3G/HD/SD-SDI X2</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RS44、85 X1,3.5mm插口X1，双声道喇叭,AC输入:100V～240V</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4、DC输入/电池：12V～17V,≤55W</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全媒体4K音视频制作/审片系统</w:t>
            </w:r>
          </w:p>
        </w:tc>
        <w:tc>
          <w:tcPr>
            <w:tcW w:w="6596" w:type="dxa"/>
            <w:shd w:val="clear" w:color="auto" w:fill="FFFFFF"/>
            <w:vAlign w:val="center"/>
          </w:tcPr>
          <w:p>
            <w:pPr>
              <w:numPr>
                <w:ilvl w:val="0"/>
                <w:numId w:val="10"/>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主机：国际品牌专业图形工作站CPU：INTEL Xeon 4114 2.2GHz（十核）×2 内存：32GB系统盘：480GB SATA 企业级SSD固态硬盘数据盘：1TB SATA硬盘×1显卡：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bCs/>
                <w:sz w:val="24"/>
                <w:szCs w:val="24"/>
              </w:rPr>
              <w:t>★2、</w:t>
            </w:r>
            <w:r>
              <w:rPr>
                <w:rFonts w:hint="eastAsia" w:ascii="新宋体" w:hAnsi="新宋体" w:eastAsia="新宋体" w:cs="新宋体"/>
                <w:sz w:val="24"/>
                <w:szCs w:val="24"/>
              </w:rPr>
              <w:t>AMD Radeon Pro Duo 16GB 专业图形显卡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3、加密狗：其它：集成双千兆以太网卡、声卡、DVD+/-RW可刻录光驱、标准键盘、鼠标，1125瓦电源，万兆光纤网卡及光纤模块，配件：监听音箱或耳机，显示器：27寸LED广色域液晶显示器×2，支持2560*1440分辨率 ×1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4、Windows 10 Professional  64bit 正版操作系统（预装）</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5、HD 4K高清非编软件，HD字幕编辑软件模块， 4K字幕制作软件模块， HD节目审查软件模块，专业媒体上下载系统， 专业视频素材库，</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★6需提供媒体工具文件快传服务软件著作权证书；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BS视音频编辑许可</w:t>
            </w:r>
          </w:p>
        </w:tc>
        <w:tc>
          <w:tcPr>
            <w:tcW w:w="6596" w:type="dxa"/>
            <w:shd w:val="clear" w:color="auto" w:fill="FFFFFF"/>
            <w:vAlign w:val="center"/>
          </w:tcPr>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BS JOVE视频编辑工具授权License许可(安装在台内办公机端)，≧25个点;</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视频简编工具是采用B/S架构，完全基于HTML5实现的轻量化在线视频编辑工具，只需要浏览器就能工作，不需要安装第三方非主流插件，做到了真正的互联网编辑，能实现视频的快速剪切、加字幕、加特效等多种高效快捷的视频处理系统。</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提供基于融合媒体内容库的B/S网页版编辑软件，用户在办公电脑通过浏览器登录融合媒体内容库，打开视频简编工具便可以直接对素材进行快速剪辑（无需提前做导出导入），包括视频剪辑、拆条、常用特技、字幕添加等功能，编辑完成的内容后台自动打包用作后续使用。</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支持与平台用户的无缝集成，统一用户体系，统一权限管理体系下流媒体编辑工具的使用；</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视频内容嵌入编辑工具，实现一体化操作。通过拖拽内容平台中的数据直接上编辑工具时间线，进行编辑；</w:t>
            </w:r>
          </w:p>
          <w:p>
            <w:pPr>
              <w:numPr>
                <w:ilvl w:val="0"/>
                <w:numId w:val="11"/>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可对手机回传的视频进行掐头去尾、拼接合成；支持编辑完后台合成打包，可以对文件的输出路径和格式进行选择；支持添加淡入淡出、闪入、闪出等简单特技；支持时间线视音频分离,拖上线后在单独轨道上显示视频和音频；支持时间轴及时间线拖拽定位,支持时间轴缩放。</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bCs/>
                <w:sz w:val="24"/>
                <w:szCs w:val="24"/>
              </w:rPr>
              <w:t>★</w:t>
            </w:r>
            <w:r>
              <w:rPr>
                <w:rFonts w:hint="eastAsia" w:ascii="新宋体" w:hAnsi="新宋体" w:eastAsia="新宋体" w:cs="新宋体"/>
                <w:sz w:val="24"/>
                <w:szCs w:val="24"/>
              </w:rPr>
              <w:t>7、需提供融合媒体工具云非编系统软件著作权证书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全媒体高标清配音系统高</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1、高标清配音工作站;CPU：I7-8700 (4.2GHz)m内存：8GB 内存 ，系统硬盘：480GB SATA 企业级SSD固态硬盘，其它：集成声卡、集成千兆网卡、DVD-ROM、标准键盘、鼠标;</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2、显卡：Nvidia 4GB 高性能PCI-E显卡，声卡：高性能专业声卡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3、配件：监听音箱，加密狗：，显示器：27"宽屏液晶显示器 ×1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4、Microsoft Windows 10 Pro 64位,专业配音系统 V10.0，HD节目编辑软件模块，HD专业配音软件模块，HD字幕编辑软件模块</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全媒体InfoShare文稿系统</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InfoShare新闻文稿编辑工具</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1、基于B/S的新闻文稿生产工具，用于支撑新闻节目生产业务。InfoShare以稿件为主线，协调新闻节目制作的采、编、播、收、录、传的整个流程，传递流程中各项信息数据。</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InfoShare可以完成节目制作流程的线索、选题、文稿、串联单等主要的应用实现，并能提供以文稿为主线条的节目约传、收录、上载、编辑、编单和播出的新闻制作流程和非新闻制作流程。可快速的完成新闻五要素与文稿内容和视频文件的混合编辑与绑定。</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全媒体素材库</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专业非编素材模板库资源</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1.视频素材（光效库）：虚拟粒子效果、火焰效果、烟雾效果、水液体效果等，时尚简洁、柔和唯美的动态背景等，提供种类繁多的转场过渡素材（KEY轨），可直接用于素材上便可得到过渡自然，清晰的场景</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2.音频素材：提供丰富的各种音效素材，日常电视、电影声音等</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3.时间线模板：提供内容丰富、时尚大气、场景多样的时间线模板，只需替换素材/文字，便能做出精美的片头片尾。</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4.字幕模板：支持索贝单机非编及网络版非编的各种字幕模板；包含各类风格和应用场景的CG模板，下载导入后可通过直接更改模板内素材/文字即用，省时便捷，高效美观。</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全媒体内容管理平台集群服务器</w:t>
            </w:r>
          </w:p>
        </w:tc>
        <w:tc>
          <w:tcPr>
            <w:tcW w:w="6596" w:type="dxa"/>
            <w:shd w:val="clear" w:color="auto" w:fill="FFFFFF"/>
            <w:vAlign w:val="center"/>
          </w:tcPr>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主机：19" 2U 机架式服务器CPU：INTEL Xeon 3106 1.7GHz（八核）×2 ，内存：64GB内存，系统硬盘：1TBSATA硬盘×2，数据硬盘：480GB 固态硬盘×2，</w:t>
            </w:r>
          </w:p>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RAID：板载RAID控制器，支持RAID0/1，其它：集成千兆以太网接口×4、冗余电源、DVD-ROM，操作系统：CentOS 7.1</w:t>
            </w:r>
          </w:p>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融合媒体内容管理平台 V1.0,平台数据服务软件包。</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提供数据存储和引擎服务，根据业务数据特征设计适当的存储方案并建立数据间的联系，多维度数据属性记录，是实现数据关联分析的基础等。包括：关系型数据库多主集群，非关系型数据库分片集群，高吞吐分布式内存数据库，高吞吐量分布式发布订阅消息服务;</w:t>
            </w:r>
          </w:p>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分布式框架及系统服务软件包。提供平台的分布式支撑，配置以及服务状态统一管理，实现对整个平台的管理。</w:t>
            </w:r>
          </w:p>
          <w:p>
            <w:pPr>
              <w:numPr>
                <w:ilvl w:val="0"/>
                <w:numId w:val="12"/>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包括：负载均衡、分布式框架、分布式订阅消息服务、系统配置和管理、业务系统配置和管理组成，用户管理、系统接入管理。</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媒资系统核心软件包，实现对各种媒资数据的组织管理。包括：检索服务、编目服务，数据结构，空间管理等;</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6、业务引擎服务软件包。用于资源管理和业务接口，包括业务数据的逻辑封装和整个平台通用数据的访问引擎。</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7、分布式计算服务软件包。提供各种计算任务的服务，完全对称的分布式计算架构。包括：分布式检索引擎、数据分析组件、分布式工作流引擎、业务组件执行器、媒体分析引擎</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8、数据接口服务软件包。提供各种数据、业务访问的API接口，包含业务API、业务数据访问API以及通用数据访问API。</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9、分布式监控服务软件包，提供平台程序、业务、硬件资源运行维护监控。包括：分布式日志捕获引擎、分布式高吞吐日志存储引擎、分布式插件式平台监控服务、监控和配置应用；</w:t>
            </w:r>
          </w:p>
          <w:p>
            <w:pPr>
              <w:tabs>
                <w:tab w:val="left" w:pos="1587"/>
              </w:tabs>
              <w:jc w:val="left"/>
              <w:rPr>
                <w:rFonts w:hint="eastAsia" w:ascii="新宋体" w:hAnsi="新宋体" w:eastAsia="新宋体" w:cs="新宋体"/>
                <w:sz w:val="24"/>
                <w:szCs w:val="24"/>
                <w:lang w:eastAsia="zh-CN"/>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10、投标人需提供一种数据的安全存储技术，以保证融媒体系统数据存储的安全性，提供自主知识产权</w:t>
            </w:r>
            <w:r>
              <w:rPr>
                <w:rFonts w:hint="eastAsia" w:ascii="新宋体" w:hAnsi="新宋体" w:eastAsia="新宋体" w:cs="新宋体"/>
                <w:sz w:val="24"/>
                <w:szCs w:val="24"/>
                <w:lang w:eastAsia="zh-CN"/>
              </w:rPr>
              <w:t>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全媒体内容管理平台存储系统</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 基于64位Linux系统开发，NAS／IP-SAN统一存储，4千兆接口。高性能单机存储磁盘插槽数不低于36个，本次项目配置36块6TB硬盘。最大可以扩展至120个，支持SAS/SATA/SSD硬盘多种方式混插。</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 媒体专用存储，可以用于制作、媒资、采集、播出、新媒体等等媒体应用环境，读写机制可以针对大文件、小文件不同应用环境的优化操作。（优化操作需提供软件功能截图）</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 提供xfs、ext2、ext3文件系统，支持文件系统扩容；提供复制、移动、快传、删除等文件（夹）（可批量操作），可实时了解任务状态；</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5. 可设置用户（组）对共享的访问权限，包括“只读”和“读写”，提供加入Windows AD域，域中用户（组）可直接访问有权限的共享，可批量导入导出用户数据；</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6. 提供素材检索功能，通过WEB和客户端迅速实时的在大量数据中检索出需要的素材。提供详尽的软硬件状态信息，包括CPU、内存、风扇、卷空间、共享服务、IOPS等；</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7.支持高级报表功能，提供数据量和文件数量增长、当天IO曲线分布、用户（组）指定时间段内登陆时长（可导出）等；</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★8.为提高用户数据使用安全性，需提供国家公安局产品检测报告；</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★9.生产厂商需提供高新技术企业、软件企业以及ISO9001质量体系认证证书、ISO14001环境管理体系认证证书。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媒体处理服务器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1、主机：19" 1U 机架式服务器,CPU：INTEL Xeon 3106 1.7GHz（八核）×2 ,内存：16GB 内存,系统硬盘：1TB SATA硬盘×2,控制器：板载RAID0/1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其它：集成千兆以太网接口×4、冗余电源、DVD-ROM</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2、Windows Server 2012 R2  64位 标准版（预装）</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3、媒体处理中心软件,媒体资产管理系统-MPC转码软件</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19</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网络资源服务器</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1、2颗 Intel E5-2620v4 8核心 2.1GHz CPU/32GB内存(2*16GB,DDR4)/1块500GB 2.5”7200rpm SATA企业级系统硬盘/1块2TB 3.5” 7200rpm SATA企业级数据硬盘/2个千兆以太网口（RJ-45）;</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2、媒体处理中心软件 ,媒体资产管理系统-MPC转码软件</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20</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全媒体资源管理上载挑选工作站</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1、主机：专业图形工作站；CPU： 英特尔 四核至强 W2123 ×1，内存：8 GB 内存 系统硬盘：1TB SATA硬盘 ×1，其它：集成声卡、集成千兆网卡、DVD-ROM、标准键盘、鼠标，显卡：Nvidia 2GB 高性能PCI-E显卡</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★2、</w:t>
            </w:r>
            <w:r>
              <w:rPr>
                <w:rFonts w:hint="eastAsia" w:ascii="新宋体" w:hAnsi="新宋体" w:eastAsia="新宋体" w:cs="新宋体"/>
                <w:sz w:val="24"/>
                <w:szCs w:val="24"/>
              </w:rPr>
              <w:t>I/O卡：MG4600E 或Redbridgr6或MatorHD 广播级数字/模拟及线缆</w:t>
            </w:r>
            <w:r>
              <w:rPr>
                <w:rFonts w:hint="eastAsia" w:ascii="新宋体" w:hAnsi="新宋体" w:eastAsia="新宋体" w:cs="新宋体"/>
                <w:sz w:val="24"/>
                <w:szCs w:val="24"/>
                <w:lang w:val="en-US" w:eastAsia="zh-CN"/>
              </w:rPr>
              <w:t>(提供板卡报告复印件)</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3、配件：监听音箱，显示器：24"宽屏液晶显示器 ×1，</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4、Microsoft Windows 10 Pro 64位</w:t>
            </w:r>
          </w:p>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5、媒体资产管理系统上载挑选软件，信号上下载软件模块，文件介质上下载软件模块</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blHeader/>
        </w:trPr>
        <w:tc>
          <w:tcPr>
            <w:tcW w:w="583"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全媒体资源编目及审核工具</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基于B/S的媒资编目工具，全WEB化媒资编目及元数据著录功能，可实现媒资编目任务的分配、认领和审核，提供完整的广电四层编目功能，编目字段和描述可根据用户需求进行定制，编目流程和审核流程可定制，用户可在网络内任意一台PC进行编目和审核工作</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全媒体资源管理客户端工具</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基于B/S的媒资网络管理工具，可在网络内任意一台PC上实施系统管理。可实现MAH媒资系统的系统设定、人员权限分配、存储空间分配、媒资基础编目数据配置、媒资工作流程配置、媒资工作数据统计和分析等功能</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23</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安全网关</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1、1U机架式设备，冗余电源； 6个千兆网口，4G缓存，110MB传输带宽；</w:t>
            </w:r>
          </w:p>
          <w:p>
            <w:pPr>
              <w:numPr>
                <w:ilvl w:val="0"/>
                <w:numId w:val="13"/>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提供6个系统之间的文件安全传输；支持建立60个资源，30个传输通道；支持4任务并发传输支持通道和任务双重优先级传输管理，并可实时调整任务优先级；每个通道可单独配置为手动或自动模式，并支持定时任务传输；</w:t>
            </w:r>
          </w:p>
          <w:p>
            <w:pPr>
              <w:numPr>
                <w:ilvl w:val="0"/>
                <w:numId w:val="13"/>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文件深度检测支持对文件格式和编码格式等进行深层次的检测；任务支持断点续传；支持文件MD5完整性检测；内嵌病毒检测模块；任务信息支持语音及时播报（需与单独的语音接收模块配合使用）。</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24</w:t>
            </w:r>
          </w:p>
        </w:tc>
        <w:tc>
          <w:tcPr>
            <w:tcW w:w="1071"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便携式安全盘</w:t>
            </w:r>
          </w:p>
        </w:tc>
        <w:tc>
          <w:tcPr>
            <w:tcW w:w="6596" w:type="dxa"/>
            <w:shd w:val="clear" w:color="auto" w:fill="FFFFFF"/>
            <w:vAlign w:val="center"/>
          </w:tcPr>
          <w:p>
            <w:pPr>
              <w:numPr>
                <w:ilvl w:val="0"/>
                <w:numId w:val="14"/>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安全盘：抗震移动硬盘（2TB 2.5" 5400RPM SATA，USB3.0接口）</w:t>
            </w:r>
          </w:p>
          <w:p>
            <w:pPr>
              <w:numPr>
                <w:ilvl w:val="0"/>
                <w:numId w:val="14"/>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三层防震结构,专用文件系统，有效阻隔病毒入侵,专用硬件驱动，系统驱动层技术,有效管理USB设备使用</w:t>
            </w:r>
          </w:p>
          <w:p>
            <w:pPr>
              <w:numPr>
                <w:ilvl w:val="0"/>
                <w:numId w:val="14"/>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基于白名单的文件过滤的读写机制，有效管理文件使用,实时监控I/O访问.</w:t>
            </w:r>
          </w:p>
          <w:p>
            <w:pPr>
              <w:numPr>
                <w:ilvl w:val="0"/>
                <w:numId w:val="14"/>
              </w:num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控制进程及目标文件格式的访问，读写更安全,支持网络非编在线浏览编辑</w:t>
            </w:r>
          </w:p>
          <w:p>
            <w:pPr>
              <w:numPr>
                <w:ilvl w:val="0"/>
                <w:numId w:val="14"/>
              </w:numPr>
              <w:tabs>
                <w:tab w:val="left" w:pos="1587"/>
              </w:tabs>
              <w:ind w:left="0"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支持MSV555视频服务器,专用管理工具，支持查看、删除、导入导出素材,支持P2/蓝光介质与安全盘相互倒换</w:t>
            </w:r>
          </w:p>
          <w:p>
            <w:pPr>
              <w:widowControl/>
              <w:shd w:val="clear" w:color="auto" w:fill="FFFFFF"/>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lang w:val="zh-CN"/>
              </w:rPr>
              <w:t>自主知识产权文件系统，有效阻隔病毒入侵（提供具有自主知识产权证书）</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25</w:t>
            </w:r>
          </w:p>
        </w:tc>
        <w:tc>
          <w:tcPr>
            <w:tcW w:w="1071"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操作台</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异性定制，钢木造型框架精工板细木工基础+工艺烤漆</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26</w:t>
            </w:r>
          </w:p>
        </w:tc>
        <w:tc>
          <w:tcPr>
            <w:tcW w:w="1071"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工位椅子</w:t>
            </w:r>
          </w:p>
        </w:tc>
        <w:tc>
          <w:tcPr>
            <w:tcW w:w="6596"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成品定制+钢木骨架、人体工学椅</w:t>
            </w:r>
          </w:p>
        </w:tc>
        <w:tc>
          <w:tcPr>
            <w:tcW w:w="365"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把</w:t>
            </w:r>
          </w:p>
        </w:tc>
        <w:tc>
          <w:tcPr>
            <w:tcW w:w="577"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22</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blHeader/>
        </w:trPr>
        <w:tc>
          <w:tcPr>
            <w:tcW w:w="583" w:type="dxa"/>
            <w:shd w:val="clear" w:color="auto" w:fill="auto"/>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27</w:t>
            </w:r>
          </w:p>
        </w:tc>
        <w:tc>
          <w:tcPr>
            <w:tcW w:w="1071" w:type="dxa"/>
            <w:shd w:val="clear" w:color="auto" w:fill="FFFFFF"/>
            <w:vAlign w:val="center"/>
          </w:tcPr>
          <w:p>
            <w:pPr>
              <w:tabs>
                <w:tab w:val="left" w:pos="1587"/>
              </w:tabs>
              <w:jc w:val="left"/>
              <w:rPr>
                <w:rFonts w:hint="eastAsia" w:ascii="新宋体" w:hAnsi="新宋体" w:eastAsia="新宋体" w:cs="新宋体"/>
                <w:color w:val="FF0000"/>
                <w:sz w:val="24"/>
                <w:szCs w:val="24"/>
              </w:rPr>
            </w:pPr>
            <w:r>
              <w:rPr>
                <w:rFonts w:hint="eastAsia" w:ascii="新宋体" w:hAnsi="新宋体" w:eastAsia="新宋体" w:cs="新宋体"/>
                <w:sz w:val="24"/>
                <w:szCs w:val="24"/>
              </w:rPr>
              <w:t>配套辅材</w:t>
            </w:r>
          </w:p>
        </w:tc>
        <w:tc>
          <w:tcPr>
            <w:tcW w:w="6596" w:type="dxa"/>
            <w:shd w:val="clear" w:color="auto" w:fill="FFFFFF"/>
            <w:vAlign w:val="center"/>
          </w:tcPr>
          <w:p>
            <w:pPr>
              <w:tabs>
                <w:tab w:val="left" w:pos="1587"/>
              </w:tabs>
              <w:jc w:val="left"/>
              <w:rPr>
                <w:rFonts w:hint="eastAsia" w:ascii="新宋体" w:hAnsi="新宋体" w:eastAsia="新宋体" w:cs="新宋体"/>
                <w:color w:val="FF0000"/>
                <w:sz w:val="24"/>
                <w:szCs w:val="24"/>
              </w:rPr>
            </w:pPr>
            <w:r>
              <w:rPr>
                <w:rFonts w:hint="eastAsia" w:ascii="新宋体" w:hAnsi="新宋体" w:eastAsia="新宋体" w:cs="新宋体"/>
                <w:sz w:val="24"/>
                <w:szCs w:val="24"/>
              </w:rPr>
              <w:t>电缆、视频线材及固件，控制设备至拼接单元定制级工程信号线，R232USB控制串口，以及安装所需各类五金配件固件。</w:t>
            </w:r>
          </w:p>
        </w:tc>
        <w:tc>
          <w:tcPr>
            <w:tcW w:w="365" w:type="dxa"/>
            <w:shd w:val="clear" w:color="auto" w:fill="FFFFFF"/>
            <w:vAlign w:val="center"/>
          </w:tcPr>
          <w:p>
            <w:pPr>
              <w:tabs>
                <w:tab w:val="left" w:pos="1587"/>
              </w:tabs>
              <w:jc w:val="left"/>
              <w:rPr>
                <w:rFonts w:hint="eastAsia" w:ascii="新宋体" w:hAnsi="新宋体" w:eastAsia="新宋体" w:cs="新宋体"/>
                <w:color w:val="FF0000"/>
                <w:sz w:val="24"/>
                <w:szCs w:val="24"/>
              </w:rPr>
            </w:pPr>
            <w:r>
              <w:rPr>
                <w:rFonts w:hint="eastAsia" w:ascii="新宋体" w:hAnsi="新宋体" w:eastAsia="新宋体" w:cs="新宋体"/>
                <w:sz w:val="24"/>
                <w:szCs w:val="24"/>
              </w:rPr>
              <w:t>批</w:t>
            </w:r>
          </w:p>
        </w:tc>
        <w:tc>
          <w:tcPr>
            <w:tcW w:w="577" w:type="dxa"/>
            <w:shd w:val="clear" w:color="auto" w:fill="FFFFFF"/>
            <w:vAlign w:val="center"/>
          </w:tcPr>
          <w:p>
            <w:pPr>
              <w:tabs>
                <w:tab w:val="left" w:pos="1587"/>
              </w:tabs>
              <w:jc w:val="left"/>
              <w:rPr>
                <w:rFonts w:hint="eastAsia" w:ascii="新宋体" w:hAnsi="新宋体" w:eastAsia="新宋体" w:cs="新宋体"/>
                <w:color w:val="FF0000"/>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blHeader/>
        </w:trPr>
        <w:tc>
          <w:tcPr>
            <w:tcW w:w="583" w:type="dxa"/>
            <w:shd w:val="clear" w:color="auto" w:fill="FFFFFF"/>
            <w:vAlign w:val="center"/>
          </w:tcPr>
          <w:p>
            <w:pPr>
              <w:tabs>
                <w:tab w:val="left" w:pos="1587"/>
              </w:tabs>
              <w:jc w:val="left"/>
              <w:rPr>
                <w:rFonts w:hint="eastAsia" w:ascii="新宋体" w:hAnsi="新宋体" w:eastAsia="新宋体" w:cs="新宋体"/>
                <w:sz w:val="24"/>
                <w:szCs w:val="24"/>
              </w:rPr>
            </w:pPr>
            <w:r>
              <w:rPr>
                <w:rFonts w:hint="eastAsia" w:ascii="新宋体" w:hAnsi="新宋体" w:eastAsia="新宋体" w:cs="新宋体"/>
                <w:sz w:val="24"/>
                <w:szCs w:val="24"/>
              </w:rPr>
              <w:t>28</w:t>
            </w:r>
          </w:p>
        </w:tc>
        <w:tc>
          <w:tcPr>
            <w:tcW w:w="1071"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系统集成,技术服务</w:t>
            </w:r>
          </w:p>
        </w:tc>
        <w:tc>
          <w:tcPr>
            <w:tcW w:w="6596"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系技术服务5年，系统集成，安装调试，每年4次以上巡检，无限次现场保障；</w:t>
            </w:r>
          </w:p>
        </w:tc>
        <w:tc>
          <w:tcPr>
            <w:tcW w:w="365"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项</w:t>
            </w:r>
          </w:p>
        </w:tc>
        <w:tc>
          <w:tcPr>
            <w:tcW w:w="577" w:type="dxa"/>
            <w:shd w:val="clear" w:color="auto" w:fill="FFFFFF"/>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635" w:type="dxa"/>
            <w:shd w:val="clear" w:color="auto" w:fill="FFFFFF"/>
            <w:vAlign w:val="center"/>
          </w:tcPr>
          <w:p>
            <w:pPr>
              <w:tabs>
                <w:tab w:val="left" w:pos="1587"/>
              </w:tabs>
              <w:jc w:val="left"/>
              <w:rPr>
                <w:rFonts w:hint="eastAsia" w:ascii="新宋体" w:hAnsi="新宋体" w:eastAsia="新宋体" w:cs="新宋体"/>
                <w:sz w:val="24"/>
                <w:szCs w:val="24"/>
              </w:rPr>
            </w:pPr>
          </w:p>
        </w:tc>
      </w:tr>
    </w:tbl>
    <w:p>
      <w:pPr>
        <w:spacing w:line="360" w:lineRule="auto"/>
        <w:rPr>
          <w:rFonts w:hint="eastAsia" w:ascii="新宋体" w:hAnsi="新宋体" w:eastAsia="新宋体" w:cs="新宋体"/>
          <w:color w:val="000000" w:themeColor="text1"/>
          <w:sz w:val="24"/>
          <w:szCs w:val="24"/>
        </w:rPr>
      </w:pP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(三)、</w:t>
      </w:r>
      <w:r>
        <w:rPr>
          <w:rFonts w:hint="eastAsia" w:ascii="新宋体" w:hAnsi="新宋体" w:eastAsia="新宋体" w:cs="新宋体"/>
          <w:sz w:val="24"/>
          <w:szCs w:val="24"/>
        </w:rPr>
        <w:t>采购标的执行标准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符合国家和广电行业高清晰度演播室相关标准，具备1080/50i标准的</w:t>
      </w:r>
      <w:r>
        <w:rPr>
          <w:rFonts w:hint="eastAsia" w:ascii="新宋体" w:hAnsi="新宋体" w:eastAsia="新宋体" w:cs="新宋体"/>
          <w:sz w:val="24"/>
          <w:szCs w:val="24"/>
          <w:lang w:eastAsia="zh-CN"/>
        </w:rPr>
        <w:t>制</w:t>
      </w:r>
      <w:r>
        <w:rPr>
          <w:rFonts w:hint="eastAsia" w:ascii="新宋体" w:hAnsi="新宋体" w:eastAsia="新宋体" w:cs="新宋体"/>
          <w:sz w:val="24"/>
          <w:szCs w:val="24"/>
        </w:rPr>
        <w:t>播制作能力。</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1.1 设计标准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国家标准见下表：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序号 标 准 号 标   准   名   称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GB/T 7400.11-1999 数字电视术语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 GB/T 17953-2000 4:2:2数字分量图像信号的接口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 GB/T 18472-2001 数字编码彩色电视用测试信号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6 GB/T 20562-2006 演播室串行数字信号抖动技术参数与测量方法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行业标准见下表：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视音频编码及复用标准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GB/T17975.2 信息技术——运动图象及其伴音信号的通用编码</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TU-R BT.601数字电视编码标准。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SMPTE 10 比特4:2:2 分量使用的串行数字接口SDI，及工作在4:2:2 601推荐级别下的625 行电视数字分量，即SMPTE 125M 规定的数据电气接口标准。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ITU-R BT.656-4（eqv. GB/T 17953-2000）工作在4:2:2 601推荐级别下的625 行电视数字分量，即SMPTE 125M 及EBU Tech 3267 规定的数据电气接口标准。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ITU-R BT.711 供分量数字演播室使用的同步基准信号。</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SMPTE RP 168 为实现同步视频切换，关于场消隐切换点的规定。</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AES3供数字伴音工程线性表示的数字伴音数据的串行传输格式。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AES11供数字伴音工程在演播中使用的数字伴音设备的同步格式。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压缩视频信号的4:2:2 级规范。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ITU-R BT.624 对模拟符合输出监视的规定，及SMPTE170M 规定的数据电气接口标准。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MPEG-2 视频标准在数字（高清晰度）电视广播中的实施准则（征求意见稿）</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MPEG-2 系统标准在数字（高清晰度）电视广播中的实施准则（征求意见稿）</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数字电视基础标准类</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GB/T7400.11 数字电视术语</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GY/T134 数字电视图象质量主观评价方法</w:t>
      </w:r>
      <w:r>
        <w:rPr>
          <w:rFonts w:hint="eastAsia" w:ascii="新宋体" w:hAnsi="新宋体" w:eastAsia="新宋体" w:cs="新宋体"/>
          <w:sz w:val="24"/>
          <w:szCs w:val="24"/>
        </w:rPr>
        <w:tab/>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GY/T144 广播电视SDH干线网管理接口协议</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GY/T145 广播电视SDH干线网网元管理信息模型规范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GY/Z174 数字电视广播业务信息（SI）规范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GY/Z175 数字电视广播条件接收系统（CA）规范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信道编码及调制标准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GB/T17700-1999 数字电视广播信道编码及调制标准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GY/T170-2001 有线数字电视广播系统信道编码及调制规范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GY/T143 有线电视系统调幅激光器发送机和接收机入网技术条件和测量方法</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GY/T146 数字电视上行站通用规范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GY/T147 数字电视接收站通用技术要求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GY/T148 数字电视接收机技术要求</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GY/T149 数字电视接收站测量方法——系统测量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GY/T150数字电视接收站测量方法——室内单元测量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GY/T151数字电视接收站测量方法——室外单元测量</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GY/T198—2003【有线数字电视广播QAM调制器技术要求和测量方法】</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计算机网络综合布线类</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【ISO/IEC 11801】商业建筑物综合布线系统国际标准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【EIA/TIA 568A】商业建筑物综合布线系统美国标准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【EIA/TIA 569】通信布线管线和空间设计施工标准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【建筑与建筑群综合布线工程设计规范】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【建筑与建筑群综合布线工程施工及验收规范】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MPEG-2标准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GB/T 17975.1-2000 信息技术运动图像及其伴音信息的通用编码第一部分：系统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 17975.2-2000 信息技术运动图像及其伴音信息的通用编码第二部分：视频</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GB/T 17975.3-2002 信息技术运动图像及其伴音信息的通用编码第三部分：音频</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其他相关国际标准见下表：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序号 标 准 号 标    准    名    称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BS743 接地规范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 EN50173 关于ClassE 六类布线的最新要求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 ISO/IEC17799 信息安全管理操作规则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 设计规范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国家规范见下表：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序号 标 准 号 标   准   名   称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GB/T 14857-1993 演播室数字电视编码参数规范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行业规范见下表：</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序号 标 准 号 标    准    名    称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GY/T 161-2000 数字电视附属数据空间内数字音频和辅助数据的传输规范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 GY/Z 174-2001 数字电视广播业务信息规范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 GY/T 223—2007 标准清晰度数字电视节目录像磁带录制规范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 工艺标准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本项目集成、安装要符合以下相关的国际、国家、行业所要求的工艺标准：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1、防火标准：GY5067-2003《广播电视建筑设计防火规范》</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2、噪声控制：GYJ 42-89《广播电视技术用房容许噪声标准》</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3、电缆桥架的安装：中国建筑标准设计研究院所发行的JSJT-121（分类号为86Sd169）</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4、全国通用建筑标准设计-电气装置标准图集《电缆桥架安装》</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5、04D701-3《电缆桥架安装》</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6、CECS31:91《钢制电缆桥架工程设计规范》91年</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7、电子设备控制台的布局、型式和基本尺寸（GB 7269-87）</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8、高度进制为44.45mm的窄柜基本尺寸系列（GB/T 3047.8-1996）</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9、高度进制为44.45mm的面板、机架和机柜的基本尺寸系列（GB/T 3047.2-92）</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10、电子设备台式机箱基本尺寸系列（GB 3047.6-86）</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11、《电气装置安装工程接地装置施工及验收规范》GB50169</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12、国家有关电器设备安装的其他有关标准</w:t>
      </w:r>
    </w:p>
    <w:p>
      <w:pPr>
        <w:pStyle w:val="2"/>
        <w:keepNext/>
        <w:keepLines/>
        <w:widowControl w:val="0"/>
        <w:numPr>
          <w:ilvl w:val="0"/>
          <w:numId w:val="0"/>
        </w:numPr>
        <w:spacing w:line="360" w:lineRule="auto"/>
        <w:jc w:val="both"/>
        <w:rPr>
          <w:rFonts w:hint="eastAsia" w:ascii="新宋体" w:hAnsi="新宋体" w:eastAsia="新宋体" w:cs="新宋体"/>
          <w:sz w:val="24"/>
          <w:szCs w:val="24"/>
          <w:lang w:eastAsia="zh-CN"/>
        </w:rPr>
      </w:pP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(四)、</w:t>
      </w:r>
      <w:r>
        <w:rPr>
          <w:rFonts w:hint="eastAsia" w:ascii="新宋体" w:hAnsi="新宋体" w:eastAsia="新宋体" w:cs="新宋体"/>
          <w:sz w:val="24"/>
          <w:szCs w:val="24"/>
        </w:rPr>
        <w:t>服务标准、期限、效率等要求</w:t>
      </w:r>
    </w:p>
    <w:p>
      <w:pPr>
        <w:pStyle w:val="2"/>
        <w:keepNext/>
        <w:keepLines/>
        <w:widowControl w:val="0"/>
        <w:numPr>
          <w:ilvl w:val="0"/>
          <w:numId w:val="0"/>
        </w:numPr>
        <w:spacing w:line="360" w:lineRule="auto"/>
        <w:ind w:firstLine="480" w:firstLineChars="200"/>
        <w:jc w:val="both"/>
        <w:rPr>
          <w:rFonts w:hint="eastAsia" w:ascii="新宋体" w:hAnsi="新宋体" w:eastAsia="新宋体" w:cs="新宋体"/>
          <w:sz w:val="24"/>
          <w:szCs w:val="24"/>
        </w:rPr>
      </w:pPr>
      <w:r>
        <w:rPr>
          <w:rFonts w:hint="eastAsia" w:ascii="新宋体" w:hAnsi="新宋体" w:eastAsia="新宋体" w:cs="新宋体"/>
          <w:sz w:val="24"/>
          <w:szCs w:val="24"/>
        </w:rPr>
        <w:t>服务要求：随机提供的技术文件,设备及配件的合格证明书；设备与主要配套件的使用与维护保养说明书；使用检修和维护所需要的其它必备技术文件。提供设备运行1 年所必备的易损零配件；</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1、质保期要求：本项目的质量保证期不低于12个月（自系统验收合格之日起算）。软件如有升级和更新，应提供免费服务。</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2、服务要求：投标人提供的软件、设备，应确保使用期间采购人不受第三方提出侵犯其版权、专利权、商标权和工业设计权等的起诉，否则投标人将承担采购人由此受到的一切损失。</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3、质保期内，所有货物保修服务方式均为投标人上门服务，由此产生的一切费用均由投标人承担。在质保期结束后，投标人应提供终身维修服务，发生的相关费用由采购人承担。</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4、投标人必须向采购人提供良好的技术支持。必须对用户所反映的任何问题在60分钟之内及时响应，设备发生意外通过电话联系无法解决，6小时内派技术专家赴现场处理，设备出故障不能解决时要在48小时之内提供备机备件。</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 xml:space="preserve">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 </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lang w:eastAsia="zh-CN"/>
        </w:rPr>
        <w:t>(五)、</w:t>
      </w:r>
      <w:r>
        <w:rPr>
          <w:rFonts w:hint="eastAsia" w:ascii="新宋体" w:hAnsi="新宋体" w:eastAsia="新宋体" w:cs="新宋体"/>
          <w:sz w:val="24"/>
          <w:szCs w:val="24"/>
        </w:rPr>
        <w:t>验收标准</w:t>
      </w:r>
    </w:p>
    <w:p>
      <w:pPr>
        <w:pStyle w:val="2"/>
        <w:keepNext/>
        <w:keepLines/>
        <w:widowControl w:val="0"/>
        <w:numPr>
          <w:ilvl w:val="0"/>
          <w:numId w:val="0"/>
        </w:numPr>
        <w:spacing w:line="360" w:lineRule="auto"/>
        <w:ind w:firstLine="480" w:firstLineChars="200"/>
        <w:jc w:val="both"/>
        <w:rPr>
          <w:rFonts w:hint="eastAsia" w:ascii="新宋体" w:hAnsi="新宋体" w:eastAsia="新宋体" w:cs="新宋体"/>
          <w:sz w:val="24"/>
          <w:szCs w:val="24"/>
        </w:rPr>
      </w:pP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 验收标准：按本招标文件中的各项技术指标、规格、性能及生产厂家提供的正式技术文件进行验收；</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2、供应商必须现场指导安装、调试，并负责操作人员的技术培训。所需费用由供应商自行承担；</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3、按照国家相关标准、行业标准、规范验收；</w:t>
      </w:r>
    </w:p>
    <w:p>
      <w:pPr>
        <w:pStyle w:val="2"/>
        <w:keepNext/>
        <w:keepLines/>
        <w:widowControl w:val="0"/>
        <w:numPr>
          <w:ilvl w:val="0"/>
          <w:numId w:val="0"/>
        </w:numPr>
        <w:spacing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4、按照双方签订的合同验收。</w:t>
      </w:r>
    </w:p>
    <w:p>
      <w:pPr>
        <w:widowControl/>
        <w:shd w:val="clear" w:color="auto" w:fill="FFFFFF"/>
        <w:spacing w:line="360" w:lineRule="auto"/>
        <w:jc w:val="left"/>
        <w:rPr>
          <w:rFonts w:hint="eastAsia" w:ascii="宋体" w:hAnsi="宋体" w:cs="宋体"/>
          <w:b/>
          <w:bCs/>
          <w:kern w:val="0"/>
          <w:sz w:val="24"/>
          <w:szCs w:val="24"/>
          <w:lang w:val="zh-CN"/>
        </w:rPr>
      </w:pPr>
      <w:r>
        <w:rPr>
          <w:rFonts w:hint="eastAsia" w:ascii="宋体" w:hAnsi="宋体" w:cs="宋体"/>
          <w:b/>
          <w:bCs/>
          <w:kern w:val="0"/>
          <w:sz w:val="24"/>
          <w:szCs w:val="24"/>
          <w:lang w:val="zh-CN"/>
        </w:rPr>
        <w:t>（六）、其他要求</w:t>
      </w:r>
    </w:p>
    <w:p>
      <w:pPr>
        <w:tabs>
          <w:tab w:val="left" w:pos="5963"/>
        </w:tabs>
        <w:spacing w:line="420" w:lineRule="exact"/>
        <w:rPr>
          <w:rFonts w:hint="eastAsia"/>
          <w:lang w:val="zh-CN"/>
        </w:rPr>
      </w:pPr>
      <w:r>
        <w:rPr>
          <w:rFonts w:hint="eastAsia" w:ascii="宋体" w:hAnsi="宋体" w:eastAsia="宋体" w:cs="宋体"/>
          <w:kern w:val="0"/>
          <w:sz w:val="24"/>
          <w:szCs w:val="24"/>
          <w:lang w:val="en-US" w:eastAsia="zh-CN" w:bidi="ar"/>
        </w:rPr>
        <w:t>1、投标人须明确投标产品的品牌、型号、厂家及产地等详细参数，否则为无效投标。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rPr>
          <w:rFonts w:hint="eastAsia" w:ascii="宋体" w:hAnsi="宋体" w:cs="宋体"/>
          <w:kern w:val="0"/>
          <w:sz w:val="24"/>
          <w:szCs w:val="24"/>
          <w:lang w:val="zh-CN"/>
        </w:rPr>
      </w:pPr>
      <w:r>
        <w:rPr>
          <w:rFonts w:hint="eastAsia" w:ascii="宋体" w:hAnsi="宋体" w:cs="宋体"/>
          <w:sz w:val="24"/>
          <w:szCs w:val="24"/>
          <w:lang w:val="en-US" w:eastAsia="zh-CN"/>
        </w:rPr>
        <w:t>5</w:t>
      </w:r>
      <w:r>
        <w:rPr>
          <w:rFonts w:hint="eastAsia" w:ascii="宋体" w:hAnsi="宋体" w:cs="宋体"/>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jc w:val="left"/>
        <w:rPr>
          <w:rFonts w:hint="eastAsia" w:ascii="宋体" w:hAnsi="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cs="宋体"/>
          <w:kern w:val="0"/>
          <w:sz w:val="24"/>
          <w:szCs w:val="24"/>
          <w:lang w:val="zh-CN"/>
        </w:rPr>
        <w:t>、产品必须符合国家质量检测标准和本招标文件规定标准的全新正品现货，供货时提供随货物《产品合格证》及其它相关质量证明文件。</w:t>
      </w:r>
    </w:p>
    <w:p>
      <w:pPr>
        <w:pStyle w:val="27"/>
        <w:numPr>
          <w:ilvl w:val="0"/>
          <w:numId w:val="0"/>
        </w:numPr>
        <w:rPr>
          <w:rFonts w:hint="eastAsia"/>
        </w:rPr>
      </w:pPr>
      <w:r>
        <w:rPr>
          <w:rFonts w:hint="eastAsia" w:ascii="宋体" w:hAnsi="宋体" w:cs="宋体"/>
          <w:kern w:val="0"/>
          <w:sz w:val="24"/>
          <w:szCs w:val="24"/>
          <w:lang w:val="en-US" w:eastAsia="zh-CN"/>
        </w:rPr>
        <w:t>7</w:t>
      </w:r>
      <w:r>
        <w:rPr>
          <w:rFonts w:hint="eastAsia" w:ascii="宋体" w:hAnsi="宋体" w:cs="宋体"/>
          <w:kern w:val="0"/>
          <w:sz w:val="24"/>
          <w:szCs w:val="24"/>
        </w:rPr>
        <w:t>、中标方需提供产品使用说明书及光盘</w:t>
      </w:r>
      <w:r>
        <w:rPr>
          <w:rFonts w:hint="eastAsia" w:ascii="宋体" w:hAnsi="宋体" w:cs="宋体"/>
          <w:kern w:val="0"/>
          <w:sz w:val="24"/>
          <w:szCs w:val="24"/>
          <w:lang w:eastAsia="zh-CN"/>
        </w:rPr>
        <w:t>，</w:t>
      </w:r>
      <w:r>
        <w:rPr>
          <w:rFonts w:hint="eastAsia" w:ascii="宋体" w:hAnsi="宋体" w:cs="宋体"/>
          <w:kern w:val="0"/>
          <w:sz w:val="24"/>
          <w:szCs w:val="24"/>
        </w:rPr>
        <w:t>并有义务进行有关使用培训。</w:t>
      </w:r>
    </w:p>
    <w:p>
      <w:pPr>
        <w:widowControl/>
        <w:shd w:val="clear" w:color="auto" w:fill="FFFFFF"/>
        <w:spacing w:line="360" w:lineRule="auto"/>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8</w:t>
      </w:r>
      <w:r>
        <w:rPr>
          <w:rFonts w:hint="eastAsia" w:ascii="新宋体" w:hAnsi="新宋体" w:eastAsia="新宋体" w:cs="新宋体"/>
          <w:kern w:val="0"/>
          <w:sz w:val="24"/>
          <w:szCs w:val="24"/>
        </w:rPr>
        <w:t>、付款方式：设备系统集成完成验收合格后付合同总额的95%，验收合</w:t>
      </w:r>
      <w:r>
        <w:rPr>
          <w:rFonts w:hint="eastAsia" w:ascii="新宋体" w:hAnsi="新宋体" w:eastAsia="新宋体" w:cs="新宋体"/>
          <w:kern w:val="0"/>
          <w:sz w:val="24"/>
          <w:szCs w:val="24"/>
          <w:lang w:eastAsia="zh-CN"/>
        </w:rPr>
        <w:t>格</w:t>
      </w:r>
      <w:r>
        <w:rPr>
          <w:rFonts w:hint="eastAsia" w:ascii="新宋体" w:hAnsi="新宋体" w:eastAsia="新宋体" w:cs="新宋体"/>
          <w:kern w:val="0"/>
          <w:sz w:val="24"/>
          <w:szCs w:val="24"/>
        </w:rPr>
        <w:t>整体系统安全运行一年后余款无息一次性付清。</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lang w:val="zh-CN"/>
        </w:rPr>
      </w:pPr>
    </w:p>
    <w:p>
      <w:pPr>
        <w:autoSpaceDE w:val="0"/>
        <w:autoSpaceDN w:val="0"/>
        <w:adjustRightInd w:val="0"/>
        <w:spacing w:line="360" w:lineRule="auto"/>
        <w:jc w:val="center"/>
        <w:rPr>
          <w:rFonts w:hint="eastAsia" w:ascii="新宋体" w:hAnsi="新宋体" w:eastAsia="新宋体" w:cs="新宋体"/>
          <w:b/>
          <w:kern w:val="0"/>
          <w:sz w:val="24"/>
          <w:szCs w:val="24"/>
        </w:rPr>
      </w:pP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ascii="仿宋" w:hAnsi="仿宋" w:eastAsia="仿宋" w:cs="仿宋"/>
          <w:b/>
          <w:kern w:val="0"/>
          <w:sz w:val="24"/>
          <w:szCs w:val="24"/>
        </w:rPr>
        <w:t xml:space="preserve">    </w:t>
      </w: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项目名称：禹州市广播电视台</w:t>
            </w:r>
            <w:r>
              <w:rPr>
                <w:rFonts w:hint="eastAsia" w:cs="仿宋_GB2312" w:asciiTheme="minorEastAsia" w:hAnsiTheme="minorEastAsia"/>
                <w:sz w:val="24"/>
                <w:szCs w:val="24"/>
                <w:lang w:val="en-US" w:eastAsia="zh-CN"/>
              </w:rPr>
              <w:t>4K新闻制作系统</w:t>
            </w:r>
            <w:r>
              <w:rPr>
                <w:rFonts w:hint="eastAsia" w:cs="仿宋_GB2312" w:asciiTheme="minorEastAsia" w:hAnsiTheme="minorEastAsia"/>
                <w:sz w:val="24"/>
                <w:szCs w:val="24"/>
              </w:rPr>
              <w:t>采购项目</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124</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全万兆核心交换机、</w:t>
            </w:r>
            <w:r>
              <w:rPr>
                <w:rFonts w:hint="eastAsia" w:cs="仿宋_GB2312" w:asciiTheme="minorEastAsia" w:hAnsiTheme="minorEastAsia"/>
                <w:sz w:val="24"/>
                <w:szCs w:val="24"/>
                <w:lang w:val="en-US" w:eastAsia="zh-CN"/>
              </w:rPr>
              <w:t>4K中心中央存储等</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项目地址：禹州市</w:t>
            </w:r>
          </w:p>
          <w:p>
            <w:pPr>
              <w:autoSpaceDE w:val="0"/>
              <w:autoSpaceDN w:val="0"/>
              <w:adjustRightInd w:val="0"/>
              <w:spacing w:line="360" w:lineRule="auto"/>
              <w:jc w:val="left"/>
              <w:rPr>
                <w:rFonts w:hint="default" w:cs="仿宋_GB2312" w:asciiTheme="minorEastAsia" w:hAnsiTheme="minorEastAsia"/>
                <w:sz w:val="24"/>
                <w:szCs w:val="24"/>
                <w:lang w:val="en-US" w:eastAsia="zh-CN"/>
              </w:rPr>
            </w:pPr>
            <w:r>
              <w:rPr>
                <w:rFonts w:hint="eastAsia" w:cs="仿宋_GB2312" w:asciiTheme="minorEastAsia" w:hAnsiTheme="minorEastAsia"/>
                <w:sz w:val="24"/>
                <w:szCs w:val="24"/>
              </w:rPr>
              <w:t>交货日期： 合同签订</w:t>
            </w:r>
            <w:r>
              <w:rPr>
                <w:rFonts w:hint="eastAsia" w:cs="仿宋_GB2312" w:asciiTheme="minorEastAsia" w:hAnsiTheme="minorEastAsia"/>
                <w:sz w:val="24"/>
                <w:szCs w:val="24"/>
                <w:lang w:eastAsia="zh-CN"/>
              </w:rPr>
              <w:t>后</w:t>
            </w:r>
            <w:r>
              <w:rPr>
                <w:rFonts w:hint="eastAsia" w:cs="仿宋_GB2312" w:asciiTheme="minorEastAsia" w:hAnsiTheme="minorEastAsia"/>
                <w:sz w:val="24"/>
                <w:szCs w:val="24"/>
                <w:lang w:val="en-US" w:eastAsia="zh-CN"/>
              </w:rPr>
              <w:t>60个工作日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名称：禹州市文化广电和旅游局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2018</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5"/>
              </w:num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八、未被列入“信用中国”网站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657.576</w:t>
            </w:r>
            <w:r>
              <w:rPr>
                <w:rFonts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eastAsia="zh-CN"/>
              </w:rPr>
              <w:t>年</w:t>
            </w:r>
            <w:r>
              <w:rPr>
                <w:rFonts w:hint="eastAsia" w:cs="宋体" w:asciiTheme="minorEastAsia" w:hAnsiTheme="minorEastAsia"/>
                <w:bCs/>
                <w:sz w:val="24"/>
                <w:szCs w:val="24"/>
                <w:lang w:val="en-US" w:eastAsia="zh-CN"/>
              </w:rPr>
              <w:t>7</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22</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b/>
                <w:bCs/>
                <w:color w:val="FF0000"/>
                <w:sz w:val="24"/>
                <w:szCs w:val="24"/>
                <w:lang w:val="zh-CN"/>
              </w:rPr>
              <w:t>壹拾万元整</w:t>
            </w:r>
            <w:r>
              <w:rPr>
                <w:rFonts w:hint="eastAsia" w:cs="仿宋_GB2312" w:asciiTheme="minorEastAsia" w:hAnsiTheme="minorEastAsia"/>
                <w:sz w:val="24"/>
                <w:szCs w:val="24"/>
                <w:lang w:val="zh-CN"/>
              </w:rPr>
              <w:t>（¥ ：</w:t>
            </w:r>
            <w:r>
              <w:rPr>
                <w:rFonts w:hint="eastAsia" w:cs="仿宋_GB2312" w:asciiTheme="minorEastAsia" w:hAnsiTheme="minorEastAsia"/>
                <w:color w:val="FF0000"/>
                <w:sz w:val="24"/>
                <w:szCs w:val="24"/>
                <w:lang w:val="en-US" w:eastAsia="zh-CN"/>
              </w:rPr>
              <w:t>10</w:t>
            </w:r>
            <w:r>
              <w:rPr>
                <w:rFonts w:hint="eastAsia" w:cs="仿宋_GB2312" w:asciiTheme="minorEastAsia" w:hAnsiTheme="minorEastAsia"/>
                <w:color w:val="FF0000"/>
                <w:sz w:val="24"/>
                <w:szCs w:val="24"/>
              </w:rPr>
              <w:t>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7" w:name="OLE_LINK6"/>
      <w:r>
        <w:rPr>
          <w:rFonts w:hint="eastAsia" w:cs="仿宋_GB2312" w:asciiTheme="minorEastAsia" w:hAnsiTheme="minorEastAsia"/>
          <w:sz w:val="24"/>
          <w:szCs w:val="24"/>
          <w:lang w:val="zh-CN"/>
        </w:rPr>
        <w:t>财库[2014]68号</w:t>
      </w:r>
      <w:bookmarkEnd w:id="7"/>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2018</w:t>
            </w:r>
            <w:r>
              <w:rPr>
                <w:rFonts w:hint="eastAsia" w:asciiTheme="minorEastAsia" w:hAnsiTheme="minorEastAsia"/>
                <w:bCs/>
                <w:sz w:val="24"/>
                <w:szCs w:val="24"/>
              </w:rPr>
              <w:t>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b/>
                <w:sz w:val="24"/>
                <w:szCs w:val="24"/>
                <w:lang w:val="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1"/>
        <w:tblW w:w="9503" w:type="dxa"/>
        <w:jc w:val="center"/>
        <w:tblInd w:w="-914" w:type="dxa"/>
        <w:tblLayout w:type="fixed"/>
        <w:tblCellMar>
          <w:top w:w="0" w:type="dxa"/>
          <w:left w:w="0" w:type="dxa"/>
          <w:bottom w:w="0" w:type="dxa"/>
          <w:right w:w="0" w:type="dxa"/>
        </w:tblCellMar>
      </w:tblPr>
      <w:tblGrid>
        <w:gridCol w:w="1415"/>
        <w:gridCol w:w="783"/>
        <w:gridCol w:w="654"/>
        <w:gridCol w:w="6561"/>
        <w:gridCol w:w="90"/>
      </w:tblGrid>
      <w:tr>
        <w:tblPrEx>
          <w:tblLayout w:type="fixed"/>
          <w:tblCellMar>
            <w:top w:w="0" w:type="dxa"/>
            <w:left w:w="0" w:type="dxa"/>
            <w:bottom w:w="0" w:type="dxa"/>
            <w:right w:w="0" w:type="dxa"/>
          </w:tblCellMar>
        </w:tblPrEx>
        <w:trPr>
          <w:gridAfter w:val="1"/>
          <w:wAfter w:w="90" w:type="dxa"/>
          <w:trHeight w:val="285" w:hRule="atLeast"/>
          <w:jc w:val="center"/>
        </w:trPr>
        <w:tc>
          <w:tcPr>
            <w:tcW w:w="2852" w:type="dxa"/>
            <w:gridSpan w:val="3"/>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分值构成(总分100分)</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价格分值：     </w:t>
            </w:r>
            <w:r>
              <w:rPr>
                <w:rFonts w:hint="default" w:ascii="宋体" w:hAnsi="宋体" w:cs="宋体"/>
                <w:szCs w:val="21"/>
              </w:rPr>
              <w:t>50</w:t>
            </w:r>
            <w:r>
              <w:rPr>
                <w:rFonts w:hint="eastAsia" w:ascii="宋体" w:hAnsi="宋体" w:cs="宋体"/>
                <w:szCs w:val="21"/>
              </w:rPr>
              <w:t>   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商务部分：     </w:t>
            </w:r>
            <w:r>
              <w:rPr>
                <w:rFonts w:hint="default" w:ascii="宋体" w:hAnsi="宋体" w:cs="宋体"/>
                <w:szCs w:val="21"/>
              </w:rPr>
              <w:t>30</w:t>
            </w:r>
            <w:r>
              <w:rPr>
                <w:rFonts w:hint="eastAsia" w:ascii="宋体" w:hAnsi="宋体" w:cs="宋体"/>
                <w:szCs w:val="21"/>
              </w:rPr>
              <w:t>   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技术部分：     </w:t>
            </w:r>
            <w:r>
              <w:rPr>
                <w:rFonts w:hint="default" w:ascii="宋体" w:hAnsi="宋体" w:cs="宋体"/>
                <w:szCs w:val="21"/>
              </w:rPr>
              <w:t>20</w:t>
            </w:r>
            <w:r>
              <w:rPr>
                <w:rFonts w:hint="eastAsia" w:ascii="宋体" w:hAnsi="宋体" w:cs="宋体"/>
                <w:szCs w:val="21"/>
              </w:rPr>
              <w:t>   分</w:t>
            </w:r>
          </w:p>
        </w:tc>
      </w:tr>
      <w:tr>
        <w:tblPrEx>
          <w:tblLayout w:type="fixed"/>
          <w:tblCellMar>
            <w:top w:w="0" w:type="dxa"/>
            <w:left w:w="0" w:type="dxa"/>
            <w:bottom w:w="0" w:type="dxa"/>
            <w:right w:w="0" w:type="dxa"/>
          </w:tblCellMar>
        </w:tblPrEx>
        <w:trPr>
          <w:gridAfter w:val="1"/>
          <w:wAfter w:w="90" w:type="dxa"/>
          <w:trHeight w:val="285" w:hRule="atLeast"/>
          <w:jc w:val="center"/>
        </w:trPr>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评标项目</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分项</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分值</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子项目及分值</w:t>
            </w:r>
          </w:p>
        </w:tc>
      </w:tr>
      <w:tr>
        <w:tblPrEx>
          <w:tblLayout w:type="fixed"/>
          <w:tblCellMar>
            <w:top w:w="0" w:type="dxa"/>
            <w:left w:w="0" w:type="dxa"/>
            <w:bottom w:w="0" w:type="dxa"/>
            <w:right w:w="0" w:type="dxa"/>
          </w:tblCellMar>
        </w:tblPrEx>
        <w:trPr>
          <w:gridAfter w:val="1"/>
          <w:wAfter w:w="90" w:type="dxa"/>
          <w:trHeight w:val="1407" w:hRule="atLeast"/>
          <w:jc w:val="center"/>
        </w:trPr>
        <w:tc>
          <w:tcPr>
            <w:tcW w:w="14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价格得分</w:t>
            </w:r>
            <w:r>
              <w:rPr>
                <w:rFonts w:hint="default" w:ascii="宋体" w:hAnsi="宋体" w:cs="宋体"/>
                <w:szCs w:val="21"/>
              </w:rPr>
              <w:t>(50)</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价格</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50</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投标报价得分采用低价优先法计算，即满足招标文件要求且投标价格最低的投标报价为评标基准价，其价格分为满分。其他投标人的价格分统一按照下列公式计算：</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投标报价得分=（评标基准价/投标报价）×50</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计算按四舍五入法则,保留小数点后两位。</w:t>
            </w:r>
          </w:p>
        </w:tc>
      </w:tr>
      <w:tr>
        <w:tblPrEx>
          <w:tblLayout w:type="fixed"/>
          <w:tblCellMar>
            <w:top w:w="0" w:type="dxa"/>
            <w:left w:w="0" w:type="dxa"/>
            <w:bottom w:w="0" w:type="dxa"/>
            <w:right w:w="0" w:type="dxa"/>
          </w:tblCellMar>
        </w:tblPrEx>
        <w:trPr>
          <w:gridAfter w:val="1"/>
          <w:wAfter w:w="90" w:type="dxa"/>
          <w:trHeight w:val="337" w:hRule="atLeast"/>
          <w:jc w:val="center"/>
        </w:trPr>
        <w:tc>
          <w:tcPr>
            <w:tcW w:w="1415"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技术得分(20)</w:t>
            </w:r>
          </w:p>
        </w:tc>
        <w:tc>
          <w:tcPr>
            <w:tcW w:w="783" w:type="dxa"/>
            <w:tcBorders>
              <w:top w:val="single" w:color="auto" w:sz="8"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技术</w:t>
            </w:r>
          </w:p>
        </w:tc>
        <w:tc>
          <w:tcPr>
            <w:tcW w:w="654" w:type="dxa"/>
            <w:tcBorders>
              <w:top w:val="single" w:color="auto" w:sz="8" w:space="0"/>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20</w:t>
            </w:r>
          </w:p>
        </w:tc>
        <w:tc>
          <w:tcPr>
            <w:tcW w:w="6561"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根据所投产品或服务的功能和技术进行综合评分，完全满足招标要求得20分，不带★号的非主要技术指标每有一项负偏离扣1分，最多扣20分，任何一项带★号的主要技术指标低于招标需求或不满足的扣2分，最多扣20分。</w:t>
            </w:r>
          </w:p>
        </w:tc>
      </w:tr>
      <w:tr>
        <w:tblPrEx>
          <w:tblLayout w:type="fixed"/>
          <w:tblCellMar>
            <w:top w:w="0" w:type="dxa"/>
            <w:left w:w="0" w:type="dxa"/>
            <w:bottom w:w="0" w:type="dxa"/>
            <w:right w:w="0" w:type="dxa"/>
          </w:tblCellMar>
        </w:tblPrEx>
        <w:trPr>
          <w:trHeight w:val="467" w:hRule="atLeast"/>
          <w:jc w:val="center"/>
        </w:trPr>
        <w:tc>
          <w:tcPr>
            <w:tcW w:w="1415" w:type="dxa"/>
            <w:vMerge w:val="restart"/>
            <w:tcBorders>
              <w:top w:val="single" w:color="auto" w:sz="4" w:space="0"/>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商务得分(30)</w:t>
            </w: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履约能力</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8</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投标人提供三体系认证（ISO9001质量管理体系、ISO14001环境管理体系、OHSAS18001职业健康安全管理体系）证书齐全的得3分，没有提供或提供不全的不得分（认证范围包含广播电视产品）；投标人须在投标文件中附官网查询截图。</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2投标人提供</w:t>
            </w:r>
            <w:r>
              <w:rPr>
                <w:rFonts w:hint="eastAsia" w:ascii="宋体" w:hAnsi="宋体" w:cs="宋体"/>
                <w:szCs w:val="21"/>
                <w:lang w:eastAsia="zh-CN"/>
              </w:rPr>
              <w:t>中国音像行业协会颁发的</w:t>
            </w:r>
            <w:r>
              <w:rPr>
                <w:rFonts w:hint="eastAsia" w:ascii="宋体" w:hAnsi="宋体" w:cs="宋体"/>
                <w:szCs w:val="21"/>
              </w:rPr>
              <w:t>音视频智能系统集成工程资质等级证书，等级为壹级的得2分，贰级得1分，没有提供或其他等级的不得分</w:t>
            </w:r>
            <w:r>
              <w:rPr>
                <w:rFonts w:hint="eastAsia" w:ascii="宋体" w:hAnsi="宋体" w:cs="宋体"/>
                <w:szCs w:val="21"/>
                <w:lang w:eastAsia="zh-CN"/>
              </w:rPr>
              <w:t>；</w:t>
            </w:r>
            <w:r>
              <w:rPr>
                <w:rFonts w:hint="eastAsia" w:ascii="宋体" w:hAnsi="宋体" w:cs="宋体"/>
                <w:szCs w:val="21"/>
              </w:rPr>
              <w:t>投标人须在投标文件中附官网查询截图。</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3.信用评估报告（3分）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投标人具有社会信用管理部门备案认可的信用评级机构出具的《企业信用报告》等级为AAA级的,得3分；AA得1分,其他不得分。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（以上需投标人提供注册地市级以上信用建设部门认可的信用评级机构出具的《企业信用报告》、查询网址，同时提供信用评级机构相应的资质材料，否则不得分）</w:t>
            </w:r>
          </w:p>
        </w:tc>
        <w:tc>
          <w:tcPr>
            <w:tcW w:w="90" w:type="dxa"/>
            <w:tcBorders>
              <w:top w:val="nil"/>
              <w:left w:val="nil"/>
              <w:bottom w:val="nil"/>
              <w:right w:val="nil"/>
            </w:tcBorders>
            <w:vAlign w:val="center"/>
          </w:tcPr>
          <w:p>
            <w:pPr>
              <w:ind w:firstLine="420"/>
              <w:rPr>
                <w:rFonts w:ascii="宋体" w:hAnsi="宋体" w:cs="宋体"/>
                <w:szCs w:val="21"/>
              </w:rPr>
            </w:pPr>
          </w:p>
        </w:tc>
      </w:tr>
      <w:tr>
        <w:tblPrEx>
          <w:tblLayout w:type="fixed"/>
          <w:tblCellMar>
            <w:top w:w="0" w:type="dxa"/>
            <w:left w:w="0" w:type="dxa"/>
            <w:bottom w:w="0" w:type="dxa"/>
            <w:right w:w="0" w:type="dxa"/>
          </w:tblCellMar>
        </w:tblPrEx>
        <w:trPr>
          <w:trHeight w:val="467" w:hRule="atLeast"/>
          <w:jc w:val="center"/>
        </w:trPr>
        <w:tc>
          <w:tcPr>
            <w:tcW w:w="1415" w:type="dxa"/>
            <w:vMerge w:val="continue"/>
            <w:tcBorders>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产品实力</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15</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.全</w:t>
            </w:r>
            <w:r>
              <w:rPr>
                <w:rFonts w:hint="eastAsia" w:ascii="宋体" w:hAnsi="宋体" w:cs="宋体"/>
                <w:szCs w:val="21"/>
              </w:rPr>
              <w:t>媒体系统生产商实力（11分）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所投</w:t>
            </w:r>
            <w:r>
              <w:rPr>
                <w:rFonts w:hint="eastAsia" w:ascii="宋体" w:hAnsi="宋体" w:cs="宋体"/>
                <w:szCs w:val="21"/>
                <w:lang w:eastAsia="zh-CN"/>
              </w:rPr>
              <w:t>全</w:t>
            </w:r>
            <w:r>
              <w:rPr>
                <w:rFonts w:hint="eastAsia" w:ascii="宋体" w:hAnsi="宋体" w:cs="宋体"/>
                <w:szCs w:val="21"/>
              </w:rPr>
              <w:t>媒体系统获得过省级及以上融合媒体专业视频系统技术创新工程奖；所投媒体内容管理平台获得过CCBN产品创新奖；所投4K超高清后期制作系统获得过中国超高清视频产业联盟产品与解决方案创新奖；</w:t>
            </w:r>
            <w:r>
              <w:rPr>
                <w:rFonts w:hint="eastAsia" w:ascii="宋体" w:hAnsi="宋体" w:cs="宋体"/>
                <w:szCs w:val="21"/>
                <w:lang w:eastAsia="zh-CN"/>
              </w:rPr>
              <w:t>全</w:t>
            </w:r>
            <w:r>
              <w:rPr>
                <w:rFonts w:hint="eastAsia" w:ascii="宋体" w:hAnsi="宋体" w:cs="宋体"/>
                <w:szCs w:val="21"/>
              </w:rPr>
              <w:t>媒体系统生产厂家</w:t>
            </w:r>
            <w:r>
              <w:rPr>
                <w:rFonts w:hint="eastAsia" w:ascii="宋体" w:hAnsi="宋体" w:cs="宋体"/>
                <w:szCs w:val="21"/>
                <w:lang w:eastAsia="zh-CN"/>
              </w:rPr>
              <w:t>获得</w:t>
            </w:r>
            <w:r>
              <w:rPr>
                <w:rFonts w:hint="eastAsia" w:ascii="宋体" w:hAnsi="宋体" w:cs="宋体"/>
                <w:szCs w:val="21"/>
              </w:rPr>
              <w:t>国家规划布局内重点软件企业；媒体系统生产厂家为高新技术企业；媒体生产厂商具备计算机信息系统集成企业一级资质等级证书；媒体生产厂商通过ISO20000IT服务管理体系认证；媒体生产厂商通过ISO27001信息安全管理体系认证；媒体生产厂商通过ISO 22301业务连续性管理体系认证；媒体生产厂商具备音视频集成工程企业一级资质；媒体生产厂商具备招投标信用4A及以上等级证书。每提供一项得1分,共11分。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全</w:t>
            </w:r>
            <w:r>
              <w:rPr>
                <w:rFonts w:hint="eastAsia" w:ascii="宋体" w:hAnsi="宋体" w:cs="宋体"/>
                <w:szCs w:val="21"/>
              </w:rPr>
              <w:t>媒存储设备生产商实力（4分）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rPr>
              <w:t>存储节点具备国家广播电影电视总局检测报告，厂商具备CMMI三级资质以上（含三级）等级证书,具备ITSS信息技术服务运行维护标准符合性证书,具备大数据存储管理和计算分析功能软件著作权登记证书复印件。每提供一项得1分,共4分。</w:t>
            </w:r>
          </w:p>
          <w:p>
            <w:pPr>
              <w:spacing w:before="100" w:beforeAutospacing="1" w:after="100" w:afterAutospacing="1" w:line="212" w:lineRule="atLeast"/>
              <w:rPr>
                <w:rFonts w:hint="eastAsia" w:ascii="宋体" w:hAnsi="宋体" w:cs="宋体"/>
                <w:szCs w:val="21"/>
              </w:rPr>
            </w:pPr>
            <w:r>
              <w:rPr>
                <w:rFonts w:hint="eastAsia" w:ascii="宋体" w:hAnsi="宋体" w:cs="宋体"/>
                <w:szCs w:val="21"/>
                <w:lang w:val="en-US" w:eastAsia="zh-CN"/>
              </w:rPr>
              <w:t>3.以上资质需</w:t>
            </w:r>
            <w:r>
              <w:rPr>
                <w:rFonts w:hint="eastAsia" w:ascii="宋体" w:hAnsi="宋体" w:cs="宋体"/>
                <w:szCs w:val="21"/>
              </w:rPr>
              <w:t>提供复印件加盖厂家公章，否则</w:t>
            </w:r>
            <w:r>
              <w:rPr>
                <w:rFonts w:hint="eastAsia" w:ascii="宋体" w:hAnsi="宋体" w:cs="宋体"/>
                <w:szCs w:val="21"/>
                <w:lang w:eastAsia="zh-CN"/>
              </w:rPr>
              <w:t>无效；</w:t>
            </w:r>
          </w:p>
        </w:tc>
        <w:tc>
          <w:tcPr>
            <w:tcW w:w="90" w:type="dxa"/>
            <w:tcBorders>
              <w:top w:val="nil"/>
              <w:left w:val="nil"/>
              <w:bottom w:val="nil"/>
              <w:right w:val="nil"/>
            </w:tcBorders>
            <w:vAlign w:val="center"/>
          </w:tcPr>
          <w:p>
            <w:pPr>
              <w:ind w:firstLine="420"/>
              <w:rPr>
                <w:rFonts w:ascii="宋体" w:hAnsi="宋体" w:cs="宋体"/>
                <w:szCs w:val="21"/>
              </w:rPr>
            </w:pPr>
          </w:p>
        </w:tc>
      </w:tr>
      <w:tr>
        <w:tblPrEx>
          <w:tblLayout w:type="fixed"/>
          <w:tblCellMar>
            <w:top w:w="0" w:type="dxa"/>
            <w:left w:w="0" w:type="dxa"/>
            <w:bottom w:w="0" w:type="dxa"/>
            <w:right w:w="0" w:type="dxa"/>
          </w:tblCellMar>
        </w:tblPrEx>
        <w:trPr>
          <w:trHeight w:val="629" w:hRule="atLeast"/>
          <w:jc w:val="center"/>
        </w:trPr>
        <w:tc>
          <w:tcPr>
            <w:tcW w:w="1415" w:type="dxa"/>
            <w:vMerge w:val="continue"/>
            <w:tcBorders>
              <w:left w:val="single" w:color="auto" w:sz="8"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投标人业绩</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3</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eastAsiaTheme="minorEastAsia"/>
                <w:szCs w:val="21"/>
                <w:lang w:eastAsia="zh-CN"/>
              </w:rPr>
            </w:pPr>
            <w:r>
              <w:rPr>
                <w:rFonts w:hint="eastAsia" w:ascii="宋体" w:hAnsi="宋体" w:cs="宋体"/>
                <w:szCs w:val="21"/>
              </w:rPr>
              <w:t>投标人每提供1份2016年1月1日以来广播电视类项目合同业绩的得1分，最多得3分，投标人须在投标文件中附合同、中标通知书复印件</w:t>
            </w:r>
            <w:r>
              <w:rPr>
                <w:rFonts w:hint="eastAsia" w:ascii="宋体" w:hAnsi="宋体" w:cs="宋体"/>
                <w:szCs w:val="21"/>
                <w:lang w:eastAsia="zh-CN"/>
              </w:rPr>
              <w:t>。</w:t>
            </w:r>
          </w:p>
        </w:tc>
        <w:tc>
          <w:tcPr>
            <w:tcW w:w="90" w:type="dxa"/>
            <w:tcBorders>
              <w:top w:val="nil"/>
              <w:left w:val="nil"/>
              <w:bottom w:val="nil"/>
              <w:right w:val="nil"/>
            </w:tcBorders>
            <w:vAlign w:val="center"/>
          </w:tcPr>
          <w:p>
            <w:pPr>
              <w:ind w:firstLine="420"/>
              <w:rPr>
                <w:rFonts w:ascii="宋体" w:hAnsi="宋体" w:cs="宋体"/>
                <w:szCs w:val="21"/>
              </w:rPr>
            </w:pPr>
          </w:p>
        </w:tc>
      </w:tr>
      <w:tr>
        <w:tblPrEx>
          <w:tblLayout w:type="fixed"/>
          <w:tblCellMar>
            <w:top w:w="0" w:type="dxa"/>
            <w:left w:w="0" w:type="dxa"/>
            <w:bottom w:w="0" w:type="dxa"/>
            <w:right w:w="0" w:type="dxa"/>
          </w:tblCellMar>
        </w:tblPrEx>
        <w:trPr>
          <w:trHeight w:val="467" w:hRule="atLeast"/>
          <w:jc w:val="center"/>
        </w:trPr>
        <w:tc>
          <w:tcPr>
            <w:tcW w:w="1415" w:type="dxa"/>
            <w:vMerge w:val="continue"/>
            <w:tcBorders>
              <w:left w:val="single" w:color="auto" w:sz="8" w:space="0"/>
              <w:bottom w:val="single" w:color="auto" w:sz="4" w:space="0"/>
              <w:right w:val="single" w:color="auto" w:sz="4" w:space="0"/>
            </w:tcBorders>
            <w:shd w:val="clear" w:color="auto" w:fill="FFFFFF"/>
            <w:vAlign w:val="center"/>
          </w:tcPr>
          <w:p>
            <w:pPr>
              <w:spacing w:before="100" w:beforeAutospacing="1" w:after="100" w:afterAutospacing="1" w:line="212" w:lineRule="atLeast"/>
              <w:rPr>
                <w:rFonts w:hint="eastAsia" w:ascii="宋体" w:hAnsi="宋体" w:cs="宋体"/>
                <w:szCs w:val="21"/>
              </w:rPr>
            </w:pPr>
          </w:p>
        </w:tc>
        <w:tc>
          <w:tcPr>
            <w:tcW w:w="78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售后服务</w:t>
            </w:r>
          </w:p>
        </w:tc>
        <w:tc>
          <w:tcPr>
            <w:tcW w:w="654"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4</w:t>
            </w:r>
          </w:p>
        </w:tc>
        <w:tc>
          <w:tcPr>
            <w:tcW w:w="65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before="100" w:beforeAutospacing="1" w:after="100" w:afterAutospacing="1" w:line="212" w:lineRule="atLeast"/>
              <w:rPr>
                <w:rFonts w:hint="eastAsia" w:ascii="宋体" w:hAnsi="宋体" w:cs="宋体"/>
                <w:szCs w:val="21"/>
              </w:rPr>
            </w:pPr>
            <w:r>
              <w:rPr>
                <w:rFonts w:hint="eastAsia" w:ascii="宋体" w:hAnsi="宋体" w:cs="宋体"/>
                <w:szCs w:val="21"/>
              </w:rPr>
              <w:t>投标人针对本项目制定出售后服务及质量保障体系、详细培训计划、售后服务人员的技术水平及现场服务措施（如响应时间、服务范围、应急处理方案等）等。优得4分，良2分，一般1分；</w:t>
            </w:r>
          </w:p>
        </w:tc>
        <w:tc>
          <w:tcPr>
            <w:tcW w:w="90" w:type="dxa"/>
            <w:tcBorders>
              <w:top w:val="nil"/>
              <w:left w:val="nil"/>
              <w:bottom w:val="nil"/>
              <w:right w:val="nil"/>
            </w:tcBorders>
            <w:vAlign w:val="center"/>
          </w:tcPr>
          <w:p>
            <w:pPr>
              <w:ind w:firstLine="420"/>
              <w:rPr>
                <w:rFonts w:ascii="宋体" w:hAnsi="宋体" w:cs="宋体"/>
                <w:szCs w:val="21"/>
              </w:rPr>
            </w:pP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8" w:name="_Toc184023138"/>
      <w:bookmarkStart w:id="9" w:name="_Toc186274126"/>
      <w:bookmarkStart w:id="10" w:name="_Toc174185203"/>
      <w:r>
        <w:rPr>
          <w:rFonts w:cs="黑体" w:asciiTheme="minorEastAsia" w:hAnsiTheme="minorEastAsia"/>
          <w:sz w:val="36"/>
          <w:szCs w:val="36"/>
          <w:lang w:val="zh-CN"/>
        </w:rPr>
        <w:br w:type="page"/>
      </w:r>
    </w:p>
    <w:bookmarkEnd w:id="8"/>
    <w:bookmarkEnd w:id="9"/>
    <w:bookmarkEnd w:id="10"/>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1" w:name="_资格证明文件"/>
            <w:bookmarkEnd w:id="11"/>
            <w:bookmarkStart w:id="12" w:name="_Toc364329026"/>
            <w:r>
              <w:rPr>
                <w:rFonts w:hint="eastAsia" w:asciiTheme="minorEastAsia" w:hAnsiTheme="minorEastAsia"/>
                <w:sz w:val="24"/>
                <w:szCs w:val="24"/>
              </w:rPr>
              <w:t>法定代表人授权代表身份证（正面）</w:t>
            </w:r>
            <w:bookmarkEnd w:id="12"/>
          </w:p>
        </w:tc>
        <w:tc>
          <w:tcPr>
            <w:tcW w:w="4492" w:type="dxa"/>
            <w:gridSpan w:val="2"/>
            <w:vAlign w:val="center"/>
          </w:tcPr>
          <w:p>
            <w:pPr>
              <w:jc w:val="center"/>
              <w:rPr>
                <w:rFonts w:asciiTheme="minorEastAsia" w:hAnsiTheme="minorEastAsia"/>
                <w:sz w:val="24"/>
                <w:szCs w:val="24"/>
              </w:rPr>
            </w:pPr>
            <w:bookmarkStart w:id="13" w:name="_Toc364329027"/>
            <w:r>
              <w:rPr>
                <w:rFonts w:hint="eastAsia" w:asciiTheme="minorEastAsia" w:hAnsiTheme="minorEastAsia"/>
                <w:sz w:val="24"/>
                <w:szCs w:val="24"/>
              </w:rPr>
              <w:t>法定代表人授权代表身份证（反面）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系统设计方案（实施方案）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4" w:name="OLE_LINK13"/>
      <w:bookmarkStart w:id="15" w:name="OLE_LINK14"/>
      <w:r>
        <w:rPr>
          <w:rFonts w:hint="eastAsia" w:ascii="宋体" w:hAnsi="宋体"/>
          <w:b/>
          <w:bCs/>
          <w:color w:val="000000"/>
          <w:sz w:val="36"/>
          <w:szCs w:val="36"/>
        </w:rPr>
        <w:t>4.</w:t>
      </w:r>
      <w:r>
        <w:rPr>
          <w:rFonts w:hint="eastAsia" w:ascii="宋体" w:hAnsi="宋体"/>
          <w:b/>
          <w:bCs/>
          <w:color w:val="000000"/>
          <w:sz w:val="36"/>
          <w:szCs w:val="36"/>
          <w:lang w:val="en-US" w:eastAsia="zh-CN"/>
        </w:rPr>
        <w:t>10</w:t>
      </w:r>
      <w:r>
        <w:rPr>
          <w:rFonts w:hint="eastAsia" w:ascii="宋体" w:hAnsi="宋体"/>
          <w:b/>
          <w:bCs/>
          <w:color w:val="000000"/>
          <w:sz w:val="36"/>
          <w:szCs w:val="36"/>
        </w:rPr>
        <w:t xml:space="preserve"> 残疾人福利性单位声明函</w:t>
      </w:r>
    </w:p>
    <w:bookmarkEnd w:id="14"/>
    <w:bookmarkEnd w:id="1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4.1</w:t>
      </w:r>
      <w:r>
        <w:rPr>
          <w:rFonts w:hint="eastAsia" w:ascii="宋体" w:hAnsi="宋体"/>
          <w:b/>
          <w:bCs/>
          <w:color w:val="000000"/>
          <w:sz w:val="36"/>
          <w:szCs w:val="36"/>
          <w:lang w:val="en-US" w:eastAsia="zh-CN"/>
        </w:rPr>
        <w:t>1</w:t>
      </w:r>
      <w:r>
        <w:rPr>
          <w:rFonts w:hint="eastAsia" w:ascii="宋体" w:hAnsi="宋体"/>
          <w:b/>
          <w:bCs/>
          <w:color w:val="000000"/>
          <w:sz w:val="36"/>
          <w:szCs w:val="36"/>
        </w:rPr>
        <w:t xml:space="preserve">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hint="eastAsia" w:cs="黑体" w:asciiTheme="minorEastAsia" w:hAnsiTheme="minorEastAsia"/>
          <w:b/>
          <w:bCs/>
          <w:sz w:val="44"/>
          <w:szCs w:val="44"/>
        </w:rPr>
      </w:pPr>
    </w:p>
    <w:p>
      <w:pPr>
        <w:autoSpaceDE w:val="0"/>
        <w:autoSpaceDN w:val="0"/>
        <w:adjustRightInd w:val="0"/>
        <w:spacing w:line="360" w:lineRule="auto"/>
        <w:ind w:firstLine="2209" w:firstLineChars="500"/>
        <w:rPr>
          <w:rFonts w:cs="黑体" w:asciiTheme="minorEastAsia" w:hAnsiTheme="minorEastAsia"/>
          <w:b/>
          <w:bCs/>
          <w:sz w:val="44"/>
          <w:szCs w:val="44"/>
        </w:rPr>
      </w:pPr>
      <w:r>
        <w:rPr>
          <w:rFonts w:hint="eastAsia" w:cs="黑体" w:asciiTheme="minorEastAsia" w:hAnsiTheme="minorEastAsia"/>
          <w:b/>
          <w:bCs/>
          <w:sz w:val="44"/>
          <w:szCs w:val="44"/>
        </w:rPr>
        <w:t>4.1</w:t>
      </w:r>
      <w:r>
        <w:rPr>
          <w:rFonts w:hint="eastAsia" w:cs="黑体" w:asciiTheme="minorEastAsia" w:hAnsiTheme="minorEastAsia"/>
          <w:b/>
          <w:bCs/>
          <w:sz w:val="44"/>
          <w:szCs w:val="44"/>
          <w:lang w:val="en-US" w:eastAsia="zh-CN"/>
        </w:rPr>
        <w:t>2</w:t>
      </w:r>
      <w:r>
        <w:rPr>
          <w:rFonts w:hint="eastAsia" w:cs="黑体" w:asciiTheme="minorEastAsia" w:hAnsiTheme="minorEastAsia"/>
          <w:b/>
          <w:bCs/>
          <w:sz w:val="44"/>
          <w:szCs w:val="44"/>
        </w:rPr>
        <w:t xml:space="preserve">  证明材料</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（技术参数及评分标准中要求提供的相关证明材料）</w:t>
      </w: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49"/>
      <w:suff w:val="nothing"/>
      <w:lvlText w:val="%1、"/>
      <w:lvlJc w:val="left"/>
    </w:lvl>
  </w:abstractNum>
  <w:abstractNum w:abstractNumId="8">
    <w:nsid w:val="5CB6FAAB"/>
    <w:multiLevelType w:val="singleLevel"/>
    <w:tmpl w:val="5CB6FAAB"/>
    <w:lvl w:ilvl="0" w:tentative="0">
      <w:start w:val="1"/>
      <w:numFmt w:val="decimal"/>
      <w:suff w:val="nothing"/>
      <w:lvlText w:val="%1、"/>
      <w:lvlJc w:val="left"/>
    </w:lvl>
  </w:abstractNum>
  <w:abstractNum w:abstractNumId="9">
    <w:nsid w:val="5CB92F31"/>
    <w:multiLevelType w:val="singleLevel"/>
    <w:tmpl w:val="5CB92F31"/>
    <w:lvl w:ilvl="0" w:tentative="0">
      <w:start w:val="1"/>
      <w:numFmt w:val="decimal"/>
      <w:suff w:val="nothing"/>
      <w:lvlText w:val="%1、"/>
      <w:lvlJc w:val="left"/>
    </w:lvl>
  </w:abstractNum>
  <w:abstractNum w:abstractNumId="10">
    <w:nsid w:val="5CB92FAF"/>
    <w:multiLevelType w:val="singleLevel"/>
    <w:tmpl w:val="5CB92FAF"/>
    <w:lvl w:ilvl="0" w:tentative="0">
      <w:start w:val="2"/>
      <w:numFmt w:val="decimal"/>
      <w:suff w:val="nothing"/>
      <w:lvlText w:val="%1、"/>
      <w:lvlJc w:val="left"/>
    </w:lvl>
  </w:abstractNum>
  <w:abstractNum w:abstractNumId="11">
    <w:nsid w:val="5CB9313F"/>
    <w:multiLevelType w:val="singleLevel"/>
    <w:tmpl w:val="5CB9313F"/>
    <w:lvl w:ilvl="0" w:tentative="0">
      <w:start w:val="1"/>
      <w:numFmt w:val="decimal"/>
      <w:suff w:val="nothing"/>
      <w:lvlText w:val="%1、"/>
      <w:lvlJc w:val="left"/>
    </w:lvl>
  </w:abstractNum>
  <w:abstractNum w:abstractNumId="12">
    <w:nsid w:val="5CB931B5"/>
    <w:multiLevelType w:val="singleLevel"/>
    <w:tmpl w:val="5CB931B5"/>
    <w:lvl w:ilvl="0" w:tentative="0">
      <w:start w:val="1"/>
      <w:numFmt w:val="decimal"/>
      <w:suff w:val="nothing"/>
      <w:lvlText w:val="%1、"/>
      <w:lvlJc w:val="left"/>
    </w:lvl>
  </w:abstractNum>
  <w:abstractNum w:abstractNumId="13">
    <w:nsid w:val="5CB9324D"/>
    <w:multiLevelType w:val="singleLevel"/>
    <w:tmpl w:val="5CB9324D"/>
    <w:lvl w:ilvl="0" w:tentative="0">
      <w:start w:val="4"/>
      <w:numFmt w:val="decimal"/>
      <w:suff w:val="nothing"/>
      <w:lvlText w:val="%1、"/>
      <w:lvlJc w:val="left"/>
    </w:lvl>
  </w:abstractNum>
  <w:abstractNum w:abstractNumId="14">
    <w:nsid w:val="5CB93D42"/>
    <w:multiLevelType w:val="singleLevel"/>
    <w:tmpl w:val="5CB93D42"/>
    <w:lvl w:ilvl="0" w:tentative="0">
      <w:start w:val="1"/>
      <w:numFmt w:val="decimal"/>
      <w:suff w:val="nothing"/>
      <w:lvlText w:val="%1、"/>
      <w:lvlJc w:val="left"/>
    </w:lvl>
  </w:abstractNum>
  <w:abstractNum w:abstractNumId="15">
    <w:nsid w:val="5D1F0770"/>
    <w:multiLevelType w:val="singleLevel"/>
    <w:tmpl w:val="5D1F0770"/>
    <w:lvl w:ilvl="0" w:tentative="0">
      <w:start w:val="1"/>
      <w:numFmt w:val="chineseCounting"/>
      <w:suff w:val="nothing"/>
      <w:lvlText w:val="（%1）"/>
      <w:lvlJc w:val="left"/>
      <w:rPr>
        <w:rFonts w:hint="eastAsia"/>
      </w:rPr>
    </w:lvl>
  </w:abstractNum>
  <w:num w:numId="1">
    <w:abstractNumId w:val="1"/>
  </w:num>
  <w:num w:numId="2">
    <w:abstractNumId w:val="2"/>
  </w:num>
  <w:num w:numId="3">
    <w:abstractNumId w:val="7"/>
  </w:num>
  <w:num w:numId="4">
    <w:abstractNumId w:val="5"/>
  </w:num>
  <w:num w:numId="5">
    <w:abstractNumId w:val="3"/>
  </w:num>
  <w:num w:numId="6">
    <w:abstractNumId w:val="6"/>
  </w:num>
  <w:num w:numId="7">
    <w:abstractNumId w:val="15"/>
  </w:num>
  <w:num w:numId="8">
    <w:abstractNumId w:val="8"/>
  </w:num>
  <w:num w:numId="9">
    <w:abstractNumId w:val="13"/>
  </w:num>
  <w:num w:numId="10">
    <w:abstractNumId w:val="12"/>
  </w:num>
  <w:num w:numId="11">
    <w:abstractNumId w:val="11"/>
  </w:num>
  <w:num w:numId="12">
    <w:abstractNumId w:val="14"/>
  </w:num>
  <w:num w:numId="13">
    <w:abstractNumId w:val="10"/>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7217D3"/>
    <w:rsid w:val="03A87C38"/>
    <w:rsid w:val="080C2BBA"/>
    <w:rsid w:val="08FD5745"/>
    <w:rsid w:val="0AB50907"/>
    <w:rsid w:val="0C1D2223"/>
    <w:rsid w:val="0C3D4298"/>
    <w:rsid w:val="0C9523A6"/>
    <w:rsid w:val="0CA67F00"/>
    <w:rsid w:val="0FD30C14"/>
    <w:rsid w:val="101B403B"/>
    <w:rsid w:val="116D26CD"/>
    <w:rsid w:val="11C23651"/>
    <w:rsid w:val="129267D1"/>
    <w:rsid w:val="171E620C"/>
    <w:rsid w:val="17A87F25"/>
    <w:rsid w:val="183965F3"/>
    <w:rsid w:val="189035FD"/>
    <w:rsid w:val="18C769E5"/>
    <w:rsid w:val="18D55096"/>
    <w:rsid w:val="198348D6"/>
    <w:rsid w:val="1A08396D"/>
    <w:rsid w:val="1AFBFFDD"/>
    <w:rsid w:val="1B1653FD"/>
    <w:rsid w:val="1C2D1536"/>
    <w:rsid w:val="1CCF2F1D"/>
    <w:rsid w:val="1E8E722F"/>
    <w:rsid w:val="1FE15514"/>
    <w:rsid w:val="208614E5"/>
    <w:rsid w:val="2157706F"/>
    <w:rsid w:val="21C8081D"/>
    <w:rsid w:val="21CA1396"/>
    <w:rsid w:val="21DD4A96"/>
    <w:rsid w:val="24D35795"/>
    <w:rsid w:val="271F4B16"/>
    <w:rsid w:val="27CD14F5"/>
    <w:rsid w:val="29A55E19"/>
    <w:rsid w:val="29F94CB1"/>
    <w:rsid w:val="2A553543"/>
    <w:rsid w:val="2C014C3B"/>
    <w:rsid w:val="2F650AED"/>
    <w:rsid w:val="2FFD3F6B"/>
    <w:rsid w:val="30FD56B7"/>
    <w:rsid w:val="329E1B24"/>
    <w:rsid w:val="32BF12F4"/>
    <w:rsid w:val="33563CED"/>
    <w:rsid w:val="338A4286"/>
    <w:rsid w:val="34B644B7"/>
    <w:rsid w:val="36B46A4A"/>
    <w:rsid w:val="375656B9"/>
    <w:rsid w:val="37627558"/>
    <w:rsid w:val="37B91083"/>
    <w:rsid w:val="39FD28B4"/>
    <w:rsid w:val="3AC47AB6"/>
    <w:rsid w:val="3ADD0A2E"/>
    <w:rsid w:val="3B7A3E82"/>
    <w:rsid w:val="3B8D0CE8"/>
    <w:rsid w:val="3BA71EF1"/>
    <w:rsid w:val="3CBF1608"/>
    <w:rsid w:val="3DCA2531"/>
    <w:rsid w:val="3E3A26DB"/>
    <w:rsid w:val="3F263B0E"/>
    <w:rsid w:val="414D7438"/>
    <w:rsid w:val="41A16B13"/>
    <w:rsid w:val="41EF3AE9"/>
    <w:rsid w:val="423A7A11"/>
    <w:rsid w:val="428968C5"/>
    <w:rsid w:val="43420F67"/>
    <w:rsid w:val="43AF27C5"/>
    <w:rsid w:val="444D773E"/>
    <w:rsid w:val="459D509E"/>
    <w:rsid w:val="477C4489"/>
    <w:rsid w:val="477E79DB"/>
    <w:rsid w:val="48BB1E61"/>
    <w:rsid w:val="48E44347"/>
    <w:rsid w:val="4AE22F4C"/>
    <w:rsid w:val="4E8F0D2C"/>
    <w:rsid w:val="4EAC4ADD"/>
    <w:rsid w:val="4EB72836"/>
    <w:rsid w:val="4ED23FD5"/>
    <w:rsid w:val="4EE945C2"/>
    <w:rsid w:val="4EFB1FC3"/>
    <w:rsid w:val="4F3C1178"/>
    <w:rsid w:val="4F661CEB"/>
    <w:rsid w:val="4FEB5C49"/>
    <w:rsid w:val="527B1821"/>
    <w:rsid w:val="5310611D"/>
    <w:rsid w:val="53276344"/>
    <w:rsid w:val="533D55CA"/>
    <w:rsid w:val="535D3032"/>
    <w:rsid w:val="53C97953"/>
    <w:rsid w:val="54EB52D0"/>
    <w:rsid w:val="562D2F69"/>
    <w:rsid w:val="5703196B"/>
    <w:rsid w:val="57140DA8"/>
    <w:rsid w:val="58077CBD"/>
    <w:rsid w:val="58FD658D"/>
    <w:rsid w:val="590C2DBD"/>
    <w:rsid w:val="5B0C6CA4"/>
    <w:rsid w:val="5CFD3C28"/>
    <w:rsid w:val="5E2C7B65"/>
    <w:rsid w:val="5EC23D91"/>
    <w:rsid w:val="5EEA6FD8"/>
    <w:rsid w:val="5F91300B"/>
    <w:rsid w:val="60BD0412"/>
    <w:rsid w:val="616C5D6E"/>
    <w:rsid w:val="648D2FFF"/>
    <w:rsid w:val="65725730"/>
    <w:rsid w:val="672B7704"/>
    <w:rsid w:val="68741D48"/>
    <w:rsid w:val="6AB31C19"/>
    <w:rsid w:val="6B357A50"/>
    <w:rsid w:val="6BB95672"/>
    <w:rsid w:val="6C4712E8"/>
    <w:rsid w:val="6C9C46AE"/>
    <w:rsid w:val="6CE55F45"/>
    <w:rsid w:val="6DE87E82"/>
    <w:rsid w:val="6DFC3DF2"/>
    <w:rsid w:val="6F272507"/>
    <w:rsid w:val="6FF11A89"/>
    <w:rsid w:val="70602224"/>
    <w:rsid w:val="70C1699F"/>
    <w:rsid w:val="71617265"/>
    <w:rsid w:val="71E53350"/>
    <w:rsid w:val="72254E2A"/>
    <w:rsid w:val="72ED3426"/>
    <w:rsid w:val="73184127"/>
    <w:rsid w:val="73D40348"/>
    <w:rsid w:val="74AB41BE"/>
    <w:rsid w:val="774700AD"/>
    <w:rsid w:val="777E0158"/>
    <w:rsid w:val="788A0F31"/>
    <w:rsid w:val="78F56DD8"/>
    <w:rsid w:val="7A77760E"/>
    <w:rsid w:val="7B7986D1"/>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列出段落1"/>
    <w:basedOn w:val="1"/>
    <w:unhideWhenUsed/>
    <w:qFormat/>
    <w:uiPriority w:val="99"/>
    <w:pPr>
      <w:ind w:firstLine="420" w:firstLineChars="200"/>
    </w:p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3"/>
    <w:qFormat/>
    <w:uiPriority w:val="0"/>
    <w:rPr>
      <w:rFonts w:eastAsia="宋体"/>
      <w:sz w:val="24"/>
    </w:rPr>
  </w:style>
  <w:style w:type="character" w:customStyle="1" w:styleId="33">
    <w:name w:val="日期 Char"/>
    <w:basedOn w:val="22"/>
    <w:link w:val="14"/>
    <w:qFormat/>
    <w:uiPriority w:val="99"/>
  </w:style>
  <w:style w:type="character" w:customStyle="1" w:styleId="34">
    <w:name w:val="页脚 Char"/>
    <w:basedOn w:val="22"/>
    <w:link w:val="15"/>
    <w:qFormat/>
    <w:uiPriority w:val="99"/>
    <w:rPr>
      <w:sz w:val="18"/>
      <w:szCs w:val="18"/>
    </w:rPr>
  </w:style>
  <w:style w:type="character" w:customStyle="1" w:styleId="35">
    <w:name w:val="页眉 Char"/>
    <w:basedOn w:val="22"/>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1"/>
    <w:basedOn w:val="1"/>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9"/>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10"/>
    <w:semiHidden/>
    <w:qFormat/>
    <w:uiPriority w:val="99"/>
  </w:style>
  <w:style w:type="character" w:customStyle="1" w:styleId="51">
    <w:name w:val="正文首行缩进 Char"/>
    <w:basedOn w:val="50"/>
    <w:link w:val="20"/>
    <w:qFormat/>
    <w:uiPriority w:val="0"/>
    <w:rPr>
      <w:rFonts w:ascii="宋体" w:hAnsi="Times New Roman" w:eastAsia="宋体" w:cs="Times New Roman"/>
      <w:kern w:val="0"/>
      <w:sz w:val="34"/>
      <w:szCs w:val="20"/>
    </w:rPr>
  </w:style>
  <w:style w:type="character" w:customStyle="1" w:styleId="52">
    <w:name w:val="HTML 预设格式 Char"/>
    <w:basedOn w:val="22"/>
    <w:link w:val="18"/>
    <w:semiHidden/>
    <w:qFormat/>
    <w:uiPriority w:val="99"/>
    <w:rPr>
      <w:rFonts w:ascii="宋体" w:hAnsi="宋体" w:eastAsia="宋体" w:cs="宋体"/>
      <w:kern w:val="0"/>
      <w:sz w:val="24"/>
      <w:szCs w:val="24"/>
    </w:rPr>
  </w:style>
  <w:style w:type="paragraph" w:customStyle="1" w:styleId="5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4">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5">
    <w:name w:val="List Paragraph1"/>
    <w:basedOn w:val="1"/>
    <w:qFormat/>
    <w:uiPriority w:val="99"/>
    <w:pPr>
      <w:ind w:firstLine="420" w:firstLineChars="200"/>
    </w:pPr>
    <w:rPr>
      <w:rFonts w:ascii="Times New Roman" w:hAnsi="Times New Roman" w:eastAsia="宋体" w:cs="Times New Roman"/>
      <w:szCs w:val="24"/>
    </w:rPr>
  </w:style>
  <w:style w:type="paragraph" w:styleId="5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TotalTime>
  <ScaleCrop>false</ScaleCrop>
  <LinksUpToDate>false</LinksUpToDate>
  <CharactersWithSpaces>43544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2019-06-28T01:02:50Z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