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许昌电气职业学院</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教学多媒体一体机</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095</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许昌电气职业学院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许昌电气职业学院</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教学多媒体一体机</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    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教学多媒体一体机</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095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w:t>
      </w:r>
      <w:r>
        <w:rPr>
          <w:rFonts w:hint="eastAsia" w:cs="仿宋_GB2312" w:asciiTheme="minorEastAsia" w:hAnsiTheme="minorEastAsia" w:eastAsiaTheme="minorEastAsia"/>
          <w:color w:val="000000"/>
          <w:sz w:val="21"/>
          <w:szCs w:val="21"/>
          <w:shd w:val="clear" w:color="auto" w:fill="FFFFFF"/>
          <w:lang w:eastAsia="zh-CN"/>
        </w:rPr>
        <w:t>要求：</w:t>
      </w:r>
      <w:r>
        <w:rPr>
          <w:rFonts w:hint="eastAsia" w:cs="仿宋_GB2312" w:asciiTheme="minorEastAsia" w:hAnsiTheme="minorEastAsia" w:eastAsiaTheme="minorEastAsia"/>
          <w:color w:val="000000"/>
          <w:sz w:val="21"/>
          <w:szCs w:val="21"/>
          <w:shd w:val="clear" w:color="auto" w:fill="FFFFFF"/>
          <w:lang w:val="en-US" w:eastAsia="zh-CN"/>
        </w:rPr>
        <w:t>教学多媒体一体机等</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lang w:val="en-US" w:eastAsia="zh-CN"/>
        </w:rPr>
        <w:t>860000元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860000元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15天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许昌电气职业学院</w:t>
      </w:r>
      <w:bookmarkStart w:id="14" w:name="_GoBack"/>
      <w:bookmarkEnd w:id="14"/>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szCs w:val="21"/>
          <w:lang w:val="en-US" w:eastAsia="zh-CN"/>
        </w:rPr>
        <w:t>许昌电气职业学院</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val="en-US" w:eastAsia="zh-CN"/>
        </w:rPr>
        <w:t>许昌市魏文路与永昌大道交汇处</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 xml:space="preserve">联系人： </w:t>
      </w:r>
      <w:r>
        <w:rPr>
          <w:rFonts w:hint="eastAsia" w:ascii="宋体" w:hAnsi="宋体"/>
          <w:szCs w:val="21"/>
          <w:lang w:val="en-US" w:eastAsia="zh-CN"/>
        </w:rPr>
        <w:t>李鹏飞</w:t>
      </w:r>
      <w:r>
        <w:rPr>
          <w:rFonts w:hint="eastAsia" w:ascii="宋体" w:hAnsi="宋体"/>
          <w:szCs w:val="21"/>
        </w:rPr>
        <w:t xml:space="preserve">                  联系电话：</w:t>
      </w:r>
      <w:r>
        <w:rPr>
          <w:rFonts w:hint="eastAsia" w:ascii="宋体" w:hAnsi="宋体"/>
          <w:szCs w:val="21"/>
          <w:lang w:val="en-US" w:eastAsia="zh-CN"/>
        </w:rPr>
        <w:t>13733612696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right"/>
        <w:rPr>
          <w:rFonts w:ascii="宋体" w:hAnsi="宋体"/>
          <w:szCs w:val="21"/>
        </w:rPr>
      </w:pPr>
      <w:r>
        <w:rPr>
          <w:rFonts w:hint="eastAsia" w:ascii="宋体" w:hAnsi="宋体"/>
          <w:szCs w:val="21"/>
          <w:lang w:val="en-US" w:eastAsia="zh-CN"/>
        </w:rPr>
        <w:t>许昌电气职业学院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二〇一九年六月二十六日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交互平板一体机</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一、硬件功能</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屏幕类型:LED背光A规屏；书写屏采用防眩光全钢化玻璃屏；</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显示尺寸:≥75英寸,显示比例:16:9(全屏) ；</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可视角度:≥178°,物理分辨率:3840*2160；</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内置≥2*15W扬声器,保证扩声音质；</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触摸屏具有防光干扰功能，能在照度100K LUX（勒克司）环境下仍能正常触控及书写。</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整机具备至少1路前置HDMI接口及3路前置双通道USB接口,同一个USB接口可支持同时在Windows及Android系统下被读取，无需区分，且整机前置物理按键和接口均丝印有中文标识，方便教学操作。</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触控技术：内置红外触摸感应模组,可实现10点触摸，在嵌入式操作系统下至少支持十笔笔书写，在Windows操作系统下至少支持10笔书写，任意通道下支持十笔批注。</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内置Android 6.0以上的操作系统。具备文件浏览功能，可实现文件分类，选定、全选、复制、粘贴、删除、一键发送、二维码分享等功能。</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可根据环境光和灯光的变化,自动调整显示亮度, 在有效保护教师和学生视力的同时,强化节能。</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为便于教学应用，所投产品左右两侧具有与教学应用密切相关的物理快捷键，该快捷键至少具有触控开关键、关闭窗口键，一键打开展台键，并且双侧快捷键具有中文标识，不占用屏显面积。（不接受软件快捷键或不干胶贴纸形式）</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无需借助PC，整机可一键进行硬件自检，包括对系统内存、存储、红外框、内嵌电脑 、屏温监控等进行状态提示、及故障提示。</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为教师操作便捷、所投产品可通过多指长按屏幕部分达到息屏及唤醒功能。</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交互平板具备前置电脑还原按键，带中文丝印标识，不需专业人员即可轻松解决电脑系统故障。</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所投产品标配书写笔具备两种笔头直径，无需切换菜单，可自动识别粗细笔记，方便教师板书及批注重点。</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插拔式式电脑：采用模块化电脑方案，采用Intel通用80pin接口，预装正版Windows 10 Professional专业版(64Bit）操作系统；预装正版 Office Pro Plus 2016 专业版办公软件。</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处理器：采用Intel第6代酷睿I5处理器，内存：≥4G内存，硬盘：≥128G固态硬盘，内置WiFi：IEEE 802.11n标准内置网卡：10M/100M/1000M。</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具有独立非外扩展的电脑USB接口：电脑上≥6个USB接口，其中≥3个为USB3.0接口。具有独立非外扩展的视频输出接口：≥1路HDMI ；≥1路DP。</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插拔式电脑平均无故障时间不低于5万小时。</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备授课一体化，具有备课模式及授课模式，且操作界面根据备课和授课使用场景不同而区别设计，符合用户使用需求。</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软件提供教学设计功能，支持教师根据教学需要自主添加课堂活动。课堂活动中涵盖情景导入、内容精讲、同步习题、随堂测试、分组竞赛、分组探究等至少6个环节，支持调整各个环节顺序或增删环节。</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支持课件云存储，无需使用U盘等存储设备，老师制作的教案可实时同步至云端，方便教师随时随地查看教案及再次修改。</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支持免登录直接使用本地教学工具；老师的每个个人账号提供不少于50G云端存储空间，且有明确的存储空间容量大小的直观提示，方便老师存储资料。</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教学云平台可针对不同教学环节自动推送与课程精准匹配的教学资源，提高教师授课及备课效率。</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软件具备智能辅助线功能，教师移动单个素材时，可以智能提示水平、垂直对齐位置，方便教师对课件进行排版。</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提供音、视频图片编辑功能。音、视频文件导入到软件中进行播放，可设置循环播放、跨页面播放。视频文件可一键全屏播放，支持动态截图，截取图片自动生成图片索引栏，图片索引栏可跨页面显示。</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PPT课件批注功能：PPT全屏播放时可自动开启工具菜单，提供PPT课件的播放控制(如前后翻页)、聚光灯、放大镜、草稿纸和书写批注等功能,支持生成二维码，快速分享课件。</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学科工具：至少提供12门以上学科工具，包含语文、数学、英语、物理、化学、生物、地理、历史、音乐、体育、书法等；在各个学科教学场景中提供相应的教学工具及flash动画，且动画支持一键全屏显示。</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多屏互动功能：支持手机、pad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ppt课件；还可实现手机移动直播功能；u盘文件直读、一键切换电脑窗口文件、模拟鼠标等功能，方便教师及时分享各类资源。</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所投产品须具有高职资源库，每个学科均包括：教案示例、习题精选、动画类、课件类、视频类、音频类、图片类等栏目。资源覆盖材料与能源、财经、法律、旅游、文化教育、医药卫生、艺术设计传媒等至少7个类别。</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所投产品内置软件需与交互平板一体机为同一企业研发，且以上软件功能要求须在同一套软件环境下实现。</w:t>
            </w:r>
          </w:p>
          <w:p>
            <w:pPr>
              <w:widowControl/>
              <w:spacing w:line="360" w:lineRule="auto"/>
              <w:contextualSpacing/>
              <w:jc w:val="left"/>
              <w:rPr>
                <w:rFonts w:ascii="Times New Roman" w:hAnsi="Times New Roman" w:eastAsia="仿宋_GB2312" w:cs="Times New Roman"/>
                <w:b/>
                <w:i/>
                <w:color w:val="548DD4" w:themeColor="text2" w:themeTint="99"/>
                <w:kern w:val="0"/>
                <w:szCs w:val="21"/>
              </w:rPr>
            </w:pPr>
            <w:r>
              <w:rPr>
                <w:rFonts w:hint="eastAsia" w:cs="Times New Roman" w:asciiTheme="minorEastAsia" w:hAnsiTheme="minorEastAsia" w:eastAsiaTheme="minorEastAsia"/>
                <w:color w:val="000000"/>
                <w:kern w:val="0"/>
                <w:szCs w:val="21"/>
              </w:rPr>
              <w:t>所投交互平板产品平均无故障时间（MTBF）不低于10万小时。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40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Times New Roman"/>
                <w:color w:val="FF0000"/>
                <w:kern w:val="0"/>
                <w:szCs w:val="21"/>
              </w:rPr>
            </w:pPr>
            <w:r>
              <w:rPr>
                <w:rFonts w:hint="eastAsia" w:cs="Times New Roman" w:asciiTheme="minorEastAsia" w:hAnsiTheme="minorEastAsia" w:eastAsiaTheme="minorEastAsia"/>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实物展台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支持壁挂和台式两种安装方式，为保证产品稳定性，台式安装需与桌面贴合，托板边角采用圆弧倒角设计；</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为保证托板表面平整性，托板采用单板结构，不接受托板表面折叠设计；</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拍摄幅面不小于A4；</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为保证教学过程中不受环境光和展示内容移动的影响，防止镜头频繁聚焦，图像模糊，产生眩晕感，要求采用不小于500万定焦镜头；</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工作电压：5V，工作电流：小于500mA；</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图像色彩：24位；</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输出格式：图片JPG，文档PDF，视频MP4 ；</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光源：LED灯补光；</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动态视频帧率：30帧/秒（1080P）；</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对焦/白平衡：自动 ；</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供电方式：USB供电。</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支持实物展示，展示可全屏，放大，缩小，支持动态即时旋转，将屏幕锁定进行批注；</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支持对比教学，可二分屏和四分屏十六分屏对比，并可在对比屏幕上直接进行批注；</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支持展台桌面与电脑桌面的一键切换，支持在电脑桌面进行批注；</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软件可加载并播放PPT；</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展台、白板、PPT、对比教学为同一套画笔工具,一键切换；</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支持放大镜、幕布、聚焦等工具，幕布可实现四个方向的幕布；</w:t>
            </w:r>
          </w:p>
          <w:p>
            <w:pPr>
              <w:widowControl/>
              <w:spacing w:line="360" w:lineRule="auto"/>
              <w:contextualSpacing/>
              <w:jc w:val="left"/>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展台平均无故障时间不低于10万小时。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40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无尘环保书写板</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lang w:val="en-US" w:eastAsia="zh-CN"/>
              </w:rPr>
              <w:t>1、</w:t>
            </w:r>
            <w:r>
              <w:rPr>
                <w:rFonts w:hint="eastAsia" w:cs="Times New Roman" w:asciiTheme="minorEastAsia" w:hAnsiTheme="minorEastAsia" w:eastAsiaTheme="minorEastAsia"/>
                <w:color w:val="000000"/>
                <w:kern w:val="0"/>
                <w:szCs w:val="21"/>
              </w:rPr>
              <w:t>规格：左右推拉结构，外框和轨道一体化设计，选用铝合金</w:t>
            </w:r>
            <w:r>
              <w:rPr>
                <w:rFonts w:hint="eastAsia" w:cs="Times New Roman" w:asciiTheme="minorEastAsia" w:hAnsiTheme="minorEastAsia" w:eastAsiaTheme="minorEastAsia"/>
                <w:color w:val="000000"/>
                <w:kern w:val="0"/>
                <w:szCs w:val="21"/>
                <w:lang w:eastAsia="zh-CN"/>
              </w:rPr>
              <w:t>材料</w:t>
            </w:r>
            <w:r>
              <w:rPr>
                <w:rFonts w:hint="eastAsia" w:cs="Times New Roman" w:asciiTheme="minorEastAsia" w:hAnsiTheme="minorEastAsia" w:eastAsiaTheme="minorEastAsia"/>
                <w:color w:val="000000"/>
                <w:kern w:val="0"/>
                <w:szCs w:val="21"/>
              </w:rPr>
              <w:t>，不采用对视力有影响的亮光电泳铝型材；</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2、基本尺寸：外径≥4000mm×1300mm，需保证与电子产品有效对接；支持电子产品偏一侧或居中安装；活动黑板保护电子产品后可锁定位置；</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3、书写面颜色：墨绿色；</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4、书写面材质：材料采用进口淀川烤漆书写板，板面厚度≥0.3mm；涂层硬度≥8H，粗糙度Ra:1.6um-3.2um；</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5、黑板滑轮：每块移动黑板上方必须采用正向吊装一体化优质滑轮两组,每组4个共8个滑轮；</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6、内芯材料：采用防潮、吸音、高强度XPS材质聚苯乙烯板，避免夹层渗水变形，厚度≥13mm；</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7、边框材料：铝合金，壁厚≥1.0mm；连接可靠牢固，接缝平整、光滑；</w:t>
            </w:r>
          </w:p>
          <w:p>
            <w:pPr>
              <w:widowControl/>
              <w:spacing w:line="360" w:lineRule="auto"/>
              <w:contextualSpacing/>
              <w:jc w:val="left"/>
              <w:rPr>
                <w:rFonts w:hint="eastAsia" w:cs="Times New Roman" w:asciiTheme="minorEastAsia" w:hAnsiTheme="minorEastAsia" w:eastAsiaTheme="minorEastAsia"/>
                <w:color w:val="000000"/>
                <w:kern w:val="0"/>
                <w:szCs w:val="21"/>
              </w:rPr>
            </w:pPr>
            <w:r>
              <w:rPr>
                <w:rFonts w:hint="eastAsia" w:cs="Times New Roman" w:asciiTheme="minorEastAsia" w:hAnsiTheme="minorEastAsia" w:eastAsiaTheme="minorEastAsia"/>
                <w:color w:val="000000"/>
                <w:kern w:val="0"/>
                <w:szCs w:val="21"/>
              </w:rPr>
              <w:t>8、粉笔槽：具有同黑板长度一致的一体式储水及粉笔存放槽，≥3900mm×950mm×65mm（长×宽×厚），壁厚≥1.5mm：包括粉笔存放位置、板擦存放位置、储水及板擦压水装置等；外观结构：压水和清水侧分开，设计有中间凸起压水篦子；和清水侧浮力板，使用方便；</w:t>
            </w:r>
          </w:p>
          <w:p>
            <w:pPr>
              <w:widowControl/>
              <w:spacing w:line="360" w:lineRule="auto"/>
              <w:contextualSpacing/>
              <w:jc w:val="left"/>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9、板擦：外形尺寸≥200X50X45mm（长宽厚）采用高密度、存水效果好的乳胶海绵，擦拭效果好。板擦手柄为ABS材质，手感好便于擦拭，两侧配有刮水条，海绵采用弧形沟槽设计，能在擦拭过程中刮除书写板的残留水渍：确保在擦拭过程中100%无尘，避免了粉尘对师生健康的伤害，也避免了粉尘对电教设备的影响。</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40</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Cs w:val="21"/>
              </w:rPr>
            </w:pPr>
            <w:r>
              <w:rPr>
                <w:rFonts w:hint="eastAsia" w:cs="Times New Roman" w:asciiTheme="minorEastAsia" w:hAnsiTheme="minorEastAsia" w:eastAsiaTheme="minorEastAsia"/>
                <w:color w:val="000000"/>
                <w:kern w:val="0"/>
                <w:szCs w:val="21"/>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eastAsiaTheme="minorEastAsia"/>
                <w:color w:val="000000"/>
                <w:kern w:val="0"/>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rPr>
        <w:t>（</w:t>
      </w:r>
      <w:r>
        <w:rPr>
          <w:rFonts w:hint="eastAsia" w:cs="宋体" w:asciiTheme="minorEastAsia" w:hAnsiTheme="minorEastAsia"/>
          <w:kern w:val="0"/>
          <w:sz w:val="24"/>
          <w:szCs w:val="24"/>
          <w:highlight w:val="none"/>
        </w:rPr>
        <w:t>2）</w:t>
      </w:r>
      <w:r>
        <w:rPr>
          <w:rFonts w:cs="宋体" w:asciiTheme="minorEastAsia" w:hAnsiTheme="minorEastAsia"/>
          <w:kern w:val="0"/>
          <w:sz w:val="24"/>
          <w:szCs w:val="24"/>
          <w:highlight w:val="none"/>
        </w:rPr>
        <w:t>信息安全产品强制性</w:t>
      </w:r>
      <w:r>
        <w:rPr>
          <w:rFonts w:hint="eastAsia" w:cs="宋体" w:asciiTheme="minorEastAsia" w:hAnsiTheme="minorEastAsia"/>
          <w:kern w:val="0"/>
          <w:sz w:val="24"/>
          <w:szCs w:val="24"/>
          <w:highlight w:val="none"/>
        </w:rPr>
        <w:t>认证</w:t>
      </w:r>
    </w:p>
    <w:p>
      <w:pPr>
        <w:spacing w:line="360" w:lineRule="auto"/>
        <w:ind w:firstLine="480" w:firstLineChars="200"/>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如投标人所投产品</w:t>
      </w:r>
      <w:r>
        <w:rPr>
          <w:rFonts w:hint="eastAsia" w:cs="宋体" w:asciiTheme="minorEastAsia" w:hAnsiTheme="minorEastAsia"/>
          <w:kern w:val="0"/>
          <w:sz w:val="24"/>
          <w:szCs w:val="24"/>
          <w:highlight w:val="none"/>
        </w:rPr>
        <w:t>被列入</w:t>
      </w:r>
      <w:r>
        <w:rPr>
          <w:rFonts w:cs="宋体" w:asciiTheme="minorEastAsia" w:hAnsiTheme="minorEastAsia"/>
          <w:kern w:val="0"/>
          <w:sz w:val="24"/>
          <w:szCs w:val="24"/>
          <w:highlight w:val="none"/>
        </w:rPr>
        <w:t>《信息安全产品强制性认证目录》，</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并须在投标文件中提供：</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①中国信息安全认证中心官网（</w:t>
      </w:r>
      <w:r>
        <w:rPr>
          <w:rFonts w:cs="宋体" w:asciiTheme="minorEastAsia" w:hAnsiTheme="minorEastAsia"/>
          <w:kern w:val="0"/>
          <w:sz w:val="24"/>
          <w:szCs w:val="24"/>
          <w:highlight w:val="none"/>
        </w:rPr>
        <w:t>http://www.isccc.gov.cn/index.shtml</w:t>
      </w:r>
      <w:r>
        <w:rPr>
          <w:rFonts w:hint="eastAsia" w:cs="宋体" w:asciiTheme="minorEastAsia" w:hAnsiTheme="minorEastAsia"/>
          <w:kern w:val="0"/>
          <w:sz w:val="24"/>
          <w:szCs w:val="24"/>
          <w:highlight w:val="none"/>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②中国信息安全认证中心颁发的</w:t>
      </w:r>
      <w:r>
        <w:rPr>
          <w:rFonts w:cs="宋体" w:asciiTheme="minorEastAsia" w:hAnsiTheme="minorEastAsia"/>
          <w:kern w:val="0"/>
          <w:sz w:val="24"/>
          <w:szCs w:val="24"/>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 w:val="24"/>
          <w:szCs w:val="24"/>
          <w:highlight w:val="none"/>
        </w:rPr>
        <w:t>中国国家信息安全产品认证证书</w:t>
      </w:r>
      <w:r>
        <w:rPr>
          <w:rFonts w:hint="eastAsia" w:cs="宋体" w:asciiTheme="minorEastAsia" w:hAnsiTheme="minorEastAsia"/>
          <w:kern w:val="0"/>
          <w:sz w:val="24"/>
          <w:szCs w:val="24"/>
          <w:highlight w:val="none"/>
        </w:rPr>
        <w:fldChar w:fldCharType="end"/>
      </w:r>
      <w:r>
        <w:rPr>
          <w:rFonts w:cs="宋体" w:asciiTheme="minorEastAsia" w:hAnsiTheme="minorEastAsia"/>
          <w:kern w:val="0"/>
          <w:sz w:val="24"/>
          <w:szCs w:val="24"/>
          <w:highlight w:val="none"/>
        </w:rPr>
        <w:t>》</w:t>
      </w:r>
      <w:r>
        <w:rPr>
          <w:rFonts w:hint="eastAsia" w:cs="宋体" w:asciiTheme="minorEastAsia" w:hAnsiTheme="minorEastAsia"/>
          <w:kern w:val="0"/>
          <w:sz w:val="24"/>
          <w:szCs w:val="24"/>
          <w:highlight w:val="none"/>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（3）其他国家标准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numPr>
          <w:ilvl w:val="0"/>
          <w:numId w:val="0"/>
        </w:numPr>
        <w:wordWrap w:val="0"/>
        <w:topLinePunct/>
        <w:spacing w:line="360" w:lineRule="auto"/>
        <w:ind w:firstLine="480" w:firstLineChars="200"/>
        <w:rPr>
          <w:rFonts w:hint="eastAsia" w:ascii="宋体" w:cs="宋体"/>
          <w:b/>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投标人须明确投标产品的厂家、产地、品牌、型号、详细参数，</w:t>
      </w:r>
      <w:r>
        <w:rPr>
          <w:rFonts w:hint="eastAsia" w:ascii="宋体" w:cs="宋体"/>
          <w:b/>
          <w:sz w:val="24"/>
          <w:highlight w:val="none"/>
          <w:lang w:val="zh-CN"/>
        </w:rPr>
        <w:t>否则为无效投标。</w:t>
      </w:r>
    </w:p>
    <w:p>
      <w:pPr>
        <w:numPr>
          <w:ilvl w:val="0"/>
          <w:numId w:val="0"/>
        </w:num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2、所投产品免费质保期3年。</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、投标人应就本项目（每包或者标段）完整投标，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2、按照招标文件要求、投标文件响应和承诺验收；</w:t>
      </w:r>
    </w:p>
    <w:p>
      <w:pPr>
        <w:wordWrap w:val="0"/>
        <w:topLinePunct/>
        <w:spacing w:line="360" w:lineRule="auto"/>
        <w:ind w:firstLine="480" w:firstLineChars="200"/>
        <w:rPr>
          <w:rFonts w:hint="eastAsia" w:ascii="宋体" w:cs="宋体"/>
          <w:sz w:val="24"/>
          <w:highlight w:val="none"/>
          <w:lang w:val="zh-CN" w:eastAsia="zh-CN"/>
        </w:rPr>
      </w:pPr>
      <w:r>
        <w:rPr>
          <w:rFonts w:hint="eastAsia" w:ascii="宋体" w:cs="宋体"/>
          <w:sz w:val="24"/>
          <w:highlight w:val="none"/>
          <w:lang w:val="en-US" w:eastAsia="zh-CN"/>
        </w:rPr>
        <w:t>3、按照国家相关标准、行业标准、地方标准或者其他标准、规范验收（与采购标的执行标准一致）；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860000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860000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教学多媒体一体机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095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教学多媒体一体机等</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许昌电气职业学院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许昌电气职业学院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许昌市魏文路与永昌大道交汇处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李鹏飞</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13733612696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860000</w:t>
            </w:r>
            <w:r>
              <w:rPr>
                <w:rFonts w:hint="eastAsia" w:cs="宋体" w:asciiTheme="minorEastAsia" w:hAnsiTheme="minorEastAsia"/>
                <w:bCs/>
                <w:szCs w:val="21"/>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en-US" w:eastAsia="zh-CN"/>
              </w:rPr>
              <w:t>壹万柒仟</w:t>
            </w:r>
            <w:r>
              <w:rPr>
                <w:rFonts w:hint="eastAsia" w:cs="仿宋_GB2312" w:asciiTheme="minorEastAsia" w:hAnsiTheme="minorEastAsia"/>
                <w:szCs w:val="21"/>
                <w:lang w:val="zh-CN"/>
              </w:rPr>
              <w:t>元（¥</w:t>
            </w:r>
            <w:r>
              <w:rPr>
                <w:rFonts w:hint="eastAsia" w:cs="仿宋_GB2312" w:asciiTheme="minorEastAsia" w:hAnsiTheme="minorEastAsia"/>
                <w:szCs w:val="21"/>
                <w:lang w:val="en-US" w:eastAsia="zh-CN"/>
              </w:rPr>
              <w:t>17000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17</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32</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11</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17</w:t>
            </w:r>
            <w:r>
              <w:rPr>
                <w:rFonts w:hint="eastAsia" w:ascii="宋体" w:hAnsi="宋体" w:eastAsia="宋体" w:cs="宋体"/>
                <w:szCs w:val="21"/>
              </w:rPr>
              <w:t>分）</w:t>
            </w: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lang w:eastAsia="zh-CN"/>
              </w:rPr>
              <w:t>投标人</w:t>
            </w:r>
            <w:r>
              <w:rPr>
                <w:rFonts w:hint="eastAsia" w:asciiTheme="minorEastAsia" w:hAnsiTheme="minorEastAsia"/>
                <w:szCs w:val="21"/>
              </w:rPr>
              <w:t>提供201</w:t>
            </w:r>
            <w:r>
              <w:rPr>
                <w:rFonts w:hint="eastAsia" w:asciiTheme="minorEastAsia" w:hAnsiTheme="minorEastAsia"/>
                <w:szCs w:val="21"/>
                <w:lang w:val="en-US" w:eastAsia="zh-CN"/>
              </w:rPr>
              <w:t>6</w:t>
            </w:r>
            <w:r>
              <w:rPr>
                <w:rFonts w:hint="eastAsia" w:asciiTheme="minorEastAsia" w:hAnsiTheme="minorEastAsia"/>
                <w:szCs w:val="21"/>
              </w:rPr>
              <w:t>年1月1日以来信用评级机构出具的有效的企业信用报告，等级为AAA级的得3分；AA级的得2分；A级的得1分。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2、</w:t>
            </w:r>
            <w:r>
              <w:rPr>
                <w:rFonts w:hint="eastAsia" w:asciiTheme="minorEastAsia" w:hAnsiTheme="minorEastAsia"/>
                <w:szCs w:val="21"/>
              </w:rPr>
              <w:t>投标人提供工商局</w:t>
            </w:r>
            <w:r>
              <w:rPr>
                <w:rFonts w:hint="eastAsia" w:asciiTheme="minorEastAsia" w:hAnsiTheme="minorEastAsia"/>
                <w:szCs w:val="21"/>
                <w:lang w:eastAsia="zh-CN"/>
              </w:rPr>
              <w:t>、</w:t>
            </w:r>
            <w:r>
              <w:rPr>
                <w:rFonts w:hint="eastAsia" w:asciiTheme="minorEastAsia" w:hAnsiTheme="minorEastAsia"/>
                <w:szCs w:val="21"/>
              </w:rPr>
              <w:t>文明办</w:t>
            </w:r>
            <w:r>
              <w:rPr>
                <w:rFonts w:hint="eastAsia" w:asciiTheme="minorEastAsia" w:hAnsiTheme="minorEastAsia"/>
                <w:szCs w:val="21"/>
                <w:lang w:eastAsia="zh-CN"/>
              </w:rPr>
              <w:t>、</w:t>
            </w:r>
            <w:r>
              <w:rPr>
                <w:rFonts w:hint="eastAsia" w:asciiTheme="minorEastAsia" w:hAnsiTheme="minorEastAsia"/>
                <w:szCs w:val="21"/>
              </w:rPr>
              <w:t>宣传部</w:t>
            </w:r>
            <w:r>
              <w:rPr>
                <w:rFonts w:hint="eastAsia" w:asciiTheme="minorEastAsia" w:hAnsiTheme="minorEastAsia"/>
                <w:szCs w:val="21"/>
                <w:lang w:eastAsia="zh-CN"/>
              </w:rPr>
              <w:t>等任一国家行政管理部门颁发的</w:t>
            </w:r>
            <w:r>
              <w:rPr>
                <w:rFonts w:hint="eastAsia" w:asciiTheme="minorEastAsia" w:hAnsiTheme="minorEastAsia"/>
                <w:szCs w:val="21"/>
              </w:rPr>
              <w:t>省级（含）以上</w:t>
            </w:r>
            <w:r>
              <w:rPr>
                <w:rFonts w:hint="eastAsia" w:asciiTheme="minorEastAsia" w:hAnsiTheme="minorEastAsia"/>
                <w:szCs w:val="21"/>
                <w:lang w:eastAsia="zh-CN"/>
              </w:rPr>
              <w:t>“</w:t>
            </w:r>
            <w:r>
              <w:rPr>
                <w:rFonts w:hint="eastAsia" w:asciiTheme="minorEastAsia" w:hAnsiTheme="minorEastAsia"/>
                <w:szCs w:val="21"/>
              </w:rPr>
              <w:t>文明诚信企业</w:t>
            </w:r>
            <w:r>
              <w:rPr>
                <w:rFonts w:hint="eastAsia" w:asciiTheme="minorEastAsia" w:hAnsiTheme="minorEastAsia"/>
                <w:szCs w:val="21"/>
                <w:lang w:eastAsia="zh-CN"/>
              </w:rPr>
              <w:t>”证书复印件</w:t>
            </w:r>
            <w:r>
              <w:rPr>
                <w:rFonts w:hint="eastAsia" w:asciiTheme="minorEastAsia" w:hAnsiTheme="minorEastAsia"/>
                <w:szCs w:val="21"/>
              </w:rPr>
              <w:t>得</w:t>
            </w:r>
            <w:r>
              <w:rPr>
                <w:rFonts w:hint="eastAsia" w:asciiTheme="minorEastAsia" w:hAnsiTheme="minorEastAsia"/>
                <w:szCs w:val="21"/>
                <w:lang w:val="en-US" w:eastAsia="zh-CN"/>
              </w:rPr>
              <w:t>3</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企业实力</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11</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投标人通过ISO9001:2015质量管理体系认证、ISO14001:2015环境管理体系认证、OHSAS18001：2007职业健康安全管理体系认证，提供带网址的网页查询截图，每提供一份符合要求的得1分，最高得3分。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2、所投交互平板生产厂家获得国家科学技术进步奖，提供相关证书复印件及国家科学技术部网站截图得4分，否则不得分。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3、提供所投交互平板生产厂教育设备远程监控系统软件、题库管理系统软件计算机著作权登记证书复印件，每提供一份得2分，满分4分。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32</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32</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1、投标人提供采购清单中交互平板第3、6、8、10、12、14项参数由国家电子计算机质量监督检验中心出具的CNAS级别的检测报告复印件，每提供一项得2分，最高12分；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2.所投无尘环保书写板通过国家文教用品质量监督检验中心检测，提供一体化水槽书写板检测报告复印件，得2分，否则不得分。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3、提供交互平板软件生产厂家出具的软件功能证明文件的得3分。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4、提供所投交互平板内置插拔式电脑通过国家电子计算机质量监督检验中心检测的CNAS级别的产品平均无故障时间（不低于5万小时）（MTBF）证书复印件得3分，否则不得分。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5、提供所投交互平板通过国家电子计算机质量监督检验中心检测的CNAS级别的产品平均无故障时间（不低于10万小时）证书复印件的得3分，否则不得分。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6、为保证产品质量及售后服务的有效性，所投交互平板品牌商、生产厂商为同一企业的得2分，否则不得分。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7、提供所投展台CNAS级别的产品平均无故障时间（MTBF）（不低于10万小时）证书复印件，得3分，否则不得分。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8、提供所投无尘环保书写板通过国家文教用品质量监督检验中心检测甲醛0释放，并提供检测报告复印件，得2分，否则不得分。</w:t>
            </w:r>
          </w:p>
          <w:p>
            <w:pPr>
              <w:spacing w:line="360" w:lineRule="auto"/>
              <w:rPr>
                <w:rFonts w:ascii="宋体" w:hAnsi="宋体" w:eastAsia="宋体" w:cs="Times New Roman"/>
                <w:szCs w:val="21"/>
              </w:rPr>
            </w:pPr>
            <w:r>
              <w:rPr>
                <w:rFonts w:hint="eastAsia" w:asciiTheme="minorEastAsia" w:hAnsiTheme="minorEastAsia"/>
                <w:szCs w:val="21"/>
                <w:lang w:val="en-US" w:eastAsia="zh-CN"/>
              </w:rPr>
              <w:t>9、所投无尘环保书写板生产厂家具有ISO/IEC20000-1的服务管理体系认证证书，得2分，否则不得分。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11</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1、提供所投交互平板及实物展台生产厂家直属售后服务机构营业执照复印件的得3分，否则不得分。（3分）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2、投标人提供所投产品免费质量保障，满足年免费质保的基础上，每延长1年加1分，共3分。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3、技术支持、售后服务，人员配备，故障响应时间小于2小时，上门时间小于8小时，维修和更换时间小于24小时，得3分，不满足不得分。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装订规范、文字清晰、无差错1分。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所提供资料准确完整1分。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1"/>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0624"/>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57B354B"/>
    <w:rsid w:val="06C90EA4"/>
    <w:rsid w:val="0A582101"/>
    <w:rsid w:val="10E64FA4"/>
    <w:rsid w:val="12230E92"/>
    <w:rsid w:val="13464CFF"/>
    <w:rsid w:val="17A309B4"/>
    <w:rsid w:val="1CCC7835"/>
    <w:rsid w:val="1EC1311C"/>
    <w:rsid w:val="23BE10D0"/>
    <w:rsid w:val="254C724F"/>
    <w:rsid w:val="279B317D"/>
    <w:rsid w:val="2C635DC2"/>
    <w:rsid w:val="33813D07"/>
    <w:rsid w:val="33BC3DF7"/>
    <w:rsid w:val="35DB3970"/>
    <w:rsid w:val="44D73998"/>
    <w:rsid w:val="4F004D7D"/>
    <w:rsid w:val="585E57A7"/>
    <w:rsid w:val="588A2D3F"/>
    <w:rsid w:val="5B1F0BB5"/>
    <w:rsid w:val="5CAE3B9E"/>
    <w:rsid w:val="60D30AE3"/>
    <w:rsid w:val="62A27B5F"/>
    <w:rsid w:val="63250FF2"/>
    <w:rsid w:val="642B11B3"/>
    <w:rsid w:val="645D0231"/>
    <w:rsid w:val="68B57AB1"/>
    <w:rsid w:val="6DE60E4E"/>
    <w:rsid w:val="757D07F4"/>
    <w:rsid w:val="768205BA"/>
    <w:rsid w:val="78735A1C"/>
    <w:rsid w:val="7F9E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2019-06-26T07:10:36Z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