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left="3517" w:leftChars="564" w:hanging="1600" w:hangingChars="500"/>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项目编号：建安建工公字〔2019〕106号</w:t>
      </w:r>
    </w:p>
    <w:p>
      <w:pPr>
        <w:ind w:left="3517" w:leftChars="564"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许昌市建安区部分道路建设、道路及给排水工程、污水改造工程</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六</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 </w:t>
      </w: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eastAsia="zh-CN"/>
        </w:rPr>
      </w:pPr>
      <w:r>
        <w:rPr>
          <w:rFonts w:hint="eastAsia" w:hAnsi="宋体" w:cs="宋体"/>
          <w:sz w:val="24"/>
          <w:szCs w:val="24"/>
          <w:lang w:eastAsia="zh-CN"/>
        </w:rPr>
        <w:t>建安建工公字〔201</w:t>
      </w:r>
      <w:r>
        <w:rPr>
          <w:rFonts w:hint="eastAsia" w:hAnsi="宋体" w:cs="宋体"/>
          <w:sz w:val="24"/>
          <w:szCs w:val="24"/>
          <w:lang w:val="en-US" w:eastAsia="zh-CN"/>
        </w:rPr>
        <w:t>9</w:t>
      </w:r>
      <w:r>
        <w:rPr>
          <w:rFonts w:hint="eastAsia" w:hAnsi="宋体" w:cs="宋体"/>
          <w:sz w:val="24"/>
          <w:szCs w:val="24"/>
          <w:lang w:eastAsia="zh-CN"/>
        </w:rPr>
        <w:t>〕</w:t>
      </w:r>
      <w:r>
        <w:rPr>
          <w:rFonts w:hint="eastAsia" w:hAnsi="宋体" w:cs="宋体"/>
          <w:sz w:val="24"/>
          <w:szCs w:val="24"/>
          <w:lang w:val="en-US" w:eastAsia="zh-CN"/>
        </w:rPr>
        <w:t xml:space="preserve">106 </w:t>
      </w:r>
      <w:r>
        <w:rPr>
          <w:rFonts w:hint="eastAsia" w:hAnsi="宋体" w:cs="宋体"/>
          <w:sz w:val="24"/>
          <w:szCs w:val="24"/>
          <w:lang w:eastAsia="zh-CN"/>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val="en-US" w:eastAsia="zh-CN"/>
        </w:rPr>
      </w:pPr>
      <w:r>
        <w:rPr>
          <w:rFonts w:hint="eastAsia" w:hAnsi="宋体" w:cs="宋体"/>
          <w:sz w:val="24"/>
          <w:szCs w:val="24"/>
          <w:lang w:val="en-US" w:eastAsia="zh-CN"/>
        </w:rPr>
        <w:t>许昌市建安区部分道路建设、道路及给排水工程、污水改造工程</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1、项目编号：建安建工公字〔2019〕106 号。</w:t>
      </w:r>
    </w:p>
    <w:p>
      <w:pPr>
        <w:autoSpaceDE w:val="0"/>
        <w:autoSpaceDN w:val="0"/>
        <w:adjustRightInd w:val="0"/>
        <w:spacing w:line="420" w:lineRule="exact"/>
        <w:ind w:firstLine="480" w:firstLineChars="200"/>
        <w:jc w:val="both"/>
        <w:outlineLvl w:val="0"/>
        <w:rPr>
          <w:rFonts w:hint="eastAsia" w:hAnsi="宋体" w:cs="宋体"/>
          <w:sz w:val="24"/>
          <w:szCs w:val="22"/>
          <w:lang w:eastAsia="zh-CN"/>
        </w:rPr>
      </w:pPr>
      <w:r>
        <w:rPr>
          <w:rFonts w:hint="eastAsia" w:hAnsi="宋体" w:cs="宋体"/>
          <w:sz w:val="24"/>
          <w:szCs w:val="24"/>
        </w:rPr>
        <w:t>2、</w:t>
      </w:r>
      <w:r>
        <w:rPr>
          <w:rFonts w:hAnsi="宋体" w:cs="宋体"/>
          <w:sz w:val="24"/>
          <w:szCs w:val="24"/>
        </w:rPr>
        <w:t>项目名称：</w:t>
      </w:r>
      <w:r>
        <w:rPr>
          <w:rFonts w:hint="eastAsia" w:hAnsi="宋体" w:cs="宋体"/>
          <w:sz w:val="24"/>
          <w:szCs w:val="22"/>
          <w:lang w:val="en-US" w:eastAsia="zh-CN"/>
        </w:rPr>
        <w:t>许昌市建安区部分道路建设、道路及给排水工程、污水改造工程</w:t>
      </w:r>
      <w:r>
        <w:rPr>
          <w:rFonts w:hint="eastAsia" w:hAnsi="宋体" w:cs="宋体"/>
          <w:sz w:val="24"/>
          <w:szCs w:val="22"/>
          <w:lang w:eastAsia="zh-CN"/>
        </w:rPr>
        <w:t>。</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rPr>
        <w:t>3、</w:t>
      </w:r>
      <w:r>
        <w:rPr>
          <w:rFonts w:hint="eastAsia" w:hAnsi="宋体" w:cs="宋体"/>
          <w:sz w:val="24"/>
          <w:szCs w:val="22"/>
          <w:lang w:val="en-US" w:eastAsia="zh-CN"/>
        </w:rPr>
        <w:t>招标单位：许昌市建安区住房和城乡建设局。</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 xml:space="preserve">4、工程概况：许昌市建安区部分道路建设、道路及给排水工程、污水改造工程位于许昌市建安区，共包含五条道路：周庄街东延道路建设工程、曹寨社区南路道路建设工程、曹寨社区西路道路建设工程、永昌路（恒通路-茂林路）道路及给排水工程、滨河路（周庄街至昌盛路）污水改造工程。       </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5、招标范围：招标文件、施工图纸、工程量清单、设计变更（如有）及答疑纪要（如有）范围内的所有工程内容。</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rPr>
        <w:t>6、</w:t>
      </w:r>
      <w:r>
        <w:rPr>
          <w:rFonts w:hint="eastAsia" w:hAnsi="宋体" w:cs="宋体"/>
          <w:sz w:val="24"/>
          <w:szCs w:val="22"/>
          <w:lang w:val="en-US" w:eastAsia="zh-CN"/>
        </w:rPr>
        <w:t>标段划分：共分为五个标段。具体内容如下：</w:t>
      </w:r>
    </w:p>
    <w:p>
      <w:pPr>
        <w:autoSpaceDE w:val="0"/>
        <w:autoSpaceDN w:val="0"/>
        <w:adjustRightInd w:val="0"/>
        <w:spacing w:line="420" w:lineRule="exact"/>
        <w:ind w:firstLine="720" w:firstLineChars="300"/>
        <w:jc w:val="both"/>
        <w:outlineLvl w:val="0"/>
        <w:rPr>
          <w:rFonts w:hint="eastAsia" w:hAnsi="宋体" w:cs="宋体"/>
          <w:sz w:val="24"/>
          <w:szCs w:val="22"/>
          <w:lang w:val="en-US" w:eastAsia="zh-CN"/>
        </w:rPr>
      </w:pPr>
      <w:r>
        <w:rPr>
          <w:rFonts w:hint="eastAsia" w:hAnsi="宋体" w:cs="宋体"/>
          <w:b/>
          <w:bCs/>
          <w:sz w:val="24"/>
          <w:szCs w:val="22"/>
          <w:lang w:val="en-US" w:eastAsia="zh-CN"/>
        </w:rPr>
        <w:t>一标段：</w:t>
      </w:r>
      <w:r>
        <w:rPr>
          <w:rFonts w:hint="eastAsia" w:hAnsi="宋体" w:cs="宋体"/>
          <w:sz w:val="24"/>
          <w:szCs w:val="22"/>
          <w:lang w:val="en-US" w:eastAsia="zh-CN"/>
        </w:rPr>
        <w:t>周庄街东延道路建设工程设计范围西起现状周庄街，东至清潩河西路，设计路段全长约357.8米，红线宽30m，两侧各10m绿化带，一幅路断面形式30m（红线）=3m（人行道）+24m（车行道）+3m（人行道），本次项目仅实施南半幅道路，即规划路中为设计北路缘石边线，北侧不设平面石，只设路缘石。本项目包括道路工程、雨水工程、污水工程、给水工程及绿化工程。</w:t>
      </w:r>
    </w:p>
    <w:p>
      <w:pPr>
        <w:autoSpaceDE w:val="0"/>
        <w:autoSpaceDN w:val="0"/>
        <w:adjustRightInd w:val="0"/>
        <w:spacing w:line="420" w:lineRule="exact"/>
        <w:ind w:firstLine="720" w:firstLineChars="300"/>
        <w:jc w:val="both"/>
        <w:outlineLvl w:val="0"/>
        <w:rPr>
          <w:rFonts w:hint="eastAsia" w:hAnsi="宋体" w:cs="宋体"/>
          <w:sz w:val="24"/>
          <w:szCs w:val="22"/>
          <w:lang w:val="en-US" w:eastAsia="zh-CN"/>
        </w:rPr>
      </w:pPr>
      <w:r>
        <w:rPr>
          <w:rFonts w:hint="eastAsia" w:hAnsi="宋体" w:cs="宋体"/>
          <w:b/>
          <w:bCs/>
          <w:sz w:val="24"/>
          <w:szCs w:val="22"/>
          <w:lang w:val="en-US" w:eastAsia="zh-CN"/>
        </w:rPr>
        <w:t>二标段：</w:t>
      </w:r>
      <w:r>
        <w:rPr>
          <w:rFonts w:hint="eastAsia" w:hAnsi="宋体" w:cs="宋体"/>
          <w:sz w:val="24"/>
          <w:szCs w:val="22"/>
          <w:lang w:val="en-US" w:eastAsia="zh-CN"/>
        </w:rPr>
        <w:t>曹寨社区南路道路建设工程设计范围西起现状劳动路，东至同期设计曹寨社区西路，设计路段全长430.1米，一幅路断面形式15m（红线）=3m（人行道）+9m（车行道）+3m（人行道），本道路设计车速20km/h。本项目包括道路工程、交通工程、雨水工程、污水工程、给水工程及部分苗木栽植。</w:t>
      </w:r>
    </w:p>
    <w:p>
      <w:pPr>
        <w:autoSpaceDE w:val="0"/>
        <w:autoSpaceDN w:val="0"/>
        <w:adjustRightInd w:val="0"/>
        <w:spacing w:line="420" w:lineRule="exact"/>
        <w:ind w:firstLine="720" w:firstLineChars="300"/>
        <w:jc w:val="both"/>
        <w:outlineLvl w:val="0"/>
        <w:rPr>
          <w:rFonts w:hint="eastAsia" w:hAnsi="宋体" w:cs="宋体"/>
          <w:sz w:val="24"/>
          <w:szCs w:val="22"/>
          <w:lang w:val="en-US" w:eastAsia="zh-CN"/>
        </w:rPr>
      </w:pPr>
      <w:r>
        <w:rPr>
          <w:rFonts w:hint="eastAsia" w:hAnsi="宋体" w:cs="宋体"/>
          <w:b/>
          <w:bCs/>
          <w:sz w:val="24"/>
          <w:szCs w:val="22"/>
          <w:lang w:val="en-US" w:eastAsia="zh-CN"/>
        </w:rPr>
        <w:t>三标段：</w:t>
      </w:r>
      <w:r>
        <w:rPr>
          <w:rFonts w:hint="eastAsia" w:hAnsi="宋体" w:cs="宋体"/>
          <w:sz w:val="24"/>
          <w:szCs w:val="22"/>
          <w:lang w:val="en-US" w:eastAsia="zh-CN"/>
        </w:rPr>
        <w:t>曹寨社区西路道路建设工程设计范围北起设计周庄街，南至现状昌盛路，设计路段全长587.8米，一幅路断面形式10m（红线）=1.5m（步砖）+7m（车行道）+1.5m（步砖），本道路设计车速20km/h。本项目包括道路工程、交通工程、雨水工程、污水工程、给水工程及部分苗木栽植。</w:t>
      </w:r>
    </w:p>
    <w:p>
      <w:pPr>
        <w:autoSpaceDE w:val="0"/>
        <w:autoSpaceDN w:val="0"/>
        <w:adjustRightInd w:val="0"/>
        <w:spacing w:line="420" w:lineRule="exact"/>
        <w:ind w:firstLine="720" w:firstLineChars="300"/>
        <w:jc w:val="both"/>
        <w:outlineLvl w:val="0"/>
        <w:rPr>
          <w:rFonts w:hint="eastAsia" w:hAnsi="宋体" w:cs="宋体"/>
          <w:sz w:val="24"/>
          <w:szCs w:val="22"/>
          <w:lang w:val="en-US" w:eastAsia="zh-CN"/>
        </w:rPr>
      </w:pPr>
      <w:r>
        <w:rPr>
          <w:rFonts w:hint="eastAsia" w:hAnsi="宋体" w:cs="宋体"/>
          <w:b/>
          <w:bCs/>
          <w:sz w:val="24"/>
          <w:szCs w:val="22"/>
          <w:lang w:val="en-US" w:eastAsia="zh-CN"/>
        </w:rPr>
        <w:t>四标段：</w:t>
      </w:r>
      <w:r>
        <w:rPr>
          <w:rFonts w:hint="eastAsia" w:hAnsi="宋体" w:cs="宋体"/>
          <w:sz w:val="24"/>
          <w:szCs w:val="22"/>
          <w:lang w:val="en-US" w:eastAsia="zh-CN"/>
        </w:rPr>
        <w:t>永昌路（恒通路-茂林路）道路及给排水工程设计范围南起恒通路，北至茂林路，设计路段全长约248.956米，红线宽40m，两侧各10m绿化带，一幅路断面形式40m（红线）=4m（人行道）+3m（非机动车道）+11m（机动车道）+4m（中央分隔带）+11m（机动车道）+3m（非机动车道）+4m（人行道）。本项目包括道路工程、雨水工程、污水工程和给水工程。</w:t>
      </w:r>
    </w:p>
    <w:p>
      <w:pPr>
        <w:autoSpaceDE w:val="0"/>
        <w:autoSpaceDN w:val="0"/>
        <w:adjustRightInd w:val="0"/>
        <w:spacing w:line="420" w:lineRule="exact"/>
        <w:ind w:firstLine="720" w:firstLineChars="300"/>
        <w:jc w:val="both"/>
        <w:outlineLvl w:val="0"/>
        <w:rPr>
          <w:rFonts w:hint="default" w:hAnsi="宋体" w:cs="宋体"/>
          <w:sz w:val="24"/>
          <w:szCs w:val="22"/>
          <w:lang w:val="en-US" w:eastAsia="zh-CN"/>
        </w:rPr>
      </w:pPr>
      <w:r>
        <w:rPr>
          <w:rFonts w:hint="eastAsia" w:hAnsi="宋体" w:cs="宋体"/>
          <w:b/>
          <w:bCs/>
          <w:sz w:val="24"/>
          <w:szCs w:val="22"/>
          <w:lang w:val="en-US" w:eastAsia="zh-CN"/>
        </w:rPr>
        <w:t>五标段：</w:t>
      </w:r>
      <w:r>
        <w:rPr>
          <w:rFonts w:hint="eastAsia" w:hAnsi="宋体" w:cs="宋体"/>
          <w:sz w:val="24"/>
          <w:szCs w:val="22"/>
          <w:lang w:val="en-US" w:eastAsia="zh-CN"/>
        </w:rPr>
        <w:t>滨河路（周庄街至昌盛路）污水改造工程在滨河路东侧绿化带增设污水管网，向南介入昌盛路现状污水管网。设计路段全长约588米，实施污水管道长度约553m。</w:t>
      </w:r>
    </w:p>
    <w:p>
      <w:pPr>
        <w:autoSpaceDE w:val="0"/>
        <w:autoSpaceDN w:val="0"/>
        <w:adjustRightInd w:val="0"/>
        <w:spacing w:line="420" w:lineRule="exact"/>
        <w:ind w:firstLine="480" w:firstLineChars="200"/>
        <w:jc w:val="both"/>
        <w:outlineLvl w:val="0"/>
        <w:rPr>
          <w:rFonts w:hAnsi="宋体" w:cs="宋体"/>
          <w:sz w:val="24"/>
          <w:szCs w:val="22"/>
        </w:rPr>
      </w:pPr>
      <w:r>
        <w:rPr>
          <w:rFonts w:hint="eastAsia" w:hAnsi="宋体" w:cs="宋体"/>
          <w:sz w:val="24"/>
          <w:szCs w:val="22"/>
          <w:lang w:val="en-US" w:eastAsia="zh-CN"/>
        </w:rPr>
        <w:t>7、资金预算：25532941.28元，其中一标段：5900640.44元；二标段：4962798.47元；三标段：5487384.13元；四标段：7321808.67元；五标段：1860309.57元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int="eastAsia" w:hAnsi="宋体" w:cs="宋体"/>
          <w:sz w:val="24"/>
          <w:szCs w:val="24"/>
          <w:lang w:val="en-US" w:eastAsia="zh-CN"/>
        </w:rPr>
      </w:pPr>
      <w:r>
        <w:rPr>
          <w:rFonts w:hint="eastAsia" w:hAnsi="宋体" w:cs="宋体"/>
          <w:sz w:val="24"/>
          <w:szCs w:val="24"/>
        </w:rPr>
        <w:t>8、</w:t>
      </w:r>
      <w:r>
        <w:rPr>
          <w:rFonts w:hint="eastAsia" w:hAnsi="宋体" w:cs="宋体"/>
          <w:sz w:val="24"/>
          <w:szCs w:val="24"/>
          <w:lang w:val="en-US" w:eastAsia="zh-CN"/>
        </w:rPr>
        <w:t>计划工期：每个标段均为120日历天。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ind w:firstLine="480" w:firstLineChars="200"/>
        <w:jc w:val="both"/>
        <w:outlineLvl w:val="0"/>
        <w:rPr>
          <w:rFonts w:hAnsi="宋体" w:cs="宋体"/>
          <w:color w:val="000000" w:themeColor="text1"/>
          <w:sz w:val="24"/>
          <w:szCs w:val="24"/>
          <w:highlight w:val="red"/>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both"/>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4、不接受联合体投标。</w:t>
      </w:r>
    </w:p>
    <w:p>
      <w:pPr>
        <w:autoSpaceDE w:val="0"/>
        <w:autoSpaceDN w:val="0"/>
        <w:adjustRightInd w:val="0"/>
        <w:spacing w:line="420" w:lineRule="exact"/>
        <w:ind w:firstLine="480" w:firstLineChars="200"/>
        <w:jc w:val="both"/>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5、本次招标实行资格后审。</w:t>
      </w:r>
    </w:p>
    <w:p>
      <w:pPr>
        <w:autoSpaceDE w:val="0"/>
        <w:autoSpaceDN w:val="0"/>
        <w:adjustRightInd w:val="0"/>
        <w:spacing w:line="420" w:lineRule="exact"/>
        <w:ind w:firstLine="480" w:firstLineChars="200"/>
        <w:jc w:val="both"/>
        <w:outlineLvl w:val="0"/>
        <w:rPr>
          <w:rFonts w:hint="default"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6、投标人允许同时报多个标段，但只能按标段先后顺序中取一个标段。</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cs="宋体"/>
          <w:sz w:val="24"/>
          <w:szCs w:val="24"/>
          <w:lang w:val="en-US" w:eastAsia="zh-CN"/>
        </w:rPr>
        <w:t>http://ggzy.xuchang.gov.cn/</w:t>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color w:val="0000FF"/>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15</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int="eastAsia"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开标一室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万亚楠</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13569971108</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pStyle w:val="2"/>
        <w:ind w:firstLine="7200" w:firstLineChars="3000"/>
        <w:rPr>
          <w:rFonts w:hint="eastAsia" w:hAnsi="宋体" w:cs="宋体"/>
          <w:sz w:val="24"/>
          <w:szCs w:val="24"/>
          <w:lang w:eastAsia="zh-CN"/>
        </w:rPr>
      </w:pPr>
      <w:r>
        <w:rPr>
          <w:rFonts w:hint="eastAsia" w:hAnsi="宋体" w:cs="宋体"/>
          <w:sz w:val="24"/>
          <w:szCs w:val="24"/>
          <w:lang w:eastAsia="zh-CN"/>
        </w:rPr>
        <w:t>201</w:t>
      </w:r>
      <w:r>
        <w:rPr>
          <w:rFonts w:hint="eastAsia" w:hAnsi="宋体" w:cs="宋体"/>
          <w:sz w:val="24"/>
          <w:szCs w:val="24"/>
          <w:lang w:val="en-US" w:eastAsia="zh-CN"/>
        </w:rPr>
        <w:t>9</w:t>
      </w:r>
      <w:r>
        <w:rPr>
          <w:rFonts w:hint="eastAsia" w:hAnsi="宋体" w:cs="宋体"/>
          <w:sz w:val="24"/>
          <w:szCs w:val="24"/>
          <w:lang w:eastAsia="zh-CN"/>
        </w:rPr>
        <w:t>年</w:t>
      </w:r>
      <w:r>
        <w:rPr>
          <w:rFonts w:hint="eastAsia" w:hAnsi="宋体" w:cs="宋体"/>
          <w:sz w:val="24"/>
          <w:szCs w:val="24"/>
          <w:lang w:val="en-US" w:eastAsia="zh-CN"/>
        </w:rPr>
        <w:t>6</w:t>
      </w:r>
      <w:r>
        <w:rPr>
          <w:rFonts w:hint="eastAsia" w:hAnsi="宋体" w:cs="宋体"/>
          <w:sz w:val="24"/>
          <w:szCs w:val="24"/>
          <w:lang w:eastAsia="zh-CN"/>
        </w:rPr>
        <w:t>月</w:t>
      </w:r>
      <w:r>
        <w:rPr>
          <w:rFonts w:hint="eastAsia" w:hAnsi="宋体" w:cs="宋体"/>
          <w:sz w:val="24"/>
          <w:szCs w:val="24"/>
          <w:lang w:val="en-US" w:eastAsia="zh-CN"/>
        </w:rPr>
        <w:t>21</w:t>
      </w:r>
      <w:bookmarkStart w:id="632" w:name="_GoBack"/>
      <w:bookmarkEnd w:id="632"/>
      <w:r>
        <w:rPr>
          <w:rFonts w:hint="eastAsia" w:hAnsi="宋体" w:cs="宋体"/>
          <w:sz w:val="24"/>
          <w:szCs w:val="24"/>
          <w:lang w:eastAsia="zh-CN"/>
        </w:rPr>
        <w:t xml:space="preserve">日 </w:t>
      </w: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联 系 人：</w:t>
            </w:r>
            <w:r>
              <w:rPr>
                <w:rFonts w:hint="eastAsia" w:hAnsi="宋体"/>
                <w:sz w:val="24"/>
                <w:lang w:val="en-US" w:eastAsia="zh-CN"/>
              </w:rPr>
              <w:t>万亚楠</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sz w:val="24"/>
                <w:szCs w:val="22"/>
                <w:lang w:val="en-US" w:eastAsia="zh-CN"/>
              </w:rPr>
              <w:t xml:space="preserve">许昌市建安区部分道路建设、道路及给排水工程、污水改造工程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default" w:hAnsi="宋体"/>
                <w:sz w:val="24"/>
                <w:szCs w:val="22"/>
                <w:lang w:val="en-US" w:eastAsia="zh-CN"/>
              </w:rPr>
            </w:pPr>
            <w:r>
              <w:rPr>
                <w:rFonts w:hint="eastAsia" w:hAnsi="宋体"/>
                <w:sz w:val="24"/>
                <w:szCs w:val="22"/>
                <w:lang w:val="en-US" w:eastAsia="zh-CN"/>
              </w:rPr>
              <w:t>每个标段均为120日历天。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jc w:val="left"/>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宋体"/>
                <w:color w:val="000000" w:themeColor="text1"/>
                <w:sz w:val="24"/>
                <w:szCs w:val="24"/>
                <w:highlight w:val="none"/>
                <w14:textFill>
                  <w14:solidFill>
                    <w14:schemeClr w14:val="tx1"/>
                  </w14:solidFill>
                </w14:textFill>
              </w:rPr>
              <w:t>3、</w:t>
            </w: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不接受投标人被“信用中</w:t>
            </w:r>
            <w:r>
              <w:rPr>
                <w:rFonts w:hint="eastAsia" w:hAnsi="宋体" w:cs="仿宋_GB2312"/>
                <w:color w:val="auto"/>
                <w:kern w:val="2"/>
                <w:sz w:val="24"/>
                <w:szCs w:val="24"/>
                <w:highlight w:val="none"/>
                <w:shd w:val="clear" w:color="auto" w:fill="FFFFFF"/>
                <w:lang w:val="en-US" w:eastAsia="zh-CN" w:bidi="ar-SA"/>
              </w:rPr>
              <w:t>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5、本次招标实行资格后审。</w:t>
            </w:r>
          </w:p>
          <w:p>
            <w:pPr>
              <w:autoSpaceDE w:val="0"/>
              <w:autoSpaceDN w:val="0"/>
              <w:adjustRightInd w:val="0"/>
              <w:spacing w:line="420" w:lineRule="exact"/>
              <w:jc w:val="left"/>
              <w:outlineLvl w:val="0"/>
              <w:rPr>
                <w:rFonts w:hAnsi="宋体"/>
                <w:b/>
                <w:sz w:val="24"/>
              </w:rPr>
            </w:pPr>
            <w:r>
              <w:rPr>
                <w:rFonts w:hint="eastAsia" w:ascii="宋体" w:hAnsi="宋体" w:cs="宋体"/>
                <w:color w:val="000000" w:themeColor="text1"/>
                <w:kern w:val="0"/>
                <w:sz w:val="24"/>
                <w:szCs w:val="24"/>
                <w:lang w:val="en-US" w:eastAsia="zh-CN"/>
                <w14:textFill>
                  <w14:solidFill>
                    <w14:schemeClr w14:val="tx1"/>
                  </w14:solidFill>
                </w14:textFill>
              </w:rPr>
              <w:t>6、投标人允许同时报多个标段，但只能按</w:t>
            </w:r>
            <w:r>
              <w:rPr>
                <w:rFonts w:hint="eastAsia" w:hAnsi="宋体" w:cs="宋体"/>
                <w:color w:val="000000" w:themeColor="text1"/>
                <w:kern w:val="0"/>
                <w:sz w:val="24"/>
                <w:szCs w:val="24"/>
                <w:lang w:val="en-US" w:eastAsia="zh-CN"/>
                <w14:textFill>
                  <w14:solidFill>
                    <w14:schemeClr w14:val="tx1"/>
                  </w14:solidFill>
                </w14:textFill>
              </w:rPr>
              <w:t>标段</w:t>
            </w:r>
            <w:r>
              <w:rPr>
                <w:rFonts w:hint="eastAsia" w:ascii="宋体" w:hAnsi="宋体" w:cs="宋体"/>
                <w:color w:val="000000" w:themeColor="text1"/>
                <w:kern w:val="0"/>
                <w:sz w:val="24"/>
                <w:szCs w:val="24"/>
                <w:lang w:val="en-US" w:eastAsia="zh-CN"/>
                <w14:textFill>
                  <w14:solidFill>
                    <w14:schemeClr w14:val="tx1"/>
                  </w14:solidFill>
                </w14:textFill>
              </w:rPr>
              <w:t>先后顺序中取一个标段。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int="default" w:hAnsi="宋体" w:eastAsia="宋体" w:cs="仿宋_GB2312"/>
                <w:sz w:val="24"/>
                <w:szCs w:val="22"/>
                <w:lang w:val="en-US" w:eastAsia="zh-CN"/>
              </w:rPr>
            </w:pPr>
            <w:r>
              <w:rPr>
                <w:rFonts w:hint="eastAsia" w:hAnsi="宋体" w:cs="仿宋_GB2312"/>
                <w:sz w:val="24"/>
                <w:szCs w:val="22"/>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201</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年</w:t>
            </w:r>
            <w:r>
              <w:rPr>
                <w:rFonts w:hint="eastAsia" w:hAnsi="宋体"/>
                <w:bCs/>
                <w:color w:val="000000" w:themeColor="text1"/>
                <w:sz w:val="24"/>
                <w:szCs w:val="22"/>
                <w:lang w:val="en-US" w:eastAsia="zh-CN"/>
                <w14:textFill>
                  <w14:solidFill>
                    <w14:schemeClr w14:val="tx1"/>
                  </w14:solidFill>
                </w14:textFill>
              </w:rPr>
              <w:t>7</w:t>
            </w:r>
            <w:r>
              <w:rPr>
                <w:rFonts w:hint="eastAsia" w:hAnsi="宋体"/>
                <w:bCs/>
                <w:color w:val="000000" w:themeColor="text1"/>
                <w:sz w:val="24"/>
                <w:szCs w:val="22"/>
                <w14:textFill>
                  <w14:solidFill>
                    <w14:schemeClr w14:val="tx1"/>
                  </w14:solidFill>
                </w14:textFill>
              </w:rPr>
              <w:t>月</w:t>
            </w:r>
            <w:r>
              <w:rPr>
                <w:rFonts w:hint="eastAsia" w:hAnsi="宋体"/>
                <w:bCs/>
                <w:color w:val="000000" w:themeColor="text1"/>
                <w:sz w:val="24"/>
                <w:szCs w:val="22"/>
                <w:lang w:val="en-US" w:eastAsia="zh-CN"/>
                <w14:textFill>
                  <w14:solidFill>
                    <w14:schemeClr w14:val="tx1"/>
                  </w14:solidFill>
                </w14:textFill>
              </w:rPr>
              <w:t>15</w:t>
            </w:r>
            <w:r>
              <w:rPr>
                <w:rFonts w:hint="eastAsia" w:hAnsi="宋体"/>
                <w:bCs/>
                <w:color w:val="000000" w:themeColor="text1"/>
                <w:sz w:val="24"/>
                <w:szCs w:val="22"/>
                <w14:textFill>
                  <w14:solidFill>
                    <w14:schemeClr w14:val="tx1"/>
                  </w14:solidFill>
                </w14:textFill>
              </w:rPr>
              <w:t>日</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numPr>
                <w:ilvl w:val="0"/>
                <w:numId w:val="3"/>
              </w:numPr>
              <w:spacing w:line="360" w:lineRule="exact"/>
              <w:rPr>
                <w:rFonts w:hint="eastAsia" w:ascii="新宋体" w:hAnsi="新宋体" w:eastAsia="新宋体"/>
                <w:sz w:val="24"/>
                <w:szCs w:val="22"/>
                <w:lang w:val="zh-CN"/>
              </w:rPr>
            </w:pPr>
            <w:r>
              <w:rPr>
                <w:rFonts w:hint="eastAsia" w:ascii="新宋体" w:hAnsi="新宋体" w:eastAsia="新宋体"/>
                <w:sz w:val="24"/>
                <w:szCs w:val="22"/>
                <w:lang w:val="zh-CN"/>
              </w:rPr>
              <w:t>电子投标文件和纸质投标文件的内容、格式、水印码、电子签章应一致。</w:t>
            </w:r>
          </w:p>
          <w:p>
            <w:pPr>
              <w:numPr>
                <w:ilvl w:val="0"/>
                <w:numId w:val="0"/>
              </w:numPr>
              <w:spacing w:line="360" w:lineRule="exact"/>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4、</w:t>
            </w:r>
            <w:r>
              <w:rPr>
                <w:rFonts w:hint="eastAsia" w:ascii="新宋体" w:hAnsi="新宋体" w:eastAsia="新宋体" w:cs="Times New Roman"/>
                <w:sz w:val="24"/>
                <w:szCs w:val="22"/>
                <w:lang w:val="zh-CN"/>
              </w:rPr>
              <w:t>投标人须提供商务标电子版（U盘）</w:t>
            </w:r>
            <w:r>
              <w:rPr>
                <w:rFonts w:hint="eastAsia" w:ascii="新宋体" w:hAnsi="新宋体" w:eastAsia="新宋体" w:cs="Times New Roman"/>
                <w:sz w:val="24"/>
                <w:szCs w:val="22"/>
                <w:lang w:val="en-US" w:eastAsia="zh-CN"/>
              </w:rPr>
              <w:t>2</w:t>
            </w:r>
            <w:r>
              <w:rPr>
                <w:rFonts w:hint="eastAsia" w:ascii="新宋体" w:hAnsi="新宋体" w:eastAsia="新宋体" w:cs="Times New Roman"/>
                <w:sz w:val="24"/>
                <w:szCs w:val="22"/>
                <w:lang w:val="zh-CN"/>
              </w:rPr>
              <w:t>份，内附已标价工程量清单电子版（EXCEL版本），</w:t>
            </w:r>
            <w:r>
              <w:rPr>
                <w:rFonts w:hint="eastAsia" w:ascii="新宋体" w:hAnsi="新宋体" w:eastAsia="新宋体" w:cs="Times New Roman"/>
                <w:sz w:val="24"/>
                <w:szCs w:val="22"/>
                <w:lang w:val="en-US" w:eastAsia="zh-CN"/>
              </w:rPr>
              <w:t>如出现投标企业商务标电子版无法正常读取，直接视为无效投标处理</w:t>
            </w:r>
            <w:r>
              <w:rPr>
                <w:rFonts w:hint="eastAsia" w:ascii="新宋体" w:hAnsi="新宋体" w:eastAsia="新宋体" w:cs="Times New Roman"/>
                <w:sz w:val="24"/>
                <w:szCs w:val="22"/>
                <w:lang w:val="zh-CN" w:eastAsia="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w:t>
            </w:r>
            <w:r>
              <w:rPr>
                <w:rFonts w:hint="eastAsia" w:hAnsi="宋体"/>
                <w:b/>
                <w:sz w:val="24"/>
                <w:szCs w:val="24"/>
                <w:lang w:eastAsia="zh-CN"/>
              </w:rPr>
              <w:t>（</w:t>
            </w:r>
            <w:r>
              <w:rPr>
                <w:rFonts w:hint="eastAsia" w:hAnsi="宋体"/>
                <w:b/>
                <w:sz w:val="24"/>
                <w:szCs w:val="24"/>
                <w:lang w:val="en-US" w:eastAsia="zh-CN"/>
              </w:rPr>
              <w:t>综合信用标和技术标</w:t>
            </w:r>
            <w:r>
              <w:rPr>
                <w:rFonts w:hint="eastAsia" w:hAnsi="宋体"/>
                <w:b/>
                <w:sz w:val="24"/>
                <w:szCs w:val="24"/>
                <w:lang w:eastAsia="zh-CN"/>
              </w:rPr>
              <w:t>）</w:t>
            </w:r>
            <w:r>
              <w:rPr>
                <w:rFonts w:hint="eastAsia" w:hAnsi="宋体"/>
                <w:b/>
                <w:sz w:val="24"/>
                <w:szCs w:val="24"/>
              </w:rPr>
              <w:t>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hAnsi="宋体" w:cs="宋体"/>
                <w:sz w:val="24"/>
                <w:szCs w:val="22"/>
              </w:rPr>
              <w:t>投标文件在201</w:t>
            </w:r>
            <w:r>
              <w:rPr>
                <w:rFonts w:hint="eastAsia" w:hAnsi="宋体" w:cs="宋体"/>
                <w:sz w:val="24"/>
                <w:szCs w:val="22"/>
                <w:lang w:val="en-US" w:eastAsia="zh-CN"/>
              </w:rPr>
              <w:t>9</w:t>
            </w:r>
            <w:r>
              <w:rPr>
                <w:rFonts w:hint="eastAsia" w:hAnsi="宋体" w:cs="宋体"/>
                <w:sz w:val="24"/>
                <w:szCs w:val="22"/>
              </w:rPr>
              <w:t>年</w:t>
            </w:r>
            <w:r>
              <w:rPr>
                <w:rFonts w:hint="eastAsia" w:hAnsi="宋体" w:cs="宋体"/>
                <w:sz w:val="24"/>
                <w:szCs w:val="22"/>
                <w:lang w:val="en-US" w:eastAsia="zh-CN"/>
              </w:rPr>
              <w:t>7</w:t>
            </w:r>
            <w:r>
              <w:rPr>
                <w:rFonts w:hint="eastAsia" w:hAnsi="宋体" w:cs="宋体"/>
                <w:sz w:val="24"/>
                <w:szCs w:val="22"/>
              </w:rPr>
              <w:t>月</w:t>
            </w:r>
            <w:r>
              <w:rPr>
                <w:rFonts w:hint="eastAsia" w:hAnsi="宋体" w:cs="宋体"/>
                <w:sz w:val="24"/>
                <w:szCs w:val="22"/>
                <w:lang w:val="en-US" w:eastAsia="zh-CN"/>
              </w:rPr>
              <w:t>15</w:t>
            </w:r>
            <w:r>
              <w:rPr>
                <w:rFonts w:hint="eastAsia" w:hAnsi="宋体" w:cs="宋体"/>
                <w:sz w:val="24"/>
                <w:szCs w:val="22"/>
              </w:rPr>
              <w:t>日</w:t>
            </w:r>
            <w:r>
              <w:rPr>
                <w:rFonts w:hint="eastAsia" w:hAnsi="宋体" w:cs="宋体"/>
                <w:sz w:val="24"/>
                <w:szCs w:val="22"/>
                <w:lang w:val="en-US" w:eastAsia="zh-CN"/>
              </w:rPr>
              <w:t>9</w:t>
            </w:r>
            <w:r>
              <w:rPr>
                <w:rFonts w:hint="eastAsia" w:hAnsi="宋体" w:cs="宋体"/>
                <w:sz w:val="24"/>
                <w:szCs w:val="22"/>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4"/>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auto"/>
                <w:sz w:val="24"/>
                <w:szCs w:val="22"/>
              </w:rPr>
              <w:t>4楼</w:t>
            </w:r>
            <w:r>
              <w:rPr>
                <w:rFonts w:hint="eastAsia" w:hAnsi="宋体" w:cs="宋体"/>
                <w:color w:val="auto"/>
                <w:sz w:val="24"/>
                <w:szCs w:val="22"/>
                <w:lang w:val="en-US" w:eastAsia="zh-CN"/>
              </w:rPr>
              <w:t>开标一</w:t>
            </w:r>
            <w:r>
              <w:rPr>
                <w:rFonts w:hint="eastAsia" w:hAnsi="宋体" w:cs="宋体"/>
                <w:color w:val="auto"/>
                <w:sz w:val="24"/>
                <w:szCs w:val="22"/>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auto"/>
                <w:sz w:val="24"/>
                <w:szCs w:val="22"/>
              </w:rPr>
              <w:t>4楼</w:t>
            </w:r>
            <w:r>
              <w:rPr>
                <w:rFonts w:hint="eastAsia" w:hAnsi="宋体" w:cs="仿宋_GB2312"/>
                <w:color w:val="auto"/>
                <w:sz w:val="24"/>
                <w:szCs w:val="22"/>
                <w:lang w:val="en-US" w:eastAsia="zh-CN"/>
              </w:rPr>
              <w:t>开标一</w:t>
            </w:r>
            <w:r>
              <w:rPr>
                <w:rFonts w:hint="eastAsia" w:hAnsi="宋体" w:cs="仿宋_GB2312"/>
                <w:color w:val="auto"/>
                <w:sz w:val="24"/>
                <w:szCs w:val="22"/>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类似市政工程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4"/>
                      <w:szCs w:val="24"/>
                      <w:lang w:val="en-US" w:eastAsia="zh-CN"/>
                    </w:rPr>
                  </w:pPr>
                  <w:r>
                    <w:rPr>
                      <w:rFonts w:hint="eastAsia" w:hAnsi="宋体" w:cs="宋体"/>
                      <w:b/>
                      <w:bCs/>
                      <w:sz w:val="24"/>
                      <w:szCs w:val="24"/>
                      <w:lang w:val="en-US" w:eastAsia="zh-CN"/>
                    </w:rPr>
                    <w:t>招标控制价：</w:t>
                  </w:r>
                  <w:r>
                    <w:rPr>
                      <w:rFonts w:hint="eastAsia" w:hAnsi="宋体" w:cs="宋体"/>
                      <w:sz w:val="24"/>
                      <w:szCs w:val="24"/>
                      <w:lang w:val="en-US" w:eastAsia="zh-CN"/>
                    </w:rPr>
                    <w:t>贰仟伍佰伍拾叁万贰仟玖佰肆拾壹元贰角捌分（含规费、税金、安全文明措施费）；小写：25532941.28元。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b/>
                      <w:bCs/>
                      <w:sz w:val="24"/>
                      <w:szCs w:val="24"/>
                      <w:lang w:val="en-US" w:eastAsia="zh-CN"/>
                    </w:rPr>
                  </w:pPr>
                  <w:r>
                    <w:rPr>
                      <w:rFonts w:hint="eastAsia" w:hAnsi="宋体" w:cs="宋体"/>
                      <w:b/>
                      <w:bCs/>
                      <w:sz w:val="24"/>
                      <w:szCs w:val="24"/>
                      <w:lang w:val="en-US" w:eastAsia="zh-CN"/>
                    </w:rPr>
                    <w:t>其中一标段：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4"/>
                      <w:szCs w:val="24"/>
                      <w:lang w:val="en-US" w:eastAsia="zh-CN"/>
                    </w:rPr>
                  </w:pPr>
                  <w:r>
                    <w:rPr>
                      <w:rFonts w:hint="eastAsia" w:hAnsi="宋体" w:cs="宋体"/>
                      <w:sz w:val="24"/>
                      <w:szCs w:val="24"/>
                      <w:lang w:val="en-US" w:eastAsia="zh-CN"/>
                    </w:rPr>
                    <w:t>大写：伍佰玖拾万零陆佰肆拾元肆角肆分（含规费、税金、安全文明措施费）；小写：5900640.44元。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b/>
                      <w:bCs/>
                      <w:sz w:val="24"/>
                      <w:szCs w:val="24"/>
                      <w:lang w:val="en-US" w:eastAsia="zh-CN"/>
                    </w:rPr>
                  </w:pPr>
                  <w:r>
                    <w:rPr>
                      <w:rFonts w:hint="eastAsia" w:hAnsi="宋体" w:cs="宋体"/>
                      <w:b/>
                      <w:bCs/>
                      <w:sz w:val="24"/>
                      <w:szCs w:val="24"/>
                      <w:lang w:val="en-US" w:eastAsia="zh-CN"/>
                    </w:rPr>
                    <w:t>二标段：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4"/>
                      <w:szCs w:val="24"/>
                      <w:lang w:val="en-US" w:eastAsia="zh-CN"/>
                    </w:rPr>
                  </w:pPr>
                  <w:r>
                    <w:rPr>
                      <w:rFonts w:hint="eastAsia" w:hAnsi="宋体" w:cs="宋体"/>
                      <w:sz w:val="24"/>
                      <w:szCs w:val="24"/>
                      <w:lang w:val="en-US" w:eastAsia="zh-CN"/>
                    </w:rPr>
                    <w:t>大写：肆佰玖拾陆万贰仟柒佰玖拾捌元肆角柒分（含规费、税金、安全文明措施费）；小写：4962798.47元。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b/>
                      <w:bCs/>
                      <w:sz w:val="24"/>
                      <w:szCs w:val="24"/>
                      <w:lang w:val="en-US" w:eastAsia="zh-CN"/>
                    </w:rPr>
                  </w:pPr>
                  <w:r>
                    <w:rPr>
                      <w:rFonts w:hint="eastAsia" w:hAnsi="宋体" w:cs="宋体"/>
                      <w:b/>
                      <w:bCs/>
                      <w:sz w:val="24"/>
                      <w:szCs w:val="24"/>
                      <w:lang w:val="en-US" w:eastAsia="zh-CN"/>
                    </w:rPr>
                    <w:t>三标段：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4"/>
                      <w:szCs w:val="24"/>
                      <w:lang w:val="en-US" w:eastAsia="zh-CN"/>
                    </w:rPr>
                  </w:pPr>
                  <w:r>
                    <w:rPr>
                      <w:rFonts w:hint="eastAsia" w:hAnsi="宋体" w:cs="宋体"/>
                      <w:sz w:val="24"/>
                      <w:szCs w:val="24"/>
                      <w:lang w:val="en-US" w:eastAsia="zh-CN"/>
                    </w:rPr>
                    <w:t>大写：伍佰肆拾捌万柒仟叁佰捌拾肆元壹角叁分（含规费、税金、安全文明措施费）；小写：5487384.13元。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b/>
                      <w:bCs/>
                      <w:sz w:val="24"/>
                      <w:szCs w:val="24"/>
                      <w:lang w:val="en-US" w:eastAsia="zh-CN"/>
                    </w:rPr>
                  </w:pPr>
                  <w:r>
                    <w:rPr>
                      <w:rFonts w:hint="eastAsia" w:hAnsi="宋体" w:cs="宋体"/>
                      <w:b/>
                      <w:bCs/>
                      <w:sz w:val="24"/>
                      <w:szCs w:val="24"/>
                      <w:lang w:val="en-US" w:eastAsia="zh-CN"/>
                    </w:rPr>
                    <w:t>四标段：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4"/>
                      <w:szCs w:val="24"/>
                      <w:lang w:val="en-US" w:eastAsia="zh-CN"/>
                    </w:rPr>
                  </w:pPr>
                  <w:r>
                    <w:rPr>
                      <w:rFonts w:hint="eastAsia" w:hAnsi="宋体" w:cs="宋体"/>
                      <w:sz w:val="24"/>
                      <w:szCs w:val="24"/>
                      <w:lang w:val="en-US" w:eastAsia="zh-CN"/>
                    </w:rPr>
                    <w:t>大写：柒佰叁拾贰万壹仟捌佰零捌元陆角柒分（含规费、税金、安全文明措施费）；小写：7321808.67元。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b/>
                      <w:bCs/>
                      <w:sz w:val="24"/>
                      <w:szCs w:val="24"/>
                      <w:lang w:val="en-US" w:eastAsia="zh-CN"/>
                    </w:rPr>
                  </w:pPr>
                  <w:r>
                    <w:rPr>
                      <w:rFonts w:hint="eastAsia" w:hAnsi="宋体" w:cs="宋体"/>
                      <w:b/>
                      <w:bCs/>
                      <w:sz w:val="24"/>
                      <w:szCs w:val="24"/>
                      <w:lang w:val="en-US" w:eastAsia="zh-CN"/>
                    </w:rPr>
                    <w:t>五标段：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4"/>
                      <w:szCs w:val="24"/>
                      <w:lang w:val="en-US" w:eastAsia="zh-CN"/>
                    </w:rPr>
                  </w:pPr>
                  <w:r>
                    <w:rPr>
                      <w:rFonts w:hint="eastAsia" w:hAnsi="宋体" w:cs="宋体"/>
                      <w:sz w:val="24"/>
                      <w:szCs w:val="24"/>
                      <w:lang w:val="en-US" w:eastAsia="zh-CN"/>
                    </w:rPr>
                    <w:t>大写：壹佰捌拾陆万零叁佰零玖元伍角柒分（含规费、税金、安全文明措施费）；小写：1860309.57元。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pStyle w:val="2"/>
              <w:ind w:left="0" w:leftChars="0" w:firstLine="0" w:firstLineChars="0"/>
              <w:rPr>
                <w:rFonts w:hint="eastAsia" w:hAnsi="宋体" w:cs="宋体"/>
                <w:sz w:val="24"/>
              </w:rPr>
            </w:pPr>
            <w:r>
              <w:rPr>
                <w:rFonts w:hint="eastAsia" w:hAnsi="宋体" w:cs="宋体"/>
                <w:sz w:val="24"/>
              </w:rPr>
              <w:t>7.2 商务标投标文件制作技术咨询：0374-2961598。</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int="eastAsia" w:hAnsi="宋体" w:cs="宋体"/>
                <w:b/>
                <w:bCs/>
                <w:sz w:val="24"/>
                <w:szCs w:val="22"/>
              </w:rPr>
            </w:pPr>
            <w:r>
              <w:rPr>
                <w:rFonts w:hint="eastAsia" w:hAnsi="宋体" w:cs="宋体"/>
                <w:b/>
                <w:bCs/>
                <w:sz w:val="24"/>
                <w:szCs w:val="22"/>
              </w:rPr>
              <w:t>注：</w:t>
            </w:r>
            <w:r>
              <w:rPr>
                <w:rFonts w:hint="eastAsia" w:hAnsi="宋体" w:cs="宋体"/>
                <w:b/>
                <w:bCs/>
                <w:sz w:val="24"/>
                <w:szCs w:val="22"/>
                <w:lang w:val="en-US" w:eastAsia="zh-CN"/>
              </w:rPr>
              <w:t>1、</w:t>
            </w:r>
            <w:r>
              <w:rPr>
                <w:rFonts w:hint="eastAsia" w:hAnsi="宋体" w:cs="宋体"/>
                <w:b/>
                <w:bCs/>
                <w:sz w:val="24"/>
                <w:szCs w:val="22"/>
              </w:rPr>
              <w:t>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w:t>
            </w:r>
            <w:r>
              <w:rPr>
                <w:rFonts w:hint="eastAsia" w:hAnsi="宋体" w:cs="宋体"/>
                <w:b/>
                <w:bCs/>
                <w:sz w:val="24"/>
                <w:szCs w:val="22"/>
                <w:lang w:val="en-US" w:eastAsia="zh-CN"/>
              </w:rPr>
              <w:t>2</w:t>
            </w:r>
            <w:r>
              <w:rPr>
                <w:rFonts w:hint="eastAsia" w:hAnsi="宋体" w:cs="宋体"/>
                <w:b/>
                <w:bCs/>
                <w:sz w:val="24"/>
                <w:szCs w:val="22"/>
              </w:rPr>
              <w:t>份随投标文件一同递交（单独密封）。投标人不再上传电子版商务标投标文件，纸质版商务标投标文件中的已标价工程量清单不须附水印码。</w:t>
            </w:r>
          </w:p>
          <w:p>
            <w:pPr>
              <w:keepNext w:val="0"/>
              <w:keepLines w:val="0"/>
              <w:pageBreakBefore w:val="0"/>
              <w:widowControl w:val="0"/>
              <w:kinsoku/>
              <w:wordWrap/>
              <w:overflowPunct/>
              <w:topLinePunct w:val="0"/>
              <w:autoSpaceDE w:val="0"/>
              <w:autoSpaceDN w:val="0"/>
              <w:bidi w:val="0"/>
              <w:spacing w:line="350" w:lineRule="exact"/>
              <w:ind w:firstLine="480" w:firstLineChars="200"/>
              <w:jc w:val="left"/>
              <w:textAlignment w:val="auto"/>
              <w:outlineLvl w:val="0"/>
              <w:rPr>
                <w:rFonts w:hint="eastAsia"/>
                <w:b/>
                <w:bCs/>
                <w:sz w:val="30"/>
                <w:szCs w:val="30"/>
              </w:rPr>
            </w:pPr>
            <w:r>
              <w:rPr>
                <w:rFonts w:hint="eastAsia" w:hAnsi="宋体" w:cs="宋体"/>
                <w:b/>
                <w:bCs/>
                <w:sz w:val="24"/>
                <w:szCs w:val="22"/>
                <w:lang w:val="en-US" w:eastAsia="zh-CN"/>
              </w:rPr>
              <w:t>2、</w:t>
            </w:r>
            <w:r>
              <w:rPr>
                <w:rFonts w:hint="eastAsia" w:hAnsi="宋体" w:cs="宋体"/>
                <w:b/>
                <w:bCs/>
                <w:sz w:val="24"/>
                <w:szCs w:val="22"/>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pStyle w:val="2"/>
        <w:rPr>
          <w:rFonts w:hint="eastAsia"/>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w:t>
      </w:r>
      <w:r>
        <w:rPr>
          <w:rFonts w:hint="eastAsia" w:hAnsi="宋体" w:cs="宋体"/>
          <w:b/>
          <w:sz w:val="24"/>
          <w:lang w:val="en-US" w:eastAsia="zh-CN"/>
        </w:rPr>
        <w:t>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val="en-US" w:eastAsia="zh-CN"/>
        </w:rPr>
        <w:t>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2312"/>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5553"/>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 xml:space="preserve">3.7.7 </w:t>
      </w:r>
      <w:r>
        <w:rPr>
          <w:rFonts w:hint="eastAsia" w:hAnsi="宋体" w:cs="宋体"/>
          <w:sz w:val="24"/>
          <w:szCs w:val="22"/>
          <w:lang w:val="zh-CN"/>
        </w:rPr>
        <w:t>投标</w:t>
      </w:r>
      <w:r>
        <w:rPr>
          <w:rFonts w:hint="eastAsia" w:hAnsi="宋体" w:cs="宋体"/>
          <w:sz w:val="24"/>
          <w:szCs w:val="22"/>
          <w:lang w:val="zh-CN" w:eastAsia="zh-CN"/>
        </w:rPr>
        <w:t>人须提供商务标电子版（U盘）</w:t>
      </w:r>
      <w:r>
        <w:rPr>
          <w:rFonts w:hint="eastAsia" w:hAnsi="宋体" w:cs="宋体"/>
          <w:sz w:val="24"/>
          <w:szCs w:val="22"/>
          <w:lang w:val="en-US" w:eastAsia="zh-CN"/>
        </w:rPr>
        <w:t>2</w:t>
      </w:r>
      <w:r>
        <w:rPr>
          <w:rFonts w:hint="eastAsia" w:hAnsi="宋体" w:cs="宋体"/>
          <w:sz w:val="24"/>
          <w:szCs w:val="22"/>
          <w:lang w:val="zh-CN" w:eastAsia="zh-CN"/>
        </w:rPr>
        <w:t>份，</w:t>
      </w:r>
      <w:r>
        <w:rPr>
          <w:rFonts w:hint="eastAsia" w:hAnsi="宋体" w:cs="宋体"/>
          <w:sz w:val="24"/>
          <w:szCs w:val="22"/>
          <w:lang w:val="zh-CN"/>
        </w:rPr>
        <w:t>内附已标价工程量清单电子版（EXCEL版本），</w:t>
      </w:r>
      <w:r>
        <w:rPr>
          <w:rFonts w:hint="eastAsia" w:hAnsi="宋体" w:cs="宋体"/>
          <w:sz w:val="24"/>
          <w:szCs w:val="22"/>
          <w:lang w:val="en-US" w:eastAsia="zh-CN"/>
        </w:rPr>
        <w:t>如出现投标企业商务标电子版无法正常读取，</w:t>
      </w:r>
      <w:r>
        <w:rPr>
          <w:rFonts w:hint="eastAsia" w:hAnsi="宋体" w:cs="宋体"/>
          <w:sz w:val="24"/>
          <w:szCs w:val="22"/>
        </w:rPr>
        <w:t>直接视为无效投标处理</w:t>
      </w:r>
      <w:r>
        <w:rPr>
          <w:rFonts w:hint="eastAsia" w:hAnsi="宋体" w:cs="宋体"/>
          <w:sz w:val="24"/>
          <w:szCs w:val="22"/>
          <w:lang w:val="zh-CN"/>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 xml:space="preserve">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w:t>
      </w:r>
      <w:r>
        <w:rPr>
          <w:rFonts w:hint="eastAsia" w:hAnsi="宋体" w:cs="宋体"/>
          <w:sz w:val="24"/>
          <w:lang w:val="en-US" w:eastAsia="zh-CN"/>
        </w:rPr>
        <w:t xml:space="preserve">9 </w:t>
      </w:r>
      <w:r>
        <w:rPr>
          <w:rFonts w:hint="eastAsia" w:hAnsi="宋体" w:cs="宋体"/>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11</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11</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w:t>
      </w:r>
      <w:r>
        <w:rPr>
          <w:rFonts w:hint="eastAsia" w:hAnsi="宋体" w:cs="宋体"/>
          <w:sz w:val="24"/>
          <w:lang w:val="en-US" w:eastAsia="zh-CN"/>
        </w:rPr>
        <w:t>11</w:t>
      </w:r>
      <w:r>
        <w:rPr>
          <w:rFonts w:hint="eastAsia" w:hAnsi="宋体" w:cs="宋体"/>
          <w:sz w:val="24"/>
        </w:rPr>
        <w:t>.2 商务标投标文件制作技术咨询：0374-2961598。</w:t>
      </w:r>
    </w:p>
    <w:p>
      <w:pPr>
        <w:spacing w:line="430" w:lineRule="exact"/>
        <w:ind w:left="1" w:firstLine="560" w:firstLineChars="200"/>
      </w:pPr>
      <w:r>
        <w:rPr>
          <w:rFonts w:hint="eastAsia" w:ascii="新宋体" w:hAnsi="新宋体" w:eastAsia="新宋体"/>
          <w:b/>
          <w:bCs/>
          <w:sz w:val="28"/>
          <w:szCs w:val="28"/>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4497453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keepNext w:val="0"/>
        <w:keepLines w:val="0"/>
        <w:pageBreakBefore w:val="0"/>
        <w:widowControl w:val="0"/>
        <w:kinsoku/>
        <w:wordWrap/>
        <w:overflowPunct/>
        <w:topLinePunct w:val="0"/>
        <w:autoSpaceDE w:val="0"/>
        <w:autoSpaceDN w:val="0"/>
        <w:bidi w:val="0"/>
        <w:snapToGrid/>
        <w:spacing w:line="410" w:lineRule="exact"/>
        <w:ind w:firstLine="480" w:firstLineChars="200"/>
        <w:jc w:val="left"/>
        <w:textAlignment w:val="auto"/>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keepNext w:val="0"/>
        <w:keepLines w:val="0"/>
        <w:pageBreakBefore w:val="0"/>
        <w:widowControl w:val="0"/>
        <w:kinsoku/>
        <w:wordWrap/>
        <w:overflowPunct/>
        <w:topLinePunct w:val="0"/>
        <w:autoSpaceDE w:val="0"/>
        <w:autoSpaceDN w:val="0"/>
        <w:bidi w:val="0"/>
        <w:snapToGrid/>
        <w:spacing w:line="410" w:lineRule="exact"/>
        <w:ind w:firstLine="480" w:firstLineChars="200"/>
        <w:jc w:val="left"/>
        <w:textAlignment w:val="auto"/>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keepNext w:val="0"/>
        <w:keepLines w:val="0"/>
        <w:pageBreakBefore w:val="0"/>
        <w:widowControl w:val="0"/>
        <w:kinsoku/>
        <w:wordWrap/>
        <w:overflowPunct/>
        <w:topLinePunct w:val="0"/>
        <w:autoSpaceDE w:val="0"/>
        <w:autoSpaceDN w:val="0"/>
        <w:bidi w:val="0"/>
        <w:snapToGrid/>
        <w:spacing w:line="410" w:lineRule="exact"/>
        <w:jc w:val="left"/>
        <w:textAlignment w:val="auto"/>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有下列情形之一的，招标人将重新招标：</w:t>
      </w:r>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keepNext w:val="0"/>
        <w:keepLines w:val="0"/>
        <w:pageBreakBefore w:val="0"/>
        <w:widowControl w:val="0"/>
        <w:kinsoku/>
        <w:wordWrap/>
        <w:overflowPunct/>
        <w:topLinePunct w:val="0"/>
        <w:autoSpaceDE w:val="0"/>
        <w:autoSpaceDN w:val="0"/>
        <w:bidi w:val="0"/>
        <w:adjustRightInd w:val="0"/>
        <w:snapToGrid/>
        <w:spacing w:line="410" w:lineRule="exact"/>
        <w:ind w:firstLine="540" w:firstLineChars="225"/>
        <w:jc w:val="left"/>
        <w:textAlignment w:val="auto"/>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keepNext w:val="0"/>
        <w:keepLines w:val="0"/>
        <w:pageBreakBefore w:val="0"/>
        <w:widowControl w:val="0"/>
        <w:kinsoku/>
        <w:wordWrap/>
        <w:overflowPunct/>
        <w:topLinePunct w:val="0"/>
        <w:autoSpaceDE w:val="0"/>
        <w:autoSpaceDN w:val="0"/>
        <w:bidi w:val="0"/>
        <w:snapToGrid/>
        <w:spacing w:line="410" w:lineRule="exact"/>
        <w:jc w:val="both"/>
        <w:textAlignment w:val="auto"/>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keepNext w:val="0"/>
        <w:keepLines w:val="0"/>
        <w:pageBreakBefore w:val="0"/>
        <w:widowControl w:val="0"/>
        <w:kinsoku/>
        <w:wordWrap/>
        <w:overflowPunct/>
        <w:topLinePunct w:val="0"/>
        <w:autoSpaceDE w:val="0"/>
        <w:autoSpaceDN w:val="0"/>
        <w:bidi w:val="0"/>
        <w:snapToGrid/>
        <w:spacing w:line="410" w:lineRule="exact"/>
        <w:jc w:val="both"/>
        <w:textAlignment w:val="auto"/>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int="eastAsia" w:hAnsi="宋体" w:cs="宋体"/>
          <w:b/>
          <w:bCs/>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int="eastAsia" w:hAnsi="宋体"/>
          <w:b/>
          <w:sz w:val="36"/>
          <w:szCs w:val="36"/>
        </w:rPr>
      </w:pPr>
    </w:p>
    <w:p>
      <w:pPr>
        <w:pStyle w:val="2"/>
        <w:rPr>
          <w:rFonts w:hint="eastAsia" w:hAnsi="宋体"/>
          <w:b/>
          <w:sz w:val="36"/>
          <w:szCs w:val="36"/>
        </w:rPr>
      </w:pPr>
    </w:p>
    <w:p>
      <w:pPr>
        <w:spacing w:line="420" w:lineRule="exact"/>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720" w:firstLineChars="300"/>
        <w:rPr>
          <w:rFonts w:hint="eastAsia" w:ascii="新宋体" w:hAnsi="新宋体" w:eastAsia="新宋体" w:cs="Times New Roman"/>
          <w:sz w:val="24"/>
          <w:szCs w:val="22"/>
        </w:rPr>
      </w:pPr>
      <w:r>
        <w:rPr>
          <w:rFonts w:hint="eastAsia" w:ascii="新宋体" w:hAnsi="新宋体" w:eastAsia="新宋体" w:cs="Times New Roman"/>
          <w:sz w:val="24"/>
          <w:szCs w:val="22"/>
        </w:rPr>
        <w:t>先由评标委员会对投标文件进行基础性数据分析和整理（清标内容见下表），形成清标成果。出现否定事项的，评标委员会不再对其质询，直接视为无效投标处理（但法律法规规定的席位偏差除外）。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hint="eastAsia" w:ascii="新宋体" w:hAnsi="新宋体" w:eastAsia="新宋体"/>
          <w:bCs/>
          <w:sz w:val="24"/>
        </w:rPr>
      </w:pPr>
      <w:r>
        <w:rPr>
          <w:rFonts w:hint="eastAsia" w:ascii="新宋体" w:hAnsi="新宋体" w:eastAsia="新宋体"/>
          <w:bCs/>
          <w:sz w:val="24"/>
        </w:rPr>
        <w:t>（5）未按照暂列金额或者暂估价编制投标报价的。</w:t>
      </w:r>
    </w:p>
    <w:p>
      <w:pPr>
        <w:spacing w:line="360" w:lineRule="auto"/>
        <w:ind w:firstLine="480" w:firstLineChars="200"/>
        <w:rPr>
          <w:rFonts w:hint="eastAsia" w:ascii="新宋体" w:hAnsi="新宋体" w:eastAsia="新宋体"/>
          <w:b/>
          <w:bCs w:val="0"/>
          <w:sz w:val="24"/>
          <w:szCs w:val="22"/>
          <w:lang w:val="en-US" w:eastAsia="zh-CN"/>
        </w:rPr>
      </w:pPr>
      <w:r>
        <w:rPr>
          <w:rFonts w:hint="eastAsia" w:ascii="新宋体" w:hAnsi="新宋体" w:eastAsia="新宋体"/>
          <w:b/>
          <w:bCs w:val="0"/>
          <w:sz w:val="24"/>
          <w:szCs w:val="22"/>
          <w:lang w:val="en-US" w:eastAsia="zh-CN"/>
        </w:rPr>
        <w:t>注：</w:t>
      </w:r>
      <w:r>
        <w:rPr>
          <w:rFonts w:hint="eastAsia" w:ascii="新宋体" w:hAnsi="新宋体" w:eastAsia="新宋体"/>
          <w:b/>
          <w:bCs w:val="0"/>
          <w:sz w:val="24"/>
          <w:szCs w:val="22"/>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95572535"/>
            <w:bookmarkStart w:id="73" w:name="_Toc273546398"/>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7"/>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6</w:t>
      </w:r>
      <w:r>
        <w:rPr>
          <w:rFonts w:hint="eastAsia"/>
          <w:b/>
          <w:bCs/>
          <w:color w:val="auto"/>
          <w:sz w:val="24"/>
          <w:szCs w:val="24"/>
        </w:rPr>
        <w:t>分</w:t>
      </w:r>
    </w:p>
    <w:p>
      <w:pPr>
        <w:spacing w:line="360" w:lineRule="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1.1拟派技术负责人为中级</w:t>
      </w:r>
      <w:r>
        <w:rPr>
          <w:rFonts w:hint="eastAsia"/>
          <w:color w:val="auto"/>
          <w:sz w:val="24"/>
          <w:szCs w:val="24"/>
          <w:lang w:val="en-US" w:eastAsia="zh-CN"/>
        </w:rPr>
        <w:t>及以上</w:t>
      </w:r>
      <w:r>
        <w:rPr>
          <w:rFonts w:hint="eastAsia"/>
          <w:color w:val="auto"/>
          <w:sz w:val="24"/>
          <w:szCs w:val="24"/>
        </w:rPr>
        <w:t>职称</w:t>
      </w:r>
      <w:r>
        <w:rPr>
          <w:rFonts w:hint="eastAsia"/>
          <w:color w:val="auto"/>
          <w:sz w:val="24"/>
          <w:szCs w:val="24"/>
          <w:lang w:val="en-US" w:eastAsia="zh-CN"/>
        </w:rPr>
        <w:t>者得2分，最高</w:t>
      </w:r>
      <w:r>
        <w:rPr>
          <w:rFonts w:hint="eastAsia"/>
          <w:color w:val="auto"/>
          <w:sz w:val="24"/>
          <w:szCs w:val="24"/>
        </w:rPr>
        <w:t>得</w:t>
      </w:r>
      <w:r>
        <w:rPr>
          <w:rFonts w:hint="eastAsia"/>
          <w:color w:val="auto"/>
          <w:sz w:val="24"/>
          <w:szCs w:val="24"/>
          <w:lang w:val="en-US" w:eastAsia="zh-CN"/>
        </w:rPr>
        <w:t>2</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附社保三个月网上查询截图或当地社保部门出具的个人明细表）</w:t>
      </w:r>
    </w:p>
    <w:p>
      <w:pPr>
        <w:spacing w:line="360" w:lineRule="auto"/>
        <w:rPr>
          <w:rFonts w:hint="eastAsia"/>
          <w:color w:val="auto"/>
          <w:sz w:val="24"/>
          <w:szCs w:val="24"/>
        </w:rPr>
      </w:pPr>
      <w:r>
        <w:rPr>
          <w:rFonts w:hint="eastAsia"/>
          <w:color w:val="auto"/>
          <w:sz w:val="24"/>
          <w:szCs w:val="24"/>
        </w:rPr>
        <w:t xml:space="preserve">    1.2拟派项目班子中具有施工员、质量员、安全员、</w:t>
      </w:r>
      <w:r>
        <w:rPr>
          <w:rFonts w:hint="eastAsia"/>
          <w:color w:val="auto"/>
          <w:sz w:val="24"/>
          <w:szCs w:val="24"/>
          <w:lang w:eastAsia="zh-CN"/>
        </w:rPr>
        <w:t>造价员</w:t>
      </w:r>
      <w:r>
        <w:rPr>
          <w:rFonts w:hint="eastAsia"/>
          <w:color w:val="auto"/>
          <w:sz w:val="24"/>
          <w:szCs w:val="24"/>
        </w:rPr>
        <w:t>、资料员</w:t>
      </w:r>
      <w:r>
        <w:rPr>
          <w:rFonts w:hint="eastAsia"/>
          <w:color w:val="auto"/>
          <w:sz w:val="24"/>
          <w:szCs w:val="24"/>
          <w:lang w:eastAsia="zh-CN"/>
        </w:rPr>
        <w:t>、测量员、劳务员、标准员</w:t>
      </w:r>
      <w:r>
        <w:rPr>
          <w:rFonts w:hint="eastAsia"/>
          <w:color w:val="auto"/>
          <w:sz w:val="24"/>
          <w:szCs w:val="24"/>
        </w:rPr>
        <w:t>证件每项得0.</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4</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附社保三个月网上查询截图或当地社保部门出具的个人明细表）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6</w:t>
      </w:r>
      <w:r>
        <w:rPr>
          <w:rFonts w:hint="eastAsia" w:hAnsi="宋体"/>
          <w:b/>
          <w:bCs/>
          <w:color w:val="auto"/>
          <w:sz w:val="24"/>
          <w:szCs w:val="24"/>
        </w:rPr>
        <w:t>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2.1自</w:t>
      </w:r>
      <w:bookmarkStart w:id="75" w:name="_Hlk487381127"/>
      <w:r>
        <w:rPr>
          <w:rFonts w:hint="eastAsia" w:hAnsi="Times New Roman" w:cs="Times New Roman"/>
          <w:color w:val="auto"/>
          <w:sz w:val="24"/>
          <w:szCs w:val="24"/>
          <w:lang w:val="en-US" w:eastAsia="zh-CN"/>
        </w:rPr>
        <w:t>2016年1月1日以来</w:t>
      </w:r>
      <w:bookmarkEnd w:id="75"/>
      <w:r>
        <w:rPr>
          <w:rFonts w:hint="eastAsia" w:hAnsi="Times New Roman" w:cs="Times New Roman"/>
          <w:color w:val="auto"/>
          <w:sz w:val="24"/>
          <w:szCs w:val="24"/>
          <w:lang w:val="en-US" w:eastAsia="zh-CN"/>
        </w:rPr>
        <w:t>（以合同签订时间为准）企业具有类似项目业绩者</w:t>
      </w:r>
      <w:r>
        <w:rPr>
          <w:rFonts w:hint="eastAsia" w:cs="Times New Roman"/>
          <w:color w:val="auto"/>
          <w:sz w:val="24"/>
          <w:szCs w:val="24"/>
          <w:lang w:val="en-US" w:eastAsia="zh-CN"/>
        </w:rPr>
        <w:t>，每项</w:t>
      </w:r>
      <w:r>
        <w:rPr>
          <w:rFonts w:hint="eastAsia" w:hAnsi="Times New Roman" w:cs="Times New Roman"/>
          <w:color w:val="auto"/>
          <w:sz w:val="24"/>
          <w:szCs w:val="24"/>
          <w:lang w:val="en-US" w:eastAsia="zh-CN"/>
        </w:rPr>
        <w:t>得</w:t>
      </w:r>
      <w:r>
        <w:rPr>
          <w:rFonts w:hint="eastAsia" w:cs="Times New Roman"/>
          <w:color w:val="auto"/>
          <w:sz w:val="24"/>
          <w:szCs w:val="24"/>
          <w:lang w:val="en-US" w:eastAsia="zh-CN"/>
        </w:rPr>
        <w:t>1.5</w:t>
      </w:r>
      <w:r>
        <w:rPr>
          <w:rFonts w:hint="eastAsia" w:hAnsi="Times New Roman" w:cs="Times New Roman"/>
          <w:color w:val="auto"/>
          <w:sz w:val="24"/>
          <w:szCs w:val="24"/>
          <w:lang w:val="en-US" w:eastAsia="zh-CN"/>
        </w:rPr>
        <w:t>分，最高得</w:t>
      </w:r>
      <w:r>
        <w:rPr>
          <w:rFonts w:hint="eastAsia" w:cs="Times New Roman"/>
          <w:color w:val="auto"/>
          <w:sz w:val="24"/>
          <w:szCs w:val="24"/>
          <w:lang w:val="en-US" w:eastAsia="zh-CN"/>
        </w:rPr>
        <w:t>3</w:t>
      </w:r>
      <w:r>
        <w:rPr>
          <w:rFonts w:hint="eastAsia" w:hAnsi="Times New Roman" w:cs="Times New Roman"/>
          <w:color w:val="auto"/>
          <w:sz w:val="24"/>
          <w:szCs w:val="24"/>
          <w:lang w:val="en-US" w:eastAsia="zh-CN"/>
        </w:rPr>
        <w:t>分。（以中标公示截图和中标通知书和施工合同为准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缺一不得分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2.2自2016年1月1日以来投标人获得市级及以上安全</w:t>
      </w:r>
      <w:r>
        <w:rPr>
          <w:rFonts w:hint="eastAsia" w:cs="Times New Roman"/>
          <w:color w:val="auto"/>
          <w:sz w:val="24"/>
          <w:szCs w:val="24"/>
          <w:lang w:val="en-US" w:eastAsia="zh-CN"/>
        </w:rPr>
        <w:t>管理</w:t>
      </w:r>
      <w:r>
        <w:rPr>
          <w:rFonts w:hint="eastAsia" w:hAnsi="Times New Roman" w:cs="Times New Roman"/>
          <w:color w:val="auto"/>
          <w:sz w:val="24"/>
          <w:szCs w:val="24"/>
          <w:lang w:val="en-US" w:eastAsia="zh-CN"/>
        </w:rPr>
        <w:t>先进企业或获得市级及以上质量管理先进企业者得2分，最高得2分。（以获奖证书和文件为准）</w:t>
      </w:r>
    </w:p>
    <w:p>
      <w:pPr>
        <w:spacing w:line="360" w:lineRule="auto"/>
        <w:ind w:firstLine="480" w:firstLineChars="200"/>
        <w:rPr>
          <w:rFonts w:hint="default" w:hAnsi="Times New Roman" w:cs="Times New Roman"/>
          <w:color w:val="auto"/>
          <w:sz w:val="24"/>
          <w:szCs w:val="24"/>
          <w:lang w:val="en-US" w:eastAsia="zh-CN"/>
        </w:rPr>
      </w:pPr>
      <w:r>
        <w:rPr>
          <w:rFonts w:hint="eastAsia" w:cs="Times New Roman"/>
          <w:color w:val="auto"/>
          <w:sz w:val="24"/>
          <w:szCs w:val="24"/>
          <w:lang w:val="en-US" w:eastAsia="zh-CN"/>
        </w:rPr>
        <w:t>2.3自2016年1月1日以来企业荣获“重合同守信用”荣誉称号的得1分，最高得1分。（以证书为准）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b/>
          <w:bCs/>
          <w:color w:val="auto"/>
          <w:sz w:val="24"/>
          <w:szCs w:val="24"/>
        </w:rPr>
      </w:pPr>
      <w:r>
        <w:rPr>
          <w:rFonts w:hint="eastAsia"/>
          <w:b/>
          <w:bCs/>
          <w:color w:val="auto"/>
          <w:sz w:val="24"/>
          <w:szCs w:val="24"/>
        </w:rPr>
        <w:t>3、项目</w:t>
      </w:r>
      <w:r>
        <w:rPr>
          <w:rFonts w:hint="eastAsia"/>
          <w:b/>
          <w:bCs/>
          <w:color w:val="auto"/>
          <w:sz w:val="24"/>
          <w:szCs w:val="24"/>
          <w:lang w:val="en-US" w:eastAsia="zh-CN"/>
        </w:rPr>
        <w:t>负责人</w:t>
      </w:r>
      <w:r>
        <w:rPr>
          <w:rFonts w:hint="eastAsia"/>
          <w:b/>
          <w:bCs/>
          <w:color w:val="auto"/>
          <w:sz w:val="24"/>
          <w:szCs w:val="24"/>
        </w:rPr>
        <w:t>业绩及信用0-</w:t>
      </w:r>
      <w:r>
        <w:rPr>
          <w:rFonts w:hint="eastAsia"/>
          <w:b/>
          <w:bCs/>
          <w:color w:val="auto"/>
          <w:sz w:val="24"/>
          <w:szCs w:val="24"/>
          <w:lang w:val="en-US" w:eastAsia="zh-CN"/>
        </w:rPr>
        <w:t>3</w:t>
      </w:r>
      <w:r>
        <w:rPr>
          <w:rFonts w:hint="eastAsia"/>
          <w:b/>
          <w:bCs/>
          <w:color w:val="auto"/>
          <w:sz w:val="24"/>
          <w:szCs w:val="24"/>
        </w:rPr>
        <w:t>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 w:val="0"/>
          <w:bCs w:val="0"/>
          <w:color w:val="auto"/>
          <w:sz w:val="24"/>
          <w:szCs w:val="24"/>
          <w:lang w:eastAsia="zh-CN"/>
        </w:rPr>
      </w:pPr>
      <w:r>
        <w:rPr>
          <w:rFonts w:hint="eastAsia" w:hAnsi="宋体"/>
          <w:b w:val="0"/>
          <w:bCs w:val="0"/>
          <w:color w:val="auto"/>
          <w:sz w:val="24"/>
          <w:szCs w:val="24"/>
          <w:lang w:eastAsia="zh-CN"/>
        </w:rPr>
        <w:t>自201</w:t>
      </w:r>
      <w:r>
        <w:rPr>
          <w:rFonts w:hint="eastAsia" w:hAnsi="宋体"/>
          <w:b w:val="0"/>
          <w:bCs w:val="0"/>
          <w:color w:val="auto"/>
          <w:sz w:val="24"/>
          <w:szCs w:val="24"/>
          <w:lang w:val="en-US" w:eastAsia="zh-CN"/>
        </w:rPr>
        <w:t>6</w:t>
      </w:r>
      <w:r>
        <w:rPr>
          <w:rFonts w:hint="eastAsia" w:hAnsi="宋体"/>
          <w:b w:val="0"/>
          <w:bCs w:val="0"/>
          <w:color w:val="auto"/>
          <w:sz w:val="24"/>
          <w:szCs w:val="24"/>
          <w:lang w:eastAsia="zh-CN"/>
        </w:rPr>
        <w:t>年1月1日以来（以合同签订时间为准）：拟派项目</w:t>
      </w:r>
      <w:r>
        <w:rPr>
          <w:rFonts w:hint="eastAsia" w:hAnsi="宋体"/>
          <w:b w:val="0"/>
          <w:bCs w:val="0"/>
          <w:color w:val="auto"/>
          <w:sz w:val="24"/>
          <w:szCs w:val="24"/>
          <w:lang w:val="en-US" w:eastAsia="zh-CN"/>
        </w:rPr>
        <w:t>负责人</w:t>
      </w:r>
      <w:r>
        <w:rPr>
          <w:rFonts w:hint="eastAsia" w:hAnsi="宋体"/>
          <w:b w:val="0"/>
          <w:bCs w:val="0"/>
          <w:color w:val="auto"/>
          <w:sz w:val="24"/>
          <w:szCs w:val="24"/>
          <w:lang w:eastAsia="zh-CN"/>
        </w:rPr>
        <w:t>具有类似项目业绩者得</w:t>
      </w:r>
      <w:r>
        <w:rPr>
          <w:rFonts w:hint="eastAsia" w:hAnsi="宋体"/>
          <w:b w:val="0"/>
          <w:bCs w:val="0"/>
          <w:color w:val="auto"/>
          <w:sz w:val="24"/>
          <w:szCs w:val="24"/>
          <w:lang w:val="en-US" w:eastAsia="zh-CN"/>
        </w:rPr>
        <w:t>1.5</w:t>
      </w:r>
      <w:r>
        <w:rPr>
          <w:rFonts w:hint="eastAsia" w:hAnsi="宋体"/>
          <w:b w:val="0"/>
          <w:bCs w:val="0"/>
          <w:color w:val="auto"/>
          <w:sz w:val="24"/>
          <w:szCs w:val="24"/>
          <w:lang w:eastAsia="zh-CN"/>
        </w:rPr>
        <w:t>分，最高得</w:t>
      </w:r>
      <w:r>
        <w:rPr>
          <w:rFonts w:hint="eastAsia" w:hAnsi="宋体"/>
          <w:b w:val="0"/>
          <w:bCs w:val="0"/>
          <w:color w:val="auto"/>
          <w:sz w:val="24"/>
          <w:szCs w:val="24"/>
          <w:lang w:val="en-US" w:eastAsia="zh-CN"/>
        </w:rPr>
        <w:t>3分</w:t>
      </w:r>
      <w:r>
        <w:rPr>
          <w:rFonts w:hint="eastAsia" w:hAnsi="宋体"/>
          <w:b w:val="0"/>
          <w:bCs w:val="0"/>
          <w:color w:val="auto"/>
          <w:sz w:val="24"/>
          <w:szCs w:val="24"/>
          <w:lang w:eastAsia="zh-CN"/>
        </w:rPr>
        <w:t>（</w:t>
      </w:r>
      <w:r>
        <w:rPr>
          <w:rFonts w:hint="eastAsia" w:hAnsi="宋体"/>
          <w:b w:val="0"/>
          <w:bCs w:val="0"/>
          <w:color w:val="auto"/>
          <w:sz w:val="24"/>
          <w:szCs w:val="24"/>
          <w:lang w:val="en-US" w:eastAsia="zh-CN"/>
        </w:rPr>
        <w:t>提供施工合同和竣工验收备案表或者施工合同和中标通知书，若上述资料不显示项目负责人姓名，还须同时提供相关证明文件</w:t>
      </w:r>
      <w:r>
        <w:rPr>
          <w:rFonts w:hint="eastAsia" w:hAnsi="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年1月1日以来承建的</w:t>
      </w:r>
      <w:r>
        <w:rPr>
          <w:rFonts w:hint="eastAsia" w:hAnsi="宋体" w:cs="宋体"/>
          <w:b/>
          <w:bCs/>
          <w:color w:val="auto"/>
          <w:sz w:val="24"/>
          <w:szCs w:val="22"/>
          <w:lang w:val="en-US" w:eastAsia="zh-CN"/>
        </w:rPr>
        <w:t>不低于所投标段招标控制价金额的</w:t>
      </w:r>
      <w:r>
        <w:rPr>
          <w:rFonts w:hint="eastAsia" w:hAnsi="宋体" w:cs="宋体"/>
          <w:b/>
          <w:bCs/>
          <w:color w:val="auto"/>
          <w:sz w:val="24"/>
          <w:szCs w:val="22"/>
          <w:lang w:eastAsia="zh-CN"/>
        </w:rPr>
        <w:t>市政</w:t>
      </w:r>
      <w:r>
        <w:rPr>
          <w:rFonts w:hint="eastAsia" w:hAnsi="宋体" w:cs="宋体"/>
          <w:b/>
          <w:bCs/>
          <w:color w:val="auto"/>
          <w:sz w:val="24"/>
          <w:szCs w:val="22"/>
          <w:lang w:val="en-US" w:eastAsia="zh-CN"/>
        </w:rPr>
        <w:t>公用</w:t>
      </w:r>
      <w:r>
        <w:rPr>
          <w:rFonts w:hint="eastAsia" w:hAnsi="宋体" w:cs="宋体"/>
          <w:b/>
          <w:bCs/>
          <w:color w:val="auto"/>
          <w:sz w:val="24"/>
          <w:szCs w:val="22"/>
          <w:lang w:eastAsia="zh-CN"/>
        </w:rPr>
        <w:t>工程</w:t>
      </w:r>
      <w:r>
        <w:rPr>
          <w:rFonts w:hint="eastAsia" w:hAnsi="宋体" w:cs="宋体"/>
          <w:b/>
          <w:bCs/>
          <w:color w:val="auto"/>
          <w:sz w:val="24"/>
          <w:szCs w:val="22"/>
        </w:rPr>
        <w:t>；</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000000"/>
          <w:sz w:val="24"/>
          <w:szCs w:val="22"/>
        </w:rPr>
      </w:pPr>
      <w:r>
        <w:rPr>
          <w:rFonts w:hint="eastAsia" w:hAnsi="宋体" w:cs="宋体"/>
          <w:b/>
          <w:bCs/>
          <w:color w:val="000000"/>
          <w:sz w:val="24"/>
          <w:szCs w:val="22"/>
        </w:rPr>
        <w:t>3）业绩合同以合同签订日期为准；</w:t>
      </w:r>
    </w:p>
    <w:p>
      <w:pPr>
        <w:keepNext w:val="0"/>
        <w:keepLines w:val="0"/>
        <w:pageBreakBefore w:val="0"/>
        <w:widowControl w:val="0"/>
        <w:kinsoku/>
        <w:wordWrap/>
        <w:overflowPunct/>
        <w:topLinePunct w:val="0"/>
        <w:autoSpaceDE/>
        <w:autoSpaceDN/>
        <w:bidi w:val="0"/>
        <w:snapToGrid w:val="0"/>
        <w:spacing w:line="440" w:lineRule="exact"/>
        <w:ind w:firstLine="240" w:firstLineChars="100"/>
        <w:textAlignment w:val="auto"/>
        <w:rPr>
          <w:rFonts w:hAnsi="宋体" w:cs="宋体"/>
          <w:b/>
          <w:bCs/>
          <w:color w:val="000000"/>
          <w:sz w:val="24"/>
          <w:szCs w:val="22"/>
        </w:rPr>
      </w:pPr>
      <w:r>
        <w:rPr>
          <w:rFonts w:hint="eastAsia" w:hAnsi="宋体" w:cs="宋体"/>
          <w:b/>
          <w:bCs/>
          <w:color w:val="000000"/>
          <w:sz w:val="24"/>
          <w:szCs w:val="22"/>
        </w:rPr>
        <w:t>（五）投标人综合得分按下列公式计算：</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000000"/>
          <w:sz w:val="24"/>
          <w:szCs w:val="22"/>
        </w:rPr>
      </w:pPr>
      <w:r>
        <w:rPr>
          <w:rFonts w:hint="eastAsia" w:hAnsi="宋体" w:cs="宋体"/>
          <w:sz w:val="24"/>
          <w:szCs w:val="24"/>
        </w:rPr>
        <w:t>投标人综合得分＝技术标得分＋商务标得分＋综合（信用）标得分。</w:t>
      </w:r>
    </w:p>
    <w:p>
      <w:pPr>
        <w:keepNext w:val="0"/>
        <w:keepLines w:val="0"/>
        <w:pageBreakBefore w:val="0"/>
        <w:widowControl w:val="0"/>
        <w:kinsoku/>
        <w:wordWrap/>
        <w:overflowPunct/>
        <w:topLinePunct w:val="0"/>
        <w:autoSpaceDE/>
        <w:autoSpaceDN/>
        <w:bidi w:val="0"/>
        <w:snapToGrid w:val="0"/>
        <w:spacing w:line="440" w:lineRule="exact"/>
        <w:ind w:firstLine="240" w:firstLineChars="100"/>
        <w:textAlignment w:val="auto"/>
        <w:rPr>
          <w:rFonts w:hAnsi="宋体" w:cs="宋体"/>
          <w:b/>
          <w:bCs/>
          <w:color w:val="000000"/>
          <w:sz w:val="24"/>
          <w:szCs w:val="22"/>
        </w:rPr>
      </w:pPr>
      <w:r>
        <w:rPr>
          <w:rFonts w:hint="eastAsia" w:hAnsi="宋体" w:cs="宋体"/>
          <w:b/>
          <w:bCs/>
          <w:color w:val="000000"/>
          <w:sz w:val="24"/>
          <w:szCs w:val="22"/>
        </w:rPr>
        <w:t>（六）投标人的最终得分及中标候选人排序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9"/>
        <w:rPr>
          <w:rFonts w:ascii="新宋体" w:eastAsia="新宋体"/>
          <w:b/>
          <w:szCs w:val="24"/>
        </w:rPr>
      </w:pPr>
      <w:bookmarkStart w:id="76" w:name="_Toc23277"/>
      <w:r>
        <w:rPr>
          <w:rFonts w:hint="eastAsia" w:ascii="新宋体" w:eastAsia="新宋体"/>
          <w:b/>
          <w:szCs w:val="24"/>
        </w:rPr>
        <w:t>九、评标报告</w:t>
      </w:r>
      <w:bookmarkEnd w:id="76"/>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440" w:lineRule="exact"/>
        <w:ind w:firstLine="468" w:firstLineChars="200"/>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pStyle w:val="2"/>
        <w:rPr>
          <w:rFonts w:hint="eastAsia"/>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许昌市建安区部分道路建设、道路及给排水工程、污水改造工程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一标段/二标段/三标段/四标段/五标段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7"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一标段：金额：人民币：壹拾壹万元整（110000.00元）</w:t>
            </w:r>
          </w:p>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二标段：金额：人民币：玖万元整（90000.00元）</w:t>
            </w:r>
          </w:p>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三标段：金额：人民币：壹拾万元整（100000.00元）</w:t>
            </w:r>
          </w:p>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四标段：金额：人民币：壹拾肆万元整（140000.00元）</w:t>
            </w:r>
          </w:p>
          <w:p>
            <w:pPr>
              <w:adjustRightInd w:val="0"/>
              <w:spacing w:line="500" w:lineRule="exact"/>
              <w:rPr>
                <w:rFonts w:hint="eastAsia"/>
                <w:lang w:val="en-US" w:eastAsia="zh-CN"/>
              </w:rPr>
            </w:pPr>
            <w:r>
              <w:rPr>
                <w:rFonts w:hint="eastAsia" w:ascii="仿宋_GB2312" w:hAnsi="宋体" w:eastAsia="仿宋_GB2312" w:cs="宋体"/>
                <w:sz w:val="24"/>
                <w:szCs w:val="22"/>
                <w:lang w:val="en-US" w:eastAsia="zh-CN"/>
              </w:rPr>
              <w:t>五标段：金额：人民币：叁万元整（30000.00元）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both"/>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jc w:val="center"/>
        <w:rPr>
          <w:rFonts w:hint="eastAsia" w:ascii="宋体" w:hAnsi="宋体"/>
          <w:color w:val="000000"/>
          <w:sz w:val="36"/>
          <w:szCs w:val="36"/>
        </w:rPr>
      </w:pPr>
      <w:r>
        <w:rPr>
          <w:rFonts w:hint="eastAsia" w:ascii="宋体" w:hAnsi="宋体"/>
          <w:color w:val="000000"/>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项目编号</w:t>
            </w:r>
          </w:p>
        </w:tc>
        <w:tc>
          <w:tcPr>
            <w:tcW w:w="4140" w:type="dxa"/>
            <w:gridSpan w:val="2"/>
            <w:noWrap w:val="0"/>
            <w:vAlign w:val="center"/>
          </w:tcPr>
          <w:p>
            <w:pPr>
              <w:spacing w:line="360" w:lineRule="exact"/>
              <w:jc w:val="center"/>
              <w:rPr>
                <w:rFonts w:hint="eastAsia" w:ascii="宋体" w:hAnsi="宋体"/>
                <w:color w:val="000000"/>
                <w:sz w:val="24"/>
              </w:rPr>
            </w:pPr>
          </w:p>
        </w:tc>
        <w:tc>
          <w:tcPr>
            <w:tcW w:w="1440" w:type="dxa"/>
            <w:gridSpan w:val="2"/>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是否完工</w:t>
            </w:r>
          </w:p>
        </w:tc>
        <w:tc>
          <w:tcPr>
            <w:tcW w:w="2162" w:type="dxa"/>
            <w:noWrap w:val="0"/>
            <w:vAlign w:val="center"/>
          </w:tcPr>
          <w:p>
            <w:pPr>
              <w:spacing w:line="360" w:lineRule="exact"/>
              <w:ind w:firstLine="240" w:firstLineChars="100"/>
              <w:rPr>
                <w:rFonts w:hint="eastAsia"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中标企业名称</w:t>
            </w:r>
          </w:p>
        </w:tc>
        <w:tc>
          <w:tcPr>
            <w:tcW w:w="7742" w:type="dxa"/>
            <w:gridSpan w:val="5"/>
            <w:noWrap w:val="0"/>
            <w:vAlign w:val="center"/>
          </w:tcPr>
          <w:p>
            <w:pPr>
              <w:spacing w:line="3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rPr>
                <w:rFonts w:hint="eastAsia" w:ascii="宋体" w:hAnsi="宋体"/>
                <w:color w:val="000000"/>
                <w:sz w:val="24"/>
              </w:rPr>
            </w:pPr>
            <w:r>
              <w:rPr>
                <w:rFonts w:hint="eastAsia" w:ascii="宋体" w:hAnsi="宋体"/>
                <w:color w:val="000000"/>
                <w:sz w:val="24"/>
              </w:rPr>
              <w:t>开户银行</w:t>
            </w:r>
          </w:p>
        </w:tc>
        <w:tc>
          <w:tcPr>
            <w:tcW w:w="3780" w:type="dxa"/>
            <w:noWrap w:val="0"/>
            <w:vAlign w:val="center"/>
          </w:tcPr>
          <w:p>
            <w:pPr>
              <w:rPr>
                <w:rFonts w:hint="eastAsia" w:ascii="宋体" w:hAnsi="宋体"/>
                <w:color w:val="000000"/>
                <w:sz w:val="24"/>
              </w:rPr>
            </w:pPr>
          </w:p>
        </w:tc>
        <w:tc>
          <w:tcPr>
            <w:tcW w:w="722" w:type="dxa"/>
            <w:gridSpan w:val="2"/>
            <w:noWrap w:val="0"/>
            <w:vAlign w:val="center"/>
          </w:tcPr>
          <w:p>
            <w:pPr>
              <w:spacing w:line="360" w:lineRule="exact"/>
              <w:rPr>
                <w:rFonts w:hint="eastAsia" w:ascii="宋体" w:hAnsi="宋体"/>
                <w:color w:val="000000"/>
                <w:sz w:val="24"/>
              </w:rPr>
            </w:pPr>
            <w:r>
              <w:rPr>
                <w:rFonts w:hint="eastAsia" w:ascii="宋体" w:hAnsi="宋体"/>
                <w:color w:val="000000"/>
                <w:sz w:val="24"/>
              </w:rPr>
              <w:t>账号</w:t>
            </w:r>
          </w:p>
        </w:tc>
        <w:tc>
          <w:tcPr>
            <w:tcW w:w="3240" w:type="dxa"/>
            <w:gridSpan w:val="2"/>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hint="eastAsia" w:ascii="宋体" w:hAnsi="宋体"/>
                <w:color w:val="000000"/>
                <w:sz w:val="24"/>
              </w:rPr>
            </w:pPr>
            <w:r>
              <w:rPr>
                <w:rFonts w:hint="eastAsia" w:ascii="宋体" w:hAnsi="宋体"/>
                <w:color w:val="000000"/>
                <w:sz w:val="24"/>
              </w:rPr>
              <w:t>金额</w:t>
            </w:r>
          </w:p>
        </w:tc>
        <w:tc>
          <w:tcPr>
            <w:tcW w:w="7742" w:type="dxa"/>
            <w:gridSpan w:val="5"/>
            <w:noWrap w:val="0"/>
            <w:vAlign w:val="center"/>
          </w:tcPr>
          <w:p>
            <w:pPr>
              <w:spacing w:line="360" w:lineRule="exact"/>
              <w:rPr>
                <w:rFonts w:hint="eastAsia"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val="0"/>
            <w:vAlign w:val="top"/>
          </w:tcPr>
          <w:p>
            <w:pPr>
              <w:jc w:val="cente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 xml:space="preserve">                            </w:t>
            </w:r>
          </w:p>
          <w:p>
            <w:pPr>
              <w:ind w:firstLine="840" w:firstLineChars="350"/>
              <w:rPr>
                <w:rFonts w:hint="eastAsia" w:ascii="宋体" w:hAnsi="宋体"/>
                <w:color w:val="000000"/>
                <w:sz w:val="24"/>
              </w:rPr>
            </w:pPr>
            <w:r>
              <w:rPr>
                <w:rFonts w:hint="eastAsia" w:ascii="宋体" w:hAnsi="宋体"/>
                <w:color w:val="000000"/>
                <w:sz w:val="24"/>
              </w:rPr>
              <w:t>主要负责人签字 ：                           盖  章：</w:t>
            </w:r>
          </w:p>
          <w:p>
            <w:pPr>
              <w:jc w:val="center"/>
              <w:rPr>
                <w:rFonts w:hint="eastAsia" w:ascii="宋体" w:hAnsi="宋体"/>
                <w:color w:val="000000"/>
                <w:sz w:val="24"/>
              </w:rPr>
            </w:pPr>
          </w:p>
          <w:p>
            <w:pPr>
              <w:ind w:right="480" w:firstLine="5880" w:firstLineChars="2450"/>
              <w:rPr>
                <w:rFonts w:hint="eastAsia" w:ascii="宋体" w:hAnsi="宋体"/>
                <w:color w:val="000000"/>
                <w:sz w:val="24"/>
              </w:rPr>
            </w:pPr>
            <w:r>
              <w:rPr>
                <w:rFonts w:hint="eastAsia" w:ascii="宋体" w:hAnsi="宋体"/>
                <w:color w:val="000000"/>
                <w:sz w:val="24"/>
              </w:rPr>
              <w:t>年   月   日</w:t>
            </w:r>
          </w:p>
        </w:tc>
      </w:tr>
    </w:tbl>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hint="eastAsia" w:ascii="Times New Roman" w:hAnsi="Times New Roman" w:eastAsia="黑体"/>
          <w:b w:val="0"/>
          <w:color w:val="000000"/>
          <w:sz w:val="24"/>
          <w:szCs w:val="24"/>
          <w:lang w:eastAsia="zh-CN"/>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ascii="Times New Roman" w:hAnsi="Times New Roman" w:eastAsia="黑体"/>
          <w:b w:val="0"/>
          <w:color w:val="000000"/>
          <w:sz w:val="24"/>
          <w:szCs w:val="24"/>
        </w:rPr>
        <w:t>项目</w:t>
      </w:r>
      <w:r>
        <w:rPr>
          <w:rFonts w:hint="eastAsia" w:ascii="Times New Roman" w:hAnsi="Times New Roman" w:eastAsia="黑体"/>
          <w:b w:val="0"/>
          <w:color w:val="000000"/>
          <w:sz w:val="24"/>
          <w:szCs w:val="24"/>
          <w:lang w:val="en-US" w:eastAsia="zh-CN"/>
        </w:rPr>
        <w:t>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7"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503156"/>
      <w:bookmarkStart w:id="96" w:name="_Toc296346657"/>
      <w:bookmarkStart w:id="97" w:name="_Toc297048342"/>
      <w:bookmarkStart w:id="98" w:name="_Toc292559361"/>
      <w:bookmarkStart w:id="99" w:name="_Toc296347155"/>
      <w:bookmarkStart w:id="100" w:name="_Toc296944495"/>
      <w:bookmarkStart w:id="101" w:name="_Toc296890984"/>
      <w:bookmarkStart w:id="102" w:name="_Toc296891196"/>
      <w:bookmarkStart w:id="103" w:name="_Toc292559866"/>
      <w:bookmarkStart w:id="104" w:name="_Toc29712045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5" w:name="_Toc312677986"/>
      <w:bookmarkStart w:id="106" w:name="_Toc300934943"/>
      <w:bookmarkStart w:id="107" w:name="_Toc303539100"/>
      <w:bookmarkStart w:id="108" w:name="_Toc304295521"/>
      <w:bookmarkStart w:id="109" w:name="_Toc318581155"/>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5"/>
    <w:bookmarkEnd w:id="106"/>
    <w:bookmarkEnd w:id="107"/>
    <w:bookmarkEnd w:id="108"/>
    <w:bookmarkEnd w:id="109"/>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10" w:name="_Toc318581156"/>
      <w:bookmarkStart w:id="111" w:name="_Toc303539101"/>
      <w:bookmarkStart w:id="112" w:name="_Toc300934944"/>
      <w:bookmarkStart w:id="113" w:name="_Toc304295522"/>
      <w:bookmarkStart w:id="114" w:name="_Toc312677987"/>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10"/>
      <w:bookmarkEnd w:id="111"/>
      <w:bookmarkEnd w:id="112"/>
      <w:bookmarkEnd w:id="113"/>
      <w:bookmarkEnd w:id="114"/>
      <w:r>
        <w:rPr>
          <w:rFonts w:ascii="Times New Roman" w:hAnsi="Times New Roman" w:eastAsia="仿宋_GB2312"/>
          <w:sz w:val="24"/>
          <w:szCs w:val="24"/>
        </w:rPr>
        <w:t xml:space="preserve">  </w:t>
      </w:r>
      <w:bookmarkStart w:id="115"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944496"/>
      <w:bookmarkStart w:id="118" w:name="_Toc296503157"/>
      <w:bookmarkStart w:id="119" w:name="_Toc292559867"/>
      <w:bookmarkStart w:id="120" w:name="_Toc292559362"/>
      <w:bookmarkStart w:id="121" w:name="_Toc296890985"/>
      <w:bookmarkStart w:id="122" w:name="_Toc297048343"/>
      <w:bookmarkStart w:id="123" w:name="_Toc297120457"/>
      <w:bookmarkStart w:id="124" w:name="_Toc296347156"/>
      <w:bookmarkStart w:id="125" w:name="_Toc296346658"/>
      <w:bookmarkStart w:id="126" w:name="_Toc29689119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7048344"/>
      <w:bookmarkStart w:id="129" w:name="_Toc292559363"/>
      <w:bookmarkStart w:id="130" w:name="_Toc297120458"/>
      <w:bookmarkStart w:id="131" w:name="_Toc296944497"/>
      <w:bookmarkStart w:id="132" w:name="_Toc296890986"/>
      <w:bookmarkStart w:id="133" w:name="_Toc296346659"/>
      <w:bookmarkStart w:id="134" w:name="_Toc296503158"/>
      <w:bookmarkStart w:id="135" w:name="_Toc296891198"/>
      <w:bookmarkStart w:id="136" w:name="_Toc296347157"/>
      <w:bookmarkStart w:id="137" w:name="_Toc292559868"/>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黑体"/>
          <w:color w:val="000000"/>
          <w:sz w:val="24"/>
          <w:szCs w:val="24"/>
          <w:lang w:eastAsia="zh-CN"/>
        </w:rPr>
      </w:pPr>
      <w:r>
        <w:rPr>
          <w:rFonts w:ascii="Times New Roman" w:hAnsi="Times New Roman" w:eastAsia="黑体"/>
          <w:color w:val="000000"/>
          <w:sz w:val="24"/>
          <w:szCs w:val="24"/>
        </w:rPr>
        <w:t>3.2 项目</w:t>
      </w:r>
      <w:r>
        <w:rPr>
          <w:rFonts w:hint="eastAsia" w:ascii="Times New Roman" w:eastAsia="黑体"/>
          <w:color w:val="000000"/>
          <w:sz w:val="24"/>
          <w:szCs w:val="24"/>
          <w:lang w:val="en-US" w:eastAsia="zh-CN"/>
        </w:rPr>
        <w:t>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8" w:name="_Toc297120459"/>
      <w:bookmarkStart w:id="139" w:name="_Toc296944498"/>
      <w:bookmarkStart w:id="140" w:name="_Toc297216151"/>
      <w:bookmarkStart w:id="141" w:name="_Toc296503159"/>
      <w:bookmarkStart w:id="142" w:name="_Toc292559869"/>
      <w:bookmarkStart w:id="143" w:name="_Toc292559364"/>
      <w:bookmarkStart w:id="144" w:name="_Toc296347158"/>
      <w:bookmarkStart w:id="145" w:name="_Toc312677988"/>
      <w:bookmarkStart w:id="146" w:name="_Toc304295523"/>
      <w:bookmarkStart w:id="147" w:name="_Toc303539102"/>
      <w:bookmarkStart w:id="148" w:name="_Toc296891199"/>
      <w:bookmarkStart w:id="149" w:name="_Toc297123492"/>
      <w:bookmarkStart w:id="150" w:name="_Toc297048345"/>
      <w:bookmarkStart w:id="151" w:name="_Toc296346660"/>
      <w:bookmarkStart w:id="152" w:name="_Toc296890987"/>
      <w:bookmarkStart w:id="153" w:name="_Toc300934945"/>
      <w:r>
        <w:rPr>
          <w:rFonts w:ascii="Times New Roman" w:hAns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4" w:name="_Toc296890988"/>
      <w:bookmarkStart w:id="155" w:name="_Toc297123493"/>
      <w:bookmarkStart w:id="156" w:name="_Toc292559365"/>
      <w:bookmarkStart w:id="157" w:name="_Toc297216152"/>
      <w:bookmarkStart w:id="158" w:name="_Toc296944499"/>
      <w:bookmarkStart w:id="159" w:name="_Toc304295524"/>
      <w:bookmarkStart w:id="160" w:name="_Toc296347159"/>
      <w:bookmarkStart w:id="161" w:name="_Toc297120460"/>
      <w:bookmarkStart w:id="162" w:name="_Toc300934946"/>
      <w:bookmarkStart w:id="163" w:name="_Toc292559870"/>
      <w:bookmarkStart w:id="164" w:name="_Toc296346661"/>
      <w:bookmarkStart w:id="165" w:name="_Toc296503160"/>
      <w:bookmarkStart w:id="166" w:name="_Toc303539103"/>
      <w:bookmarkStart w:id="167" w:name="_Toc297048346"/>
      <w:bookmarkStart w:id="168" w:name="_Toc296891200"/>
      <w:bookmarkStart w:id="169" w:name="_Toc318581158"/>
      <w:bookmarkStart w:id="170" w:name="_Toc312677989"/>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891201"/>
      <w:bookmarkStart w:id="172" w:name="_Toc296346662"/>
      <w:bookmarkStart w:id="173" w:name="_Toc303539104"/>
      <w:bookmarkStart w:id="174" w:name="_Toc297216153"/>
      <w:bookmarkStart w:id="175" w:name="_Toc296890989"/>
      <w:bookmarkStart w:id="176" w:name="_Toc297123494"/>
      <w:bookmarkStart w:id="177" w:name="_Toc300934947"/>
      <w:bookmarkStart w:id="178" w:name="_Toc297120461"/>
      <w:bookmarkStart w:id="179" w:name="_Toc296944500"/>
      <w:bookmarkStart w:id="180" w:name="_Toc304295525"/>
      <w:bookmarkStart w:id="181" w:name="_Toc296503161"/>
      <w:bookmarkStart w:id="182" w:name="_Toc296347160"/>
      <w:bookmarkStart w:id="183" w:name="_Toc297048347"/>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4" w:name="_Toc312677990"/>
      <w:bookmarkStart w:id="185" w:name="_Toc318581159"/>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4"/>
    <w:bookmarkEnd w:id="18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7048348"/>
      <w:bookmarkStart w:id="188" w:name="_Toc296944501"/>
      <w:bookmarkStart w:id="189" w:name="_Toc296347161"/>
      <w:bookmarkStart w:id="190" w:name="_Toc296890990"/>
      <w:bookmarkStart w:id="191" w:name="_Toc297120462"/>
      <w:bookmarkStart w:id="192" w:name="_Toc296891202"/>
      <w:bookmarkStart w:id="193" w:name="_Toc296503162"/>
      <w:bookmarkStart w:id="194" w:name="_Toc292559871"/>
      <w:bookmarkStart w:id="195" w:name="_Toc292559366"/>
      <w:bookmarkStart w:id="196" w:name="_Toc296346663"/>
      <w:bookmarkStart w:id="197" w:name="_Toc267251413"/>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8"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0991"/>
      <w:bookmarkStart w:id="201" w:name="_Toc292559367"/>
      <w:bookmarkStart w:id="202" w:name="_Toc296503163"/>
      <w:bookmarkStart w:id="203" w:name="_Toc296346664"/>
      <w:bookmarkStart w:id="204" w:name="_Toc296347162"/>
      <w:bookmarkStart w:id="205" w:name="_Toc297120463"/>
      <w:bookmarkStart w:id="206" w:name="_Toc292559872"/>
      <w:bookmarkStart w:id="207" w:name="_Toc296944502"/>
      <w:bookmarkStart w:id="208" w:name="_Toc296891203"/>
      <w:bookmarkStart w:id="209" w:name="_Toc297048349"/>
      <w:r>
        <w:rPr>
          <w:rFonts w:ascii="Times New Roman" w:hAnsi="Times New Roman" w:eastAsia="黑体"/>
          <w:b w:val="0"/>
          <w:color w:val="000000"/>
          <w:sz w:val="24"/>
          <w:szCs w:val="24"/>
        </w:rPr>
        <w:t>. 工程质量</w:t>
      </w:r>
      <w:bookmarkEnd w:id="19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10" w:name="_Toc300934949"/>
      <w:bookmarkStart w:id="211" w:name="_Toc297216155"/>
      <w:bookmarkStart w:id="212" w:name="_Toc318581164"/>
      <w:bookmarkStart w:id="213" w:name="_Toc304295527"/>
      <w:bookmarkStart w:id="214" w:name="_Toc297123496"/>
      <w:bookmarkStart w:id="215" w:name="_Toc303539106"/>
      <w:bookmarkStart w:id="216" w:name="_Toc312677997"/>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10"/>
    <w:bookmarkEnd w:id="211"/>
    <w:bookmarkEnd w:id="212"/>
    <w:bookmarkEnd w:id="213"/>
    <w:bookmarkEnd w:id="214"/>
    <w:bookmarkEnd w:id="215"/>
    <w:bookmarkEnd w:id="21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9" w:name="_Toc312677479"/>
      <w:bookmarkStart w:id="220" w:name="_Toc297123514"/>
      <w:bookmarkStart w:id="221" w:name="_Toc312678005"/>
      <w:bookmarkStart w:id="222" w:name="_Toc300934966"/>
      <w:bookmarkStart w:id="223" w:name="_Toc304295541"/>
      <w:bookmarkStart w:id="224" w:name="_Toc303539123"/>
      <w:bookmarkStart w:id="225" w:name="_Toc297216173"/>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6" w:name="_Toc297216175"/>
      <w:bookmarkStart w:id="227" w:name="_Toc304295546"/>
      <w:bookmarkStart w:id="228" w:name="_Toc312678010"/>
      <w:bookmarkStart w:id="229" w:name="_Toc312677484"/>
      <w:bookmarkStart w:id="230" w:name="_Toc300934968"/>
      <w:bookmarkStart w:id="231" w:name="_Toc297123516"/>
      <w:bookmarkStart w:id="232" w:name="_Toc303539125"/>
      <w:r>
        <w:rPr>
          <w:rFonts w:ascii="Times New Roman" w:hAnsi="Times New Roman" w:eastAsia="黑体"/>
          <w:color w:val="000000"/>
          <w:sz w:val="24"/>
          <w:szCs w:val="24"/>
        </w:rPr>
        <w:t>.5 工期延误</w:t>
      </w:r>
    </w:p>
    <w:bookmarkEnd w:id="226"/>
    <w:bookmarkEnd w:id="227"/>
    <w:bookmarkEnd w:id="228"/>
    <w:bookmarkEnd w:id="229"/>
    <w:bookmarkEnd w:id="230"/>
    <w:bookmarkEnd w:id="231"/>
    <w:bookmarkEnd w:id="23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3" w:name="_Toc312678012"/>
      <w:bookmarkStart w:id="234" w:name="_Toc318581169"/>
      <w:bookmarkStart w:id="235" w:name="_Toc312677486"/>
      <w:bookmarkStart w:id="236" w:name="_Toc304295548"/>
      <w:bookmarkStart w:id="237" w:name="_Toc297123518"/>
      <w:bookmarkStart w:id="238" w:name="_Toc297216177"/>
      <w:bookmarkStart w:id="239" w:name="_Toc303539127"/>
      <w:bookmarkStart w:id="240" w:name="_Toc300934970"/>
      <w:r>
        <w:rPr>
          <w:rFonts w:ascii="Times New Roman" w:hAnsi="Times New Roman" w:eastAsia="仿宋_GB2312"/>
          <w:sz w:val="24"/>
          <w:szCs w:val="24"/>
        </w:rPr>
        <w:t>.5.2 因承包人原因导致工期延误</w:t>
      </w:r>
    </w:p>
    <w:bookmarkEnd w:id="233"/>
    <w:bookmarkEnd w:id="234"/>
    <w:bookmarkEnd w:id="235"/>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1" w:name="_Toc312677487"/>
      <w:bookmarkStart w:id="242" w:name="_Toc312678013"/>
      <w:bookmarkStart w:id="243"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6"/>
      <w:bookmarkEnd w:id="237"/>
      <w:bookmarkEnd w:id="238"/>
      <w:bookmarkEnd w:id="239"/>
      <w:bookmarkEnd w:id="240"/>
      <w:bookmarkEnd w:id="241"/>
      <w:bookmarkEnd w:id="242"/>
    </w:p>
    <w:bookmarkEnd w:id="24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4" w:name="_Toc312678014"/>
      <w:bookmarkStart w:id="245" w:name="_Toc318581171"/>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4"/>
    <w:bookmarkEnd w:id="24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6" w:name="_Toc312678015"/>
      <w:bookmarkStart w:id="247" w:name="_Toc297216178"/>
      <w:bookmarkStart w:id="248" w:name="_Toc303539128"/>
      <w:bookmarkStart w:id="249" w:name="_Toc300934971"/>
      <w:bookmarkStart w:id="250" w:name="_Toc304295549"/>
      <w:bookmarkStart w:id="251" w:name="_Toc297123519"/>
      <w:r>
        <w:rPr>
          <w:rFonts w:ascii="Times New Roman" w:hAnsi="Times New Roman" w:eastAsia="黑体"/>
          <w:color w:val="000000"/>
          <w:sz w:val="24"/>
          <w:szCs w:val="24"/>
        </w:rPr>
        <w:t>.6 不</w:t>
      </w:r>
      <w:bookmarkEnd w:id="246"/>
      <w:bookmarkEnd w:id="247"/>
      <w:bookmarkEnd w:id="248"/>
      <w:bookmarkEnd w:id="249"/>
      <w:bookmarkEnd w:id="250"/>
      <w:bookmarkEnd w:id="251"/>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2" w:name="_Toc304295550"/>
      <w:bookmarkStart w:id="253" w:name="_Toc318581172"/>
      <w:bookmarkStart w:id="254" w:name="_Toc297123520"/>
      <w:bookmarkStart w:id="255" w:name="_Toc303539129"/>
      <w:bookmarkStart w:id="256" w:name="_Toc297216179"/>
      <w:bookmarkStart w:id="257" w:name="_Toc312678016"/>
      <w:bookmarkStart w:id="258" w:name="_Toc300934972"/>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2"/>
    <w:bookmarkEnd w:id="253"/>
    <w:bookmarkEnd w:id="254"/>
    <w:bookmarkEnd w:id="255"/>
    <w:bookmarkEnd w:id="256"/>
    <w:bookmarkEnd w:id="257"/>
    <w:bookmarkEnd w:id="2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9" w:name="_Toc312678017"/>
      <w:bookmarkStart w:id="260" w:name="_Toc303539130"/>
      <w:bookmarkStart w:id="261" w:name="_Toc300934973"/>
      <w:bookmarkStart w:id="262" w:name="_Toc297123521"/>
      <w:bookmarkStart w:id="263" w:name="_Toc304295551"/>
      <w:bookmarkStart w:id="264" w:name="_Toc297216180"/>
      <w:r>
        <w:rPr>
          <w:rFonts w:ascii="Times New Roman" w:hAnsi="Times New Roman" w:eastAsia="黑体"/>
          <w:color w:val="000000"/>
          <w:sz w:val="24"/>
          <w:szCs w:val="24"/>
        </w:rPr>
        <w:t>.7异常恶劣的气候条件</w:t>
      </w:r>
    </w:p>
    <w:bookmarkEnd w:id="259"/>
    <w:bookmarkEnd w:id="260"/>
    <w:bookmarkEnd w:id="261"/>
    <w:bookmarkEnd w:id="262"/>
    <w:bookmarkEnd w:id="263"/>
    <w:bookmarkEnd w:id="26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6" w:name="_Toc297216186"/>
      <w:bookmarkStart w:id="267" w:name="_Toc303539136"/>
      <w:bookmarkStart w:id="268" w:name="_Toc296891207"/>
      <w:bookmarkStart w:id="269" w:name="_Toc296346668"/>
      <w:bookmarkStart w:id="270" w:name="_Toc297123527"/>
      <w:bookmarkStart w:id="271" w:name="_Toc296347166"/>
      <w:bookmarkStart w:id="272" w:name="_Toc304295556"/>
      <w:bookmarkStart w:id="273" w:name="_Toc296890995"/>
      <w:bookmarkStart w:id="274" w:name="_Toc297048353"/>
      <w:bookmarkStart w:id="275" w:name="_Toc296503167"/>
      <w:bookmarkStart w:id="276" w:name="_Toc312678019"/>
      <w:bookmarkStart w:id="277" w:name="_Toc280868654"/>
      <w:bookmarkStart w:id="278" w:name="_Toc312677493"/>
      <w:bookmarkStart w:id="279" w:name="_Toc292559877"/>
      <w:bookmarkStart w:id="280" w:name="_Toc296944506"/>
      <w:bookmarkStart w:id="281" w:name="_Toc292559372"/>
      <w:bookmarkStart w:id="282" w:name="_Toc300934979"/>
      <w:bookmarkStart w:id="283" w:name="_Toc297120467"/>
      <w:bookmarkStart w:id="284" w:name="_Toc267251424"/>
      <w:bookmarkStart w:id="285" w:name="_Toc280868655"/>
      <w:bookmarkStart w:id="286" w:name="_Toc280868656"/>
      <w:r>
        <w:rPr>
          <w:rFonts w:ascii="Times New Roman" w:hAns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7" w:name="_Toc292559878"/>
      <w:bookmarkStart w:id="288" w:name="_Toc292559373"/>
      <w:bookmarkStart w:id="289" w:name="_Toc297216187"/>
      <w:bookmarkStart w:id="290" w:name="_Toc296347167"/>
      <w:bookmarkStart w:id="291" w:name="_Toc296891208"/>
      <w:bookmarkStart w:id="292" w:name="_Toc312677494"/>
      <w:bookmarkStart w:id="293" w:name="_Toc297048354"/>
      <w:bookmarkStart w:id="294" w:name="_Toc297120468"/>
      <w:bookmarkStart w:id="295" w:name="_Toc300934980"/>
      <w:bookmarkStart w:id="296" w:name="_Toc318581173"/>
      <w:bookmarkStart w:id="297" w:name="_Toc296503168"/>
      <w:bookmarkStart w:id="298" w:name="_Toc297123528"/>
      <w:bookmarkStart w:id="299" w:name="_Toc296346669"/>
      <w:bookmarkStart w:id="300" w:name="_Toc296890996"/>
      <w:bookmarkStart w:id="301" w:name="_Toc296944507"/>
      <w:bookmarkStart w:id="302" w:name="_Toc312678020"/>
      <w:bookmarkStart w:id="303" w:name="_Toc303539137"/>
      <w:bookmarkStart w:id="304" w:name="_Toc304295557"/>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0934982"/>
      <w:bookmarkStart w:id="307" w:name="_Toc303539139"/>
      <w:bookmarkStart w:id="308" w:name="_Toc297216192"/>
      <w:bookmarkStart w:id="309" w:name="_Toc312678021"/>
      <w:bookmarkStart w:id="310" w:name="_Toc312677495"/>
      <w:bookmarkStart w:id="311" w:name="_Toc304295559"/>
      <w:bookmarkStart w:id="312" w:name="_Toc297123533"/>
      <w:bookmarkStart w:id="313" w:name="_Toc296891001"/>
      <w:bookmarkStart w:id="314" w:name="_Toc292559883"/>
      <w:bookmarkStart w:id="315" w:name="_Toc292559378"/>
      <w:bookmarkStart w:id="316" w:name="_Toc296347172"/>
      <w:bookmarkStart w:id="317" w:name="_Toc296944512"/>
      <w:bookmarkStart w:id="318" w:name="_Toc267251428"/>
      <w:bookmarkStart w:id="319" w:name="_Toc267251427"/>
      <w:bookmarkStart w:id="320" w:name="_Toc297120473"/>
      <w:bookmarkStart w:id="321" w:name="_Toc297048359"/>
      <w:bookmarkStart w:id="322" w:name="_Toc296891213"/>
      <w:bookmarkStart w:id="323" w:name="_Toc296346674"/>
      <w:bookmarkStart w:id="324" w:name="_Toc296503173"/>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5" w:name="_Toc300934983"/>
      <w:bookmarkStart w:id="326" w:name="_Toc312677496"/>
      <w:bookmarkStart w:id="327" w:name="_Toc312678022"/>
      <w:bookmarkStart w:id="328" w:name="_Toc297123534"/>
      <w:bookmarkStart w:id="329" w:name="_Toc297216193"/>
      <w:bookmarkStart w:id="330" w:name="_Toc304295560"/>
      <w:bookmarkStart w:id="331" w:name="_Toc303539140"/>
      <w:r>
        <w:rPr>
          <w:rFonts w:ascii="Times New Roman" w:hAnsi="Times New Roman" w:eastAsia="黑体"/>
          <w:color w:val="000000"/>
          <w:sz w:val="24"/>
          <w:szCs w:val="24"/>
        </w:rPr>
        <w:t>.1试验设备与试验人员</w:t>
      </w:r>
    </w:p>
    <w:bookmarkEnd w:id="325"/>
    <w:bookmarkEnd w:id="326"/>
    <w:bookmarkEnd w:id="327"/>
    <w:bookmarkEnd w:id="328"/>
    <w:bookmarkEnd w:id="329"/>
    <w:bookmarkEnd w:id="330"/>
    <w:bookmarkEnd w:id="3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2" w:name="_Toc297123535"/>
      <w:bookmarkStart w:id="333" w:name="_Toc297216194"/>
      <w:bookmarkStart w:id="334" w:name="_Toc303539141"/>
      <w:bookmarkStart w:id="335" w:name="_Toc300934984"/>
      <w:bookmarkStart w:id="336" w:name="_Toc304295561"/>
      <w:bookmarkStart w:id="337" w:name="_Toc312677497"/>
      <w:bookmarkStart w:id="338" w:name="_Toc312678023"/>
      <w:bookmarkStart w:id="339"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12677498"/>
      <w:bookmarkStart w:id="341" w:name="_Toc303539142"/>
      <w:bookmarkStart w:id="342" w:name="_Toc300934985"/>
      <w:bookmarkStart w:id="343" w:name="_Toc312678024"/>
      <w:bookmarkStart w:id="344" w:name="_Toc297216195"/>
      <w:bookmarkStart w:id="345" w:name="_Toc304295562"/>
      <w:bookmarkStart w:id="346" w:name="_Toc297123536"/>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9"/>
    <w:bookmarkEnd w:id="340"/>
    <w:bookmarkEnd w:id="341"/>
    <w:bookmarkEnd w:id="342"/>
    <w:bookmarkEnd w:id="343"/>
    <w:bookmarkEnd w:id="344"/>
    <w:bookmarkEnd w:id="345"/>
    <w:bookmarkEnd w:id="34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944532"/>
      <w:bookmarkStart w:id="349" w:name="_Toc304295566"/>
      <w:bookmarkStart w:id="350" w:name="_Toc292559398"/>
      <w:bookmarkStart w:id="351" w:name="_Toc296347192"/>
      <w:bookmarkStart w:id="352" w:name="_Toc297048379"/>
      <w:bookmarkStart w:id="353" w:name="_Toc296503193"/>
      <w:bookmarkStart w:id="354" w:name="_Toc300934989"/>
      <w:bookmarkStart w:id="355" w:name="_Toc296891233"/>
      <w:bookmarkStart w:id="356" w:name="_Toc303539146"/>
      <w:bookmarkStart w:id="357" w:name="_Toc297120493"/>
      <w:bookmarkStart w:id="358" w:name="_Toc292559903"/>
      <w:bookmarkStart w:id="359" w:name="_Toc297123540"/>
      <w:bookmarkStart w:id="360" w:name="_Toc296891021"/>
      <w:bookmarkStart w:id="361" w:name="_Toc297216199"/>
      <w:bookmarkStart w:id="362" w:name="_Toc296346694"/>
      <w:bookmarkStart w:id="363" w:name="_Toc312677499"/>
      <w:bookmarkStart w:id="364" w:name="_Toc312678025"/>
      <w:bookmarkStart w:id="365" w:name="_Toc267251433"/>
      <w:bookmarkStart w:id="366" w:name="_Toc267251435"/>
      <w:bookmarkStart w:id="367" w:name="_Toc267251440"/>
      <w:bookmarkStart w:id="368" w:name="_Toc267251441"/>
      <w:bookmarkStart w:id="369" w:name="_Toc267251437"/>
      <w:bookmarkStart w:id="370" w:name="_Toc267251439"/>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2" w:name="_Toc300934990"/>
      <w:bookmarkStart w:id="373" w:name="_Toc296503194"/>
      <w:bookmarkStart w:id="374" w:name="_Toc297123541"/>
      <w:bookmarkStart w:id="375" w:name="_Toc312677500"/>
      <w:bookmarkStart w:id="376" w:name="_Toc297048380"/>
      <w:bookmarkStart w:id="377" w:name="_Toc296891234"/>
      <w:bookmarkStart w:id="378" w:name="_Toc297120494"/>
      <w:bookmarkStart w:id="379" w:name="_Toc292559904"/>
      <w:bookmarkStart w:id="380" w:name="_Toc292559399"/>
      <w:bookmarkStart w:id="381" w:name="_Toc296347193"/>
      <w:bookmarkStart w:id="382" w:name="_Toc312678026"/>
      <w:bookmarkStart w:id="383" w:name="_Toc296891022"/>
      <w:bookmarkStart w:id="384" w:name="_Toc304295567"/>
      <w:bookmarkStart w:id="385" w:name="_Toc297216200"/>
      <w:bookmarkStart w:id="386" w:name="_Toc303539147"/>
      <w:bookmarkStart w:id="387" w:name="_Toc296944533"/>
      <w:bookmarkStart w:id="388" w:name="_Toc296346695"/>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6347196"/>
      <w:bookmarkStart w:id="390" w:name="_Toc292559402"/>
      <w:bookmarkStart w:id="391" w:name="_Toc297216203"/>
      <w:bookmarkStart w:id="392" w:name="_Toc296891237"/>
      <w:bookmarkStart w:id="393" w:name="_Toc297048383"/>
      <w:bookmarkStart w:id="394" w:name="_Toc300934993"/>
      <w:bookmarkStart w:id="395" w:name="_Toc296891025"/>
      <w:bookmarkStart w:id="396" w:name="_Toc296503197"/>
      <w:bookmarkStart w:id="397" w:name="_Toc297123544"/>
      <w:bookmarkStart w:id="398" w:name="_Toc296346698"/>
      <w:bookmarkStart w:id="399" w:name="_Toc303539150"/>
      <w:bookmarkStart w:id="400" w:name="_Toc292559907"/>
      <w:bookmarkStart w:id="401" w:name="_Toc297120497"/>
      <w:bookmarkStart w:id="402" w:name="_Toc296944536"/>
      <w:bookmarkStart w:id="403" w:name="_Toc312677503"/>
      <w:bookmarkStart w:id="404" w:name="_Toc304295570"/>
      <w:bookmarkStart w:id="405" w:name="_Toc312678029"/>
      <w:r>
        <w:rPr>
          <w:rFonts w:ascii="Times New Roman" w:hAns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7120503"/>
      <w:bookmarkStart w:id="407" w:name="_Toc300934994"/>
      <w:bookmarkStart w:id="408" w:name="_Toc296944542"/>
      <w:bookmarkStart w:id="409" w:name="_Toc296346704"/>
      <w:bookmarkStart w:id="410" w:name="_Toc296891031"/>
      <w:bookmarkStart w:id="411" w:name="_Toc296347202"/>
      <w:bookmarkStart w:id="412" w:name="_Toc303539151"/>
      <w:bookmarkStart w:id="413" w:name="_Toc296891243"/>
      <w:bookmarkStart w:id="414" w:name="_Toc297216204"/>
      <w:bookmarkStart w:id="415" w:name="_Toc292559408"/>
      <w:bookmarkStart w:id="416" w:name="_Toc292559913"/>
      <w:bookmarkStart w:id="417" w:name="_Toc296503203"/>
      <w:bookmarkStart w:id="418" w:name="_Toc297123545"/>
      <w:bookmarkStart w:id="419" w:name="_Toc297048389"/>
      <w:r>
        <w:rPr>
          <w:rFonts w:ascii="Times New Roman" w:hAns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20" w:name="_Toc304295571"/>
      <w:bookmarkStart w:id="421" w:name="_Toc297123546"/>
      <w:bookmarkStart w:id="422" w:name="_Toc296891032"/>
      <w:bookmarkStart w:id="423" w:name="_Toc296347203"/>
      <w:bookmarkStart w:id="424" w:name="_Toc300934995"/>
      <w:bookmarkStart w:id="425" w:name="_Toc292559914"/>
      <w:bookmarkStart w:id="426" w:name="_Toc296503204"/>
      <w:bookmarkStart w:id="427" w:name="_Toc297120504"/>
      <w:bookmarkStart w:id="428" w:name="_Toc297048390"/>
      <w:bookmarkStart w:id="429" w:name="_Toc297216205"/>
      <w:bookmarkStart w:id="430" w:name="_Toc296346705"/>
      <w:bookmarkStart w:id="431" w:name="_Toc318581175"/>
      <w:bookmarkStart w:id="432" w:name="_Toc312677504"/>
      <w:bookmarkStart w:id="433" w:name="_Toc296891244"/>
      <w:bookmarkStart w:id="434" w:name="_Toc303539152"/>
      <w:bookmarkStart w:id="435" w:name="_Toc312678030"/>
      <w:bookmarkStart w:id="436" w:name="_Toc296944543"/>
      <w:bookmarkStart w:id="437" w:name="_Toc292559409"/>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8" w:name="_Toc297216207"/>
      <w:bookmarkStart w:id="439" w:name="_Toc297123548"/>
      <w:bookmarkStart w:id="440" w:name="_Toc296891027"/>
      <w:bookmarkStart w:id="441" w:name="_Toc296944538"/>
      <w:bookmarkStart w:id="442" w:name="_Toc303539154"/>
      <w:bookmarkStart w:id="443" w:name="_Toc297120499"/>
      <w:bookmarkStart w:id="444" w:name="_Toc296346700"/>
      <w:bookmarkStart w:id="445" w:name="_Toc292559404"/>
      <w:bookmarkStart w:id="446" w:name="_Toc300934997"/>
      <w:bookmarkStart w:id="447" w:name="_Toc292559909"/>
      <w:bookmarkStart w:id="448" w:name="_Toc312678033"/>
      <w:bookmarkStart w:id="449" w:name="_Toc296347198"/>
      <w:bookmarkStart w:id="450" w:name="_Toc312677507"/>
      <w:bookmarkStart w:id="451" w:name="_Toc297048385"/>
      <w:bookmarkStart w:id="452" w:name="_Toc304295574"/>
      <w:bookmarkStart w:id="453" w:name="_Toc296891239"/>
      <w:bookmarkStart w:id="454" w:name="_Toc296503199"/>
      <w:r>
        <w:rPr>
          <w:rFonts w:ascii="Times New Roman" w:hAns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5" w:name="_Toc312677508"/>
      <w:bookmarkStart w:id="456" w:name="_Toc312678034"/>
      <w:bookmarkStart w:id="457" w:name="_Toc318581176"/>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5"/>
    <w:bookmarkEnd w:id="456"/>
    <w:bookmarkEnd w:id="45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8" w:name="_Toc318581177"/>
      <w:bookmarkStart w:id="459" w:name="_Toc312677509"/>
      <w:bookmarkStart w:id="460" w:name="_Toc312678035"/>
      <w:r>
        <w:rPr>
          <w:rFonts w:ascii="Times New Roman" w:hAnsi="Times New Roman" w:eastAsia="仿宋_GB2312"/>
          <w:sz w:val="24"/>
          <w:szCs w:val="24"/>
        </w:rPr>
        <w:t>0.7.1 依法必须招标的暂估价项目</w:t>
      </w:r>
    </w:p>
    <w:bookmarkEnd w:id="458"/>
    <w:bookmarkEnd w:id="459"/>
    <w:bookmarkEnd w:id="46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2" w:name="_Toc297120501"/>
      <w:bookmarkStart w:id="463" w:name="_Toc300935000"/>
      <w:bookmarkStart w:id="464" w:name="_Toc296891241"/>
      <w:bookmarkStart w:id="465" w:name="_Toc297123550"/>
      <w:bookmarkStart w:id="466" w:name="_Toc297048387"/>
      <w:bookmarkStart w:id="467" w:name="_Toc297216209"/>
      <w:bookmarkStart w:id="468" w:name="_Toc292559911"/>
      <w:bookmarkStart w:id="469" w:name="_Toc296346702"/>
      <w:bookmarkStart w:id="470" w:name="_Toc296347200"/>
      <w:bookmarkStart w:id="471" w:name="_Toc296503201"/>
      <w:bookmarkStart w:id="472" w:name="_Toc296891029"/>
      <w:bookmarkStart w:id="473" w:name="_Toc304295577"/>
      <w:bookmarkStart w:id="474" w:name="_Toc292559406"/>
      <w:bookmarkStart w:id="475" w:name="_Toc312678039"/>
      <w:bookmarkStart w:id="476" w:name="_Toc303539157"/>
      <w:bookmarkStart w:id="477" w:name="_Toc296944540"/>
      <w:r>
        <w:rPr>
          <w:rFonts w:ascii="Times New Roman" w:hAns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5"/>
    <w:bookmarkEnd w:id="366"/>
    <w:bookmarkEnd w:id="367"/>
    <w:bookmarkEnd w:id="368"/>
    <w:bookmarkEnd w:id="369"/>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8" w:name="_Toc296891033"/>
      <w:bookmarkStart w:id="479" w:name="_Toc292559410"/>
      <w:bookmarkStart w:id="480" w:name="_Toc296944544"/>
      <w:bookmarkStart w:id="481" w:name="_Toc296891245"/>
      <w:bookmarkStart w:id="482" w:name="_Toc296346706"/>
      <w:bookmarkStart w:id="483" w:name="_Toc292559915"/>
      <w:bookmarkStart w:id="484" w:name="_Toc297048391"/>
      <w:bookmarkStart w:id="485" w:name="_Toc296347204"/>
      <w:bookmarkStart w:id="486" w:name="_Toc297120505"/>
      <w:bookmarkStart w:id="487" w:name="_Toc296503205"/>
      <w:bookmarkStart w:id="488" w:name="_Toc351203644"/>
      <w:bookmarkStart w:id="489" w:name="_Toc304295579"/>
      <w:bookmarkStart w:id="490" w:name="_Toc297216211"/>
      <w:bookmarkStart w:id="491" w:name="_Toc303539159"/>
      <w:bookmarkStart w:id="492" w:name="_Toc297123552"/>
      <w:bookmarkStart w:id="493" w:name="_Toc300935002"/>
      <w:bookmarkStart w:id="494" w:name="_Toc312678040"/>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5" w:name="_Toc267251461"/>
      <w:bookmarkStart w:id="496" w:name="_Toc292559916"/>
      <w:bookmarkStart w:id="497" w:name="_Toc292559411"/>
      <w:bookmarkStart w:id="498" w:name="_Toc297120506"/>
      <w:bookmarkStart w:id="499" w:name="_Toc297048392"/>
      <w:bookmarkStart w:id="500" w:name="_Toc296891246"/>
      <w:bookmarkStart w:id="501" w:name="_Toc296944545"/>
      <w:bookmarkStart w:id="502" w:name="_Toc296347205"/>
      <w:bookmarkStart w:id="503" w:name="_Toc296891034"/>
      <w:bookmarkStart w:id="504" w:name="_Toc296346707"/>
      <w:bookmarkStart w:id="505" w:name="_Toc296503206"/>
      <w:bookmarkStart w:id="506" w:name="_Toc312678041"/>
      <w:bookmarkStart w:id="507" w:name="_Toc303539160"/>
      <w:bookmarkStart w:id="508" w:name="_Toc304295580"/>
      <w:bookmarkStart w:id="509" w:name="_Toc300935003"/>
      <w:bookmarkStart w:id="510" w:name="_Toc297123553"/>
      <w:bookmarkStart w:id="511" w:name="_Toc297216212"/>
      <w:r>
        <w:rPr>
          <w:rFonts w:ascii="Times New Roman" w:hAnsi="Times New Roman" w:eastAsia="黑体"/>
          <w:color w:val="000000"/>
          <w:sz w:val="24"/>
          <w:szCs w:val="24"/>
        </w:rPr>
        <w:t>12.1 合</w:t>
      </w:r>
      <w:bookmarkEnd w:id="495"/>
      <w:bookmarkEnd w:id="496"/>
      <w:bookmarkEnd w:id="497"/>
      <w:r>
        <w:rPr>
          <w:rFonts w:ascii="Times New Roman" w:hAns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hAnsi="Times New Roman" w:eastAsia="黑体"/>
          <w:color w:val="000000"/>
          <w:sz w:val="24"/>
          <w:szCs w:val="24"/>
        </w:rPr>
        <w:t>格形式</w:t>
      </w:r>
    </w:p>
    <w:bookmarkEnd w:id="506"/>
    <w:bookmarkEnd w:id="507"/>
    <w:bookmarkEnd w:id="508"/>
    <w:bookmarkEnd w:id="509"/>
    <w:bookmarkEnd w:id="510"/>
    <w:bookmarkEnd w:id="51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5"/>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2" w:name="_Toc297123554"/>
      <w:bookmarkStart w:id="513" w:name="_Toc300935004"/>
      <w:bookmarkStart w:id="514" w:name="_Toc297216213"/>
      <w:bookmarkStart w:id="515" w:name="_Toc312678042"/>
      <w:bookmarkStart w:id="516" w:name="_Toc303539161"/>
      <w:bookmarkStart w:id="517" w:name="_Toc304295581"/>
      <w:bookmarkStart w:id="518" w:name="_Toc296944546"/>
      <w:bookmarkStart w:id="519" w:name="_Toc296347206"/>
      <w:bookmarkStart w:id="520" w:name="_Toc296503207"/>
      <w:bookmarkStart w:id="521" w:name="_Toc297048393"/>
      <w:bookmarkStart w:id="522" w:name="_Toc297120507"/>
      <w:bookmarkStart w:id="523" w:name="_Toc296891035"/>
      <w:bookmarkStart w:id="524" w:name="_Toc296346708"/>
      <w:bookmarkStart w:id="525" w:name="_Toc292559917"/>
      <w:bookmarkStart w:id="526" w:name="_Toc296891247"/>
      <w:bookmarkStart w:id="527" w:name="_Toc292559412"/>
      <w:r>
        <w:rPr>
          <w:rFonts w:ascii="Times New Roman" w:hAnsi="Times New Roman" w:eastAsia="黑体"/>
          <w:color w:val="000000"/>
          <w:sz w:val="24"/>
          <w:szCs w:val="24"/>
        </w:rPr>
        <w:t>12.2 预付款</w:t>
      </w:r>
    </w:p>
    <w:bookmarkEnd w:id="512"/>
    <w:bookmarkEnd w:id="513"/>
    <w:bookmarkEnd w:id="514"/>
    <w:bookmarkEnd w:id="515"/>
    <w:bookmarkEnd w:id="516"/>
    <w:bookmarkEnd w:id="51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8" w:name="_Toc303539163"/>
      <w:bookmarkStart w:id="529" w:name="_Toc297123556"/>
      <w:bookmarkStart w:id="530" w:name="_Toc296891039"/>
      <w:bookmarkStart w:id="531" w:name="_Toc296347210"/>
      <w:bookmarkStart w:id="532" w:name="_Toc296944550"/>
      <w:bookmarkStart w:id="533" w:name="_Toc300935006"/>
      <w:bookmarkStart w:id="534" w:name="_Toc297216215"/>
      <w:bookmarkStart w:id="535" w:name="_Toc292559416"/>
      <w:bookmarkStart w:id="536" w:name="_Toc297048397"/>
      <w:bookmarkStart w:id="537" w:name="_Toc296891251"/>
      <w:bookmarkStart w:id="538" w:name="_Toc297120511"/>
      <w:bookmarkStart w:id="539" w:name="_Toc292559921"/>
      <w:bookmarkStart w:id="540" w:name="_Toc296346712"/>
      <w:bookmarkStart w:id="541" w:name="_Toc296503211"/>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1"/>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2" w:name="_Toc351203645"/>
      <w:bookmarkStart w:id="543" w:name="_Toc296891259"/>
      <w:bookmarkStart w:id="544" w:name="_Toc292559424"/>
      <w:bookmarkStart w:id="545" w:name="_Toc296503219"/>
      <w:bookmarkStart w:id="546" w:name="_Toc296346720"/>
      <w:bookmarkStart w:id="547" w:name="_Toc296347218"/>
      <w:bookmarkStart w:id="548" w:name="_Toc297216223"/>
      <w:bookmarkStart w:id="549" w:name="_Toc303539172"/>
      <w:bookmarkStart w:id="550" w:name="_Toc297120519"/>
      <w:bookmarkStart w:id="551" w:name="_Toc297048405"/>
      <w:bookmarkStart w:id="552" w:name="_Toc312678053"/>
      <w:bookmarkStart w:id="553" w:name="_Toc297123564"/>
      <w:bookmarkStart w:id="554" w:name="_Toc296891047"/>
      <w:bookmarkStart w:id="555" w:name="_Toc300935015"/>
      <w:bookmarkStart w:id="556" w:name="_Toc304295593"/>
      <w:bookmarkStart w:id="557" w:name="_Toc296944558"/>
      <w:bookmarkStart w:id="558" w:name="_Toc292559929"/>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9" w:name="_Toc292559428"/>
      <w:bookmarkStart w:id="560" w:name="_Toc296503223"/>
      <w:bookmarkStart w:id="561" w:name="_Toc297120523"/>
      <w:bookmarkStart w:id="562" w:name="_Toc304295596"/>
      <w:bookmarkStart w:id="563" w:name="_Toc297048409"/>
      <w:bookmarkStart w:id="564" w:name="_Toc296944562"/>
      <w:bookmarkStart w:id="565" w:name="_Toc297216224"/>
      <w:bookmarkStart w:id="566" w:name="_Toc300935016"/>
      <w:bookmarkStart w:id="567" w:name="_Toc292559933"/>
      <w:bookmarkStart w:id="568" w:name="_Toc296347222"/>
      <w:bookmarkStart w:id="569" w:name="_Toc312678056"/>
      <w:bookmarkStart w:id="570" w:name="_Toc296346724"/>
      <w:bookmarkStart w:id="571" w:name="_Toc296891263"/>
      <w:bookmarkStart w:id="572" w:name="_Toc297123565"/>
      <w:bookmarkStart w:id="573" w:name="_Toc296891051"/>
      <w:bookmarkStart w:id="574" w:name="_Toc303539173"/>
      <w:bookmarkStart w:id="575" w:name="_Toc267251470"/>
      <w:bookmarkStart w:id="576" w:name="_Toc267251472"/>
      <w:bookmarkStart w:id="577" w:name="_Toc267251471"/>
      <w:bookmarkStart w:id="578" w:name="_Toc267251475"/>
      <w:bookmarkStart w:id="579" w:name="_Toc267251473"/>
      <w:bookmarkStart w:id="580" w:name="_Toc267251474"/>
      <w:bookmarkStart w:id="581" w:name="_Toc267251476"/>
      <w:r>
        <w:rPr>
          <w:rFonts w:ascii="Times New Roman" w:hAns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hAnsi="Times New Roman" w:eastAsia="仿宋_GB2312"/>
          <w:color w:val="000000"/>
          <w:sz w:val="24"/>
          <w:szCs w:val="24"/>
        </w:rPr>
        <w:t>13.2.2竣工验收程序</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86"/>
      <w:bookmarkStart w:id="595" w:name="_Toc267251488"/>
      <w:bookmarkStart w:id="596" w:name="_Toc267251490"/>
      <w:bookmarkStart w:id="597" w:name="_Toc267251489"/>
      <w:bookmarkStart w:id="598" w:name="_Toc267251501"/>
      <w:bookmarkStart w:id="599" w:name="_Toc267251502"/>
      <w:bookmarkStart w:id="600" w:name="_Toc267251503"/>
      <w:bookmarkStart w:id="601" w:name="_Toc267251493"/>
      <w:bookmarkStart w:id="602" w:name="_Toc267251494"/>
      <w:bookmarkStart w:id="603" w:name="_Toc267251492"/>
      <w:bookmarkStart w:id="604" w:name="_Toc267251497"/>
      <w:bookmarkStart w:id="605" w:name="_Toc267251498"/>
      <w:bookmarkStart w:id="606" w:name="_Toc267251496"/>
      <w:bookmarkStart w:id="607" w:name="_Toc267251495"/>
      <w:bookmarkStart w:id="608" w:name="_Toc267251491"/>
      <w:bookmarkStart w:id="609" w:name="_Toc267251499"/>
      <w:bookmarkStart w:id="610" w:name="_Toc267251506"/>
      <w:bookmarkStart w:id="611" w:name="_Toc267251504"/>
      <w:bookmarkStart w:id="612" w:name="_Toc267251507"/>
      <w:bookmarkStart w:id="613" w:name="_Toc267251508"/>
      <w:bookmarkStart w:id="614" w:name="_Toc267251514"/>
      <w:bookmarkStart w:id="615" w:name="_Toc267251515"/>
      <w:bookmarkStart w:id="616" w:name="_Toc267251509"/>
      <w:bookmarkStart w:id="617" w:name="_Toc267251511"/>
      <w:bookmarkStart w:id="618" w:name="_Toc267251510"/>
      <w:bookmarkStart w:id="619" w:name="_Toc267251513"/>
      <w:r>
        <w:rPr>
          <w:rFonts w:ascii="Times New Roman" w:hAnsi="Times New Roman" w:eastAsia="黑体"/>
          <w:b w:val="0"/>
          <w:color w:val="000000"/>
          <w:sz w:val="24"/>
          <w:szCs w:val="24"/>
        </w:rPr>
        <w:t>15. 缺陷责任期与保修</w:t>
      </w:r>
      <w:bookmarkEnd w:id="5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90"/>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1"/>
    <w:bookmarkEnd w:id="59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3"/>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4"/>
    <w:bookmarkEnd w:id="595"/>
    <w:bookmarkEnd w:id="596"/>
    <w:bookmarkEnd w:id="59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2"/>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3"/>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（2）</w:t>
      </w: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2013</w:t>
      </w: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版《建设工程工程量清单计价规范》、《河南省市政工程预算定额》（HAAI-31-2016）、《河南省建设工程工程量清单综合单价定额（2008）》“E园林绿化工程”等相关计价文件及其配套的省市有关文件；</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3</w:t>
      </w:r>
      <w:r>
        <w:rPr>
          <w:rFonts w:hint="eastAsia" w:ascii="新宋体" w:hAnsi="新宋体" w:eastAsia="新宋体" w:cs="Times New Roman"/>
          <w:sz w:val="24"/>
          <w:szCs w:val="22"/>
        </w:rPr>
        <w:t>）材料价格</w:t>
      </w:r>
      <w:r>
        <w:rPr>
          <w:rFonts w:hint="eastAsia" w:ascii="新宋体" w:hAnsi="新宋体" w:eastAsia="新宋体" w:cs="Times New Roman"/>
          <w:sz w:val="24"/>
          <w:szCs w:val="22"/>
          <w:lang w:val="en-US" w:eastAsia="zh-CN"/>
        </w:rPr>
        <w:t>依据：许昌市定额站发布的《许昌工程造价信息》2019年第1期《许昌工程造价信息》、2月份主材价格，部分价格参考市场价执行</w:t>
      </w:r>
      <w:r>
        <w:rPr>
          <w:rFonts w:hint="eastAsia" w:ascii="新宋体" w:hAnsi="新宋体" w:eastAsia="新宋体" w:cs="Times New Roman"/>
          <w:sz w:val="24"/>
          <w:szCs w:val="22"/>
        </w:rPr>
        <w:t>；</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4</w:t>
      </w: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本工程的安全文明施工措施费、规费按照相关文件要求全额计取</w:t>
      </w:r>
      <w:r>
        <w:rPr>
          <w:rFonts w:hint="eastAsia" w:ascii="新宋体" w:hAnsi="新宋体" w:eastAsia="新宋体" w:cs="Times New Roman"/>
          <w:sz w:val="24"/>
          <w:szCs w:val="22"/>
        </w:rPr>
        <w:t>；</w:t>
      </w:r>
    </w:p>
    <w:p>
      <w:pPr>
        <w:spacing w:line="440" w:lineRule="exact"/>
        <w:ind w:firstLine="237" w:firstLineChars="99"/>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（5）本工程市政专业工程部分价格指数依据豫建标定【2018】40号文件调整；园林专业部分人工费依据《&lt;河南省房屋建筑与装饰工程预算定额（HA 01-31-2016）&gt;&lt;河南省市政工程预算定额（HA AI-31-2016）&gt;综合解释》中园林绿化工程人工费按75*第IV期价格指数中市政工程人工费指数调整为79.875元/工日；</w:t>
      </w:r>
    </w:p>
    <w:p>
      <w:pPr>
        <w:spacing w:line="440" w:lineRule="exact"/>
        <w:ind w:firstLine="237" w:firstLineChars="99"/>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（6）本工程采用16定额相关专业部分中的其他措施费（夜间施工增加费、二次搬运费、冬雨季施工增加费）依据豫建设标【2017】99号文件全部计取；</w:t>
      </w:r>
    </w:p>
    <w:p>
      <w:pPr>
        <w:spacing w:line="440" w:lineRule="exact"/>
        <w:ind w:firstLine="237" w:firstLineChars="99"/>
        <w:rPr>
          <w:rFonts w:hint="default"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（7）税金依据建办标函【2019】193号文件按9%计取。</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pStyle w:val="2"/>
        <w:ind w:firstLine="301"/>
        <w:rPr>
          <w:rFonts w:ascii="新宋体" w:hAnsi="新宋体" w:eastAsia="新宋体"/>
          <w:b/>
          <w:sz w:val="24"/>
        </w:rPr>
      </w:pPr>
      <w:r>
        <w:rPr>
          <w:rFonts w:hint="eastAsia"/>
          <w:b/>
          <w:bCs/>
          <w:sz w:val="30"/>
          <w:szCs w:val="30"/>
          <w:lang w:val="en-US" w:eastAsia="zh-CN"/>
        </w:rPr>
        <w:t>注：</w:t>
      </w:r>
      <w:r>
        <w:rPr>
          <w:rFonts w:hint="eastAsia"/>
          <w:b/>
          <w:bCs/>
          <w:sz w:val="30"/>
          <w:szCs w:val="30"/>
        </w:rPr>
        <w:t>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lang w:val="en-US" w:eastAsia="zh-CN"/>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jc w:val="both"/>
        <w:outlineLvl w:val="0"/>
        <w:rPr>
          <w:rFonts w:hint="eastAsia"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both"/>
        <w:outlineLvl w:val="0"/>
        <w:rPr>
          <w:rFonts w:hAnsi="宋体" w:cs="黑体"/>
          <w:b/>
          <w:color w:val="0000FF"/>
          <w:sz w:val="44"/>
          <w:szCs w:val="44"/>
        </w:rPr>
      </w:pPr>
      <w:bookmarkStart w:id="627"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w:t>
      </w:r>
      <w:r>
        <w:rPr>
          <w:rFonts w:hint="eastAsia" w:hAnsi="宋体" w:cs="宋体"/>
          <w:sz w:val="31"/>
          <w:u w:val="single"/>
          <w:lang w:val="en-US" w:eastAsia="zh-CN"/>
        </w:rPr>
        <w:t xml:space="preserve">  / </w:t>
      </w:r>
      <w:r>
        <w:rPr>
          <w:rFonts w:hint="eastAsia" w:hAnsi="宋体" w:cs="宋体"/>
          <w:sz w:val="31"/>
          <w:u w:val="none"/>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106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int="eastAsia" w:hAnsi="宋体" w:eastAsia="宋体" w:cs="宋体"/>
          <w:sz w:val="28"/>
          <w:lang w:eastAsia="zh-CN"/>
        </w:rPr>
      </w:pPr>
      <w:r>
        <w:rPr>
          <w:rFonts w:hint="eastAsia" w:hAnsi="宋体" w:cs="宋体"/>
          <w:sz w:val="31"/>
        </w:rPr>
        <w:t>（项目名称）</w:t>
      </w:r>
      <w:r>
        <w:rPr>
          <w:rFonts w:hint="eastAsia" w:hAnsi="宋体" w:cs="宋体"/>
          <w:sz w:val="31"/>
          <w:u w:val="single"/>
          <w:lang w:val="en-US" w:eastAsia="zh-CN"/>
        </w:rPr>
        <w:t xml:space="preserve"> / </w:t>
      </w:r>
      <w:r>
        <w:rPr>
          <w:rFonts w:hint="eastAsia" w:hAnsi="宋体" w:cs="宋体"/>
          <w:sz w:val="31"/>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106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rPr>
              <w:t>项目</w:t>
            </w:r>
            <w:r>
              <w:rPr>
                <w:rFonts w:hint="eastAsia" w:ascii="新宋体" w:hAnsi="新宋体" w:eastAsia="新宋体"/>
                <w:sz w:val="24"/>
                <w:lang w:val="en-US" w:eastAsia="zh-CN"/>
              </w:rPr>
              <w:t>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val="en-US" w:eastAsia="zh-CN"/>
        </w:rPr>
        <w:t>负责人</w:t>
      </w:r>
      <w:r>
        <w:rPr>
          <w:rFonts w:hint="eastAsia" w:ascii="黑体" w:hAnsi="宋体" w:eastAsia="黑体"/>
          <w:sz w:val="24"/>
        </w:rPr>
        <w:t>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rPr>
              <w:t>项目</w:t>
            </w:r>
            <w:r>
              <w:rPr>
                <w:rFonts w:hint="eastAsia"/>
                <w:sz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val="en-US" w:eastAsia="zh-CN"/>
        </w:rPr>
        <w:t>负责人</w:t>
      </w:r>
      <w:r>
        <w:rPr>
          <w:rFonts w:hint="eastAsia" w:hAnsi="宋体"/>
          <w:sz w:val="24"/>
        </w:rPr>
        <w:t>（</w:t>
      </w:r>
      <w:r>
        <w:rPr>
          <w:rFonts w:hint="eastAsia"/>
          <w:sz w:val="24"/>
        </w:rPr>
        <w:t>项目</w:t>
      </w:r>
      <w:r>
        <w:rPr>
          <w:rFonts w:hint="eastAsia"/>
          <w:sz w:val="24"/>
          <w:lang w:val="en-US" w:eastAsia="zh-CN"/>
        </w:rPr>
        <w:t>负责人</w:t>
      </w:r>
      <w:r>
        <w:rPr>
          <w:rFonts w:hint="eastAsia" w:hAnsi="宋体"/>
          <w:sz w:val="24"/>
        </w:rPr>
        <w:t>姓名）现阶段没有担任任何在施建设工程项目的</w:t>
      </w:r>
      <w:r>
        <w:rPr>
          <w:rFonts w:hint="eastAsia"/>
          <w:sz w:val="24"/>
        </w:rPr>
        <w:t>项目</w:t>
      </w:r>
      <w:r>
        <w:rPr>
          <w:rFonts w:hint="eastAsia"/>
          <w:sz w:val="24"/>
          <w:lang w:val="en-US" w:eastAsia="zh-CN"/>
        </w:rPr>
        <w:t>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default" w:hAnsi="宋体" w:eastAsia="宋体"/>
                <w:sz w:val="24"/>
                <w:lang w:val="en-US" w:eastAsia="zh-CN"/>
              </w:rPr>
            </w:pPr>
            <w:r>
              <w:rPr>
                <w:rFonts w:hint="eastAsia"/>
                <w:sz w:val="24"/>
                <w:lang w:val="en-US" w:eastAsia="zh-CN"/>
              </w:rPr>
              <w:t>注册建造师</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w:t>
      </w:r>
      <w:r>
        <w:rPr>
          <w:rFonts w:hint="eastAsia" w:hAnsi="宋体" w:cs="宋体"/>
          <w:sz w:val="31"/>
          <w:u w:val="single"/>
          <w:lang w:val="en-US" w:eastAsia="zh-CN"/>
        </w:rPr>
        <w:t xml:space="preserve">  / </w:t>
      </w:r>
      <w:r>
        <w:rPr>
          <w:rFonts w:hint="eastAsia" w:hAnsi="宋体" w:cs="宋体"/>
          <w:sz w:val="31"/>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106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2A1A276"/>
    <w:multiLevelType w:val="singleLevel"/>
    <w:tmpl w:val="12A1A276"/>
    <w:lvl w:ilvl="0" w:tentative="0">
      <w:start w:val="3"/>
      <w:numFmt w:val="decimal"/>
      <w:suff w:val="nothing"/>
      <w:lvlText w:val="%1、"/>
      <w:lvlJc w:val="left"/>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5A9F875C"/>
    <w:multiLevelType w:val="singleLevel"/>
    <w:tmpl w:val="5A9F875C"/>
    <w:lvl w:ilvl="0" w:tentative="0">
      <w:start w:val="1"/>
      <w:numFmt w:val="chineseCounting"/>
      <w:suff w:val="space"/>
      <w:lvlText w:val="第%1章"/>
      <w:lvlJc w:val="left"/>
    </w:lvl>
  </w:abstractNum>
  <w:abstractNum w:abstractNumId="7">
    <w:nsid w:val="7A188572"/>
    <w:multiLevelType w:val="singleLevel"/>
    <w:tmpl w:val="7A188572"/>
    <w:lvl w:ilvl="0" w:tentative="0">
      <w:start w:val="1"/>
      <w:numFmt w:val="chineseCounting"/>
      <w:suff w:val="space"/>
      <w:lvlText w:val="第%1章"/>
      <w:lvlJc w:val="left"/>
      <w:rPr>
        <w:rFonts w:hint="eastAsia"/>
      </w:rPr>
    </w:lvl>
  </w:abstractNum>
  <w:num w:numId="1">
    <w:abstractNumId w:val="7"/>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E73C0"/>
    <w:rsid w:val="01110E06"/>
    <w:rsid w:val="011922C1"/>
    <w:rsid w:val="011B5EC7"/>
    <w:rsid w:val="01234E3E"/>
    <w:rsid w:val="01296C1F"/>
    <w:rsid w:val="01325959"/>
    <w:rsid w:val="01486A70"/>
    <w:rsid w:val="014C4E4F"/>
    <w:rsid w:val="0158740A"/>
    <w:rsid w:val="016962E4"/>
    <w:rsid w:val="017976CF"/>
    <w:rsid w:val="01865784"/>
    <w:rsid w:val="01914756"/>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0F5283"/>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314B6"/>
    <w:rsid w:val="02E87DC4"/>
    <w:rsid w:val="02F679FE"/>
    <w:rsid w:val="02FD37F2"/>
    <w:rsid w:val="03163FAD"/>
    <w:rsid w:val="031A2A62"/>
    <w:rsid w:val="03213611"/>
    <w:rsid w:val="032248BA"/>
    <w:rsid w:val="033B664C"/>
    <w:rsid w:val="033E4D02"/>
    <w:rsid w:val="034E4787"/>
    <w:rsid w:val="037039DE"/>
    <w:rsid w:val="037571BD"/>
    <w:rsid w:val="03770009"/>
    <w:rsid w:val="03771167"/>
    <w:rsid w:val="037C3E90"/>
    <w:rsid w:val="038E41B6"/>
    <w:rsid w:val="03966709"/>
    <w:rsid w:val="03971F22"/>
    <w:rsid w:val="03985275"/>
    <w:rsid w:val="03B20F4F"/>
    <w:rsid w:val="03B676B0"/>
    <w:rsid w:val="03C069E5"/>
    <w:rsid w:val="03C10F03"/>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166C6E"/>
    <w:rsid w:val="052A72E0"/>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76536"/>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BE5AFE"/>
    <w:rsid w:val="0ABF36A1"/>
    <w:rsid w:val="0AC709E5"/>
    <w:rsid w:val="0ACB45ED"/>
    <w:rsid w:val="0AD97181"/>
    <w:rsid w:val="0AE9299A"/>
    <w:rsid w:val="0AF92D82"/>
    <w:rsid w:val="0AFD4675"/>
    <w:rsid w:val="0AFE4389"/>
    <w:rsid w:val="0AFF42F4"/>
    <w:rsid w:val="0B036B82"/>
    <w:rsid w:val="0B0978FC"/>
    <w:rsid w:val="0B0D3507"/>
    <w:rsid w:val="0B0F6AB9"/>
    <w:rsid w:val="0B1109DE"/>
    <w:rsid w:val="0B15582D"/>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B2A0A"/>
    <w:rsid w:val="0CDB7DFA"/>
    <w:rsid w:val="0CE12681"/>
    <w:rsid w:val="0CEF24BA"/>
    <w:rsid w:val="0D032F9E"/>
    <w:rsid w:val="0D065361"/>
    <w:rsid w:val="0D0D6A84"/>
    <w:rsid w:val="0D245BED"/>
    <w:rsid w:val="0D2E7CDE"/>
    <w:rsid w:val="0D52544D"/>
    <w:rsid w:val="0D631BA2"/>
    <w:rsid w:val="0D76108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911F1"/>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7125D5"/>
    <w:rsid w:val="0F794915"/>
    <w:rsid w:val="0F7E2308"/>
    <w:rsid w:val="0F8D1D66"/>
    <w:rsid w:val="0F8E634C"/>
    <w:rsid w:val="0F923D51"/>
    <w:rsid w:val="0F960DE0"/>
    <w:rsid w:val="0FAC1D9A"/>
    <w:rsid w:val="0FB0737F"/>
    <w:rsid w:val="0FB35CCF"/>
    <w:rsid w:val="0FCE6FEC"/>
    <w:rsid w:val="0FE47F4E"/>
    <w:rsid w:val="0FEB6B2A"/>
    <w:rsid w:val="0FEC6591"/>
    <w:rsid w:val="100C0C63"/>
    <w:rsid w:val="10215FFC"/>
    <w:rsid w:val="10251309"/>
    <w:rsid w:val="10261BAA"/>
    <w:rsid w:val="102B15CE"/>
    <w:rsid w:val="103C6776"/>
    <w:rsid w:val="104A034A"/>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596574"/>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50EBB"/>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AB2902"/>
    <w:rsid w:val="13B100AE"/>
    <w:rsid w:val="13BA5348"/>
    <w:rsid w:val="13BB084C"/>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D6A2D"/>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A0049"/>
    <w:rsid w:val="1C3155A1"/>
    <w:rsid w:val="1C394F6A"/>
    <w:rsid w:val="1C3A685C"/>
    <w:rsid w:val="1C414F4E"/>
    <w:rsid w:val="1C4B07DE"/>
    <w:rsid w:val="1C4C7A56"/>
    <w:rsid w:val="1C4D255F"/>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30883"/>
    <w:rsid w:val="1DC62049"/>
    <w:rsid w:val="1DD90759"/>
    <w:rsid w:val="1DD938C8"/>
    <w:rsid w:val="1DE44FE9"/>
    <w:rsid w:val="1DFB6858"/>
    <w:rsid w:val="1E102EB0"/>
    <w:rsid w:val="1E366A51"/>
    <w:rsid w:val="1E3B54C6"/>
    <w:rsid w:val="1E481202"/>
    <w:rsid w:val="1E524C7C"/>
    <w:rsid w:val="1E685A1E"/>
    <w:rsid w:val="1E8A2FC9"/>
    <w:rsid w:val="1E99010B"/>
    <w:rsid w:val="1EAE5F28"/>
    <w:rsid w:val="1EB35614"/>
    <w:rsid w:val="1EC834A7"/>
    <w:rsid w:val="1ECA5997"/>
    <w:rsid w:val="1EF20664"/>
    <w:rsid w:val="1F015DC2"/>
    <w:rsid w:val="1F2B290F"/>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D51E2"/>
    <w:rsid w:val="20151119"/>
    <w:rsid w:val="202366AA"/>
    <w:rsid w:val="202A7D3E"/>
    <w:rsid w:val="203C22F6"/>
    <w:rsid w:val="204614FA"/>
    <w:rsid w:val="20466DCB"/>
    <w:rsid w:val="204671D0"/>
    <w:rsid w:val="20497170"/>
    <w:rsid w:val="204D63F5"/>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FD1612"/>
    <w:rsid w:val="230F581C"/>
    <w:rsid w:val="23273BD2"/>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E4E88"/>
    <w:rsid w:val="23FE4EB2"/>
    <w:rsid w:val="240C3267"/>
    <w:rsid w:val="24151319"/>
    <w:rsid w:val="24253A31"/>
    <w:rsid w:val="244C7F99"/>
    <w:rsid w:val="244F0613"/>
    <w:rsid w:val="245453D0"/>
    <w:rsid w:val="245625A7"/>
    <w:rsid w:val="245D5736"/>
    <w:rsid w:val="248C7020"/>
    <w:rsid w:val="249C35F9"/>
    <w:rsid w:val="24A528B4"/>
    <w:rsid w:val="24AE1BC0"/>
    <w:rsid w:val="24B804FF"/>
    <w:rsid w:val="24C23897"/>
    <w:rsid w:val="24C343F9"/>
    <w:rsid w:val="24CA0360"/>
    <w:rsid w:val="24DC0D82"/>
    <w:rsid w:val="24ED5C2B"/>
    <w:rsid w:val="24EF3B68"/>
    <w:rsid w:val="24F36739"/>
    <w:rsid w:val="251329BB"/>
    <w:rsid w:val="2517331B"/>
    <w:rsid w:val="25173C39"/>
    <w:rsid w:val="25341659"/>
    <w:rsid w:val="254F243E"/>
    <w:rsid w:val="25523B88"/>
    <w:rsid w:val="25537F24"/>
    <w:rsid w:val="2561798B"/>
    <w:rsid w:val="25792C4E"/>
    <w:rsid w:val="257B5775"/>
    <w:rsid w:val="25816168"/>
    <w:rsid w:val="258D5089"/>
    <w:rsid w:val="259B532E"/>
    <w:rsid w:val="25A502DE"/>
    <w:rsid w:val="25AB6CB7"/>
    <w:rsid w:val="25B7075E"/>
    <w:rsid w:val="25B81442"/>
    <w:rsid w:val="25C833D5"/>
    <w:rsid w:val="25CA1A5E"/>
    <w:rsid w:val="25D96974"/>
    <w:rsid w:val="25E93DA5"/>
    <w:rsid w:val="26087595"/>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FB070C"/>
    <w:rsid w:val="26FD2231"/>
    <w:rsid w:val="27075B1E"/>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F01DF4"/>
    <w:rsid w:val="27F53979"/>
    <w:rsid w:val="27FE0E3E"/>
    <w:rsid w:val="28066B2F"/>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BD63FA"/>
    <w:rsid w:val="2CCE1A70"/>
    <w:rsid w:val="2CD83023"/>
    <w:rsid w:val="2CDB680B"/>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72B04"/>
    <w:rsid w:val="2E31770C"/>
    <w:rsid w:val="2E4C12F6"/>
    <w:rsid w:val="2E544482"/>
    <w:rsid w:val="2E54560E"/>
    <w:rsid w:val="2E594F14"/>
    <w:rsid w:val="2E607D45"/>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D2A59"/>
    <w:rsid w:val="306F6E51"/>
    <w:rsid w:val="30721749"/>
    <w:rsid w:val="307675B4"/>
    <w:rsid w:val="308222E9"/>
    <w:rsid w:val="30837237"/>
    <w:rsid w:val="309040EF"/>
    <w:rsid w:val="309350DF"/>
    <w:rsid w:val="30944861"/>
    <w:rsid w:val="309D6DE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9789E"/>
    <w:rsid w:val="330316C9"/>
    <w:rsid w:val="33164755"/>
    <w:rsid w:val="332417BF"/>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417B6"/>
    <w:rsid w:val="34345869"/>
    <w:rsid w:val="343D6A23"/>
    <w:rsid w:val="344E57CE"/>
    <w:rsid w:val="34614A70"/>
    <w:rsid w:val="347B06D5"/>
    <w:rsid w:val="347E5E4E"/>
    <w:rsid w:val="34B462E0"/>
    <w:rsid w:val="34C93E6E"/>
    <w:rsid w:val="34CF0EBB"/>
    <w:rsid w:val="34D3018A"/>
    <w:rsid w:val="34DB3478"/>
    <w:rsid w:val="34DB7451"/>
    <w:rsid w:val="34DE0455"/>
    <w:rsid w:val="34DE70CB"/>
    <w:rsid w:val="34EB34AC"/>
    <w:rsid w:val="350267A3"/>
    <w:rsid w:val="35291E25"/>
    <w:rsid w:val="352A4911"/>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0CE7"/>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E774E2"/>
    <w:rsid w:val="38F71600"/>
    <w:rsid w:val="38F81758"/>
    <w:rsid w:val="38FB486B"/>
    <w:rsid w:val="39056723"/>
    <w:rsid w:val="391E2C91"/>
    <w:rsid w:val="3926422B"/>
    <w:rsid w:val="39331A89"/>
    <w:rsid w:val="3940391C"/>
    <w:rsid w:val="394B386E"/>
    <w:rsid w:val="394B5136"/>
    <w:rsid w:val="39567274"/>
    <w:rsid w:val="39627EB7"/>
    <w:rsid w:val="39705634"/>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303AA0"/>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A58B1"/>
    <w:rsid w:val="3BB829D4"/>
    <w:rsid w:val="3BB863FA"/>
    <w:rsid w:val="3BBF6814"/>
    <w:rsid w:val="3BCB1D59"/>
    <w:rsid w:val="3BD15A61"/>
    <w:rsid w:val="3BE6193C"/>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A45FC"/>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624AB6"/>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1A4DBD"/>
    <w:rsid w:val="41373F3E"/>
    <w:rsid w:val="41380022"/>
    <w:rsid w:val="41396733"/>
    <w:rsid w:val="413A7595"/>
    <w:rsid w:val="413A779B"/>
    <w:rsid w:val="413D6CEB"/>
    <w:rsid w:val="414119BC"/>
    <w:rsid w:val="414B7C4E"/>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CB59D4"/>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C013A"/>
    <w:rsid w:val="459267A0"/>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6373F"/>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B239A"/>
    <w:rsid w:val="495C537B"/>
    <w:rsid w:val="495E7503"/>
    <w:rsid w:val="496144AA"/>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E6623"/>
    <w:rsid w:val="4B3D17EB"/>
    <w:rsid w:val="4B410885"/>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CF6F2A"/>
    <w:rsid w:val="4DD4508E"/>
    <w:rsid w:val="4DEF1903"/>
    <w:rsid w:val="4DFB0CA7"/>
    <w:rsid w:val="4DFD3A9D"/>
    <w:rsid w:val="4E0114DA"/>
    <w:rsid w:val="4E011D29"/>
    <w:rsid w:val="4E0F4B1C"/>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4FDF1B54"/>
    <w:rsid w:val="50100886"/>
    <w:rsid w:val="503F19CC"/>
    <w:rsid w:val="50506634"/>
    <w:rsid w:val="50543A73"/>
    <w:rsid w:val="50583DB2"/>
    <w:rsid w:val="50660E2A"/>
    <w:rsid w:val="50665A2B"/>
    <w:rsid w:val="50673B5C"/>
    <w:rsid w:val="50681DF5"/>
    <w:rsid w:val="506A4060"/>
    <w:rsid w:val="50760C36"/>
    <w:rsid w:val="507A0041"/>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E43EE"/>
    <w:rsid w:val="513460FC"/>
    <w:rsid w:val="513C33D8"/>
    <w:rsid w:val="513D34B8"/>
    <w:rsid w:val="513F24F9"/>
    <w:rsid w:val="51402B46"/>
    <w:rsid w:val="5143219A"/>
    <w:rsid w:val="514B43E3"/>
    <w:rsid w:val="51541F24"/>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209EF"/>
    <w:rsid w:val="53242CA4"/>
    <w:rsid w:val="532C5BCA"/>
    <w:rsid w:val="532D0D25"/>
    <w:rsid w:val="532D147E"/>
    <w:rsid w:val="535F5BDA"/>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4D7BF5"/>
    <w:rsid w:val="5A5574BB"/>
    <w:rsid w:val="5A557EB5"/>
    <w:rsid w:val="5A5D411C"/>
    <w:rsid w:val="5A602845"/>
    <w:rsid w:val="5A664A8A"/>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65EED"/>
    <w:rsid w:val="5B6349B8"/>
    <w:rsid w:val="5B7149F1"/>
    <w:rsid w:val="5B7D3D4C"/>
    <w:rsid w:val="5B801E98"/>
    <w:rsid w:val="5B930800"/>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A3521"/>
    <w:rsid w:val="5D011A97"/>
    <w:rsid w:val="5D09133D"/>
    <w:rsid w:val="5D190519"/>
    <w:rsid w:val="5D1D07B1"/>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2074F6D"/>
    <w:rsid w:val="620C3606"/>
    <w:rsid w:val="620E2701"/>
    <w:rsid w:val="62145A3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47C4F"/>
    <w:rsid w:val="692C606C"/>
    <w:rsid w:val="69517793"/>
    <w:rsid w:val="69541FA4"/>
    <w:rsid w:val="695C7531"/>
    <w:rsid w:val="69602EEE"/>
    <w:rsid w:val="69747D39"/>
    <w:rsid w:val="699E641D"/>
    <w:rsid w:val="69A9357D"/>
    <w:rsid w:val="69B17D0A"/>
    <w:rsid w:val="69BF761B"/>
    <w:rsid w:val="69CB57AB"/>
    <w:rsid w:val="69DB27C0"/>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921C9"/>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6041B"/>
    <w:rsid w:val="6C8A45D5"/>
    <w:rsid w:val="6C8C49CF"/>
    <w:rsid w:val="6C8D6C5D"/>
    <w:rsid w:val="6C9069CF"/>
    <w:rsid w:val="6CA4216E"/>
    <w:rsid w:val="6CA44DB8"/>
    <w:rsid w:val="6CA75AA2"/>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71086"/>
    <w:rsid w:val="6E0E44AA"/>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A3790"/>
    <w:rsid w:val="6ECB0CA3"/>
    <w:rsid w:val="6ECE0B27"/>
    <w:rsid w:val="6ED02623"/>
    <w:rsid w:val="6ED92856"/>
    <w:rsid w:val="6EDF1AD6"/>
    <w:rsid w:val="6EEB2A66"/>
    <w:rsid w:val="6EF77132"/>
    <w:rsid w:val="6EFC3A87"/>
    <w:rsid w:val="6F084036"/>
    <w:rsid w:val="6F0913AC"/>
    <w:rsid w:val="6F0A702E"/>
    <w:rsid w:val="6F1D4537"/>
    <w:rsid w:val="6F206148"/>
    <w:rsid w:val="6F2464EF"/>
    <w:rsid w:val="6F25291A"/>
    <w:rsid w:val="6F2A63C0"/>
    <w:rsid w:val="6F2C3765"/>
    <w:rsid w:val="6F493831"/>
    <w:rsid w:val="6F6531B8"/>
    <w:rsid w:val="6F6C3DB3"/>
    <w:rsid w:val="6F966872"/>
    <w:rsid w:val="6FAE1262"/>
    <w:rsid w:val="6FB90805"/>
    <w:rsid w:val="6FC73915"/>
    <w:rsid w:val="6FC76CC4"/>
    <w:rsid w:val="6FD155F6"/>
    <w:rsid w:val="6FE67123"/>
    <w:rsid w:val="6FE87618"/>
    <w:rsid w:val="6FEE322F"/>
    <w:rsid w:val="6FEF1BB1"/>
    <w:rsid w:val="6FF6577E"/>
    <w:rsid w:val="6FFC0ADF"/>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E009E1"/>
    <w:rsid w:val="70F03B20"/>
    <w:rsid w:val="70FB337F"/>
    <w:rsid w:val="710412A4"/>
    <w:rsid w:val="71092FED"/>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647BB"/>
    <w:rsid w:val="72FA314C"/>
    <w:rsid w:val="72FB2114"/>
    <w:rsid w:val="72FE2838"/>
    <w:rsid w:val="730208D7"/>
    <w:rsid w:val="730E3A7E"/>
    <w:rsid w:val="73180030"/>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A6745"/>
    <w:rsid w:val="75A41183"/>
    <w:rsid w:val="75B7596F"/>
    <w:rsid w:val="75BA0E35"/>
    <w:rsid w:val="75DC41A0"/>
    <w:rsid w:val="75DE7F2A"/>
    <w:rsid w:val="75E350FB"/>
    <w:rsid w:val="75E667B9"/>
    <w:rsid w:val="75EF4024"/>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E1935"/>
    <w:rsid w:val="78293A6F"/>
    <w:rsid w:val="78513111"/>
    <w:rsid w:val="78525B74"/>
    <w:rsid w:val="785C23A0"/>
    <w:rsid w:val="785C39A9"/>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9201FE"/>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137BC"/>
    <w:rsid w:val="7C14707B"/>
    <w:rsid w:val="7C337676"/>
    <w:rsid w:val="7C36271E"/>
    <w:rsid w:val="7C3E1F10"/>
    <w:rsid w:val="7C4B2809"/>
    <w:rsid w:val="7C4C2430"/>
    <w:rsid w:val="7C557D34"/>
    <w:rsid w:val="7C5F5B96"/>
    <w:rsid w:val="7C852914"/>
    <w:rsid w:val="7C8B7EA7"/>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71768"/>
    <w:rsid w:val="7DF007AE"/>
    <w:rsid w:val="7E0D7CD7"/>
    <w:rsid w:val="7E2030CC"/>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16</TotalTime>
  <ScaleCrop>false</ScaleCrop>
  <LinksUpToDate>false</LinksUpToDate>
  <CharactersWithSpaces>33446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mu</cp:lastModifiedBy>
  <cp:lastPrinted>2019-06-19T07:11:08Z</cp:lastPrinted>
  <dcterms:modified xsi:type="dcterms:W3CDTF">2019-06-19T07:11:57Z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