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84"/>
          <w:szCs w:val="84"/>
        </w:rPr>
      </w:pPr>
    </w:p>
    <w:p>
      <w:pPr>
        <w:jc w:val="center"/>
        <w:rPr>
          <w:rFonts w:ascii="仿宋" w:hAnsi="仿宋" w:eastAsia="仿宋"/>
          <w:sz w:val="52"/>
          <w:szCs w:val="52"/>
        </w:rPr>
      </w:pPr>
      <w:r>
        <w:rPr>
          <w:rFonts w:hint="eastAsia" w:ascii="仿宋" w:hAnsi="仿宋" w:eastAsia="仿宋"/>
          <w:sz w:val="84"/>
          <w:szCs w:val="84"/>
        </w:rPr>
        <w:t>建安区</w:t>
      </w:r>
      <w:r>
        <w:rPr>
          <w:rFonts w:ascii="仿宋" w:hAnsi="仿宋" w:eastAsia="仿宋"/>
          <w:sz w:val="84"/>
          <w:szCs w:val="84"/>
        </w:rPr>
        <w:t>建设工程</w:t>
      </w:r>
    </w:p>
    <w:p>
      <w:pPr>
        <w:pStyle w:val="2"/>
        <w:ind w:firstLine="340"/>
      </w:pPr>
    </w:p>
    <w:p>
      <w:pPr>
        <w:jc w:val="center"/>
        <w:rPr>
          <w:rFonts w:ascii="仿宋" w:hAnsi="仿宋" w:eastAsia="仿宋"/>
          <w:sz w:val="84"/>
          <w:szCs w:val="84"/>
        </w:rPr>
      </w:pPr>
      <w:r>
        <w:rPr>
          <w:rFonts w:ascii="仿宋" w:hAnsi="仿宋" w:eastAsia="仿宋"/>
          <w:sz w:val="84"/>
          <w:szCs w:val="84"/>
        </w:rPr>
        <w:t>招</w:t>
      </w:r>
    </w:p>
    <w:p>
      <w:pPr>
        <w:jc w:val="center"/>
        <w:rPr>
          <w:rFonts w:ascii="仿宋" w:hAnsi="仿宋" w:eastAsia="仿宋"/>
          <w:sz w:val="84"/>
          <w:szCs w:val="84"/>
        </w:rPr>
      </w:pPr>
      <w:r>
        <w:rPr>
          <w:rFonts w:ascii="仿宋" w:hAnsi="仿宋" w:eastAsia="仿宋"/>
          <w:sz w:val="84"/>
          <w:szCs w:val="84"/>
        </w:rPr>
        <w:t>标</w:t>
      </w:r>
    </w:p>
    <w:p>
      <w:pPr>
        <w:jc w:val="center"/>
        <w:rPr>
          <w:rFonts w:ascii="仿宋" w:hAnsi="仿宋" w:eastAsia="仿宋"/>
          <w:sz w:val="84"/>
          <w:szCs w:val="84"/>
        </w:rPr>
      </w:pPr>
      <w:r>
        <w:rPr>
          <w:rFonts w:ascii="仿宋" w:hAnsi="仿宋" w:eastAsia="仿宋"/>
          <w:sz w:val="84"/>
          <w:szCs w:val="84"/>
        </w:rPr>
        <w:t>文</w:t>
      </w:r>
    </w:p>
    <w:p>
      <w:pPr>
        <w:tabs>
          <w:tab w:val="center" w:pos="4595"/>
          <w:tab w:val="left" w:pos="5720"/>
        </w:tabs>
        <w:jc w:val="left"/>
        <w:rPr>
          <w:rFonts w:ascii="仿宋" w:hAnsi="仿宋" w:eastAsia="仿宋"/>
          <w:sz w:val="84"/>
          <w:szCs w:val="84"/>
        </w:rPr>
      </w:pPr>
      <w:r>
        <w:rPr>
          <w:rFonts w:hint="eastAsia" w:ascii="仿宋" w:hAnsi="仿宋" w:eastAsia="仿宋"/>
          <w:sz w:val="84"/>
          <w:szCs w:val="84"/>
        </w:rPr>
        <w:tab/>
      </w:r>
      <w:r>
        <w:rPr>
          <w:rFonts w:ascii="仿宋" w:hAnsi="仿宋" w:eastAsia="仿宋"/>
          <w:sz w:val="84"/>
          <w:szCs w:val="84"/>
        </w:rPr>
        <w:t>件</w:t>
      </w:r>
      <w:r>
        <w:rPr>
          <w:rFonts w:hint="eastAsia" w:ascii="仿宋" w:hAnsi="仿宋" w:eastAsia="仿宋"/>
          <w:sz w:val="84"/>
          <w:szCs w:val="84"/>
        </w:rPr>
        <w:tab/>
      </w:r>
    </w:p>
    <w:p>
      <w:pPr>
        <w:jc w:val="center"/>
        <w:rPr>
          <w:rFonts w:ascii="仿宋" w:hAnsi="仿宋" w:eastAsia="仿宋"/>
          <w:sz w:val="32"/>
          <w:szCs w:val="32"/>
        </w:rPr>
      </w:pPr>
    </w:p>
    <w:p>
      <w:pPr>
        <w:pStyle w:val="2"/>
        <w:ind w:firstLine="340"/>
      </w:pPr>
    </w:p>
    <w:p>
      <w:pPr>
        <w:pStyle w:val="2"/>
        <w:ind w:firstLine="340"/>
      </w:pPr>
    </w:p>
    <w:p>
      <w:pPr>
        <w:rPr>
          <w:rFonts w:ascii="仿宋" w:hAnsi="仿宋" w:eastAsia="仿宋"/>
          <w:sz w:val="32"/>
          <w:szCs w:val="32"/>
        </w:rPr>
      </w:pPr>
    </w:p>
    <w:p>
      <w:pPr>
        <w:ind w:firstLine="1280" w:firstLineChars="400"/>
        <w:rPr>
          <w:rFonts w:ascii="仿宋" w:hAnsi="仿宋" w:eastAsia="仿宋"/>
          <w:sz w:val="32"/>
          <w:szCs w:val="32"/>
        </w:rPr>
      </w:pPr>
      <w:r>
        <w:rPr>
          <w:rFonts w:hint="eastAsia" w:ascii="仿宋" w:hAnsi="仿宋" w:eastAsia="仿宋"/>
          <w:sz w:val="32"/>
          <w:szCs w:val="32"/>
        </w:rPr>
        <w:t>项目编号：建安建工公字〔2019〕</w:t>
      </w:r>
      <w:r>
        <w:rPr>
          <w:rFonts w:hint="eastAsia" w:ascii="仿宋" w:hAnsi="仿宋" w:eastAsia="仿宋"/>
          <w:sz w:val="32"/>
          <w:szCs w:val="32"/>
          <w:lang w:val="en-US" w:eastAsia="zh-CN"/>
        </w:rPr>
        <w:t>109</w:t>
      </w:r>
      <w:r>
        <w:rPr>
          <w:rFonts w:hint="eastAsia" w:ascii="仿宋" w:hAnsi="仿宋" w:eastAsia="仿宋"/>
          <w:sz w:val="32"/>
          <w:szCs w:val="32"/>
        </w:rPr>
        <w:t>号</w:t>
      </w:r>
    </w:p>
    <w:p>
      <w:pPr>
        <w:ind w:firstLine="1280" w:firstLineChars="400"/>
        <w:jc w:val="left"/>
        <w:rPr>
          <w:rFonts w:hint="eastAsia" w:ascii="仿宋" w:hAnsi="仿宋" w:eastAsia="仿宋"/>
          <w:sz w:val="32"/>
          <w:szCs w:val="32"/>
          <w:lang w:eastAsia="zh-CN"/>
        </w:rPr>
      </w:pPr>
      <w:r>
        <w:rPr>
          <w:rFonts w:ascii="仿宋" w:hAnsi="仿宋" w:eastAsia="仿宋"/>
          <w:sz w:val="32"/>
          <w:szCs w:val="32"/>
        </w:rPr>
        <w:t>项目名称：</w:t>
      </w:r>
      <w:r>
        <w:rPr>
          <w:rFonts w:hint="eastAsia" w:ascii="仿宋" w:hAnsi="仿宋" w:eastAsia="仿宋"/>
          <w:sz w:val="32"/>
          <w:szCs w:val="32"/>
          <w:lang w:eastAsia="zh-CN"/>
        </w:rPr>
        <w:t>老岗杨村游园建设项目</w:t>
      </w:r>
    </w:p>
    <w:p>
      <w:pPr>
        <w:ind w:firstLine="1280" w:firstLineChars="400"/>
        <w:jc w:val="left"/>
        <w:rPr>
          <w:rFonts w:hint="eastAsia" w:ascii="仿宋" w:hAnsi="仿宋" w:eastAsia="仿宋"/>
          <w:sz w:val="32"/>
          <w:szCs w:val="32"/>
          <w:lang w:eastAsia="zh-CN"/>
        </w:rPr>
      </w:pPr>
      <w:r>
        <w:rPr>
          <w:rFonts w:ascii="仿宋" w:hAnsi="仿宋" w:eastAsia="仿宋"/>
          <w:sz w:val="32"/>
          <w:szCs w:val="32"/>
        </w:rPr>
        <w:t>招 标 人：</w:t>
      </w:r>
      <w:r>
        <w:rPr>
          <w:rFonts w:hint="eastAsia" w:ascii="仿宋" w:hAnsi="仿宋" w:eastAsia="仿宋"/>
          <w:sz w:val="32"/>
          <w:szCs w:val="32"/>
          <w:lang w:eastAsia="zh-CN"/>
        </w:rPr>
        <w:t>许昌市建安区桂村乡人民政府</w:t>
      </w:r>
    </w:p>
    <w:p>
      <w:pPr>
        <w:ind w:firstLine="1280" w:firstLineChars="400"/>
        <w:jc w:val="left"/>
        <w:rPr>
          <w:rFonts w:ascii="仿宋" w:hAnsi="仿宋" w:eastAsia="仿宋"/>
          <w:sz w:val="32"/>
          <w:szCs w:val="32"/>
        </w:rPr>
      </w:pPr>
      <w:r>
        <w:rPr>
          <w:rFonts w:ascii="仿宋" w:hAnsi="仿宋" w:eastAsia="仿宋"/>
          <w:sz w:val="32"/>
          <w:szCs w:val="32"/>
        </w:rPr>
        <w:t>代理机构：</w:t>
      </w:r>
      <w:r>
        <w:rPr>
          <w:rFonts w:hint="eastAsia" w:ascii="仿宋" w:hAnsi="仿宋" w:eastAsia="仿宋"/>
          <w:sz w:val="32"/>
          <w:szCs w:val="32"/>
        </w:rPr>
        <w:t>永明项目管理有限公司</w:t>
      </w:r>
    </w:p>
    <w:p>
      <w:pPr>
        <w:ind w:firstLine="3520" w:firstLineChars="1100"/>
        <w:rPr>
          <w:rFonts w:ascii="黑体" w:hAnsi="宋体" w:eastAsia="黑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pgNumType w:start="0"/>
          <w:cols w:space="720" w:num="1"/>
          <w:titlePg/>
          <w:docGrid w:linePitch="312" w:charSpace="0"/>
        </w:sectPr>
      </w:pPr>
      <w:r>
        <w:rPr>
          <w:rFonts w:hint="eastAsia" w:ascii="仿宋" w:hAnsi="仿宋" w:eastAsia="仿宋"/>
          <w:sz w:val="32"/>
          <w:szCs w:val="32"/>
        </w:rPr>
        <w:t>二〇一九年</w:t>
      </w:r>
      <w:r>
        <w:rPr>
          <w:rFonts w:hint="eastAsia" w:ascii="仿宋" w:hAnsi="仿宋" w:eastAsia="仿宋"/>
          <w:sz w:val="32"/>
          <w:szCs w:val="32"/>
          <w:lang w:eastAsia="zh-CN"/>
        </w:rPr>
        <w:t>六</w:t>
      </w:r>
      <w:r>
        <w:rPr>
          <w:rFonts w:hint="eastAsia" w:ascii="仿宋" w:hAnsi="仿宋" w:eastAsia="仿宋"/>
          <w:sz w:val="32"/>
          <w:szCs w:val="32"/>
        </w:rPr>
        <w:t>月</w:t>
      </w:r>
    </w:p>
    <w:p>
      <w:pPr>
        <w:rPr>
          <w:rFonts w:ascii="黑体" w:hAnsi="宋体" w:eastAsia="黑体"/>
          <w:b/>
          <w:sz w:val="44"/>
        </w:rPr>
      </w:pPr>
    </w:p>
    <w:p>
      <w:pPr>
        <w:jc w:val="center"/>
        <w:rPr>
          <w:rFonts w:hAnsi="宋体"/>
          <w:b/>
          <w:sz w:val="32"/>
        </w:rPr>
      </w:pPr>
    </w:p>
    <w:p>
      <w:pPr>
        <w:jc w:val="center"/>
        <w:rPr>
          <w:rFonts w:ascii="黑体" w:hAnsi="宋体" w:eastAsia="黑体"/>
          <w:b/>
          <w:sz w:val="44"/>
        </w:rPr>
      </w:pPr>
      <w:bookmarkStart w:id="0" w:name="_Toc215282124"/>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7</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w:t>
      </w:r>
      <w:r>
        <w:rPr>
          <w:rFonts w:hint="eastAsia" w:ascii="黑体" w:hAnsi="宋体" w:eastAsia="黑体"/>
          <w:b/>
          <w:sz w:val="28"/>
          <w:lang w:val="en-US" w:eastAsia="zh-CN"/>
        </w:rPr>
        <w:t>7</w:t>
      </w:r>
    </w:p>
    <w:p>
      <w:pPr>
        <w:tabs>
          <w:tab w:val="left" w:leader="hyphen" w:pos="7919"/>
        </w:tabs>
        <w:snapToGrid w:val="0"/>
        <w:spacing w:line="480" w:lineRule="auto"/>
        <w:ind w:firstLine="645"/>
        <w:rPr>
          <w:rFonts w:hint="default" w:ascii="黑体" w:hAnsi="宋体" w:eastAsia="黑体"/>
          <w:b/>
          <w:sz w:val="28"/>
          <w:lang w:val="en-US" w:eastAsia="zh-CN"/>
        </w:rPr>
      </w:pPr>
      <w:r>
        <w:rPr>
          <w:rFonts w:hint="eastAsia" w:ascii="黑体" w:hAnsi="宋体" w:eastAsia="黑体"/>
          <w:b/>
          <w:sz w:val="28"/>
        </w:rPr>
        <w:t>第四章  合同条款及格式</w:t>
      </w:r>
      <w:r>
        <w:rPr>
          <w:rFonts w:ascii="黑体" w:hAnsi="宋体" w:eastAsia="黑体"/>
          <w:b/>
          <w:sz w:val="28"/>
        </w:rPr>
        <w:tab/>
      </w:r>
      <w:r>
        <w:rPr>
          <w:rFonts w:hint="eastAsia" w:ascii="黑体" w:hAnsi="宋体" w:eastAsia="黑体"/>
          <w:b/>
          <w:sz w:val="28"/>
          <w:lang w:val="en-US" w:eastAsia="zh-CN"/>
        </w:rPr>
        <w:t>38</w:t>
      </w:r>
    </w:p>
    <w:p>
      <w:pPr>
        <w:tabs>
          <w:tab w:val="left" w:leader="hyphen" w:pos="7919"/>
        </w:tabs>
        <w:snapToGrid w:val="0"/>
        <w:spacing w:line="480" w:lineRule="auto"/>
        <w:ind w:firstLine="645"/>
        <w:rPr>
          <w:rFonts w:hint="default" w:ascii="黑体" w:hAnsi="宋体" w:eastAsia="黑体"/>
          <w:b/>
          <w:sz w:val="28"/>
          <w:lang w:val="en-US" w:eastAsia="zh-CN"/>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lang w:val="en-US" w:eastAsia="zh-CN"/>
        </w:rPr>
        <w:t>39</w:t>
      </w:r>
    </w:p>
    <w:p>
      <w:p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lang w:val="en-US" w:eastAsia="zh-CN"/>
        </w:rPr>
        <w:t>45</w:t>
      </w:r>
    </w:p>
    <w:p>
      <w:pPr>
        <w:tabs>
          <w:tab w:val="left" w:leader="hyphen" w:pos="7919"/>
        </w:tabs>
        <w:snapToGrid w:val="0"/>
        <w:spacing w:line="480" w:lineRule="auto"/>
        <w:ind w:firstLine="645"/>
        <w:rPr>
          <w:rFonts w:hint="default" w:ascii="黑体" w:hAnsi="宋体" w:eastAsia="黑体"/>
          <w:b/>
          <w:sz w:val="28"/>
          <w:lang w:val="en-US" w:eastAsia="zh-CN"/>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lang w:val="en-US" w:eastAsia="zh-CN"/>
        </w:rPr>
        <w:t>46</w:t>
      </w:r>
    </w:p>
    <w:p>
      <w:pPr>
        <w:tabs>
          <w:tab w:val="left" w:leader="hyphen" w:pos="7919"/>
        </w:tabs>
        <w:snapToGrid w:val="0"/>
        <w:spacing w:line="480" w:lineRule="auto"/>
        <w:ind w:firstLine="645"/>
        <w:rPr>
          <w:rFonts w:hint="default" w:ascii="黑体" w:hAnsi="宋体" w:eastAsia="黑体"/>
          <w:b/>
          <w:sz w:val="28"/>
          <w:lang w:val="en-US" w:eastAsia="zh-CN"/>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lang w:val="en-US" w:eastAsia="zh-CN"/>
        </w:rPr>
        <w:t>47</w:t>
      </w:r>
    </w:p>
    <w:p>
      <w:pPr>
        <w:widowControl/>
        <w:jc w:val="left"/>
        <w:rPr>
          <w:rFonts w:hAnsi="宋体" w:cs="黑体"/>
          <w:b/>
          <w:sz w:val="44"/>
          <w:szCs w:val="44"/>
        </w:rPr>
      </w:pPr>
      <w:r>
        <w:rPr>
          <w:rFonts w:hAnsi="宋体" w:cs="黑体"/>
          <w:b/>
          <w:sz w:val="44"/>
          <w:szCs w:val="44"/>
        </w:rPr>
        <w:br w:type="page"/>
      </w:r>
    </w:p>
    <w:p>
      <w:pPr>
        <w:numPr>
          <w:ilvl w:val="0"/>
          <w:numId w:val="1"/>
        </w:numPr>
        <w:tabs>
          <w:tab w:val="left" w:pos="3185"/>
          <w:tab w:val="center" w:pos="5452"/>
        </w:tabs>
        <w:snapToGrid w:val="0"/>
        <w:spacing w:beforeLines="50" w:line="240" w:lineRule="auto"/>
        <w:jc w:val="center"/>
        <w:rPr>
          <w:rFonts w:hAnsi="宋体" w:cs="黑体"/>
          <w:b/>
          <w:sz w:val="32"/>
          <w:szCs w:val="32"/>
        </w:rPr>
      </w:pPr>
      <w:r>
        <w:rPr>
          <w:rFonts w:hint="eastAsia" w:hAnsi="宋体" w:cs="黑体"/>
          <w:b/>
          <w:sz w:val="32"/>
          <w:szCs w:val="32"/>
        </w:rPr>
        <w:t>招标公告</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center"/>
        <w:textAlignment w:val="auto"/>
        <w:outlineLvl w:val="0"/>
        <w:rPr>
          <w:rFonts w:hint="eastAsia" w:ascii="仿宋" w:hAnsi="仿宋" w:eastAsia="仿宋" w:cs="宋体"/>
          <w:b/>
          <w:sz w:val="32"/>
          <w:szCs w:val="32"/>
        </w:rPr>
      </w:pPr>
      <w:r>
        <w:rPr>
          <w:rFonts w:hint="eastAsia" w:ascii="仿宋" w:hAnsi="仿宋" w:eastAsia="仿宋" w:cs="宋体"/>
          <w:b/>
          <w:sz w:val="32"/>
          <w:szCs w:val="32"/>
        </w:rPr>
        <w:t>建安建工公字〔2019〕</w:t>
      </w:r>
      <w:r>
        <w:rPr>
          <w:rFonts w:hint="eastAsia" w:ascii="仿宋" w:hAnsi="仿宋" w:eastAsia="仿宋" w:cs="宋体"/>
          <w:b/>
          <w:sz w:val="32"/>
          <w:szCs w:val="32"/>
          <w:lang w:val="en-US" w:eastAsia="zh-CN"/>
        </w:rPr>
        <w:t xml:space="preserve">109 </w:t>
      </w:r>
      <w:r>
        <w:rPr>
          <w:rFonts w:hint="eastAsia" w:ascii="仿宋" w:hAnsi="仿宋" w:eastAsia="仿宋" w:cs="宋体"/>
          <w:b/>
          <w:sz w:val="32"/>
          <w:szCs w:val="32"/>
        </w:rPr>
        <w:t>号</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center"/>
        <w:textAlignment w:val="auto"/>
        <w:outlineLvl w:val="0"/>
        <w:rPr>
          <w:rFonts w:hint="eastAsia" w:ascii="仿宋" w:hAnsi="仿宋" w:eastAsia="仿宋" w:cs="宋体"/>
          <w:b/>
          <w:sz w:val="32"/>
          <w:szCs w:val="32"/>
        </w:rPr>
      </w:pPr>
      <w:r>
        <w:rPr>
          <w:rFonts w:hint="eastAsia" w:ascii="仿宋" w:hAnsi="仿宋" w:eastAsia="仿宋" w:cs="宋体"/>
          <w:b/>
          <w:sz w:val="32"/>
          <w:szCs w:val="32"/>
          <w:lang w:eastAsia="zh-CN"/>
        </w:rPr>
        <w:t>许昌市建安区桂村乡人民政府</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center"/>
        <w:textAlignment w:val="auto"/>
        <w:outlineLvl w:val="0"/>
        <w:rPr>
          <w:rFonts w:hint="eastAsia" w:ascii="仿宋" w:hAnsi="仿宋" w:eastAsia="仿宋" w:cs="宋体"/>
          <w:b/>
          <w:sz w:val="32"/>
          <w:szCs w:val="32"/>
          <w:lang w:eastAsia="zh-CN"/>
        </w:rPr>
      </w:pPr>
      <w:r>
        <w:rPr>
          <w:rFonts w:hint="eastAsia" w:ascii="仿宋" w:hAnsi="仿宋" w:eastAsia="仿宋" w:cs="宋体"/>
          <w:b/>
          <w:sz w:val="32"/>
          <w:szCs w:val="32"/>
          <w:lang w:eastAsia="zh-CN"/>
        </w:rPr>
        <w:t>老岗杨村游园建设项目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center"/>
        <w:textAlignment w:val="auto"/>
        <w:outlineLvl w:val="0"/>
        <w:rPr>
          <w:rFonts w:hint="eastAsia" w:ascii="仿宋" w:hAnsi="仿宋" w:eastAsia="仿宋" w:cs="宋体"/>
          <w:b/>
          <w:sz w:val="32"/>
          <w:szCs w:val="32"/>
        </w:rPr>
      </w:pPr>
      <w:r>
        <w:rPr>
          <w:rFonts w:hint="eastAsia" w:ascii="仿宋" w:hAnsi="仿宋" w:eastAsia="仿宋" w:cs="宋体"/>
          <w:b/>
          <w:sz w:val="32"/>
          <w:szCs w:val="32"/>
        </w:rPr>
        <w:t>公开招标公告</w:t>
      </w:r>
    </w:p>
    <w:p>
      <w:pPr>
        <w:autoSpaceDE w:val="0"/>
        <w:autoSpaceDN w:val="0"/>
        <w:adjustRightInd w:val="0"/>
        <w:spacing w:line="240" w:lineRule="auto"/>
        <w:jc w:val="left"/>
        <w:outlineLvl w:val="0"/>
        <w:rPr>
          <w:rFonts w:ascii="仿宋" w:hAnsi="仿宋" w:eastAsia="仿宋" w:cs="宋体"/>
          <w:sz w:val="24"/>
          <w:szCs w:val="24"/>
        </w:rPr>
      </w:pPr>
      <w:r>
        <w:rPr>
          <w:rFonts w:hint="eastAsia" w:ascii="仿宋" w:hAnsi="仿宋" w:eastAsia="仿宋" w:cs="宋体"/>
          <w:b/>
          <w:bCs/>
          <w:sz w:val="24"/>
          <w:szCs w:val="24"/>
        </w:rPr>
        <w:t>一、</w:t>
      </w:r>
      <w:r>
        <w:rPr>
          <w:rFonts w:ascii="仿宋" w:hAnsi="仿宋" w:eastAsia="仿宋" w:cs="宋体"/>
          <w:b/>
          <w:bCs/>
          <w:sz w:val="24"/>
          <w:szCs w:val="24"/>
        </w:rPr>
        <w:t>项目概况</w:t>
      </w:r>
    </w:p>
    <w:p>
      <w:pPr>
        <w:spacing w:line="240" w:lineRule="auto"/>
        <w:ind w:firstLine="480"/>
        <w:rPr>
          <w:rFonts w:hint="eastAsia" w:hAnsi="宋体"/>
          <w:sz w:val="24"/>
          <w:szCs w:val="24"/>
        </w:rPr>
      </w:pPr>
      <w:r>
        <w:rPr>
          <w:rFonts w:hint="eastAsia" w:hAnsi="宋体"/>
          <w:sz w:val="24"/>
          <w:szCs w:val="24"/>
        </w:rPr>
        <w:t>1、项目编号：建安建工公字〔2019〕</w:t>
      </w:r>
      <w:r>
        <w:rPr>
          <w:rFonts w:hint="eastAsia" w:hAnsi="宋体"/>
          <w:sz w:val="24"/>
          <w:szCs w:val="24"/>
          <w:lang w:val="en-US" w:eastAsia="zh-CN"/>
        </w:rPr>
        <w:t>109</w:t>
      </w:r>
      <w:r>
        <w:rPr>
          <w:rFonts w:hint="eastAsia" w:hAnsi="宋体"/>
          <w:sz w:val="24"/>
          <w:szCs w:val="24"/>
        </w:rPr>
        <w:t>号</w:t>
      </w:r>
    </w:p>
    <w:p>
      <w:pPr>
        <w:spacing w:line="240" w:lineRule="auto"/>
        <w:ind w:firstLine="480"/>
        <w:rPr>
          <w:rFonts w:hint="eastAsia" w:hAnsi="宋体"/>
          <w:sz w:val="24"/>
          <w:szCs w:val="24"/>
        </w:rPr>
      </w:pPr>
      <w:r>
        <w:rPr>
          <w:rFonts w:hint="eastAsia" w:hAnsi="宋体"/>
          <w:sz w:val="24"/>
          <w:szCs w:val="24"/>
        </w:rPr>
        <w:t>2、项目名称：</w:t>
      </w:r>
      <w:r>
        <w:rPr>
          <w:rFonts w:hint="eastAsia" w:hAnsi="宋体"/>
          <w:sz w:val="24"/>
          <w:szCs w:val="24"/>
          <w:lang w:eastAsia="zh-CN"/>
        </w:rPr>
        <w:t>老岗杨村游园建设项目</w:t>
      </w:r>
    </w:p>
    <w:p>
      <w:pPr>
        <w:spacing w:line="240" w:lineRule="auto"/>
        <w:ind w:firstLine="480"/>
        <w:rPr>
          <w:rFonts w:hint="eastAsia" w:hAnsi="宋体"/>
          <w:sz w:val="24"/>
          <w:szCs w:val="24"/>
        </w:rPr>
      </w:pPr>
      <w:r>
        <w:rPr>
          <w:rFonts w:hint="eastAsia" w:hAnsi="宋体"/>
          <w:sz w:val="24"/>
          <w:szCs w:val="24"/>
        </w:rPr>
        <w:t>3、招标单位：</w:t>
      </w:r>
      <w:r>
        <w:rPr>
          <w:rFonts w:hint="eastAsia" w:hAnsi="宋体"/>
          <w:sz w:val="24"/>
          <w:szCs w:val="24"/>
          <w:lang w:eastAsia="zh-CN"/>
        </w:rPr>
        <w:t>许昌市建安区桂村乡人民政府</w:t>
      </w:r>
    </w:p>
    <w:p>
      <w:pPr>
        <w:spacing w:line="240" w:lineRule="auto"/>
        <w:ind w:firstLine="480"/>
        <w:rPr>
          <w:rFonts w:hint="eastAsia" w:hAnsi="宋体"/>
          <w:sz w:val="24"/>
          <w:szCs w:val="24"/>
        </w:rPr>
      </w:pPr>
      <w:r>
        <w:rPr>
          <w:rFonts w:hint="eastAsia" w:hAnsi="宋体"/>
          <w:sz w:val="24"/>
          <w:szCs w:val="24"/>
        </w:rPr>
        <w:t>4、项目简介：本项目位于</w:t>
      </w:r>
      <w:r>
        <w:rPr>
          <w:rFonts w:hint="eastAsia" w:hAnsi="宋体"/>
          <w:sz w:val="24"/>
          <w:szCs w:val="24"/>
          <w:lang w:eastAsia="zh-CN"/>
        </w:rPr>
        <w:t>许昌市建安区桂村乡老岗杨村</w:t>
      </w:r>
      <w:r>
        <w:rPr>
          <w:rFonts w:hint="eastAsia" w:hAnsi="宋体"/>
          <w:sz w:val="24"/>
          <w:szCs w:val="24"/>
        </w:rPr>
        <w:t xml:space="preserve"> </w:t>
      </w:r>
    </w:p>
    <w:p>
      <w:pPr>
        <w:spacing w:line="240" w:lineRule="auto"/>
        <w:ind w:firstLine="480"/>
        <w:rPr>
          <w:rFonts w:hAnsi="宋体"/>
          <w:sz w:val="24"/>
          <w:szCs w:val="24"/>
        </w:rPr>
      </w:pPr>
      <w:r>
        <w:rPr>
          <w:rFonts w:hint="eastAsia" w:hAnsi="宋体"/>
          <w:sz w:val="24"/>
          <w:szCs w:val="24"/>
        </w:rPr>
        <w:t>5、标段划分：共分为一个标段</w:t>
      </w:r>
    </w:p>
    <w:p>
      <w:pPr>
        <w:spacing w:line="240" w:lineRule="auto"/>
        <w:ind w:firstLine="480"/>
        <w:rPr>
          <w:rFonts w:hAnsi="宋体"/>
          <w:sz w:val="24"/>
          <w:szCs w:val="24"/>
        </w:rPr>
      </w:pPr>
      <w:r>
        <w:rPr>
          <w:rFonts w:hint="eastAsia" w:hAnsi="宋体"/>
          <w:sz w:val="24"/>
          <w:szCs w:val="24"/>
        </w:rPr>
        <w:t>6、资金预算：</w:t>
      </w:r>
      <w:r>
        <w:rPr>
          <w:rFonts w:hint="eastAsia" w:hAnsi="宋体"/>
          <w:sz w:val="24"/>
          <w:szCs w:val="24"/>
          <w:lang w:val="en-US" w:eastAsia="zh-CN"/>
        </w:rPr>
        <w:t>491289.37</w:t>
      </w:r>
      <w:r>
        <w:rPr>
          <w:rFonts w:hint="eastAsia" w:hAnsi="宋体"/>
          <w:sz w:val="24"/>
          <w:szCs w:val="24"/>
        </w:rPr>
        <w:t>元。</w:t>
      </w:r>
    </w:p>
    <w:p>
      <w:pPr>
        <w:spacing w:line="240" w:lineRule="auto"/>
        <w:ind w:firstLine="480"/>
        <w:rPr>
          <w:rFonts w:hAnsi="宋体"/>
          <w:sz w:val="24"/>
          <w:szCs w:val="24"/>
        </w:rPr>
      </w:pPr>
      <w:r>
        <w:rPr>
          <w:rFonts w:hint="eastAsia" w:hAnsi="宋体"/>
          <w:sz w:val="24"/>
          <w:szCs w:val="24"/>
        </w:rPr>
        <w:t>7、计划工期：</w:t>
      </w:r>
      <w:r>
        <w:rPr>
          <w:rFonts w:hint="eastAsia" w:hAnsi="宋体"/>
          <w:sz w:val="24"/>
          <w:szCs w:val="24"/>
          <w:lang w:val="en-US" w:eastAsia="zh-CN"/>
        </w:rPr>
        <w:t>30</w:t>
      </w:r>
      <w:r>
        <w:rPr>
          <w:rFonts w:hint="eastAsia" w:hAnsi="宋体"/>
          <w:sz w:val="24"/>
          <w:szCs w:val="24"/>
        </w:rPr>
        <w:t>日历天。</w:t>
      </w:r>
    </w:p>
    <w:p>
      <w:pPr>
        <w:spacing w:line="240" w:lineRule="auto"/>
        <w:ind w:firstLine="480"/>
        <w:rPr>
          <w:rFonts w:hAnsi="宋体"/>
          <w:sz w:val="24"/>
          <w:szCs w:val="24"/>
        </w:rPr>
      </w:pPr>
      <w:r>
        <w:rPr>
          <w:rFonts w:hint="eastAsia" w:hAnsi="宋体"/>
          <w:sz w:val="24"/>
          <w:szCs w:val="24"/>
        </w:rPr>
        <w:t>8、质量要求：合格（符合国家建设工程质量验收规范和标准）。</w:t>
      </w:r>
    </w:p>
    <w:p>
      <w:pPr>
        <w:spacing w:line="240" w:lineRule="auto"/>
        <w:ind w:firstLine="480"/>
        <w:rPr>
          <w:rFonts w:ascii="仿宋" w:hAnsi="仿宋" w:eastAsia="仿宋" w:cs="宋体"/>
          <w:sz w:val="24"/>
          <w:szCs w:val="24"/>
        </w:rPr>
      </w:pPr>
      <w:r>
        <w:rPr>
          <w:rFonts w:hint="eastAsia" w:hAnsi="宋体"/>
          <w:sz w:val="24"/>
          <w:szCs w:val="24"/>
        </w:rPr>
        <w:t>9、招标范围：招标文件、施工图纸、工程量清单、答疑纪要和补充文件（如有）范围内的所有建设内容。</w:t>
      </w:r>
    </w:p>
    <w:p>
      <w:pPr>
        <w:autoSpaceDE w:val="0"/>
        <w:autoSpaceDN w:val="0"/>
        <w:adjustRightInd w:val="0"/>
        <w:spacing w:line="240" w:lineRule="auto"/>
        <w:jc w:val="left"/>
        <w:outlineLvl w:val="0"/>
        <w:rPr>
          <w:rFonts w:ascii="仿宋" w:hAnsi="仿宋" w:eastAsia="仿宋" w:cs="宋体"/>
          <w:b/>
          <w:bCs/>
          <w:sz w:val="24"/>
          <w:szCs w:val="24"/>
        </w:rPr>
      </w:pPr>
      <w:r>
        <w:rPr>
          <w:rFonts w:ascii="仿宋" w:hAnsi="仿宋" w:eastAsia="仿宋" w:cs="宋体"/>
          <w:b/>
          <w:bCs/>
          <w:sz w:val="24"/>
          <w:szCs w:val="24"/>
        </w:rPr>
        <w:t>二、投标人资格要求</w:t>
      </w:r>
    </w:p>
    <w:p>
      <w:pPr>
        <w:spacing w:line="240" w:lineRule="auto"/>
        <w:ind w:firstLine="480"/>
        <w:rPr>
          <w:rFonts w:hint="eastAsia" w:hAnsi="宋体"/>
          <w:sz w:val="24"/>
          <w:szCs w:val="24"/>
        </w:rPr>
      </w:pPr>
      <w:r>
        <w:rPr>
          <w:rFonts w:hint="eastAsia" w:hAnsi="宋体"/>
          <w:sz w:val="24"/>
          <w:szCs w:val="24"/>
        </w:rPr>
        <w:t xml:space="preserve"> 1、须具备独立的法人资格。 </w:t>
      </w:r>
    </w:p>
    <w:p>
      <w:pPr>
        <w:spacing w:line="240" w:lineRule="auto"/>
        <w:ind w:firstLine="480"/>
        <w:rPr>
          <w:rFonts w:hint="default" w:hAnsi="宋体"/>
          <w:sz w:val="24"/>
          <w:szCs w:val="24"/>
          <w:lang w:val="en-US" w:eastAsia="zh-CN"/>
        </w:rPr>
      </w:pPr>
      <w:r>
        <w:rPr>
          <w:rFonts w:hint="eastAsia" w:hAnsi="宋体"/>
          <w:sz w:val="24"/>
          <w:szCs w:val="24"/>
          <w:lang w:val="en-US" w:eastAsia="zh-CN"/>
        </w:rPr>
        <w:t>2</w:t>
      </w:r>
      <w:r>
        <w:rPr>
          <w:rFonts w:hint="default" w:hAnsi="宋体"/>
          <w:sz w:val="24"/>
          <w:szCs w:val="24"/>
          <w:lang w:val="en-US" w:eastAsia="zh-CN"/>
        </w:rPr>
        <w:t>、</w:t>
      </w:r>
      <w:r>
        <w:rPr>
          <w:rFonts w:hint="eastAsia" w:hAnsi="宋体"/>
          <w:sz w:val="24"/>
          <w:szCs w:val="24"/>
          <w:lang w:val="en-US" w:eastAsia="zh-CN"/>
        </w:rPr>
        <w:t>具备有效的营业执照及相应的经营范围，</w:t>
      </w:r>
      <w:r>
        <w:rPr>
          <w:rFonts w:hint="default" w:hAnsi="宋体"/>
          <w:sz w:val="24"/>
          <w:szCs w:val="24"/>
          <w:lang w:val="en-US" w:eastAsia="zh-CN"/>
        </w:rPr>
        <w:t>并在人员、设备、资金等方面具有相应的施工能力。</w:t>
      </w:r>
    </w:p>
    <w:p>
      <w:pPr>
        <w:spacing w:line="240" w:lineRule="auto"/>
        <w:ind w:firstLine="480"/>
        <w:rPr>
          <w:rFonts w:hint="eastAsia" w:hAnsi="宋体"/>
          <w:sz w:val="24"/>
          <w:szCs w:val="24"/>
        </w:rPr>
      </w:pPr>
      <w:r>
        <w:rPr>
          <w:rFonts w:hint="eastAsia" w:hAnsi="宋体"/>
          <w:sz w:val="24"/>
          <w:szCs w:val="24"/>
          <w:lang w:val="en-US" w:eastAsia="zh-CN"/>
        </w:rPr>
        <w:t>3</w:t>
      </w:r>
      <w:r>
        <w:rPr>
          <w:rFonts w:hint="default" w:hAnsi="宋体"/>
          <w:sz w:val="24"/>
          <w:szCs w:val="24"/>
          <w:lang w:val="en-US" w:eastAsia="zh-CN"/>
        </w:rPr>
        <w:t>拟派项目经理须具有市政公用工程专业贰级及以上建造师资质，具有有效的安全生产考核合格证，且无其它在建工程。</w:t>
      </w:r>
    </w:p>
    <w:p>
      <w:pPr>
        <w:spacing w:line="240" w:lineRule="auto"/>
        <w:ind w:firstLine="480"/>
        <w:rPr>
          <w:rFonts w:hint="eastAsia" w:hAnsi="宋体"/>
          <w:sz w:val="24"/>
          <w:szCs w:val="24"/>
        </w:rPr>
      </w:pPr>
      <w:r>
        <w:rPr>
          <w:rFonts w:hint="eastAsia" w:hAnsi="宋体"/>
          <w:sz w:val="24"/>
          <w:szCs w:val="24"/>
        </w:rPr>
        <w:t>4、不接受失信被执行人的投标。</w:t>
      </w:r>
    </w:p>
    <w:p>
      <w:pPr>
        <w:spacing w:line="240" w:lineRule="auto"/>
        <w:ind w:firstLine="480"/>
        <w:rPr>
          <w:rFonts w:hAnsi="宋体"/>
          <w:sz w:val="24"/>
          <w:szCs w:val="24"/>
        </w:rPr>
      </w:pPr>
      <w:r>
        <w:rPr>
          <w:rFonts w:hint="eastAsia" w:hAnsi="宋体"/>
          <w:sz w:val="24"/>
          <w:szCs w:val="24"/>
        </w:rPr>
        <w:t>5、不接受投标人被“信用中国”和“信用河南”网站信用信息栏列入黑名单，以及被“国家企业信用信息公示系统”列入经营异常名录或严重失信黑名单的投标。</w:t>
      </w:r>
    </w:p>
    <w:p>
      <w:pPr>
        <w:spacing w:line="240" w:lineRule="auto"/>
        <w:ind w:firstLine="480"/>
        <w:rPr>
          <w:rFonts w:hAnsi="宋体"/>
          <w:sz w:val="24"/>
          <w:szCs w:val="24"/>
        </w:rPr>
      </w:pPr>
      <w:r>
        <w:rPr>
          <w:rFonts w:hint="eastAsia" w:hAnsi="宋体"/>
          <w:sz w:val="24"/>
          <w:szCs w:val="24"/>
        </w:rPr>
        <w:t>6、不接受联合体投标。</w:t>
      </w:r>
    </w:p>
    <w:p>
      <w:pPr>
        <w:spacing w:line="240" w:lineRule="auto"/>
        <w:ind w:firstLine="480"/>
        <w:rPr>
          <w:rFonts w:hAnsi="宋体"/>
          <w:sz w:val="24"/>
          <w:szCs w:val="24"/>
        </w:rPr>
      </w:pPr>
      <w:r>
        <w:rPr>
          <w:rFonts w:hint="eastAsia" w:hAnsi="宋体"/>
          <w:sz w:val="24"/>
          <w:szCs w:val="24"/>
        </w:rPr>
        <w:t>7、本次招标实行资格后审。</w:t>
      </w:r>
    </w:p>
    <w:p>
      <w:pPr>
        <w:autoSpaceDE w:val="0"/>
        <w:autoSpaceDN w:val="0"/>
        <w:adjustRightInd w:val="0"/>
        <w:spacing w:line="240" w:lineRule="auto"/>
        <w:jc w:val="left"/>
        <w:outlineLvl w:val="0"/>
        <w:rPr>
          <w:rFonts w:ascii="仿宋" w:hAnsi="仿宋" w:eastAsia="仿宋" w:cs="宋体"/>
          <w:b/>
          <w:bCs/>
          <w:sz w:val="24"/>
          <w:szCs w:val="24"/>
        </w:rPr>
      </w:pPr>
      <w:r>
        <w:rPr>
          <w:rFonts w:ascii="仿宋" w:hAnsi="仿宋" w:eastAsia="仿宋" w:cs="宋体"/>
          <w:b/>
          <w:bCs/>
          <w:sz w:val="24"/>
          <w:szCs w:val="24"/>
        </w:rPr>
        <w:t>三、投标报名</w:t>
      </w:r>
      <w:r>
        <w:rPr>
          <w:rFonts w:hint="eastAsia" w:ascii="仿宋" w:hAnsi="仿宋" w:eastAsia="仿宋" w:cs="宋体"/>
          <w:b/>
          <w:bCs/>
          <w:sz w:val="24"/>
          <w:szCs w:val="24"/>
        </w:rPr>
        <w:t>方式</w:t>
      </w:r>
    </w:p>
    <w:p>
      <w:pPr>
        <w:spacing w:line="240" w:lineRule="auto"/>
        <w:ind w:firstLine="480"/>
        <w:rPr>
          <w:rFonts w:hAnsi="宋体"/>
          <w:sz w:val="24"/>
          <w:szCs w:val="24"/>
        </w:rPr>
      </w:pPr>
      <w:r>
        <w:rPr>
          <w:rFonts w:hint="eastAsia" w:hAnsi="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spacing w:line="240" w:lineRule="auto"/>
        <w:ind w:firstLine="480"/>
        <w:rPr>
          <w:rFonts w:hAnsi="宋体"/>
          <w:sz w:val="24"/>
          <w:szCs w:val="24"/>
        </w:rPr>
      </w:pPr>
      <w:r>
        <w:rPr>
          <w:rFonts w:hint="eastAsia" w:hAnsi="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240" w:lineRule="auto"/>
        <w:jc w:val="left"/>
        <w:outlineLvl w:val="0"/>
        <w:rPr>
          <w:rFonts w:ascii="仿宋" w:hAnsi="仿宋" w:eastAsia="仿宋" w:cs="宋体"/>
          <w:b/>
          <w:bCs/>
          <w:sz w:val="24"/>
          <w:szCs w:val="24"/>
        </w:rPr>
      </w:pPr>
      <w:r>
        <w:rPr>
          <w:rFonts w:hint="eastAsia" w:ascii="仿宋" w:hAnsi="仿宋" w:eastAsia="仿宋" w:cs="宋体"/>
          <w:b/>
          <w:bCs/>
          <w:sz w:val="24"/>
          <w:szCs w:val="24"/>
        </w:rPr>
        <w:t xml:space="preserve">四、招标文件和施工图纸的获取  </w:t>
      </w:r>
    </w:p>
    <w:p>
      <w:pPr>
        <w:spacing w:line="240" w:lineRule="auto"/>
        <w:ind w:firstLine="480"/>
        <w:rPr>
          <w:rFonts w:hAnsi="宋体"/>
          <w:sz w:val="24"/>
          <w:szCs w:val="24"/>
        </w:rPr>
      </w:pPr>
      <w:r>
        <w:rPr>
          <w:rFonts w:hint="eastAsia" w:hAnsi="宋体"/>
          <w:sz w:val="24"/>
          <w:szCs w:val="24"/>
        </w:rPr>
        <w:t>1、招标文件和工程量清单及施工图纸的获取：投标人于投标文件递交截止时间前均可登录《全国公共资源交易平台(河南省▪许昌市)》（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sz w:val="24"/>
          <w:szCs w:val="24"/>
        </w:rPr>
        <w:t>http://www.xcggzy.gov.cn/</w:t>
      </w:r>
      <w:r>
        <w:rPr>
          <w:rFonts w:hint="eastAsia" w:hAnsi="宋体"/>
          <w:sz w:val="24"/>
          <w:szCs w:val="24"/>
        </w:rPr>
        <w:fldChar w:fldCharType="end"/>
      </w:r>
      <w:r>
        <w:rPr>
          <w:rFonts w:hint="eastAsia" w:hAnsi="宋体"/>
          <w:sz w:val="24"/>
          <w:szCs w:val="24"/>
        </w:rPr>
        <w:t>），通过“投标人/供应商登录” 入口自行下载。</w:t>
      </w:r>
    </w:p>
    <w:p>
      <w:pPr>
        <w:spacing w:line="240" w:lineRule="auto"/>
        <w:ind w:firstLine="480"/>
        <w:rPr>
          <w:rFonts w:hAnsi="宋体"/>
          <w:sz w:val="24"/>
          <w:szCs w:val="24"/>
        </w:rPr>
      </w:pPr>
      <w:r>
        <w:rPr>
          <w:rFonts w:hint="eastAsia" w:hAnsi="宋体"/>
          <w:sz w:val="24"/>
          <w:szCs w:val="24"/>
        </w:rPr>
        <w:t>2、招标文件每套售价300元，于递交投标文件时缴纳给招标代理机构，售后不退。</w:t>
      </w:r>
    </w:p>
    <w:p>
      <w:pPr>
        <w:autoSpaceDE w:val="0"/>
        <w:autoSpaceDN w:val="0"/>
        <w:adjustRightInd w:val="0"/>
        <w:spacing w:line="240" w:lineRule="auto"/>
        <w:jc w:val="left"/>
        <w:outlineLvl w:val="0"/>
        <w:rPr>
          <w:rFonts w:ascii="仿宋" w:hAnsi="仿宋" w:eastAsia="仿宋" w:cs="宋体"/>
          <w:b/>
          <w:bCs/>
          <w:sz w:val="24"/>
          <w:szCs w:val="24"/>
        </w:rPr>
      </w:pPr>
      <w:r>
        <w:rPr>
          <w:rFonts w:hint="eastAsia" w:ascii="仿宋" w:hAnsi="仿宋" w:eastAsia="仿宋" w:cs="宋体"/>
          <w:b/>
          <w:bCs/>
          <w:sz w:val="24"/>
          <w:szCs w:val="24"/>
        </w:rPr>
        <w:t>五、投标文件的递交</w:t>
      </w:r>
    </w:p>
    <w:p>
      <w:pPr>
        <w:spacing w:line="240" w:lineRule="auto"/>
        <w:ind w:firstLine="480"/>
        <w:rPr>
          <w:rFonts w:hAnsi="宋体"/>
          <w:sz w:val="24"/>
          <w:szCs w:val="24"/>
        </w:rPr>
      </w:pPr>
      <w:r>
        <w:rPr>
          <w:rFonts w:hint="eastAsia" w:hAnsi="宋体"/>
          <w:sz w:val="24"/>
          <w:szCs w:val="24"/>
        </w:rPr>
        <w:t>1、本项目为全流程电子化交易项目，须提交电子投标文件和纸质投标文件（正本1份、副本1份）。</w:t>
      </w:r>
    </w:p>
    <w:p>
      <w:pPr>
        <w:spacing w:line="240" w:lineRule="auto"/>
        <w:ind w:firstLine="480"/>
        <w:rPr>
          <w:rFonts w:hAnsi="宋体"/>
          <w:sz w:val="24"/>
          <w:szCs w:val="24"/>
        </w:rPr>
      </w:pPr>
      <w:r>
        <w:rPr>
          <w:rFonts w:hint="eastAsia" w:hAnsi="宋体"/>
          <w:sz w:val="24"/>
          <w:szCs w:val="24"/>
        </w:rPr>
        <w:t>2、投标文件提交的截止时间及开标时间：2019年</w:t>
      </w:r>
      <w:r>
        <w:rPr>
          <w:rFonts w:hint="eastAsia" w:hAnsi="宋体"/>
          <w:sz w:val="24"/>
          <w:szCs w:val="24"/>
          <w:lang w:val="en-US" w:eastAsia="zh-CN"/>
        </w:rPr>
        <w:t>7</w:t>
      </w:r>
      <w:r>
        <w:rPr>
          <w:rFonts w:hint="eastAsia" w:hAnsi="宋体"/>
          <w:sz w:val="24"/>
          <w:szCs w:val="24"/>
        </w:rPr>
        <w:t>月</w:t>
      </w:r>
      <w:r>
        <w:rPr>
          <w:rFonts w:hint="eastAsia" w:hAnsi="宋体"/>
          <w:sz w:val="24"/>
          <w:szCs w:val="24"/>
          <w:lang w:val="en-US" w:eastAsia="zh-CN"/>
        </w:rPr>
        <w:t>12</w:t>
      </w:r>
      <w:r>
        <w:rPr>
          <w:rFonts w:hint="eastAsia" w:hAnsi="宋体"/>
          <w:sz w:val="24"/>
          <w:szCs w:val="24"/>
        </w:rPr>
        <w:t>日</w:t>
      </w:r>
      <w:r>
        <w:rPr>
          <w:rFonts w:hint="eastAsia" w:hAnsi="宋体"/>
          <w:sz w:val="24"/>
          <w:szCs w:val="24"/>
          <w:lang w:val="en-US" w:eastAsia="zh-CN"/>
        </w:rPr>
        <w:t>09</w:t>
      </w:r>
      <w:r>
        <w:rPr>
          <w:rFonts w:hint="eastAsia" w:hAnsi="宋体"/>
          <w:sz w:val="24"/>
          <w:szCs w:val="24"/>
        </w:rPr>
        <w:t>时</w:t>
      </w:r>
      <w:r>
        <w:rPr>
          <w:rFonts w:hint="eastAsia" w:hAnsi="宋体"/>
          <w:sz w:val="24"/>
          <w:szCs w:val="24"/>
          <w:lang w:val="en-US" w:eastAsia="zh-CN"/>
        </w:rPr>
        <w:t>30</w:t>
      </w:r>
      <w:r>
        <w:rPr>
          <w:rFonts w:hint="eastAsia" w:hAnsi="宋体"/>
          <w:sz w:val="24"/>
          <w:szCs w:val="24"/>
        </w:rPr>
        <w:t>分。</w:t>
      </w:r>
    </w:p>
    <w:p>
      <w:pPr>
        <w:spacing w:line="240" w:lineRule="auto"/>
        <w:ind w:firstLine="480"/>
        <w:rPr>
          <w:rFonts w:hAnsi="宋体"/>
          <w:sz w:val="24"/>
          <w:szCs w:val="24"/>
        </w:rPr>
      </w:pPr>
      <w:r>
        <w:rPr>
          <w:rFonts w:hint="eastAsia" w:hAnsi="宋体"/>
          <w:sz w:val="24"/>
          <w:szCs w:val="24"/>
        </w:rPr>
        <w:t>3、电子投标文件的提交：电子投标文件应在投标文件提交截止时间（开标时间）之前成功提交至《全国公共资源交易平台(河南省▪许昌市)》公共资源交易系统，并随纸质投标文件同时提交2份使用电子介质存储的备份文件。</w:t>
      </w:r>
    </w:p>
    <w:p>
      <w:pPr>
        <w:spacing w:line="240" w:lineRule="auto"/>
        <w:ind w:firstLine="480"/>
        <w:rPr>
          <w:rFonts w:hAnsi="宋体"/>
          <w:sz w:val="24"/>
          <w:szCs w:val="24"/>
        </w:rPr>
      </w:pPr>
      <w:r>
        <w:rPr>
          <w:rFonts w:hint="eastAsia" w:hAnsi="宋体"/>
          <w:sz w:val="24"/>
          <w:szCs w:val="24"/>
        </w:rPr>
        <w:t>4、纸质投标文件提交地点：许昌市建安区新元大道兴业大厦4楼</w:t>
      </w:r>
      <w:r>
        <w:rPr>
          <w:rFonts w:hint="eastAsia" w:hAnsi="宋体"/>
          <w:sz w:val="24"/>
          <w:szCs w:val="24"/>
          <w:lang w:eastAsia="zh-CN"/>
        </w:rPr>
        <w:t>开标三</w:t>
      </w:r>
      <w:r>
        <w:rPr>
          <w:rFonts w:hint="eastAsia" w:hAnsi="宋体"/>
          <w:sz w:val="24"/>
          <w:szCs w:val="24"/>
        </w:rPr>
        <w:t>室</w:t>
      </w:r>
      <w:r>
        <w:rPr>
          <w:rFonts w:hint="eastAsia" w:hAnsi="宋体"/>
          <w:sz w:val="24"/>
          <w:szCs w:val="24"/>
          <w:lang w:eastAsia="zh-CN"/>
        </w:rPr>
        <w:t>（</w:t>
      </w:r>
      <w:r>
        <w:rPr>
          <w:rFonts w:hint="eastAsia" w:hAnsi="宋体"/>
          <w:sz w:val="24"/>
          <w:szCs w:val="24"/>
          <w:lang w:val="en-US" w:eastAsia="zh-CN"/>
        </w:rPr>
        <w:t>4163室</w:t>
      </w:r>
      <w:r>
        <w:rPr>
          <w:rFonts w:hint="eastAsia" w:hAnsi="宋体"/>
          <w:sz w:val="24"/>
          <w:szCs w:val="24"/>
          <w:lang w:eastAsia="zh-CN"/>
        </w:rPr>
        <w:t>）</w:t>
      </w:r>
      <w:r>
        <w:rPr>
          <w:rFonts w:hint="eastAsia" w:hAnsi="宋体"/>
          <w:sz w:val="24"/>
          <w:szCs w:val="24"/>
        </w:rPr>
        <w:t>。</w:t>
      </w:r>
    </w:p>
    <w:p>
      <w:pPr>
        <w:spacing w:line="240" w:lineRule="auto"/>
        <w:ind w:firstLine="480"/>
        <w:rPr>
          <w:rFonts w:hAnsi="宋体"/>
          <w:sz w:val="24"/>
          <w:szCs w:val="24"/>
        </w:rPr>
      </w:pPr>
      <w:r>
        <w:rPr>
          <w:rFonts w:hint="eastAsia" w:hAnsi="宋体"/>
          <w:sz w:val="24"/>
          <w:szCs w:val="24"/>
        </w:rPr>
        <w:t>5、逾期送达的或者未送达指定地点的纸质投标文件、及仅提供纸质投标文件的，招标人不予受理。</w:t>
      </w:r>
    </w:p>
    <w:p>
      <w:pPr>
        <w:autoSpaceDE w:val="0"/>
        <w:autoSpaceDN w:val="0"/>
        <w:adjustRightInd w:val="0"/>
        <w:spacing w:line="240" w:lineRule="auto"/>
        <w:jc w:val="left"/>
        <w:outlineLvl w:val="0"/>
        <w:rPr>
          <w:rFonts w:ascii="仿宋" w:hAnsi="仿宋" w:eastAsia="仿宋" w:cs="宋体"/>
          <w:b/>
          <w:bCs/>
          <w:sz w:val="24"/>
          <w:szCs w:val="24"/>
        </w:rPr>
      </w:pPr>
      <w:r>
        <w:rPr>
          <w:rFonts w:hint="eastAsia" w:ascii="仿宋" w:hAnsi="仿宋" w:eastAsia="仿宋" w:cs="宋体"/>
          <w:b/>
          <w:bCs/>
          <w:sz w:val="24"/>
          <w:szCs w:val="24"/>
        </w:rPr>
        <w:t>六、发布公告的媒介</w:t>
      </w:r>
    </w:p>
    <w:p>
      <w:pPr>
        <w:spacing w:line="240" w:lineRule="auto"/>
        <w:ind w:firstLine="480"/>
        <w:rPr>
          <w:rFonts w:hAnsi="宋体"/>
          <w:sz w:val="24"/>
          <w:szCs w:val="24"/>
        </w:rPr>
      </w:pPr>
      <w:r>
        <w:rPr>
          <w:rFonts w:hint="eastAsia" w:hAnsi="宋体"/>
          <w:sz w:val="24"/>
          <w:szCs w:val="24"/>
        </w:rPr>
        <w:t>本公告同时在《全国公共资源交易平台(河南省▪许昌市)》、《河南省电子招标投标公共服务平台》上发布。</w:t>
      </w:r>
    </w:p>
    <w:p>
      <w:pPr>
        <w:autoSpaceDE w:val="0"/>
        <w:autoSpaceDN w:val="0"/>
        <w:adjustRightInd w:val="0"/>
        <w:spacing w:line="240" w:lineRule="auto"/>
        <w:jc w:val="left"/>
        <w:outlineLvl w:val="0"/>
        <w:rPr>
          <w:rFonts w:ascii="仿宋" w:hAnsi="仿宋" w:eastAsia="仿宋" w:cs="宋体"/>
          <w:b/>
          <w:bCs/>
          <w:sz w:val="24"/>
          <w:szCs w:val="24"/>
        </w:rPr>
      </w:pPr>
      <w:r>
        <w:rPr>
          <w:rFonts w:hint="eastAsia" w:ascii="仿宋" w:hAnsi="仿宋" w:eastAsia="仿宋" w:cs="宋体"/>
          <w:b/>
          <w:bCs/>
          <w:sz w:val="24"/>
          <w:szCs w:val="24"/>
        </w:rPr>
        <w:t>七、联系方式</w:t>
      </w:r>
    </w:p>
    <w:p>
      <w:pPr>
        <w:spacing w:line="240" w:lineRule="auto"/>
        <w:ind w:firstLine="480"/>
        <w:rPr>
          <w:rFonts w:hint="eastAsia" w:hAnsi="宋体" w:eastAsia="宋体"/>
          <w:sz w:val="24"/>
          <w:szCs w:val="24"/>
          <w:lang w:eastAsia="zh-CN"/>
        </w:rPr>
      </w:pPr>
      <w:r>
        <w:rPr>
          <w:rFonts w:hint="eastAsia" w:hAnsi="宋体"/>
          <w:sz w:val="24"/>
          <w:szCs w:val="24"/>
        </w:rPr>
        <w:t>招  标  人：</w:t>
      </w:r>
      <w:r>
        <w:rPr>
          <w:rFonts w:hint="eastAsia" w:hAnsi="宋体"/>
          <w:sz w:val="24"/>
          <w:szCs w:val="24"/>
          <w:lang w:eastAsia="zh-CN"/>
        </w:rPr>
        <w:t>许昌市建安区桂村乡人民政府</w:t>
      </w:r>
    </w:p>
    <w:p>
      <w:pPr>
        <w:spacing w:line="240" w:lineRule="auto"/>
        <w:ind w:firstLine="480"/>
        <w:rPr>
          <w:rFonts w:hint="eastAsia" w:hAnsi="宋体" w:eastAsia="宋体"/>
          <w:sz w:val="24"/>
          <w:szCs w:val="24"/>
          <w:lang w:eastAsia="zh-CN"/>
        </w:rPr>
      </w:pPr>
      <w:r>
        <w:rPr>
          <w:rFonts w:hint="eastAsia" w:hAnsi="宋体"/>
          <w:sz w:val="24"/>
          <w:szCs w:val="24"/>
        </w:rPr>
        <w:t>项目负责人：</w:t>
      </w:r>
      <w:r>
        <w:rPr>
          <w:rFonts w:hint="eastAsia" w:hAnsi="宋体"/>
          <w:sz w:val="24"/>
          <w:szCs w:val="24"/>
          <w:lang w:eastAsia="zh-CN"/>
        </w:rPr>
        <w:t>叶维维</w:t>
      </w:r>
    </w:p>
    <w:p>
      <w:pPr>
        <w:spacing w:line="240" w:lineRule="auto"/>
        <w:ind w:firstLine="480"/>
        <w:rPr>
          <w:rFonts w:hint="default" w:hAnsi="宋体" w:eastAsia="宋体"/>
          <w:sz w:val="24"/>
          <w:szCs w:val="24"/>
          <w:lang w:val="en-US" w:eastAsia="zh-CN"/>
        </w:rPr>
      </w:pPr>
      <w:r>
        <w:rPr>
          <w:rFonts w:hint="eastAsia" w:hAnsi="宋体"/>
          <w:sz w:val="24"/>
          <w:szCs w:val="24"/>
        </w:rPr>
        <w:t>电      话：</w:t>
      </w:r>
      <w:r>
        <w:rPr>
          <w:rFonts w:hint="eastAsia" w:hAnsi="宋体"/>
          <w:sz w:val="24"/>
          <w:szCs w:val="24"/>
          <w:lang w:val="en-US" w:eastAsia="zh-CN"/>
        </w:rPr>
        <w:t>15617238680</w:t>
      </w:r>
    </w:p>
    <w:p>
      <w:pPr>
        <w:spacing w:line="240" w:lineRule="auto"/>
        <w:ind w:firstLine="480"/>
        <w:rPr>
          <w:rFonts w:hAnsi="宋体"/>
          <w:sz w:val="24"/>
          <w:szCs w:val="24"/>
        </w:rPr>
      </w:pPr>
      <w:r>
        <w:rPr>
          <w:rFonts w:hint="eastAsia" w:hAnsi="宋体"/>
          <w:sz w:val="24"/>
          <w:szCs w:val="24"/>
        </w:rPr>
        <w:t>代理  机构：永明项目管理有限公司</w:t>
      </w:r>
    </w:p>
    <w:p>
      <w:pPr>
        <w:spacing w:line="240" w:lineRule="auto"/>
        <w:ind w:firstLine="480"/>
        <w:rPr>
          <w:rFonts w:hAnsi="宋体"/>
          <w:sz w:val="24"/>
          <w:szCs w:val="24"/>
        </w:rPr>
      </w:pPr>
      <w:r>
        <w:rPr>
          <w:rFonts w:hint="eastAsia" w:hAnsi="宋体"/>
          <w:sz w:val="24"/>
          <w:szCs w:val="24"/>
        </w:rPr>
        <w:t>项目负责人：徐会娇</w:t>
      </w:r>
    </w:p>
    <w:p>
      <w:pPr>
        <w:spacing w:line="240" w:lineRule="auto"/>
        <w:ind w:firstLine="480"/>
        <w:rPr>
          <w:rFonts w:hAnsi="宋体"/>
          <w:sz w:val="24"/>
          <w:szCs w:val="24"/>
        </w:rPr>
      </w:pPr>
      <w:r>
        <w:rPr>
          <w:rFonts w:hint="eastAsia" w:hAnsi="宋体"/>
          <w:sz w:val="24"/>
          <w:szCs w:val="24"/>
        </w:rPr>
        <w:t>电    话：13333991768</w:t>
      </w:r>
    </w:p>
    <w:p>
      <w:pPr>
        <w:pStyle w:val="2"/>
        <w:spacing w:after="0" w:line="240" w:lineRule="auto"/>
        <w:ind w:firstLine="4560" w:firstLineChars="1900"/>
        <w:rPr>
          <w:rFonts w:ascii="仿宋" w:hAnsi="仿宋" w:eastAsia="仿宋" w:cs="宋体"/>
          <w:sz w:val="24"/>
          <w:szCs w:val="24"/>
        </w:rPr>
      </w:pPr>
    </w:p>
    <w:p>
      <w:pPr>
        <w:pStyle w:val="2"/>
        <w:spacing w:after="0" w:line="240" w:lineRule="auto"/>
        <w:ind w:firstLine="4560" w:firstLineChars="1900"/>
        <w:rPr>
          <w:rFonts w:ascii="仿宋" w:hAnsi="仿宋" w:eastAsia="仿宋" w:cs="宋体"/>
          <w:sz w:val="24"/>
          <w:szCs w:val="24"/>
        </w:rPr>
      </w:pPr>
    </w:p>
    <w:p>
      <w:pPr>
        <w:spacing w:line="240" w:lineRule="auto"/>
        <w:ind w:firstLine="480"/>
        <w:jc w:val="right"/>
        <w:rPr>
          <w:rFonts w:hint="eastAsia" w:hAnsi="宋体"/>
          <w:sz w:val="24"/>
          <w:szCs w:val="24"/>
          <w:lang w:eastAsia="zh-CN"/>
        </w:rPr>
      </w:pPr>
      <w:r>
        <w:rPr>
          <w:rFonts w:hint="eastAsia" w:hAnsi="宋体"/>
          <w:sz w:val="24"/>
          <w:szCs w:val="24"/>
          <w:lang w:eastAsia="zh-CN"/>
        </w:rPr>
        <w:t>许昌市建安区桂村乡人民政府</w:t>
      </w:r>
    </w:p>
    <w:p>
      <w:pPr>
        <w:spacing w:line="240" w:lineRule="auto"/>
        <w:ind w:firstLine="480"/>
        <w:jc w:val="center"/>
        <w:rPr>
          <w:rFonts w:hAnsi="宋体" w:cs="宋体"/>
          <w:sz w:val="24"/>
          <w:szCs w:val="24"/>
        </w:rPr>
      </w:pPr>
      <w:r>
        <w:rPr>
          <w:rFonts w:hint="eastAsia" w:hAnsi="宋体"/>
          <w:sz w:val="24"/>
          <w:szCs w:val="24"/>
          <w:lang w:val="en-US" w:eastAsia="zh-CN"/>
        </w:rPr>
        <w:t xml:space="preserve">                                            </w:t>
      </w:r>
      <w:r>
        <w:rPr>
          <w:rFonts w:hint="eastAsia" w:hAnsi="宋体"/>
          <w:sz w:val="24"/>
          <w:szCs w:val="24"/>
        </w:rPr>
        <w:t>2019年</w:t>
      </w:r>
      <w:r>
        <w:rPr>
          <w:rFonts w:hint="eastAsia" w:hAnsi="宋体"/>
          <w:sz w:val="24"/>
          <w:szCs w:val="24"/>
          <w:lang w:val="en-US" w:eastAsia="zh-CN"/>
        </w:rPr>
        <w:t xml:space="preserve"> 6 </w:t>
      </w:r>
      <w:r>
        <w:rPr>
          <w:rFonts w:hint="eastAsia" w:hAnsi="宋体"/>
          <w:sz w:val="24"/>
          <w:szCs w:val="24"/>
        </w:rPr>
        <w:t>月</w:t>
      </w:r>
      <w:r>
        <w:rPr>
          <w:rFonts w:hint="eastAsia" w:hAnsi="宋体"/>
          <w:sz w:val="24"/>
          <w:szCs w:val="24"/>
          <w:lang w:val="en-US" w:eastAsia="zh-CN"/>
        </w:rPr>
        <w:t>21</w:t>
      </w:r>
      <w:r>
        <w:rPr>
          <w:rFonts w:hint="eastAsia" w:hAnsi="宋体"/>
          <w:sz w:val="24"/>
          <w:szCs w:val="24"/>
        </w:rPr>
        <w:t>日</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8"/>
          <w:szCs w:val="21"/>
        </w:rPr>
      </w:pPr>
      <w:r>
        <w:rPr>
          <w:rFonts w:hint="eastAsia" w:hAnsi="宋体"/>
          <w:b/>
          <w:sz w:val="28"/>
          <w:szCs w:val="21"/>
        </w:rPr>
        <w:t>本项目为全流程电子化交易项目，请认真阅读招标文件，并注意以下事项。</w:t>
      </w:r>
    </w:p>
    <w:p>
      <w:pPr>
        <w:widowControl/>
        <w:spacing w:line="312" w:lineRule="auto"/>
        <w:rPr>
          <w:rFonts w:hAnsi="宋体"/>
          <w:b/>
          <w:sz w:val="24"/>
        </w:rPr>
      </w:pP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widowControl/>
        <w:jc w:val="left"/>
        <w:rPr>
          <w:rFonts w:hAnsi="宋体" w:cs="宋体"/>
          <w:sz w:val="24"/>
          <w:szCs w:val="24"/>
        </w:rPr>
      </w:pPr>
      <w:r>
        <w:rPr>
          <w:rFonts w:hAnsi="宋体" w:cs="宋体"/>
          <w:sz w:val="24"/>
          <w:szCs w:val="24"/>
        </w:rPr>
        <w:br w:type="page"/>
      </w:r>
    </w:p>
    <w:p>
      <w:pPr>
        <w:tabs>
          <w:tab w:val="left" w:pos="4140"/>
          <w:tab w:val="left" w:pos="4260"/>
        </w:tabs>
        <w:spacing w:line="360" w:lineRule="auto"/>
        <w:ind w:right="-578" w:rightChars="-17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jc w:val="center"/>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41"/>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93"/>
        <w:gridCol w:w="780"/>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24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240" w:lineRule="auto"/>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240" w:lineRule="auto"/>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240" w:lineRule="auto"/>
              <w:jc w:val="center"/>
              <w:rPr>
                <w:rFonts w:hAnsi="宋体" w:cs="仿宋_GB2312"/>
                <w:sz w:val="24"/>
              </w:rPr>
            </w:pPr>
            <w:r>
              <w:rPr>
                <w:rFonts w:hint="eastAsia" w:hAnsi="宋体" w:cs="仿宋_GB2312"/>
                <w:sz w:val="24"/>
              </w:rPr>
              <w:t>招标人</w:t>
            </w:r>
          </w:p>
        </w:tc>
        <w:tc>
          <w:tcPr>
            <w:tcW w:w="6424" w:type="dxa"/>
            <w:gridSpan w:val="2"/>
            <w:vAlign w:val="center"/>
          </w:tcPr>
          <w:p>
            <w:pPr>
              <w:spacing w:line="240" w:lineRule="auto"/>
              <w:rPr>
                <w:rFonts w:hint="eastAsia" w:hAnsi="宋体"/>
                <w:sz w:val="24"/>
                <w:szCs w:val="24"/>
                <w:lang w:eastAsia="zh-CN"/>
              </w:rPr>
            </w:pPr>
            <w:r>
              <w:rPr>
                <w:rFonts w:hint="eastAsia" w:hAnsi="宋体"/>
                <w:sz w:val="24"/>
                <w:szCs w:val="24"/>
              </w:rPr>
              <w:t>招  标  人：</w:t>
            </w:r>
            <w:r>
              <w:rPr>
                <w:rFonts w:hint="eastAsia" w:hAnsi="宋体"/>
                <w:sz w:val="24"/>
                <w:szCs w:val="24"/>
                <w:lang w:eastAsia="zh-CN"/>
              </w:rPr>
              <w:t>许昌市建安区桂村乡人民政府</w:t>
            </w:r>
          </w:p>
          <w:p>
            <w:pPr>
              <w:spacing w:line="240" w:lineRule="auto"/>
              <w:rPr>
                <w:rFonts w:hint="eastAsia" w:hAnsi="宋体"/>
                <w:sz w:val="24"/>
                <w:szCs w:val="24"/>
                <w:lang w:eastAsia="zh-CN"/>
              </w:rPr>
            </w:pPr>
            <w:r>
              <w:rPr>
                <w:rFonts w:hint="eastAsia" w:hAnsi="宋体"/>
                <w:sz w:val="24"/>
                <w:szCs w:val="24"/>
              </w:rPr>
              <w:t>项目负责人：</w:t>
            </w:r>
            <w:r>
              <w:rPr>
                <w:rFonts w:hint="eastAsia" w:hAnsi="宋体"/>
                <w:sz w:val="24"/>
                <w:szCs w:val="24"/>
                <w:lang w:eastAsia="zh-CN"/>
              </w:rPr>
              <w:t>叶维维</w:t>
            </w:r>
          </w:p>
          <w:p>
            <w:pPr>
              <w:spacing w:line="240" w:lineRule="auto"/>
              <w:rPr>
                <w:rFonts w:hAnsi="宋体"/>
                <w:bCs/>
                <w:sz w:val="24"/>
              </w:rPr>
            </w:pPr>
            <w:r>
              <w:rPr>
                <w:rFonts w:hint="eastAsia" w:hAnsi="宋体"/>
                <w:sz w:val="24"/>
                <w:szCs w:val="24"/>
              </w:rPr>
              <w:t>电      话：</w:t>
            </w:r>
            <w:r>
              <w:rPr>
                <w:rFonts w:hint="eastAsia" w:hAnsi="宋体"/>
                <w:sz w:val="24"/>
                <w:szCs w:val="24"/>
                <w:lang w:val="en-US" w:eastAsia="zh-CN"/>
              </w:rPr>
              <w:t>15617238680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jc w:val="center"/>
        </w:trPr>
        <w:tc>
          <w:tcPr>
            <w:tcW w:w="1003" w:type="dxa"/>
            <w:vAlign w:val="center"/>
          </w:tcPr>
          <w:p>
            <w:pPr>
              <w:autoSpaceDE w:val="0"/>
              <w:autoSpaceDN w:val="0"/>
              <w:adjustRightInd w:val="0"/>
              <w:spacing w:line="240" w:lineRule="auto"/>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240" w:lineRule="auto"/>
              <w:jc w:val="center"/>
              <w:rPr>
                <w:rFonts w:hAnsi="宋体" w:cs="仿宋_GB2312"/>
                <w:sz w:val="24"/>
              </w:rPr>
            </w:pPr>
            <w:r>
              <w:rPr>
                <w:rFonts w:hint="eastAsia" w:hAnsi="宋体" w:cs="仿宋_GB2312"/>
                <w:sz w:val="24"/>
              </w:rPr>
              <w:t>代理机构</w:t>
            </w:r>
          </w:p>
        </w:tc>
        <w:tc>
          <w:tcPr>
            <w:tcW w:w="6424" w:type="dxa"/>
            <w:gridSpan w:val="2"/>
            <w:vAlign w:val="center"/>
          </w:tcPr>
          <w:p>
            <w:pPr>
              <w:spacing w:line="240" w:lineRule="auto"/>
              <w:rPr>
                <w:rFonts w:hAnsi="宋体"/>
                <w:sz w:val="24"/>
                <w:szCs w:val="24"/>
              </w:rPr>
            </w:pPr>
            <w:r>
              <w:rPr>
                <w:rFonts w:hint="eastAsia" w:hAnsi="宋体"/>
                <w:sz w:val="24"/>
                <w:szCs w:val="24"/>
              </w:rPr>
              <w:t>代理  机构：永明项目管理有限公司</w:t>
            </w:r>
          </w:p>
          <w:p>
            <w:pPr>
              <w:spacing w:line="240" w:lineRule="auto"/>
              <w:rPr>
                <w:rFonts w:hAnsi="宋体"/>
                <w:sz w:val="24"/>
                <w:szCs w:val="24"/>
              </w:rPr>
            </w:pPr>
            <w:r>
              <w:rPr>
                <w:rFonts w:hint="eastAsia" w:hAnsi="宋体"/>
                <w:sz w:val="24"/>
                <w:szCs w:val="24"/>
              </w:rPr>
              <w:t>项目负责人：徐会娇</w:t>
            </w:r>
          </w:p>
          <w:p>
            <w:pPr>
              <w:spacing w:line="240" w:lineRule="auto"/>
              <w:rPr>
                <w:rFonts w:hAnsi="宋体"/>
                <w:sz w:val="24"/>
              </w:rPr>
            </w:pPr>
            <w:r>
              <w:rPr>
                <w:rFonts w:hint="eastAsia" w:hAnsi="宋体"/>
                <w:sz w:val="24"/>
                <w:szCs w:val="24"/>
              </w:rPr>
              <w:t>电    话：13333991768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240" w:lineRule="auto"/>
              <w:jc w:val="center"/>
              <w:rPr>
                <w:rFonts w:hAnsi="宋体"/>
                <w:sz w:val="24"/>
              </w:rPr>
            </w:pPr>
            <w:r>
              <w:rPr>
                <w:rFonts w:hint="eastAsia" w:hAnsi="宋体"/>
                <w:sz w:val="24"/>
              </w:rPr>
              <w:t>项目名称</w:t>
            </w:r>
          </w:p>
        </w:tc>
        <w:tc>
          <w:tcPr>
            <w:tcW w:w="6424" w:type="dxa"/>
            <w:gridSpan w:val="2"/>
            <w:vAlign w:val="center"/>
          </w:tcPr>
          <w:p>
            <w:pPr>
              <w:autoSpaceDE w:val="0"/>
              <w:autoSpaceDN w:val="0"/>
              <w:adjustRightInd w:val="0"/>
              <w:spacing w:line="240" w:lineRule="auto"/>
              <w:rPr>
                <w:rFonts w:hAnsi="宋体"/>
                <w:b/>
                <w:sz w:val="24"/>
              </w:rPr>
            </w:pPr>
            <w:r>
              <w:rPr>
                <w:rFonts w:hint="eastAsia" w:hAnsi="宋体"/>
                <w:sz w:val="24"/>
                <w:szCs w:val="24"/>
                <w:lang w:eastAsia="zh-CN"/>
              </w:rPr>
              <w:t>老岗杨村游园建设项目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240" w:lineRule="auto"/>
              <w:jc w:val="center"/>
              <w:rPr>
                <w:rFonts w:hAnsi="宋体" w:cs="仿宋_GB2312"/>
                <w:sz w:val="24"/>
              </w:rPr>
            </w:pPr>
            <w:r>
              <w:rPr>
                <w:rFonts w:hint="eastAsia" w:hAnsi="宋体" w:cs="仿宋_GB2312"/>
                <w:sz w:val="24"/>
              </w:rPr>
              <w:t>建设地点</w:t>
            </w:r>
          </w:p>
        </w:tc>
        <w:tc>
          <w:tcPr>
            <w:tcW w:w="6424" w:type="dxa"/>
            <w:gridSpan w:val="2"/>
            <w:vAlign w:val="center"/>
          </w:tcPr>
          <w:p>
            <w:pPr>
              <w:spacing w:line="240" w:lineRule="auto"/>
              <w:rPr>
                <w:rFonts w:hAnsi="宋体" w:cs="仿宋_GB2312"/>
                <w:sz w:val="24"/>
                <w:szCs w:val="24"/>
              </w:rPr>
            </w:pPr>
            <w:r>
              <w:rPr>
                <w:rFonts w:hint="eastAsia" w:hAnsi="宋体"/>
                <w:sz w:val="24"/>
              </w:rPr>
              <w:t>本项目位于</w:t>
            </w:r>
            <w:r>
              <w:rPr>
                <w:rFonts w:hint="eastAsia" w:hAnsi="宋体"/>
                <w:sz w:val="24"/>
                <w:szCs w:val="24"/>
                <w:lang w:eastAsia="zh-CN"/>
              </w:rPr>
              <w:t>许昌市建安区桂村乡老岗杨村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240" w:lineRule="auto"/>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240" w:lineRule="auto"/>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240" w:lineRule="auto"/>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240" w:lineRule="auto"/>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240" w:lineRule="auto"/>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240" w:lineRule="auto"/>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240" w:lineRule="auto"/>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240" w:lineRule="auto"/>
              <w:rPr>
                <w:rFonts w:hAnsi="宋体"/>
                <w:sz w:val="24"/>
                <w:szCs w:val="22"/>
              </w:rPr>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240" w:lineRule="auto"/>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left"/>
              <w:rPr>
                <w:rFonts w:hAnsi="宋体" w:cs="黑体"/>
                <w:sz w:val="24"/>
              </w:rPr>
            </w:pPr>
            <w:r>
              <w:rPr>
                <w:rFonts w:hint="eastAsia" w:hAnsi="宋体" w:cs="宋体"/>
                <w:sz w:val="24"/>
                <w:szCs w:val="24"/>
                <w:lang w:val="en-US" w:eastAsia="zh-CN"/>
              </w:rPr>
              <w:t>30</w:t>
            </w:r>
            <w:r>
              <w:rPr>
                <w:rFonts w:hint="eastAsia" w:hAnsi="宋体" w:cs="宋体"/>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240" w:lineRule="auto"/>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240" w:lineRule="auto"/>
              <w:rPr>
                <w:rFonts w:hAnsi="宋体" w:cs="黑体"/>
                <w:sz w:val="24"/>
              </w:rPr>
            </w:pPr>
            <w:r>
              <w:rPr>
                <w:rFonts w:hint="eastAsia" w:hAnsi="宋体" w:cs="宋体"/>
                <w:sz w:val="24"/>
                <w:szCs w:val="24"/>
              </w:rPr>
              <w:t>合格（符合国家建设工程质量验收规范和标准）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黑体"/>
                <w:sz w:val="24"/>
              </w:rPr>
              <w:t>投标人资质条件</w:t>
            </w:r>
          </w:p>
        </w:tc>
        <w:tc>
          <w:tcPr>
            <w:tcW w:w="6424" w:type="dxa"/>
            <w:gridSpan w:val="2"/>
          </w:tcPr>
          <w:p>
            <w:pPr>
              <w:spacing w:line="240" w:lineRule="auto"/>
              <w:rPr>
                <w:rFonts w:hint="eastAsia" w:hAnsi="宋体"/>
                <w:sz w:val="24"/>
                <w:szCs w:val="24"/>
              </w:rPr>
            </w:pPr>
            <w:r>
              <w:rPr>
                <w:rFonts w:hint="eastAsia" w:hAnsi="宋体"/>
                <w:sz w:val="24"/>
                <w:szCs w:val="24"/>
              </w:rPr>
              <w:t xml:space="preserve">1、须具备独立的法人资格。 </w:t>
            </w:r>
          </w:p>
          <w:p>
            <w:pPr>
              <w:spacing w:line="240" w:lineRule="auto"/>
              <w:rPr>
                <w:rFonts w:hint="default" w:hAnsi="宋体"/>
                <w:sz w:val="24"/>
                <w:szCs w:val="24"/>
                <w:lang w:val="en-US" w:eastAsia="zh-CN"/>
              </w:rPr>
            </w:pPr>
            <w:r>
              <w:rPr>
                <w:rFonts w:hint="eastAsia" w:hAnsi="宋体"/>
                <w:sz w:val="24"/>
                <w:szCs w:val="24"/>
                <w:lang w:val="en-US" w:eastAsia="zh-CN"/>
              </w:rPr>
              <w:t>2</w:t>
            </w:r>
            <w:r>
              <w:rPr>
                <w:rFonts w:hint="default" w:hAnsi="宋体"/>
                <w:sz w:val="24"/>
                <w:szCs w:val="24"/>
                <w:lang w:val="en-US" w:eastAsia="zh-CN"/>
              </w:rPr>
              <w:t>、</w:t>
            </w:r>
            <w:r>
              <w:rPr>
                <w:rFonts w:hint="eastAsia" w:hAnsi="宋体"/>
                <w:sz w:val="24"/>
                <w:szCs w:val="24"/>
                <w:lang w:val="en-US" w:eastAsia="zh-CN"/>
              </w:rPr>
              <w:t>具备有效的营业执照及相应的经营范围，</w:t>
            </w:r>
            <w:r>
              <w:rPr>
                <w:rFonts w:hint="default" w:hAnsi="宋体"/>
                <w:sz w:val="24"/>
                <w:szCs w:val="24"/>
                <w:lang w:val="en-US" w:eastAsia="zh-CN"/>
              </w:rPr>
              <w:t>并在人员、设备、资金等方面具有相应的施工能力。</w:t>
            </w:r>
          </w:p>
          <w:p>
            <w:pPr>
              <w:spacing w:line="240" w:lineRule="auto"/>
              <w:rPr>
                <w:rFonts w:hint="eastAsia" w:hAnsi="宋体"/>
                <w:sz w:val="24"/>
                <w:szCs w:val="24"/>
              </w:rPr>
            </w:pPr>
            <w:r>
              <w:rPr>
                <w:rFonts w:hint="eastAsia" w:hAnsi="宋体"/>
                <w:sz w:val="24"/>
                <w:szCs w:val="24"/>
                <w:lang w:val="en-US" w:eastAsia="zh-CN"/>
              </w:rPr>
              <w:t>3</w:t>
            </w:r>
            <w:r>
              <w:rPr>
                <w:rFonts w:hint="default" w:hAnsi="宋体"/>
                <w:sz w:val="24"/>
                <w:szCs w:val="24"/>
                <w:lang w:val="en-US" w:eastAsia="zh-CN"/>
              </w:rPr>
              <w:t>拟派项目经理须具有市政公用工程专业贰级及以上建造师资质，具有有效的安全生产考核合格证，且无其它在建工程。</w:t>
            </w:r>
          </w:p>
          <w:p>
            <w:pPr>
              <w:spacing w:line="240" w:lineRule="auto"/>
              <w:rPr>
                <w:rFonts w:hint="eastAsia" w:hAnsi="宋体"/>
                <w:sz w:val="24"/>
                <w:szCs w:val="24"/>
              </w:rPr>
            </w:pPr>
            <w:r>
              <w:rPr>
                <w:rFonts w:hint="eastAsia" w:hAnsi="宋体"/>
                <w:sz w:val="24"/>
                <w:szCs w:val="24"/>
              </w:rPr>
              <w:t>4、不接受失信被执行人的投标。</w:t>
            </w:r>
          </w:p>
          <w:p>
            <w:pPr>
              <w:spacing w:line="240" w:lineRule="auto"/>
              <w:rPr>
                <w:rFonts w:hAnsi="宋体"/>
                <w:sz w:val="24"/>
                <w:szCs w:val="24"/>
              </w:rPr>
            </w:pPr>
            <w:r>
              <w:rPr>
                <w:rFonts w:hint="eastAsia" w:hAnsi="宋体"/>
                <w:sz w:val="24"/>
                <w:szCs w:val="24"/>
              </w:rPr>
              <w:t>5、不接受投标人被“信用中国”和“信用河南”网站信用信息栏列入黑名单，以及被“国家企业信用信息公示系统”列入经营异常名录或严重失信黑名单的投标。</w:t>
            </w:r>
          </w:p>
          <w:p>
            <w:pPr>
              <w:spacing w:line="240" w:lineRule="auto"/>
              <w:rPr>
                <w:rFonts w:hAnsi="宋体"/>
                <w:sz w:val="24"/>
                <w:szCs w:val="24"/>
              </w:rPr>
            </w:pPr>
            <w:r>
              <w:rPr>
                <w:rFonts w:hint="eastAsia" w:hAnsi="宋体"/>
                <w:sz w:val="24"/>
                <w:szCs w:val="24"/>
              </w:rPr>
              <w:t>6、不接受联合体投标。</w:t>
            </w:r>
          </w:p>
          <w:p>
            <w:pPr>
              <w:spacing w:line="240" w:lineRule="auto"/>
              <w:rPr>
                <w:rFonts w:hAnsi="宋体"/>
                <w:sz w:val="24"/>
                <w:szCs w:val="24"/>
              </w:rPr>
            </w:pPr>
            <w:r>
              <w:rPr>
                <w:rFonts w:hint="eastAsia" w:hAnsi="宋体"/>
                <w:sz w:val="24"/>
                <w:szCs w:val="24"/>
              </w:rPr>
              <w:t>7、本次招标实行资格后审。</w:t>
            </w:r>
          </w:p>
          <w:p>
            <w:pPr>
              <w:autoSpaceDE w:val="0"/>
              <w:autoSpaceDN w:val="0"/>
              <w:adjustRightInd w:val="0"/>
              <w:spacing w:line="240" w:lineRule="auto"/>
              <w:jc w:val="left"/>
              <w:rPr>
                <w:rFonts w:hAnsi="宋体"/>
                <w:sz w:val="24"/>
                <w:szCs w:val="22"/>
              </w:rPr>
            </w:pPr>
            <w:r>
              <w:rPr>
                <w:rFonts w:hint="eastAsia" w:hAnsi="宋体" w:cs="仿宋_GB2312"/>
                <w:sz w:val="24"/>
                <w:szCs w:val="22"/>
              </w:rPr>
              <w:t>列入经营异常名录或严重失信黑名单的投标。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240" w:lineRule="auto"/>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240" w:lineRule="auto"/>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240" w:lineRule="auto"/>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240" w:lineRule="auto"/>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240" w:lineRule="auto"/>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240" w:lineRule="auto"/>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spacing w:line="240" w:lineRule="auto"/>
              <w:jc w:val="center"/>
              <w:rPr>
                <w:rFonts w:hAnsi="宋体"/>
                <w:sz w:val="24"/>
              </w:rPr>
            </w:pPr>
            <w:r>
              <w:rPr>
                <w:rFonts w:hint="eastAsia" w:hAnsi="宋体"/>
                <w:sz w:val="24"/>
              </w:rPr>
              <w:t>1.10.3</w:t>
            </w:r>
          </w:p>
        </w:tc>
        <w:tc>
          <w:tcPr>
            <w:tcW w:w="2447" w:type="dxa"/>
            <w:gridSpan w:val="3"/>
            <w:vAlign w:val="center"/>
          </w:tcPr>
          <w:p>
            <w:pPr>
              <w:spacing w:line="240" w:lineRule="auto"/>
              <w:jc w:val="center"/>
              <w:rPr>
                <w:rFonts w:hAnsi="宋体"/>
                <w:sz w:val="24"/>
              </w:rPr>
            </w:pPr>
            <w:r>
              <w:rPr>
                <w:rFonts w:hint="eastAsia" w:hAnsi="宋体"/>
                <w:sz w:val="24"/>
              </w:rPr>
              <w:t>招标人澄清的时间</w:t>
            </w:r>
          </w:p>
        </w:tc>
        <w:tc>
          <w:tcPr>
            <w:tcW w:w="6424" w:type="dxa"/>
            <w:gridSpan w:val="2"/>
            <w:vAlign w:val="center"/>
          </w:tcPr>
          <w:p>
            <w:pPr>
              <w:spacing w:line="240" w:lineRule="auto"/>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240" w:lineRule="auto"/>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240" w:lineRule="auto"/>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240" w:lineRule="auto"/>
              <w:jc w:val="center"/>
              <w:rPr>
                <w:rFonts w:hAnsi="宋体" w:cs="仿宋_GB2312"/>
                <w:sz w:val="24"/>
                <w:szCs w:val="22"/>
              </w:rPr>
            </w:pPr>
            <w:r>
              <w:rPr>
                <w:rFonts w:hint="eastAsia" w:hAnsi="宋体" w:cs="仿宋_GB2312"/>
                <w:sz w:val="24"/>
                <w:szCs w:val="22"/>
              </w:rPr>
              <w:t>招标文件和工程量清单及图纸的获取</w:t>
            </w:r>
          </w:p>
        </w:tc>
        <w:tc>
          <w:tcPr>
            <w:tcW w:w="6424" w:type="dxa"/>
            <w:gridSpan w:val="2"/>
          </w:tcPr>
          <w:p>
            <w:pPr>
              <w:autoSpaceDE w:val="0"/>
              <w:autoSpaceDN w:val="0"/>
              <w:adjustRightInd w:val="0"/>
              <w:spacing w:line="240" w:lineRule="auto"/>
            </w:pPr>
            <w:r>
              <w:rPr>
                <w:rFonts w:hint="eastAsia" w:hAnsi="宋体" w:cs="仿宋_GB2312"/>
                <w:sz w:val="24"/>
                <w:szCs w:val="22"/>
              </w:rPr>
              <w:t>招标文件和工程量清单及图纸的获取：投标人于投标文件递交截止时间前均可登录《全国公共资源交易平台(河南省▪许昌市)》（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szCs w:val="22"/>
              </w:rPr>
              <w:t>http://</w:t>
            </w:r>
            <w:r>
              <w:rPr>
                <w:rFonts w:hint="eastAsia" w:ascii="宋体" w:hAnsi="宋体" w:eastAsia="宋体" w:cs="宋体"/>
                <w:sz w:val="24"/>
                <w:szCs w:val="24"/>
              </w:rPr>
              <w:t>（</w:t>
            </w:r>
            <w:r>
              <w:rPr>
                <w:rFonts w:hint="eastAsia" w:ascii="宋体" w:hAnsi="宋体" w:eastAsia="宋体" w:cs="宋体"/>
                <w:sz w:val="24"/>
                <w:szCs w:val="24"/>
                <w:lang w:eastAsia="zh-CN"/>
              </w:rPr>
              <w:t>ggzy.xuchang.gov.cn</w:t>
            </w:r>
            <w:r>
              <w:rPr>
                <w:rFonts w:hint="eastAsia" w:hAnsi="宋体" w:cs="仿宋_GB2312"/>
                <w:sz w:val="24"/>
                <w:szCs w:val="22"/>
              </w:rPr>
              <w:t>/</w:t>
            </w:r>
            <w:r>
              <w:rPr>
                <w:rFonts w:hint="eastAsia" w:hAnsi="宋体" w:cs="仿宋_GB2312"/>
                <w:sz w:val="24"/>
                <w:szCs w:val="22"/>
              </w:rPr>
              <w:fldChar w:fldCharType="end"/>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240" w:lineRule="auto"/>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240" w:lineRule="auto"/>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240" w:lineRule="auto"/>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240" w:lineRule="auto"/>
              <w:rPr>
                <w:rFonts w:hAnsi="宋体" w:cs="黑体"/>
                <w:sz w:val="24"/>
              </w:rPr>
            </w:pPr>
            <w:r>
              <w:rPr>
                <w:rFonts w:hint="eastAsia" w:hAnsi="宋体"/>
                <w:bCs/>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240" w:lineRule="auto"/>
              <w:rPr>
                <w:rFonts w:hAnsi="宋体"/>
                <w:bCs/>
                <w:sz w:val="24"/>
                <w:szCs w:val="22"/>
              </w:rPr>
            </w:pPr>
            <w:r>
              <w:rPr>
                <w:rFonts w:hint="eastAsia" w:hAnsi="宋体"/>
                <w:bCs/>
                <w:sz w:val="24"/>
                <w:szCs w:val="22"/>
              </w:rPr>
              <w:t>投标截止时间</w:t>
            </w:r>
          </w:p>
        </w:tc>
        <w:tc>
          <w:tcPr>
            <w:tcW w:w="6424" w:type="dxa"/>
            <w:gridSpan w:val="2"/>
          </w:tcPr>
          <w:p>
            <w:pPr>
              <w:autoSpaceDE w:val="0"/>
              <w:autoSpaceDN w:val="0"/>
              <w:adjustRightInd w:val="0"/>
              <w:spacing w:line="240" w:lineRule="auto"/>
              <w:rPr>
                <w:rFonts w:hAnsi="宋体"/>
                <w:bCs/>
                <w:sz w:val="24"/>
                <w:szCs w:val="22"/>
              </w:rPr>
            </w:pPr>
            <w:r>
              <w:rPr>
                <w:rFonts w:hint="eastAsia" w:hAnsi="宋体"/>
                <w:bCs/>
                <w:sz w:val="24"/>
              </w:rPr>
              <w:t>2019年</w:t>
            </w:r>
            <w:r>
              <w:rPr>
                <w:rFonts w:hint="eastAsia" w:hAnsi="宋体"/>
                <w:bCs/>
                <w:sz w:val="24"/>
                <w:lang w:val="en-US" w:eastAsia="zh-CN"/>
              </w:rPr>
              <w:t>7</w:t>
            </w:r>
            <w:r>
              <w:rPr>
                <w:rFonts w:hint="eastAsia" w:hAnsi="宋体"/>
                <w:bCs/>
                <w:sz w:val="24"/>
              </w:rPr>
              <w:t>月</w:t>
            </w:r>
            <w:r>
              <w:rPr>
                <w:rFonts w:hint="eastAsia" w:hAnsi="宋体"/>
                <w:bCs/>
                <w:sz w:val="24"/>
                <w:lang w:val="en-US" w:eastAsia="zh-CN"/>
              </w:rPr>
              <w:t>12</w:t>
            </w:r>
            <w:r>
              <w:rPr>
                <w:rFonts w:hint="eastAsia" w:hAnsi="宋体"/>
                <w:bCs/>
                <w:sz w:val="24"/>
              </w:rPr>
              <w:t>日</w:t>
            </w:r>
            <w:r>
              <w:rPr>
                <w:rFonts w:hint="eastAsia" w:hAnsi="宋体"/>
                <w:bCs/>
                <w:sz w:val="24"/>
                <w:lang w:val="en-US" w:eastAsia="zh-CN"/>
              </w:rPr>
              <w:t xml:space="preserve"> 09 </w:t>
            </w:r>
            <w:r>
              <w:rPr>
                <w:rFonts w:hint="eastAsia" w:hAnsi="宋体"/>
                <w:bCs/>
                <w:sz w:val="24"/>
              </w:rPr>
              <w:t>时</w:t>
            </w:r>
            <w:r>
              <w:rPr>
                <w:rFonts w:hint="eastAsia" w:hAnsi="宋体"/>
                <w:bCs/>
                <w:sz w:val="24"/>
                <w:lang w:val="en-US" w:eastAsia="zh-CN"/>
              </w:rPr>
              <w:t xml:space="preserve"> 30 </w:t>
            </w:r>
            <w:r>
              <w:rPr>
                <w:rFonts w:hint="eastAsia" w:hAnsi="宋体"/>
                <w:bCs/>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240" w:lineRule="auto"/>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240" w:lineRule="auto"/>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240" w:lineRule="auto"/>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240" w:lineRule="auto"/>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240" w:lineRule="auto"/>
              <w:jc w:val="center"/>
              <w:rPr>
                <w:rFonts w:hAnsi="宋体" w:cs="黑体"/>
                <w:sz w:val="24"/>
              </w:rPr>
            </w:pPr>
            <w:bookmarkStart w:id="2" w:name="_Hlk424659721"/>
            <w:bookmarkStart w:id="3" w:name="OLE_LINK4" w:colFirst="0" w:colLast="2"/>
            <w:bookmarkStart w:id="4" w:name="OLE_LINK3" w:colFirst="0" w:colLast="2"/>
            <w:r>
              <w:rPr>
                <w:rFonts w:hAnsi="宋体" w:cs="TimesNewRomanPSMT"/>
                <w:sz w:val="24"/>
              </w:rPr>
              <w:t>3.4.1</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投标保证金</w:t>
            </w:r>
          </w:p>
        </w:tc>
        <w:tc>
          <w:tcPr>
            <w:tcW w:w="6424" w:type="dxa"/>
            <w:gridSpan w:val="2"/>
            <w:vAlign w:val="center"/>
          </w:tcPr>
          <w:p>
            <w:pPr>
              <w:spacing w:line="24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03" w:type="dxa"/>
            <w:vAlign w:val="center"/>
          </w:tcPr>
          <w:p>
            <w:pPr>
              <w:autoSpaceDE w:val="0"/>
              <w:autoSpaceDN w:val="0"/>
              <w:adjustRightInd w:val="0"/>
              <w:spacing w:line="240" w:lineRule="auto"/>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spacing w:line="240" w:lineRule="auto"/>
              <w:jc w:val="center"/>
              <w:rPr>
                <w:rFonts w:hAnsi="宋体" w:cs="仿宋_GB2312"/>
                <w:sz w:val="24"/>
              </w:rPr>
            </w:pPr>
            <w:r>
              <w:rPr>
                <w:rFonts w:hint="eastAsia" w:hAnsi="宋体" w:cs="仿宋_GB2312"/>
                <w:sz w:val="24"/>
              </w:rPr>
              <w:t>履约保证金</w:t>
            </w:r>
          </w:p>
        </w:tc>
        <w:tc>
          <w:tcPr>
            <w:tcW w:w="6424" w:type="dxa"/>
            <w:gridSpan w:val="2"/>
            <w:vAlign w:val="center"/>
          </w:tcPr>
          <w:p>
            <w:pPr>
              <w:spacing w:line="240" w:lineRule="auto"/>
              <w:rPr>
                <w:rFonts w:hAnsi="宋体" w:cs="仿宋_GB2312"/>
                <w:sz w:val="24"/>
              </w:rPr>
            </w:pPr>
            <w:r>
              <w:rPr>
                <w:rFonts w:hint="eastAsia" w:hAnsi="宋体" w:cs="仿宋_GB2312"/>
                <w:sz w:val="24"/>
              </w:rPr>
              <w:t>不超过中标合同金额的10%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240" w:lineRule="auto"/>
              <w:jc w:val="center"/>
              <w:rPr>
                <w:rFonts w:hAnsi="宋体" w:cs="TimesNewRomanPSMT"/>
                <w:sz w:val="24"/>
              </w:rPr>
            </w:pPr>
            <w:r>
              <w:rPr>
                <w:rFonts w:hint="eastAsia" w:hAnsi="宋体" w:cs="TimesNewRomanPSMT"/>
                <w:sz w:val="24"/>
              </w:rPr>
              <w:t>3.5.2</w:t>
            </w:r>
          </w:p>
        </w:tc>
        <w:tc>
          <w:tcPr>
            <w:tcW w:w="2447" w:type="dxa"/>
            <w:gridSpan w:val="3"/>
            <w:vAlign w:val="center"/>
          </w:tcPr>
          <w:p>
            <w:pPr>
              <w:spacing w:line="240" w:lineRule="auto"/>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240" w:lineRule="auto"/>
              <w:jc w:val="left"/>
              <w:rPr>
                <w:rFonts w:hAnsi="宋体" w:cs="仿宋_GB2312"/>
                <w:b/>
                <w:szCs w:val="21"/>
              </w:rPr>
            </w:pPr>
            <w:r>
              <w:rPr>
                <w:rFonts w:hint="eastAsia" w:hAnsi="宋体" w:cs="仿宋_GB2312"/>
                <w:sz w:val="24"/>
              </w:rPr>
              <w:t>近三年，指2016、2017、2018年</w:t>
            </w:r>
            <w:r>
              <w:rPr>
                <w:rFonts w:hint="eastAsia" w:hAnsi="宋体" w:cs="仿宋_GB2312"/>
                <w:sz w:val="24"/>
                <w:lang w:eastAsia="zh-CN"/>
              </w:rPr>
              <w:t>，如公司成立不足三年，自成立之日算起</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240" w:lineRule="auto"/>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spacing w:line="240" w:lineRule="auto"/>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spacing w:line="240" w:lineRule="auto"/>
              <w:rPr>
                <w:rFonts w:hAnsi="宋体" w:cs="TimesNewRomanPSMT"/>
                <w:sz w:val="24"/>
              </w:rPr>
            </w:pPr>
            <w:r>
              <w:rPr>
                <w:rFonts w:hint="eastAsia" w:hAnsi="宋体" w:cs="TimesNewRomanPSMT"/>
                <w:sz w:val="24"/>
              </w:rPr>
              <w:t>近三年，指2016年1月1日至今。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240" w:lineRule="auto"/>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spacing w:line="240" w:lineRule="auto"/>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spacing w:line="240" w:lineRule="auto"/>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240" w:lineRule="auto"/>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spacing w:line="240" w:lineRule="auto"/>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spacing w:line="240" w:lineRule="auto"/>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spacing w:line="240" w:lineRule="auto"/>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投标文件份数</w:t>
            </w:r>
          </w:p>
        </w:tc>
        <w:tc>
          <w:tcPr>
            <w:tcW w:w="6424" w:type="dxa"/>
            <w:gridSpan w:val="2"/>
            <w:vAlign w:val="center"/>
          </w:tcPr>
          <w:p>
            <w:pPr>
              <w:spacing w:line="240" w:lineRule="auto"/>
              <w:rPr>
                <w:rFonts w:hAnsi="宋体" w:cs="宋体"/>
                <w:sz w:val="24"/>
                <w:szCs w:val="22"/>
                <w:lang w:val="zh-CN"/>
              </w:rPr>
            </w:pPr>
            <w:r>
              <w:rPr>
                <w:rFonts w:hint="eastAsia" w:hAnsi="宋体" w:cs="宋体"/>
                <w:sz w:val="24"/>
                <w:szCs w:val="22"/>
                <w:lang w:val="zh-CN"/>
              </w:rPr>
              <w:t>1、电子投标文件</w:t>
            </w:r>
          </w:p>
          <w:p>
            <w:pPr>
              <w:spacing w:line="240" w:lineRule="auto"/>
              <w:rPr>
                <w:rFonts w:hAnsi="宋体" w:cs="宋体"/>
                <w:sz w:val="24"/>
                <w:szCs w:val="22"/>
                <w:lang w:val="zh-CN"/>
              </w:rPr>
            </w:pPr>
            <w:r>
              <w:rPr>
                <w:rFonts w:hint="eastAsia" w:hAnsi="宋体" w:cs="宋体"/>
                <w:sz w:val="24"/>
                <w:szCs w:val="22"/>
                <w:lang w:val="zh-CN"/>
              </w:rPr>
              <w:t>（1）成功上传至【全国公共资源交易平台（河南省·许昌市）】公共资源交易系统电子投标文件1份（文件格式为：XX公司XXX项目编号.file）。</w:t>
            </w:r>
          </w:p>
          <w:p>
            <w:pPr>
              <w:spacing w:line="240" w:lineRule="auto"/>
              <w:rPr>
                <w:rFonts w:hAnsi="宋体" w:cs="宋体"/>
                <w:sz w:val="24"/>
                <w:szCs w:val="22"/>
                <w:lang w:val="zh-CN"/>
              </w:rPr>
            </w:pPr>
            <w:r>
              <w:rPr>
                <w:rFonts w:hint="eastAsia" w:hAnsi="宋体" w:cs="宋体"/>
                <w:sz w:val="24"/>
                <w:szCs w:val="22"/>
                <w:lang w:val="zh-CN"/>
              </w:rPr>
              <w:t>（2）使用电子介质存储的投标文件2份文件格式为：xxx公司XXX（项目编号）.bin）。</w:t>
            </w:r>
          </w:p>
          <w:p>
            <w:pPr>
              <w:spacing w:line="240" w:lineRule="auto"/>
              <w:rPr>
                <w:rFonts w:hAnsi="宋体" w:cs="宋体"/>
                <w:sz w:val="24"/>
                <w:szCs w:val="22"/>
                <w:lang w:val="zh-CN"/>
              </w:rPr>
            </w:pPr>
            <w:r>
              <w:rPr>
                <w:rFonts w:hint="eastAsia" w:hAnsi="宋体" w:cs="宋体"/>
                <w:sz w:val="24"/>
                <w:szCs w:val="22"/>
                <w:lang w:val="zh-CN"/>
              </w:rPr>
              <w:t>2、纸质投标文件</w:t>
            </w:r>
          </w:p>
          <w:p>
            <w:pPr>
              <w:spacing w:line="240" w:lineRule="auto"/>
              <w:rPr>
                <w:rFonts w:hAnsi="宋体" w:cs="宋体"/>
                <w:sz w:val="24"/>
                <w:szCs w:val="22"/>
                <w:lang w:val="zh-CN"/>
              </w:rPr>
            </w:pPr>
            <w:r>
              <w:rPr>
                <w:rFonts w:hint="eastAsia" w:hAnsi="宋体" w:cs="宋体"/>
                <w:sz w:val="24"/>
                <w:szCs w:val="22"/>
                <w:lang w:val="zh-CN"/>
              </w:rPr>
              <w:t>商务标：正本1份，副本</w:t>
            </w:r>
            <w:r>
              <w:rPr>
                <w:rFonts w:hint="eastAsia" w:hAnsi="宋体" w:cs="宋体"/>
                <w:sz w:val="24"/>
                <w:szCs w:val="22"/>
              </w:rPr>
              <w:t>1</w:t>
            </w:r>
            <w:r>
              <w:rPr>
                <w:rFonts w:hint="eastAsia" w:hAnsi="宋体" w:cs="宋体"/>
                <w:sz w:val="24"/>
                <w:szCs w:val="22"/>
                <w:lang w:val="zh-CN"/>
              </w:rPr>
              <w:t>份；</w:t>
            </w:r>
          </w:p>
          <w:p>
            <w:pPr>
              <w:spacing w:line="240" w:lineRule="auto"/>
              <w:rPr>
                <w:rFonts w:hAnsi="宋体" w:cs="宋体"/>
                <w:sz w:val="24"/>
                <w:szCs w:val="22"/>
                <w:lang w:val="zh-CN"/>
              </w:rPr>
            </w:pPr>
            <w:r>
              <w:rPr>
                <w:rFonts w:hint="eastAsia" w:hAnsi="宋体" w:cs="宋体"/>
                <w:sz w:val="24"/>
                <w:szCs w:val="22"/>
                <w:lang w:val="zh-CN"/>
              </w:rPr>
              <w:t>综合（信用）标：正本1份，副本</w:t>
            </w:r>
            <w:r>
              <w:rPr>
                <w:rFonts w:hint="eastAsia" w:hAnsi="宋体" w:cs="宋体"/>
                <w:sz w:val="24"/>
                <w:szCs w:val="22"/>
              </w:rPr>
              <w:t>1</w:t>
            </w:r>
            <w:r>
              <w:rPr>
                <w:rFonts w:hint="eastAsia" w:hAnsi="宋体" w:cs="宋体"/>
                <w:sz w:val="24"/>
                <w:szCs w:val="22"/>
                <w:lang w:val="zh-CN"/>
              </w:rPr>
              <w:t xml:space="preserve">份； </w:t>
            </w:r>
          </w:p>
          <w:p>
            <w:pPr>
              <w:spacing w:line="240" w:lineRule="auto"/>
              <w:rPr>
                <w:rFonts w:hAnsi="宋体" w:cs="宋体"/>
                <w:sz w:val="24"/>
                <w:szCs w:val="22"/>
                <w:lang w:val="zh-CN"/>
              </w:rPr>
            </w:pPr>
            <w:r>
              <w:rPr>
                <w:rFonts w:hint="eastAsia" w:hAnsi="宋体" w:cs="宋体"/>
                <w:sz w:val="24"/>
                <w:szCs w:val="22"/>
                <w:lang w:val="zh-CN"/>
              </w:rPr>
              <w:t>技术标：正本1份，副本</w:t>
            </w:r>
            <w:r>
              <w:rPr>
                <w:rFonts w:hint="eastAsia" w:hAnsi="宋体" w:cs="宋体"/>
                <w:sz w:val="24"/>
                <w:szCs w:val="22"/>
              </w:rPr>
              <w:t>1</w:t>
            </w:r>
            <w:r>
              <w:rPr>
                <w:rFonts w:hint="eastAsia" w:hAnsi="宋体" w:cs="宋体"/>
                <w:sz w:val="24"/>
                <w:szCs w:val="22"/>
                <w:lang w:val="zh-CN"/>
              </w:rPr>
              <w:t>份。</w:t>
            </w:r>
          </w:p>
          <w:p>
            <w:pPr>
              <w:spacing w:line="240" w:lineRule="auto"/>
              <w:rPr>
                <w:rFonts w:hAnsi="宋体" w:cs="宋体"/>
                <w:sz w:val="24"/>
                <w:szCs w:val="22"/>
                <w:lang w:val="zh-CN"/>
              </w:rPr>
            </w:pPr>
            <w:r>
              <w:rPr>
                <w:rFonts w:hint="eastAsia" w:hAnsi="宋体" w:cs="宋体"/>
                <w:sz w:val="24"/>
                <w:szCs w:val="22"/>
                <w:lang w:val="zh-CN"/>
              </w:rPr>
              <w:t>4、投标人须提供商务标电子版（U盘）两份，内附已标价工程量清单电子版（EXCEL版本）。</w:t>
            </w:r>
          </w:p>
          <w:p>
            <w:pPr>
              <w:spacing w:line="24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sz w:val="24"/>
                <w:szCs w:val="24"/>
              </w:rPr>
              <w:t>许昌投标文件制作系统SEARUNV1.1</w:t>
            </w:r>
            <w:r>
              <w:rPr>
                <w:rFonts w:hint="eastAsia" w:ascii="等线" w:hAnsi="等线" w:eastAsia="等线"/>
                <w:b/>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240" w:lineRule="auto"/>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240" w:lineRule="auto"/>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240" w:lineRule="auto"/>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方式装订，装订应牢固、不易拆散和换页，不得采用活页装订。投标文件须印刷书脊，并在书脊上注明正副本字样、项目名称和投标人名称。</w:t>
            </w:r>
          </w:p>
          <w:p>
            <w:pPr>
              <w:autoSpaceDE w:val="0"/>
              <w:autoSpaceDN w:val="0"/>
              <w:adjustRightInd w:val="0"/>
              <w:spacing w:line="240" w:lineRule="auto"/>
              <w:rPr>
                <w:rFonts w:ascii="新宋体" w:hAnsi="新宋体" w:eastAsia="新宋体"/>
                <w:sz w:val="24"/>
              </w:rPr>
            </w:pP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9"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240" w:lineRule="auto"/>
              <w:jc w:val="left"/>
              <w:rPr>
                <w:rFonts w:hAnsi="宋体"/>
                <w:sz w:val="24"/>
              </w:rPr>
            </w:pPr>
            <w:r>
              <w:rPr>
                <w:rFonts w:hint="eastAsia" w:hAnsi="宋体" w:cs="仿宋_GB2312"/>
                <w:sz w:val="24"/>
              </w:rPr>
              <w:t>招标人</w:t>
            </w:r>
            <w:r>
              <w:rPr>
                <w:rFonts w:hint="eastAsia"/>
                <w:sz w:val="24"/>
              </w:rPr>
              <w:t>地址：</w:t>
            </w:r>
          </w:p>
          <w:p>
            <w:pPr>
              <w:spacing w:line="240" w:lineRule="auto"/>
              <w:rPr>
                <w:rFonts w:ascii="楷体_gb2312" w:hAnsi="楷体_gb2312" w:eastAsia="楷体_gb2312" w:cs="楷体_gb2312"/>
                <w:sz w:val="28"/>
                <w:szCs w:val="28"/>
              </w:rPr>
            </w:pPr>
            <w:r>
              <w:rPr>
                <w:rFonts w:hint="eastAsia"/>
                <w:sz w:val="24"/>
              </w:rPr>
              <w:t>招标人名称：</w:t>
            </w:r>
          </w:p>
          <w:p>
            <w:pPr>
              <w:autoSpaceDE w:val="0"/>
              <w:autoSpaceDN w:val="0"/>
              <w:adjustRightInd w:val="0"/>
              <w:spacing w:line="240" w:lineRule="auto"/>
              <w:jc w:val="left"/>
              <w:rPr>
                <w:rFonts w:hAnsi="宋体"/>
                <w:sz w:val="24"/>
              </w:rPr>
            </w:pPr>
            <w:r>
              <w:rPr>
                <w:rFonts w:hint="eastAsia"/>
                <w:sz w:val="24"/>
              </w:rPr>
              <w:t>项目名称：</w:t>
            </w:r>
          </w:p>
          <w:p>
            <w:pPr>
              <w:spacing w:line="240"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240" w:lineRule="auto"/>
              <w:jc w:val="left"/>
              <w:rPr>
                <w:rFonts w:hAnsi="宋体" w:cs="黑体"/>
                <w:sz w:val="24"/>
              </w:rPr>
            </w:pPr>
            <w:r>
              <w:rPr>
                <w:rFonts w:hint="eastAsia"/>
                <w:sz w:val="24"/>
              </w:rPr>
              <w:t>投标文件</w:t>
            </w:r>
            <w:r>
              <w:rPr>
                <w:rFonts w:hint="eastAsia" w:hAnsi="宋体" w:cs="仿宋_GB2312"/>
                <w:sz w:val="24"/>
                <w:highlight w:val="none"/>
              </w:rPr>
              <w:t>在</w:t>
            </w:r>
            <w:r>
              <w:rPr>
                <w:rFonts w:hint="eastAsia" w:hAnsi="宋体" w:cs="仿宋_GB2312"/>
                <w:sz w:val="24"/>
                <w:highlight w:val="none"/>
                <w:lang w:val="en-US" w:eastAsia="zh-CN"/>
              </w:rPr>
              <w:t xml:space="preserve">   </w:t>
            </w:r>
            <w:r>
              <w:rPr>
                <w:rFonts w:hint="eastAsia" w:hAnsi="宋体" w:cs="仿宋_GB2312"/>
                <w:sz w:val="24"/>
                <w:highlight w:val="none"/>
              </w:rPr>
              <w:t>年</w:t>
            </w:r>
            <w:r>
              <w:rPr>
                <w:rFonts w:hint="eastAsia" w:hAnsi="宋体" w:cs="仿宋_GB2312"/>
                <w:sz w:val="24"/>
                <w:highlight w:val="none"/>
                <w:lang w:val="en-US" w:eastAsia="zh-CN"/>
              </w:rPr>
              <w:t xml:space="preserve">  </w:t>
            </w:r>
            <w:r>
              <w:rPr>
                <w:rFonts w:hint="eastAsia" w:hAnsi="宋体" w:cs="仿宋_GB2312"/>
                <w:sz w:val="24"/>
                <w:highlight w:val="none"/>
              </w:rPr>
              <w:t>月</w:t>
            </w:r>
            <w:r>
              <w:rPr>
                <w:rFonts w:hint="eastAsia" w:hAnsi="宋体" w:cs="仿宋_GB2312"/>
                <w:sz w:val="24"/>
                <w:highlight w:val="none"/>
                <w:lang w:val="en-US" w:eastAsia="zh-CN"/>
              </w:rPr>
              <w:t xml:space="preserve">   </w:t>
            </w:r>
            <w:r>
              <w:rPr>
                <w:rFonts w:hint="eastAsia" w:hAnsi="宋体" w:cs="仿宋_GB2312"/>
                <w:sz w:val="24"/>
                <w:highlight w:val="none"/>
              </w:rPr>
              <w:t>日</w:t>
            </w:r>
            <w:r>
              <w:rPr>
                <w:rFonts w:hint="eastAsia" w:hAnsi="宋体" w:cs="仿宋_GB2312"/>
                <w:sz w:val="24"/>
                <w:highlight w:val="none"/>
                <w:lang w:val="en-US" w:eastAsia="zh-CN"/>
              </w:rPr>
              <w:t xml:space="preserve">  </w:t>
            </w:r>
            <w:r>
              <w:rPr>
                <w:rFonts w:hint="eastAsia" w:hAnsi="宋体" w:cs="仿宋_GB2312"/>
                <w:sz w:val="24"/>
                <w:highlight w:val="none"/>
              </w:rPr>
              <w:t xml:space="preserve"> 时</w:t>
            </w:r>
            <w:r>
              <w:rPr>
                <w:rFonts w:hint="eastAsia" w:hAnsi="宋体" w:cs="仿宋_GB2312"/>
                <w:sz w:val="24"/>
                <w:highlight w:val="none"/>
                <w:lang w:val="en-US" w:eastAsia="zh-CN"/>
              </w:rPr>
              <w:t xml:space="preserve">   </w:t>
            </w:r>
            <w:r>
              <w:rPr>
                <w:rFonts w:hint="eastAsia" w:hAnsi="宋体" w:cs="仿宋_GB2312"/>
                <w:sz w:val="24"/>
                <w:highlight w:val="none"/>
              </w:rPr>
              <w:t>分</w:t>
            </w:r>
            <w:r>
              <w:rPr>
                <w:rFonts w:hint="eastAsia" w:hAnsi="宋体" w:cs="仿宋_GB2312"/>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2"/>
              </w:numPr>
              <w:tabs>
                <w:tab w:val="left" w:pos="0"/>
                <w:tab w:val="clear" w:pos="360"/>
              </w:tabs>
              <w:spacing w:line="240" w:lineRule="auto"/>
              <w:ind w:left="0" w:hanging="648"/>
              <w:rPr>
                <w:rFonts w:hint="eastAsia" w:hAnsi="宋体" w:cs="宋体"/>
                <w:sz w:val="24"/>
                <w:szCs w:val="22"/>
              </w:rPr>
            </w:pPr>
            <w:r>
              <w:rPr>
                <w:rFonts w:hint="eastAsia" w:hAnsi="宋体" w:cs="宋体"/>
                <w:sz w:val="24"/>
                <w:szCs w:val="22"/>
              </w:rPr>
              <w:t>许昌市建安区新元大道兴业大厦4楼</w:t>
            </w:r>
            <w:r>
              <w:rPr>
                <w:rFonts w:hint="eastAsia" w:hAnsi="宋体" w:cs="宋体"/>
                <w:sz w:val="24"/>
                <w:szCs w:val="22"/>
                <w:lang w:eastAsia="zh-CN"/>
              </w:rPr>
              <w:t>开标</w:t>
            </w:r>
            <w:r>
              <w:rPr>
                <w:rFonts w:hint="eastAsia" w:hAnsi="宋体" w:cs="宋体"/>
                <w:sz w:val="24"/>
                <w:szCs w:val="22"/>
                <w:lang w:val="en-US" w:eastAsia="zh-CN"/>
              </w:rPr>
              <w:t>三</w:t>
            </w:r>
            <w:r>
              <w:rPr>
                <w:rFonts w:hint="eastAsia" w:hAnsi="宋体" w:cs="宋体"/>
                <w:sz w:val="24"/>
                <w:szCs w:val="22"/>
              </w:rPr>
              <w:t>室</w:t>
            </w:r>
            <w:r>
              <w:rPr>
                <w:rFonts w:hint="eastAsia" w:hAnsi="宋体" w:cs="宋体"/>
                <w:sz w:val="24"/>
                <w:szCs w:val="22"/>
                <w:lang w:eastAsia="zh-CN"/>
              </w:rPr>
              <w:t>（</w:t>
            </w:r>
            <w:r>
              <w:rPr>
                <w:rFonts w:hint="eastAsia" w:hAnsi="宋体" w:cs="宋体"/>
                <w:sz w:val="24"/>
                <w:szCs w:val="22"/>
                <w:lang w:val="en-US" w:eastAsia="zh-CN"/>
              </w:rPr>
              <w:t>4163室</w:t>
            </w:r>
            <w:r>
              <w:rPr>
                <w:rFonts w:hint="eastAsia" w:hAnsi="宋体" w:cs="宋体"/>
                <w:sz w:val="24"/>
                <w:szCs w:val="22"/>
                <w:lang w:eastAsia="zh-CN"/>
              </w:rPr>
              <w:t>）</w:t>
            </w: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是否退还投标文件</w:t>
            </w:r>
          </w:p>
        </w:tc>
        <w:tc>
          <w:tcPr>
            <w:tcW w:w="6424" w:type="dxa"/>
            <w:gridSpan w:val="2"/>
            <w:vAlign w:val="center"/>
          </w:tcPr>
          <w:p>
            <w:pPr>
              <w:numPr>
                <w:ilvl w:val="0"/>
                <w:numId w:val="2"/>
              </w:numPr>
              <w:tabs>
                <w:tab w:val="left" w:pos="0"/>
                <w:tab w:val="clear" w:pos="360"/>
              </w:tabs>
              <w:spacing w:line="240" w:lineRule="auto"/>
              <w:ind w:left="0" w:hanging="648"/>
              <w:rPr>
                <w:rFonts w:hint="eastAsia" w:hAnsi="宋体" w:cs="宋体"/>
                <w:sz w:val="24"/>
                <w:szCs w:val="22"/>
              </w:rPr>
            </w:pPr>
            <w:r>
              <w:rPr>
                <w:rFonts w:hint="eastAsia" w:hAnsi="宋体" w:cs="宋体"/>
                <w:sz w:val="24"/>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开标时间和地点</w:t>
            </w:r>
          </w:p>
        </w:tc>
        <w:tc>
          <w:tcPr>
            <w:tcW w:w="6424" w:type="dxa"/>
            <w:gridSpan w:val="2"/>
          </w:tcPr>
          <w:p>
            <w:pPr>
              <w:numPr>
                <w:ilvl w:val="0"/>
                <w:numId w:val="2"/>
              </w:numPr>
              <w:tabs>
                <w:tab w:val="left" w:pos="0"/>
                <w:tab w:val="clear" w:pos="360"/>
              </w:tabs>
              <w:spacing w:line="240" w:lineRule="auto"/>
              <w:ind w:left="0" w:hanging="648"/>
              <w:rPr>
                <w:rFonts w:hint="eastAsia" w:hAnsi="宋体" w:cs="宋体"/>
                <w:sz w:val="24"/>
                <w:szCs w:val="22"/>
              </w:rPr>
            </w:pPr>
            <w:r>
              <w:rPr>
                <w:rFonts w:hint="eastAsia" w:hAnsi="宋体" w:cs="宋体"/>
                <w:sz w:val="24"/>
                <w:szCs w:val="22"/>
              </w:rPr>
              <w:t>开标时间：同投标截止时间</w:t>
            </w:r>
          </w:p>
          <w:p>
            <w:pPr>
              <w:numPr>
                <w:ilvl w:val="0"/>
                <w:numId w:val="2"/>
              </w:numPr>
              <w:tabs>
                <w:tab w:val="left" w:pos="0"/>
                <w:tab w:val="clear" w:pos="360"/>
              </w:tabs>
              <w:spacing w:line="240" w:lineRule="auto"/>
              <w:ind w:left="0" w:hanging="648"/>
              <w:rPr>
                <w:rFonts w:hint="eastAsia" w:hAnsi="宋体" w:cs="宋体"/>
                <w:sz w:val="24"/>
                <w:szCs w:val="22"/>
              </w:rPr>
            </w:pPr>
            <w:r>
              <w:rPr>
                <w:rFonts w:hint="eastAsia" w:hAnsi="宋体" w:cs="宋体"/>
                <w:sz w:val="24"/>
                <w:szCs w:val="22"/>
              </w:rPr>
              <w:t>开标地点：许昌市建安区新元大道兴业大厦4楼</w:t>
            </w:r>
            <w:r>
              <w:rPr>
                <w:rFonts w:hint="eastAsia" w:hAnsi="宋体" w:cs="宋体"/>
                <w:sz w:val="24"/>
                <w:szCs w:val="22"/>
                <w:lang w:eastAsia="zh-CN"/>
              </w:rPr>
              <w:t>开标</w:t>
            </w:r>
            <w:r>
              <w:rPr>
                <w:rFonts w:hint="eastAsia" w:hAnsi="宋体" w:cs="宋体"/>
                <w:sz w:val="24"/>
                <w:szCs w:val="22"/>
                <w:lang w:val="en-US" w:eastAsia="zh-CN"/>
              </w:rPr>
              <w:t>三</w:t>
            </w:r>
            <w:r>
              <w:rPr>
                <w:rFonts w:hint="eastAsia" w:hAnsi="宋体" w:cs="宋体"/>
                <w:sz w:val="24"/>
                <w:szCs w:val="22"/>
              </w:rPr>
              <w:t>室</w:t>
            </w:r>
            <w:r>
              <w:rPr>
                <w:rFonts w:hint="eastAsia" w:hAnsi="宋体" w:cs="宋体"/>
                <w:sz w:val="24"/>
                <w:szCs w:val="22"/>
                <w:lang w:eastAsia="zh-CN"/>
              </w:rPr>
              <w:t>（</w:t>
            </w:r>
            <w:r>
              <w:rPr>
                <w:rFonts w:hint="eastAsia" w:hAnsi="宋体" w:cs="宋体"/>
                <w:sz w:val="24"/>
                <w:szCs w:val="22"/>
                <w:lang w:val="en-US" w:eastAsia="zh-CN"/>
              </w:rPr>
              <w:t>4163室</w:t>
            </w:r>
            <w:r>
              <w:rPr>
                <w:rFonts w:hint="eastAsia" w:hAnsi="宋体" w:cs="宋体"/>
                <w:sz w:val="24"/>
                <w:szCs w:val="22"/>
                <w:lang w:eastAsia="zh-CN"/>
              </w:rPr>
              <w:t>）</w:t>
            </w: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240" w:lineRule="auto"/>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40" w:lineRule="auto"/>
              <w:rPr>
                <w:sz w:val="24"/>
              </w:rPr>
            </w:pPr>
            <w:r>
              <w:rPr>
                <w:rFonts w:hint="eastAsia" w:ascii="新宋体" w:hAnsi="新宋体" w:eastAsia="新宋体"/>
                <w:sz w:val="24"/>
              </w:rPr>
              <w:t>评标委员会构成：5人，从河南省综合评标专家库中随机抽取4人和招标人代表1人。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240" w:lineRule="auto"/>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spacing w:line="240" w:lineRule="auto"/>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240" w:lineRule="auto"/>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240" w:lineRule="auto"/>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240" w:lineRule="auto"/>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240" w:lineRule="auto"/>
              <w:jc w:val="left"/>
              <w:rPr>
                <w:rFonts w:hAnsi="宋体" w:cs="TimesNewRomanPSMT"/>
                <w:sz w:val="24"/>
              </w:rPr>
            </w:pPr>
            <w:r>
              <w:rPr>
                <w:rFonts w:hint="eastAsia" w:hAnsi="宋体" w:cs="TimesNewRomanPSMT"/>
                <w:sz w:val="24"/>
              </w:rPr>
              <w:t>10.1.1</w:t>
            </w:r>
          </w:p>
        </w:tc>
        <w:tc>
          <w:tcPr>
            <w:tcW w:w="1593" w:type="dxa"/>
            <w:vAlign w:val="center"/>
          </w:tcPr>
          <w:p>
            <w:pPr>
              <w:autoSpaceDE w:val="0"/>
              <w:autoSpaceDN w:val="0"/>
              <w:adjustRightInd w:val="0"/>
              <w:spacing w:line="240" w:lineRule="auto"/>
              <w:jc w:val="center"/>
              <w:rPr>
                <w:rFonts w:hAnsi="宋体" w:cs="TimesNewRomanPSMT"/>
                <w:sz w:val="24"/>
              </w:rPr>
            </w:pPr>
            <w:r>
              <w:rPr>
                <w:rFonts w:hint="eastAsia" w:hAnsi="宋体" w:cs="TimesNewRomanPSMT"/>
                <w:sz w:val="24"/>
              </w:rPr>
              <w:t>类似项目</w:t>
            </w:r>
          </w:p>
        </w:tc>
        <w:tc>
          <w:tcPr>
            <w:tcW w:w="7204" w:type="dxa"/>
            <w:gridSpan w:val="3"/>
            <w:vAlign w:val="center"/>
          </w:tcPr>
          <w:p>
            <w:pPr>
              <w:autoSpaceDE w:val="0"/>
              <w:autoSpaceDN w:val="0"/>
              <w:adjustRightInd w:val="0"/>
              <w:spacing w:line="240" w:lineRule="auto"/>
              <w:jc w:val="left"/>
              <w:rPr>
                <w:rFonts w:hint="eastAsia" w:hAnsi="宋体" w:eastAsia="宋体" w:cs="仿宋_GB2312"/>
                <w:sz w:val="24"/>
                <w:lang w:eastAsia="zh-CN"/>
              </w:rPr>
            </w:pPr>
            <w:r>
              <w:rPr>
                <w:rFonts w:hint="eastAsia" w:hAnsi="宋体" w:cs="仿宋_GB2312"/>
                <w:sz w:val="24"/>
              </w:rPr>
              <w:t>指2016年1月1日以来的</w:t>
            </w:r>
            <w:r>
              <w:rPr>
                <w:rFonts w:hint="eastAsia" w:hAnsi="宋体" w:cs="仿宋_GB2312"/>
                <w:sz w:val="24"/>
                <w:lang w:eastAsia="zh-CN"/>
              </w:rPr>
              <w:t>承接的市政公用工程项目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240" w:lineRule="auto"/>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240" w:lineRule="auto"/>
              <w:jc w:val="center"/>
              <w:rPr>
                <w:rFonts w:hAnsi="宋体" w:cs="TimesNewRomanPSMT"/>
                <w:sz w:val="24"/>
              </w:rPr>
            </w:pPr>
            <w:r>
              <w:rPr>
                <w:rFonts w:hint="eastAsia" w:hAnsi="宋体" w:cs="TimesNewRomanPSMT"/>
                <w:sz w:val="24"/>
              </w:rPr>
              <w:t>10.2.1</w:t>
            </w:r>
          </w:p>
        </w:tc>
        <w:tc>
          <w:tcPr>
            <w:tcW w:w="1667" w:type="dxa"/>
            <w:gridSpan w:val="2"/>
            <w:vAlign w:val="center"/>
          </w:tcPr>
          <w:p>
            <w:pPr>
              <w:autoSpaceDE w:val="0"/>
              <w:autoSpaceDN w:val="0"/>
              <w:adjustRightInd w:val="0"/>
              <w:spacing w:line="240" w:lineRule="auto"/>
              <w:jc w:val="center"/>
              <w:rPr>
                <w:rFonts w:hAnsi="宋体" w:cs="TimesNewRomanPSMT"/>
                <w:sz w:val="24"/>
              </w:rPr>
            </w:pPr>
            <w:r>
              <w:rPr>
                <w:rFonts w:hint="eastAsia" w:ascii="新宋体" w:hAnsi="新宋体" w:eastAsia="新宋体"/>
                <w:b/>
                <w:sz w:val="24"/>
              </w:rPr>
              <w:t>招标控制价</w:t>
            </w:r>
          </w:p>
        </w:tc>
        <w:tc>
          <w:tcPr>
            <w:tcW w:w="7204" w:type="dxa"/>
            <w:gridSpan w:val="3"/>
            <w:vAlign w:val="center"/>
          </w:tcPr>
          <w:p>
            <w:pPr>
              <w:spacing w:line="240" w:lineRule="auto"/>
              <w:jc w:val="left"/>
              <w:rPr>
                <w:rFonts w:hAnsi="宋体" w:cs="宋体"/>
                <w:b/>
                <w:bCs/>
                <w:sz w:val="24"/>
                <w:szCs w:val="24"/>
              </w:rPr>
            </w:pPr>
            <w:r>
              <w:rPr>
                <w:rFonts w:hint="eastAsia" w:hAnsi="宋体" w:cs="宋体"/>
                <w:b/>
                <w:bCs/>
                <w:sz w:val="24"/>
                <w:szCs w:val="24"/>
              </w:rPr>
              <w:t>招标控制价：</w:t>
            </w:r>
          </w:p>
          <w:p>
            <w:pPr>
              <w:spacing w:line="240" w:lineRule="auto"/>
              <w:jc w:val="left"/>
              <w:rPr>
                <w:rFonts w:hint="eastAsia" w:hAnsi="宋体" w:eastAsia="宋体" w:cs="宋体"/>
                <w:b/>
                <w:bCs/>
                <w:sz w:val="24"/>
                <w:szCs w:val="24"/>
                <w:lang w:eastAsia="zh-CN"/>
              </w:rPr>
            </w:pPr>
            <w:r>
              <w:rPr>
                <w:rFonts w:hint="eastAsia" w:hAnsi="宋体" w:cs="宋体"/>
                <w:b/>
                <w:bCs/>
                <w:sz w:val="24"/>
                <w:szCs w:val="24"/>
              </w:rPr>
              <w:t>大写：</w:t>
            </w:r>
            <w:r>
              <w:rPr>
                <w:rFonts w:hint="eastAsia" w:hAnsi="宋体" w:cs="宋体"/>
                <w:b/>
                <w:bCs/>
                <w:sz w:val="24"/>
                <w:szCs w:val="24"/>
                <w:lang w:eastAsia="zh-CN"/>
              </w:rPr>
              <w:t>肆拾玖万壹仟贰佰捌拾玖元叁角柒分</w:t>
            </w:r>
          </w:p>
          <w:p>
            <w:pPr>
              <w:spacing w:line="240" w:lineRule="auto"/>
              <w:jc w:val="left"/>
              <w:rPr>
                <w:rFonts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491289.37</w:t>
            </w:r>
            <w:r>
              <w:rPr>
                <w:rFonts w:hint="eastAsia" w:hAnsi="宋体" w:cs="宋体"/>
                <w:b/>
                <w:bCs/>
                <w:sz w:val="24"/>
                <w:szCs w:val="24"/>
              </w:rPr>
              <w:t>元。</w:t>
            </w:r>
          </w:p>
          <w:p>
            <w:pPr>
              <w:autoSpaceDE w:val="0"/>
              <w:autoSpaceDN w:val="0"/>
              <w:adjustRightInd w:val="0"/>
              <w:spacing w:line="240" w:lineRule="auto"/>
              <w:ind w:firstLine="480" w:firstLineChars="200"/>
              <w:rPr>
                <w:rFonts w:hAnsi="宋体" w:cs="TimesNewRomanPSMT"/>
                <w:sz w:val="24"/>
              </w:rPr>
            </w:pPr>
            <w:r>
              <w:rPr>
                <w:rFonts w:hint="eastAsia" w:hAnsi="宋体" w:cs="宋体"/>
                <w:b/>
                <w:bCs/>
                <w:sz w:val="24"/>
                <w:szCs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240"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240" w:lineRule="auto"/>
              <w:rPr>
                <w:sz w:val="24"/>
              </w:rPr>
            </w:pPr>
          </w:p>
        </w:tc>
        <w:tc>
          <w:tcPr>
            <w:tcW w:w="3111" w:type="dxa"/>
            <w:gridSpan w:val="4"/>
            <w:vAlign w:val="center"/>
          </w:tcPr>
          <w:p>
            <w:pPr>
              <w:spacing w:line="240" w:lineRule="auto"/>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240"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240"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240" w:lineRule="auto"/>
              <w:rPr>
                <w:rFonts w:ascii="新宋体" w:hAnsi="新宋体" w:eastAsia="新宋体"/>
                <w:b/>
                <w:sz w:val="24"/>
              </w:rPr>
            </w:pPr>
          </w:p>
        </w:tc>
        <w:tc>
          <w:tcPr>
            <w:tcW w:w="8871" w:type="dxa"/>
            <w:gridSpan w:val="5"/>
            <w:vAlign w:val="center"/>
          </w:tcPr>
          <w:p>
            <w:pPr>
              <w:spacing w:line="240"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240" w:lineRule="auto"/>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240" w:lineRule="auto"/>
              <w:rPr>
                <w:sz w:val="24"/>
              </w:rPr>
            </w:pPr>
          </w:p>
        </w:tc>
        <w:tc>
          <w:tcPr>
            <w:tcW w:w="8871" w:type="dxa"/>
            <w:gridSpan w:val="5"/>
            <w:vAlign w:val="center"/>
          </w:tcPr>
          <w:p>
            <w:pPr>
              <w:spacing w:line="240" w:lineRule="auto"/>
              <w:rPr>
                <w:rFonts w:hAnsi="宋体" w:cs="仿宋_GB2312"/>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240"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240" w:lineRule="auto"/>
              <w:rPr>
                <w:rFonts w:ascii="新宋体" w:hAnsi="新宋体" w:eastAsia="新宋体"/>
                <w:sz w:val="24"/>
              </w:rPr>
            </w:pPr>
          </w:p>
        </w:tc>
        <w:tc>
          <w:tcPr>
            <w:tcW w:w="8871" w:type="dxa"/>
            <w:gridSpan w:val="5"/>
            <w:vAlign w:val="center"/>
          </w:tcPr>
          <w:p>
            <w:pPr>
              <w:spacing w:line="240"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240"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240" w:lineRule="auto"/>
              <w:rPr>
                <w:rFonts w:ascii="新宋体" w:hAnsi="新宋体" w:eastAsia="新宋体"/>
                <w:sz w:val="24"/>
              </w:rPr>
            </w:pPr>
          </w:p>
        </w:tc>
        <w:tc>
          <w:tcPr>
            <w:tcW w:w="8871" w:type="dxa"/>
            <w:gridSpan w:val="5"/>
            <w:vAlign w:val="center"/>
          </w:tcPr>
          <w:p>
            <w:pPr>
              <w:spacing w:line="240"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240"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240" w:lineRule="auto"/>
              <w:rPr>
                <w:sz w:val="24"/>
              </w:rPr>
            </w:pPr>
          </w:p>
        </w:tc>
        <w:tc>
          <w:tcPr>
            <w:tcW w:w="8871" w:type="dxa"/>
            <w:gridSpan w:val="5"/>
            <w:vAlign w:val="center"/>
          </w:tcPr>
          <w:p>
            <w:pPr>
              <w:spacing w:line="24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24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240" w:lineRule="auto"/>
              <w:rPr>
                <w:sz w:val="24"/>
              </w:rPr>
            </w:pPr>
          </w:p>
        </w:tc>
        <w:tc>
          <w:tcPr>
            <w:tcW w:w="8871" w:type="dxa"/>
            <w:gridSpan w:val="5"/>
            <w:vAlign w:val="center"/>
          </w:tcPr>
          <w:p>
            <w:pPr>
              <w:spacing w:line="24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240"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240" w:lineRule="auto"/>
              <w:rPr>
                <w:sz w:val="24"/>
              </w:rPr>
            </w:pPr>
          </w:p>
        </w:tc>
        <w:tc>
          <w:tcPr>
            <w:tcW w:w="8871" w:type="dxa"/>
            <w:gridSpan w:val="5"/>
            <w:vAlign w:val="center"/>
          </w:tcPr>
          <w:p>
            <w:pPr>
              <w:adjustRightInd w:val="0"/>
              <w:snapToGrid w:val="0"/>
              <w:spacing w:line="240" w:lineRule="auto"/>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240" w:lineRule="auto"/>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240" w:lineRule="auto"/>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240" w:lineRule="auto"/>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240" w:lineRule="auto"/>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240" w:lineRule="auto"/>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240" w:lineRule="auto"/>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240" w:lineRule="auto"/>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240" w:lineRule="auto"/>
              <w:rPr>
                <w:sz w:val="24"/>
              </w:rPr>
            </w:pPr>
          </w:p>
        </w:tc>
        <w:tc>
          <w:tcPr>
            <w:tcW w:w="8871" w:type="dxa"/>
            <w:gridSpan w:val="5"/>
            <w:vAlign w:val="center"/>
          </w:tcPr>
          <w:p>
            <w:pPr>
              <w:adjustRightInd w:val="0"/>
              <w:snapToGrid w:val="0"/>
              <w:spacing w:line="240" w:lineRule="auto"/>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240" w:lineRule="auto"/>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240" w:lineRule="auto"/>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240" w:lineRule="auto"/>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4、开标时法人或授权委托人（持有效的授权委托书）未携带本人身份证原件到开标现场并签到的；</w:t>
            </w:r>
          </w:p>
          <w:p>
            <w:pPr>
              <w:adjustRightInd w:val="0"/>
              <w:snapToGrid w:val="0"/>
              <w:spacing w:line="240" w:lineRule="auto"/>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240" w:lineRule="auto"/>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adjustRightInd w:val="0"/>
              <w:snapToGrid w:val="0"/>
              <w:spacing w:line="240" w:lineRule="auto"/>
              <w:rPr>
                <w:rFonts w:hint="eastAsia" w:ascii="新宋体" w:hAnsi="新宋体" w:eastAsia="新宋体"/>
                <w:sz w:val="24"/>
                <w:szCs w:val="22"/>
              </w:rPr>
            </w:pPr>
          </w:p>
        </w:tc>
        <w:tc>
          <w:tcPr>
            <w:tcW w:w="8871" w:type="dxa"/>
            <w:gridSpan w:val="5"/>
            <w:vAlign w:val="center"/>
          </w:tcPr>
          <w:p>
            <w:pPr>
              <w:adjustRightInd w:val="0"/>
              <w:snapToGrid w:val="0"/>
              <w:spacing w:line="240" w:lineRule="auto"/>
              <w:rPr>
                <w:rFonts w:hint="eastAsia" w:ascii="新宋体" w:hAnsi="新宋体" w:eastAsia="新宋体"/>
                <w:sz w:val="24"/>
                <w:szCs w:val="22"/>
              </w:rPr>
            </w:pPr>
            <w:r>
              <w:rPr>
                <w:rFonts w:hint="eastAsia" w:ascii="新宋体" w:hAnsi="新宋体" w:eastAsia="新宋体"/>
                <w:sz w:val="24"/>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240" w:lineRule="auto"/>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240" w:lineRule="auto"/>
              <w:rPr>
                <w:sz w:val="24"/>
              </w:rPr>
            </w:pPr>
          </w:p>
        </w:tc>
        <w:tc>
          <w:tcPr>
            <w:tcW w:w="8871" w:type="dxa"/>
            <w:gridSpan w:val="5"/>
            <w:vAlign w:val="center"/>
          </w:tcPr>
          <w:p>
            <w:pPr>
              <w:autoSpaceDE w:val="0"/>
              <w:autoSpaceDN w:val="0"/>
              <w:spacing w:line="240" w:lineRule="auto"/>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240" w:lineRule="auto"/>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240" w:lineRule="auto"/>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240" w:lineRule="auto"/>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240" w:lineRule="auto"/>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24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240" w:lineRule="auto"/>
              <w:jc w:val="left"/>
              <w:outlineLvl w:val="0"/>
              <w:rPr>
                <w:rFonts w:hAnsi="宋体" w:cs="宋体"/>
                <w:sz w:val="24"/>
              </w:rPr>
            </w:pPr>
            <w:r>
              <w:rPr>
                <w:rFonts w:hint="eastAsia" w:hAnsi="宋体" w:cs="宋体"/>
                <w:sz w:val="24"/>
              </w:rPr>
              <w:t>7、商务标投标文件制作注意事项：</w:t>
            </w:r>
          </w:p>
          <w:p>
            <w:pPr>
              <w:autoSpaceDE w:val="0"/>
              <w:autoSpaceDN w:val="0"/>
              <w:spacing w:line="240" w:lineRule="auto"/>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240" w:lineRule="auto"/>
              <w:jc w:val="left"/>
              <w:outlineLvl w:val="0"/>
              <w:rPr>
                <w:rFonts w:hAnsi="宋体" w:cs="宋体"/>
                <w:sz w:val="24"/>
              </w:rPr>
            </w:pPr>
            <w:r>
              <w:rPr>
                <w:rFonts w:hint="eastAsia" w:hAnsi="宋体" w:cs="宋体"/>
                <w:sz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240" w:lineRule="auto"/>
              <w:rPr>
                <w:rFonts w:hint="eastAsia" w:ascii="宋体" w:hAnsi="宋体" w:cs="宋体"/>
                <w:b/>
                <w:bCs/>
                <w:sz w:val="24"/>
                <w:szCs w:val="24"/>
              </w:rPr>
            </w:pPr>
            <w:r>
              <w:rPr>
                <w:rFonts w:hint="eastAsia" w:ascii="宋体" w:hAnsi="宋体" w:cs="宋体"/>
                <w:b/>
                <w:bCs/>
                <w:sz w:val="24"/>
                <w:szCs w:val="24"/>
              </w:rPr>
              <w:t>注意</w:t>
            </w:r>
          </w:p>
          <w:p>
            <w:pPr>
              <w:spacing w:line="240" w:lineRule="auto"/>
              <w:rPr>
                <w:sz w:val="24"/>
              </w:rPr>
            </w:pPr>
            <w:r>
              <w:rPr>
                <w:rFonts w:hint="eastAsia" w:ascii="宋体" w:hAnsi="宋体" w:cs="宋体"/>
                <w:b/>
                <w:bCs/>
                <w:sz w:val="24"/>
                <w:szCs w:val="24"/>
              </w:rPr>
              <w:t>事项</w:t>
            </w:r>
          </w:p>
        </w:tc>
        <w:tc>
          <w:tcPr>
            <w:tcW w:w="8871" w:type="dxa"/>
            <w:gridSpan w:val="5"/>
            <w:vAlign w:val="center"/>
          </w:tcPr>
          <w:p>
            <w:pPr>
              <w:autoSpaceDE w:val="0"/>
              <w:autoSpaceDN w:val="0"/>
              <w:adjustRightInd w:val="0"/>
              <w:snapToGrid w:val="0"/>
              <w:spacing w:line="240" w:lineRule="auto"/>
              <w:jc w:val="left"/>
              <w:outlineLvl w:val="0"/>
              <w:rPr>
                <w:rFonts w:hint="eastAsia" w:hAnsi="宋体" w:cs="宋体"/>
                <w:sz w:val="24"/>
              </w:rPr>
            </w:pPr>
            <w:r>
              <w:rPr>
                <w:rFonts w:hint="eastAsia" w:hAnsi="宋体" w:cs="宋体"/>
                <w:b/>
                <w:bCs/>
                <w:sz w:val="24"/>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b/>
          <w:sz w:val="28"/>
          <w:szCs w:val="28"/>
        </w:rPr>
      </w:pPr>
      <w:bookmarkStart w:id="7"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本招标项目名称：见投标人须知前附表。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1.2.3 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投标人及项目经理资格要求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1.4.3投标人不得存在下列情形之一：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2311"/>
      <w:bookmarkStart w:id="9" w:name="_Toc152045535"/>
      <w:bookmarkStart w:id="10" w:name="_Toc144974503"/>
      <w:bookmarkStart w:id="11" w:name="_Toc179632552"/>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5536"/>
      <w:bookmarkStart w:id="13" w:name="_Toc152042312"/>
      <w:bookmarkStart w:id="14" w:name="_Toc144974504"/>
      <w:bookmarkStart w:id="15" w:name="_Toc179632553"/>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79632555"/>
      <w:bookmarkStart w:id="21" w:name="_Toc152042314"/>
      <w:bookmarkStart w:id="22" w:name="_Toc152045538"/>
      <w:bookmarkStart w:id="23" w:name="_Toc144974506"/>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spacing w:line="450" w:lineRule="exact"/>
        <w:ind w:firstLine="410" w:firstLineChars="171"/>
        <w:rPr>
          <w:sz w:val="24"/>
        </w:rPr>
      </w:pPr>
      <w:r>
        <w:rPr>
          <w:rFonts w:hAnsi="宋体" w:cs="宋体"/>
          <w:sz w:val="24"/>
        </w:rPr>
        <w:t>1</w:t>
      </w:r>
      <w:r>
        <w:rPr>
          <w:sz w:val="24"/>
        </w:rPr>
        <w:t>.</w:t>
      </w:r>
      <w:r>
        <w:rPr>
          <w:rFonts w:hint="eastAsia"/>
          <w:sz w:val="24"/>
        </w:rPr>
        <w:t>10</w:t>
      </w:r>
      <w:r>
        <w:rPr>
          <w:sz w:val="24"/>
        </w:rPr>
        <w:t>.</w:t>
      </w:r>
      <w:r>
        <w:rPr>
          <w:rFonts w:hint="eastAsia"/>
          <w:sz w:val="24"/>
        </w:rPr>
        <w:t>1 招标人不召开投标预备会。</w:t>
      </w:r>
    </w:p>
    <w:p>
      <w:pPr>
        <w:spacing w:line="450" w:lineRule="exact"/>
        <w:ind w:firstLine="410" w:firstLineChars="171"/>
        <w:rPr>
          <w:sz w:val="24"/>
        </w:rPr>
      </w:pPr>
      <w:r>
        <w:rPr>
          <w:sz w:val="24"/>
        </w:rPr>
        <w:t>1.</w:t>
      </w:r>
      <w:r>
        <w:rPr>
          <w:rFonts w:hint="eastAsia"/>
          <w:sz w:val="24"/>
        </w:rPr>
        <w:t>10</w:t>
      </w:r>
      <w:r>
        <w:rPr>
          <w:sz w:val="24"/>
        </w:rPr>
        <w:t>.</w:t>
      </w:r>
      <w:r>
        <w:rPr>
          <w:rFonts w:hint="eastAsia"/>
          <w:sz w:val="24"/>
        </w:rPr>
        <w:t>2 投标人应在投标人须知前附表规定的时间前，将问题在公共资源交易系统电子平台上提出。</w:t>
      </w:r>
    </w:p>
    <w:p>
      <w:pPr>
        <w:spacing w:line="450" w:lineRule="exact"/>
        <w:ind w:firstLine="410" w:firstLineChars="171"/>
        <w:rPr>
          <w:rFonts w:hAnsi="宋体" w:cs="宋体"/>
          <w:sz w:val="24"/>
        </w:rPr>
      </w:pPr>
      <w:r>
        <w:rPr>
          <w:sz w:val="24"/>
        </w:rPr>
        <w:t>1.</w:t>
      </w:r>
      <w:r>
        <w:rPr>
          <w:rFonts w:hint="eastAsia"/>
          <w:sz w:val="24"/>
        </w:rPr>
        <w:t>10</w:t>
      </w:r>
      <w:r>
        <w:rPr>
          <w:sz w:val="24"/>
        </w:rPr>
        <w:t>.3</w:t>
      </w:r>
      <w:r>
        <w:rPr>
          <w:rFonts w:hint="eastAsia"/>
          <w:sz w:val="24"/>
        </w:rPr>
        <w:t xml:space="preserve"> 招标人在投标人须知前附表规定的时间内，将对投标人所提问题的澄清，在公共资源交</w:t>
      </w:r>
      <w:r>
        <w:rPr>
          <w:rFonts w:hint="eastAsia" w:ascii="新宋体" w:hAnsi="新宋体" w:eastAsia="新宋体" w:cs="仿宋_GB2312"/>
          <w:sz w:val="24"/>
        </w:rPr>
        <w:t>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80"/>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44974514"/>
      <w:bookmarkStart w:id="32" w:name="_Toc152042322"/>
      <w:bookmarkStart w:id="33" w:name="_Toc152045546"/>
      <w:bookmarkStart w:id="34" w:name="_Toc17963256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70" w:firstLineChars="196"/>
        <w:jc w:val="left"/>
        <w:outlineLvl w:val="0"/>
        <w:rPr>
          <w:rFonts w:hAnsi="宋体" w:cs="宋体"/>
          <w:sz w:val="24"/>
        </w:rPr>
      </w:pPr>
      <w:r>
        <w:rPr>
          <w:rFonts w:hint="eastAsia" w:hAnsi="宋体" w:cs="宋体"/>
          <w:sz w:val="24"/>
        </w:rPr>
        <w:t>（1）投标函；</w:t>
      </w:r>
    </w:p>
    <w:p>
      <w:pPr>
        <w:autoSpaceDE w:val="0"/>
        <w:autoSpaceDN w:val="0"/>
        <w:spacing w:line="420" w:lineRule="exact"/>
        <w:ind w:firstLine="470" w:firstLineChars="196"/>
        <w:jc w:val="left"/>
        <w:outlineLvl w:val="0"/>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（3）法定代表人身份证明、授权委托书及项目经理承诺书；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（5）项目管理机构配备情况；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szCs w:val="22"/>
        </w:rPr>
      </w:pPr>
      <w:r>
        <w:rPr>
          <w:rFonts w:hint="eastAsia" w:hAnsi="宋体" w:cs="宋体"/>
          <w:b/>
          <w:bCs/>
          <w:sz w:val="24"/>
        </w:rPr>
        <w:t>3.4 投标保证金</w:t>
      </w:r>
      <w:r>
        <w:rPr>
          <w:rFonts w:hint="eastAsia" w:hAnsi="宋体" w:cs="宋体"/>
          <w:b/>
          <w:bCs/>
          <w:sz w:val="24"/>
          <w:szCs w:val="22"/>
        </w:rPr>
        <w:t>及履约保证金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szCs w:val="22"/>
        </w:rPr>
        <w:t>3.4.1 投标保证金</w:t>
      </w:r>
    </w:p>
    <w:p>
      <w:pPr>
        <w:tabs>
          <w:tab w:val="left" w:pos="1260"/>
        </w:tabs>
        <w:autoSpaceDE w:val="0"/>
        <w:autoSpaceDN w:val="0"/>
        <w:adjustRightInd w:val="0"/>
        <w:spacing w:line="460" w:lineRule="exact"/>
        <w:ind w:firstLine="480" w:firstLineChars="200"/>
        <w:jc w:val="left"/>
        <w:rPr>
          <w:rFonts w:hAnsi="宋体" w:cs="宋体"/>
          <w:sz w:val="24"/>
        </w:rPr>
      </w:pPr>
      <w:bookmarkStart w:id="37" w:name="_Toc283559960"/>
      <w:r>
        <w:rPr>
          <w:rFonts w:hint="eastAsia" w:hAnsi="宋体" w:cs="宋体"/>
          <w:sz w:val="24"/>
        </w:rPr>
        <w:t>3.4.1.1投标人应按投标人须知前附表后规定缴纳投标保证金。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3.4.1.2投标保证金的相关规定</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1、 投标保证金的退还：</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（1）中标公告发出后，5个工作日内退还非中标候选人投标保证金及银行同期活期存款利息。</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（3）项目废标或招标人终止招标的，在此后5个工作日内退还投标保证金及银行同期活期存利息。</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（6）退还投标保证金，除另有规定外，一般以转账方式一次性退还至投标保证金的原提交账户。</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2、投标人有下列情形之一的，不予退还投标保证金：</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（一）在招标文件要求提交投标文件的截止时间后至投标文件有效期满前撤回投标的；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（五）拒绝履行合同义务的；</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（六）相关法律、法规规定不予退还的其它情形。</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780"/>
        </w:tabs>
        <w:autoSpaceDE w:val="0"/>
        <w:autoSpaceDN w:val="0"/>
        <w:adjustRightInd w:val="0"/>
        <w:spacing w:line="460" w:lineRule="exact"/>
        <w:jc w:val="left"/>
        <w:rPr>
          <w:rFonts w:hAnsi="宋体" w:cs="宋体"/>
          <w:b/>
          <w:sz w:val="24"/>
        </w:rPr>
      </w:pPr>
      <w:r>
        <w:rPr>
          <w:rFonts w:hint="eastAsia" w:hAnsi="宋体" w:cs="宋体"/>
          <w:b/>
          <w:sz w:val="24"/>
        </w:rPr>
        <w:t>3.4.2</w:t>
      </w:r>
      <w:r>
        <w:rPr>
          <w:rFonts w:hint="eastAsia" w:hAnsi="宋体" w:cs="宋体"/>
          <w:b/>
          <w:sz w:val="24"/>
        </w:rPr>
        <w:tab/>
      </w:r>
      <w:r>
        <w:rPr>
          <w:rFonts w:hint="eastAsia" w:hAnsi="宋体" w:cs="宋体"/>
          <w:b/>
          <w:sz w:val="24"/>
        </w:rPr>
        <w:t>履约保证金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3.4.2.1履约保证金提交方式及注意事项：</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1、以网银、银行转账支票、银行电汇方式提交。</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2、现金支票和现金不得作为履约保证金提交方式。</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3、中标人必须通过其公司账户按照规定的方式提交，其名称应与中标单位的名称一致。</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4、中标人在缴纳履约保证金时，必须在附言、备注和用途栏注明“项目编号及标段”，否则可能造成延迟退还。</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3.4.2.2履约保证金提交比例和数额：履约保证金数额为不超过中标合同金额的10%。</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3.4.2.3履约保证金的退还：</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1、项目完工后，由招标人出具《履约保证金退还通知单》，中心财务凭《履约保证金退还通知单》在五个工作日内退还履约保证金及银行同期活期存款利息至中标人账户。</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2、中标人因发生质疑、投诉、举报或有关部门立案调查的，中心依据相关行政监督部门的意见暂停退还或没收其履约保证金，待行政监督部门对相关情况处置后，按照有关规定办理。</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3.5.1 “投标人基本情况表”应附投标人营业执照副本、安全生产许可证等</w:t>
      </w:r>
      <w:r>
        <w:rPr>
          <w:rFonts w:hint="eastAsia" w:hAnsi="宋体" w:cs="宋体"/>
          <w:sz w:val="24"/>
        </w:rPr>
        <w:t>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“项目管理机构配备情况”应填报满足本章第 1.4 项规定的项目经理相关信息。“主要人员简历表”中项目经理应附身份证、执业资格证书和社保缴费证明原件扫描件，其他主要人员应附身份证、有关证书和社保缴费证明原件扫描件。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rPr>
        <w:t>3.5.3 “</w:t>
      </w:r>
      <w:r>
        <w:rPr>
          <w:rFonts w:hint="eastAsia" w:hAnsi="宋体" w:cs="宋体"/>
          <w:sz w:val="24"/>
          <w:lang w:val="zh-CN"/>
        </w:rPr>
        <w:t>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360" w:firstLineChars="150"/>
        <w:jc w:val="left"/>
        <w:rPr>
          <w:rFonts w:hAnsi="宋体" w:cs="宋体"/>
          <w:sz w:val="24"/>
          <w:lang w:val="zh-CN"/>
        </w:rPr>
      </w:pPr>
      <w:r>
        <w:rPr>
          <w:rFonts w:hint="eastAsia" w:hAnsi="宋体" w:cs="宋体"/>
          <w:sz w:val="24"/>
          <w:lang w:val="zh-CN"/>
        </w:rPr>
        <w:t xml:space="preserve"> 3.5.4 “近年完成的类似项目情况表”应附</w:t>
      </w:r>
      <w:r>
        <w:rPr>
          <w:rFonts w:hint="eastAsia" w:hAnsi="宋体" w:cs="宋体"/>
          <w:sz w:val="24"/>
          <w:szCs w:val="24"/>
        </w:rPr>
        <w:t>施工合同和竣工验收备案表（或施工合同和中标通知书）</w:t>
      </w:r>
      <w:r>
        <w:rPr>
          <w:rFonts w:hint="eastAsia" w:hAnsi="宋体" w:cs="宋体"/>
          <w:sz w:val="24"/>
          <w:lang w:val="zh-CN"/>
        </w:rPr>
        <w:t>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3.5.5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3.5.6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44974521"/>
      <w:bookmarkStart w:id="39" w:name="_Toc152042329"/>
      <w:bookmarkStart w:id="40" w:name="_Toc152045553"/>
      <w:bookmarkStart w:id="41" w:name="_Toc17963257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w:t>
      </w:r>
      <w:r>
        <w:rPr>
          <w:rFonts w:hint="eastAsia" w:hAnsi="宋体" w:cs="宋体"/>
          <w:sz w:val="24"/>
          <w:lang w:val="en-US" w:eastAsia="zh-CN"/>
        </w:rPr>
        <w:t>1</w:t>
      </w:r>
      <w:r>
        <w:rPr>
          <w:rFonts w:hint="eastAsia" w:hAnsi="宋体" w:cs="宋体"/>
          <w:sz w:val="24"/>
        </w:rPr>
        <w:t>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纸质投标文件的正本与副本应分别装订成册同时加盖</w:t>
      </w:r>
      <w:r>
        <w:rPr>
          <w:rFonts w:hint="eastAsia" w:hAnsi="宋体" w:cs="宋体"/>
          <w:sz w:val="24"/>
          <w:lang w:eastAsia="zh-CN"/>
        </w:rPr>
        <w:t>公章</w:t>
      </w:r>
      <w:r>
        <w:rPr>
          <w:rFonts w:hint="eastAsia" w:hAnsi="宋体" w:cs="宋体"/>
          <w:sz w:val="24"/>
        </w:rPr>
        <w:t>，并编制目录及连续页码，具体装订要求见投标人须知前附表规定。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3.7.9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3.7.9.2 商务标投标文件制作技术咨询：0374-2961598。</w:t>
      </w:r>
    </w:p>
    <w:p>
      <w:pPr>
        <w:pStyle w:val="80"/>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纸质投标文件的正本、副本应包装在一个包装内，加贴封条，并在封套的封口处加盖投标人公章及密封印章，密封不符合要求的不予受理。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80"/>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80"/>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80"/>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79632587"/>
      <w:bookmarkStart w:id="56" w:name="_Toc152042345"/>
      <w:bookmarkStart w:id="57" w:name="_Toc152045569"/>
      <w:bookmarkStart w:id="58" w:name="_Toc144974537"/>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80"/>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80"/>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beforeLines="100" w:afterLines="100" w:line="400" w:lineRule="exact"/>
        <w:rPr>
          <w:rFonts w:hAnsi="宋体" w:cs="宋体"/>
          <w:b/>
          <w:bCs/>
          <w:sz w:val="24"/>
        </w:rPr>
      </w:pPr>
      <w:r>
        <w:rPr>
          <w:rFonts w:hint="eastAsia" w:hAnsi="宋体" w:cs="宋体"/>
          <w:b/>
          <w:bCs/>
          <w:sz w:val="24"/>
        </w:rPr>
        <w:br w:type="page"/>
      </w: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rPr>
        <w:t>年月日</w:t>
      </w:r>
    </w:p>
    <w:p>
      <w:pPr>
        <w:spacing w:line="400" w:lineRule="exact"/>
        <w:ind w:firstLine="480" w:firstLineChars="200"/>
        <w:rPr>
          <w:rFonts w:ascii="新宋体" w:hAnsi="新宋体" w:eastAsia="新宋体"/>
          <w:b/>
          <w:sz w:val="24"/>
        </w:rPr>
      </w:pPr>
    </w:p>
    <w:p>
      <w:pPr>
        <w:pStyle w:val="2"/>
        <w:ind w:firstLine="340"/>
      </w:pPr>
    </w:p>
    <w:p>
      <w:pPr>
        <w:spacing w:line="400" w:lineRule="exact"/>
        <w:rPr>
          <w:rFonts w:ascii="新宋体" w:hAnsi="新宋体" w:eastAsia="新宋体"/>
          <w:b/>
          <w:sz w:val="24"/>
        </w:rPr>
      </w:pPr>
    </w:p>
    <w:p>
      <w:pPr>
        <w:spacing w:line="400" w:lineRule="exact"/>
        <w:rPr>
          <w:rFonts w:hAnsi="宋体" w:cs="宋体"/>
          <w:b/>
          <w:bCs/>
          <w:sz w:val="24"/>
        </w:rPr>
      </w:pPr>
    </w:p>
    <w:p>
      <w:pPr>
        <w:spacing w:line="400" w:lineRule="exact"/>
        <w:rPr>
          <w:rFonts w:hAnsi="宋体" w:cs="宋体"/>
          <w:b/>
          <w:bCs/>
          <w:sz w:val="24"/>
        </w:rPr>
      </w:pPr>
    </w:p>
    <w:p>
      <w:pPr>
        <w:spacing w:line="400" w:lineRule="exact"/>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pStyle w:val="2"/>
        <w:ind w:firstLine="340"/>
      </w:pPr>
    </w:p>
    <w:p>
      <w:pPr>
        <w:pStyle w:val="2"/>
        <w:ind w:firstLine="0" w:firstLineChars="0"/>
      </w:pPr>
    </w:p>
    <w:p>
      <w:pPr>
        <w:pStyle w:val="2"/>
        <w:ind w:firstLine="0" w:firstLineChars="0"/>
      </w:pPr>
    </w:p>
    <w:p>
      <w:pPr>
        <w:numPr>
          <w:ilvl w:val="0"/>
          <w:numId w:val="3"/>
        </w:num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b/>
          <w:bCs/>
          <w:sz w:val="24"/>
        </w:rPr>
        <w:t>评标依据：《许昌市建设工程工程量清单招标评标办法（试行）》（许公管委[2016]1号）。</w:t>
      </w:r>
    </w:p>
    <w:p>
      <w:pPr>
        <w:spacing w:line="380" w:lineRule="exact"/>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80" w:lineRule="exact"/>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w:t>
      </w:r>
    </w:p>
    <w:p>
      <w:pPr>
        <w:spacing w:line="380" w:lineRule="exact"/>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80" w:lineRule="exact"/>
        <w:ind w:firstLine="480" w:firstLineChars="200"/>
        <w:rPr>
          <w:rFonts w:ascii="新宋体" w:hAnsi="新宋体" w:eastAsia="新宋体"/>
          <w:sz w:val="24"/>
        </w:rPr>
      </w:pPr>
      <w:r>
        <w:rPr>
          <w:rFonts w:hint="eastAsia" w:ascii="新宋体" w:hAnsi="新宋体" w:eastAsia="新宋体"/>
          <w:sz w:val="24"/>
        </w:rPr>
        <w:t>四、评标程序为：</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80" w:lineRule="exact"/>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80" w:lineRule="exact"/>
        <w:ind w:firstLine="480" w:firstLineChars="200"/>
        <w:rPr>
          <w:rFonts w:ascii="新宋体" w:hAnsi="新宋体" w:eastAsia="新宋体"/>
          <w:bCs/>
          <w:sz w:val="24"/>
        </w:rPr>
      </w:pPr>
      <w:r>
        <w:rPr>
          <w:rFonts w:hint="eastAsia" w:ascii="新宋体" w:hAnsi="新宋体" w:eastAsia="新宋体"/>
          <w:bCs/>
          <w:sz w:val="24"/>
        </w:rPr>
        <w:t>五、清标</w:t>
      </w:r>
    </w:p>
    <w:p>
      <w:pPr>
        <w:spacing w:line="240" w:lineRule="auto"/>
        <w:ind w:firstLine="480" w:firstLineChars="200"/>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spacing w:line="24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24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24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24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24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24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24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24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24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41"/>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24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24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24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24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24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24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24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24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24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240" w:lineRule="auto"/>
        <w:ind w:firstLine="480" w:firstLineChars="200"/>
        <w:rPr>
          <w:rFonts w:hint="eastAsia" w:ascii="新宋体" w:hAnsi="新宋体" w:eastAsia="新宋体" w:cs="宋体"/>
          <w:b/>
          <w:sz w:val="24"/>
        </w:rPr>
      </w:pPr>
      <w:r>
        <w:rPr>
          <w:rFonts w:hint="eastAsia" w:ascii="新宋体" w:hAnsi="新宋体" w:eastAsia="新宋体" w:cs="宋体"/>
          <w:b/>
          <w:bCs w:val="0"/>
          <w:sz w:val="24"/>
          <w:szCs w:val="22"/>
        </w:rPr>
        <w:t>(备注：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41"/>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95572535"/>
            <w:bookmarkStart w:id="72" w:name="_Toc270931534"/>
            <w:bookmarkStart w:id="73" w:name="_Toc272833453"/>
            <w:bookmarkStart w:id="74" w:name="_Toc273546398"/>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4"/>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5"/>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rPr>
          <w:rFonts w:hAnsi="宋体" w:cs="宋体"/>
          <w:b/>
          <w:bCs/>
          <w:sz w:val="24"/>
          <w:szCs w:val="24"/>
        </w:rPr>
      </w:pPr>
      <w:bookmarkStart w:id="75" w:name="_Toc26294"/>
      <w:r>
        <w:rPr>
          <w:rFonts w:hint="eastAsia" w:hAnsi="宋体" w:cs="宋体"/>
          <w:b/>
          <w:bCs/>
          <w:sz w:val="24"/>
          <w:szCs w:val="24"/>
        </w:rPr>
        <w:t>（四）综合（信用）标的评标分值20分</w:t>
      </w:r>
      <w:bookmarkEnd w:id="75"/>
    </w:p>
    <w:p>
      <w:pPr>
        <w:snapToGrid w:val="0"/>
        <w:spacing w:line="360" w:lineRule="auto"/>
        <w:ind w:firstLine="481"/>
        <w:rPr>
          <w:rFonts w:hAnsi="宋体" w:cs="宋体"/>
          <w:b/>
          <w:bCs/>
          <w:sz w:val="24"/>
          <w:szCs w:val="24"/>
        </w:rPr>
      </w:pPr>
      <w:r>
        <w:rPr>
          <w:rFonts w:hint="eastAsia" w:hAnsi="宋体" w:cs="宋体"/>
          <w:b/>
          <w:bCs/>
          <w:sz w:val="24"/>
          <w:szCs w:val="24"/>
        </w:rPr>
        <w:t>1、项目班子配备0-</w:t>
      </w:r>
      <w:r>
        <w:rPr>
          <w:rFonts w:hint="eastAsia" w:hAnsi="宋体" w:cs="宋体"/>
          <w:b/>
          <w:bCs/>
          <w:sz w:val="24"/>
          <w:szCs w:val="24"/>
          <w:lang w:val="en-US" w:eastAsia="zh-CN"/>
        </w:rPr>
        <w:t>7</w:t>
      </w:r>
      <w:r>
        <w:rPr>
          <w:rFonts w:hint="eastAsia" w:hAnsi="宋体" w:cs="宋体"/>
          <w:b/>
          <w:bCs/>
          <w:sz w:val="24"/>
          <w:szCs w:val="24"/>
        </w:rPr>
        <w:t>分</w:t>
      </w:r>
    </w:p>
    <w:p>
      <w:pPr>
        <w:snapToGrid w:val="0"/>
        <w:spacing w:line="360" w:lineRule="auto"/>
        <w:ind w:firstLine="481"/>
        <w:rPr>
          <w:rFonts w:hint="eastAsia" w:hAnsi="宋体" w:cs="宋体"/>
          <w:sz w:val="24"/>
          <w:szCs w:val="24"/>
        </w:rPr>
      </w:pPr>
      <w:bookmarkStart w:id="76" w:name="_Toc20105"/>
      <w:r>
        <w:rPr>
          <w:rFonts w:hint="eastAsia" w:hAnsi="宋体" w:cs="宋体"/>
          <w:sz w:val="24"/>
          <w:szCs w:val="24"/>
        </w:rPr>
        <w:t>1.1拟派技术负责人具有中级及以上职称者得2分，本项最高得2分；（以证书为准）</w:t>
      </w:r>
    </w:p>
    <w:p>
      <w:pPr>
        <w:snapToGrid w:val="0"/>
        <w:spacing w:line="360" w:lineRule="auto"/>
        <w:ind w:firstLine="481"/>
        <w:rPr>
          <w:rFonts w:hAnsi="宋体" w:cs="宋体"/>
          <w:sz w:val="24"/>
          <w:szCs w:val="24"/>
        </w:rPr>
      </w:pPr>
      <w:r>
        <w:rPr>
          <w:rFonts w:hint="eastAsia" w:hAnsi="宋体" w:cs="宋体"/>
          <w:sz w:val="24"/>
          <w:szCs w:val="24"/>
        </w:rPr>
        <w:t>1.2施工员、专职安全员、质量（检）员、资料员、材料员配备齐全，并持证上岗得5分。每缺少一人扣一分。（以证书为准）</w:t>
      </w:r>
      <w:bookmarkEnd w:id="76"/>
    </w:p>
    <w:p>
      <w:pPr>
        <w:snapToGrid w:val="0"/>
        <w:spacing w:line="360" w:lineRule="auto"/>
        <w:ind w:firstLine="481"/>
        <w:rPr>
          <w:rFonts w:hAnsi="宋体" w:cs="宋体"/>
          <w:b/>
          <w:bCs/>
          <w:sz w:val="24"/>
          <w:szCs w:val="24"/>
        </w:rPr>
      </w:pPr>
      <w:r>
        <w:rPr>
          <w:rFonts w:hint="eastAsia" w:hAnsi="宋体" w:cs="宋体"/>
          <w:b/>
          <w:bCs/>
          <w:sz w:val="24"/>
          <w:szCs w:val="24"/>
        </w:rPr>
        <w:t>2、企业综合信用0-</w:t>
      </w:r>
      <w:r>
        <w:rPr>
          <w:rFonts w:hint="eastAsia" w:hAnsi="宋体" w:cs="宋体"/>
          <w:b/>
          <w:bCs/>
          <w:sz w:val="24"/>
          <w:szCs w:val="24"/>
          <w:lang w:val="en-US" w:eastAsia="zh-CN"/>
        </w:rPr>
        <w:t>6</w:t>
      </w:r>
      <w:r>
        <w:rPr>
          <w:rFonts w:hint="eastAsia" w:hAnsi="宋体" w:cs="宋体"/>
          <w:b/>
          <w:bCs/>
          <w:sz w:val="24"/>
          <w:szCs w:val="24"/>
        </w:rPr>
        <w:t>分</w:t>
      </w:r>
    </w:p>
    <w:p>
      <w:pPr>
        <w:snapToGrid w:val="0"/>
        <w:spacing w:line="360" w:lineRule="auto"/>
        <w:ind w:firstLine="481"/>
        <w:rPr>
          <w:rFonts w:hAnsi="宋体" w:cs="宋体"/>
          <w:sz w:val="24"/>
          <w:szCs w:val="24"/>
        </w:rPr>
      </w:pPr>
      <w:bookmarkStart w:id="77" w:name="_Toc28405"/>
      <w:r>
        <w:rPr>
          <w:rFonts w:hint="eastAsia" w:hAnsi="宋体" w:cs="宋体"/>
          <w:sz w:val="24"/>
          <w:szCs w:val="24"/>
        </w:rPr>
        <w:t>投标人在201</w:t>
      </w:r>
      <w:r>
        <w:rPr>
          <w:rFonts w:hint="eastAsia" w:hAnsi="宋体" w:cs="宋体"/>
          <w:sz w:val="24"/>
          <w:szCs w:val="24"/>
          <w:lang w:val="en-US" w:eastAsia="zh-CN"/>
        </w:rPr>
        <w:t>6</w:t>
      </w:r>
      <w:r>
        <w:rPr>
          <w:rFonts w:hint="eastAsia" w:hAnsi="宋体" w:cs="宋体"/>
          <w:sz w:val="24"/>
          <w:szCs w:val="24"/>
        </w:rPr>
        <w:t>年1月1日以来具有类似业绩每项得</w:t>
      </w:r>
      <w:r>
        <w:rPr>
          <w:rFonts w:hint="eastAsia" w:hAnsi="宋体" w:cs="宋体"/>
          <w:sz w:val="24"/>
          <w:szCs w:val="24"/>
          <w:lang w:val="en-US" w:eastAsia="zh-CN"/>
        </w:rPr>
        <w:t>3</w:t>
      </w:r>
      <w:r>
        <w:rPr>
          <w:rFonts w:hint="eastAsia" w:hAnsi="宋体" w:cs="宋体"/>
          <w:sz w:val="24"/>
          <w:szCs w:val="24"/>
        </w:rPr>
        <w:t>分，本项最高得</w:t>
      </w:r>
      <w:r>
        <w:rPr>
          <w:rFonts w:hint="eastAsia" w:hAnsi="宋体" w:cs="宋体"/>
          <w:sz w:val="24"/>
          <w:szCs w:val="24"/>
          <w:lang w:val="en-US" w:eastAsia="zh-CN"/>
        </w:rPr>
        <w:t>6</w:t>
      </w:r>
      <w:r>
        <w:rPr>
          <w:rFonts w:hint="eastAsia" w:hAnsi="宋体" w:cs="宋体"/>
          <w:sz w:val="24"/>
          <w:szCs w:val="24"/>
        </w:rPr>
        <w:t>分。（</w:t>
      </w:r>
      <w:bookmarkEnd w:id="77"/>
      <w:r>
        <w:rPr>
          <w:rFonts w:hint="eastAsia" w:hAnsi="宋体" w:cs="宋体"/>
          <w:sz w:val="24"/>
          <w:szCs w:val="24"/>
        </w:rPr>
        <w:t>以施工合同和竣工验收备案表（或施工合同和中标通知书）为准）</w:t>
      </w:r>
    </w:p>
    <w:p>
      <w:pPr>
        <w:snapToGrid w:val="0"/>
        <w:spacing w:line="360" w:lineRule="auto"/>
        <w:ind w:firstLine="481"/>
        <w:rPr>
          <w:rFonts w:hAnsi="宋体" w:cs="宋体"/>
          <w:b/>
          <w:bCs/>
          <w:sz w:val="24"/>
          <w:szCs w:val="24"/>
        </w:rPr>
      </w:pPr>
      <w:r>
        <w:rPr>
          <w:rFonts w:hint="eastAsia" w:hAnsi="宋体" w:cs="宋体"/>
          <w:b/>
          <w:bCs/>
          <w:sz w:val="24"/>
          <w:szCs w:val="24"/>
        </w:rPr>
        <w:t>3、项目经理信用（0-2分）</w:t>
      </w:r>
    </w:p>
    <w:p>
      <w:pPr>
        <w:snapToGrid w:val="0"/>
        <w:spacing w:line="360" w:lineRule="auto"/>
        <w:ind w:firstLine="481"/>
        <w:rPr>
          <w:rFonts w:hAnsi="宋体" w:cs="宋体"/>
          <w:sz w:val="24"/>
          <w:szCs w:val="24"/>
        </w:rPr>
      </w:pPr>
      <w:bookmarkStart w:id="78" w:name="_Toc4471"/>
      <w:r>
        <w:rPr>
          <w:rFonts w:hint="eastAsia" w:hAnsi="宋体" w:cs="宋体"/>
          <w:sz w:val="24"/>
          <w:szCs w:val="24"/>
        </w:rPr>
        <w:t xml:space="preserve">项目经理在2016年1月以来具有类似项目得2分，最高得2分。（以施工合同和竣工验收备案表（或施工合同和中标通知书）。 </w:t>
      </w:r>
    </w:p>
    <w:bookmarkEnd w:id="78"/>
    <w:p>
      <w:pPr>
        <w:snapToGrid w:val="0"/>
        <w:spacing w:line="384" w:lineRule="auto"/>
        <w:ind w:firstLine="480" w:firstLineChars="200"/>
        <w:rPr>
          <w:rFonts w:cs="宋体"/>
          <w:b/>
          <w:bCs/>
          <w:sz w:val="24"/>
          <w:szCs w:val="24"/>
        </w:rPr>
      </w:pPr>
      <w:r>
        <w:rPr>
          <w:rFonts w:hint="eastAsia" w:cs="宋体"/>
          <w:b/>
          <w:bCs/>
          <w:sz w:val="24"/>
          <w:szCs w:val="24"/>
        </w:rPr>
        <w:t>4</w:t>
      </w:r>
      <w:r>
        <w:rPr>
          <w:rFonts w:cs="宋体"/>
          <w:b/>
          <w:bCs/>
          <w:sz w:val="24"/>
          <w:szCs w:val="24"/>
        </w:rPr>
        <w:t>.</w:t>
      </w:r>
      <w:r>
        <w:rPr>
          <w:rFonts w:hint="eastAsia" w:cs="宋体"/>
          <w:b/>
          <w:bCs/>
          <w:sz w:val="24"/>
          <w:szCs w:val="24"/>
        </w:rPr>
        <w:t>服务承诺（</w:t>
      </w:r>
      <w:r>
        <w:rPr>
          <w:rFonts w:cs="宋体"/>
          <w:b/>
          <w:bCs/>
          <w:sz w:val="24"/>
          <w:szCs w:val="24"/>
        </w:rPr>
        <w:t>0-</w:t>
      </w:r>
      <w:r>
        <w:rPr>
          <w:rFonts w:hint="eastAsia" w:cs="宋体"/>
          <w:b/>
          <w:bCs/>
          <w:sz w:val="24"/>
          <w:szCs w:val="24"/>
          <w:lang w:val="en-US" w:eastAsia="zh-CN"/>
        </w:rPr>
        <w:t>5</w:t>
      </w:r>
      <w:r>
        <w:rPr>
          <w:rFonts w:hint="eastAsia" w:cs="宋体"/>
          <w:b/>
          <w:bCs/>
          <w:sz w:val="24"/>
          <w:szCs w:val="24"/>
        </w:rPr>
        <w:t>分）</w:t>
      </w:r>
    </w:p>
    <w:p>
      <w:pPr>
        <w:snapToGrid w:val="0"/>
        <w:spacing w:line="384" w:lineRule="auto"/>
        <w:ind w:firstLine="480" w:firstLineChars="200"/>
        <w:rPr>
          <w:rFonts w:hAnsi="宋体" w:cs="宋体"/>
          <w:sz w:val="24"/>
          <w:szCs w:val="24"/>
        </w:rPr>
      </w:pPr>
      <w:r>
        <w:rPr>
          <w:rFonts w:hint="eastAsia" w:hAnsi="宋体" w:cs="宋体"/>
          <w:sz w:val="24"/>
          <w:szCs w:val="24"/>
        </w:rPr>
        <w:t>指投标人针对招标工程的特点和要求，结合自身的条件和潜力，为招标人排忧解难，有利于提高工程质量，加快工程进度和交工后回访、保修等方面的承诺。内容如下：</w:t>
      </w:r>
    </w:p>
    <w:p>
      <w:pPr>
        <w:snapToGrid w:val="0"/>
        <w:spacing w:line="360" w:lineRule="auto"/>
        <w:ind w:firstLine="481"/>
        <w:rPr>
          <w:rFonts w:hAnsi="宋体" w:cs="宋体"/>
          <w:sz w:val="24"/>
          <w:szCs w:val="24"/>
        </w:rPr>
      </w:pPr>
      <w:bookmarkStart w:id="79" w:name="_Toc5355"/>
      <w:r>
        <w:rPr>
          <w:rFonts w:hint="eastAsia" w:hAnsi="宋体" w:cs="宋体"/>
          <w:sz w:val="24"/>
          <w:szCs w:val="24"/>
        </w:rPr>
        <w:t>（1）工程质量保修期内的优惠及服务承诺 (0-</w:t>
      </w:r>
      <w:r>
        <w:rPr>
          <w:rFonts w:hint="eastAsia" w:hAnsi="宋体" w:cs="宋体"/>
          <w:sz w:val="24"/>
          <w:szCs w:val="24"/>
          <w:lang w:val="en-US" w:eastAsia="zh-CN"/>
        </w:rPr>
        <w:t>1</w:t>
      </w:r>
      <w:r>
        <w:rPr>
          <w:rFonts w:hint="eastAsia" w:hAnsi="宋体" w:cs="宋体"/>
          <w:sz w:val="24"/>
          <w:szCs w:val="24"/>
        </w:rPr>
        <w:t>分)</w:t>
      </w:r>
      <w:bookmarkEnd w:id="79"/>
    </w:p>
    <w:p>
      <w:pPr>
        <w:snapToGrid w:val="0"/>
        <w:spacing w:line="360" w:lineRule="auto"/>
        <w:ind w:firstLine="481"/>
        <w:rPr>
          <w:rFonts w:hAnsi="宋体" w:cs="宋体"/>
          <w:sz w:val="24"/>
          <w:szCs w:val="24"/>
        </w:rPr>
      </w:pPr>
      <w:bookmarkStart w:id="80" w:name="_Toc25412"/>
      <w:r>
        <w:rPr>
          <w:rFonts w:hint="eastAsia" w:hAnsi="宋体" w:cs="宋体"/>
          <w:sz w:val="24"/>
          <w:szCs w:val="24"/>
        </w:rPr>
        <w:t>（2）对扬尘治理的服务承诺(0-1分)</w:t>
      </w:r>
      <w:bookmarkEnd w:id="80"/>
    </w:p>
    <w:p>
      <w:pPr>
        <w:snapToGrid w:val="0"/>
        <w:spacing w:line="360" w:lineRule="auto"/>
        <w:ind w:firstLine="481"/>
        <w:rPr>
          <w:rFonts w:hAnsi="宋体" w:cs="宋体"/>
          <w:sz w:val="24"/>
          <w:szCs w:val="24"/>
        </w:rPr>
      </w:pPr>
      <w:bookmarkStart w:id="81" w:name="_Toc1239"/>
      <w:r>
        <w:rPr>
          <w:rFonts w:hint="eastAsia" w:hAnsi="宋体" w:cs="宋体"/>
          <w:sz w:val="24"/>
          <w:szCs w:val="24"/>
        </w:rPr>
        <w:t>（3）承诺替甲方排忧解难，且措施合理可行的(0-</w:t>
      </w:r>
      <w:r>
        <w:rPr>
          <w:rFonts w:hint="eastAsia" w:hAnsi="宋体" w:cs="宋体"/>
          <w:sz w:val="24"/>
          <w:szCs w:val="24"/>
          <w:lang w:val="en-US" w:eastAsia="zh-CN"/>
        </w:rPr>
        <w:t>1</w:t>
      </w:r>
      <w:r>
        <w:rPr>
          <w:rFonts w:hint="eastAsia" w:hAnsi="宋体" w:cs="宋体"/>
          <w:sz w:val="24"/>
          <w:szCs w:val="24"/>
        </w:rPr>
        <w:t>分)</w:t>
      </w:r>
      <w:bookmarkEnd w:id="81"/>
    </w:p>
    <w:p>
      <w:pPr>
        <w:snapToGrid w:val="0"/>
        <w:spacing w:line="360" w:lineRule="auto"/>
        <w:ind w:firstLine="481"/>
        <w:rPr>
          <w:rFonts w:hAnsi="宋体" w:cs="宋体"/>
          <w:sz w:val="24"/>
          <w:szCs w:val="24"/>
        </w:rPr>
      </w:pPr>
      <w:bookmarkStart w:id="82" w:name="_Toc19892"/>
      <w:r>
        <w:rPr>
          <w:rFonts w:hint="eastAsia" w:hAnsi="宋体" w:cs="宋体"/>
          <w:sz w:val="24"/>
          <w:szCs w:val="24"/>
        </w:rPr>
        <w:t>（4）对农民工工资保证的承诺(0-1分)</w:t>
      </w:r>
      <w:bookmarkEnd w:id="82"/>
    </w:p>
    <w:p>
      <w:pPr>
        <w:snapToGrid w:val="0"/>
        <w:spacing w:line="360" w:lineRule="auto"/>
        <w:ind w:firstLine="481"/>
        <w:rPr>
          <w:rFonts w:hAnsi="宋体" w:cs="宋体"/>
          <w:sz w:val="24"/>
          <w:szCs w:val="24"/>
        </w:rPr>
      </w:pPr>
      <w:bookmarkStart w:id="83" w:name="_Toc12302"/>
      <w:r>
        <w:rPr>
          <w:rFonts w:hint="eastAsia" w:hAnsi="宋体" w:cs="宋体"/>
          <w:sz w:val="24"/>
          <w:szCs w:val="24"/>
        </w:rPr>
        <w:t>（5）其他实质性优惠服务承诺(0-</w:t>
      </w:r>
      <w:r>
        <w:rPr>
          <w:rFonts w:hint="eastAsia" w:hAnsi="宋体" w:cs="宋体"/>
          <w:sz w:val="24"/>
          <w:szCs w:val="24"/>
          <w:lang w:val="en-US" w:eastAsia="zh-CN"/>
        </w:rPr>
        <w:t>1</w:t>
      </w:r>
      <w:r>
        <w:rPr>
          <w:rFonts w:hint="eastAsia" w:hAnsi="宋体" w:cs="宋体"/>
          <w:sz w:val="24"/>
          <w:szCs w:val="24"/>
        </w:rPr>
        <w:t>分)</w:t>
      </w:r>
      <w:bookmarkEnd w:id="83"/>
    </w:p>
    <w:p>
      <w:pPr>
        <w:snapToGrid w:val="0"/>
        <w:spacing w:line="360" w:lineRule="auto"/>
        <w:ind w:firstLine="481"/>
        <w:rPr>
          <w:rFonts w:hAnsi="宋体" w:cs="宋体"/>
          <w:sz w:val="24"/>
          <w:szCs w:val="24"/>
        </w:rPr>
      </w:pPr>
      <w:bookmarkStart w:id="84" w:name="_Toc16673"/>
      <w:r>
        <w:rPr>
          <w:rFonts w:hint="eastAsia" w:hAnsi="宋体" w:cs="宋体"/>
          <w:sz w:val="24"/>
          <w:szCs w:val="24"/>
        </w:rPr>
        <w:t>注：以上各评分项缺项者得0分。</w:t>
      </w:r>
      <w:bookmarkEnd w:id="84"/>
    </w:p>
    <w:p>
      <w:pPr>
        <w:snapToGrid w:val="0"/>
        <w:spacing w:line="360" w:lineRule="auto"/>
        <w:rPr>
          <w:rFonts w:hAnsi="宋体" w:cs="宋体"/>
          <w:sz w:val="24"/>
          <w:szCs w:val="24"/>
        </w:rPr>
      </w:pPr>
      <w:r>
        <w:rPr>
          <w:rFonts w:hint="eastAsia" w:hAnsi="宋体" w:cs="宋体"/>
          <w:b/>
          <w:bCs/>
          <w:sz w:val="24"/>
          <w:szCs w:val="24"/>
        </w:rPr>
        <w:t>（五）投标人综合得分</w:t>
      </w:r>
    </w:p>
    <w:p>
      <w:pPr>
        <w:snapToGrid w:val="0"/>
        <w:spacing w:line="360" w:lineRule="auto"/>
        <w:ind w:firstLine="480"/>
        <w:rPr>
          <w:rFonts w:hAnsi="宋体" w:cs="宋体"/>
          <w:sz w:val="24"/>
          <w:szCs w:val="24"/>
        </w:rPr>
      </w:pPr>
      <w:r>
        <w:rPr>
          <w:rFonts w:hint="eastAsia" w:hAnsi="宋体" w:cs="宋体"/>
          <w:sz w:val="24"/>
          <w:szCs w:val="24"/>
        </w:rPr>
        <w:t xml:space="preserve">投标人综合得分＝技术标平均得分＋商务标得分＋综合（信用）标平均得分 </w:t>
      </w:r>
    </w:p>
    <w:p>
      <w:pPr>
        <w:spacing w:line="440" w:lineRule="exact"/>
        <w:rPr>
          <w:rFonts w:ascii="新宋体" w:hAnsi="新宋体" w:eastAsia="新宋体" w:cs="宋体"/>
          <w:b/>
          <w:sz w:val="24"/>
        </w:rPr>
      </w:pPr>
      <w:r>
        <w:rPr>
          <w:rFonts w:hint="eastAsia" w:ascii="新宋体" w:hAnsi="新宋体" w:eastAsia="新宋体" w:cs="宋体"/>
          <w:b/>
          <w:sz w:val="24"/>
        </w:rPr>
        <w:t xml:space="preserve">（六）投标人的最终得分及中标候选人排序 </w:t>
      </w:r>
    </w:p>
    <w:p>
      <w:pPr>
        <w:spacing w:line="440" w:lineRule="exact"/>
        <w:ind w:firstLine="480" w:firstLineChars="200"/>
        <w:rPr>
          <w:rFonts w:ascii="新宋体" w:hAnsi="新宋体" w:eastAsia="新宋体"/>
          <w:sz w:val="24"/>
        </w:rPr>
      </w:pPr>
      <w:r>
        <w:rPr>
          <w:rFonts w:hint="eastAsia" w:ascii="新宋体" w:hAnsi="新宋体" w:eastAsia="新宋体"/>
          <w:sz w:val="24"/>
        </w:rPr>
        <w:t>1.1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pacing w:line="400" w:lineRule="exact"/>
        <w:ind w:firstLine="480" w:firstLineChars="200"/>
        <w:rPr>
          <w:rFonts w:ascii="新宋体" w:hAnsi="新宋体" w:eastAsia="新宋体"/>
          <w:sz w:val="24"/>
        </w:rPr>
      </w:pPr>
      <w:r>
        <w:rPr>
          <w:rFonts w:hint="eastAsia" w:hAnsi="宋体" w:cs="宋体"/>
          <w:bCs/>
          <w:sz w:val="24"/>
          <w:szCs w:val="24"/>
        </w:rPr>
        <w:t>1.2评标委员会人数在5人以上时，去掉一个最高分和一个最低分取平均值；评标委员会人数在5人时，取所有评委评分的平均值。</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spacing w:line="440" w:lineRule="exact"/>
        <w:ind w:firstLine="480" w:firstLineChars="200"/>
        <w:rPr>
          <w:rFonts w:ascii="新宋体" w:hAnsi="新宋体" w:eastAsia="新宋体"/>
          <w:b/>
          <w:bCs/>
          <w:sz w:val="24"/>
        </w:rPr>
      </w:pPr>
      <w:r>
        <w:rPr>
          <w:rFonts w:hint="eastAsia" w:ascii="新宋体" w:hAnsi="新宋体" w:eastAsia="新宋体"/>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八、定标</w:t>
      </w:r>
    </w:p>
    <w:p>
      <w:pPr>
        <w:spacing w:line="440" w:lineRule="exact"/>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ascii="新宋体" w:hAnsi="新宋体" w:eastAsia="新宋体" w:cs="宋体"/>
          <w:b/>
          <w:sz w:val="24"/>
        </w:rPr>
      </w:pPr>
      <w:r>
        <w:rPr>
          <w:rFonts w:hint="eastAsia" w:ascii="新宋体" w:hAnsi="新宋体" w:eastAsia="新宋体" w:cs="宋体"/>
          <w:b/>
          <w:sz w:val="24"/>
        </w:rPr>
        <w:t>九、评标注意事项</w:t>
      </w:r>
      <w:bookmarkEnd w:id="71"/>
      <w:bookmarkEnd w:id="72"/>
      <w:bookmarkEnd w:id="73"/>
      <w:bookmarkEnd w:id="74"/>
    </w:p>
    <w:p>
      <w:pPr>
        <w:spacing w:line="400" w:lineRule="exact"/>
        <w:ind w:firstLine="480" w:firstLineChars="200"/>
        <w:rPr>
          <w:rFonts w:hAnsi="宋体" w:cs="宋体"/>
          <w:bCs/>
          <w:sz w:val="24"/>
          <w:szCs w:val="24"/>
        </w:rPr>
      </w:pPr>
      <w:r>
        <w:rPr>
          <w:rFonts w:hint="eastAsia" w:hAnsi="宋体" w:cs="宋体"/>
          <w:bCs/>
          <w:sz w:val="24"/>
          <w:szCs w:val="24"/>
        </w:rPr>
        <w:t>评标委员会应按下列原则进行评分汇总统计：</w:t>
      </w:r>
    </w:p>
    <w:p>
      <w:pPr>
        <w:spacing w:line="400" w:lineRule="exact"/>
        <w:ind w:firstLine="480" w:firstLineChars="200"/>
        <w:rPr>
          <w:rFonts w:hAnsi="宋体" w:cs="宋体"/>
          <w:bCs/>
          <w:sz w:val="24"/>
          <w:szCs w:val="24"/>
        </w:rPr>
      </w:pPr>
      <w:r>
        <w:rPr>
          <w:rFonts w:hint="eastAsia" w:hAnsi="宋体" w:cs="宋体"/>
          <w:bCs/>
          <w:sz w:val="24"/>
          <w:szCs w:val="24"/>
        </w:rPr>
        <w:t>分数计算过程中，保留两位小数，小数点后第三位四舍五入。</w:t>
      </w:r>
    </w:p>
    <w:p>
      <w:pPr>
        <w:spacing w:line="400" w:lineRule="exact"/>
        <w:ind w:firstLine="480" w:firstLineChars="200"/>
        <w:rPr>
          <w:rFonts w:hAnsi="宋体" w:cs="宋体"/>
          <w:bCs/>
          <w:sz w:val="24"/>
          <w:szCs w:val="24"/>
        </w:rPr>
      </w:pPr>
      <w:r>
        <w:rPr>
          <w:rFonts w:hint="eastAsia" w:hAnsi="宋体" w:cs="宋体"/>
          <w:bCs/>
          <w:sz w:val="24"/>
          <w:szCs w:val="24"/>
        </w:rPr>
        <w:t>评标委员会人数在5人以上时，去掉一个最高分和一个最低分去平均值；评标委员会人数在5人时，取所有评委评分的平均值。</w:t>
      </w:r>
    </w:p>
    <w:p>
      <w:pPr>
        <w:pStyle w:val="79"/>
        <w:keepNext w:val="0"/>
        <w:keepLines w:val="0"/>
        <w:ind w:firstLine="480" w:firstLineChars="200"/>
        <w:rPr>
          <w:rFonts w:ascii="新宋体" w:hAnsi="新宋体" w:eastAsia="新宋体"/>
          <w:b/>
          <w:szCs w:val="24"/>
        </w:rPr>
      </w:pPr>
      <w:r>
        <w:rPr>
          <w:rFonts w:hint="eastAsia" w:ascii="新宋体" w:hAnsi="新宋体" w:eastAsia="新宋体"/>
          <w:b/>
          <w:szCs w:val="24"/>
        </w:rPr>
        <w:t>十、评标报告</w:t>
      </w:r>
    </w:p>
    <w:p>
      <w:pPr>
        <w:spacing w:line="430" w:lineRule="exact"/>
        <w:ind w:firstLine="480" w:firstLineChars="20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Style w:val="79"/>
        <w:keepNext w:val="0"/>
        <w:keepLines w:val="0"/>
        <w:ind w:firstLine="480" w:firstLineChars="200"/>
        <w:rPr>
          <w:rFonts w:ascii="新宋体" w:hAnsi="新宋体" w:eastAsia="新宋体"/>
          <w:b/>
          <w:szCs w:val="24"/>
        </w:rPr>
      </w:pPr>
      <w:r>
        <w:rPr>
          <w:rFonts w:hint="eastAsia" w:ascii="新宋体" w:hAnsi="新宋体" w:eastAsia="新宋体"/>
          <w:b/>
        </w:rPr>
        <w:t>十一、</w:t>
      </w:r>
      <w:r>
        <w:rPr>
          <w:rFonts w:hint="eastAsia" w:ascii="新宋体" w:hAnsi="新宋体" w:eastAsia="新宋体"/>
          <w:b/>
          <w:szCs w:val="24"/>
        </w:rPr>
        <w:t>公示</w:t>
      </w:r>
    </w:p>
    <w:p>
      <w:pPr>
        <w:spacing w:line="420" w:lineRule="exact"/>
        <w:ind w:firstLine="480" w:firstLineChars="200"/>
        <w:rPr>
          <w:rFonts w:ascii="新宋体" w:hAnsi="新宋体" w:eastAsia="新宋体"/>
          <w:sz w:val="24"/>
        </w:rPr>
      </w:pPr>
      <w:r>
        <w:rPr>
          <w:rFonts w:ascii="新宋体" w:hAnsi="新宋体" w:eastAsia="新宋体"/>
          <w:sz w:val="24"/>
        </w:rPr>
        <w:t>中标人确定后，招标人应当在</w:t>
      </w:r>
      <w:r>
        <w:rPr>
          <w:rFonts w:hint="eastAsia" w:hAnsi="宋体"/>
          <w:sz w:val="24"/>
        </w:rPr>
        <w:t>《全国公共资源交易平台(河南省▪许昌市</w:t>
      </w:r>
      <w:r>
        <w:rPr>
          <w:rFonts w:hAnsi="宋体"/>
          <w:sz w:val="24"/>
        </w:rPr>
        <w:t>)</w:t>
      </w:r>
      <w:r>
        <w:rPr>
          <w:rFonts w:hint="eastAsia" w:hAnsi="宋体"/>
          <w:sz w:val="24"/>
        </w:rPr>
        <w:t>》、《河南省电子招标投标公共服务平台》</w:t>
      </w:r>
      <w:r>
        <w:rPr>
          <w:rFonts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十二、特殊情况的处置程序</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12.1关于澄清、说明或补正</w:t>
      </w:r>
    </w:p>
    <w:p>
      <w:pPr>
        <w:spacing w:line="430" w:lineRule="exact"/>
        <w:ind w:firstLine="480" w:firstLineChars="200"/>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12.2关于评标活动暂停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新宋体" w:hAnsi="新宋体" w:eastAsia="新宋体"/>
          <w:sz w:val="24"/>
        </w:rPr>
      </w:pPr>
      <w:r>
        <w:rPr>
          <w:rFonts w:hint="eastAsia" w:ascii="新宋体" w:hAnsi="新宋体" w:eastAsia="新宋体"/>
          <w:sz w:val="24"/>
        </w:rPr>
        <w:t>12.2.2发生评标暂停情况时，评标委员会应当封存全部投标文件和评标记录，待不可抗力的影响结束且具备继续评标的条件时，由原评标委员会继续评标。</w:t>
      </w:r>
    </w:p>
    <w:p>
      <w:pPr>
        <w:spacing w:line="430" w:lineRule="exact"/>
        <w:ind w:firstLine="480" w:firstLineChars="200"/>
        <w:outlineLvl w:val="0"/>
        <w:rPr>
          <w:rFonts w:ascii="新宋体" w:hAnsi="新宋体" w:eastAsia="新宋体"/>
          <w:b/>
          <w:sz w:val="24"/>
        </w:rPr>
      </w:pPr>
      <w:r>
        <w:rPr>
          <w:rFonts w:hint="eastAsia" w:ascii="新宋体" w:hAnsi="新宋体" w:eastAsia="新宋体"/>
          <w:b/>
          <w:sz w:val="24"/>
        </w:rPr>
        <w:t>12.3关于评标中途更换评标委员会成员</w:t>
      </w:r>
    </w:p>
    <w:p>
      <w:pPr>
        <w:spacing w:line="430" w:lineRule="exact"/>
        <w:ind w:firstLine="480" w:firstLineChars="200"/>
        <w:rPr>
          <w:rFonts w:ascii="新宋体" w:hAnsi="新宋体" w:eastAsia="新宋体"/>
          <w:sz w:val="24"/>
        </w:rPr>
      </w:pPr>
      <w:r>
        <w:rPr>
          <w:rFonts w:hint="eastAsia" w:ascii="新宋体" w:hAnsi="新宋体" w:eastAsia="新宋体"/>
          <w:sz w:val="24"/>
        </w:rPr>
        <w:t>12.3.1除非发生下列情况之一，评标委员会成员不得在评标中途更换：</w:t>
      </w:r>
    </w:p>
    <w:p>
      <w:pPr>
        <w:spacing w:line="400" w:lineRule="exact"/>
        <w:ind w:firstLine="480" w:firstLineChars="20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400" w:lineRule="exact"/>
        <w:ind w:firstLine="480" w:firstLineChars="20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400" w:lineRule="exact"/>
        <w:ind w:firstLine="480" w:firstLineChars="200"/>
        <w:rPr>
          <w:rFonts w:ascii="新宋体" w:hAnsi="新宋体" w:eastAsia="新宋体"/>
          <w:sz w:val="24"/>
        </w:rPr>
      </w:pPr>
      <w:r>
        <w:rPr>
          <w:rFonts w:hint="eastAsia" w:ascii="新宋体" w:hAnsi="新宋体" w:eastAsia="新宋体"/>
          <w:sz w:val="24"/>
        </w:rPr>
        <w:t>12.3.2退出评标的评标委员会成员，其已完成的评标行为无效。由招标人根据本招标文件规定的评标委员会成员产生方式另行确定替代者进行评标。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0"/>
        <w:rPr>
          <w:rFonts w:ascii="新宋体" w:hAnsi="新宋体" w:eastAsia="新宋体"/>
          <w:b/>
          <w:sz w:val="24"/>
        </w:rPr>
      </w:pPr>
      <w:r>
        <w:rPr>
          <w:rFonts w:hint="eastAsia" w:ascii="新宋体" w:hAnsi="新宋体" w:eastAsia="新宋体"/>
          <w:b/>
          <w:sz w:val="24"/>
        </w:rPr>
        <w:t>12.4记名投票</w:t>
      </w:r>
    </w:p>
    <w:p>
      <w:pPr>
        <w:spacing w:line="400" w:lineRule="exact"/>
        <w:ind w:firstLine="480" w:firstLineChars="20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400" w:lineRule="exact"/>
        <w:ind w:firstLine="480" w:firstLineChars="200"/>
        <w:rPr>
          <w:b/>
          <w:sz w:val="24"/>
        </w:rPr>
      </w:pPr>
      <w:r>
        <w:rPr>
          <w:rFonts w:hint="eastAsia"/>
          <w:b/>
          <w:sz w:val="24"/>
        </w:rPr>
        <w:t>12.5评标委员会对评标结果有异议的</w:t>
      </w:r>
    </w:p>
    <w:p>
      <w:pPr>
        <w:spacing w:line="400" w:lineRule="exact"/>
        <w:ind w:firstLine="468" w:firstLineChars="200"/>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41"/>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仿宋_GB2312" w:hAnsi="宋体" w:eastAsia="仿宋_GB2312" w:cs="宋体"/>
                <w:sz w:val="24"/>
                <w:szCs w:val="22"/>
              </w:rPr>
            </w:pPr>
            <w:r>
              <w:rPr>
                <w:rFonts w:hint="eastAsia" w:ascii="仿宋_GB2312" w:hAnsi="宋体" w:eastAsia="仿宋_GB2312" w:cs="宋体"/>
                <w:sz w:val="24"/>
                <w:szCs w:val="22"/>
                <w:lang w:val="en-US" w:eastAsia="zh-CN"/>
              </w:rPr>
              <w:t>建安建工公字〔2019〕109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eastAsia" w:ascii="仿宋_GB2312" w:hAnsi="宋体" w:eastAsia="仿宋_GB2312" w:cs="宋体"/>
                <w:sz w:val="24"/>
                <w:szCs w:val="22"/>
                <w:lang w:eastAsia="zh-CN"/>
              </w:rPr>
            </w:pPr>
            <w:r>
              <w:rPr>
                <w:rFonts w:hint="eastAsia" w:ascii="仿宋_GB2312" w:hAnsi="宋体" w:eastAsia="仿宋_GB2312" w:cs="宋体"/>
                <w:sz w:val="24"/>
                <w:szCs w:val="22"/>
                <w:lang w:val="en-US" w:eastAsia="zh-CN"/>
              </w:rPr>
              <w:t xml:space="preserve"> 老岗杨村游园建设项目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eastAsia="zh-CN"/>
              </w:rPr>
              <w:t>玖仟</w:t>
            </w:r>
            <w:r>
              <w:rPr>
                <w:rFonts w:hint="eastAsia" w:ascii="仿宋_GB2312" w:hAnsi="宋体" w:eastAsia="仿宋_GB2312" w:cs="宋体"/>
                <w:sz w:val="24"/>
                <w:szCs w:val="22"/>
              </w:rPr>
              <w:t>元整（</w:t>
            </w:r>
            <w:r>
              <w:rPr>
                <w:rFonts w:hint="eastAsia" w:ascii="仿宋_GB2312" w:hAnsi="宋体" w:eastAsia="仿宋_GB2312" w:cs="宋体"/>
                <w:sz w:val="24"/>
                <w:szCs w:val="22"/>
                <w:lang w:val="en-US" w:eastAsia="zh-CN"/>
              </w:rPr>
              <w:t>9</w:t>
            </w:r>
            <w:r>
              <w:rPr>
                <w:rFonts w:hint="eastAsia" w:ascii="仿宋_GB2312" w:hAnsi="宋体" w:eastAsia="仿宋_GB2312" w:cs="宋体"/>
                <w:sz w:val="24"/>
                <w:szCs w:val="22"/>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47"/>
                <w:rFonts w:hint="eastAsia" w:ascii="仿宋_GB2312" w:hAnsi="宋体" w:eastAsia="仿宋_GB2312" w:cs="宋体"/>
                <w:color w:val="auto"/>
                <w:sz w:val="24"/>
              </w:rPr>
              <w:t>http://221.14.6.70:8088/ggzy</w:t>
            </w:r>
            <w:r>
              <w:rPr>
                <w:rStyle w:val="47"/>
                <w:rFonts w:hint="eastAsia" w:ascii="仿宋_GB2312" w:hAnsi="宋体" w:eastAsia="仿宋_GB2312" w:cs="宋体"/>
                <w:color w:val="auto"/>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ind w:firstLine="2520" w:firstLineChars="700"/>
        <w:rPr>
          <w:rFonts w:ascii="方正小标宋简体" w:hAnsi="宋体" w:eastAsia="方正小标宋简体"/>
          <w:sz w:val="36"/>
          <w:szCs w:val="36"/>
        </w:rPr>
      </w:pPr>
      <w:bookmarkStart w:id="93" w:name="_GoBack"/>
      <w:bookmarkEnd w:id="93"/>
      <w:r>
        <w:rPr>
          <w:rFonts w:hint="eastAsia" w:ascii="方正小标宋简体" w:hAnsi="宋体" w:eastAsia="方正小标宋简体" w:cs="宋体"/>
          <w:sz w:val="36"/>
          <w:szCs w:val="36"/>
        </w:rPr>
        <w:t>投标保证金退还申请表</w:t>
      </w:r>
    </w:p>
    <w:tbl>
      <w:tblPr>
        <w:tblStyle w:val="41"/>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pStyle w:val="2"/>
        <w:ind w:firstLine="0" w:firstLineChars="0"/>
      </w:pPr>
    </w:p>
    <w:p>
      <w:pPr>
        <w:ind w:firstLine="2880" w:firstLineChars="800"/>
        <w:rPr>
          <w:rFonts w:hAnsi="宋体"/>
          <w:kern w:val="2"/>
          <w:sz w:val="36"/>
          <w:szCs w:val="36"/>
        </w:rPr>
      </w:pPr>
    </w:p>
    <w:p>
      <w:pPr>
        <w:ind w:firstLine="2880" w:firstLineChars="800"/>
        <w:rPr>
          <w:rFonts w:hAnsi="宋体"/>
          <w:kern w:val="2"/>
          <w:sz w:val="36"/>
          <w:szCs w:val="36"/>
        </w:rPr>
      </w:pPr>
      <w:r>
        <w:rPr>
          <w:rFonts w:hint="eastAsia" w:hAnsi="宋体"/>
          <w:kern w:val="2"/>
          <w:sz w:val="36"/>
          <w:szCs w:val="36"/>
        </w:rPr>
        <w:t>履约保证金退还通知单</w:t>
      </w:r>
    </w:p>
    <w:tbl>
      <w:tblPr>
        <w:tblStyle w:val="41"/>
        <w:tblW w:w="9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jc w:val="center"/>
        </w:trPr>
        <w:tc>
          <w:tcPr>
            <w:tcW w:w="2086" w:type="dxa"/>
            <w:noWrap/>
            <w:vAlign w:val="center"/>
          </w:tcPr>
          <w:p>
            <w:pPr>
              <w:spacing w:line="360" w:lineRule="exact"/>
              <w:jc w:val="center"/>
              <w:rPr>
                <w:rFonts w:hAnsi="宋体"/>
                <w:kern w:val="2"/>
                <w:sz w:val="24"/>
                <w:szCs w:val="24"/>
              </w:rPr>
            </w:pPr>
            <w:r>
              <w:rPr>
                <w:rFonts w:hint="eastAsia" w:hAnsi="宋体"/>
                <w:kern w:val="2"/>
                <w:sz w:val="24"/>
                <w:szCs w:val="24"/>
              </w:rPr>
              <w:t>项目编号</w:t>
            </w:r>
          </w:p>
        </w:tc>
        <w:tc>
          <w:tcPr>
            <w:tcW w:w="4140" w:type="dxa"/>
            <w:gridSpan w:val="2"/>
            <w:noWrap/>
            <w:vAlign w:val="center"/>
          </w:tcPr>
          <w:p>
            <w:pPr>
              <w:spacing w:line="360" w:lineRule="exact"/>
              <w:jc w:val="center"/>
              <w:rPr>
                <w:rFonts w:hAnsi="宋体"/>
                <w:kern w:val="2"/>
                <w:sz w:val="24"/>
                <w:szCs w:val="24"/>
              </w:rPr>
            </w:pPr>
          </w:p>
        </w:tc>
        <w:tc>
          <w:tcPr>
            <w:tcW w:w="1440" w:type="dxa"/>
            <w:gridSpan w:val="2"/>
            <w:noWrap/>
            <w:vAlign w:val="center"/>
          </w:tcPr>
          <w:p>
            <w:pPr>
              <w:spacing w:line="360" w:lineRule="exact"/>
              <w:jc w:val="center"/>
              <w:rPr>
                <w:rFonts w:hAnsi="宋体"/>
                <w:kern w:val="2"/>
                <w:sz w:val="24"/>
                <w:szCs w:val="24"/>
              </w:rPr>
            </w:pPr>
            <w:r>
              <w:rPr>
                <w:rFonts w:hint="eastAsia" w:hAnsi="宋体"/>
                <w:kern w:val="2"/>
                <w:sz w:val="24"/>
                <w:szCs w:val="24"/>
              </w:rPr>
              <w:t>是否完工</w:t>
            </w:r>
          </w:p>
        </w:tc>
        <w:tc>
          <w:tcPr>
            <w:tcW w:w="2162" w:type="dxa"/>
            <w:noWrap/>
            <w:vAlign w:val="center"/>
          </w:tcPr>
          <w:p>
            <w:pPr>
              <w:spacing w:line="360" w:lineRule="exact"/>
              <w:ind w:firstLine="240" w:firstLineChars="100"/>
              <w:rPr>
                <w:rFonts w:hAnsi="宋体"/>
                <w:kern w:val="2"/>
                <w:sz w:val="24"/>
                <w:szCs w:val="24"/>
              </w:rPr>
            </w:pPr>
            <w:r>
              <w:rPr>
                <w:rFonts w:hint="eastAsia" w:hAnsi="宋体"/>
                <w:kern w:val="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noWrap/>
            <w:vAlign w:val="center"/>
          </w:tcPr>
          <w:p>
            <w:pPr>
              <w:spacing w:line="360" w:lineRule="exact"/>
              <w:jc w:val="center"/>
              <w:rPr>
                <w:rFonts w:hAnsi="宋体"/>
                <w:kern w:val="2"/>
                <w:sz w:val="24"/>
                <w:szCs w:val="24"/>
              </w:rPr>
            </w:pPr>
            <w:r>
              <w:rPr>
                <w:rFonts w:hint="eastAsia" w:hAnsi="宋体"/>
                <w:kern w:val="2"/>
                <w:sz w:val="24"/>
                <w:szCs w:val="24"/>
              </w:rPr>
              <w:t>中标企业名称</w:t>
            </w:r>
          </w:p>
        </w:tc>
        <w:tc>
          <w:tcPr>
            <w:tcW w:w="7742" w:type="dxa"/>
            <w:gridSpan w:val="5"/>
            <w:noWrap/>
            <w:vAlign w:val="center"/>
          </w:tcPr>
          <w:p>
            <w:pPr>
              <w:spacing w:line="360" w:lineRule="exact"/>
              <w:jc w:val="center"/>
              <w:rPr>
                <w:rFonts w:hAnsi="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jc w:val="center"/>
        </w:trPr>
        <w:tc>
          <w:tcPr>
            <w:tcW w:w="2086" w:type="dxa"/>
            <w:noWrap/>
            <w:vAlign w:val="center"/>
          </w:tcPr>
          <w:p>
            <w:pPr>
              <w:spacing w:line="360" w:lineRule="exact"/>
              <w:ind w:firstLine="480" w:firstLineChars="200"/>
              <w:rPr>
                <w:rFonts w:hAnsi="宋体"/>
                <w:kern w:val="2"/>
                <w:sz w:val="24"/>
                <w:szCs w:val="24"/>
              </w:rPr>
            </w:pPr>
            <w:r>
              <w:rPr>
                <w:rFonts w:hint="eastAsia" w:hAnsi="宋体"/>
                <w:kern w:val="2"/>
                <w:sz w:val="24"/>
                <w:szCs w:val="24"/>
              </w:rPr>
              <w:t>开户银行</w:t>
            </w:r>
          </w:p>
        </w:tc>
        <w:tc>
          <w:tcPr>
            <w:tcW w:w="3780" w:type="dxa"/>
            <w:noWrap/>
            <w:vAlign w:val="center"/>
          </w:tcPr>
          <w:p>
            <w:pPr>
              <w:rPr>
                <w:rFonts w:hAnsi="宋体"/>
                <w:kern w:val="2"/>
                <w:sz w:val="24"/>
                <w:szCs w:val="24"/>
              </w:rPr>
            </w:pPr>
          </w:p>
        </w:tc>
        <w:tc>
          <w:tcPr>
            <w:tcW w:w="722" w:type="dxa"/>
            <w:gridSpan w:val="2"/>
            <w:noWrap/>
            <w:vAlign w:val="center"/>
          </w:tcPr>
          <w:p>
            <w:pPr>
              <w:spacing w:line="360" w:lineRule="exact"/>
              <w:rPr>
                <w:rFonts w:hAnsi="宋体"/>
                <w:kern w:val="2"/>
                <w:sz w:val="24"/>
                <w:szCs w:val="24"/>
              </w:rPr>
            </w:pPr>
            <w:r>
              <w:rPr>
                <w:rFonts w:hint="eastAsia" w:hAnsi="宋体"/>
                <w:kern w:val="2"/>
                <w:sz w:val="24"/>
                <w:szCs w:val="24"/>
              </w:rPr>
              <w:t>账号</w:t>
            </w:r>
          </w:p>
        </w:tc>
        <w:tc>
          <w:tcPr>
            <w:tcW w:w="3240" w:type="dxa"/>
            <w:gridSpan w:val="2"/>
            <w:noWrap/>
            <w:vAlign w:val="center"/>
          </w:tcPr>
          <w:p>
            <w:pPr>
              <w:rPr>
                <w:rFonts w:hAnsi="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tcBorders>
              <w:bottom w:val="single" w:color="auto" w:sz="4" w:space="0"/>
            </w:tcBorders>
            <w:noWrap/>
            <w:vAlign w:val="center"/>
          </w:tcPr>
          <w:p>
            <w:pPr>
              <w:spacing w:line="360" w:lineRule="exact"/>
              <w:ind w:firstLine="480" w:firstLineChars="200"/>
              <w:rPr>
                <w:rFonts w:hAnsi="宋体"/>
                <w:kern w:val="2"/>
                <w:sz w:val="24"/>
                <w:szCs w:val="24"/>
              </w:rPr>
            </w:pPr>
            <w:r>
              <w:rPr>
                <w:rFonts w:hint="eastAsia" w:hAnsi="宋体"/>
                <w:kern w:val="2"/>
                <w:sz w:val="24"/>
                <w:szCs w:val="24"/>
              </w:rPr>
              <w:t>金额</w:t>
            </w:r>
          </w:p>
        </w:tc>
        <w:tc>
          <w:tcPr>
            <w:tcW w:w="7742" w:type="dxa"/>
            <w:gridSpan w:val="5"/>
            <w:noWrap/>
            <w:vAlign w:val="center"/>
          </w:tcPr>
          <w:p>
            <w:pPr>
              <w:spacing w:line="360" w:lineRule="exact"/>
              <w:rPr>
                <w:rFonts w:hAnsi="宋体"/>
                <w:kern w:val="2"/>
                <w:sz w:val="24"/>
                <w:szCs w:val="24"/>
              </w:rPr>
            </w:pPr>
            <w:r>
              <w:rPr>
                <w:rFonts w:hint="eastAsia" w:hAnsi="宋体"/>
                <w:kern w:val="2"/>
                <w:sz w:val="24"/>
                <w:szCs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28" w:type="dxa"/>
            <w:gridSpan w:val="6"/>
            <w:tcBorders>
              <w:top w:val="nil"/>
            </w:tcBorders>
            <w:noWrap/>
            <w:vAlign w:val="center"/>
          </w:tcPr>
          <w:p>
            <w:pPr>
              <w:spacing w:line="360" w:lineRule="exact"/>
              <w:jc w:val="center"/>
              <w:rPr>
                <w:rFonts w:hAnsi="宋体"/>
                <w:kern w:val="2"/>
                <w:sz w:val="24"/>
                <w:szCs w:val="24"/>
              </w:rPr>
            </w:pPr>
            <w:r>
              <w:rPr>
                <w:rFonts w:hint="eastAsia" w:hAnsi="宋体"/>
                <w:kern w:val="2"/>
                <w:sz w:val="24"/>
                <w:szCs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9828" w:type="dxa"/>
            <w:gridSpan w:val="6"/>
            <w:noWrap/>
          </w:tcPr>
          <w:p>
            <w:pPr>
              <w:jc w:val="center"/>
              <w:rPr>
                <w:rFonts w:hAnsi="宋体"/>
                <w:kern w:val="2"/>
                <w:sz w:val="24"/>
                <w:szCs w:val="24"/>
              </w:rPr>
            </w:pPr>
          </w:p>
          <w:p>
            <w:pPr>
              <w:jc w:val="center"/>
              <w:rPr>
                <w:rFonts w:hAnsi="宋体"/>
                <w:kern w:val="2"/>
                <w:sz w:val="24"/>
                <w:szCs w:val="24"/>
              </w:rPr>
            </w:pPr>
          </w:p>
          <w:p>
            <w:pPr>
              <w:ind w:firstLine="840" w:firstLineChars="350"/>
              <w:rPr>
                <w:rFonts w:hAnsi="宋体"/>
                <w:kern w:val="2"/>
                <w:sz w:val="24"/>
                <w:szCs w:val="24"/>
              </w:rPr>
            </w:pPr>
            <w:r>
              <w:rPr>
                <w:rFonts w:hint="eastAsia" w:hAnsi="宋体"/>
                <w:kern w:val="2"/>
                <w:sz w:val="24"/>
                <w:szCs w:val="24"/>
              </w:rPr>
              <w:t>主要负责人签字 ：                           盖  章：</w:t>
            </w:r>
          </w:p>
          <w:p>
            <w:pPr>
              <w:jc w:val="center"/>
              <w:rPr>
                <w:rFonts w:hAnsi="宋体"/>
                <w:kern w:val="2"/>
                <w:sz w:val="24"/>
                <w:szCs w:val="24"/>
              </w:rPr>
            </w:pPr>
          </w:p>
          <w:p>
            <w:pPr>
              <w:ind w:right="480" w:firstLine="5880" w:firstLineChars="2450"/>
              <w:rPr>
                <w:rFonts w:hAnsi="宋体"/>
                <w:kern w:val="2"/>
                <w:sz w:val="24"/>
                <w:szCs w:val="24"/>
              </w:rPr>
            </w:pPr>
            <w:r>
              <w:rPr>
                <w:rFonts w:hint="eastAsia" w:hAnsi="宋体"/>
                <w:kern w:val="2"/>
                <w:sz w:val="24"/>
                <w:szCs w:val="24"/>
              </w:rPr>
              <w:t>年   月   日</w:t>
            </w:r>
          </w:p>
        </w:tc>
      </w:tr>
    </w:tbl>
    <w:p>
      <w:pPr>
        <w:jc w:val="left"/>
        <w:rPr>
          <w:rFonts w:ascii="华文中宋" w:hAnsi="华文中宋" w:eastAsia="华文中宋"/>
          <w:b/>
          <w:bCs/>
          <w:sz w:val="32"/>
          <w:szCs w:val="32"/>
        </w:rPr>
      </w:pPr>
    </w:p>
    <w:p>
      <w:pPr>
        <w:pStyle w:val="2"/>
        <w:ind w:firstLine="340"/>
      </w:pPr>
    </w:p>
    <w:p>
      <w:pPr>
        <w:widowControl/>
        <w:jc w:val="left"/>
        <w:rPr>
          <w:rFonts w:hAnsi="宋体" w:cs="黑体"/>
          <w:b/>
          <w:sz w:val="36"/>
          <w:szCs w:val="36"/>
        </w:rPr>
      </w:pPr>
      <w:r>
        <w:rPr>
          <w:rFonts w:hAnsi="宋体" w:cs="黑体"/>
          <w:b/>
          <w:sz w:val="36"/>
          <w:szCs w:val="36"/>
        </w:rPr>
        <w:br w:type="page"/>
      </w:r>
    </w:p>
    <w:bookmarkEnd w:id="69"/>
    <w:p>
      <w:pPr>
        <w:snapToGrid w:val="0"/>
        <w:spacing w:line="360" w:lineRule="auto"/>
        <w:jc w:val="center"/>
        <w:rPr>
          <w:rFonts w:hAnsi="宋体" w:cs="黑体"/>
          <w:b/>
          <w:sz w:val="36"/>
          <w:szCs w:val="36"/>
        </w:rPr>
      </w:pPr>
      <w:bookmarkStart w:id="85" w:name="_Toc278443518"/>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p>
    <w:p>
      <w:pPr>
        <w:tabs>
          <w:tab w:val="left" w:pos="5000"/>
        </w:tabs>
        <w:spacing w:line="360" w:lineRule="auto"/>
        <w:ind w:firstLine="490"/>
        <w:rPr>
          <w:rFonts w:hAnsi="宋体" w:cs="黑体"/>
          <w:b/>
          <w:sz w:val="32"/>
          <w:szCs w:val="32"/>
        </w:rPr>
      </w:pPr>
      <w:bookmarkStart w:id="86"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86"/>
      <w:r>
        <w:rPr>
          <w:rFonts w:hint="eastAsia" w:hAnsi="宋体" w:cs="黑体"/>
          <w:b/>
          <w:sz w:val="32"/>
          <w:szCs w:val="32"/>
        </w:rPr>
        <w:t>同。</w:t>
      </w: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480" w:firstLineChars="200"/>
        <w:jc w:val="left"/>
        <w:rPr>
          <w:rFonts w:ascii="新宋体" w:hAnsi="新宋体" w:eastAsia="新宋体"/>
          <w:sz w:val="24"/>
        </w:rPr>
      </w:pPr>
      <w:r>
        <w:rPr>
          <w:rFonts w:hint="eastAsia" w:ascii="新宋体" w:hAnsi="新宋体" w:eastAsia="新宋体"/>
          <w:sz w:val="24"/>
        </w:rPr>
        <w:t>(1) 本招标文件；</w:t>
      </w:r>
    </w:p>
    <w:p>
      <w:pPr>
        <w:spacing w:line="400" w:lineRule="exact"/>
        <w:ind w:left="340" w:leftChars="100"/>
        <w:jc w:val="left"/>
        <w:rPr>
          <w:rFonts w:hAnsi="宋体" w:cs="宋体"/>
          <w:sz w:val="24"/>
        </w:rPr>
      </w:pPr>
      <w:r>
        <w:rPr>
          <w:rFonts w:hint="eastAsia" w:hAnsi="宋体" w:cs="宋体"/>
          <w:sz w:val="24"/>
        </w:rPr>
        <w:t>（2）（</w:t>
      </w:r>
      <w:r>
        <w:rPr>
          <w:rFonts w:hint="eastAsia" w:ascii="新宋体" w:hAnsi="新宋体" w:eastAsia="新宋体"/>
          <w:sz w:val="24"/>
          <w:u w:val="single"/>
        </w:rPr>
        <w:t>《建设工程工程量清单计价规范》（GB50500-2013）</w:t>
      </w:r>
      <w:r>
        <w:rPr>
          <w:rFonts w:hint="eastAsia" w:hAnsi="宋体" w:cs="宋体"/>
          <w:sz w:val="24"/>
        </w:rPr>
        <w:t>、《</w:t>
      </w:r>
      <w:r>
        <w:rPr>
          <w:rFonts w:hint="eastAsia" w:hAnsi="宋体" w:cs="宋体"/>
          <w:sz w:val="24"/>
          <w:lang w:eastAsia="zh-CN"/>
        </w:rPr>
        <w:t>河南省建设工程工程量清单综合单价</w:t>
      </w:r>
      <w:r>
        <w:rPr>
          <w:rFonts w:hint="eastAsia" w:hAnsi="宋体" w:cs="宋体"/>
          <w:sz w:val="24"/>
        </w:rPr>
        <w:t>》</w:t>
      </w:r>
      <w:r>
        <w:rPr>
          <w:rFonts w:hint="eastAsia" w:hAnsi="宋体" w:cs="宋体"/>
          <w:sz w:val="24"/>
          <w:lang w:eastAsia="zh-CN"/>
        </w:rPr>
        <w:t>（</w:t>
      </w:r>
      <w:r>
        <w:rPr>
          <w:rFonts w:hint="eastAsia" w:hAnsi="宋体" w:cs="宋体"/>
          <w:sz w:val="24"/>
          <w:lang w:val="en-US" w:eastAsia="zh-CN"/>
        </w:rPr>
        <w:t>2008</w:t>
      </w:r>
      <w:r>
        <w:rPr>
          <w:rFonts w:hint="eastAsia" w:hAnsi="宋体" w:cs="宋体"/>
          <w:sz w:val="24"/>
          <w:lang w:eastAsia="zh-CN"/>
        </w:rPr>
        <w:t>）</w:t>
      </w:r>
      <w:r>
        <w:rPr>
          <w:rFonts w:hint="eastAsia" w:hAnsi="宋体" w:cs="宋体"/>
          <w:sz w:val="24"/>
          <w:lang w:val="en-US" w:eastAsia="zh-CN"/>
        </w:rPr>
        <w:t>E园林绿化工程及其有关配套文件；</w:t>
      </w:r>
    </w:p>
    <w:p>
      <w:pPr>
        <w:pStyle w:val="2"/>
        <w:ind w:firstLine="360" w:firstLineChars="150"/>
        <w:rPr>
          <w:rFonts w:hint="default" w:eastAsia="宋体"/>
          <w:sz w:val="24"/>
          <w:szCs w:val="24"/>
          <w:lang w:val="en-US"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）价格指数依据豫建标定【</w:t>
      </w:r>
      <w:r>
        <w:rPr>
          <w:rFonts w:hint="eastAsia"/>
          <w:sz w:val="24"/>
          <w:szCs w:val="24"/>
          <w:lang w:val="en-US" w:eastAsia="zh-CN"/>
        </w:rPr>
        <w:t>2018</w:t>
      </w:r>
      <w:r>
        <w:rPr>
          <w:rFonts w:hint="eastAsia"/>
          <w:sz w:val="24"/>
          <w:szCs w:val="24"/>
          <w:lang w:eastAsia="zh-CN"/>
        </w:rPr>
        <w:t>】</w:t>
      </w:r>
      <w:r>
        <w:rPr>
          <w:rFonts w:hint="eastAsia"/>
          <w:sz w:val="24"/>
          <w:szCs w:val="24"/>
          <w:lang w:val="en-US" w:eastAsia="zh-CN"/>
        </w:rPr>
        <w:t>40号文发布的2018年7-12月价格指数进行调整；</w:t>
      </w:r>
    </w:p>
    <w:p>
      <w:pPr>
        <w:pStyle w:val="2"/>
        <w:ind w:firstLine="360" w:firstLineChars="150"/>
        <w:rPr>
          <w:rFonts w:hint="default" w:eastAsia="宋体"/>
          <w:sz w:val="24"/>
          <w:szCs w:val="24"/>
          <w:lang w:val="en-US" w:eastAsia="zh-CN"/>
        </w:rPr>
      </w:pPr>
      <w:r>
        <w:rPr>
          <w:rFonts w:hint="eastAsia"/>
          <w:sz w:val="24"/>
          <w:szCs w:val="24"/>
          <w:lang w:eastAsia="zh-CN"/>
        </w:rPr>
        <w:t>（</w:t>
      </w:r>
      <w:r>
        <w:rPr>
          <w:rFonts w:hint="eastAsia"/>
          <w:sz w:val="24"/>
          <w:szCs w:val="24"/>
          <w:lang w:val="en-US" w:eastAsia="zh-CN"/>
        </w:rPr>
        <w:t>4</w:t>
      </w:r>
      <w:r>
        <w:rPr>
          <w:rFonts w:hint="eastAsia"/>
          <w:sz w:val="24"/>
          <w:szCs w:val="24"/>
          <w:lang w:eastAsia="zh-CN"/>
        </w:rPr>
        <w:t>）园林绿化工程人工费</w:t>
      </w:r>
      <w:r>
        <w:rPr>
          <w:rFonts w:hint="eastAsia"/>
          <w:sz w:val="24"/>
          <w:szCs w:val="24"/>
          <w:lang w:val="en-US" w:eastAsia="zh-CN"/>
        </w:rPr>
        <w:t>=75*第4期人工价格指数，此人工费指数参照市政工程人工费指数；</w:t>
      </w:r>
    </w:p>
    <w:p>
      <w:pPr>
        <w:pStyle w:val="2"/>
        <w:ind w:firstLine="360" w:firstLineChars="150"/>
        <w:rPr>
          <w:sz w:val="24"/>
          <w:szCs w:val="24"/>
        </w:rPr>
      </w:pPr>
      <w:r>
        <w:rPr>
          <w:rFonts w:hint="eastAsia"/>
          <w:sz w:val="24"/>
          <w:szCs w:val="24"/>
        </w:rPr>
        <w:t>（</w:t>
      </w:r>
      <w:r>
        <w:rPr>
          <w:rFonts w:hint="eastAsia"/>
          <w:sz w:val="24"/>
          <w:szCs w:val="24"/>
          <w:lang w:val="en-US" w:eastAsia="zh-CN"/>
        </w:rPr>
        <w:t>5</w:t>
      </w:r>
      <w:r>
        <w:rPr>
          <w:rFonts w:hint="eastAsia"/>
          <w:sz w:val="24"/>
          <w:szCs w:val="24"/>
        </w:rPr>
        <w:t>）税金按9</w:t>
      </w:r>
      <w:r>
        <w:rPr>
          <w:rFonts w:hint="eastAsia"/>
          <w:sz w:val="24"/>
          <w:szCs w:val="24"/>
          <w:lang w:val="en-US" w:eastAsia="zh-CN"/>
        </w:rPr>
        <w:t>%</w:t>
      </w:r>
      <w:r>
        <w:rPr>
          <w:rFonts w:hint="eastAsia"/>
          <w:sz w:val="24"/>
          <w:szCs w:val="24"/>
        </w:rPr>
        <w:t>计取；</w:t>
      </w:r>
    </w:p>
    <w:p>
      <w:pPr>
        <w:pStyle w:val="2"/>
        <w:ind w:firstLine="360" w:firstLineChars="150"/>
        <w:rPr>
          <w:sz w:val="24"/>
          <w:szCs w:val="24"/>
        </w:rPr>
      </w:pPr>
      <w:r>
        <w:rPr>
          <w:rFonts w:hint="eastAsia"/>
          <w:sz w:val="24"/>
          <w:szCs w:val="24"/>
        </w:rPr>
        <w:t>（6）主要材料价格参考《许昌信息造价》2019年第一期</w:t>
      </w:r>
      <w:r>
        <w:rPr>
          <w:rFonts w:hint="eastAsia"/>
          <w:sz w:val="24"/>
          <w:szCs w:val="24"/>
          <w:lang w:val="en-US" w:eastAsia="zh-CN"/>
        </w:rPr>
        <w:t>2月</w:t>
      </w:r>
      <w:r>
        <w:rPr>
          <w:rFonts w:hint="eastAsia"/>
          <w:sz w:val="24"/>
          <w:szCs w:val="24"/>
        </w:rPr>
        <w:t>材料信息</w:t>
      </w:r>
      <w:r>
        <w:rPr>
          <w:rFonts w:hint="eastAsia"/>
          <w:sz w:val="24"/>
          <w:szCs w:val="24"/>
          <w:lang w:eastAsia="zh-CN"/>
        </w:rPr>
        <w:t>及</w:t>
      </w:r>
      <w:r>
        <w:rPr>
          <w:rFonts w:hint="eastAsia"/>
          <w:sz w:val="24"/>
          <w:szCs w:val="24"/>
        </w:rPr>
        <w:t>市场询价。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 xml:space="preserve">2.2 工程量清单中的每一子目须填入单价或价格，且只允许有一个报价。 </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hAnsi="宋体" w:cs="黑体"/>
          <w:b/>
          <w:sz w:val="36"/>
          <w:szCs w:val="36"/>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http://www.xczbtb.com/</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  图纸</w:t>
      </w:r>
      <w:bookmarkEnd w:id="85"/>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按照招标文件中第二章投标人须知自行下载。</w:t>
      </w:r>
    </w:p>
    <w:p>
      <w:pPr>
        <w:autoSpaceDE w:val="0"/>
        <w:autoSpaceDN w:val="0"/>
        <w:adjustRightInd w:val="0"/>
        <w:jc w:val="center"/>
        <w:outlineLvl w:val="0"/>
        <w:rPr>
          <w:rFonts w:hAnsi="宋体" w:cs="黑体"/>
          <w:b/>
          <w:sz w:val="36"/>
          <w:szCs w:val="36"/>
        </w:rPr>
      </w:pPr>
      <w:bookmarkStart w:id="87"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87"/>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beforeLines="100" w:afterLines="100"/>
        <w:jc w:val="center"/>
        <w:outlineLvl w:val="0"/>
        <w:rPr>
          <w:rFonts w:hAnsi="宋体" w:cs="黑体"/>
          <w:b/>
          <w:sz w:val="36"/>
          <w:szCs w:val="36"/>
        </w:rPr>
      </w:pPr>
      <w:bookmarkStart w:id="88" w:name="_Toc278443525"/>
      <w:r>
        <w:rPr>
          <w:rFonts w:hAnsi="宋体" w:cs="黑体"/>
          <w:b/>
          <w:sz w:val="44"/>
          <w:szCs w:val="44"/>
        </w:rPr>
        <w:br w:type="page"/>
      </w:r>
      <w:r>
        <w:rPr>
          <w:rFonts w:hint="eastAsia" w:hAnsi="宋体" w:cs="黑体"/>
          <w:b/>
          <w:sz w:val="36"/>
          <w:szCs w:val="36"/>
        </w:rPr>
        <w:t>第八章投标文件格式</w:t>
      </w:r>
      <w:bookmarkEnd w:id="88"/>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sz w:val="52"/>
          <w:szCs w:val="22"/>
        </w:rPr>
      </w:pPr>
      <w:r>
        <w:rPr>
          <w:rFonts w:hint="eastAsia" w:hAnsi="宋体" w:cs="宋体"/>
          <w:bCs/>
          <w:sz w:val="32"/>
          <w:szCs w:val="22"/>
        </w:rPr>
        <w:t>建安建工公字〔2019〕号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80"/>
        <w:jc w:val="center"/>
        <w:rPr>
          <w:rFonts w:hAnsi="宋体"/>
          <w:color w:val="auto"/>
          <w:sz w:val="23"/>
          <w:u w:val="single"/>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u w:val="single"/>
        </w:rPr>
      </w:pPr>
      <w:r>
        <w:rPr>
          <w:rFonts w:hint="eastAsia" w:hAnsi="宋体"/>
          <w:color w:val="auto"/>
          <w:sz w:val="23"/>
        </w:rPr>
        <w:t>投标人：（盖单位章）</w:t>
      </w:r>
    </w:p>
    <w:p>
      <w:pPr>
        <w:pStyle w:val="80"/>
        <w:spacing w:line="400" w:lineRule="exact"/>
        <w:rPr>
          <w:rFonts w:hAnsi="宋体"/>
          <w:color w:val="auto"/>
          <w:sz w:val="23"/>
          <w:u w:val="single"/>
        </w:rPr>
      </w:pPr>
      <w:r>
        <w:rPr>
          <w:rFonts w:hint="eastAsia" w:hAnsi="宋体"/>
          <w:color w:val="auto"/>
          <w:sz w:val="23"/>
        </w:rPr>
        <w:t xml:space="preserve">                法定代表人或其委托代理人：（签字）</w:t>
      </w:r>
    </w:p>
    <w:p>
      <w:pPr>
        <w:pStyle w:val="80"/>
        <w:spacing w:line="400" w:lineRule="exact"/>
        <w:jc w:val="center"/>
        <w:rPr>
          <w:rFonts w:hAnsi="宋体"/>
          <w:color w:val="auto"/>
          <w:sz w:val="23"/>
          <w:u w:val="single"/>
        </w:rPr>
      </w:pPr>
      <w:r>
        <w:rPr>
          <w:rFonts w:hint="eastAsia" w:hAnsi="宋体"/>
          <w:color w:val="auto"/>
          <w:sz w:val="23"/>
        </w:rPr>
        <w:t>年月日</w:t>
      </w:r>
    </w:p>
    <w:p>
      <w:pPr>
        <w:jc w:val="left"/>
        <w:rPr>
          <w:rFonts w:ascii="黑体" w:eastAsia="黑体"/>
          <w:b/>
          <w:sz w:val="32"/>
        </w:rPr>
      </w:pPr>
      <w:r>
        <w:rPr>
          <w:rFonts w:hint="eastAsia" w:hAnsi="宋体" w:cs="宋体"/>
          <w:sz w:val="28"/>
        </w:rPr>
        <w:br w:type="page"/>
      </w: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sz w:val="52"/>
          <w:szCs w:val="22"/>
        </w:rPr>
      </w:pPr>
      <w:r>
        <w:rPr>
          <w:rFonts w:hint="eastAsia" w:hAnsi="宋体" w:cs="宋体"/>
          <w:bCs/>
          <w:sz w:val="32"/>
          <w:szCs w:val="22"/>
        </w:rPr>
        <w:t>建安建工公字〔2019〕号</w:t>
      </w:r>
    </w:p>
    <w:p>
      <w:pPr>
        <w:autoSpaceDE w:val="0"/>
        <w:autoSpaceDN w:val="0"/>
        <w:adjustRightInd w:val="0"/>
        <w:spacing w:line="420" w:lineRule="exact"/>
        <w:jc w:val="center"/>
        <w:rPr>
          <w:rFonts w:hAnsi="宋体" w:cs="宋体"/>
          <w:sz w:val="44"/>
        </w:rPr>
      </w:pPr>
      <w:r>
        <w:rPr>
          <w:rFonts w:hint="eastAsia"/>
          <w:bCs/>
          <w:sz w:val="44"/>
          <w:szCs w:val="44"/>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80"/>
        <w:jc w:val="center"/>
        <w:rPr>
          <w:rFonts w:hAnsi="宋体"/>
          <w:color w:val="auto"/>
          <w:sz w:val="23"/>
          <w:u w:val="single"/>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u w:val="single"/>
        </w:rPr>
      </w:pPr>
      <w:r>
        <w:rPr>
          <w:rFonts w:hint="eastAsia" w:hAnsi="宋体"/>
          <w:color w:val="auto"/>
          <w:sz w:val="23"/>
        </w:rPr>
        <w:t>投标人：（盖单位章）</w:t>
      </w:r>
    </w:p>
    <w:p>
      <w:pPr>
        <w:pStyle w:val="80"/>
        <w:spacing w:line="400" w:lineRule="exact"/>
        <w:rPr>
          <w:rFonts w:hAnsi="宋体"/>
          <w:color w:val="auto"/>
          <w:sz w:val="23"/>
          <w:u w:val="single"/>
        </w:rPr>
      </w:pPr>
      <w:r>
        <w:rPr>
          <w:rFonts w:hint="eastAsia" w:hAnsi="宋体"/>
          <w:color w:val="auto"/>
          <w:sz w:val="23"/>
        </w:rPr>
        <w:t xml:space="preserve">                法定代表人或其委托代理人：（签字）</w:t>
      </w:r>
    </w:p>
    <w:p>
      <w:pPr>
        <w:pStyle w:val="80"/>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三、法定代表人身份证明、授权委托书及项目经理承诺书；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tabs>
          <w:tab w:val="center" w:pos="4739"/>
        </w:tabs>
        <w:rPr>
          <w:rFonts w:hAnsi="宋体"/>
          <w:b/>
          <w:sz w:val="32"/>
        </w:rPr>
      </w:pPr>
    </w:p>
    <w:p>
      <w:pPr>
        <w:tabs>
          <w:tab w:val="center" w:pos="4739"/>
        </w:tabs>
        <w:jc w:val="center"/>
        <w:rPr>
          <w:rFonts w:hAnsi="宋体"/>
          <w:b/>
          <w:sz w:val="32"/>
        </w:rPr>
      </w:pPr>
      <w:r>
        <w:rPr>
          <w:rFonts w:hint="eastAsia" w:hAnsi="宋体"/>
          <w:b/>
          <w:sz w:val="32"/>
        </w:rPr>
        <w:t>一、投标函</w:t>
      </w:r>
    </w:p>
    <w:p>
      <w:pPr>
        <w:spacing w:line="480" w:lineRule="exact"/>
        <w:rPr>
          <w:rFonts w:ascii="新宋体" w:hAnsi="新宋体" w:eastAsia="新宋体"/>
          <w:sz w:val="24"/>
        </w:rPr>
      </w:pPr>
      <w:bookmarkStart w:id="89" w:name="_Toc271787730"/>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90" w:name="_Toc250616672"/>
    </w:p>
    <w:p>
      <w:pPr>
        <w:pStyle w:val="2"/>
        <w:ind w:firstLine="340"/>
      </w:pPr>
    </w:p>
    <w:p>
      <w:pPr>
        <w:pStyle w:val="2"/>
        <w:ind w:firstLine="340"/>
      </w:pPr>
    </w:p>
    <w:p>
      <w:pPr>
        <w:autoSpaceDE w:val="0"/>
        <w:autoSpaceDN w:val="0"/>
        <w:adjustRightInd w:val="0"/>
        <w:outlineLvl w:val="0"/>
        <w:rPr>
          <w:rFonts w:ascii="黑体" w:hAnsi="新宋体" w:eastAsia="黑体" w:cs="黑体"/>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90"/>
    </w:p>
    <w:tbl>
      <w:tblPr>
        <w:tblStyle w:val="41"/>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项目经理</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9"/>
      <w:r>
        <w:rPr>
          <w:rFonts w:hint="eastAsia" w:hAnsi="宋体" w:cs="仿宋_GB2312"/>
          <w:b/>
          <w:sz w:val="28"/>
          <w:szCs w:val="28"/>
        </w:rPr>
        <w:t>法定代表人身份证明、授权委托书及项目经理承诺书；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91" w:name="_Toc271787731"/>
      <w:r>
        <w:rPr>
          <w:rFonts w:hint="eastAsia" w:ascii="黑体" w:hAnsi="新宋体" w:eastAsia="黑体" w:cs="黑体"/>
          <w:sz w:val="28"/>
          <w:szCs w:val="28"/>
        </w:rPr>
        <w:t>（一）法定代表人身份证明</w:t>
      </w:r>
      <w:bookmarkEnd w:id="91"/>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92" w:name="_Toc271787732"/>
      <w:r>
        <w:rPr>
          <w:rFonts w:hint="eastAsia" w:ascii="黑体" w:hAnsi="新宋体" w:eastAsia="黑体" w:cs="黑体"/>
          <w:sz w:val="28"/>
          <w:szCs w:val="28"/>
        </w:rPr>
        <w:t>（二）授权委托书</w:t>
      </w:r>
      <w:bookmarkEnd w:id="92"/>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（三）项目承诺书</w:t>
      </w: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w:t>
      </w:r>
      <w:r>
        <w:rPr>
          <w:rFonts w:hint="eastAsia"/>
          <w:sz w:val="24"/>
          <w:u w:val="single"/>
        </w:rPr>
        <w:t>　　</w:t>
      </w:r>
      <w:r>
        <w:rPr>
          <w:rFonts w:hint="eastAsia"/>
          <w:sz w:val="24"/>
        </w:rPr>
        <w:t>的项目经理，现承诺：愿意承担因我方就此弄虚作假所引起的一切法律后果。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720" w:lineRule="auto"/>
        <w:ind w:firstLine="482"/>
        <w:rPr>
          <w:sz w:val="24"/>
        </w:rPr>
      </w:pPr>
      <w:r>
        <w:rPr>
          <w:rFonts w:hint="eastAsia"/>
          <w:sz w:val="24"/>
        </w:rPr>
        <w:t>附：项目经理身份证明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项目经理：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41"/>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身份证复印件</w:t>
            </w:r>
          </w:p>
        </w:tc>
        <w:tc>
          <w:tcPr>
            <w:tcW w:w="4195" w:type="dxa"/>
            <w:vAlign w:val="center"/>
          </w:tcPr>
          <w:p>
            <w:pPr>
              <w:spacing w:line="360" w:lineRule="auto"/>
              <w:jc w:val="center"/>
              <w:rPr>
                <w:sz w:val="24"/>
              </w:rPr>
            </w:pPr>
            <w:r>
              <w:rPr>
                <w:rFonts w:hint="eastAsia"/>
                <w:sz w:val="24"/>
              </w:rPr>
              <w:t>建造师证书复印件</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3"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41"/>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附1：项目经理简历表</w:t>
      </w:r>
    </w:p>
    <w:tbl>
      <w:tblPr>
        <w:tblStyle w:val="41"/>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41"/>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项目经理</w:t>
      </w:r>
      <w:r>
        <w:rPr>
          <w:rFonts w:hint="eastAsia" w:hAnsi="宋体"/>
          <w:sz w:val="24"/>
        </w:rPr>
        <w:t>（</w:t>
      </w:r>
      <w:r>
        <w:rPr>
          <w:rFonts w:hint="eastAsia"/>
          <w:sz w:val="24"/>
        </w:rPr>
        <w:t>项目经理</w:t>
      </w:r>
      <w:r>
        <w:rPr>
          <w:rFonts w:hint="eastAsia" w:hAnsi="宋体"/>
          <w:sz w:val="24"/>
        </w:rPr>
        <w:t>姓名）现阶段没有担任任何在施建设工程项目的</w:t>
      </w:r>
      <w:r>
        <w:rPr>
          <w:rFonts w:hint="eastAsia"/>
          <w:sz w:val="24"/>
        </w:rPr>
        <w:t>项目经理</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41"/>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tbl>
      <w:tblPr>
        <w:tblStyle w:val="41"/>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41"/>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tabs>
          <w:tab w:val="center" w:pos="4739"/>
        </w:tabs>
        <w:ind w:left="180"/>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pStyle w:val="2"/>
        <w:ind w:firstLine="340"/>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pStyle w:val="2"/>
        <w:ind w:firstLine="340"/>
      </w:pPr>
    </w:p>
    <w:p>
      <w:pPr>
        <w:tabs>
          <w:tab w:val="center" w:pos="4739"/>
        </w:tabs>
        <w:ind w:left="180"/>
        <w:jc w:val="right"/>
        <w:rPr>
          <w:sz w:val="32"/>
          <w:szCs w:val="32"/>
        </w:rPr>
      </w:pPr>
    </w:p>
    <w:p>
      <w:pPr>
        <w:tabs>
          <w:tab w:val="center" w:pos="4739"/>
        </w:tabs>
        <w:rPr>
          <w:sz w:val="24"/>
        </w:rPr>
      </w:pPr>
    </w:p>
    <w:p>
      <w:pPr>
        <w:tabs>
          <w:tab w:val="center" w:pos="4739"/>
        </w:tabs>
        <w:ind w:left="180"/>
        <w:jc w:val="right"/>
        <w:rPr>
          <w:sz w:val="24"/>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tabs>
          <w:tab w:val="center" w:pos="4819"/>
          <w:tab w:val="left" w:pos="8840"/>
        </w:tabs>
        <w:autoSpaceDE w:val="0"/>
        <w:autoSpaceDN w:val="0"/>
        <w:adjustRightInd w:val="0"/>
        <w:jc w:val="left"/>
        <w:rPr>
          <w:rFonts w:hAnsi="宋体" w:cs="宋体"/>
          <w:sz w:val="52"/>
          <w:szCs w:val="22"/>
        </w:rPr>
      </w:pPr>
      <w:r>
        <w:rPr>
          <w:rFonts w:hAnsi="宋体" w:cs="宋体"/>
          <w:bCs/>
          <w:sz w:val="32"/>
          <w:szCs w:val="22"/>
        </w:rPr>
        <w:tab/>
      </w:r>
      <w:r>
        <w:rPr>
          <w:rFonts w:hint="eastAsia" w:hAnsi="宋体" w:cs="宋体"/>
          <w:bCs/>
          <w:sz w:val="32"/>
          <w:szCs w:val="22"/>
        </w:rPr>
        <w:t>建安建工公字〔2019〕</w:t>
      </w:r>
      <w:r>
        <w:rPr>
          <w:rFonts w:hint="eastAsia" w:hAnsi="宋体" w:cs="宋体"/>
          <w:bCs/>
          <w:sz w:val="32"/>
          <w:szCs w:val="22"/>
          <w:lang w:val="en-US" w:eastAsia="zh-CN"/>
        </w:rPr>
        <w:t xml:space="preserve"> </w:t>
      </w:r>
      <w:r>
        <w:rPr>
          <w:rFonts w:hint="eastAsia" w:hAnsi="宋体" w:cs="宋体"/>
          <w:bCs/>
          <w:sz w:val="32"/>
          <w:szCs w:val="22"/>
        </w:rPr>
        <w:t>号</w:t>
      </w:r>
      <w:r>
        <w:rPr>
          <w:rFonts w:hAnsi="宋体" w:cs="宋体"/>
          <w:bCs/>
          <w:sz w:val="32"/>
          <w:szCs w:val="22"/>
        </w:rPr>
        <w:tab/>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u w:val="single"/>
        </w:rPr>
      </w:pPr>
      <w:r>
        <w:rPr>
          <w:rFonts w:hint="eastAsia" w:hAnsi="宋体"/>
          <w:color w:val="auto"/>
          <w:sz w:val="23"/>
        </w:rPr>
        <w:t>投标人：（盖单位章）</w:t>
      </w:r>
    </w:p>
    <w:p>
      <w:pPr>
        <w:pStyle w:val="80"/>
        <w:spacing w:line="400" w:lineRule="exact"/>
        <w:rPr>
          <w:rFonts w:hAnsi="宋体"/>
          <w:color w:val="auto"/>
          <w:sz w:val="23"/>
          <w:u w:val="single"/>
        </w:rPr>
      </w:pPr>
      <w:r>
        <w:rPr>
          <w:rFonts w:hint="eastAsia" w:hAnsi="宋体"/>
          <w:color w:val="auto"/>
          <w:sz w:val="23"/>
        </w:rPr>
        <w:t xml:space="preserve">                法定代表人或其委托代理人：（签字）</w:t>
      </w:r>
    </w:p>
    <w:p>
      <w:pPr>
        <w:pStyle w:val="80"/>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sz w:val="18"/>
          <w:szCs w:val="18"/>
        </w:rPr>
      </w:pPr>
    </w:p>
    <w:p>
      <w:pPr>
        <w:autoSpaceDE w:val="0"/>
        <w:autoSpaceDN w:val="0"/>
        <w:adjustRightInd w:val="0"/>
        <w:spacing w:line="420" w:lineRule="exact"/>
        <w:rPr>
          <w:rFonts w:hAnsi="宋体" w:cs="宋体"/>
          <w:b/>
          <w:sz w:val="26"/>
          <w:szCs w:val="26"/>
        </w:rPr>
      </w:pPr>
    </w:p>
    <w:sectPr>
      <w:headerReference r:id="rId9" w:type="first"/>
      <w:footerReference r:id="rId11" w:type="first"/>
      <w:footerReference r:id="rId10" w:type="default"/>
      <w:pgSz w:w="11906" w:h="16838"/>
      <w:pgMar w:top="1304" w:right="1134" w:bottom="1304" w:left="1134" w:header="851" w:footer="992" w:gutter="0"/>
      <w:cols w:space="720" w:num="1"/>
      <w:titlePg/>
      <w:docGrid w:type="linesAndChar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
    <w:altName w:val="微软雅黑"/>
    <w:panose1 w:val="02010609060101010101"/>
    <w:charset w:val="86"/>
    <w:family w:val="modern"/>
    <w:pitch w:val="default"/>
    <w:sig w:usb0="00000000" w:usb1="00000000"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_gb2312">
    <w:altName w:val="宋体"/>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YS1C9kAAAAJAQAADwAAAAAAAAABACAAAAAiAAAAZHJzL2Rvd25yZXYu&#10;eG1sUEsBAhQAFAAAAAgAh07iQAB4jcvBAQAAYAMAAA4AAAAAAAAAAQAgAAAAKAEAAGRycy9lMm9E&#10;b2MueG1sUEsFBgAAAAAGAAYAWQEAAFsFA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single" w:color="auto" w:sz="6" w:space="0"/>
      </w:pBdr>
      <w:ind w:right="90" w:firstLine="90" w:firstLineChars="50"/>
      <w:jc w:val="right"/>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54C74"/>
    <w:multiLevelType w:val="singleLevel"/>
    <w:tmpl w:val="C4C54C74"/>
    <w:lvl w:ilvl="0" w:tentative="0">
      <w:start w:val="3"/>
      <w:numFmt w:val="chineseCounting"/>
      <w:suff w:val="nothing"/>
      <w:lvlText w:val="第%1章、"/>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abstractNum w:abstractNumId="5">
    <w:nsid w:val="5A9F875C"/>
    <w:multiLevelType w:val="singleLevel"/>
    <w:tmpl w:val="5A9F875C"/>
    <w:lvl w:ilvl="0" w:tentative="0">
      <w:start w:val="1"/>
      <w:numFmt w:val="chineseCounting"/>
      <w:suff w:val="space"/>
      <w:lvlText w:val="第%1章"/>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70"/>
  <w:drawingGridVerticalSpacing w:val="231"/>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168"/>
    <w:rsid w:val="00002165"/>
    <w:rsid w:val="000026C2"/>
    <w:rsid w:val="000206AB"/>
    <w:rsid w:val="00020C45"/>
    <w:rsid w:val="000221B0"/>
    <w:rsid w:val="0002487C"/>
    <w:rsid w:val="000307B7"/>
    <w:rsid w:val="0003489B"/>
    <w:rsid w:val="00042029"/>
    <w:rsid w:val="0004553F"/>
    <w:rsid w:val="00053998"/>
    <w:rsid w:val="0005578B"/>
    <w:rsid w:val="00056F61"/>
    <w:rsid w:val="00060023"/>
    <w:rsid w:val="00061BCD"/>
    <w:rsid w:val="0008358D"/>
    <w:rsid w:val="000948C6"/>
    <w:rsid w:val="000A0876"/>
    <w:rsid w:val="000A48CB"/>
    <w:rsid w:val="000A720A"/>
    <w:rsid w:val="000B4B31"/>
    <w:rsid w:val="000C5130"/>
    <w:rsid w:val="000C68E2"/>
    <w:rsid w:val="000D038F"/>
    <w:rsid w:val="000D4A95"/>
    <w:rsid w:val="000D70F0"/>
    <w:rsid w:val="000E0FE7"/>
    <w:rsid w:val="000E25C7"/>
    <w:rsid w:val="000F0912"/>
    <w:rsid w:val="000F52B5"/>
    <w:rsid w:val="001128C9"/>
    <w:rsid w:val="00113C68"/>
    <w:rsid w:val="001407F2"/>
    <w:rsid w:val="00141371"/>
    <w:rsid w:val="001617DE"/>
    <w:rsid w:val="001621DF"/>
    <w:rsid w:val="00170351"/>
    <w:rsid w:val="00172A27"/>
    <w:rsid w:val="00176F7E"/>
    <w:rsid w:val="00190A8C"/>
    <w:rsid w:val="001912DC"/>
    <w:rsid w:val="001929B3"/>
    <w:rsid w:val="00193F11"/>
    <w:rsid w:val="001A030E"/>
    <w:rsid w:val="001B54FF"/>
    <w:rsid w:val="001B72F2"/>
    <w:rsid w:val="001C7AF9"/>
    <w:rsid w:val="001C7C8B"/>
    <w:rsid w:val="001E4B47"/>
    <w:rsid w:val="001F3466"/>
    <w:rsid w:val="00207CE5"/>
    <w:rsid w:val="00216D04"/>
    <w:rsid w:val="002225A8"/>
    <w:rsid w:val="00223978"/>
    <w:rsid w:val="002330D7"/>
    <w:rsid w:val="00243568"/>
    <w:rsid w:val="00246953"/>
    <w:rsid w:val="00262141"/>
    <w:rsid w:val="00262FC5"/>
    <w:rsid w:val="00272BC1"/>
    <w:rsid w:val="002838F3"/>
    <w:rsid w:val="00285179"/>
    <w:rsid w:val="00290A21"/>
    <w:rsid w:val="002941A4"/>
    <w:rsid w:val="002945F8"/>
    <w:rsid w:val="00296AD9"/>
    <w:rsid w:val="002A16C2"/>
    <w:rsid w:val="002A38DB"/>
    <w:rsid w:val="002A5312"/>
    <w:rsid w:val="002B1B5F"/>
    <w:rsid w:val="002B449E"/>
    <w:rsid w:val="002B452D"/>
    <w:rsid w:val="002B6CFD"/>
    <w:rsid w:val="002C349A"/>
    <w:rsid w:val="002C5F81"/>
    <w:rsid w:val="002D0A31"/>
    <w:rsid w:val="002D14B4"/>
    <w:rsid w:val="002E4AC4"/>
    <w:rsid w:val="002E5709"/>
    <w:rsid w:val="002E5D21"/>
    <w:rsid w:val="002F399A"/>
    <w:rsid w:val="00303CC8"/>
    <w:rsid w:val="003040AB"/>
    <w:rsid w:val="00306FA0"/>
    <w:rsid w:val="00310C30"/>
    <w:rsid w:val="003122E2"/>
    <w:rsid w:val="00317EF6"/>
    <w:rsid w:val="0032098B"/>
    <w:rsid w:val="00335897"/>
    <w:rsid w:val="003364D6"/>
    <w:rsid w:val="00343A07"/>
    <w:rsid w:val="00344E9F"/>
    <w:rsid w:val="00352160"/>
    <w:rsid w:val="00356E8B"/>
    <w:rsid w:val="003618A5"/>
    <w:rsid w:val="003666F0"/>
    <w:rsid w:val="00386B3C"/>
    <w:rsid w:val="003875B4"/>
    <w:rsid w:val="0039084C"/>
    <w:rsid w:val="00390D9C"/>
    <w:rsid w:val="00393239"/>
    <w:rsid w:val="00395734"/>
    <w:rsid w:val="00396A50"/>
    <w:rsid w:val="003A5F5E"/>
    <w:rsid w:val="003A5F90"/>
    <w:rsid w:val="003B04D0"/>
    <w:rsid w:val="003B483B"/>
    <w:rsid w:val="003B572C"/>
    <w:rsid w:val="003C086D"/>
    <w:rsid w:val="003C1457"/>
    <w:rsid w:val="003C188A"/>
    <w:rsid w:val="003C3939"/>
    <w:rsid w:val="003C4244"/>
    <w:rsid w:val="003C7347"/>
    <w:rsid w:val="003D228E"/>
    <w:rsid w:val="003D66BD"/>
    <w:rsid w:val="003E1000"/>
    <w:rsid w:val="003E344A"/>
    <w:rsid w:val="003E5FBF"/>
    <w:rsid w:val="003F0977"/>
    <w:rsid w:val="003F16E6"/>
    <w:rsid w:val="003F310F"/>
    <w:rsid w:val="003F7AB9"/>
    <w:rsid w:val="0041298A"/>
    <w:rsid w:val="00415BC0"/>
    <w:rsid w:val="00415F75"/>
    <w:rsid w:val="00422AC9"/>
    <w:rsid w:val="00425C54"/>
    <w:rsid w:val="00437714"/>
    <w:rsid w:val="00460128"/>
    <w:rsid w:val="00461496"/>
    <w:rsid w:val="004622E3"/>
    <w:rsid w:val="004654C5"/>
    <w:rsid w:val="0047049E"/>
    <w:rsid w:val="00477253"/>
    <w:rsid w:val="004864B7"/>
    <w:rsid w:val="00490B4F"/>
    <w:rsid w:val="00492281"/>
    <w:rsid w:val="004A0878"/>
    <w:rsid w:val="004B7CCF"/>
    <w:rsid w:val="004C2CFA"/>
    <w:rsid w:val="004C50A5"/>
    <w:rsid w:val="004D2B00"/>
    <w:rsid w:val="004D4388"/>
    <w:rsid w:val="004D4ACD"/>
    <w:rsid w:val="004E06CE"/>
    <w:rsid w:val="004E3A03"/>
    <w:rsid w:val="004F1948"/>
    <w:rsid w:val="004F40FD"/>
    <w:rsid w:val="00502770"/>
    <w:rsid w:val="005046F1"/>
    <w:rsid w:val="00505474"/>
    <w:rsid w:val="0051467F"/>
    <w:rsid w:val="005178C3"/>
    <w:rsid w:val="005203E6"/>
    <w:rsid w:val="00521D31"/>
    <w:rsid w:val="00523579"/>
    <w:rsid w:val="00525BCF"/>
    <w:rsid w:val="00536EC8"/>
    <w:rsid w:val="00567406"/>
    <w:rsid w:val="0057529B"/>
    <w:rsid w:val="00597680"/>
    <w:rsid w:val="005A0D44"/>
    <w:rsid w:val="005A15A5"/>
    <w:rsid w:val="005B42CF"/>
    <w:rsid w:val="005C2FC1"/>
    <w:rsid w:val="005C752B"/>
    <w:rsid w:val="005C7B38"/>
    <w:rsid w:val="005C7D89"/>
    <w:rsid w:val="005E093B"/>
    <w:rsid w:val="005E3624"/>
    <w:rsid w:val="005F5DB4"/>
    <w:rsid w:val="00605089"/>
    <w:rsid w:val="006059FD"/>
    <w:rsid w:val="006111AB"/>
    <w:rsid w:val="0061138F"/>
    <w:rsid w:val="0061315C"/>
    <w:rsid w:val="0061516E"/>
    <w:rsid w:val="006153D9"/>
    <w:rsid w:val="0061641E"/>
    <w:rsid w:val="00622E52"/>
    <w:rsid w:val="00623A4B"/>
    <w:rsid w:val="00626173"/>
    <w:rsid w:val="00630C65"/>
    <w:rsid w:val="00631964"/>
    <w:rsid w:val="00633B63"/>
    <w:rsid w:val="00653C36"/>
    <w:rsid w:val="00657EFD"/>
    <w:rsid w:val="00661C56"/>
    <w:rsid w:val="0066776E"/>
    <w:rsid w:val="00675296"/>
    <w:rsid w:val="00690B4D"/>
    <w:rsid w:val="006919AF"/>
    <w:rsid w:val="006940D7"/>
    <w:rsid w:val="0069607A"/>
    <w:rsid w:val="006A3BD6"/>
    <w:rsid w:val="006A636E"/>
    <w:rsid w:val="006B1BD6"/>
    <w:rsid w:val="006C58EE"/>
    <w:rsid w:val="006D2B48"/>
    <w:rsid w:val="006D5C33"/>
    <w:rsid w:val="006E2A76"/>
    <w:rsid w:val="006E42B1"/>
    <w:rsid w:val="006F1E2F"/>
    <w:rsid w:val="006F2F1D"/>
    <w:rsid w:val="006F2F77"/>
    <w:rsid w:val="006F4243"/>
    <w:rsid w:val="00701A45"/>
    <w:rsid w:val="007047EC"/>
    <w:rsid w:val="00704EE7"/>
    <w:rsid w:val="0070629E"/>
    <w:rsid w:val="00711825"/>
    <w:rsid w:val="00713BC2"/>
    <w:rsid w:val="00715420"/>
    <w:rsid w:val="00715CEE"/>
    <w:rsid w:val="007258B7"/>
    <w:rsid w:val="007259DB"/>
    <w:rsid w:val="00734F04"/>
    <w:rsid w:val="0073757E"/>
    <w:rsid w:val="00737EEE"/>
    <w:rsid w:val="007425B6"/>
    <w:rsid w:val="00751460"/>
    <w:rsid w:val="007545F3"/>
    <w:rsid w:val="007559E7"/>
    <w:rsid w:val="007605FA"/>
    <w:rsid w:val="00760E93"/>
    <w:rsid w:val="0076566C"/>
    <w:rsid w:val="007675A2"/>
    <w:rsid w:val="0077752D"/>
    <w:rsid w:val="00777F6E"/>
    <w:rsid w:val="007A249B"/>
    <w:rsid w:val="007A5243"/>
    <w:rsid w:val="007A5D36"/>
    <w:rsid w:val="007B04E0"/>
    <w:rsid w:val="007B2ED1"/>
    <w:rsid w:val="007B4499"/>
    <w:rsid w:val="007E6E4C"/>
    <w:rsid w:val="007F00E2"/>
    <w:rsid w:val="007F6251"/>
    <w:rsid w:val="00804EC3"/>
    <w:rsid w:val="0080662A"/>
    <w:rsid w:val="008100C7"/>
    <w:rsid w:val="0081250A"/>
    <w:rsid w:val="0081767F"/>
    <w:rsid w:val="00827E47"/>
    <w:rsid w:val="0083254B"/>
    <w:rsid w:val="0083262E"/>
    <w:rsid w:val="00837836"/>
    <w:rsid w:val="00843389"/>
    <w:rsid w:val="00853BA8"/>
    <w:rsid w:val="00855EAA"/>
    <w:rsid w:val="008652FF"/>
    <w:rsid w:val="00880FE6"/>
    <w:rsid w:val="00887C98"/>
    <w:rsid w:val="008A6355"/>
    <w:rsid w:val="008B0BE3"/>
    <w:rsid w:val="008B19B5"/>
    <w:rsid w:val="008B31E3"/>
    <w:rsid w:val="008C40F0"/>
    <w:rsid w:val="008C5623"/>
    <w:rsid w:val="008D64E5"/>
    <w:rsid w:val="008D77C9"/>
    <w:rsid w:val="008F5961"/>
    <w:rsid w:val="009046D3"/>
    <w:rsid w:val="009063CE"/>
    <w:rsid w:val="00906B6B"/>
    <w:rsid w:val="00913652"/>
    <w:rsid w:val="00914023"/>
    <w:rsid w:val="0093187B"/>
    <w:rsid w:val="00942D61"/>
    <w:rsid w:val="00945BA6"/>
    <w:rsid w:val="00947A32"/>
    <w:rsid w:val="00953E1B"/>
    <w:rsid w:val="0095693D"/>
    <w:rsid w:val="00960292"/>
    <w:rsid w:val="00964C0D"/>
    <w:rsid w:val="00967E31"/>
    <w:rsid w:val="00971CAB"/>
    <w:rsid w:val="009750E5"/>
    <w:rsid w:val="0098190A"/>
    <w:rsid w:val="00982AE9"/>
    <w:rsid w:val="00984D0F"/>
    <w:rsid w:val="00990759"/>
    <w:rsid w:val="00996D4F"/>
    <w:rsid w:val="009A0AEF"/>
    <w:rsid w:val="009A54C5"/>
    <w:rsid w:val="009B0078"/>
    <w:rsid w:val="009C1318"/>
    <w:rsid w:val="009C15B6"/>
    <w:rsid w:val="009D2B64"/>
    <w:rsid w:val="009D2ED7"/>
    <w:rsid w:val="009D4EC7"/>
    <w:rsid w:val="009E399B"/>
    <w:rsid w:val="009E474B"/>
    <w:rsid w:val="009E6D32"/>
    <w:rsid w:val="009F2428"/>
    <w:rsid w:val="009F260B"/>
    <w:rsid w:val="009F5802"/>
    <w:rsid w:val="009F6862"/>
    <w:rsid w:val="00A02446"/>
    <w:rsid w:val="00A0564B"/>
    <w:rsid w:val="00A068BC"/>
    <w:rsid w:val="00A074C4"/>
    <w:rsid w:val="00A11DD3"/>
    <w:rsid w:val="00A17820"/>
    <w:rsid w:val="00A20EE8"/>
    <w:rsid w:val="00A23EC7"/>
    <w:rsid w:val="00A272E1"/>
    <w:rsid w:val="00A35603"/>
    <w:rsid w:val="00A40FF4"/>
    <w:rsid w:val="00A46546"/>
    <w:rsid w:val="00A500A7"/>
    <w:rsid w:val="00A5380D"/>
    <w:rsid w:val="00A624B2"/>
    <w:rsid w:val="00A728AE"/>
    <w:rsid w:val="00A74405"/>
    <w:rsid w:val="00A86771"/>
    <w:rsid w:val="00A919DC"/>
    <w:rsid w:val="00A926DB"/>
    <w:rsid w:val="00A94023"/>
    <w:rsid w:val="00A94815"/>
    <w:rsid w:val="00A976FA"/>
    <w:rsid w:val="00AA1746"/>
    <w:rsid w:val="00AA1C92"/>
    <w:rsid w:val="00AB0703"/>
    <w:rsid w:val="00AB1DB2"/>
    <w:rsid w:val="00AB3227"/>
    <w:rsid w:val="00AC4975"/>
    <w:rsid w:val="00AE3172"/>
    <w:rsid w:val="00AE432D"/>
    <w:rsid w:val="00AE5DA1"/>
    <w:rsid w:val="00B00A2B"/>
    <w:rsid w:val="00B12477"/>
    <w:rsid w:val="00B2017A"/>
    <w:rsid w:val="00B31935"/>
    <w:rsid w:val="00B33A32"/>
    <w:rsid w:val="00B6140C"/>
    <w:rsid w:val="00B84440"/>
    <w:rsid w:val="00B92E15"/>
    <w:rsid w:val="00B95BE7"/>
    <w:rsid w:val="00B97E45"/>
    <w:rsid w:val="00BA0CAB"/>
    <w:rsid w:val="00BA1328"/>
    <w:rsid w:val="00BA3B90"/>
    <w:rsid w:val="00BB7AF1"/>
    <w:rsid w:val="00BC2BAE"/>
    <w:rsid w:val="00BD2DF1"/>
    <w:rsid w:val="00BE3E23"/>
    <w:rsid w:val="00BF3412"/>
    <w:rsid w:val="00BF594F"/>
    <w:rsid w:val="00BF716D"/>
    <w:rsid w:val="00C13D39"/>
    <w:rsid w:val="00C14876"/>
    <w:rsid w:val="00C179DF"/>
    <w:rsid w:val="00C40DF7"/>
    <w:rsid w:val="00C475E1"/>
    <w:rsid w:val="00C47F9D"/>
    <w:rsid w:val="00C616A4"/>
    <w:rsid w:val="00C76F05"/>
    <w:rsid w:val="00C8048C"/>
    <w:rsid w:val="00C8055C"/>
    <w:rsid w:val="00C80D7D"/>
    <w:rsid w:val="00C82F3F"/>
    <w:rsid w:val="00C83852"/>
    <w:rsid w:val="00C840A3"/>
    <w:rsid w:val="00C87FBD"/>
    <w:rsid w:val="00C94803"/>
    <w:rsid w:val="00C96F90"/>
    <w:rsid w:val="00CB40DA"/>
    <w:rsid w:val="00CB6406"/>
    <w:rsid w:val="00CB7BEE"/>
    <w:rsid w:val="00CC4F8E"/>
    <w:rsid w:val="00CC77F0"/>
    <w:rsid w:val="00CD1852"/>
    <w:rsid w:val="00CE0EDA"/>
    <w:rsid w:val="00CE5747"/>
    <w:rsid w:val="00CF3870"/>
    <w:rsid w:val="00CF7230"/>
    <w:rsid w:val="00D05B24"/>
    <w:rsid w:val="00D131F4"/>
    <w:rsid w:val="00D14B49"/>
    <w:rsid w:val="00D30BB3"/>
    <w:rsid w:val="00D408FE"/>
    <w:rsid w:val="00D576E4"/>
    <w:rsid w:val="00D763A0"/>
    <w:rsid w:val="00D76418"/>
    <w:rsid w:val="00D807AE"/>
    <w:rsid w:val="00D8542C"/>
    <w:rsid w:val="00D8731F"/>
    <w:rsid w:val="00D926D6"/>
    <w:rsid w:val="00D97E37"/>
    <w:rsid w:val="00DA29A1"/>
    <w:rsid w:val="00DA2BDF"/>
    <w:rsid w:val="00DA3EDB"/>
    <w:rsid w:val="00DB04BE"/>
    <w:rsid w:val="00DE374E"/>
    <w:rsid w:val="00DE66BC"/>
    <w:rsid w:val="00DF45E1"/>
    <w:rsid w:val="00DF7149"/>
    <w:rsid w:val="00E05446"/>
    <w:rsid w:val="00E2714D"/>
    <w:rsid w:val="00E3761C"/>
    <w:rsid w:val="00E44B4D"/>
    <w:rsid w:val="00E5143A"/>
    <w:rsid w:val="00E53522"/>
    <w:rsid w:val="00E538F9"/>
    <w:rsid w:val="00E85D4E"/>
    <w:rsid w:val="00EA5008"/>
    <w:rsid w:val="00EB33D6"/>
    <w:rsid w:val="00EB421A"/>
    <w:rsid w:val="00ED45F9"/>
    <w:rsid w:val="00EE0F95"/>
    <w:rsid w:val="00EF5B36"/>
    <w:rsid w:val="00F00F75"/>
    <w:rsid w:val="00F02F54"/>
    <w:rsid w:val="00F10827"/>
    <w:rsid w:val="00F115CA"/>
    <w:rsid w:val="00F303B1"/>
    <w:rsid w:val="00F37C74"/>
    <w:rsid w:val="00F44FA6"/>
    <w:rsid w:val="00F46761"/>
    <w:rsid w:val="00F467A0"/>
    <w:rsid w:val="00F63C92"/>
    <w:rsid w:val="00F66F63"/>
    <w:rsid w:val="00F67CC6"/>
    <w:rsid w:val="00F70363"/>
    <w:rsid w:val="00F728FE"/>
    <w:rsid w:val="00F7314E"/>
    <w:rsid w:val="00F83958"/>
    <w:rsid w:val="00F9261B"/>
    <w:rsid w:val="00F94E4D"/>
    <w:rsid w:val="00FA0CBC"/>
    <w:rsid w:val="00FA563C"/>
    <w:rsid w:val="00FB05BF"/>
    <w:rsid w:val="00FB0FB3"/>
    <w:rsid w:val="00FB0FEB"/>
    <w:rsid w:val="00FB52C0"/>
    <w:rsid w:val="00FC0AD2"/>
    <w:rsid w:val="00FC0C1C"/>
    <w:rsid w:val="00FD13AF"/>
    <w:rsid w:val="00FD2C2A"/>
    <w:rsid w:val="00FF0880"/>
    <w:rsid w:val="00FF1008"/>
    <w:rsid w:val="00FF206D"/>
    <w:rsid w:val="00FF29C1"/>
    <w:rsid w:val="00FF6F1E"/>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F4EFD"/>
    <w:rsid w:val="04F61493"/>
    <w:rsid w:val="05336A3F"/>
    <w:rsid w:val="053D00B6"/>
    <w:rsid w:val="056C4502"/>
    <w:rsid w:val="05A07B6E"/>
    <w:rsid w:val="05A90937"/>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5A6EDC"/>
    <w:rsid w:val="12A5368B"/>
    <w:rsid w:val="1306646C"/>
    <w:rsid w:val="13396B15"/>
    <w:rsid w:val="13701D4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526A54"/>
    <w:rsid w:val="16DA63EA"/>
    <w:rsid w:val="177E7E5E"/>
    <w:rsid w:val="17A72250"/>
    <w:rsid w:val="17E04FBA"/>
    <w:rsid w:val="181513AA"/>
    <w:rsid w:val="18316C93"/>
    <w:rsid w:val="189916D9"/>
    <w:rsid w:val="18A80767"/>
    <w:rsid w:val="18FF026F"/>
    <w:rsid w:val="190726A4"/>
    <w:rsid w:val="191A476F"/>
    <w:rsid w:val="19314C8D"/>
    <w:rsid w:val="19322AB7"/>
    <w:rsid w:val="19376D41"/>
    <w:rsid w:val="1998712F"/>
    <w:rsid w:val="19C373F7"/>
    <w:rsid w:val="1A031C47"/>
    <w:rsid w:val="1A4A02D3"/>
    <w:rsid w:val="1A5A052E"/>
    <w:rsid w:val="1AD86972"/>
    <w:rsid w:val="1B2120AC"/>
    <w:rsid w:val="1B8A146C"/>
    <w:rsid w:val="1BAA7CD3"/>
    <w:rsid w:val="1BCF5236"/>
    <w:rsid w:val="1BF51208"/>
    <w:rsid w:val="1C6B0F54"/>
    <w:rsid w:val="1C8708CB"/>
    <w:rsid w:val="1C9D5B1D"/>
    <w:rsid w:val="1CEC79F8"/>
    <w:rsid w:val="1CF35E70"/>
    <w:rsid w:val="1D3C3646"/>
    <w:rsid w:val="1D5505BA"/>
    <w:rsid w:val="1DA97E12"/>
    <w:rsid w:val="1DC62049"/>
    <w:rsid w:val="1DD90759"/>
    <w:rsid w:val="1E524C7C"/>
    <w:rsid w:val="1E9425BF"/>
    <w:rsid w:val="1FAD4401"/>
    <w:rsid w:val="1FCC3593"/>
    <w:rsid w:val="202366AA"/>
    <w:rsid w:val="20497170"/>
    <w:rsid w:val="20A278EC"/>
    <w:rsid w:val="20A47CC5"/>
    <w:rsid w:val="20B14A46"/>
    <w:rsid w:val="20D3484E"/>
    <w:rsid w:val="20D47DB9"/>
    <w:rsid w:val="219F1645"/>
    <w:rsid w:val="228251F5"/>
    <w:rsid w:val="22AC5A58"/>
    <w:rsid w:val="22AF1B9D"/>
    <w:rsid w:val="23BA6F2A"/>
    <w:rsid w:val="23BF69E9"/>
    <w:rsid w:val="23ED5BF9"/>
    <w:rsid w:val="23FE4E88"/>
    <w:rsid w:val="24253A31"/>
    <w:rsid w:val="24366238"/>
    <w:rsid w:val="244F0613"/>
    <w:rsid w:val="245453D0"/>
    <w:rsid w:val="261D692A"/>
    <w:rsid w:val="26206288"/>
    <w:rsid w:val="262B336A"/>
    <w:rsid w:val="268E0AD7"/>
    <w:rsid w:val="26EB4D63"/>
    <w:rsid w:val="26FD2231"/>
    <w:rsid w:val="271D34AE"/>
    <w:rsid w:val="27F01DF4"/>
    <w:rsid w:val="281E0FE5"/>
    <w:rsid w:val="289A661F"/>
    <w:rsid w:val="292B2876"/>
    <w:rsid w:val="293A6D89"/>
    <w:rsid w:val="296B0A15"/>
    <w:rsid w:val="29D827B0"/>
    <w:rsid w:val="29D90988"/>
    <w:rsid w:val="29EF08CA"/>
    <w:rsid w:val="2A2D6002"/>
    <w:rsid w:val="2A3C2B26"/>
    <w:rsid w:val="2ADE189C"/>
    <w:rsid w:val="2AF730EF"/>
    <w:rsid w:val="2B0F6C2E"/>
    <w:rsid w:val="2B1C2E31"/>
    <w:rsid w:val="2B2926C1"/>
    <w:rsid w:val="2B351489"/>
    <w:rsid w:val="2B661A55"/>
    <w:rsid w:val="2B8C1610"/>
    <w:rsid w:val="2B967A5F"/>
    <w:rsid w:val="2BE85CD5"/>
    <w:rsid w:val="2BF47537"/>
    <w:rsid w:val="2C41373D"/>
    <w:rsid w:val="2C4338B1"/>
    <w:rsid w:val="2CA32136"/>
    <w:rsid w:val="2CBD63FA"/>
    <w:rsid w:val="2DA53C82"/>
    <w:rsid w:val="2E4C12F6"/>
    <w:rsid w:val="2EAD42E7"/>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1B1E19"/>
    <w:rsid w:val="32B35085"/>
    <w:rsid w:val="32DC3B5D"/>
    <w:rsid w:val="332C57BA"/>
    <w:rsid w:val="33C24013"/>
    <w:rsid w:val="33D134FA"/>
    <w:rsid w:val="350267A3"/>
    <w:rsid w:val="352A4911"/>
    <w:rsid w:val="3543129D"/>
    <w:rsid w:val="364411F3"/>
    <w:rsid w:val="36E93994"/>
    <w:rsid w:val="3762597F"/>
    <w:rsid w:val="37AF1E47"/>
    <w:rsid w:val="37B3163C"/>
    <w:rsid w:val="37F11A22"/>
    <w:rsid w:val="381F0F23"/>
    <w:rsid w:val="382F4F00"/>
    <w:rsid w:val="38F81758"/>
    <w:rsid w:val="394B386E"/>
    <w:rsid w:val="3A0F66F0"/>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143A8"/>
    <w:rsid w:val="3CC2265C"/>
    <w:rsid w:val="3DB27522"/>
    <w:rsid w:val="3DBA0DE7"/>
    <w:rsid w:val="3E0811A4"/>
    <w:rsid w:val="3E1E0329"/>
    <w:rsid w:val="3E9D334D"/>
    <w:rsid w:val="3ED830C1"/>
    <w:rsid w:val="3F5F5B0A"/>
    <w:rsid w:val="3F6E75BE"/>
    <w:rsid w:val="3F6F3B4F"/>
    <w:rsid w:val="3FD225D7"/>
    <w:rsid w:val="3FED5807"/>
    <w:rsid w:val="401E51CD"/>
    <w:rsid w:val="402B4B66"/>
    <w:rsid w:val="402F2E6D"/>
    <w:rsid w:val="40833C36"/>
    <w:rsid w:val="40C42B15"/>
    <w:rsid w:val="41380022"/>
    <w:rsid w:val="413A779B"/>
    <w:rsid w:val="41C85B65"/>
    <w:rsid w:val="41ED2F10"/>
    <w:rsid w:val="41F91632"/>
    <w:rsid w:val="420B640A"/>
    <w:rsid w:val="42756582"/>
    <w:rsid w:val="43074B6B"/>
    <w:rsid w:val="43155376"/>
    <w:rsid w:val="43515855"/>
    <w:rsid w:val="43CD3848"/>
    <w:rsid w:val="43FC4765"/>
    <w:rsid w:val="4413719D"/>
    <w:rsid w:val="44190BF7"/>
    <w:rsid w:val="44537DBC"/>
    <w:rsid w:val="44641E1F"/>
    <w:rsid w:val="44917ED3"/>
    <w:rsid w:val="44D14757"/>
    <w:rsid w:val="44E86CB8"/>
    <w:rsid w:val="44FD16E5"/>
    <w:rsid w:val="459267A0"/>
    <w:rsid w:val="45D832AE"/>
    <w:rsid w:val="45DB5EC4"/>
    <w:rsid w:val="45F3766A"/>
    <w:rsid w:val="4634113C"/>
    <w:rsid w:val="465C610C"/>
    <w:rsid w:val="468C526C"/>
    <w:rsid w:val="469D1377"/>
    <w:rsid w:val="46A20458"/>
    <w:rsid w:val="46BE102C"/>
    <w:rsid w:val="46E061F1"/>
    <w:rsid w:val="46E74935"/>
    <w:rsid w:val="46E813ED"/>
    <w:rsid w:val="47017745"/>
    <w:rsid w:val="47645B43"/>
    <w:rsid w:val="47A84DA9"/>
    <w:rsid w:val="47C759B2"/>
    <w:rsid w:val="48615AB5"/>
    <w:rsid w:val="48651BCD"/>
    <w:rsid w:val="48745655"/>
    <w:rsid w:val="487E013D"/>
    <w:rsid w:val="48F0581F"/>
    <w:rsid w:val="49032A86"/>
    <w:rsid w:val="493F1D69"/>
    <w:rsid w:val="49594955"/>
    <w:rsid w:val="498D1F4C"/>
    <w:rsid w:val="49AA59B2"/>
    <w:rsid w:val="49CF2911"/>
    <w:rsid w:val="49E50628"/>
    <w:rsid w:val="4A0F57C3"/>
    <w:rsid w:val="4A7B0D63"/>
    <w:rsid w:val="4AB11443"/>
    <w:rsid w:val="4ADD0CFA"/>
    <w:rsid w:val="4B157C35"/>
    <w:rsid w:val="4B8D7C37"/>
    <w:rsid w:val="4B91311E"/>
    <w:rsid w:val="4BA82162"/>
    <w:rsid w:val="4BDE396C"/>
    <w:rsid w:val="4BEC39C9"/>
    <w:rsid w:val="4BF47C24"/>
    <w:rsid w:val="4BFF06A6"/>
    <w:rsid w:val="4C563314"/>
    <w:rsid w:val="4C8079F6"/>
    <w:rsid w:val="4C9301B2"/>
    <w:rsid w:val="4D2F59D2"/>
    <w:rsid w:val="4D363C0B"/>
    <w:rsid w:val="4D3B6DAA"/>
    <w:rsid w:val="4D687814"/>
    <w:rsid w:val="4D7F5C38"/>
    <w:rsid w:val="4DBC24D9"/>
    <w:rsid w:val="4E5E1C79"/>
    <w:rsid w:val="4ECC0A63"/>
    <w:rsid w:val="4ED11A46"/>
    <w:rsid w:val="4EE52AC1"/>
    <w:rsid w:val="4F2B024A"/>
    <w:rsid w:val="4F760AE0"/>
    <w:rsid w:val="4F817B37"/>
    <w:rsid w:val="50100886"/>
    <w:rsid w:val="50583DB2"/>
    <w:rsid w:val="50673B5C"/>
    <w:rsid w:val="50760C36"/>
    <w:rsid w:val="50982913"/>
    <w:rsid w:val="50CE42A9"/>
    <w:rsid w:val="50D91C6D"/>
    <w:rsid w:val="50F06DA8"/>
    <w:rsid w:val="510420F7"/>
    <w:rsid w:val="514B43E3"/>
    <w:rsid w:val="51567631"/>
    <w:rsid w:val="5162639F"/>
    <w:rsid w:val="51AA21BB"/>
    <w:rsid w:val="51E60E87"/>
    <w:rsid w:val="51F66CD0"/>
    <w:rsid w:val="5285462C"/>
    <w:rsid w:val="52AC49F5"/>
    <w:rsid w:val="52AD4347"/>
    <w:rsid w:val="52CA2BF0"/>
    <w:rsid w:val="532C5BCA"/>
    <w:rsid w:val="53FC307D"/>
    <w:rsid w:val="54153A4D"/>
    <w:rsid w:val="54563723"/>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3762D9"/>
    <w:rsid w:val="5E38357C"/>
    <w:rsid w:val="5E7205D5"/>
    <w:rsid w:val="5EFC3C5C"/>
    <w:rsid w:val="5F2556F8"/>
    <w:rsid w:val="5F472817"/>
    <w:rsid w:val="5F65126D"/>
    <w:rsid w:val="5F851A81"/>
    <w:rsid w:val="5FAA7F21"/>
    <w:rsid w:val="60182510"/>
    <w:rsid w:val="60527275"/>
    <w:rsid w:val="60A760A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3B3D46"/>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B4439C"/>
    <w:rsid w:val="67C44765"/>
    <w:rsid w:val="680E7CB8"/>
    <w:rsid w:val="68961081"/>
    <w:rsid w:val="6AE65093"/>
    <w:rsid w:val="6B132F4E"/>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A214DF"/>
    <w:rsid w:val="70AB74CF"/>
    <w:rsid w:val="70B53817"/>
    <w:rsid w:val="70D45145"/>
    <w:rsid w:val="715044D6"/>
    <w:rsid w:val="71863CBA"/>
    <w:rsid w:val="71C15203"/>
    <w:rsid w:val="7254789B"/>
    <w:rsid w:val="727608EA"/>
    <w:rsid w:val="72A43286"/>
    <w:rsid w:val="730208D7"/>
    <w:rsid w:val="736B1B21"/>
    <w:rsid w:val="739A5F82"/>
    <w:rsid w:val="73CE3686"/>
    <w:rsid w:val="73D535AF"/>
    <w:rsid w:val="73DA381C"/>
    <w:rsid w:val="73E92EBE"/>
    <w:rsid w:val="743D795A"/>
    <w:rsid w:val="744B3786"/>
    <w:rsid w:val="74874DE9"/>
    <w:rsid w:val="7508592C"/>
    <w:rsid w:val="75224721"/>
    <w:rsid w:val="753700FE"/>
    <w:rsid w:val="7555390B"/>
    <w:rsid w:val="755C4181"/>
    <w:rsid w:val="75A41183"/>
    <w:rsid w:val="75CC76BF"/>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1808C4"/>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link w:val="103"/>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3"/>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link w:val="115"/>
    <w:qFormat/>
    <w:uiPriority w:val="0"/>
    <w:pPr>
      <w:keepNext/>
      <w:keepLines/>
      <w:spacing w:before="260" w:after="260" w:line="416" w:lineRule="auto"/>
      <w:outlineLvl w:val="2"/>
    </w:pPr>
    <w:rPr>
      <w:b/>
      <w:bCs/>
      <w:sz w:val="32"/>
      <w:szCs w:val="32"/>
    </w:rPr>
  </w:style>
  <w:style w:type="paragraph" w:styleId="7">
    <w:name w:val="heading 4"/>
    <w:basedOn w:val="1"/>
    <w:next w:val="1"/>
    <w:link w:val="122"/>
    <w:qFormat/>
    <w:uiPriority w:val="0"/>
    <w:pPr>
      <w:keepNext/>
      <w:keepLines/>
      <w:spacing w:line="360" w:lineRule="auto"/>
      <w:outlineLvl w:val="3"/>
    </w:pPr>
    <w:rPr>
      <w:rFonts w:ascii="Arial" w:hAnsi="Arial"/>
      <w:b/>
      <w:bCs/>
      <w:szCs w:val="28"/>
    </w:rPr>
  </w:style>
  <w:style w:type="paragraph" w:styleId="8">
    <w:name w:val="heading 5"/>
    <w:basedOn w:val="1"/>
    <w:next w:val="1"/>
    <w:link w:val="133"/>
    <w:qFormat/>
    <w:uiPriority w:val="0"/>
    <w:pPr>
      <w:keepNext/>
      <w:keepLines/>
      <w:spacing w:before="280" w:after="290" w:line="376" w:lineRule="auto"/>
      <w:outlineLvl w:val="4"/>
    </w:pPr>
    <w:rPr>
      <w:b/>
      <w:bCs/>
      <w:sz w:val="28"/>
      <w:szCs w:val="28"/>
    </w:rPr>
  </w:style>
  <w:style w:type="paragraph" w:styleId="9">
    <w:name w:val="heading 6"/>
    <w:basedOn w:val="1"/>
    <w:next w:val="1"/>
    <w:link w:val="135"/>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link w:val="125"/>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link w:val="12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link w:val="11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42">
    <w:name w:val="Default Paragraph Font"/>
    <w:unhideWhenUsed/>
    <w:qFormat/>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link w:val="118"/>
    <w:qFormat/>
    <w:uiPriority w:val="0"/>
    <w:pPr>
      <w:spacing w:after="120"/>
    </w:pPr>
  </w:style>
  <w:style w:type="paragraph" w:styleId="13">
    <w:name w:val="toc 7"/>
    <w:basedOn w:val="1"/>
    <w:next w:val="1"/>
    <w:qFormat/>
    <w:uiPriority w:val="0"/>
    <w:pPr>
      <w:ind w:left="2520" w:leftChars="1200"/>
    </w:pPr>
  </w:style>
  <w:style w:type="paragraph" w:styleId="14">
    <w:name w:val="Normal Indent"/>
    <w:basedOn w:val="1"/>
    <w:qFormat/>
    <w:uiPriority w:val="0"/>
    <w:pPr>
      <w:ind w:firstLine="420" w:firstLineChars="200"/>
    </w:pPr>
  </w:style>
  <w:style w:type="paragraph" w:styleId="15">
    <w:name w:val="caption"/>
    <w:basedOn w:val="1"/>
    <w:next w:val="1"/>
    <w:qFormat/>
    <w:uiPriority w:val="0"/>
    <w:rPr>
      <w:rFonts w:ascii="Cambria" w:hAnsi="Cambria" w:eastAsia="黑体"/>
      <w:kern w:val="2"/>
      <w:sz w:val="20"/>
    </w:rPr>
  </w:style>
  <w:style w:type="paragraph" w:styleId="16">
    <w:name w:val="Document Map"/>
    <w:basedOn w:val="1"/>
    <w:link w:val="132"/>
    <w:qFormat/>
    <w:uiPriority w:val="0"/>
    <w:pPr>
      <w:shd w:val="clear" w:color="auto" w:fill="000080"/>
    </w:pPr>
  </w:style>
  <w:style w:type="paragraph" w:styleId="17">
    <w:name w:val="annotation text"/>
    <w:basedOn w:val="1"/>
    <w:link w:val="136"/>
    <w:qFormat/>
    <w:uiPriority w:val="0"/>
    <w:pPr>
      <w:jc w:val="left"/>
    </w:pPr>
  </w:style>
  <w:style w:type="paragraph" w:styleId="18">
    <w:name w:val="Body Text 3"/>
    <w:basedOn w:val="1"/>
    <w:qFormat/>
    <w:uiPriority w:val="0"/>
    <w:rPr>
      <w:sz w:val="24"/>
    </w:rPr>
  </w:style>
  <w:style w:type="paragraph" w:styleId="19">
    <w:name w:val="Body Text Indent"/>
    <w:basedOn w:val="1"/>
    <w:qFormat/>
    <w:uiPriority w:val="0"/>
    <w:pPr>
      <w:spacing w:after="120"/>
      <w:ind w:left="420" w:leftChars="200"/>
    </w:pPr>
  </w:style>
  <w:style w:type="paragraph" w:styleId="20">
    <w:name w:val="index 4"/>
    <w:basedOn w:val="1"/>
    <w:next w:val="1"/>
    <w:qFormat/>
    <w:uiPriority w:val="0"/>
    <w:pPr>
      <w:ind w:left="600" w:leftChars="600"/>
    </w:pPr>
    <w:rPr>
      <w:rFonts w:ascii="Times New Roman"/>
      <w:kern w:val="2"/>
      <w:sz w:val="21"/>
      <w:szCs w:val="24"/>
    </w:rPr>
  </w:style>
  <w:style w:type="paragraph" w:styleId="21">
    <w:name w:val="toc 5"/>
    <w:basedOn w:val="1"/>
    <w:next w:val="1"/>
    <w:qFormat/>
    <w:uiPriority w:val="0"/>
    <w:pPr>
      <w:ind w:left="1680" w:leftChars="800"/>
    </w:pPr>
  </w:style>
  <w:style w:type="paragraph" w:styleId="22">
    <w:name w:val="toc 3"/>
    <w:basedOn w:val="1"/>
    <w:next w:val="1"/>
    <w:qFormat/>
    <w:uiPriority w:val="0"/>
    <w:pPr>
      <w:ind w:left="840" w:leftChars="400"/>
    </w:pPr>
  </w:style>
  <w:style w:type="paragraph" w:styleId="23">
    <w:name w:val="Plain Text"/>
    <w:basedOn w:val="1"/>
    <w:link w:val="54"/>
    <w:qFormat/>
    <w:uiPriority w:val="0"/>
    <w:rPr>
      <w:rFonts w:hAnsi="Courier New" w:cs="Courier New"/>
      <w:kern w:val="2"/>
      <w:sz w:val="21"/>
      <w:szCs w:val="21"/>
    </w:rPr>
  </w:style>
  <w:style w:type="paragraph" w:styleId="24">
    <w:name w:val="toc 8"/>
    <w:basedOn w:val="1"/>
    <w:next w:val="1"/>
    <w:qFormat/>
    <w:uiPriority w:val="0"/>
    <w:pPr>
      <w:ind w:left="2940"/>
      <w:jc w:val="left"/>
    </w:pPr>
    <w:rPr>
      <w:rFonts w:ascii="Times New Roman"/>
      <w:kern w:val="2"/>
      <w:sz w:val="21"/>
    </w:rPr>
  </w:style>
  <w:style w:type="paragraph" w:styleId="25">
    <w:name w:val="Date"/>
    <w:basedOn w:val="1"/>
    <w:next w:val="1"/>
    <w:link w:val="106"/>
    <w:qFormat/>
    <w:uiPriority w:val="0"/>
    <w:pPr>
      <w:ind w:left="100" w:leftChars="2500"/>
    </w:pPr>
  </w:style>
  <w:style w:type="paragraph" w:styleId="26">
    <w:name w:val="Body Text Indent 2"/>
    <w:basedOn w:val="1"/>
    <w:qFormat/>
    <w:uiPriority w:val="0"/>
    <w:pPr>
      <w:spacing w:after="120" w:line="480" w:lineRule="auto"/>
      <w:ind w:left="420" w:leftChars="200"/>
    </w:pPr>
  </w:style>
  <w:style w:type="paragraph" w:styleId="27">
    <w:name w:val="Balloon Text"/>
    <w:basedOn w:val="1"/>
    <w:link w:val="134"/>
    <w:semiHidden/>
    <w:qFormat/>
    <w:uiPriority w:val="0"/>
    <w:rPr>
      <w:sz w:val="18"/>
      <w:szCs w:val="18"/>
    </w:rPr>
  </w:style>
  <w:style w:type="paragraph" w:styleId="28">
    <w:name w:val="footer"/>
    <w:basedOn w:val="1"/>
    <w:link w:val="63"/>
    <w:qFormat/>
    <w:uiPriority w:val="99"/>
    <w:pPr>
      <w:tabs>
        <w:tab w:val="center" w:pos="4153"/>
        <w:tab w:val="right" w:pos="8306"/>
      </w:tabs>
      <w:snapToGrid w:val="0"/>
      <w:jc w:val="left"/>
    </w:pPr>
    <w:rPr>
      <w:rFonts w:ascii="Times New Roman"/>
      <w:kern w:val="2"/>
      <w:sz w:val="18"/>
      <w:szCs w:val="18"/>
    </w:rPr>
  </w:style>
  <w:style w:type="paragraph" w:styleId="29">
    <w:name w:val="header"/>
    <w:basedOn w:val="1"/>
    <w:link w:val="95"/>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pPr>
      <w:tabs>
        <w:tab w:val="right" w:leader="dot" w:pos="9060"/>
      </w:tabs>
      <w:spacing w:line="580" w:lineRule="exact"/>
    </w:pPr>
    <w:rPr>
      <w:rFonts w:ascii="黑体" w:hAnsi="宋体" w:eastAsia="黑体" w:cs="TimesNewRomanPSMT"/>
    </w:rPr>
  </w:style>
  <w:style w:type="paragraph" w:styleId="31">
    <w:name w:val="toc 4"/>
    <w:basedOn w:val="1"/>
    <w:next w:val="1"/>
    <w:qFormat/>
    <w:uiPriority w:val="0"/>
    <w:pPr>
      <w:ind w:left="1260" w:leftChars="600"/>
    </w:pPr>
  </w:style>
  <w:style w:type="paragraph" w:styleId="32">
    <w:name w:val="Subtitle"/>
    <w:basedOn w:val="1"/>
    <w:next w:val="1"/>
    <w:link w:val="138"/>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139"/>
    <w:qFormat/>
    <w:uiPriority w:val="0"/>
    <w:pPr>
      <w:snapToGrid w:val="0"/>
      <w:jc w:val="left"/>
    </w:pPr>
    <w:rPr>
      <w:rFonts w:ascii="Times New Roman"/>
      <w:kern w:val="2"/>
      <w:sz w:val="18"/>
    </w:rPr>
  </w:style>
  <w:style w:type="paragraph" w:styleId="34">
    <w:name w:val="toc 6"/>
    <w:basedOn w:val="1"/>
    <w:next w:val="1"/>
    <w:qFormat/>
    <w:uiPriority w:val="0"/>
    <w:pPr>
      <w:ind w:left="2100" w:leftChars="1000"/>
    </w:pPr>
  </w:style>
  <w:style w:type="paragraph" w:styleId="35">
    <w:name w:val="Body Text Indent 3"/>
    <w:basedOn w:val="1"/>
    <w:qFormat/>
    <w:uiPriority w:val="0"/>
    <w:pPr>
      <w:ind w:firstLine="420" w:firstLineChars="200"/>
    </w:pPr>
    <w:rPr>
      <w:rFonts w:hAnsi="宋体"/>
    </w:rPr>
  </w:style>
  <w:style w:type="paragraph" w:styleId="36">
    <w:name w:val="toc 2"/>
    <w:basedOn w:val="1"/>
    <w:next w:val="1"/>
    <w:qFormat/>
    <w:uiPriority w:val="0"/>
    <w:pPr>
      <w:ind w:left="420" w:leftChars="200"/>
    </w:pPr>
  </w:style>
  <w:style w:type="paragraph" w:styleId="37">
    <w:name w:val="toc 9"/>
    <w:basedOn w:val="1"/>
    <w:next w:val="1"/>
    <w:qFormat/>
    <w:uiPriority w:val="0"/>
    <w:pPr>
      <w:ind w:left="3360" w:leftChars="1600"/>
    </w:pPr>
  </w:style>
  <w:style w:type="paragraph" w:styleId="38">
    <w:name w:val="Normal (Web)"/>
    <w:basedOn w:val="1"/>
    <w:qFormat/>
    <w:uiPriority w:val="0"/>
    <w:pPr>
      <w:widowControl/>
      <w:spacing w:before="100" w:beforeAutospacing="1" w:after="100" w:afterAutospacing="1"/>
      <w:jc w:val="left"/>
    </w:pPr>
    <w:rPr>
      <w:rFonts w:hAnsi="宋体" w:cs="宋体"/>
      <w:sz w:val="24"/>
    </w:rPr>
  </w:style>
  <w:style w:type="paragraph" w:styleId="39">
    <w:name w:val="Title"/>
    <w:basedOn w:val="1"/>
    <w:link w:val="102"/>
    <w:qFormat/>
    <w:uiPriority w:val="0"/>
    <w:pPr>
      <w:adjustRightInd w:val="0"/>
      <w:spacing w:before="240" w:after="60" w:line="420" w:lineRule="atLeast"/>
      <w:jc w:val="center"/>
      <w:textAlignment w:val="baseline"/>
      <w:outlineLvl w:val="0"/>
    </w:pPr>
    <w:rPr>
      <w:rFonts w:ascii="Arial" w:hAnsi="Arial"/>
      <w:b/>
      <w:sz w:val="32"/>
    </w:rPr>
  </w:style>
  <w:style w:type="paragraph" w:styleId="40">
    <w:name w:val="annotation subject"/>
    <w:basedOn w:val="17"/>
    <w:next w:val="17"/>
    <w:link w:val="137"/>
    <w:qFormat/>
    <w:uiPriority w:val="0"/>
    <w:rPr>
      <w:rFonts w:ascii="Calibri" w:hAnsi="Calibri"/>
      <w:b/>
      <w:bCs/>
      <w:kern w:val="2"/>
      <w:sz w:val="21"/>
    </w:r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0"/>
    <w:rPr>
      <w:color w:val="000000"/>
      <w:u w:val="none"/>
    </w:rPr>
  </w:style>
  <w:style w:type="character" w:styleId="46">
    <w:name w:val="Emphasis"/>
    <w:basedOn w:val="42"/>
    <w:qFormat/>
    <w:uiPriority w:val="0"/>
  </w:style>
  <w:style w:type="character" w:styleId="47">
    <w:name w:val="Hyperlink"/>
    <w:basedOn w:val="42"/>
    <w:qFormat/>
    <w:uiPriority w:val="0"/>
    <w:rPr>
      <w:color w:val="000000"/>
      <w:u w:val="none"/>
    </w:rPr>
  </w:style>
  <w:style w:type="character" w:styleId="48">
    <w:name w:val="annotation reference"/>
    <w:basedOn w:val="42"/>
    <w:qFormat/>
    <w:uiPriority w:val="0"/>
    <w:rPr>
      <w:sz w:val="21"/>
      <w:szCs w:val="21"/>
    </w:rPr>
  </w:style>
  <w:style w:type="character" w:customStyle="1" w:styleId="49">
    <w:name w:val="hover3"/>
    <w:qFormat/>
    <w:uiPriority w:val="0"/>
    <w:rPr>
      <w:bdr w:val="single" w:color="FFCC33" w:sz="6" w:space="0"/>
    </w:rPr>
  </w:style>
  <w:style w:type="character" w:customStyle="1" w:styleId="50">
    <w:name w:val="tit1"/>
    <w:basedOn w:val="42"/>
    <w:qFormat/>
    <w:uiPriority w:val="0"/>
  </w:style>
  <w:style w:type="character" w:customStyle="1" w:styleId="51">
    <w:name w:val="textcontents"/>
    <w:basedOn w:val="42"/>
    <w:qFormat/>
    <w:uiPriority w:val="0"/>
  </w:style>
  <w:style w:type="character" w:customStyle="1" w:styleId="52">
    <w:name w:val="down"/>
    <w:qFormat/>
    <w:uiPriority w:val="0"/>
    <w:rPr>
      <w:shd w:val="clear" w:color="auto" w:fill="DAEEF9"/>
    </w:rPr>
  </w:style>
  <w:style w:type="character" w:customStyle="1" w:styleId="53">
    <w:name w:val="标题 2 Char"/>
    <w:link w:val="5"/>
    <w:qFormat/>
    <w:uiPriority w:val="0"/>
    <w:rPr>
      <w:rFonts w:ascii="Arial" w:hAnsi="Arial" w:eastAsia="黑体"/>
      <w:b/>
      <w:bCs/>
      <w:kern w:val="2"/>
      <w:sz w:val="32"/>
      <w:szCs w:val="32"/>
      <w:lang w:val="en-US" w:eastAsia="zh-CN" w:bidi="ar-SA"/>
    </w:rPr>
  </w:style>
  <w:style w:type="character" w:customStyle="1" w:styleId="54">
    <w:name w:val="纯文本 Char"/>
    <w:link w:val="23"/>
    <w:qFormat/>
    <w:uiPriority w:val="0"/>
    <w:rPr>
      <w:rFonts w:ascii="宋体" w:hAnsi="Courier New" w:eastAsia="宋体" w:cs="Courier New"/>
      <w:kern w:val="2"/>
      <w:sz w:val="21"/>
      <w:szCs w:val="21"/>
      <w:lang w:val="en-US" w:eastAsia="zh-CN" w:bidi="ar-SA"/>
    </w:rPr>
  </w:style>
  <w:style w:type="character" w:customStyle="1" w:styleId="55">
    <w:name w:val="lsl"/>
    <w:basedOn w:val="42"/>
    <w:qFormat/>
    <w:uiPriority w:val="0"/>
  </w:style>
  <w:style w:type="character" w:customStyle="1" w:styleId="56">
    <w:name w:val="tit"/>
    <w:basedOn w:val="42"/>
    <w:qFormat/>
    <w:uiPriority w:val="0"/>
  </w:style>
  <w:style w:type="character" w:customStyle="1" w:styleId="57">
    <w:name w:val="sl"/>
    <w:basedOn w:val="42"/>
    <w:qFormat/>
    <w:uiPriority w:val="0"/>
  </w:style>
  <w:style w:type="character" w:customStyle="1" w:styleId="58">
    <w:name w:val="up"/>
    <w:basedOn w:val="42"/>
    <w:qFormat/>
    <w:uiPriority w:val="0"/>
  </w:style>
  <w:style w:type="character" w:customStyle="1" w:styleId="59">
    <w:name w:val="lsr"/>
    <w:basedOn w:val="42"/>
    <w:qFormat/>
    <w:uiPriority w:val="0"/>
  </w:style>
  <w:style w:type="character" w:customStyle="1" w:styleId="60">
    <w:name w:val="cpb"/>
    <w:qFormat/>
    <w:uiPriority w:val="0"/>
    <w:rPr>
      <w:color w:val="FFFFFF"/>
    </w:rPr>
  </w:style>
  <w:style w:type="character" w:customStyle="1" w:styleId="61">
    <w:name w:val="sr"/>
    <w:basedOn w:val="42"/>
    <w:qFormat/>
    <w:uiPriority w:val="0"/>
  </w:style>
  <w:style w:type="character" w:customStyle="1" w:styleId="62">
    <w:name w:val="apple-converted-space"/>
    <w:basedOn w:val="42"/>
    <w:qFormat/>
    <w:uiPriority w:val="0"/>
  </w:style>
  <w:style w:type="character" w:customStyle="1" w:styleId="63">
    <w:name w:val="页脚 Char"/>
    <w:link w:val="28"/>
    <w:qFormat/>
    <w:uiPriority w:val="99"/>
    <w:rPr>
      <w:kern w:val="2"/>
      <w:sz w:val="18"/>
      <w:szCs w:val="18"/>
    </w:rPr>
  </w:style>
  <w:style w:type="character" w:customStyle="1" w:styleId="64">
    <w:name w:val="font161"/>
    <w:qFormat/>
    <w:uiPriority w:val="0"/>
    <w:rPr>
      <w:b/>
      <w:bCs/>
      <w:sz w:val="32"/>
      <w:szCs w:val="32"/>
    </w:rPr>
  </w:style>
  <w:style w:type="paragraph" w:customStyle="1" w:styleId="65">
    <w:name w:val="z-窗体顶端1"/>
    <w:basedOn w:val="1"/>
    <w:next w:val="1"/>
    <w:qFormat/>
    <w:uiPriority w:val="0"/>
    <w:pPr>
      <w:pBdr>
        <w:bottom w:val="single" w:color="auto" w:sz="6" w:space="1"/>
      </w:pBdr>
      <w:jc w:val="center"/>
    </w:pPr>
    <w:rPr>
      <w:rFonts w:ascii="Arial"/>
      <w:vanish/>
      <w:sz w:val="16"/>
    </w:rPr>
  </w:style>
  <w:style w:type="paragraph" w:customStyle="1" w:styleId="66">
    <w:name w:val="表格"/>
    <w:basedOn w:val="1"/>
    <w:qFormat/>
    <w:uiPriority w:val="0"/>
    <w:pPr>
      <w:jc w:val="center"/>
      <w:textAlignment w:val="center"/>
    </w:pPr>
    <w:rPr>
      <w:rFonts w:ascii="华文细黑" w:hAnsi="华文细黑"/>
    </w:rPr>
  </w:style>
  <w:style w:type="paragraph" w:customStyle="1" w:styleId="67">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68">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69">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70">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7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2">
    <w:name w:val="Char1"/>
    <w:basedOn w:val="1"/>
    <w:qFormat/>
    <w:uiPriority w:val="0"/>
    <w:pPr>
      <w:adjustRightInd w:val="0"/>
      <w:spacing w:line="600" w:lineRule="exact"/>
      <w:ind w:firstLine="560" w:firstLineChars="200"/>
      <w:jc w:val="center"/>
    </w:pPr>
  </w:style>
  <w:style w:type="paragraph" w:customStyle="1" w:styleId="73">
    <w:name w:val="Char"/>
    <w:basedOn w:val="1"/>
    <w:qFormat/>
    <w:uiPriority w:val="0"/>
    <w:rPr>
      <w:rFonts w:ascii="仿宋_GB2312" w:eastAsia="仿宋_GB2312"/>
      <w:b/>
      <w:sz w:val="32"/>
      <w:szCs w:val="32"/>
    </w:rPr>
  </w:style>
  <w:style w:type="paragraph" w:customStyle="1" w:styleId="74">
    <w:name w:val="p0"/>
    <w:basedOn w:val="1"/>
    <w:qFormat/>
    <w:uiPriority w:val="0"/>
    <w:pPr>
      <w:widowControl/>
      <w:spacing w:line="408" w:lineRule="auto"/>
      <w:ind w:left="1"/>
      <w:textAlignment w:val="bottom"/>
    </w:pPr>
    <w:rPr>
      <w:color w:val="000000"/>
    </w:rPr>
  </w:style>
  <w:style w:type="paragraph" w:customStyle="1" w:styleId="75">
    <w:name w:val="1"/>
    <w:basedOn w:val="1"/>
    <w:next w:val="1"/>
    <w:qFormat/>
    <w:uiPriority w:val="0"/>
  </w:style>
  <w:style w:type="paragraph" w:customStyle="1" w:styleId="76">
    <w:name w:val="默认段落字体 Para Char Char Char Char Char Char Char"/>
    <w:basedOn w:val="1"/>
    <w:qFormat/>
    <w:uiPriority w:val="0"/>
    <w:rPr>
      <w:rFonts w:ascii="Tahoma" w:hAnsi="Tahoma"/>
      <w:sz w:val="24"/>
    </w:rPr>
  </w:style>
  <w:style w:type="paragraph" w:customStyle="1" w:styleId="77">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78">
    <w:name w:val="表格文字"/>
    <w:basedOn w:val="1"/>
    <w:qFormat/>
    <w:uiPriority w:val="0"/>
    <w:pPr>
      <w:adjustRightInd w:val="0"/>
      <w:spacing w:line="420" w:lineRule="atLeast"/>
      <w:jc w:val="left"/>
      <w:textAlignment w:val="baseline"/>
    </w:pPr>
  </w:style>
  <w:style w:type="paragraph" w:customStyle="1" w:styleId="79">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8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1">
    <w:name w:val="z-窗体底端1"/>
    <w:basedOn w:val="1"/>
    <w:next w:val="1"/>
    <w:qFormat/>
    <w:uiPriority w:val="0"/>
    <w:pPr>
      <w:pBdr>
        <w:top w:val="single" w:color="auto" w:sz="6" w:space="1"/>
      </w:pBdr>
      <w:jc w:val="center"/>
    </w:pPr>
    <w:rPr>
      <w:rFonts w:ascii="Arial"/>
      <w:vanish/>
      <w:sz w:val="16"/>
    </w:rPr>
  </w:style>
  <w:style w:type="paragraph" w:customStyle="1" w:styleId="82">
    <w:name w:val="列出段落1"/>
    <w:basedOn w:val="1"/>
    <w:qFormat/>
    <w:uiPriority w:val="0"/>
    <w:pPr>
      <w:adjustRightInd w:val="0"/>
      <w:snapToGrid w:val="0"/>
      <w:spacing w:line="360" w:lineRule="auto"/>
      <w:ind w:firstLine="420" w:firstLineChars="200"/>
    </w:pPr>
    <w:rPr>
      <w:color w:val="000000"/>
      <w:szCs w:val="21"/>
    </w:rPr>
  </w:style>
  <w:style w:type="paragraph" w:customStyle="1" w:styleId="83">
    <w:name w:val="cjk"/>
    <w:basedOn w:val="1"/>
    <w:qFormat/>
    <w:uiPriority w:val="0"/>
    <w:pPr>
      <w:widowControl/>
      <w:jc w:val="left"/>
    </w:pPr>
    <w:rPr>
      <w:rFonts w:hAnsi="宋体" w:cs="宋体"/>
      <w:sz w:val="24"/>
      <w:szCs w:val="24"/>
    </w:rPr>
  </w:style>
  <w:style w:type="character" w:customStyle="1" w:styleId="84">
    <w:name w:val="15"/>
    <w:qFormat/>
    <w:uiPriority w:val="0"/>
    <w:rPr>
      <w:rFonts w:hint="default" w:ascii="Times New Roman" w:hAnsi="Times New Roman" w:cs="Times New Roman"/>
      <w:color w:val="0000FF"/>
      <w:u w:val="single"/>
    </w:rPr>
  </w:style>
  <w:style w:type="character" w:customStyle="1" w:styleId="85">
    <w:name w:val="blue"/>
    <w:basedOn w:val="42"/>
    <w:qFormat/>
    <w:uiPriority w:val="0"/>
    <w:rPr>
      <w:color w:val="0371C6"/>
      <w:sz w:val="21"/>
      <w:szCs w:val="21"/>
    </w:rPr>
  </w:style>
  <w:style w:type="character" w:customStyle="1" w:styleId="86">
    <w:name w:val="gb-jt"/>
    <w:basedOn w:val="42"/>
    <w:qFormat/>
    <w:uiPriority w:val="0"/>
  </w:style>
  <w:style w:type="character" w:customStyle="1" w:styleId="87">
    <w:name w:val="red"/>
    <w:basedOn w:val="42"/>
    <w:qFormat/>
    <w:uiPriority w:val="0"/>
    <w:rPr>
      <w:color w:val="FF0000"/>
      <w:sz w:val="18"/>
      <w:szCs w:val="18"/>
    </w:rPr>
  </w:style>
  <w:style w:type="character" w:customStyle="1" w:styleId="88">
    <w:name w:val="red1"/>
    <w:basedOn w:val="42"/>
    <w:qFormat/>
    <w:uiPriority w:val="0"/>
    <w:rPr>
      <w:color w:val="FF0000"/>
      <w:sz w:val="18"/>
      <w:szCs w:val="18"/>
    </w:rPr>
  </w:style>
  <w:style w:type="character" w:customStyle="1" w:styleId="89">
    <w:name w:val="red2"/>
    <w:basedOn w:val="42"/>
    <w:qFormat/>
    <w:uiPriority w:val="0"/>
    <w:rPr>
      <w:color w:val="FF0000"/>
    </w:rPr>
  </w:style>
  <w:style w:type="character" w:customStyle="1" w:styleId="90">
    <w:name w:val="green"/>
    <w:basedOn w:val="42"/>
    <w:qFormat/>
    <w:uiPriority w:val="0"/>
    <w:rPr>
      <w:color w:val="66AE00"/>
      <w:sz w:val="18"/>
      <w:szCs w:val="18"/>
    </w:rPr>
  </w:style>
  <w:style w:type="character" w:customStyle="1" w:styleId="91">
    <w:name w:val="green1"/>
    <w:basedOn w:val="42"/>
    <w:qFormat/>
    <w:uiPriority w:val="0"/>
    <w:rPr>
      <w:color w:val="66AE00"/>
      <w:sz w:val="18"/>
      <w:szCs w:val="18"/>
    </w:rPr>
  </w:style>
  <w:style w:type="character" w:customStyle="1" w:styleId="92">
    <w:name w:val="hover25"/>
    <w:basedOn w:val="42"/>
    <w:qFormat/>
    <w:uiPriority w:val="0"/>
  </w:style>
  <w:style w:type="character" w:customStyle="1" w:styleId="93">
    <w:name w:val="right"/>
    <w:basedOn w:val="42"/>
    <w:qFormat/>
    <w:uiPriority w:val="0"/>
    <w:rPr>
      <w:color w:val="999999"/>
      <w:sz w:val="18"/>
      <w:szCs w:val="18"/>
    </w:rPr>
  </w:style>
  <w:style w:type="character" w:customStyle="1" w:styleId="94">
    <w:name w:val="hover"/>
    <w:basedOn w:val="42"/>
    <w:qFormat/>
    <w:uiPriority w:val="0"/>
  </w:style>
  <w:style w:type="character" w:customStyle="1" w:styleId="95">
    <w:name w:val="页眉 Char"/>
    <w:basedOn w:val="42"/>
    <w:link w:val="29"/>
    <w:qFormat/>
    <w:uiPriority w:val="0"/>
    <w:rPr>
      <w:rFonts w:ascii="宋体"/>
      <w:sz w:val="18"/>
      <w:szCs w:val="18"/>
    </w:rPr>
  </w:style>
  <w:style w:type="character" w:customStyle="1" w:styleId="96">
    <w:name w:val="明显强调1"/>
    <w:qFormat/>
    <w:uiPriority w:val="0"/>
    <w:rPr>
      <w:b/>
      <w:bCs/>
      <w:i/>
      <w:iCs/>
      <w:color w:val="4F81BD"/>
    </w:rPr>
  </w:style>
  <w:style w:type="character" w:customStyle="1" w:styleId="97">
    <w:name w:val="批注主题 Char"/>
    <w:link w:val="40"/>
    <w:qFormat/>
    <w:uiPriority w:val="0"/>
    <w:rPr>
      <w:b/>
      <w:bCs/>
      <w:kern w:val="2"/>
      <w:sz w:val="21"/>
    </w:rPr>
  </w:style>
  <w:style w:type="character" w:customStyle="1" w:styleId="98">
    <w:name w:val="批注主题 Char1"/>
    <w:qFormat/>
    <w:uiPriority w:val="0"/>
    <w:rPr>
      <w:b/>
      <w:bCs/>
      <w:kern w:val="2"/>
      <w:sz w:val="21"/>
      <w:szCs w:val="22"/>
    </w:rPr>
  </w:style>
  <w:style w:type="character" w:customStyle="1" w:styleId="99">
    <w:name w:val="must"/>
    <w:basedOn w:val="42"/>
    <w:qFormat/>
    <w:uiPriority w:val="0"/>
  </w:style>
  <w:style w:type="character" w:customStyle="1" w:styleId="100">
    <w:name w:val="不明显参考1"/>
    <w:qFormat/>
    <w:uiPriority w:val="0"/>
    <w:rPr>
      <w:smallCaps/>
      <w:color w:val="C0504D"/>
      <w:u w:val="single"/>
    </w:rPr>
  </w:style>
  <w:style w:type="character" w:customStyle="1" w:styleId="101">
    <w:name w:val="副标题 Char"/>
    <w:link w:val="32"/>
    <w:qFormat/>
    <w:uiPriority w:val="0"/>
    <w:rPr>
      <w:rFonts w:ascii="Cambria" w:hAnsi="Cambria"/>
      <w:b/>
      <w:bCs/>
      <w:kern w:val="28"/>
      <w:sz w:val="32"/>
      <w:szCs w:val="32"/>
    </w:rPr>
  </w:style>
  <w:style w:type="character" w:customStyle="1" w:styleId="102">
    <w:name w:val="标题 Char"/>
    <w:link w:val="39"/>
    <w:qFormat/>
    <w:uiPriority w:val="0"/>
    <w:rPr>
      <w:rFonts w:ascii="Arial" w:hAnsi="Arial"/>
      <w:b/>
      <w:sz w:val="32"/>
    </w:rPr>
  </w:style>
  <w:style w:type="character" w:customStyle="1" w:styleId="103">
    <w:name w:val="标题 1 Char"/>
    <w:link w:val="4"/>
    <w:qFormat/>
    <w:uiPriority w:val="0"/>
    <w:rPr>
      <w:rFonts w:ascii="宋体" w:hAnsi="Times New Roman"/>
      <w:b/>
      <w:bCs/>
      <w:kern w:val="44"/>
      <w:sz w:val="44"/>
      <w:szCs w:val="44"/>
    </w:rPr>
  </w:style>
  <w:style w:type="character" w:customStyle="1" w:styleId="104">
    <w:name w:val="书籍标题1"/>
    <w:qFormat/>
    <w:uiPriority w:val="0"/>
    <w:rPr>
      <w:b/>
      <w:bCs/>
      <w:smallCaps/>
      <w:spacing w:val="5"/>
    </w:rPr>
  </w:style>
  <w:style w:type="character" w:customStyle="1" w:styleId="105">
    <w:name w:val="批注文字 Char Char"/>
    <w:qFormat/>
    <w:uiPriority w:val="0"/>
    <w:rPr>
      <w:rFonts w:ascii="宋体" w:hAnsi="Times New Roman" w:eastAsia="宋体" w:cs="Times New Roman"/>
      <w:sz w:val="28"/>
      <w:szCs w:val="20"/>
    </w:rPr>
  </w:style>
  <w:style w:type="character" w:customStyle="1" w:styleId="106">
    <w:name w:val="日期 Char"/>
    <w:link w:val="25"/>
    <w:qFormat/>
    <w:uiPriority w:val="0"/>
    <w:rPr>
      <w:rFonts w:ascii="宋体" w:hAnsi="Times New Roman"/>
      <w:sz w:val="34"/>
    </w:rPr>
  </w:style>
  <w:style w:type="character" w:customStyle="1" w:styleId="107">
    <w:name w:val="ca-161"/>
    <w:basedOn w:val="42"/>
    <w:qFormat/>
    <w:uiPriority w:val="0"/>
    <w:rPr>
      <w:rFonts w:ascii="宋体" w:eastAsia="宋体"/>
      <w:spacing w:val="0"/>
      <w:sz w:val="21"/>
    </w:rPr>
  </w:style>
  <w:style w:type="character" w:customStyle="1" w:styleId="108">
    <w:name w:val="批注文字 Char"/>
    <w:qFormat/>
    <w:uiPriority w:val="0"/>
    <w:rPr>
      <w:rFonts w:eastAsia="宋体"/>
      <w:kern w:val="2"/>
      <w:sz w:val="21"/>
      <w:lang w:val="en-US" w:eastAsia="zh-CN" w:bidi="ar-SA"/>
    </w:rPr>
  </w:style>
  <w:style w:type="character" w:customStyle="1" w:styleId="109">
    <w:name w:val="ca-151"/>
    <w:basedOn w:val="42"/>
    <w:qFormat/>
    <w:uiPriority w:val="0"/>
    <w:rPr>
      <w:rFonts w:ascii="黑体" w:eastAsia="黑体"/>
      <w:b/>
      <w:spacing w:val="-20"/>
      <w:sz w:val="21"/>
    </w:rPr>
  </w:style>
  <w:style w:type="character" w:customStyle="1" w:styleId="110">
    <w:name w:val="文档结构图 Char1"/>
    <w:qFormat/>
    <w:uiPriority w:val="0"/>
    <w:rPr>
      <w:rFonts w:ascii="宋体"/>
      <w:kern w:val="2"/>
      <w:sz w:val="18"/>
      <w:szCs w:val="18"/>
    </w:rPr>
  </w:style>
  <w:style w:type="character" w:customStyle="1" w:styleId="111">
    <w:name w:val="标题 9 Char"/>
    <w:link w:val="12"/>
    <w:qFormat/>
    <w:uiPriority w:val="0"/>
    <w:rPr>
      <w:rFonts w:ascii="Arial" w:hAnsi="Arial" w:eastAsia="黑体"/>
      <w:sz w:val="34"/>
      <w:szCs w:val="21"/>
    </w:rPr>
  </w:style>
  <w:style w:type="character" w:customStyle="1" w:styleId="112">
    <w:name w:val="不明显强调1"/>
    <w:qFormat/>
    <w:uiPriority w:val="0"/>
    <w:rPr>
      <w:i/>
      <w:iCs/>
      <w:color w:val="808080"/>
    </w:rPr>
  </w:style>
  <w:style w:type="character" w:customStyle="1" w:styleId="113">
    <w:name w:val="标题5 Char Char"/>
    <w:link w:val="114"/>
    <w:qFormat/>
    <w:uiPriority w:val="0"/>
    <w:rPr>
      <w:rFonts w:ascii="Arial" w:hAnsi="Arial"/>
      <w:b/>
      <w:bCs/>
      <w:sz w:val="24"/>
      <w:szCs w:val="32"/>
    </w:rPr>
  </w:style>
  <w:style w:type="paragraph" w:customStyle="1" w:styleId="114">
    <w:name w:val="标题5"/>
    <w:basedOn w:val="6"/>
    <w:link w:val="113"/>
    <w:qFormat/>
    <w:uiPriority w:val="0"/>
    <w:pPr>
      <w:spacing w:line="413" w:lineRule="auto"/>
    </w:pPr>
    <w:rPr>
      <w:rFonts w:ascii="Arial" w:hAnsi="Arial"/>
      <w:sz w:val="24"/>
    </w:rPr>
  </w:style>
  <w:style w:type="character" w:customStyle="1" w:styleId="115">
    <w:name w:val="标题 3 Char"/>
    <w:link w:val="6"/>
    <w:qFormat/>
    <w:uiPriority w:val="0"/>
    <w:rPr>
      <w:rFonts w:ascii="宋体" w:hAnsi="Times New Roman"/>
      <w:b/>
      <w:bCs/>
      <w:sz w:val="32"/>
      <w:szCs w:val="32"/>
    </w:rPr>
  </w:style>
  <w:style w:type="character" w:customStyle="1" w:styleId="116">
    <w:name w:val="Char Char3"/>
    <w:qFormat/>
    <w:uiPriority w:val="0"/>
    <w:rPr>
      <w:kern w:val="2"/>
      <w:sz w:val="18"/>
      <w:szCs w:val="18"/>
    </w:rPr>
  </w:style>
  <w:style w:type="character" w:customStyle="1" w:styleId="117">
    <w:name w:val="日期 Char1"/>
    <w:qFormat/>
    <w:uiPriority w:val="0"/>
    <w:rPr>
      <w:kern w:val="2"/>
      <w:sz w:val="21"/>
      <w:szCs w:val="22"/>
    </w:rPr>
  </w:style>
  <w:style w:type="character" w:customStyle="1" w:styleId="118">
    <w:name w:val="正文文本 Char"/>
    <w:link w:val="3"/>
    <w:qFormat/>
    <w:uiPriority w:val="0"/>
    <w:rPr>
      <w:rFonts w:ascii="宋体" w:hAnsi="Times New Roman"/>
      <w:sz w:val="34"/>
    </w:rPr>
  </w:style>
  <w:style w:type="character" w:customStyle="1" w:styleId="119">
    <w:name w:val="明显引用 Char"/>
    <w:qFormat/>
    <w:uiPriority w:val="0"/>
    <w:rPr>
      <w:b/>
      <w:bCs/>
      <w:i/>
      <w:iCs/>
      <w:color w:val="4F81BD"/>
      <w:kern w:val="2"/>
      <w:sz w:val="21"/>
      <w:szCs w:val="22"/>
    </w:rPr>
  </w:style>
  <w:style w:type="paragraph" w:styleId="120">
    <w:name w:val="Intense Quote"/>
    <w:basedOn w:val="1"/>
    <w:next w:val="1"/>
    <w:link w:val="153"/>
    <w:qFormat/>
    <w:uiPriority w:val="0"/>
    <w:pPr>
      <w:pBdr>
        <w:bottom w:val="single" w:color="4F81BD" w:sz="4" w:space="4"/>
      </w:pBdr>
      <w:spacing w:before="200" w:after="280"/>
      <w:ind w:left="936" w:right="936"/>
    </w:pPr>
    <w:rPr>
      <w:rFonts w:ascii="Calibri" w:hAnsi="Calibri"/>
      <w:b/>
      <w:bCs/>
      <w:i/>
      <w:iCs/>
      <w:color w:val="4F81BD"/>
      <w:kern w:val="2"/>
      <w:sz w:val="21"/>
      <w:szCs w:val="22"/>
    </w:rPr>
  </w:style>
  <w:style w:type="character" w:customStyle="1" w:styleId="121">
    <w:name w:val="标题 8 Char"/>
    <w:link w:val="11"/>
    <w:qFormat/>
    <w:uiPriority w:val="0"/>
    <w:rPr>
      <w:rFonts w:ascii="Arial" w:hAnsi="Arial" w:eastAsia="黑体"/>
      <w:sz w:val="24"/>
    </w:rPr>
  </w:style>
  <w:style w:type="character" w:customStyle="1" w:styleId="122">
    <w:name w:val="标题 4 Char"/>
    <w:link w:val="7"/>
    <w:qFormat/>
    <w:uiPriority w:val="0"/>
    <w:rPr>
      <w:rFonts w:ascii="Arial" w:hAnsi="Arial"/>
      <w:b/>
      <w:bCs/>
      <w:sz w:val="34"/>
      <w:szCs w:val="28"/>
    </w:rPr>
  </w:style>
  <w:style w:type="character" w:customStyle="1" w:styleId="123">
    <w:name w:val="引用 Char"/>
    <w:qFormat/>
    <w:uiPriority w:val="0"/>
    <w:rPr>
      <w:i/>
      <w:iCs/>
      <w:color w:val="000000"/>
      <w:kern w:val="2"/>
      <w:sz w:val="21"/>
      <w:szCs w:val="22"/>
    </w:rPr>
  </w:style>
  <w:style w:type="paragraph" w:styleId="124">
    <w:name w:val="Quote"/>
    <w:basedOn w:val="1"/>
    <w:next w:val="1"/>
    <w:link w:val="156"/>
    <w:qFormat/>
    <w:uiPriority w:val="0"/>
    <w:rPr>
      <w:rFonts w:ascii="Calibri" w:hAnsi="Calibri"/>
      <w:i/>
      <w:iCs/>
      <w:color w:val="000000"/>
      <w:kern w:val="2"/>
      <w:sz w:val="21"/>
      <w:szCs w:val="22"/>
    </w:rPr>
  </w:style>
  <w:style w:type="character" w:customStyle="1" w:styleId="125">
    <w:name w:val="标题 7 Char"/>
    <w:link w:val="10"/>
    <w:qFormat/>
    <w:uiPriority w:val="0"/>
    <w:rPr>
      <w:rFonts w:ascii="宋体" w:hAnsi="Times New Roman"/>
      <w:b/>
      <w:bCs/>
      <w:sz w:val="24"/>
    </w:rPr>
  </w:style>
  <w:style w:type="character" w:customStyle="1" w:styleId="126">
    <w:name w:val="正文文本 Char1"/>
    <w:qFormat/>
    <w:uiPriority w:val="0"/>
    <w:rPr>
      <w:kern w:val="2"/>
      <w:sz w:val="21"/>
      <w:szCs w:val="22"/>
    </w:rPr>
  </w:style>
  <w:style w:type="character" w:customStyle="1" w:styleId="127">
    <w:name w:val="Char Char17"/>
    <w:qFormat/>
    <w:uiPriority w:val="0"/>
    <w:rPr>
      <w:rFonts w:ascii="Cambria" w:hAnsi="Cambria" w:eastAsia="宋体" w:cs="Times New Roman"/>
      <w:b/>
      <w:bCs/>
      <w:kern w:val="2"/>
      <w:sz w:val="32"/>
      <w:szCs w:val="32"/>
    </w:rPr>
  </w:style>
  <w:style w:type="character" w:customStyle="1" w:styleId="128">
    <w:name w:val="明显参考1"/>
    <w:qFormat/>
    <w:uiPriority w:val="0"/>
    <w:rPr>
      <w:b/>
      <w:bCs/>
      <w:smallCaps/>
      <w:color w:val="C0504D"/>
      <w:spacing w:val="5"/>
      <w:u w:val="single"/>
    </w:rPr>
  </w:style>
  <w:style w:type="character" w:customStyle="1" w:styleId="129">
    <w:name w:val="标题4 Char Char"/>
    <w:link w:val="130"/>
    <w:qFormat/>
    <w:uiPriority w:val="0"/>
    <w:rPr>
      <w:rFonts w:ascii="Arial" w:hAnsi="Arial"/>
      <w:b/>
      <w:bCs/>
      <w:sz w:val="24"/>
      <w:szCs w:val="32"/>
    </w:rPr>
  </w:style>
  <w:style w:type="paragraph" w:customStyle="1" w:styleId="130">
    <w:name w:val="标题4"/>
    <w:basedOn w:val="5"/>
    <w:next w:val="20"/>
    <w:link w:val="129"/>
    <w:qFormat/>
    <w:uiPriority w:val="0"/>
    <w:pPr>
      <w:spacing w:line="413" w:lineRule="auto"/>
    </w:pPr>
    <w:rPr>
      <w:rFonts w:eastAsia="宋体"/>
      <w:kern w:val="0"/>
      <w:sz w:val="24"/>
    </w:rPr>
  </w:style>
  <w:style w:type="character" w:customStyle="1" w:styleId="131">
    <w:name w:val="批注框文本 Char1"/>
    <w:qFormat/>
    <w:uiPriority w:val="0"/>
    <w:rPr>
      <w:kern w:val="2"/>
      <w:sz w:val="18"/>
      <w:szCs w:val="18"/>
    </w:rPr>
  </w:style>
  <w:style w:type="character" w:customStyle="1" w:styleId="132">
    <w:name w:val="文档结构图 Char"/>
    <w:link w:val="16"/>
    <w:qFormat/>
    <w:uiPriority w:val="0"/>
    <w:rPr>
      <w:rFonts w:ascii="宋体" w:hAnsi="Times New Roman"/>
      <w:sz w:val="34"/>
      <w:shd w:val="clear" w:color="auto" w:fill="000080"/>
    </w:rPr>
  </w:style>
  <w:style w:type="character" w:customStyle="1" w:styleId="133">
    <w:name w:val="标题 5 Char"/>
    <w:link w:val="8"/>
    <w:qFormat/>
    <w:uiPriority w:val="0"/>
    <w:rPr>
      <w:rFonts w:ascii="宋体" w:hAnsi="Times New Roman"/>
      <w:b/>
      <w:bCs/>
      <w:sz w:val="28"/>
      <w:szCs w:val="28"/>
    </w:rPr>
  </w:style>
  <w:style w:type="character" w:customStyle="1" w:styleId="134">
    <w:name w:val="批注框文本 Char"/>
    <w:link w:val="27"/>
    <w:qFormat/>
    <w:uiPriority w:val="0"/>
    <w:rPr>
      <w:rFonts w:ascii="宋体" w:hAnsi="Times New Roman"/>
      <w:sz w:val="18"/>
      <w:szCs w:val="18"/>
    </w:rPr>
  </w:style>
  <w:style w:type="character" w:customStyle="1" w:styleId="135">
    <w:name w:val="标题 6 Char"/>
    <w:link w:val="9"/>
    <w:qFormat/>
    <w:uiPriority w:val="0"/>
    <w:rPr>
      <w:rFonts w:ascii="Arial" w:hAnsi="Arial" w:eastAsia="黑体"/>
      <w:b/>
      <w:bCs/>
      <w:sz w:val="24"/>
    </w:rPr>
  </w:style>
  <w:style w:type="character" w:customStyle="1" w:styleId="136">
    <w:name w:val="批注文字 Char1"/>
    <w:basedOn w:val="42"/>
    <w:link w:val="17"/>
    <w:qFormat/>
    <w:uiPriority w:val="0"/>
    <w:rPr>
      <w:rFonts w:ascii="宋体" w:hAnsi="Times New Roman"/>
      <w:sz w:val="34"/>
    </w:rPr>
  </w:style>
  <w:style w:type="character" w:customStyle="1" w:styleId="137">
    <w:name w:val="批注主题 Char2"/>
    <w:basedOn w:val="136"/>
    <w:link w:val="40"/>
    <w:qFormat/>
    <w:uiPriority w:val="0"/>
    <w:rPr>
      <w:b/>
      <w:bCs/>
    </w:rPr>
  </w:style>
  <w:style w:type="character" w:customStyle="1" w:styleId="138">
    <w:name w:val="副标题 Char1"/>
    <w:basedOn w:val="42"/>
    <w:link w:val="32"/>
    <w:qFormat/>
    <w:uiPriority w:val="0"/>
    <w:rPr>
      <w:rFonts w:asciiTheme="majorHAnsi" w:hAnsiTheme="majorHAnsi" w:cstheme="majorBidi"/>
      <w:b/>
      <w:bCs/>
      <w:kern w:val="28"/>
      <w:sz w:val="32"/>
      <w:szCs w:val="32"/>
    </w:rPr>
  </w:style>
  <w:style w:type="character" w:customStyle="1" w:styleId="139">
    <w:name w:val="脚注文本 Char"/>
    <w:basedOn w:val="42"/>
    <w:link w:val="33"/>
    <w:qFormat/>
    <w:uiPriority w:val="0"/>
    <w:rPr>
      <w:rFonts w:ascii="Times New Roman" w:hAnsi="Times New Roman"/>
      <w:kern w:val="2"/>
      <w:sz w:val="18"/>
    </w:rPr>
  </w:style>
  <w:style w:type="paragraph" w:customStyle="1" w:styleId="140">
    <w:name w:val="Char2"/>
    <w:basedOn w:val="1"/>
    <w:qFormat/>
    <w:uiPriority w:val="0"/>
    <w:rPr>
      <w:rFonts w:ascii="仿宋_GB2312" w:eastAsia="仿宋_GB2312"/>
      <w:b/>
      <w:kern w:val="2"/>
      <w:sz w:val="32"/>
    </w:rPr>
  </w:style>
  <w:style w:type="paragraph" w:customStyle="1" w:styleId="141">
    <w:name w:val="flNote"/>
    <w:basedOn w:val="1"/>
    <w:qFormat/>
    <w:uiPriority w:val="0"/>
    <w:pPr>
      <w:adjustRightInd w:val="0"/>
      <w:spacing w:before="320" w:after="160" w:line="360" w:lineRule="atLeast"/>
      <w:jc w:val="center"/>
      <w:textAlignment w:val="baseline"/>
    </w:pPr>
    <w:rPr>
      <w:rFonts w:ascii="Arial" w:eastAsia="黑体"/>
      <w:sz w:val="30"/>
    </w:rPr>
  </w:style>
  <w:style w:type="paragraph" w:customStyle="1" w:styleId="142">
    <w:name w:val="Char Char Char Char Char Char Char Char Char Char Char Char Char Char Char Char1"/>
    <w:basedOn w:val="1"/>
    <w:qFormat/>
    <w:uiPriority w:val="0"/>
    <w:pPr>
      <w:snapToGrid w:val="0"/>
      <w:spacing w:line="360" w:lineRule="auto"/>
      <w:ind w:firstLine="200" w:firstLineChars="200"/>
    </w:pPr>
    <w:rPr>
      <w:rFonts w:ascii="Times New Roman"/>
      <w:kern w:val="2"/>
      <w:sz w:val="21"/>
      <w:szCs w:val="24"/>
    </w:rPr>
  </w:style>
  <w:style w:type="paragraph" w:customStyle="1" w:styleId="143">
    <w:name w:val="Blockquote"/>
    <w:basedOn w:val="1"/>
    <w:qFormat/>
    <w:uiPriority w:val="0"/>
    <w:pPr>
      <w:autoSpaceDE w:val="0"/>
      <w:autoSpaceDN w:val="0"/>
      <w:adjustRightInd w:val="0"/>
      <w:spacing w:before="100" w:after="100"/>
      <w:ind w:left="360" w:right="360"/>
      <w:jc w:val="left"/>
    </w:pPr>
    <w:rPr>
      <w:rFonts w:ascii="Times New Roman"/>
      <w:sz w:val="24"/>
    </w:rPr>
  </w:style>
  <w:style w:type="paragraph" w:customStyle="1" w:styleId="144">
    <w:name w:val="Char11"/>
    <w:basedOn w:val="16"/>
    <w:qFormat/>
    <w:uiPriority w:val="0"/>
    <w:rPr>
      <w:rFonts w:ascii="Times New Roman"/>
      <w:kern w:val="2"/>
      <w:sz w:val="21"/>
      <w:szCs w:val="24"/>
    </w:rPr>
  </w:style>
  <w:style w:type="paragraph" w:customStyle="1" w:styleId="145">
    <w:name w:val="pa-53"/>
    <w:basedOn w:val="1"/>
    <w:qFormat/>
    <w:uiPriority w:val="0"/>
    <w:pPr>
      <w:widowControl/>
      <w:spacing w:line="240" w:lineRule="atLeast"/>
      <w:ind w:firstLine="380"/>
    </w:pPr>
    <w:rPr>
      <w:sz w:val="24"/>
    </w:rPr>
  </w:style>
  <w:style w:type="paragraph" w:customStyle="1" w:styleId="146">
    <w:name w:val="pa-8"/>
    <w:basedOn w:val="1"/>
    <w:qFormat/>
    <w:uiPriority w:val="0"/>
    <w:pPr>
      <w:widowControl/>
      <w:spacing w:line="240" w:lineRule="atLeast"/>
    </w:pPr>
    <w:rPr>
      <w:sz w:val="24"/>
    </w:rPr>
  </w:style>
  <w:style w:type="paragraph" w:customStyle="1" w:styleId="147">
    <w:name w:val="TOC 标题1"/>
    <w:basedOn w:val="4"/>
    <w:next w:val="1"/>
    <w:qFormat/>
    <w:uiPriority w:val="0"/>
    <w:pPr>
      <w:spacing w:line="576" w:lineRule="auto"/>
      <w:outlineLvl w:val="9"/>
    </w:pPr>
    <w:rPr>
      <w:rFonts w:ascii="Calibri" w:hAnsi="Calibri"/>
    </w:rPr>
  </w:style>
  <w:style w:type="paragraph" w:customStyle="1" w:styleId="148">
    <w:name w:val="空半行"/>
    <w:basedOn w:val="1"/>
    <w:qFormat/>
    <w:uiPriority w:val="0"/>
    <w:pPr>
      <w:adjustRightInd w:val="0"/>
      <w:spacing w:line="120" w:lineRule="exact"/>
      <w:textAlignment w:val="baseline"/>
    </w:pPr>
    <w:rPr>
      <w:rFonts w:ascii="Times New Roman" w:eastAsia="仿宋_GB2312"/>
      <w:color w:val="FFFFFF"/>
      <w:sz w:val="30"/>
    </w:rPr>
  </w:style>
  <w:style w:type="paragraph" w:styleId="14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0">
    <w:name w:val="_Style 1"/>
    <w:basedOn w:val="1"/>
    <w:next w:val="1"/>
    <w:qFormat/>
    <w:uiPriority w:val="0"/>
    <w:pPr>
      <w:pBdr>
        <w:bottom w:val="single" w:color="auto" w:sz="6" w:space="1"/>
      </w:pBdr>
      <w:jc w:val="center"/>
    </w:pPr>
    <w:rPr>
      <w:rFonts w:ascii="Arial"/>
      <w:vanish/>
      <w:kern w:val="2"/>
      <w:sz w:val="16"/>
    </w:rPr>
  </w:style>
  <w:style w:type="paragraph" w:customStyle="1" w:styleId="151">
    <w:name w:val="_Style 2"/>
    <w:basedOn w:val="1"/>
    <w:next w:val="1"/>
    <w:qFormat/>
    <w:uiPriority w:val="0"/>
    <w:pPr>
      <w:pBdr>
        <w:top w:val="single" w:color="auto" w:sz="6" w:space="1"/>
      </w:pBdr>
      <w:jc w:val="center"/>
    </w:pPr>
    <w:rPr>
      <w:rFonts w:ascii="Arial"/>
      <w:vanish/>
      <w:kern w:val="2"/>
      <w:sz w:val="16"/>
    </w:rPr>
  </w:style>
  <w:style w:type="paragraph" w:customStyle="1" w:styleId="152">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153">
    <w:name w:val="明显引用 Char1"/>
    <w:basedOn w:val="42"/>
    <w:link w:val="120"/>
    <w:semiHidden/>
    <w:qFormat/>
    <w:uiPriority w:val="99"/>
    <w:rPr>
      <w:rFonts w:ascii="宋体" w:hAnsi="Times New Roman"/>
      <w:b/>
      <w:bCs/>
      <w:i/>
      <w:iCs/>
      <w:color w:val="4F81BD" w:themeColor="accent1"/>
      <w:sz w:val="34"/>
    </w:rPr>
  </w:style>
  <w:style w:type="paragraph" w:customStyle="1" w:styleId="154">
    <w:name w:val="style19"/>
    <w:basedOn w:val="1"/>
    <w:qFormat/>
    <w:uiPriority w:val="0"/>
    <w:pPr>
      <w:widowControl/>
      <w:spacing w:before="100" w:beforeAutospacing="1" w:after="100" w:afterAutospacing="1"/>
      <w:jc w:val="left"/>
    </w:pPr>
    <w:rPr>
      <w:rFonts w:hAnsi="宋体" w:cs="宋体"/>
      <w:sz w:val="24"/>
      <w:szCs w:val="24"/>
    </w:rPr>
  </w:style>
  <w:style w:type="paragraph" w:customStyle="1" w:styleId="155">
    <w:name w:val="p16"/>
    <w:basedOn w:val="1"/>
    <w:qFormat/>
    <w:uiPriority w:val="0"/>
    <w:pPr>
      <w:widowControl/>
      <w:spacing w:before="100" w:beforeAutospacing="1" w:after="100" w:afterAutospacing="1"/>
      <w:jc w:val="left"/>
    </w:pPr>
    <w:rPr>
      <w:rFonts w:cs="宋体"/>
      <w:sz w:val="24"/>
    </w:rPr>
  </w:style>
  <w:style w:type="character" w:customStyle="1" w:styleId="156">
    <w:name w:val="引用 Char1"/>
    <w:basedOn w:val="42"/>
    <w:link w:val="124"/>
    <w:semiHidden/>
    <w:qFormat/>
    <w:uiPriority w:val="99"/>
    <w:rPr>
      <w:rFonts w:ascii="宋体" w:hAnsi="Times New Roman"/>
      <w:i/>
      <w:iCs/>
      <w:color w:val="000000" w:themeColor="text1"/>
      <w:sz w:val="34"/>
    </w:rPr>
  </w:style>
  <w:style w:type="paragraph" w:customStyle="1" w:styleId="157">
    <w:name w:val="pa-52"/>
    <w:basedOn w:val="1"/>
    <w:qFormat/>
    <w:uiPriority w:val="0"/>
    <w:pPr>
      <w:widowControl/>
      <w:spacing w:line="240" w:lineRule="atLeast"/>
      <w:ind w:firstLine="200"/>
    </w:pPr>
    <w:rPr>
      <w:sz w:val="24"/>
    </w:rPr>
  </w:style>
  <w:style w:type="paragraph" w:styleId="158">
    <w:name w:val="List Paragraph"/>
    <w:basedOn w:val="1"/>
    <w:qFormat/>
    <w:uiPriority w:val="0"/>
    <w:pPr>
      <w:adjustRightInd w:val="0"/>
      <w:snapToGrid w:val="0"/>
      <w:spacing w:line="360" w:lineRule="auto"/>
      <w:ind w:firstLine="420" w:firstLineChars="200"/>
    </w:pPr>
    <w:rPr>
      <w:color w:val="000000"/>
      <w:szCs w:val="21"/>
    </w:rPr>
  </w:style>
  <w:style w:type="paragraph" w:customStyle="1" w:styleId="159">
    <w:name w:val="H3"/>
    <w:basedOn w:val="1"/>
    <w:next w:val="1"/>
    <w:qFormat/>
    <w:uiPriority w:val="0"/>
    <w:pPr>
      <w:keepNext/>
      <w:autoSpaceDE w:val="0"/>
      <w:autoSpaceDN w:val="0"/>
      <w:adjustRightInd w:val="0"/>
      <w:spacing w:before="100" w:after="100"/>
      <w:jc w:val="left"/>
      <w:outlineLvl w:val="3"/>
    </w:pPr>
    <w:rPr>
      <w:rFonts w:ascii="Times New Roman"/>
      <w:b/>
      <w:sz w:val="28"/>
    </w:rPr>
  </w:style>
  <w:style w:type="paragraph" w:customStyle="1" w:styleId="160">
    <w:name w:val="修订1"/>
    <w:qFormat/>
    <w:uiPriority w:val="0"/>
    <w:rPr>
      <w:rFonts w:ascii="Times New Roman" w:hAnsi="Times New Roman" w:eastAsia="宋体" w:cs="Times New Roman"/>
      <w:kern w:val="2"/>
      <w:sz w:val="21"/>
      <w:szCs w:val="24"/>
      <w:lang w:val="en-US" w:eastAsia="zh-CN" w:bidi="ar-SA"/>
    </w:rPr>
  </w:style>
  <w:style w:type="character" w:customStyle="1" w:styleId="161">
    <w:name w:val="red3"/>
    <w:basedOn w:val="42"/>
    <w:qFormat/>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390B9E-02B0-418E-A3A0-E3785964762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64</Pages>
  <Words>5001</Words>
  <Characters>28510</Characters>
  <Lines>237</Lines>
  <Paragraphs>66</Paragraphs>
  <TotalTime>4</TotalTime>
  <ScaleCrop>false</ScaleCrop>
  <LinksUpToDate>false</LinksUpToDate>
  <CharactersWithSpaces>33445</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Administrator</cp:lastModifiedBy>
  <cp:lastPrinted>2019-05-13T00:37:00Z</cp:lastPrinted>
  <dcterms:modified xsi:type="dcterms:W3CDTF">2019-06-20T06:28:25Z</dcterms:modified>
  <dc:title>魏武大道曹操饮马河桥工程</dc:title>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