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许昌市体育运动学校“第二届全国青年运动会服装”项目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093</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采购单位：许昌市体育运动学校</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二十一</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rPr>
        <w:t>许昌市体育运动学校</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rPr>
        <w:t>第二届全国青年运动会服装</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zh-CN"/>
        </w:rPr>
        <w:t>：第二届全国青年运动会服装</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093</w:t>
      </w:r>
      <w:r>
        <w:rPr>
          <w:rFonts w:hint="eastAsia" w:cs="仿宋_GB2312" w:asciiTheme="minorEastAsia" w:hAnsiTheme="minorEastAsia" w:eastAsiaTheme="minorEastAsia"/>
          <w:color w:val="000000"/>
          <w:sz w:val="21"/>
          <w:szCs w:val="21"/>
          <w:shd w:val="clear" w:color="auto" w:fill="FFFFFF"/>
          <w:lang w:val="zh-CN"/>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（四）项目主要内容、数量及要求：运动服360套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（五）预算金额：</w:t>
      </w:r>
      <w:r>
        <w:rPr>
          <w:rFonts w:hint="eastAsia" w:cs="仿宋_GB2312" w:asciiTheme="minorEastAsia" w:hAnsiTheme="minorEastAsia" w:eastAsiaTheme="minorEastAsia"/>
          <w:color w:val="000000"/>
          <w:sz w:val="21"/>
          <w:szCs w:val="21"/>
          <w:shd w:val="clear" w:color="auto" w:fill="FFFFFF"/>
          <w:lang w:val="en-US" w:eastAsia="zh-CN"/>
        </w:rPr>
        <w:t>90万</w:t>
      </w:r>
      <w:r>
        <w:rPr>
          <w:rFonts w:hint="eastAsia" w:cs="仿宋_GB2312" w:asciiTheme="minorEastAsia" w:hAnsiTheme="minorEastAsia" w:eastAsiaTheme="minorEastAsia"/>
          <w:color w:val="000000"/>
          <w:sz w:val="21"/>
          <w:szCs w:val="21"/>
          <w:shd w:val="clear" w:color="auto" w:fill="FFFFFF"/>
          <w:lang w:val="zh-CN"/>
        </w:rPr>
        <w:t>元。最高限价：</w:t>
      </w:r>
      <w:r>
        <w:rPr>
          <w:rFonts w:hint="eastAsia" w:cs="仿宋_GB2312" w:asciiTheme="minorEastAsia" w:hAnsiTheme="minorEastAsia" w:eastAsiaTheme="minorEastAsia"/>
          <w:color w:val="000000"/>
          <w:sz w:val="21"/>
          <w:szCs w:val="21"/>
          <w:shd w:val="clear" w:color="auto" w:fill="FFFFFF"/>
          <w:lang w:val="en-US" w:eastAsia="zh-CN"/>
        </w:rPr>
        <w:t>90万</w:t>
      </w:r>
      <w:r>
        <w:rPr>
          <w:rFonts w:hint="eastAsia" w:cs="仿宋_GB2312" w:asciiTheme="minorEastAsia" w:hAnsiTheme="minorEastAsia" w:eastAsiaTheme="minorEastAsia"/>
          <w:color w:val="000000"/>
          <w:sz w:val="21"/>
          <w:szCs w:val="21"/>
          <w:shd w:val="clear" w:color="auto" w:fill="FFFFFF"/>
          <w:lang w:val="zh-CN"/>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zh-CN"/>
        </w:rPr>
        <w:t>自合同生效之日起</w:t>
      </w:r>
      <w:bookmarkEnd w:id="0"/>
      <w:r>
        <w:rPr>
          <w:rFonts w:hint="eastAsia" w:cs="仿宋_GB2312" w:asciiTheme="minorEastAsia" w:hAnsiTheme="minorEastAsia" w:eastAsiaTheme="minorEastAsia"/>
          <w:color w:val="000000"/>
          <w:sz w:val="21"/>
          <w:szCs w:val="21"/>
          <w:shd w:val="clear" w:color="auto" w:fill="FFFFFF"/>
          <w:lang w:val="zh-CN"/>
        </w:rPr>
        <w:t>3天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（七）交付（服务、完工）地点：许昌市体育运动学校</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许昌市体育运动学校</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地址：许昌市魏都区湖滨路39号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联系人：高鹏                   联系电话：15737450000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rFonts w:hint="eastAsia" w:ascii="仿宋" w:hAnsi="仿宋" w:eastAsia="仿宋" w:cs="仿宋"/>
          <w:color w:val="000000"/>
          <w:kern w:val="0"/>
          <w:sz w:val="30"/>
          <w:szCs w:val="30"/>
          <w:shd w:val="clear" w:color="auto" w:fill="FFFFFF"/>
        </w:rPr>
      </w:pPr>
      <w:r>
        <w:rPr>
          <w:rFonts w:hint="eastAsia" w:cs="Arial" w:asciiTheme="minorEastAsia" w:hAnsiTheme="minorEastAsia"/>
          <w:color w:val="000000"/>
          <w:szCs w:val="21"/>
        </w:rPr>
        <w:t>许昌市体育运动学校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二〇一九年六月二十一日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为使运动员、教练员、裁判员所采购服装能够充分展示许昌形象，服装质量好，穿着简单舒服等。使全市青少年竞技体育水平不断提高、体育设施加快完善、体育产业蓬勃兴起。</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圆领T恤</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1、面料成分（±5%）：55%锦纶，27%聚酯纤维，18%氨纶；克重150G/㎡（±5）</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2、急速吸湿速干的冰感纤维面料，反光印LOGO提升夜间运动安全性能，拼接处采用二针四线平缝工艺，贴身穿着舒适，不摩擦皮肤；</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3、耐水色牢度、耐皂洗色牢度、耐摩擦色牢度、耐光汗符合色牢度、耐汗渍色牢度4-5级</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4、勾丝性能：纵向4级，横向4-5级；</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5、顶破强力≥600N</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6、滴水扩散时间、蒸发速率符合GB/T21655.1-2008标准</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7、其余符合GB/T22849-2014一等品执行标准；符合GB/T18401-2010B类标准；</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件</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翻领T恤</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1.面料成分（±5%）：棉63%，,20%莱赛尔纤维，12%聚酯纤维，5%蚕丝；</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2. 透湿量≥10000；顶破强力≥300；</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3.吸水率、滴水扩散时间、蒸发速率符合GB/T21655.1-2008标准；</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4.执行标准符GB/T22849-2014一等品；安全指标符合标准GB18401-2010 B类</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件</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运动套装</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上衣：面料：100%聚酯纤维</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1、防水性能（洗前）4级以上，具有优异的抗沾湿性能；</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2、拼接互染色牢度≥4级；</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3、安全指标要求：符合标准GB18401-2010 B类；</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4、外观质量：符合标准FZ/T81007-2012一等品标准</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裤子：面料：100%聚酯纤维</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1、 防水性能（洗前）4级以上，具有优异的抗沾湿性能；</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2、 拼接互染色牢度≥4级；</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3、安全指标要求：符合标准GB18401-2010 B类；</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4、外观质量：符合标准FZ/T81007-2012一等品标准；</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w:t>
            </w:r>
          </w:p>
        </w:tc>
        <w:tc>
          <w:tcPr>
            <w:tcW w:w="1418"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运动鞋</w:t>
            </w:r>
          </w:p>
        </w:tc>
        <w:tc>
          <w:tcPr>
            <w:tcW w:w="4252" w:type="dxa"/>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1、材质：合成革/网布鞋面，成型EVA/橡胶大底；</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2、鞋面耐摩擦色牢度4/5级；衬里耐摩擦色牢度4/5级，内垫耐摩擦色牢度4/5级；</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3、游离或可部分水解甲醛含量：无；符合GB/T2912.1-2009标准；</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4、成鞋耐折性能符合GB/T3903.1-2008标准；外底耐磨性能≤5mm，底墙与帮面剥离强度≥90N/cm；</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5、整体符合GB/T15107-2013优等品标准</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双</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w:t>
            </w:r>
          </w:p>
        </w:tc>
        <w:tc>
          <w:tcPr>
            <w:tcW w:w="1418"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运动短裤</w:t>
            </w:r>
          </w:p>
        </w:tc>
        <w:tc>
          <w:tcPr>
            <w:tcW w:w="4252" w:type="dxa"/>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1、面料成分：主面料（±5%）：85%锦纶，15%氨纶；配料：100%聚酯纤维</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2、耐水色牢度、耐皂洗色牢度、耐摩擦色牢度、耐汗渍色牢度4级以上；</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3、透湿量≥8000g/㎡.d；符合GB/T12704.1-2009标准；</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4、吸水率、滴水扩散时间、蒸发速率符合GB/T21655.1-2008标准</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5、芯吸高度符合FZ/T01071-2008标准；</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6、拉伸弹性回复率：经向89%，纬向85%；拉伸伸长率：经向35%，纬向34%；符合ASTM D3107-07标准；</w:t>
            </w:r>
          </w:p>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7、执行标准：FZ/T81007-2012一等品标准；安全标准：符合GB18401-2010 B类</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件</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6</w:t>
            </w:r>
          </w:p>
        </w:tc>
        <w:tc>
          <w:tcPr>
            <w:tcW w:w="1418"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运动背包</w:t>
            </w:r>
          </w:p>
        </w:tc>
        <w:tc>
          <w:tcPr>
            <w:tcW w:w="4252" w:type="dxa"/>
            <w:vAlign w:val="center"/>
          </w:tcPr>
          <w:p>
            <w:pPr>
              <w:widowControl/>
              <w:spacing w:line="360" w:lineRule="auto"/>
              <w:contextualSpacing/>
              <w:jc w:val="left"/>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1、成分：高品质的牛津布、防水防撕裂，使用过程中耐磨；</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 xml:space="preserve">2、多功能双肩包、负重轻、耐用容积大； </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3、容量：30L；</w:t>
            </w:r>
            <w:r>
              <w:rPr>
                <w:rFonts w:hint="eastAsia" w:cs="Times New Roman" w:asciiTheme="minorEastAsia" w:hAnsiTheme="minorEastAsia"/>
                <w:color w:val="000000"/>
                <w:kern w:val="0"/>
                <w:szCs w:val="21"/>
              </w:rPr>
              <w:br w:type="textWrapping"/>
            </w:r>
            <w:r>
              <w:rPr>
                <w:rFonts w:hint="eastAsia" w:cs="Times New Roman" w:asciiTheme="minorEastAsia" w:hAnsiTheme="minorEastAsia"/>
                <w:color w:val="000000"/>
                <w:kern w:val="0"/>
                <w:szCs w:val="21"/>
              </w:rPr>
              <w:t>4、执行标准：QB/T1333-2010标准；安全标准：GB 18401-2010 B类标准</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个</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360</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spacing w:line="360" w:lineRule="auto"/>
        <w:ind w:firstLine="600" w:firstLineChars="200"/>
        <w:contextualSpacing/>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采购清单中所列标准。</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四、采购标的的其他技术、服务等要求</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zh-CN"/>
        </w:rPr>
        <w:t>1、投标人须明确投标产品的厂家、产地、品牌、型号、详细参数，</w:t>
      </w:r>
      <w:r>
        <w:rPr>
          <w:rFonts w:hint="eastAsia" w:ascii="宋体" w:cs="宋体"/>
          <w:b/>
          <w:sz w:val="24"/>
          <w:highlight w:val="none"/>
          <w:lang w:val="zh-CN"/>
        </w:rPr>
        <w:t>否则为无效投标。</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zh-CN"/>
        </w:rPr>
        <w:t>2、投标人应就本项目完整投标，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zh-CN"/>
        </w:rPr>
        <w:t>3、所投产品必须符合国家质量检测标准和本招标文件规定标准的全新正品现货。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90万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90万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ordWrap w:val="0"/>
        <w:topLinePunct/>
        <w:spacing w:line="360" w:lineRule="auto"/>
        <w:ind w:firstLine="480" w:firstLineChars="200"/>
        <w:rPr>
          <w:rFonts w:hint="eastAsia" w:ascii="宋体" w:cs="宋体"/>
          <w:sz w:val="24"/>
          <w:highlight w:val="none"/>
          <w:lang w:val="zh-CN"/>
        </w:rPr>
      </w:pPr>
      <w:r>
        <w:rPr>
          <w:rFonts w:hint="eastAsia" w:cs="宋体" w:asciiTheme="minorEastAsia" w:hAnsiTheme="minorEastAsia"/>
          <w:color w:val="000000"/>
          <w:kern w:val="0"/>
          <w:sz w:val="24"/>
          <w:szCs w:val="24"/>
          <w:lang w:val="zh-CN"/>
        </w:rPr>
        <w:t>1、支付方式</w:t>
      </w:r>
      <w:r>
        <w:rPr>
          <w:rFonts w:hint="eastAsia" w:ascii="宋体" w:cs="宋体"/>
          <w:sz w:val="24"/>
          <w:highlight w:val="none"/>
          <w:lang w:val="zh-CN"/>
        </w:rPr>
        <w:t>：银行转账</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2、支付时间及条件：签订合同后一次性付款。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项目名称：第二届全国青年运动会服装</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093</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项目内容：运动服360套</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项目地址：许昌市体育运动学校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名称：许昌市体育运动学校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地址：许昌市魏都区湖滨路39号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联系人：高鹏                    电话：15737450000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90万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五</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金额：壹万捌仟元（¥ </w:t>
            </w:r>
            <w:r>
              <w:rPr>
                <w:rFonts w:hint="eastAsia" w:cs="仿宋_GB2312" w:asciiTheme="minorEastAsia" w:hAnsiTheme="minorEastAsia"/>
                <w:szCs w:val="21"/>
                <w:lang w:val="en-US" w:eastAsia="zh-CN"/>
              </w:rPr>
              <w:t>18000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不同供应商电子投标文件制作硬件特征码（网卡MAC地址、CPU序号、硬盘序列号等）雷同时，视为‘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15</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ascii="宋体" w:hAnsi="宋体" w:eastAsia="宋体" w:cs="宋体"/>
                <w:szCs w:val="21"/>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r>
              <w:rPr>
                <w:rFonts w:hint="eastAsia" w:asciiTheme="minorEastAsia" w:hAnsiTheme="minorEastAsia"/>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12</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宋体"/>
                <w:color w:val="000000"/>
                <w:szCs w:val="21"/>
              </w:rPr>
              <w:t>自2017年1月1日以来所投产品生产企业具有类似项目业绩，每提供一个得3分，满分12分（需提供合同复印件并加盖公章），不提供不得分。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23</w:t>
            </w:r>
            <w:r>
              <w:rPr>
                <w:rFonts w:hint="eastAsia" w:ascii="宋体" w:hAnsi="宋体" w:eastAsia="宋体" w:cs="Times New Roman"/>
                <w:szCs w:val="21"/>
              </w:rPr>
              <w:t>分）</w:t>
            </w:r>
          </w:p>
        </w:tc>
        <w:tc>
          <w:tcPr>
            <w:tcW w:w="6095" w:type="dxa"/>
            <w:vAlign w:val="center"/>
          </w:tcPr>
          <w:p>
            <w:pPr>
              <w:snapToGrid w:val="0"/>
              <w:spacing w:line="360" w:lineRule="auto"/>
              <w:rPr>
                <w:rFonts w:hint="eastAsia"/>
                <w:color w:val="000000"/>
                <w:szCs w:val="21"/>
              </w:rPr>
            </w:pPr>
            <w:r>
              <w:rPr>
                <w:rFonts w:hint="eastAsia"/>
                <w:color w:val="000000"/>
                <w:szCs w:val="21"/>
              </w:rPr>
              <w:t>所投产品生产企业具有以下资质证书：</w:t>
            </w:r>
          </w:p>
          <w:p>
            <w:pPr>
              <w:tabs>
                <w:tab w:val="left" w:pos="1260"/>
              </w:tabs>
              <w:autoSpaceDE w:val="0"/>
              <w:autoSpaceDN w:val="0"/>
              <w:spacing w:line="360" w:lineRule="auto"/>
              <w:contextualSpacing/>
              <w:rPr>
                <w:rFonts w:hint="eastAsia" w:ascii="宋体" w:hAnsi="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获得全国纺织品标准化技术委员会《标准化工作先进单位》荣誉证</w:t>
            </w:r>
            <w:r>
              <w:rPr>
                <w:rFonts w:hint="eastAsia" w:ascii="宋体" w:hAnsi="宋体"/>
                <w:color w:val="000000"/>
                <w:szCs w:val="21"/>
              </w:rPr>
              <w:t>书，得2分；</w:t>
            </w:r>
          </w:p>
          <w:p>
            <w:pPr>
              <w:tabs>
                <w:tab w:val="left" w:pos="1260"/>
              </w:tabs>
              <w:autoSpaceDE w:val="0"/>
              <w:autoSpaceDN w:val="0"/>
              <w:spacing w:line="360" w:lineRule="auto"/>
              <w:contextualSpacing/>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获得中国质量认证中心CQC生态纺织品产品认证证书得5分；</w:t>
            </w:r>
          </w:p>
          <w:p>
            <w:pPr>
              <w:tabs>
                <w:tab w:val="left" w:pos="1260"/>
              </w:tabs>
              <w:autoSpaceDE w:val="0"/>
              <w:autoSpaceDN w:val="0"/>
              <w:spacing w:line="360" w:lineRule="auto"/>
              <w:contextualSpacing/>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获得科学技术委员会高新技术企业证书的得5分；</w:t>
            </w:r>
          </w:p>
          <w:p>
            <w:pPr>
              <w:tabs>
                <w:tab w:val="left" w:pos="1260"/>
              </w:tabs>
              <w:autoSpaceDE w:val="0"/>
              <w:autoSpaceDN w:val="0"/>
              <w:spacing w:line="360" w:lineRule="auto"/>
              <w:contextualSpacing/>
              <w:rPr>
                <w:rFonts w:hint="eastAsia"/>
                <w:color w:val="000000"/>
                <w:szCs w:val="21"/>
              </w:rPr>
            </w:pPr>
            <w:r>
              <w:rPr>
                <w:rFonts w:hint="eastAsia" w:ascii="宋体" w:hAnsi="宋体"/>
                <w:color w:val="000000"/>
                <w:szCs w:val="21"/>
                <w:lang w:val="en-US" w:eastAsia="zh-CN"/>
              </w:rPr>
              <w:t>4、</w:t>
            </w:r>
            <w:r>
              <w:rPr>
                <w:rFonts w:hint="eastAsia" w:ascii="宋体" w:hAnsi="宋体"/>
                <w:color w:val="000000"/>
                <w:szCs w:val="21"/>
              </w:rPr>
              <w:t>获得</w:t>
            </w:r>
            <w:r>
              <w:rPr>
                <w:rFonts w:hint="eastAsia"/>
                <w:color w:val="000000"/>
                <w:szCs w:val="21"/>
              </w:rPr>
              <w:t>企业信用等级AAA级证书的得5分；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US" w:eastAsia="zh-CN"/>
              </w:rPr>
              <w:t>5、</w:t>
            </w:r>
            <w:r>
              <w:rPr>
                <w:rFonts w:hint="eastAsia" w:ascii="宋体" w:hAnsi="宋体"/>
                <w:color w:val="000000"/>
                <w:szCs w:val="21"/>
              </w:rPr>
              <w:t>投标品牌制造商获得ISO9001全面质量管理体系认证、ISO14001环境体系认证及职业健康管理体系认证，需提供中国认证认可监督管理委员会官网证书查询截图。每提供一项得2分，满分6分，不提供不得分。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Times New Roman"/>
                <w:szCs w:val="21"/>
              </w:rPr>
              <w:t>分）</w:t>
            </w:r>
          </w:p>
        </w:tc>
        <w:tc>
          <w:tcPr>
            <w:tcW w:w="6095" w:type="dxa"/>
            <w:tcBorders>
              <w:right w:val="single" w:color="auto" w:sz="4" w:space="0"/>
            </w:tcBorders>
            <w:vAlign w:val="center"/>
          </w:tcPr>
          <w:p>
            <w:pPr>
              <w:snapToGrid w:val="0"/>
              <w:spacing w:line="360" w:lineRule="auto"/>
              <w:ind w:left="-105" w:right="-105" w:firstLine="120"/>
              <w:rPr>
                <w:rFonts w:hint="eastAsia"/>
                <w:color w:val="000000"/>
                <w:szCs w:val="21"/>
              </w:rPr>
            </w:pPr>
            <w:r>
              <w:rPr>
                <w:rFonts w:hint="eastAsia" w:ascii="宋体" w:hAnsi="宋体" w:cs="宋体"/>
                <w:szCs w:val="21"/>
              </w:rPr>
              <w:t>1、所投产品生产企业提供a、全自动拉布机、平缝机、激光机、补压机、锁眼机、热风机设备购买发票（复印件），b、设备厂房及车间实图。每项得1</w:t>
            </w:r>
            <w:r>
              <w:rPr>
                <w:rFonts w:hint="eastAsia" w:ascii="宋体" w:hAnsi="宋体" w:cs="宋体"/>
                <w:szCs w:val="21"/>
                <w:lang w:val="en-US" w:eastAsia="zh-CN"/>
              </w:rPr>
              <w:t>.5</w:t>
            </w:r>
            <w:r>
              <w:rPr>
                <w:rFonts w:hint="eastAsia" w:ascii="宋体" w:hAnsi="宋体" w:cs="宋体"/>
                <w:szCs w:val="21"/>
              </w:rPr>
              <w:t>分，最高3分。不提供不得分。</w:t>
            </w:r>
          </w:p>
          <w:p>
            <w:pPr>
              <w:snapToGrid w:val="0"/>
              <w:spacing w:line="360" w:lineRule="auto"/>
              <w:ind w:left="-105" w:right="-105" w:hanging="3"/>
              <w:rPr>
                <w:rFonts w:hint="eastAsia" w:ascii="宋体" w:hAnsi="宋体" w:cs="宋体"/>
                <w:szCs w:val="21"/>
              </w:rPr>
            </w:pPr>
            <w:r>
              <w:rPr>
                <w:rFonts w:hint="eastAsia" w:ascii="宋体" w:hAnsi="宋体" w:cs="宋体"/>
                <w:szCs w:val="21"/>
              </w:rPr>
              <w:t>2、产品质量方案：</w:t>
            </w:r>
          </w:p>
          <w:p>
            <w:pPr>
              <w:snapToGrid w:val="0"/>
              <w:spacing w:line="360" w:lineRule="auto"/>
              <w:ind w:right="-105"/>
              <w:rPr>
                <w:rFonts w:hint="eastAsia" w:ascii="宋体" w:hAnsi="宋体" w:cs="宋体"/>
                <w:szCs w:val="21"/>
              </w:rPr>
            </w:pPr>
            <w:r>
              <w:rPr>
                <w:rFonts w:hint="eastAsia" w:ascii="宋体" w:hAnsi="宋体" w:cs="宋体"/>
                <w:szCs w:val="21"/>
              </w:rPr>
              <w:t>a、具有针对本项目产品合理可行的质量保障措施说明,得5分，没有不得分；</w:t>
            </w:r>
          </w:p>
          <w:p>
            <w:pPr>
              <w:snapToGrid w:val="0"/>
              <w:spacing w:line="360" w:lineRule="auto"/>
              <w:ind w:right="-105"/>
              <w:rPr>
                <w:rFonts w:hint="eastAsia" w:ascii="宋体" w:hAnsi="宋体" w:cs="宋体"/>
                <w:szCs w:val="21"/>
              </w:rPr>
            </w:pPr>
            <w:r>
              <w:rPr>
                <w:rFonts w:hint="eastAsia" w:ascii="宋体" w:hAnsi="宋体" w:cs="宋体"/>
                <w:szCs w:val="21"/>
              </w:rPr>
              <w:t>b、具有针对本项目材料检验检测措施，得6分，没有不得分；</w:t>
            </w:r>
          </w:p>
          <w:p>
            <w:pPr>
              <w:snapToGrid w:val="0"/>
              <w:spacing w:beforeLines="50"/>
              <w:rPr>
                <w:rFonts w:ascii="宋体" w:hAnsi="宋体" w:eastAsia="宋体" w:cs="Times New Roman"/>
                <w:szCs w:val="21"/>
              </w:rPr>
            </w:pPr>
            <w:r>
              <w:rPr>
                <w:rFonts w:hint="eastAsia" w:ascii="宋体" w:hAnsi="宋体" w:cs="宋体"/>
                <w:szCs w:val="21"/>
              </w:rPr>
              <w:t>c、产品检验检测措施、生产方案，供货措施，每一项2分，最高6分，没有不得分。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numPr>
                <w:numId w:val="0"/>
              </w:numPr>
              <w:snapToGrid w:val="0"/>
              <w:spacing w:line="360" w:lineRule="auto"/>
              <w:ind w:right="-105" w:rightChars="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有详细的售后服务方案，售后人员岗位分工明确，仓储、交货、调换等，合理得10分，</w:t>
            </w:r>
            <w:r>
              <w:rPr>
                <w:rFonts w:hint="eastAsia" w:ascii="宋体" w:hAnsi="宋体" w:cs="Arial"/>
                <w:szCs w:val="21"/>
              </w:rPr>
              <w:t>进行简单描述得1分，</w:t>
            </w:r>
            <w:r>
              <w:rPr>
                <w:rFonts w:hint="eastAsia" w:ascii="宋体" w:hAnsi="宋体" w:cs="宋体"/>
                <w:color w:val="000000"/>
                <w:szCs w:val="21"/>
              </w:rPr>
              <w:t>未提供不得分。</w:t>
            </w:r>
          </w:p>
          <w:p>
            <w:pPr>
              <w:snapToGrid w:val="0"/>
              <w:spacing w:line="360" w:lineRule="auto"/>
              <w:ind w:right="-105"/>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具有售后应急保障措施，合理得5分，</w:t>
            </w:r>
            <w:r>
              <w:rPr>
                <w:rFonts w:hint="eastAsia" w:ascii="宋体" w:hAnsi="宋体" w:cs="Arial"/>
                <w:szCs w:val="21"/>
              </w:rPr>
              <w:t>进行简单描述得1分，</w:t>
            </w:r>
            <w:r>
              <w:rPr>
                <w:rFonts w:hint="eastAsia" w:ascii="宋体" w:hAnsi="宋体" w:cs="宋体"/>
                <w:color w:val="000000"/>
                <w:szCs w:val="21"/>
              </w:rPr>
              <w:t>未提供的不得分。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w:t>
            </w:r>
            <w:bookmarkStart w:id="14" w:name="_GoBack"/>
            <w:bookmarkEnd w:id="14"/>
            <w:r>
              <w:rPr>
                <w:rFonts w:hint="eastAsia" w:ascii="宋体" w:hAnsi="宋体"/>
                <w:szCs w:val="21"/>
              </w:rPr>
              <w:t>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74185203"/>
      <w:bookmarkStart w:id="8" w:name="_Toc184023138"/>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4"/>
      <w:bookmarkStart w:id="13" w:name="OLE_LINK13"/>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354ACC"/>
    <w:multiLevelType w:val="singleLevel"/>
    <w:tmpl w:val="46354ACC"/>
    <w:lvl w:ilvl="0" w:tentative="0">
      <w:start w:val="1"/>
      <w:numFmt w:val="chineseCounting"/>
      <w:suff w:val="nothing"/>
      <w:lvlText w:val="%1、"/>
      <w:lvlJc w:val="left"/>
      <w:rPr>
        <w:rFonts w:hint="eastAsia"/>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11"/>
  </w:num>
  <w:num w:numId="6">
    <w:abstractNumId w:val="7"/>
  </w:num>
  <w:num w:numId="7">
    <w:abstractNumId w:val="15"/>
  </w:num>
  <w:num w:numId="8">
    <w:abstractNumId w:val="8"/>
  </w:num>
  <w:num w:numId="9">
    <w:abstractNumId w:val="4"/>
  </w:num>
  <w:num w:numId="10">
    <w:abstractNumId w:val="5"/>
  </w:num>
  <w:num w:numId="11">
    <w:abstractNumId w:val="17"/>
  </w:num>
  <w:num w:numId="12">
    <w:abstractNumId w:val="10"/>
  </w:num>
  <w:num w:numId="13">
    <w:abstractNumId w:val="16"/>
  </w:num>
  <w:num w:numId="14">
    <w:abstractNumId w:val="3"/>
  </w:num>
  <w:num w:numId="15">
    <w:abstractNumId w:val="6"/>
  </w:num>
  <w:num w:numId="16">
    <w:abstractNumId w:val="12"/>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24D63D8"/>
    <w:rsid w:val="03EA15C2"/>
    <w:rsid w:val="057B354B"/>
    <w:rsid w:val="0A582101"/>
    <w:rsid w:val="10E64FA4"/>
    <w:rsid w:val="13464CFF"/>
    <w:rsid w:val="1EC1311C"/>
    <w:rsid w:val="207A195D"/>
    <w:rsid w:val="214346D8"/>
    <w:rsid w:val="23BE10D0"/>
    <w:rsid w:val="279B317D"/>
    <w:rsid w:val="2C635DC2"/>
    <w:rsid w:val="2CA875DB"/>
    <w:rsid w:val="315F5DD2"/>
    <w:rsid w:val="33813D07"/>
    <w:rsid w:val="33BC3DF7"/>
    <w:rsid w:val="35DB3970"/>
    <w:rsid w:val="35F92421"/>
    <w:rsid w:val="3A627475"/>
    <w:rsid w:val="3C720579"/>
    <w:rsid w:val="3DE21B05"/>
    <w:rsid w:val="473105B7"/>
    <w:rsid w:val="4BE11AE0"/>
    <w:rsid w:val="4F004D7D"/>
    <w:rsid w:val="501208A6"/>
    <w:rsid w:val="5B1F0BB5"/>
    <w:rsid w:val="5B855758"/>
    <w:rsid w:val="5CAE3B9E"/>
    <w:rsid w:val="62A27B5F"/>
    <w:rsid w:val="63250FF2"/>
    <w:rsid w:val="642B11B3"/>
    <w:rsid w:val="65F75FD5"/>
    <w:rsid w:val="6E275E30"/>
    <w:rsid w:val="757D07F4"/>
    <w:rsid w:val="768205BA"/>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70</Pages>
  <Words>33493</Words>
  <Characters>35168</Characters>
  <Lines>265</Lines>
  <Paragraphs>74</Paragraphs>
  <TotalTime>3</TotalTime>
  <ScaleCrop>false</ScaleCrop>
  <LinksUpToDate>false</LinksUpToDate>
  <CharactersWithSpaces>36538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cp:lastModifiedBy>
  <cp:lastPrinted>2019-04-28T07:36:00Z</cp:lastPrinted>
  <dcterms:modified xsi:type="dcterms:W3CDTF">2019-06-21T01:01:44Z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