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6"/>
          <w:szCs w:val="36"/>
        </w:rPr>
      </w:pPr>
    </w:p>
    <w:p>
      <w:pPr>
        <w:jc w:val="center"/>
        <w:rPr>
          <w:rFonts w:asciiTheme="minorEastAsia" w:hAnsiTheme="minorEastAsia" w:eastAsiaTheme="minorEastAsia"/>
          <w:sz w:val="72"/>
          <w:szCs w:val="72"/>
        </w:rPr>
      </w:pPr>
      <w:r>
        <w:rPr>
          <w:rFonts w:hint="eastAsia" w:asciiTheme="minorEastAsia" w:hAnsiTheme="minorEastAsia" w:eastAsiaTheme="minorEastAsia"/>
          <w:sz w:val="72"/>
          <w:szCs w:val="72"/>
        </w:rPr>
        <w:t>建安区</w:t>
      </w:r>
      <w:r>
        <w:rPr>
          <w:rFonts w:asciiTheme="minorEastAsia" w:hAnsiTheme="minorEastAsia" w:eastAsiaTheme="minorEastAsia"/>
          <w:sz w:val="72"/>
          <w:szCs w:val="72"/>
        </w:rPr>
        <w:t>建设工程</w:t>
      </w:r>
    </w:p>
    <w:p>
      <w:pPr>
        <w:jc w:val="center"/>
        <w:rPr>
          <w:rFonts w:asciiTheme="minorEastAsia" w:hAnsiTheme="minorEastAsia" w:eastAsiaTheme="minorEastAsia"/>
          <w:sz w:val="84"/>
          <w:szCs w:val="84"/>
        </w:rPr>
      </w:pPr>
    </w:p>
    <w:p>
      <w:pPr>
        <w:jc w:val="center"/>
        <w:rPr>
          <w:rFonts w:asciiTheme="minorEastAsia" w:hAnsiTheme="minorEastAsia" w:eastAsiaTheme="minorEastAsia"/>
          <w:sz w:val="84"/>
          <w:szCs w:val="84"/>
        </w:rPr>
      </w:pPr>
    </w:p>
    <w:p>
      <w:pPr>
        <w:jc w:val="center"/>
        <w:rPr>
          <w:rFonts w:asciiTheme="minorEastAsia" w:hAnsiTheme="minorEastAsia" w:eastAsiaTheme="minorEastAsia"/>
          <w:sz w:val="72"/>
          <w:szCs w:val="72"/>
        </w:rPr>
      </w:pPr>
      <w:r>
        <w:rPr>
          <w:rFonts w:asciiTheme="minorEastAsia" w:hAnsiTheme="minorEastAsia" w:eastAsiaTheme="minorEastAsia"/>
          <w:sz w:val="72"/>
          <w:szCs w:val="72"/>
        </w:rPr>
        <w:t>招</w:t>
      </w:r>
    </w:p>
    <w:p>
      <w:pPr>
        <w:jc w:val="center"/>
        <w:rPr>
          <w:rFonts w:asciiTheme="minorEastAsia" w:hAnsiTheme="minorEastAsia" w:eastAsiaTheme="minorEastAsia"/>
          <w:sz w:val="72"/>
          <w:szCs w:val="72"/>
        </w:rPr>
      </w:pPr>
      <w:r>
        <w:rPr>
          <w:rFonts w:asciiTheme="minorEastAsia" w:hAnsiTheme="minorEastAsia" w:eastAsiaTheme="minorEastAsia"/>
          <w:sz w:val="72"/>
          <w:szCs w:val="72"/>
        </w:rPr>
        <w:t>标</w:t>
      </w:r>
    </w:p>
    <w:p>
      <w:pPr>
        <w:jc w:val="center"/>
        <w:rPr>
          <w:rFonts w:asciiTheme="minorEastAsia" w:hAnsiTheme="minorEastAsia" w:eastAsiaTheme="minorEastAsia"/>
          <w:sz w:val="72"/>
          <w:szCs w:val="72"/>
        </w:rPr>
      </w:pPr>
      <w:r>
        <w:rPr>
          <w:rFonts w:asciiTheme="minorEastAsia" w:hAnsiTheme="minorEastAsia" w:eastAsiaTheme="minorEastAsia"/>
          <w:sz w:val="72"/>
          <w:szCs w:val="72"/>
        </w:rPr>
        <w:t>文</w:t>
      </w:r>
    </w:p>
    <w:p>
      <w:pPr>
        <w:jc w:val="center"/>
        <w:rPr>
          <w:rFonts w:asciiTheme="minorEastAsia" w:hAnsiTheme="minorEastAsia" w:eastAsiaTheme="minorEastAsia"/>
          <w:sz w:val="72"/>
          <w:szCs w:val="72"/>
        </w:rPr>
      </w:pPr>
      <w:r>
        <w:rPr>
          <w:rFonts w:asciiTheme="minorEastAsia" w:hAnsiTheme="minorEastAsia" w:eastAsiaTheme="minorEastAsia"/>
          <w:sz w:val="72"/>
          <w:szCs w:val="72"/>
        </w:rPr>
        <w:t>件</w:t>
      </w:r>
    </w:p>
    <w:p>
      <w:pPr>
        <w:rPr>
          <w:rFonts w:asciiTheme="minorEastAsia" w:hAnsiTheme="minorEastAsia" w:eastAsiaTheme="minorEastAsia"/>
          <w:sz w:val="44"/>
          <w:szCs w:val="44"/>
        </w:rPr>
      </w:pPr>
    </w:p>
    <w:p>
      <w:pPr>
        <w:rPr>
          <w:rFonts w:asciiTheme="minorEastAsia" w:hAnsiTheme="minorEastAsia" w:eastAsiaTheme="minorEastAsia"/>
          <w:sz w:val="44"/>
          <w:szCs w:val="44"/>
        </w:rPr>
      </w:pPr>
    </w:p>
    <w:p>
      <w:pPr>
        <w:rPr>
          <w:rFonts w:asciiTheme="minorEastAsia" w:hAnsiTheme="minorEastAsia" w:eastAsiaTheme="minorEastAsia"/>
          <w:sz w:val="44"/>
          <w:szCs w:val="44"/>
        </w:rPr>
      </w:pPr>
    </w:p>
    <w:p>
      <w:pPr>
        <w:rPr>
          <w:rFonts w:asciiTheme="minorEastAsia" w:hAnsiTheme="minorEastAsia" w:eastAsiaTheme="minorEastAsia"/>
          <w:sz w:val="32"/>
          <w:szCs w:val="32"/>
        </w:rPr>
      </w:pPr>
    </w:p>
    <w:p>
      <w:pPr>
        <w:spacing w:line="360" w:lineRule="auto"/>
        <w:ind w:firstLine="1120" w:firstLineChars="350"/>
        <w:rPr>
          <w:rFonts w:asciiTheme="minorEastAsia" w:hAnsiTheme="minorEastAsia" w:eastAsiaTheme="minorEastAsia"/>
          <w:sz w:val="32"/>
          <w:szCs w:val="32"/>
          <w:lang w:val="zh-CN"/>
        </w:rPr>
      </w:pPr>
      <w:r>
        <w:rPr>
          <w:rFonts w:asciiTheme="minorEastAsia" w:hAnsiTheme="minorEastAsia" w:eastAsiaTheme="minorEastAsia"/>
          <w:sz w:val="32"/>
          <w:szCs w:val="32"/>
        </w:rPr>
        <w:t>项目编</w:t>
      </w:r>
      <w:r>
        <w:rPr>
          <w:rFonts w:hint="eastAsia" w:asciiTheme="minorEastAsia" w:hAnsiTheme="minorEastAsia" w:eastAsiaTheme="minorEastAsia"/>
          <w:sz w:val="32"/>
          <w:szCs w:val="32"/>
          <w:lang w:val="zh-CN"/>
        </w:rPr>
        <w:t>号：建安建工公字〔2019〕</w:t>
      </w:r>
      <w:r>
        <w:rPr>
          <w:rFonts w:hint="eastAsia" w:asciiTheme="minorEastAsia" w:hAnsiTheme="minorEastAsia" w:eastAsiaTheme="minorEastAsia"/>
          <w:sz w:val="32"/>
          <w:szCs w:val="32"/>
          <w:lang w:val="en-US" w:eastAsia="zh-CN"/>
        </w:rPr>
        <w:t>102</w:t>
      </w:r>
      <w:r>
        <w:rPr>
          <w:rFonts w:hint="eastAsia" w:asciiTheme="minorEastAsia" w:hAnsiTheme="minorEastAsia" w:eastAsiaTheme="minorEastAsia"/>
          <w:sz w:val="32"/>
          <w:szCs w:val="32"/>
          <w:lang w:val="zh-CN"/>
        </w:rPr>
        <w:t>号</w:t>
      </w:r>
    </w:p>
    <w:p>
      <w:pPr>
        <w:spacing w:line="360" w:lineRule="auto"/>
        <w:ind w:firstLine="1120" w:firstLineChars="35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项目名称：</w:t>
      </w:r>
      <w:r>
        <w:rPr>
          <w:rFonts w:hint="eastAsia" w:asciiTheme="minorEastAsia" w:hAnsiTheme="minorEastAsia" w:eastAsiaTheme="minorEastAsia"/>
          <w:sz w:val="32"/>
          <w:szCs w:val="32"/>
          <w:lang w:eastAsia="zh-CN"/>
        </w:rPr>
        <w:t>许昌市建安区小召乡、苏桥镇危桥改造项目</w:t>
      </w:r>
    </w:p>
    <w:p>
      <w:pPr>
        <w:spacing w:line="360" w:lineRule="auto"/>
        <w:ind w:firstLine="1120" w:firstLineChars="35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招 标 人：许昌市建安区交通运输局</w:t>
      </w:r>
    </w:p>
    <w:p>
      <w:pPr>
        <w:spacing w:line="360" w:lineRule="auto"/>
        <w:ind w:firstLine="1120" w:firstLineChars="350"/>
        <w:rPr>
          <w:rFonts w:asciiTheme="minorEastAsia" w:hAnsiTheme="minorEastAsia" w:eastAsiaTheme="minorEastAsia"/>
          <w:sz w:val="32"/>
          <w:szCs w:val="32"/>
          <w:lang w:val="zh-CN"/>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val="zh-CN"/>
        </w:rPr>
        <w:t>方大国际工程咨询股份有限公司</w:t>
      </w:r>
    </w:p>
    <w:p>
      <w:pPr>
        <w:spacing w:line="360" w:lineRule="auto"/>
        <w:ind w:firstLine="3200" w:firstLineChars="1000"/>
        <w:rPr>
          <w:rFonts w:asciiTheme="minorEastAsia" w:hAnsiTheme="minorEastAsia" w:eastAsiaTheme="minorEastAsia"/>
          <w:sz w:val="32"/>
          <w:szCs w:val="32"/>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eastAsia="zh-CN"/>
        </w:rPr>
        <w:t>六</w:t>
      </w:r>
      <w:bookmarkStart w:id="297" w:name="_GoBack"/>
      <w:bookmarkEnd w:id="297"/>
      <w:r>
        <w:rPr>
          <w:rFonts w:hint="eastAsia" w:asciiTheme="minorEastAsia" w:hAnsiTheme="minorEastAsia" w:eastAsiaTheme="minorEastAsia"/>
          <w:sz w:val="32"/>
          <w:szCs w:val="32"/>
        </w:rPr>
        <w:t>月</w:t>
      </w:r>
    </w:p>
    <w:p>
      <w:pPr>
        <w:pStyle w:val="2"/>
        <w:ind w:firstLine="210"/>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r>
        <w:rPr>
          <w:rFonts w:hint="eastAsia" w:ascii="宋体" w:hAnsi="宋体"/>
          <w:b/>
          <w:bCs/>
          <w:sz w:val="48"/>
          <w:szCs w:val="48"/>
        </w:rPr>
        <w:t>目  录</w:t>
      </w:r>
    </w:p>
    <w:p>
      <w:pPr>
        <w:spacing w:line="312" w:lineRule="auto"/>
        <w:jc w:val="left"/>
        <w:outlineLvl w:val="0"/>
        <w:rPr>
          <w:rFonts w:asciiTheme="minorEastAsia" w:hAnsiTheme="minorEastAsia" w:eastAsiaTheme="minorEastAsia"/>
          <w:bCs/>
          <w:sz w:val="30"/>
          <w:szCs w:val="30"/>
        </w:rPr>
      </w:pP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第一章   招标公告··································1</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第二章   投标人须知································4</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第三章   评标办法·································35</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第四章   合同条款及格式···························42</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第五章   工程量清单·······························90</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第六章   图纸·····································93</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第七章   技术规范(另册) ··························93</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第八章   投标文件格式·····························94</w:t>
      </w:r>
    </w:p>
    <w:p>
      <w:pPr>
        <w:spacing w:line="312" w:lineRule="auto"/>
        <w:jc w:val="left"/>
        <w:outlineLvl w:val="0"/>
        <w:rPr>
          <w:rFonts w:asciiTheme="minorEastAsia" w:hAnsiTheme="minorEastAsia" w:eastAsiaTheme="minorEastAsia"/>
          <w:bCs/>
          <w:sz w:val="30"/>
          <w:szCs w:val="30"/>
        </w:rPr>
      </w:pPr>
    </w:p>
    <w:p>
      <w:pPr>
        <w:pStyle w:val="2"/>
        <w:ind w:firstLine="210"/>
      </w:pPr>
    </w:p>
    <w:p>
      <w:pPr>
        <w:spacing w:line="312" w:lineRule="auto"/>
        <w:jc w:val="center"/>
        <w:outlineLvl w:val="0"/>
        <w:rPr>
          <w:rFonts w:ascii="黑体" w:eastAsia="黑体"/>
          <w:bCs/>
          <w:sz w:val="44"/>
          <w:szCs w:val="44"/>
        </w:rPr>
        <w:sectPr>
          <w:headerReference r:id="rId5" w:type="first"/>
          <w:headerReference r:id="rId4" w:type="default"/>
          <w:pgSz w:w="11906" w:h="16838"/>
          <w:pgMar w:top="1304" w:right="1134" w:bottom="1304" w:left="1247" w:header="851" w:footer="992" w:gutter="0"/>
          <w:cols w:space="425" w:num="1"/>
          <w:titlePg/>
          <w:docGrid w:type="lines" w:linePitch="312" w:charSpace="0"/>
        </w:sectPr>
      </w:pPr>
    </w:p>
    <w:p>
      <w:pPr>
        <w:spacing w:line="312" w:lineRule="auto"/>
        <w:jc w:val="center"/>
        <w:outlineLvl w:val="0"/>
        <w:rPr>
          <w:rFonts w:ascii="黑体" w:hAnsi="宋体" w:eastAsia="黑体"/>
          <w:bCs/>
          <w:sz w:val="44"/>
          <w:szCs w:val="44"/>
        </w:rPr>
      </w:pPr>
      <w:r>
        <w:rPr>
          <w:rFonts w:hint="eastAsia" w:ascii="黑体" w:eastAsia="黑体"/>
          <w:bCs/>
          <w:sz w:val="44"/>
          <w:szCs w:val="44"/>
        </w:rPr>
        <w:t>第一章  招标公告</w:t>
      </w:r>
    </w:p>
    <w:p>
      <w:pPr>
        <w:spacing w:line="312" w:lineRule="auto"/>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建安建工公字〔2019〕</w:t>
      </w:r>
      <w:r>
        <w:rPr>
          <w:rFonts w:hint="eastAsia" w:asciiTheme="minorEastAsia" w:hAnsiTheme="minorEastAsia" w:eastAsiaTheme="minorEastAsia"/>
          <w:b/>
          <w:sz w:val="32"/>
          <w:szCs w:val="32"/>
          <w:lang w:val="en-US" w:eastAsia="zh-CN"/>
        </w:rPr>
        <w:t>102</w:t>
      </w:r>
      <w:r>
        <w:rPr>
          <w:rFonts w:hint="eastAsia" w:asciiTheme="minorEastAsia" w:hAnsiTheme="minorEastAsia" w:eastAsiaTheme="minorEastAsia"/>
          <w:b/>
          <w:sz w:val="32"/>
          <w:szCs w:val="32"/>
          <w:lang w:eastAsia="zh-CN"/>
        </w:rPr>
        <w:t>号</w:t>
      </w:r>
    </w:p>
    <w:p>
      <w:pPr>
        <w:spacing w:line="312" w:lineRule="auto"/>
        <w:jc w:val="center"/>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许昌市建安区交通运输局</w:t>
      </w:r>
    </w:p>
    <w:p>
      <w:pPr>
        <w:spacing w:line="312" w:lineRule="auto"/>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许昌市建安区小召乡、苏桥镇危桥改造项目</w:t>
      </w:r>
    </w:p>
    <w:p>
      <w:pPr>
        <w:spacing w:line="312"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公开招标公告</w:t>
      </w:r>
    </w:p>
    <w:p>
      <w:pPr>
        <w:spacing w:line="336" w:lineRule="auto"/>
        <w:rPr>
          <w:rFonts w:asciiTheme="minorEastAsia" w:hAnsiTheme="minorEastAsia" w:eastAsiaTheme="minorEastAsia"/>
          <w:b/>
          <w:sz w:val="24"/>
        </w:rPr>
      </w:pPr>
      <w:r>
        <w:rPr>
          <w:rFonts w:hint="eastAsia" w:asciiTheme="minorEastAsia" w:hAnsiTheme="minorEastAsia" w:eastAsiaTheme="minorEastAsia"/>
          <w:b/>
          <w:sz w:val="24"/>
        </w:rPr>
        <w:t>一、项目概况</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1、项目编号：</w:t>
      </w:r>
      <w:r>
        <w:rPr>
          <w:rFonts w:hint="eastAsia" w:asciiTheme="minorEastAsia" w:hAnsiTheme="minorEastAsia" w:eastAsiaTheme="minorEastAsia"/>
          <w:sz w:val="24"/>
          <w:lang w:eastAsia="zh-CN"/>
        </w:rPr>
        <w:t>建安建工公字〔2019〕</w:t>
      </w:r>
      <w:r>
        <w:rPr>
          <w:rFonts w:hint="eastAsia" w:asciiTheme="minorEastAsia" w:hAnsiTheme="minorEastAsia" w:eastAsiaTheme="minorEastAsia"/>
          <w:sz w:val="24"/>
          <w:lang w:val="en-US" w:eastAsia="zh-CN"/>
        </w:rPr>
        <w:t>102</w:t>
      </w:r>
      <w:r>
        <w:rPr>
          <w:rFonts w:hint="eastAsia" w:asciiTheme="minorEastAsia" w:hAnsiTheme="minorEastAsia" w:eastAsiaTheme="minorEastAsia"/>
          <w:sz w:val="24"/>
          <w:lang w:eastAsia="zh-CN"/>
        </w:rPr>
        <w:t>号</w:t>
      </w:r>
    </w:p>
    <w:p>
      <w:pPr>
        <w:spacing w:line="336"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2、项目名称：</w:t>
      </w:r>
      <w:r>
        <w:rPr>
          <w:rFonts w:hint="eastAsia" w:asciiTheme="minorEastAsia" w:hAnsiTheme="minorEastAsia" w:eastAsiaTheme="minorEastAsia"/>
          <w:sz w:val="24"/>
          <w:lang w:eastAsia="zh-CN"/>
        </w:rPr>
        <w:t>许昌市建安区小召乡、苏桥镇危桥改造项目</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3、招标单位：</w:t>
      </w:r>
      <w:r>
        <w:rPr>
          <w:rFonts w:hint="eastAsia" w:asciiTheme="minorEastAsia" w:hAnsiTheme="minorEastAsia" w:eastAsiaTheme="minorEastAsia"/>
          <w:sz w:val="24"/>
          <w:lang w:val="zh-CN"/>
        </w:rPr>
        <w:t>许昌市建安区交通运输局</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4、项目规模</w:t>
      </w:r>
      <w:r>
        <w:rPr>
          <w:rFonts w:hint="eastAsia" w:asciiTheme="minorEastAsia" w:hAnsiTheme="minorEastAsia" w:eastAsiaTheme="minorEastAsia"/>
          <w:sz w:val="24"/>
          <w:lang w:val="zh-CN"/>
        </w:rPr>
        <w:t>：</w:t>
      </w:r>
      <w:r>
        <w:rPr>
          <w:rFonts w:hint="eastAsia" w:asciiTheme="minorEastAsia" w:hAnsiTheme="minorEastAsia" w:eastAsiaTheme="minorEastAsia"/>
          <w:sz w:val="24"/>
          <w:lang w:val="zh-CN" w:eastAsia="zh-CN"/>
        </w:rPr>
        <w:t>小召乡南寨桥、小召乡南寨北桥、苏桥镇吴村谢桥、苏桥镇济宁寨北桥</w:t>
      </w:r>
      <w:r>
        <w:rPr>
          <w:rFonts w:hint="eastAsia" w:asciiTheme="minorEastAsia" w:hAnsiTheme="minorEastAsia" w:eastAsiaTheme="minorEastAsia"/>
          <w:sz w:val="24"/>
        </w:rPr>
        <w:t>。</w:t>
      </w:r>
    </w:p>
    <w:p>
      <w:pPr>
        <w:spacing w:line="336"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小召乡</w:t>
      </w:r>
      <w:r>
        <w:rPr>
          <w:rFonts w:hint="eastAsia" w:asciiTheme="minorEastAsia" w:hAnsiTheme="minorEastAsia" w:eastAsiaTheme="minorEastAsia"/>
          <w:sz w:val="24"/>
          <w:lang w:val="en-US" w:eastAsia="zh-CN"/>
        </w:rPr>
        <w:t>南寨桥位于建安区小召乡南寨村，新桥与河道夹角为90度，采用1-16米预应力混凝土空心板，下部采用钻孔灌注桩，桥梁全长21.62米。公路等级为Ⅱ级，桥面宽度7米，跨径16米，梁片数为7，板宽1米。</w:t>
      </w:r>
    </w:p>
    <w:p>
      <w:pPr>
        <w:spacing w:line="336"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eastAsia="zh-CN"/>
        </w:rPr>
        <w:t>小召乡南寨北桥</w:t>
      </w:r>
      <w:r>
        <w:rPr>
          <w:rFonts w:hint="eastAsia" w:asciiTheme="minorEastAsia" w:hAnsiTheme="minorEastAsia" w:eastAsiaTheme="minorEastAsia"/>
          <w:sz w:val="24"/>
          <w:lang w:val="en-US" w:eastAsia="zh-CN"/>
        </w:rPr>
        <w:t>位于建安区小召乡南寨村，新桥与河道夹角为90度，采用1-10米预应力混凝土空心板，下部采用钻孔灌注桩，桥梁全长13.98米。公路等级为Ⅱ级，桥面宽度7米，跨径10米，梁片数为7，板宽1米。</w:t>
      </w:r>
    </w:p>
    <w:p>
      <w:pPr>
        <w:spacing w:line="336"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eastAsia="zh-CN"/>
        </w:rPr>
        <w:t>苏桥镇吴村谢桥</w:t>
      </w:r>
      <w:r>
        <w:rPr>
          <w:rFonts w:hint="eastAsia" w:asciiTheme="minorEastAsia" w:hAnsiTheme="minorEastAsia" w:eastAsiaTheme="minorEastAsia"/>
          <w:sz w:val="24"/>
          <w:lang w:val="en-US" w:eastAsia="zh-CN"/>
        </w:rPr>
        <w:t>位于建安区苏桥镇王彦庄，新桥与河道夹角为90度，采用1-6米预应力混凝土空心板，下部采用扩大基础，桥梁全长10.08米。公路等级为Ⅱ级，桥面宽度6.5米，跨径8米，梁片数为6，板宽1米。</w:t>
      </w:r>
    </w:p>
    <w:p>
      <w:pPr>
        <w:spacing w:line="336"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eastAsia="zh-CN"/>
        </w:rPr>
        <w:t>苏桥镇济宁寨北桥</w:t>
      </w:r>
      <w:r>
        <w:rPr>
          <w:rFonts w:hint="eastAsia" w:asciiTheme="minorEastAsia" w:hAnsiTheme="minorEastAsia" w:eastAsiaTheme="minorEastAsia"/>
          <w:sz w:val="24"/>
          <w:lang w:val="en-US" w:eastAsia="zh-CN"/>
        </w:rPr>
        <w:t>位于建安区苏桥镇济宁寨村，新桥与河道夹角为90度，采用1-13米预应力混凝土空心板，下部采用钻孔灌注桩，桥梁全长18.62米。公路等级为Ⅱ级，桥面宽度7米，跨径13米，梁片数为7，板宽1米。</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5、招标范围：招标文件、工程量清单、施工图纸、答疑纪要和补充文件（如有）范围内的所有建设内容。</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6、资金预算：</w:t>
      </w:r>
      <w:r>
        <w:rPr>
          <w:rFonts w:hint="eastAsia" w:asciiTheme="minorEastAsia" w:hAnsiTheme="minorEastAsia" w:eastAsiaTheme="minorEastAsia"/>
          <w:sz w:val="24"/>
          <w:lang w:val="en-US" w:eastAsia="zh-CN"/>
        </w:rPr>
        <w:t xml:space="preserve">1985173.00 </w:t>
      </w:r>
      <w:r>
        <w:rPr>
          <w:rFonts w:hint="eastAsia" w:asciiTheme="minorEastAsia" w:hAnsiTheme="minorEastAsia" w:eastAsiaTheme="minorEastAsia"/>
          <w:sz w:val="24"/>
        </w:rPr>
        <w:t xml:space="preserve">元 </w:t>
      </w:r>
    </w:p>
    <w:tbl>
      <w:tblPr>
        <w:tblStyle w:val="13"/>
        <w:tblW w:w="8289" w:type="dxa"/>
        <w:jc w:val="center"/>
        <w:tblInd w:w="-6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68"/>
        <w:gridCol w:w="2386"/>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8" w:hRule="atLeast"/>
          <w:jc w:val="center"/>
        </w:trPr>
        <w:tc>
          <w:tcPr>
            <w:tcW w:w="3068" w:type="dxa"/>
            <w:vMerge w:val="restart"/>
            <w:vAlign w:val="center"/>
          </w:tcPr>
          <w:p>
            <w:pPr>
              <w:pStyle w:val="2"/>
              <w:ind w:firstLine="0" w:firstLineChars="0"/>
              <w:jc w:val="center"/>
            </w:pPr>
            <w:r>
              <w:rPr>
                <w:rFonts w:hint="eastAsia"/>
              </w:rPr>
              <w:t>主要招标内容</w:t>
            </w:r>
          </w:p>
        </w:tc>
        <w:tc>
          <w:tcPr>
            <w:tcW w:w="5221" w:type="dxa"/>
            <w:gridSpan w:val="2"/>
            <w:vAlign w:val="center"/>
          </w:tcPr>
          <w:p>
            <w:pPr>
              <w:pStyle w:val="2"/>
              <w:ind w:firstLine="0" w:firstLineChars="0"/>
              <w:jc w:val="center"/>
            </w:pPr>
            <w:r>
              <w:rPr>
                <w:rFonts w:hint="eastAsia" w:asciiTheme="minorEastAsia" w:hAnsiTheme="minorEastAsia" w:eastAsiaTheme="minorEastAsia"/>
                <w:sz w:val="24"/>
              </w:rPr>
              <w:t>资金预算（元）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7" w:hRule="atLeast"/>
          <w:jc w:val="center"/>
        </w:trPr>
        <w:tc>
          <w:tcPr>
            <w:tcW w:w="3068" w:type="dxa"/>
            <w:vMerge w:val="continue"/>
            <w:vAlign w:val="center"/>
          </w:tcPr>
          <w:p>
            <w:pPr>
              <w:pStyle w:val="2"/>
              <w:ind w:firstLine="0" w:firstLineChars="0"/>
              <w:jc w:val="center"/>
            </w:pPr>
          </w:p>
        </w:tc>
        <w:tc>
          <w:tcPr>
            <w:tcW w:w="2386" w:type="dxa"/>
            <w:vAlign w:val="center"/>
          </w:tcPr>
          <w:p>
            <w:pPr>
              <w:pStyle w:val="2"/>
              <w:ind w:firstLine="0" w:firstLineChars="0"/>
              <w:jc w:val="center"/>
            </w:pPr>
            <w:r>
              <w:rPr>
                <w:rFonts w:hint="eastAsia" w:asciiTheme="minorEastAsia" w:hAnsiTheme="minorEastAsia" w:eastAsiaTheme="minorEastAsia"/>
                <w:sz w:val="24"/>
              </w:rPr>
              <w:t>分项资金预算</w:t>
            </w:r>
          </w:p>
        </w:tc>
        <w:tc>
          <w:tcPr>
            <w:tcW w:w="2835" w:type="dxa"/>
            <w:vAlign w:val="center"/>
          </w:tcPr>
          <w:p>
            <w:pPr>
              <w:pStyle w:val="2"/>
              <w:ind w:firstLine="0" w:firstLineChars="0"/>
              <w:jc w:val="center"/>
            </w:pPr>
            <w:r>
              <w:rPr>
                <w:rFonts w:hint="eastAsia" w:asciiTheme="minorEastAsia" w:hAnsiTheme="minorEastAsia" w:eastAsiaTheme="minorEastAsia"/>
                <w:sz w:val="24"/>
              </w:rPr>
              <w:t>资金预算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68" w:type="dxa"/>
            <w:vAlign w:val="center"/>
          </w:tcPr>
          <w:p>
            <w:pPr>
              <w:pStyle w:val="2"/>
              <w:ind w:firstLine="0" w:firstLineChars="0"/>
              <w:jc w:val="center"/>
            </w:pPr>
            <w:r>
              <w:rPr>
                <w:rFonts w:hint="eastAsia" w:asciiTheme="minorEastAsia" w:hAnsiTheme="minorEastAsia" w:eastAsiaTheme="minorEastAsia"/>
                <w:sz w:val="24"/>
                <w:lang w:eastAsia="zh-CN"/>
              </w:rPr>
              <w:t>小召乡南寨桥</w:t>
            </w:r>
          </w:p>
        </w:tc>
        <w:tc>
          <w:tcPr>
            <w:tcW w:w="2386" w:type="dxa"/>
            <w:vAlign w:val="center"/>
          </w:tcPr>
          <w:p>
            <w:pPr>
              <w:pStyle w:val="2"/>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706911.00</w:t>
            </w:r>
          </w:p>
        </w:tc>
        <w:tc>
          <w:tcPr>
            <w:tcW w:w="2835" w:type="dxa"/>
            <w:vMerge w:val="restart"/>
            <w:vAlign w:val="center"/>
          </w:tcPr>
          <w:p>
            <w:pPr>
              <w:pStyle w:val="2"/>
              <w:ind w:firstLine="0" w:firstLineChars="0"/>
              <w:jc w:val="center"/>
              <w:rPr>
                <w:rFonts w:hint="default" w:eastAsia="宋体"/>
                <w:lang w:val="en-US" w:eastAsia="zh-CN"/>
              </w:rPr>
            </w:pPr>
            <w:r>
              <w:rPr>
                <w:rFonts w:hint="eastAsia" w:asciiTheme="minorEastAsia" w:hAnsiTheme="minorEastAsia" w:eastAsiaTheme="minorEastAsia"/>
                <w:sz w:val="24"/>
                <w:lang w:val="en-US" w:eastAsia="zh-CN"/>
              </w:rPr>
              <w:t>1985173.00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68" w:type="dxa"/>
            <w:vAlign w:val="center"/>
          </w:tcPr>
          <w:p>
            <w:pPr>
              <w:pStyle w:val="2"/>
              <w:ind w:firstLine="0" w:firstLineChars="0"/>
              <w:jc w:val="center"/>
            </w:pPr>
            <w:r>
              <w:rPr>
                <w:rFonts w:hint="eastAsia" w:asciiTheme="minorEastAsia" w:hAnsiTheme="minorEastAsia" w:eastAsiaTheme="minorEastAsia"/>
                <w:sz w:val="24"/>
                <w:lang w:eastAsia="zh-CN"/>
              </w:rPr>
              <w:t>小召乡南寨北桥</w:t>
            </w:r>
          </w:p>
        </w:tc>
        <w:tc>
          <w:tcPr>
            <w:tcW w:w="2386" w:type="dxa"/>
            <w:vAlign w:val="center"/>
          </w:tcPr>
          <w:p>
            <w:pPr>
              <w:pStyle w:val="2"/>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467790.00</w:t>
            </w:r>
          </w:p>
        </w:tc>
        <w:tc>
          <w:tcPr>
            <w:tcW w:w="2835" w:type="dxa"/>
            <w:vMerge w:val="continue"/>
            <w:vAlign w:val="center"/>
          </w:tcPr>
          <w:p>
            <w:pPr>
              <w:pStyle w:val="2"/>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68" w:type="dxa"/>
            <w:vAlign w:val="center"/>
          </w:tcPr>
          <w:p>
            <w:pPr>
              <w:pStyle w:val="2"/>
              <w:ind w:firstLine="0" w:firstLineChars="0"/>
              <w:jc w:val="center"/>
            </w:pPr>
            <w:r>
              <w:rPr>
                <w:rFonts w:hint="eastAsia" w:asciiTheme="minorEastAsia" w:hAnsiTheme="minorEastAsia" w:eastAsiaTheme="minorEastAsia"/>
                <w:sz w:val="24"/>
                <w:lang w:eastAsia="zh-CN"/>
              </w:rPr>
              <w:t>苏桥镇吴村谢桥</w:t>
            </w:r>
          </w:p>
        </w:tc>
        <w:tc>
          <w:tcPr>
            <w:tcW w:w="2386" w:type="dxa"/>
            <w:vAlign w:val="center"/>
          </w:tcPr>
          <w:p>
            <w:pPr>
              <w:pStyle w:val="2"/>
              <w:ind w:firstLine="0" w:firstLineChars="0"/>
              <w:jc w:val="center"/>
              <w:rPr>
                <w:rFonts w:hint="default" w:eastAsia="宋体"/>
                <w:lang w:val="en-US" w:eastAsia="zh-CN"/>
              </w:rPr>
            </w:pPr>
            <w:r>
              <w:rPr>
                <w:rFonts w:hint="eastAsia" w:asciiTheme="minorEastAsia" w:hAnsiTheme="minorEastAsia" w:eastAsiaTheme="minorEastAsia"/>
                <w:sz w:val="24"/>
                <w:lang w:val="en-US" w:eastAsia="zh-CN"/>
              </w:rPr>
              <w:t>190809.00</w:t>
            </w:r>
          </w:p>
        </w:tc>
        <w:tc>
          <w:tcPr>
            <w:tcW w:w="2835" w:type="dxa"/>
            <w:vMerge w:val="continue"/>
            <w:vAlign w:val="center"/>
          </w:tcPr>
          <w:p>
            <w:pPr>
              <w:pStyle w:val="2"/>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068" w:type="dxa"/>
            <w:vAlign w:val="center"/>
          </w:tcPr>
          <w:p>
            <w:pPr>
              <w:pStyle w:val="2"/>
              <w:ind w:firstLine="0" w:firstLineChars="0"/>
              <w:jc w:val="center"/>
              <w:rPr>
                <w:rFonts w:hint="eastAsia" w:asciiTheme="minorEastAsia" w:hAnsiTheme="minorEastAsia" w:eastAsiaTheme="minorEastAsia"/>
                <w:sz w:val="24"/>
              </w:rPr>
            </w:pPr>
            <w:r>
              <w:rPr>
                <w:rFonts w:hint="eastAsia" w:asciiTheme="minorEastAsia" w:hAnsiTheme="minorEastAsia" w:eastAsiaTheme="minorEastAsia"/>
                <w:sz w:val="24"/>
                <w:lang w:eastAsia="zh-CN"/>
              </w:rPr>
              <w:t>苏桥镇济宁寨北桥</w:t>
            </w:r>
          </w:p>
        </w:tc>
        <w:tc>
          <w:tcPr>
            <w:tcW w:w="2386" w:type="dxa"/>
            <w:vAlign w:val="center"/>
          </w:tcPr>
          <w:p>
            <w:pPr>
              <w:pStyle w:val="2"/>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619663.00</w:t>
            </w:r>
          </w:p>
        </w:tc>
        <w:tc>
          <w:tcPr>
            <w:tcW w:w="2835" w:type="dxa"/>
            <w:vMerge w:val="continue"/>
            <w:vAlign w:val="center"/>
          </w:tcPr>
          <w:p>
            <w:pPr>
              <w:pStyle w:val="2"/>
              <w:ind w:firstLine="0" w:firstLineChars="0"/>
              <w:jc w:val="center"/>
            </w:pPr>
          </w:p>
        </w:tc>
      </w:tr>
    </w:tbl>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7、计划工期：</w:t>
      </w:r>
      <w:r>
        <w:rPr>
          <w:rFonts w:hint="eastAsia" w:asciiTheme="minorEastAsia" w:hAnsiTheme="minorEastAsia" w:eastAsiaTheme="minorEastAsia"/>
          <w:sz w:val="24"/>
          <w:lang w:val="en-US" w:eastAsia="zh-CN"/>
        </w:rPr>
        <w:t>45</w:t>
      </w:r>
      <w:r>
        <w:rPr>
          <w:rFonts w:hint="eastAsia" w:asciiTheme="minorEastAsia" w:hAnsiTheme="minorEastAsia" w:eastAsiaTheme="minorEastAsia"/>
          <w:sz w:val="24"/>
        </w:rPr>
        <w:t>日历天</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8、质量要求：合格</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9、不组织勘察施工现场。</w:t>
      </w:r>
    </w:p>
    <w:p>
      <w:pPr>
        <w:spacing w:line="312" w:lineRule="auto"/>
        <w:rPr>
          <w:rFonts w:asciiTheme="minorEastAsia" w:hAnsiTheme="minorEastAsia" w:eastAsiaTheme="minorEastAsia"/>
          <w:b/>
          <w:sz w:val="24"/>
        </w:rPr>
      </w:pPr>
      <w:r>
        <w:rPr>
          <w:rFonts w:hint="eastAsia" w:asciiTheme="minorEastAsia" w:hAnsiTheme="minorEastAsia" w:eastAsiaTheme="minorEastAsia"/>
          <w:b/>
          <w:sz w:val="24"/>
        </w:rPr>
        <w:t>二、投标人资格要求</w:t>
      </w:r>
    </w:p>
    <w:p>
      <w:pPr>
        <w:spacing w:line="312" w:lineRule="auto"/>
        <w:ind w:firstLine="480" w:firstLineChars="200"/>
        <w:rPr>
          <w:rFonts w:asciiTheme="minorEastAsia" w:hAnsiTheme="minorEastAsia" w:eastAsiaTheme="minorEastAsia"/>
          <w:sz w:val="24"/>
          <w:highlight w:val="yellow"/>
        </w:rPr>
      </w:pPr>
      <w:r>
        <w:rPr>
          <w:rFonts w:hint="eastAsia" w:asciiTheme="minorEastAsia" w:hAnsiTheme="minorEastAsia" w:eastAsiaTheme="minorEastAsia"/>
          <w:sz w:val="24"/>
        </w:rPr>
        <w:t>1、须具备独立法人资格；</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2、须具备建设行政主管部门颁发的公路工程施工总承包三级及以上资质，并具备有效的企业安全生产许可证，在人员、设备、资金等方面具有相应的施工能力；</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3、拟派建造师须具备贰级及以上公路工程专业注册建造师执业资格，具备有效的安全生产考核合格证书，且未担任其他在施建设项目的项目经理。拟派项目总工须具备中级及以上相关专业技术职称；</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4、根据《河南省公路建设市场从业单位及人员信用管理办法》第二十一条“对信用考核定级为D级即黑名单的从业单位，”不得参与本项目投标。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5、不接受失信被执行人的投标。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6、不接受投标人被“信用中国”和“信用河南”网站信用信息栏列入黑名单，以及被“国家企业信用信息公示系统”列入经营异常名录或严重失信黑名单的投标。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7、不接受联合体投标。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8、本次招标实行资格后审。</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三、投标报名时间及方式</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2、在投标截止时间前均可登录【全国公共资源交易平台（河南省·许昌市）】“投标人/供应商登录”入口（http://221.14.6.70:8088/ggzy/）自行下载招标文件等（详见“常见问题解答-交易系统操作手册”）。</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四、招标文件和施工图纸的获取</w:t>
      </w:r>
    </w:p>
    <w:p>
      <w:pPr>
        <w:autoSpaceDE w:val="0"/>
        <w:autoSpaceDN w:val="0"/>
        <w:adjustRightInd w:val="0"/>
        <w:spacing w:line="312" w:lineRule="auto"/>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cs="宋体" w:asciiTheme="minorEastAsia" w:hAnsiTheme="minorEastAsia" w:eastAsiaTheme="minorEastAsia"/>
          <w:sz w:val="24"/>
        </w:rPr>
        <w:t>http://ggzy.xuchang.gov.cn/</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sz w:val="24"/>
        </w:rPr>
        <w:t>），通过“投标人/供应商登录” 入口自行下载。</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2、招标文件每套售价300元，于递交投标文件时缴纳给招标代理机构，售后不退。</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五、投标文件的递交</w:t>
      </w:r>
    </w:p>
    <w:p>
      <w:pPr>
        <w:spacing w:line="312" w:lineRule="auto"/>
        <w:ind w:firstLine="480" w:firstLineChars="200"/>
        <w:rPr>
          <w:rFonts w:cs="宋体" w:asciiTheme="minorEastAsia" w:hAnsiTheme="minorEastAsia" w:eastAsiaTheme="minorEastAsia"/>
          <w:sz w:val="24"/>
        </w:rPr>
      </w:pPr>
      <w:r>
        <w:rPr>
          <w:rFonts w:hint="eastAsia" w:asciiTheme="minorEastAsia" w:hAnsiTheme="minorEastAsia" w:eastAsiaTheme="minorEastAsia"/>
          <w:color w:val="000000"/>
          <w:sz w:val="24"/>
        </w:rPr>
        <w:t>1、投标文件递交的</w:t>
      </w:r>
      <w:r>
        <w:rPr>
          <w:rFonts w:hint="eastAsia" w:cs="宋体" w:asciiTheme="minorEastAsia" w:hAnsiTheme="minorEastAsia" w:eastAsiaTheme="minorEastAsia"/>
          <w:sz w:val="24"/>
        </w:rPr>
        <w:t>截止时间及开标时间：2019年</w:t>
      </w:r>
      <w:r>
        <w:rPr>
          <w:rFonts w:hint="eastAsia" w:asciiTheme="minorEastAsia" w:hAnsiTheme="minorEastAsia" w:eastAsiaTheme="minorEastAsia"/>
          <w:color w:val="000000"/>
          <w:sz w:val="24"/>
          <w:u w:val="single"/>
          <w:lang w:val="en-US" w:eastAsia="zh-CN"/>
        </w:rPr>
        <w:t xml:space="preserve"> 7</w:t>
      </w:r>
      <w:r>
        <w:rPr>
          <w:rFonts w:hint="eastAsia" w:cs="宋体" w:asciiTheme="minorEastAsia" w:hAnsiTheme="minorEastAsia" w:eastAsiaTheme="minorEastAsia"/>
          <w:sz w:val="24"/>
        </w:rPr>
        <w:t>月</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10</w:t>
      </w:r>
      <w:r>
        <w:rPr>
          <w:rFonts w:hint="eastAsia" w:asciiTheme="minorEastAsia" w:hAnsiTheme="minorEastAsia" w:eastAsiaTheme="minorEastAsia"/>
          <w:color w:val="000000"/>
          <w:sz w:val="24"/>
          <w:u w:val="single"/>
        </w:rPr>
        <w:t xml:space="preserve"> </w:t>
      </w:r>
      <w:r>
        <w:rPr>
          <w:rFonts w:hint="eastAsia" w:cs="宋体" w:asciiTheme="minorEastAsia" w:hAnsiTheme="minorEastAsia" w:eastAsiaTheme="minorEastAsia"/>
          <w:sz w:val="24"/>
        </w:rPr>
        <w:t>日</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 xml:space="preserve">9  </w:t>
      </w:r>
      <w:r>
        <w:rPr>
          <w:rFonts w:hint="eastAsia" w:cs="宋体" w:asciiTheme="minorEastAsia" w:hAnsiTheme="minorEastAsia" w:eastAsiaTheme="minorEastAsia"/>
          <w:sz w:val="24"/>
        </w:rPr>
        <w:t>时</w:t>
      </w:r>
      <w:r>
        <w:rPr>
          <w:rFonts w:hint="eastAsia" w:asciiTheme="minorEastAsia" w:hAnsiTheme="minorEastAsia" w:eastAsiaTheme="minorEastAsia"/>
          <w:color w:val="000000"/>
          <w:sz w:val="24"/>
          <w:u w:val="single"/>
        </w:rPr>
        <w:t xml:space="preserve"> 30 </w:t>
      </w:r>
      <w:r>
        <w:rPr>
          <w:rFonts w:hint="eastAsia" w:cs="宋体" w:asciiTheme="minorEastAsia" w:hAnsiTheme="minorEastAsia" w:eastAsiaTheme="minorEastAsia"/>
          <w:sz w:val="24"/>
        </w:rPr>
        <w:t>分。</w:t>
      </w:r>
    </w:p>
    <w:p>
      <w:pPr>
        <w:spacing w:line="312" w:lineRule="auto"/>
        <w:ind w:firstLine="480" w:firstLineChars="200"/>
        <w:rPr>
          <w:rFonts w:asciiTheme="minorEastAsia" w:hAnsiTheme="minorEastAsia" w:eastAsiaTheme="minorEastAsia"/>
          <w:color w:val="000000"/>
          <w:sz w:val="24"/>
        </w:rPr>
      </w:pPr>
      <w:r>
        <w:rPr>
          <w:rFonts w:hint="eastAsia" w:cs="宋体" w:asciiTheme="minorEastAsia" w:hAnsiTheme="minorEastAsia" w:eastAsiaTheme="minorEastAsia"/>
          <w:sz w:val="24"/>
        </w:rPr>
        <w:t>2、投标文件提交地点：</w:t>
      </w:r>
      <w:r>
        <w:rPr>
          <w:rFonts w:hint="eastAsia" w:asciiTheme="minorEastAsia" w:hAnsiTheme="minorEastAsia" w:eastAsiaTheme="minorEastAsia"/>
          <w:color w:val="000000"/>
          <w:sz w:val="24"/>
        </w:rPr>
        <w:t>许昌市建安区新元大道兴业大厦4楼</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 xml:space="preserve"> 4167 </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室(开标</w:t>
      </w:r>
      <w:r>
        <w:rPr>
          <w:rFonts w:hint="eastAsia" w:asciiTheme="minorEastAsia" w:hAnsiTheme="minorEastAsia" w:eastAsiaTheme="minorEastAsia"/>
          <w:color w:val="000000"/>
          <w:sz w:val="24"/>
          <w:lang w:val="en-US" w:eastAsia="zh-CN"/>
        </w:rPr>
        <w:t>一</w:t>
      </w:r>
      <w:r>
        <w:rPr>
          <w:rFonts w:hint="eastAsia" w:asciiTheme="minorEastAsia" w:hAnsiTheme="minorEastAsia" w:eastAsiaTheme="minorEastAsia"/>
          <w:color w:val="000000"/>
          <w:sz w:val="24"/>
        </w:rPr>
        <w:t>室)。</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3、逾期送达的或者未送达指定地点的投标文件，招标人不予受理。</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4、未通过《全国公共资源交易平台（河南省·许昌市）》下载招标文件的投标人，其投标文件不予受理。</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六、发布公告的媒介</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本公告同时在《全国公共资源交易平台(河南省▪许昌市)》、《河南省电子招标投标公共服务平台》上发布。</w:t>
      </w:r>
    </w:p>
    <w:p>
      <w:pPr>
        <w:spacing w:line="312" w:lineRule="auto"/>
        <w:rPr>
          <w:rFonts w:asciiTheme="minorEastAsia" w:hAnsiTheme="minorEastAsia" w:eastAsiaTheme="minorEastAsia"/>
          <w:b/>
          <w:sz w:val="24"/>
        </w:rPr>
      </w:pPr>
      <w:r>
        <w:rPr>
          <w:rFonts w:hint="eastAsia" w:asciiTheme="minorEastAsia" w:hAnsiTheme="minorEastAsia" w:eastAsiaTheme="minorEastAsia"/>
          <w:b/>
          <w:sz w:val="24"/>
        </w:rPr>
        <w:t>七、联系方式</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招  标  人：</w:t>
      </w:r>
      <w:r>
        <w:rPr>
          <w:rFonts w:hint="eastAsia" w:asciiTheme="minorEastAsia" w:hAnsiTheme="minorEastAsia" w:eastAsiaTheme="minorEastAsia"/>
          <w:color w:val="000000"/>
          <w:sz w:val="24"/>
          <w:lang w:val="zh-CN"/>
        </w:rPr>
        <w:t>许昌市建安区交通运输局</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项目负责人：</w:t>
      </w:r>
      <w:r>
        <w:rPr>
          <w:rFonts w:hint="eastAsia" w:asciiTheme="minorEastAsia" w:hAnsiTheme="minorEastAsia" w:eastAsiaTheme="minorEastAsia"/>
          <w:color w:val="000000"/>
          <w:sz w:val="24"/>
          <w:lang w:eastAsia="zh-CN"/>
        </w:rPr>
        <w:t>黄向远</w:t>
      </w:r>
      <w:r>
        <w:rPr>
          <w:rFonts w:hint="eastAsia" w:asciiTheme="minorEastAsia" w:hAnsiTheme="minorEastAsia" w:eastAsiaTheme="minorEastAsia"/>
          <w:color w:val="000000"/>
          <w:sz w:val="24"/>
          <w:lang w:val="en-US" w:eastAsia="zh-CN"/>
        </w:rPr>
        <w:t xml:space="preserve">   </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电      话：</w:t>
      </w:r>
      <w:r>
        <w:rPr>
          <w:rFonts w:hint="eastAsia" w:asciiTheme="minorEastAsia" w:hAnsiTheme="minorEastAsia" w:eastAsiaTheme="minorEastAsia"/>
          <w:color w:val="000000"/>
          <w:sz w:val="24"/>
          <w:lang w:val="en-US" w:eastAsia="zh-CN"/>
        </w:rPr>
        <w:t xml:space="preserve">18803743200  </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代理  机构：</w:t>
      </w:r>
      <w:r>
        <w:rPr>
          <w:rFonts w:hint="eastAsia" w:asciiTheme="minorEastAsia" w:hAnsiTheme="minorEastAsia" w:eastAsiaTheme="minorEastAsia"/>
          <w:color w:val="000000"/>
          <w:sz w:val="24"/>
          <w:lang w:eastAsia="zh-CN"/>
        </w:rPr>
        <w:t>方大国际工程咨询股份有限公司</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项目负责人：</w:t>
      </w:r>
      <w:r>
        <w:rPr>
          <w:rFonts w:hint="eastAsia" w:asciiTheme="minorEastAsia" w:hAnsiTheme="minorEastAsia" w:eastAsiaTheme="minorEastAsia"/>
          <w:color w:val="000000"/>
          <w:sz w:val="24"/>
          <w:lang w:val="en-US" w:eastAsia="zh-CN"/>
        </w:rPr>
        <w:t>王孟龙</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电    话：</w:t>
      </w:r>
      <w:r>
        <w:rPr>
          <w:rFonts w:hint="eastAsia" w:asciiTheme="minorEastAsia" w:hAnsiTheme="minorEastAsia" w:eastAsiaTheme="minorEastAsia"/>
          <w:color w:val="000000"/>
          <w:sz w:val="24"/>
          <w:lang w:val="en-US" w:eastAsia="zh-CN"/>
        </w:rPr>
        <w:t>15837443882</w:t>
      </w:r>
    </w:p>
    <w:p>
      <w:pPr>
        <w:spacing w:line="312" w:lineRule="auto"/>
        <w:ind w:firstLine="480" w:firstLineChars="200"/>
        <w:rPr>
          <w:rFonts w:asciiTheme="minorEastAsia" w:hAnsiTheme="minorEastAsia" w:eastAsiaTheme="minorEastAsia"/>
          <w:sz w:val="24"/>
        </w:rPr>
      </w:pPr>
    </w:p>
    <w:p>
      <w:pPr>
        <w:spacing w:line="312" w:lineRule="auto"/>
        <w:ind w:firstLine="480" w:firstLineChars="200"/>
        <w:jc w:val="right"/>
        <w:rPr>
          <w:rFonts w:asciiTheme="minorEastAsia" w:hAnsiTheme="minorEastAsia" w:eastAsiaTheme="minorEastAsia"/>
          <w:color w:val="000000"/>
          <w:sz w:val="24"/>
          <w:lang w:val="zh-CN"/>
        </w:rPr>
      </w:pPr>
      <w:r>
        <w:rPr>
          <w:rFonts w:hint="eastAsia" w:asciiTheme="minorEastAsia" w:hAnsiTheme="minorEastAsia" w:eastAsiaTheme="minorEastAsia"/>
          <w:color w:val="000000"/>
          <w:sz w:val="24"/>
          <w:lang w:val="zh-CN"/>
        </w:rPr>
        <w:t>许昌市建安区交通运输局</w:t>
      </w:r>
    </w:p>
    <w:p>
      <w:pPr>
        <w:spacing w:line="312" w:lineRule="auto"/>
        <w:ind w:right="240" w:firstLine="480" w:firstLineChars="200"/>
        <w:jc w:val="right"/>
        <w:rPr>
          <w:rFonts w:asciiTheme="minorEastAsia" w:hAnsiTheme="minorEastAsia" w:eastAsiaTheme="minorEastAsia"/>
          <w:color w:val="000000"/>
          <w:sz w:val="24"/>
        </w:rPr>
      </w:pPr>
      <w:r>
        <w:rPr>
          <w:rFonts w:hint="eastAsia" w:asciiTheme="minorEastAsia" w:hAnsiTheme="minorEastAsia" w:eastAsiaTheme="minorEastAsia"/>
          <w:color w:val="000000"/>
          <w:sz w:val="24"/>
        </w:rPr>
        <w:t>2019年</w:t>
      </w:r>
      <w:r>
        <w:rPr>
          <w:rFonts w:hint="eastAsia" w:asciiTheme="minorEastAsia" w:hAnsiTheme="minorEastAsia" w:eastAsiaTheme="minorEastAsia"/>
          <w:color w:val="000000"/>
          <w:sz w:val="24"/>
          <w:lang w:val="en-US" w:eastAsia="zh-CN"/>
        </w:rPr>
        <w:t>6</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lang w:val="en-US" w:eastAsia="zh-CN"/>
        </w:rPr>
        <w:t>19</w:t>
      </w:r>
      <w:r>
        <w:rPr>
          <w:rFonts w:hint="eastAsia" w:asciiTheme="minorEastAsia" w:hAnsiTheme="minorEastAsia" w:eastAsiaTheme="minorEastAsia"/>
          <w:color w:val="000000"/>
          <w:sz w:val="24"/>
        </w:rPr>
        <w:t>日</w:t>
      </w:r>
    </w:p>
    <w:p>
      <w:pPr>
        <w:widowControl/>
        <w:spacing w:line="360" w:lineRule="auto"/>
        <w:ind w:right="714"/>
        <w:jc w:val="center"/>
      </w:pPr>
      <w:r>
        <w:br w:type="page"/>
      </w:r>
    </w:p>
    <w:p>
      <w:pPr>
        <w:spacing w:line="312" w:lineRule="auto"/>
        <w:jc w:val="center"/>
        <w:outlineLvl w:val="0"/>
        <w:rPr>
          <w:rFonts w:ascii="黑体" w:eastAsia="黑体"/>
          <w:bCs/>
          <w:sz w:val="44"/>
          <w:szCs w:val="44"/>
        </w:rPr>
      </w:pPr>
      <w:r>
        <w:rPr>
          <w:rFonts w:hint="eastAsia" w:ascii="黑体" w:eastAsia="黑体"/>
          <w:bCs/>
          <w:sz w:val="44"/>
          <w:szCs w:val="44"/>
        </w:rPr>
        <w:t>第二章  投标人须知</w:t>
      </w:r>
    </w:p>
    <w:p>
      <w:pPr>
        <w:spacing w:line="360" w:lineRule="auto"/>
        <w:jc w:val="center"/>
        <w:rPr>
          <w:rFonts w:ascii="宋体" w:hAnsi="宋体"/>
          <w:b/>
          <w:sz w:val="24"/>
        </w:rPr>
      </w:pPr>
      <w:bookmarkStart w:id="0" w:name="_Toc234382587"/>
      <w:r>
        <w:rPr>
          <w:rFonts w:hint="eastAsia" w:ascii="黑体" w:eastAsia="黑体"/>
          <w:b/>
          <w:sz w:val="30"/>
          <w:szCs w:val="30"/>
        </w:rPr>
        <w:t>投标人须知前附表</w:t>
      </w:r>
      <w:bookmarkEnd w:id="0"/>
      <w:bookmarkStart w:id="1" w:name="_Hlt111980600"/>
      <w:bookmarkEnd w:id="1"/>
    </w:p>
    <w:tbl>
      <w:tblPr>
        <w:tblStyle w:val="12"/>
        <w:tblW w:w="9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8"/>
        <w:gridCol w:w="2317"/>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53" w:type="dxa"/>
            <w:gridSpan w:val="2"/>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条款号</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条 款 名 称</w:t>
            </w:r>
          </w:p>
        </w:tc>
        <w:tc>
          <w:tcPr>
            <w:tcW w:w="648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6482" w:type="dxa"/>
            <w:tcBorders>
              <w:bottom w:val="single" w:color="auto" w:sz="4" w:space="0"/>
            </w:tcBorders>
            <w:vAlign w:val="center"/>
          </w:tcPr>
          <w:p>
            <w:pPr>
              <w:spacing w:line="312"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招  标  人：</w:t>
            </w:r>
            <w:r>
              <w:rPr>
                <w:rFonts w:hint="eastAsia" w:asciiTheme="minorEastAsia" w:hAnsiTheme="minorEastAsia" w:eastAsiaTheme="minorEastAsia"/>
                <w:color w:val="000000"/>
                <w:sz w:val="24"/>
                <w:lang w:val="zh-CN"/>
              </w:rPr>
              <w:t>许昌市建安区交通运输局</w:t>
            </w:r>
          </w:p>
          <w:p>
            <w:pPr>
              <w:spacing w:line="312" w:lineRule="auto"/>
              <w:jc w:val="left"/>
              <w:rPr>
                <w:rFonts w:asciiTheme="minorEastAsia" w:hAnsiTheme="minorEastAsia" w:eastAsiaTheme="minorEastAsia"/>
                <w:sz w:val="24"/>
              </w:rPr>
            </w:pPr>
            <w:r>
              <w:rPr>
                <w:rFonts w:hint="eastAsia" w:asciiTheme="minorEastAsia" w:hAnsiTheme="minorEastAsia" w:eastAsiaTheme="minorEastAsia"/>
                <w:sz w:val="24"/>
              </w:rPr>
              <w:t>项目负责人：</w:t>
            </w:r>
            <w:r>
              <w:rPr>
                <w:rFonts w:hint="eastAsia" w:asciiTheme="minorEastAsia" w:hAnsiTheme="minorEastAsia" w:eastAsiaTheme="minorEastAsia"/>
                <w:color w:val="000000"/>
                <w:sz w:val="24"/>
                <w:lang w:eastAsia="zh-CN"/>
              </w:rPr>
              <w:t>黄向远</w:t>
            </w:r>
            <w:r>
              <w:rPr>
                <w:rFonts w:hint="eastAsia" w:asciiTheme="minorEastAsia" w:hAnsiTheme="minorEastAsia" w:eastAsiaTheme="minorEastAsia"/>
                <w:sz w:val="24"/>
                <w:lang w:val="en-US" w:eastAsia="zh-CN"/>
              </w:rPr>
              <w:t xml:space="preserve">   </w:t>
            </w:r>
          </w:p>
          <w:p>
            <w:pPr>
              <w:spacing w:line="312" w:lineRule="auto"/>
              <w:jc w:val="left"/>
              <w:rPr>
                <w:rFonts w:asciiTheme="minorEastAsia" w:hAnsiTheme="minorEastAsia" w:eastAsiaTheme="minorEastAsia"/>
                <w:sz w:val="24"/>
                <w:u w:val="single"/>
              </w:rPr>
            </w:pPr>
            <w:r>
              <w:rPr>
                <w:rFonts w:hint="eastAsia" w:asciiTheme="minorEastAsia" w:hAnsiTheme="minorEastAsia" w:eastAsiaTheme="minorEastAsia"/>
                <w:sz w:val="24"/>
              </w:rPr>
              <w:t>电      话：</w:t>
            </w:r>
            <w:r>
              <w:rPr>
                <w:rFonts w:hint="eastAsia" w:asciiTheme="minorEastAsia" w:hAnsiTheme="minorEastAsia" w:eastAsiaTheme="minorEastAsia"/>
                <w:color w:val="000000"/>
                <w:sz w:val="24"/>
                <w:lang w:val="en-US" w:eastAsia="zh-CN"/>
              </w:rPr>
              <w:t xml:space="preserve">18803743200  </w:t>
            </w:r>
            <w:r>
              <w:rPr>
                <w:rFonts w:hint="eastAsia" w:asciiTheme="minorEastAsia" w:hAnsiTheme="minorEastAsia" w:eastAsiaTheme="minor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代理机构</w:t>
            </w:r>
          </w:p>
        </w:tc>
        <w:tc>
          <w:tcPr>
            <w:tcW w:w="6482" w:type="dxa"/>
            <w:tcBorders>
              <w:bottom w:val="single" w:color="auto" w:sz="4" w:space="0"/>
            </w:tcBorders>
            <w:vAlign w:val="center"/>
          </w:tcPr>
          <w:p>
            <w:pPr>
              <w:autoSpaceDE w:val="0"/>
              <w:autoSpaceDN w:val="0"/>
              <w:adjustRightInd w:val="0"/>
              <w:spacing w:line="360" w:lineRule="exact"/>
              <w:jc w:val="left"/>
              <w:rPr>
                <w:rFonts w:cs="宋体" w:asciiTheme="minorEastAsia" w:hAnsiTheme="minorEastAsia" w:eastAsiaTheme="minorEastAsia"/>
                <w:sz w:val="24"/>
              </w:rPr>
            </w:pPr>
            <w:r>
              <w:rPr>
                <w:rFonts w:hint="eastAsia" w:asciiTheme="minorEastAsia" w:hAnsiTheme="minorEastAsia" w:eastAsiaTheme="minorEastAsia"/>
                <w:sz w:val="24"/>
              </w:rPr>
              <w:t>代 理 机构：</w:t>
            </w:r>
            <w:r>
              <w:rPr>
                <w:rFonts w:hint="eastAsia" w:cs="宋体" w:asciiTheme="minorEastAsia" w:hAnsiTheme="minorEastAsia" w:eastAsiaTheme="minorEastAsia"/>
                <w:sz w:val="24"/>
                <w:lang w:eastAsia="zh-CN"/>
              </w:rPr>
              <w:t>方大国际工程咨询股份有限公司</w:t>
            </w:r>
          </w:p>
          <w:p>
            <w:pPr>
              <w:autoSpaceDE w:val="0"/>
              <w:autoSpaceDN w:val="0"/>
              <w:adjustRightInd w:val="0"/>
              <w:spacing w:line="360" w:lineRule="exact"/>
              <w:jc w:val="left"/>
              <w:rPr>
                <w:rFonts w:asciiTheme="minorEastAsia" w:hAnsiTheme="minorEastAsia" w:eastAsiaTheme="minorEastAsia"/>
                <w:sz w:val="24"/>
              </w:rPr>
            </w:pPr>
            <w:r>
              <w:rPr>
                <w:rFonts w:hint="eastAsia" w:asciiTheme="minorEastAsia" w:hAnsiTheme="minorEastAsia" w:eastAsiaTheme="minorEastAsia"/>
                <w:sz w:val="24"/>
              </w:rPr>
              <w:t>项目负责人：</w:t>
            </w:r>
            <w:r>
              <w:rPr>
                <w:rFonts w:hint="eastAsia" w:asciiTheme="minorEastAsia" w:hAnsiTheme="minorEastAsia" w:eastAsiaTheme="minorEastAsia"/>
                <w:sz w:val="24"/>
                <w:lang w:val="en-US" w:eastAsia="zh-CN"/>
              </w:rPr>
              <w:t>王孟龙</w:t>
            </w:r>
          </w:p>
          <w:p>
            <w:pPr>
              <w:tabs>
                <w:tab w:val="left" w:pos="4536"/>
              </w:tabs>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电      话</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15837443882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1.1.4</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6482" w:type="dxa"/>
            <w:tcBorders>
              <w:left w:val="single" w:color="auto" w:sz="4" w:space="0"/>
              <w:right w:val="single" w:color="auto" w:sz="4" w:space="0"/>
            </w:tcBorders>
            <w:vAlign w:val="center"/>
          </w:tcPr>
          <w:p>
            <w:pPr>
              <w:spacing w:line="500" w:lineRule="exact"/>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许昌市建安区小召乡、苏桥镇危桥改造项目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1.1.5</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建设地点</w:t>
            </w:r>
          </w:p>
        </w:tc>
        <w:tc>
          <w:tcPr>
            <w:tcW w:w="6482" w:type="dxa"/>
            <w:tcBorders>
              <w:left w:val="single" w:color="auto" w:sz="4" w:space="0"/>
              <w:right w:val="single" w:color="auto" w:sz="4" w:space="0"/>
            </w:tcBorders>
            <w:vAlign w:val="center"/>
          </w:tcPr>
          <w:p>
            <w:pPr>
              <w:spacing w:line="360" w:lineRule="auto"/>
              <w:jc w:val="left"/>
              <w:rPr>
                <w:rFonts w:asciiTheme="minorEastAsia" w:hAnsiTheme="minorEastAsia" w:eastAsiaTheme="minorEastAsia"/>
                <w:sz w:val="24"/>
              </w:rPr>
            </w:pPr>
            <w:r>
              <w:rPr>
                <w:rFonts w:hint="eastAsia" w:cs="宋体" w:asciiTheme="minorEastAsia" w:hAnsiTheme="minorEastAsia" w:eastAsiaTheme="minorEastAsia"/>
                <w:sz w:val="24"/>
                <w:lang w:val="zh-CN"/>
              </w:rPr>
              <w:t>位于</w:t>
            </w:r>
            <w:r>
              <w:rPr>
                <w:rFonts w:hint="eastAsia" w:cs="宋体" w:asciiTheme="minorEastAsia" w:hAnsiTheme="minorEastAsia" w:eastAsiaTheme="minorEastAsia"/>
                <w:sz w:val="24"/>
              </w:rPr>
              <w:t>许昌市建安区小召乡北寨村、</w:t>
            </w:r>
            <w:r>
              <w:rPr>
                <w:rFonts w:hint="eastAsia" w:asciiTheme="minorEastAsia" w:hAnsiTheme="minorEastAsia" w:eastAsiaTheme="minorEastAsia"/>
                <w:sz w:val="24"/>
                <w:lang w:val="en-US" w:eastAsia="zh-CN"/>
              </w:rPr>
              <w:t>苏桥镇王彦庄、济宁寨村</w:t>
            </w:r>
            <w:r>
              <w:rPr>
                <w:rFonts w:hint="eastAsia" w:cs="宋体" w:asciiTheme="minorEastAsia" w:hAnsiTheme="minorEastAsia" w:eastAsiaTheme="minorEastAsia"/>
                <w:sz w:val="24"/>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1.2.1</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资金来源</w:t>
            </w:r>
          </w:p>
        </w:tc>
        <w:tc>
          <w:tcPr>
            <w:tcW w:w="6482" w:type="dxa"/>
            <w:tcBorders>
              <w:left w:val="single" w:color="auto" w:sz="4" w:space="0"/>
              <w:bottom w:val="single" w:color="auto" w:sz="4" w:space="0"/>
              <w:right w:val="single" w:color="auto" w:sz="4" w:space="0"/>
            </w:tcBorders>
            <w:vAlign w:val="center"/>
          </w:tcPr>
          <w:p>
            <w:pPr>
              <w:pStyle w:val="25"/>
              <w:snapToGrid w:val="0"/>
              <w:spacing w:line="0" w:lineRule="atLeast"/>
              <w:jc w:val="left"/>
              <w:rPr>
                <w:rFonts w:asciiTheme="minorEastAsia" w:hAnsiTheme="minorEastAsia" w:eastAsiaTheme="minorEastAsia"/>
                <w:sz w:val="24"/>
              </w:rPr>
            </w:pPr>
            <w:r>
              <w:rPr>
                <w:rFonts w:hint="eastAsia" w:cs="宋体" w:asciiTheme="minorEastAsia" w:hAnsiTheme="minorEastAsia" w:eastAsiaTheme="minorEastAsia"/>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出资比例</w:t>
            </w:r>
          </w:p>
        </w:tc>
        <w:tc>
          <w:tcPr>
            <w:tcW w:w="6482" w:type="dxa"/>
            <w:tcBorders>
              <w:top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资金落实情况</w:t>
            </w:r>
          </w:p>
        </w:tc>
        <w:tc>
          <w:tcPr>
            <w:tcW w:w="6482" w:type="dxa"/>
            <w:tcBorders>
              <w:top w:val="single" w:color="auto" w:sz="4" w:space="0"/>
            </w:tcBorders>
            <w:vAlign w:val="center"/>
          </w:tcPr>
          <w:p>
            <w:pPr>
              <w:spacing w:line="500" w:lineRule="exact"/>
              <w:jc w:val="left"/>
              <w:rPr>
                <w:rFonts w:asciiTheme="minorEastAsia" w:hAnsiTheme="minorEastAsia" w:eastAsiaTheme="minorEastAsia"/>
                <w:bCs/>
                <w:sz w:val="24"/>
              </w:rPr>
            </w:pPr>
            <w:r>
              <w:rPr>
                <w:rFonts w:hint="eastAsia" w:asciiTheme="minorEastAsia" w:hAnsiTheme="minorEastAsia" w:eastAsia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1.3.1</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招标范围</w:t>
            </w:r>
          </w:p>
        </w:tc>
        <w:tc>
          <w:tcPr>
            <w:tcW w:w="6482"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053"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1.3.2</w:t>
            </w:r>
          </w:p>
        </w:tc>
        <w:tc>
          <w:tcPr>
            <w:tcW w:w="2317" w:type="dxa"/>
            <w:vAlign w:val="center"/>
          </w:tcPr>
          <w:p>
            <w:pPr>
              <w:jc w:val="center"/>
              <w:rPr>
                <w:rFonts w:cs="宋体" w:asciiTheme="minorEastAsia" w:hAnsiTheme="minorEastAsia" w:eastAsiaTheme="minorEastAsia"/>
                <w:kern w:val="0"/>
                <w:sz w:val="24"/>
                <w:shd w:val="clear" w:color="auto" w:fill="FFFFFF"/>
              </w:rPr>
            </w:pPr>
            <w:r>
              <w:rPr>
                <w:rFonts w:hint="eastAsia" w:asciiTheme="minorEastAsia" w:hAnsiTheme="minorEastAsia" w:eastAsiaTheme="minorEastAsia"/>
                <w:sz w:val="24"/>
              </w:rPr>
              <w:t>计划工期</w:t>
            </w:r>
          </w:p>
        </w:tc>
        <w:tc>
          <w:tcPr>
            <w:tcW w:w="6482" w:type="dxa"/>
            <w:vAlign w:val="center"/>
          </w:tcPr>
          <w:p>
            <w:pPr>
              <w:jc w:val="left"/>
              <w:rPr>
                <w:rFonts w:cs="宋体" w:asciiTheme="minorEastAsia" w:hAnsiTheme="minorEastAsia" w:eastAsiaTheme="minorEastAsia"/>
                <w:kern w:val="0"/>
                <w:sz w:val="24"/>
                <w:shd w:val="clear" w:color="auto" w:fill="FFFFFF"/>
              </w:rPr>
            </w:pPr>
            <w:r>
              <w:rPr>
                <w:rFonts w:hint="eastAsia" w:asciiTheme="minorEastAsia" w:hAnsiTheme="minorEastAsia" w:eastAsiaTheme="minorEastAsia"/>
                <w:sz w:val="24"/>
                <w:lang w:val="en-US" w:eastAsia="zh-CN"/>
              </w:rPr>
              <w:t>45</w:t>
            </w:r>
            <w:r>
              <w:rPr>
                <w:rFonts w:hint="eastAsia" w:asciiTheme="minorEastAsia" w:hAnsiTheme="minorEastAsia" w:eastAsia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1.3.3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质量要求</w:t>
            </w:r>
          </w:p>
        </w:tc>
        <w:tc>
          <w:tcPr>
            <w:tcW w:w="6482" w:type="dxa"/>
            <w:vAlign w:val="center"/>
          </w:tcPr>
          <w:p>
            <w:pPr>
              <w:tabs>
                <w:tab w:val="right" w:leader="dot" w:pos="8295"/>
              </w:tabs>
              <w:spacing w:line="500" w:lineRule="exact"/>
              <w:jc w:val="left"/>
              <w:rPr>
                <w:rFonts w:asciiTheme="minorEastAsia" w:hAnsiTheme="minorEastAsia" w:eastAsiaTheme="minorEastAsia"/>
                <w:sz w:val="24"/>
                <w:u w:val="single"/>
              </w:rPr>
            </w:pPr>
            <w:r>
              <w:rPr>
                <w:rFonts w:hint="eastAsia" w:asciiTheme="minorEastAsia" w:hAnsiTheme="minorEastAsia" w:eastAsiaTheme="minorEastAsia"/>
                <w:sz w:val="24"/>
              </w:rPr>
              <w:t>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74" w:hRule="atLeast"/>
          <w:jc w:val="center"/>
        </w:trPr>
        <w:tc>
          <w:tcPr>
            <w:tcW w:w="1053" w:type="dxa"/>
            <w:gridSpan w:val="2"/>
            <w:tcBorders>
              <w:top w:val="single" w:color="auto" w:sz="4" w:space="0"/>
              <w:left w:val="single" w:color="auto" w:sz="4" w:space="0"/>
            </w:tcBorders>
            <w:vAlign w:val="center"/>
          </w:tcPr>
          <w:p>
            <w:pPr>
              <w:spacing w:line="500" w:lineRule="exact"/>
              <w:jc w:val="center"/>
              <w:rPr>
                <w:rFonts w:asciiTheme="minorEastAsia" w:hAnsiTheme="minorEastAsia" w:eastAsiaTheme="minorEastAsia"/>
                <w:sz w:val="24"/>
                <w:vertAlign w:val="superscript"/>
              </w:rPr>
            </w:pPr>
            <w:r>
              <w:rPr>
                <w:rFonts w:asciiTheme="minorEastAsia" w:hAnsiTheme="minorEastAsia" w:eastAsiaTheme="minorEastAsia"/>
                <w:sz w:val="24"/>
              </w:rPr>
              <w:t>1.4.</w:t>
            </w:r>
            <w:r>
              <w:rPr>
                <w:rFonts w:hint="eastAsia" w:asciiTheme="minorEastAsia" w:hAnsiTheme="minorEastAsia" w:eastAsiaTheme="minorEastAsia"/>
                <w:sz w:val="24"/>
              </w:rPr>
              <w:t>1</w:t>
            </w:r>
          </w:p>
        </w:tc>
        <w:tc>
          <w:tcPr>
            <w:tcW w:w="2317" w:type="dxa"/>
            <w:tcBorders>
              <w:top w:val="single" w:color="auto" w:sz="4" w:space="0"/>
            </w:tcBorders>
            <w:vAlign w:val="center"/>
          </w:tcPr>
          <w:p>
            <w:pPr>
              <w:spacing w:line="500" w:lineRule="exact"/>
              <w:jc w:val="center"/>
              <w:rPr>
                <w:rFonts w:asciiTheme="minorEastAsia" w:hAnsiTheme="minorEastAsia" w:eastAsiaTheme="minorEastAsia"/>
                <w:sz w:val="24"/>
              </w:rPr>
            </w:pPr>
            <w:r>
              <w:rPr>
                <w:rFonts w:asciiTheme="minorEastAsia" w:hAnsiTheme="minorEastAsia" w:eastAsiaTheme="minorEastAsia"/>
                <w:sz w:val="24"/>
              </w:rPr>
              <w:t>投标人资质条件、能力和信誉</w:t>
            </w:r>
          </w:p>
        </w:tc>
        <w:tc>
          <w:tcPr>
            <w:tcW w:w="6482" w:type="dxa"/>
            <w:tcBorders>
              <w:right w:val="single" w:color="auto" w:sz="4" w:space="0"/>
            </w:tcBorders>
            <w:vAlign w:val="center"/>
          </w:tcPr>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资质条件：</w:t>
            </w:r>
            <w:r>
              <w:rPr>
                <w:rFonts w:hint="eastAsia" w:asciiTheme="minorEastAsia" w:hAnsiTheme="minorEastAsia" w:eastAsiaTheme="minorEastAsia"/>
                <w:sz w:val="24"/>
              </w:rPr>
              <w:t>见附录1</w:t>
            </w:r>
          </w:p>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财务要求：</w:t>
            </w:r>
            <w:r>
              <w:rPr>
                <w:rFonts w:hint="eastAsia" w:asciiTheme="minorEastAsia" w:hAnsiTheme="minorEastAsia" w:eastAsiaTheme="minorEastAsia"/>
                <w:sz w:val="24"/>
              </w:rPr>
              <w:t>见附录2</w:t>
            </w:r>
          </w:p>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业绩要求：</w:t>
            </w:r>
            <w:r>
              <w:rPr>
                <w:rFonts w:hint="eastAsia" w:asciiTheme="minorEastAsia" w:hAnsiTheme="minorEastAsia" w:eastAsiaTheme="minorEastAsia"/>
                <w:sz w:val="24"/>
              </w:rPr>
              <w:t>见附录3</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信誉要求：见附录4</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项目经理和项目总工资格：见附录5</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其他要求：见附录6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16" w:hRule="atLeast"/>
          <w:jc w:val="center"/>
        </w:trPr>
        <w:tc>
          <w:tcPr>
            <w:tcW w:w="1053" w:type="dxa"/>
            <w:gridSpan w:val="2"/>
            <w:tcBorders>
              <w:top w:val="single" w:color="auto" w:sz="4" w:space="0"/>
              <w:left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1.4.2</w:t>
            </w:r>
          </w:p>
        </w:tc>
        <w:tc>
          <w:tcPr>
            <w:tcW w:w="2317" w:type="dxa"/>
            <w:tcBorders>
              <w:top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是否接受联合体投标</w:t>
            </w:r>
          </w:p>
        </w:tc>
        <w:tc>
          <w:tcPr>
            <w:tcW w:w="6482" w:type="dxa"/>
            <w:tcBorders>
              <w:right w:val="single" w:color="auto" w:sz="4" w:space="0"/>
            </w:tcBorders>
            <w:vAlign w:val="center"/>
          </w:tcPr>
          <w:p>
            <w:pPr>
              <w:autoSpaceDE w:val="0"/>
              <w:autoSpaceDN w:val="0"/>
              <w:adjustRightInd w:val="0"/>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053" w:type="dxa"/>
            <w:gridSpan w:val="2"/>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1.9.1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踏勘现场</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53" w:type="dxa"/>
            <w:gridSpan w:val="2"/>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1.10.1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投标预备会</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1.10.2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投标人提出问题的截止时间</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递交投标文件的截止之日10日前以书面形式提出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1.10.3</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招标人书面澄清的时间</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递交投标文件的截止之日15日前以书面形式提出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1.11</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分包</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偏离</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2.1</w:t>
            </w:r>
          </w:p>
        </w:tc>
        <w:tc>
          <w:tcPr>
            <w:tcW w:w="2317" w:type="dxa"/>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招标文件及工程量清单的获取</w:t>
            </w:r>
          </w:p>
        </w:tc>
        <w:tc>
          <w:tcPr>
            <w:tcW w:w="6482" w:type="dxa"/>
            <w:vAlign w:val="center"/>
          </w:tcPr>
          <w:p>
            <w:pPr>
              <w:pStyle w:val="2"/>
              <w:spacing w:after="0"/>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招标文件、工程量清单的获取：投标人于投标文件递交截止时间前均可登录《全国公共资源交易平台（河南省·许昌市）》（http://ggzy.xuchang.gov.cn/），通过“投标人/供应商登录”后自行下载。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2.1.1</w:t>
            </w:r>
          </w:p>
        </w:tc>
        <w:tc>
          <w:tcPr>
            <w:tcW w:w="2317" w:type="dxa"/>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构成招标文件的其他材料</w:t>
            </w:r>
          </w:p>
        </w:tc>
        <w:tc>
          <w:tcPr>
            <w:tcW w:w="6482" w:type="dxa"/>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投标人要求澄清招标文件的截止时间</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投标截止时间</w:t>
            </w:r>
          </w:p>
        </w:tc>
        <w:tc>
          <w:tcPr>
            <w:tcW w:w="6482" w:type="dxa"/>
            <w:vAlign w:val="center"/>
          </w:tcPr>
          <w:p>
            <w:pPr>
              <w:spacing w:line="500" w:lineRule="exact"/>
              <w:jc w:val="left"/>
              <w:rPr>
                <w:rFonts w:asciiTheme="minorEastAsia" w:hAnsiTheme="minorEastAsia" w:eastAsiaTheme="minorEastAsia"/>
                <w:sz w:val="24"/>
              </w:rPr>
            </w:pPr>
            <w:r>
              <w:rPr>
                <w:rFonts w:hint="eastAsia" w:ascii="宋体" w:hAnsi="宋体"/>
                <w:sz w:val="24"/>
              </w:rPr>
              <w:t>2019年</w:t>
            </w:r>
            <w:r>
              <w:rPr>
                <w:rFonts w:hint="eastAsia" w:ascii="宋体" w:hAnsi="宋体"/>
                <w:sz w:val="24"/>
                <w:u w:val="single"/>
                <w:lang w:val="en-US" w:eastAsia="zh-CN"/>
              </w:rPr>
              <w:t>7</w:t>
            </w:r>
            <w:r>
              <w:rPr>
                <w:rFonts w:hint="eastAsia" w:ascii="宋体" w:hAnsi="宋体"/>
                <w:sz w:val="24"/>
              </w:rPr>
              <w:t>月</w:t>
            </w:r>
            <w:r>
              <w:rPr>
                <w:rFonts w:hint="eastAsia" w:ascii="宋体" w:hAnsi="宋体"/>
                <w:sz w:val="24"/>
                <w:u w:val="single"/>
                <w:lang w:val="en-US" w:eastAsia="zh-CN"/>
              </w:rPr>
              <w:t xml:space="preserve"> 10</w:t>
            </w:r>
            <w:r>
              <w:rPr>
                <w:rFonts w:hint="eastAsia" w:ascii="宋体" w:hAnsi="宋体"/>
                <w:sz w:val="24"/>
              </w:rPr>
              <w:t>日</w:t>
            </w:r>
            <w:r>
              <w:rPr>
                <w:rFonts w:hint="eastAsia" w:ascii="宋体" w:hAnsi="宋体"/>
                <w:sz w:val="24"/>
                <w:u w:val="single"/>
              </w:rPr>
              <w:t xml:space="preserve"> 9 </w:t>
            </w:r>
            <w:r>
              <w:rPr>
                <w:rFonts w:hint="eastAsia" w:ascii="宋体" w:hAnsi="宋体"/>
                <w:sz w:val="24"/>
              </w:rPr>
              <w:t>时</w:t>
            </w:r>
            <w:r>
              <w:rPr>
                <w:rFonts w:hint="eastAsia" w:ascii="宋体" w:hAnsi="宋体"/>
                <w:sz w:val="24"/>
                <w:u w:val="single"/>
              </w:rPr>
              <w:t xml:space="preserve"> 30 </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2.2.3</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投标人确认收到招标文件澄清的时间</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2.3.2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投标人确认收到招标文件修改的时间</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收到修改后24小时内（以发出时间为准）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3.1.1</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构成投标文件的其他材料</w:t>
            </w:r>
          </w:p>
        </w:tc>
        <w:tc>
          <w:tcPr>
            <w:tcW w:w="6482"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（1）投标人认为其它需要补充的内容</w:t>
            </w:r>
          </w:p>
          <w:p>
            <w:pPr>
              <w:jc w:val="left"/>
              <w:rPr>
                <w:rFonts w:asciiTheme="minorEastAsia" w:hAnsiTheme="minorEastAsia" w:eastAsiaTheme="minorEastAsia"/>
                <w:b/>
                <w:sz w:val="24"/>
              </w:rPr>
            </w:pPr>
            <w:r>
              <w:rPr>
                <w:rFonts w:hint="eastAsia" w:asciiTheme="minorEastAsia" w:hAnsiTheme="minorEastAsia" w:eastAsiaTheme="minorEastAsia"/>
                <w:sz w:val="24"/>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053" w:type="dxa"/>
            <w:gridSpan w:val="2"/>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3.2.1</w:t>
            </w:r>
          </w:p>
        </w:tc>
        <w:tc>
          <w:tcPr>
            <w:tcW w:w="2317" w:type="dxa"/>
            <w:vAlign w:val="center"/>
          </w:tcPr>
          <w:p>
            <w:pPr>
              <w:adjustRightInd w:val="0"/>
              <w:snapToGrid w:val="0"/>
              <w:jc w:val="center"/>
              <w:rPr>
                <w:rFonts w:cs="仿宋" w:asciiTheme="minorEastAsia" w:hAnsiTheme="minorEastAsia" w:eastAsiaTheme="minorEastAsia"/>
                <w:sz w:val="24"/>
              </w:rPr>
            </w:pPr>
            <w:r>
              <w:rPr>
                <w:rFonts w:hint="eastAsia" w:cs="仿宋" w:asciiTheme="minorEastAsia" w:hAnsiTheme="minorEastAsia" w:eastAsiaTheme="minorEastAsia"/>
                <w:sz w:val="24"/>
              </w:rPr>
              <w:t>增值税税金的计算方法</w:t>
            </w:r>
          </w:p>
        </w:tc>
        <w:tc>
          <w:tcPr>
            <w:tcW w:w="6482" w:type="dxa"/>
            <w:vAlign w:val="center"/>
          </w:tcPr>
          <w:p>
            <w:pPr>
              <w:adjustRightInd w:val="0"/>
              <w:snapToGrid w:val="0"/>
              <w:ind w:firstLine="240" w:firstLineChars="100"/>
              <w:jc w:val="left"/>
              <w:rPr>
                <w:rFonts w:cs="仿宋" w:asciiTheme="minorEastAsia" w:hAnsiTheme="minorEastAsia" w:eastAsiaTheme="minorEastAsia"/>
                <w:sz w:val="24"/>
              </w:rPr>
            </w:pPr>
            <w:r>
              <w:rPr>
                <w:rFonts w:hint="eastAsia" w:cs="仿宋" w:asciiTheme="minorEastAsia" w:hAnsiTheme="minorEastAsia" w:eastAsiaTheme="minorEastAsia"/>
                <w:sz w:val="24"/>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3.2.9</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是否接受调价函</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3.3.1</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投标有效期</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autoSpaceDE w:val="0"/>
              <w:autoSpaceDN w:val="0"/>
              <w:adjustRightInd w:val="0"/>
              <w:spacing w:line="420" w:lineRule="exact"/>
              <w:jc w:val="center"/>
              <w:rPr>
                <w:rFonts w:cs="黑体" w:asciiTheme="minorEastAsia" w:hAnsiTheme="minorEastAsia" w:eastAsiaTheme="minorEastAsia"/>
                <w:sz w:val="24"/>
              </w:rPr>
            </w:pPr>
            <w:r>
              <w:rPr>
                <w:rFonts w:cs="TimesNewRomanPSMT" w:asciiTheme="minorEastAsia" w:hAnsiTheme="minorEastAsia" w:eastAsiaTheme="minorEastAsia"/>
                <w:sz w:val="24"/>
              </w:rPr>
              <w:t>3.4.1</w:t>
            </w:r>
          </w:p>
        </w:tc>
        <w:tc>
          <w:tcPr>
            <w:tcW w:w="2317" w:type="dxa"/>
            <w:tcBorders>
              <w:bottom w:val="single" w:color="auto" w:sz="4" w:space="0"/>
            </w:tcBorders>
            <w:vAlign w:val="center"/>
          </w:tcPr>
          <w:p>
            <w:pPr>
              <w:autoSpaceDE w:val="0"/>
              <w:autoSpaceDN w:val="0"/>
              <w:adjustRightInd w:val="0"/>
              <w:spacing w:line="340" w:lineRule="exact"/>
              <w:jc w:val="center"/>
              <w:rPr>
                <w:rFonts w:cs="黑体" w:asciiTheme="minorEastAsia" w:hAnsiTheme="minorEastAsia" w:eastAsiaTheme="minorEastAsia"/>
                <w:sz w:val="24"/>
              </w:rPr>
            </w:pPr>
            <w:r>
              <w:rPr>
                <w:rFonts w:hint="eastAsia" w:cs="仿宋_GB2312" w:asciiTheme="minorEastAsia" w:hAnsiTheme="minorEastAsia" w:eastAsiaTheme="minorEastAsia"/>
                <w:sz w:val="24"/>
              </w:rPr>
              <w:t>投标保证金</w:t>
            </w:r>
          </w:p>
        </w:tc>
        <w:tc>
          <w:tcPr>
            <w:tcW w:w="6482" w:type="dxa"/>
            <w:tcBorders>
              <w:bottom w:val="single" w:color="auto" w:sz="4" w:space="0"/>
            </w:tcBorders>
            <w:vAlign w:val="center"/>
          </w:tcPr>
          <w:p>
            <w:pPr>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3.5.2</w:t>
            </w:r>
          </w:p>
        </w:tc>
        <w:tc>
          <w:tcPr>
            <w:tcW w:w="2317" w:type="dxa"/>
            <w:tcBorders>
              <w:bottom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近年财务状况的年份要求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近年，指201</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lang w:val="zh-CN"/>
              </w:rPr>
              <w:t>、201</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lang w:val="zh-CN"/>
              </w:rPr>
              <w:t>、201</w:t>
            </w:r>
            <w:r>
              <w:rPr>
                <w:rFonts w:hint="eastAsia" w:cs="宋体" w:asciiTheme="minorEastAsia" w:hAnsiTheme="minorEastAsia" w:eastAsiaTheme="minorEastAsia"/>
                <w:sz w:val="24"/>
                <w:lang w:val="en-US" w:eastAsia="zh-CN"/>
              </w:rPr>
              <w:t>8</w:t>
            </w:r>
            <w:r>
              <w:rPr>
                <w:rFonts w:hint="eastAsia" w:cs="宋体" w:asciiTheme="minorEastAsia" w:hAnsiTheme="minorEastAsia" w:eastAsiaTheme="minorEastAsia"/>
                <w:sz w:val="24"/>
                <w:lang w:val="zh-CN"/>
              </w:rPr>
              <w:t>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3.5.3</w:t>
            </w:r>
          </w:p>
        </w:tc>
        <w:tc>
          <w:tcPr>
            <w:tcW w:w="2317" w:type="dxa"/>
            <w:tcBorders>
              <w:bottom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近年完成的类似项目的年份要求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2317" w:type="dxa"/>
            <w:tcBorders>
              <w:bottom w:val="single" w:color="auto" w:sz="4" w:space="0"/>
            </w:tcBorders>
            <w:vAlign w:val="center"/>
          </w:tcPr>
          <w:p>
            <w:pPr>
              <w:autoSpaceDE w:val="0"/>
              <w:autoSpaceDN w:val="0"/>
              <w:adjustRightInd w:val="0"/>
              <w:jc w:val="center"/>
              <w:rPr>
                <w:rFonts w:cs="宋体" w:asciiTheme="minorEastAsia" w:hAnsiTheme="minorEastAsia" w:eastAsiaTheme="minorEastAsia"/>
                <w:spacing w:val="-4"/>
                <w:sz w:val="24"/>
              </w:rPr>
            </w:pPr>
            <w:r>
              <w:rPr>
                <w:rFonts w:hint="eastAsia" w:cs="宋体" w:asciiTheme="minorEastAsia" w:hAnsiTheme="minorEastAsia" w:eastAsiaTheme="minorEastAsia"/>
                <w:spacing w:val="-4"/>
                <w:sz w:val="24"/>
              </w:rPr>
              <w:t>近年发生的诉讼及仲裁情况的年份要求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gridSpan w:val="2"/>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3.6.1</w:t>
            </w:r>
          </w:p>
        </w:tc>
        <w:tc>
          <w:tcPr>
            <w:tcW w:w="2317" w:type="dxa"/>
            <w:tcBorders>
              <w:top w:val="single" w:color="auto" w:sz="4" w:space="0"/>
            </w:tcBorders>
            <w:vAlign w:val="center"/>
          </w:tcPr>
          <w:p>
            <w:pPr>
              <w:ind w:left="5" w:leftChars="-67" w:right="-107" w:rightChars="-51" w:hanging="146" w:hangingChars="61"/>
              <w:jc w:val="center"/>
              <w:rPr>
                <w:rFonts w:asciiTheme="minorEastAsia" w:hAnsiTheme="minorEastAsia" w:eastAsiaTheme="minorEastAsia"/>
                <w:sz w:val="24"/>
              </w:rPr>
            </w:pPr>
            <w:r>
              <w:rPr>
                <w:rFonts w:hint="eastAsia" w:asciiTheme="minorEastAsia" w:hAnsiTheme="minorEastAsia" w:eastAsiaTheme="minorEastAsia"/>
                <w:sz w:val="24"/>
              </w:rPr>
              <w:t>是否允许递交备选投标方案</w:t>
            </w:r>
          </w:p>
        </w:tc>
        <w:tc>
          <w:tcPr>
            <w:tcW w:w="6482" w:type="dxa"/>
            <w:tcBorders>
              <w:top w:val="single" w:color="auto" w:sz="4" w:space="0"/>
            </w:tcBorders>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3.7.3</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签字或盖章要求</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投标文件正本应用不褪色的墨水书写或打印，投标文件正本按招标文件要求签字盖章（无需逐页签字盖章），副本应与正本保持一致（可为正本的复印件），不得使用签名章或其它电子制版签名。投标文件格式中凡要求“盖单位公章”的位置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3.7.4</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投标文件及电子版本的份数</w:t>
            </w:r>
          </w:p>
        </w:tc>
        <w:tc>
          <w:tcPr>
            <w:tcW w:w="6482"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正本1份，副本4份，</w:t>
            </w:r>
            <w:r>
              <w:rPr>
                <w:rFonts w:hint="eastAsia" w:asciiTheme="minorEastAsia" w:hAnsiTheme="minorEastAsia" w:eastAsiaTheme="minorEastAsia"/>
                <w:sz w:val="24"/>
                <w:szCs w:val="28"/>
              </w:rPr>
              <w:t>U盘电子版本</w:t>
            </w:r>
            <w:r>
              <w:rPr>
                <w:rFonts w:hint="eastAsia" w:asciiTheme="minorEastAsia" w:hAnsiTheme="minorEastAsia" w:eastAsiaTheme="minorEastAsia"/>
                <w:sz w:val="24"/>
              </w:rPr>
              <w:t>2</w:t>
            </w:r>
            <w:r>
              <w:rPr>
                <w:rFonts w:hint="eastAsia" w:asciiTheme="minorEastAsia" w:hAnsiTheme="minorEastAsia" w:eastAsiaTheme="minorEastAsia"/>
                <w:sz w:val="24"/>
                <w:szCs w:val="28"/>
              </w:rPr>
              <w:t>份（U盘外贴标签注明单位名称和标段，电子版本应包括投标文件全部内容及已标价的工程量清单，且保证能够有效读取）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3.7.5</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装订要求</w:t>
            </w:r>
          </w:p>
        </w:tc>
        <w:tc>
          <w:tcPr>
            <w:tcW w:w="6482" w:type="dxa"/>
            <w:vAlign w:val="center"/>
          </w:tcPr>
          <w:p>
            <w:pPr>
              <w:jc w:val="left"/>
              <w:rPr>
                <w:rFonts w:asciiTheme="minorEastAsia" w:hAnsiTheme="minorEastAsia" w:eastAsiaTheme="minorEastAsia"/>
                <w:sz w:val="24"/>
                <w:highlight w:val="yellow"/>
              </w:rPr>
            </w:pPr>
            <w:r>
              <w:rPr>
                <w:rFonts w:hint="eastAsia" w:asciiTheme="minorEastAsia" w:hAnsiTheme="minorEastAsia" w:eastAsiaTheme="minorEastAsia"/>
                <w:sz w:val="24"/>
              </w:rPr>
              <w:t>胶装（商务及技术部分、投标报价和工程量清单部分分别密封胶装）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4" w:hRule="atLeast"/>
          <w:jc w:val="center"/>
        </w:trPr>
        <w:tc>
          <w:tcPr>
            <w:tcW w:w="1053" w:type="dxa"/>
            <w:gridSpan w:val="2"/>
            <w:tcBorders>
              <w:lef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4.1.2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封套上</w:t>
            </w:r>
            <w:r>
              <w:rPr>
                <w:rFonts w:hint="eastAsia" w:ascii="宋体" w:hAnsi="宋体"/>
                <w:sz w:val="24"/>
              </w:rPr>
              <w:t>应载明的信息</w:t>
            </w:r>
          </w:p>
        </w:tc>
        <w:tc>
          <w:tcPr>
            <w:tcW w:w="6482" w:type="dxa"/>
            <w:tcBorders>
              <w:right w:val="single" w:color="auto" w:sz="4" w:space="0"/>
            </w:tcBorders>
            <w:vAlign w:val="center"/>
          </w:tcPr>
          <w:p>
            <w:pPr>
              <w:spacing w:line="276" w:lineRule="auto"/>
              <w:ind w:left="113" w:right="113"/>
              <w:rPr>
                <w:rFonts w:ascii="宋体" w:hAnsi="宋体"/>
                <w:b/>
                <w:sz w:val="24"/>
              </w:rPr>
            </w:pPr>
            <w:r>
              <w:rPr>
                <w:rFonts w:hint="eastAsia" w:ascii="宋体" w:hAnsi="宋体"/>
                <w:b/>
                <w:sz w:val="24"/>
              </w:rPr>
              <w:t>投标文件第一个信封（商务及技术文件）内层封套：</w:t>
            </w:r>
          </w:p>
          <w:p>
            <w:pPr>
              <w:spacing w:line="276" w:lineRule="auto"/>
              <w:ind w:left="113" w:right="113"/>
              <w:rPr>
                <w:rFonts w:ascii="宋体" w:hAnsi="宋体"/>
                <w:sz w:val="24"/>
                <w:u w:val="single"/>
              </w:rPr>
            </w:pPr>
            <w:r>
              <w:rPr>
                <w:rFonts w:hint="eastAsia" w:ascii="宋体" w:hAnsi="宋体"/>
                <w:sz w:val="24"/>
              </w:rPr>
              <w:t>投标人地址：</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投标人名称：</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投标人联系人：</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投标人联系电话：</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招标人地址及名称：</w:t>
            </w:r>
            <w:r>
              <w:rPr>
                <w:rFonts w:ascii="宋体" w:hAnsi="宋体"/>
                <w:sz w:val="24"/>
              </w:rPr>
              <w:t xml:space="preserve"> </w:t>
            </w:r>
            <w:r>
              <w:rPr>
                <w:rFonts w:hint="eastAsia" w:ascii="宋体" w:hAnsi="宋体"/>
                <w:sz w:val="24"/>
                <w:u w:val="single"/>
              </w:rPr>
              <w:t xml:space="preserve">            </w:t>
            </w:r>
          </w:p>
          <w:p>
            <w:pPr>
              <w:spacing w:line="276" w:lineRule="auto"/>
              <w:ind w:left="113" w:right="113"/>
              <w:rPr>
                <w:rFonts w:ascii="宋体" w:hAnsi="宋体"/>
                <w:b/>
                <w:sz w:val="24"/>
              </w:rPr>
            </w:pPr>
            <w:r>
              <w:rPr>
                <w:rFonts w:hint="eastAsia" w:ascii="宋体" w:hAnsi="宋体"/>
                <w:b/>
                <w:sz w:val="24"/>
              </w:rPr>
              <w:t>投标文件第一个信封（商务及技术文件）外层封套：</w:t>
            </w:r>
          </w:p>
          <w:p>
            <w:pPr>
              <w:spacing w:line="276" w:lineRule="auto"/>
              <w:ind w:left="113" w:right="113"/>
              <w:rPr>
                <w:rFonts w:ascii="宋体" w:hAnsi="宋体"/>
                <w:sz w:val="24"/>
              </w:rPr>
            </w:pPr>
            <w:r>
              <w:rPr>
                <w:rFonts w:hint="eastAsia" w:ascii="宋体" w:hAnsi="宋体"/>
                <w:sz w:val="24"/>
              </w:rPr>
              <w:t>招标人地址：</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招标人名称：</w:t>
            </w:r>
            <w:r>
              <w:rPr>
                <w:rFonts w:hint="eastAsia" w:ascii="宋体" w:hAnsi="宋体"/>
                <w:sz w:val="24"/>
                <w:u w:val="single"/>
              </w:rPr>
              <w:t xml:space="preserve">            </w:t>
            </w:r>
          </w:p>
          <w:p>
            <w:pPr>
              <w:spacing w:line="276" w:lineRule="auto"/>
              <w:ind w:left="113" w:leftChars="54" w:right="113" w:firstLine="120" w:firstLineChars="50"/>
              <w:rPr>
                <w:rFonts w:ascii="宋体" w:hAnsi="宋体"/>
                <w:sz w:val="24"/>
              </w:rPr>
            </w:pPr>
            <w:r>
              <w:rPr>
                <w:rFonts w:hint="eastAsia" w:ascii="宋体" w:hAnsi="宋体"/>
                <w:sz w:val="24"/>
                <w:u w:val="single"/>
              </w:rPr>
              <w:t xml:space="preserve">            </w:t>
            </w:r>
            <w:r>
              <w:rPr>
                <w:rFonts w:hint="eastAsia" w:ascii="宋体" w:hAnsi="宋体"/>
                <w:sz w:val="24"/>
              </w:rPr>
              <w:t>（项目编号）（项目名称）施工招标第一个信封（商务及技术文件）投标文件</w:t>
            </w:r>
          </w:p>
          <w:p>
            <w:pPr>
              <w:spacing w:line="276" w:lineRule="auto"/>
              <w:ind w:left="113" w:right="113"/>
              <w:rPr>
                <w:rFonts w:ascii="宋体" w:hAnsi="宋体"/>
                <w:sz w:val="24"/>
              </w:rPr>
            </w:pPr>
            <w:r>
              <w:rPr>
                <w:rFonts w:hint="eastAsia" w:ascii="宋体" w:hAnsi="宋体"/>
                <w:sz w:val="24"/>
              </w:rPr>
              <w:t>在</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分前不得开启</w:t>
            </w:r>
          </w:p>
          <w:p>
            <w:pPr>
              <w:spacing w:line="276" w:lineRule="auto"/>
              <w:ind w:left="113" w:right="113"/>
              <w:rPr>
                <w:rFonts w:ascii="宋体" w:hAnsi="宋体"/>
                <w:sz w:val="24"/>
              </w:rPr>
            </w:pPr>
            <w:r>
              <w:rPr>
                <w:rFonts w:hint="eastAsia" w:ascii="宋体" w:hAnsi="宋体"/>
                <w:b/>
                <w:sz w:val="24"/>
              </w:rPr>
              <w:t>投标文件第二个信封（投标报价和工程量清单）内层封套：</w:t>
            </w:r>
          </w:p>
          <w:p>
            <w:pPr>
              <w:spacing w:line="276" w:lineRule="auto"/>
              <w:ind w:left="113" w:right="113"/>
              <w:rPr>
                <w:rFonts w:ascii="宋体" w:hAnsi="宋体"/>
                <w:sz w:val="24"/>
              </w:rPr>
            </w:pPr>
            <w:r>
              <w:rPr>
                <w:rFonts w:hint="eastAsia" w:ascii="宋体" w:hAnsi="宋体"/>
                <w:sz w:val="24"/>
              </w:rPr>
              <w:t>投标人地址：</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投标人名称：</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投标人联系人：</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投标人联系电话：</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招标人地址及名称：</w:t>
            </w:r>
            <w:r>
              <w:rPr>
                <w:rFonts w:hint="eastAsia" w:ascii="宋体" w:hAnsi="宋体"/>
                <w:sz w:val="24"/>
                <w:u w:val="single"/>
              </w:rPr>
              <w:t xml:space="preserve">            </w:t>
            </w:r>
          </w:p>
          <w:p>
            <w:pPr>
              <w:spacing w:line="276" w:lineRule="auto"/>
              <w:ind w:left="113" w:right="113"/>
              <w:rPr>
                <w:rFonts w:ascii="宋体" w:hAnsi="宋体"/>
                <w:b/>
                <w:sz w:val="24"/>
              </w:rPr>
            </w:pPr>
            <w:r>
              <w:rPr>
                <w:rFonts w:hint="eastAsia" w:ascii="宋体" w:hAnsi="宋体"/>
                <w:b/>
                <w:sz w:val="24"/>
              </w:rPr>
              <w:t>投标文件第二个信封（投标报价和工程量清单）外层封套：</w:t>
            </w:r>
          </w:p>
          <w:p>
            <w:pPr>
              <w:spacing w:line="276" w:lineRule="auto"/>
              <w:ind w:left="113" w:right="113"/>
              <w:rPr>
                <w:rFonts w:ascii="宋体" w:hAnsi="宋体"/>
                <w:sz w:val="24"/>
              </w:rPr>
            </w:pPr>
            <w:r>
              <w:rPr>
                <w:rFonts w:hint="eastAsia" w:ascii="宋体" w:hAnsi="宋体"/>
                <w:sz w:val="24"/>
              </w:rPr>
              <w:t>招标人地址：</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rPr>
              <w:t>招标人名称：</w:t>
            </w:r>
            <w:r>
              <w:rPr>
                <w:rFonts w:hint="eastAsia" w:ascii="宋体" w:hAnsi="宋体"/>
                <w:sz w:val="24"/>
                <w:u w:val="single"/>
              </w:rPr>
              <w:t xml:space="preserve">            </w:t>
            </w:r>
          </w:p>
          <w:p>
            <w:pPr>
              <w:spacing w:line="276" w:lineRule="auto"/>
              <w:ind w:left="113" w:right="113"/>
              <w:rPr>
                <w:rFonts w:ascii="宋体" w:hAnsi="宋体"/>
                <w:sz w:val="24"/>
              </w:rPr>
            </w:pPr>
            <w:r>
              <w:rPr>
                <w:rFonts w:hint="eastAsia" w:ascii="宋体" w:hAnsi="宋体"/>
                <w:sz w:val="24"/>
                <w:u w:val="single"/>
              </w:rPr>
              <w:t xml:space="preserve">            </w:t>
            </w:r>
            <w:r>
              <w:rPr>
                <w:rFonts w:hint="eastAsia" w:ascii="宋体" w:hAnsi="宋体"/>
                <w:sz w:val="24"/>
              </w:rPr>
              <w:t>（项目编号）（项目名称）施工招标第二个信封（投标报价和工程量清单）投标文件</w:t>
            </w:r>
          </w:p>
          <w:p>
            <w:pPr>
              <w:spacing w:line="276" w:lineRule="auto"/>
              <w:ind w:left="113" w:right="113"/>
              <w:jc w:val="left"/>
              <w:rPr>
                <w:rFonts w:asciiTheme="minorEastAsia" w:hAnsiTheme="minorEastAsia" w:eastAsiaTheme="minorEastAsia"/>
                <w:color w:val="FF0000"/>
                <w:sz w:val="24"/>
              </w:rPr>
            </w:pPr>
            <w:r>
              <w:rPr>
                <w:rFonts w:hint="eastAsia" w:ascii="宋体" w:hAnsi="宋体"/>
                <w:sz w:val="24"/>
              </w:rPr>
              <w:t>在</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4.2.2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递交投标文件</w:t>
            </w:r>
          </w:p>
          <w:p>
            <w:pPr>
              <w:jc w:val="center"/>
              <w:rPr>
                <w:rFonts w:asciiTheme="minorEastAsia" w:hAnsiTheme="minorEastAsia" w:eastAsiaTheme="minorEastAsia"/>
                <w:sz w:val="24"/>
              </w:rPr>
            </w:pPr>
            <w:r>
              <w:rPr>
                <w:rFonts w:hint="eastAsia" w:asciiTheme="minorEastAsia" w:hAnsiTheme="minorEastAsia" w:eastAsiaTheme="minorEastAsia"/>
                <w:sz w:val="24"/>
              </w:rPr>
              <w:t>地点</w:t>
            </w:r>
          </w:p>
        </w:tc>
        <w:tc>
          <w:tcPr>
            <w:tcW w:w="6482" w:type="dxa"/>
            <w:vAlign w:val="center"/>
          </w:tcPr>
          <w:p>
            <w:pPr>
              <w:spacing w:line="360" w:lineRule="auto"/>
              <w:jc w:val="left"/>
              <w:rPr>
                <w:rFonts w:asciiTheme="minorEastAsia" w:hAnsiTheme="minorEastAsia" w:eastAsiaTheme="minorEastAsia"/>
                <w:b/>
                <w:sz w:val="24"/>
              </w:rPr>
            </w:pPr>
            <w:r>
              <w:rPr>
                <w:rFonts w:hint="eastAsia" w:asciiTheme="minorEastAsia" w:hAnsiTheme="minorEastAsia" w:eastAsiaTheme="minorEastAsia"/>
                <w:sz w:val="24"/>
              </w:rPr>
              <w:t>许昌市建安区兴业大厦</w:t>
            </w:r>
            <w:r>
              <w:rPr>
                <w:rFonts w:hint="eastAsia" w:ascii="宋体" w:hAnsi="宋体"/>
                <w:sz w:val="24"/>
              </w:rPr>
              <w:t>四楼</w:t>
            </w:r>
            <w:r>
              <w:rPr>
                <w:rFonts w:hint="eastAsia" w:ascii="宋体" w:hAnsi="宋体"/>
                <w:sz w:val="24"/>
                <w:lang w:val="en-US" w:eastAsia="zh-CN"/>
              </w:rPr>
              <w:t>4167</w:t>
            </w:r>
            <w:r>
              <w:rPr>
                <w:rFonts w:hint="eastAsia" w:asciiTheme="minorEastAsia" w:hAnsiTheme="minorEastAsia" w:eastAsiaTheme="minorEastAsia"/>
                <w:sz w:val="24"/>
              </w:rPr>
              <w:t>室(开标</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4.2.3</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是否退还投标文件</w:t>
            </w:r>
          </w:p>
        </w:tc>
        <w:tc>
          <w:tcPr>
            <w:tcW w:w="6482"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5.1</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开标时间和地点</w:t>
            </w:r>
          </w:p>
        </w:tc>
        <w:tc>
          <w:tcPr>
            <w:tcW w:w="6482" w:type="dxa"/>
            <w:vAlign w:val="center"/>
          </w:tcPr>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投标文件第一个信封（商务及技术文件）</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开标时间： 同投标截止时间</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投标文件第一个信封（商务及技术文件）</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开标地点： 同递交投标文件地点</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投标文件第二个信封（</w:t>
            </w:r>
            <w:r>
              <w:rPr>
                <w:rFonts w:hint="eastAsia" w:asciiTheme="minorEastAsia" w:hAnsiTheme="minorEastAsia" w:eastAsiaTheme="minorEastAsia"/>
                <w:sz w:val="24"/>
              </w:rPr>
              <w:t>投标报价和工程量清单</w:t>
            </w:r>
            <w:r>
              <w:rPr>
                <w:rFonts w:hint="eastAsia" w:asciiTheme="minorEastAsia" w:hAnsiTheme="minorEastAsia" w:eastAsiaTheme="minorEastAsia"/>
                <w:sz w:val="24"/>
                <w:lang w:bidi="zh-CN"/>
              </w:rPr>
              <w:t>）</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开标时间：商务及技术文件评审结束后</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投标文件第二个信封（</w:t>
            </w:r>
            <w:r>
              <w:rPr>
                <w:rFonts w:hint="eastAsia" w:asciiTheme="minorEastAsia" w:hAnsiTheme="minorEastAsia" w:eastAsiaTheme="minorEastAsia"/>
                <w:sz w:val="24"/>
              </w:rPr>
              <w:t>投标报价和工程量清单</w:t>
            </w:r>
            <w:r>
              <w:rPr>
                <w:rFonts w:hint="eastAsia" w:asciiTheme="minorEastAsia" w:hAnsiTheme="minorEastAsia" w:eastAsiaTheme="minorEastAsia"/>
                <w:sz w:val="24"/>
                <w:lang w:bidi="zh-CN"/>
              </w:rPr>
              <w:t>）</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5.2.1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lang w:bidi="zh-CN"/>
              </w:rPr>
              <w:t>第一个信封(商务及技术文件)开标程序</w:t>
            </w:r>
          </w:p>
        </w:tc>
        <w:tc>
          <w:tcPr>
            <w:tcW w:w="6482" w:type="dxa"/>
            <w:vAlign w:val="center"/>
          </w:tcPr>
          <w:p>
            <w:pPr>
              <w:spacing w:line="276" w:lineRule="auto"/>
              <w:ind w:right="113"/>
              <w:jc w:val="left"/>
              <w:rPr>
                <w:rFonts w:asciiTheme="minorEastAsia" w:hAnsiTheme="minorEastAsia" w:eastAsiaTheme="minorEastAsia"/>
                <w:sz w:val="24"/>
              </w:rPr>
            </w:pPr>
            <w:r>
              <w:rPr>
                <w:rFonts w:hint="eastAsia" w:asciiTheme="minorEastAsia" w:hAnsiTheme="minorEastAsia" w:eastAsiaTheme="minorEastAsia"/>
                <w:sz w:val="24"/>
              </w:rPr>
              <w:t>(1)密封情况检查：由投标人代表检查商务及技术文件是否密封完好，是否存在提前开启情况。</w:t>
            </w:r>
          </w:p>
          <w:p>
            <w:pPr>
              <w:spacing w:line="276" w:lineRule="auto"/>
              <w:ind w:right="113"/>
              <w:jc w:val="left"/>
              <w:rPr>
                <w:rFonts w:asciiTheme="minorEastAsia" w:hAnsiTheme="minorEastAsia" w:eastAsiaTheme="minorEastAsia"/>
                <w:b/>
                <w:sz w:val="24"/>
              </w:rPr>
            </w:pPr>
            <w:r>
              <w:rPr>
                <w:rFonts w:hint="eastAsia" w:asciiTheme="minorEastAsia" w:hAnsiTheme="minorEastAsia" w:eastAsiaTheme="minorEastAsia"/>
                <w:sz w:val="24"/>
              </w:rPr>
              <w:t>(2)开标顺序：按送达投标文件顺序的逆顺序开标。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1053" w:type="dxa"/>
            <w:gridSpan w:val="2"/>
            <w:vAlign w:val="center"/>
          </w:tcPr>
          <w:p>
            <w:pPr>
              <w:adjustRightInd w:val="0"/>
              <w:snapToGrid w:val="0"/>
              <w:spacing w:line="360" w:lineRule="auto"/>
              <w:ind w:left="105" w:leftChars="50"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5.2.3</w:t>
            </w:r>
          </w:p>
        </w:tc>
        <w:tc>
          <w:tcPr>
            <w:tcW w:w="2317" w:type="dxa"/>
            <w:vAlign w:val="center"/>
          </w:tcPr>
          <w:p>
            <w:pPr>
              <w:adjustRightInd w:val="0"/>
              <w:snapToGrid w:val="0"/>
              <w:spacing w:line="276" w:lineRule="auto"/>
              <w:ind w:left="105" w:leftChars="50"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第二个信封（投标报价和工程量清单）开标程序</w:t>
            </w:r>
          </w:p>
        </w:tc>
        <w:tc>
          <w:tcPr>
            <w:tcW w:w="6482" w:type="dxa"/>
            <w:vAlign w:val="center"/>
          </w:tcPr>
          <w:p>
            <w:pPr>
              <w:pStyle w:val="26"/>
              <w:adjustRightInd w:val="0"/>
              <w:snapToGrid w:val="0"/>
              <w:spacing w:before="89" w:line="276" w:lineRule="auto"/>
              <w:ind w:right="105" w:rightChars="50"/>
              <w:outlineLvl w:val="2"/>
              <w:rPr>
                <w:rFonts w:asciiTheme="minorEastAsia" w:hAnsiTheme="minorEastAsia" w:eastAsiaTheme="minorEastAsia"/>
                <w:sz w:val="24"/>
                <w:szCs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24"/>
              </w:rPr>
              <w:t>密封情况检查：</w:t>
            </w:r>
            <w:r>
              <w:rPr>
                <w:rFonts w:hint="eastAsia" w:asciiTheme="minorEastAsia" w:hAnsiTheme="minorEastAsia" w:eastAsiaTheme="minorEastAsia"/>
                <w:sz w:val="24"/>
              </w:rPr>
              <w:t>由投标人代表</w:t>
            </w:r>
            <w:r>
              <w:rPr>
                <w:rFonts w:hint="eastAsia" w:asciiTheme="minorEastAsia" w:hAnsiTheme="minorEastAsia" w:eastAsiaTheme="minorEastAsia"/>
                <w:sz w:val="24"/>
                <w:szCs w:val="24"/>
              </w:rPr>
              <w:t>检查</w:t>
            </w:r>
            <w:r>
              <w:rPr>
                <w:rFonts w:hint="eastAsia" w:asciiTheme="minorEastAsia" w:hAnsiTheme="minorEastAsia" w:eastAsiaTheme="minorEastAsia"/>
                <w:sz w:val="24"/>
                <w:lang w:val="en-US"/>
              </w:rPr>
              <w:t>投标报价和工程量清单</w:t>
            </w:r>
            <w:r>
              <w:rPr>
                <w:rFonts w:hint="eastAsia" w:asciiTheme="minorEastAsia" w:hAnsiTheme="minorEastAsia" w:eastAsiaTheme="minorEastAsia"/>
                <w:sz w:val="24"/>
              </w:rPr>
              <w:t>是否密封完好,</w:t>
            </w:r>
            <w:r>
              <w:rPr>
                <w:rFonts w:hint="eastAsia" w:asciiTheme="minorEastAsia" w:hAnsiTheme="minorEastAsia" w:eastAsiaTheme="minorEastAsia"/>
                <w:sz w:val="24"/>
                <w:szCs w:val="24"/>
              </w:rPr>
              <w:t>是否存在提前开启情况</w:t>
            </w:r>
          </w:p>
          <w:p>
            <w:pPr>
              <w:adjustRightInd w:val="0"/>
              <w:snapToGrid w:val="0"/>
              <w:spacing w:line="276" w:lineRule="auto"/>
              <w:ind w:right="105" w:rightChars="50"/>
              <w:jc w:val="left"/>
              <w:outlineLvl w:val="2"/>
              <w:rPr>
                <w:rFonts w:asciiTheme="minorEastAsia" w:hAnsiTheme="minorEastAsia" w:eastAsiaTheme="minorEastAsia"/>
                <w:sz w:val="24"/>
              </w:rPr>
            </w:pPr>
            <w:r>
              <w:rPr>
                <w:rFonts w:hint="eastAsia" w:asciiTheme="minorEastAsia" w:hAnsiTheme="minorEastAsia" w:eastAsiaTheme="minorEastAsia"/>
                <w:sz w:val="24"/>
              </w:rPr>
              <w:t>(2)开</w:t>
            </w:r>
            <w:r>
              <w:rPr>
                <w:rFonts w:hint="eastAsia" w:asciiTheme="minorEastAsia" w:hAnsiTheme="minorEastAsia" w:eastAsiaTheme="minorEastAsia"/>
                <w:spacing w:val="-3"/>
                <w:sz w:val="24"/>
              </w:rPr>
              <w:t>标</w:t>
            </w:r>
            <w:r>
              <w:rPr>
                <w:rFonts w:hint="eastAsia" w:asciiTheme="minorEastAsia" w:hAnsiTheme="minorEastAsia" w:eastAsiaTheme="minorEastAsia"/>
                <w:sz w:val="24"/>
              </w:rPr>
              <w:t>顺</w:t>
            </w:r>
            <w:r>
              <w:rPr>
                <w:rFonts w:hint="eastAsia" w:asciiTheme="minorEastAsia" w:hAnsiTheme="minorEastAsia" w:eastAsiaTheme="minorEastAsia"/>
                <w:spacing w:val="-3"/>
                <w:sz w:val="24"/>
              </w:rPr>
              <w:t>序</w:t>
            </w:r>
            <w:r>
              <w:rPr>
                <w:rFonts w:hint="eastAsia" w:asciiTheme="minorEastAsia" w:hAnsiTheme="minorEastAsia" w:eastAsiaTheme="minorEastAsia"/>
                <w:sz w:val="24"/>
              </w:rPr>
              <w:t>：按送达投标文件顺序的逆顺序开标。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6.1.1</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评标委员会</w:t>
            </w:r>
          </w:p>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的组建</w:t>
            </w:r>
          </w:p>
        </w:tc>
        <w:tc>
          <w:tcPr>
            <w:tcW w:w="6482" w:type="dxa"/>
            <w:vAlign w:val="center"/>
          </w:tcPr>
          <w:p>
            <w:pPr>
              <w:spacing w:line="276" w:lineRule="auto"/>
              <w:ind w:right="113"/>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评标委员会构成：</w:t>
            </w:r>
            <w:r>
              <w:rPr>
                <w:rFonts w:hint="eastAsia" w:asciiTheme="minorEastAsia" w:hAnsiTheme="minorEastAsia" w:eastAsiaTheme="minorEastAsia"/>
                <w:sz w:val="24"/>
                <w:u w:val="single"/>
              </w:rPr>
              <w:t>5</w:t>
            </w:r>
            <w:r>
              <w:rPr>
                <w:rFonts w:hint="eastAsia" w:asciiTheme="minorEastAsia" w:hAnsiTheme="minorEastAsia" w:eastAsiaTheme="minorEastAsia"/>
                <w:sz w:val="24"/>
                <w:lang w:bidi="zh-CN"/>
              </w:rPr>
              <w:t>人，其中招标人代表</w:t>
            </w:r>
            <w:r>
              <w:rPr>
                <w:rFonts w:hint="eastAsia" w:asciiTheme="minorEastAsia" w:hAnsiTheme="minorEastAsia" w:eastAsiaTheme="minorEastAsia"/>
                <w:sz w:val="24"/>
                <w:u w:val="single"/>
              </w:rPr>
              <w:t>1</w:t>
            </w:r>
            <w:r>
              <w:rPr>
                <w:rFonts w:hint="eastAsia" w:asciiTheme="minorEastAsia" w:hAnsiTheme="minorEastAsia" w:eastAsiaTheme="minorEastAsia"/>
                <w:sz w:val="24"/>
                <w:lang w:bidi="zh-CN"/>
              </w:rPr>
              <w:t>人，专家</w:t>
            </w:r>
            <w:r>
              <w:rPr>
                <w:rFonts w:hint="eastAsia" w:asciiTheme="minorEastAsia" w:hAnsiTheme="minorEastAsia" w:eastAsiaTheme="minorEastAsia"/>
                <w:sz w:val="24"/>
                <w:u w:val="single"/>
              </w:rPr>
              <w:t>4</w:t>
            </w:r>
            <w:r>
              <w:rPr>
                <w:rFonts w:hint="eastAsia" w:asciiTheme="minorEastAsia" w:hAnsiTheme="minorEastAsia" w:eastAsiaTheme="minorEastAsia"/>
                <w:sz w:val="24"/>
                <w:lang w:bidi="zh-CN"/>
              </w:rPr>
              <w:t>人；</w:t>
            </w:r>
          </w:p>
          <w:p>
            <w:pPr>
              <w:spacing w:line="276" w:lineRule="auto"/>
              <w:ind w:right="113"/>
              <w:jc w:val="left"/>
              <w:rPr>
                <w:rFonts w:asciiTheme="minorEastAsia" w:hAnsiTheme="minorEastAsia" w:eastAsiaTheme="minorEastAsia"/>
                <w:sz w:val="24"/>
              </w:rPr>
            </w:pPr>
            <w:r>
              <w:rPr>
                <w:rFonts w:hint="eastAsia" w:asciiTheme="minorEastAsia" w:hAnsiTheme="minorEastAsia" w:eastAsiaTheme="minorEastAsia"/>
                <w:sz w:val="24"/>
                <w:lang w:bidi="zh-CN"/>
              </w:rPr>
              <w:t>评标专家确定方式：专家将从河南省综合评标专家库随机抽取产生。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6.3.1</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评标办法</w:t>
            </w:r>
          </w:p>
        </w:tc>
        <w:tc>
          <w:tcPr>
            <w:tcW w:w="6482" w:type="dxa"/>
            <w:vAlign w:val="center"/>
          </w:tcPr>
          <w:p>
            <w:pPr>
              <w:ind w:right="113"/>
              <w:jc w:val="left"/>
              <w:rPr>
                <w:rFonts w:asciiTheme="minorEastAsia" w:hAnsiTheme="minorEastAsia" w:eastAsiaTheme="minorEastAsia"/>
                <w:sz w:val="24"/>
              </w:rPr>
            </w:pPr>
            <w:r>
              <w:rPr>
                <w:rFonts w:hint="eastAsia" w:asciiTheme="minorEastAsia" w:hAnsiTheme="minorEastAsia" w:eastAsiaTheme="minorEastAsia"/>
                <w:sz w:val="24"/>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jc w:val="center"/>
        </w:trPr>
        <w:tc>
          <w:tcPr>
            <w:tcW w:w="1053" w:type="dxa"/>
            <w:gridSpan w:val="2"/>
            <w:vAlign w:val="center"/>
          </w:tcPr>
          <w:p>
            <w:pPr>
              <w:adjustRightInd w:val="0"/>
              <w:snapToGrid w:val="0"/>
              <w:spacing w:line="360" w:lineRule="auto"/>
              <w:ind w:left="105" w:leftChars="50"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6.3.2</w:t>
            </w:r>
          </w:p>
        </w:tc>
        <w:tc>
          <w:tcPr>
            <w:tcW w:w="2317" w:type="dxa"/>
            <w:vAlign w:val="center"/>
          </w:tcPr>
          <w:p>
            <w:pPr>
              <w:adjustRightInd w:val="0"/>
              <w:snapToGrid w:val="0"/>
              <w:ind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评标委员会推荐中标候选人的人数</w:t>
            </w:r>
          </w:p>
        </w:tc>
        <w:tc>
          <w:tcPr>
            <w:tcW w:w="6482" w:type="dxa"/>
            <w:vAlign w:val="center"/>
          </w:tcPr>
          <w:p>
            <w:pPr>
              <w:adjustRightInd w:val="0"/>
              <w:snapToGrid w:val="0"/>
              <w:spacing w:line="360" w:lineRule="auto"/>
              <w:ind w:left="105" w:leftChars="50" w:right="105" w:rightChars="50"/>
              <w:jc w:val="left"/>
              <w:outlineLvl w:val="2"/>
              <w:rPr>
                <w:rFonts w:asciiTheme="minorEastAsia" w:hAnsiTheme="minorEastAsia" w:eastAsiaTheme="minorEastAsia"/>
                <w:sz w:val="24"/>
              </w:rPr>
            </w:pPr>
            <w:r>
              <w:rPr>
                <w:rFonts w:hint="eastAsia" w:asciiTheme="minorEastAsia" w:hAnsiTheme="minorEastAsia" w:eastAsiaTheme="minorEastAsia"/>
                <w:sz w:val="24"/>
                <w:u w:val="single"/>
              </w:rPr>
              <w:t xml:space="preserve">1-3 </w:t>
            </w:r>
            <w:r>
              <w:rPr>
                <w:rFonts w:hint="eastAsia" w:asciiTheme="minorEastAsia" w:hAnsiTheme="minorEastAsia" w:eastAsiaTheme="minorEastAsia"/>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2"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6.4</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招标控制价</w:t>
            </w:r>
          </w:p>
        </w:tc>
        <w:tc>
          <w:tcPr>
            <w:tcW w:w="6482" w:type="dxa"/>
            <w:vAlign w:val="center"/>
          </w:tcPr>
          <w:p>
            <w:pPr>
              <w:ind w:right="113"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招标控制价：</w:t>
            </w:r>
          </w:p>
          <w:p>
            <w:pPr>
              <w:ind w:right="113" w:firstLine="1080" w:firstLineChars="450"/>
              <w:jc w:val="left"/>
              <w:rPr>
                <w:rFonts w:asciiTheme="minorEastAsia" w:hAnsiTheme="minorEastAsia" w:eastAsiaTheme="minorEastAsia"/>
                <w:sz w:val="24"/>
              </w:rPr>
            </w:pPr>
            <w:r>
              <w:rPr>
                <w:rFonts w:hint="eastAsia" w:asciiTheme="minorEastAsia" w:hAnsiTheme="minorEastAsia" w:eastAsiaTheme="minorEastAsia"/>
                <w:sz w:val="24"/>
              </w:rPr>
              <w:t>大写：</w:t>
            </w:r>
            <w:r>
              <w:rPr>
                <w:rFonts w:hint="eastAsia" w:asciiTheme="minorEastAsia" w:hAnsiTheme="minorEastAsia" w:eastAsiaTheme="minorEastAsia"/>
                <w:sz w:val="24"/>
                <w:lang w:eastAsia="zh-CN"/>
              </w:rPr>
              <w:t>壹佰玖拾捌万伍仟壹佰柒拾叁元整</w:t>
            </w:r>
            <w:r>
              <w:rPr>
                <w:rFonts w:hint="eastAsia" w:asciiTheme="minorEastAsia" w:hAnsiTheme="minorEastAsia" w:eastAsiaTheme="minorEastAsia"/>
                <w:sz w:val="24"/>
                <w:lang w:val="en-US" w:eastAsia="zh-CN"/>
              </w:rPr>
              <w:t xml:space="preserve"> </w:t>
            </w:r>
          </w:p>
          <w:p>
            <w:pPr>
              <w:ind w:right="113" w:firstLine="840" w:firstLineChars="350"/>
              <w:jc w:val="left"/>
              <w:rPr>
                <w:rFonts w:asciiTheme="minorEastAsia" w:hAnsiTheme="minorEastAsia" w:eastAsiaTheme="minorEastAsia"/>
                <w:sz w:val="24"/>
              </w:rPr>
            </w:pPr>
            <w:r>
              <w:rPr>
                <w:rFonts w:hint="eastAsia" w:asciiTheme="minorEastAsia" w:hAnsiTheme="minorEastAsia" w:eastAsiaTheme="minorEastAsia"/>
                <w:sz w:val="24"/>
              </w:rPr>
              <w:t>（小写：</w:t>
            </w:r>
            <w:r>
              <w:rPr>
                <w:rFonts w:hint="eastAsia" w:asciiTheme="minorEastAsia" w:hAnsiTheme="minorEastAsia" w:eastAsiaTheme="minorEastAsia"/>
                <w:sz w:val="24"/>
                <w:lang w:val="en-US" w:eastAsia="zh-CN"/>
              </w:rPr>
              <w:t>1985173.00</w:t>
            </w:r>
            <w:r>
              <w:rPr>
                <w:rFonts w:hint="eastAsia" w:asciiTheme="minorEastAsia" w:hAnsiTheme="minorEastAsia" w:eastAsiaTheme="minorEastAsia"/>
                <w:sz w:val="24"/>
              </w:rPr>
              <w:t>元）</w:t>
            </w:r>
          </w:p>
          <w:p>
            <w:pPr>
              <w:spacing w:before="240"/>
              <w:ind w:right="113" w:firstLine="354" w:firstLineChars="147"/>
              <w:jc w:val="left"/>
              <w:rPr>
                <w:rFonts w:asciiTheme="minorEastAsia" w:hAnsiTheme="minorEastAsia" w:eastAsiaTheme="minorEastAsia"/>
                <w:sz w:val="24"/>
              </w:rPr>
            </w:pPr>
            <w:r>
              <w:rPr>
                <w:rFonts w:hint="eastAsia" w:cs="仿宋" w:asciiTheme="minorEastAsia" w:hAnsiTheme="minorEastAsia" w:eastAsiaTheme="minorEastAsia"/>
                <w:b/>
                <w:sz w:val="24"/>
              </w:rPr>
              <w:t>投标人总报价不可超过招标控制价，投标人各分项报价也不可超过各分项的招标控制价，否则其投标无效。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4"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6.5</w:t>
            </w:r>
          </w:p>
        </w:tc>
        <w:tc>
          <w:tcPr>
            <w:tcW w:w="2317" w:type="dxa"/>
            <w:vAlign w:val="center"/>
          </w:tcPr>
          <w:p>
            <w:pPr>
              <w:ind w:left="237"/>
              <w:jc w:val="center"/>
              <w:rPr>
                <w:rFonts w:asciiTheme="minorEastAsia" w:hAnsiTheme="minorEastAsia" w:eastAsiaTheme="minorEastAsia"/>
                <w:sz w:val="24"/>
              </w:rPr>
            </w:pPr>
            <w:r>
              <w:rPr>
                <w:rFonts w:hint="eastAsia" w:cs="仿宋_GB2312" w:asciiTheme="minorEastAsia" w:hAnsiTheme="minorEastAsia" w:eastAsiaTheme="minorEastAsia"/>
                <w:kern w:val="0"/>
                <w:sz w:val="24"/>
              </w:rPr>
              <w:t>投标文件的拒收</w:t>
            </w:r>
          </w:p>
        </w:tc>
        <w:tc>
          <w:tcPr>
            <w:tcW w:w="6482" w:type="dxa"/>
            <w:vAlign w:val="center"/>
          </w:tcPr>
          <w:p>
            <w:pPr>
              <w:spacing w:line="340" w:lineRule="exact"/>
              <w:jc w:val="left"/>
              <w:rPr>
                <w:rFonts w:asciiTheme="minorEastAsia" w:hAnsiTheme="minorEastAsia" w:eastAsiaTheme="minorEastAsia"/>
                <w:spacing w:val="2"/>
                <w:sz w:val="24"/>
              </w:rPr>
            </w:pPr>
            <w:r>
              <w:rPr>
                <w:rFonts w:hint="eastAsia" w:asciiTheme="minorEastAsia" w:hAnsiTheme="minorEastAsia" w:eastAsiaTheme="minorEastAsia"/>
                <w:spacing w:val="2"/>
                <w:sz w:val="24"/>
              </w:rPr>
              <w:t>1、未按招标文件规定提交投标保证金的，投标文件将被拒收。</w:t>
            </w:r>
          </w:p>
          <w:p>
            <w:pPr>
              <w:spacing w:line="340" w:lineRule="exact"/>
              <w:jc w:val="left"/>
              <w:rPr>
                <w:rFonts w:asciiTheme="minorEastAsia" w:hAnsiTheme="minorEastAsia" w:eastAsiaTheme="minorEastAsia"/>
                <w:spacing w:val="2"/>
                <w:sz w:val="24"/>
              </w:rPr>
            </w:pPr>
            <w:r>
              <w:rPr>
                <w:rFonts w:hint="eastAsia" w:asciiTheme="minorEastAsia" w:hAnsiTheme="minorEastAsia" w:eastAsiaTheme="minorEastAsia"/>
                <w:spacing w:val="2"/>
                <w:sz w:val="24"/>
              </w:rPr>
              <w:t>2、法定代表人</w:t>
            </w:r>
            <w:r>
              <w:rPr>
                <w:rFonts w:hint="eastAsia" w:asciiTheme="minorEastAsia" w:hAnsiTheme="minorEastAsia" w:eastAsiaTheme="minorEastAsia"/>
                <w:sz w:val="24"/>
              </w:rPr>
              <w:t>或其委托代理人</w:t>
            </w:r>
            <w:r>
              <w:rPr>
                <w:rFonts w:hint="eastAsia" w:cs="仿宋_GB2312" w:asciiTheme="minorEastAsia" w:hAnsiTheme="minorEastAsia" w:eastAsiaTheme="minorEastAsia"/>
                <w:sz w:val="24"/>
              </w:rPr>
              <w:t>（持有效的授权委托书原件）在规定时间内未携带本人身份证原件到开标现场并签到的</w:t>
            </w:r>
            <w:r>
              <w:rPr>
                <w:rFonts w:hint="eastAsia" w:asciiTheme="minorEastAsia" w:hAnsiTheme="minorEastAsia" w:eastAsiaTheme="minorEastAsia"/>
                <w:spacing w:val="2"/>
                <w:sz w:val="24"/>
              </w:rPr>
              <w:t xml:space="preserve">，投标文件将被拒收。    </w:t>
            </w:r>
          </w:p>
          <w:p>
            <w:pPr>
              <w:spacing w:line="340" w:lineRule="exact"/>
              <w:jc w:val="left"/>
              <w:rPr>
                <w:rFonts w:asciiTheme="minorEastAsia" w:hAnsiTheme="minorEastAsia" w:eastAsiaTheme="minorEastAsia"/>
                <w:spacing w:val="2"/>
                <w:sz w:val="24"/>
              </w:rPr>
            </w:pPr>
            <w:r>
              <w:rPr>
                <w:rFonts w:hint="eastAsia" w:asciiTheme="minorEastAsia" w:hAnsiTheme="minorEastAsia" w:eastAsiaTheme="minorEastAsia"/>
                <w:spacing w:val="2"/>
                <w:sz w:val="24"/>
              </w:rPr>
              <w:t>3、投标文件逾期送达或未按招标文件要求密封的，投标文件将被拒收。</w:t>
            </w:r>
          </w:p>
          <w:p>
            <w:pPr>
              <w:spacing w:line="340" w:lineRule="exact"/>
              <w:jc w:val="left"/>
              <w:rPr>
                <w:rFonts w:asciiTheme="minorEastAsia" w:hAnsiTheme="minorEastAsia" w:eastAsiaTheme="minorEastAsia"/>
                <w:spacing w:val="2"/>
                <w:sz w:val="24"/>
              </w:rPr>
            </w:pPr>
            <w:r>
              <w:rPr>
                <w:rFonts w:hint="eastAsia" w:asciiTheme="minorEastAsia" w:hAnsiTheme="minorEastAsia" w:eastAsiaTheme="minorEastAsia"/>
                <w:spacing w:val="2"/>
                <w:sz w:val="24"/>
              </w:rPr>
              <w:t>4、未按规定支付招标文件费用的。</w:t>
            </w:r>
          </w:p>
          <w:p>
            <w:pPr>
              <w:spacing w:line="340" w:lineRule="exact"/>
              <w:jc w:val="left"/>
              <w:rPr>
                <w:rFonts w:cs="仿宋_GB2312" w:asciiTheme="minorEastAsia" w:hAnsiTheme="minorEastAsia" w:eastAsiaTheme="minorEastAsia"/>
                <w:b/>
                <w:sz w:val="24"/>
              </w:rPr>
            </w:pPr>
            <w:r>
              <w:rPr>
                <w:rFonts w:hint="eastAsia" w:asciiTheme="minorEastAsia" w:hAnsiTheme="minorEastAsia" w:eastAsiaTheme="minorEastAsia"/>
                <w:spacing w:val="2"/>
                <w:sz w:val="24"/>
              </w:rPr>
              <w:t>5、未通过</w:t>
            </w:r>
            <w:r>
              <w:rPr>
                <w:rFonts w:hint="eastAsia" w:cs="仿宋_GB2312" w:asciiTheme="minorEastAsia" w:hAnsiTheme="minorEastAsia" w:eastAsiaTheme="minorEastAsia"/>
                <w:color w:val="000000"/>
                <w:sz w:val="24"/>
              </w:rPr>
              <w:t>《全国公共资源交易平台（河南省•许昌市）》</w:t>
            </w:r>
            <w:r>
              <w:rPr>
                <w:rFonts w:hint="eastAsia" w:asciiTheme="minorEastAsia" w:hAnsiTheme="minorEastAsia" w:eastAsiaTheme="minorEastAsia"/>
                <w:spacing w:val="2"/>
                <w:sz w:val="24"/>
              </w:rPr>
              <w:t xml:space="preserve">下载招标文件的。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7.1</w:t>
            </w:r>
          </w:p>
        </w:tc>
        <w:tc>
          <w:tcPr>
            <w:tcW w:w="2317" w:type="dxa"/>
            <w:vAlign w:val="center"/>
          </w:tcPr>
          <w:p>
            <w:pPr>
              <w:spacing w:line="276" w:lineRule="auto"/>
              <w:ind w:left="-107" w:leftChars="-51" w:right="-107" w:rightChars="-51"/>
              <w:jc w:val="center"/>
              <w:rPr>
                <w:rFonts w:asciiTheme="minorEastAsia" w:hAnsiTheme="minorEastAsia" w:eastAsiaTheme="minorEastAsia"/>
                <w:sz w:val="24"/>
              </w:rPr>
            </w:pPr>
            <w:r>
              <w:rPr>
                <w:rFonts w:hint="eastAsia" w:asciiTheme="minorEastAsia" w:hAnsiTheme="minorEastAsia" w:eastAsiaTheme="minorEastAsia"/>
                <w:sz w:val="24"/>
              </w:rPr>
              <w:t>是否授权评标委员会确定中标人</w:t>
            </w:r>
          </w:p>
        </w:tc>
        <w:tc>
          <w:tcPr>
            <w:tcW w:w="6482"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7.2</w:t>
            </w:r>
          </w:p>
        </w:tc>
        <w:tc>
          <w:tcPr>
            <w:tcW w:w="2317" w:type="dxa"/>
            <w:vAlign w:val="center"/>
          </w:tcPr>
          <w:p>
            <w:pPr>
              <w:spacing w:line="276" w:lineRule="auto"/>
              <w:ind w:left="-107" w:leftChars="-51" w:right="-107" w:rightChars="-51"/>
              <w:jc w:val="center"/>
              <w:rPr>
                <w:rFonts w:asciiTheme="minorEastAsia" w:hAnsiTheme="minorEastAsia" w:eastAsiaTheme="minorEastAsia"/>
                <w:sz w:val="24"/>
              </w:rPr>
            </w:pPr>
            <w:r>
              <w:rPr>
                <w:rFonts w:hint="eastAsia" w:asciiTheme="minorEastAsia" w:hAnsiTheme="minorEastAsia" w:eastAsiaTheme="minorEastAsia"/>
                <w:sz w:val="24"/>
              </w:rPr>
              <w:t>是否采用电子招标投标</w:t>
            </w:r>
          </w:p>
        </w:tc>
        <w:tc>
          <w:tcPr>
            <w:tcW w:w="6482"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7.4.2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履约保证金</w:t>
            </w:r>
          </w:p>
        </w:tc>
        <w:tc>
          <w:tcPr>
            <w:tcW w:w="6482" w:type="dxa"/>
            <w:vAlign w:val="center"/>
          </w:tcPr>
          <w:p>
            <w:pPr>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履约保证金数额不得超过中标合同金额的10%。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9852" w:type="dxa"/>
            <w:gridSpan w:val="4"/>
            <w:tcBorders>
              <w:left w:val="single" w:color="auto" w:sz="4" w:space="0"/>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sz w:val="24"/>
              </w:rPr>
              <w:t>10.需要补充的其他内容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jc w:val="center"/>
        </w:trPr>
        <w:tc>
          <w:tcPr>
            <w:tcW w:w="1015" w:type="dxa"/>
            <w:tcBorders>
              <w:left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10.1</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sz w:val="24"/>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50" w:hRule="atLeast"/>
          <w:jc w:val="center"/>
        </w:trPr>
        <w:tc>
          <w:tcPr>
            <w:tcW w:w="1015" w:type="dxa"/>
            <w:tcBorders>
              <w:left w:val="single" w:color="auto" w:sz="4"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10.2</w:t>
            </w:r>
          </w:p>
        </w:tc>
        <w:tc>
          <w:tcPr>
            <w:tcW w:w="8837" w:type="dxa"/>
            <w:gridSpan w:val="3"/>
            <w:tcBorders>
              <w:bottom w:val="single" w:color="auto" w:sz="4" w:space="0"/>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b/>
                <w:sz w:val="24"/>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2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b/>
                <w:sz w:val="24"/>
              </w:rPr>
              <w:t>10.3</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b/>
                <w:sz w:val="24"/>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b/>
                <w:sz w:val="24"/>
              </w:rPr>
              <w:t>10.4</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bCs/>
                <w:sz w:val="24"/>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77"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10.5</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sz w:val="24"/>
              </w:rPr>
              <w:t>类似工程是指指2016年1月1日以来承建过的</w:t>
            </w:r>
            <w:r>
              <w:rPr>
                <w:rFonts w:hint="eastAsia" w:asciiTheme="minorEastAsia" w:hAnsiTheme="minorEastAsia" w:eastAsiaTheme="minorEastAsia"/>
                <w:b/>
                <w:sz w:val="24"/>
                <w:lang w:val="en-US" w:eastAsia="zh-CN"/>
              </w:rPr>
              <w:t>桥梁</w:t>
            </w:r>
            <w:r>
              <w:rPr>
                <w:rFonts w:hint="eastAsia" w:asciiTheme="minorEastAsia" w:hAnsiTheme="minorEastAsia" w:eastAsiaTheme="minorEastAsia"/>
                <w:b/>
                <w:sz w:val="24"/>
              </w:rPr>
              <w:t>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10.6</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cs="仿宋" w:asciiTheme="minorEastAsia" w:hAnsiTheme="minorEastAsia" w:eastAsiaTheme="minorEastAsia"/>
                <w:b/>
                <w:bCs/>
                <w:sz w:val="24"/>
              </w:rPr>
              <w:t>潜在投标人如对招标文件有异议，请在规定时间内在《全国公共资源交易平台（河南省·许昌市）》上提出，以其他方式递交的异议不予接受。</w:t>
            </w:r>
          </w:p>
        </w:tc>
      </w:tr>
    </w:tbl>
    <w:p>
      <w:pPr>
        <w:spacing w:line="312" w:lineRule="auto"/>
        <w:jc w:val="center"/>
        <w:outlineLvl w:val="0"/>
        <w:rPr>
          <w:rFonts w:asciiTheme="minorEastAsia" w:hAnsiTheme="minorEastAsia" w:eastAsiaTheme="minorEastAsia"/>
          <w:bCs/>
          <w:sz w:val="24"/>
        </w:rPr>
      </w:pPr>
    </w:p>
    <w:p>
      <w:pPr>
        <w:pStyle w:val="2"/>
        <w:ind w:firstLine="210"/>
      </w:pPr>
      <w:r>
        <w:br w:type="page"/>
      </w:r>
    </w:p>
    <w:p>
      <w:pPr>
        <w:pStyle w:val="4"/>
        <w:spacing w:before="240" w:after="240" w:line="240" w:lineRule="auto"/>
        <w:jc w:val="center"/>
        <w:rPr>
          <w:rFonts w:ascii="黑体" w:eastAsia="黑体"/>
          <w:sz w:val="30"/>
          <w:szCs w:val="30"/>
          <w:vertAlign w:val="superscript"/>
        </w:rPr>
      </w:pPr>
      <w:bookmarkStart w:id="2" w:name="_Toc485889001"/>
      <w:bookmarkStart w:id="3" w:name="_Toc31404"/>
      <w:bookmarkStart w:id="4" w:name="_Toc486277862"/>
      <w:r>
        <w:rPr>
          <w:rFonts w:hint="eastAsia" w:ascii="黑体" w:eastAsia="黑体"/>
          <w:sz w:val="30"/>
          <w:szCs w:val="30"/>
        </w:rPr>
        <w:t>附录1   资格审查条件(资质最低条件)</w:t>
      </w:r>
      <w:bookmarkEnd w:id="2"/>
      <w:bookmarkEnd w:id="3"/>
      <w:bookmarkEnd w:id="4"/>
    </w:p>
    <w:tbl>
      <w:tblPr>
        <w:tblStyle w:val="12"/>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sz w:val="24"/>
              </w:rPr>
            </w:pPr>
            <w:r>
              <w:rPr>
                <w:rFonts w:hint="eastAsia" w:ascii="宋体" w:hAnsi="宋体"/>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82"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1、营业执照：具有在中华人民共和国境内注册的独立企业法人营业执照（在有效期内）。</w:t>
            </w:r>
          </w:p>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2、资质要求：</w:t>
            </w:r>
            <w:r>
              <w:rPr>
                <w:rFonts w:hint="eastAsia" w:asciiTheme="minorEastAsia" w:hAnsiTheme="minorEastAsia" w:eastAsiaTheme="minorEastAsia"/>
                <w:sz w:val="24"/>
              </w:rPr>
              <w:t>公路工程施工总承包三级及以上资质，并具备有效的企业安全生产许可证，在人员、设备、资金等方面具有相应的施工能力</w:t>
            </w:r>
            <w:r>
              <w:rPr>
                <w:rFonts w:hint="eastAsia" w:ascii="宋体" w:hAnsi="宋体" w:cs="宋体"/>
                <w:kern w:val="0"/>
                <w:sz w:val="24"/>
              </w:rPr>
              <w:t>的施工企业。</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附录2   资格审查条件(财务最低要求)</w:t>
      </w:r>
    </w:p>
    <w:tbl>
      <w:tblPr>
        <w:tblStyle w:val="12"/>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sz w:val="24"/>
              </w:rPr>
            </w:pPr>
            <w:r>
              <w:rPr>
                <w:rFonts w:hint="eastAsia" w:ascii="宋体" w:hAnsi="宋体"/>
                <w:sz w:val="24"/>
              </w:rPr>
              <w:t>投标申请人应提交最近三年内（</w:t>
            </w:r>
            <w:r>
              <w:rPr>
                <w:rFonts w:hint="eastAsia" w:ascii="宋体" w:hAnsi="宋体" w:cs="仿宋_GB2312"/>
                <w:sz w:val="24"/>
              </w:rPr>
              <w:t>201</w:t>
            </w:r>
            <w:r>
              <w:rPr>
                <w:rFonts w:hint="eastAsia" w:ascii="宋体" w:hAnsi="宋体" w:cs="仿宋_GB2312"/>
                <w:sz w:val="24"/>
                <w:lang w:val="en-US" w:eastAsia="zh-CN"/>
              </w:rPr>
              <w:t>6</w:t>
            </w:r>
            <w:r>
              <w:rPr>
                <w:rFonts w:hint="eastAsia" w:ascii="宋体" w:hAnsi="宋体" w:cs="仿宋_GB2312"/>
                <w:sz w:val="24"/>
              </w:rPr>
              <w:t>年1月1日至201</w:t>
            </w:r>
            <w:r>
              <w:rPr>
                <w:rFonts w:hint="eastAsia" w:ascii="宋体" w:hAnsi="宋体" w:cs="仿宋_GB2312"/>
                <w:sz w:val="24"/>
                <w:lang w:val="en-US" w:eastAsia="zh-CN"/>
              </w:rPr>
              <w:t>8</w:t>
            </w:r>
            <w:r>
              <w:rPr>
                <w:rFonts w:hint="eastAsia" w:ascii="宋体" w:hAnsi="宋体" w:cs="仿宋_GB2312"/>
                <w:sz w:val="24"/>
              </w:rPr>
              <w:t>年12月31日</w:t>
            </w:r>
            <w:r>
              <w:rPr>
                <w:rFonts w:hint="eastAsia" w:ascii="宋体" w:hAnsi="宋体"/>
                <w:sz w:val="24"/>
              </w:rPr>
              <w:t>）(</w:t>
            </w:r>
            <w:r>
              <w:rPr>
                <w:rFonts w:hint="eastAsia" w:hAnsi="宋体"/>
                <w:bCs/>
                <w:sz w:val="24"/>
              </w:rPr>
              <w:t>若公司成立未满三年，须提供成立当年至今的财务报告</w:t>
            </w:r>
            <w:r>
              <w:rPr>
                <w:rFonts w:hint="eastAsia" w:ascii="宋体" w:hAnsi="宋体"/>
                <w:sz w:val="24"/>
              </w:rPr>
              <w:t>)经审计的资产负债表、利润表、现金流量表、所有者权益变动表及其附注，证明资格预审申请人的财务状况良好，财务无亏损，没有被接管、冻结、破产状态；必要时，业主将向投标申请人的开户银行进行查询；</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rPr>
          <w:rFonts w:ascii="宋体" w:hAnsi="宋体"/>
          <w:sz w:val="24"/>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附录3   资格审查条件(业绩最低要求)</w:t>
      </w:r>
    </w:p>
    <w:tbl>
      <w:tblPr>
        <w:tblStyle w:val="12"/>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69" w:hRule="atLeast"/>
          <w:jc w:val="center"/>
        </w:trPr>
        <w:tc>
          <w:tcPr>
            <w:tcW w:w="9239" w:type="dxa"/>
            <w:vAlign w:val="center"/>
          </w:tcPr>
          <w:p>
            <w:pPr>
              <w:ind w:firstLine="2880" w:firstLineChars="1200"/>
              <w:rPr>
                <w:rFonts w:ascii="宋体" w:hAnsi="宋体"/>
                <w:sz w:val="24"/>
              </w:rPr>
            </w:pPr>
            <w:r>
              <w:rPr>
                <w:rFonts w:hint="eastAsia" w:ascii="宋体" w:hAnsi="宋体"/>
                <w:sz w:val="24"/>
              </w:rPr>
              <w:t>2016年1月1日以来承建过的</w:t>
            </w:r>
            <w:r>
              <w:rPr>
                <w:rFonts w:hint="eastAsia" w:ascii="宋体" w:hAnsi="宋体"/>
                <w:sz w:val="24"/>
                <w:lang w:val="en-US" w:eastAsia="zh-CN"/>
              </w:rPr>
              <w:t>桥梁</w:t>
            </w:r>
            <w:r>
              <w:rPr>
                <w:rFonts w:hint="eastAsia" w:ascii="宋体" w:hAnsi="宋体"/>
                <w:sz w:val="24"/>
              </w:rPr>
              <w:t>工程。</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r>
        <w:rPr>
          <w:rFonts w:hint="eastAsia" w:ascii="黑体" w:eastAsia="黑体"/>
          <w:b/>
          <w:bCs/>
          <w:kern w:val="44"/>
          <w:sz w:val="30"/>
          <w:szCs w:val="30"/>
        </w:rPr>
        <w:t>附录4   资格审查条件(信誉最低要求)</w:t>
      </w:r>
    </w:p>
    <w:tbl>
      <w:tblPr>
        <w:tblStyle w:val="12"/>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spacing w:line="312" w:lineRule="auto"/>
              <w:ind w:firstLine="480" w:firstLineChars="200"/>
              <w:rPr>
                <w:rFonts w:asciiTheme="minorEastAsia" w:hAnsiTheme="minorEastAsia" w:eastAsiaTheme="minorEastAsia"/>
                <w:sz w:val="24"/>
              </w:rPr>
            </w:pP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根据《河南省公路建设市场从业单位及人员信用管理办法》第二十一条“对信用考核定级为D级即黑名单的从业单位，”不得参与本项目投标。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不接受失信被执行人的投标。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不接受投标人被“信用中国”和“信用河南”网站信用信息栏列入黑名单，以及被“国家企业信用信息公示系统”列入经营异常名录或严重失信黑名单的投标。</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附录5   资格审查条件(项目经理和项目总工最低要求)</w:t>
      </w:r>
    </w:p>
    <w:tbl>
      <w:tblPr>
        <w:tblStyle w:val="12"/>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sz w:val="24"/>
              </w:rPr>
            </w:pPr>
            <w:r>
              <w:rPr>
                <w:rFonts w:hint="eastAsia" w:ascii="宋体" w:hAnsi="宋体"/>
                <w:sz w:val="24"/>
              </w:rPr>
              <w:t>人  员</w:t>
            </w:r>
          </w:p>
        </w:tc>
        <w:tc>
          <w:tcPr>
            <w:tcW w:w="1984" w:type="dxa"/>
            <w:vAlign w:val="center"/>
          </w:tcPr>
          <w:p>
            <w:pPr>
              <w:jc w:val="center"/>
              <w:rPr>
                <w:rFonts w:ascii="宋体" w:hAnsi="宋体"/>
                <w:sz w:val="24"/>
              </w:rPr>
            </w:pPr>
            <w:r>
              <w:rPr>
                <w:rFonts w:hint="eastAsia" w:ascii="宋体" w:hAnsi="宋体"/>
                <w:sz w:val="24"/>
              </w:rPr>
              <w:t>数  量</w:t>
            </w:r>
          </w:p>
        </w:tc>
        <w:tc>
          <w:tcPr>
            <w:tcW w:w="5020"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sz w:val="24"/>
              </w:rPr>
            </w:pPr>
            <w:r>
              <w:rPr>
                <w:rFonts w:hint="eastAsia" w:ascii="宋体" w:hAnsi="宋体"/>
                <w:sz w:val="24"/>
              </w:rPr>
              <w:t>项目经理</w:t>
            </w:r>
          </w:p>
        </w:tc>
        <w:tc>
          <w:tcPr>
            <w:tcW w:w="1984" w:type="dxa"/>
            <w:vAlign w:val="center"/>
          </w:tcPr>
          <w:p>
            <w:pPr>
              <w:jc w:val="center"/>
              <w:rPr>
                <w:rFonts w:ascii="宋体" w:hAnsi="宋体"/>
                <w:sz w:val="24"/>
              </w:rPr>
            </w:pPr>
            <w:r>
              <w:rPr>
                <w:rFonts w:hint="eastAsia" w:ascii="宋体" w:hAnsi="宋体"/>
                <w:sz w:val="24"/>
              </w:rPr>
              <w:t>1</w:t>
            </w:r>
          </w:p>
        </w:tc>
        <w:tc>
          <w:tcPr>
            <w:tcW w:w="5020" w:type="dxa"/>
            <w:vAlign w:val="center"/>
          </w:tcPr>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sz w:val="24"/>
              </w:rPr>
            </w:pPr>
            <w:r>
              <w:rPr>
                <w:rFonts w:hint="eastAsia" w:ascii="宋体" w:hAnsi="宋体"/>
                <w:sz w:val="24"/>
              </w:rPr>
              <w:t>项目总工程师</w:t>
            </w:r>
          </w:p>
        </w:tc>
        <w:tc>
          <w:tcPr>
            <w:tcW w:w="1984" w:type="dxa"/>
            <w:vAlign w:val="center"/>
          </w:tcPr>
          <w:p>
            <w:pPr>
              <w:jc w:val="center"/>
              <w:rPr>
                <w:rFonts w:ascii="宋体" w:hAnsi="宋体"/>
                <w:sz w:val="24"/>
              </w:rPr>
            </w:pPr>
            <w:r>
              <w:rPr>
                <w:rFonts w:hint="eastAsia" w:ascii="宋体" w:hAnsi="宋体"/>
                <w:sz w:val="24"/>
              </w:rPr>
              <w:t>1</w:t>
            </w:r>
          </w:p>
        </w:tc>
        <w:tc>
          <w:tcPr>
            <w:tcW w:w="5020" w:type="dxa"/>
            <w:vAlign w:val="center"/>
          </w:tcPr>
          <w:p>
            <w:pPr>
              <w:rPr>
                <w:szCs w:val="21"/>
              </w:rPr>
            </w:pPr>
            <w:r>
              <w:rPr>
                <w:rFonts w:hint="eastAsia"/>
                <w:szCs w:val="21"/>
              </w:rPr>
              <w:t>具备中级及以上相关专业技术职称。</w:t>
            </w: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附录6  资格审查条件(其他主要管理人员和技术人员最低要求)</w:t>
      </w:r>
    </w:p>
    <w:tbl>
      <w:tblPr>
        <w:tblStyle w:val="12"/>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1"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rPr>
          <w:rFonts w:ascii="宋体" w:hAnsi="宋体"/>
          <w:sz w:val="24"/>
        </w:rPr>
      </w:pPr>
      <w:r>
        <w:rPr>
          <w:rFonts w:hint="eastAsia" w:ascii="宋体" w:hAnsi="宋体"/>
          <w:sz w:val="24"/>
        </w:rPr>
        <w:t>只需做出承诺，不再提供相关证明原件及复印件。</w:t>
      </w:r>
    </w:p>
    <w:p>
      <w:pPr>
        <w:widowControl/>
        <w:spacing w:line="360" w:lineRule="auto"/>
        <w:ind w:right="714"/>
        <w:jc w:val="center"/>
        <w:rPr>
          <w:rFonts w:asciiTheme="minorEastAsia" w:hAnsiTheme="minorEastAsia" w:eastAsiaTheme="minorEastAsia"/>
          <w:bCs/>
          <w:sz w:val="24"/>
        </w:rPr>
      </w:pPr>
      <w:r>
        <w:rPr>
          <w:rFonts w:asciiTheme="minorEastAsia" w:hAnsiTheme="minorEastAsia" w:eastAsiaTheme="minorEastAsia"/>
          <w:bCs/>
          <w:sz w:val="24"/>
        </w:rPr>
        <w:br w:type="page"/>
      </w:r>
    </w:p>
    <w:p>
      <w:pPr>
        <w:pStyle w:val="4"/>
        <w:keepNext w:val="0"/>
        <w:keepLines w:val="0"/>
        <w:adjustRightInd w:val="0"/>
        <w:snapToGrid w:val="0"/>
        <w:spacing w:beforeLines="50" w:after="0" w:line="400" w:lineRule="exact"/>
        <w:rPr>
          <w:rFonts w:ascii="宋体" w:hAnsi="宋体"/>
          <w:sz w:val="24"/>
          <w:szCs w:val="24"/>
        </w:rPr>
      </w:pPr>
      <w:bookmarkStart w:id="5" w:name="_Toc486277863"/>
      <w:bookmarkStart w:id="6" w:name="_Toc2209"/>
      <w:bookmarkStart w:id="7" w:name="_Toc485889002"/>
      <w:r>
        <w:rPr>
          <w:rFonts w:ascii="宋体" w:hAnsi="宋体"/>
          <w:sz w:val="24"/>
          <w:szCs w:val="24"/>
        </w:rPr>
        <w:t>1. 总则</w:t>
      </w:r>
      <w:bookmarkEnd w:id="5"/>
      <w:bookmarkEnd w:id="6"/>
      <w:bookmarkEnd w:id="7"/>
    </w:p>
    <w:p>
      <w:pPr>
        <w:pStyle w:val="4"/>
        <w:keepNext w:val="0"/>
        <w:keepLines w:val="0"/>
        <w:adjustRightInd w:val="0"/>
        <w:snapToGrid w:val="0"/>
        <w:spacing w:beforeLines="50" w:after="0" w:line="400" w:lineRule="exact"/>
        <w:rPr>
          <w:rFonts w:ascii="宋体" w:hAnsi="宋体"/>
          <w:sz w:val="24"/>
          <w:szCs w:val="24"/>
        </w:rPr>
      </w:pPr>
      <w:bookmarkStart w:id="8" w:name="_Toc485889003"/>
      <w:bookmarkStart w:id="9" w:name="_Toc234382590"/>
      <w:bookmarkStart w:id="10" w:name="_Toc486277864"/>
      <w:bookmarkStart w:id="11" w:name="_Toc29730"/>
      <w:r>
        <w:rPr>
          <w:rFonts w:ascii="宋体" w:hAnsi="宋体"/>
          <w:sz w:val="24"/>
          <w:szCs w:val="24"/>
        </w:rPr>
        <w:t>1.1 项目概况</w:t>
      </w:r>
      <w:bookmarkEnd w:id="8"/>
      <w:bookmarkEnd w:id="9"/>
      <w:bookmarkEnd w:id="10"/>
      <w:bookmarkEnd w:id="11"/>
    </w:p>
    <w:p>
      <w:pPr>
        <w:adjustRightInd w:val="0"/>
        <w:snapToGrid w:val="0"/>
        <w:spacing w:line="400" w:lineRule="exact"/>
        <w:ind w:firstLine="480"/>
        <w:rPr>
          <w:rFonts w:ascii="宋体" w:hAnsi="宋体"/>
          <w:sz w:val="24"/>
        </w:rPr>
      </w:pPr>
      <w:bookmarkStart w:id="12" w:name="_Toc234382591"/>
      <w:r>
        <w:rPr>
          <w:rFonts w:hint="eastAsia" w:ascii="宋体" w:hAnsi="宋体"/>
          <w:sz w:val="24"/>
        </w:rPr>
        <w:t>1.1.1根据《中华人民共和国招标投标法》等有关法律、法规和规章的规定，本招标项目已具备招标条件，现对本工程施工进行招标，</w:t>
      </w:r>
      <w:r>
        <w:rPr>
          <w:rFonts w:hint="eastAsia" w:ascii="宋体" w:hAnsi="宋体" w:cs="宋体"/>
          <w:sz w:val="24"/>
        </w:rPr>
        <w:t>择优选定投标人。</w:t>
      </w:r>
    </w:p>
    <w:p>
      <w:pPr>
        <w:adjustRightInd w:val="0"/>
        <w:snapToGrid w:val="0"/>
        <w:spacing w:line="400" w:lineRule="exact"/>
        <w:ind w:firstLine="480"/>
        <w:rPr>
          <w:rFonts w:ascii="宋体" w:hAnsi="宋体"/>
          <w:sz w:val="24"/>
        </w:rPr>
      </w:pPr>
      <w:r>
        <w:rPr>
          <w:rFonts w:hint="eastAsia" w:ascii="宋体" w:hAnsi="宋体"/>
          <w:sz w:val="24"/>
        </w:rPr>
        <w:t>1.1.2 本招标项目招标人：见投标人须知前附表。</w:t>
      </w:r>
    </w:p>
    <w:p>
      <w:pPr>
        <w:adjustRightInd w:val="0"/>
        <w:snapToGrid w:val="0"/>
        <w:spacing w:line="400" w:lineRule="exact"/>
        <w:ind w:firstLine="480"/>
        <w:rPr>
          <w:rFonts w:ascii="宋体" w:hAnsi="宋体"/>
          <w:sz w:val="24"/>
        </w:rPr>
      </w:pPr>
      <w:r>
        <w:rPr>
          <w:rFonts w:hint="eastAsia" w:ascii="宋体" w:hAnsi="宋体"/>
          <w:sz w:val="24"/>
        </w:rPr>
        <w:t>1.1.3 本招标项目代理机构：见投标人须知前附表。</w:t>
      </w:r>
    </w:p>
    <w:p>
      <w:pPr>
        <w:adjustRightInd w:val="0"/>
        <w:snapToGrid w:val="0"/>
        <w:spacing w:line="400" w:lineRule="exact"/>
        <w:ind w:firstLine="480"/>
        <w:rPr>
          <w:rFonts w:ascii="宋体" w:hAnsi="宋体"/>
          <w:sz w:val="24"/>
        </w:rPr>
      </w:pPr>
      <w:r>
        <w:rPr>
          <w:rFonts w:hint="eastAsia" w:ascii="宋体" w:hAnsi="宋体"/>
          <w:sz w:val="24"/>
        </w:rPr>
        <w:t>1.1.4 本招标项目名称：见投标人须知前附表。</w:t>
      </w:r>
    </w:p>
    <w:p>
      <w:pPr>
        <w:adjustRightInd w:val="0"/>
        <w:snapToGrid w:val="0"/>
        <w:spacing w:line="400" w:lineRule="exact"/>
        <w:ind w:firstLine="480"/>
        <w:rPr>
          <w:rFonts w:ascii="宋体" w:hAnsi="宋体"/>
          <w:sz w:val="24"/>
        </w:rPr>
      </w:pPr>
      <w:r>
        <w:rPr>
          <w:rFonts w:hint="eastAsia" w:ascii="宋体" w:hAnsi="宋体"/>
          <w:sz w:val="24"/>
        </w:rPr>
        <w:t>1.1.5 本招标项目建设地点：见投标人须知前附表。</w:t>
      </w:r>
    </w:p>
    <w:p>
      <w:pPr>
        <w:pStyle w:val="4"/>
        <w:keepNext w:val="0"/>
        <w:keepLines w:val="0"/>
        <w:adjustRightInd w:val="0"/>
        <w:snapToGrid w:val="0"/>
        <w:spacing w:beforeLines="50" w:after="0" w:line="400" w:lineRule="exact"/>
        <w:rPr>
          <w:rFonts w:ascii="宋体" w:hAnsi="宋体"/>
          <w:sz w:val="24"/>
          <w:szCs w:val="24"/>
        </w:rPr>
      </w:pPr>
      <w:bookmarkStart w:id="13" w:name="_Toc486277865"/>
      <w:bookmarkStart w:id="14" w:name="_Toc485889004"/>
      <w:bookmarkStart w:id="15" w:name="_Toc14323"/>
      <w:r>
        <w:rPr>
          <w:rFonts w:ascii="宋体" w:hAnsi="宋体"/>
          <w:sz w:val="24"/>
          <w:szCs w:val="24"/>
        </w:rPr>
        <w:t>1.</w:t>
      </w:r>
      <w:r>
        <w:rPr>
          <w:rFonts w:hint="eastAsia" w:ascii="宋体" w:hAnsi="宋体"/>
          <w:sz w:val="24"/>
          <w:szCs w:val="24"/>
        </w:rPr>
        <w:t>2</w:t>
      </w:r>
      <w:r>
        <w:rPr>
          <w:rFonts w:ascii="宋体" w:hAnsi="宋体"/>
          <w:sz w:val="24"/>
          <w:szCs w:val="24"/>
        </w:rPr>
        <w:t>资金来源和落实情况</w:t>
      </w:r>
      <w:bookmarkEnd w:id="12"/>
      <w:bookmarkEnd w:id="13"/>
      <w:bookmarkEnd w:id="14"/>
      <w:bookmarkEnd w:id="15"/>
    </w:p>
    <w:p>
      <w:pPr>
        <w:adjustRightInd w:val="0"/>
        <w:snapToGrid w:val="0"/>
        <w:spacing w:line="400" w:lineRule="exact"/>
        <w:ind w:firstLine="480"/>
        <w:rPr>
          <w:rFonts w:ascii="宋体" w:hAnsi="宋体"/>
          <w:sz w:val="24"/>
        </w:rPr>
      </w:pPr>
      <w:r>
        <w:rPr>
          <w:rFonts w:hint="eastAsia" w:ascii="宋体" w:hAnsi="宋体"/>
          <w:sz w:val="24"/>
        </w:rPr>
        <w:t>1.2.1 本招标项目的资金来源：见投标人须知前附表。</w:t>
      </w:r>
    </w:p>
    <w:p>
      <w:pPr>
        <w:adjustRightInd w:val="0"/>
        <w:snapToGrid w:val="0"/>
        <w:spacing w:line="400" w:lineRule="exact"/>
        <w:ind w:firstLine="480"/>
        <w:rPr>
          <w:rFonts w:ascii="宋体" w:hAnsi="宋体"/>
          <w:sz w:val="24"/>
        </w:rPr>
      </w:pPr>
      <w:r>
        <w:rPr>
          <w:rFonts w:hint="eastAsia" w:ascii="宋体" w:hAnsi="宋体"/>
          <w:sz w:val="24"/>
        </w:rPr>
        <w:t>1.2.2 本招标项目的出资比例：见投标人须知前附表。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1.2.3 本招标项目的资金落实情况：见投标人须知前附表。</w:t>
      </w:r>
    </w:p>
    <w:p>
      <w:pPr>
        <w:pStyle w:val="4"/>
        <w:keepNext w:val="0"/>
        <w:keepLines w:val="0"/>
        <w:adjustRightInd w:val="0"/>
        <w:snapToGrid w:val="0"/>
        <w:spacing w:beforeLines="50" w:after="0" w:line="400" w:lineRule="exact"/>
        <w:rPr>
          <w:rFonts w:ascii="宋体" w:hAnsi="宋体"/>
          <w:sz w:val="24"/>
          <w:szCs w:val="24"/>
        </w:rPr>
      </w:pPr>
      <w:bookmarkStart w:id="16" w:name="_Toc234382592"/>
      <w:bookmarkStart w:id="17" w:name="_Toc486277866"/>
      <w:bookmarkStart w:id="18" w:name="_Toc485889005"/>
      <w:bookmarkStart w:id="19" w:name="_Toc17973"/>
      <w:r>
        <w:rPr>
          <w:rFonts w:ascii="宋体" w:hAnsi="宋体"/>
          <w:sz w:val="24"/>
          <w:szCs w:val="24"/>
        </w:rPr>
        <w:t>1.3 招标范围、计划工期和质量要求</w:t>
      </w:r>
      <w:bookmarkEnd w:id="16"/>
      <w:bookmarkEnd w:id="17"/>
      <w:bookmarkEnd w:id="18"/>
      <w:bookmarkEnd w:id="19"/>
    </w:p>
    <w:p>
      <w:pPr>
        <w:adjustRightInd w:val="0"/>
        <w:snapToGrid w:val="0"/>
        <w:spacing w:line="400" w:lineRule="exact"/>
        <w:ind w:firstLine="480" w:firstLineChars="200"/>
        <w:rPr>
          <w:rFonts w:ascii="宋体" w:hAnsi="宋体"/>
          <w:sz w:val="24"/>
        </w:rPr>
      </w:pPr>
      <w:r>
        <w:rPr>
          <w:rFonts w:ascii="宋体" w:hAnsi="宋体"/>
          <w:sz w:val="24"/>
        </w:rPr>
        <w:t>1.3.1 本次招标范围：见投标人须知前附表。</w:t>
      </w:r>
    </w:p>
    <w:p>
      <w:pPr>
        <w:adjustRightInd w:val="0"/>
        <w:snapToGrid w:val="0"/>
        <w:spacing w:line="400" w:lineRule="exact"/>
        <w:ind w:firstLine="480" w:firstLineChars="200"/>
        <w:rPr>
          <w:rFonts w:ascii="宋体" w:hAnsi="宋体"/>
          <w:sz w:val="24"/>
        </w:rPr>
      </w:pPr>
      <w:r>
        <w:rPr>
          <w:rFonts w:ascii="宋体" w:hAnsi="宋体"/>
          <w:sz w:val="24"/>
        </w:rPr>
        <w:t>1.3.2 本</w:t>
      </w:r>
      <w:r>
        <w:rPr>
          <w:rFonts w:hint="eastAsia" w:ascii="宋体" w:hAnsi="宋体"/>
          <w:sz w:val="24"/>
        </w:rPr>
        <w:t>招标项目</w:t>
      </w:r>
      <w:r>
        <w:rPr>
          <w:rFonts w:ascii="宋体" w:hAnsi="宋体"/>
          <w:sz w:val="24"/>
        </w:rPr>
        <w:t>的计划工期：见投标人须知前附表。</w:t>
      </w:r>
    </w:p>
    <w:p>
      <w:pPr>
        <w:adjustRightInd w:val="0"/>
        <w:snapToGrid w:val="0"/>
        <w:spacing w:line="400" w:lineRule="exact"/>
        <w:ind w:firstLine="480" w:firstLineChars="200"/>
        <w:rPr>
          <w:rFonts w:ascii="宋体" w:hAnsi="宋体"/>
          <w:sz w:val="24"/>
        </w:rPr>
      </w:pPr>
      <w:r>
        <w:rPr>
          <w:rFonts w:ascii="宋体" w:hAnsi="宋体"/>
          <w:sz w:val="24"/>
        </w:rPr>
        <w:t>1.3.3 本</w:t>
      </w:r>
      <w:r>
        <w:rPr>
          <w:rFonts w:hint="eastAsia" w:ascii="宋体" w:hAnsi="宋体"/>
          <w:sz w:val="24"/>
        </w:rPr>
        <w:t>招标项目</w:t>
      </w:r>
      <w:r>
        <w:rPr>
          <w:rFonts w:ascii="宋体" w:hAnsi="宋体"/>
          <w:sz w:val="24"/>
        </w:rPr>
        <w:t>的质量要求：见投标人须知前附表。</w:t>
      </w:r>
    </w:p>
    <w:p>
      <w:pPr>
        <w:pStyle w:val="4"/>
        <w:keepNext w:val="0"/>
        <w:keepLines w:val="0"/>
        <w:adjustRightInd w:val="0"/>
        <w:snapToGrid w:val="0"/>
        <w:spacing w:beforeLines="50" w:after="0" w:line="400" w:lineRule="exact"/>
        <w:rPr>
          <w:rFonts w:ascii="宋体" w:hAnsi="宋体"/>
          <w:sz w:val="24"/>
          <w:szCs w:val="24"/>
        </w:rPr>
      </w:pPr>
      <w:bookmarkStart w:id="20" w:name="_Toc486277867"/>
      <w:bookmarkStart w:id="21" w:name="_Toc485889006"/>
      <w:bookmarkStart w:id="22" w:name="_Toc234382594"/>
      <w:bookmarkStart w:id="23" w:name="_Toc2109"/>
      <w:r>
        <w:rPr>
          <w:rFonts w:ascii="宋体" w:hAnsi="宋体"/>
          <w:sz w:val="24"/>
          <w:szCs w:val="24"/>
        </w:rPr>
        <w:t>1.4 投标人资格要求（适用于未进行资格预审的）</w:t>
      </w:r>
      <w:bookmarkEnd w:id="20"/>
      <w:bookmarkEnd w:id="21"/>
      <w:bookmarkEnd w:id="22"/>
      <w:bookmarkEnd w:id="23"/>
    </w:p>
    <w:p>
      <w:pPr>
        <w:adjustRightInd w:val="0"/>
        <w:snapToGrid w:val="0"/>
        <w:spacing w:line="400" w:lineRule="exact"/>
        <w:ind w:firstLine="480" w:firstLineChars="200"/>
        <w:rPr>
          <w:rFonts w:ascii="宋体" w:hAnsi="宋体"/>
          <w:sz w:val="24"/>
        </w:rPr>
      </w:pPr>
      <w:r>
        <w:rPr>
          <w:rFonts w:ascii="宋体" w:hAnsi="宋体"/>
          <w:sz w:val="24"/>
        </w:rPr>
        <w:t>1.4.1 投标人应具备承担本</w:t>
      </w:r>
      <w:r>
        <w:rPr>
          <w:rFonts w:hint="eastAsia" w:ascii="宋体" w:hAnsi="宋体"/>
          <w:sz w:val="24"/>
        </w:rPr>
        <w:t>项目</w:t>
      </w:r>
      <w:r>
        <w:rPr>
          <w:rFonts w:ascii="宋体" w:hAnsi="宋体"/>
          <w:sz w:val="24"/>
        </w:rPr>
        <w:t>施工的资质条件、能力和信誉。</w:t>
      </w:r>
    </w:p>
    <w:p>
      <w:pPr>
        <w:adjustRightInd w:val="0"/>
        <w:snapToGrid w:val="0"/>
        <w:spacing w:line="400" w:lineRule="exact"/>
        <w:ind w:firstLine="480" w:firstLineChars="200"/>
        <w:rPr>
          <w:rFonts w:ascii="宋体" w:hAnsi="宋体"/>
          <w:sz w:val="24"/>
        </w:rPr>
      </w:pPr>
      <w:r>
        <w:rPr>
          <w:rFonts w:ascii="宋体" w:hAnsi="宋体"/>
          <w:sz w:val="24"/>
        </w:rPr>
        <w:t>（1）资质条件：见投标人须知前附表；</w:t>
      </w:r>
    </w:p>
    <w:p>
      <w:pPr>
        <w:adjustRightInd w:val="0"/>
        <w:snapToGrid w:val="0"/>
        <w:spacing w:line="400" w:lineRule="exact"/>
        <w:ind w:firstLine="480" w:firstLineChars="200"/>
        <w:rPr>
          <w:rFonts w:ascii="宋体" w:hAnsi="宋体"/>
          <w:sz w:val="24"/>
        </w:rPr>
      </w:pPr>
      <w:r>
        <w:rPr>
          <w:rFonts w:ascii="宋体" w:hAnsi="宋体"/>
          <w:sz w:val="24"/>
        </w:rPr>
        <w:t>（2）财务要求：见投标人须知前附表；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（3）业绩要求：见投标人须知前附表；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（4）信誉要求：见投标人须知前附表;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（5）项目经理</w:t>
      </w:r>
      <w:r>
        <w:rPr>
          <w:rFonts w:hint="eastAsia" w:asciiTheme="minorEastAsia" w:hAnsiTheme="minorEastAsia" w:eastAsiaTheme="minorEastAsia"/>
          <w:sz w:val="24"/>
        </w:rPr>
        <w:t>和项目总工</w:t>
      </w:r>
      <w:r>
        <w:rPr>
          <w:rFonts w:ascii="宋体" w:hAnsi="宋体"/>
          <w:sz w:val="24"/>
        </w:rPr>
        <w:t>资格：见投标人须知前附表；</w:t>
      </w:r>
    </w:p>
    <w:p>
      <w:pPr>
        <w:adjustRightInd w:val="0"/>
        <w:snapToGrid w:val="0"/>
        <w:spacing w:line="400" w:lineRule="exact"/>
        <w:ind w:firstLine="480" w:firstLineChars="200"/>
        <w:rPr>
          <w:rFonts w:ascii="宋体" w:hAnsi="宋体"/>
          <w:sz w:val="24"/>
        </w:rPr>
      </w:pPr>
      <w:r>
        <w:rPr>
          <w:rFonts w:ascii="宋体" w:hAnsi="宋体"/>
          <w:sz w:val="24"/>
        </w:rPr>
        <w:t>（6）</w:t>
      </w:r>
      <w:r>
        <w:rPr>
          <w:rFonts w:hint="eastAsia" w:ascii="宋体" w:hAnsi="宋体"/>
          <w:sz w:val="24"/>
        </w:rPr>
        <w:t>其他</w:t>
      </w:r>
      <w:r>
        <w:rPr>
          <w:rFonts w:ascii="宋体" w:hAnsi="宋体"/>
          <w:sz w:val="24"/>
        </w:rPr>
        <w:t>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 xml:space="preserve">1.4.2 </w:t>
      </w:r>
      <w:r>
        <w:rPr>
          <w:rFonts w:hint="eastAsia" w:ascii="宋体" w:hAnsi="宋体"/>
          <w:sz w:val="24"/>
        </w:rPr>
        <w:t>本次招标不</w:t>
      </w:r>
      <w:r>
        <w:rPr>
          <w:rFonts w:ascii="宋体" w:hAnsi="宋体"/>
          <w:sz w:val="24"/>
        </w:rPr>
        <w:t>接受联合体</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1.4.3 投标人不得存在下列情形之一：</w:t>
      </w:r>
    </w:p>
    <w:p>
      <w:pPr>
        <w:adjustRightInd w:val="0"/>
        <w:snapToGrid w:val="0"/>
        <w:spacing w:line="400" w:lineRule="exact"/>
        <w:ind w:firstLine="480" w:firstLineChars="200"/>
        <w:rPr>
          <w:rFonts w:ascii="宋体" w:hAnsi="宋体"/>
          <w:sz w:val="24"/>
        </w:rPr>
      </w:pPr>
      <w:r>
        <w:rPr>
          <w:rFonts w:ascii="宋体" w:hAnsi="宋体"/>
          <w:sz w:val="24"/>
        </w:rPr>
        <w:t>（1）为招标人不具有独立法人资格的附属机构（单位）；</w:t>
      </w:r>
    </w:p>
    <w:p>
      <w:pPr>
        <w:adjustRightInd w:val="0"/>
        <w:snapToGrid w:val="0"/>
        <w:spacing w:line="400" w:lineRule="exact"/>
        <w:ind w:firstLine="480" w:firstLineChars="200"/>
        <w:rPr>
          <w:rFonts w:ascii="宋体" w:hAnsi="宋体"/>
          <w:sz w:val="24"/>
        </w:rPr>
      </w:pPr>
      <w:r>
        <w:rPr>
          <w:rFonts w:ascii="宋体" w:hAnsi="宋体"/>
          <w:sz w:val="24"/>
        </w:rPr>
        <w:t>（2）为本标段前期准备提供设计或咨询服务的，但设计施工总承包的除外；</w:t>
      </w:r>
    </w:p>
    <w:p>
      <w:pPr>
        <w:adjustRightInd w:val="0"/>
        <w:snapToGrid w:val="0"/>
        <w:spacing w:line="400" w:lineRule="exact"/>
        <w:ind w:firstLine="480" w:firstLineChars="200"/>
        <w:rPr>
          <w:rFonts w:ascii="宋体" w:hAnsi="宋体"/>
          <w:sz w:val="24"/>
        </w:rPr>
      </w:pPr>
      <w:r>
        <w:rPr>
          <w:rFonts w:ascii="宋体" w:hAnsi="宋体"/>
          <w:sz w:val="24"/>
        </w:rPr>
        <w:t>（3）为本标段的监理人；</w:t>
      </w:r>
    </w:p>
    <w:p>
      <w:pPr>
        <w:adjustRightInd w:val="0"/>
        <w:snapToGrid w:val="0"/>
        <w:spacing w:line="400" w:lineRule="exact"/>
        <w:ind w:firstLine="480" w:firstLineChars="200"/>
        <w:rPr>
          <w:rFonts w:ascii="宋体" w:hAnsi="宋体"/>
          <w:sz w:val="24"/>
        </w:rPr>
      </w:pPr>
      <w:r>
        <w:rPr>
          <w:rFonts w:ascii="宋体" w:hAnsi="宋体"/>
          <w:sz w:val="24"/>
        </w:rPr>
        <w:t>（4）为本标段的代建人；</w:t>
      </w:r>
    </w:p>
    <w:p>
      <w:pPr>
        <w:adjustRightInd w:val="0"/>
        <w:snapToGrid w:val="0"/>
        <w:spacing w:line="400" w:lineRule="exact"/>
        <w:ind w:firstLine="480" w:firstLineChars="200"/>
        <w:rPr>
          <w:rFonts w:ascii="宋体" w:hAnsi="宋体"/>
          <w:sz w:val="24"/>
        </w:rPr>
      </w:pPr>
      <w:r>
        <w:rPr>
          <w:rFonts w:ascii="宋体" w:hAnsi="宋体"/>
          <w:sz w:val="24"/>
        </w:rPr>
        <w:t>（5）为本标段提供招标代理服务的；</w:t>
      </w:r>
    </w:p>
    <w:p>
      <w:pPr>
        <w:adjustRightInd w:val="0"/>
        <w:snapToGrid w:val="0"/>
        <w:spacing w:line="400" w:lineRule="exact"/>
        <w:ind w:firstLine="480" w:firstLineChars="200"/>
        <w:rPr>
          <w:rFonts w:ascii="宋体" w:hAnsi="宋体"/>
          <w:sz w:val="24"/>
        </w:rPr>
      </w:pPr>
      <w:r>
        <w:rPr>
          <w:rFonts w:ascii="宋体" w:hAnsi="宋体"/>
          <w:sz w:val="24"/>
        </w:rPr>
        <w:t>（6）与本标段的监理人或代建人或招标代理机构同为一个法定代表人的；</w:t>
      </w:r>
    </w:p>
    <w:p>
      <w:pPr>
        <w:adjustRightInd w:val="0"/>
        <w:snapToGrid w:val="0"/>
        <w:spacing w:line="400" w:lineRule="exact"/>
        <w:ind w:firstLine="480" w:firstLineChars="200"/>
        <w:rPr>
          <w:rFonts w:ascii="宋体" w:hAnsi="宋体"/>
          <w:sz w:val="24"/>
        </w:rPr>
      </w:pPr>
      <w:r>
        <w:rPr>
          <w:rFonts w:ascii="宋体" w:hAnsi="宋体"/>
          <w:sz w:val="24"/>
        </w:rPr>
        <w:t>（7）与本标段的监理人或代建人或招标代理机构相互控股或参股的；</w:t>
      </w:r>
    </w:p>
    <w:p>
      <w:pPr>
        <w:adjustRightInd w:val="0"/>
        <w:snapToGrid w:val="0"/>
        <w:spacing w:line="400" w:lineRule="exact"/>
        <w:ind w:firstLine="480" w:firstLineChars="200"/>
        <w:rPr>
          <w:rFonts w:ascii="宋体" w:hAnsi="宋体"/>
          <w:sz w:val="24"/>
        </w:rPr>
      </w:pPr>
      <w:r>
        <w:rPr>
          <w:rFonts w:ascii="宋体" w:hAnsi="宋体"/>
          <w:sz w:val="24"/>
        </w:rPr>
        <w:t>（8）与本标段的监理人或代建人或招标代理机构相互任职或工作的；</w:t>
      </w:r>
    </w:p>
    <w:p>
      <w:pPr>
        <w:adjustRightInd w:val="0"/>
        <w:snapToGrid w:val="0"/>
        <w:spacing w:line="400" w:lineRule="exact"/>
        <w:ind w:firstLine="480" w:firstLineChars="200"/>
        <w:rPr>
          <w:rFonts w:ascii="宋体" w:hAnsi="宋体"/>
          <w:sz w:val="24"/>
        </w:rPr>
      </w:pPr>
      <w:r>
        <w:rPr>
          <w:rFonts w:ascii="宋体" w:hAnsi="宋体"/>
          <w:sz w:val="24"/>
        </w:rPr>
        <w:t>（9）被责令停业的；</w:t>
      </w:r>
    </w:p>
    <w:p>
      <w:pPr>
        <w:adjustRightInd w:val="0"/>
        <w:snapToGrid w:val="0"/>
        <w:spacing w:line="400" w:lineRule="exact"/>
        <w:ind w:firstLine="480" w:firstLineChars="200"/>
        <w:rPr>
          <w:rFonts w:ascii="宋体" w:hAnsi="宋体"/>
          <w:sz w:val="24"/>
        </w:rPr>
      </w:pPr>
      <w:r>
        <w:rPr>
          <w:rFonts w:ascii="宋体" w:hAnsi="宋体"/>
          <w:sz w:val="24"/>
        </w:rPr>
        <w:t>（10）被暂停或取消投标资格的；</w:t>
      </w:r>
    </w:p>
    <w:p>
      <w:pPr>
        <w:adjustRightInd w:val="0"/>
        <w:snapToGrid w:val="0"/>
        <w:spacing w:line="400" w:lineRule="exact"/>
        <w:ind w:firstLine="480" w:firstLineChars="200"/>
        <w:rPr>
          <w:rFonts w:ascii="宋体" w:hAnsi="宋体"/>
          <w:sz w:val="24"/>
        </w:rPr>
      </w:pPr>
      <w:r>
        <w:rPr>
          <w:rFonts w:ascii="宋体" w:hAnsi="宋体"/>
          <w:sz w:val="24"/>
        </w:rPr>
        <w:t>（11）财产被接管或冻结的；</w:t>
      </w:r>
    </w:p>
    <w:p>
      <w:pPr>
        <w:adjustRightInd w:val="0"/>
        <w:snapToGrid w:val="0"/>
        <w:spacing w:line="400" w:lineRule="exact"/>
        <w:ind w:firstLine="480" w:firstLineChars="200"/>
        <w:rPr>
          <w:rFonts w:ascii="宋体" w:hAnsi="宋体"/>
          <w:sz w:val="24"/>
        </w:rPr>
      </w:pPr>
      <w:r>
        <w:rPr>
          <w:rFonts w:ascii="宋体" w:hAnsi="宋体"/>
          <w:sz w:val="24"/>
        </w:rPr>
        <w:t>（12）在最近三年内有骗取中标或严重违约或重大工程质量问题的</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（13）涉及正在诉讼的案件，或涉及正在诉讼的案件但经审查委员会认定不会对承担本项目造成重大影响；</w:t>
      </w:r>
    </w:p>
    <w:p>
      <w:pPr>
        <w:adjustRightInd w:val="0"/>
        <w:snapToGrid w:val="0"/>
        <w:spacing w:line="400" w:lineRule="exact"/>
        <w:ind w:firstLine="480" w:firstLineChars="200"/>
        <w:rPr>
          <w:rFonts w:ascii="宋体" w:hAnsi="宋体"/>
          <w:sz w:val="24"/>
        </w:rPr>
      </w:pPr>
      <w:r>
        <w:rPr>
          <w:rFonts w:hint="eastAsia" w:ascii="宋体" w:hAnsi="宋体"/>
          <w:sz w:val="24"/>
        </w:rPr>
        <w:t>（14）被省级及以上交通主管部门取消项目所在地的投标资格或禁止进入该区域公路建设市场且处于有效期内；</w:t>
      </w:r>
    </w:p>
    <w:p>
      <w:pPr>
        <w:adjustRightInd w:val="0"/>
        <w:snapToGrid w:val="0"/>
        <w:spacing w:line="400" w:lineRule="exact"/>
        <w:ind w:firstLine="480" w:firstLineChars="200"/>
        <w:rPr>
          <w:rFonts w:ascii="宋体" w:hAnsi="宋体"/>
          <w:sz w:val="24"/>
        </w:rPr>
      </w:pPr>
      <w:r>
        <w:rPr>
          <w:rFonts w:hint="eastAsia" w:ascii="宋体" w:hAnsi="宋体"/>
          <w:sz w:val="24"/>
        </w:rPr>
        <w:t>（15）为投资参股本项目的法人单位。</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1.4.4 投标人（包括联合体各成员）不得存在下列不良状况或不良信用记录：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（1）被省级及以上交通运输主管部门取消招标项目所在地的投标资格且处于有效期内；</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rPr>
        <w:t>根据《河南省公路建设市场从业单位及人员信用管理办法》第二十一条信用考核定级为D级即黑名单。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（3）被责令停业，暂扣或吊销执照，或吊销资质证书；</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（4）进入清算程序，或被宣告破产，或其他丧失履约能力的情形；</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（5）在国家企业信用信息公示系统中被列入经营异常名录或严重失信黑名单；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（6）在“信用中国”和“信用河南”网站中被列入黑名单；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（7）法律法规或投标人须知前附表规定的其他情形。</w:t>
      </w:r>
    </w:p>
    <w:p>
      <w:pPr>
        <w:pStyle w:val="4"/>
        <w:keepNext w:val="0"/>
        <w:keepLines w:val="0"/>
        <w:adjustRightInd w:val="0"/>
        <w:snapToGrid w:val="0"/>
        <w:spacing w:beforeLines="50" w:after="0" w:line="400" w:lineRule="exact"/>
        <w:rPr>
          <w:rFonts w:ascii="宋体" w:hAnsi="宋体"/>
          <w:sz w:val="24"/>
          <w:szCs w:val="24"/>
        </w:rPr>
      </w:pPr>
      <w:bookmarkStart w:id="24" w:name="_Toc486277868"/>
      <w:bookmarkStart w:id="25" w:name="_Toc485889007"/>
      <w:bookmarkStart w:id="26" w:name="_Toc234382595"/>
      <w:bookmarkStart w:id="27" w:name="_Toc19946"/>
      <w:r>
        <w:rPr>
          <w:rFonts w:ascii="宋体" w:hAnsi="宋体"/>
          <w:sz w:val="24"/>
          <w:szCs w:val="24"/>
        </w:rPr>
        <w:t>1.5 费用承担</w:t>
      </w:r>
      <w:bookmarkEnd w:id="24"/>
      <w:bookmarkEnd w:id="25"/>
      <w:bookmarkEnd w:id="26"/>
      <w:bookmarkEnd w:id="27"/>
    </w:p>
    <w:p>
      <w:pPr>
        <w:adjustRightInd w:val="0"/>
        <w:snapToGrid w:val="0"/>
        <w:spacing w:line="400" w:lineRule="exact"/>
        <w:ind w:firstLine="480" w:firstLineChars="200"/>
        <w:rPr>
          <w:rFonts w:ascii="宋体" w:hAnsi="宋体"/>
          <w:sz w:val="24"/>
        </w:rPr>
      </w:pPr>
      <w:r>
        <w:rPr>
          <w:rFonts w:ascii="宋体" w:hAnsi="宋体"/>
          <w:sz w:val="24"/>
        </w:rPr>
        <w:t>投标人准备和参加投标活动发生的费用自理。</w:t>
      </w:r>
    </w:p>
    <w:p>
      <w:pPr>
        <w:pStyle w:val="4"/>
        <w:keepNext w:val="0"/>
        <w:keepLines w:val="0"/>
        <w:adjustRightInd w:val="0"/>
        <w:snapToGrid w:val="0"/>
        <w:spacing w:beforeLines="50" w:after="0" w:line="400" w:lineRule="exact"/>
        <w:rPr>
          <w:rFonts w:ascii="宋体" w:hAnsi="宋体"/>
          <w:sz w:val="24"/>
          <w:szCs w:val="24"/>
        </w:rPr>
      </w:pPr>
      <w:bookmarkStart w:id="28" w:name="_Toc234382596"/>
      <w:bookmarkStart w:id="29" w:name="_Toc8968"/>
      <w:bookmarkStart w:id="30" w:name="_Toc485889008"/>
      <w:bookmarkStart w:id="31" w:name="_Toc486277869"/>
      <w:r>
        <w:rPr>
          <w:rFonts w:ascii="宋体" w:hAnsi="宋体"/>
          <w:sz w:val="24"/>
          <w:szCs w:val="24"/>
        </w:rPr>
        <w:t>1.6 保密</w:t>
      </w:r>
      <w:bookmarkEnd w:id="28"/>
      <w:bookmarkEnd w:id="29"/>
      <w:bookmarkEnd w:id="30"/>
      <w:bookmarkEnd w:id="31"/>
    </w:p>
    <w:p>
      <w:pPr>
        <w:adjustRightInd w:val="0"/>
        <w:snapToGrid w:val="0"/>
        <w:spacing w:line="400" w:lineRule="exact"/>
        <w:ind w:firstLine="480" w:firstLineChars="20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pPr>
        <w:pStyle w:val="4"/>
        <w:keepNext w:val="0"/>
        <w:keepLines w:val="0"/>
        <w:adjustRightInd w:val="0"/>
        <w:snapToGrid w:val="0"/>
        <w:spacing w:beforeLines="50" w:after="0" w:line="400" w:lineRule="exact"/>
        <w:rPr>
          <w:rFonts w:ascii="宋体" w:hAnsi="宋体"/>
          <w:sz w:val="24"/>
          <w:szCs w:val="24"/>
        </w:rPr>
      </w:pPr>
      <w:bookmarkStart w:id="32" w:name="_Toc485889009"/>
      <w:bookmarkStart w:id="33" w:name="_Toc486277870"/>
      <w:bookmarkStart w:id="34" w:name="_Toc5358"/>
      <w:bookmarkStart w:id="35" w:name="_Toc234382597"/>
      <w:r>
        <w:rPr>
          <w:rFonts w:ascii="宋体" w:hAnsi="宋体"/>
          <w:sz w:val="24"/>
          <w:szCs w:val="24"/>
        </w:rPr>
        <w:t>1.7 语言文字</w:t>
      </w:r>
      <w:bookmarkEnd w:id="32"/>
      <w:bookmarkEnd w:id="33"/>
      <w:bookmarkEnd w:id="34"/>
      <w:bookmarkEnd w:id="35"/>
    </w:p>
    <w:p>
      <w:pPr>
        <w:adjustRightInd w:val="0"/>
        <w:snapToGrid w:val="0"/>
        <w:spacing w:line="400" w:lineRule="exact"/>
        <w:ind w:firstLine="480" w:firstLineChars="200"/>
        <w:rPr>
          <w:rFonts w:ascii="宋体" w:hAnsi="宋体"/>
          <w:sz w:val="24"/>
        </w:rPr>
      </w:pPr>
      <w:r>
        <w:rPr>
          <w:rFonts w:ascii="宋体" w:hAnsi="宋体"/>
          <w:sz w:val="24"/>
        </w:rPr>
        <w:t>除专用术语外，与招标投标有关的语言均使用中文。必要时专用术语应附有中文注释。</w:t>
      </w:r>
    </w:p>
    <w:p>
      <w:pPr>
        <w:pStyle w:val="4"/>
        <w:keepNext w:val="0"/>
        <w:keepLines w:val="0"/>
        <w:adjustRightInd w:val="0"/>
        <w:snapToGrid w:val="0"/>
        <w:spacing w:beforeLines="50" w:after="0" w:line="400" w:lineRule="exact"/>
        <w:rPr>
          <w:rFonts w:ascii="宋体" w:hAnsi="宋体"/>
          <w:sz w:val="24"/>
          <w:szCs w:val="24"/>
        </w:rPr>
      </w:pPr>
      <w:bookmarkStart w:id="36" w:name="_Toc234382598"/>
      <w:bookmarkStart w:id="37" w:name="_Toc485889010"/>
      <w:bookmarkStart w:id="38" w:name="_Toc486277871"/>
      <w:bookmarkStart w:id="39" w:name="_Toc105"/>
      <w:r>
        <w:rPr>
          <w:rFonts w:ascii="宋体" w:hAnsi="宋体"/>
          <w:sz w:val="24"/>
          <w:szCs w:val="24"/>
        </w:rPr>
        <w:t>1.8 计量单位</w:t>
      </w:r>
      <w:bookmarkEnd w:id="36"/>
      <w:bookmarkEnd w:id="37"/>
      <w:bookmarkEnd w:id="38"/>
      <w:bookmarkEnd w:id="39"/>
    </w:p>
    <w:p>
      <w:pPr>
        <w:adjustRightInd w:val="0"/>
        <w:snapToGrid w:val="0"/>
        <w:spacing w:line="400" w:lineRule="exact"/>
        <w:ind w:firstLine="480" w:firstLineChars="200"/>
        <w:rPr>
          <w:rFonts w:ascii="宋体" w:hAnsi="宋体"/>
          <w:sz w:val="24"/>
        </w:rPr>
      </w:pPr>
      <w:r>
        <w:rPr>
          <w:rFonts w:ascii="宋体" w:hAnsi="宋体"/>
          <w:sz w:val="24"/>
        </w:rPr>
        <w:t>所有计量均采用中华人民共和国法定计量单位。</w:t>
      </w:r>
    </w:p>
    <w:p>
      <w:pPr>
        <w:pStyle w:val="4"/>
        <w:keepNext w:val="0"/>
        <w:keepLines w:val="0"/>
        <w:adjustRightInd w:val="0"/>
        <w:snapToGrid w:val="0"/>
        <w:spacing w:beforeLines="50" w:after="0" w:line="400" w:lineRule="exact"/>
        <w:rPr>
          <w:rFonts w:ascii="宋体" w:hAnsi="宋体"/>
          <w:sz w:val="24"/>
          <w:szCs w:val="24"/>
        </w:rPr>
      </w:pPr>
      <w:bookmarkStart w:id="40" w:name="_Toc234382599"/>
      <w:bookmarkStart w:id="41" w:name="_Toc31645"/>
      <w:bookmarkStart w:id="42" w:name="_Toc486277872"/>
      <w:bookmarkStart w:id="43" w:name="_Toc485889011"/>
      <w:r>
        <w:rPr>
          <w:rFonts w:ascii="宋体" w:hAnsi="宋体"/>
          <w:sz w:val="24"/>
          <w:szCs w:val="24"/>
        </w:rPr>
        <w:t>1.9 踏勘现场</w:t>
      </w:r>
      <w:bookmarkEnd w:id="40"/>
      <w:bookmarkEnd w:id="41"/>
      <w:bookmarkEnd w:id="42"/>
      <w:bookmarkEnd w:id="43"/>
    </w:p>
    <w:p>
      <w:pPr>
        <w:adjustRightInd w:val="0"/>
        <w:snapToGrid w:val="0"/>
        <w:spacing w:line="400" w:lineRule="exact"/>
        <w:ind w:firstLine="480" w:firstLineChars="20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pPr>
        <w:adjustRightInd w:val="0"/>
        <w:snapToGrid w:val="0"/>
        <w:spacing w:line="400" w:lineRule="exact"/>
        <w:ind w:firstLine="480" w:firstLineChars="200"/>
        <w:rPr>
          <w:rFonts w:ascii="宋体" w:hAnsi="宋体"/>
          <w:sz w:val="24"/>
        </w:rPr>
      </w:pPr>
      <w:r>
        <w:rPr>
          <w:rFonts w:ascii="宋体" w:hAnsi="宋体"/>
          <w:sz w:val="24"/>
        </w:rPr>
        <w:t>1.9.2 投标人踏勘现场发生的费用自理。</w:t>
      </w:r>
    </w:p>
    <w:p>
      <w:pPr>
        <w:adjustRightInd w:val="0"/>
        <w:snapToGrid w:val="0"/>
        <w:spacing w:line="400" w:lineRule="exact"/>
        <w:ind w:firstLine="480" w:firstLineChars="200"/>
        <w:rPr>
          <w:rFonts w:ascii="宋体" w:hAnsi="宋体"/>
          <w:sz w:val="24"/>
        </w:rPr>
      </w:pPr>
      <w:r>
        <w:rPr>
          <w:rFonts w:ascii="宋体" w:hAnsi="宋体"/>
          <w:sz w:val="24"/>
        </w:rPr>
        <w:t>1.9.3 除招标人的原因外，投标人自行负责在踏勘现场中所发生的人员伤亡和财产损失。</w:t>
      </w:r>
    </w:p>
    <w:p>
      <w:pPr>
        <w:adjustRightInd w:val="0"/>
        <w:snapToGrid w:val="0"/>
        <w:spacing w:line="400" w:lineRule="exact"/>
        <w:ind w:firstLine="480" w:firstLineChars="200"/>
        <w:rPr>
          <w:rFonts w:ascii="宋体" w:hAnsi="宋体"/>
          <w:sz w:val="24"/>
        </w:rPr>
      </w:pPr>
      <w:r>
        <w:rPr>
          <w:rFonts w:ascii="宋体" w:hAnsi="宋体"/>
          <w:sz w:val="24"/>
        </w:rPr>
        <w:t>1.9.4 招标人在踏勘现场中介绍的工程场地和相关的周边环境情况，供投标人在编制投标文件时参考，招标人不对投标人据此作出的判断和决策负责。</w:t>
      </w:r>
    </w:p>
    <w:p>
      <w:pPr>
        <w:adjustRightInd w:val="0"/>
        <w:snapToGrid w:val="0"/>
        <w:spacing w:line="400" w:lineRule="exact"/>
        <w:ind w:firstLine="480" w:firstLineChars="200"/>
        <w:rPr>
          <w:rFonts w:ascii="宋体" w:hAnsi="宋体"/>
          <w:sz w:val="24"/>
        </w:rPr>
      </w:pPr>
      <w:r>
        <w:rPr>
          <w:rFonts w:hint="eastAsia" w:ascii="宋体" w:hAnsi="宋体"/>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keepNext w:val="0"/>
        <w:keepLines w:val="0"/>
        <w:adjustRightInd w:val="0"/>
        <w:snapToGrid w:val="0"/>
        <w:spacing w:beforeLines="50" w:after="0" w:line="400" w:lineRule="exact"/>
        <w:rPr>
          <w:rFonts w:ascii="宋体" w:hAnsi="宋体"/>
          <w:sz w:val="24"/>
          <w:szCs w:val="24"/>
        </w:rPr>
      </w:pPr>
      <w:bookmarkStart w:id="44" w:name="_Toc234382600"/>
      <w:bookmarkStart w:id="45" w:name="_Toc485889012"/>
      <w:bookmarkStart w:id="46" w:name="_Toc486277873"/>
      <w:bookmarkStart w:id="47" w:name="_Toc3462"/>
      <w:r>
        <w:rPr>
          <w:rFonts w:ascii="宋体" w:hAnsi="宋体"/>
          <w:sz w:val="24"/>
          <w:szCs w:val="24"/>
        </w:rPr>
        <w:t>1.10 投标预备会</w:t>
      </w:r>
      <w:bookmarkEnd w:id="44"/>
      <w:r>
        <w:rPr>
          <w:rFonts w:hint="eastAsia" w:ascii="宋体" w:hAnsi="宋体"/>
          <w:sz w:val="24"/>
          <w:szCs w:val="24"/>
        </w:rPr>
        <w:t>（不召开）</w:t>
      </w:r>
      <w:bookmarkEnd w:id="45"/>
      <w:bookmarkEnd w:id="46"/>
      <w:bookmarkEnd w:id="47"/>
    </w:p>
    <w:p>
      <w:pPr>
        <w:spacing w:line="360" w:lineRule="auto"/>
        <w:ind w:firstLine="470" w:firstLineChars="196"/>
        <w:rPr>
          <w:rFonts w:asciiTheme="minorEastAsia" w:hAnsiTheme="minorEastAsia" w:eastAsiaTheme="minorEastAsia"/>
          <w:color w:val="000000"/>
          <w:sz w:val="24"/>
        </w:rPr>
      </w:pPr>
      <w:bookmarkStart w:id="48" w:name="_Toc486277874"/>
      <w:bookmarkStart w:id="49" w:name="_Toc485889013"/>
      <w:bookmarkStart w:id="50" w:name="_Toc234382601"/>
      <w:bookmarkStart w:id="51" w:name="_Toc22514"/>
      <w:r>
        <w:rPr>
          <w:rFonts w:hint="eastAsia" w:asciiTheme="minorEastAsia" w:hAnsiTheme="minorEastAsia" w:eastAsiaTheme="minorEastAsia"/>
          <w:color w:val="000000"/>
          <w:sz w:val="24"/>
        </w:rPr>
        <w:t xml:space="preserve">1.10.1 </w:t>
      </w:r>
      <w:r>
        <w:rPr>
          <w:rFonts w:hint="eastAsia" w:asciiTheme="minorEastAsia" w:hAnsiTheme="minorEastAsia" w:eastAsiaTheme="minorEastAsia"/>
          <w:spacing w:val="-11"/>
          <w:sz w:val="24"/>
        </w:rPr>
        <w:t>第一章“招标公告”或“投标邀请书”规定召开投标预备会的，招标人按规定的时间和地点召开投标预备会，澄清投标人提出的问题。</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1.10.2 投标人应在投标人须知前附表规定的时间前，将问题在公共资源交易系统电子平台上提出。</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1.10.3 招标人在投标人须知前附表规定的时间内，将对投标人所提问题的澄清，</w:t>
      </w:r>
      <w:r>
        <w:rPr>
          <w:rFonts w:hint="eastAsia" w:asciiTheme="minorEastAsia" w:hAnsiTheme="minorEastAsia" w:eastAsiaTheme="minorEastAsia"/>
          <w:spacing w:val="-6"/>
          <w:sz w:val="24"/>
        </w:rPr>
        <w:t xml:space="preserve">以本章第 </w:t>
      </w:r>
      <w:r>
        <w:rPr>
          <w:rFonts w:hint="eastAsia" w:asciiTheme="minorEastAsia" w:hAnsiTheme="minorEastAsia" w:eastAsiaTheme="minorEastAsia"/>
          <w:sz w:val="24"/>
        </w:rPr>
        <w:t>2.2 款规定的形式通知所有购买招标文件的投标人。该澄清内容为招标文件的组成部分</w:t>
      </w: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1.11 分包</w:t>
      </w:r>
      <w:bookmarkEnd w:id="48"/>
      <w:bookmarkEnd w:id="49"/>
      <w:bookmarkEnd w:id="50"/>
      <w:bookmarkEnd w:id="51"/>
    </w:p>
    <w:p>
      <w:pPr>
        <w:adjustRightInd w:val="0"/>
        <w:snapToGrid w:val="0"/>
        <w:spacing w:line="400" w:lineRule="exact"/>
        <w:ind w:firstLine="480" w:firstLineChars="200"/>
        <w:rPr>
          <w:rFonts w:ascii="宋体" w:hAnsi="宋体"/>
          <w:sz w:val="24"/>
        </w:rPr>
      </w:pPr>
      <w:r>
        <w:rPr>
          <w:rFonts w:hint="eastAsia" w:ascii="宋体" w:hAnsi="宋体"/>
          <w:sz w:val="24"/>
        </w:rPr>
        <w:t xml:space="preserve">本项目严禁转包和违规分包，且不得再次分包。投标人拟在中标后将中标项目的部分非主体、非关键性工作进行分包的，应符合以下规定： </w:t>
      </w:r>
    </w:p>
    <w:p>
      <w:pPr>
        <w:adjustRightInd w:val="0"/>
        <w:snapToGrid w:val="0"/>
        <w:spacing w:line="400" w:lineRule="exact"/>
        <w:ind w:firstLine="480" w:firstLineChars="200"/>
        <w:rPr>
          <w:rFonts w:ascii="宋体" w:hAnsi="宋体"/>
          <w:sz w:val="24"/>
        </w:rPr>
      </w:pPr>
      <w:r>
        <w:rPr>
          <w:rFonts w:hint="eastAsia" w:ascii="宋体" w:hAnsi="宋体"/>
          <w:sz w:val="24"/>
        </w:rPr>
        <w:t>分包内容要求：允许分包的工程范围仅限于非关键性工程或者适合专业化队伍施工的专业工程；</w:t>
      </w:r>
    </w:p>
    <w:p>
      <w:pPr>
        <w:adjustRightInd w:val="0"/>
        <w:snapToGrid w:val="0"/>
        <w:spacing w:line="400" w:lineRule="exact"/>
        <w:ind w:firstLine="480" w:firstLineChars="200"/>
        <w:rPr>
          <w:rFonts w:ascii="宋体" w:hAnsi="宋体"/>
          <w:sz w:val="24"/>
        </w:rPr>
      </w:pPr>
      <w:r>
        <w:rPr>
          <w:rFonts w:hint="eastAsia" w:ascii="宋体" w:hAnsi="宋体"/>
          <w:sz w:val="24"/>
        </w:rPr>
        <w:t>分包金额要求：专业工程分包的工程量累计不得超过总工程量的30%；</w:t>
      </w:r>
    </w:p>
    <w:p>
      <w:pPr>
        <w:adjustRightInd w:val="0"/>
        <w:snapToGrid w:val="0"/>
        <w:spacing w:line="400" w:lineRule="exact"/>
        <w:ind w:firstLine="480" w:firstLineChars="200"/>
        <w:rPr>
          <w:rFonts w:ascii="宋体" w:hAnsi="宋体"/>
          <w:sz w:val="24"/>
        </w:rPr>
      </w:pPr>
      <w:r>
        <w:rPr>
          <w:rFonts w:hint="eastAsia" w:ascii="宋体" w:hAnsi="宋体"/>
          <w:sz w:val="24"/>
        </w:rPr>
        <w:t>接受分包的第三人资质要求：分包人的资格能力应与其分包工程的标准和规模相适应，具备相应的专业承包资质或劳务分包资质；</w:t>
      </w:r>
    </w:p>
    <w:p>
      <w:pPr>
        <w:adjustRightInd w:val="0"/>
        <w:snapToGrid w:val="0"/>
        <w:spacing w:line="400" w:lineRule="exact"/>
        <w:ind w:firstLine="480" w:firstLineChars="200"/>
        <w:rPr>
          <w:rFonts w:ascii="宋体" w:hAnsi="宋体"/>
          <w:sz w:val="24"/>
        </w:rPr>
      </w:pPr>
      <w:r>
        <w:rPr>
          <w:rFonts w:hint="eastAsia" w:ascii="宋体" w:hAnsi="宋体"/>
          <w:sz w:val="24"/>
        </w:rPr>
        <w:t>其他要求；投标人如有分包计划，应按第八章“投标文件格式”的要求填写“拟分包项目调查表”，且投标人中标后的分包应满足合同条款第4.3款的相关要求。</w:t>
      </w:r>
    </w:p>
    <w:p>
      <w:pPr>
        <w:pStyle w:val="4"/>
        <w:keepNext w:val="0"/>
        <w:keepLines w:val="0"/>
        <w:adjustRightInd w:val="0"/>
        <w:snapToGrid w:val="0"/>
        <w:spacing w:beforeLines="50" w:after="0" w:line="400" w:lineRule="exact"/>
        <w:rPr>
          <w:rFonts w:ascii="宋体" w:hAnsi="宋体"/>
          <w:sz w:val="24"/>
          <w:szCs w:val="24"/>
          <w:vertAlign w:val="superscript"/>
        </w:rPr>
      </w:pPr>
      <w:bookmarkStart w:id="52" w:name="_Toc6184"/>
      <w:bookmarkStart w:id="53" w:name="_Toc486277875"/>
      <w:bookmarkStart w:id="54" w:name="_Toc485889014"/>
      <w:bookmarkStart w:id="55" w:name="_Toc234382602"/>
      <w:r>
        <w:rPr>
          <w:rFonts w:ascii="宋体" w:hAnsi="宋体"/>
          <w:sz w:val="24"/>
          <w:szCs w:val="24"/>
        </w:rPr>
        <w:t>1.12 偏离</w:t>
      </w:r>
      <w:bookmarkEnd w:id="52"/>
      <w:bookmarkEnd w:id="53"/>
      <w:bookmarkEnd w:id="54"/>
      <w:bookmarkEnd w:id="55"/>
    </w:p>
    <w:p>
      <w:pPr>
        <w:adjustRightInd w:val="0"/>
        <w:snapToGrid w:val="0"/>
        <w:spacing w:line="400" w:lineRule="exact"/>
        <w:ind w:firstLine="480" w:firstLineChars="200"/>
        <w:rPr>
          <w:rFonts w:ascii="宋体" w:hAnsi="宋体"/>
          <w:sz w:val="24"/>
        </w:rPr>
      </w:pPr>
      <w:r>
        <w:rPr>
          <w:rFonts w:ascii="宋体" w:hAnsi="宋体"/>
          <w:sz w:val="24"/>
        </w:rPr>
        <w:t>投标人须知前附表允许投标文件偏离招标文件某些要求的，偏离应当符合招标文件规定的偏离范围和幅度。</w:t>
      </w:r>
    </w:p>
    <w:p>
      <w:pPr>
        <w:adjustRightInd w:val="0"/>
        <w:snapToGrid w:val="0"/>
        <w:spacing w:line="400" w:lineRule="exact"/>
        <w:ind w:firstLine="480" w:firstLineChars="200"/>
        <w:rPr>
          <w:rFonts w:ascii="宋体" w:hAnsi="宋体"/>
          <w:sz w:val="24"/>
        </w:rPr>
      </w:pPr>
      <w:r>
        <w:rPr>
          <w:rFonts w:hint="eastAsia" w:ascii="宋体" w:hAnsi="宋体"/>
          <w:sz w:val="24"/>
        </w:rPr>
        <w:t>偏离即偏差，偏差分重大偏差和细微偏差。</w:t>
      </w:r>
    </w:p>
    <w:p>
      <w:pPr>
        <w:adjustRightInd w:val="0"/>
        <w:snapToGrid w:val="0"/>
        <w:spacing w:line="400" w:lineRule="exact"/>
        <w:ind w:firstLine="480" w:firstLineChars="200"/>
        <w:rPr>
          <w:rFonts w:ascii="宋体" w:hAnsi="宋体"/>
          <w:sz w:val="24"/>
        </w:rPr>
      </w:pPr>
      <w:r>
        <w:rPr>
          <w:rFonts w:hint="eastAsia" w:ascii="宋体" w:hAnsi="宋体"/>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adjustRightInd w:val="0"/>
        <w:snapToGrid w:val="0"/>
        <w:spacing w:line="400" w:lineRule="exact"/>
        <w:ind w:firstLine="480" w:firstLineChars="200"/>
        <w:rPr>
          <w:rFonts w:ascii="宋体" w:hAnsi="宋体"/>
          <w:sz w:val="24"/>
        </w:rPr>
      </w:pPr>
      <w:r>
        <w:rPr>
          <w:rFonts w:hint="eastAsia" w:ascii="宋体" w:hAnsi="宋体"/>
          <w:sz w:val="24"/>
        </w:rPr>
        <w:t>1.12.2 投标文件中的下列偏差为细微偏差：</w:t>
      </w:r>
    </w:p>
    <w:p>
      <w:pPr>
        <w:adjustRightInd w:val="0"/>
        <w:snapToGrid w:val="0"/>
        <w:spacing w:line="400" w:lineRule="exact"/>
        <w:ind w:firstLine="480" w:firstLineChars="200"/>
        <w:rPr>
          <w:rFonts w:ascii="宋体" w:hAnsi="宋体"/>
          <w:sz w:val="24"/>
        </w:rPr>
      </w:pPr>
      <w:r>
        <w:rPr>
          <w:rFonts w:hint="eastAsia" w:ascii="宋体" w:hAnsi="宋体"/>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adjustRightInd w:val="0"/>
        <w:snapToGrid w:val="0"/>
        <w:spacing w:line="400" w:lineRule="exact"/>
        <w:ind w:firstLine="480" w:firstLineChars="200"/>
        <w:rPr>
          <w:rFonts w:ascii="宋体" w:hAnsi="宋体"/>
          <w:sz w:val="24"/>
        </w:rPr>
      </w:pPr>
      <w:r>
        <w:rPr>
          <w:rFonts w:hint="eastAsia" w:ascii="宋体" w:hAnsi="宋体"/>
          <w:sz w:val="24"/>
        </w:rPr>
        <w:t>（2）施工组织设计（含关键工程技术方案）和项目管理机构不够完善。</w:t>
      </w:r>
    </w:p>
    <w:p>
      <w:pPr>
        <w:adjustRightInd w:val="0"/>
        <w:snapToGrid w:val="0"/>
        <w:spacing w:line="400" w:lineRule="exact"/>
        <w:ind w:firstLine="480" w:firstLineChars="200"/>
        <w:rPr>
          <w:rFonts w:ascii="宋体" w:hAnsi="宋体"/>
          <w:sz w:val="24"/>
        </w:rPr>
      </w:pPr>
      <w:r>
        <w:rPr>
          <w:rFonts w:hint="eastAsia" w:ascii="宋体" w:hAnsi="宋体"/>
          <w:sz w:val="24"/>
        </w:rPr>
        <w:t>1.12.3 评标委员会对投标文件中的细微偏差按如下规定处理：</w:t>
      </w:r>
    </w:p>
    <w:p>
      <w:pPr>
        <w:adjustRightInd w:val="0"/>
        <w:snapToGrid w:val="0"/>
        <w:spacing w:line="400" w:lineRule="exact"/>
        <w:ind w:firstLine="480" w:firstLineChars="200"/>
        <w:rPr>
          <w:rFonts w:ascii="宋体" w:hAnsi="宋体"/>
          <w:sz w:val="24"/>
        </w:rPr>
      </w:pPr>
      <w:r>
        <w:rPr>
          <w:rFonts w:hint="eastAsia" w:ascii="宋体" w:hAnsi="宋体"/>
          <w:sz w:val="24"/>
        </w:rPr>
        <w:t>（1）对于本章第1.12.2项（1）目所述的细微偏差，按照第三章“评标办法”第3.1.3项和第3.1.4项的规定予以修正并要求投标人进行澄清；</w:t>
      </w:r>
    </w:p>
    <w:p>
      <w:pPr>
        <w:adjustRightInd w:val="0"/>
        <w:snapToGrid w:val="0"/>
        <w:spacing w:line="400" w:lineRule="exact"/>
        <w:ind w:firstLine="480" w:firstLineChars="200"/>
        <w:rPr>
          <w:rFonts w:ascii="宋体" w:hAnsi="宋体"/>
          <w:sz w:val="24"/>
        </w:rPr>
      </w:pPr>
      <w:r>
        <w:rPr>
          <w:rFonts w:hint="eastAsia" w:ascii="宋体" w:hAnsi="宋体"/>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4"/>
        <w:keepNext w:val="0"/>
        <w:keepLines w:val="0"/>
        <w:adjustRightInd w:val="0"/>
        <w:snapToGrid w:val="0"/>
        <w:spacing w:beforeLines="50" w:after="0" w:line="400" w:lineRule="exact"/>
        <w:rPr>
          <w:rFonts w:ascii="宋体" w:hAnsi="宋体"/>
          <w:sz w:val="24"/>
          <w:szCs w:val="24"/>
        </w:rPr>
      </w:pPr>
      <w:bookmarkStart w:id="56" w:name="_Toc22855"/>
      <w:bookmarkStart w:id="57" w:name="_Toc486277876"/>
      <w:bookmarkStart w:id="58" w:name="_Toc234382603"/>
      <w:bookmarkStart w:id="59" w:name="_Toc485889015"/>
      <w:r>
        <w:rPr>
          <w:rFonts w:ascii="宋体" w:hAnsi="宋体"/>
          <w:sz w:val="24"/>
          <w:szCs w:val="24"/>
        </w:rPr>
        <w:t>2. 招标文件</w:t>
      </w:r>
      <w:bookmarkEnd w:id="56"/>
      <w:bookmarkEnd w:id="57"/>
      <w:bookmarkEnd w:id="58"/>
      <w:bookmarkEnd w:id="59"/>
    </w:p>
    <w:p>
      <w:pPr>
        <w:pStyle w:val="4"/>
        <w:keepNext w:val="0"/>
        <w:keepLines w:val="0"/>
        <w:adjustRightInd w:val="0"/>
        <w:snapToGrid w:val="0"/>
        <w:spacing w:beforeLines="50" w:after="0" w:line="400" w:lineRule="exact"/>
        <w:rPr>
          <w:rFonts w:ascii="宋体" w:hAnsi="宋体"/>
          <w:sz w:val="24"/>
          <w:szCs w:val="24"/>
        </w:rPr>
      </w:pPr>
      <w:bookmarkStart w:id="60" w:name="_Toc486277877"/>
      <w:bookmarkStart w:id="61" w:name="_Toc485889016"/>
      <w:bookmarkStart w:id="62" w:name="_Toc234382604"/>
      <w:bookmarkStart w:id="63" w:name="_Toc12310"/>
      <w:r>
        <w:rPr>
          <w:rFonts w:ascii="宋体" w:hAnsi="宋体"/>
          <w:sz w:val="24"/>
          <w:szCs w:val="24"/>
        </w:rPr>
        <w:t>2.1 招标文件的组成</w:t>
      </w:r>
      <w:bookmarkEnd w:id="60"/>
      <w:bookmarkEnd w:id="61"/>
      <w:bookmarkEnd w:id="62"/>
      <w:bookmarkEnd w:id="63"/>
    </w:p>
    <w:p>
      <w:pPr>
        <w:adjustRightInd w:val="0"/>
        <w:snapToGrid w:val="0"/>
        <w:spacing w:line="400" w:lineRule="exact"/>
        <w:ind w:firstLine="480" w:firstLineChars="200"/>
        <w:rPr>
          <w:rFonts w:ascii="宋体" w:hAnsi="宋体"/>
          <w:sz w:val="24"/>
        </w:rPr>
      </w:pPr>
      <w:r>
        <w:rPr>
          <w:rFonts w:ascii="宋体" w:hAnsi="宋体"/>
          <w:sz w:val="24"/>
        </w:rPr>
        <w:t>本招标文件包括：</w:t>
      </w:r>
    </w:p>
    <w:p>
      <w:pPr>
        <w:adjustRightInd w:val="0"/>
        <w:snapToGrid w:val="0"/>
        <w:spacing w:line="400" w:lineRule="exact"/>
        <w:ind w:firstLine="480" w:firstLineChars="200"/>
        <w:rPr>
          <w:rFonts w:ascii="宋体" w:hAnsi="宋体"/>
          <w:sz w:val="24"/>
        </w:rPr>
      </w:pPr>
      <w:r>
        <w:rPr>
          <w:rFonts w:ascii="宋体" w:hAnsi="宋体"/>
          <w:sz w:val="24"/>
        </w:rPr>
        <w:t>（1）招标公告；</w:t>
      </w:r>
    </w:p>
    <w:p>
      <w:pPr>
        <w:adjustRightInd w:val="0"/>
        <w:snapToGrid w:val="0"/>
        <w:spacing w:line="400" w:lineRule="exact"/>
        <w:ind w:firstLine="480" w:firstLineChars="200"/>
        <w:rPr>
          <w:rFonts w:ascii="宋体" w:hAnsi="宋体"/>
          <w:sz w:val="24"/>
        </w:rPr>
      </w:pPr>
      <w:r>
        <w:rPr>
          <w:rFonts w:ascii="宋体" w:hAnsi="宋体"/>
          <w:sz w:val="24"/>
        </w:rPr>
        <w:t>（2）投标人须知；</w:t>
      </w:r>
    </w:p>
    <w:p>
      <w:pPr>
        <w:adjustRightInd w:val="0"/>
        <w:snapToGrid w:val="0"/>
        <w:spacing w:line="400" w:lineRule="exact"/>
        <w:ind w:firstLine="480" w:firstLineChars="200"/>
        <w:rPr>
          <w:rFonts w:ascii="宋体" w:hAnsi="宋体"/>
          <w:sz w:val="24"/>
        </w:rPr>
      </w:pPr>
      <w:r>
        <w:rPr>
          <w:rFonts w:ascii="宋体" w:hAnsi="宋体"/>
          <w:sz w:val="24"/>
        </w:rPr>
        <w:t>（3）评标办法；</w:t>
      </w:r>
    </w:p>
    <w:p>
      <w:pPr>
        <w:adjustRightInd w:val="0"/>
        <w:snapToGrid w:val="0"/>
        <w:spacing w:line="400" w:lineRule="exact"/>
        <w:ind w:firstLine="480" w:firstLineChars="200"/>
        <w:rPr>
          <w:rFonts w:ascii="宋体" w:hAnsi="宋体"/>
          <w:sz w:val="24"/>
        </w:rPr>
      </w:pPr>
      <w:r>
        <w:rPr>
          <w:rFonts w:ascii="宋体" w:hAnsi="宋体"/>
          <w:sz w:val="24"/>
        </w:rPr>
        <w:t>（4）合同条款及格式；</w:t>
      </w:r>
    </w:p>
    <w:p>
      <w:pPr>
        <w:adjustRightInd w:val="0"/>
        <w:snapToGrid w:val="0"/>
        <w:spacing w:line="400" w:lineRule="exact"/>
        <w:ind w:firstLine="480" w:firstLineChars="200"/>
        <w:rPr>
          <w:rFonts w:ascii="宋体" w:hAnsi="宋体"/>
          <w:sz w:val="24"/>
        </w:rPr>
      </w:pPr>
      <w:r>
        <w:rPr>
          <w:rFonts w:ascii="宋体" w:hAnsi="宋体"/>
          <w:sz w:val="24"/>
        </w:rPr>
        <w:t>（5）工程量清单；</w:t>
      </w:r>
    </w:p>
    <w:p>
      <w:pPr>
        <w:adjustRightInd w:val="0"/>
        <w:snapToGrid w:val="0"/>
        <w:spacing w:line="400" w:lineRule="exact"/>
        <w:ind w:firstLine="480" w:firstLineChars="200"/>
        <w:rPr>
          <w:rFonts w:ascii="宋体" w:hAnsi="宋体"/>
          <w:sz w:val="24"/>
        </w:rPr>
      </w:pPr>
      <w:r>
        <w:rPr>
          <w:rFonts w:ascii="宋体" w:hAnsi="宋体"/>
          <w:sz w:val="24"/>
        </w:rPr>
        <w:t>（6）图纸；</w:t>
      </w:r>
    </w:p>
    <w:p>
      <w:pPr>
        <w:adjustRightInd w:val="0"/>
        <w:snapToGrid w:val="0"/>
        <w:spacing w:line="400" w:lineRule="exact"/>
        <w:ind w:firstLine="480" w:firstLineChars="200"/>
        <w:rPr>
          <w:rFonts w:ascii="宋体" w:hAnsi="宋体"/>
          <w:sz w:val="24"/>
        </w:rPr>
      </w:pPr>
      <w:r>
        <w:rPr>
          <w:rFonts w:ascii="宋体" w:hAnsi="宋体"/>
          <w:sz w:val="24"/>
        </w:rPr>
        <w:t>（7）技术</w:t>
      </w:r>
      <w:r>
        <w:rPr>
          <w:rFonts w:hint="eastAsia" w:ascii="宋体" w:hAnsi="宋体"/>
          <w:sz w:val="24"/>
        </w:rPr>
        <w:t>规范(另册)</w:t>
      </w:r>
      <w:r>
        <w:rPr>
          <w:rFonts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（8）投标文件格式；</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9</w:t>
      </w:r>
      <w:r>
        <w:rPr>
          <w:rFonts w:ascii="宋体" w:hAnsi="宋体"/>
          <w:sz w:val="24"/>
        </w:rPr>
        <w:t>）</w:t>
      </w:r>
      <w:r>
        <w:rPr>
          <w:rFonts w:hint="eastAsia" w:ascii="宋体" w:hAnsi="宋体"/>
          <w:sz w:val="24"/>
        </w:rPr>
        <w:t>投标人须知前附表规定的其他材料。</w:t>
      </w:r>
    </w:p>
    <w:p>
      <w:pPr>
        <w:adjustRightInd w:val="0"/>
        <w:snapToGrid w:val="0"/>
        <w:spacing w:line="400" w:lineRule="exact"/>
        <w:ind w:firstLine="480" w:firstLineChars="200"/>
        <w:rPr>
          <w:rFonts w:ascii="宋体" w:hAnsi="宋体"/>
          <w:sz w:val="24"/>
        </w:rPr>
      </w:pPr>
      <w:r>
        <w:rPr>
          <w:rFonts w:ascii="宋体" w:hAnsi="宋体"/>
          <w:sz w:val="24"/>
        </w:rPr>
        <w:t>根据本章第1.10款、第2.2款和第2.3款对招标文件所作的澄清、修改，构成招标文件的组成部分。</w:t>
      </w:r>
    </w:p>
    <w:p>
      <w:pPr>
        <w:adjustRightInd w:val="0"/>
        <w:snapToGrid w:val="0"/>
        <w:spacing w:line="400" w:lineRule="exact"/>
        <w:ind w:firstLine="480" w:firstLineChars="200"/>
        <w:rPr>
          <w:rFonts w:ascii="宋体" w:hAnsi="宋体"/>
          <w:sz w:val="24"/>
        </w:rPr>
      </w:pPr>
      <w:r>
        <w:rPr>
          <w:rFonts w:hint="eastAsia" w:ascii="宋体" w:hAnsi="宋体"/>
          <w:sz w:val="24"/>
        </w:rPr>
        <w:t>当招标文件、招标文件的澄清或修改等在同一内容的表述上不一致时，以最后发出的书面文件为准。</w:t>
      </w:r>
    </w:p>
    <w:p>
      <w:pPr>
        <w:pStyle w:val="4"/>
        <w:keepNext w:val="0"/>
        <w:keepLines w:val="0"/>
        <w:adjustRightInd w:val="0"/>
        <w:snapToGrid w:val="0"/>
        <w:spacing w:beforeLines="50" w:after="0" w:line="400" w:lineRule="exact"/>
        <w:rPr>
          <w:rFonts w:ascii="宋体" w:hAnsi="宋体"/>
          <w:sz w:val="24"/>
          <w:szCs w:val="24"/>
        </w:rPr>
      </w:pPr>
      <w:bookmarkStart w:id="64" w:name="_Toc486277878"/>
      <w:bookmarkStart w:id="65" w:name="_Toc16084"/>
      <w:bookmarkStart w:id="66" w:name="_Toc485889017"/>
      <w:bookmarkStart w:id="67" w:name="_Toc234382605"/>
      <w:r>
        <w:rPr>
          <w:rFonts w:ascii="宋体" w:hAnsi="宋体"/>
          <w:sz w:val="24"/>
          <w:szCs w:val="24"/>
        </w:rPr>
        <w:t>2.2 招标文件的澄清</w:t>
      </w:r>
      <w:bookmarkEnd w:id="64"/>
      <w:bookmarkEnd w:id="65"/>
      <w:bookmarkEnd w:id="66"/>
      <w:bookmarkEnd w:id="67"/>
    </w:p>
    <w:p>
      <w:pPr>
        <w:adjustRightInd w:val="0"/>
        <w:snapToGrid w:val="0"/>
        <w:spacing w:line="400" w:lineRule="exact"/>
        <w:ind w:firstLine="480" w:firstLineChars="200"/>
        <w:rPr>
          <w:rFonts w:ascii="宋体" w:hAnsi="宋体" w:cs="宋体"/>
          <w:kern w:val="0"/>
          <w:sz w:val="24"/>
        </w:rPr>
      </w:pPr>
      <w:bookmarkStart w:id="68" w:name="_Toc234382606"/>
      <w:r>
        <w:rPr>
          <w:rFonts w:hint="eastAsia" w:ascii="宋体" w:hAnsi="宋体" w:cs="宋体"/>
          <w:kern w:val="0"/>
          <w:sz w:val="24"/>
        </w:rPr>
        <w:t>2.2.1投标人应仔细阅读和检查招标文件的全部内容。如发现缺页或附件不全，</w:t>
      </w:r>
      <w:r>
        <w:rPr>
          <w:rFonts w:hint="eastAsia" w:ascii="宋体" w:hAnsi="宋体"/>
          <w:sz w:val="24"/>
        </w:rPr>
        <w:t>通过公共资源交易系统电子平台发出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adjustRightInd w:val="0"/>
        <w:snapToGrid w:val="0"/>
        <w:spacing w:line="400" w:lineRule="exact"/>
        <w:ind w:firstLine="480" w:firstLineChars="200"/>
        <w:rPr>
          <w:rFonts w:ascii="宋体" w:hAnsi="宋体"/>
          <w:sz w:val="24"/>
        </w:rPr>
      </w:pPr>
      <w:r>
        <w:rPr>
          <w:rFonts w:ascii="宋体" w:hAnsi="宋体"/>
          <w:sz w:val="24"/>
        </w:rPr>
        <w:t xml:space="preserve">2.2.2 </w:t>
      </w:r>
      <w:r>
        <w:rPr>
          <w:rFonts w:hint="eastAsia" w:ascii="宋体" w:hAnsi="宋体"/>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400" w:lineRule="exact"/>
        <w:ind w:firstLine="480" w:firstLineChars="200"/>
        <w:rPr>
          <w:rFonts w:ascii="宋体" w:hAnsi="宋体"/>
          <w:sz w:val="24"/>
        </w:rPr>
      </w:pPr>
      <w:r>
        <w:rPr>
          <w:rFonts w:ascii="宋体" w:hAnsi="宋体"/>
          <w:sz w:val="24"/>
        </w:rPr>
        <w:t xml:space="preserve">2.2.3 </w:t>
      </w:r>
      <w:r>
        <w:rPr>
          <w:rFonts w:hint="eastAsia" w:ascii="宋体" w:hAnsi="宋体"/>
          <w:sz w:val="24"/>
        </w:rPr>
        <w:t>所有澄清、答疑全部以公共资源交易系统电子平台发出的为准，不再接受书面形式的递交。</w:t>
      </w:r>
    </w:p>
    <w:p>
      <w:pPr>
        <w:pStyle w:val="4"/>
        <w:keepNext w:val="0"/>
        <w:keepLines w:val="0"/>
        <w:adjustRightInd w:val="0"/>
        <w:snapToGrid w:val="0"/>
        <w:spacing w:beforeLines="50" w:after="0" w:line="400" w:lineRule="exact"/>
        <w:rPr>
          <w:rFonts w:ascii="宋体" w:hAnsi="宋体"/>
          <w:sz w:val="24"/>
          <w:szCs w:val="24"/>
        </w:rPr>
      </w:pPr>
      <w:bookmarkStart w:id="69" w:name="_Toc485889018"/>
      <w:bookmarkStart w:id="70" w:name="_Toc486277879"/>
      <w:bookmarkStart w:id="71" w:name="_Toc29706"/>
      <w:r>
        <w:rPr>
          <w:rFonts w:ascii="宋体" w:hAnsi="宋体"/>
          <w:sz w:val="24"/>
          <w:szCs w:val="24"/>
        </w:rPr>
        <w:t>2.3 招标文件的修改</w:t>
      </w:r>
      <w:bookmarkEnd w:id="68"/>
      <w:bookmarkEnd w:id="69"/>
      <w:bookmarkEnd w:id="70"/>
      <w:bookmarkEnd w:id="71"/>
    </w:p>
    <w:p>
      <w:pPr>
        <w:adjustRightInd w:val="0"/>
        <w:snapToGrid w:val="0"/>
        <w:spacing w:line="400" w:lineRule="exact"/>
        <w:ind w:firstLine="480" w:firstLineChars="200"/>
        <w:rPr>
          <w:rFonts w:ascii="宋体" w:hAnsi="宋体"/>
          <w:sz w:val="24"/>
        </w:rPr>
      </w:pPr>
      <w:bookmarkStart w:id="72" w:name="_Toc234382607"/>
      <w:r>
        <w:rPr>
          <w:rFonts w:ascii="宋体" w:hAnsi="宋体"/>
          <w:sz w:val="24"/>
        </w:rPr>
        <w:t xml:space="preserve">2.3.1 </w:t>
      </w:r>
      <w:r>
        <w:rPr>
          <w:rFonts w:hint="eastAsia" w:ascii="宋体" w:hAnsi="宋体"/>
          <w:sz w:val="24"/>
        </w:rPr>
        <w:t>在投标截止时间</w:t>
      </w:r>
      <w:r>
        <w:rPr>
          <w:rFonts w:ascii="宋体" w:hAnsi="宋体"/>
          <w:sz w:val="24"/>
        </w:rPr>
        <w:t>15</w:t>
      </w:r>
      <w:r>
        <w:rPr>
          <w:rFonts w:hint="eastAsia" w:ascii="宋体" w:hAnsi="宋体"/>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hint="eastAsia" w:ascii="宋体" w:hAnsi="宋体"/>
          <w:sz w:val="24"/>
        </w:rPr>
        <w:t>天，相应延长投标截止时间。</w:t>
      </w:r>
      <w:bookmarkStart w:id="73" w:name="_Toc485889019"/>
      <w:bookmarkStart w:id="74" w:name="_Toc486277880"/>
    </w:p>
    <w:p>
      <w:pPr>
        <w:adjustRightInd w:val="0"/>
        <w:snapToGrid w:val="0"/>
        <w:spacing w:line="400" w:lineRule="exact"/>
        <w:ind w:firstLine="480" w:firstLineChars="200"/>
        <w:rPr>
          <w:rFonts w:ascii="宋体" w:hAnsi="宋体"/>
          <w:sz w:val="24"/>
        </w:rPr>
      </w:pPr>
      <w:r>
        <w:rPr>
          <w:rFonts w:hint="eastAsia" w:ascii="宋体" w:hAnsi="宋体"/>
          <w:sz w:val="24"/>
        </w:rPr>
        <w:t>2.3.2 当招标文件（含评标、定标办法）、补充通知、答疑纪要，内容相互矛盾时，以最后发出的通知（或纪要）为准。</w:t>
      </w:r>
      <w:bookmarkEnd w:id="73"/>
      <w:bookmarkEnd w:id="74"/>
    </w:p>
    <w:p>
      <w:pPr>
        <w:pStyle w:val="4"/>
        <w:keepNext w:val="0"/>
        <w:keepLines w:val="0"/>
        <w:adjustRightInd w:val="0"/>
        <w:snapToGrid w:val="0"/>
        <w:spacing w:beforeLines="50" w:after="0" w:line="400" w:lineRule="exact"/>
        <w:rPr>
          <w:rFonts w:ascii="宋体" w:hAnsi="宋体"/>
          <w:sz w:val="24"/>
          <w:szCs w:val="24"/>
        </w:rPr>
      </w:pPr>
      <w:bookmarkStart w:id="75" w:name="_Toc486277881"/>
      <w:bookmarkStart w:id="76" w:name="_Toc8003"/>
      <w:bookmarkStart w:id="77" w:name="_Toc485889020"/>
      <w:r>
        <w:rPr>
          <w:rFonts w:ascii="宋体" w:hAnsi="宋体"/>
          <w:sz w:val="24"/>
          <w:szCs w:val="24"/>
        </w:rPr>
        <w:t>3. 投标文件</w:t>
      </w:r>
      <w:bookmarkEnd w:id="72"/>
      <w:bookmarkEnd w:id="75"/>
      <w:bookmarkEnd w:id="76"/>
      <w:bookmarkEnd w:id="77"/>
    </w:p>
    <w:p>
      <w:pPr>
        <w:pStyle w:val="4"/>
        <w:keepNext w:val="0"/>
        <w:keepLines w:val="0"/>
        <w:adjustRightInd w:val="0"/>
        <w:snapToGrid w:val="0"/>
        <w:spacing w:beforeLines="50" w:after="0" w:line="400" w:lineRule="exact"/>
        <w:rPr>
          <w:rFonts w:ascii="宋体" w:hAnsi="宋体"/>
          <w:sz w:val="24"/>
          <w:szCs w:val="24"/>
        </w:rPr>
      </w:pPr>
      <w:bookmarkStart w:id="78" w:name="_Toc485889021"/>
      <w:bookmarkStart w:id="79" w:name="_Toc486277882"/>
      <w:bookmarkStart w:id="80" w:name="_Toc234382608"/>
      <w:bookmarkStart w:id="81" w:name="_Toc12156"/>
      <w:r>
        <w:rPr>
          <w:rFonts w:ascii="宋体" w:hAnsi="宋体"/>
          <w:sz w:val="24"/>
          <w:szCs w:val="24"/>
        </w:rPr>
        <w:t>3.1 投标文件的组成</w:t>
      </w:r>
      <w:bookmarkEnd w:id="78"/>
      <w:bookmarkEnd w:id="79"/>
      <w:bookmarkEnd w:id="80"/>
      <w:bookmarkEnd w:id="81"/>
    </w:p>
    <w:p>
      <w:pPr>
        <w:adjustRightInd w:val="0"/>
        <w:snapToGrid w:val="0"/>
        <w:spacing w:line="400" w:lineRule="exact"/>
        <w:ind w:firstLine="480" w:firstLineChars="200"/>
        <w:rPr>
          <w:rFonts w:ascii="宋体" w:hAnsi="宋体"/>
          <w:sz w:val="24"/>
        </w:rPr>
      </w:pPr>
      <w:r>
        <w:rPr>
          <w:rFonts w:ascii="宋体" w:hAnsi="宋体"/>
          <w:sz w:val="24"/>
        </w:rPr>
        <w:t>3.1.1 投标文件应包括下列内容：</w:t>
      </w:r>
    </w:p>
    <w:p>
      <w:pPr>
        <w:adjustRightInd w:val="0"/>
        <w:snapToGrid w:val="0"/>
        <w:spacing w:line="400" w:lineRule="exact"/>
        <w:ind w:firstLine="480" w:firstLineChars="200"/>
        <w:rPr>
          <w:rFonts w:ascii="宋体" w:hAnsi="宋体"/>
          <w:sz w:val="24"/>
        </w:rPr>
      </w:pPr>
      <w:r>
        <w:rPr>
          <w:rFonts w:hint="eastAsia" w:ascii="宋体" w:hAnsi="宋体"/>
          <w:sz w:val="24"/>
        </w:rPr>
        <w:t>第一个信封（商务及技术文件）：</w:t>
      </w:r>
    </w:p>
    <w:p>
      <w:pPr>
        <w:adjustRightInd w:val="0"/>
        <w:snapToGrid w:val="0"/>
        <w:spacing w:line="400" w:lineRule="exact"/>
        <w:ind w:firstLine="480" w:firstLineChars="200"/>
        <w:rPr>
          <w:rFonts w:ascii="宋体" w:hAnsi="宋体"/>
          <w:sz w:val="24"/>
        </w:rPr>
      </w:pPr>
      <w:r>
        <w:rPr>
          <w:rFonts w:ascii="宋体" w:hAnsi="宋体"/>
          <w:sz w:val="24"/>
        </w:rPr>
        <w:t>（1）投标函及投标函附录；</w:t>
      </w:r>
    </w:p>
    <w:p>
      <w:pPr>
        <w:adjustRightInd w:val="0"/>
        <w:snapToGrid w:val="0"/>
        <w:spacing w:line="400" w:lineRule="exact"/>
        <w:ind w:firstLine="480" w:firstLineChars="200"/>
        <w:rPr>
          <w:rFonts w:ascii="宋体" w:hAnsi="宋体"/>
          <w:sz w:val="24"/>
        </w:rPr>
      </w:pPr>
      <w:r>
        <w:rPr>
          <w:rFonts w:ascii="宋体" w:hAnsi="宋体"/>
          <w:sz w:val="24"/>
        </w:rPr>
        <w:t>（2）法定代表人身份证明</w:t>
      </w:r>
      <w:r>
        <w:rPr>
          <w:rFonts w:hint="eastAsia" w:ascii="宋体" w:hAnsi="宋体"/>
          <w:sz w:val="24"/>
        </w:rPr>
        <w:t>及</w:t>
      </w:r>
      <w:r>
        <w:rPr>
          <w:rFonts w:ascii="宋体" w:hAnsi="宋体"/>
          <w:sz w:val="24"/>
        </w:rPr>
        <w:t>授权委托书</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）投标保证金；</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）施工组织设计；</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）项目管理机构；</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6</w:t>
      </w:r>
      <w:r>
        <w:rPr>
          <w:rFonts w:ascii="宋体" w:hAnsi="宋体"/>
          <w:sz w:val="24"/>
        </w:rPr>
        <w:t>）资格审查资料；</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主要进场管理人员和技术人员最低要求；</w:t>
      </w:r>
    </w:p>
    <w:p>
      <w:pPr>
        <w:adjustRightInd w:val="0"/>
        <w:snapToGrid w:val="0"/>
        <w:spacing w:line="400" w:lineRule="exact"/>
        <w:ind w:firstLine="480" w:firstLineChars="200"/>
        <w:rPr>
          <w:rFonts w:ascii="宋体" w:hAnsi="宋体"/>
          <w:sz w:val="24"/>
        </w:rPr>
      </w:pPr>
      <w:r>
        <w:rPr>
          <w:rFonts w:hint="eastAsia" w:ascii="宋体" w:hAnsi="宋体"/>
          <w:sz w:val="24"/>
        </w:rPr>
        <w:t>（8）农民工工资支付承诺书；</w:t>
      </w:r>
    </w:p>
    <w:p>
      <w:pPr>
        <w:adjustRightInd w:val="0"/>
        <w:snapToGrid w:val="0"/>
        <w:spacing w:line="400" w:lineRule="exact"/>
        <w:ind w:firstLine="480" w:firstLineChars="200"/>
        <w:rPr>
          <w:rFonts w:ascii="宋体" w:hAnsi="宋体"/>
          <w:sz w:val="24"/>
        </w:rPr>
      </w:pPr>
      <w:r>
        <w:rPr>
          <w:rFonts w:hint="eastAsia" w:ascii="宋体" w:hAnsi="宋体"/>
          <w:sz w:val="24"/>
        </w:rPr>
        <w:t>（9）扬尘治理专项承诺书；</w:t>
      </w:r>
    </w:p>
    <w:p>
      <w:pPr>
        <w:adjustRightInd w:val="0"/>
        <w:snapToGrid w:val="0"/>
        <w:spacing w:line="400" w:lineRule="exact"/>
        <w:ind w:firstLine="480" w:firstLineChars="200"/>
        <w:rPr>
          <w:rFonts w:ascii="宋体" w:hAnsi="宋体"/>
          <w:sz w:val="24"/>
        </w:rPr>
      </w:pPr>
      <w:r>
        <w:rPr>
          <w:rFonts w:hint="eastAsia" w:ascii="宋体" w:hAnsi="宋体"/>
          <w:sz w:val="24"/>
        </w:rPr>
        <w:t>（10）其他材料。</w:t>
      </w:r>
    </w:p>
    <w:p>
      <w:pPr>
        <w:adjustRightInd w:val="0"/>
        <w:snapToGrid w:val="0"/>
        <w:spacing w:line="400" w:lineRule="exact"/>
        <w:ind w:firstLine="480" w:firstLineChars="200"/>
        <w:rPr>
          <w:rFonts w:ascii="宋体" w:hAnsi="宋体"/>
          <w:sz w:val="24"/>
        </w:rPr>
      </w:pPr>
      <w:r>
        <w:rPr>
          <w:rFonts w:hint="eastAsia" w:ascii="宋体" w:hAnsi="宋体"/>
          <w:sz w:val="24"/>
        </w:rPr>
        <w:t>第二个信封（投标报价和工程量清单）</w:t>
      </w:r>
    </w:p>
    <w:p>
      <w:pPr>
        <w:adjustRightInd w:val="0"/>
        <w:snapToGrid w:val="0"/>
        <w:spacing w:line="400" w:lineRule="exact"/>
        <w:ind w:firstLine="480" w:firstLineChars="200"/>
        <w:rPr>
          <w:rFonts w:ascii="宋体" w:hAnsi="宋体"/>
          <w:sz w:val="24"/>
        </w:rPr>
      </w:pPr>
      <w:r>
        <w:rPr>
          <w:rFonts w:hint="eastAsia" w:ascii="宋体" w:hAnsi="宋体"/>
          <w:sz w:val="24"/>
        </w:rPr>
        <w:t>（1）投标函；</w:t>
      </w:r>
    </w:p>
    <w:p>
      <w:pPr>
        <w:adjustRightInd w:val="0"/>
        <w:snapToGrid w:val="0"/>
        <w:spacing w:line="400" w:lineRule="exact"/>
        <w:ind w:firstLine="480" w:firstLineChars="200"/>
        <w:rPr>
          <w:rFonts w:ascii="宋体" w:hAnsi="宋体"/>
          <w:sz w:val="24"/>
        </w:rPr>
      </w:pPr>
      <w:r>
        <w:rPr>
          <w:rFonts w:hint="eastAsia" w:ascii="宋体" w:hAnsi="宋体"/>
          <w:sz w:val="24"/>
        </w:rPr>
        <w:t>（2）已标价工程量清单；</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拟分包项目情况表；</w:t>
      </w:r>
    </w:p>
    <w:p>
      <w:pPr>
        <w:adjustRightInd w:val="0"/>
        <w:snapToGrid w:val="0"/>
        <w:spacing w:line="400" w:lineRule="exact"/>
        <w:ind w:firstLine="480" w:firstLineChars="200"/>
        <w:rPr>
          <w:rFonts w:ascii="宋体" w:hAnsi="宋体"/>
          <w:sz w:val="24"/>
        </w:rPr>
      </w:pPr>
      <w:r>
        <w:rPr>
          <w:rFonts w:hint="eastAsia" w:ascii="宋体" w:hAnsi="宋体"/>
          <w:sz w:val="24"/>
        </w:rPr>
        <w:t>（4）合同用款估算表。</w:t>
      </w:r>
    </w:p>
    <w:p>
      <w:pPr>
        <w:ind w:left="120" w:leftChars="57" w:firstLine="360" w:firstLineChars="150"/>
        <w:rPr>
          <w:rFonts w:cs="仿宋" w:asciiTheme="minorEastAsia" w:hAnsiTheme="minorEastAsia" w:eastAsiaTheme="minorEastAsia"/>
        </w:rPr>
      </w:pPr>
      <w:r>
        <w:rPr>
          <w:rFonts w:hint="eastAsia" w:cs="仿宋" w:asciiTheme="minorEastAsia" w:hAnsiTheme="minorEastAsia" w:eastAsiaTheme="minorEastAsia"/>
          <w:sz w:val="24"/>
        </w:rPr>
        <w:t>3.1.2投标人在评标过程中作出的符合法律法规和招标文件规定的澄清确认，构成投标文件的组成部分。</w:t>
      </w:r>
    </w:p>
    <w:p>
      <w:pPr>
        <w:pStyle w:val="4"/>
        <w:keepNext w:val="0"/>
        <w:keepLines w:val="0"/>
        <w:adjustRightInd w:val="0"/>
        <w:snapToGrid w:val="0"/>
        <w:spacing w:beforeLines="50" w:after="0" w:line="400" w:lineRule="exact"/>
        <w:rPr>
          <w:rFonts w:ascii="宋体" w:hAnsi="宋体"/>
          <w:sz w:val="24"/>
          <w:szCs w:val="24"/>
        </w:rPr>
      </w:pPr>
      <w:bookmarkStart w:id="82" w:name="_Toc234382609"/>
      <w:bookmarkStart w:id="83" w:name="_Toc485889022"/>
      <w:bookmarkStart w:id="84" w:name="_Toc486277883"/>
      <w:bookmarkStart w:id="85" w:name="_Toc12761"/>
      <w:r>
        <w:rPr>
          <w:rFonts w:ascii="宋体" w:hAnsi="宋体"/>
          <w:sz w:val="24"/>
          <w:szCs w:val="24"/>
        </w:rPr>
        <w:t>3.2 投标报价</w:t>
      </w:r>
      <w:bookmarkEnd w:id="82"/>
      <w:bookmarkEnd w:id="83"/>
      <w:bookmarkEnd w:id="84"/>
      <w:bookmarkEnd w:id="85"/>
    </w:p>
    <w:p>
      <w:pPr>
        <w:adjustRightInd w:val="0"/>
        <w:snapToGrid w:val="0"/>
        <w:spacing w:line="400" w:lineRule="exact"/>
        <w:ind w:firstLine="480" w:firstLineChars="200"/>
        <w:rPr>
          <w:rFonts w:ascii="宋体" w:hAnsi="宋体"/>
          <w:sz w:val="24"/>
        </w:rPr>
      </w:pPr>
      <w:r>
        <w:rPr>
          <w:rFonts w:ascii="宋体" w:hAnsi="宋体"/>
          <w:sz w:val="24"/>
        </w:rPr>
        <w:t>3.2.1</w:t>
      </w:r>
      <w:r>
        <w:rPr>
          <w:rFonts w:hint="eastAsia" w:cs="仿宋" w:asciiTheme="minorEastAsia" w:hAnsiTheme="minorEastAsia" w:eastAsiaTheme="minorEastAsia"/>
          <w:sz w:val="24"/>
        </w:rPr>
        <w:t>投标报价应包括国家规定的增值税税金，除投标人须知前附表另有规定外，增值税税金按一般计税方法计算。</w:t>
      </w:r>
      <w:r>
        <w:rPr>
          <w:rFonts w:ascii="宋体" w:hAnsi="宋体"/>
          <w:sz w:val="24"/>
        </w:rPr>
        <w:t>投标人应按第五章“工程量清单”的要求填写相应表格。</w:t>
      </w:r>
    </w:p>
    <w:p>
      <w:pPr>
        <w:adjustRightInd w:val="0"/>
        <w:snapToGrid w:val="0"/>
        <w:spacing w:line="400" w:lineRule="exact"/>
        <w:ind w:firstLine="480" w:firstLineChars="200"/>
        <w:rPr>
          <w:rFonts w:ascii="宋体" w:hAnsi="宋体"/>
          <w:sz w:val="24"/>
        </w:rPr>
      </w:pPr>
      <w:r>
        <w:rPr>
          <w:rFonts w:hint="eastAsia" w:ascii="宋体" w:hAnsi="宋体"/>
          <w:sz w:val="24"/>
        </w:rPr>
        <w:t>投标人应按投标人须知前附表规定的方式填写工程量清单。</w:t>
      </w:r>
    </w:p>
    <w:p>
      <w:pPr>
        <w:adjustRightInd w:val="0"/>
        <w:snapToGrid w:val="0"/>
        <w:spacing w:line="400" w:lineRule="exact"/>
        <w:ind w:firstLine="480" w:firstLineChars="200"/>
        <w:rPr>
          <w:rFonts w:ascii="宋体" w:hAnsi="宋体"/>
          <w:sz w:val="24"/>
        </w:rPr>
      </w:pPr>
      <w:r>
        <w:rPr>
          <w:rFonts w:hint="eastAsia" w:ascii="宋体" w:hAnsi="宋体"/>
          <w:sz w:val="24"/>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adjustRightInd w:val="0"/>
        <w:snapToGrid w:val="0"/>
        <w:spacing w:line="400" w:lineRule="exact"/>
        <w:ind w:firstLine="480" w:firstLineChars="20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pPr>
        <w:adjustRightInd w:val="0"/>
        <w:snapToGrid w:val="0"/>
        <w:spacing w:line="400" w:lineRule="exact"/>
        <w:ind w:firstLine="480" w:firstLineChars="200"/>
        <w:rPr>
          <w:rFonts w:ascii="宋体" w:hAnsi="宋体"/>
          <w:sz w:val="24"/>
        </w:rPr>
      </w:pPr>
      <w:r>
        <w:rPr>
          <w:rFonts w:hint="eastAsia" w:ascii="宋体" w:hAnsi="宋体"/>
          <w:sz w:val="24"/>
        </w:rPr>
        <w:t>3.2.3 投标人如果发现工程量清单中的数量与图纸中数量不一致时，应立即通知招标人核查，除非招标人以书面方式予以更正，否则，应以工程量清单中列出的数量为准。</w:t>
      </w:r>
    </w:p>
    <w:p>
      <w:pPr>
        <w:adjustRightInd w:val="0"/>
        <w:snapToGrid w:val="0"/>
        <w:spacing w:line="400" w:lineRule="exact"/>
        <w:ind w:firstLine="480" w:firstLineChars="200"/>
        <w:rPr>
          <w:rFonts w:ascii="宋体" w:hAnsi="宋体"/>
          <w:sz w:val="24"/>
        </w:rPr>
      </w:pPr>
      <w:r>
        <w:rPr>
          <w:rFonts w:hint="eastAsia" w:ascii="宋体" w:hAnsi="宋体"/>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adjustRightInd w:val="0"/>
        <w:snapToGrid w:val="0"/>
        <w:spacing w:line="400" w:lineRule="exact"/>
        <w:ind w:firstLine="480" w:firstLineChars="200"/>
        <w:rPr>
          <w:rFonts w:ascii="宋体" w:hAnsi="宋体"/>
          <w:sz w:val="24"/>
        </w:rPr>
      </w:pPr>
      <w:r>
        <w:rPr>
          <w:rFonts w:hint="eastAsia" w:ascii="宋体" w:hAnsi="宋体"/>
          <w:sz w:val="24"/>
        </w:rPr>
        <w:t>3.2.5 除投标人须知前附表另有规定外，招标人不接受调价函。若招标人接受调价函，则应在招标文件中给出调价函的格式。投标人若有调价函则应遵循如下规定：</w:t>
      </w:r>
    </w:p>
    <w:p>
      <w:pPr>
        <w:adjustRightInd w:val="0"/>
        <w:snapToGrid w:val="0"/>
        <w:spacing w:line="400" w:lineRule="exact"/>
        <w:ind w:firstLine="480" w:firstLineChars="200"/>
        <w:rPr>
          <w:rFonts w:ascii="宋体" w:hAnsi="宋体"/>
          <w:sz w:val="24"/>
        </w:rPr>
      </w:pPr>
      <w:r>
        <w:rPr>
          <w:rFonts w:hint="eastAsia" w:ascii="宋体" w:hAnsi="宋体"/>
          <w:sz w:val="24"/>
        </w:rPr>
        <w:t>（1）调价函必须采用招标文件规定的格式；调价函应说明调价后的最终报价，并以最终报价为准，而且投标人只能有一次调价的机会。</w:t>
      </w:r>
    </w:p>
    <w:p>
      <w:pPr>
        <w:adjustRightInd w:val="0"/>
        <w:snapToGrid w:val="0"/>
        <w:spacing w:line="400" w:lineRule="exact"/>
        <w:ind w:firstLine="480" w:firstLineChars="200"/>
        <w:rPr>
          <w:rFonts w:ascii="宋体" w:hAnsi="宋体"/>
          <w:sz w:val="24"/>
        </w:rPr>
      </w:pPr>
      <w:r>
        <w:rPr>
          <w:rFonts w:hint="eastAsia" w:ascii="宋体" w:hAnsi="宋体"/>
          <w:sz w:val="24"/>
        </w:rPr>
        <w:t>（2）工程量清单中招标人指定的报价不允许调价。</w:t>
      </w:r>
    </w:p>
    <w:p>
      <w:pPr>
        <w:adjustRightInd w:val="0"/>
        <w:snapToGrid w:val="0"/>
        <w:spacing w:line="400" w:lineRule="exact"/>
        <w:ind w:firstLine="480" w:firstLineChars="200"/>
        <w:rPr>
          <w:rFonts w:ascii="宋体" w:hAnsi="宋体"/>
          <w:sz w:val="24"/>
        </w:rPr>
      </w:pPr>
      <w:r>
        <w:rPr>
          <w:rFonts w:hint="eastAsia" w:ascii="宋体" w:hAnsi="宋体"/>
          <w:sz w:val="24"/>
        </w:rPr>
        <w:t>（3）调价函必须附有调价后的工程量清单；调价函必须粘贴或机械装订在投标文件正本首页，与投标文件一起密封提交。</w:t>
      </w:r>
    </w:p>
    <w:p>
      <w:pPr>
        <w:adjustRightInd w:val="0"/>
        <w:snapToGrid w:val="0"/>
        <w:spacing w:line="400" w:lineRule="exact"/>
        <w:ind w:firstLine="480" w:firstLineChars="200"/>
        <w:rPr>
          <w:rFonts w:ascii="宋体" w:hAnsi="宋体"/>
          <w:sz w:val="24"/>
        </w:rPr>
      </w:pPr>
      <w:r>
        <w:rPr>
          <w:rFonts w:hint="eastAsia" w:ascii="宋体" w:hAnsi="宋体"/>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adjustRightInd w:val="0"/>
        <w:snapToGrid w:val="0"/>
        <w:spacing w:line="400" w:lineRule="exact"/>
        <w:ind w:firstLine="480" w:firstLineChars="200"/>
        <w:rPr>
          <w:rFonts w:ascii="宋体" w:hAnsi="宋体"/>
          <w:sz w:val="24"/>
        </w:rPr>
      </w:pPr>
      <w:r>
        <w:rPr>
          <w:rFonts w:hint="eastAsia" w:ascii="宋体" w:hAnsi="宋体"/>
          <w:sz w:val="24"/>
        </w:rPr>
        <w:t>（4）若招标人接受调价函，投标人调价后的工程量清单和有效调价函的大写金额报价应保持一致，如果报价金额出现差异时，则以有效调价函的大写金额报价为准。</w:t>
      </w:r>
    </w:p>
    <w:p>
      <w:pPr>
        <w:adjustRightInd w:val="0"/>
        <w:snapToGrid w:val="0"/>
        <w:spacing w:line="400" w:lineRule="exact"/>
        <w:ind w:firstLine="480" w:firstLineChars="200"/>
        <w:rPr>
          <w:rFonts w:ascii="宋体" w:hAnsi="宋体"/>
          <w:sz w:val="24"/>
        </w:rPr>
      </w:pPr>
      <w:r>
        <w:rPr>
          <w:rFonts w:hint="eastAsia" w:ascii="宋体" w:hAnsi="宋体"/>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4"/>
        <w:keepNext w:val="0"/>
        <w:keepLines w:val="0"/>
        <w:adjustRightInd w:val="0"/>
        <w:snapToGrid w:val="0"/>
        <w:spacing w:beforeLines="50" w:after="0" w:line="400" w:lineRule="exact"/>
        <w:rPr>
          <w:rFonts w:ascii="宋体" w:hAnsi="宋体"/>
          <w:sz w:val="24"/>
          <w:szCs w:val="24"/>
        </w:rPr>
      </w:pPr>
      <w:bookmarkStart w:id="86" w:name="_Toc234382610"/>
      <w:bookmarkStart w:id="87" w:name="_Toc6040"/>
      <w:bookmarkStart w:id="88" w:name="_Toc486277884"/>
      <w:bookmarkStart w:id="89" w:name="_Toc485889023"/>
      <w:r>
        <w:rPr>
          <w:rFonts w:ascii="宋体" w:hAnsi="宋体"/>
          <w:sz w:val="24"/>
          <w:szCs w:val="24"/>
        </w:rPr>
        <w:t>3.3 投标有效期</w:t>
      </w:r>
      <w:bookmarkEnd w:id="86"/>
      <w:bookmarkEnd w:id="87"/>
      <w:bookmarkEnd w:id="88"/>
      <w:bookmarkEnd w:id="89"/>
    </w:p>
    <w:p>
      <w:pPr>
        <w:adjustRightInd w:val="0"/>
        <w:snapToGrid w:val="0"/>
        <w:spacing w:line="400" w:lineRule="exact"/>
        <w:ind w:firstLine="464" w:firstLineChars="200"/>
        <w:rPr>
          <w:rFonts w:ascii="宋体" w:hAnsi="宋体"/>
          <w:spacing w:val="-4"/>
          <w:sz w:val="24"/>
        </w:rPr>
      </w:pPr>
      <w:r>
        <w:rPr>
          <w:rFonts w:ascii="宋体" w:hAnsi="宋体"/>
          <w:spacing w:val="-4"/>
          <w:sz w:val="24"/>
        </w:rPr>
        <w:t>3.3.1 在投标人须知前附表规定的投标有效期内，投标人不得要求撤销或修改其投标文件。</w:t>
      </w:r>
    </w:p>
    <w:p>
      <w:pPr>
        <w:adjustRightInd w:val="0"/>
        <w:snapToGrid w:val="0"/>
        <w:spacing w:line="400" w:lineRule="exact"/>
        <w:ind w:firstLine="480" w:firstLineChars="20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szCs w:val="22"/>
        </w:rPr>
      </w:pPr>
      <w:bookmarkStart w:id="90" w:name="_Toc234382613"/>
      <w:r>
        <w:rPr>
          <w:rFonts w:hint="eastAsia" w:cs="宋体" w:asciiTheme="minorEastAsia" w:hAnsiTheme="minorEastAsia" w:eastAsiaTheme="minorEastAsia"/>
          <w:b/>
          <w:bCs/>
          <w:sz w:val="24"/>
        </w:rPr>
        <w:t>3.4 投标保证金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rPr>
      </w:pPr>
      <w:r>
        <w:rPr>
          <w:rFonts w:hint="eastAsia" w:cs="宋体" w:asciiTheme="minorEastAsia" w:hAnsiTheme="minorEastAsia" w:eastAsiaTheme="minorEastAsia"/>
          <w:b/>
          <w:bCs/>
          <w:sz w:val="24"/>
          <w:szCs w:val="22"/>
        </w:rPr>
        <w:t>3.4.1 投标保证金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投标人应按投标人须知前附表后规定缴纳投标保证金。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投标保证金的相关规定</w:t>
      </w:r>
    </w:p>
    <w:p>
      <w:pPr>
        <w:adjustRightInd w:val="0"/>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 投标保证金的退还：</w:t>
      </w:r>
    </w:p>
    <w:p>
      <w:pPr>
        <w:adjustRightInd w:val="0"/>
        <w:snapToGrid w:val="0"/>
        <w:spacing w:line="400" w:lineRule="exact"/>
        <w:ind w:firstLine="480" w:firstLineChars="200"/>
        <w:rPr>
          <w:rFonts w:ascii="宋体" w:hAnsi="宋体"/>
          <w:sz w:val="24"/>
        </w:rPr>
      </w:pPr>
      <w:r>
        <w:rPr>
          <w:rFonts w:hint="eastAsia" w:ascii="宋体" w:hAnsi="宋体"/>
          <w:sz w:val="24"/>
        </w:rPr>
        <w:t>（1）中标公告发出后，5个工作日内退还非中标候选人投标保证金及银行同期活期存款利息。</w:t>
      </w:r>
    </w:p>
    <w:p>
      <w:pPr>
        <w:adjustRightInd w:val="0"/>
        <w:snapToGrid w:val="0"/>
        <w:spacing w:line="400" w:lineRule="exact"/>
        <w:ind w:firstLine="480" w:firstLineChars="200"/>
        <w:rPr>
          <w:rFonts w:ascii="宋体" w:hAnsi="宋体"/>
          <w:sz w:val="24"/>
        </w:rPr>
      </w:pPr>
      <w:r>
        <w:rPr>
          <w:rFonts w:hint="eastAsia" w:ascii="宋体" w:hAnsi="宋体"/>
          <w:sz w:val="24"/>
        </w:rPr>
        <w:t>（2）在法定期限内签订书面合同，中标人执投标保证金退还申请表(单位加盖行政公章)及合同原件、履约保证金缴纳通知书、履约保证金转账凭证到中心业务部室办理退款手续，中心在5个工作日内向中标人和其他中标候选人退还投标保证金及银行同期活期存款利息。</w:t>
      </w:r>
    </w:p>
    <w:p>
      <w:pPr>
        <w:adjustRightInd w:val="0"/>
        <w:snapToGrid w:val="0"/>
        <w:spacing w:line="400" w:lineRule="exact"/>
        <w:ind w:firstLine="480" w:firstLineChars="200"/>
        <w:rPr>
          <w:rFonts w:ascii="宋体" w:hAnsi="宋体"/>
          <w:sz w:val="24"/>
        </w:rPr>
      </w:pPr>
      <w:r>
        <w:rPr>
          <w:rFonts w:hint="eastAsia" w:ascii="宋体" w:hAnsi="宋体"/>
          <w:sz w:val="24"/>
        </w:rPr>
        <w:t>（3）项目废标或招标人终止招标的，在此后5个工作日内退还投标保证金及银行同期活期存利息。</w:t>
      </w:r>
    </w:p>
    <w:p>
      <w:pPr>
        <w:adjustRightInd w:val="0"/>
        <w:snapToGrid w:val="0"/>
        <w:spacing w:line="400" w:lineRule="exact"/>
        <w:ind w:firstLine="480" w:firstLineChars="200"/>
        <w:rPr>
          <w:rFonts w:ascii="宋体" w:hAnsi="宋体"/>
          <w:sz w:val="24"/>
        </w:rPr>
      </w:pPr>
      <w:r>
        <w:rPr>
          <w:rFonts w:hint="eastAsia" w:ascii="宋体" w:hAnsi="宋体"/>
          <w:sz w:val="24"/>
        </w:rPr>
        <w:t>（4）投标活动中出现质疑、投诉的，中标候选人、质疑人和被质疑人、投诉人和被投诉人的投标保证金暂停退还。</w:t>
      </w:r>
    </w:p>
    <w:p>
      <w:pPr>
        <w:adjustRightInd w:val="0"/>
        <w:snapToGrid w:val="0"/>
        <w:spacing w:line="400" w:lineRule="exact"/>
        <w:ind w:firstLine="480" w:firstLineChars="200"/>
        <w:rPr>
          <w:rFonts w:ascii="宋体" w:hAnsi="宋体"/>
          <w:sz w:val="24"/>
        </w:rPr>
      </w:pPr>
      <w:r>
        <w:rPr>
          <w:rFonts w:hint="eastAsia" w:ascii="宋体" w:hAnsi="宋体"/>
          <w:sz w:val="24"/>
        </w:rPr>
        <w:t>（5）相关投标人有违法违规行为的项目，其投标保证金暂不退还，待行政监督部门对相关情况处置后，按照有关规定办理。</w:t>
      </w:r>
    </w:p>
    <w:p>
      <w:pPr>
        <w:adjustRightInd w:val="0"/>
        <w:snapToGrid w:val="0"/>
        <w:spacing w:line="400" w:lineRule="exact"/>
        <w:ind w:firstLine="480" w:firstLineChars="200"/>
        <w:rPr>
          <w:rFonts w:ascii="宋体" w:hAnsi="宋体"/>
          <w:sz w:val="24"/>
        </w:rPr>
      </w:pPr>
      <w:r>
        <w:rPr>
          <w:rFonts w:hint="eastAsia" w:ascii="宋体" w:hAnsi="宋体"/>
          <w:sz w:val="24"/>
        </w:rPr>
        <w:t>（6）退还投标保证金，除另有规定外，一般以转账方式一次性退还至投标保证金的原提交账户。</w:t>
      </w:r>
    </w:p>
    <w:p>
      <w:pPr>
        <w:adjustRightInd w:val="0"/>
        <w:snapToGrid w:val="0"/>
        <w:spacing w:line="400" w:lineRule="exact"/>
        <w:ind w:firstLine="480" w:firstLineChars="200"/>
        <w:rPr>
          <w:rFonts w:ascii="宋体" w:hAnsi="宋体"/>
          <w:sz w:val="24"/>
        </w:rPr>
      </w:pPr>
      <w:r>
        <w:rPr>
          <w:rFonts w:hint="eastAsia" w:ascii="宋体" w:hAnsi="宋体"/>
          <w:sz w:val="24"/>
        </w:rPr>
        <w:t>2、投标人有下列情形之一的，不予退还投标保证金：</w:t>
      </w:r>
    </w:p>
    <w:p>
      <w:pPr>
        <w:adjustRightInd w:val="0"/>
        <w:snapToGrid w:val="0"/>
        <w:spacing w:line="400" w:lineRule="exact"/>
        <w:ind w:firstLine="480" w:firstLineChars="200"/>
        <w:rPr>
          <w:rFonts w:ascii="宋体" w:hAnsi="宋体"/>
          <w:sz w:val="24"/>
        </w:rPr>
      </w:pPr>
      <w:r>
        <w:rPr>
          <w:rFonts w:hint="eastAsia" w:ascii="宋体" w:hAnsi="宋体"/>
          <w:sz w:val="24"/>
        </w:rPr>
        <w:t xml:space="preserve">（一）在招标文件要求提交投标文件的截止时间后至投标文件有效期满前撤回投标的； </w:t>
      </w:r>
    </w:p>
    <w:p>
      <w:pPr>
        <w:adjustRightInd w:val="0"/>
        <w:snapToGrid w:val="0"/>
        <w:spacing w:line="400" w:lineRule="exact"/>
        <w:ind w:firstLine="480" w:firstLineChars="200"/>
        <w:rPr>
          <w:rFonts w:ascii="宋体" w:hAnsi="宋体"/>
          <w:sz w:val="24"/>
        </w:rPr>
      </w:pPr>
      <w:r>
        <w:rPr>
          <w:rFonts w:hint="eastAsia" w:ascii="宋体" w:hAnsi="宋体"/>
          <w:sz w:val="24"/>
        </w:rPr>
        <w:t xml:space="preserve">（二）中标通知书发出后，中标人无故放弃中标项目或无正当理由在规定时间内不与招标人签订合同或未按招标文件规定提交履约担保的； </w:t>
      </w:r>
    </w:p>
    <w:p>
      <w:pPr>
        <w:adjustRightInd w:val="0"/>
        <w:snapToGrid w:val="0"/>
        <w:spacing w:line="400" w:lineRule="exact"/>
        <w:ind w:firstLine="480" w:firstLineChars="200"/>
        <w:rPr>
          <w:rFonts w:ascii="宋体" w:hAnsi="宋体"/>
          <w:sz w:val="24"/>
        </w:rPr>
      </w:pPr>
      <w:r>
        <w:rPr>
          <w:rFonts w:hint="eastAsia" w:ascii="宋体" w:hAnsi="宋体"/>
          <w:sz w:val="24"/>
        </w:rPr>
        <w:t xml:space="preserve">（三）将中标项目转让给他人，或者在投标文件中未说明，且未经招标人同意，将中标项目分包给他人的； </w:t>
      </w:r>
    </w:p>
    <w:p>
      <w:pPr>
        <w:adjustRightInd w:val="0"/>
        <w:snapToGrid w:val="0"/>
        <w:spacing w:line="400" w:lineRule="exact"/>
        <w:ind w:firstLine="480" w:firstLineChars="200"/>
        <w:rPr>
          <w:rFonts w:ascii="宋体" w:hAnsi="宋体"/>
          <w:sz w:val="24"/>
        </w:rPr>
      </w:pPr>
      <w:r>
        <w:rPr>
          <w:rFonts w:hint="eastAsia" w:ascii="宋体" w:hAnsi="宋体"/>
          <w:sz w:val="24"/>
        </w:rPr>
        <w:t xml:space="preserve">（四）投标人在招投标活动中弄虚作假、围标串标，骗取中标并经招投标行政监督部门调查核实的； </w:t>
      </w:r>
    </w:p>
    <w:p>
      <w:pPr>
        <w:adjustRightInd w:val="0"/>
        <w:snapToGrid w:val="0"/>
        <w:spacing w:line="400" w:lineRule="exact"/>
        <w:ind w:firstLine="480" w:firstLineChars="200"/>
        <w:rPr>
          <w:rFonts w:ascii="宋体" w:hAnsi="宋体"/>
          <w:sz w:val="24"/>
        </w:rPr>
      </w:pPr>
      <w:r>
        <w:rPr>
          <w:rFonts w:hint="eastAsia" w:ascii="宋体" w:hAnsi="宋体"/>
          <w:sz w:val="24"/>
        </w:rPr>
        <w:t>（五）拒绝履行合同义务的；</w:t>
      </w:r>
    </w:p>
    <w:p>
      <w:pPr>
        <w:adjustRightInd w:val="0"/>
        <w:snapToGrid w:val="0"/>
        <w:spacing w:line="400" w:lineRule="exact"/>
        <w:ind w:firstLine="480" w:firstLineChars="200"/>
        <w:rPr>
          <w:rFonts w:ascii="宋体" w:hAnsi="宋体"/>
          <w:sz w:val="24"/>
        </w:rPr>
      </w:pPr>
      <w:r>
        <w:rPr>
          <w:rFonts w:hint="eastAsia" w:ascii="宋体" w:hAnsi="宋体"/>
          <w:sz w:val="24"/>
        </w:rPr>
        <w:t>（六）相关法律、法规规定不予退还的其它情形。</w:t>
      </w:r>
    </w:p>
    <w:p>
      <w:pPr>
        <w:adjustRightInd w:val="0"/>
        <w:snapToGrid w:val="0"/>
        <w:spacing w:line="400" w:lineRule="exact"/>
        <w:ind w:firstLine="480" w:firstLineChars="200"/>
        <w:rPr>
          <w:rFonts w:ascii="宋体" w:hAnsi="宋体"/>
          <w:sz w:val="24"/>
        </w:rPr>
      </w:pPr>
      <w:r>
        <w:rPr>
          <w:rFonts w:hint="eastAsia" w:ascii="宋体" w:hAnsi="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4"/>
        <w:keepNext w:val="0"/>
        <w:keepLines w:val="0"/>
        <w:adjustRightInd w:val="0"/>
        <w:snapToGrid w:val="0"/>
        <w:spacing w:beforeLines="50" w:after="0" w:line="400" w:lineRule="exact"/>
        <w:rPr>
          <w:rFonts w:ascii="宋体" w:hAnsi="宋体"/>
          <w:sz w:val="24"/>
          <w:szCs w:val="24"/>
        </w:rPr>
      </w:pPr>
      <w:bookmarkStart w:id="91" w:name="_Toc486277886"/>
      <w:bookmarkStart w:id="92" w:name="_Toc10524"/>
      <w:bookmarkStart w:id="93" w:name="_Toc485889025"/>
      <w:r>
        <w:rPr>
          <w:rFonts w:ascii="宋体" w:hAnsi="宋体"/>
          <w:sz w:val="24"/>
          <w:szCs w:val="24"/>
        </w:rPr>
        <w:t>3.5 资格审查资料</w:t>
      </w:r>
      <w:bookmarkEnd w:id="90"/>
      <w:bookmarkEnd w:id="91"/>
      <w:bookmarkEnd w:id="92"/>
      <w:bookmarkEnd w:id="93"/>
    </w:p>
    <w:p>
      <w:pPr>
        <w:adjustRightInd w:val="0"/>
        <w:snapToGrid w:val="0"/>
        <w:spacing w:line="400" w:lineRule="exact"/>
        <w:ind w:firstLine="480" w:firstLineChars="200"/>
        <w:rPr>
          <w:rFonts w:ascii="宋体" w:hAnsi="宋体"/>
          <w:sz w:val="24"/>
        </w:rPr>
      </w:pPr>
      <w:r>
        <w:rPr>
          <w:rFonts w:ascii="宋体" w:hAnsi="宋体"/>
          <w:sz w:val="24"/>
        </w:rPr>
        <w:t>3.5.1 “投标人基本情况表”应附</w:t>
      </w:r>
      <w:r>
        <w:rPr>
          <w:rFonts w:hint="eastAsia" w:ascii="宋体" w:hAnsi="宋体"/>
          <w:sz w:val="24"/>
        </w:rPr>
        <w:t>企业法人</w:t>
      </w:r>
      <w:r>
        <w:rPr>
          <w:rFonts w:ascii="宋体" w:hAnsi="宋体"/>
          <w:sz w:val="24"/>
        </w:rPr>
        <w:t>营业执照副本</w:t>
      </w:r>
      <w:r>
        <w:rPr>
          <w:rFonts w:hint="eastAsia" w:ascii="宋体" w:hAnsi="宋体"/>
          <w:sz w:val="24"/>
        </w:rPr>
        <w:t>、施工资质证书副本、安全生产许可证副本、基本账户开户许可证的复印件并加盖单位章</w:t>
      </w:r>
      <w:r>
        <w:rPr>
          <w:rFonts w:ascii="宋体" w:hAnsi="宋体"/>
          <w:sz w:val="24"/>
        </w:rPr>
        <w:t>。</w:t>
      </w:r>
    </w:p>
    <w:p>
      <w:pPr>
        <w:adjustRightInd w:val="0"/>
        <w:snapToGrid w:val="0"/>
        <w:spacing w:line="400" w:lineRule="exact"/>
        <w:ind w:firstLine="480" w:firstLineChars="200"/>
        <w:rPr>
          <w:rFonts w:ascii="宋体" w:hAnsi="宋体"/>
          <w:color w:val="FF0000"/>
          <w:sz w:val="24"/>
        </w:rPr>
      </w:pPr>
      <w:r>
        <w:rPr>
          <w:rFonts w:ascii="宋体" w:hAnsi="宋体"/>
          <w:sz w:val="24"/>
        </w:rPr>
        <w:t>3.5.2 “近年财务状况表”应附经会计师事务所或审计机构审计的财务会计报表，包括</w:t>
      </w:r>
      <w:r>
        <w:rPr>
          <w:rFonts w:hint="eastAsia" w:ascii="宋体" w:hAnsi="宋体"/>
          <w:sz w:val="24"/>
        </w:rPr>
        <w:t>资产负债表、利润表、现金流量表、所有者权益变动表及其附注</w:t>
      </w:r>
      <w:r>
        <w:rPr>
          <w:rFonts w:ascii="宋体" w:hAnsi="宋体"/>
          <w:sz w:val="24"/>
        </w:rPr>
        <w:t>的复印件，具体年份要求见投标人须知前附表。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3.5.3 “近年完成的类似项目情况表”应附中标通知书</w:t>
      </w:r>
      <w:r>
        <w:rPr>
          <w:rFonts w:hint="eastAsia" w:ascii="宋体" w:hAnsi="宋体"/>
          <w:sz w:val="24"/>
        </w:rPr>
        <w:t>、</w:t>
      </w:r>
      <w:r>
        <w:rPr>
          <w:rFonts w:ascii="宋体" w:hAnsi="宋体"/>
          <w:sz w:val="24"/>
        </w:rPr>
        <w:t>合同协议书</w:t>
      </w:r>
      <w:r>
        <w:rPr>
          <w:rFonts w:hint="eastAsia" w:ascii="宋体" w:hAnsi="宋体"/>
          <w:sz w:val="24"/>
        </w:rPr>
        <w:t>、</w:t>
      </w:r>
      <w:r>
        <w:rPr>
          <w:rFonts w:ascii="宋体" w:hAnsi="宋体"/>
          <w:sz w:val="24"/>
        </w:rPr>
        <w:t>工程接收证书（工程竣工验收证书）的复印件，具体年份要求见投标人须知前附表。每张表格只填写一个项目，并标明序号。</w:t>
      </w:r>
    </w:p>
    <w:p>
      <w:pPr>
        <w:adjustRightInd w:val="0"/>
        <w:snapToGrid w:val="0"/>
        <w:spacing w:line="400" w:lineRule="exact"/>
        <w:ind w:firstLine="480" w:firstLineChars="200"/>
        <w:rPr>
          <w:rFonts w:ascii="宋体" w:hAnsi="宋体"/>
          <w:sz w:val="24"/>
        </w:rPr>
      </w:pPr>
      <w:r>
        <w:rPr>
          <w:rFonts w:hint="eastAsia" w:ascii="宋体" w:hAnsi="宋体"/>
          <w:sz w:val="24"/>
        </w:rPr>
        <w:t>工程接收证书（工程竣工验收证书）可以是发包人出具的公路工程（标段）交工验收证书或竣工验收委员会出具的公路工程竣工验收鉴定书或质量监督机构对各参建单位签发的工作综合评价等级证书。</w:t>
      </w:r>
    </w:p>
    <w:p>
      <w:pPr>
        <w:adjustRightInd w:val="0"/>
        <w:snapToGrid w:val="0"/>
        <w:spacing w:line="400" w:lineRule="exact"/>
        <w:ind w:firstLine="480" w:firstLineChars="200"/>
        <w:rPr>
          <w:rFonts w:ascii="宋体" w:hAnsi="宋体"/>
          <w:sz w:val="24"/>
        </w:rPr>
      </w:pPr>
      <w:r>
        <w:rPr>
          <w:rFonts w:ascii="宋体" w:hAnsi="宋体"/>
          <w:sz w:val="24"/>
        </w:rPr>
        <w:t>3.5.4 “正在施工和新承接的项目情况表”应附中标通知书和合同协议书复印件。每张表格只填写一个项目，并标明序号。</w:t>
      </w:r>
    </w:p>
    <w:p>
      <w:pPr>
        <w:adjustRightInd w:val="0"/>
        <w:snapToGrid w:val="0"/>
        <w:spacing w:line="400" w:lineRule="exact"/>
        <w:ind w:firstLine="480" w:firstLineChars="200"/>
        <w:rPr>
          <w:rFonts w:ascii="宋体" w:hAnsi="宋体"/>
          <w:sz w:val="24"/>
        </w:rPr>
      </w:pPr>
      <w:r>
        <w:rPr>
          <w:rFonts w:hint="eastAsia" w:ascii="宋体" w:hAnsi="宋体"/>
          <w:sz w:val="24"/>
        </w:rPr>
        <w:t>3.5.5“拟委任的项目经理和项目总工资历表”应附项目经理和项目总工的身份证、职称资格证书以及资格审查条件所要求的其他相关证书（如建造师注册证书、安全生产考核合格证书等）的复印件，并应提供其担任类似项目的项目经理和项目总工的相关业绩证明材料复印件。</w:t>
      </w:r>
    </w:p>
    <w:p>
      <w:pPr>
        <w:adjustRightInd w:val="0"/>
        <w:snapToGrid w:val="0"/>
        <w:spacing w:line="400" w:lineRule="exact"/>
        <w:ind w:firstLine="480" w:firstLineChars="200"/>
        <w:rPr>
          <w:rFonts w:ascii="宋体" w:hAnsi="宋体"/>
          <w:sz w:val="24"/>
        </w:rPr>
      </w:pPr>
      <w:r>
        <w:rPr>
          <w:rFonts w:hint="eastAsia" w:cs="仿宋" w:asciiTheme="minorEastAsia" w:hAnsiTheme="minorEastAsia" w:eastAsiaTheme="minorEastAsia"/>
          <w:bCs/>
          <w:sz w:val="24"/>
        </w:rPr>
        <w:t>如项目经理或项目总工目前仍在其他项目上任职，则投标人应提供由该项目发包人出具的、承诺上述人员能够从该项目撤离的书面证明材料原件。</w:t>
      </w:r>
    </w:p>
    <w:p>
      <w:pPr>
        <w:adjustRightInd w:val="0"/>
        <w:snapToGrid w:val="0"/>
        <w:spacing w:line="400" w:lineRule="exact"/>
        <w:ind w:firstLine="480" w:firstLineChars="200"/>
        <w:rPr>
          <w:rFonts w:ascii="宋体" w:hAnsi="宋体"/>
          <w:sz w:val="24"/>
        </w:rPr>
      </w:pPr>
      <w:r>
        <w:rPr>
          <w:rFonts w:hint="eastAsia" w:cs="仿宋" w:asciiTheme="minorEastAsia" w:hAnsiTheme="minorEastAsia" w:eastAsiaTheme="minorEastAsia"/>
          <w:bCs/>
          <w:sz w:val="24"/>
        </w:rPr>
        <w:t>3.5.6</w:t>
      </w:r>
      <w:r>
        <w:rPr>
          <w:rFonts w:cs="仿宋" w:asciiTheme="minorEastAsia" w:hAnsiTheme="minorEastAsia" w:eastAsiaTheme="minorEastAsia"/>
          <w:bCs/>
          <w:sz w:val="24"/>
        </w:rPr>
        <w:t>“投标人的信誉情况表”应附投标人在国家企业信用信息公示系统中未被列入</w:t>
      </w:r>
      <w:r>
        <w:rPr>
          <w:rFonts w:hint="eastAsia" w:cs="仿宋" w:asciiTheme="minorEastAsia" w:hAnsiTheme="minorEastAsia" w:eastAsiaTheme="minorEastAsia"/>
          <w:bCs/>
          <w:sz w:val="24"/>
        </w:rPr>
        <w:t>经营异常名录或</w:t>
      </w:r>
      <w:r>
        <w:rPr>
          <w:rFonts w:cs="仿宋" w:asciiTheme="minorEastAsia" w:hAnsiTheme="minorEastAsia" w:eastAsiaTheme="minorEastAsia"/>
          <w:bCs/>
          <w:sz w:val="24"/>
        </w:rPr>
        <w:t>严重失信</w:t>
      </w:r>
      <w:r>
        <w:rPr>
          <w:rFonts w:hint="eastAsia" w:cs="仿宋" w:asciiTheme="minorEastAsia" w:hAnsiTheme="minorEastAsia" w:eastAsiaTheme="minorEastAsia"/>
          <w:bCs/>
          <w:sz w:val="24"/>
        </w:rPr>
        <w:t>黑</w:t>
      </w:r>
      <w:r>
        <w:rPr>
          <w:rFonts w:cs="仿宋" w:asciiTheme="minorEastAsia" w:hAnsiTheme="minorEastAsia" w:eastAsiaTheme="minorEastAsia"/>
          <w:bCs/>
          <w:sz w:val="24"/>
        </w:rPr>
        <w:t>名单</w:t>
      </w:r>
      <w:r>
        <w:rPr>
          <w:rFonts w:hint="eastAsia" w:cs="仿宋" w:asciiTheme="minorEastAsia" w:hAnsiTheme="minorEastAsia" w:eastAsiaTheme="minorEastAsia"/>
          <w:bCs/>
          <w:sz w:val="24"/>
        </w:rPr>
        <w:t>、未在“信用中国”</w:t>
      </w:r>
      <w:r>
        <w:rPr>
          <w:rFonts w:hint="eastAsia" w:asciiTheme="minorEastAsia" w:hAnsiTheme="minorEastAsia" w:eastAsiaTheme="minorEastAsia"/>
          <w:sz w:val="24"/>
        </w:rPr>
        <w:t>和“信用河南”</w:t>
      </w:r>
      <w:r>
        <w:rPr>
          <w:rFonts w:hint="eastAsia" w:cs="仿宋" w:asciiTheme="minorEastAsia" w:hAnsiTheme="minorEastAsia" w:eastAsiaTheme="minorEastAsia"/>
          <w:bCs/>
          <w:sz w:val="24"/>
        </w:rPr>
        <w:t>网站信用信息栏列入黑名单的网页截图复印件。</w:t>
      </w:r>
    </w:p>
    <w:p>
      <w:pPr>
        <w:adjustRightInd w:val="0"/>
        <w:snapToGrid w:val="0"/>
        <w:spacing w:line="400" w:lineRule="exact"/>
        <w:ind w:firstLine="480" w:firstLineChars="200"/>
        <w:rPr>
          <w:rFonts w:ascii="宋体" w:hAnsi="宋体"/>
          <w:sz w:val="24"/>
        </w:rPr>
      </w:pPr>
      <w:r>
        <w:rPr>
          <w:rFonts w:ascii="宋体" w:hAnsi="宋体"/>
          <w:sz w:val="24"/>
        </w:rPr>
        <w:t>3.5.</w:t>
      </w:r>
      <w:r>
        <w:rPr>
          <w:rFonts w:hint="eastAsia" w:ascii="宋体" w:hAnsi="宋体"/>
          <w:sz w:val="24"/>
        </w:rPr>
        <w:t>7</w:t>
      </w:r>
      <w:r>
        <w:rPr>
          <w:rFonts w:ascii="宋体" w:hAnsi="宋体"/>
          <w:sz w:val="24"/>
        </w:rPr>
        <w:t xml:space="preserve"> “近年发生的诉讼及仲裁情况”应说明相关情况，并附法院或仲裁机构作出的判决、裁决等有关法律文书复印件应说明相关情况，并附法院或仲裁机构作出的判决、裁决等有关法律文书复印件，具体年份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3.5.</w:t>
      </w:r>
      <w:r>
        <w:rPr>
          <w:rFonts w:hint="eastAsia" w:ascii="宋体" w:hAnsi="宋体"/>
          <w:sz w:val="24"/>
        </w:rPr>
        <w:t>8</w:t>
      </w:r>
      <w:r>
        <w:rPr>
          <w:rFonts w:ascii="宋体" w:hAnsi="宋体"/>
          <w:sz w:val="24"/>
        </w:rPr>
        <w:t xml:space="preserve"> 投标人须知前附表规定接受联合体投标的，本章第3.5.1项至第3.5.5项规定的表格和资料应包括联合体各方相关情况。</w:t>
      </w:r>
    </w:p>
    <w:p>
      <w:pPr>
        <w:adjustRightInd w:val="0"/>
        <w:snapToGrid w:val="0"/>
        <w:spacing w:line="400" w:lineRule="exact"/>
        <w:ind w:firstLine="480" w:firstLineChars="200"/>
        <w:rPr>
          <w:rFonts w:ascii="宋体" w:hAnsi="宋体"/>
          <w:sz w:val="24"/>
        </w:rPr>
      </w:pPr>
      <w:r>
        <w:rPr>
          <w:rFonts w:hint="eastAsia" w:ascii="宋体" w:hAnsi="宋体"/>
          <w:sz w:val="24"/>
        </w:rPr>
        <w:t>3.5.9 投标人在投标文件中填报的项目经理和项目总工不允许更换。</w:t>
      </w:r>
    </w:p>
    <w:p>
      <w:pPr>
        <w:adjustRightInd w:val="0"/>
        <w:snapToGrid w:val="0"/>
        <w:spacing w:line="400" w:lineRule="exact"/>
        <w:ind w:firstLine="480" w:firstLineChars="200"/>
        <w:rPr>
          <w:rFonts w:ascii="宋体" w:hAnsi="宋体"/>
          <w:sz w:val="24"/>
        </w:rPr>
      </w:pPr>
      <w:r>
        <w:rPr>
          <w:rFonts w:hint="eastAsia" w:ascii="宋体" w:hAnsi="宋体"/>
          <w:sz w:val="24"/>
        </w:rPr>
        <w:t>3.5.10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4"/>
        <w:keepNext w:val="0"/>
        <w:keepLines w:val="0"/>
        <w:adjustRightInd w:val="0"/>
        <w:snapToGrid w:val="0"/>
        <w:spacing w:beforeLines="50" w:after="0" w:line="400" w:lineRule="exact"/>
        <w:rPr>
          <w:rFonts w:ascii="宋体" w:hAnsi="宋体"/>
          <w:sz w:val="24"/>
          <w:szCs w:val="24"/>
        </w:rPr>
      </w:pPr>
      <w:bookmarkStart w:id="94" w:name="_Toc485889026"/>
      <w:bookmarkStart w:id="95" w:name="_Toc234382614"/>
      <w:bookmarkStart w:id="96" w:name="_Toc486277887"/>
      <w:bookmarkStart w:id="97" w:name="_Toc15460"/>
      <w:r>
        <w:rPr>
          <w:rFonts w:ascii="宋体" w:hAnsi="宋体"/>
          <w:sz w:val="24"/>
          <w:szCs w:val="24"/>
        </w:rPr>
        <w:t>3.6 备选投标方案</w:t>
      </w:r>
      <w:bookmarkEnd w:id="94"/>
      <w:bookmarkEnd w:id="95"/>
      <w:bookmarkEnd w:id="96"/>
      <w:bookmarkEnd w:id="97"/>
    </w:p>
    <w:p>
      <w:pPr>
        <w:adjustRightInd w:val="0"/>
        <w:snapToGrid w:val="0"/>
        <w:spacing w:line="400" w:lineRule="exact"/>
        <w:ind w:firstLine="480" w:firstLineChars="20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keepNext w:val="0"/>
        <w:keepLines w:val="0"/>
        <w:adjustRightInd w:val="0"/>
        <w:snapToGrid w:val="0"/>
        <w:spacing w:beforeLines="50" w:after="0" w:line="400" w:lineRule="exact"/>
        <w:rPr>
          <w:rFonts w:ascii="宋体" w:hAnsi="宋体"/>
          <w:sz w:val="24"/>
          <w:szCs w:val="24"/>
        </w:rPr>
      </w:pPr>
      <w:bookmarkStart w:id="98" w:name="_Toc30194"/>
      <w:bookmarkStart w:id="99" w:name="_Toc485889027"/>
      <w:bookmarkStart w:id="100" w:name="_Toc234382615"/>
      <w:bookmarkStart w:id="101" w:name="_Toc486277888"/>
      <w:r>
        <w:rPr>
          <w:rFonts w:ascii="宋体" w:hAnsi="宋体"/>
          <w:sz w:val="24"/>
          <w:szCs w:val="24"/>
        </w:rPr>
        <w:t>3.7 投标文件的编制</w:t>
      </w:r>
      <w:bookmarkEnd w:id="98"/>
      <w:bookmarkEnd w:id="99"/>
      <w:bookmarkEnd w:id="100"/>
      <w:bookmarkEnd w:id="101"/>
    </w:p>
    <w:p>
      <w:pPr>
        <w:adjustRightInd w:val="0"/>
        <w:snapToGrid w:val="0"/>
        <w:spacing w:line="400" w:lineRule="exact"/>
        <w:ind w:firstLine="480" w:firstLineChars="200"/>
        <w:rPr>
          <w:rFonts w:ascii="宋体" w:hAnsi="宋体"/>
          <w:sz w:val="24"/>
        </w:rPr>
      </w:pPr>
      <w:r>
        <w:rPr>
          <w:rFonts w:ascii="宋体" w:hAnsi="宋体"/>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400" w:lineRule="exact"/>
        <w:ind w:firstLine="480" w:firstLineChars="200"/>
        <w:rPr>
          <w:rFonts w:ascii="宋体" w:hAnsi="宋体"/>
          <w:sz w:val="24"/>
        </w:rPr>
      </w:pPr>
      <w:r>
        <w:rPr>
          <w:rFonts w:ascii="宋体" w:hAnsi="宋体"/>
          <w:sz w:val="24"/>
        </w:rPr>
        <w:t>3.7.2 投标文件应当对招标文件有关工期、投标有效期、质量要求、技术标准和要求、招标范围等实质性内容作出响应。</w:t>
      </w:r>
    </w:p>
    <w:p>
      <w:pPr>
        <w:adjustRightInd w:val="0"/>
        <w:snapToGrid w:val="0"/>
        <w:spacing w:line="400" w:lineRule="exact"/>
        <w:ind w:firstLine="480" w:firstLineChars="200"/>
        <w:rPr>
          <w:rFonts w:ascii="宋体" w:hAnsi="宋体"/>
          <w:sz w:val="24"/>
        </w:rPr>
      </w:pPr>
      <w:r>
        <w:rPr>
          <w:rFonts w:ascii="宋体" w:hAnsi="宋体"/>
          <w:sz w:val="24"/>
        </w:rPr>
        <w:t xml:space="preserve">3.7.3 </w:t>
      </w:r>
      <w:r>
        <w:rPr>
          <w:rFonts w:hint="eastAsia" w:ascii="宋体" w:hAnsi="宋体"/>
          <w:sz w:val="24"/>
        </w:rPr>
        <w:t>投标</w:t>
      </w:r>
      <w:r>
        <w:rPr>
          <w:rFonts w:hint="eastAsia" w:ascii="宋体" w:hAnsi="宋体"/>
          <w:sz w:val="24"/>
          <w:highlight w:val="none"/>
        </w:rPr>
        <w:t>文件应用不褪色的材料书写或打印，投标函及投标函附录、承诺函、已标价工程量清单（包括工程量清单说明、投标报价说明、计日工说明、其他说明及工程量清单各项表格&lt;调价函及调价后的工程量清单（如有）的内容应由投标人的法定代表人或其委托代理人逐页签署姓名（本页正文内容已由投标人的法定代表人或其委托代理人签署姓名的可不签署）并逐页加盖投标人单位章（本页正文内容已加盖单</w:t>
      </w:r>
      <w:r>
        <w:rPr>
          <w:rFonts w:hint="eastAsia" w:ascii="宋体" w:hAnsi="宋体"/>
          <w:sz w:val="24"/>
        </w:rPr>
        <w:t>位章的除外）。</w:t>
      </w:r>
    </w:p>
    <w:p>
      <w:pPr>
        <w:adjustRightInd w:val="0"/>
        <w:snapToGrid w:val="0"/>
        <w:spacing w:line="400" w:lineRule="exact"/>
        <w:ind w:firstLine="480" w:firstLineChars="200"/>
        <w:rPr>
          <w:rFonts w:ascii="宋体" w:hAnsi="宋体"/>
          <w:sz w:val="24"/>
        </w:rPr>
      </w:pPr>
      <w:r>
        <w:rPr>
          <w:rFonts w:hint="eastAsia" w:ascii="宋体" w:hAnsi="宋体"/>
          <w:sz w:val="24"/>
        </w:rPr>
        <w:t>如果投标文件由委托代理人签署，则投标人需提交附有法定代表人身份证明的授权委托书，授权委托书应按规定的书面方式出具，并由法定代表人和委托代理人亲笔签名，不得使用印章、签名章或其他电子制版签名。</w:t>
      </w:r>
    </w:p>
    <w:p>
      <w:pPr>
        <w:adjustRightInd w:val="0"/>
        <w:snapToGrid w:val="0"/>
        <w:spacing w:line="400" w:lineRule="exact"/>
        <w:ind w:firstLine="480" w:firstLineChars="200"/>
        <w:rPr>
          <w:rFonts w:ascii="宋体" w:hAnsi="宋体"/>
          <w:sz w:val="24"/>
        </w:rPr>
      </w:pPr>
      <w:r>
        <w:rPr>
          <w:rFonts w:hint="eastAsia" w:ascii="宋体" w:hAnsi="宋体"/>
          <w:sz w:val="24"/>
        </w:rPr>
        <w:t>如果由投标人的法定代表人亲自签署投标文件，则不需提交授权委托书。</w:t>
      </w:r>
    </w:p>
    <w:p>
      <w:pPr>
        <w:adjustRightInd w:val="0"/>
        <w:snapToGrid w:val="0"/>
        <w:spacing w:line="400" w:lineRule="exact"/>
        <w:ind w:firstLine="480" w:firstLineChars="200"/>
        <w:rPr>
          <w:rFonts w:ascii="宋体" w:hAnsi="宋体"/>
          <w:sz w:val="24"/>
        </w:rPr>
      </w:pPr>
      <w:r>
        <w:rPr>
          <w:rFonts w:hint="eastAsia" w:ascii="宋体" w:hAnsi="宋体"/>
          <w:sz w:val="24"/>
        </w:rPr>
        <w:t>投标文件应尽量避免涂改、行间插字或删除。如果出现上述情况，改动之处应加盖单位章或由投标人的法定代表人或其授权的代理人签字确认。</w:t>
      </w:r>
    </w:p>
    <w:p>
      <w:pPr>
        <w:adjustRightInd w:val="0"/>
        <w:snapToGrid w:val="0"/>
        <w:spacing w:line="400" w:lineRule="exact"/>
        <w:ind w:firstLine="480" w:firstLineChars="200"/>
        <w:rPr>
          <w:rFonts w:ascii="宋体" w:hAnsi="宋体"/>
          <w:sz w:val="24"/>
        </w:rPr>
      </w:pPr>
      <w:r>
        <w:rPr>
          <w:rFonts w:hint="eastAsia" w:ascii="宋体" w:hAnsi="宋体"/>
          <w:sz w:val="24"/>
        </w:rPr>
        <w:t>签字或盖章的其他要求见投标人须知前附表。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3.7.4 投标文件正本一份</w:t>
      </w:r>
      <w:r>
        <w:rPr>
          <w:rFonts w:hint="eastAsia" w:ascii="宋体" w:hAnsi="宋体"/>
          <w:sz w:val="24"/>
        </w:rPr>
        <w:t>，</w:t>
      </w:r>
      <w:r>
        <w:rPr>
          <w:rFonts w:ascii="宋体" w:hAnsi="宋体"/>
          <w:sz w:val="24"/>
        </w:rPr>
        <w:t>副本份数见投标人须知前附表。正本和副本的封面上应清楚地标记“正本”或“副本”的字样。当副本和正本不一致时，以正本为准。</w:t>
      </w:r>
    </w:p>
    <w:p>
      <w:pPr>
        <w:adjustRightInd w:val="0"/>
        <w:snapToGrid w:val="0"/>
        <w:spacing w:line="400" w:lineRule="exact"/>
        <w:ind w:firstLine="480" w:firstLineChars="200"/>
        <w:rPr>
          <w:rFonts w:ascii="隶书" w:hAnsi="宋体" w:eastAsia="隶书"/>
          <w:sz w:val="24"/>
        </w:rPr>
      </w:pPr>
      <w:r>
        <w:rPr>
          <w:rFonts w:ascii="宋体" w:hAnsi="宋体"/>
          <w:sz w:val="24"/>
        </w:rPr>
        <w:t>3.7.5 投标文件的正本与副本应分别装订成册</w:t>
      </w:r>
      <w:r>
        <w:rPr>
          <w:rFonts w:hint="eastAsia" w:ascii="宋体" w:hAnsi="宋体"/>
          <w:sz w:val="24"/>
        </w:rPr>
        <w:t>（A4纸幅）</w:t>
      </w:r>
      <w:r>
        <w:rPr>
          <w:rFonts w:ascii="宋体" w:hAnsi="宋体"/>
          <w:sz w:val="24"/>
        </w:rPr>
        <w:t>，并编制目录</w:t>
      </w:r>
      <w:r>
        <w:rPr>
          <w:rFonts w:hint="eastAsia" w:ascii="宋体" w:hAnsi="宋体"/>
          <w:sz w:val="24"/>
        </w:rPr>
        <w:t>、且逐页标注连续页码。投标文件不得采用活页夹装订，否则，招标人对由于投标文件装订松散而造成的丢失或其他后果不承担任何责任。装订的其他要求见投标人须知前附表。</w:t>
      </w:r>
    </w:p>
    <w:p>
      <w:pPr>
        <w:pStyle w:val="4"/>
        <w:keepNext w:val="0"/>
        <w:keepLines w:val="0"/>
        <w:adjustRightInd w:val="0"/>
        <w:snapToGrid w:val="0"/>
        <w:spacing w:beforeLines="50" w:after="0" w:line="400" w:lineRule="exact"/>
        <w:rPr>
          <w:rFonts w:ascii="宋体" w:hAnsi="宋体"/>
          <w:sz w:val="24"/>
          <w:szCs w:val="24"/>
        </w:rPr>
      </w:pPr>
      <w:bookmarkStart w:id="102" w:name="_Toc234382616"/>
      <w:bookmarkStart w:id="103" w:name="_Toc486277889"/>
      <w:bookmarkStart w:id="104" w:name="_Toc3142"/>
      <w:bookmarkStart w:id="105" w:name="_Toc485889028"/>
      <w:r>
        <w:rPr>
          <w:rFonts w:ascii="宋体" w:hAnsi="宋体"/>
          <w:sz w:val="24"/>
          <w:szCs w:val="24"/>
        </w:rPr>
        <w:t>4. 投标</w:t>
      </w:r>
      <w:bookmarkEnd w:id="102"/>
      <w:bookmarkEnd w:id="103"/>
      <w:bookmarkEnd w:id="104"/>
      <w:bookmarkEnd w:id="105"/>
    </w:p>
    <w:p>
      <w:pPr>
        <w:pStyle w:val="4"/>
        <w:keepNext w:val="0"/>
        <w:keepLines w:val="0"/>
        <w:adjustRightInd w:val="0"/>
        <w:snapToGrid w:val="0"/>
        <w:spacing w:beforeLines="50" w:after="0" w:line="400" w:lineRule="exact"/>
        <w:rPr>
          <w:rFonts w:ascii="宋体" w:hAnsi="宋体"/>
          <w:sz w:val="24"/>
          <w:szCs w:val="24"/>
        </w:rPr>
      </w:pPr>
      <w:bookmarkStart w:id="106" w:name="_Toc485889029"/>
      <w:bookmarkStart w:id="107" w:name="_Toc234382617"/>
      <w:bookmarkStart w:id="108" w:name="_Toc486277890"/>
      <w:bookmarkStart w:id="109" w:name="_Toc26813"/>
      <w:r>
        <w:rPr>
          <w:rFonts w:ascii="宋体" w:hAnsi="宋体"/>
          <w:sz w:val="24"/>
          <w:szCs w:val="24"/>
        </w:rPr>
        <w:t>4.1 投标文件的密封和标记</w:t>
      </w:r>
      <w:bookmarkEnd w:id="106"/>
      <w:bookmarkEnd w:id="107"/>
      <w:bookmarkEnd w:id="108"/>
      <w:bookmarkEnd w:id="109"/>
    </w:p>
    <w:p>
      <w:pPr>
        <w:spacing w:line="400" w:lineRule="exact"/>
        <w:ind w:firstLine="480" w:firstLineChars="200"/>
        <w:rPr>
          <w:rFonts w:ascii="宋体" w:hAnsi="宋体"/>
          <w:sz w:val="24"/>
        </w:rPr>
      </w:pPr>
      <w:bookmarkStart w:id="110" w:name="_Toc485889030"/>
      <w:bookmarkStart w:id="111" w:name="_Toc31665"/>
      <w:bookmarkStart w:id="112" w:name="_Toc234382618"/>
      <w:bookmarkStart w:id="113" w:name="_Toc486277891"/>
      <w:r>
        <w:rPr>
          <w:rFonts w:hint="eastAsia" w:ascii="宋体" w:hAnsi="宋体"/>
          <w:sz w:val="24"/>
        </w:rPr>
        <w:t>4.1.1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如需要）以及填写完毕的工程量固化清单电子文件（若采用工程量固化清单形式）应与第二个信封（投标报价和工程量清单）正本包在同一个内层封套里，然后统一密封在一个外层封套中。内层和外层封套应加贴封条，内层封套的封口处应加盖投标人单位章。外层封套上不应有任何投标人的识别标志。</w:t>
      </w:r>
    </w:p>
    <w:p>
      <w:pPr>
        <w:spacing w:line="400" w:lineRule="exact"/>
        <w:ind w:firstLine="480" w:firstLineChars="200"/>
        <w:rPr>
          <w:rFonts w:ascii="宋体" w:hAnsi="宋体"/>
          <w:sz w:val="24"/>
        </w:rPr>
      </w:pPr>
      <w:r>
        <w:rPr>
          <w:rFonts w:ascii="宋体" w:hAnsi="宋体"/>
          <w:sz w:val="24"/>
        </w:rPr>
        <w:t>4.1.2</w:t>
      </w:r>
      <w:r>
        <w:rPr>
          <w:rFonts w:hint="eastAsia" w:ascii="宋体" w:hAnsi="宋体"/>
          <w:sz w:val="24"/>
        </w:rPr>
        <w:t xml:space="preserve"> 投标文件第一个信封（商务及技术文件）以及第二个信封（投标报价和工程量清单）</w:t>
      </w:r>
      <w:r>
        <w:rPr>
          <w:rFonts w:ascii="宋体" w:hAnsi="宋体"/>
          <w:sz w:val="24"/>
        </w:rPr>
        <w:t>封套上应写明的其他内容见投标人须知前附表。</w:t>
      </w:r>
    </w:p>
    <w:p>
      <w:pPr>
        <w:spacing w:line="400" w:lineRule="exact"/>
        <w:ind w:firstLine="480" w:firstLineChars="200"/>
        <w:rPr>
          <w:rFonts w:ascii="宋体" w:hAnsi="宋体"/>
          <w:sz w:val="24"/>
        </w:rPr>
      </w:pPr>
      <w:r>
        <w:rPr>
          <w:rFonts w:ascii="宋体" w:hAnsi="宋体"/>
          <w:sz w:val="24"/>
        </w:rPr>
        <w:t>4.1.3 未按本章第4.1.1项或第4.1.2项要求密封和加写标记的投标文件，招标人不予受理。</w:t>
      </w: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4.2 投标文件的递交</w:t>
      </w:r>
      <w:bookmarkEnd w:id="110"/>
      <w:bookmarkEnd w:id="111"/>
      <w:bookmarkEnd w:id="112"/>
      <w:bookmarkEnd w:id="113"/>
    </w:p>
    <w:p>
      <w:pPr>
        <w:adjustRightInd w:val="0"/>
        <w:snapToGrid w:val="0"/>
        <w:spacing w:line="400" w:lineRule="exact"/>
        <w:ind w:firstLine="480" w:firstLineChars="200"/>
        <w:rPr>
          <w:rFonts w:ascii="宋体" w:hAnsi="宋体"/>
          <w:sz w:val="24"/>
        </w:rPr>
      </w:pPr>
      <w:r>
        <w:rPr>
          <w:rFonts w:ascii="宋体" w:hAnsi="宋体"/>
          <w:sz w:val="24"/>
        </w:rPr>
        <w:t>4.2.1 投标人应</w:t>
      </w:r>
      <w:r>
        <w:rPr>
          <w:rFonts w:hint="eastAsia" w:ascii="宋体" w:hAnsi="宋体"/>
          <w:sz w:val="24"/>
        </w:rPr>
        <w:t>在</w:t>
      </w:r>
      <w:r>
        <w:rPr>
          <w:rFonts w:ascii="宋体" w:hAnsi="宋体"/>
          <w:sz w:val="24"/>
        </w:rPr>
        <w:t>规定的投标截止时间前递交投标文件。</w:t>
      </w:r>
    </w:p>
    <w:p>
      <w:pPr>
        <w:adjustRightInd w:val="0"/>
        <w:snapToGrid w:val="0"/>
        <w:spacing w:line="400" w:lineRule="exact"/>
        <w:ind w:firstLine="480" w:firstLineChars="200"/>
        <w:rPr>
          <w:rFonts w:ascii="宋体" w:hAnsi="宋体"/>
          <w:sz w:val="24"/>
        </w:rPr>
      </w:pPr>
      <w:r>
        <w:rPr>
          <w:rFonts w:ascii="宋体" w:hAnsi="宋体"/>
          <w:sz w:val="24"/>
        </w:rPr>
        <w:t>4.2.2 投标人递交投标文件的地点：见投标人须知前附表。</w:t>
      </w:r>
    </w:p>
    <w:p>
      <w:pPr>
        <w:adjustRightInd w:val="0"/>
        <w:snapToGrid w:val="0"/>
        <w:spacing w:line="400" w:lineRule="exact"/>
        <w:ind w:firstLine="480" w:firstLineChars="200"/>
        <w:rPr>
          <w:rFonts w:ascii="宋体" w:hAnsi="宋体"/>
          <w:sz w:val="24"/>
        </w:rPr>
      </w:pPr>
      <w:r>
        <w:rPr>
          <w:rFonts w:ascii="宋体" w:hAnsi="宋体"/>
          <w:sz w:val="24"/>
        </w:rPr>
        <w:t>4.2.3 除投标人须知前附表另有规定外，投标人所递交的投标文件不予退还。</w:t>
      </w:r>
    </w:p>
    <w:p>
      <w:pPr>
        <w:adjustRightInd w:val="0"/>
        <w:snapToGrid w:val="0"/>
        <w:spacing w:line="400" w:lineRule="exact"/>
        <w:ind w:firstLine="480" w:firstLineChars="200"/>
        <w:rPr>
          <w:rFonts w:ascii="宋体" w:hAnsi="宋体"/>
          <w:sz w:val="24"/>
        </w:rPr>
      </w:pPr>
      <w:r>
        <w:rPr>
          <w:rFonts w:ascii="宋体" w:hAnsi="宋体"/>
          <w:sz w:val="24"/>
        </w:rPr>
        <w:t>4.2.</w:t>
      </w:r>
      <w:r>
        <w:rPr>
          <w:rFonts w:hint="eastAsia" w:ascii="宋体" w:hAnsi="宋体"/>
          <w:sz w:val="24"/>
        </w:rPr>
        <w:t>4</w:t>
      </w:r>
      <w:r>
        <w:rPr>
          <w:rFonts w:ascii="宋体" w:hAnsi="宋体"/>
          <w:sz w:val="24"/>
        </w:rPr>
        <w:t xml:space="preserve"> 逾期送达的或者未送达指定地点的投标文件，招标人不予受理。</w:t>
      </w:r>
    </w:p>
    <w:p>
      <w:pPr>
        <w:adjustRightInd w:val="0"/>
        <w:snapToGrid w:val="0"/>
        <w:spacing w:line="400" w:lineRule="exact"/>
        <w:ind w:firstLine="480" w:firstLineChars="200"/>
        <w:rPr>
          <w:rFonts w:ascii="宋体" w:hAnsi="宋体"/>
          <w:sz w:val="24"/>
        </w:rPr>
      </w:pPr>
      <w:r>
        <w:rPr>
          <w:rFonts w:hint="eastAsia" w:ascii="宋体" w:hAnsi="宋体"/>
          <w:sz w:val="24"/>
        </w:rPr>
        <w:t>4.2.5在特殊情况下，招标人如果决定延后递交投标截止时间，应在投标人须知前附表规定的时间前，</w:t>
      </w:r>
      <w:r>
        <w:rPr>
          <w:rFonts w:hint="eastAsia" w:hAnsi="宋体"/>
          <w:spacing w:val="2"/>
          <w:sz w:val="24"/>
        </w:rPr>
        <w:t>通过</w:t>
      </w:r>
      <w:r>
        <w:rPr>
          <w:rFonts w:hint="eastAsia" w:ascii="宋体" w:hAnsi="宋体"/>
          <w:spacing w:val="2"/>
          <w:sz w:val="24"/>
        </w:rPr>
        <w:t>公共资源交易系统电子平台</w:t>
      </w:r>
      <w:r>
        <w:rPr>
          <w:rFonts w:hint="eastAsia" w:ascii="宋体" w:hAnsi="宋体"/>
          <w:sz w:val="24"/>
        </w:rPr>
        <w:t>延后投标截止时间。在此情况下，招标人和投标人的权利和义务相应延后至新的投标截止时间。</w:t>
      </w:r>
    </w:p>
    <w:p>
      <w:pPr>
        <w:pStyle w:val="4"/>
        <w:keepNext w:val="0"/>
        <w:keepLines w:val="0"/>
        <w:adjustRightInd w:val="0"/>
        <w:snapToGrid w:val="0"/>
        <w:spacing w:beforeLines="50" w:after="0" w:line="400" w:lineRule="exact"/>
        <w:rPr>
          <w:rFonts w:ascii="宋体" w:hAnsi="宋体"/>
          <w:sz w:val="24"/>
          <w:szCs w:val="24"/>
        </w:rPr>
      </w:pPr>
      <w:bookmarkStart w:id="114" w:name="_Toc485889031"/>
      <w:bookmarkStart w:id="115" w:name="_Toc30135"/>
      <w:bookmarkStart w:id="116" w:name="_Toc486277892"/>
      <w:bookmarkStart w:id="117" w:name="_Toc234382619"/>
      <w:r>
        <w:rPr>
          <w:rFonts w:ascii="宋体" w:hAnsi="宋体"/>
          <w:sz w:val="24"/>
          <w:szCs w:val="24"/>
        </w:rPr>
        <w:t>4.3 投标文件的修改与撤回</w:t>
      </w:r>
      <w:bookmarkEnd w:id="114"/>
      <w:bookmarkEnd w:id="115"/>
      <w:bookmarkEnd w:id="116"/>
      <w:bookmarkEnd w:id="117"/>
    </w:p>
    <w:p>
      <w:pPr>
        <w:adjustRightInd w:val="0"/>
        <w:snapToGrid w:val="0"/>
        <w:spacing w:line="400" w:lineRule="exact"/>
        <w:ind w:firstLine="480" w:firstLineChars="200"/>
        <w:rPr>
          <w:rFonts w:ascii="宋体" w:hAnsi="宋体"/>
          <w:sz w:val="24"/>
        </w:rPr>
      </w:pPr>
      <w:r>
        <w:rPr>
          <w:rFonts w:ascii="宋体" w:hAnsi="宋体"/>
          <w:sz w:val="24"/>
        </w:rPr>
        <w:t>4.3.1 在本章第 2.2.2 项规定的投标截止时间前，投标人可以修改或撤回已递交的投标文件，但应以书面形式通知招标人。</w:t>
      </w:r>
    </w:p>
    <w:p>
      <w:pPr>
        <w:adjustRightInd w:val="0"/>
        <w:snapToGrid w:val="0"/>
        <w:spacing w:line="400" w:lineRule="exact"/>
        <w:ind w:firstLine="480" w:firstLineChars="200"/>
        <w:rPr>
          <w:rFonts w:ascii="宋体" w:hAnsi="宋体"/>
          <w:sz w:val="24"/>
        </w:rPr>
      </w:pPr>
      <w:r>
        <w:rPr>
          <w:rFonts w:ascii="宋体" w:hAnsi="宋体"/>
          <w:sz w:val="24"/>
        </w:rPr>
        <w:t>4.3.2 投标人修改或撤回已递交投标文件的书面通知应按照本章第 3.7.3 项的要求签字或盖章。招标人收到书面通知后，向投标人出具签收凭证。</w:t>
      </w:r>
    </w:p>
    <w:p>
      <w:pPr>
        <w:adjustRightInd w:val="0"/>
        <w:snapToGrid w:val="0"/>
        <w:spacing w:line="400" w:lineRule="exact"/>
        <w:ind w:firstLine="480" w:firstLineChars="200"/>
        <w:rPr>
          <w:rFonts w:ascii="宋体" w:hAnsi="宋体"/>
          <w:sz w:val="24"/>
        </w:rPr>
      </w:pPr>
      <w:r>
        <w:rPr>
          <w:rFonts w:ascii="宋体" w:hAnsi="宋体"/>
          <w:sz w:val="24"/>
        </w:rPr>
        <w:t>4.3.3 修改的内容为投标文件的组成部分。修改的投标文件应按照本章第3条、第4条规定进行编制、密封、标记和递交，并标明“修改”字样。</w:t>
      </w:r>
    </w:p>
    <w:p>
      <w:pPr>
        <w:pStyle w:val="4"/>
        <w:keepNext w:val="0"/>
        <w:keepLines w:val="0"/>
        <w:adjustRightInd w:val="0"/>
        <w:snapToGrid w:val="0"/>
        <w:spacing w:beforeLines="50" w:after="0" w:line="400" w:lineRule="exact"/>
        <w:rPr>
          <w:rFonts w:ascii="宋体" w:hAnsi="宋体"/>
          <w:sz w:val="24"/>
          <w:szCs w:val="24"/>
        </w:rPr>
      </w:pPr>
      <w:bookmarkStart w:id="118" w:name="_Toc11058"/>
      <w:bookmarkStart w:id="119" w:name="_Toc485889032"/>
      <w:bookmarkStart w:id="120" w:name="_Toc234382620"/>
      <w:bookmarkStart w:id="121" w:name="_Toc486277893"/>
      <w:r>
        <w:rPr>
          <w:rFonts w:ascii="宋体" w:hAnsi="宋体"/>
          <w:sz w:val="24"/>
          <w:szCs w:val="24"/>
        </w:rPr>
        <w:t>5. 开标</w:t>
      </w:r>
      <w:bookmarkEnd w:id="118"/>
      <w:bookmarkEnd w:id="119"/>
      <w:bookmarkEnd w:id="120"/>
      <w:bookmarkEnd w:id="121"/>
    </w:p>
    <w:p>
      <w:pPr>
        <w:pStyle w:val="4"/>
        <w:keepNext w:val="0"/>
        <w:keepLines w:val="0"/>
        <w:adjustRightInd w:val="0"/>
        <w:snapToGrid w:val="0"/>
        <w:spacing w:beforeLines="50" w:after="0" w:line="400" w:lineRule="exact"/>
        <w:rPr>
          <w:rFonts w:ascii="宋体" w:hAnsi="宋体"/>
          <w:sz w:val="24"/>
          <w:szCs w:val="24"/>
        </w:rPr>
      </w:pPr>
      <w:bookmarkStart w:id="122" w:name="_Toc485889033"/>
      <w:bookmarkStart w:id="123" w:name="_Toc234382622"/>
      <w:bookmarkStart w:id="124" w:name="_Toc11150"/>
      <w:bookmarkStart w:id="125" w:name="_Toc486277894"/>
      <w:r>
        <w:rPr>
          <w:rFonts w:ascii="宋体" w:hAnsi="宋体"/>
          <w:sz w:val="24"/>
          <w:szCs w:val="24"/>
        </w:rPr>
        <w:t>5.1 开标时间和地点</w:t>
      </w:r>
      <w:bookmarkEnd w:id="122"/>
      <w:bookmarkEnd w:id="123"/>
      <w:bookmarkEnd w:id="124"/>
      <w:bookmarkEnd w:id="125"/>
    </w:p>
    <w:p>
      <w:pPr>
        <w:adjustRightInd w:val="0"/>
        <w:snapToGrid w:val="0"/>
        <w:spacing w:line="400" w:lineRule="exact"/>
        <w:ind w:firstLine="480" w:firstLineChars="200"/>
        <w:rPr>
          <w:rFonts w:ascii="宋体" w:hAnsi="宋体"/>
          <w:sz w:val="24"/>
        </w:rPr>
      </w:pPr>
      <w:r>
        <w:rPr>
          <w:rFonts w:ascii="宋体" w:hAnsi="宋体"/>
          <w:sz w:val="24"/>
        </w:rPr>
        <w:t>招标人在投标人须知前附表第 2.2.2 项规定的投标截止时间（开标时间）和投标人须知</w:t>
      </w:r>
      <w:r>
        <w:rPr>
          <w:rFonts w:hint="eastAsia" w:asciiTheme="minorEastAsia" w:hAnsiTheme="minorEastAsia" w:eastAsiaTheme="minorEastAsia" w:cstheme="minorEastAsia"/>
          <w:sz w:val="24"/>
          <w:highlight w:val="none"/>
        </w:rPr>
        <w:t>前附表</w:t>
      </w:r>
      <w:r>
        <w:rPr>
          <w:rFonts w:ascii="宋体" w:hAnsi="宋体"/>
          <w:sz w:val="24"/>
        </w:rPr>
        <w:t>规定的地点</w:t>
      </w:r>
      <w:r>
        <w:rPr>
          <w:rFonts w:hint="eastAsia" w:ascii="宋体" w:hAnsi="宋体"/>
          <w:sz w:val="24"/>
        </w:rPr>
        <w:t>对收到的投标文件第一个信封（商务及技术文件）</w:t>
      </w:r>
      <w:r>
        <w:rPr>
          <w:rFonts w:ascii="宋体" w:hAnsi="宋体"/>
          <w:sz w:val="24"/>
        </w:rPr>
        <w:t>公开开标，并邀请所有投标人的法定代表人或其委托代理人准时参加。</w:t>
      </w:r>
    </w:p>
    <w:p>
      <w:pPr>
        <w:adjustRightInd w:val="0"/>
        <w:snapToGrid w:val="0"/>
        <w:spacing w:line="400" w:lineRule="exact"/>
        <w:ind w:firstLine="480" w:firstLineChars="200"/>
        <w:rPr>
          <w:rFonts w:ascii="宋体" w:hAnsi="宋体"/>
          <w:sz w:val="24"/>
        </w:rPr>
      </w:pPr>
      <w:r>
        <w:rPr>
          <w:rFonts w:hint="eastAsia" w:ascii="宋体" w:hAnsi="宋体"/>
          <w:sz w:val="24"/>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pPr>
        <w:pStyle w:val="4"/>
        <w:keepNext w:val="0"/>
        <w:keepLines w:val="0"/>
        <w:adjustRightInd w:val="0"/>
        <w:snapToGrid w:val="0"/>
        <w:spacing w:beforeLines="50" w:after="0" w:line="400" w:lineRule="exact"/>
        <w:rPr>
          <w:rFonts w:ascii="宋体" w:hAnsi="宋体"/>
          <w:sz w:val="24"/>
          <w:szCs w:val="24"/>
        </w:rPr>
      </w:pPr>
      <w:bookmarkStart w:id="126" w:name="_Toc26054"/>
      <w:bookmarkStart w:id="127" w:name="_Toc486277895"/>
      <w:bookmarkStart w:id="128" w:name="_Toc485889034"/>
      <w:bookmarkStart w:id="129" w:name="_Toc234382624"/>
      <w:r>
        <w:rPr>
          <w:rFonts w:ascii="宋体" w:hAnsi="宋体"/>
          <w:sz w:val="24"/>
          <w:szCs w:val="24"/>
        </w:rPr>
        <w:t>5.2 开标程序</w:t>
      </w:r>
      <w:bookmarkEnd w:id="126"/>
      <w:bookmarkEnd w:id="127"/>
      <w:bookmarkEnd w:id="128"/>
      <w:bookmarkEnd w:id="129"/>
    </w:p>
    <w:p>
      <w:pPr>
        <w:adjustRightInd w:val="0"/>
        <w:snapToGrid w:val="0"/>
        <w:spacing w:line="400" w:lineRule="exact"/>
        <w:ind w:firstLine="480" w:firstLineChars="200"/>
        <w:rPr>
          <w:rFonts w:ascii="宋体" w:hAnsi="宋体"/>
          <w:sz w:val="24"/>
        </w:rPr>
      </w:pPr>
      <w:r>
        <w:rPr>
          <w:rFonts w:hint="eastAsia" w:ascii="宋体" w:hAnsi="宋体"/>
          <w:sz w:val="24"/>
        </w:rPr>
        <w:t xml:space="preserve">5.2.1 </w:t>
      </w:r>
      <w:r>
        <w:rPr>
          <w:rFonts w:ascii="宋体" w:hAnsi="宋体"/>
          <w:sz w:val="24"/>
        </w:rPr>
        <w:t>主持人按下列程序</w:t>
      </w:r>
      <w:r>
        <w:rPr>
          <w:rFonts w:hint="eastAsia" w:ascii="宋体" w:hAnsi="宋体"/>
          <w:sz w:val="24"/>
        </w:rPr>
        <w:t>对投标文件第一个信封（商务及技术文件）</w:t>
      </w:r>
      <w:r>
        <w:rPr>
          <w:rFonts w:ascii="宋体" w:hAnsi="宋体"/>
          <w:sz w:val="24"/>
        </w:rPr>
        <w:t>进行开标：</w:t>
      </w:r>
    </w:p>
    <w:p>
      <w:pPr>
        <w:adjustRightInd w:val="0"/>
        <w:snapToGrid w:val="0"/>
        <w:spacing w:line="400" w:lineRule="exact"/>
        <w:ind w:firstLine="480" w:firstLineChars="200"/>
        <w:rPr>
          <w:rFonts w:ascii="宋体" w:hAnsi="宋体"/>
          <w:sz w:val="24"/>
        </w:rPr>
      </w:pPr>
      <w:r>
        <w:rPr>
          <w:rFonts w:ascii="宋体" w:hAnsi="宋体"/>
          <w:sz w:val="24"/>
        </w:rPr>
        <w:t>（1）宣布开标纪律；</w:t>
      </w:r>
    </w:p>
    <w:p>
      <w:pPr>
        <w:adjustRightInd w:val="0"/>
        <w:snapToGrid w:val="0"/>
        <w:spacing w:line="400" w:lineRule="exact"/>
        <w:ind w:firstLine="480" w:firstLineChars="200"/>
        <w:rPr>
          <w:rFonts w:ascii="宋体" w:hAnsi="宋体"/>
          <w:sz w:val="24"/>
        </w:rPr>
      </w:pPr>
      <w:r>
        <w:rPr>
          <w:rFonts w:ascii="宋体" w:hAnsi="宋体"/>
          <w:sz w:val="24"/>
        </w:rPr>
        <w:t>（2）公布在投标截止时间前递交投标文件的投标人名称，并点名确认投标人是否派人到场；</w:t>
      </w:r>
    </w:p>
    <w:p>
      <w:pPr>
        <w:adjustRightInd w:val="0"/>
        <w:snapToGrid w:val="0"/>
        <w:spacing w:line="400" w:lineRule="exact"/>
        <w:ind w:firstLine="480" w:firstLineChars="200"/>
        <w:rPr>
          <w:rFonts w:ascii="宋体" w:hAnsi="宋体"/>
          <w:sz w:val="24"/>
        </w:rPr>
      </w:pPr>
      <w:r>
        <w:rPr>
          <w:rFonts w:ascii="宋体" w:hAnsi="宋体"/>
          <w:sz w:val="24"/>
        </w:rPr>
        <w:t>（3）宣布开标人、唱标人、记录人、监标人等有关人员姓名；</w:t>
      </w:r>
    </w:p>
    <w:p>
      <w:pPr>
        <w:adjustRightInd w:val="0"/>
        <w:snapToGrid w:val="0"/>
        <w:spacing w:line="400" w:lineRule="exact"/>
        <w:ind w:firstLine="480" w:firstLineChars="200"/>
        <w:rPr>
          <w:rFonts w:ascii="宋体" w:hAnsi="宋体"/>
          <w:sz w:val="24"/>
        </w:rPr>
      </w:pPr>
      <w:r>
        <w:rPr>
          <w:rFonts w:ascii="宋体" w:hAnsi="宋体"/>
          <w:sz w:val="24"/>
        </w:rPr>
        <w:t>（4）按照投标人须知前附表规定检查投标文件的密封情况；</w:t>
      </w:r>
    </w:p>
    <w:p>
      <w:pPr>
        <w:adjustRightInd w:val="0"/>
        <w:snapToGrid w:val="0"/>
        <w:spacing w:line="400" w:lineRule="exact"/>
        <w:ind w:firstLine="480" w:firstLineChars="200"/>
        <w:rPr>
          <w:rFonts w:ascii="宋体" w:hAnsi="宋体"/>
          <w:sz w:val="24"/>
        </w:rPr>
      </w:pPr>
      <w:r>
        <w:rPr>
          <w:rFonts w:ascii="宋体" w:hAnsi="宋体"/>
          <w:sz w:val="24"/>
        </w:rPr>
        <w:t>（5）按照投标人须知前附表的规定确定并宣布投标文件开标顺序；</w:t>
      </w:r>
    </w:p>
    <w:p>
      <w:pPr>
        <w:adjustRightInd w:val="0"/>
        <w:snapToGrid w:val="0"/>
        <w:spacing w:line="400" w:lineRule="exact"/>
        <w:ind w:firstLine="480" w:firstLineChars="200"/>
        <w:rPr>
          <w:rFonts w:ascii="宋体" w:hAnsi="宋体"/>
          <w:sz w:val="24"/>
        </w:rPr>
      </w:pPr>
      <w:r>
        <w:rPr>
          <w:rFonts w:ascii="宋体" w:hAnsi="宋体"/>
          <w:sz w:val="24"/>
        </w:rPr>
        <w:t>（6）按照宣布的开标顺序当众开标，公布投标人名称、标段名称、投标保证金的递交情况、质量目标、工期及其他内容，并记录在案；</w:t>
      </w:r>
    </w:p>
    <w:p>
      <w:pPr>
        <w:adjustRightInd w:val="0"/>
        <w:snapToGrid w:val="0"/>
        <w:spacing w:line="400" w:lineRule="exact"/>
        <w:ind w:firstLine="480" w:firstLineChars="200"/>
        <w:rPr>
          <w:rFonts w:ascii="宋体" w:hAnsi="宋体"/>
          <w:sz w:val="24"/>
        </w:rPr>
      </w:pPr>
      <w:r>
        <w:rPr>
          <w:rFonts w:ascii="宋体" w:hAnsi="宋体"/>
          <w:sz w:val="24"/>
        </w:rPr>
        <w:t>（7）投标人代表、招标人代表、监标人、记录人等有关人员在开标记录上签字确认；</w:t>
      </w:r>
    </w:p>
    <w:p>
      <w:pPr>
        <w:adjustRightInd w:val="0"/>
        <w:snapToGrid w:val="0"/>
        <w:spacing w:line="400" w:lineRule="exact"/>
        <w:ind w:firstLine="480" w:firstLineChars="200"/>
        <w:rPr>
          <w:rFonts w:ascii="宋体" w:hAnsi="宋体"/>
          <w:sz w:val="24"/>
        </w:rPr>
      </w:pPr>
      <w:r>
        <w:rPr>
          <w:rFonts w:ascii="宋体" w:hAnsi="宋体"/>
          <w:sz w:val="24"/>
        </w:rPr>
        <w:t>（8）开标</w:t>
      </w:r>
      <w:r>
        <w:rPr>
          <w:rFonts w:hint="eastAsia" w:ascii="宋体" w:hAnsi="宋体"/>
          <w:sz w:val="24"/>
        </w:rPr>
        <w:t>会议</w:t>
      </w:r>
      <w:r>
        <w:rPr>
          <w:rFonts w:ascii="宋体" w:hAnsi="宋体"/>
          <w:sz w:val="24"/>
        </w:rPr>
        <w:t>结束。</w:t>
      </w:r>
    </w:p>
    <w:p>
      <w:pPr>
        <w:adjustRightInd w:val="0"/>
        <w:snapToGrid w:val="0"/>
        <w:spacing w:line="400" w:lineRule="exact"/>
        <w:ind w:firstLine="480" w:firstLineChars="200"/>
        <w:rPr>
          <w:rFonts w:ascii="宋体" w:hAnsi="宋体"/>
          <w:sz w:val="24"/>
        </w:rPr>
      </w:pPr>
      <w:r>
        <w:rPr>
          <w:rFonts w:hint="eastAsia" w:ascii="宋体" w:hAnsi="宋体"/>
          <w:sz w:val="24"/>
        </w:rPr>
        <w:t>5.2.2 若招标人宣读的内容与投标文件不符时，投标人有权在开标现场提出异议，经监标人当场核查确认之后，可重新宣读其投标文件。若投标人现场未提出异议，则认为投标人已确认招标人宣读的内容。</w:t>
      </w:r>
    </w:p>
    <w:p>
      <w:pPr>
        <w:adjustRightInd w:val="0"/>
        <w:snapToGrid w:val="0"/>
        <w:spacing w:line="400" w:lineRule="exact"/>
        <w:ind w:firstLine="480" w:firstLineChars="200"/>
        <w:rPr>
          <w:rFonts w:ascii="宋体" w:hAnsi="宋体"/>
          <w:sz w:val="24"/>
        </w:rPr>
      </w:pPr>
      <w:r>
        <w:rPr>
          <w:rFonts w:hint="eastAsia" w:ascii="宋体" w:hAnsi="宋体"/>
          <w:sz w:val="24"/>
        </w:rPr>
        <w:t>5.2.3 投标文件第二个信封（投标报价和工程量清单）不予开封，并交监标人密封保存。</w:t>
      </w:r>
    </w:p>
    <w:p>
      <w:pPr>
        <w:adjustRightInd w:val="0"/>
        <w:snapToGrid w:val="0"/>
        <w:spacing w:line="400" w:lineRule="exact"/>
        <w:ind w:firstLine="480" w:firstLineChars="200"/>
        <w:rPr>
          <w:rFonts w:ascii="宋体" w:hAnsi="宋体"/>
          <w:sz w:val="24"/>
        </w:rPr>
      </w:pPr>
      <w:r>
        <w:rPr>
          <w:rFonts w:hint="eastAsia" w:ascii="宋体" w:hAnsi="宋体"/>
          <w:sz w:val="24"/>
        </w:rPr>
        <w:t>5.2.4 招标人将按照本章第5.1款规定的时间和地点对投标文件第二个信封（投标报价和工程量清单）进行开标。主持人按下列程序进行开标：</w:t>
      </w:r>
    </w:p>
    <w:p>
      <w:pPr>
        <w:adjustRightInd w:val="0"/>
        <w:snapToGrid w:val="0"/>
        <w:spacing w:line="400" w:lineRule="exact"/>
        <w:ind w:firstLine="480" w:firstLineChars="200"/>
        <w:rPr>
          <w:rFonts w:ascii="宋体" w:hAnsi="宋体"/>
          <w:sz w:val="24"/>
        </w:rPr>
      </w:pPr>
      <w:r>
        <w:rPr>
          <w:rFonts w:hint="eastAsia" w:ascii="宋体" w:hAnsi="宋体"/>
          <w:sz w:val="24"/>
        </w:rPr>
        <w:t>（1）宣布开标纪律；</w:t>
      </w:r>
    </w:p>
    <w:p>
      <w:pPr>
        <w:adjustRightInd w:val="0"/>
        <w:snapToGrid w:val="0"/>
        <w:spacing w:line="400" w:lineRule="exact"/>
        <w:ind w:firstLine="480" w:firstLineChars="200"/>
        <w:rPr>
          <w:rFonts w:ascii="宋体" w:hAnsi="宋体"/>
          <w:sz w:val="24"/>
        </w:rPr>
      </w:pPr>
      <w:r>
        <w:rPr>
          <w:rFonts w:hint="eastAsia" w:ascii="宋体" w:hAnsi="宋体"/>
          <w:sz w:val="24"/>
        </w:rPr>
        <w:t>（2）当众拆开投标文件第一个信封（商务及技术文件）评审结果的密封袋，宣布通过投标文件第一个信封(商务及技术文件)评审的投标人名单，并点名确认投标人是否派人到场；</w:t>
      </w:r>
    </w:p>
    <w:p>
      <w:pPr>
        <w:adjustRightInd w:val="0"/>
        <w:snapToGrid w:val="0"/>
        <w:spacing w:line="400" w:lineRule="exact"/>
        <w:ind w:firstLine="480" w:firstLineChars="200"/>
        <w:rPr>
          <w:rFonts w:ascii="宋体" w:hAnsi="宋体"/>
          <w:sz w:val="24"/>
        </w:rPr>
      </w:pPr>
      <w:r>
        <w:rPr>
          <w:rFonts w:hint="eastAsia" w:ascii="宋体" w:hAnsi="宋体"/>
          <w:sz w:val="24"/>
        </w:rPr>
        <w:t>（3）宣布开标人、唱标人、记录人、监标人等有关人员姓名；</w:t>
      </w:r>
    </w:p>
    <w:p>
      <w:pPr>
        <w:adjustRightInd w:val="0"/>
        <w:snapToGrid w:val="0"/>
        <w:spacing w:line="400" w:lineRule="exact"/>
        <w:ind w:firstLine="480" w:firstLineChars="200"/>
        <w:rPr>
          <w:rFonts w:ascii="宋体" w:hAnsi="宋体"/>
          <w:sz w:val="24"/>
        </w:rPr>
      </w:pPr>
      <w:r>
        <w:rPr>
          <w:rFonts w:hint="eastAsia" w:ascii="宋体" w:hAnsi="宋体"/>
          <w:sz w:val="24"/>
        </w:rPr>
        <w:t>（4）按照投标人须知前附表规定检查投标文件情况；</w:t>
      </w:r>
    </w:p>
    <w:p>
      <w:pPr>
        <w:adjustRightInd w:val="0"/>
        <w:snapToGrid w:val="0"/>
        <w:spacing w:line="400" w:lineRule="exact"/>
        <w:ind w:firstLine="480" w:firstLineChars="200"/>
        <w:rPr>
          <w:rFonts w:ascii="宋体" w:hAnsi="宋体"/>
          <w:sz w:val="24"/>
        </w:rPr>
      </w:pPr>
      <w:r>
        <w:rPr>
          <w:rFonts w:hint="eastAsia" w:ascii="宋体" w:hAnsi="宋体"/>
          <w:sz w:val="24"/>
        </w:rPr>
        <w:t>（5）按照投标人须知前附表的规定确定并宣布投标文件开标顺序；</w:t>
      </w:r>
    </w:p>
    <w:p>
      <w:pPr>
        <w:adjustRightInd w:val="0"/>
        <w:snapToGrid w:val="0"/>
        <w:spacing w:line="400" w:lineRule="exact"/>
        <w:ind w:firstLine="480" w:firstLineChars="200"/>
        <w:rPr>
          <w:rFonts w:ascii="宋体" w:hAnsi="宋体"/>
          <w:sz w:val="24"/>
        </w:rPr>
      </w:pPr>
      <w:r>
        <w:rPr>
          <w:rFonts w:hint="eastAsia" w:ascii="宋体" w:hAnsi="宋体"/>
          <w:sz w:val="24"/>
        </w:rPr>
        <w:t>（6）设有标底的，公布标底；</w:t>
      </w:r>
    </w:p>
    <w:p>
      <w:pPr>
        <w:adjustRightInd w:val="0"/>
        <w:snapToGrid w:val="0"/>
        <w:spacing w:line="400" w:lineRule="exact"/>
        <w:ind w:firstLine="480" w:firstLineChars="200"/>
        <w:rPr>
          <w:rFonts w:ascii="宋体" w:hAnsi="宋体"/>
          <w:sz w:val="24"/>
        </w:rPr>
      </w:pPr>
      <w:r>
        <w:rPr>
          <w:rFonts w:hint="eastAsia" w:ascii="宋体" w:hAnsi="宋体"/>
          <w:sz w:val="24"/>
        </w:rPr>
        <w:t>（7）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w:t>
      </w:r>
      <w:r>
        <w:rPr>
          <w:rStyle w:val="17"/>
          <w:rFonts w:ascii="宋体" w:hAnsi="宋体"/>
          <w:sz w:val="24"/>
        </w:rPr>
        <w:footnoteReference w:id="0"/>
      </w:r>
      <w:r>
        <w:rPr>
          <w:rFonts w:hint="eastAsia" w:ascii="宋体" w:hAnsi="宋体"/>
          <w:sz w:val="24"/>
        </w:rPr>
        <w:t>及其他内容，并记录在案，将未通过投标文件第一个信封（商务及技术文件）评审的投标文件第二个信封（投标报价和工程量清单）退还给投标人；</w:t>
      </w:r>
    </w:p>
    <w:p>
      <w:pPr>
        <w:adjustRightInd w:val="0"/>
        <w:snapToGrid w:val="0"/>
        <w:spacing w:line="400" w:lineRule="exact"/>
        <w:ind w:firstLine="480" w:firstLineChars="200"/>
        <w:rPr>
          <w:rFonts w:ascii="宋体" w:hAnsi="宋体"/>
          <w:sz w:val="24"/>
        </w:rPr>
      </w:pPr>
      <w:r>
        <w:rPr>
          <w:rFonts w:hint="eastAsia" w:ascii="宋体" w:hAnsi="宋体"/>
          <w:sz w:val="24"/>
        </w:rPr>
        <w:t>（8）投标人代表、招标人代表、监标人、记录人等有关人员在开标记录上签字确认；</w:t>
      </w:r>
    </w:p>
    <w:p>
      <w:pPr>
        <w:adjustRightInd w:val="0"/>
        <w:snapToGrid w:val="0"/>
        <w:spacing w:line="400" w:lineRule="exact"/>
        <w:ind w:firstLine="480" w:firstLineChars="200"/>
        <w:rPr>
          <w:rFonts w:ascii="宋体" w:hAnsi="宋体"/>
          <w:sz w:val="24"/>
        </w:rPr>
      </w:pPr>
      <w:r>
        <w:rPr>
          <w:rFonts w:hint="eastAsia" w:ascii="宋体" w:hAnsi="宋体"/>
          <w:sz w:val="24"/>
        </w:rPr>
        <w:t>（9）开标会议结束。</w:t>
      </w:r>
    </w:p>
    <w:p>
      <w:pPr>
        <w:adjustRightInd w:val="0"/>
        <w:snapToGrid w:val="0"/>
        <w:spacing w:line="400" w:lineRule="exact"/>
        <w:ind w:firstLine="480" w:firstLineChars="200"/>
        <w:rPr>
          <w:rFonts w:ascii="宋体" w:hAnsi="宋体"/>
          <w:sz w:val="24"/>
        </w:rPr>
      </w:pPr>
      <w:r>
        <w:rPr>
          <w:rFonts w:hint="eastAsia" w:ascii="宋体" w:hAnsi="宋体"/>
          <w:sz w:val="24"/>
        </w:rPr>
        <w:t>5.2.5 第二个信封（投标报价和工程量清单）开标过程中，若招标人发现投标文件出现以下任一情况，经监标人确认并当场宣布为废标：</w:t>
      </w:r>
    </w:p>
    <w:p>
      <w:pPr>
        <w:adjustRightInd w:val="0"/>
        <w:snapToGrid w:val="0"/>
        <w:spacing w:line="400" w:lineRule="exact"/>
        <w:ind w:firstLine="480" w:firstLineChars="200"/>
        <w:rPr>
          <w:rFonts w:ascii="宋体" w:hAnsi="宋体"/>
          <w:sz w:val="24"/>
        </w:rPr>
      </w:pPr>
      <w:r>
        <w:rPr>
          <w:rFonts w:hint="eastAsia" w:ascii="宋体" w:hAnsi="宋体"/>
          <w:sz w:val="24"/>
        </w:rPr>
        <w:t>（1）未在投标函上填写投标总价；</w:t>
      </w:r>
    </w:p>
    <w:p>
      <w:pPr>
        <w:adjustRightInd w:val="0"/>
        <w:snapToGrid w:val="0"/>
        <w:spacing w:line="400" w:lineRule="exact"/>
        <w:ind w:firstLine="480" w:firstLineChars="200"/>
        <w:rPr>
          <w:rFonts w:ascii="宋体" w:hAnsi="宋体"/>
          <w:sz w:val="24"/>
        </w:rPr>
      </w:pPr>
      <w:r>
        <w:rPr>
          <w:rFonts w:hint="eastAsia" w:ascii="宋体" w:hAnsi="宋体"/>
          <w:sz w:val="24"/>
        </w:rPr>
        <w:t>（2）投标报价或调价函中的报价超出招标人公布的投标控制价上限（如有）。</w:t>
      </w:r>
    </w:p>
    <w:p>
      <w:pPr>
        <w:adjustRightInd w:val="0"/>
        <w:snapToGrid w:val="0"/>
        <w:spacing w:line="400" w:lineRule="exact"/>
        <w:ind w:firstLine="480" w:firstLineChars="200"/>
        <w:rPr>
          <w:rFonts w:ascii="宋体" w:hAnsi="宋体"/>
          <w:sz w:val="24"/>
        </w:rPr>
      </w:pPr>
      <w:r>
        <w:rPr>
          <w:rFonts w:hint="eastAsia" w:ascii="宋体" w:hAnsi="宋体"/>
          <w:sz w:val="24"/>
        </w:rPr>
        <w:t>5.2.6 若招标人宣读的内容与投标文件不符时，投标人有权在开标现场提出异议，经监标人当场核查确认之后，可重新宣读其投标文件。若投标人现场未提出异议，则认为投标人已确认招标人宣读的内容。</w:t>
      </w:r>
    </w:p>
    <w:p>
      <w:pPr>
        <w:pStyle w:val="4"/>
        <w:keepNext w:val="0"/>
        <w:keepLines w:val="0"/>
        <w:adjustRightInd w:val="0"/>
        <w:snapToGrid w:val="0"/>
        <w:spacing w:beforeLines="50" w:after="0" w:line="400" w:lineRule="exact"/>
        <w:rPr>
          <w:rFonts w:ascii="宋体" w:hAnsi="宋体"/>
          <w:sz w:val="24"/>
          <w:szCs w:val="24"/>
        </w:rPr>
      </w:pPr>
      <w:bookmarkStart w:id="130" w:name="_Toc234382625"/>
      <w:bookmarkStart w:id="131" w:name="_Toc27685"/>
      <w:bookmarkStart w:id="132" w:name="_Toc486277896"/>
      <w:bookmarkStart w:id="133" w:name="_Toc485889035"/>
      <w:r>
        <w:rPr>
          <w:rFonts w:ascii="宋体" w:hAnsi="宋体"/>
          <w:sz w:val="24"/>
          <w:szCs w:val="24"/>
        </w:rPr>
        <w:t>6. 评标</w:t>
      </w:r>
      <w:bookmarkEnd w:id="130"/>
      <w:bookmarkEnd w:id="131"/>
      <w:bookmarkEnd w:id="132"/>
      <w:bookmarkEnd w:id="133"/>
    </w:p>
    <w:p>
      <w:pPr>
        <w:pStyle w:val="4"/>
        <w:keepNext w:val="0"/>
        <w:keepLines w:val="0"/>
        <w:adjustRightInd w:val="0"/>
        <w:snapToGrid w:val="0"/>
        <w:spacing w:beforeLines="50" w:after="0" w:line="400" w:lineRule="exact"/>
        <w:rPr>
          <w:rFonts w:ascii="宋体" w:hAnsi="宋体"/>
          <w:sz w:val="24"/>
          <w:szCs w:val="24"/>
        </w:rPr>
      </w:pPr>
      <w:bookmarkStart w:id="134" w:name="_Toc234382626"/>
      <w:bookmarkStart w:id="135" w:name="_Toc486277897"/>
      <w:bookmarkStart w:id="136" w:name="_Toc485889036"/>
      <w:bookmarkStart w:id="137" w:name="_Toc17693"/>
      <w:r>
        <w:rPr>
          <w:rFonts w:ascii="宋体" w:hAnsi="宋体"/>
          <w:sz w:val="24"/>
          <w:szCs w:val="24"/>
        </w:rPr>
        <w:t>6.1 评标委员会</w:t>
      </w:r>
      <w:bookmarkEnd w:id="134"/>
      <w:bookmarkEnd w:id="135"/>
      <w:bookmarkEnd w:id="136"/>
      <w:bookmarkEnd w:id="137"/>
    </w:p>
    <w:p>
      <w:pPr>
        <w:adjustRightInd w:val="0"/>
        <w:snapToGrid w:val="0"/>
        <w:spacing w:line="400" w:lineRule="exact"/>
        <w:ind w:firstLine="480" w:firstLineChars="20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napToGrid w:val="0"/>
        <w:spacing w:line="400" w:lineRule="exact"/>
        <w:ind w:firstLine="480" w:firstLineChars="200"/>
        <w:rPr>
          <w:rFonts w:ascii="宋体" w:hAnsi="宋体"/>
          <w:sz w:val="24"/>
        </w:rPr>
      </w:pPr>
      <w:r>
        <w:rPr>
          <w:rFonts w:ascii="宋体" w:hAnsi="宋体"/>
          <w:sz w:val="24"/>
        </w:rPr>
        <w:t>6.1.2 评标委员会成员有下列情形之一的，应当回避：</w:t>
      </w:r>
    </w:p>
    <w:p>
      <w:pPr>
        <w:adjustRightInd w:val="0"/>
        <w:snapToGrid w:val="0"/>
        <w:spacing w:line="400" w:lineRule="exact"/>
        <w:ind w:firstLine="480" w:firstLineChars="200"/>
        <w:rPr>
          <w:rFonts w:ascii="宋体" w:hAnsi="宋体"/>
          <w:sz w:val="24"/>
        </w:rPr>
      </w:pPr>
      <w:r>
        <w:rPr>
          <w:rFonts w:ascii="宋体" w:hAnsi="宋体"/>
          <w:sz w:val="24"/>
        </w:rPr>
        <w:t>（1）招标人或投标人的主要负责人的近亲属；</w:t>
      </w:r>
    </w:p>
    <w:p>
      <w:pPr>
        <w:adjustRightInd w:val="0"/>
        <w:snapToGrid w:val="0"/>
        <w:spacing w:line="400" w:lineRule="exact"/>
        <w:ind w:firstLine="480" w:firstLineChars="200"/>
        <w:rPr>
          <w:rFonts w:ascii="宋体" w:hAnsi="宋体"/>
          <w:sz w:val="24"/>
        </w:rPr>
      </w:pPr>
      <w:r>
        <w:rPr>
          <w:rFonts w:ascii="宋体" w:hAnsi="宋体"/>
          <w:sz w:val="24"/>
        </w:rPr>
        <w:t>（2）项目主管部门或者行政监督部门的人员；</w:t>
      </w:r>
    </w:p>
    <w:p>
      <w:pPr>
        <w:adjustRightInd w:val="0"/>
        <w:snapToGrid w:val="0"/>
        <w:spacing w:line="400" w:lineRule="exact"/>
        <w:ind w:firstLine="480" w:firstLineChars="200"/>
        <w:rPr>
          <w:rFonts w:ascii="宋体" w:hAnsi="宋体"/>
          <w:sz w:val="24"/>
        </w:rPr>
      </w:pPr>
      <w:r>
        <w:rPr>
          <w:rFonts w:ascii="宋体" w:hAnsi="宋体"/>
          <w:sz w:val="24"/>
        </w:rPr>
        <w:t>（3）与投标人有经济利益关系，可能影响对投标公正评审的；</w:t>
      </w:r>
    </w:p>
    <w:p>
      <w:pPr>
        <w:adjustRightInd w:val="0"/>
        <w:snapToGrid w:val="0"/>
        <w:spacing w:line="400" w:lineRule="exact"/>
        <w:ind w:firstLine="480" w:firstLineChars="200"/>
        <w:rPr>
          <w:rFonts w:ascii="宋体" w:hAnsi="宋体"/>
          <w:sz w:val="24"/>
        </w:rPr>
      </w:pPr>
      <w:r>
        <w:rPr>
          <w:rFonts w:ascii="宋体" w:hAnsi="宋体"/>
          <w:sz w:val="24"/>
        </w:rPr>
        <w:t>（4）曾因在招标、评标以及其他与招标投标有关活动中从事违法行为而受过行政处罚或刑事处罚的。</w:t>
      </w:r>
    </w:p>
    <w:p>
      <w:pPr>
        <w:pStyle w:val="4"/>
        <w:keepNext w:val="0"/>
        <w:keepLines w:val="0"/>
        <w:adjustRightInd w:val="0"/>
        <w:snapToGrid w:val="0"/>
        <w:spacing w:beforeLines="50" w:after="0" w:line="400" w:lineRule="exact"/>
        <w:rPr>
          <w:rFonts w:ascii="宋体" w:hAnsi="宋体"/>
          <w:sz w:val="24"/>
          <w:szCs w:val="24"/>
        </w:rPr>
      </w:pPr>
      <w:bookmarkStart w:id="138" w:name="_Toc234382627"/>
      <w:bookmarkStart w:id="139" w:name="_Toc486277898"/>
      <w:bookmarkStart w:id="140" w:name="_Toc5222"/>
      <w:bookmarkStart w:id="141" w:name="_Toc485889037"/>
      <w:r>
        <w:rPr>
          <w:rFonts w:ascii="宋体" w:hAnsi="宋体"/>
          <w:sz w:val="24"/>
          <w:szCs w:val="24"/>
        </w:rPr>
        <w:t>6.2 评标原则</w:t>
      </w:r>
      <w:bookmarkEnd w:id="138"/>
      <w:bookmarkEnd w:id="139"/>
      <w:bookmarkEnd w:id="140"/>
      <w:bookmarkEnd w:id="141"/>
      <w:r>
        <w:rPr>
          <w:rFonts w:hint="eastAsia" w:ascii="宋体" w:hAnsi="宋体"/>
          <w:sz w:val="24"/>
          <w:szCs w:val="24"/>
        </w:rPr>
        <w:t>：</w:t>
      </w:r>
      <w:r>
        <w:rPr>
          <w:rFonts w:ascii="宋体" w:hAnsi="宋体"/>
          <w:sz w:val="24"/>
        </w:rPr>
        <w:t>评标活动遵循公平、公正、科学和择优的原则。</w:t>
      </w:r>
    </w:p>
    <w:p>
      <w:pPr>
        <w:pStyle w:val="4"/>
        <w:keepNext w:val="0"/>
        <w:keepLines w:val="0"/>
        <w:adjustRightInd w:val="0"/>
        <w:snapToGrid w:val="0"/>
        <w:spacing w:beforeLines="50" w:after="0" w:line="400" w:lineRule="exact"/>
        <w:rPr>
          <w:rFonts w:ascii="宋体" w:hAnsi="宋体"/>
          <w:sz w:val="24"/>
          <w:szCs w:val="24"/>
        </w:rPr>
      </w:pPr>
      <w:bookmarkStart w:id="142" w:name="_Toc234382628"/>
      <w:bookmarkStart w:id="143" w:name="_Toc485889038"/>
      <w:bookmarkStart w:id="144" w:name="_Toc486277899"/>
      <w:bookmarkStart w:id="145" w:name="_Toc31911"/>
      <w:r>
        <w:rPr>
          <w:rFonts w:ascii="宋体" w:hAnsi="宋体"/>
          <w:sz w:val="24"/>
          <w:szCs w:val="24"/>
        </w:rPr>
        <w:t>6.3 评标</w:t>
      </w:r>
      <w:bookmarkEnd w:id="142"/>
      <w:bookmarkEnd w:id="143"/>
      <w:bookmarkEnd w:id="144"/>
      <w:bookmarkEnd w:id="145"/>
    </w:p>
    <w:p>
      <w:pPr>
        <w:adjustRightInd w:val="0"/>
        <w:snapToGrid w:val="0"/>
        <w:spacing w:line="400" w:lineRule="exact"/>
        <w:ind w:firstLine="480" w:firstLineChars="20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pPr>
        <w:pStyle w:val="4"/>
        <w:keepNext w:val="0"/>
        <w:keepLines w:val="0"/>
        <w:adjustRightInd w:val="0"/>
        <w:snapToGrid w:val="0"/>
        <w:spacing w:beforeLines="50" w:after="0" w:line="400" w:lineRule="exact"/>
        <w:rPr>
          <w:rFonts w:ascii="宋体" w:hAnsi="宋体"/>
          <w:sz w:val="24"/>
          <w:szCs w:val="24"/>
        </w:rPr>
      </w:pPr>
      <w:bookmarkStart w:id="146" w:name="_Toc21378"/>
      <w:bookmarkStart w:id="147" w:name="_Toc485889039"/>
      <w:bookmarkStart w:id="148" w:name="_Toc234382629"/>
      <w:bookmarkStart w:id="149" w:name="_Toc486277900"/>
      <w:r>
        <w:rPr>
          <w:rFonts w:ascii="宋体" w:hAnsi="宋体"/>
          <w:sz w:val="24"/>
          <w:szCs w:val="24"/>
        </w:rPr>
        <w:t>7. 合同授予</w:t>
      </w:r>
      <w:bookmarkEnd w:id="146"/>
      <w:bookmarkEnd w:id="147"/>
      <w:bookmarkEnd w:id="148"/>
      <w:bookmarkEnd w:id="149"/>
    </w:p>
    <w:p>
      <w:pPr>
        <w:pStyle w:val="4"/>
        <w:keepNext w:val="0"/>
        <w:keepLines w:val="0"/>
        <w:adjustRightInd w:val="0"/>
        <w:snapToGrid w:val="0"/>
        <w:spacing w:beforeLines="50" w:after="0" w:line="400" w:lineRule="exact"/>
        <w:rPr>
          <w:rFonts w:ascii="宋体" w:hAnsi="宋体"/>
          <w:sz w:val="24"/>
          <w:szCs w:val="24"/>
        </w:rPr>
      </w:pPr>
      <w:bookmarkStart w:id="150" w:name="_Toc486277901"/>
      <w:bookmarkStart w:id="151" w:name="_Toc10828"/>
      <w:bookmarkStart w:id="152" w:name="_Toc485889040"/>
      <w:bookmarkStart w:id="153" w:name="_Toc234382630"/>
      <w:r>
        <w:rPr>
          <w:rFonts w:ascii="宋体" w:hAnsi="宋体"/>
          <w:sz w:val="24"/>
          <w:szCs w:val="24"/>
        </w:rPr>
        <w:t>7.1 定标方式</w:t>
      </w:r>
      <w:bookmarkEnd w:id="150"/>
      <w:bookmarkEnd w:id="151"/>
      <w:bookmarkEnd w:id="152"/>
      <w:bookmarkEnd w:id="153"/>
    </w:p>
    <w:p>
      <w:pPr>
        <w:adjustRightInd w:val="0"/>
        <w:snapToGrid w:val="0"/>
        <w:spacing w:line="400" w:lineRule="exact"/>
        <w:ind w:firstLine="480" w:firstLineChars="20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pPr>
        <w:pStyle w:val="4"/>
        <w:keepNext w:val="0"/>
        <w:keepLines w:val="0"/>
        <w:adjustRightInd w:val="0"/>
        <w:snapToGrid w:val="0"/>
        <w:spacing w:beforeLines="50" w:after="0" w:line="400" w:lineRule="exact"/>
        <w:rPr>
          <w:rFonts w:ascii="宋体" w:hAnsi="宋体"/>
          <w:sz w:val="24"/>
          <w:szCs w:val="24"/>
        </w:rPr>
      </w:pPr>
      <w:bookmarkStart w:id="154" w:name="_Toc485889041"/>
      <w:bookmarkStart w:id="155" w:name="_Toc486277902"/>
      <w:bookmarkStart w:id="156" w:name="_Toc234382631"/>
      <w:bookmarkStart w:id="157" w:name="_Toc13648"/>
      <w:r>
        <w:rPr>
          <w:rFonts w:ascii="宋体" w:hAnsi="宋体"/>
          <w:sz w:val="24"/>
          <w:szCs w:val="24"/>
        </w:rPr>
        <w:t>7.2 中标通知</w:t>
      </w:r>
      <w:bookmarkEnd w:id="154"/>
      <w:bookmarkEnd w:id="155"/>
      <w:bookmarkEnd w:id="156"/>
      <w:bookmarkEnd w:id="157"/>
    </w:p>
    <w:p>
      <w:pPr>
        <w:adjustRightInd w:val="0"/>
        <w:snapToGrid w:val="0"/>
        <w:spacing w:line="400" w:lineRule="exact"/>
        <w:ind w:firstLine="480" w:firstLineChars="20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pPr>
        <w:pStyle w:val="4"/>
        <w:keepNext w:val="0"/>
        <w:keepLines w:val="0"/>
        <w:adjustRightInd w:val="0"/>
        <w:snapToGrid w:val="0"/>
        <w:spacing w:beforeLines="50" w:after="0" w:line="400" w:lineRule="exact"/>
        <w:rPr>
          <w:rFonts w:ascii="宋体" w:hAnsi="宋体"/>
          <w:sz w:val="24"/>
          <w:szCs w:val="24"/>
        </w:rPr>
      </w:pPr>
      <w:bookmarkStart w:id="158" w:name="_Toc485889042"/>
      <w:bookmarkStart w:id="159" w:name="_Toc234382633"/>
      <w:bookmarkStart w:id="160" w:name="_Toc486277903"/>
      <w:bookmarkStart w:id="161" w:name="_Toc16842"/>
      <w:r>
        <w:rPr>
          <w:rFonts w:ascii="宋体" w:hAnsi="宋体"/>
          <w:sz w:val="24"/>
          <w:szCs w:val="24"/>
        </w:rPr>
        <w:t>7.</w:t>
      </w:r>
      <w:r>
        <w:rPr>
          <w:rFonts w:hint="eastAsia" w:ascii="宋体" w:hAnsi="宋体"/>
          <w:sz w:val="24"/>
          <w:szCs w:val="24"/>
        </w:rPr>
        <w:t>3</w:t>
      </w:r>
      <w:r>
        <w:rPr>
          <w:rFonts w:ascii="宋体" w:hAnsi="宋体"/>
          <w:sz w:val="24"/>
          <w:szCs w:val="24"/>
        </w:rPr>
        <w:t>签订合同</w:t>
      </w:r>
      <w:bookmarkEnd w:id="158"/>
      <w:bookmarkEnd w:id="159"/>
      <w:bookmarkEnd w:id="160"/>
      <w:bookmarkEnd w:id="161"/>
    </w:p>
    <w:p>
      <w:pPr>
        <w:adjustRightInd w:val="0"/>
        <w:snapToGrid w:val="0"/>
        <w:spacing w:line="400" w:lineRule="exact"/>
        <w:ind w:firstLine="456" w:firstLineChars="200"/>
        <w:rPr>
          <w:rFonts w:ascii="宋体" w:hAnsi="宋体"/>
          <w:spacing w:val="-6"/>
          <w:sz w:val="24"/>
        </w:rPr>
      </w:pPr>
      <w:r>
        <w:rPr>
          <w:rFonts w:ascii="宋体" w:hAnsi="宋体"/>
          <w:spacing w:val="-6"/>
          <w:sz w:val="24"/>
        </w:rPr>
        <w:t>7.</w:t>
      </w:r>
      <w:r>
        <w:rPr>
          <w:rFonts w:hint="eastAsia" w:ascii="宋体" w:hAnsi="宋体"/>
          <w:spacing w:val="-6"/>
          <w:sz w:val="24"/>
        </w:rPr>
        <w:t>3</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djustRightInd w:val="0"/>
        <w:snapToGrid w:val="0"/>
        <w:spacing w:line="400" w:lineRule="exact"/>
        <w:ind w:firstLine="480" w:firstLineChars="200"/>
        <w:rPr>
          <w:rFonts w:ascii="宋体" w:hAnsi="宋体"/>
          <w:sz w:val="24"/>
        </w:rPr>
      </w:pPr>
      <w:r>
        <w:rPr>
          <w:rFonts w:ascii="宋体" w:hAnsi="宋体"/>
          <w:sz w:val="24"/>
        </w:rPr>
        <w:t>7.</w:t>
      </w:r>
      <w:r>
        <w:rPr>
          <w:rFonts w:hint="eastAsia" w:ascii="宋体" w:hAnsi="宋体"/>
          <w:sz w:val="24"/>
        </w:rPr>
        <w:t>3</w:t>
      </w:r>
      <w:r>
        <w:rPr>
          <w:rFonts w:ascii="宋体" w:hAnsi="宋体"/>
          <w:sz w:val="24"/>
        </w:rPr>
        <w:t>.2 发出中标通知书后，招标人无正当理由拒签合同的，招标人向中标人退还投标保证金；给中标人造成损失的，还应当赔偿损失。</w:t>
      </w:r>
    </w:p>
    <w:p>
      <w:pPr>
        <w:adjustRightInd w:val="0"/>
        <w:snapToGrid w:val="0"/>
        <w:spacing w:line="400" w:lineRule="exact"/>
        <w:ind w:firstLine="480" w:firstLineChars="200"/>
        <w:rPr>
          <w:rFonts w:ascii="宋体" w:hAnsi="宋体"/>
          <w:sz w:val="24"/>
        </w:rPr>
      </w:pPr>
      <w:r>
        <w:rPr>
          <w:rFonts w:hint="eastAsia" w:ascii="宋体" w:hAnsi="宋体"/>
          <w:sz w:val="24"/>
        </w:rPr>
        <w:t>7.3.3 签约合同价的确定原则如下：</w:t>
      </w:r>
    </w:p>
    <w:p>
      <w:pPr>
        <w:adjustRightInd w:val="0"/>
        <w:snapToGrid w:val="0"/>
        <w:spacing w:line="400" w:lineRule="exact"/>
        <w:ind w:firstLine="480" w:firstLineChars="200"/>
        <w:rPr>
          <w:rFonts w:ascii="宋体" w:hAnsi="宋体"/>
          <w:sz w:val="24"/>
        </w:rPr>
      </w:pPr>
      <w:r>
        <w:rPr>
          <w:rFonts w:hint="eastAsia" w:ascii="宋体" w:hAnsi="宋体"/>
          <w:sz w:val="24"/>
        </w:rPr>
        <w:t>（1）按照评标办法规定对投标报价进行修正后，若休整后的最终投标报价小于开标时的投标函文字报价，则签订合同时以修正后的最终投标为准；</w:t>
      </w:r>
    </w:p>
    <w:p>
      <w:pPr>
        <w:adjustRightInd w:val="0"/>
        <w:snapToGrid w:val="0"/>
        <w:spacing w:line="400" w:lineRule="exact"/>
        <w:ind w:firstLine="480" w:firstLineChars="200"/>
        <w:rPr>
          <w:rFonts w:ascii="宋体" w:hAnsi="宋体"/>
          <w:sz w:val="24"/>
        </w:rPr>
      </w:pPr>
      <w:r>
        <w:rPr>
          <w:rFonts w:hint="eastAsia" w:ascii="宋体" w:hAnsi="宋体"/>
          <w:sz w:val="24"/>
        </w:rPr>
        <w:t>（2）按照评标办法规定对投标报价进行修正后，若修正后的最终投标报价大于开标时的投标函文字报价，则签订合同时以开标时的投标函文字报价为准，同时按比例修正相应子目的单价或合价。</w:t>
      </w:r>
    </w:p>
    <w:p>
      <w:pPr>
        <w:adjustRightInd w:val="0"/>
        <w:snapToGrid w:val="0"/>
        <w:spacing w:line="400" w:lineRule="exact"/>
        <w:ind w:firstLine="480" w:firstLineChars="200"/>
        <w:rPr>
          <w:rFonts w:ascii="宋体" w:hAnsi="宋体"/>
          <w:sz w:val="24"/>
        </w:rPr>
      </w:pPr>
      <w:r>
        <w:rPr>
          <w:rFonts w:hint="eastAsia" w:ascii="宋体" w:hAnsi="宋体"/>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adjustRightInd w:val="0"/>
        <w:snapToGrid w:val="0"/>
        <w:spacing w:line="400" w:lineRule="exact"/>
        <w:ind w:firstLine="480" w:firstLineChars="200"/>
        <w:rPr>
          <w:rFonts w:ascii="宋体" w:hAnsi="宋体"/>
          <w:sz w:val="24"/>
        </w:rPr>
      </w:pPr>
      <w:r>
        <w:rPr>
          <w:rFonts w:hint="eastAsia" w:ascii="宋体" w:hAnsi="宋体"/>
          <w:sz w:val="24"/>
        </w:rPr>
        <w:t>7.3.5 如果根据本章第3.5.10项（适用于未进行资格预审的）、第7.3.2项或第7.4.1项规定，招标人取消了中标人的中标资格，在此情况下，招标人可将合同授予下一个中标候选人，或者按规定重新组织招标。</w:t>
      </w:r>
    </w:p>
    <w:p>
      <w:pPr>
        <w:autoSpaceDE w:val="0"/>
        <w:autoSpaceDN w:val="0"/>
        <w:adjustRightInd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7.4履约保证金</w:t>
      </w:r>
    </w:p>
    <w:p>
      <w:pPr>
        <w:widowControl/>
        <w:spacing w:line="360" w:lineRule="auto"/>
        <w:jc w:val="left"/>
        <w:rPr>
          <w:rFonts w:cs="宋体" w:asciiTheme="minorEastAsia" w:hAnsiTheme="minorEastAsia" w:eastAsiaTheme="minorEastAsia"/>
          <w:b/>
          <w:color w:val="000000"/>
          <w:sz w:val="24"/>
        </w:rPr>
      </w:pPr>
      <w:bookmarkStart w:id="162" w:name="_Toc486277904"/>
      <w:bookmarkStart w:id="163" w:name="_Toc234382634"/>
      <w:bookmarkStart w:id="164" w:name="_Toc16570"/>
      <w:bookmarkStart w:id="165" w:name="_Toc485889043"/>
      <w:r>
        <w:rPr>
          <w:rFonts w:hint="eastAsia" w:cs="宋体" w:asciiTheme="minorEastAsia" w:hAnsiTheme="minorEastAsia" w:eastAsiaTheme="minorEastAsia"/>
          <w:color w:val="000000"/>
          <w:sz w:val="24"/>
        </w:rPr>
        <w:t>7.4.1</w:t>
      </w:r>
      <w:r>
        <w:rPr>
          <w:rFonts w:cs="宋体" w:asciiTheme="minorEastAsia" w:hAnsiTheme="minorEastAsia" w:eastAsiaTheme="minorEastAsia"/>
          <w:color w:val="000000"/>
          <w:sz w:val="24"/>
        </w:rPr>
        <w:t>履约保证金提交方式</w:t>
      </w:r>
      <w:r>
        <w:rPr>
          <w:rFonts w:hint="eastAsia" w:cs="宋体" w:asciiTheme="minorEastAsia" w:hAnsiTheme="minorEastAsia" w:eastAsiaTheme="minorEastAsia"/>
          <w:color w:val="000000"/>
          <w:sz w:val="24"/>
        </w:rPr>
        <w:t>及注意事项</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(1)</w:t>
      </w:r>
      <w:r>
        <w:rPr>
          <w:rFonts w:cs="宋体" w:asciiTheme="minorEastAsia" w:hAnsiTheme="minorEastAsia" w:eastAsiaTheme="minorEastAsia"/>
          <w:color w:val="000000"/>
          <w:sz w:val="24"/>
        </w:rPr>
        <w:t>以网银、银行转账支票、银行电汇方式提交。</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(2)</w:t>
      </w:r>
      <w:r>
        <w:rPr>
          <w:rFonts w:cs="宋体" w:asciiTheme="minorEastAsia" w:hAnsiTheme="minorEastAsia" w:eastAsiaTheme="minorEastAsia"/>
          <w:color w:val="000000"/>
          <w:sz w:val="24"/>
        </w:rPr>
        <w:t>现金支票和现金不得作为履约保证金提交方式。</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(3)</w:t>
      </w:r>
      <w:r>
        <w:rPr>
          <w:rFonts w:cs="宋体" w:asciiTheme="minorEastAsia" w:hAnsiTheme="minorEastAsia" w:eastAsiaTheme="minorEastAsia"/>
          <w:color w:val="000000"/>
          <w:sz w:val="24"/>
        </w:rPr>
        <w:t>中标人必须通过其公司账户按照规定的方式提交，其名称应与中标单位的名称一致</w:t>
      </w:r>
      <w:r>
        <w:rPr>
          <w:rFonts w:hint="eastAsia" w:cs="宋体" w:asciiTheme="minorEastAsia" w:hAnsiTheme="minorEastAsia" w:eastAsiaTheme="minorEastAsia"/>
          <w:color w:val="000000"/>
          <w:sz w:val="24"/>
        </w:rPr>
        <w:t>。</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(4)中标人在缴纳履约保证金时，必须在附言、备注和用途栏注明</w:t>
      </w:r>
      <w:r>
        <w:rPr>
          <w:rFonts w:hint="eastAsia" w:cs="宋体" w:asciiTheme="minorEastAsia" w:hAnsiTheme="minorEastAsia" w:eastAsiaTheme="minorEastAsia"/>
          <w:b/>
          <w:color w:val="000000"/>
          <w:sz w:val="24"/>
        </w:rPr>
        <w:t>“项目编号及标段”</w:t>
      </w:r>
      <w:r>
        <w:rPr>
          <w:rFonts w:hint="eastAsia" w:cs="宋体" w:asciiTheme="minorEastAsia" w:hAnsiTheme="minorEastAsia" w:eastAsiaTheme="minorEastAsia"/>
          <w:color w:val="000000"/>
          <w:sz w:val="24"/>
        </w:rPr>
        <w:t>，否则可能造成延迟退还。</w:t>
      </w:r>
    </w:p>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7.4.2</w:t>
      </w:r>
      <w:r>
        <w:rPr>
          <w:rFonts w:cs="宋体" w:asciiTheme="minorEastAsia" w:hAnsiTheme="minorEastAsia" w:eastAsiaTheme="minorEastAsia"/>
          <w:color w:val="000000"/>
          <w:sz w:val="24"/>
        </w:rPr>
        <w:t>履约保证金提交比例和数额</w:t>
      </w:r>
      <w:r>
        <w:rPr>
          <w:rFonts w:cs="宋体" w:asciiTheme="minorEastAsia" w:hAnsiTheme="minorEastAsia" w:eastAsiaTheme="minorEastAsia"/>
          <w:color w:val="000000"/>
          <w:sz w:val="24"/>
        </w:rPr>
        <w:br w:type="textWrapping"/>
      </w:r>
      <w:r>
        <w:rPr>
          <w:rFonts w:cs="宋体" w:asciiTheme="minorEastAsia" w:hAnsiTheme="minorEastAsia" w:eastAsiaTheme="minorEastAsia"/>
          <w:color w:val="000000"/>
          <w:sz w:val="24"/>
        </w:rPr>
        <w:t>履约保证金数额不得超过中标合同金额的10%。</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7.4.3</w:t>
      </w:r>
      <w:r>
        <w:rPr>
          <w:rFonts w:cs="宋体" w:asciiTheme="minorEastAsia" w:hAnsiTheme="minorEastAsia" w:eastAsiaTheme="minorEastAsia"/>
          <w:color w:val="000000"/>
          <w:sz w:val="24"/>
        </w:rPr>
        <w:t>履约保证金的退还</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(1)</w:t>
      </w:r>
      <w:r>
        <w:rPr>
          <w:rFonts w:cs="宋体" w:asciiTheme="minorEastAsia" w:hAnsiTheme="minorEastAsia" w:eastAsiaTheme="minorEastAsia"/>
          <w:color w:val="000000"/>
          <w:sz w:val="24"/>
        </w:rPr>
        <w:t>项目完工后，由招标人出具《履约保证金退还通知单》，中心财务凭《履约保证金退还通知单》在五个工作日内退还履约保证金及银行同期活期存款利息至中标人账户。</w:t>
      </w:r>
      <w:r>
        <w:rPr>
          <w:rFonts w:cs="宋体" w:asciiTheme="minorEastAsia" w:hAnsiTheme="minorEastAsia" w:eastAsiaTheme="minorEastAsia"/>
          <w:color w:val="000000"/>
          <w:sz w:val="24"/>
        </w:rPr>
        <w:br w:type="textWrapping"/>
      </w:r>
      <w:r>
        <w:rPr>
          <w:rFonts w:hint="eastAsia" w:cs="宋体" w:asciiTheme="minorEastAsia" w:hAnsiTheme="minorEastAsia" w:eastAsiaTheme="minorEastAsia"/>
          <w:color w:val="000000"/>
          <w:sz w:val="24"/>
        </w:rPr>
        <w:t>(2)</w:t>
      </w:r>
      <w:r>
        <w:rPr>
          <w:rFonts w:cs="宋体" w:asciiTheme="minorEastAsia" w:hAnsiTheme="minorEastAsia" w:eastAsiaTheme="minorEastAsia"/>
          <w:color w:val="000000"/>
          <w:sz w:val="24"/>
        </w:rPr>
        <w:t>中标人因发生质疑、投诉、举报或有关部门立案调查的，中心依据相关行政监督部门的意见暂停退还或没收其履约保证金，待行政监督部门对相关情况处置后，按照有关规定办理。</w:t>
      </w:r>
    </w:p>
    <w:p>
      <w:pPr>
        <w:autoSpaceDE w:val="0"/>
        <w:autoSpaceDN w:val="0"/>
        <w:adjustRightInd w:val="0"/>
        <w:snapToGrid w:val="0"/>
        <w:spacing w:line="440" w:lineRule="exact"/>
        <w:outlineLvl w:val="0"/>
        <w:rPr>
          <w:rFonts w:ascii="仿宋" w:hAnsi="仿宋" w:eastAsia="仿宋" w:cs="宋体"/>
          <w:color w:val="000000"/>
          <w:sz w:val="30"/>
          <w:szCs w:val="30"/>
        </w:rPr>
      </w:pPr>
    </w:p>
    <w:p>
      <w:pPr>
        <w:jc w:val="center"/>
        <w:rPr>
          <w:rFonts w:ascii="宋体" w:hAnsi="宋体"/>
          <w:color w:val="000000"/>
          <w:sz w:val="36"/>
          <w:szCs w:val="36"/>
        </w:rPr>
      </w:pPr>
      <w:r>
        <w:rPr>
          <w:rFonts w:hint="eastAsia" w:ascii="仿宋_GB2312" w:hAnsi="宋体" w:eastAsia="仿宋_GB2312"/>
          <w:color w:val="000000"/>
          <w:sz w:val="36"/>
          <w:szCs w:val="36"/>
        </w:rPr>
        <w:br w:type="page"/>
      </w:r>
      <w:r>
        <w:rPr>
          <w:rFonts w:hint="eastAsia" w:ascii="宋体" w:hAnsi="宋体"/>
          <w:color w:val="000000"/>
          <w:sz w:val="36"/>
          <w:szCs w:val="36"/>
        </w:rPr>
        <w:t>履约保证金退还通知单</w:t>
      </w:r>
    </w:p>
    <w:tbl>
      <w:tblPr>
        <w:tblStyle w:val="12"/>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项目编号</w:t>
            </w:r>
          </w:p>
        </w:tc>
        <w:tc>
          <w:tcPr>
            <w:tcW w:w="4140" w:type="dxa"/>
            <w:gridSpan w:val="2"/>
            <w:vAlign w:val="center"/>
          </w:tcPr>
          <w:p>
            <w:pPr>
              <w:spacing w:line="360" w:lineRule="exact"/>
              <w:jc w:val="center"/>
              <w:rPr>
                <w:rFonts w:ascii="宋体" w:hAnsi="宋体"/>
                <w:color w:val="000000"/>
                <w:sz w:val="24"/>
              </w:rPr>
            </w:pPr>
          </w:p>
        </w:tc>
        <w:tc>
          <w:tcPr>
            <w:tcW w:w="1440" w:type="dxa"/>
            <w:gridSpan w:val="2"/>
            <w:vAlign w:val="center"/>
          </w:tcPr>
          <w:p>
            <w:pPr>
              <w:spacing w:line="360" w:lineRule="exact"/>
              <w:jc w:val="center"/>
              <w:rPr>
                <w:rFonts w:ascii="宋体" w:hAnsi="宋体"/>
                <w:color w:val="000000"/>
                <w:sz w:val="24"/>
              </w:rPr>
            </w:pPr>
            <w:r>
              <w:rPr>
                <w:rFonts w:hint="eastAsia" w:ascii="宋体" w:hAnsi="宋体"/>
                <w:color w:val="000000"/>
                <w:sz w:val="24"/>
              </w:rPr>
              <w:t>是否完工</w:t>
            </w:r>
          </w:p>
        </w:tc>
        <w:tc>
          <w:tcPr>
            <w:tcW w:w="2162" w:type="dxa"/>
            <w:vAlign w:val="center"/>
          </w:tcPr>
          <w:p>
            <w:pPr>
              <w:spacing w:line="360" w:lineRule="exact"/>
              <w:ind w:firstLine="240" w:firstLineChars="100"/>
              <w:rPr>
                <w:rFonts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宋体" w:hAnsi="宋体"/>
                <w:color w:val="000000"/>
                <w:sz w:val="24"/>
              </w:rPr>
            </w:pPr>
            <w:r>
              <w:rPr>
                <w:rFonts w:hint="eastAsia" w:ascii="宋体" w:hAnsi="宋体"/>
                <w:color w:val="000000"/>
                <w:sz w:val="24"/>
              </w:rPr>
              <w:t>中标企业名称</w:t>
            </w:r>
          </w:p>
        </w:tc>
        <w:tc>
          <w:tcPr>
            <w:tcW w:w="7742" w:type="dxa"/>
            <w:gridSpan w:val="5"/>
            <w:vAlign w:val="center"/>
          </w:tcPr>
          <w:p>
            <w:pPr>
              <w:spacing w:line="3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ascii="宋体" w:hAnsi="宋体"/>
                <w:color w:val="000000"/>
                <w:sz w:val="24"/>
              </w:rPr>
            </w:pPr>
            <w:r>
              <w:rPr>
                <w:rFonts w:hint="eastAsia" w:ascii="宋体" w:hAnsi="宋体"/>
                <w:color w:val="000000"/>
                <w:sz w:val="24"/>
              </w:rPr>
              <w:t>开户银行</w:t>
            </w:r>
          </w:p>
        </w:tc>
        <w:tc>
          <w:tcPr>
            <w:tcW w:w="3780" w:type="dxa"/>
            <w:vAlign w:val="center"/>
          </w:tcPr>
          <w:p>
            <w:pPr>
              <w:rPr>
                <w:rFonts w:ascii="宋体" w:hAnsi="宋体"/>
                <w:color w:val="000000"/>
                <w:sz w:val="24"/>
              </w:rPr>
            </w:pPr>
          </w:p>
        </w:tc>
        <w:tc>
          <w:tcPr>
            <w:tcW w:w="722" w:type="dxa"/>
            <w:gridSpan w:val="2"/>
            <w:vAlign w:val="center"/>
          </w:tcPr>
          <w:p>
            <w:pPr>
              <w:spacing w:line="360" w:lineRule="exact"/>
              <w:rPr>
                <w:rFonts w:ascii="宋体" w:hAnsi="宋体"/>
                <w:color w:val="000000"/>
                <w:sz w:val="24"/>
              </w:rPr>
            </w:pPr>
            <w:r>
              <w:rPr>
                <w:rFonts w:hint="eastAsia" w:ascii="宋体" w:hAnsi="宋体"/>
                <w:color w:val="000000"/>
                <w:sz w:val="24"/>
              </w:rPr>
              <w:t>账号</w:t>
            </w:r>
          </w:p>
        </w:tc>
        <w:tc>
          <w:tcPr>
            <w:tcW w:w="3240" w:type="dxa"/>
            <w:gridSpan w:val="2"/>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ascii="宋体" w:hAnsi="宋体"/>
                <w:color w:val="000000"/>
                <w:sz w:val="24"/>
              </w:rPr>
            </w:pPr>
            <w:r>
              <w:rPr>
                <w:rFonts w:hint="eastAsia" w:ascii="宋体" w:hAnsi="宋体"/>
                <w:color w:val="000000"/>
                <w:sz w:val="24"/>
              </w:rPr>
              <w:t>金额</w:t>
            </w:r>
          </w:p>
        </w:tc>
        <w:tc>
          <w:tcPr>
            <w:tcW w:w="7742" w:type="dxa"/>
            <w:gridSpan w:val="5"/>
            <w:vAlign w:val="center"/>
          </w:tcPr>
          <w:p>
            <w:pPr>
              <w:spacing w:line="360" w:lineRule="exact"/>
              <w:rPr>
                <w:rFonts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宋体" w:hAnsi="宋体"/>
                <w:color w:val="000000"/>
                <w:sz w:val="24"/>
              </w:rPr>
            </w:pPr>
            <w:r>
              <w:rPr>
                <w:rFonts w:hint="eastAsia" w:ascii="宋体" w:hAnsi="宋体"/>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ascii="宋体" w:hAnsi="宋体"/>
                <w:color w:val="000000"/>
                <w:sz w:val="24"/>
              </w:rPr>
            </w:pPr>
          </w:p>
          <w:p>
            <w:pPr>
              <w:jc w:val="center"/>
              <w:rPr>
                <w:rFonts w:ascii="宋体" w:hAnsi="宋体"/>
                <w:color w:val="000000"/>
                <w:sz w:val="24"/>
              </w:rPr>
            </w:pPr>
            <w:r>
              <w:rPr>
                <w:rFonts w:hint="eastAsia" w:ascii="宋体" w:hAnsi="宋体"/>
                <w:color w:val="000000"/>
                <w:sz w:val="24"/>
              </w:rPr>
              <w:t xml:space="preserve">                            </w:t>
            </w:r>
          </w:p>
          <w:p>
            <w:pPr>
              <w:ind w:firstLine="840" w:firstLineChars="350"/>
              <w:rPr>
                <w:rFonts w:ascii="宋体" w:hAnsi="宋体"/>
                <w:color w:val="000000"/>
                <w:sz w:val="24"/>
              </w:rPr>
            </w:pPr>
            <w:r>
              <w:rPr>
                <w:rFonts w:hint="eastAsia" w:ascii="宋体" w:hAnsi="宋体"/>
                <w:color w:val="000000"/>
                <w:sz w:val="24"/>
              </w:rPr>
              <w:t>主要负责人签字 ：                           盖  章：</w:t>
            </w:r>
          </w:p>
          <w:p>
            <w:pPr>
              <w:jc w:val="center"/>
              <w:rPr>
                <w:rFonts w:ascii="宋体" w:hAnsi="宋体"/>
                <w:color w:val="000000"/>
                <w:sz w:val="24"/>
              </w:rPr>
            </w:pPr>
          </w:p>
          <w:p>
            <w:pPr>
              <w:ind w:right="480" w:firstLine="5880" w:firstLineChars="2450"/>
              <w:rPr>
                <w:rFonts w:ascii="宋体" w:hAnsi="宋体"/>
                <w:color w:val="000000"/>
                <w:sz w:val="24"/>
              </w:rPr>
            </w:pPr>
            <w:r>
              <w:rPr>
                <w:rFonts w:hint="eastAsia" w:ascii="宋体" w:hAnsi="宋体"/>
                <w:color w:val="000000"/>
                <w:sz w:val="24"/>
              </w:rPr>
              <w:t>年   月   日</w:t>
            </w:r>
          </w:p>
        </w:tc>
      </w:tr>
    </w:tbl>
    <w:p>
      <w:pPr>
        <w:spacing w:line="1000" w:lineRule="exact"/>
        <w:rPr>
          <w:rFonts w:ascii="方正小标宋简体" w:hAnsi="Calibri" w:eastAsia="方正小标宋简体" w:cs="宋体"/>
          <w:sz w:val="32"/>
          <w:szCs w:val="32"/>
          <w:lang w:val="zh-CN"/>
        </w:rPr>
      </w:pPr>
    </w:p>
    <w:p>
      <w:pPr>
        <w:pStyle w:val="4"/>
        <w:keepNext w:val="0"/>
        <w:keepLines w:val="0"/>
        <w:adjustRightInd w:val="0"/>
        <w:snapToGrid w:val="0"/>
        <w:spacing w:beforeLines="50" w:after="0" w:line="400" w:lineRule="exact"/>
        <w:rPr>
          <w:rFonts w:ascii="宋体" w:hAnsi="宋体"/>
          <w:sz w:val="24"/>
          <w:szCs w:val="24"/>
        </w:rPr>
      </w:pPr>
      <w:r>
        <w:rPr>
          <w:rFonts w:ascii="宋体" w:hAnsi="宋体"/>
          <w:sz w:val="24"/>
          <w:szCs w:val="24"/>
        </w:rPr>
        <w:t>8. 重新招标和不再招标</w:t>
      </w:r>
      <w:bookmarkEnd w:id="162"/>
      <w:bookmarkEnd w:id="163"/>
      <w:bookmarkEnd w:id="164"/>
      <w:bookmarkEnd w:id="165"/>
    </w:p>
    <w:p>
      <w:pPr>
        <w:pStyle w:val="4"/>
        <w:keepNext w:val="0"/>
        <w:keepLines w:val="0"/>
        <w:adjustRightInd w:val="0"/>
        <w:snapToGrid w:val="0"/>
        <w:spacing w:beforeLines="50" w:after="0" w:line="400" w:lineRule="exact"/>
        <w:rPr>
          <w:rFonts w:ascii="宋体" w:hAnsi="宋体"/>
          <w:sz w:val="24"/>
          <w:szCs w:val="24"/>
        </w:rPr>
      </w:pPr>
      <w:bookmarkStart w:id="166" w:name="_Toc234382635"/>
      <w:bookmarkStart w:id="167" w:name="_Toc4100"/>
      <w:bookmarkStart w:id="168" w:name="_Toc485889044"/>
      <w:bookmarkStart w:id="169" w:name="_Toc486277905"/>
      <w:r>
        <w:rPr>
          <w:rFonts w:ascii="宋体" w:hAnsi="宋体"/>
          <w:sz w:val="24"/>
          <w:szCs w:val="24"/>
        </w:rPr>
        <w:t>8.1 重新招标</w:t>
      </w:r>
      <w:bookmarkEnd w:id="166"/>
      <w:bookmarkEnd w:id="167"/>
      <w:bookmarkEnd w:id="168"/>
      <w:bookmarkEnd w:id="169"/>
    </w:p>
    <w:p>
      <w:pPr>
        <w:adjustRightInd w:val="0"/>
        <w:snapToGrid w:val="0"/>
        <w:spacing w:line="400" w:lineRule="exact"/>
        <w:ind w:firstLine="480" w:firstLineChars="200"/>
        <w:rPr>
          <w:rFonts w:ascii="宋体" w:hAnsi="宋体"/>
          <w:sz w:val="24"/>
        </w:rPr>
      </w:pPr>
      <w:r>
        <w:rPr>
          <w:rFonts w:ascii="宋体" w:hAnsi="宋体"/>
          <w:sz w:val="24"/>
        </w:rPr>
        <w:t>有下列情形之一的，招标人将重新招标：</w:t>
      </w:r>
    </w:p>
    <w:p>
      <w:pPr>
        <w:adjustRightInd w:val="0"/>
        <w:snapToGrid w:val="0"/>
        <w:spacing w:line="400" w:lineRule="exact"/>
        <w:ind w:firstLine="480" w:firstLineChars="200"/>
        <w:rPr>
          <w:rFonts w:ascii="宋体" w:hAnsi="宋体"/>
          <w:sz w:val="24"/>
        </w:rPr>
      </w:pPr>
      <w:r>
        <w:rPr>
          <w:rFonts w:ascii="宋体" w:hAnsi="宋体"/>
          <w:sz w:val="24"/>
        </w:rPr>
        <w:t>（1）投标截止时间止，投标人少于3个的；</w:t>
      </w:r>
    </w:p>
    <w:p>
      <w:pPr>
        <w:adjustRightInd w:val="0"/>
        <w:snapToGrid w:val="0"/>
        <w:spacing w:line="400" w:lineRule="exact"/>
        <w:ind w:firstLine="480" w:firstLineChars="200"/>
        <w:rPr>
          <w:rFonts w:ascii="宋体" w:hAnsi="宋体"/>
          <w:sz w:val="24"/>
        </w:rPr>
      </w:pPr>
      <w:r>
        <w:rPr>
          <w:rFonts w:ascii="宋体" w:hAnsi="宋体"/>
          <w:sz w:val="24"/>
        </w:rPr>
        <w:t>（2）经评标委员会评审后否决所有投标的</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（3）中标候选人均未与招标人签订合同的；</w:t>
      </w:r>
    </w:p>
    <w:p>
      <w:pPr>
        <w:adjustRightInd w:val="0"/>
        <w:snapToGrid w:val="0"/>
        <w:spacing w:line="400" w:lineRule="exact"/>
        <w:ind w:firstLine="480" w:firstLineChars="200"/>
        <w:rPr>
          <w:rFonts w:ascii="宋体" w:hAnsi="宋体"/>
          <w:sz w:val="24"/>
        </w:rPr>
      </w:pPr>
      <w:r>
        <w:rPr>
          <w:rFonts w:hint="eastAsia" w:ascii="宋体" w:hAnsi="宋体"/>
          <w:sz w:val="24"/>
        </w:rPr>
        <w:t>（4）法律规定的其他情形。</w:t>
      </w:r>
    </w:p>
    <w:p>
      <w:pPr>
        <w:pStyle w:val="4"/>
        <w:keepNext w:val="0"/>
        <w:keepLines w:val="0"/>
        <w:adjustRightInd w:val="0"/>
        <w:snapToGrid w:val="0"/>
        <w:spacing w:beforeLines="50" w:after="0" w:line="400" w:lineRule="exact"/>
        <w:rPr>
          <w:rFonts w:ascii="宋体" w:hAnsi="宋体"/>
          <w:sz w:val="24"/>
          <w:szCs w:val="24"/>
        </w:rPr>
      </w:pPr>
      <w:bookmarkStart w:id="170" w:name="_Toc234382636"/>
      <w:bookmarkStart w:id="171" w:name="_Toc486277906"/>
      <w:bookmarkStart w:id="172" w:name="_Toc21063"/>
      <w:bookmarkStart w:id="173" w:name="_Toc485889045"/>
      <w:r>
        <w:rPr>
          <w:rFonts w:ascii="宋体" w:hAnsi="宋体"/>
          <w:sz w:val="24"/>
          <w:szCs w:val="24"/>
        </w:rPr>
        <w:t>8.2 不再招标</w:t>
      </w:r>
      <w:bookmarkEnd w:id="170"/>
      <w:bookmarkEnd w:id="171"/>
      <w:bookmarkEnd w:id="172"/>
      <w:bookmarkEnd w:id="173"/>
    </w:p>
    <w:p>
      <w:pPr>
        <w:adjustRightInd w:val="0"/>
        <w:snapToGrid w:val="0"/>
        <w:spacing w:line="400" w:lineRule="exact"/>
        <w:ind w:firstLine="480" w:firstLineChars="20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pPr>
        <w:pStyle w:val="4"/>
        <w:keepNext w:val="0"/>
        <w:keepLines w:val="0"/>
        <w:adjustRightInd w:val="0"/>
        <w:snapToGrid w:val="0"/>
        <w:spacing w:beforeLines="50" w:after="0" w:line="400" w:lineRule="exact"/>
        <w:rPr>
          <w:rFonts w:ascii="宋体" w:hAnsi="宋体"/>
          <w:sz w:val="24"/>
          <w:szCs w:val="24"/>
        </w:rPr>
      </w:pPr>
      <w:bookmarkStart w:id="174" w:name="_Toc234382637"/>
      <w:bookmarkStart w:id="175" w:name="_Toc485889046"/>
      <w:bookmarkStart w:id="176" w:name="_Toc32202"/>
      <w:bookmarkStart w:id="177" w:name="_Toc486277907"/>
      <w:r>
        <w:rPr>
          <w:rFonts w:ascii="宋体" w:hAnsi="宋体"/>
          <w:sz w:val="24"/>
          <w:szCs w:val="24"/>
        </w:rPr>
        <w:t>9. 纪律和监督</w:t>
      </w:r>
      <w:bookmarkEnd w:id="174"/>
      <w:bookmarkEnd w:id="175"/>
      <w:bookmarkEnd w:id="176"/>
      <w:bookmarkEnd w:id="177"/>
    </w:p>
    <w:p>
      <w:pPr>
        <w:pStyle w:val="4"/>
        <w:keepNext w:val="0"/>
        <w:keepLines w:val="0"/>
        <w:adjustRightInd w:val="0"/>
        <w:snapToGrid w:val="0"/>
        <w:spacing w:beforeLines="50" w:after="0" w:line="400" w:lineRule="exact"/>
        <w:rPr>
          <w:rFonts w:ascii="宋体" w:hAnsi="宋体"/>
          <w:sz w:val="24"/>
          <w:szCs w:val="24"/>
        </w:rPr>
      </w:pPr>
      <w:bookmarkStart w:id="178" w:name="_Toc486277908"/>
      <w:bookmarkStart w:id="179" w:name="_Toc234382638"/>
      <w:bookmarkStart w:id="180" w:name="_Toc23625"/>
      <w:bookmarkStart w:id="181" w:name="_Toc485889047"/>
      <w:r>
        <w:rPr>
          <w:rFonts w:ascii="宋体" w:hAnsi="宋体"/>
          <w:sz w:val="24"/>
          <w:szCs w:val="24"/>
        </w:rPr>
        <w:t>9.1 对招标人的纪律要求</w:t>
      </w:r>
      <w:bookmarkEnd w:id="178"/>
      <w:bookmarkEnd w:id="179"/>
      <w:bookmarkEnd w:id="180"/>
      <w:bookmarkEnd w:id="181"/>
    </w:p>
    <w:p>
      <w:pPr>
        <w:adjustRightInd w:val="0"/>
        <w:snapToGrid w:val="0"/>
        <w:spacing w:line="400" w:lineRule="exact"/>
        <w:ind w:firstLine="480" w:firstLineChars="20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pPr>
        <w:pStyle w:val="4"/>
        <w:keepNext w:val="0"/>
        <w:keepLines w:val="0"/>
        <w:adjustRightInd w:val="0"/>
        <w:snapToGrid w:val="0"/>
        <w:spacing w:beforeLines="50" w:after="0" w:line="400" w:lineRule="exact"/>
        <w:rPr>
          <w:rFonts w:ascii="宋体" w:hAnsi="宋体"/>
          <w:sz w:val="24"/>
          <w:szCs w:val="24"/>
        </w:rPr>
      </w:pPr>
      <w:bookmarkStart w:id="182" w:name="_Toc485889048"/>
      <w:bookmarkStart w:id="183" w:name="_Toc234382639"/>
      <w:bookmarkStart w:id="184" w:name="_Toc13796"/>
      <w:bookmarkStart w:id="185" w:name="_Toc486277909"/>
      <w:r>
        <w:rPr>
          <w:rFonts w:ascii="宋体" w:hAnsi="宋体"/>
          <w:sz w:val="24"/>
          <w:szCs w:val="24"/>
        </w:rPr>
        <w:t>9.2 对投标人的纪律要求</w:t>
      </w:r>
      <w:bookmarkEnd w:id="182"/>
      <w:bookmarkEnd w:id="183"/>
      <w:bookmarkEnd w:id="184"/>
      <w:bookmarkEnd w:id="185"/>
    </w:p>
    <w:p>
      <w:pPr>
        <w:adjustRightInd w:val="0"/>
        <w:snapToGrid w:val="0"/>
        <w:spacing w:line="400" w:lineRule="exact"/>
        <w:ind w:firstLine="480" w:firstLineChars="20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keepNext w:val="0"/>
        <w:keepLines w:val="0"/>
        <w:adjustRightInd w:val="0"/>
        <w:snapToGrid w:val="0"/>
        <w:spacing w:beforeLines="50" w:after="0" w:line="400" w:lineRule="exact"/>
        <w:rPr>
          <w:rFonts w:ascii="宋体" w:hAnsi="宋体"/>
          <w:sz w:val="24"/>
          <w:szCs w:val="24"/>
        </w:rPr>
      </w:pPr>
      <w:bookmarkStart w:id="186" w:name="_Toc16702"/>
      <w:bookmarkStart w:id="187" w:name="_Toc234382640"/>
      <w:bookmarkStart w:id="188" w:name="_Toc485889049"/>
      <w:bookmarkStart w:id="189" w:name="_Toc486277910"/>
      <w:r>
        <w:rPr>
          <w:rFonts w:ascii="宋体" w:hAnsi="宋体"/>
          <w:sz w:val="24"/>
          <w:szCs w:val="24"/>
        </w:rPr>
        <w:t>9.3 对评标委员会成员的纪律要求</w:t>
      </w:r>
      <w:bookmarkEnd w:id="186"/>
      <w:bookmarkEnd w:id="187"/>
      <w:bookmarkEnd w:id="188"/>
      <w:bookmarkEnd w:id="189"/>
    </w:p>
    <w:p>
      <w:pPr>
        <w:adjustRightInd w:val="0"/>
        <w:snapToGrid w:val="0"/>
        <w:spacing w:line="400" w:lineRule="exact"/>
        <w:ind w:firstLine="480" w:firstLineChars="20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keepNext w:val="0"/>
        <w:keepLines w:val="0"/>
        <w:adjustRightInd w:val="0"/>
        <w:snapToGrid w:val="0"/>
        <w:spacing w:beforeLines="50" w:after="0" w:line="400" w:lineRule="exact"/>
        <w:rPr>
          <w:rFonts w:ascii="宋体" w:hAnsi="宋体"/>
          <w:sz w:val="24"/>
          <w:szCs w:val="24"/>
        </w:rPr>
      </w:pPr>
      <w:bookmarkStart w:id="190" w:name="_Toc12383"/>
      <w:bookmarkStart w:id="191" w:name="_Toc486277911"/>
      <w:bookmarkStart w:id="192" w:name="_Toc485889050"/>
      <w:bookmarkStart w:id="193" w:name="_Toc234382641"/>
      <w:r>
        <w:rPr>
          <w:rFonts w:ascii="宋体" w:hAnsi="宋体"/>
          <w:sz w:val="24"/>
          <w:szCs w:val="24"/>
        </w:rPr>
        <w:t>9.4 对与评标活动有关的工作人员的纪律要求</w:t>
      </w:r>
      <w:bookmarkEnd w:id="190"/>
      <w:bookmarkEnd w:id="191"/>
      <w:bookmarkEnd w:id="192"/>
      <w:bookmarkEnd w:id="193"/>
    </w:p>
    <w:p>
      <w:pPr>
        <w:adjustRightInd w:val="0"/>
        <w:snapToGrid w:val="0"/>
        <w:spacing w:line="400" w:lineRule="exact"/>
        <w:ind w:firstLine="480" w:firstLineChars="20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keepNext w:val="0"/>
        <w:keepLines w:val="0"/>
        <w:adjustRightInd w:val="0"/>
        <w:snapToGrid w:val="0"/>
        <w:spacing w:beforeLines="50" w:after="0" w:line="400" w:lineRule="exact"/>
        <w:rPr>
          <w:rFonts w:ascii="宋体" w:hAnsi="宋体"/>
          <w:sz w:val="24"/>
          <w:szCs w:val="24"/>
        </w:rPr>
      </w:pPr>
      <w:bookmarkStart w:id="194" w:name="_Toc485889051"/>
      <w:bookmarkStart w:id="195" w:name="_Toc25179"/>
      <w:bookmarkStart w:id="196" w:name="_Toc234382642"/>
      <w:bookmarkStart w:id="197" w:name="_Toc486277912"/>
      <w:r>
        <w:rPr>
          <w:rFonts w:ascii="宋体" w:hAnsi="宋体"/>
          <w:sz w:val="24"/>
          <w:szCs w:val="24"/>
        </w:rPr>
        <w:t>9.5 投诉</w:t>
      </w:r>
      <w:bookmarkEnd w:id="194"/>
      <w:bookmarkEnd w:id="195"/>
      <w:bookmarkEnd w:id="196"/>
      <w:bookmarkEnd w:id="197"/>
    </w:p>
    <w:p>
      <w:pPr>
        <w:adjustRightInd w:val="0"/>
        <w:snapToGrid w:val="0"/>
        <w:spacing w:line="400" w:lineRule="exact"/>
        <w:ind w:firstLine="480" w:firstLineChars="200"/>
        <w:rPr>
          <w:rFonts w:ascii="宋体" w:hAnsi="宋体"/>
          <w:sz w:val="24"/>
        </w:rPr>
      </w:pPr>
      <w:r>
        <w:rPr>
          <w:rFonts w:ascii="宋体" w:hAnsi="宋体"/>
          <w:sz w:val="24"/>
        </w:rPr>
        <w:t>投标人和其他利害关系人认为本次招标活动违反法律、法规和规章规定的，有权向有关行政监督部门投诉。</w:t>
      </w:r>
    </w:p>
    <w:p>
      <w:pPr>
        <w:pStyle w:val="4"/>
        <w:keepNext w:val="0"/>
        <w:keepLines w:val="0"/>
        <w:adjustRightInd w:val="0"/>
        <w:snapToGrid w:val="0"/>
        <w:spacing w:beforeLines="50" w:after="0" w:line="400" w:lineRule="exact"/>
        <w:rPr>
          <w:rFonts w:ascii="宋体" w:hAnsi="宋体"/>
          <w:sz w:val="24"/>
          <w:szCs w:val="24"/>
        </w:rPr>
      </w:pPr>
      <w:bookmarkStart w:id="198" w:name="_Toc234382643"/>
      <w:bookmarkStart w:id="199" w:name="_Toc486277913"/>
      <w:bookmarkStart w:id="200" w:name="_Toc30072"/>
      <w:bookmarkStart w:id="201" w:name="_Toc485889052"/>
      <w:r>
        <w:rPr>
          <w:rFonts w:ascii="宋体" w:hAnsi="宋体"/>
          <w:sz w:val="24"/>
          <w:szCs w:val="24"/>
        </w:rPr>
        <w:t>10. 需要补充的其他内容</w:t>
      </w:r>
      <w:bookmarkEnd w:id="198"/>
      <w:bookmarkEnd w:id="199"/>
      <w:bookmarkEnd w:id="200"/>
      <w:bookmarkEnd w:id="201"/>
    </w:p>
    <w:p>
      <w:pPr>
        <w:adjustRightInd w:val="0"/>
        <w:snapToGrid w:val="0"/>
        <w:spacing w:line="400" w:lineRule="exact"/>
        <w:ind w:firstLine="480" w:firstLineChars="200"/>
        <w:rPr>
          <w:rFonts w:ascii="宋体" w:hAnsi="宋体"/>
          <w:sz w:val="24"/>
        </w:rPr>
      </w:pPr>
      <w:r>
        <w:rPr>
          <w:rFonts w:ascii="宋体" w:hAnsi="宋体"/>
          <w:sz w:val="24"/>
        </w:rPr>
        <w:t>需要补充的其他内容：见投标人须知前附表。</w:t>
      </w:r>
    </w:p>
    <w:p>
      <w:pPr>
        <w:widowControl/>
        <w:spacing w:line="360" w:lineRule="auto"/>
        <w:ind w:right="714"/>
        <w:jc w:val="center"/>
        <w:rPr>
          <w:rFonts w:ascii="宋体" w:hAnsi="宋体"/>
          <w:sz w:val="24"/>
        </w:rPr>
      </w:pPr>
      <w:bookmarkStart w:id="202" w:name="_Toc234382644"/>
      <w:r>
        <w:rPr>
          <w:rFonts w:ascii="宋体" w:hAnsi="宋体"/>
          <w:sz w:val="24"/>
        </w:rPr>
        <w:br w:type="page"/>
      </w:r>
    </w:p>
    <w:bookmarkEnd w:id="202"/>
    <w:p>
      <w:pPr>
        <w:adjustRightInd w:val="0"/>
        <w:snapToGrid w:val="0"/>
        <w:spacing w:line="400" w:lineRule="exact"/>
        <w:rPr>
          <w:rFonts w:ascii="黑体" w:hAnsi="黑体" w:eastAsia="黑体"/>
          <w:b/>
          <w:bCs/>
          <w:sz w:val="32"/>
          <w:szCs w:val="32"/>
        </w:rPr>
      </w:pPr>
      <w:r>
        <w:rPr>
          <w:rFonts w:hint="eastAsia" w:ascii="黑体" w:hAnsi="黑体" w:eastAsia="黑体"/>
          <w:b/>
          <w:bCs/>
          <w:sz w:val="32"/>
          <w:szCs w:val="32"/>
        </w:rPr>
        <w:t>附件一：投标保证金</w:t>
      </w:r>
    </w:p>
    <w:tbl>
      <w:tblPr>
        <w:tblStyle w:val="12"/>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建安建工公字〔2019〕</w:t>
            </w:r>
            <w:r>
              <w:rPr>
                <w:rFonts w:hint="eastAsia" w:ascii="仿宋_GB2312" w:hAnsi="宋体" w:eastAsia="仿宋_GB2312" w:cs="宋体"/>
                <w:sz w:val="24"/>
                <w:szCs w:val="22"/>
                <w:lang w:val="en-US" w:eastAsia="zh-CN"/>
              </w:rPr>
              <w:t>102</w:t>
            </w:r>
            <w:r>
              <w:rPr>
                <w:rFonts w:hint="eastAsia" w:ascii="仿宋_GB2312" w:hAnsi="宋体" w:eastAsia="仿宋_GB2312" w:cs="宋体"/>
                <w:sz w:val="24"/>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许昌市建安区小召乡、苏桥镇危桥改造项目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投标保证金</w:t>
            </w:r>
          </w:p>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叁万元整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30</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6"/>
                <w:rFonts w:hint="eastAsia" w:ascii="仿宋_GB2312" w:hAnsi="宋体" w:eastAsia="仿宋_GB2312" w:cs="宋体"/>
                <w:sz w:val="24"/>
              </w:rPr>
              <w:t>http://221.14.6.70:8088/ggzy</w:t>
            </w:r>
            <w:r>
              <w:rPr>
                <w:rStyle w:val="16"/>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napToGri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adjustRightInd w:val="0"/>
        <w:snapToGrid w:val="0"/>
        <w:rPr>
          <w:rFonts w:ascii="仿宋_GB2312" w:hAnsi="新宋体" w:eastAsia="仿宋_GB2312"/>
          <w:b/>
          <w:sz w:val="36"/>
          <w:szCs w:val="36"/>
        </w:rPr>
      </w:pPr>
    </w:p>
    <w:p>
      <w:pPr>
        <w:adjustRightInd w:val="0"/>
        <w:snapToGrid w:val="0"/>
        <w:jc w:val="center"/>
        <w:rPr>
          <w:rFonts w:ascii="方正小标宋简体" w:hAnsi="宋体" w:eastAsia="方正小标宋简体" w:cs="宋体"/>
          <w:sz w:val="36"/>
          <w:szCs w:val="36"/>
        </w:rPr>
      </w:pPr>
    </w:p>
    <w:p>
      <w:pPr>
        <w:adjustRightInd w:val="0"/>
        <w:snapToGrid w:val="0"/>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2"/>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_GB2312" w:hAnsi="新宋体" w:eastAsia="仿宋_GB2312" w:cs="新宋体"/>
                <w:sz w:val="24"/>
              </w:rPr>
            </w:pPr>
          </w:p>
          <w:p>
            <w:pPr>
              <w:adjustRightInd w:val="0"/>
              <w:snapToGrid w:val="0"/>
              <w:ind w:right="480" w:firstLine="5880" w:firstLineChars="2450"/>
              <w:rPr>
                <w:rFonts w:ascii="仿宋_GB2312" w:hAnsi="新宋体" w:eastAsia="仿宋_GB2312" w:cs="新宋体"/>
                <w:sz w:val="24"/>
              </w:rPr>
            </w:pPr>
          </w:p>
          <w:p>
            <w:pPr>
              <w:adjustRightInd w:val="0"/>
              <w:snapToGrid w:val="0"/>
              <w:ind w:right="480" w:firstLine="5880" w:firstLineChars="2450"/>
              <w:rPr>
                <w:rFonts w:ascii="仿宋_GB2312" w:hAnsi="新宋体" w:eastAsia="仿宋_GB2312" w:cs="新宋体"/>
                <w:sz w:val="24"/>
              </w:rPr>
            </w:pPr>
          </w:p>
          <w:p>
            <w:pPr>
              <w:adjustRightInd w:val="0"/>
              <w:snapToGrid w:val="0"/>
              <w:ind w:right="480" w:firstLine="5880" w:firstLineChars="2450"/>
              <w:rPr>
                <w:rFonts w:ascii="仿宋_GB2312" w:hAnsi="新宋体" w:eastAsia="仿宋_GB2312" w:cs="新宋体"/>
                <w:sz w:val="24"/>
              </w:rPr>
            </w:pPr>
          </w:p>
          <w:p>
            <w:pPr>
              <w:adjustRightInd w:val="0"/>
              <w:snapToGrid w:val="0"/>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adjustRightInd w:val="0"/>
        <w:snapToGrid w:val="0"/>
        <w:jc w:val="left"/>
        <w:rPr>
          <w:rFonts w:ascii="华文中宋" w:hAnsi="华文中宋" w:eastAsia="华文中宋"/>
          <w:b/>
          <w:bCs/>
          <w:sz w:val="32"/>
          <w:szCs w:val="32"/>
        </w:rPr>
      </w:pPr>
    </w:p>
    <w:p>
      <w:pPr>
        <w:adjustRightInd w:val="0"/>
        <w:snapToGrid w:val="0"/>
        <w:jc w:val="left"/>
        <w:rPr>
          <w:rFonts w:ascii="华文中宋" w:hAnsi="华文中宋" w:eastAsia="华文中宋"/>
          <w:b/>
          <w:bCs/>
          <w:sz w:val="32"/>
          <w:szCs w:val="32"/>
        </w:rPr>
      </w:pPr>
    </w:p>
    <w:p>
      <w:pPr>
        <w:adjustRightInd w:val="0"/>
        <w:snapToGrid w:val="0"/>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2"/>
        <w:ind w:firstLine="210"/>
      </w:pPr>
    </w:p>
    <w:p>
      <w:pPr>
        <w:adjustRightInd w:val="0"/>
        <w:snapToGrid w:val="0"/>
        <w:spacing w:afterLines="50" w:line="440" w:lineRule="exact"/>
        <w:rPr>
          <w:rFonts w:ascii="黑体" w:eastAsia="黑体"/>
          <w:b/>
          <w:sz w:val="24"/>
        </w:rPr>
      </w:pPr>
    </w:p>
    <w:p>
      <w:pPr>
        <w:adjustRightInd w:val="0"/>
        <w:snapToGrid w:val="0"/>
      </w:pPr>
    </w:p>
    <w:p>
      <w:pPr>
        <w:pStyle w:val="2"/>
        <w:ind w:firstLine="210"/>
      </w:pPr>
    </w:p>
    <w:p>
      <w:pPr>
        <w:spacing w:afterLines="50" w:line="440" w:lineRule="exact"/>
        <w:rPr>
          <w:rFonts w:ascii="黑体" w:eastAsia="黑体"/>
          <w:b/>
          <w:sz w:val="32"/>
          <w:szCs w:val="32"/>
        </w:rPr>
      </w:pPr>
      <w:r>
        <w:rPr>
          <w:rFonts w:hint="eastAsia" w:ascii="黑体" w:eastAsia="黑体"/>
          <w:b/>
          <w:sz w:val="32"/>
          <w:szCs w:val="32"/>
        </w:rPr>
        <w:t>附件二：提交证件及业绩格式</w:t>
      </w:r>
    </w:p>
    <w:p>
      <w:pPr>
        <w:spacing w:afterLines="50" w:line="440" w:lineRule="exact"/>
        <w:ind w:firstLine="1383" w:firstLineChars="492"/>
        <w:rPr>
          <w:rFonts w:ascii="新宋体" w:hAnsi="新宋体" w:eastAsia="新宋体"/>
          <w:sz w:val="28"/>
          <w:szCs w:val="28"/>
        </w:rPr>
      </w:pPr>
      <w:r>
        <w:rPr>
          <w:rFonts w:hint="eastAsia" w:ascii="新宋体" w:hAnsi="新宋体" w:eastAsia="新宋体"/>
          <w:b/>
          <w:sz w:val="28"/>
          <w:szCs w:val="28"/>
        </w:rPr>
        <w:t xml:space="preserve"> 工程提交证件及业绩提交及领取一览表 </w:t>
      </w:r>
    </w:p>
    <w:tbl>
      <w:tblPr>
        <w:tblStyle w:val="12"/>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49"/>
        <w:gridCol w:w="77"/>
        <w:gridCol w:w="3320"/>
        <w:gridCol w:w="1380"/>
        <w:gridCol w:w="795"/>
        <w:gridCol w:w="219"/>
        <w:gridCol w:w="81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53" w:type="dxa"/>
            <w:gridSpan w:val="2"/>
            <w:vAlign w:val="center"/>
          </w:tcPr>
          <w:p>
            <w:pPr>
              <w:ind w:firstLine="422" w:firstLineChars="200"/>
              <w:rPr>
                <w:rFonts w:ascii="新宋体" w:hAnsi="新宋体" w:eastAsia="新宋体"/>
                <w:b/>
                <w:szCs w:val="21"/>
              </w:rPr>
            </w:pPr>
            <w:r>
              <w:rPr>
                <w:rFonts w:hint="eastAsia" w:ascii="新宋体" w:hAnsi="新宋体" w:eastAsia="新宋体"/>
                <w:b/>
                <w:szCs w:val="21"/>
              </w:rPr>
              <w:t>投标单位</w:t>
            </w:r>
          </w:p>
        </w:tc>
        <w:tc>
          <w:tcPr>
            <w:tcW w:w="4777" w:type="dxa"/>
            <w:gridSpan w:val="3"/>
            <w:vAlign w:val="center"/>
          </w:tcPr>
          <w:p>
            <w:pPr>
              <w:ind w:firstLine="422" w:firstLineChars="200"/>
              <w:rPr>
                <w:rFonts w:ascii="新宋体" w:hAnsi="新宋体" w:eastAsia="新宋体"/>
                <w:b/>
                <w:szCs w:val="21"/>
              </w:rPr>
            </w:pPr>
            <w:r>
              <w:rPr>
                <w:rFonts w:hint="eastAsia" w:ascii="新宋体" w:hAnsi="新宋体" w:eastAsia="新宋体"/>
                <w:b/>
                <w:szCs w:val="21"/>
              </w:rPr>
              <w:t>（盖章）</w:t>
            </w:r>
          </w:p>
        </w:tc>
        <w:tc>
          <w:tcPr>
            <w:tcW w:w="795" w:type="dxa"/>
            <w:vAlign w:val="center"/>
          </w:tcPr>
          <w:p>
            <w:pPr>
              <w:rPr>
                <w:rFonts w:ascii="新宋体" w:hAnsi="新宋体" w:eastAsia="新宋体"/>
                <w:b/>
                <w:szCs w:val="21"/>
              </w:rPr>
            </w:pPr>
            <w:r>
              <w:rPr>
                <w:rFonts w:hint="eastAsia" w:ascii="新宋体" w:hAnsi="新宋体" w:eastAsia="新宋体"/>
                <w:b/>
                <w:szCs w:val="21"/>
              </w:rPr>
              <w:t>联系电话</w:t>
            </w:r>
          </w:p>
        </w:tc>
        <w:tc>
          <w:tcPr>
            <w:tcW w:w="1832" w:type="dxa"/>
            <w:gridSpan w:val="3"/>
            <w:vAlign w:val="center"/>
          </w:tcPr>
          <w:p>
            <w:pPr>
              <w:ind w:firstLine="422" w:firstLineChars="200"/>
              <w:rPr>
                <w:rFonts w:ascii="新宋体" w:hAnsi="新宋体" w:eastAsia="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rPr>
                <w:rFonts w:ascii="新宋体" w:hAnsi="新宋体" w:eastAsia="新宋体"/>
                <w:b/>
                <w:szCs w:val="21"/>
              </w:rPr>
            </w:pPr>
            <w:r>
              <w:rPr>
                <w:rFonts w:hint="eastAsia" w:ascii="新宋体" w:hAnsi="新宋体" w:eastAsia="新宋体"/>
                <w:b/>
                <w:szCs w:val="21"/>
              </w:rPr>
              <w:t>序号</w:t>
            </w:r>
          </w:p>
        </w:tc>
        <w:tc>
          <w:tcPr>
            <w:tcW w:w="6940" w:type="dxa"/>
            <w:gridSpan w:val="6"/>
            <w:vAlign w:val="center"/>
          </w:tcPr>
          <w:p>
            <w:pPr>
              <w:ind w:firstLine="422" w:firstLineChars="200"/>
              <w:rPr>
                <w:rFonts w:ascii="新宋体" w:hAnsi="新宋体" w:eastAsia="新宋体"/>
                <w:b/>
                <w:szCs w:val="21"/>
              </w:rPr>
            </w:pPr>
            <w:r>
              <w:rPr>
                <w:rFonts w:hint="eastAsia" w:ascii="新宋体" w:hAnsi="新宋体" w:eastAsia="新宋体"/>
                <w:b/>
                <w:szCs w:val="21"/>
              </w:rPr>
              <w:t>证件名称</w:t>
            </w:r>
          </w:p>
        </w:tc>
        <w:tc>
          <w:tcPr>
            <w:tcW w:w="813" w:type="dxa"/>
            <w:vAlign w:val="center"/>
          </w:tcPr>
          <w:p>
            <w:pPr>
              <w:rPr>
                <w:rFonts w:ascii="新宋体" w:hAnsi="新宋体" w:eastAsia="新宋体"/>
                <w:b/>
                <w:szCs w:val="21"/>
              </w:rPr>
            </w:pPr>
            <w:r>
              <w:rPr>
                <w:rFonts w:hint="eastAsia" w:ascii="新宋体" w:hAnsi="新宋体" w:eastAsia="新宋体"/>
                <w:b/>
                <w:szCs w:val="21"/>
              </w:rPr>
              <w:t>份数</w:t>
            </w:r>
          </w:p>
        </w:tc>
        <w:tc>
          <w:tcPr>
            <w:tcW w:w="800" w:type="dxa"/>
            <w:vAlign w:val="center"/>
          </w:tcPr>
          <w:p>
            <w:pPr>
              <w:rPr>
                <w:rFonts w:ascii="新宋体" w:hAnsi="新宋体" w:eastAsia="新宋体"/>
                <w:b/>
                <w:szCs w:val="21"/>
              </w:rPr>
            </w:pPr>
            <w:r>
              <w:rPr>
                <w:rFonts w:hint="eastAsia" w:ascii="新宋体" w:hAnsi="新宋体" w:eastAsia="新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rPr>
                <w:rFonts w:ascii="新宋体" w:hAnsi="新宋体" w:eastAsia="新宋体"/>
                <w:szCs w:val="21"/>
              </w:rPr>
            </w:pPr>
          </w:p>
        </w:tc>
        <w:tc>
          <w:tcPr>
            <w:tcW w:w="6940" w:type="dxa"/>
            <w:gridSpan w:val="6"/>
            <w:vAlign w:val="center"/>
          </w:tcPr>
          <w:p>
            <w:pPr>
              <w:ind w:firstLine="420" w:firstLineChars="200"/>
              <w:rPr>
                <w:rFonts w:ascii="新宋体" w:hAnsi="新宋体" w:eastAsia="新宋体"/>
                <w:szCs w:val="21"/>
              </w:rPr>
            </w:pPr>
          </w:p>
        </w:tc>
        <w:tc>
          <w:tcPr>
            <w:tcW w:w="813" w:type="dxa"/>
            <w:vAlign w:val="center"/>
          </w:tcPr>
          <w:p>
            <w:pPr>
              <w:ind w:firstLine="420" w:firstLineChars="200"/>
              <w:rPr>
                <w:rFonts w:ascii="新宋体" w:hAnsi="新宋体" w:eastAsia="新宋体"/>
                <w:szCs w:val="21"/>
              </w:rPr>
            </w:pPr>
          </w:p>
        </w:tc>
        <w:tc>
          <w:tcPr>
            <w:tcW w:w="800" w:type="dxa"/>
            <w:vAlign w:val="center"/>
          </w:tcPr>
          <w:p>
            <w:pPr>
              <w:ind w:firstLine="420" w:firstLineChars="200"/>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rPr>
                <w:rFonts w:ascii="新宋体" w:hAnsi="新宋体" w:eastAsia="新宋体"/>
                <w:szCs w:val="21"/>
              </w:rPr>
            </w:pPr>
          </w:p>
        </w:tc>
        <w:tc>
          <w:tcPr>
            <w:tcW w:w="6940" w:type="dxa"/>
            <w:gridSpan w:val="6"/>
            <w:vAlign w:val="center"/>
          </w:tcPr>
          <w:p>
            <w:pPr>
              <w:ind w:firstLine="420" w:firstLineChars="200"/>
              <w:rPr>
                <w:rFonts w:ascii="新宋体" w:hAnsi="新宋体" w:eastAsia="新宋体"/>
                <w:szCs w:val="21"/>
              </w:rPr>
            </w:pPr>
          </w:p>
        </w:tc>
        <w:tc>
          <w:tcPr>
            <w:tcW w:w="813" w:type="dxa"/>
            <w:vAlign w:val="center"/>
          </w:tcPr>
          <w:p>
            <w:pPr>
              <w:ind w:firstLine="420" w:firstLineChars="200"/>
              <w:rPr>
                <w:rFonts w:ascii="新宋体" w:hAnsi="新宋体" w:eastAsia="新宋体"/>
                <w:szCs w:val="21"/>
              </w:rPr>
            </w:pPr>
          </w:p>
        </w:tc>
        <w:tc>
          <w:tcPr>
            <w:tcW w:w="800" w:type="dxa"/>
            <w:vAlign w:val="center"/>
          </w:tcPr>
          <w:p>
            <w:pPr>
              <w:ind w:firstLine="420" w:firstLineChars="200"/>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rPr>
                <w:rFonts w:ascii="新宋体" w:hAnsi="新宋体" w:eastAsia="新宋体"/>
                <w:szCs w:val="21"/>
              </w:rPr>
            </w:pPr>
          </w:p>
        </w:tc>
        <w:tc>
          <w:tcPr>
            <w:tcW w:w="6940" w:type="dxa"/>
            <w:gridSpan w:val="6"/>
            <w:vAlign w:val="center"/>
          </w:tcPr>
          <w:p>
            <w:pPr>
              <w:ind w:firstLine="420" w:firstLineChars="200"/>
              <w:rPr>
                <w:rFonts w:ascii="新宋体" w:hAnsi="新宋体" w:eastAsia="新宋体"/>
                <w:szCs w:val="21"/>
              </w:rPr>
            </w:pPr>
          </w:p>
        </w:tc>
        <w:tc>
          <w:tcPr>
            <w:tcW w:w="813" w:type="dxa"/>
            <w:vAlign w:val="center"/>
          </w:tcPr>
          <w:p>
            <w:pPr>
              <w:ind w:firstLine="420" w:firstLineChars="200"/>
              <w:rPr>
                <w:rFonts w:ascii="新宋体" w:hAnsi="新宋体" w:eastAsia="新宋体"/>
                <w:szCs w:val="21"/>
              </w:rPr>
            </w:pPr>
          </w:p>
        </w:tc>
        <w:tc>
          <w:tcPr>
            <w:tcW w:w="800" w:type="dxa"/>
            <w:vAlign w:val="center"/>
          </w:tcPr>
          <w:p>
            <w:pPr>
              <w:ind w:firstLine="420" w:firstLineChars="200"/>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rPr>
                <w:rFonts w:ascii="新宋体" w:hAnsi="新宋体" w:eastAsia="新宋体"/>
                <w:szCs w:val="21"/>
              </w:rPr>
            </w:pPr>
          </w:p>
        </w:tc>
        <w:tc>
          <w:tcPr>
            <w:tcW w:w="6940" w:type="dxa"/>
            <w:gridSpan w:val="6"/>
            <w:vAlign w:val="center"/>
          </w:tcPr>
          <w:p>
            <w:pPr>
              <w:ind w:firstLine="420" w:firstLineChars="200"/>
              <w:rPr>
                <w:rFonts w:ascii="新宋体" w:hAnsi="新宋体" w:eastAsia="新宋体"/>
                <w:szCs w:val="21"/>
              </w:rPr>
            </w:pPr>
          </w:p>
        </w:tc>
        <w:tc>
          <w:tcPr>
            <w:tcW w:w="813" w:type="dxa"/>
            <w:vAlign w:val="center"/>
          </w:tcPr>
          <w:p>
            <w:pPr>
              <w:ind w:firstLine="420" w:firstLineChars="200"/>
              <w:rPr>
                <w:rFonts w:ascii="新宋体" w:hAnsi="新宋体" w:eastAsia="新宋体"/>
                <w:szCs w:val="21"/>
              </w:rPr>
            </w:pPr>
          </w:p>
        </w:tc>
        <w:tc>
          <w:tcPr>
            <w:tcW w:w="800" w:type="dxa"/>
            <w:vAlign w:val="center"/>
          </w:tcPr>
          <w:p>
            <w:pPr>
              <w:ind w:firstLine="420" w:firstLineChars="200"/>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rPr>
                <w:rFonts w:ascii="新宋体" w:hAnsi="新宋体" w:eastAsia="新宋体"/>
                <w:szCs w:val="21"/>
              </w:rPr>
            </w:pPr>
          </w:p>
        </w:tc>
        <w:tc>
          <w:tcPr>
            <w:tcW w:w="6940" w:type="dxa"/>
            <w:gridSpan w:val="6"/>
            <w:vAlign w:val="center"/>
          </w:tcPr>
          <w:p>
            <w:pPr>
              <w:ind w:firstLine="420" w:firstLineChars="200"/>
              <w:rPr>
                <w:rFonts w:ascii="新宋体" w:hAnsi="新宋体" w:eastAsia="新宋体"/>
                <w:szCs w:val="21"/>
              </w:rPr>
            </w:pPr>
          </w:p>
        </w:tc>
        <w:tc>
          <w:tcPr>
            <w:tcW w:w="813" w:type="dxa"/>
            <w:vAlign w:val="center"/>
          </w:tcPr>
          <w:p>
            <w:pPr>
              <w:ind w:firstLine="420" w:firstLineChars="200"/>
              <w:rPr>
                <w:rFonts w:ascii="新宋体" w:hAnsi="新宋体" w:eastAsia="新宋体"/>
                <w:szCs w:val="21"/>
              </w:rPr>
            </w:pPr>
          </w:p>
        </w:tc>
        <w:tc>
          <w:tcPr>
            <w:tcW w:w="800" w:type="dxa"/>
            <w:vAlign w:val="center"/>
          </w:tcPr>
          <w:p>
            <w:pPr>
              <w:ind w:firstLine="420" w:firstLineChars="200"/>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rPr>
                <w:rFonts w:ascii="新宋体" w:hAnsi="新宋体" w:eastAsia="新宋体"/>
                <w:szCs w:val="21"/>
              </w:rPr>
            </w:pPr>
          </w:p>
        </w:tc>
        <w:tc>
          <w:tcPr>
            <w:tcW w:w="6940" w:type="dxa"/>
            <w:gridSpan w:val="6"/>
            <w:vAlign w:val="center"/>
          </w:tcPr>
          <w:p>
            <w:pPr>
              <w:ind w:firstLine="420" w:firstLineChars="200"/>
              <w:rPr>
                <w:rFonts w:ascii="新宋体" w:hAnsi="新宋体" w:eastAsia="新宋体"/>
                <w:szCs w:val="21"/>
              </w:rPr>
            </w:pPr>
          </w:p>
        </w:tc>
        <w:tc>
          <w:tcPr>
            <w:tcW w:w="813" w:type="dxa"/>
            <w:vAlign w:val="center"/>
          </w:tcPr>
          <w:p>
            <w:pPr>
              <w:ind w:firstLine="420" w:firstLineChars="200"/>
              <w:rPr>
                <w:rFonts w:ascii="新宋体" w:hAnsi="新宋体" w:eastAsia="新宋体"/>
                <w:szCs w:val="21"/>
              </w:rPr>
            </w:pPr>
          </w:p>
        </w:tc>
        <w:tc>
          <w:tcPr>
            <w:tcW w:w="800" w:type="dxa"/>
            <w:vAlign w:val="center"/>
          </w:tcPr>
          <w:p>
            <w:pPr>
              <w:ind w:firstLine="420" w:firstLineChars="200"/>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rPr>
                <w:rFonts w:ascii="新宋体" w:hAnsi="新宋体" w:eastAsia="新宋体"/>
                <w:szCs w:val="21"/>
              </w:rPr>
            </w:pPr>
          </w:p>
        </w:tc>
        <w:tc>
          <w:tcPr>
            <w:tcW w:w="6940" w:type="dxa"/>
            <w:gridSpan w:val="6"/>
            <w:vAlign w:val="center"/>
          </w:tcPr>
          <w:p>
            <w:pPr>
              <w:ind w:firstLine="420" w:firstLineChars="200"/>
              <w:rPr>
                <w:rFonts w:ascii="新宋体" w:hAnsi="新宋体" w:eastAsia="新宋体"/>
                <w:szCs w:val="21"/>
              </w:rPr>
            </w:pPr>
          </w:p>
        </w:tc>
        <w:tc>
          <w:tcPr>
            <w:tcW w:w="813" w:type="dxa"/>
            <w:vAlign w:val="center"/>
          </w:tcPr>
          <w:p>
            <w:pPr>
              <w:ind w:firstLine="420" w:firstLineChars="200"/>
              <w:rPr>
                <w:rFonts w:ascii="新宋体" w:hAnsi="新宋体" w:eastAsia="新宋体"/>
                <w:szCs w:val="21"/>
              </w:rPr>
            </w:pPr>
          </w:p>
        </w:tc>
        <w:tc>
          <w:tcPr>
            <w:tcW w:w="800" w:type="dxa"/>
            <w:vAlign w:val="center"/>
          </w:tcPr>
          <w:p>
            <w:pPr>
              <w:ind w:firstLine="420" w:firstLineChars="200"/>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rPr>
                <w:rFonts w:ascii="新宋体" w:hAnsi="新宋体" w:eastAsia="新宋体"/>
                <w:szCs w:val="21"/>
              </w:rPr>
            </w:pPr>
          </w:p>
        </w:tc>
        <w:tc>
          <w:tcPr>
            <w:tcW w:w="6940" w:type="dxa"/>
            <w:gridSpan w:val="6"/>
            <w:vAlign w:val="center"/>
          </w:tcPr>
          <w:p>
            <w:pPr>
              <w:ind w:firstLine="420" w:firstLineChars="200"/>
              <w:rPr>
                <w:rFonts w:ascii="新宋体" w:hAnsi="新宋体" w:eastAsia="新宋体"/>
                <w:szCs w:val="21"/>
              </w:rPr>
            </w:pPr>
          </w:p>
        </w:tc>
        <w:tc>
          <w:tcPr>
            <w:tcW w:w="813" w:type="dxa"/>
            <w:vAlign w:val="center"/>
          </w:tcPr>
          <w:p>
            <w:pPr>
              <w:ind w:firstLine="420" w:firstLineChars="200"/>
              <w:rPr>
                <w:rFonts w:ascii="新宋体" w:hAnsi="新宋体" w:eastAsia="新宋体"/>
                <w:szCs w:val="21"/>
              </w:rPr>
            </w:pPr>
          </w:p>
        </w:tc>
        <w:tc>
          <w:tcPr>
            <w:tcW w:w="800" w:type="dxa"/>
            <w:vAlign w:val="center"/>
          </w:tcPr>
          <w:p>
            <w:pPr>
              <w:ind w:firstLine="420" w:firstLineChars="200"/>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rPr>
                <w:rFonts w:ascii="新宋体" w:hAnsi="新宋体" w:eastAsia="新宋体"/>
                <w:szCs w:val="21"/>
              </w:rPr>
            </w:pPr>
          </w:p>
        </w:tc>
        <w:tc>
          <w:tcPr>
            <w:tcW w:w="6940" w:type="dxa"/>
            <w:gridSpan w:val="6"/>
            <w:vAlign w:val="center"/>
          </w:tcPr>
          <w:p>
            <w:pPr>
              <w:ind w:firstLine="420" w:firstLineChars="200"/>
              <w:rPr>
                <w:rFonts w:ascii="新宋体" w:hAnsi="新宋体" w:eastAsia="新宋体"/>
                <w:szCs w:val="21"/>
              </w:rPr>
            </w:pPr>
          </w:p>
        </w:tc>
        <w:tc>
          <w:tcPr>
            <w:tcW w:w="813" w:type="dxa"/>
            <w:vAlign w:val="center"/>
          </w:tcPr>
          <w:p>
            <w:pPr>
              <w:ind w:firstLine="420" w:firstLineChars="200"/>
              <w:rPr>
                <w:rFonts w:ascii="新宋体" w:hAnsi="新宋体" w:eastAsia="新宋体"/>
                <w:szCs w:val="21"/>
              </w:rPr>
            </w:pPr>
          </w:p>
        </w:tc>
        <w:tc>
          <w:tcPr>
            <w:tcW w:w="800" w:type="dxa"/>
            <w:vAlign w:val="center"/>
          </w:tcPr>
          <w:p>
            <w:pPr>
              <w:ind w:firstLine="420" w:firstLineChars="200"/>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rPr>
                <w:rFonts w:ascii="新宋体" w:hAnsi="新宋体" w:eastAsia="新宋体"/>
                <w:szCs w:val="21"/>
              </w:rPr>
            </w:pPr>
          </w:p>
        </w:tc>
        <w:tc>
          <w:tcPr>
            <w:tcW w:w="6940" w:type="dxa"/>
            <w:gridSpan w:val="6"/>
            <w:vAlign w:val="center"/>
          </w:tcPr>
          <w:p>
            <w:pPr>
              <w:ind w:firstLine="420" w:firstLineChars="200"/>
              <w:rPr>
                <w:rFonts w:ascii="新宋体" w:hAnsi="新宋体" w:eastAsia="新宋体"/>
                <w:szCs w:val="21"/>
              </w:rPr>
            </w:pPr>
          </w:p>
        </w:tc>
        <w:tc>
          <w:tcPr>
            <w:tcW w:w="813" w:type="dxa"/>
            <w:vAlign w:val="center"/>
          </w:tcPr>
          <w:p>
            <w:pPr>
              <w:ind w:firstLine="420" w:firstLineChars="200"/>
              <w:rPr>
                <w:rFonts w:ascii="新宋体" w:hAnsi="新宋体" w:eastAsia="新宋体"/>
                <w:szCs w:val="21"/>
              </w:rPr>
            </w:pPr>
          </w:p>
        </w:tc>
        <w:tc>
          <w:tcPr>
            <w:tcW w:w="800" w:type="dxa"/>
            <w:vAlign w:val="center"/>
          </w:tcPr>
          <w:p>
            <w:pPr>
              <w:ind w:firstLine="420" w:firstLineChars="200"/>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rPr>
                <w:rFonts w:ascii="新宋体" w:hAnsi="新宋体" w:eastAsia="新宋体"/>
                <w:szCs w:val="21"/>
              </w:rPr>
            </w:pPr>
          </w:p>
        </w:tc>
        <w:tc>
          <w:tcPr>
            <w:tcW w:w="6940" w:type="dxa"/>
            <w:gridSpan w:val="6"/>
            <w:vAlign w:val="center"/>
          </w:tcPr>
          <w:p>
            <w:pPr>
              <w:ind w:firstLine="420" w:firstLineChars="200"/>
              <w:rPr>
                <w:rFonts w:ascii="新宋体" w:hAnsi="新宋体" w:eastAsia="新宋体"/>
                <w:szCs w:val="21"/>
              </w:rPr>
            </w:pPr>
          </w:p>
        </w:tc>
        <w:tc>
          <w:tcPr>
            <w:tcW w:w="813" w:type="dxa"/>
            <w:vAlign w:val="center"/>
          </w:tcPr>
          <w:p>
            <w:pPr>
              <w:ind w:firstLine="420" w:firstLineChars="200"/>
              <w:rPr>
                <w:rFonts w:ascii="新宋体" w:hAnsi="新宋体" w:eastAsia="新宋体"/>
                <w:szCs w:val="21"/>
              </w:rPr>
            </w:pPr>
          </w:p>
        </w:tc>
        <w:tc>
          <w:tcPr>
            <w:tcW w:w="800" w:type="dxa"/>
            <w:vAlign w:val="center"/>
          </w:tcPr>
          <w:p>
            <w:pPr>
              <w:ind w:firstLine="420" w:firstLineChars="200"/>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rPr>
                <w:rFonts w:ascii="新宋体" w:hAnsi="新宋体" w:eastAsia="新宋体"/>
                <w:szCs w:val="21"/>
              </w:rPr>
            </w:pPr>
          </w:p>
        </w:tc>
        <w:tc>
          <w:tcPr>
            <w:tcW w:w="6940" w:type="dxa"/>
            <w:gridSpan w:val="6"/>
            <w:vAlign w:val="center"/>
          </w:tcPr>
          <w:p>
            <w:pPr>
              <w:ind w:firstLine="420" w:firstLineChars="200"/>
              <w:rPr>
                <w:rFonts w:ascii="新宋体" w:hAnsi="新宋体" w:eastAsia="新宋体"/>
                <w:szCs w:val="21"/>
              </w:rPr>
            </w:pPr>
          </w:p>
        </w:tc>
        <w:tc>
          <w:tcPr>
            <w:tcW w:w="813" w:type="dxa"/>
            <w:vAlign w:val="center"/>
          </w:tcPr>
          <w:p>
            <w:pPr>
              <w:ind w:firstLine="420" w:firstLineChars="200"/>
              <w:rPr>
                <w:rFonts w:ascii="新宋体" w:hAnsi="新宋体" w:eastAsia="新宋体"/>
                <w:szCs w:val="21"/>
              </w:rPr>
            </w:pPr>
          </w:p>
        </w:tc>
        <w:tc>
          <w:tcPr>
            <w:tcW w:w="800" w:type="dxa"/>
            <w:vAlign w:val="center"/>
          </w:tcPr>
          <w:p>
            <w:pPr>
              <w:ind w:firstLine="420" w:firstLineChars="200"/>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130" w:type="dxa"/>
            <w:gridSpan w:val="3"/>
            <w:vAlign w:val="center"/>
          </w:tcPr>
          <w:p>
            <w:pPr>
              <w:rPr>
                <w:rFonts w:ascii="新宋体" w:hAnsi="新宋体" w:eastAsia="新宋体"/>
                <w:b/>
                <w:szCs w:val="21"/>
              </w:rPr>
            </w:pPr>
            <w:r>
              <w:rPr>
                <w:rFonts w:hint="eastAsia" w:ascii="新宋体" w:hAnsi="新宋体" w:eastAsia="新宋体"/>
                <w:b/>
                <w:szCs w:val="21"/>
              </w:rPr>
              <w:t>提交及归还时间</w:t>
            </w:r>
          </w:p>
        </w:tc>
        <w:tc>
          <w:tcPr>
            <w:tcW w:w="3320" w:type="dxa"/>
            <w:vAlign w:val="center"/>
          </w:tcPr>
          <w:p>
            <w:pPr>
              <w:rPr>
                <w:rFonts w:ascii="新宋体" w:hAnsi="新宋体" w:eastAsia="新宋体"/>
                <w:b/>
                <w:szCs w:val="21"/>
              </w:rPr>
            </w:pPr>
            <w:r>
              <w:rPr>
                <w:rFonts w:hint="eastAsia" w:ascii="新宋体" w:hAnsi="新宋体" w:eastAsia="新宋体"/>
                <w:b/>
                <w:szCs w:val="21"/>
              </w:rPr>
              <w:t>提交时间：    年  月   日   时</w:t>
            </w:r>
          </w:p>
        </w:tc>
        <w:tc>
          <w:tcPr>
            <w:tcW w:w="4007" w:type="dxa"/>
            <w:gridSpan w:val="5"/>
            <w:vAlign w:val="center"/>
          </w:tcPr>
          <w:p>
            <w:pPr>
              <w:rPr>
                <w:rFonts w:ascii="新宋体" w:hAnsi="新宋体" w:eastAsia="新宋体"/>
                <w:b/>
                <w:szCs w:val="21"/>
              </w:rPr>
            </w:pPr>
            <w:r>
              <w:rPr>
                <w:rFonts w:hint="eastAsia" w:ascii="新宋体" w:hAnsi="新宋体" w:eastAsia="新宋体"/>
                <w:b/>
                <w:szCs w:val="21"/>
              </w:rPr>
              <w:t>领取（归还）时间：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rPr>
                <w:rFonts w:ascii="新宋体" w:hAnsi="新宋体" w:eastAsia="新宋体"/>
                <w:b/>
                <w:szCs w:val="21"/>
              </w:rPr>
            </w:pPr>
            <w:r>
              <w:rPr>
                <w:rFonts w:hint="eastAsia" w:ascii="新宋体" w:hAnsi="新宋体" w:eastAsia="新宋体"/>
                <w:b/>
                <w:szCs w:val="21"/>
              </w:rPr>
              <w:t>投标单位授权委托人</w:t>
            </w:r>
          </w:p>
        </w:tc>
        <w:tc>
          <w:tcPr>
            <w:tcW w:w="3320" w:type="dxa"/>
            <w:vAlign w:val="center"/>
          </w:tcPr>
          <w:p>
            <w:pPr>
              <w:rPr>
                <w:rFonts w:ascii="新宋体" w:hAnsi="新宋体" w:eastAsia="新宋体"/>
                <w:b/>
                <w:szCs w:val="21"/>
              </w:rPr>
            </w:pPr>
            <w:r>
              <w:rPr>
                <w:rFonts w:hint="eastAsia" w:ascii="新宋体" w:hAnsi="新宋体" w:eastAsia="新宋体"/>
                <w:b/>
                <w:szCs w:val="21"/>
              </w:rPr>
              <w:t>提交人签字：</w:t>
            </w:r>
          </w:p>
        </w:tc>
        <w:tc>
          <w:tcPr>
            <w:tcW w:w="4007" w:type="dxa"/>
            <w:gridSpan w:val="5"/>
            <w:vAlign w:val="center"/>
          </w:tcPr>
          <w:p>
            <w:pPr>
              <w:rPr>
                <w:rFonts w:ascii="新宋体" w:hAnsi="新宋体" w:eastAsia="新宋体"/>
                <w:b/>
                <w:szCs w:val="21"/>
              </w:rPr>
            </w:pPr>
            <w:r>
              <w:rPr>
                <w:rFonts w:hint="eastAsia" w:ascii="新宋体" w:hAnsi="新宋体" w:eastAsia="新宋体"/>
                <w:b/>
                <w:szCs w:val="21"/>
              </w:rPr>
              <w:t>领取人签字：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rPr>
                <w:rFonts w:ascii="新宋体" w:hAnsi="新宋体" w:eastAsia="新宋体"/>
                <w:b/>
                <w:szCs w:val="21"/>
              </w:rPr>
            </w:pPr>
            <w:r>
              <w:rPr>
                <w:rFonts w:hint="eastAsia" w:ascii="新宋体" w:hAnsi="新宋体" w:eastAsia="新宋体"/>
                <w:b/>
                <w:szCs w:val="21"/>
              </w:rPr>
              <w:t>招标人或代理机构</w:t>
            </w:r>
          </w:p>
        </w:tc>
        <w:tc>
          <w:tcPr>
            <w:tcW w:w="3320" w:type="dxa"/>
            <w:vAlign w:val="center"/>
          </w:tcPr>
          <w:p>
            <w:pPr>
              <w:rPr>
                <w:rFonts w:ascii="新宋体" w:hAnsi="新宋体" w:eastAsia="新宋体"/>
                <w:b/>
                <w:szCs w:val="21"/>
              </w:rPr>
            </w:pPr>
            <w:r>
              <w:rPr>
                <w:rFonts w:hint="eastAsia" w:ascii="新宋体" w:hAnsi="新宋体" w:eastAsia="新宋体"/>
                <w:b/>
                <w:szCs w:val="21"/>
              </w:rPr>
              <w:t>签收人签字：</w:t>
            </w:r>
          </w:p>
        </w:tc>
        <w:tc>
          <w:tcPr>
            <w:tcW w:w="4007" w:type="dxa"/>
            <w:gridSpan w:val="5"/>
            <w:vAlign w:val="center"/>
          </w:tcPr>
          <w:p>
            <w:pPr>
              <w:rPr>
                <w:rFonts w:ascii="新宋体" w:hAnsi="新宋体" w:eastAsia="新宋体"/>
                <w:b/>
                <w:szCs w:val="21"/>
              </w:rPr>
            </w:pPr>
            <w:r>
              <w:rPr>
                <w:rFonts w:hint="eastAsia" w:ascii="新宋体" w:hAnsi="新宋体" w:eastAsia="新宋体"/>
                <w:b/>
                <w:szCs w:val="21"/>
              </w:rPr>
              <w:t>发放人签字：</w:t>
            </w:r>
          </w:p>
        </w:tc>
      </w:tr>
    </w:tbl>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注：</w:t>
      </w:r>
    </w:p>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1、投标人向评标委员会提交的所有证书及相关材料应打印目录并加盖公章；</w:t>
      </w:r>
    </w:p>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2、提交时按该目录对照核查，未打印到目录上的证件经双方共同签字予以接收，目录上有而证件原件中没有的经招标代理机构和投标人双方确认后，共同签字取消该项。</w:t>
      </w:r>
    </w:p>
    <w:p>
      <w:pPr>
        <w:spacing w:line="440" w:lineRule="exact"/>
        <w:ind w:right="-134" w:rightChars="-64" w:firstLine="420" w:firstLineChars="200"/>
        <w:rPr>
          <w:rFonts w:ascii="新宋体" w:hAnsi="新宋体" w:eastAsia="新宋体"/>
          <w:szCs w:val="21"/>
        </w:rPr>
      </w:pPr>
      <w:r>
        <w:rPr>
          <w:rFonts w:hint="eastAsia" w:ascii="新宋体" w:hAnsi="新宋体" w:eastAsia="新宋体"/>
          <w:szCs w:val="21"/>
        </w:rPr>
        <w:t>3、招标人或委托的代理机构和投标单位委托人双方对照目录核查后，由双方签字确认。</w:t>
      </w:r>
    </w:p>
    <w:p>
      <w:pPr>
        <w:pStyle w:val="4"/>
        <w:spacing w:beforeLines="50" w:after="0" w:line="400" w:lineRule="exact"/>
        <w:ind w:firstLine="420" w:firstLineChars="200"/>
        <w:rPr>
          <w:rFonts w:ascii="黑体" w:hAnsi="宋体" w:eastAsia="黑体"/>
          <w:b w:val="0"/>
          <w:sz w:val="32"/>
          <w:szCs w:val="32"/>
        </w:rPr>
      </w:pPr>
      <w:bookmarkStart w:id="203" w:name="_Toc2916"/>
      <w:bookmarkStart w:id="204" w:name="_Toc485889053"/>
      <w:bookmarkStart w:id="205" w:name="_Toc486277914"/>
      <w:r>
        <w:rPr>
          <w:rFonts w:hint="eastAsia" w:ascii="新宋体" w:hAnsi="新宋体" w:eastAsia="新宋体"/>
          <w:b w:val="0"/>
          <w:bCs w:val="0"/>
          <w:kern w:val="2"/>
          <w:sz w:val="21"/>
          <w:szCs w:val="21"/>
        </w:rPr>
        <w:t>4、评标委员会依法成立后，不再接受投标人任何材料。</w:t>
      </w:r>
      <w:r>
        <w:rPr>
          <w:rFonts w:hint="eastAsia" w:ascii="黑体" w:hAnsi="宋体" w:eastAsia="黑体"/>
          <w:sz w:val="24"/>
          <w:szCs w:val="24"/>
        </w:rPr>
        <w:br w:type="page"/>
      </w:r>
      <w:bookmarkEnd w:id="203"/>
      <w:bookmarkEnd w:id="204"/>
      <w:bookmarkEnd w:id="205"/>
      <w:bookmarkStart w:id="206" w:name="_Toc234382646"/>
    </w:p>
    <w:p>
      <w:pPr>
        <w:rPr>
          <w:rFonts w:ascii="黑体" w:hAnsi="宋体" w:eastAsia="黑体"/>
          <w:b/>
          <w:sz w:val="32"/>
          <w:szCs w:val="32"/>
        </w:rPr>
      </w:pPr>
      <w:r>
        <w:rPr>
          <w:rFonts w:ascii="黑体" w:hAnsi="宋体" w:eastAsia="黑体"/>
          <w:b/>
          <w:sz w:val="32"/>
          <w:szCs w:val="32"/>
        </w:rPr>
        <w:t>附</w:t>
      </w:r>
      <w:r>
        <w:rPr>
          <w:rFonts w:hint="eastAsia" w:ascii="黑体" w:hAnsi="宋体" w:eastAsia="黑体"/>
          <w:b/>
          <w:sz w:val="32"/>
          <w:szCs w:val="32"/>
        </w:rPr>
        <w:t>件三</w:t>
      </w:r>
      <w:r>
        <w:rPr>
          <w:rFonts w:ascii="黑体" w:hAnsi="宋体" w:eastAsia="黑体"/>
          <w:b/>
          <w:sz w:val="32"/>
          <w:szCs w:val="32"/>
        </w:rPr>
        <w:t>：问题澄清通知</w:t>
      </w:r>
      <w:bookmarkEnd w:id="206"/>
    </w:p>
    <w:p>
      <w:pPr>
        <w:rPr>
          <w:rFonts w:ascii="宋体" w:hAnsi="宋体"/>
          <w:sz w:val="24"/>
        </w:rPr>
      </w:pPr>
    </w:p>
    <w:p>
      <w:pPr>
        <w:jc w:val="center"/>
        <w:rPr>
          <w:rFonts w:ascii="黑体" w:hAnsi="宋体" w:eastAsia="黑体"/>
          <w:b/>
          <w:bCs/>
          <w:kern w:val="44"/>
          <w:sz w:val="28"/>
          <w:szCs w:val="28"/>
        </w:rPr>
      </w:pPr>
      <w:r>
        <w:rPr>
          <w:rFonts w:hint="eastAsia" w:ascii="黑体" w:hAnsi="宋体" w:eastAsia="黑体"/>
          <w:b/>
          <w:bCs/>
          <w:kern w:val="44"/>
          <w:sz w:val="28"/>
          <w:szCs w:val="28"/>
        </w:rPr>
        <w:t>问题澄清通知</w:t>
      </w:r>
    </w:p>
    <w:p>
      <w:pPr>
        <w:rPr>
          <w:rFonts w:ascii="宋体" w:hAnsi="宋体"/>
          <w:sz w:val="24"/>
        </w:rPr>
      </w:pPr>
    </w:p>
    <w:p>
      <w:pPr>
        <w:jc w:val="center"/>
        <w:rPr>
          <w:rFonts w:ascii="宋体" w:hAnsi="宋体"/>
          <w:sz w:val="24"/>
        </w:rPr>
      </w:pPr>
      <w:r>
        <w:rPr>
          <w:rFonts w:ascii="宋体" w:hAnsi="宋体"/>
          <w:sz w:val="24"/>
        </w:rPr>
        <w:t>编号：</w:t>
      </w:r>
    </w:p>
    <w:p>
      <w:pPr>
        <w:rPr>
          <w:rFonts w:ascii="宋体" w:hAnsi="宋体"/>
          <w:sz w:val="24"/>
        </w:rPr>
      </w:pPr>
    </w:p>
    <w:p>
      <w:pPr>
        <w:rPr>
          <w:rFonts w:ascii="宋体" w:hAnsi="宋体"/>
          <w:sz w:val="24"/>
        </w:rPr>
      </w:pPr>
      <w:r>
        <w:rPr>
          <w:rFonts w:ascii="宋体" w:hAnsi="宋体"/>
          <w:sz w:val="24"/>
          <w:u w:val="single"/>
        </w:rPr>
        <w:tab/>
      </w:r>
      <w:r>
        <w:rPr>
          <w:rFonts w:ascii="宋体" w:hAnsi="宋体"/>
          <w:sz w:val="24"/>
          <w:u w:val="single"/>
        </w:rPr>
        <w:t>（投标人名称）</w:t>
      </w:r>
      <w:r>
        <w:rPr>
          <w:rFonts w:ascii="宋体" w:hAnsi="宋体"/>
          <w:sz w:val="24"/>
        </w:rPr>
        <w:t>：</w:t>
      </w:r>
    </w:p>
    <w:p>
      <w:pPr>
        <w:rPr>
          <w:rFonts w:ascii="宋体" w:hAnsi="宋体"/>
          <w:sz w:val="24"/>
        </w:rPr>
      </w:pPr>
    </w:p>
    <w:p>
      <w:pPr>
        <w:spacing w:line="400" w:lineRule="exact"/>
        <w:ind w:firstLine="480" w:firstLineChars="200"/>
        <w:rPr>
          <w:rFonts w:ascii="宋体" w:hAnsi="宋体"/>
          <w:sz w:val="24"/>
        </w:rPr>
      </w:pPr>
      <w:r>
        <w:rPr>
          <w:rFonts w:hint="eastAsia" w:ascii="宋体" w:hAnsi="宋体"/>
          <w:sz w:val="24"/>
          <w:u w:val="single"/>
        </w:rPr>
        <w:t xml:space="preserve">       </w:t>
      </w: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pPr>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rPr>
          <w:rFonts w:ascii="宋体" w:hAnsi="宋体"/>
          <w:sz w:val="24"/>
        </w:rPr>
      </w:pPr>
    </w:p>
    <w:p>
      <w:pPr>
        <w:spacing w:line="400" w:lineRule="exact"/>
        <w:ind w:firstLine="480" w:firstLineChars="200"/>
        <w:rPr>
          <w:rFonts w:ascii="宋体" w:hAnsi="宋体"/>
          <w:sz w:val="24"/>
          <w:u w:val="single"/>
        </w:rPr>
      </w:pPr>
      <w:r>
        <w:rPr>
          <w:rFonts w:ascii="宋体" w:hAnsi="宋体"/>
          <w:sz w:val="24"/>
        </w:rPr>
        <w:t>请将上述问题的澄清于</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r>
        <w:rPr>
          <w:rFonts w:hint="eastAsia" w:ascii="宋体" w:hAnsi="宋体"/>
          <w:sz w:val="24"/>
          <w:u w:val="single"/>
        </w:rPr>
        <w:t xml:space="preserve">  </w:t>
      </w:r>
      <w:r>
        <w:rPr>
          <w:rFonts w:ascii="宋体" w:hAnsi="宋体"/>
          <w:sz w:val="24"/>
        </w:rPr>
        <w:t>时前递交至</w:t>
      </w:r>
      <w:r>
        <w:rPr>
          <w:rFonts w:hint="eastAsia" w:ascii="宋体" w:hAnsi="宋体"/>
          <w:sz w:val="24"/>
          <w:u w:val="single"/>
        </w:rPr>
        <w:t xml:space="preserve">    </w:t>
      </w:r>
      <w:r>
        <w:rPr>
          <w:rFonts w:ascii="宋体" w:hAnsi="宋体"/>
          <w:sz w:val="24"/>
          <w:u w:val="single"/>
        </w:rPr>
        <w:t>（详细地址）</w:t>
      </w:r>
      <w:r>
        <w:rPr>
          <w:rFonts w:ascii="宋体" w:hAnsi="宋体"/>
          <w:sz w:val="24"/>
        </w:rPr>
        <w:t>或传真至</w:t>
      </w:r>
      <w:r>
        <w:rPr>
          <w:rFonts w:hint="eastAsia" w:ascii="宋体" w:hAnsi="宋体"/>
          <w:sz w:val="24"/>
          <w:u w:val="single"/>
        </w:rPr>
        <w:t xml:space="preserve">     </w:t>
      </w:r>
    </w:p>
    <w:p>
      <w:pPr>
        <w:spacing w:line="400" w:lineRule="exact"/>
        <w:rPr>
          <w:rFonts w:ascii="宋体" w:hAnsi="宋体"/>
          <w:sz w:val="24"/>
        </w:rPr>
      </w:pPr>
      <w:r>
        <w:rPr>
          <w:rFonts w:ascii="宋体" w:hAnsi="宋体"/>
          <w:sz w:val="24"/>
        </w:rPr>
        <w:t>（传真号码）。采用传真方式的，应在</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r>
        <w:rPr>
          <w:rFonts w:hint="eastAsia" w:ascii="宋体" w:hAnsi="宋体"/>
          <w:sz w:val="24"/>
          <w:u w:val="single"/>
        </w:rPr>
        <w:t xml:space="preserve">  </w:t>
      </w:r>
      <w:r>
        <w:rPr>
          <w:rFonts w:ascii="宋体" w:hAnsi="宋体"/>
          <w:sz w:val="24"/>
        </w:rPr>
        <w:t>时前将原件递交至</w:t>
      </w:r>
      <w:r>
        <w:rPr>
          <w:rFonts w:hint="eastAsia" w:ascii="宋体" w:hAnsi="宋体"/>
          <w:sz w:val="24"/>
          <w:u w:val="single"/>
        </w:rPr>
        <w:t xml:space="preserve">          </w:t>
      </w:r>
      <w:r>
        <w:rPr>
          <w:rFonts w:ascii="宋体" w:hAnsi="宋体"/>
          <w:sz w:val="24"/>
        </w:rPr>
        <w:t>（详细地址）。</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ordWrap w:val="0"/>
        <w:spacing w:line="360" w:lineRule="auto"/>
        <w:jc w:val="right"/>
        <w:rPr>
          <w:rFonts w:ascii="宋体" w:hAnsi="宋体"/>
          <w:sz w:val="24"/>
          <w:u w:val="single"/>
        </w:rPr>
      </w:pPr>
      <w:r>
        <w:rPr>
          <w:rFonts w:hint="eastAsia" w:ascii="宋体" w:hAnsi="宋体"/>
          <w:sz w:val="24"/>
          <w:u w:val="single"/>
        </w:rPr>
        <w:t xml:space="preserve">     （项目名称）  施工招标评标委员会</w:t>
      </w:r>
    </w:p>
    <w:p>
      <w:pPr>
        <w:wordWrap w:val="0"/>
        <w:spacing w:line="360" w:lineRule="auto"/>
        <w:jc w:val="right"/>
        <w:rPr>
          <w:rFonts w:ascii="宋体" w:hAnsi="宋体"/>
          <w:sz w:val="24"/>
        </w:rPr>
      </w:pPr>
      <w:r>
        <w:rPr>
          <w:rFonts w:hint="eastAsia" w:ascii="宋体" w:hAnsi="宋体"/>
          <w:sz w:val="24"/>
        </w:rPr>
        <w:t>招标人</w:t>
      </w:r>
      <w:r>
        <w:rPr>
          <w:rFonts w:ascii="宋体" w:hAnsi="宋体"/>
          <w:sz w:val="24"/>
        </w:rPr>
        <w:t>：（</w:t>
      </w:r>
      <w:r>
        <w:rPr>
          <w:rFonts w:hint="eastAsia" w:ascii="宋体" w:hAnsi="宋体"/>
          <w:sz w:val="24"/>
        </w:rPr>
        <w:t>盖单位章</w:t>
      </w:r>
      <w:r>
        <w:rPr>
          <w:rFonts w:ascii="宋体" w:hAnsi="宋体"/>
          <w:sz w:val="24"/>
        </w:rPr>
        <w:t>）</w:t>
      </w:r>
      <w:r>
        <w:rPr>
          <w:rFonts w:hint="eastAsia" w:ascii="宋体" w:hAnsi="宋体"/>
          <w:sz w:val="24"/>
        </w:rPr>
        <w:t xml:space="preserve">          </w:t>
      </w:r>
    </w:p>
    <w:p>
      <w:pPr>
        <w:wordWrap w:val="0"/>
        <w:spacing w:line="360" w:lineRule="auto"/>
        <w:jc w:val="right"/>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r>
        <w:rPr>
          <w:rFonts w:hint="eastAsia" w:ascii="宋体" w:hAnsi="宋体"/>
          <w:sz w:val="24"/>
        </w:rPr>
        <w:t xml:space="preserve">   </w:t>
      </w:r>
    </w:p>
    <w:p>
      <w:pPr>
        <w:spacing w:line="360" w:lineRule="auto"/>
        <w:rPr>
          <w:rFonts w:ascii="宋体" w:hAnsi="宋体"/>
          <w:sz w:val="24"/>
        </w:rPr>
      </w:pPr>
    </w:p>
    <w:p>
      <w:pPr>
        <w:rPr>
          <w:rFonts w:ascii="黑体" w:hAnsi="宋体" w:eastAsia="黑体"/>
          <w:b/>
          <w:sz w:val="32"/>
          <w:szCs w:val="32"/>
        </w:rPr>
      </w:pPr>
      <w:r>
        <w:rPr>
          <w:rFonts w:ascii="宋体" w:hAnsi="宋体"/>
          <w:sz w:val="24"/>
        </w:rPr>
        <w:br w:type="page"/>
      </w:r>
      <w:bookmarkStart w:id="207" w:name="_Toc234382647"/>
      <w:r>
        <w:rPr>
          <w:rFonts w:ascii="黑体" w:hAnsi="宋体" w:eastAsia="黑体"/>
          <w:b/>
          <w:sz w:val="32"/>
          <w:szCs w:val="32"/>
        </w:rPr>
        <w:t>附</w:t>
      </w:r>
      <w:r>
        <w:rPr>
          <w:rFonts w:hint="eastAsia" w:ascii="黑体" w:hAnsi="宋体" w:eastAsia="黑体"/>
          <w:b/>
          <w:sz w:val="32"/>
          <w:szCs w:val="32"/>
        </w:rPr>
        <w:t>件四</w:t>
      </w:r>
      <w:r>
        <w:rPr>
          <w:rFonts w:ascii="黑体" w:hAnsi="宋体" w:eastAsia="黑体"/>
          <w:b/>
          <w:sz w:val="32"/>
          <w:szCs w:val="32"/>
        </w:rPr>
        <w:t>：问题的澄清</w:t>
      </w:r>
      <w:bookmarkEnd w:id="207"/>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问题的澄清</w:t>
      </w:r>
    </w:p>
    <w:p>
      <w:pPr>
        <w:rPr>
          <w:rFonts w:ascii="宋体" w:hAnsi="宋体"/>
          <w:sz w:val="24"/>
        </w:rPr>
      </w:pPr>
    </w:p>
    <w:p>
      <w:pPr>
        <w:jc w:val="center"/>
        <w:rPr>
          <w:rFonts w:ascii="宋体" w:hAnsi="宋体"/>
          <w:sz w:val="24"/>
        </w:rPr>
      </w:pPr>
      <w:r>
        <w:rPr>
          <w:rFonts w:ascii="宋体" w:hAnsi="宋体"/>
          <w:sz w:val="24"/>
        </w:rPr>
        <w:t>编号：</w:t>
      </w:r>
    </w:p>
    <w:p>
      <w:pPr>
        <w:spacing w:line="400" w:lineRule="exact"/>
        <w:ind w:firstLine="480" w:firstLineChars="200"/>
        <w:rPr>
          <w:rFonts w:ascii="宋体" w:hAnsi="宋体"/>
          <w:sz w:val="24"/>
        </w:rPr>
      </w:pPr>
      <w:r>
        <w:rPr>
          <w:rFonts w:hint="eastAsia" w:ascii="宋体" w:hAnsi="宋体"/>
          <w:sz w:val="24"/>
          <w:u w:val="single"/>
        </w:rPr>
        <w:t xml:space="preserve">      </w:t>
      </w:r>
      <w:r>
        <w:rPr>
          <w:rFonts w:ascii="宋体" w:hAnsi="宋体"/>
          <w:sz w:val="24"/>
          <w:u w:val="single"/>
        </w:rPr>
        <w:t>（项目名称）</w:t>
      </w:r>
      <w:r>
        <w:rPr>
          <w:rFonts w:ascii="宋体" w:hAnsi="宋体"/>
          <w:sz w:val="24"/>
        </w:rPr>
        <w:t xml:space="preserve">施工招标评标委员会：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问题澄清通知（编号：</w:t>
      </w:r>
      <w:r>
        <w:rPr>
          <w:rFonts w:hint="eastAsia" w:ascii="宋体" w:hAnsi="宋体"/>
          <w:sz w:val="24"/>
          <w:u w:val="single"/>
        </w:rPr>
        <w:t xml:space="preserve">       </w:t>
      </w:r>
      <w:r>
        <w:rPr>
          <w:rFonts w:ascii="宋体" w:hAnsi="宋体"/>
          <w:sz w:val="24"/>
        </w:rPr>
        <w:t>）已收悉，现澄清如下：</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pStyle w:val="2"/>
        <w:ind w:firstLine="210"/>
      </w:pPr>
    </w:p>
    <w:p>
      <w:pPr>
        <w:pStyle w:val="2"/>
        <w:ind w:firstLine="210"/>
      </w:pPr>
    </w:p>
    <w:p>
      <w:pPr>
        <w:pStyle w:val="2"/>
        <w:ind w:firstLine="210"/>
      </w:pPr>
    </w:p>
    <w:p>
      <w:pPr>
        <w:pStyle w:val="2"/>
        <w:ind w:firstLine="210"/>
      </w:pPr>
    </w:p>
    <w:p>
      <w:pPr>
        <w:spacing w:line="360" w:lineRule="auto"/>
        <w:jc w:val="center"/>
        <w:rPr>
          <w:rFonts w:ascii="宋体" w:hAnsi="宋体"/>
          <w:sz w:val="24"/>
        </w:rPr>
      </w:pPr>
      <w:r>
        <w:rPr>
          <w:rFonts w:ascii="宋体" w:hAnsi="宋体"/>
          <w:sz w:val="24"/>
        </w:rPr>
        <w:t>投标人：（盖单位章）</w:t>
      </w:r>
    </w:p>
    <w:p>
      <w:pPr>
        <w:spacing w:line="360" w:lineRule="auto"/>
        <w:jc w:val="center"/>
        <w:rPr>
          <w:rFonts w:ascii="宋体" w:hAnsi="宋体"/>
          <w:sz w:val="24"/>
        </w:rPr>
      </w:pPr>
      <w:r>
        <w:rPr>
          <w:rFonts w:ascii="宋体" w:hAnsi="宋体"/>
          <w:sz w:val="24"/>
        </w:rPr>
        <w:t>法定代表人或其委托代理人：（签字）</w:t>
      </w:r>
    </w:p>
    <w:p>
      <w:pPr>
        <w:spacing w:line="360" w:lineRule="auto"/>
        <w:jc w:val="center"/>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312" w:lineRule="auto"/>
        <w:jc w:val="center"/>
        <w:outlineLvl w:val="0"/>
        <w:rPr>
          <w:rFonts w:ascii="黑体" w:hAnsi="宋体" w:eastAsia="黑体"/>
          <w:bCs/>
          <w:sz w:val="44"/>
          <w:szCs w:val="44"/>
        </w:rPr>
      </w:pPr>
      <w:r>
        <w:rPr>
          <w:rFonts w:hint="eastAsia" w:ascii="黑体" w:eastAsia="黑体"/>
          <w:bCs/>
          <w:sz w:val="44"/>
          <w:szCs w:val="44"/>
        </w:rPr>
        <w:t>第三章  评标办法</w:t>
      </w:r>
    </w:p>
    <w:p>
      <w:pPr>
        <w:jc w:val="center"/>
        <w:outlineLvl w:val="0"/>
        <w:rPr>
          <w:rFonts w:ascii="宋体" w:hAnsi="宋体"/>
          <w:sz w:val="44"/>
          <w:szCs w:val="44"/>
        </w:rPr>
      </w:pPr>
      <w:bookmarkStart w:id="208" w:name="_Toc28682"/>
      <w:r>
        <w:rPr>
          <w:rFonts w:hint="eastAsia" w:ascii="宋体" w:hAnsi="宋体"/>
          <w:sz w:val="44"/>
          <w:szCs w:val="44"/>
        </w:rPr>
        <w:t>评标办法(技术评分最低标价法)</w:t>
      </w:r>
      <w:bookmarkEnd w:id="208"/>
    </w:p>
    <w:p>
      <w:pPr>
        <w:rPr>
          <w:rFonts w:ascii="新宋体" w:hAnsi="新宋体" w:eastAsia="新宋体" w:cs="新宋体"/>
          <w:sz w:val="24"/>
        </w:rPr>
      </w:pPr>
    </w:p>
    <w:p>
      <w:pPr>
        <w:ind w:firstLine="480" w:firstLineChars="200"/>
        <w:rPr>
          <w:rFonts w:ascii="宋体" w:hAnsi="宋体"/>
          <w:sz w:val="30"/>
          <w:szCs w:val="30"/>
        </w:rPr>
      </w:pPr>
      <w:r>
        <w:rPr>
          <w:rFonts w:hint="eastAsia" w:ascii="新宋体" w:hAnsi="新宋体" w:eastAsia="新宋体" w:cs="新宋体"/>
          <w:sz w:val="24"/>
        </w:rPr>
        <w:t>评标依据公路工程建设项目招标投标管理办法（中华人民共和国交通运输部令2015年第24号）。评标应遵循公正、公平、择优的原则严格按照招标文件进行。</w:t>
      </w:r>
    </w:p>
    <w:p>
      <w:pPr>
        <w:jc w:val="center"/>
        <w:rPr>
          <w:rFonts w:ascii="宋体" w:hAnsi="宋体"/>
          <w:sz w:val="24"/>
        </w:rPr>
      </w:pPr>
    </w:p>
    <w:p>
      <w:pPr>
        <w:spacing w:line="360" w:lineRule="auto"/>
        <w:jc w:val="center"/>
        <w:rPr>
          <w:rFonts w:ascii="宋体" w:hAnsi="宋体"/>
          <w:sz w:val="24"/>
        </w:rPr>
      </w:pPr>
      <w:r>
        <w:rPr>
          <w:rFonts w:hint="eastAsia" w:ascii="宋体" w:hAnsi="宋体"/>
          <w:sz w:val="24"/>
        </w:rPr>
        <w:t>评标办法前附表</w:t>
      </w:r>
    </w:p>
    <w:tbl>
      <w:tblPr>
        <w:tblStyle w:val="12"/>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1219"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380"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形式评审与</w:t>
            </w:r>
          </w:p>
          <w:p>
            <w:pPr>
              <w:rPr>
                <w:rFonts w:ascii="宋体" w:hAnsi="宋体"/>
                <w:szCs w:val="21"/>
              </w:rPr>
            </w:pPr>
            <w:r>
              <w:rPr>
                <w:rFonts w:hint="eastAsia" w:ascii="宋体" w:hAnsi="宋体"/>
                <w:szCs w:val="21"/>
              </w:rPr>
              <w:t>响应性评审</w:t>
            </w:r>
          </w:p>
          <w:p>
            <w:pPr>
              <w:rPr>
                <w:rFonts w:ascii="宋体" w:hAnsi="宋体"/>
                <w:szCs w:val="21"/>
              </w:rPr>
            </w:pPr>
            <w:r>
              <w:rPr>
                <w:rFonts w:hint="eastAsia" w:ascii="宋体" w:hAnsi="宋体"/>
                <w:szCs w:val="21"/>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szCs w:val="21"/>
              </w:rPr>
            </w:pPr>
            <w:r>
              <w:rPr>
                <w:rFonts w:hint="eastAsia" w:ascii="宋体" w:hAnsi="宋体"/>
                <w:b/>
                <w:szCs w:val="21"/>
              </w:rPr>
              <w:t>第一个信封（商务及技术文件）评审标准：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spacing w:line="400" w:lineRule="exact"/>
              <w:ind w:firstLine="420" w:firstLineChars="200"/>
              <w:jc w:val="left"/>
              <w:rPr>
                <w:rFonts w:ascii="宋体" w:hAnsi="宋体"/>
                <w:szCs w:val="21"/>
              </w:rPr>
            </w:pPr>
            <w:r>
              <w:rPr>
                <w:rFonts w:hint="eastAsia" w:ascii="宋体" w:hAnsi="宋体"/>
                <w:szCs w:val="21"/>
              </w:rPr>
              <w:t>a.投标函按招标文件规定填报了工期、工程质量目标及安全目标；</w:t>
            </w:r>
          </w:p>
          <w:p>
            <w:pPr>
              <w:spacing w:line="400" w:lineRule="exact"/>
              <w:ind w:firstLine="420" w:firstLineChars="200"/>
              <w:jc w:val="left"/>
              <w:rPr>
                <w:rFonts w:ascii="宋体" w:hAnsi="宋体"/>
                <w:szCs w:val="21"/>
              </w:rPr>
            </w:pPr>
            <w:r>
              <w:rPr>
                <w:rFonts w:hint="eastAsia" w:ascii="宋体" w:hAnsi="宋体"/>
                <w:szCs w:val="21"/>
              </w:rPr>
              <w:t>b.投标函附录的所有数据均符合招标文件规定；</w:t>
            </w:r>
          </w:p>
          <w:p>
            <w:pPr>
              <w:spacing w:line="400" w:lineRule="exact"/>
              <w:ind w:firstLine="420" w:firstLineChars="200"/>
              <w:jc w:val="left"/>
              <w:rPr>
                <w:rFonts w:ascii="宋体" w:hAnsi="宋体"/>
                <w:szCs w:val="21"/>
              </w:rPr>
            </w:pPr>
            <w:r>
              <w:rPr>
                <w:rFonts w:hint="eastAsia" w:ascii="宋体" w:hAnsi="宋体"/>
                <w:szCs w:val="21"/>
              </w:rPr>
              <w:t>c.承诺函文字与招标文件规定一致，未进行修改和删减；</w:t>
            </w:r>
          </w:p>
          <w:p>
            <w:pPr>
              <w:spacing w:line="400" w:lineRule="exact"/>
              <w:ind w:firstLine="420" w:firstLineChars="200"/>
              <w:jc w:val="left"/>
              <w:rPr>
                <w:rFonts w:ascii="宋体" w:hAnsi="宋体"/>
                <w:szCs w:val="21"/>
              </w:rPr>
            </w:pPr>
            <w:r>
              <w:rPr>
                <w:rFonts w:hint="eastAsia" w:ascii="宋体" w:hAnsi="宋体"/>
                <w:szCs w:val="21"/>
              </w:rPr>
              <w:t>d.按照招标文件规定的格式、内容编制了施工组织设计及项目管理机构相关图表；</w:t>
            </w:r>
          </w:p>
          <w:p>
            <w:pPr>
              <w:spacing w:line="400" w:lineRule="exact"/>
              <w:ind w:firstLine="420" w:firstLineChars="200"/>
              <w:jc w:val="left"/>
              <w:rPr>
                <w:rFonts w:ascii="宋体" w:hAnsi="宋体"/>
                <w:szCs w:val="21"/>
              </w:rPr>
            </w:pPr>
            <w:r>
              <w:rPr>
                <w:rFonts w:hint="eastAsia" w:ascii="宋体" w:hAnsi="宋体"/>
                <w:szCs w:val="21"/>
              </w:rPr>
              <w:t>e.投标文件组成齐全完整，内容均按规定填写。</w:t>
            </w:r>
          </w:p>
          <w:p>
            <w:pPr>
              <w:spacing w:line="400" w:lineRule="exact"/>
              <w:ind w:firstLine="420" w:firstLineChars="200"/>
              <w:jc w:val="left"/>
              <w:rPr>
                <w:rFonts w:ascii="宋体" w:hAnsi="宋体"/>
                <w:szCs w:val="21"/>
              </w:rPr>
            </w:pPr>
            <w:r>
              <w:rPr>
                <w:rFonts w:hint="eastAsia" w:ascii="宋体" w:hAnsi="宋体"/>
                <w:szCs w:val="21"/>
              </w:rPr>
              <w:t>(2) 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(3) 投标人按照招标文件的规定提供了投标保证金</w:t>
            </w:r>
          </w:p>
          <w:p>
            <w:pPr>
              <w:spacing w:line="400" w:lineRule="exact"/>
              <w:ind w:firstLine="420" w:firstLineChars="200"/>
              <w:jc w:val="left"/>
              <w:rPr>
                <w:rFonts w:ascii="宋体" w:hAnsi="宋体"/>
                <w:szCs w:val="21"/>
              </w:rPr>
            </w:pPr>
            <w:r>
              <w:rPr>
                <w:rFonts w:hint="eastAsia" w:ascii="宋体" w:hAnsi="宋体"/>
                <w:szCs w:val="21"/>
              </w:rPr>
              <w:t>(4)投标文件上法定代表人或其授权代理人的签字、投标人的单位章盖章齐全，符合招标文件规定：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(5)投标文件中未出现有关投标报价的内容。</w:t>
            </w:r>
          </w:p>
          <w:p>
            <w:pPr>
              <w:spacing w:line="400" w:lineRule="exact"/>
              <w:ind w:firstLine="420" w:firstLineChars="200"/>
              <w:jc w:val="left"/>
              <w:rPr>
                <w:rFonts w:ascii="宋体" w:hAnsi="宋体"/>
                <w:szCs w:val="21"/>
              </w:rPr>
            </w:pPr>
            <w:r>
              <w:rPr>
                <w:rFonts w:hint="eastAsia" w:ascii="宋体" w:hAnsi="宋体"/>
                <w:szCs w:val="21"/>
              </w:rPr>
              <w:t>(6)投标文件载明的招标项目完成期限未超过招标文件规定的时限。</w:t>
            </w:r>
          </w:p>
          <w:p>
            <w:pPr>
              <w:spacing w:line="400" w:lineRule="exact"/>
              <w:ind w:firstLine="420" w:firstLineChars="200"/>
              <w:jc w:val="left"/>
              <w:rPr>
                <w:rFonts w:ascii="宋体" w:hAnsi="宋体"/>
                <w:szCs w:val="21"/>
              </w:rPr>
            </w:pPr>
            <w:r>
              <w:rPr>
                <w:rFonts w:hint="eastAsia" w:ascii="宋体" w:hAnsi="宋体"/>
                <w:szCs w:val="21"/>
              </w:rPr>
              <w:t>(7)投标文件对招标文件的实质性要求和条件作出响应。</w:t>
            </w:r>
          </w:p>
          <w:p>
            <w:pPr>
              <w:spacing w:line="400" w:lineRule="exact"/>
              <w:ind w:firstLine="420" w:firstLineChars="200"/>
              <w:jc w:val="left"/>
              <w:rPr>
                <w:rFonts w:ascii="宋体" w:hAnsi="宋体"/>
                <w:szCs w:val="21"/>
              </w:rPr>
            </w:pPr>
            <w:r>
              <w:rPr>
                <w:rFonts w:hint="eastAsia" w:ascii="宋体" w:hAnsi="宋体"/>
                <w:szCs w:val="21"/>
              </w:rPr>
              <w:t>(8)权利义务符合招标文件规定：</w:t>
            </w:r>
          </w:p>
          <w:p>
            <w:pPr>
              <w:spacing w:line="400" w:lineRule="exact"/>
              <w:ind w:firstLine="420" w:firstLineChars="200"/>
              <w:jc w:val="left"/>
              <w:rPr>
                <w:rFonts w:ascii="宋体" w:hAnsi="宋体"/>
                <w:szCs w:val="21"/>
              </w:rPr>
            </w:pPr>
            <w:r>
              <w:rPr>
                <w:rFonts w:hint="eastAsia" w:ascii="宋体" w:hAnsi="宋体"/>
                <w:szCs w:val="21"/>
              </w:rPr>
              <w:t>a.投标人应接受招标文件规定的风险划分原则，未提出新的风险划分办法；</w:t>
            </w:r>
          </w:p>
          <w:p>
            <w:pPr>
              <w:spacing w:line="400" w:lineRule="exact"/>
              <w:ind w:firstLine="420" w:firstLineChars="200"/>
              <w:jc w:val="left"/>
              <w:rPr>
                <w:rFonts w:ascii="宋体" w:hAnsi="宋体"/>
                <w:szCs w:val="21"/>
              </w:rPr>
            </w:pPr>
            <w:r>
              <w:rPr>
                <w:rFonts w:hint="eastAsia" w:ascii="宋体" w:hAnsi="宋体"/>
                <w:szCs w:val="21"/>
              </w:rPr>
              <w:t>b.投标人未增加发包人的责任范围，或减少投标人义务；</w:t>
            </w:r>
          </w:p>
          <w:p>
            <w:pPr>
              <w:spacing w:line="400" w:lineRule="exact"/>
              <w:ind w:firstLine="420" w:firstLineChars="200"/>
              <w:jc w:val="left"/>
              <w:rPr>
                <w:rFonts w:ascii="宋体" w:hAnsi="宋体"/>
                <w:szCs w:val="21"/>
              </w:rPr>
            </w:pPr>
            <w:r>
              <w:rPr>
                <w:rFonts w:hint="eastAsia" w:ascii="宋体" w:hAnsi="宋体"/>
                <w:szCs w:val="21"/>
              </w:rPr>
              <w:t>c.投标人未提出不同的工程验收、计量、支付办法；</w:t>
            </w:r>
          </w:p>
          <w:p>
            <w:pPr>
              <w:spacing w:line="400" w:lineRule="exact"/>
              <w:ind w:firstLine="420" w:firstLineChars="200"/>
              <w:jc w:val="left"/>
              <w:rPr>
                <w:rFonts w:ascii="宋体" w:hAnsi="宋体"/>
                <w:szCs w:val="21"/>
              </w:rPr>
            </w:pPr>
            <w:r>
              <w:rPr>
                <w:rFonts w:hint="eastAsia" w:ascii="宋体" w:hAnsi="宋体"/>
                <w:szCs w:val="21"/>
              </w:rPr>
              <w:t>d.投标人对合同纠纷、事故处理办法未提出异议；</w:t>
            </w:r>
          </w:p>
          <w:p>
            <w:pPr>
              <w:spacing w:line="400" w:lineRule="exact"/>
              <w:ind w:firstLine="420" w:firstLineChars="200"/>
              <w:jc w:val="left"/>
              <w:rPr>
                <w:rFonts w:ascii="宋体" w:hAnsi="宋体"/>
                <w:szCs w:val="21"/>
              </w:rPr>
            </w:pPr>
            <w:r>
              <w:rPr>
                <w:rFonts w:hint="eastAsia" w:ascii="宋体" w:hAnsi="宋体"/>
                <w:szCs w:val="21"/>
              </w:rPr>
              <w:t>e.投标人在投标活动中无欺诈行为；</w:t>
            </w:r>
          </w:p>
          <w:p>
            <w:pPr>
              <w:spacing w:line="400" w:lineRule="exact"/>
              <w:ind w:firstLine="420" w:firstLineChars="200"/>
              <w:jc w:val="left"/>
              <w:rPr>
                <w:rFonts w:ascii="宋体" w:hAnsi="宋体"/>
                <w:szCs w:val="21"/>
              </w:rPr>
            </w:pPr>
            <w:r>
              <w:rPr>
                <w:rFonts w:hint="eastAsia" w:ascii="宋体" w:hAnsi="宋体"/>
                <w:szCs w:val="21"/>
              </w:rPr>
              <w:t>f.投标人未对合同条款有重要保留。</w:t>
            </w:r>
          </w:p>
          <w:p>
            <w:pPr>
              <w:spacing w:line="400" w:lineRule="exact"/>
              <w:ind w:firstLine="420" w:firstLineChars="200"/>
              <w:jc w:val="left"/>
              <w:rPr>
                <w:rFonts w:ascii="宋体" w:hAnsi="宋体"/>
                <w:szCs w:val="21"/>
              </w:rPr>
            </w:pPr>
            <w:r>
              <w:rPr>
                <w:rFonts w:hint="eastAsia" w:ascii="宋体" w:hAnsi="宋体"/>
                <w:szCs w:val="21"/>
              </w:rPr>
              <w:t>(9)投标文件正、副本份数符合招标文件第二章“投标人须知”第3.7.4 项规定。</w:t>
            </w:r>
          </w:p>
          <w:p>
            <w:pPr>
              <w:spacing w:line="400" w:lineRule="exact"/>
              <w:jc w:val="left"/>
              <w:rPr>
                <w:rFonts w:ascii="宋体" w:hAnsi="宋体"/>
                <w:b/>
                <w:szCs w:val="21"/>
              </w:rPr>
            </w:pPr>
            <w:r>
              <w:rPr>
                <w:rFonts w:hint="eastAsia" w:ascii="宋体" w:hAnsi="宋体"/>
                <w:b/>
                <w:szCs w:val="21"/>
              </w:rPr>
              <w:t>第二个信封（报价文件）评审标准：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(1)投标文件按照招标文件规定的格式、内容填写，字迹清晰可辨，内容齐全完整：</w:t>
            </w:r>
          </w:p>
          <w:p>
            <w:pPr>
              <w:spacing w:line="400" w:lineRule="exact"/>
              <w:ind w:firstLine="420" w:firstLineChars="200"/>
              <w:jc w:val="left"/>
              <w:rPr>
                <w:rFonts w:ascii="宋体" w:hAnsi="宋体"/>
                <w:szCs w:val="21"/>
              </w:rPr>
            </w:pPr>
            <w:r>
              <w:rPr>
                <w:rFonts w:hint="eastAsia" w:ascii="宋体" w:hAnsi="宋体"/>
                <w:szCs w:val="21"/>
              </w:rPr>
              <w:t>a.投标函按招标文件规定填报了投标价（包括大写金额和小写金额），且投标价未超过招标文件设定的最高投标限价（如有）；</w:t>
            </w:r>
          </w:p>
          <w:p>
            <w:pPr>
              <w:spacing w:line="400" w:lineRule="exact"/>
              <w:ind w:firstLine="420" w:firstLineChars="200"/>
              <w:jc w:val="left"/>
              <w:rPr>
                <w:rFonts w:ascii="宋体" w:hAnsi="宋体"/>
                <w:szCs w:val="21"/>
              </w:rPr>
            </w:pPr>
            <w:r>
              <w:rPr>
                <w:rFonts w:hint="eastAsia" w:ascii="宋体" w:hAnsi="宋体"/>
                <w:szCs w:val="21"/>
              </w:rPr>
              <w:t>b.已标价工程量清单说明文字与招标文件规定一致，未进行修改和删减。</w:t>
            </w:r>
          </w:p>
          <w:p>
            <w:pPr>
              <w:spacing w:line="400" w:lineRule="exact"/>
              <w:ind w:firstLine="420" w:firstLineChars="200"/>
              <w:jc w:val="left"/>
              <w:rPr>
                <w:rFonts w:ascii="宋体" w:hAnsi="宋体"/>
                <w:szCs w:val="21"/>
              </w:rPr>
            </w:pPr>
            <w:r>
              <w:rPr>
                <w:rFonts w:hint="eastAsia" w:ascii="宋体" w:hAnsi="宋体"/>
                <w:szCs w:val="21"/>
              </w:rPr>
              <w:t>(2)投标文件上法定代表人或其授权代理人的签字、投标人的单位章盖章齐全，符合招标文件规定。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(3)同一投标人未提交两个以上不同的投标报价，但招标文件要求提交备选投标的除外。</w:t>
            </w:r>
          </w:p>
          <w:p>
            <w:pPr>
              <w:spacing w:line="400" w:lineRule="exact"/>
              <w:ind w:firstLine="420" w:firstLineChars="200"/>
              <w:jc w:val="left"/>
              <w:rPr>
                <w:rFonts w:ascii="宋体" w:hAnsi="宋体"/>
                <w:szCs w:val="21"/>
              </w:rPr>
            </w:pPr>
            <w:r>
              <w:rPr>
                <w:rFonts w:hint="eastAsia" w:ascii="宋体" w:hAnsi="宋体"/>
                <w:szCs w:val="21"/>
              </w:rPr>
              <w:t>(4)投标人若填写工程量固化清单，填写完毕的工程量固化清单未对工程量固化清单电子文件中的数据、格式和运算定义进行修改。</w:t>
            </w:r>
          </w:p>
          <w:p>
            <w:pPr>
              <w:spacing w:line="400" w:lineRule="exact"/>
              <w:ind w:firstLine="420" w:firstLineChars="200"/>
              <w:jc w:val="left"/>
              <w:rPr>
                <w:rFonts w:ascii="宋体" w:hAnsi="宋体"/>
                <w:b/>
                <w:szCs w:val="21"/>
              </w:rPr>
            </w:pPr>
            <w:r>
              <w:rPr>
                <w:rFonts w:hint="eastAsia" w:ascii="宋体" w:hAnsi="宋体"/>
                <w:szCs w:val="21"/>
              </w:rPr>
              <w:t>(5)投标文件正、副本份数符合招标文件第二章“投标人须知”第3.7.4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2.1.2</w:t>
            </w:r>
          </w:p>
        </w:tc>
        <w:tc>
          <w:tcPr>
            <w:tcW w:w="1214" w:type="dxa"/>
            <w:tcBorders>
              <w:left w:val="single" w:color="auto" w:sz="4" w:space="0"/>
              <w:bottom w:val="single" w:color="auto" w:sz="4" w:space="0"/>
            </w:tcBorders>
            <w:vAlign w:val="center"/>
          </w:tcPr>
          <w:p>
            <w:pPr>
              <w:rPr>
                <w:rFonts w:ascii="宋体" w:hAnsi="宋体"/>
                <w:szCs w:val="21"/>
              </w:rPr>
            </w:pPr>
            <w:r>
              <w:rPr>
                <w:rFonts w:hint="eastAsia" w:ascii="宋体" w:hAnsi="宋体"/>
                <w:szCs w:val="21"/>
              </w:rPr>
              <w:t>资格评审标准</w:t>
            </w:r>
          </w:p>
        </w:tc>
        <w:tc>
          <w:tcPr>
            <w:tcW w:w="7380" w:type="dxa"/>
            <w:tcBorders>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(1)投标人具备有效的营业执照、资质证书和安全生产许可证和基本账户开户许可证；</w:t>
            </w:r>
          </w:p>
          <w:p>
            <w:pPr>
              <w:spacing w:line="400" w:lineRule="exact"/>
              <w:ind w:firstLine="420" w:firstLineChars="200"/>
              <w:rPr>
                <w:rFonts w:ascii="宋体" w:hAnsi="宋体"/>
                <w:szCs w:val="21"/>
              </w:rPr>
            </w:pPr>
            <w:r>
              <w:rPr>
                <w:rFonts w:hint="eastAsia" w:ascii="宋体" w:hAnsi="宋体"/>
                <w:szCs w:val="21"/>
              </w:rPr>
              <w:t>(2)投标人的资质等级符合招标文件规定；</w:t>
            </w:r>
          </w:p>
          <w:p>
            <w:pPr>
              <w:spacing w:line="400" w:lineRule="exact"/>
              <w:ind w:firstLine="420" w:firstLineChars="200"/>
              <w:rPr>
                <w:rFonts w:ascii="宋体" w:hAnsi="宋体"/>
                <w:szCs w:val="21"/>
              </w:rPr>
            </w:pPr>
            <w:r>
              <w:rPr>
                <w:rFonts w:hint="eastAsia" w:ascii="宋体" w:hAnsi="宋体"/>
                <w:szCs w:val="21"/>
              </w:rPr>
              <w:t>(3)投标人的财务状况符合招标文件规定；</w:t>
            </w:r>
          </w:p>
          <w:p>
            <w:pPr>
              <w:spacing w:line="400" w:lineRule="exact"/>
              <w:ind w:firstLine="420" w:firstLineChars="200"/>
              <w:rPr>
                <w:rFonts w:ascii="宋体" w:hAnsi="宋体"/>
                <w:szCs w:val="21"/>
              </w:rPr>
            </w:pPr>
            <w:r>
              <w:rPr>
                <w:rFonts w:hint="eastAsia" w:ascii="宋体" w:hAnsi="宋体"/>
                <w:szCs w:val="21"/>
              </w:rPr>
              <w:t>(4)投标人的类似项目业绩符合招标文件规定；</w:t>
            </w:r>
          </w:p>
          <w:p>
            <w:pPr>
              <w:spacing w:line="400" w:lineRule="exact"/>
              <w:ind w:firstLine="420" w:firstLineChars="200"/>
              <w:rPr>
                <w:rFonts w:ascii="宋体" w:hAnsi="宋体"/>
                <w:szCs w:val="21"/>
              </w:rPr>
            </w:pPr>
            <w:r>
              <w:rPr>
                <w:rFonts w:hint="eastAsia" w:ascii="宋体" w:hAnsi="宋体"/>
                <w:szCs w:val="21"/>
              </w:rPr>
              <w:t>(5)投标人的信誉符合招标文件规定；</w:t>
            </w:r>
          </w:p>
          <w:p>
            <w:pPr>
              <w:spacing w:line="400" w:lineRule="exact"/>
              <w:ind w:firstLine="420" w:firstLineChars="200"/>
              <w:rPr>
                <w:rFonts w:ascii="宋体" w:hAnsi="宋体"/>
                <w:szCs w:val="21"/>
              </w:rPr>
            </w:pPr>
            <w:r>
              <w:rPr>
                <w:rFonts w:hint="eastAsia" w:ascii="宋体" w:hAnsi="宋体"/>
                <w:szCs w:val="21"/>
              </w:rPr>
              <w:t>(6)投标人的项目经理资格符合招标文件规定；</w:t>
            </w:r>
          </w:p>
          <w:p>
            <w:pPr>
              <w:spacing w:line="400" w:lineRule="exact"/>
              <w:ind w:firstLine="420" w:firstLineChars="200"/>
              <w:rPr>
                <w:rFonts w:ascii="宋体" w:hAnsi="宋体"/>
                <w:szCs w:val="21"/>
              </w:rPr>
            </w:pPr>
            <w:r>
              <w:rPr>
                <w:rFonts w:hint="eastAsia" w:ascii="宋体" w:hAnsi="宋体"/>
                <w:szCs w:val="21"/>
              </w:rPr>
              <w:t>(7)投标人的其他要求符合招标文件规定；</w:t>
            </w:r>
          </w:p>
          <w:p>
            <w:pPr>
              <w:spacing w:line="400" w:lineRule="exact"/>
              <w:ind w:firstLine="420" w:firstLineChars="200"/>
              <w:rPr>
                <w:rFonts w:ascii="宋体" w:hAnsi="宋体"/>
                <w:szCs w:val="21"/>
              </w:rPr>
            </w:pPr>
            <w:r>
              <w:rPr>
                <w:rFonts w:hint="eastAsia" w:ascii="宋体" w:hAnsi="宋体"/>
                <w:szCs w:val="21"/>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2.2.1</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第一个信封</w:t>
            </w:r>
          </w:p>
          <w:p>
            <w:pPr>
              <w:rPr>
                <w:rFonts w:ascii="宋体" w:hAnsi="宋体"/>
                <w:szCs w:val="21"/>
              </w:rPr>
            </w:pPr>
            <w:r>
              <w:rPr>
                <w:rFonts w:hint="eastAsia" w:ascii="宋体" w:hAnsi="宋体"/>
                <w:szCs w:val="21"/>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施工组织设计40分</w:t>
            </w:r>
          </w:p>
          <w:p>
            <w:pPr>
              <w:spacing w:line="400" w:lineRule="exact"/>
              <w:ind w:firstLine="420" w:firstLineChars="200"/>
              <w:jc w:val="left"/>
              <w:rPr>
                <w:rFonts w:ascii="宋体" w:hAnsi="宋体"/>
                <w:szCs w:val="21"/>
              </w:rPr>
            </w:pPr>
            <w:r>
              <w:rPr>
                <w:rFonts w:hint="eastAsia" w:ascii="宋体" w:hAnsi="宋体"/>
                <w:szCs w:val="21"/>
              </w:rPr>
              <w:t>项目管理机构20分</w:t>
            </w:r>
          </w:p>
          <w:p>
            <w:pPr>
              <w:spacing w:line="400" w:lineRule="exact"/>
              <w:ind w:firstLine="420" w:firstLineChars="200"/>
              <w:jc w:val="left"/>
              <w:rPr>
                <w:rFonts w:ascii="宋体" w:hAnsi="宋体"/>
                <w:szCs w:val="21"/>
              </w:rPr>
            </w:pPr>
            <w:r>
              <w:rPr>
                <w:rFonts w:hint="eastAsia" w:ascii="宋体" w:hAnsi="宋体"/>
                <w:szCs w:val="21"/>
              </w:rPr>
              <w:t>技术能力25分</w:t>
            </w:r>
          </w:p>
          <w:p>
            <w:pPr>
              <w:spacing w:line="400" w:lineRule="exact"/>
              <w:ind w:firstLine="420" w:firstLineChars="200"/>
              <w:jc w:val="left"/>
              <w:rPr>
                <w:rFonts w:ascii="宋体" w:hAnsi="宋体"/>
                <w:szCs w:val="21"/>
              </w:rPr>
            </w:pPr>
            <w:r>
              <w:rPr>
                <w:rFonts w:hint="eastAsia" w:ascii="宋体" w:hAnsi="宋体"/>
                <w:szCs w:val="21"/>
              </w:rPr>
              <w:t>履约信誉15分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3.2.1</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按照投标人的商务和技术得分由高到低排序，选择前三名通过详细评审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380"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施工组织设计（0-40分）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1、投标人应按以下要点编制施工组织设计（文字宜精炼、内容具有针对性，总体控制在30000字以内）；</w:t>
            </w:r>
          </w:p>
          <w:p>
            <w:pPr>
              <w:spacing w:line="400" w:lineRule="exact"/>
              <w:rPr>
                <w:rFonts w:ascii="宋体" w:hAnsi="宋体"/>
                <w:szCs w:val="21"/>
              </w:rPr>
            </w:pPr>
            <w:r>
              <w:rPr>
                <w:rFonts w:hint="eastAsia" w:ascii="宋体" w:hAnsi="宋体"/>
                <w:szCs w:val="21"/>
              </w:rPr>
              <w:t>（1）总体施工组织布置及规划                   0-2分</w:t>
            </w:r>
          </w:p>
          <w:p>
            <w:pPr>
              <w:spacing w:line="400" w:lineRule="exact"/>
              <w:rPr>
                <w:rFonts w:ascii="宋体" w:hAnsi="宋体"/>
                <w:szCs w:val="21"/>
              </w:rPr>
            </w:pPr>
            <w:r>
              <w:rPr>
                <w:rFonts w:hint="eastAsia" w:ascii="宋体" w:hAnsi="宋体"/>
                <w:szCs w:val="21"/>
              </w:rPr>
              <w:t>（2）主要工程项目的施工方案、方法与技术措施（尤其对重点、关键和难点工程的施工方案、方法及其措施）                  0-5分</w:t>
            </w:r>
          </w:p>
          <w:p>
            <w:pPr>
              <w:spacing w:line="400" w:lineRule="exact"/>
              <w:rPr>
                <w:rFonts w:ascii="宋体" w:hAnsi="宋体"/>
                <w:szCs w:val="21"/>
              </w:rPr>
            </w:pPr>
            <w:r>
              <w:rPr>
                <w:rFonts w:hint="eastAsia" w:ascii="宋体" w:hAnsi="宋体"/>
                <w:szCs w:val="21"/>
              </w:rPr>
              <w:t>（3）工期的保证体系及保证措施                 0-2分</w:t>
            </w:r>
          </w:p>
          <w:p>
            <w:pPr>
              <w:spacing w:line="400" w:lineRule="exact"/>
              <w:rPr>
                <w:rFonts w:ascii="宋体" w:hAnsi="宋体"/>
                <w:szCs w:val="21"/>
              </w:rPr>
            </w:pPr>
            <w:r>
              <w:rPr>
                <w:rFonts w:hint="eastAsia" w:ascii="宋体" w:hAnsi="宋体"/>
                <w:szCs w:val="21"/>
              </w:rPr>
              <w:t>（4）工程质量管理体系及保证措施               0-3分</w:t>
            </w:r>
          </w:p>
          <w:p>
            <w:pPr>
              <w:spacing w:line="400" w:lineRule="exact"/>
              <w:rPr>
                <w:rFonts w:ascii="宋体" w:hAnsi="宋体"/>
                <w:szCs w:val="21"/>
              </w:rPr>
            </w:pPr>
            <w:r>
              <w:rPr>
                <w:rFonts w:hint="eastAsia" w:ascii="宋体" w:hAnsi="宋体"/>
                <w:szCs w:val="21"/>
              </w:rPr>
              <w:t>（5）安全生产管理体系及保证措施               0-3分</w:t>
            </w:r>
          </w:p>
          <w:p>
            <w:pPr>
              <w:spacing w:line="400" w:lineRule="exact"/>
              <w:rPr>
                <w:rFonts w:ascii="宋体" w:hAnsi="宋体"/>
                <w:szCs w:val="21"/>
              </w:rPr>
            </w:pPr>
            <w:r>
              <w:rPr>
                <w:rFonts w:hint="eastAsia" w:ascii="宋体" w:hAnsi="宋体"/>
                <w:szCs w:val="21"/>
              </w:rPr>
              <w:t xml:space="preserve">（6）环境保护、水土保持保证体系及保证措施（含扬尘治理措施）                                                                  </w:t>
            </w:r>
          </w:p>
          <w:p>
            <w:pPr>
              <w:spacing w:line="400" w:lineRule="exact"/>
              <w:rPr>
                <w:rFonts w:ascii="宋体" w:hAnsi="宋体"/>
                <w:szCs w:val="21"/>
              </w:rPr>
            </w:pPr>
            <w:r>
              <w:rPr>
                <w:rFonts w:hint="eastAsia" w:ascii="宋体" w:hAnsi="宋体"/>
                <w:szCs w:val="21"/>
              </w:rPr>
              <w:t xml:space="preserve">                                              0-3分</w:t>
            </w:r>
          </w:p>
          <w:p>
            <w:pPr>
              <w:spacing w:line="400" w:lineRule="exact"/>
              <w:rPr>
                <w:rFonts w:ascii="宋体" w:hAnsi="宋体"/>
                <w:szCs w:val="21"/>
              </w:rPr>
            </w:pPr>
            <w:r>
              <w:rPr>
                <w:rFonts w:hint="eastAsia" w:ascii="宋体" w:hAnsi="宋体"/>
                <w:szCs w:val="21"/>
              </w:rPr>
              <w:t>（7）文明施工、文物保护保证体系及保证措施     0-2分</w:t>
            </w:r>
          </w:p>
          <w:p>
            <w:pPr>
              <w:spacing w:line="400" w:lineRule="exact"/>
              <w:rPr>
                <w:rFonts w:ascii="宋体" w:hAnsi="宋体"/>
                <w:szCs w:val="21"/>
              </w:rPr>
            </w:pPr>
            <w:r>
              <w:rPr>
                <w:rFonts w:hint="eastAsia" w:ascii="宋体" w:hAnsi="宋体"/>
                <w:szCs w:val="21"/>
              </w:rPr>
              <w:t>（8）项目风险预测与防范，事故应急预案         0-2分</w:t>
            </w:r>
          </w:p>
          <w:p>
            <w:pPr>
              <w:spacing w:line="400" w:lineRule="exact"/>
              <w:rPr>
                <w:rFonts w:ascii="宋体" w:hAnsi="宋体"/>
                <w:szCs w:val="21"/>
              </w:rPr>
            </w:pPr>
            <w:r>
              <w:rPr>
                <w:rFonts w:hint="eastAsia" w:ascii="宋体" w:hAnsi="宋体"/>
                <w:szCs w:val="21"/>
              </w:rPr>
              <w:t>2、施工组织设计除采用文字表述外可附下列图表，图表及格式要求附后。</w:t>
            </w:r>
          </w:p>
          <w:p>
            <w:pPr>
              <w:spacing w:line="400" w:lineRule="exact"/>
              <w:rPr>
                <w:rFonts w:ascii="宋体" w:hAnsi="宋体"/>
                <w:szCs w:val="21"/>
              </w:rPr>
            </w:pPr>
            <w:r>
              <w:rPr>
                <w:rFonts w:hint="eastAsia" w:ascii="宋体" w:hAnsi="宋体"/>
                <w:szCs w:val="21"/>
              </w:rPr>
              <w:t xml:space="preserve">   附表一  施工总体计划表                     0-2分</w:t>
            </w:r>
          </w:p>
          <w:p>
            <w:pPr>
              <w:spacing w:line="400" w:lineRule="exact"/>
              <w:rPr>
                <w:rFonts w:ascii="宋体" w:hAnsi="宋体"/>
                <w:szCs w:val="21"/>
              </w:rPr>
            </w:pPr>
            <w:r>
              <w:rPr>
                <w:rFonts w:hint="eastAsia" w:ascii="宋体" w:hAnsi="宋体"/>
                <w:szCs w:val="21"/>
              </w:rPr>
              <w:t xml:space="preserve">   附表二  分项工程进度率计划（斜率图）       0-2分 </w:t>
            </w:r>
          </w:p>
          <w:p>
            <w:pPr>
              <w:spacing w:line="400" w:lineRule="exact"/>
              <w:rPr>
                <w:rFonts w:ascii="宋体" w:hAnsi="宋体"/>
                <w:szCs w:val="21"/>
              </w:rPr>
            </w:pPr>
            <w:r>
              <w:rPr>
                <w:rFonts w:hint="eastAsia" w:ascii="宋体" w:hAnsi="宋体"/>
                <w:szCs w:val="21"/>
              </w:rPr>
              <w:t xml:space="preserve">   附表三  工程管理曲线                       0-2分</w:t>
            </w:r>
          </w:p>
          <w:p>
            <w:pPr>
              <w:spacing w:line="400" w:lineRule="exact"/>
              <w:rPr>
                <w:rFonts w:ascii="宋体" w:hAnsi="宋体"/>
                <w:szCs w:val="21"/>
              </w:rPr>
            </w:pPr>
            <w:r>
              <w:rPr>
                <w:rFonts w:hint="eastAsia" w:ascii="宋体" w:hAnsi="宋体"/>
                <w:szCs w:val="21"/>
              </w:rPr>
              <w:t xml:space="preserve">   附表四  分项工程生产率和施工周期表         0-2分</w:t>
            </w:r>
          </w:p>
          <w:p>
            <w:pPr>
              <w:spacing w:line="400" w:lineRule="exact"/>
              <w:rPr>
                <w:rFonts w:ascii="宋体" w:hAnsi="宋体"/>
                <w:szCs w:val="21"/>
              </w:rPr>
            </w:pPr>
            <w:r>
              <w:rPr>
                <w:rFonts w:hint="eastAsia" w:ascii="宋体" w:hAnsi="宋体"/>
                <w:szCs w:val="21"/>
              </w:rPr>
              <w:t xml:space="preserve">   附表五  施工总平面图                       0-2分</w:t>
            </w:r>
          </w:p>
          <w:p>
            <w:pPr>
              <w:spacing w:line="400" w:lineRule="exact"/>
              <w:rPr>
                <w:rFonts w:ascii="宋体" w:hAnsi="宋体"/>
                <w:szCs w:val="21"/>
              </w:rPr>
            </w:pPr>
            <w:r>
              <w:rPr>
                <w:rFonts w:hint="eastAsia" w:ascii="宋体" w:hAnsi="宋体"/>
                <w:szCs w:val="21"/>
              </w:rPr>
              <w:t xml:space="preserve">   附表六  劳动力计划表                       0-2分</w:t>
            </w:r>
          </w:p>
          <w:p>
            <w:pPr>
              <w:spacing w:line="400" w:lineRule="exact"/>
              <w:ind w:firstLine="315" w:firstLineChars="150"/>
              <w:rPr>
                <w:rFonts w:ascii="宋体" w:hAnsi="宋体"/>
                <w:szCs w:val="21"/>
              </w:rPr>
            </w:pPr>
            <w:r>
              <w:rPr>
                <w:rFonts w:hint="eastAsia" w:ascii="宋体" w:hAnsi="宋体"/>
                <w:szCs w:val="21"/>
              </w:rPr>
              <w:t>附表七  临时用地计划表                     0-2分</w:t>
            </w:r>
          </w:p>
          <w:p>
            <w:pPr>
              <w:spacing w:line="400" w:lineRule="exact"/>
              <w:ind w:firstLine="315" w:firstLineChars="150"/>
              <w:rPr>
                <w:rFonts w:ascii="宋体" w:hAnsi="宋体"/>
                <w:szCs w:val="21"/>
              </w:rPr>
            </w:pPr>
            <w:r>
              <w:rPr>
                <w:rFonts w:hint="eastAsia" w:ascii="宋体" w:hAnsi="宋体"/>
                <w:szCs w:val="21"/>
              </w:rPr>
              <w:t>附表八  外供电力需求计划表                 0-2分</w:t>
            </w:r>
          </w:p>
          <w:p>
            <w:pPr>
              <w:spacing w:line="400" w:lineRule="exact"/>
              <w:rPr>
                <w:rFonts w:ascii="宋体" w:hAnsi="宋体"/>
                <w:szCs w:val="21"/>
              </w:rPr>
            </w:pPr>
            <w:r>
              <w:rPr>
                <w:rFonts w:hint="eastAsia" w:ascii="宋体" w:hAnsi="宋体"/>
                <w:szCs w:val="21"/>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szCs w:val="21"/>
              </w:rPr>
            </w:pPr>
            <w:r>
              <w:rPr>
                <w:rFonts w:hint="eastAsia" w:ascii="宋体" w:hAnsi="宋体"/>
                <w:szCs w:val="21"/>
              </w:rPr>
              <w:t>2.2.3</w:t>
            </w:r>
          </w:p>
        </w:tc>
        <w:tc>
          <w:tcPr>
            <w:tcW w:w="1214" w:type="dxa"/>
            <w:tcBorders>
              <w:top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项目管理机构（0-20分）</w:t>
            </w:r>
          </w:p>
        </w:tc>
        <w:tc>
          <w:tcPr>
            <w:tcW w:w="7380" w:type="dxa"/>
            <w:tcBorders>
              <w:top w:val="single" w:color="auto" w:sz="4" w:space="0"/>
              <w:left w:val="single" w:color="auto" w:sz="4" w:space="0"/>
            </w:tcBorders>
            <w:vAlign w:val="center"/>
          </w:tcPr>
          <w:p>
            <w:pPr>
              <w:spacing w:line="400" w:lineRule="exact"/>
              <w:rPr>
                <w:rFonts w:ascii="宋体" w:hAnsi="宋体"/>
                <w:szCs w:val="21"/>
              </w:rPr>
            </w:pPr>
            <w:r>
              <w:rPr>
                <w:rFonts w:hint="eastAsia" w:ascii="宋体" w:hAnsi="宋体"/>
                <w:szCs w:val="21"/>
              </w:rPr>
              <w:t>1.拟派项目总工中级职称者得8分，高级职称者得10分；</w:t>
            </w:r>
          </w:p>
          <w:p>
            <w:pPr>
              <w:spacing w:line="400" w:lineRule="exact"/>
              <w:rPr>
                <w:rFonts w:ascii="宋体" w:hAnsi="宋体"/>
                <w:szCs w:val="21"/>
              </w:rPr>
            </w:pPr>
            <w:r>
              <w:rPr>
                <w:rFonts w:hint="eastAsia" w:ascii="宋体" w:hAnsi="宋体"/>
                <w:szCs w:val="21"/>
              </w:rPr>
              <w:t>2.拟派项目班子中</w:t>
            </w:r>
            <w:r>
              <w:rPr>
                <w:rFonts w:hint="eastAsia" w:ascii="宋体" w:hAnsi="宋体"/>
                <w:szCs w:val="21"/>
                <w:lang w:val="en-US" w:eastAsia="zh-CN"/>
              </w:rPr>
              <w:t>主要进场人员</w:t>
            </w:r>
            <w:r>
              <w:rPr>
                <w:rFonts w:hint="eastAsia" w:ascii="宋体" w:hAnsi="宋体"/>
                <w:szCs w:val="21"/>
              </w:rPr>
              <w:t>证件齐全者得10分，缺一项</w:t>
            </w:r>
            <w:r>
              <w:rPr>
                <w:rFonts w:hint="eastAsia" w:ascii="宋体" w:hAnsi="宋体"/>
                <w:szCs w:val="21"/>
                <w:lang w:val="en-US" w:eastAsia="zh-CN"/>
              </w:rPr>
              <w:t>扣3分，扣完为止</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2.2.4</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技术能力</w:t>
            </w:r>
          </w:p>
          <w:p>
            <w:pPr>
              <w:rPr>
                <w:rFonts w:ascii="宋体" w:hAnsi="宋体"/>
                <w:szCs w:val="21"/>
              </w:rPr>
            </w:pPr>
            <w:r>
              <w:rPr>
                <w:rFonts w:hint="eastAsia" w:ascii="宋体" w:hAnsi="宋体"/>
                <w:szCs w:val="21"/>
              </w:rPr>
              <w:t>（0-25分）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1、企业业绩（15分）</w:t>
            </w:r>
          </w:p>
          <w:p>
            <w:pPr>
              <w:spacing w:line="400" w:lineRule="exact"/>
              <w:ind w:firstLine="420" w:firstLineChars="200"/>
              <w:rPr>
                <w:rFonts w:ascii="宋体" w:hAnsi="宋体"/>
                <w:szCs w:val="21"/>
              </w:rPr>
            </w:pPr>
            <w:r>
              <w:rPr>
                <w:rFonts w:hint="eastAsia" w:ascii="宋体" w:hAnsi="宋体"/>
                <w:szCs w:val="21"/>
              </w:rPr>
              <w:t xml:space="preserve"> 企业近年来承建过类似项目者每项得5分，本项最高得15分【须提供合同原件、中标通知书原件、工程接收证书（工程竣工验收证书）原件和中标公示网页版】。</w:t>
            </w:r>
          </w:p>
          <w:p>
            <w:pPr>
              <w:spacing w:line="400" w:lineRule="exact"/>
              <w:rPr>
                <w:rFonts w:ascii="宋体" w:hAnsi="宋体"/>
                <w:szCs w:val="21"/>
              </w:rPr>
            </w:pPr>
            <w:r>
              <w:rPr>
                <w:rFonts w:hint="eastAsia" w:ascii="宋体" w:hAnsi="宋体"/>
                <w:szCs w:val="21"/>
              </w:rPr>
              <w:t>2、项目经理业绩（10分）</w:t>
            </w:r>
          </w:p>
          <w:p>
            <w:pPr>
              <w:adjustRightInd w:val="0"/>
              <w:snapToGrid w:val="0"/>
              <w:spacing w:line="480" w:lineRule="exact"/>
              <w:ind w:firstLine="480"/>
              <w:rPr>
                <w:rFonts w:ascii="宋体" w:hAnsi="宋体"/>
                <w:b/>
                <w:bCs/>
                <w:szCs w:val="21"/>
              </w:rPr>
            </w:pPr>
            <w:r>
              <w:rPr>
                <w:rFonts w:hint="eastAsia" w:ascii="宋体" w:hAnsi="宋体"/>
                <w:szCs w:val="21"/>
              </w:rPr>
              <w:t>近年来拟派建造师承建过类似项目者每项得5分，本项最高得10分【须提供合同原件、中标通知书原件、工程接收证书（工程竣工验收证书）原件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numPr>
                <w:ilvl w:val="0"/>
                <w:numId w:val="1"/>
              </w:numPr>
              <w:adjustRightInd w:val="0"/>
              <w:snapToGrid w:val="0"/>
              <w:spacing w:line="480" w:lineRule="exact"/>
              <w:rPr>
                <w:rFonts w:ascii="新宋体" w:hAnsi="新宋体" w:eastAsia="新宋体"/>
                <w:b/>
                <w:szCs w:val="21"/>
              </w:rPr>
            </w:pPr>
            <w:r>
              <w:rPr>
                <w:rFonts w:hint="eastAsia" w:ascii="新宋体" w:hAnsi="新宋体" w:eastAsia="新宋体"/>
                <w:b/>
                <w:szCs w:val="21"/>
              </w:rPr>
              <w:t>业绩合同以合同签订日期为准，获奖证书以发证日期为准，企业业绩和项目经理业绩不重复计分；</w:t>
            </w:r>
          </w:p>
          <w:p>
            <w:pPr>
              <w:adjustRightInd w:val="0"/>
              <w:snapToGrid w:val="0"/>
              <w:spacing w:line="480" w:lineRule="exact"/>
              <w:rPr>
                <w:rFonts w:ascii="新宋体" w:hAnsi="新宋体" w:eastAsia="新宋体"/>
                <w:b/>
                <w:szCs w:val="21"/>
              </w:rPr>
            </w:pPr>
            <w:r>
              <w:rPr>
                <w:rFonts w:hint="eastAsia" w:ascii="新宋体" w:hAnsi="新宋体" w:eastAsia="新宋体"/>
                <w:b/>
                <w:szCs w:val="21"/>
              </w:rPr>
              <w:t>2、凡评标办法里涉及到的证书、证件及业绩材料等，均以原件并结合投标文件中所附复印件进行评审，二者缺其一，则该项得分应作0分处理（营业执照、资质证书、拟派项目经理注册建造师证及其安全生产考核合格证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2.2.5</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履约信誉（0-15分）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1、企业信用（4分）</w:t>
            </w:r>
          </w:p>
          <w:p>
            <w:pPr>
              <w:spacing w:line="400" w:lineRule="exact"/>
              <w:ind w:firstLine="420" w:firstLineChars="200"/>
              <w:rPr>
                <w:rFonts w:ascii="宋体" w:hAnsi="宋体"/>
                <w:szCs w:val="21"/>
              </w:rPr>
            </w:pPr>
            <w:r>
              <w:rPr>
                <w:rFonts w:ascii="宋体" w:hAnsi="宋体"/>
                <w:szCs w:val="21"/>
              </w:rPr>
              <w:t>投标人须提供工商企业信用信息公示报告（国家企业信用信息公示系统http//</w:t>
            </w:r>
            <w:r>
              <w:rPr>
                <w:rFonts w:ascii="宋体" w:hAnsi="宋体"/>
                <w:szCs w:val="21"/>
              </w:rPr>
              <w:drawing>
                <wp:inline distT="0" distB="0" distL="0" distR="0">
                  <wp:extent cx="190500"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hint="eastAsia" w:ascii="宋体" w:hAnsi="宋体"/>
                <w:szCs w:val="21"/>
              </w:rPr>
              <w:t>。</w:t>
            </w:r>
            <w:r>
              <w:rPr>
                <w:rFonts w:ascii="宋体" w:hAnsi="宋体"/>
                <w:szCs w:val="21"/>
              </w:rPr>
              <w:t>无不良信息者每项得</w:t>
            </w:r>
            <w:r>
              <w:rPr>
                <w:rFonts w:hint="eastAsia" w:ascii="宋体" w:hAnsi="宋体"/>
                <w:szCs w:val="21"/>
              </w:rPr>
              <w:t>2</w:t>
            </w:r>
            <w:r>
              <w:rPr>
                <w:rFonts w:ascii="宋体" w:hAnsi="宋体"/>
                <w:szCs w:val="21"/>
              </w:rPr>
              <w:t>分，最多得</w:t>
            </w:r>
            <w:r>
              <w:rPr>
                <w:rFonts w:hint="eastAsia" w:ascii="宋体" w:hAnsi="宋体"/>
                <w:szCs w:val="21"/>
              </w:rPr>
              <w:t>4</w:t>
            </w:r>
            <w:r>
              <w:rPr>
                <w:rFonts w:ascii="宋体" w:hAnsi="宋体"/>
                <w:szCs w:val="21"/>
              </w:rPr>
              <w:t>分，未提供或有不良信息者不得分。</w:t>
            </w:r>
          </w:p>
          <w:p>
            <w:pPr>
              <w:spacing w:line="400" w:lineRule="exact"/>
              <w:ind w:firstLine="420" w:firstLineChars="200"/>
              <w:rPr>
                <w:rFonts w:ascii="宋体" w:hAnsi="宋体"/>
                <w:szCs w:val="21"/>
              </w:rPr>
            </w:pPr>
            <w:r>
              <w:rPr>
                <w:rFonts w:hint="eastAsia" w:ascii="宋体" w:hAnsi="宋体"/>
                <w:szCs w:val="21"/>
              </w:rPr>
              <w:t>2、服务承诺（含扬尘治理等内容）（11分）</w:t>
            </w:r>
          </w:p>
          <w:p>
            <w:pPr>
              <w:adjustRightInd w:val="0"/>
              <w:snapToGrid w:val="0"/>
              <w:spacing w:line="480" w:lineRule="exact"/>
              <w:ind w:firstLine="420" w:firstLineChars="200"/>
              <w:rPr>
                <w:rFonts w:ascii="宋体" w:hAnsi="宋体"/>
                <w:szCs w:val="21"/>
              </w:rPr>
            </w:pPr>
            <w:r>
              <w:rPr>
                <w:rFonts w:hint="eastAsia" w:ascii="宋体" w:hAnsi="宋体"/>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需要补充的其他内容：</w:t>
            </w:r>
          </w:p>
          <w:p>
            <w:pPr>
              <w:ind w:firstLine="420" w:firstLineChars="20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rPr>
                <w:rFonts w:ascii="宋体" w:hAnsi="宋体"/>
                <w:szCs w:val="21"/>
              </w:rPr>
            </w:pPr>
            <w:r>
              <w:rPr>
                <w:rFonts w:hint="eastAsia" w:ascii="宋体" w:hAnsi="宋体"/>
                <w:szCs w:val="21"/>
              </w:rPr>
              <w:t>评标程序如下：</w:t>
            </w:r>
          </w:p>
          <w:p>
            <w:pPr>
              <w:spacing w:line="340" w:lineRule="exact"/>
              <w:rPr>
                <w:rFonts w:ascii="宋体" w:hAnsi="宋体"/>
                <w:szCs w:val="21"/>
              </w:rPr>
            </w:pPr>
            <w:r>
              <w:rPr>
                <w:rFonts w:hint="eastAsia" w:ascii="宋体" w:hAnsi="宋体"/>
                <w:szCs w:val="21"/>
              </w:rPr>
              <w:t>1、招标人按照第二章“投标人须知”第5.2.1-5.2.3项的规定对投标文件第一信封（商务及技术文件）进行开标。</w:t>
            </w:r>
          </w:p>
          <w:p>
            <w:pPr>
              <w:spacing w:line="340" w:lineRule="exact"/>
              <w:rPr>
                <w:rFonts w:ascii="宋体" w:hAnsi="宋体"/>
                <w:szCs w:val="21"/>
              </w:rPr>
            </w:pPr>
            <w:r>
              <w:rPr>
                <w:rFonts w:hint="eastAsia" w:ascii="宋体" w:hAnsi="宋体"/>
                <w:szCs w:val="21"/>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szCs w:val="21"/>
              </w:rPr>
              <w:t>各项打分保留小数点后两位，小数点后第三位“四舍五入”。</w:t>
            </w:r>
          </w:p>
          <w:p>
            <w:pPr>
              <w:spacing w:line="340" w:lineRule="exact"/>
              <w:rPr>
                <w:rFonts w:ascii="宋体" w:hAnsi="宋体"/>
                <w:szCs w:val="21"/>
              </w:rPr>
            </w:pPr>
            <w:r>
              <w:rPr>
                <w:rFonts w:hint="eastAsia" w:ascii="宋体" w:hAnsi="宋体"/>
                <w:szCs w:val="21"/>
              </w:rPr>
              <w:t>3、招标人按照第二章“投标人须知”第5.2.4-5.2.6项的规定对投标文件第一信封（商务及技术文件）评审得分前</w:t>
            </w:r>
            <w:r>
              <w:rPr>
                <w:rFonts w:hint="eastAsia" w:ascii="宋体" w:hAnsi="宋体"/>
                <w:szCs w:val="21"/>
                <w:u w:val="single"/>
              </w:rPr>
              <w:t xml:space="preserve"> 3 </w:t>
            </w:r>
            <w:r>
              <w:rPr>
                <w:rFonts w:hint="eastAsia" w:ascii="宋体" w:hAnsi="宋体"/>
                <w:szCs w:val="21"/>
              </w:rPr>
              <w:t>名的投标文件第二个信封（投标文件）进行开启。</w:t>
            </w:r>
          </w:p>
          <w:p>
            <w:pPr>
              <w:spacing w:line="340" w:lineRule="exact"/>
              <w:rPr>
                <w:rFonts w:ascii="宋体" w:hAnsi="宋体"/>
                <w:szCs w:val="21"/>
              </w:rPr>
            </w:pPr>
            <w:r>
              <w:rPr>
                <w:rFonts w:hint="eastAsia" w:ascii="宋体" w:hAnsi="宋体"/>
                <w:szCs w:val="21"/>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ascii="宋体" w:hAnsi="宋体"/>
                <w:szCs w:val="21"/>
              </w:rPr>
            </w:pPr>
            <w:r>
              <w:rPr>
                <w:rFonts w:hint="eastAsia" w:ascii="宋体" w:hAnsi="宋体"/>
                <w:b/>
                <w:szCs w:val="21"/>
              </w:rPr>
              <w:t>5、本评分标准中所要求提供的各种证明材料，投标文件中须提供复印件，且在评标时按要求提供与复印件一致的原件，否则不得分。</w:t>
            </w:r>
          </w:p>
        </w:tc>
      </w:tr>
    </w:tbl>
    <w:p>
      <w:pPr>
        <w:spacing w:line="500" w:lineRule="exact"/>
        <w:rPr>
          <w:rFonts w:ascii="宋体" w:hAnsi="宋体"/>
          <w:b/>
          <w:sz w:val="24"/>
        </w:rPr>
      </w:pPr>
      <w:r>
        <w:rPr>
          <w:rFonts w:hint="eastAsia" w:ascii="宋体" w:hAnsi="宋体"/>
          <w:b/>
          <w:sz w:val="24"/>
        </w:rPr>
        <w:t>1.评标办法</w:t>
      </w:r>
    </w:p>
    <w:p>
      <w:pPr>
        <w:spacing w:line="500" w:lineRule="exact"/>
        <w:ind w:firstLine="480" w:firstLineChars="200"/>
        <w:rPr>
          <w:rFonts w:ascii="宋体" w:hAnsi="宋体"/>
          <w:sz w:val="24"/>
        </w:rPr>
      </w:pPr>
      <w:r>
        <w:rPr>
          <w:rFonts w:hint="eastAsia" w:ascii="宋体" w:hAnsi="宋体"/>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spacing w:line="500" w:lineRule="exact"/>
        <w:rPr>
          <w:rFonts w:ascii="宋体" w:hAnsi="宋体"/>
          <w:b/>
          <w:sz w:val="24"/>
        </w:rPr>
      </w:pPr>
      <w:r>
        <w:rPr>
          <w:rFonts w:hint="eastAsia" w:ascii="宋体" w:hAnsi="宋体"/>
          <w:b/>
          <w:sz w:val="24"/>
        </w:rPr>
        <w:t>2.评审标准</w:t>
      </w:r>
    </w:p>
    <w:p>
      <w:pPr>
        <w:spacing w:line="500" w:lineRule="exact"/>
        <w:ind w:firstLine="480" w:firstLineChars="200"/>
        <w:rPr>
          <w:rFonts w:ascii="宋体" w:hAnsi="宋体"/>
          <w:sz w:val="24"/>
        </w:rPr>
      </w:pPr>
      <w:r>
        <w:rPr>
          <w:rFonts w:hint="eastAsia" w:ascii="宋体" w:hAnsi="宋体"/>
          <w:sz w:val="24"/>
        </w:rPr>
        <w:t>2.1初步评审标准</w:t>
      </w:r>
    </w:p>
    <w:p>
      <w:pPr>
        <w:spacing w:line="500" w:lineRule="exact"/>
        <w:ind w:firstLine="480" w:firstLineChars="200"/>
        <w:rPr>
          <w:rFonts w:ascii="宋体" w:hAnsi="宋体"/>
          <w:sz w:val="24"/>
        </w:rPr>
      </w:pPr>
      <w:r>
        <w:rPr>
          <w:rFonts w:hint="eastAsia" w:ascii="宋体" w:hAnsi="宋体"/>
          <w:sz w:val="24"/>
        </w:rPr>
        <w:t>2.1.1形式评审标准：见评标办法前附表。</w:t>
      </w:r>
    </w:p>
    <w:p>
      <w:pPr>
        <w:spacing w:line="500" w:lineRule="exact"/>
        <w:ind w:firstLine="480" w:firstLineChars="200"/>
        <w:rPr>
          <w:rFonts w:ascii="宋体" w:hAnsi="宋体"/>
          <w:sz w:val="24"/>
        </w:rPr>
      </w:pPr>
      <w:r>
        <w:rPr>
          <w:rFonts w:hint="eastAsia" w:ascii="宋体" w:hAnsi="宋体"/>
          <w:sz w:val="24"/>
        </w:rPr>
        <w:t>2.1.2资格评审标准：见评标办法前附表。</w:t>
      </w:r>
    </w:p>
    <w:p>
      <w:pPr>
        <w:spacing w:line="500" w:lineRule="exact"/>
        <w:ind w:firstLine="480" w:firstLineChars="200"/>
        <w:rPr>
          <w:rFonts w:ascii="宋体" w:hAnsi="宋体"/>
          <w:sz w:val="24"/>
        </w:rPr>
      </w:pPr>
      <w:r>
        <w:rPr>
          <w:rFonts w:hint="eastAsia" w:ascii="宋体" w:hAnsi="宋体"/>
          <w:sz w:val="24"/>
        </w:rPr>
        <w:t>2.1.3响应性评审标准：见评标办法前附表。</w:t>
      </w:r>
    </w:p>
    <w:p>
      <w:pPr>
        <w:spacing w:line="500" w:lineRule="exact"/>
        <w:ind w:firstLine="480" w:firstLineChars="200"/>
        <w:rPr>
          <w:rFonts w:ascii="宋体" w:hAnsi="宋体"/>
          <w:sz w:val="24"/>
        </w:rPr>
      </w:pPr>
      <w:r>
        <w:rPr>
          <w:rFonts w:hint="eastAsia" w:ascii="宋体" w:hAnsi="宋体"/>
          <w:sz w:val="24"/>
        </w:rPr>
        <w:t xml:space="preserve">2.2 分值构成与评分标准 </w:t>
      </w:r>
    </w:p>
    <w:p>
      <w:pPr>
        <w:spacing w:line="500" w:lineRule="exact"/>
        <w:ind w:firstLine="480" w:firstLineChars="200"/>
        <w:rPr>
          <w:rFonts w:ascii="宋体" w:hAnsi="宋体"/>
          <w:sz w:val="24"/>
        </w:rPr>
      </w:pPr>
      <w:r>
        <w:rPr>
          <w:rFonts w:hint="eastAsia" w:ascii="宋体" w:hAnsi="宋体"/>
          <w:sz w:val="24"/>
        </w:rPr>
        <w:t xml:space="preserve">2.2.1 分值构成 </w:t>
      </w:r>
    </w:p>
    <w:p>
      <w:pPr>
        <w:spacing w:line="500" w:lineRule="exact"/>
        <w:ind w:firstLine="480" w:firstLineChars="200"/>
        <w:rPr>
          <w:rFonts w:ascii="宋体" w:hAnsi="宋体"/>
          <w:sz w:val="24"/>
        </w:rPr>
      </w:pPr>
      <w:r>
        <w:rPr>
          <w:rFonts w:hint="eastAsia" w:ascii="宋体" w:hAnsi="宋体"/>
          <w:sz w:val="24"/>
        </w:rPr>
        <w:t>施工组织设计：见评标办法前附表。</w:t>
      </w:r>
    </w:p>
    <w:p>
      <w:pPr>
        <w:spacing w:line="500" w:lineRule="exact"/>
        <w:ind w:firstLine="480" w:firstLineChars="200"/>
        <w:rPr>
          <w:rFonts w:ascii="宋体" w:hAnsi="宋体"/>
          <w:sz w:val="24"/>
        </w:rPr>
      </w:pPr>
      <w:r>
        <w:rPr>
          <w:rFonts w:hint="eastAsia" w:ascii="宋体" w:hAnsi="宋体"/>
          <w:sz w:val="24"/>
        </w:rPr>
        <w:t>项目管理机构：见评标办法前附表。</w:t>
      </w:r>
    </w:p>
    <w:p>
      <w:pPr>
        <w:spacing w:line="500" w:lineRule="exact"/>
        <w:ind w:firstLine="480" w:firstLineChars="200"/>
        <w:rPr>
          <w:rFonts w:ascii="宋体" w:hAnsi="宋体"/>
          <w:sz w:val="24"/>
        </w:rPr>
      </w:pPr>
      <w:r>
        <w:rPr>
          <w:rFonts w:hint="eastAsia" w:ascii="宋体" w:hAnsi="宋体"/>
          <w:sz w:val="24"/>
        </w:rPr>
        <w:t>技术能力：见评标办法前附表。</w:t>
      </w:r>
    </w:p>
    <w:p>
      <w:pPr>
        <w:spacing w:line="500" w:lineRule="exact"/>
        <w:ind w:firstLine="480" w:firstLineChars="200"/>
        <w:rPr>
          <w:rFonts w:ascii="宋体" w:hAnsi="宋体"/>
          <w:sz w:val="24"/>
        </w:rPr>
      </w:pPr>
      <w:r>
        <w:rPr>
          <w:rFonts w:hint="eastAsia" w:ascii="宋体" w:hAnsi="宋体"/>
          <w:sz w:val="24"/>
        </w:rPr>
        <w:t>履约信誉：见评标办法前附表。</w:t>
      </w:r>
    </w:p>
    <w:p>
      <w:pPr>
        <w:spacing w:line="500" w:lineRule="exact"/>
        <w:ind w:firstLine="480" w:firstLineChars="200"/>
        <w:rPr>
          <w:rFonts w:ascii="宋体" w:hAnsi="宋体"/>
          <w:sz w:val="24"/>
        </w:rPr>
      </w:pPr>
      <w:r>
        <w:rPr>
          <w:rFonts w:hint="eastAsia" w:ascii="宋体" w:hAnsi="宋体"/>
          <w:sz w:val="24"/>
        </w:rPr>
        <w:t xml:space="preserve">2.2.2 施工组织设计评审标准 </w:t>
      </w:r>
    </w:p>
    <w:p>
      <w:pPr>
        <w:spacing w:line="500" w:lineRule="exact"/>
        <w:ind w:firstLine="480" w:firstLineChars="200"/>
        <w:rPr>
          <w:rFonts w:ascii="宋体" w:hAnsi="宋体"/>
          <w:sz w:val="24"/>
        </w:rPr>
      </w:pPr>
      <w:r>
        <w:rPr>
          <w:rFonts w:hint="eastAsia" w:ascii="宋体" w:hAnsi="宋体"/>
          <w:sz w:val="24"/>
        </w:rPr>
        <w:t xml:space="preserve">施工组织设计评审标准：见评标办法前附表。 </w:t>
      </w:r>
    </w:p>
    <w:p>
      <w:pPr>
        <w:spacing w:line="500" w:lineRule="exact"/>
        <w:ind w:firstLine="480" w:firstLineChars="200"/>
        <w:rPr>
          <w:rFonts w:ascii="宋体" w:hAnsi="宋体"/>
          <w:sz w:val="24"/>
        </w:rPr>
      </w:pPr>
      <w:r>
        <w:rPr>
          <w:rFonts w:hint="eastAsia" w:ascii="宋体" w:hAnsi="宋体"/>
          <w:sz w:val="24"/>
        </w:rPr>
        <w:t xml:space="preserve">2.2.3 项目管理机构评审标准 </w:t>
      </w:r>
    </w:p>
    <w:p>
      <w:pPr>
        <w:spacing w:line="500" w:lineRule="exact"/>
        <w:ind w:firstLine="480" w:firstLineChars="200"/>
        <w:rPr>
          <w:rFonts w:ascii="宋体" w:hAnsi="宋体"/>
          <w:sz w:val="24"/>
        </w:rPr>
      </w:pPr>
      <w:r>
        <w:rPr>
          <w:rFonts w:hint="eastAsia" w:ascii="宋体" w:hAnsi="宋体"/>
          <w:sz w:val="24"/>
        </w:rPr>
        <w:t xml:space="preserve">项目管理机构评审标准：见评标办法前附表。 </w:t>
      </w:r>
    </w:p>
    <w:p>
      <w:pPr>
        <w:spacing w:line="500" w:lineRule="exact"/>
        <w:ind w:firstLine="480" w:firstLineChars="200"/>
        <w:rPr>
          <w:rFonts w:ascii="宋体" w:hAnsi="宋体"/>
          <w:sz w:val="24"/>
        </w:rPr>
      </w:pPr>
      <w:r>
        <w:rPr>
          <w:rFonts w:hint="eastAsia" w:ascii="宋体" w:hAnsi="宋体"/>
          <w:sz w:val="24"/>
        </w:rPr>
        <w:t xml:space="preserve">2.2.4 技术能力评审标准 </w:t>
      </w:r>
    </w:p>
    <w:p>
      <w:pPr>
        <w:spacing w:line="500" w:lineRule="exact"/>
        <w:ind w:firstLine="480" w:firstLineChars="200"/>
        <w:rPr>
          <w:rFonts w:ascii="宋体" w:hAnsi="宋体"/>
          <w:sz w:val="24"/>
        </w:rPr>
      </w:pPr>
      <w:r>
        <w:rPr>
          <w:rFonts w:hint="eastAsia" w:ascii="宋体" w:hAnsi="宋体"/>
          <w:sz w:val="24"/>
        </w:rPr>
        <w:t>技术能力评审标准：见评标办法前附表。</w:t>
      </w:r>
    </w:p>
    <w:p>
      <w:pPr>
        <w:spacing w:line="500" w:lineRule="exact"/>
        <w:ind w:firstLine="480" w:firstLineChars="200"/>
        <w:rPr>
          <w:rFonts w:ascii="宋体" w:hAnsi="宋体"/>
          <w:sz w:val="24"/>
        </w:rPr>
      </w:pPr>
      <w:r>
        <w:rPr>
          <w:rFonts w:hint="eastAsia" w:ascii="宋体" w:hAnsi="宋体"/>
          <w:sz w:val="24"/>
        </w:rPr>
        <w:t>2.2.5履约信誉评审标准</w:t>
      </w:r>
    </w:p>
    <w:p>
      <w:pPr>
        <w:spacing w:line="500" w:lineRule="exact"/>
        <w:ind w:firstLine="480" w:firstLineChars="200"/>
        <w:rPr>
          <w:rFonts w:ascii="宋体" w:hAnsi="宋体"/>
          <w:sz w:val="24"/>
        </w:rPr>
      </w:pPr>
      <w:r>
        <w:rPr>
          <w:rFonts w:hint="eastAsia" w:ascii="宋体" w:hAnsi="宋体"/>
          <w:sz w:val="24"/>
        </w:rPr>
        <w:t xml:space="preserve">履约信誉评审标准：见评标办法前附表。 </w:t>
      </w:r>
    </w:p>
    <w:p>
      <w:pPr>
        <w:spacing w:line="500" w:lineRule="exact"/>
        <w:rPr>
          <w:rFonts w:ascii="宋体" w:hAnsi="宋体"/>
          <w:b/>
          <w:sz w:val="24"/>
        </w:rPr>
      </w:pPr>
      <w:r>
        <w:rPr>
          <w:rFonts w:hint="eastAsia" w:ascii="宋体" w:hAnsi="宋体"/>
          <w:b/>
          <w:sz w:val="24"/>
        </w:rPr>
        <w:t>3.评标程序</w:t>
      </w:r>
    </w:p>
    <w:p>
      <w:pPr>
        <w:spacing w:line="500" w:lineRule="exact"/>
        <w:rPr>
          <w:rFonts w:ascii="宋体" w:hAnsi="宋体"/>
          <w:b/>
          <w:sz w:val="24"/>
        </w:rPr>
      </w:pPr>
      <w:r>
        <w:rPr>
          <w:rFonts w:hint="eastAsia" w:ascii="宋体" w:hAnsi="宋体"/>
          <w:b/>
          <w:sz w:val="24"/>
        </w:rPr>
        <w:t>3.1初步评审</w:t>
      </w:r>
    </w:p>
    <w:p>
      <w:pPr>
        <w:spacing w:line="500" w:lineRule="exact"/>
        <w:ind w:firstLine="482" w:firstLineChars="200"/>
        <w:rPr>
          <w:rFonts w:ascii="宋体" w:hAnsi="宋体"/>
          <w:sz w:val="24"/>
        </w:rPr>
      </w:pPr>
      <w:r>
        <w:rPr>
          <w:rFonts w:hint="eastAsia" w:ascii="宋体" w:hAnsi="宋体"/>
          <w:b/>
          <w:sz w:val="24"/>
        </w:rPr>
        <w:t>3.1.1</w:t>
      </w:r>
      <w:r>
        <w:rPr>
          <w:rFonts w:hint="eastAsia" w:ascii="宋体" w:hAnsi="宋体"/>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rFonts w:ascii="宋体" w:hAnsi="宋体"/>
          <w:sz w:val="24"/>
        </w:rPr>
      </w:pPr>
      <w:r>
        <w:rPr>
          <w:rFonts w:hint="eastAsia" w:ascii="宋体" w:hAnsi="宋体"/>
          <w:b/>
          <w:sz w:val="24"/>
        </w:rPr>
        <w:t xml:space="preserve">3.1.2 </w:t>
      </w:r>
      <w:r>
        <w:rPr>
          <w:rFonts w:hint="eastAsia" w:ascii="宋体" w:hAnsi="宋体"/>
          <w:sz w:val="24"/>
        </w:rPr>
        <w:t>投标人有以下情形之一的其投标作废标处理：</w:t>
      </w:r>
    </w:p>
    <w:p>
      <w:pPr>
        <w:spacing w:line="500" w:lineRule="exact"/>
        <w:ind w:firstLine="480" w:firstLineChars="200"/>
        <w:rPr>
          <w:rFonts w:ascii="宋体" w:hAnsi="宋体"/>
          <w:sz w:val="24"/>
        </w:rPr>
      </w:pPr>
      <w:r>
        <w:rPr>
          <w:rFonts w:hint="eastAsia" w:ascii="宋体" w:hAnsi="宋体"/>
          <w:sz w:val="24"/>
        </w:rPr>
        <w:t xml:space="preserve">（1）第二章“投标人须知”第 1.4.3 项规定的任何一种情形的。 </w:t>
      </w:r>
    </w:p>
    <w:p>
      <w:pPr>
        <w:spacing w:line="500" w:lineRule="exact"/>
        <w:ind w:firstLine="480" w:firstLineChars="200"/>
        <w:rPr>
          <w:rFonts w:ascii="宋体" w:hAnsi="宋体"/>
          <w:sz w:val="24"/>
        </w:rPr>
      </w:pPr>
      <w:r>
        <w:rPr>
          <w:rFonts w:hint="eastAsia" w:ascii="宋体" w:hAnsi="宋体"/>
          <w:sz w:val="24"/>
        </w:rPr>
        <w:t>（2）串通投标或弄虚作假或有其他违法行为的。</w:t>
      </w:r>
    </w:p>
    <w:p>
      <w:pPr>
        <w:spacing w:line="500" w:lineRule="exact"/>
        <w:ind w:firstLine="482" w:firstLineChars="200"/>
        <w:rPr>
          <w:rFonts w:ascii="宋体" w:hAnsi="宋体"/>
          <w:sz w:val="24"/>
        </w:rPr>
      </w:pPr>
      <w:r>
        <w:rPr>
          <w:rFonts w:hint="eastAsia" w:ascii="宋体" w:hAnsi="宋体"/>
          <w:b/>
          <w:sz w:val="24"/>
        </w:rPr>
        <w:t>3.1.3</w:t>
      </w:r>
      <w:r>
        <w:rPr>
          <w:rFonts w:hint="eastAsia" w:ascii="宋体" w:hAnsi="宋体"/>
          <w:sz w:val="24"/>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sz w:val="24"/>
        </w:rPr>
      </w:pPr>
      <w:r>
        <w:rPr>
          <w:rFonts w:hint="eastAsia" w:ascii="宋体" w:hAnsi="宋体"/>
          <w:sz w:val="24"/>
        </w:rPr>
        <w:t>(1)投标文件中的大写金额与小写金额不一致的，以大写金额为准；</w:t>
      </w:r>
    </w:p>
    <w:p>
      <w:pPr>
        <w:spacing w:line="500" w:lineRule="exact"/>
        <w:ind w:firstLine="480" w:firstLineChars="200"/>
        <w:rPr>
          <w:rFonts w:ascii="宋体" w:hAnsi="宋体"/>
          <w:sz w:val="24"/>
        </w:rPr>
      </w:pPr>
      <w:r>
        <w:rPr>
          <w:rFonts w:hint="eastAsia" w:ascii="宋体" w:hAnsi="宋体"/>
          <w:sz w:val="24"/>
        </w:rPr>
        <w:t>(2)总价金额与依据单价计算出的结果不一致的，以单价金额为准修正总价，但单价金额小数点有明显错误的除外；</w:t>
      </w:r>
    </w:p>
    <w:p>
      <w:pPr>
        <w:spacing w:line="500" w:lineRule="exact"/>
        <w:ind w:firstLine="480" w:firstLineChars="200"/>
        <w:rPr>
          <w:rFonts w:ascii="宋体" w:hAnsi="宋体"/>
          <w:sz w:val="24"/>
        </w:rPr>
      </w:pPr>
      <w:r>
        <w:rPr>
          <w:rFonts w:hint="eastAsia" w:ascii="宋体" w:hAnsi="宋体"/>
          <w:sz w:val="24"/>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sz w:val="24"/>
        </w:rPr>
      </w:pPr>
      <w:r>
        <w:rPr>
          <w:rFonts w:hint="eastAsia" w:ascii="宋体" w:hAnsi="宋体"/>
          <w:sz w:val="24"/>
        </w:rPr>
        <w:t>(4)当各子目的合价累计不等于总价时，应以各子目合价累计数为准，修正总价。</w:t>
      </w:r>
    </w:p>
    <w:p>
      <w:pPr>
        <w:spacing w:line="500" w:lineRule="exact"/>
        <w:ind w:firstLine="482" w:firstLineChars="200"/>
        <w:rPr>
          <w:rFonts w:ascii="宋体" w:hAnsi="宋体"/>
          <w:sz w:val="24"/>
        </w:rPr>
      </w:pPr>
      <w:r>
        <w:rPr>
          <w:rFonts w:hint="eastAsia" w:ascii="宋体" w:hAnsi="宋体"/>
          <w:b/>
          <w:sz w:val="24"/>
        </w:rPr>
        <w:t>3.1.4</w:t>
      </w:r>
      <w:r>
        <w:rPr>
          <w:rFonts w:hint="eastAsia" w:ascii="宋体" w:hAnsi="宋体"/>
          <w:sz w:val="24"/>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sz w:val="24"/>
        </w:rPr>
      </w:pPr>
      <w:r>
        <w:rPr>
          <w:rFonts w:hint="eastAsia" w:ascii="宋体" w:hAnsi="宋体"/>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500" w:lineRule="exact"/>
        <w:ind w:firstLine="480" w:firstLineChars="200"/>
        <w:rPr>
          <w:rFonts w:ascii="宋体" w:hAnsi="宋体"/>
          <w:sz w:val="24"/>
        </w:rPr>
      </w:pPr>
      <w:r>
        <w:rPr>
          <w:rFonts w:hint="eastAsia" w:ascii="宋体" w:hAnsi="宋体"/>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00" w:lineRule="exact"/>
        <w:ind w:firstLine="480" w:firstLineChars="200"/>
        <w:rPr>
          <w:rFonts w:ascii="宋体" w:hAnsi="宋体"/>
          <w:sz w:val="24"/>
        </w:rPr>
      </w:pPr>
      <w:r>
        <w:rPr>
          <w:rFonts w:hint="eastAsia" w:ascii="宋体" w:hAnsi="宋体"/>
          <w:sz w:val="24"/>
        </w:rPr>
        <w:t>(3)当单价与数量的乘积与合价(金额)虽然一致，但投标人修改了该子目的工程数量，则其合价按招标人给定的工程数量乘以投标人所报单价予以修正。</w:t>
      </w:r>
    </w:p>
    <w:p>
      <w:pPr>
        <w:spacing w:line="500" w:lineRule="exact"/>
        <w:ind w:firstLine="482" w:firstLineChars="200"/>
        <w:rPr>
          <w:rFonts w:ascii="宋体" w:hAnsi="宋体"/>
          <w:sz w:val="24"/>
        </w:rPr>
      </w:pPr>
      <w:r>
        <w:rPr>
          <w:rFonts w:hint="eastAsia" w:ascii="宋体" w:hAnsi="宋体"/>
          <w:b/>
          <w:sz w:val="24"/>
        </w:rPr>
        <w:t>3.1.5</w:t>
      </w:r>
      <w:r>
        <w:rPr>
          <w:rFonts w:hint="eastAsia" w:ascii="宋体" w:hAnsi="宋体"/>
          <w:sz w:val="24"/>
        </w:rPr>
        <w:t>修正后的最终投标报价若超过投标控制价上限(如有)，投标人的投标文件作废标处理。</w:t>
      </w:r>
    </w:p>
    <w:p>
      <w:pPr>
        <w:spacing w:line="500" w:lineRule="exact"/>
        <w:ind w:firstLine="482" w:firstLineChars="200"/>
        <w:rPr>
          <w:rFonts w:ascii="宋体" w:hAnsi="宋体"/>
          <w:sz w:val="24"/>
        </w:rPr>
      </w:pPr>
      <w:r>
        <w:rPr>
          <w:rFonts w:hint="eastAsia" w:ascii="宋体" w:hAnsi="宋体"/>
          <w:b/>
          <w:sz w:val="24"/>
        </w:rPr>
        <w:t>3.1.6</w:t>
      </w:r>
      <w:r>
        <w:rPr>
          <w:rFonts w:hint="eastAsia" w:ascii="宋体" w:hAnsi="宋体"/>
          <w:sz w:val="24"/>
        </w:rPr>
        <w:t>修正后的最终投标报价作为签订合同的一个依据，不参与评标价得分的计算。</w:t>
      </w:r>
    </w:p>
    <w:p>
      <w:pPr>
        <w:spacing w:line="500" w:lineRule="exact"/>
        <w:ind w:firstLine="482" w:firstLineChars="200"/>
        <w:rPr>
          <w:rFonts w:ascii="宋体" w:hAnsi="宋体"/>
          <w:b/>
          <w:sz w:val="24"/>
        </w:rPr>
      </w:pPr>
      <w:r>
        <w:rPr>
          <w:rFonts w:hint="eastAsia" w:ascii="宋体" w:hAnsi="宋体"/>
          <w:b/>
          <w:sz w:val="24"/>
        </w:rPr>
        <w:t xml:space="preserve">3.2 详细评审 </w:t>
      </w:r>
    </w:p>
    <w:p>
      <w:pPr>
        <w:spacing w:line="500" w:lineRule="exact"/>
        <w:ind w:firstLine="480" w:firstLineChars="200"/>
        <w:rPr>
          <w:rFonts w:ascii="宋体" w:hAnsi="宋体"/>
          <w:sz w:val="24"/>
        </w:rPr>
      </w:pPr>
      <w:r>
        <w:rPr>
          <w:rFonts w:hint="eastAsia" w:ascii="宋体" w:hAnsi="宋体"/>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pPr>
        <w:spacing w:line="500" w:lineRule="exact"/>
        <w:ind w:firstLine="480" w:firstLineChars="200"/>
        <w:rPr>
          <w:rFonts w:ascii="宋体" w:hAnsi="宋体"/>
          <w:sz w:val="24"/>
        </w:rPr>
      </w:pPr>
      <w:r>
        <w:rPr>
          <w:rFonts w:hint="eastAsia" w:ascii="宋体" w:hAnsi="宋体"/>
          <w:sz w:val="24"/>
        </w:rPr>
        <w:t xml:space="preserve">3.2.2 评标得分计算保留小数点后两位，小数点后第三位“四舍五入”。 </w:t>
      </w:r>
    </w:p>
    <w:p>
      <w:pPr>
        <w:spacing w:line="500" w:lineRule="exact"/>
        <w:ind w:firstLine="480" w:firstLineChars="200"/>
        <w:rPr>
          <w:rFonts w:ascii="宋体" w:hAnsi="宋体"/>
          <w:sz w:val="24"/>
        </w:rPr>
      </w:pPr>
      <w:r>
        <w:rPr>
          <w:rFonts w:hint="eastAsia" w:ascii="宋体" w:hAnsi="宋体"/>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rFonts w:ascii="宋体" w:hAnsi="宋体"/>
          <w:sz w:val="24"/>
        </w:rPr>
      </w:pPr>
      <w:r>
        <w:rPr>
          <w:rFonts w:hint="eastAsia" w:ascii="宋体" w:hAnsi="宋体"/>
          <w:b/>
          <w:sz w:val="24"/>
        </w:rPr>
        <w:t xml:space="preserve">3.3 </w:t>
      </w:r>
      <w:r>
        <w:rPr>
          <w:rFonts w:hint="eastAsia" w:ascii="宋体" w:hAnsi="宋体"/>
          <w:sz w:val="24"/>
        </w:rPr>
        <w:t xml:space="preserve">投标文件的澄清和补正 </w:t>
      </w:r>
    </w:p>
    <w:p>
      <w:pPr>
        <w:spacing w:line="500" w:lineRule="exact"/>
        <w:ind w:firstLine="480" w:firstLineChars="200"/>
        <w:rPr>
          <w:rFonts w:ascii="宋体" w:hAnsi="宋体"/>
          <w:sz w:val="24"/>
        </w:rPr>
      </w:pPr>
      <w:r>
        <w:rPr>
          <w:rFonts w:hint="eastAsia" w:ascii="宋体" w:hAnsi="宋体"/>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rFonts w:ascii="宋体" w:hAnsi="宋体"/>
          <w:sz w:val="24"/>
        </w:rPr>
      </w:pPr>
      <w:r>
        <w:rPr>
          <w:rFonts w:hint="eastAsia" w:ascii="宋体" w:hAnsi="宋体"/>
          <w:sz w:val="24"/>
        </w:rPr>
        <w:t>3.3.2 澄清、说明和补正不得改变投标文件的实质性内容（算术性错误修正的除外）。投标人的书面澄清、说明和补正属于投标文件的组成部分。</w:t>
      </w:r>
    </w:p>
    <w:p>
      <w:pPr>
        <w:spacing w:line="500" w:lineRule="exact"/>
        <w:ind w:firstLine="480" w:firstLineChars="200"/>
        <w:rPr>
          <w:rFonts w:ascii="宋体" w:hAnsi="宋体"/>
          <w:sz w:val="24"/>
        </w:rPr>
      </w:pPr>
      <w:r>
        <w:rPr>
          <w:rFonts w:hint="eastAsia" w:ascii="宋体" w:hAnsi="宋体"/>
          <w:sz w:val="24"/>
        </w:rPr>
        <w:t>3.3.3评标委员会对投标人提交的澄清、说明或补正有疑问的，可以要求投标人进一步澄清、说明或补正，直至满足评标委员会的要求。</w:t>
      </w:r>
    </w:p>
    <w:p>
      <w:pPr>
        <w:spacing w:line="500" w:lineRule="exact"/>
        <w:ind w:firstLine="482" w:firstLineChars="200"/>
        <w:rPr>
          <w:rFonts w:ascii="宋体" w:hAnsi="宋体"/>
          <w:sz w:val="24"/>
        </w:rPr>
      </w:pPr>
      <w:r>
        <w:rPr>
          <w:rFonts w:hint="eastAsia" w:ascii="宋体" w:hAnsi="宋体"/>
          <w:b/>
          <w:sz w:val="24"/>
        </w:rPr>
        <w:t>3.3.4</w:t>
      </w:r>
      <w:r>
        <w:rPr>
          <w:rFonts w:hint="eastAsia" w:ascii="宋体" w:hAnsi="宋体"/>
          <w:sz w:val="24"/>
        </w:rPr>
        <w:t>凡超出招标文件规定的或给发包人带来未曾要求的利益的变化、偏差或其他因素在评标时不予考虑。</w:t>
      </w:r>
    </w:p>
    <w:p>
      <w:pPr>
        <w:spacing w:line="500" w:lineRule="exact"/>
        <w:rPr>
          <w:rFonts w:ascii="宋体" w:hAnsi="宋体"/>
          <w:b/>
          <w:sz w:val="24"/>
        </w:rPr>
      </w:pPr>
      <w:r>
        <w:rPr>
          <w:rFonts w:hint="eastAsia" w:ascii="宋体" w:hAnsi="宋体"/>
          <w:b/>
          <w:sz w:val="24"/>
        </w:rPr>
        <w:t>3.4评标结果</w:t>
      </w:r>
    </w:p>
    <w:p>
      <w:pPr>
        <w:spacing w:line="500" w:lineRule="exact"/>
        <w:ind w:firstLine="480" w:firstLineChars="200"/>
        <w:rPr>
          <w:rFonts w:ascii="宋体" w:hAnsi="宋体"/>
          <w:sz w:val="24"/>
        </w:rPr>
      </w:pPr>
      <w:r>
        <w:rPr>
          <w:rFonts w:hint="eastAsia" w:ascii="宋体" w:hAnsi="宋体"/>
          <w:sz w:val="24"/>
        </w:rPr>
        <w:t xml:space="preserve">3.4.1评标委员会按照通过投标文件第一信封（商务及技术文件）评审的前三名投标报价由低到高的顺序推荐中标候选人。 </w:t>
      </w:r>
    </w:p>
    <w:p>
      <w:pPr>
        <w:spacing w:line="500" w:lineRule="exact"/>
        <w:ind w:firstLine="480" w:firstLineChars="200"/>
        <w:rPr>
          <w:rFonts w:ascii="宋体" w:hAnsi="宋体"/>
          <w:sz w:val="24"/>
        </w:rPr>
      </w:pPr>
      <w:r>
        <w:rPr>
          <w:rFonts w:hint="eastAsia" w:ascii="宋体" w:hAnsi="宋体"/>
          <w:sz w:val="24"/>
        </w:rPr>
        <w:t>3.4.2 评标委员会完成评标后，应当向招标人提交书面评标报告。</w:t>
      </w:r>
    </w:p>
    <w:p>
      <w:pPr>
        <w:spacing w:line="500" w:lineRule="exact"/>
        <w:ind w:firstLine="482" w:firstLineChars="200"/>
        <w:rPr>
          <w:rFonts w:ascii="宋体" w:hAnsi="宋体"/>
          <w:b/>
          <w:bCs/>
          <w:sz w:val="24"/>
        </w:rPr>
      </w:pPr>
      <w:r>
        <w:rPr>
          <w:rFonts w:hint="eastAsia" w:ascii="宋体" w:hAnsi="宋体"/>
          <w:b/>
          <w:bCs/>
          <w:sz w:val="24"/>
        </w:rPr>
        <w:t>需要注意的问题：</w:t>
      </w:r>
    </w:p>
    <w:p>
      <w:pPr>
        <w:spacing w:line="500" w:lineRule="exact"/>
        <w:ind w:firstLine="482" w:firstLineChars="200"/>
        <w:rPr>
          <w:rFonts w:ascii="宋体" w:hAnsi="宋体"/>
          <w:b/>
          <w:bCs/>
          <w:sz w:val="24"/>
        </w:rPr>
      </w:pPr>
      <w:r>
        <w:rPr>
          <w:rFonts w:hint="eastAsia" w:ascii="宋体" w:hAnsi="宋体"/>
          <w:b/>
          <w:bCs/>
          <w:sz w:val="24"/>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sz w:val="24"/>
        </w:rPr>
      </w:pPr>
    </w:p>
    <w:p>
      <w:pPr>
        <w:pStyle w:val="2"/>
        <w:ind w:firstLine="210"/>
      </w:pPr>
    </w:p>
    <w:p>
      <w:pPr>
        <w:pStyle w:val="2"/>
        <w:ind w:firstLine="210"/>
      </w:pPr>
    </w:p>
    <w:p>
      <w:pPr>
        <w:adjustRightInd w:val="0"/>
        <w:snapToGrid w:val="0"/>
        <w:spacing w:line="360" w:lineRule="auto"/>
        <w:jc w:val="center"/>
        <w:outlineLvl w:val="0"/>
        <w:rPr>
          <w:rFonts w:ascii="黑体" w:eastAsia="黑体"/>
          <w:sz w:val="44"/>
          <w:szCs w:val="44"/>
        </w:rPr>
      </w:pPr>
      <w:r>
        <w:rPr>
          <w:rFonts w:hint="eastAsia" w:ascii="黑体" w:eastAsia="黑体"/>
          <w:sz w:val="44"/>
          <w:szCs w:val="44"/>
        </w:rPr>
        <w:t>第四章 合同条款及格式</w:t>
      </w:r>
    </w:p>
    <w:p>
      <w:pPr>
        <w:adjustRightInd w:val="0"/>
        <w:snapToGrid w:val="0"/>
        <w:spacing w:line="360" w:lineRule="auto"/>
        <w:jc w:val="center"/>
        <w:outlineLvl w:val="0"/>
        <w:rPr>
          <w:rFonts w:ascii="黑体" w:eastAsia="黑体"/>
          <w:bCs/>
          <w:sz w:val="36"/>
          <w:szCs w:val="36"/>
        </w:rPr>
      </w:pPr>
      <w:bookmarkStart w:id="209" w:name="_Toc9501"/>
      <w:r>
        <w:rPr>
          <w:rFonts w:hint="eastAsia" w:ascii="黑体" w:eastAsia="黑体"/>
          <w:bCs/>
          <w:sz w:val="36"/>
          <w:szCs w:val="36"/>
        </w:rPr>
        <w:t>第一节 通用合同条款</w:t>
      </w:r>
      <w:bookmarkEnd w:id="209"/>
    </w:p>
    <w:p>
      <w:pPr>
        <w:adjustRightInd w:val="0"/>
        <w:snapToGrid w:val="0"/>
        <w:spacing w:line="360" w:lineRule="auto"/>
        <w:jc w:val="center"/>
        <w:rPr>
          <w:rFonts w:ascii="仿宋_GB2312" w:eastAsia="仿宋_GB2312"/>
          <w:sz w:val="24"/>
        </w:rPr>
      </w:pPr>
    </w:p>
    <w:p>
      <w:pPr>
        <w:adjustRightInd w:val="0"/>
        <w:snapToGrid w:val="0"/>
        <w:spacing w:line="360" w:lineRule="auto"/>
        <w:jc w:val="center"/>
        <w:rPr>
          <w:rFonts w:ascii="黑体" w:eastAsia="黑体"/>
          <w:b/>
          <w:sz w:val="44"/>
          <w:szCs w:val="44"/>
        </w:rPr>
      </w:pPr>
      <w:r>
        <w:rPr>
          <w:rFonts w:hint="eastAsia" w:ascii="仿宋_GB2312" w:eastAsia="仿宋_GB2312"/>
          <w:sz w:val="24"/>
        </w:rPr>
        <w:t>参见中华人民共和国《标准施工招标文件》（2007年版）</w: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widowControl/>
        <w:jc w:val="left"/>
      </w:pPr>
      <w:r>
        <w:rPr>
          <w:rFonts w:ascii="宋体" w:hAnsi="宋体" w:cs="宋体"/>
          <w:kern w:val="0"/>
          <w:sz w:val="24"/>
        </w:rPr>
        <w:pict>
          <v:shape id="_x0000_i1025" o:spt="75" type="#_x0000_t75" style="height:24pt;width:24pt;" filled="f" o:preferrelative="t" stroked="f" coordsize="21600,21600">
            <v:path/>
            <v:fill on="f" focussize="0,0"/>
            <v:stroke on="f" joinstyle="miter"/>
            <v:imagedata o:title=""/>
            <o:lock v:ext="edit" aspectratio="t"/>
            <w10:wrap type="none"/>
            <w10:anchorlock/>
          </v:shape>
        </w:pic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pageBreakBefore/>
        <w:tabs>
          <w:tab w:val="left" w:pos="4500"/>
        </w:tabs>
        <w:spacing w:line="520" w:lineRule="exact"/>
        <w:jc w:val="center"/>
        <w:rPr>
          <w:rFonts w:ascii="黑体" w:eastAsia="黑体"/>
          <w:bCs/>
          <w:sz w:val="36"/>
          <w:szCs w:val="36"/>
        </w:rPr>
      </w:pPr>
      <w:r>
        <w:rPr>
          <w:rFonts w:hint="eastAsia" w:ascii="黑体" w:eastAsia="黑体"/>
          <w:bCs/>
          <w:sz w:val="36"/>
          <w:szCs w:val="36"/>
        </w:rPr>
        <w:t>第二节 专用合同条款</w:t>
      </w:r>
    </w:p>
    <w:p>
      <w:pPr>
        <w:tabs>
          <w:tab w:val="left" w:pos="4500"/>
        </w:tabs>
        <w:spacing w:line="520" w:lineRule="exact"/>
        <w:rPr>
          <w:rFonts w:hAnsi="宋体"/>
          <w:bCs/>
          <w:sz w:val="24"/>
          <w:szCs w:val="28"/>
        </w:rPr>
      </w:pPr>
    </w:p>
    <w:p>
      <w:pPr>
        <w:adjustRightInd w:val="0"/>
        <w:snapToGrid w:val="0"/>
        <w:spacing w:beforeLines="100" w:afterLines="100" w:line="360" w:lineRule="auto"/>
        <w:jc w:val="center"/>
        <w:rPr>
          <w:rFonts w:eastAsia="黑体"/>
          <w:sz w:val="32"/>
          <w:szCs w:val="32"/>
        </w:rPr>
      </w:pPr>
      <w:bookmarkStart w:id="210" w:name="_Toc132601562"/>
      <w:r>
        <w:rPr>
          <w:rFonts w:eastAsia="黑体"/>
          <w:sz w:val="32"/>
          <w:szCs w:val="32"/>
        </w:rPr>
        <w:t>A．公路行业标准专用合同条款</w:t>
      </w:r>
    </w:p>
    <w:p>
      <w:pPr>
        <w:adjustRightInd w:val="0"/>
        <w:snapToGrid w:val="0"/>
        <w:spacing w:line="360" w:lineRule="auto"/>
        <w:rPr>
          <w:rFonts w:eastAsia="黑体"/>
          <w:sz w:val="24"/>
        </w:rPr>
      </w:pPr>
      <w:r>
        <w:rPr>
          <w:rFonts w:eastAsia="黑体"/>
          <w:sz w:val="24"/>
        </w:rPr>
        <w:t>1．一般约定</w:t>
      </w:r>
    </w:p>
    <w:p>
      <w:pPr>
        <w:adjustRightInd w:val="0"/>
        <w:snapToGrid w:val="0"/>
        <w:spacing w:line="360" w:lineRule="auto"/>
        <w:rPr>
          <w:rFonts w:eastAsia="黑体"/>
          <w:sz w:val="24"/>
        </w:rPr>
      </w:pPr>
      <w:r>
        <w:rPr>
          <w:rFonts w:eastAsia="黑体"/>
          <w:sz w:val="24"/>
        </w:rPr>
        <w:t>1.1词语定义</w:t>
      </w:r>
    </w:p>
    <w:p>
      <w:pPr>
        <w:adjustRightInd w:val="0"/>
        <w:snapToGrid w:val="0"/>
        <w:spacing w:line="360" w:lineRule="auto"/>
        <w:ind w:firstLine="480" w:firstLineChars="200"/>
        <w:rPr>
          <w:rFonts w:eastAsia="黑体"/>
          <w:sz w:val="24"/>
        </w:rPr>
      </w:pPr>
      <w:r>
        <w:rPr>
          <w:rFonts w:eastAsia="黑体"/>
          <w:sz w:val="24"/>
        </w:rPr>
        <w:t>1.1.1合同</w:t>
      </w:r>
    </w:p>
    <w:p>
      <w:pPr>
        <w:adjustRightInd w:val="0"/>
        <w:snapToGrid w:val="0"/>
        <w:spacing w:line="360" w:lineRule="auto"/>
        <w:ind w:firstLine="720" w:firstLineChars="300"/>
        <w:rPr>
          <w:sz w:val="24"/>
        </w:rPr>
      </w:pPr>
      <w:r>
        <w:rPr>
          <w:sz w:val="24"/>
        </w:rPr>
        <w:t>1.1.1.6技术规范：为本合同所约定的</w:t>
      </w:r>
      <w:r>
        <w:rPr>
          <w:rFonts w:ascii="宋体" w:hAnsi="宋体"/>
          <w:sz w:val="24"/>
        </w:rPr>
        <w:t>技</w:t>
      </w:r>
      <w:r>
        <w:rPr>
          <w:sz w:val="24"/>
        </w:rPr>
        <w:t>术标准和要求。</w:t>
      </w:r>
    </w:p>
    <w:p>
      <w:pPr>
        <w:adjustRightInd w:val="0"/>
        <w:snapToGrid w:val="0"/>
        <w:spacing w:line="360" w:lineRule="auto"/>
        <w:ind w:firstLine="720" w:firstLineChars="300"/>
        <w:rPr>
          <w:sz w:val="24"/>
        </w:rPr>
      </w:pPr>
      <w:r>
        <w:rPr>
          <w:sz w:val="24"/>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sz w:val="24"/>
        </w:rPr>
      </w:pPr>
      <w:r>
        <w:rPr>
          <w:sz w:val="24"/>
        </w:rPr>
        <w:t>本项增加第1</w:t>
      </w:r>
      <w:r>
        <w:rPr>
          <w:rFonts w:hint="eastAsia"/>
          <w:sz w:val="24"/>
        </w:rPr>
        <w:t>.</w:t>
      </w:r>
      <w:r>
        <w:rPr>
          <w:sz w:val="24"/>
        </w:rPr>
        <w:t>1</w:t>
      </w:r>
      <w:r>
        <w:rPr>
          <w:rFonts w:hint="eastAsia"/>
          <w:sz w:val="24"/>
        </w:rPr>
        <w:t>.</w:t>
      </w:r>
      <w:r>
        <w:rPr>
          <w:sz w:val="24"/>
        </w:rPr>
        <w:t>1</w:t>
      </w:r>
      <w:r>
        <w:rPr>
          <w:rFonts w:hint="eastAsia"/>
          <w:sz w:val="24"/>
        </w:rPr>
        <w:t>.</w:t>
      </w:r>
      <w:r>
        <w:rPr>
          <w:sz w:val="24"/>
        </w:rPr>
        <w:t>10目：</w:t>
      </w:r>
    </w:p>
    <w:p>
      <w:pPr>
        <w:adjustRightInd w:val="0"/>
        <w:snapToGrid w:val="0"/>
        <w:spacing w:line="360" w:lineRule="auto"/>
        <w:ind w:firstLine="720" w:firstLineChars="300"/>
        <w:rPr>
          <w:sz w:val="24"/>
        </w:rPr>
      </w:pPr>
      <w:r>
        <w:rPr>
          <w:sz w:val="24"/>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sz w:val="24"/>
        </w:rPr>
      </w:pPr>
      <w:r>
        <w:rPr>
          <w:rFonts w:eastAsia="黑体"/>
          <w:sz w:val="24"/>
        </w:rPr>
        <w:t>1.1.2合同当事人和人员</w:t>
      </w:r>
    </w:p>
    <w:p>
      <w:pPr>
        <w:adjustRightInd w:val="0"/>
        <w:snapToGrid w:val="0"/>
        <w:spacing w:line="360" w:lineRule="auto"/>
        <w:ind w:firstLine="720" w:firstLineChars="300"/>
        <w:rPr>
          <w:sz w:val="24"/>
          <w:u w:val="single"/>
        </w:rPr>
      </w:pPr>
      <w:r>
        <w:rPr>
          <w:sz w:val="24"/>
        </w:rPr>
        <w:t>1</w:t>
      </w:r>
      <w:r>
        <w:rPr>
          <w:rFonts w:hint="eastAsia"/>
          <w:sz w:val="24"/>
        </w:rPr>
        <w:t>.</w:t>
      </w:r>
      <w:r>
        <w:rPr>
          <w:sz w:val="24"/>
        </w:rPr>
        <w:t>1.2.2发包人：</w:t>
      </w:r>
      <w:r>
        <w:rPr>
          <w:rFonts w:hint="eastAsia"/>
          <w:sz w:val="24"/>
          <w:u w:val="single"/>
        </w:rPr>
        <w:t xml:space="preserve">  （在项目专用条款数据表中予以规定）  </w:t>
      </w:r>
    </w:p>
    <w:p>
      <w:pPr>
        <w:adjustRightInd w:val="0"/>
        <w:snapToGrid w:val="0"/>
        <w:spacing w:line="360" w:lineRule="auto"/>
        <w:ind w:firstLine="720" w:firstLineChars="300"/>
        <w:rPr>
          <w:sz w:val="24"/>
        </w:rPr>
      </w:pPr>
      <w:r>
        <w:rPr>
          <w:rFonts w:hint="eastAsia"/>
          <w:sz w:val="24"/>
        </w:rPr>
        <w:t>1.1</w:t>
      </w:r>
      <w:r>
        <w:rPr>
          <w:sz w:val="24"/>
        </w:rPr>
        <w:t>.2.6监理人</w:t>
      </w:r>
      <w:r>
        <w:rPr>
          <w:rFonts w:hint="eastAsia"/>
          <w:sz w:val="24"/>
        </w:rPr>
        <w:t>：</w:t>
      </w:r>
      <w:r>
        <w:rPr>
          <w:rFonts w:hint="eastAsia"/>
          <w:sz w:val="24"/>
          <w:u w:val="single"/>
        </w:rPr>
        <w:t xml:space="preserve">  （在项目专用条款数据表中予以规定）  </w:t>
      </w:r>
    </w:p>
    <w:p>
      <w:pPr>
        <w:adjustRightInd w:val="0"/>
        <w:snapToGrid w:val="0"/>
        <w:spacing w:line="360" w:lineRule="auto"/>
        <w:ind w:firstLine="720" w:firstLineChars="300"/>
        <w:rPr>
          <w:sz w:val="24"/>
        </w:rPr>
      </w:pPr>
      <w:r>
        <w:rPr>
          <w:sz w:val="24"/>
        </w:rPr>
        <w:t>本项增加第1</w:t>
      </w:r>
      <w:r>
        <w:rPr>
          <w:rFonts w:hint="eastAsia"/>
          <w:sz w:val="24"/>
        </w:rPr>
        <w:t>.</w:t>
      </w:r>
      <w:r>
        <w:rPr>
          <w:sz w:val="24"/>
        </w:rPr>
        <w:t>1.2.8目：</w:t>
      </w:r>
    </w:p>
    <w:p>
      <w:pPr>
        <w:adjustRightInd w:val="0"/>
        <w:snapToGrid w:val="0"/>
        <w:spacing w:line="360" w:lineRule="auto"/>
        <w:ind w:firstLine="720" w:firstLineChars="300"/>
        <w:rPr>
          <w:sz w:val="24"/>
        </w:rPr>
      </w:pPr>
      <w:r>
        <w:rPr>
          <w:sz w:val="24"/>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w:t>
      </w:r>
      <w:r>
        <w:rPr>
          <w:rFonts w:hint="eastAsia" w:eastAsia="黑体"/>
          <w:sz w:val="24"/>
        </w:rPr>
        <w:t>.</w:t>
      </w:r>
      <w:r>
        <w:rPr>
          <w:rFonts w:eastAsia="黑体"/>
          <w:sz w:val="24"/>
        </w:rPr>
        <w:t>3工程和设备</w:t>
      </w:r>
    </w:p>
    <w:p>
      <w:pPr>
        <w:adjustRightInd w:val="0"/>
        <w:snapToGrid w:val="0"/>
        <w:spacing w:line="360" w:lineRule="auto"/>
        <w:ind w:firstLine="720" w:firstLineChars="300"/>
        <w:rPr>
          <w:sz w:val="24"/>
        </w:rPr>
      </w:pPr>
      <w:r>
        <w:rPr>
          <w:sz w:val="24"/>
        </w:rPr>
        <w:t>1.1.3.4单位工程：指在建设项目中，根据签订的合同，具有独立施工条件的工程。</w:t>
      </w:r>
    </w:p>
    <w:p>
      <w:pPr>
        <w:adjustRightInd w:val="0"/>
        <w:snapToGrid w:val="0"/>
        <w:spacing w:line="360" w:lineRule="auto"/>
        <w:ind w:firstLine="720" w:firstLineChars="300"/>
        <w:rPr>
          <w:sz w:val="24"/>
        </w:rPr>
      </w:pPr>
      <w:r>
        <w:rPr>
          <w:sz w:val="24"/>
        </w:rPr>
        <w:t>1.1.3.10永久占地：指为实施本合同工程而需要的一切永久占用的土地，包括公路两侧路权范围内的用地。</w:t>
      </w:r>
    </w:p>
    <w:p>
      <w:pPr>
        <w:adjustRightInd w:val="0"/>
        <w:snapToGrid w:val="0"/>
        <w:spacing w:line="360" w:lineRule="auto"/>
        <w:ind w:firstLine="720" w:firstLineChars="300"/>
        <w:rPr>
          <w:sz w:val="24"/>
        </w:rPr>
      </w:pPr>
      <w:r>
        <w:rPr>
          <w:sz w:val="24"/>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sz w:val="24"/>
        </w:rPr>
      </w:pPr>
      <w:r>
        <w:rPr>
          <w:sz w:val="24"/>
        </w:rPr>
        <w:t>本项增加第1．1.3．12、1．1.3．13目：</w:t>
      </w:r>
    </w:p>
    <w:p>
      <w:pPr>
        <w:adjustRightInd w:val="0"/>
        <w:snapToGrid w:val="0"/>
        <w:spacing w:line="360" w:lineRule="auto"/>
        <w:ind w:firstLine="720" w:firstLineChars="300"/>
        <w:rPr>
          <w:sz w:val="24"/>
        </w:rPr>
      </w:pPr>
      <w:r>
        <w:rPr>
          <w:sz w:val="24"/>
        </w:rPr>
        <w:t>1</w:t>
      </w:r>
      <w:r>
        <w:rPr>
          <w:rFonts w:hint="eastAsia"/>
          <w:sz w:val="24"/>
        </w:rPr>
        <w:t>.</w:t>
      </w:r>
      <w:r>
        <w:rPr>
          <w:sz w:val="24"/>
        </w:rPr>
        <w:t>1.3.12分部工程：指在单位工程中，按结构部位、路段长度及施工特点或施工任务划分的若干个工程。</w:t>
      </w:r>
    </w:p>
    <w:p>
      <w:pPr>
        <w:adjustRightInd w:val="0"/>
        <w:snapToGrid w:val="0"/>
        <w:spacing w:line="360" w:lineRule="auto"/>
        <w:ind w:firstLine="720" w:firstLineChars="300"/>
        <w:rPr>
          <w:sz w:val="24"/>
        </w:rPr>
      </w:pPr>
      <w:r>
        <w:rPr>
          <w:sz w:val="24"/>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sz w:val="24"/>
        </w:rPr>
      </w:pPr>
      <w:r>
        <w:rPr>
          <w:rFonts w:eastAsia="黑体"/>
          <w:sz w:val="24"/>
        </w:rPr>
        <w:t>1.1.4日期</w:t>
      </w:r>
    </w:p>
    <w:p>
      <w:pPr>
        <w:adjustRightInd w:val="0"/>
        <w:snapToGrid w:val="0"/>
        <w:spacing w:line="360" w:lineRule="auto"/>
        <w:ind w:firstLine="720" w:firstLineChars="300"/>
        <w:rPr>
          <w:sz w:val="24"/>
        </w:rPr>
      </w:pPr>
      <w:r>
        <w:rPr>
          <w:sz w:val="24"/>
        </w:rPr>
        <w:t>1.1.4.5缺陷责任期：自实际竣工日期起计算</w:t>
      </w:r>
      <w:r>
        <w:rPr>
          <w:rFonts w:hint="eastAsia"/>
          <w:sz w:val="24"/>
        </w:rPr>
        <w:t>1</w:t>
      </w:r>
      <w:r>
        <w:rPr>
          <w:sz w:val="24"/>
        </w:rPr>
        <w:t>年。</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1.6其他</w:t>
      </w:r>
    </w:p>
    <w:p>
      <w:pPr>
        <w:adjustRightInd w:val="0"/>
        <w:snapToGrid w:val="0"/>
        <w:spacing w:line="360" w:lineRule="auto"/>
        <w:ind w:firstLine="720" w:firstLineChars="300"/>
        <w:rPr>
          <w:sz w:val="24"/>
        </w:rPr>
      </w:pPr>
      <w:r>
        <w:rPr>
          <w:sz w:val="24"/>
        </w:rPr>
        <w:t>本项增加第1．1.6.2至1．1.6.5目：</w:t>
      </w:r>
    </w:p>
    <w:p>
      <w:pPr>
        <w:adjustRightInd w:val="0"/>
        <w:snapToGrid w:val="0"/>
        <w:spacing w:line="360" w:lineRule="auto"/>
        <w:ind w:firstLine="720" w:firstLineChars="300"/>
        <w:rPr>
          <w:sz w:val="24"/>
        </w:rPr>
      </w:pPr>
      <w:r>
        <w:rPr>
          <w:sz w:val="24"/>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sz w:val="24"/>
        </w:rPr>
      </w:pPr>
      <w:r>
        <w:rPr>
          <w:sz w:val="24"/>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sz w:val="24"/>
        </w:rPr>
      </w:pPr>
      <w:r>
        <w:rPr>
          <w:sz w:val="24"/>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sz w:val="24"/>
        </w:rPr>
      </w:pPr>
      <w:r>
        <w:rPr>
          <w:sz w:val="24"/>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sz w:val="24"/>
        </w:rPr>
      </w:pPr>
      <w:r>
        <w:rPr>
          <w:rFonts w:eastAsia="黑体"/>
          <w:sz w:val="24"/>
        </w:rPr>
        <w:t>1.4合同文件的优先顺序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组成合同的各项文件应互相解释，互为说明。除项目专用合同条款另有约定外，解释合同文件的优先顺序如下：</w:t>
      </w:r>
    </w:p>
    <w:p>
      <w:pPr>
        <w:adjustRightInd w:val="0"/>
        <w:snapToGrid w:val="0"/>
        <w:spacing w:line="360" w:lineRule="auto"/>
        <w:ind w:firstLine="480" w:firstLineChars="200"/>
        <w:rPr>
          <w:sz w:val="24"/>
        </w:rPr>
      </w:pPr>
      <w:r>
        <w:rPr>
          <w:sz w:val="24"/>
        </w:rPr>
        <w:t>（1</w:t>
      </w:r>
      <w:r>
        <w:rPr>
          <w:rFonts w:hint="eastAsia"/>
          <w:sz w:val="24"/>
        </w:rPr>
        <w:t>）</w:t>
      </w:r>
      <w:r>
        <w:rPr>
          <w:sz w:val="24"/>
        </w:rPr>
        <w:t>合同协议书及各种合同附件（含评标期间和合同谈判过程中的澄清文件和补充资料）；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）其他合同文件。</w:t>
      </w:r>
    </w:p>
    <w:p>
      <w:pPr>
        <w:adjustRightInd w:val="0"/>
        <w:snapToGrid w:val="0"/>
        <w:spacing w:beforeLines="100" w:line="360" w:lineRule="auto"/>
        <w:rPr>
          <w:rFonts w:eastAsia="黑体"/>
          <w:sz w:val="24"/>
        </w:rPr>
      </w:pPr>
      <w:r>
        <w:rPr>
          <w:rFonts w:eastAsia="黑体"/>
          <w:sz w:val="24"/>
        </w:rPr>
        <w:t>1.5合同协议书</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制备本合同文件的费用由发包人承担。在合同协议书签订并生效之前，投标函和中标通知书将约束双方。</w:t>
      </w:r>
    </w:p>
    <w:p>
      <w:pPr>
        <w:adjustRightInd w:val="0"/>
        <w:snapToGrid w:val="0"/>
        <w:spacing w:beforeLines="100" w:line="360" w:lineRule="auto"/>
        <w:rPr>
          <w:rFonts w:eastAsia="黑体"/>
          <w:sz w:val="24"/>
        </w:rPr>
      </w:pPr>
      <w:r>
        <w:rPr>
          <w:rFonts w:eastAsia="黑体"/>
          <w:sz w:val="24"/>
        </w:rPr>
        <w:t>1.6图纸和承包人文件</w:t>
      </w:r>
    </w:p>
    <w:p>
      <w:pPr>
        <w:adjustRightInd w:val="0"/>
        <w:snapToGrid w:val="0"/>
        <w:spacing w:line="360" w:lineRule="auto"/>
        <w:ind w:firstLine="480" w:firstLineChars="200"/>
        <w:rPr>
          <w:rFonts w:eastAsia="黑体"/>
          <w:sz w:val="24"/>
        </w:rPr>
      </w:pPr>
      <w:r>
        <w:rPr>
          <w:rFonts w:eastAsia="黑体"/>
          <w:sz w:val="24"/>
        </w:rPr>
        <w:t>1.6.1图纸的提供</w:t>
      </w:r>
    </w:p>
    <w:p>
      <w:pPr>
        <w:adjustRightInd w:val="0"/>
        <w:snapToGrid w:val="0"/>
        <w:spacing w:line="360" w:lineRule="auto"/>
        <w:ind w:firstLine="480" w:firstLineChars="200"/>
        <w:rPr>
          <w:sz w:val="24"/>
        </w:rPr>
      </w:pPr>
      <w:r>
        <w:rPr>
          <w:rFonts w:hint="eastAsia"/>
          <w:sz w:val="24"/>
        </w:rPr>
        <w:t>本项细化为：</w:t>
      </w:r>
    </w:p>
    <w:p>
      <w:pPr>
        <w:adjustRightInd w:val="0"/>
        <w:snapToGrid w:val="0"/>
        <w:spacing w:line="360" w:lineRule="auto"/>
        <w:ind w:firstLine="480" w:firstLineChars="200"/>
        <w:rPr>
          <w:sz w:val="24"/>
        </w:rPr>
      </w:pPr>
      <w:r>
        <w:rPr>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sz w:val="24"/>
        </w:rPr>
      </w:pPr>
      <w:r>
        <w:rPr>
          <w:rFonts w:eastAsia="黑体"/>
          <w:sz w:val="24"/>
        </w:rPr>
        <w:t>1.6.2承包人提供的文件</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sz w:val="24"/>
        </w:rPr>
      </w:pPr>
      <w:r>
        <w:rPr>
          <w:rFonts w:eastAsia="黑体"/>
          <w:sz w:val="24"/>
        </w:rPr>
        <w:t>1.6.3图纸的修改</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pPr>
        <w:adjustRightInd w:val="0"/>
        <w:snapToGrid w:val="0"/>
        <w:spacing w:line="360" w:lineRule="auto"/>
        <w:ind w:firstLine="480" w:firstLineChars="200"/>
        <w:rPr>
          <w:rFonts w:eastAsia="黑体"/>
          <w:sz w:val="24"/>
        </w:rPr>
      </w:pPr>
      <w:r>
        <w:rPr>
          <w:rFonts w:eastAsia="黑体"/>
          <w:sz w:val="24"/>
        </w:rPr>
        <w:t>1.6.4图纸的错误</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sz w:val="24"/>
        </w:rPr>
      </w:pPr>
      <w:r>
        <w:rPr>
          <w:rFonts w:eastAsia="黑体"/>
          <w:sz w:val="24"/>
        </w:rPr>
        <w:t>1.7联络</w:t>
      </w:r>
    </w:p>
    <w:p>
      <w:pPr>
        <w:adjustRightInd w:val="0"/>
        <w:snapToGrid w:val="0"/>
        <w:spacing w:line="360" w:lineRule="auto"/>
        <w:ind w:firstLine="480" w:firstLineChars="200"/>
        <w:rPr>
          <w:rFonts w:eastAsia="黑体"/>
          <w:sz w:val="24"/>
        </w:rPr>
      </w:pPr>
      <w:r>
        <w:rPr>
          <w:rFonts w:eastAsia="黑体"/>
          <w:sz w:val="24"/>
        </w:rPr>
        <w:t>1.7.2来往函件送达的期限：</w:t>
      </w:r>
      <w:r>
        <w:rPr>
          <w:rFonts w:hint="eastAsia" w:eastAsia="黑体"/>
          <w:sz w:val="24"/>
          <w:u w:val="single"/>
        </w:rPr>
        <w:t xml:space="preserve">  （见项目专用合同条款）  </w:t>
      </w:r>
    </w:p>
    <w:p>
      <w:pPr>
        <w:adjustRightInd w:val="0"/>
        <w:snapToGrid w:val="0"/>
        <w:spacing w:beforeLines="100" w:line="360" w:lineRule="auto"/>
        <w:rPr>
          <w:rFonts w:eastAsia="黑体"/>
          <w:sz w:val="24"/>
        </w:rPr>
      </w:pPr>
      <w:r>
        <w:rPr>
          <w:rFonts w:eastAsia="黑体"/>
          <w:sz w:val="24"/>
        </w:rPr>
        <w:t>1.9严禁贿赔</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sz w:val="24"/>
        </w:rPr>
      </w:pPr>
      <w:r>
        <w:rPr>
          <w:rFonts w:eastAsia="黑体"/>
          <w:sz w:val="24"/>
        </w:rPr>
        <w:t>2</w:t>
      </w:r>
      <w:r>
        <w:rPr>
          <w:rFonts w:hint="eastAsia" w:eastAsia="黑体"/>
          <w:sz w:val="24"/>
        </w:rPr>
        <w:t>．</w:t>
      </w:r>
      <w:r>
        <w:rPr>
          <w:rFonts w:eastAsia="黑体"/>
          <w:sz w:val="24"/>
        </w:rPr>
        <w:t>发包人义务</w:t>
      </w:r>
    </w:p>
    <w:p>
      <w:pPr>
        <w:adjustRightInd w:val="0"/>
        <w:snapToGrid w:val="0"/>
        <w:spacing w:line="360" w:lineRule="auto"/>
        <w:rPr>
          <w:rFonts w:eastAsia="黑体"/>
          <w:sz w:val="24"/>
        </w:rPr>
      </w:pPr>
      <w:r>
        <w:rPr>
          <w:rFonts w:eastAsia="黑体"/>
          <w:sz w:val="24"/>
        </w:rPr>
        <w:t>2.3提供施工场地</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2.3.1提供永久占地</w:t>
      </w:r>
    </w:p>
    <w:p>
      <w:pPr>
        <w:adjustRightInd w:val="0"/>
        <w:snapToGrid w:val="0"/>
        <w:spacing w:line="360" w:lineRule="auto"/>
        <w:ind w:firstLine="480" w:firstLineChars="200"/>
        <w:rPr>
          <w:sz w:val="24"/>
        </w:rPr>
      </w:pPr>
      <w:r>
        <w:rPr>
          <w:sz w:val="24"/>
        </w:rPr>
        <w:t>（1</w:t>
      </w:r>
      <w:r>
        <w:rPr>
          <w:rFonts w:hint="eastAsia"/>
          <w:sz w:val="24"/>
        </w:rPr>
        <w:t>）</w:t>
      </w:r>
      <w:r>
        <w:rPr>
          <w:sz w:val="24"/>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sz w:val="24"/>
        </w:rPr>
      </w:pPr>
      <w:r>
        <w:rPr>
          <w:sz w:val="24"/>
        </w:rPr>
        <w:t>2.3.2提供临时占地</w:t>
      </w:r>
    </w:p>
    <w:p>
      <w:pPr>
        <w:adjustRightInd w:val="0"/>
        <w:snapToGrid w:val="0"/>
        <w:spacing w:line="360" w:lineRule="auto"/>
        <w:ind w:firstLine="480" w:firstLineChars="20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sz w:val="24"/>
        </w:rPr>
      </w:pPr>
      <w:r>
        <w:rPr>
          <w:rFonts w:eastAsia="黑体"/>
          <w:sz w:val="24"/>
        </w:rPr>
        <w:t>2.8其他义务</w:t>
      </w:r>
    </w:p>
    <w:p>
      <w:pPr>
        <w:adjustRightInd w:val="0"/>
        <w:snapToGrid w:val="0"/>
        <w:spacing w:line="360" w:lineRule="auto"/>
        <w:ind w:firstLine="480" w:firstLineChars="200"/>
        <w:rPr>
          <w:sz w:val="24"/>
          <w:u w:val="single"/>
        </w:rPr>
      </w:pPr>
      <w:r>
        <w:rPr>
          <w:sz w:val="24"/>
        </w:rPr>
        <w:t>发包人应履行的其他义务</w:t>
      </w:r>
      <w:r>
        <w:rPr>
          <w:rFonts w:hint="eastAsia"/>
          <w:sz w:val="24"/>
        </w:rPr>
        <w:t>：</w:t>
      </w:r>
      <w:r>
        <w:rPr>
          <w:rFonts w:hint="eastAsia"/>
          <w:sz w:val="24"/>
          <w:u w:val="single"/>
        </w:rPr>
        <w:t xml:space="preserve">  （见项目专用合同条款）  </w:t>
      </w:r>
    </w:p>
    <w:p>
      <w:pPr>
        <w:adjustRightInd w:val="0"/>
        <w:snapToGrid w:val="0"/>
        <w:spacing w:beforeLines="100" w:line="360" w:lineRule="auto"/>
        <w:rPr>
          <w:rFonts w:eastAsia="黑体"/>
          <w:sz w:val="24"/>
        </w:rPr>
      </w:pPr>
      <w:r>
        <w:rPr>
          <w:rFonts w:eastAsia="黑体"/>
          <w:sz w:val="24"/>
        </w:rPr>
        <w:t>3</w:t>
      </w:r>
      <w:r>
        <w:rPr>
          <w:rFonts w:hint="eastAsia" w:eastAsia="黑体"/>
          <w:sz w:val="24"/>
        </w:rPr>
        <w:t>．</w:t>
      </w:r>
      <w:r>
        <w:rPr>
          <w:rFonts w:eastAsia="黑体"/>
          <w:sz w:val="24"/>
        </w:rPr>
        <w:t>监理人</w:t>
      </w:r>
    </w:p>
    <w:p>
      <w:pPr>
        <w:adjustRightInd w:val="0"/>
        <w:snapToGrid w:val="0"/>
        <w:spacing w:line="360" w:lineRule="auto"/>
        <w:rPr>
          <w:rFonts w:eastAsia="黑体"/>
          <w:sz w:val="24"/>
        </w:rPr>
      </w:pPr>
      <w:r>
        <w:rPr>
          <w:rFonts w:eastAsia="黑体"/>
          <w:sz w:val="24"/>
        </w:rPr>
        <w:t>3.1监理人的职责和权力</w:t>
      </w:r>
    </w:p>
    <w:p>
      <w:pPr>
        <w:adjustRightInd w:val="0"/>
        <w:snapToGrid w:val="0"/>
        <w:spacing w:line="360" w:lineRule="auto"/>
        <w:ind w:firstLine="480" w:firstLineChars="200"/>
        <w:rPr>
          <w:sz w:val="24"/>
        </w:rPr>
      </w:pPr>
      <w:r>
        <w:rPr>
          <w:sz w:val="24"/>
        </w:rPr>
        <w:t>3.1</w:t>
      </w:r>
      <w:r>
        <w:rPr>
          <w:rFonts w:hint="eastAsia"/>
          <w:sz w:val="24"/>
        </w:rPr>
        <w:t>.</w:t>
      </w:r>
      <w:r>
        <w:rPr>
          <w:sz w:val="24"/>
        </w:rPr>
        <w:t>1项补充：</w:t>
      </w:r>
    </w:p>
    <w:p>
      <w:pPr>
        <w:adjustRightInd w:val="0"/>
        <w:snapToGrid w:val="0"/>
        <w:spacing w:line="360" w:lineRule="auto"/>
        <w:ind w:firstLine="480" w:firstLineChars="200"/>
        <w:rPr>
          <w:sz w:val="24"/>
        </w:rPr>
      </w:pPr>
      <w:r>
        <w:rPr>
          <w:sz w:val="24"/>
        </w:rPr>
        <w:t>监理人在行使下列权力前需要经发包人事先批准：</w:t>
      </w:r>
    </w:p>
    <w:p>
      <w:pPr>
        <w:adjustRightInd w:val="0"/>
        <w:snapToGrid w:val="0"/>
        <w:spacing w:line="360" w:lineRule="auto"/>
        <w:ind w:firstLine="480" w:firstLineChars="200"/>
        <w:rPr>
          <w:sz w:val="24"/>
        </w:rPr>
      </w:pPr>
      <w:r>
        <w:rPr>
          <w:sz w:val="24"/>
        </w:rPr>
        <w:t>（1</w:t>
      </w:r>
      <w:r>
        <w:rPr>
          <w:rFonts w:hint="eastAsia"/>
          <w:sz w:val="24"/>
        </w:rPr>
        <w:t>）</w:t>
      </w:r>
      <w:r>
        <w:rPr>
          <w:sz w:val="24"/>
        </w:rPr>
        <w:t>根据第4.3款，同意分包本工程的某非主体和关键性工作；</w:t>
      </w:r>
    </w:p>
    <w:p>
      <w:pPr>
        <w:adjustRightInd w:val="0"/>
        <w:snapToGrid w:val="0"/>
        <w:spacing w:line="360" w:lineRule="auto"/>
        <w:ind w:firstLine="480" w:firstLineChars="200"/>
        <w:rPr>
          <w:sz w:val="24"/>
        </w:rPr>
      </w:pPr>
      <w:r>
        <w:rPr>
          <w:sz w:val="24"/>
        </w:rPr>
        <w:t>（2）确定第4.11款下产生的费用增加额；</w:t>
      </w:r>
    </w:p>
    <w:p>
      <w:pPr>
        <w:adjustRightInd w:val="0"/>
        <w:snapToGrid w:val="0"/>
        <w:spacing w:line="360" w:lineRule="auto"/>
        <w:ind w:firstLine="480" w:firstLineChars="200"/>
        <w:rPr>
          <w:sz w:val="24"/>
        </w:rPr>
      </w:pPr>
      <w:r>
        <w:rPr>
          <w:rFonts w:hint="eastAsia"/>
          <w:sz w:val="24"/>
        </w:rPr>
        <w:t>（</w:t>
      </w:r>
      <w:r>
        <w:rPr>
          <w:sz w:val="24"/>
        </w:rPr>
        <w:t>3）根据第11</w:t>
      </w:r>
      <w:r>
        <w:rPr>
          <w:rFonts w:hint="eastAsia"/>
          <w:sz w:val="24"/>
        </w:rPr>
        <w:t>.</w:t>
      </w:r>
      <w:r>
        <w:rPr>
          <w:sz w:val="24"/>
        </w:rPr>
        <w:t>1款、12.3款、12.4款发布开工通知、暂停施工指示或复工通矢日；</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决定第11.3款、11.4款下的工期延长；</w:t>
      </w:r>
    </w:p>
    <w:p>
      <w:pPr>
        <w:adjustRightInd w:val="0"/>
        <w:snapToGrid w:val="0"/>
        <w:spacing w:line="360" w:lineRule="auto"/>
        <w:ind w:firstLine="480" w:firstLineChars="200"/>
        <w:rPr>
          <w:sz w:val="24"/>
        </w:rPr>
      </w:pPr>
      <w:r>
        <w:rPr>
          <w:sz w:val="24"/>
        </w:rPr>
        <w:t>（5</w:t>
      </w:r>
      <w:r>
        <w:rPr>
          <w:rFonts w:hint="eastAsia"/>
          <w:sz w:val="24"/>
        </w:rPr>
        <w:t>）</w:t>
      </w:r>
      <w:r>
        <w:rPr>
          <w:sz w:val="24"/>
        </w:rPr>
        <w:t>审查批准技术规范或设计的变更；</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根据第15.3款发出的变更指令，其单项工程变更涉及的金额超过了该单项工程原合同价的％或累计变更超过了原总合同价的％（在项目专用条款数据表中予以规定）；</w:t>
      </w:r>
    </w:p>
    <w:p>
      <w:pPr>
        <w:adjustRightInd w:val="0"/>
        <w:snapToGrid w:val="0"/>
        <w:spacing w:line="360" w:lineRule="auto"/>
        <w:ind w:firstLine="480" w:firstLineChars="200"/>
        <w:rPr>
          <w:sz w:val="24"/>
        </w:rPr>
      </w:pPr>
      <w:r>
        <w:rPr>
          <w:sz w:val="24"/>
        </w:rPr>
        <w:t>（7）确定第23.1款项下的索赔额；</w:t>
      </w:r>
    </w:p>
    <w:p>
      <w:pPr>
        <w:adjustRightInd w:val="0"/>
        <w:snapToGrid w:val="0"/>
        <w:spacing w:line="360" w:lineRule="auto"/>
        <w:ind w:firstLine="480" w:firstLineChars="200"/>
        <w:rPr>
          <w:sz w:val="24"/>
        </w:rPr>
      </w:pPr>
      <w:r>
        <w:rPr>
          <w:sz w:val="24"/>
        </w:rPr>
        <w:t>（8</w:t>
      </w:r>
      <w:r>
        <w:rPr>
          <w:rFonts w:hint="eastAsia"/>
          <w:sz w:val="24"/>
        </w:rPr>
        <w:t>）</w:t>
      </w:r>
      <w:r>
        <w:rPr>
          <w:sz w:val="24"/>
        </w:rPr>
        <w:t>按照第15.6款决定有关暂列金额的使用；</w:t>
      </w:r>
    </w:p>
    <w:p>
      <w:pPr>
        <w:adjustRightInd w:val="0"/>
        <w:snapToGrid w:val="0"/>
        <w:spacing w:line="360" w:lineRule="auto"/>
        <w:ind w:firstLine="480" w:firstLineChars="200"/>
        <w:rPr>
          <w:sz w:val="24"/>
        </w:rPr>
      </w:pPr>
      <w:r>
        <w:rPr>
          <w:sz w:val="24"/>
        </w:rPr>
        <w:t>（9</w:t>
      </w:r>
      <w:r>
        <w:rPr>
          <w:rFonts w:hint="eastAsia"/>
          <w:sz w:val="24"/>
        </w:rPr>
        <w:t>）</w:t>
      </w:r>
      <w:r>
        <w:rPr>
          <w:sz w:val="24"/>
        </w:rPr>
        <w:t>确定第15.8款项下的暂估价金额；</w:t>
      </w:r>
    </w:p>
    <w:p>
      <w:pPr>
        <w:adjustRightInd w:val="0"/>
        <w:snapToGrid w:val="0"/>
        <w:spacing w:line="360" w:lineRule="auto"/>
        <w:ind w:firstLine="480" w:firstLineChars="200"/>
        <w:rPr>
          <w:sz w:val="24"/>
        </w:rPr>
      </w:pPr>
      <w:r>
        <w:rPr>
          <w:sz w:val="24"/>
        </w:rPr>
        <w:t>（10</w:t>
      </w:r>
      <w:r>
        <w:rPr>
          <w:rFonts w:hint="eastAsia"/>
          <w:sz w:val="24"/>
        </w:rPr>
        <w:t>）</w:t>
      </w:r>
      <w:r>
        <w:rPr>
          <w:sz w:val="24"/>
        </w:rPr>
        <w:t>确定第15.4款下变更工作的单价。</w:t>
      </w:r>
    </w:p>
    <w:p>
      <w:pPr>
        <w:adjustRightInd w:val="0"/>
        <w:snapToGrid w:val="0"/>
        <w:spacing w:line="360" w:lineRule="auto"/>
        <w:ind w:firstLine="480" w:firstLineChars="20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sz w:val="24"/>
        </w:rPr>
      </w:pPr>
      <w:r>
        <w:rPr>
          <w:rFonts w:eastAsia="黑体"/>
          <w:sz w:val="24"/>
        </w:rPr>
        <w:t>3.5商定或确定</w:t>
      </w:r>
    </w:p>
    <w:p>
      <w:pPr>
        <w:adjustRightInd w:val="0"/>
        <w:snapToGrid w:val="0"/>
        <w:spacing w:line="360" w:lineRule="auto"/>
        <w:ind w:firstLine="480" w:firstLineChars="200"/>
        <w:rPr>
          <w:rFonts w:eastAsia="黑体"/>
          <w:sz w:val="24"/>
        </w:rPr>
      </w:pPr>
      <w:r>
        <w:rPr>
          <w:rFonts w:eastAsia="黑体"/>
          <w:sz w:val="24"/>
        </w:rPr>
        <w:t>3.5</w:t>
      </w:r>
      <w:r>
        <w:rPr>
          <w:rFonts w:hint="eastAsia" w:eastAsia="黑体"/>
          <w:sz w:val="24"/>
        </w:rPr>
        <w:t>.</w:t>
      </w:r>
      <w:r>
        <w:rPr>
          <w:rFonts w:eastAsia="黑体"/>
          <w:sz w:val="24"/>
        </w:rPr>
        <w:t>1项补充：</w:t>
      </w:r>
    </w:p>
    <w:p>
      <w:pPr>
        <w:adjustRightInd w:val="0"/>
        <w:snapToGrid w:val="0"/>
        <w:spacing w:line="360" w:lineRule="auto"/>
        <w:ind w:firstLine="480" w:firstLineChars="200"/>
        <w:rPr>
          <w:sz w:val="24"/>
        </w:rPr>
      </w:pPr>
      <w:r>
        <w:rPr>
          <w:sz w:val="24"/>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sz w:val="24"/>
        </w:rPr>
      </w:pPr>
      <w:r>
        <w:rPr>
          <w:rFonts w:eastAsia="黑体"/>
          <w:sz w:val="24"/>
        </w:rPr>
        <w:t>4</w:t>
      </w:r>
      <w:r>
        <w:rPr>
          <w:rFonts w:hint="eastAsia" w:eastAsia="黑体"/>
          <w:sz w:val="24"/>
        </w:rPr>
        <w:t>．</w:t>
      </w:r>
      <w:r>
        <w:rPr>
          <w:rFonts w:eastAsia="黑体"/>
          <w:sz w:val="24"/>
        </w:rPr>
        <w:t>承包人</w:t>
      </w:r>
    </w:p>
    <w:p>
      <w:pPr>
        <w:adjustRightInd w:val="0"/>
        <w:snapToGrid w:val="0"/>
        <w:spacing w:line="360" w:lineRule="auto"/>
        <w:rPr>
          <w:rFonts w:eastAsia="黑体"/>
          <w:sz w:val="24"/>
        </w:rPr>
      </w:pPr>
      <w:r>
        <w:rPr>
          <w:rFonts w:eastAsia="黑体"/>
          <w:sz w:val="24"/>
        </w:rPr>
        <w:t>4.1承包人的一般义务</w:t>
      </w:r>
    </w:p>
    <w:p>
      <w:pPr>
        <w:adjustRightInd w:val="0"/>
        <w:snapToGrid w:val="0"/>
        <w:spacing w:line="360" w:lineRule="auto"/>
        <w:ind w:firstLine="480" w:firstLineChars="200"/>
        <w:rPr>
          <w:rFonts w:eastAsia="黑体"/>
          <w:sz w:val="24"/>
        </w:rPr>
      </w:pPr>
      <w:r>
        <w:rPr>
          <w:rFonts w:eastAsia="黑体"/>
          <w:sz w:val="24"/>
        </w:rPr>
        <w:t>4</w:t>
      </w:r>
      <w:r>
        <w:rPr>
          <w:rFonts w:hint="eastAsia" w:eastAsia="黑体"/>
          <w:sz w:val="24"/>
        </w:rPr>
        <w:t>.</w:t>
      </w:r>
      <w:r>
        <w:rPr>
          <w:rFonts w:eastAsia="黑体"/>
          <w:sz w:val="24"/>
        </w:rPr>
        <w:t>1.2依法纳税</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承包人应按有关法律规定纳税。应缴纳的税费应按项目专用合同条款的约定：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包括在工程量清单第100章相应的支付子目中；或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分摊在工程量清单各工程子目的单价或总额价内。</w:t>
      </w:r>
    </w:p>
    <w:p>
      <w:pPr>
        <w:adjustRightInd w:val="0"/>
        <w:snapToGrid w:val="0"/>
        <w:spacing w:line="360" w:lineRule="auto"/>
        <w:ind w:firstLine="480" w:firstLineChars="200"/>
        <w:rPr>
          <w:rFonts w:eastAsia="黑体"/>
          <w:sz w:val="24"/>
        </w:rPr>
      </w:pPr>
      <w:r>
        <w:rPr>
          <w:rFonts w:eastAsia="黑体"/>
          <w:sz w:val="24"/>
        </w:rPr>
        <w:t>4.1.8为他人提供方便</w:t>
      </w:r>
    </w:p>
    <w:p>
      <w:pPr>
        <w:adjustRightInd w:val="0"/>
        <w:snapToGrid w:val="0"/>
        <w:spacing w:line="360" w:lineRule="auto"/>
        <w:ind w:firstLine="480" w:firstLineChars="200"/>
        <w:rPr>
          <w:sz w:val="24"/>
        </w:rPr>
      </w:pPr>
      <w:r>
        <w:rPr>
          <w:sz w:val="24"/>
        </w:rPr>
        <w:t>承包人为他人提供条件的内容：</w:t>
      </w:r>
      <w:r>
        <w:rPr>
          <w:rFonts w:hint="eastAsia" w:ascii="宋体" w:hAnsi="宋体"/>
          <w:sz w:val="24"/>
          <w:u w:val="single"/>
        </w:rPr>
        <w:t xml:space="preserve">  （见项目专用合同条款）  </w:t>
      </w:r>
    </w:p>
    <w:p>
      <w:pPr>
        <w:adjustRightInd w:val="0"/>
        <w:snapToGrid w:val="0"/>
        <w:spacing w:line="360" w:lineRule="auto"/>
        <w:ind w:firstLine="480" w:firstLineChars="200"/>
        <w:rPr>
          <w:rFonts w:eastAsia="黑体"/>
          <w:sz w:val="24"/>
          <w:u w:val="single"/>
        </w:rPr>
      </w:pPr>
      <w:r>
        <w:rPr>
          <w:sz w:val="24"/>
        </w:rPr>
        <w:t>承包人为他人提供条件可能发生费用的处理方法：</w:t>
      </w:r>
      <w:r>
        <w:rPr>
          <w:rFonts w:hint="eastAsia" w:ascii="宋体" w:hAnsi="宋体"/>
          <w:sz w:val="24"/>
          <w:u w:val="single"/>
        </w:rPr>
        <w:t xml:space="preserve">  （见项目专用合同条款）</w:t>
      </w:r>
    </w:p>
    <w:p>
      <w:pPr>
        <w:adjustRightInd w:val="0"/>
        <w:snapToGrid w:val="0"/>
        <w:spacing w:line="360" w:lineRule="auto"/>
        <w:ind w:firstLine="480" w:firstLineChars="200"/>
        <w:rPr>
          <w:rFonts w:eastAsia="黑体"/>
          <w:sz w:val="24"/>
        </w:rPr>
      </w:pPr>
      <w:r>
        <w:rPr>
          <w:rFonts w:eastAsia="黑体"/>
          <w:sz w:val="24"/>
        </w:rPr>
        <w:t>4.1.9工程的维护和照管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sz w:val="24"/>
        </w:rPr>
      </w:pPr>
      <w:r>
        <w:rPr>
          <w:rFonts w:eastAsia="黑体"/>
          <w:sz w:val="24"/>
        </w:rPr>
        <w:t>4.1</w:t>
      </w:r>
      <w:r>
        <w:rPr>
          <w:rFonts w:hint="eastAsia" w:eastAsia="黑体"/>
          <w:sz w:val="24"/>
        </w:rPr>
        <w:t>.</w:t>
      </w:r>
      <w:r>
        <w:rPr>
          <w:rFonts w:eastAsia="黑体"/>
          <w:sz w:val="24"/>
        </w:rPr>
        <w:t>10其他义务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承包人应履行项目专用合同条款约定的其他义务。</w:t>
      </w:r>
    </w:p>
    <w:p>
      <w:pPr>
        <w:adjustRightInd w:val="0"/>
        <w:snapToGrid w:val="0"/>
        <w:spacing w:beforeLines="100" w:line="360" w:lineRule="auto"/>
        <w:rPr>
          <w:rFonts w:eastAsia="黑体"/>
          <w:sz w:val="24"/>
        </w:rPr>
      </w:pPr>
      <w:r>
        <w:rPr>
          <w:rFonts w:eastAsia="黑体"/>
          <w:sz w:val="24"/>
        </w:rPr>
        <w:t>4.2履约担保</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pPr>
        <w:adjustRightInd w:val="0"/>
        <w:snapToGrid w:val="0"/>
        <w:spacing w:beforeLines="100" w:line="360" w:lineRule="auto"/>
        <w:rPr>
          <w:rFonts w:eastAsia="黑体"/>
          <w:sz w:val="24"/>
        </w:rPr>
      </w:pPr>
      <w:r>
        <w:rPr>
          <w:rFonts w:eastAsia="黑体"/>
          <w:sz w:val="24"/>
        </w:rPr>
        <w:t>4.3分包</w:t>
      </w:r>
    </w:p>
    <w:p>
      <w:pPr>
        <w:adjustRightInd w:val="0"/>
        <w:snapToGrid w:val="0"/>
        <w:spacing w:line="360" w:lineRule="auto"/>
        <w:ind w:firstLine="480" w:firstLineChars="200"/>
        <w:rPr>
          <w:rFonts w:eastAsia="黑体"/>
          <w:sz w:val="24"/>
        </w:rPr>
      </w:pPr>
      <w:r>
        <w:rPr>
          <w:rFonts w:eastAsia="黑体"/>
          <w:sz w:val="24"/>
        </w:rPr>
        <w:t>4.3.2项细化为：</w:t>
      </w:r>
    </w:p>
    <w:p>
      <w:pPr>
        <w:adjustRightInd w:val="0"/>
        <w:snapToGrid w:val="0"/>
        <w:spacing w:line="360" w:lineRule="auto"/>
        <w:ind w:firstLine="480" w:firstLineChars="200"/>
        <w:rPr>
          <w:sz w:val="24"/>
        </w:rPr>
      </w:pPr>
      <w:r>
        <w:rPr>
          <w:sz w:val="24"/>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sz w:val="24"/>
        </w:rPr>
      </w:pPr>
      <w:r>
        <w:rPr>
          <w:rFonts w:eastAsia="黑体"/>
          <w:sz w:val="24"/>
        </w:rPr>
        <w:t>4.3.3项至4.3.5项细化为：</w:t>
      </w:r>
    </w:p>
    <w:p>
      <w:pPr>
        <w:adjustRightInd w:val="0"/>
        <w:snapToGrid w:val="0"/>
        <w:spacing w:line="360" w:lineRule="auto"/>
        <w:ind w:firstLine="480" w:firstLineChars="200"/>
        <w:rPr>
          <w:rFonts w:eastAsia="黑体"/>
          <w:sz w:val="24"/>
        </w:rPr>
      </w:pPr>
      <w:r>
        <w:rPr>
          <w:rFonts w:eastAsia="黑体"/>
          <w:sz w:val="24"/>
        </w:rPr>
        <w:t>4.3.3专业分包</w:t>
      </w:r>
    </w:p>
    <w:p>
      <w:pPr>
        <w:adjustRightInd w:val="0"/>
        <w:snapToGrid w:val="0"/>
        <w:spacing w:line="360" w:lineRule="auto"/>
        <w:ind w:firstLine="480" w:firstLineChars="200"/>
        <w:rPr>
          <w:sz w:val="24"/>
        </w:rPr>
      </w:pPr>
      <w:r>
        <w:rPr>
          <w:sz w:val="24"/>
        </w:rPr>
        <w:t>在工程施工过程中，承包人如有专业分包计划，则必须遵守以下规定：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允许专业分包的工程范围仅限于分部工程或分项工程、适合专业化队伍施工的工程，专业分包的工程量不得超过总工程量的30%</w:t>
      </w:r>
      <w:r>
        <w:rPr>
          <w:rFonts w:hint="eastAsia"/>
          <w:sz w:val="24"/>
        </w:rPr>
        <w:t>；</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pPr>
        <w:adjustRightInd w:val="0"/>
        <w:snapToGrid w:val="0"/>
        <w:spacing w:line="360" w:lineRule="auto"/>
        <w:ind w:firstLine="480" w:firstLineChars="200"/>
        <w:rPr>
          <w:sz w:val="24"/>
        </w:rPr>
      </w:pPr>
      <w:r>
        <w:rPr>
          <w:sz w:val="24"/>
        </w:rPr>
        <w:t>（3</w:t>
      </w:r>
      <w:r>
        <w:rPr>
          <w:rFonts w:hint="eastAsia"/>
          <w:sz w:val="24"/>
        </w:rPr>
        <w:t>）</w:t>
      </w:r>
      <w:r>
        <w:rPr>
          <w:sz w:val="24"/>
        </w:rPr>
        <w:t>专业分包工程不得再次分包或转包；</w:t>
      </w:r>
    </w:p>
    <w:p>
      <w:pPr>
        <w:adjustRightInd w:val="0"/>
        <w:snapToGrid w:val="0"/>
        <w:spacing w:line="360" w:lineRule="auto"/>
        <w:ind w:firstLine="480" w:firstLineChars="200"/>
        <w:rPr>
          <w:sz w:val="24"/>
        </w:rPr>
      </w:pPr>
      <w:r>
        <w:rPr>
          <w:sz w:val="24"/>
        </w:rPr>
        <w:t>（4）承包人应对专业分包工程的工程质量及专业分包人职工的行为、违约和疏忽承担责任；</w:t>
      </w:r>
    </w:p>
    <w:p>
      <w:pPr>
        <w:adjustRightInd w:val="0"/>
        <w:snapToGrid w:val="0"/>
        <w:spacing w:line="360" w:lineRule="auto"/>
        <w:ind w:firstLine="480" w:firstLineChars="200"/>
        <w:rPr>
          <w:sz w:val="24"/>
        </w:rPr>
      </w:pP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sz w:val="24"/>
        </w:rPr>
      </w:pP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sz w:val="24"/>
        </w:rPr>
      </w:pP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line="360" w:lineRule="auto"/>
        <w:ind w:firstLine="480" w:firstLineChars="200"/>
        <w:rPr>
          <w:rFonts w:eastAsia="黑体"/>
          <w:sz w:val="24"/>
        </w:rPr>
      </w:pPr>
      <w:r>
        <w:rPr>
          <w:rFonts w:eastAsia="黑体"/>
          <w:sz w:val="24"/>
        </w:rPr>
        <w:t>4.3.4劳务分包</w:t>
      </w:r>
    </w:p>
    <w:p>
      <w:pPr>
        <w:adjustRightInd w:val="0"/>
        <w:snapToGrid w:val="0"/>
        <w:spacing w:line="360" w:lineRule="auto"/>
        <w:ind w:firstLine="480" w:firstLineChars="200"/>
        <w:rPr>
          <w:sz w:val="24"/>
        </w:rPr>
      </w:pPr>
      <w:r>
        <w:rPr>
          <w:sz w:val="24"/>
        </w:rPr>
        <w:t>在工程施工过程中，承包人如有劳务分包计划，则必须遵守以下规定：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sz w:val="24"/>
        </w:rPr>
      </w:pPr>
      <w:r>
        <w:rPr>
          <w:sz w:val="24"/>
        </w:rPr>
        <w:t>（3</w:t>
      </w:r>
      <w:r>
        <w:rPr>
          <w:rFonts w:hint="eastAsia"/>
          <w:sz w:val="24"/>
        </w:rPr>
        <w:t>）</w:t>
      </w:r>
      <w:r>
        <w:rPr>
          <w:sz w:val="24"/>
        </w:rPr>
        <w:t>承包人应当对劳务分包人员进行安全培训和管理，劳务分包人不得将其分包的劳务作业再次分包或转包；</w:t>
      </w:r>
    </w:p>
    <w:p>
      <w:pPr>
        <w:adjustRightInd w:val="0"/>
        <w:snapToGrid w:val="0"/>
        <w:spacing w:line="360" w:lineRule="auto"/>
        <w:ind w:firstLine="480" w:firstLineChars="200"/>
        <w:rPr>
          <w:sz w:val="24"/>
        </w:rPr>
      </w:pPr>
      <w:r>
        <w:rPr>
          <w:sz w:val="24"/>
        </w:rPr>
        <w:t>（4）承包人应对劳务分包人职工的行为、违约和疏忽所造成的后果负完全连带责任。</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beforeLines="100" w:line="360" w:lineRule="auto"/>
        <w:rPr>
          <w:rFonts w:eastAsia="黑体"/>
          <w:sz w:val="24"/>
        </w:rPr>
      </w:pPr>
      <w:r>
        <w:rPr>
          <w:rFonts w:eastAsia="黑体"/>
          <w:sz w:val="24"/>
        </w:rPr>
        <w:t>4.4联合体</w:t>
      </w:r>
    </w:p>
    <w:p>
      <w:pPr>
        <w:adjustRightInd w:val="0"/>
        <w:snapToGrid w:val="0"/>
        <w:spacing w:line="360" w:lineRule="auto"/>
        <w:ind w:firstLine="480" w:firstLineChars="200"/>
        <w:rPr>
          <w:sz w:val="24"/>
        </w:rPr>
      </w:pPr>
      <w:r>
        <w:rPr>
          <w:sz w:val="24"/>
        </w:rPr>
        <w:t>本款增加第4.4.4项：</w:t>
      </w:r>
    </w:p>
    <w:p>
      <w:pPr>
        <w:adjustRightInd w:val="0"/>
        <w:snapToGrid w:val="0"/>
        <w:spacing w:line="360" w:lineRule="auto"/>
        <w:ind w:firstLine="480" w:firstLineChars="200"/>
        <w:rPr>
          <w:sz w:val="24"/>
        </w:rPr>
      </w:pPr>
      <w:r>
        <w:rPr>
          <w:sz w:val="24"/>
        </w:rPr>
        <w:t>4.4.4未经发包人事先同意，联合体的组成与结构不得变动。</w:t>
      </w:r>
    </w:p>
    <w:p>
      <w:pPr>
        <w:adjustRightInd w:val="0"/>
        <w:snapToGrid w:val="0"/>
        <w:spacing w:beforeLines="100" w:line="360" w:lineRule="auto"/>
        <w:rPr>
          <w:rFonts w:eastAsia="黑体"/>
          <w:sz w:val="24"/>
        </w:rPr>
      </w:pPr>
      <w:r>
        <w:rPr>
          <w:rFonts w:eastAsia="黑体"/>
          <w:sz w:val="24"/>
        </w:rPr>
        <w:t>4.6承包人人员的管理</w:t>
      </w:r>
    </w:p>
    <w:p>
      <w:pPr>
        <w:adjustRightInd w:val="0"/>
        <w:snapToGrid w:val="0"/>
        <w:spacing w:line="360" w:lineRule="auto"/>
        <w:ind w:firstLine="480" w:firstLineChars="200"/>
        <w:rPr>
          <w:rFonts w:eastAsia="黑体"/>
          <w:sz w:val="24"/>
        </w:rPr>
      </w:pPr>
      <w:r>
        <w:rPr>
          <w:rFonts w:eastAsia="黑体"/>
          <w:sz w:val="24"/>
        </w:rPr>
        <w:t>4.6.3项细化为：</w:t>
      </w:r>
    </w:p>
    <w:p>
      <w:pPr>
        <w:adjustRightInd w:val="0"/>
        <w:snapToGrid w:val="0"/>
        <w:spacing w:line="360" w:lineRule="auto"/>
        <w:ind w:firstLine="480" w:firstLineChars="20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pPr>
        <w:adjustRightInd w:val="0"/>
        <w:snapToGrid w:val="0"/>
        <w:spacing w:line="360" w:lineRule="auto"/>
        <w:ind w:firstLine="480" w:firstLineChars="200"/>
        <w:rPr>
          <w:sz w:val="24"/>
        </w:rPr>
      </w:pPr>
      <w:r>
        <w:rPr>
          <w:sz w:val="24"/>
        </w:rPr>
        <w:t>本款增加第4.6.5项：</w:t>
      </w:r>
    </w:p>
    <w:p>
      <w:pPr>
        <w:adjustRightInd w:val="0"/>
        <w:snapToGrid w:val="0"/>
        <w:spacing w:line="360" w:lineRule="auto"/>
        <w:ind w:firstLine="480" w:firstLineChars="200"/>
        <w:rPr>
          <w:sz w:val="24"/>
        </w:rPr>
      </w:pPr>
      <w:r>
        <w:rPr>
          <w:sz w:val="24"/>
        </w:rPr>
        <w:t>4.6.5尽管承包人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pPr>
        <w:adjustRightInd w:val="0"/>
        <w:snapToGrid w:val="0"/>
        <w:spacing w:beforeLines="100" w:line="360" w:lineRule="auto"/>
        <w:rPr>
          <w:rFonts w:eastAsia="黑体"/>
          <w:sz w:val="24"/>
        </w:rPr>
      </w:pPr>
      <w:r>
        <w:rPr>
          <w:rFonts w:eastAsia="黑体"/>
          <w:sz w:val="24"/>
        </w:rPr>
        <w:t>4.7撤换承包人项目经理和其他人员</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pPr>
        <w:adjustRightInd w:val="0"/>
        <w:snapToGrid w:val="0"/>
        <w:spacing w:beforeLines="100" w:line="360" w:lineRule="auto"/>
        <w:rPr>
          <w:rFonts w:eastAsia="黑体"/>
          <w:sz w:val="24"/>
        </w:rPr>
      </w:pPr>
      <w:r>
        <w:rPr>
          <w:rFonts w:eastAsia="黑体"/>
          <w:sz w:val="24"/>
        </w:rPr>
        <w:t>4.8保障承包人人员的合法权益</w:t>
      </w:r>
    </w:p>
    <w:p>
      <w:pPr>
        <w:adjustRightInd w:val="0"/>
        <w:snapToGrid w:val="0"/>
        <w:spacing w:line="360" w:lineRule="auto"/>
        <w:ind w:firstLine="480" w:firstLineChars="200"/>
        <w:rPr>
          <w:sz w:val="24"/>
        </w:rPr>
      </w:pPr>
      <w:r>
        <w:rPr>
          <w:sz w:val="24"/>
        </w:rPr>
        <w:t>本款增加第4.8.7项：</w:t>
      </w:r>
    </w:p>
    <w:p>
      <w:pPr>
        <w:adjustRightInd w:val="0"/>
        <w:snapToGrid w:val="0"/>
        <w:spacing w:line="360" w:lineRule="auto"/>
        <w:ind w:firstLine="480" w:firstLineChars="200"/>
        <w:rPr>
          <w:sz w:val="24"/>
        </w:rPr>
      </w:pPr>
      <w:r>
        <w:rPr>
          <w:sz w:val="24"/>
        </w:rPr>
        <w:t>4.8.7承包人应自费采取必须的卫生防护措施，经常保持现场及其驻地整洁和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sz w:val="24"/>
        </w:rPr>
      </w:pPr>
      <w:r>
        <w:rPr>
          <w:rFonts w:eastAsia="黑体"/>
          <w:sz w:val="24"/>
        </w:rPr>
        <w:t>4.10承包人现场查勘</w:t>
      </w:r>
    </w:p>
    <w:p>
      <w:pPr>
        <w:adjustRightInd w:val="0"/>
        <w:snapToGrid w:val="0"/>
        <w:spacing w:line="360" w:lineRule="auto"/>
        <w:ind w:firstLine="480" w:firstLineChars="200"/>
        <w:rPr>
          <w:sz w:val="24"/>
        </w:rPr>
      </w:pPr>
      <w:r>
        <w:rPr>
          <w:sz w:val="24"/>
        </w:rPr>
        <w:t>4.10.1项补充：</w:t>
      </w:r>
    </w:p>
    <w:p>
      <w:pPr>
        <w:adjustRightInd w:val="0"/>
        <w:snapToGrid w:val="0"/>
        <w:spacing w:line="360" w:lineRule="auto"/>
        <w:ind w:firstLine="480" w:firstLineChars="20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sz w:val="24"/>
        </w:rPr>
      </w:pPr>
      <w:r>
        <w:rPr>
          <w:rFonts w:eastAsia="黑体"/>
          <w:sz w:val="24"/>
        </w:rPr>
        <w:t>4.11不利物质条件</w:t>
      </w:r>
    </w:p>
    <w:p>
      <w:pPr>
        <w:adjustRightInd w:val="0"/>
        <w:snapToGrid w:val="0"/>
        <w:spacing w:line="360" w:lineRule="auto"/>
        <w:ind w:firstLine="480" w:firstLineChars="200"/>
        <w:rPr>
          <w:sz w:val="24"/>
        </w:rPr>
      </w:pPr>
      <w:r>
        <w:rPr>
          <w:sz w:val="24"/>
        </w:rPr>
        <w:t>4.11.1不利物质条件的范围：</w:t>
      </w:r>
      <w:r>
        <w:rPr>
          <w:sz w:val="24"/>
          <w:u w:val="single"/>
        </w:rPr>
        <w:t>（见项目专用合同条</w:t>
      </w:r>
      <w:r>
        <w:rPr>
          <w:rFonts w:hint="eastAsia"/>
          <w:sz w:val="24"/>
          <w:u w:val="single"/>
        </w:rPr>
        <w:t xml:space="preserve">款）  </w:t>
      </w:r>
    </w:p>
    <w:p>
      <w:pPr>
        <w:adjustRightInd w:val="0"/>
        <w:snapToGrid w:val="0"/>
        <w:spacing w:line="360" w:lineRule="auto"/>
        <w:ind w:firstLine="480" w:firstLineChars="200"/>
        <w:rPr>
          <w:sz w:val="24"/>
        </w:rPr>
      </w:pPr>
      <w:r>
        <w:rPr>
          <w:sz w:val="24"/>
        </w:rPr>
        <w:t>本款增加第4.11.3项：</w:t>
      </w:r>
    </w:p>
    <w:p>
      <w:pPr>
        <w:adjustRightInd w:val="0"/>
        <w:snapToGrid w:val="0"/>
        <w:spacing w:line="360" w:lineRule="auto"/>
        <w:ind w:firstLine="480" w:firstLineChars="200"/>
        <w:rPr>
          <w:sz w:val="24"/>
        </w:rPr>
      </w:pPr>
      <w:r>
        <w:rPr>
          <w:sz w:val="24"/>
        </w:rPr>
        <w:t>4.11.3可预见的不利物质条件</w:t>
      </w:r>
    </w:p>
    <w:p>
      <w:pPr>
        <w:adjustRightInd w:val="0"/>
        <w:snapToGrid w:val="0"/>
        <w:spacing w:line="360" w:lineRule="auto"/>
        <w:ind w:firstLine="480" w:firstLineChars="200"/>
        <w:rPr>
          <w:sz w:val="24"/>
        </w:rPr>
      </w:pP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sz w:val="24"/>
        </w:rPr>
      </w:pP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增加第4.12款：</w:t>
      </w:r>
    </w:p>
    <w:p>
      <w:pPr>
        <w:adjustRightInd w:val="0"/>
        <w:snapToGrid w:val="0"/>
        <w:spacing w:line="360" w:lineRule="auto"/>
        <w:rPr>
          <w:rFonts w:eastAsia="黑体"/>
          <w:sz w:val="24"/>
        </w:rPr>
      </w:pPr>
      <w:r>
        <w:rPr>
          <w:rFonts w:eastAsia="黑体"/>
          <w:sz w:val="24"/>
        </w:rPr>
        <w:t>4.12投标文件的完备性</w:t>
      </w:r>
    </w:p>
    <w:p>
      <w:pPr>
        <w:adjustRightInd w:val="0"/>
        <w:snapToGrid w:val="0"/>
        <w:spacing w:line="360" w:lineRule="auto"/>
        <w:ind w:firstLine="480" w:firstLineChars="20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sz w:val="24"/>
        </w:rPr>
      </w:pPr>
      <w:r>
        <w:rPr>
          <w:rFonts w:eastAsia="黑体"/>
          <w:sz w:val="24"/>
        </w:rPr>
        <w:t>5</w:t>
      </w:r>
      <w:r>
        <w:rPr>
          <w:rFonts w:hint="eastAsia" w:eastAsia="黑体"/>
          <w:sz w:val="24"/>
        </w:rPr>
        <w:t>．</w:t>
      </w:r>
      <w:r>
        <w:rPr>
          <w:rFonts w:eastAsia="黑体"/>
          <w:sz w:val="24"/>
        </w:rPr>
        <w:t>材料和工程设备</w:t>
      </w:r>
    </w:p>
    <w:p>
      <w:pPr>
        <w:adjustRightInd w:val="0"/>
        <w:snapToGrid w:val="0"/>
        <w:spacing w:line="360" w:lineRule="auto"/>
        <w:rPr>
          <w:rFonts w:eastAsia="黑体"/>
          <w:sz w:val="24"/>
        </w:rPr>
      </w:pPr>
      <w:r>
        <w:rPr>
          <w:rFonts w:eastAsia="黑体"/>
          <w:sz w:val="24"/>
        </w:rPr>
        <w:t>5.2发包人提供的材料和工程设备</w:t>
      </w:r>
    </w:p>
    <w:p>
      <w:pPr>
        <w:adjustRightInd w:val="0"/>
        <w:snapToGrid w:val="0"/>
        <w:spacing w:line="360" w:lineRule="auto"/>
        <w:ind w:firstLine="480" w:firstLineChars="200"/>
        <w:rPr>
          <w:sz w:val="24"/>
        </w:rPr>
      </w:pPr>
      <w:r>
        <w:rPr>
          <w:sz w:val="24"/>
        </w:rPr>
        <w:t>5.2.3项补充：</w:t>
      </w:r>
    </w:p>
    <w:p>
      <w:pPr>
        <w:adjustRightInd w:val="0"/>
        <w:snapToGrid w:val="0"/>
        <w:spacing w:line="360" w:lineRule="auto"/>
        <w:ind w:firstLine="480" w:firstLineChars="20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sz w:val="24"/>
        </w:rPr>
      </w:pPr>
      <w:r>
        <w:rPr>
          <w:rFonts w:eastAsia="黑体"/>
          <w:sz w:val="24"/>
        </w:rPr>
        <w:t>6</w:t>
      </w:r>
      <w:r>
        <w:rPr>
          <w:rFonts w:hint="eastAsia" w:eastAsia="黑体"/>
          <w:sz w:val="24"/>
        </w:rPr>
        <w:t>．</w:t>
      </w:r>
      <w:r>
        <w:rPr>
          <w:rFonts w:eastAsia="黑体"/>
          <w:sz w:val="24"/>
        </w:rPr>
        <w:t>施工设备和临时设施</w:t>
      </w:r>
    </w:p>
    <w:p>
      <w:pPr>
        <w:adjustRightInd w:val="0"/>
        <w:snapToGrid w:val="0"/>
        <w:spacing w:line="360" w:lineRule="auto"/>
        <w:rPr>
          <w:rFonts w:eastAsia="黑体"/>
          <w:sz w:val="24"/>
        </w:rPr>
      </w:pPr>
      <w:r>
        <w:rPr>
          <w:rFonts w:eastAsia="黑体"/>
          <w:sz w:val="24"/>
        </w:rPr>
        <w:t>6.2发包人提供的施工设备和临时设施</w:t>
      </w:r>
    </w:p>
    <w:p>
      <w:pPr>
        <w:adjustRightInd w:val="0"/>
        <w:snapToGrid w:val="0"/>
        <w:spacing w:line="360" w:lineRule="auto"/>
        <w:ind w:firstLine="480" w:firstLineChars="200"/>
        <w:rPr>
          <w:sz w:val="24"/>
        </w:rPr>
      </w:pPr>
      <w:r>
        <w:rPr>
          <w:sz w:val="24"/>
        </w:rPr>
        <w:t>发包人是否提供施工设备或临时设施：</w:t>
      </w:r>
      <w:r>
        <w:rPr>
          <w:sz w:val="24"/>
          <w:u w:val="single"/>
        </w:rPr>
        <w:t>（见项目专用合同条</w:t>
      </w:r>
      <w:r>
        <w:rPr>
          <w:rFonts w:hint="eastAsia"/>
          <w:sz w:val="24"/>
          <w:u w:val="single"/>
        </w:rPr>
        <w:t xml:space="preserve">款）  </w:t>
      </w:r>
    </w:p>
    <w:p>
      <w:pPr>
        <w:adjustRightInd w:val="0"/>
        <w:snapToGrid w:val="0"/>
        <w:spacing w:line="360" w:lineRule="auto"/>
        <w:ind w:firstLine="480" w:firstLineChars="200"/>
        <w:rPr>
          <w:sz w:val="24"/>
        </w:rPr>
      </w:pPr>
      <w:r>
        <w:rPr>
          <w:sz w:val="24"/>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sz w:val="24"/>
        </w:rPr>
      </w:pPr>
      <w:r>
        <w:rPr>
          <w:rFonts w:eastAsia="黑体"/>
          <w:sz w:val="24"/>
        </w:rPr>
        <w:t>6.3要求承包人增加或更换施工设备</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sz w:val="24"/>
        </w:rPr>
      </w:pPr>
      <w:r>
        <w:rPr>
          <w:rFonts w:eastAsia="黑体"/>
          <w:sz w:val="24"/>
        </w:rPr>
        <w:t>7．交通运输</w:t>
      </w:r>
    </w:p>
    <w:p>
      <w:pPr>
        <w:adjustRightInd w:val="0"/>
        <w:snapToGrid w:val="0"/>
        <w:spacing w:line="360" w:lineRule="auto"/>
        <w:rPr>
          <w:rFonts w:eastAsia="黑体"/>
          <w:sz w:val="24"/>
        </w:rPr>
      </w:pPr>
      <w:r>
        <w:rPr>
          <w:rFonts w:eastAsia="黑体"/>
          <w:sz w:val="24"/>
        </w:rPr>
        <w:t>7.1道路通行权和场外设施</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道路通行权由承包人办理并承担费用，需要发包人协调时，发包人应协助承包人办理相关手续。</w:t>
      </w:r>
    </w:p>
    <w:p>
      <w:pPr>
        <w:adjustRightInd w:val="0"/>
        <w:snapToGrid w:val="0"/>
        <w:spacing w:beforeLines="100" w:line="360" w:lineRule="auto"/>
        <w:rPr>
          <w:rFonts w:eastAsia="黑体"/>
          <w:sz w:val="24"/>
        </w:rPr>
      </w:pPr>
      <w:r>
        <w:rPr>
          <w:rFonts w:eastAsia="黑体"/>
          <w:sz w:val="24"/>
        </w:rPr>
        <w:t>8</w:t>
      </w:r>
      <w:r>
        <w:rPr>
          <w:rFonts w:hint="eastAsia" w:eastAsia="黑体"/>
          <w:sz w:val="24"/>
        </w:rPr>
        <w:t>．</w:t>
      </w:r>
      <w:r>
        <w:rPr>
          <w:rFonts w:eastAsia="黑体"/>
          <w:sz w:val="24"/>
        </w:rPr>
        <w:t>测量放线</w:t>
      </w:r>
    </w:p>
    <w:p>
      <w:pPr>
        <w:adjustRightInd w:val="0"/>
        <w:snapToGrid w:val="0"/>
        <w:spacing w:line="360" w:lineRule="auto"/>
        <w:rPr>
          <w:rFonts w:eastAsia="黑体"/>
          <w:sz w:val="24"/>
        </w:rPr>
      </w:pPr>
      <w:r>
        <w:rPr>
          <w:rFonts w:eastAsia="黑体"/>
          <w:sz w:val="24"/>
        </w:rPr>
        <w:t>8.1施工控制网</w:t>
      </w:r>
    </w:p>
    <w:p>
      <w:pPr>
        <w:adjustRightInd w:val="0"/>
        <w:snapToGrid w:val="0"/>
        <w:spacing w:line="360" w:lineRule="auto"/>
        <w:ind w:firstLine="480" w:firstLineChars="200"/>
        <w:rPr>
          <w:sz w:val="24"/>
        </w:rPr>
      </w:pPr>
      <w:r>
        <w:rPr>
          <w:sz w:val="24"/>
        </w:rPr>
        <w:t>8.1．1项约定为：</w:t>
      </w:r>
    </w:p>
    <w:p>
      <w:pPr>
        <w:adjustRightInd w:val="0"/>
        <w:snapToGrid w:val="0"/>
        <w:spacing w:line="360" w:lineRule="auto"/>
        <w:ind w:firstLine="480" w:firstLineChars="20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pPr>
        <w:adjustRightInd w:val="0"/>
        <w:snapToGrid w:val="0"/>
        <w:spacing w:line="360" w:lineRule="auto"/>
        <w:ind w:firstLine="480" w:firstLineChars="200"/>
        <w:rPr>
          <w:sz w:val="24"/>
        </w:rPr>
      </w:pPr>
      <w:r>
        <w:rPr>
          <w:sz w:val="24"/>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sz w:val="24"/>
        </w:rPr>
      </w:pPr>
      <w:r>
        <w:rPr>
          <w:rFonts w:eastAsia="黑体"/>
          <w:sz w:val="24"/>
        </w:rPr>
        <w:t>8.2施工测量</w:t>
      </w:r>
    </w:p>
    <w:p>
      <w:pPr>
        <w:adjustRightInd w:val="0"/>
        <w:snapToGrid w:val="0"/>
        <w:spacing w:line="360" w:lineRule="auto"/>
        <w:ind w:firstLine="480" w:firstLineChars="200"/>
        <w:rPr>
          <w:sz w:val="24"/>
        </w:rPr>
      </w:pPr>
      <w:r>
        <w:rPr>
          <w:sz w:val="24"/>
        </w:rPr>
        <w:t>8.2.1项补充：</w:t>
      </w:r>
    </w:p>
    <w:p>
      <w:pPr>
        <w:adjustRightInd w:val="0"/>
        <w:snapToGrid w:val="0"/>
        <w:spacing w:line="360" w:lineRule="auto"/>
        <w:ind w:firstLine="480" w:firstLineChars="200"/>
        <w:rPr>
          <w:sz w:val="24"/>
        </w:rPr>
      </w:pPr>
      <w:r>
        <w:rPr>
          <w:sz w:val="24"/>
        </w:rPr>
        <w:t>承包人应负责施工测量放线工作的准确性。</w:t>
      </w:r>
    </w:p>
    <w:p>
      <w:pPr>
        <w:adjustRightInd w:val="0"/>
        <w:snapToGrid w:val="0"/>
        <w:spacing w:beforeLines="100" w:line="360" w:lineRule="auto"/>
        <w:rPr>
          <w:rFonts w:eastAsia="黑体"/>
          <w:sz w:val="24"/>
        </w:rPr>
      </w:pPr>
      <w:r>
        <w:rPr>
          <w:rFonts w:eastAsia="黑体"/>
          <w:sz w:val="24"/>
        </w:rPr>
        <w:t>8.3基准资料错误的责任</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承包人应对发包人提供的基准资料进行核实，发现错误，应及时通知监理人和发包人，否则应承担相应责任。</w:t>
      </w:r>
    </w:p>
    <w:p>
      <w:pPr>
        <w:adjustRightInd w:val="0"/>
        <w:snapToGrid w:val="0"/>
        <w:spacing w:beforeLines="100" w:line="360" w:lineRule="auto"/>
        <w:rPr>
          <w:rFonts w:eastAsia="黑体"/>
          <w:sz w:val="24"/>
        </w:rPr>
      </w:pPr>
      <w:r>
        <w:rPr>
          <w:rFonts w:eastAsia="黑体"/>
          <w:sz w:val="24"/>
        </w:rPr>
        <w:t>8.4监理人使用施工控制网</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经监理人批准，其他相关承包人也可免费使用施工控制网。</w:t>
      </w:r>
    </w:p>
    <w:p>
      <w:pPr>
        <w:adjustRightInd w:val="0"/>
        <w:snapToGrid w:val="0"/>
        <w:spacing w:beforeLines="100" w:line="360" w:lineRule="auto"/>
        <w:rPr>
          <w:rFonts w:eastAsia="黑体"/>
          <w:sz w:val="24"/>
        </w:rPr>
      </w:pPr>
      <w:r>
        <w:rPr>
          <w:rFonts w:eastAsia="黑体"/>
          <w:sz w:val="24"/>
        </w:rPr>
        <w:t>9</w:t>
      </w:r>
      <w:r>
        <w:rPr>
          <w:rFonts w:hint="eastAsia" w:eastAsia="黑体"/>
          <w:sz w:val="24"/>
        </w:rPr>
        <w:t>．</w:t>
      </w:r>
      <w:r>
        <w:rPr>
          <w:rFonts w:eastAsia="黑体"/>
          <w:sz w:val="24"/>
        </w:rPr>
        <w:t>施工安全、治安保卫和环境保护</w:t>
      </w:r>
    </w:p>
    <w:p>
      <w:pPr>
        <w:adjustRightInd w:val="0"/>
        <w:snapToGrid w:val="0"/>
        <w:spacing w:line="360" w:lineRule="auto"/>
        <w:rPr>
          <w:rFonts w:eastAsia="黑体"/>
          <w:sz w:val="24"/>
        </w:rPr>
      </w:pPr>
      <w:r>
        <w:rPr>
          <w:rFonts w:eastAsia="黑体"/>
          <w:sz w:val="24"/>
        </w:rPr>
        <w:t>9.1发包人的施工安全责任</w:t>
      </w:r>
    </w:p>
    <w:p>
      <w:pPr>
        <w:adjustRightInd w:val="0"/>
        <w:snapToGrid w:val="0"/>
        <w:spacing w:line="360" w:lineRule="auto"/>
        <w:ind w:firstLine="480" w:firstLineChars="200"/>
        <w:rPr>
          <w:sz w:val="24"/>
        </w:rPr>
      </w:pPr>
      <w:r>
        <w:rPr>
          <w:sz w:val="24"/>
        </w:rPr>
        <w:t>9.1.3项补充：</w:t>
      </w:r>
    </w:p>
    <w:p>
      <w:pPr>
        <w:adjustRightInd w:val="0"/>
        <w:snapToGrid w:val="0"/>
        <w:spacing w:line="360" w:lineRule="auto"/>
        <w:ind w:firstLine="480" w:firstLineChars="200"/>
        <w:rPr>
          <w:sz w:val="24"/>
        </w:rPr>
      </w:pPr>
      <w:r>
        <w:rPr>
          <w:sz w:val="24"/>
        </w:rPr>
        <w:t>如果承包人或其雇员也对上述人身伤亡或财产损失负有部分责任时，承包人也应承担相应赔偿责任。</w:t>
      </w:r>
    </w:p>
    <w:p>
      <w:pPr>
        <w:adjustRightInd w:val="0"/>
        <w:snapToGrid w:val="0"/>
        <w:spacing w:beforeLines="100" w:line="360" w:lineRule="auto"/>
        <w:rPr>
          <w:rFonts w:eastAsia="黑体"/>
          <w:sz w:val="24"/>
        </w:rPr>
      </w:pPr>
      <w:r>
        <w:rPr>
          <w:rFonts w:eastAsia="黑体"/>
          <w:sz w:val="24"/>
        </w:rPr>
        <w:t>9.2承包人的施工安全责任</w:t>
      </w:r>
    </w:p>
    <w:p>
      <w:pPr>
        <w:adjustRightInd w:val="0"/>
        <w:snapToGrid w:val="0"/>
        <w:spacing w:line="360" w:lineRule="auto"/>
        <w:ind w:firstLine="480" w:firstLineChars="200"/>
        <w:rPr>
          <w:sz w:val="24"/>
        </w:rPr>
      </w:pPr>
      <w:r>
        <w:rPr>
          <w:sz w:val="24"/>
        </w:rPr>
        <w:t>9.2.1项细化为：</w:t>
      </w:r>
    </w:p>
    <w:p>
      <w:pPr>
        <w:adjustRightInd w:val="0"/>
        <w:snapToGrid w:val="0"/>
        <w:spacing w:line="360" w:lineRule="auto"/>
        <w:ind w:firstLine="480" w:firstLineChars="200"/>
        <w:rPr>
          <w:sz w:val="24"/>
        </w:rPr>
      </w:pPr>
      <w:r>
        <w:rPr>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sz w:val="24"/>
        </w:rPr>
      </w:pPr>
      <w:r>
        <w:rPr>
          <w:sz w:val="24"/>
        </w:rPr>
        <w:t>本项目需要编制专项施工方案的工程包括但不限于以下内容：</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不良地质条件下有潜在危险性的土方、石方开挖；</w:t>
      </w:r>
    </w:p>
    <w:p>
      <w:pPr>
        <w:adjustRightInd w:val="0"/>
        <w:snapToGrid w:val="0"/>
        <w:spacing w:line="360" w:lineRule="auto"/>
        <w:ind w:firstLine="480" w:firstLineChars="200"/>
        <w:rPr>
          <w:sz w:val="24"/>
        </w:rPr>
      </w:pPr>
      <w:r>
        <w:rPr>
          <w:rFonts w:hint="eastAsia"/>
          <w:sz w:val="24"/>
        </w:rPr>
        <w:t>（</w:t>
      </w:r>
      <w:r>
        <w:rPr>
          <w:sz w:val="24"/>
        </w:rPr>
        <w:t>2）滑坡和高边坡处理；</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桩基础、挡墙基础、深水基础及围堰工程；</w:t>
      </w:r>
    </w:p>
    <w:p>
      <w:pPr>
        <w:adjustRightInd w:val="0"/>
        <w:snapToGrid w:val="0"/>
        <w:spacing w:line="360" w:lineRule="auto"/>
        <w:ind w:firstLine="480" w:firstLineChars="200"/>
        <w:rPr>
          <w:sz w:val="24"/>
        </w:rPr>
      </w:pPr>
      <w:r>
        <w:rPr>
          <w:rFonts w:hint="eastAsia"/>
          <w:sz w:val="24"/>
        </w:rPr>
        <w:t>（</w:t>
      </w:r>
      <w:r>
        <w:rPr>
          <w:sz w:val="24"/>
        </w:rPr>
        <w:t>4）桥梁工程中的梁、拱、柱等构件施工等；</w:t>
      </w:r>
    </w:p>
    <w:p>
      <w:pPr>
        <w:adjustRightInd w:val="0"/>
        <w:snapToGrid w:val="0"/>
        <w:spacing w:line="360" w:lineRule="auto"/>
        <w:ind w:firstLine="480" w:firstLineChars="200"/>
        <w:rPr>
          <w:sz w:val="24"/>
        </w:rPr>
      </w:pPr>
      <w:r>
        <w:rPr>
          <w:rFonts w:hint="eastAsia"/>
          <w:sz w:val="24"/>
        </w:rPr>
        <w:t>（</w:t>
      </w:r>
      <w:r>
        <w:rPr>
          <w:sz w:val="24"/>
        </w:rPr>
        <w:t>5）隧道工程中的不良地质隧道、高瓦斯隧道等；</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pPr>
        <w:adjustRightInd w:val="0"/>
        <w:snapToGrid w:val="0"/>
        <w:spacing w:line="360" w:lineRule="auto"/>
        <w:ind w:firstLine="480" w:firstLineChars="200"/>
        <w:rPr>
          <w:sz w:val="24"/>
        </w:rPr>
      </w:pPr>
      <w:r>
        <w:rPr>
          <w:sz w:val="24"/>
        </w:rPr>
        <w:t>（7）水下工程中的水下焊接、混凝土浇注、爆破工程等；</w:t>
      </w:r>
    </w:p>
    <w:p>
      <w:pPr>
        <w:adjustRightInd w:val="0"/>
        <w:snapToGrid w:val="0"/>
        <w:spacing w:line="360" w:lineRule="auto"/>
        <w:ind w:firstLine="480" w:firstLineChars="200"/>
        <w:rPr>
          <w:sz w:val="24"/>
        </w:rPr>
      </w:pPr>
      <w:r>
        <w:rPr>
          <w:rFonts w:hint="eastAsia"/>
          <w:sz w:val="24"/>
        </w:rPr>
        <w:t>（</w:t>
      </w:r>
      <w:r>
        <w:rPr>
          <w:sz w:val="24"/>
        </w:rPr>
        <w:t>8</w:t>
      </w:r>
      <w:r>
        <w:rPr>
          <w:rFonts w:hint="eastAsia"/>
          <w:sz w:val="24"/>
        </w:rPr>
        <w:t>）</w:t>
      </w:r>
      <w:r>
        <w:rPr>
          <w:sz w:val="24"/>
        </w:rPr>
        <w:t>爆破工程；</w:t>
      </w:r>
    </w:p>
    <w:p>
      <w:pPr>
        <w:adjustRightInd w:val="0"/>
        <w:snapToGrid w:val="0"/>
        <w:spacing w:line="360" w:lineRule="auto"/>
        <w:ind w:firstLine="480" w:firstLineChars="200"/>
        <w:rPr>
          <w:sz w:val="24"/>
        </w:rPr>
      </w:pPr>
      <w:r>
        <w:rPr>
          <w:rFonts w:hint="eastAsia"/>
          <w:sz w:val="24"/>
        </w:rPr>
        <w:t>（</w:t>
      </w:r>
      <w:r>
        <w:rPr>
          <w:sz w:val="24"/>
        </w:rPr>
        <w:t>9）大型临时工程中的大型支架、模板、便桥的架设与拆除；桥梁、码头的加固与拆除；</w:t>
      </w:r>
    </w:p>
    <w:p>
      <w:pPr>
        <w:adjustRightInd w:val="0"/>
        <w:snapToGrid w:val="0"/>
        <w:spacing w:line="360" w:lineRule="auto"/>
        <w:ind w:firstLine="480" w:firstLineChars="200"/>
        <w:rPr>
          <w:sz w:val="24"/>
        </w:rPr>
      </w:pPr>
      <w:r>
        <w:rPr>
          <w:rFonts w:hint="eastAsia"/>
          <w:sz w:val="24"/>
        </w:rPr>
        <w:t>（10）</w:t>
      </w:r>
      <w:r>
        <w:rPr>
          <w:sz w:val="24"/>
        </w:rPr>
        <w:t>其他危险性较大的工程。</w:t>
      </w:r>
    </w:p>
    <w:p>
      <w:pPr>
        <w:adjustRightInd w:val="0"/>
        <w:snapToGrid w:val="0"/>
        <w:spacing w:line="360" w:lineRule="auto"/>
        <w:ind w:firstLine="480" w:firstLineChars="20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sz w:val="24"/>
        </w:rPr>
      </w:pPr>
      <w:r>
        <w:rPr>
          <w:sz w:val="24"/>
        </w:rPr>
        <w:t>本款增加第9.2.8至9.2.11项：</w:t>
      </w:r>
    </w:p>
    <w:p>
      <w:pPr>
        <w:adjustRightInd w:val="0"/>
        <w:snapToGrid w:val="0"/>
        <w:spacing w:line="360" w:lineRule="auto"/>
        <w:ind w:firstLine="480" w:firstLineChars="200"/>
        <w:rPr>
          <w:sz w:val="24"/>
        </w:rPr>
      </w:pPr>
      <w:r>
        <w:rPr>
          <w:sz w:val="24"/>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sz w:val="24"/>
        </w:rPr>
      </w:pPr>
      <w:r>
        <w:rPr>
          <w:sz w:val="24"/>
        </w:rPr>
        <w:t>（1</w:t>
      </w:r>
      <w:r>
        <w:rPr>
          <w:rFonts w:hint="eastAsia"/>
          <w:sz w:val="24"/>
        </w:rPr>
        <w:t>）</w:t>
      </w:r>
      <w:r>
        <w:rPr>
          <w:sz w:val="24"/>
        </w:rPr>
        <w:t>按《公路水运工程安全生产监督管理办法》规定的最低数量和资质条件配备专职安全生产管理人员；</w:t>
      </w:r>
    </w:p>
    <w:p>
      <w:pPr>
        <w:adjustRightInd w:val="0"/>
        <w:snapToGrid w:val="0"/>
        <w:spacing w:line="360" w:lineRule="auto"/>
        <w:ind w:firstLine="480" w:firstLineChars="200"/>
        <w:rPr>
          <w:sz w:val="24"/>
        </w:rPr>
      </w:pPr>
      <w:r>
        <w:rPr>
          <w:rFonts w:hint="eastAsia"/>
          <w:sz w:val="24"/>
        </w:rPr>
        <w:t>（</w:t>
      </w:r>
      <w:r>
        <w:rPr>
          <w:sz w:val="24"/>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sz w:val="24"/>
        </w:rPr>
      </w:pP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pPr>
        <w:adjustRightInd w:val="0"/>
        <w:snapToGrid w:val="0"/>
        <w:spacing w:line="360" w:lineRule="auto"/>
        <w:ind w:firstLine="480" w:firstLineChars="200"/>
        <w:rPr>
          <w:sz w:val="24"/>
        </w:rPr>
      </w:pP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sz w:val="24"/>
        </w:rPr>
      </w:pPr>
      <w:r>
        <w:rPr>
          <w:sz w:val="24"/>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sz w:val="24"/>
        </w:rPr>
      </w:pPr>
      <w:r>
        <w:rPr>
          <w:sz w:val="24"/>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sz w:val="24"/>
        </w:rPr>
      </w:pPr>
      <w:r>
        <w:rPr>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sz w:val="24"/>
        </w:rPr>
      </w:pPr>
      <w:r>
        <w:rPr>
          <w:rFonts w:eastAsia="黑体"/>
          <w:sz w:val="24"/>
        </w:rPr>
        <w:t>9.4环境保护</w:t>
      </w:r>
    </w:p>
    <w:p>
      <w:pPr>
        <w:adjustRightInd w:val="0"/>
        <w:snapToGrid w:val="0"/>
        <w:spacing w:line="360" w:lineRule="auto"/>
        <w:ind w:firstLine="480" w:firstLineChars="200"/>
        <w:rPr>
          <w:sz w:val="24"/>
        </w:rPr>
      </w:pPr>
      <w:r>
        <w:rPr>
          <w:sz w:val="24"/>
        </w:rPr>
        <w:t>本款增加第9.4.7至9.4.9项：</w:t>
      </w:r>
    </w:p>
    <w:p>
      <w:pPr>
        <w:adjustRightInd w:val="0"/>
        <w:snapToGrid w:val="0"/>
        <w:spacing w:line="360" w:lineRule="auto"/>
        <w:ind w:firstLine="480" w:firstLineChars="200"/>
        <w:rPr>
          <w:sz w:val="24"/>
        </w:rPr>
      </w:pPr>
      <w:r>
        <w:rPr>
          <w:sz w:val="24"/>
        </w:rPr>
        <w:t>9.4.7承包人应切实执行技术规范中有关环境保护方面的条款和规定。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sz w:val="24"/>
        </w:rPr>
      </w:pPr>
      <w:r>
        <w:rPr>
          <w:sz w:val="24"/>
        </w:rPr>
        <w:t>a</w:t>
      </w:r>
      <w:r>
        <w:rPr>
          <w:rFonts w:hint="eastAsia"/>
          <w:sz w:val="24"/>
        </w:rPr>
        <w:t>．</w:t>
      </w:r>
      <w:r>
        <w:rPr>
          <w:sz w:val="24"/>
        </w:rPr>
        <w:t>拌和设备应有较好的密封，或有防尘设备。</w:t>
      </w:r>
    </w:p>
    <w:p>
      <w:pPr>
        <w:adjustRightInd w:val="0"/>
        <w:snapToGrid w:val="0"/>
        <w:spacing w:line="360" w:lineRule="auto"/>
        <w:ind w:firstLine="480" w:firstLineChars="200"/>
        <w:rPr>
          <w:sz w:val="24"/>
        </w:rPr>
      </w:pPr>
      <w:r>
        <w:rPr>
          <w:sz w:val="24"/>
        </w:rPr>
        <w:t>b</w:t>
      </w:r>
      <w:r>
        <w:rPr>
          <w:rFonts w:hint="eastAsia"/>
          <w:sz w:val="24"/>
        </w:rPr>
        <w:t>．</w:t>
      </w:r>
      <w:r>
        <w:rPr>
          <w:sz w:val="24"/>
        </w:rPr>
        <w:t>施工通道、沥青混凝土拌和站及灰土拌和站应经常进行洒水降尘。</w:t>
      </w:r>
    </w:p>
    <w:p>
      <w:pPr>
        <w:adjustRightInd w:val="0"/>
        <w:snapToGrid w:val="0"/>
        <w:spacing w:line="360" w:lineRule="auto"/>
        <w:ind w:firstLine="480" w:firstLineChars="200"/>
        <w:rPr>
          <w:sz w:val="24"/>
        </w:rPr>
      </w:pPr>
      <w:r>
        <w:rPr>
          <w:sz w:val="24"/>
        </w:rPr>
        <w:t>c．路面施工应注意保持水份，以免扬尘。</w:t>
      </w:r>
    </w:p>
    <w:p>
      <w:pPr>
        <w:adjustRightInd w:val="0"/>
        <w:snapToGrid w:val="0"/>
        <w:spacing w:line="360" w:lineRule="auto"/>
        <w:ind w:firstLine="480" w:firstLineChars="200"/>
        <w:rPr>
          <w:sz w:val="24"/>
        </w:rPr>
      </w:pPr>
      <w:r>
        <w:rPr>
          <w:sz w:val="24"/>
        </w:rPr>
        <w:t>d</w:t>
      </w:r>
      <w:r>
        <w:rPr>
          <w:rFonts w:hint="eastAsia"/>
          <w:sz w:val="24"/>
        </w:rPr>
        <w:t>．</w:t>
      </w:r>
      <w:r>
        <w:rPr>
          <w:sz w:val="24"/>
        </w:rPr>
        <w:t>隧道出渣和桥梁钻孔灌注桩施工时排除的泥浆要进行妥善处理，严禁向河流或农田排放。</w:t>
      </w:r>
    </w:p>
    <w:p>
      <w:pPr>
        <w:adjustRightInd w:val="0"/>
        <w:snapToGrid w:val="0"/>
        <w:spacing w:line="360" w:lineRule="auto"/>
        <w:ind w:firstLine="480" w:firstLineChars="200"/>
        <w:rPr>
          <w:sz w:val="24"/>
        </w:rPr>
      </w:pPr>
      <w:r>
        <w:rPr>
          <w:sz w:val="24"/>
        </w:rPr>
        <w:t>（3</w:t>
      </w:r>
      <w:r>
        <w:rPr>
          <w:rFonts w:hint="eastAsia"/>
          <w:sz w:val="24"/>
        </w:rPr>
        <w:t>）</w:t>
      </w:r>
      <w:r>
        <w:rPr>
          <w:sz w:val="24"/>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sz w:val="24"/>
        </w:rPr>
      </w:pPr>
      <w:r>
        <w:rPr>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rPr>
      </w:pPr>
      <w:r>
        <w:rPr>
          <w:sz w:val="24"/>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sz w:val="24"/>
        </w:rPr>
      </w:pPr>
      <w:r>
        <w:rPr>
          <w:rFonts w:eastAsia="黑体"/>
          <w:sz w:val="24"/>
        </w:rPr>
        <w:t>10</w:t>
      </w:r>
      <w:r>
        <w:rPr>
          <w:rFonts w:hint="eastAsia" w:eastAsia="黑体"/>
          <w:sz w:val="24"/>
        </w:rPr>
        <w:t>．</w:t>
      </w:r>
      <w:r>
        <w:rPr>
          <w:rFonts w:eastAsia="黑体"/>
          <w:sz w:val="24"/>
        </w:rPr>
        <w:t>进度计划</w:t>
      </w:r>
    </w:p>
    <w:p>
      <w:pPr>
        <w:adjustRightInd w:val="0"/>
        <w:snapToGrid w:val="0"/>
        <w:spacing w:line="360" w:lineRule="auto"/>
        <w:rPr>
          <w:rFonts w:eastAsia="黑体"/>
          <w:sz w:val="24"/>
        </w:rPr>
      </w:pPr>
      <w:r>
        <w:rPr>
          <w:rFonts w:eastAsia="黑体"/>
          <w:sz w:val="24"/>
        </w:rPr>
        <w:t>10.1合同进度计划</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承包人编制施工方案的内容：</w:t>
      </w:r>
      <w:r>
        <w:rPr>
          <w:sz w:val="24"/>
          <w:u w:val="single"/>
        </w:rPr>
        <w:t>（见项目专用合同条款）</w:t>
      </w:r>
    </w:p>
    <w:p>
      <w:pPr>
        <w:adjustRightInd w:val="0"/>
        <w:snapToGrid w:val="0"/>
        <w:spacing w:line="360" w:lineRule="auto"/>
        <w:ind w:firstLine="480" w:firstLineChars="200"/>
        <w:rPr>
          <w:sz w:val="24"/>
        </w:rPr>
      </w:pPr>
      <w:r>
        <w:rPr>
          <w:sz w:val="24"/>
        </w:rPr>
        <w:t>承包人向监理人报送施工进度计划和施工方案说明的期限：</w:t>
      </w:r>
      <w:r>
        <w:rPr>
          <w:rFonts w:hint="eastAsia"/>
          <w:sz w:val="24"/>
          <w:u w:val="single"/>
        </w:rPr>
        <w:t>签订合同协议书后</w:t>
      </w:r>
      <w:r>
        <w:rPr>
          <w:sz w:val="24"/>
          <w:u w:val="single"/>
        </w:rPr>
        <w:t>28天之内</w:t>
      </w:r>
      <w:r>
        <w:rPr>
          <w:sz w:val="24"/>
        </w:rPr>
        <w:t>。</w:t>
      </w:r>
    </w:p>
    <w:p>
      <w:pPr>
        <w:adjustRightInd w:val="0"/>
        <w:snapToGrid w:val="0"/>
        <w:spacing w:line="360" w:lineRule="auto"/>
        <w:ind w:firstLine="480" w:firstLineChars="200"/>
        <w:rPr>
          <w:sz w:val="24"/>
        </w:rPr>
      </w:pPr>
      <w:r>
        <w:rPr>
          <w:sz w:val="24"/>
        </w:rPr>
        <w:t>监理人应在</w:t>
      </w:r>
      <w:r>
        <w:rPr>
          <w:rFonts w:hint="eastAsia"/>
          <w:sz w:val="24"/>
          <w:u w:val="single"/>
        </w:rPr>
        <w:t>14</w:t>
      </w:r>
      <w:r>
        <w:rPr>
          <w:sz w:val="24"/>
        </w:rPr>
        <w:t>天内对承包人施工进度计划和施工方案说明予以批复或提出修改意见。</w:t>
      </w:r>
    </w:p>
    <w:p>
      <w:pPr>
        <w:adjustRightInd w:val="0"/>
        <w:snapToGrid w:val="0"/>
        <w:spacing w:line="360" w:lineRule="auto"/>
        <w:ind w:firstLine="480" w:firstLineChars="200"/>
        <w:rPr>
          <w:sz w:val="24"/>
        </w:rPr>
      </w:pPr>
      <w:r>
        <w:rPr>
          <w:sz w:val="24"/>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sz w:val="24"/>
        </w:rPr>
      </w:pPr>
      <w:r>
        <w:rPr>
          <w:rFonts w:eastAsia="黑体"/>
          <w:sz w:val="24"/>
        </w:rPr>
        <w:t>10.2合同进度计划的修订</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承包人提交合同进度计划修订申请报告，并附有关措施和相关资料的期限：</w:t>
      </w:r>
      <w:r>
        <w:rPr>
          <w:sz w:val="24"/>
          <w:u w:val="single"/>
        </w:rPr>
        <w:t>实际进度发生滞后的当月25日前</w:t>
      </w:r>
      <w:r>
        <w:rPr>
          <w:sz w:val="24"/>
        </w:rPr>
        <w:t>。</w:t>
      </w:r>
    </w:p>
    <w:p>
      <w:pPr>
        <w:adjustRightInd w:val="0"/>
        <w:snapToGrid w:val="0"/>
        <w:spacing w:line="360" w:lineRule="auto"/>
        <w:ind w:firstLine="480" w:firstLineChars="200"/>
        <w:rPr>
          <w:sz w:val="24"/>
        </w:rPr>
      </w:pPr>
      <w:r>
        <w:rPr>
          <w:sz w:val="24"/>
        </w:rPr>
        <w:t>监理人批复修订合同进度计划的期限：</w:t>
      </w:r>
      <w:r>
        <w:rPr>
          <w:rFonts w:hint="eastAsia"/>
          <w:sz w:val="24"/>
          <w:u w:val="single"/>
        </w:rPr>
        <w:t>收到修订合同进度计划后14天内</w:t>
      </w:r>
      <w:r>
        <w:rPr>
          <w:sz w:val="24"/>
        </w:rPr>
        <w:t>。</w:t>
      </w:r>
    </w:p>
    <w:p>
      <w:pPr>
        <w:adjustRightInd w:val="0"/>
        <w:snapToGrid w:val="0"/>
        <w:spacing w:line="360" w:lineRule="auto"/>
        <w:rPr>
          <w:sz w:val="24"/>
        </w:rPr>
      </w:pPr>
      <w:r>
        <w:rPr>
          <w:sz w:val="24"/>
        </w:rPr>
        <w:t>增加第10.3、10.4款：</w:t>
      </w:r>
    </w:p>
    <w:p>
      <w:pPr>
        <w:adjustRightInd w:val="0"/>
        <w:snapToGrid w:val="0"/>
        <w:spacing w:beforeLines="100" w:line="360" w:lineRule="auto"/>
        <w:rPr>
          <w:rFonts w:eastAsia="黑体"/>
          <w:sz w:val="24"/>
        </w:rPr>
      </w:pPr>
      <w:r>
        <w:rPr>
          <w:rFonts w:eastAsia="黑体"/>
          <w:sz w:val="24"/>
        </w:rPr>
        <w:t>10.3年度施工计划</w:t>
      </w:r>
    </w:p>
    <w:p>
      <w:pPr>
        <w:adjustRightInd w:val="0"/>
        <w:snapToGrid w:val="0"/>
        <w:spacing w:line="360" w:lineRule="auto"/>
        <w:ind w:firstLine="480" w:firstLineChars="200"/>
        <w:rPr>
          <w:sz w:val="24"/>
        </w:rPr>
      </w:pPr>
      <w:r>
        <w:rPr>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sz w:val="24"/>
        </w:rPr>
      </w:pPr>
      <w:r>
        <w:rPr>
          <w:rFonts w:eastAsia="黑体"/>
          <w:sz w:val="24"/>
        </w:rPr>
        <w:t>10.4合同用款计划</w:t>
      </w:r>
    </w:p>
    <w:p>
      <w:pPr>
        <w:adjustRightInd w:val="0"/>
        <w:snapToGrid w:val="0"/>
        <w:spacing w:line="360" w:lineRule="auto"/>
        <w:ind w:firstLine="480" w:firstLineChars="200"/>
        <w:rPr>
          <w:sz w:val="24"/>
        </w:rPr>
      </w:pPr>
      <w:r>
        <w:rPr>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sz w:val="24"/>
        </w:rPr>
      </w:pPr>
      <w:r>
        <w:rPr>
          <w:rFonts w:eastAsia="黑体"/>
          <w:sz w:val="24"/>
        </w:rPr>
        <w:t>11．开工和竣工</w:t>
      </w:r>
    </w:p>
    <w:p>
      <w:pPr>
        <w:adjustRightInd w:val="0"/>
        <w:snapToGrid w:val="0"/>
        <w:spacing w:line="360" w:lineRule="auto"/>
        <w:rPr>
          <w:rFonts w:eastAsia="黑体"/>
          <w:sz w:val="24"/>
        </w:rPr>
      </w:pPr>
      <w:r>
        <w:rPr>
          <w:rFonts w:eastAsia="黑体"/>
          <w:sz w:val="24"/>
        </w:rPr>
        <w:t>11.1开工</w:t>
      </w:r>
    </w:p>
    <w:p>
      <w:pPr>
        <w:adjustRightInd w:val="0"/>
        <w:snapToGrid w:val="0"/>
        <w:spacing w:line="360" w:lineRule="auto"/>
        <w:ind w:firstLine="480" w:firstLineChars="200"/>
        <w:rPr>
          <w:sz w:val="24"/>
        </w:rPr>
      </w:pPr>
      <w:r>
        <w:rPr>
          <w:sz w:val="24"/>
        </w:rPr>
        <w:t>11</w:t>
      </w:r>
      <w:r>
        <w:rPr>
          <w:rFonts w:hint="eastAsia"/>
          <w:sz w:val="24"/>
        </w:rPr>
        <w:t>.</w:t>
      </w:r>
      <w:r>
        <w:rPr>
          <w:sz w:val="24"/>
        </w:rPr>
        <w:t>1.2项补充：</w:t>
      </w:r>
    </w:p>
    <w:p>
      <w:pPr>
        <w:adjustRightInd w:val="0"/>
        <w:snapToGrid w:val="0"/>
        <w:spacing w:line="360" w:lineRule="auto"/>
        <w:ind w:firstLine="480" w:firstLineChars="200"/>
        <w:rPr>
          <w:sz w:val="24"/>
        </w:rPr>
      </w:pPr>
      <w:r>
        <w:rPr>
          <w:sz w:val="24"/>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sz w:val="24"/>
        </w:rPr>
      </w:pPr>
      <w:r>
        <w:rPr>
          <w:rFonts w:eastAsia="黑体"/>
          <w:sz w:val="24"/>
        </w:rPr>
        <w:t>11.3发包人的工期延误</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sz w:val="24"/>
        </w:rPr>
      </w:pPr>
      <w:r>
        <w:rPr>
          <w:rFonts w:eastAsia="黑体"/>
          <w:sz w:val="24"/>
        </w:rPr>
        <w:t>11.4异常恶劣的气候条件</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sz w:val="24"/>
        </w:rPr>
      </w:pPr>
      <w:r>
        <w:rPr>
          <w:rFonts w:eastAsia="黑体"/>
          <w:sz w:val="24"/>
        </w:rPr>
        <w:t>11.5承包人的工期延误</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sz w:val="24"/>
        </w:rPr>
      </w:pP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sz w:val="24"/>
        </w:rPr>
      </w:pPr>
      <w:r>
        <w:rPr>
          <w:rFonts w:eastAsia="黑体"/>
          <w:sz w:val="24"/>
        </w:rPr>
        <w:t>11.6工期提前</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64" w:firstLineChars="200"/>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pPr>
        <w:adjustRightInd w:val="0"/>
        <w:snapToGrid w:val="0"/>
        <w:spacing w:line="360" w:lineRule="auto"/>
        <w:rPr>
          <w:sz w:val="24"/>
        </w:rPr>
      </w:pPr>
      <w:r>
        <w:rPr>
          <w:sz w:val="24"/>
        </w:rPr>
        <w:t>增加第11.7款：</w:t>
      </w:r>
    </w:p>
    <w:p>
      <w:pPr>
        <w:adjustRightInd w:val="0"/>
        <w:snapToGrid w:val="0"/>
        <w:spacing w:beforeLines="100" w:line="360" w:lineRule="auto"/>
        <w:rPr>
          <w:rFonts w:eastAsia="黑体"/>
          <w:sz w:val="24"/>
        </w:rPr>
      </w:pPr>
      <w:r>
        <w:rPr>
          <w:rFonts w:eastAsia="黑体"/>
          <w:sz w:val="24"/>
        </w:rPr>
        <w:t>11.7</w:t>
      </w:r>
      <w:r>
        <w:rPr>
          <w:rFonts w:hint="eastAsia" w:eastAsia="黑体"/>
          <w:sz w:val="24"/>
        </w:rPr>
        <w:t>工</w:t>
      </w:r>
      <w:r>
        <w:rPr>
          <w:rFonts w:eastAsia="黑体"/>
          <w:sz w:val="24"/>
        </w:rPr>
        <w:t>作时</w:t>
      </w:r>
      <w:r>
        <w:rPr>
          <w:rFonts w:hint="eastAsia" w:eastAsia="黑体"/>
          <w:sz w:val="24"/>
        </w:rPr>
        <w:t>间</w:t>
      </w:r>
      <w:r>
        <w:rPr>
          <w:rFonts w:eastAsia="黑体"/>
          <w:sz w:val="24"/>
        </w:rPr>
        <w:t>的限制</w:t>
      </w:r>
    </w:p>
    <w:p>
      <w:pPr>
        <w:adjustRightInd w:val="0"/>
        <w:snapToGrid w:val="0"/>
        <w:spacing w:line="360" w:lineRule="auto"/>
        <w:ind w:firstLine="480" w:firstLineChars="200"/>
        <w:rPr>
          <w:sz w:val="24"/>
        </w:rPr>
      </w:pPr>
      <w:r>
        <w:rPr>
          <w:sz w:val="24"/>
        </w:rPr>
        <w:t>承包人在夜间或国家规定的节假日进行永久工程的施工，应向监理人报告，以便监理人履行监理职责和义务。</w:t>
      </w:r>
    </w:p>
    <w:p>
      <w:pPr>
        <w:adjustRightInd w:val="0"/>
        <w:snapToGrid w:val="0"/>
        <w:spacing w:line="360" w:lineRule="auto"/>
        <w:ind w:firstLine="480" w:firstLineChars="200"/>
        <w:rPr>
          <w:sz w:val="24"/>
        </w:rPr>
      </w:pPr>
      <w:r>
        <w:rPr>
          <w:sz w:val="24"/>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sz w:val="24"/>
        </w:rPr>
      </w:pPr>
      <w:r>
        <w:rPr>
          <w:sz w:val="24"/>
        </w:rPr>
        <w:t>本款规定不适用于习惯上或施工本身要求实行连续生产的作业。</w:t>
      </w:r>
    </w:p>
    <w:p>
      <w:pPr>
        <w:adjustRightInd w:val="0"/>
        <w:snapToGrid w:val="0"/>
        <w:spacing w:beforeLines="100" w:line="360" w:lineRule="auto"/>
        <w:rPr>
          <w:rFonts w:eastAsia="黑体"/>
          <w:sz w:val="24"/>
        </w:rPr>
      </w:pPr>
      <w:r>
        <w:rPr>
          <w:rFonts w:eastAsia="黑体"/>
          <w:sz w:val="24"/>
        </w:rPr>
        <w:t>12</w:t>
      </w:r>
      <w:r>
        <w:rPr>
          <w:rFonts w:hint="eastAsia" w:eastAsia="黑体"/>
          <w:sz w:val="24"/>
        </w:rPr>
        <w:t>．</w:t>
      </w:r>
      <w:r>
        <w:rPr>
          <w:rFonts w:eastAsia="黑体"/>
          <w:sz w:val="24"/>
        </w:rPr>
        <w:t>暂停施工</w:t>
      </w:r>
    </w:p>
    <w:p>
      <w:pPr>
        <w:adjustRightInd w:val="0"/>
        <w:snapToGrid w:val="0"/>
        <w:spacing w:line="360" w:lineRule="auto"/>
        <w:ind w:firstLine="480" w:firstLineChars="200"/>
        <w:rPr>
          <w:sz w:val="24"/>
        </w:rPr>
      </w:pPr>
      <w:r>
        <w:rPr>
          <w:sz w:val="24"/>
        </w:rPr>
        <w:t>12.1承包人暂停施工的责任</w:t>
      </w:r>
    </w:p>
    <w:p>
      <w:pPr>
        <w:adjustRightInd w:val="0"/>
        <w:snapToGrid w:val="0"/>
        <w:spacing w:line="360" w:lineRule="auto"/>
        <w:ind w:firstLine="480" w:firstLineChars="200"/>
        <w:rPr>
          <w:sz w:val="24"/>
        </w:rPr>
      </w:pPr>
      <w:r>
        <w:rPr>
          <w:sz w:val="24"/>
        </w:rPr>
        <w:t>12.1（5</w:t>
      </w:r>
      <w:r>
        <w:rPr>
          <w:rFonts w:hint="eastAsia"/>
          <w:sz w:val="24"/>
        </w:rPr>
        <w:t>）</w:t>
      </w:r>
      <w:r>
        <w:rPr>
          <w:sz w:val="24"/>
        </w:rPr>
        <w:t>项补充：</w:t>
      </w:r>
    </w:p>
    <w:p>
      <w:pPr>
        <w:adjustRightInd w:val="0"/>
        <w:snapToGrid w:val="0"/>
        <w:spacing w:line="360" w:lineRule="auto"/>
        <w:ind w:firstLine="480" w:firstLineChars="200"/>
        <w:rPr>
          <w:sz w:val="24"/>
        </w:rPr>
      </w:pPr>
      <w:r>
        <w:rPr>
          <w:sz w:val="24"/>
        </w:rPr>
        <w:t>（5</w:t>
      </w:r>
      <w:r>
        <w:rPr>
          <w:rFonts w:hint="eastAsia"/>
          <w:sz w:val="24"/>
        </w:rPr>
        <w:t>）</w:t>
      </w:r>
      <w:r>
        <w:rPr>
          <w:sz w:val="24"/>
        </w:rPr>
        <w:t>现场气候条件导致的必要停工（第11.4款规定的异常恶劣的气候条件除外）；</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项目专用合同条款约定由承包人承担的其他暂停施工。</w:t>
      </w:r>
    </w:p>
    <w:p>
      <w:pPr>
        <w:adjustRightInd w:val="0"/>
        <w:snapToGrid w:val="0"/>
        <w:spacing w:beforeLines="100" w:line="360" w:lineRule="auto"/>
        <w:rPr>
          <w:rFonts w:eastAsia="黑体"/>
          <w:sz w:val="24"/>
        </w:rPr>
      </w:pPr>
      <w:r>
        <w:rPr>
          <w:rFonts w:eastAsia="黑体"/>
          <w:sz w:val="24"/>
        </w:rPr>
        <w:t>13．工程质量</w:t>
      </w:r>
    </w:p>
    <w:p>
      <w:pPr>
        <w:adjustRightInd w:val="0"/>
        <w:snapToGrid w:val="0"/>
        <w:spacing w:line="360" w:lineRule="auto"/>
        <w:rPr>
          <w:rFonts w:eastAsia="黑体"/>
          <w:sz w:val="24"/>
        </w:rPr>
      </w:pPr>
      <w:r>
        <w:rPr>
          <w:rFonts w:eastAsia="黑体"/>
          <w:sz w:val="24"/>
        </w:rPr>
        <w:t>13.1工程质量要求</w:t>
      </w:r>
    </w:p>
    <w:p>
      <w:pPr>
        <w:adjustRightInd w:val="0"/>
        <w:snapToGrid w:val="0"/>
        <w:spacing w:line="360" w:lineRule="auto"/>
        <w:ind w:firstLine="480" w:firstLineChars="200"/>
        <w:rPr>
          <w:sz w:val="24"/>
        </w:rPr>
      </w:pPr>
      <w:r>
        <w:rPr>
          <w:sz w:val="24"/>
        </w:rPr>
        <w:t>13.1</w:t>
      </w:r>
      <w:r>
        <w:rPr>
          <w:rFonts w:hint="eastAsia"/>
          <w:sz w:val="24"/>
        </w:rPr>
        <w:t>.</w:t>
      </w:r>
      <w:r>
        <w:rPr>
          <w:sz w:val="24"/>
        </w:rPr>
        <w:t>1项约定为：</w:t>
      </w:r>
    </w:p>
    <w:p>
      <w:pPr>
        <w:adjustRightInd w:val="0"/>
        <w:snapToGrid w:val="0"/>
        <w:spacing w:line="360" w:lineRule="auto"/>
        <w:ind w:firstLine="480" w:firstLineChars="200"/>
        <w:rPr>
          <w:sz w:val="24"/>
        </w:rPr>
      </w:pPr>
      <w:r>
        <w:rPr>
          <w:sz w:val="24"/>
        </w:rPr>
        <w:t>工程质量验收按技术规范及交通部《公路工程质量验收评定标准》执行。本款增加第13．1.4至13．1.6项：</w:t>
      </w:r>
    </w:p>
    <w:p>
      <w:pPr>
        <w:adjustRightInd w:val="0"/>
        <w:snapToGrid w:val="0"/>
        <w:spacing w:line="360" w:lineRule="auto"/>
        <w:ind w:firstLine="480" w:firstLineChars="200"/>
        <w:rPr>
          <w:sz w:val="24"/>
        </w:rPr>
      </w:pPr>
      <w:r>
        <w:rPr>
          <w:sz w:val="24"/>
        </w:rPr>
        <w:t>13.1.4承包人对工程质量终身负责。</w:t>
      </w:r>
    </w:p>
    <w:p>
      <w:pPr>
        <w:adjustRightInd w:val="0"/>
        <w:snapToGrid w:val="0"/>
        <w:spacing w:line="360" w:lineRule="auto"/>
        <w:ind w:firstLine="480" w:firstLineChars="200"/>
        <w:rPr>
          <w:sz w:val="24"/>
        </w:rPr>
      </w:pPr>
      <w:r>
        <w:rPr>
          <w:sz w:val="24"/>
        </w:rPr>
        <w:t>13</w:t>
      </w:r>
      <w:r>
        <w:rPr>
          <w:rFonts w:hint="eastAsia"/>
          <w:sz w:val="24"/>
        </w:rPr>
        <w:t>.</w:t>
      </w:r>
      <w:r>
        <w:rPr>
          <w:sz w:val="24"/>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sz w:val="24"/>
        </w:rPr>
      </w:pPr>
      <w:r>
        <w:rPr>
          <w:sz w:val="24"/>
        </w:rPr>
        <w:t>13.1.6发包人对存在质量问题或质量隐患的工程有权直接发布或授权监理人发布停工令、复工令。</w:t>
      </w:r>
    </w:p>
    <w:p>
      <w:pPr>
        <w:adjustRightInd w:val="0"/>
        <w:snapToGrid w:val="0"/>
        <w:spacing w:beforeLines="100" w:line="360" w:lineRule="auto"/>
        <w:rPr>
          <w:rFonts w:eastAsia="黑体"/>
          <w:sz w:val="24"/>
        </w:rPr>
      </w:pPr>
      <w:r>
        <w:rPr>
          <w:rFonts w:eastAsia="黑体"/>
          <w:sz w:val="24"/>
        </w:rPr>
        <w:t>13.2承包人的质量管理</w:t>
      </w:r>
    </w:p>
    <w:p>
      <w:pPr>
        <w:adjustRightInd w:val="0"/>
        <w:snapToGrid w:val="0"/>
        <w:spacing w:line="360" w:lineRule="auto"/>
        <w:ind w:firstLine="480" w:firstLineChars="200"/>
        <w:rPr>
          <w:sz w:val="24"/>
        </w:rPr>
      </w:pPr>
      <w:r>
        <w:rPr>
          <w:sz w:val="24"/>
        </w:rPr>
        <w:t>13.2.1项补充：</w:t>
      </w:r>
    </w:p>
    <w:p>
      <w:pPr>
        <w:adjustRightInd w:val="0"/>
        <w:snapToGrid w:val="0"/>
        <w:spacing w:line="360" w:lineRule="auto"/>
        <w:ind w:firstLine="480" w:firstLineChars="200"/>
        <w:rPr>
          <w:sz w:val="24"/>
        </w:rPr>
      </w:pPr>
      <w:r>
        <w:rPr>
          <w:sz w:val="24"/>
        </w:rPr>
        <w:t>承包人提交工程质量保证措施文件的期限：</w:t>
      </w:r>
      <w:r>
        <w:rPr>
          <w:sz w:val="24"/>
          <w:u w:val="single"/>
        </w:rPr>
        <w:t>签订合同协议书后28天之内</w:t>
      </w:r>
      <w:r>
        <w:rPr>
          <w:sz w:val="24"/>
        </w:rPr>
        <w:t>。</w:t>
      </w:r>
    </w:p>
    <w:p>
      <w:pPr>
        <w:adjustRightInd w:val="0"/>
        <w:snapToGrid w:val="0"/>
        <w:spacing w:line="360" w:lineRule="auto"/>
        <w:ind w:firstLine="480" w:firstLineChars="200"/>
        <w:rPr>
          <w:sz w:val="24"/>
        </w:rPr>
      </w:pPr>
      <w:r>
        <w:rPr>
          <w:sz w:val="24"/>
        </w:rPr>
        <w:t>本款增加第13.2.3至13.2.5项：</w:t>
      </w:r>
    </w:p>
    <w:p>
      <w:pPr>
        <w:adjustRightInd w:val="0"/>
        <w:snapToGrid w:val="0"/>
        <w:spacing w:line="360" w:lineRule="auto"/>
        <w:ind w:firstLine="480" w:firstLineChars="200"/>
        <w:rPr>
          <w:sz w:val="24"/>
        </w:rPr>
      </w:pPr>
      <w:r>
        <w:rPr>
          <w:sz w:val="24"/>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sz w:val="24"/>
        </w:rPr>
      </w:pPr>
      <w:r>
        <w:rPr>
          <w:sz w:val="24"/>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sz w:val="24"/>
        </w:rPr>
      </w:pPr>
      <w:r>
        <w:rPr>
          <w:sz w:val="24"/>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sz w:val="24"/>
        </w:rPr>
      </w:pPr>
      <w:r>
        <w:rPr>
          <w:rFonts w:eastAsia="黑体"/>
          <w:sz w:val="24"/>
        </w:rPr>
        <w:t>13.4监理人的质量检查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sz w:val="24"/>
        </w:rPr>
      </w:pPr>
      <w:r>
        <w:rPr>
          <w:sz w:val="24"/>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sz w:val="24"/>
        </w:rPr>
      </w:pPr>
      <w:r>
        <w:rPr>
          <w:rFonts w:eastAsia="黑体"/>
          <w:sz w:val="24"/>
        </w:rPr>
        <w:t>13.5工程隐蔽部位覆盖前的检查</w:t>
      </w:r>
    </w:p>
    <w:p>
      <w:pPr>
        <w:adjustRightInd w:val="0"/>
        <w:snapToGrid w:val="0"/>
        <w:spacing w:line="360" w:lineRule="auto"/>
        <w:ind w:firstLine="480" w:firstLineChars="200"/>
        <w:rPr>
          <w:sz w:val="24"/>
        </w:rPr>
      </w:pPr>
      <w:r>
        <w:rPr>
          <w:sz w:val="24"/>
        </w:rPr>
        <w:t>13.5.1通知监理人检查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sz w:val="24"/>
        </w:rPr>
      </w:pPr>
      <w:r>
        <w:rPr>
          <w:rFonts w:eastAsia="黑体"/>
          <w:sz w:val="24"/>
        </w:rPr>
        <w:t>13.6清除不合格工程</w:t>
      </w:r>
    </w:p>
    <w:p>
      <w:pPr>
        <w:adjustRightInd w:val="0"/>
        <w:snapToGrid w:val="0"/>
        <w:spacing w:line="360" w:lineRule="auto"/>
        <w:ind w:firstLine="480" w:firstLineChars="200"/>
        <w:rPr>
          <w:sz w:val="24"/>
        </w:rPr>
      </w:pPr>
      <w:r>
        <w:rPr>
          <w:sz w:val="24"/>
        </w:rPr>
        <w:t>13.6.1项细化为：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sz w:val="24"/>
        </w:rPr>
      </w:pPr>
      <w:r>
        <w:rPr>
          <w:rFonts w:eastAsia="黑体"/>
          <w:sz w:val="24"/>
        </w:rPr>
        <w:t>14</w:t>
      </w:r>
      <w:r>
        <w:rPr>
          <w:rFonts w:hint="eastAsia" w:eastAsia="黑体"/>
          <w:sz w:val="24"/>
        </w:rPr>
        <w:t>．</w:t>
      </w:r>
      <w:r>
        <w:rPr>
          <w:rFonts w:eastAsia="黑体"/>
          <w:sz w:val="24"/>
        </w:rPr>
        <w:t>试验和检验</w:t>
      </w:r>
    </w:p>
    <w:p>
      <w:pPr>
        <w:adjustRightInd w:val="0"/>
        <w:snapToGrid w:val="0"/>
        <w:spacing w:line="360" w:lineRule="auto"/>
        <w:rPr>
          <w:sz w:val="24"/>
        </w:rPr>
      </w:pPr>
      <w:r>
        <w:rPr>
          <w:rFonts w:hAnsi="宋体"/>
          <w:sz w:val="24"/>
        </w:rPr>
        <w:t>增加第</w:t>
      </w:r>
      <w:r>
        <w:rPr>
          <w:sz w:val="24"/>
        </w:rPr>
        <w:t>14.4</w:t>
      </w:r>
      <w:r>
        <w:rPr>
          <w:rFonts w:hAnsi="宋体"/>
          <w:sz w:val="24"/>
        </w:rPr>
        <w:t>款：</w:t>
      </w:r>
    </w:p>
    <w:p>
      <w:pPr>
        <w:adjustRightInd w:val="0"/>
        <w:snapToGrid w:val="0"/>
        <w:spacing w:line="360" w:lineRule="auto"/>
        <w:rPr>
          <w:rFonts w:eastAsia="黑体"/>
          <w:sz w:val="24"/>
        </w:rPr>
      </w:pPr>
      <w:r>
        <w:rPr>
          <w:rFonts w:eastAsia="黑体"/>
          <w:sz w:val="24"/>
        </w:rPr>
        <w:t>14.4试验和检验费用</w:t>
      </w:r>
    </w:p>
    <w:p>
      <w:pPr>
        <w:adjustRightInd w:val="0"/>
        <w:snapToGrid w:val="0"/>
        <w:spacing w:line="360" w:lineRule="auto"/>
        <w:ind w:firstLine="480" w:firstLineChars="200"/>
        <w:rPr>
          <w:sz w:val="24"/>
        </w:rPr>
      </w:pPr>
      <w:r>
        <w:rPr>
          <w:sz w:val="24"/>
        </w:rPr>
        <w:t>（1</w:t>
      </w:r>
      <w:r>
        <w:rPr>
          <w:rFonts w:hint="eastAsia"/>
          <w:sz w:val="24"/>
        </w:rPr>
        <w:t>）</w:t>
      </w:r>
      <w:r>
        <w:rPr>
          <w:sz w:val="24"/>
        </w:rPr>
        <w:t>承包人应负责提供进行试验和检验所需的全部样品，并承担其费用。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sz w:val="24"/>
        </w:rPr>
      </w:pPr>
      <w:r>
        <w:rPr>
          <w:rFonts w:eastAsia="黑体"/>
          <w:sz w:val="24"/>
        </w:rPr>
        <w:t>15</w:t>
      </w:r>
      <w:r>
        <w:rPr>
          <w:rFonts w:hint="eastAsia" w:eastAsia="黑体"/>
          <w:sz w:val="24"/>
        </w:rPr>
        <w:t>．</w:t>
      </w:r>
      <w:r>
        <w:rPr>
          <w:rFonts w:eastAsia="黑体"/>
          <w:sz w:val="24"/>
        </w:rPr>
        <w:t>变更</w:t>
      </w:r>
    </w:p>
    <w:p>
      <w:pPr>
        <w:adjustRightInd w:val="0"/>
        <w:snapToGrid w:val="0"/>
        <w:spacing w:line="360" w:lineRule="auto"/>
        <w:rPr>
          <w:rFonts w:eastAsia="黑体"/>
          <w:sz w:val="24"/>
        </w:rPr>
      </w:pPr>
      <w:r>
        <w:rPr>
          <w:rFonts w:eastAsia="黑体"/>
          <w:sz w:val="24"/>
        </w:rPr>
        <w:t>15.1变更的范围和内容</w:t>
      </w:r>
    </w:p>
    <w:p>
      <w:pPr>
        <w:adjustRightInd w:val="0"/>
        <w:snapToGrid w:val="0"/>
        <w:spacing w:line="360" w:lineRule="auto"/>
        <w:ind w:firstLine="480" w:firstLineChars="200"/>
        <w:rPr>
          <w:sz w:val="24"/>
        </w:rPr>
      </w:pPr>
      <w:r>
        <w:rPr>
          <w:sz w:val="24"/>
        </w:rPr>
        <w:t>15.1（1）项细化为：</w:t>
      </w:r>
    </w:p>
    <w:p>
      <w:pPr>
        <w:adjustRightInd w:val="0"/>
        <w:snapToGrid w:val="0"/>
        <w:spacing w:line="360" w:lineRule="auto"/>
        <w:ind w:firstLine="480" w:firstLineChars="200"/>
        <w:rPr>
          <w:sz w:val="24"/>
        </w:rPr>
      </w:pPr>
      <w:r>
        <w:rPr>
          <w:sz w:val="24"/>
        </w:rPr>
        <w:t>（1</w:t>
      </w:r>
      <w:r>
        <w:rPr>
          <w:rFonts w:hint="eastAsia"/>
          <w:sz w:val="24"/>
        </w:rPr>
        <w:t>）</w:t>
      </w:r>
      <w:r>
        <w:rPr>
          <w:sz w:val="24"/>
        </w:rPr>
        <w:t>取消合同中任何一项工作，但被取消的工作不能转由发包人或其他人实施，由于承包人违约造成的情况除外；</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设计变更程序应执行交通部《公路工程设计变更管理办法》的相关规定。</w:t>
      </w:r>
    </w:p>
    <w:p>
      <w:pPr>
        <w:adjustRightInd w:val="0"/>
        <w:snapToGrid w:val="0"/>
        <w:spacing w:beforeLines="100" w:line="360" w:lineRule="auto"/>
        <w:rPr>
          <w:rFonts w:eastAsia="黑体"/>
          <w:sz w:val="24"/>
        </w:rPr>
      </w:pPr>
      <w:r>
        <w:rPr>
          <w:rFonts w:eastAsia="黑体"/>
          <w:sz w:val="24"/>
        </w:rPr>
        <w:t>15.4变更的估价原则</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除项目专用合同条款另有约定外，因变更引起的价格调整按照本款约定处理。</w:t>
      </w:r>
    </w:p>
    <w:p>
      <w:pPr>
        <w:adjustRightInd w:val="0"/>
        <w:snapToGrid w:val="0"/>
        <w:spacing w:line="360" w:lineRule="auto"/>
        <w:ind w:firstLine="480" w:firstLineChars="200"/>
        <w:rPr>
          <w:sz w:val="24"/>
        </w:rPr>
      </w:pPr>
      <w:r>
        <w:rPr>
          <w:sz w:val="24"/>
        </w:rPr>
        <w:t>15.4.1如果取消某项工作，则该项工作的总额价不予支付；</w:t>
      </w:r>
    </w:p>
    <w:p>
      <w:pPr>
        <w:adjustRightInd w:val="0"/>
        <w:snapToGrid w:val="0"/>
        <w:spacing w:line="360" w:lineRule="auto"/>
        <w:ind w:firstLine="480" w:firstLineChars="200"/>
        <w:rPr>
          <w:sz w:val="24"/>
        </w:rPr>
      </w:pPr>
      <w:r>
        <w:rPr>
          <w:sz w:val="24"/>
        </w:rPr>
        <w:t>15.4.2已标价工程量清单中有适用于变更工作的子目的，采用该子目的单价。</w:t>
      </w:r>
    </w:p>
    <w:p>
      <w:pPr>
        <w:adjustRightInd w:val="0"/>
        <w:snapToGrid w:val="0"/>
        <w:spacing w:line="360" w:lineRule="auto"/>
        <w:ind w:firstLine="480" w:firstLineChars="200"/>
        <w:rPr>
          <w:sz w:val="24"/>
        </w:rPr>
      </w:pPr>
      <w:r>
        <w:rPr>
          <w:sz w:val="24"/>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sz w:val="24"/>
        </w:rPr>
      </w:pPr>
      <w:r>
        <w:rPr>
          <w:sz w:val="24"/>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sz w:val="24"/>
        </w:rPr>
      </w:pPr>
      <w:r>
        <w:rPr>
          <w:sz w:val="24"/>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sz w:val="24"/>
        </w:rPr>
      </w:pPr>
      <w:r>
        <w:rPr>
          <w:rFonts w:eastAsia="黑体"/>
          <w:sz w:val="24"/>
        </w:rPr>
        <w:t>15.5承包人的合理化建议</w:t>
      </w:r>
    </w:p>
    <w:p>
      <w:pPr>
        <w:adjustRightInd w:val="0"/>
        <w:snapToGrid w:val="0"/>
        <w:spacing w:line="360" w:lineRule="auto"/>
        <w:ind w:firstLine="480" w:firstLineChars="200"/>
        <w:rPr>
          <w:sz w:val="24"/>
        </w:rPr>
      </w:pPr>
      <w:r>
        <w:rPr>
          <w:sz w:val="24"/>
        </w:rPr>
        <w:t>15.5.2项约定为：</w:t>
      </w:r>
    </w:p>
    <w:p>
      <w:pPr>
        <w:adjustRightInd w:val="0"/>
        <w:snapToGrid w:val="0"/>
        <w:spacing w:line="360" w:lineRule="auto"/>
        <w:ind w:firstLine="480" w:firstLineChars="200"/>
        <w:rPr>
          <w:sz w:val="24"/>
        </w:rPr>
      </w:pPr>
      <w:r>
        <w:rPr>
          <w:sz w:val="24"/>
        </w:rPr>
        <w:t>承包人提出的合理化建议缩短了工期，发包人按专用合同条款第11.6款的规定给予奖励。</w:t>
      </w:r>
    </w:p>
    <w:p>
      <w:pPr>
        <w:adjustRightInd w:val="0"/>
        <w:snapToGrid w:val="0"/>
        <w:spacing w:line="360" w:lineRule="auto"/>
        <w:ind w:firstLine="480" w:firstLineChars="20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pPr>
        <w:adjustRightInd w:val="0"/>
        <w:snapToGrid w:val="0"/>
        <w:spacing w:line="360" w:lineRule="auto"/>
        <w:ind w:firstLine="480" w:firstLineChars="200"/>
        <w:rPr>
          <w:sz w:val="24"/>
        </w:rPr>
      </w:pPr>
      <w:r>
        <w:rPr>
          <w:sz w:val="24"/>
        </w:rPr>
        <w:t>15.6暂列金额</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sz w:val="24"/>
        </w:rPr>
      </w:pPr>
      <w:r>
        <w:rPr>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sz w:val="24"/>
        </w:rPr>
      </w:pPr>
      <w:r>
        <w:rPr>
          <w:sz w:val="24"/>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sz w:val="24"/>
        </w:rPr>
      </w:pPr>
      <w:r>
        <w:rPr>
          <w:rFonts w:eastAsia="黑体"/>
          <w:sz w:val="24"/>
        </w:rPr>
        <w:t>15.8暂估价</w:t>
      </w:r>
    </w:p>
    <w:p>
      <w:pPr>
        <w:adjustRightInd w:val="0"/>
        <w:snapToGrid w:val="0"/>
        <w:spacing w:line="360" w:lineRule="auto"/>
        <w:ind w:firstLine="480" w:firstLineChars="200"/>
        <w:rPr>
          <w:sz w:val="24"/>
        </w:rPr>
      </w:pPr>
      <w:r>
        <w:rPr>
          <w:sz w:val="24"/>
        </w:rPr>
        <w:t>15.8.1项补充：</w:t>
      </w:r>
    </w:p>
    <w:p>
      <w:pPr>
        <w:adjustRightInd w:val="0"/>
        <w:snapToGrid w:val="0"/>
        <w:spacing w:line="360" w:lineRule="auto"/>
        <w:ind w:firstLine="480" w:firstLineChars="20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承包人应与特殊分包人或供应商签订分包合同。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sz w:val="24"/>
        </w:rPr>
      </w:pPr>
      <w:r>
        <w:rPr>
          <w:sz w:val="24"/>
        </w:rPr>
        <w:t>如果特殊分包合同中含有与上述规定有悖的条款，承包人有权拒绝与此特殊分包人（或供应商）签订合同。</w:t>
      </w:r>
    </w:p>
    <w:p>
      <w:pPr>
        <w:adjustRightInd w:val="0"/>
        <w:snapToGrid w:val="0"/>
        <w:spacing w:line="360" w:lineRule="auto"/>
        <w:ind w:firstLine="480" w:firstLineChars="200"/>
        <w:rPr>
          <w:sz w:val="24"/>
        </w:rPr>
      </w:pP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pPr>
        <w:adjustRightInd w:val="0"/>
        <w:snapToGrid w:val="0"/>
        <w:spacing w:line="360" w:lineRule="auto"/>
        <w:ind w:firstLine="480" w:firstLineChars="200"/>
        <w:rPr>
          <w:sz w:val="24"/>
        </w:rPr>
      </w:pPr>
      <w:r>
        <w:rPr>
          <w:sz w:val="24"/>
        </w:rPr>
        <w:t>a</w:t>
      </w:r>
      <w:r>
        <w:rPr>
          <w:rFonts w:hint="eastAsia"/>
          <w:sz w:val="24"/>
        </w:rPr>
        <w:t>．</w:t>
      </w:r>
      <w:r>
        <w:rPr>
          <w:sz w:val="24"/>
        </w:rPr>
        <w:t>按照监理人的指令，并根据特殊分包合同的约定，由承包人己支付或应支付的实际价款；</w:t>
      </w:r>
    </w:p>
    <w:p>
      <w:pPr>
        <w:adjustRightInd w:val="0"/>
        <w:snapToGrid w:val="0"/>
        <w:spacing w:line="360" w:lineRule="auto"/>
        <w:ind w:firstLine="480" w:firstLineChars="20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sz w:val="24"/>
        </w:rPr>
      </w:pPr>
      <w:r>
        <w:rPr>
          <w:rFonts w:eastAsia="黑体"/>
          <w:sz w:val="24"/>
        </w:rPr>
        <w:t>16</w:t>
      </w:r>
      <w:r>
        <w:rPr>
          <w:rFonts w:hint="eastAsia" w:eastAsia="黑体"/>
          <w:sz w:val="24"/>
        </w:rPr>
        <w:t>．</w:t>
      </w:r>
      <w:r>
        <w:rPr>
          <w:rFonts w:eastAsia="黑体"/>
          <w:sz w:val="24"/>
        </w:rPr>
        <w:t>价格调整</w:t>
      </w:r>
    </w:p>
    <w:p>
      <w:pPr>
        <w:adjustRightInd w:val="0"/>
        <w:snapToGrid w:val="0"/>
        <w:spacing w:line="360" w:lineRule="auto"/>
        <w:rPr>
          <w:rFonts w:eastAsia="黑体"/>
          <w:sz w:val="24"/>
        </w:rPr>
      </w:pPr>
      <w:r>
        <w:rPr>
          <w:rFonts w:eastAsia="黑体"/>
          <w:sz w:val="24"/>
        </w:rPr>
        <w:t>16.1物价波动引起的价格调整</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（1</w:t>
      </w:r>
      <w:r>
        <w:rPr>
          <w:rFonts w:hint="eastAsia"/>
          <w:sz w:val="24"/>
        </w:rPr>
        <w:t>）</w:t>
      </w:r>
      <w:r>
        <w:rPr>
          <w:sz w:val="24"/>
        </w:rPr>
        <w:t>因物价波动引起的价格调整按照</w:t>
      </w:r>
      <w:r>
        <w:rPr>
          <w:rFonts w:hint="eastAsia"/>
          <w:sz w:val="24"/>
          <w:u w:val="single"/>
        </w:rPr>
        <w:t xml:space="preserve">  第16.1.1或16.1.2项  </w:t>
      </w:r>
      <w:r>
        <w:rPr>
          <w:sz w:val="24"/>
        </w:rPr>
        <w:t>约定的原则处理；或者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pPr>
        <w:adjustRightInd w:val="0"/>
        <w:snapToGrid w:val="0"/>
        <w:spacing w:line="360" w:lineRule="auto"/>
        <w:ind w:firstLine="480" w:firstLineChars="200"/>
        <w:rPr>
          <w:sz w:val="24"/>
        </w:rPr>
      </w:pPr>
      <w:r>
        <w:rPr>
          <w:sz w:val="24"/>
        </w:rPr>
        <w:t>16.1.1采用价格指数调整价格差额</w:t>
      </w:r>
    </w:p>
    <w:p>
      <w:pPr>
        <w:adjustRightInd w:val="0"/>
        <w:snapToGrid w:val="0"/>
        <w:spacing w:line="360" w:lineRule="auto"/>
        <w:ind w:firstLine="480" w:firstLineChars="200"/>
        <w:rPr>
          <w:sz w:val="24"/>
        </w:rPr>
      </w:pPr>
      <w:r>
        <w:rPr>
          <w:sz w:val="24"/>
        </w:rPr>
        <w:t>16.1</w:t>
      </w:r>
      <w:r>
        <w:rPr>
          <w:rFonts w:hint="eastAsia"/>
          <w:sz w:val="24"/>
        </w:rPr>
        <w:t>.</w:t>
      </w:r>
      <w:r>
        <w:rPr>
          <w:sz w:val="24"/>
        </w:rPr>
        <w:t>1</w:t>
      </w:r>
      <w:r>
        <w:rPr>
          <w:rFonts w:hint="eastAsia"/>
          <w:sz w:val="24"/>
        </w:rPr>
        <w:t>.</w:t>
      </w:r>
      <w:r>
        <w:rPr>
          <w:sz w:val="24"/>
        </w:rPr>
        <w:t>1价格调整公式</w:t>
      </w:r>
    </w:p>
    <w:p>
      <w:pPr>
        <w:adjustRightInd w:val="0"/>
        <w:snapToGrid w:val="0"/>
        <w:spacing w:line="360" w:lineRule="auto"/>
        <w:ind w:firstLine="480" w:firstLineChars="200"/>
        <w:rPr>
          <w:sz w:val="24"/>
        </w:rPr>
      </w:pPr>
      <w:r>
        <w:rPr>
          <w:sz w:val="24"/>
        </w:rPr>
        <w:t>本目细化为：</w:t>
      </w:r>
    </w:p>
    <w:p>
      <w:pPr>
        <w:adjustRightInd w:val="0"/>
        <w:snapToGrid w:val="0"/>
        <w:spacing w:line="360" w:lineRule="auto"/>
        <w:ind w:firstLine="480" w:firstLineChars="200"/>
        <w:rPr>
          <w:sz w:val="24"/>
        </w:rPr>
      </w:pPr>
      <w:r>
        <w:rPr>
          <w:sz w:val="24"/>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sz w:val="40"/>
        </w:rPr>
      </w:pPr>
      <w:r>
        <w:rPr>
          <w:rFonts w:hint="eastAsia" w:ascii="黑体" w:eastAsia="黑体"/>
          <w:sz w:val="34"/>
        </w:rPr>
        <w:t>△</w:t>
      </w:r>
      <w:r>
        <w:rPr>
          <w:rFonts w:eastAsia="黑体"/>
          <w:i/>
          <w:sz w:val="34"/>
        </w:rPr>
        <w:t>P</w:t>
      </w:r>
      <w:r>
        <w:rPr>
          <w:rFonts w:hint="eastAsia" w:ascii="黑体" w:eastAsia="黑体"/>
          <w:sz w:val="40"/>
        </w:rPr>
        <w:t>=</w:t>
      </w:r>
      <w:r>
        <w:rPr>
          <w:rFonts w:eastAsia="黑体"/>
          <w:i/>
          <w:sz w:val="32"/>
        </w:rPr>
        <w:t>P</w:t>
      </w:r>
      <w:r>
        <w:rPr>
          <w:rFonts w:eastAsia="黑体"/>
          <w:sz w:val="32"/>
          <w:vertAlign w:val="subscript"/>
        </w:rPr>
        <w:t>0</w:t>
      </w:r>
      <w:r>
        <w:rPr>
          <w:rFonts w:ascii="黑体" w:eastAsia="黑体"/>
          <w:position w:val="-34"/>
          <w:sz w:val="40"/>
        </w:rPr>
        <w:object>
          <v:shape id="_x0000_i1026" o:spt="75" type="#_x0000_t75" style="height:39.75pt;width:277.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5" r:id="rId15">
            <o:LockedField>false</o:LockedField>
          </o:OLEObject>
        </w:object>
      </w:r>
    </w:p>
    <w:p>
      <w:pPr>
        <w:adjustRightInd w:val="0"/>
        <w:snapToGrid w:val="0"/>
        <w:spacing w:line="360" w:lineRule="auto"/>
        <w:ind w:firstLine="480" w:firstLineChars="200"/>
        <w:rPr>
          <w:sz w:val="24"/>
        </w:rPr>
      </w:pPr>
      <w:r>
        <w:rPr>
          <w:sz w:val="24"/>
        </w:rPr>
        <w:t>式中：</w:t>
      </w:r>
      <w:r>
        <w:rPr>
          <w:rFonts w:hint="eastAsia" w:ascii="黑体" w:eastAsia="黑体"/>
          <w:sz w:val="28"/>
          <w:szCs w:val="28"/>
        </w:rPr>
        <w:t>△</w:t>
      </w:r>
      <w:r>
        <w:rPr>
          <w:rFonts w:eastAsia="黑体"/>
          <w:i/>
          <w:sz w:val="28"/>
          <w:szCs w:val="28"/>
        </w:rPr>
        <w:t>P</w:t>
      </w:r>
      <w:r>
        <w:rPr>
          <w:sz w:val="24"/>
        </w:rPr>
        <w:t>一需调整的价格差额；</w:t>
      </w:r>
    </w:p>
    <w:p>
      <w:pPr>
        <w:adjustRightInd w:val="0"/>
        <w:snapToGrid w:val="0"/>
        <w:spacing w:line="360" w:lineRule="auto"/>
        <w:ind w:firstLine="480" w:firstLineChars="200"/>
        <w:rPr>
          <w:sz w:val="24"/>
        </w:rPr>
      </w:pPr>
      <w:r>
        <w:rPr>
          <w:sz w:val="24"/>
        </w:rPr>
        <w:t>P。一第17.3.3项、第17.5.2项和第17.6.2项约定的付款证书中承包人应得到的</w:t>
      </w:r>
      <w:r>
        <w:rPr>
          <w:rFonts w:hint="eastAsia"/>
          <w:sz w:val="24"/>
        </w:rPr>
        <w:t>已</w:t>
      </w:r>
      <w:r>
        <w:rPr>
          <w:sz w:val="24"/>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sz w:val="24"/>
        </w:rPr>
      </w:pPr>
      <w:r>
        <w:rPr>
          <w:sz w:val="24"/>
        </w:rPr>
        <w:t>A</w:t>
      </w:r>
      <w:r>
        <w:rPr>
          <w:rFonts w:hint="eastAsia"/>
          <w:sz w:val="24"/>
        </w:rPr>
        <w:t>--</w:t>
      </w:r>
      <w:r>
        <w:rPr>
          <w:sz w:val="24"/>
        </w:rPr>
        <w:t>定值权重（即不调部分的权重）；</w:t>
      </w:r>
    </w:p>
    <w:p>
      <w:pPr>
        <w:adjustRightInd w:val="0"/>
        <w:snapToGrid w:val="0"/>
        <w:spacing w:line="360" w:lineRule="auto"/>
        <w:ind w:firstLine="480" w:firstLineChars="20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pPr>
        <w:adjustRightInd w:val="0"/>
        <w:snapToGrid w:val="0"/>
        <w:spacing w:line="360" w:lineRule="auto"/>
        <w:ind w:firstLine="480" w:firstLineChars="200"/>
        <w:rPr>
          <w:sz w:val="24"/>
        </w:rPr>
      </w:pPr>
      <w:r>
        <w:rPr>
          <w:sz w:val="24"/>
        </w:rPr>
        <w:t>A=1</w:t>
      </w:r>
      <w:r>
        <w:rPr>
          <w:rFonts w:hint="eastAsia"/>
          <w:sz w:val="24"/>
        </w:rPr>
        <w:t>－</w:t>
      </w:r>
      <w:r>
        <w:rPr>
          <w:sz w:val="24"/>
        </w:rPr>
        <w:t>（B</w:t>
      </w:r>
      <w:r>
        <w:rPr>
          <w:sz w:val="24"/>
          <w:vertAlign w:val="subscript"/>
        </w:rPr>
        <w:t>1</w:t>
      </w:r>
      <w:r>
        <w:rPr>
          <w:sz w:val="24"/>
        </w:rPr>
        <w:t>＋B</w:t>
      </w:r>
      <w:r>
        <w:rPr>
          <w:rFonts w:hint="eastAsia"/>
          <w:sz w:val="24"/>
          <w:vertAlign w:val="subscript"/>
        </w:rPr>
        <w:t>2</w:t>
      </w:r>
      <w:r>
        <w:rPr>
          <w:sz w:val="24"/>
        </w:rPr>
        <w:t>＋B</w:t>
      </w:r>
      <w:r>
        <w:rPr>
          <w:rFonts w:hint="eastAsia"/>
          <w:sz w:val="24"/>
          <w:vertAlign w:val="subscript"/>
        </w:rPr>
        <w:t>3</w:t>
      </w:r>
      <w:r>
        <w:rPr>
          <w:sz w:val="24"/>
        </w:rPr>
        <w:t>＋……＋B</w:t>
      </w:r>
      <w:r>
        <w:rPr>
          <w:rFonts w:hint="eastAsia"/>
          <w:sz w:val="24"/>
          <w:vertAlign w:val="subscript"/>
        </w:rPr>
        <w:t>n</w:t>
      </w:r>
      <w:r>
        <w:rPr>
          <w:sz w:val="24"/>
        </w:rPr>
        <w:t>）；</w:t>
      </w:r>
    </w:p>
    <w:p>
      <w:pPr>
        <w:adjustRightInd w:val="0"/>
        <w:snapToGrid w:val="0"/>
        <w:spacing w:line="360" w:lineRule="auto"/>
        <w:ind w:firstLine="480" w:firstLineChars="20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sz w:val="24"/>
        </w:rPr>
      </w:pPr>
      <w:r>
        <w:rPr>
          <w:sz w:val="24"/>
        </w:rPr>
        <w:t>F</w:t>
      </w:r>
      <w:r>
        <w:rPr>
          <w:sz w:val="24"/>
          <w:vertAlign w:val="subscript"/>
        </w:rPr>
        <w:t>ol</w:t>
      </w:r>
      <w:r>
        <w:rPr>
          <w:sz w:val="24"/>
        </w:rPr>
        <w:t>；F</w:t>
      </w:r>
      <w:r>
        <w:rPr>
          <w:sz w:val="24"/>
          <w:vertAlign w:val="subscript"/>
        </w:rPr>
        <w:t>o</w:t>
      </w:r>
      <w:r>
        <w:rPr>
          <w:rFonts w:hint="eastAsia"/>
          <w:sz w:val="24"/>
          <w:vertAlign w:val="subscript"/>
        </w:rPr>
        <w:t>2</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pPr>
        <w:adjustRightInd w:val="0"/>
        <w:snapToGrid w:val="0"/>
        <w:spacing w:line="360" w:lineRule="auto"/>
        <w:ind w:firstLine="480" w:firstLineChars="200"/>
        <w:rPr>
          <w:sz w:val="24"/>
        </w:rPr>
      </w:pPr>
      <w:r>
        <w:rPr>
          <w:sz w:val="24"/>
        </w:rPr>
        <w:t>在采用价格调整公式进行调价时，还应遵守以下规定：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合同价格在投标所在年份不作调整，此后每年按价格调整公式调整一次。</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sz w:val="24"/>
        </w:rPr>
      </w:pPr>
      <w:r>
        <w:rPr>
          <w:sz w:val="24"/>
        </w:rPr>
        <w:t>16.1.1.4承包人工期延误后的价格调整</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sz w:val="24"/>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sz w:val="24"/>
        </w:rPr>
      </w:pPr>
      <w:r>
        <w:rPr>
          <w:rFonts w:eastAsia="黑体"/>
          <w:sz w:val="24"/>
        </w:rPr>
        <w:t>17</w:t>
      </w:r>
      <w:r>
        <w:rPr>
          <w:rFonts w:hint="eastAsia" w:eastAsia="黑体"/>
          <w:sz w:val="24"/>
        </w:rPr>
        <w:t>．</w:t>
      </w:r>
      <w:r>
        <w:rPr>
          <w:rFonts w:eastAsia="黑体"/>
          <w:sz w:val="24"/>
        </w:rPr>
        <w:t>计量与支付</w:t>
      </w:r>
    </w:p>
    <w:p>
      <w:pPr>
        <w:adjustRightInd w:val="0"/>
        <w:snapToGrid w:val="0"/>
        <w:spacing w:line="360" w:lineRule="auto"/>
        <w:rPr>
          <w:rFonts w:eastAsia="黑体"/>
          <w:sz w:val="24"/>
        </w:rPr>
      </w:pPr>
      <w:r>
        <w:rPr>
          <w:rFonts w:eastAsia="黑体"/>
          <w:sz w:val="24"/>
        </w:rPr>
        <w:t>17</w:t>
      </w:r>
      <w:r>
        <w:rPr>
          <w:rFonts w:hint="eastAsia" w:eastAsia="黑体"/>
          <w:sz w:val="24"/>
        </w:rPr>
        <w:t>.</w:t>
      </w:r>
      <w:r>
        <w:rPr>
          <w:rFonts w:eastAsia="黑体"/>
          <w:sz w:val="24"/>
        </w:rPr>
        <w:t>1计量</w:t>
      </w:r>
    </w:p>
    <w:p>
      <w:pPr>
        <w:adjustRightInd w:val="0"/>
        <w:snapToGrid w:val="0"/>
        <w:spacing w:line="360" w:lineRule="auto"/>
        <w:ind w:firstLine="480" w:firstLineChars="200"/>
        <w:rPr>
          <w:sz w:val="24"/>
        </w:rPr>
      </w:pPr>
      <w:r>
        <w:rPr>
          <w:sz w:val="24"/>
        </w:rPr>
        <w:t>17.1.2计量方法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sz w:val="24"/>
        </w:rPr>
      </w:pPr>
      <w:r>
        <w:rPr>
          <w:sz w:val="24"/>
        </w:rPr>
        <w:t>17.1.4单价子目的计量</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sz w:val="24"/>
        </w:rPr>
      </w:pPr>
      <w:r>
        <w:rPr>
          <w:rFonts w:hint="eastAsia"/>
          <w:sz w:val="24"/>
        </w:rPr>
        <w:t>17.1.6 路面养护期计量方法</w:t>
      </w:r>
    </w:p>
    <w:p>
      <w:pPr>
        <w:adjustRightInd w:val="0"/>
        <w:snapToGrid w:val="0"/>
        <w:spacing w:line="360" w:lineRule="auto"/>
        <w:ind w:firstLine="480" w:firstLineChars="200"/>
        <w:rPr>
          <w:sz w:val="24"/>
        </w:rPr>
      </w:pPr>
      <w:r>
        <w:rPr>
          <w:rFonts w:hint="eastAsia"/>
          <w:sz w:val="24"/>
        </w:rPr>
        <w:t>（一）路面养护所有工作内容包含在综合报价中，不单独计量支付。</w:t>
      </w:r>
    </w:p>
    <w:p>
      <w:pPr>
        <w:adjustRightInd w:val="0"/>
        <w:snapToGrid w:val="0"/>
        <w:spacing w:line="360" w:lineRule="auto"/>
        <w:ind w:firstLine="480" w:firstLineChars="200"/>
        <w:rPr>
          <w:sz w:val="24"/>
        </w:rPr>
      </w:pPr>
      <w:r>
        <w:rPr>
          <w:rFonts w:hint="eastAsia"/>
          <w:sz w:val="24"/>
        </w:rPr>
        <w:t>（二</w:t>
      </w:r>
      <w:r>
        <w:rPr>
          <w:sz w:val="24"/>
        </w:rPr>
        <w:t>）</w:t>
      </w:r>
      <w:r>
        <w:rPr>
          <w:rFonts w:hint="eastAsia"/>
          <w:sz w:val="24"/>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sz w:val="24"/>
        </w:rPr>
      </w:pPr>
      <w:r>
        <w:rPr>
          <w:rFonts w:hint="eastAsia"/>
          <w:sz w:val="24"/>
        </w:rPr>
        <w:t>（1）除了合同另有规定外，所有计量单位均为公制；</w:t>
      </w:r>
    </w:p>
    <w:p>
      <w:pPr>
        <w:adjustRightInd w:val="0"/>
        <w:snapToGrid w:val="0"/>
        <w:spacing w:line="360" w:lineRule="auto"/>
        <w:ind w:firstLine="480" w:firstLineChars="200"/>
        <w:rPr>
          <w:sz w:val="24"/>
        </w:rPr>
      </w:pPr>
      <w:r>
        <w:rPr>
          <w:rFonts w:hint="eastAsia"/>
          <w:sz w:val="24"/>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sz w:val="24"/>
        </w:rPr>
      </w:pPr>
      <w:r>
        <w:rPr>
          <w:rFonts w:hint="eastAsia"/>
          <w:sz w:val="24"/>
        </w:rPr>
        <w:t>（3）每次计量支付基数为年度养护费用的百分比值，分别按照养护年度第一次计量40%，第二次计量60%；</w:t>
      </w:r>
    </w:p>
    <w:p>
      <w:pPr>
        <w:adjustRightInd w:val="0"/>
        <w:snapToGrid w:val="0"/>
        <w:spacing w:line="360" w:lineRule="auto"/>
        <w:ind w:firstLine="480" w:firstLineChars="200"/>
        <w:rPr>
          <w:sz w:val="24"/>
        </w:rPr>
      </w:pPr>
      <w:r>
        <w:rPr>
          <w:rFonts w:hint="eastAsia"/>
          <w:sz w:val="24"/>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sz w:val="24"/>
        </w:rPr>
      </w:pPr>
      <w:r>
        <w:rPr>
          <w:rFonts w:hint="eastAsia"/>
          <w:sz w:val="24"/>
        </w:rPr>
        <w:t>第一养护年度，IRI指数须达到：IRI≤1.3</w:t>
      </w:r>
    </w:p>
    <w:p>
      <w:pPr>
        <w:adjustRightInd w:val="0"/>
        <w:snapToGrid w:val="0"/>
        <w:spacing w:line="360" w:lineRule="auto"/>
        <w:ind w:firstLine="480" w:firstLineChars="200"/>
        <w:rPr>
          <w:sz w:val="24"/>
        </w:rPr>
      </w:pPr>
      <w:r>
        <w:rPr>
          <w:rFonts w:hint="eastAsia"/>
          <w:sz w:val="24"/>
        </w:rPr>
        <w:t>a.当1.3＜IRI≤1.4时，扣除该期计量的10%；</w:t>
      </w:r>
    </w:p>
    <w:p>
      <w:pPr>
        <w:adjustRightInd w:val="0"/>
        <w:snapToGrid w:val="0"/>
        <w:spacing w:line="360" w:lineRule="auto"/>
        <w:ind w:firstLine="480" w:firstLineChars="200"/>
        <w:rPr>
          <w:sz w:val="24"/>
        </w:rPr>
      </w:pPr>
      <w:r>
        <w:rPr>
          <w:rFonts w:hint="eastAsia"/>
          <w:sz w:val="24"/>
        </w:rPr>
        <w:t>b.当1.4＜IRI≤1.5时，以1.4为基数，再扣除该期计量的10%，责令承包人更换技术和质量负责人，并向其公司通报；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c.当IRI＞1.5时，将视为承包人违约，扣除该期计量，解除合同，并追究承包人的违约责任。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第二养护年度，IRI指数须≤1.4</w:t>
      </w:r>
    </w:p>
    <w:p>
      <w:pPr>
        <w:adjustRightInd w:val="0"/>
        <w:snapToGrid w:val="0"/>
        <w:spacing w:line="360" w:lineRule="auto"/>
        <w:ind w:firstLine="480" w:firstLineChars="200"/>
        <w:rPr>
          <w:sz w:val="24"/>
        </w:rPr>
      </w:pPr>
      <w:r>
        <w:rPr>
          <w:rFonts w:hint="eastAsia"/>
          <w:sz w:val="24"/>
        </w:rPr>
        <w:t>a.当1.4＜IRI≤1.5时，扣除该期计量的10%；</w:t>
      </w:r>
    </w:p>
    <w:p>
      <w:pPr>
        <w:adjustRightInd w:val="0"/>
        <w:snapToGrid w:val="0"/>
        <w:spacing w:line="360" w:lineRule="auto"/>
        <w:ind w:firstLine="480" w:firstLineChars="200"/>
        <w:rPr>
          <w:sz w:val="24"/>
        </w:rPr>
      </w:pPr>
      <w:r>
        <w:rPr>
          <w:rFonts w:hint="eastAsia"/>
          <w:sz w:val="24"/>
        </w:rPr>
        <w:t>b.当1.5＜IRI≤1.6时，以1.5为基数，再扣除该期计量的10%，责令承包人更换技术和质量负责人，并向其公司通报；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c.当IRI＞1.6时，将视为承包人违约，扣除该期计量，解除合同，并追究承包人的违约责任。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第三养护年度，IRI指数须达到：IRI≤1.5</w:t>
      </w:r>
    </w:p>
    <w:p>
      <w:pPr>
        <w:adjustRightInd w:val="0"/>
        <w:snapToGrid w:val="0"/>
        <w:spacing w:line="360" w:lineRule="auto"/>
        <w:ind w:firstLine="480" w:firstLineChars="200"/>
        <w:rPr>
          <w:sz w:val="24"/>
        </w:rPr>
      </w:pPr>
      <w:r>
        <w:rPr>
          <w:rFonts w:hint="eastAsia"/>
          <w:sz w:val="24"/>
        </w:rPr>
        <w:t>a.当1.5＜IRI≤1.6时，扣除该期计量的10%；</w:t>
      </w:r>
    </w:p>
    <w:p>
      <w:pPr>
        <w:adjustRightInd w:val="0"/>
        <w:snapToGrid w:val="0"/>
        <w:spacing w:line="360" w:lineRule="auto"/>
        <w:ind w:firstLine="480" w:firstLineChars="200"/>
        <w:rPr>
          <w:sz w:val="24"/>
        </w:rPr>
      </w:pPr>
      <w:r>
        <w:rPr>
          <w:rFonts w:hint="eastAsia"/>
          <w:sz w:val="24"/>
        </w:rPr>
        <w:t>b.当1.6＜IRI≤1.7时，以1.6为基数，再扣除该期计量的10%，责令承包人更换技术和质量负责人，并向其公司通报；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c.当IRI＞1.7时，将视为承包人违约，扣除该期计量，解除合同，并追究承包人的违约责任。</w:t>
      </w:r>
    </w:p>
    <w:p>
      <w:pPr>
        <w:spacing w:line="360" w:lineRule="auto"/>
        <w:ind w:firstLine="470" w:firstLineChars="196"/>
        <w:rPr>
          <w:sz w:val="24"/>
        </w:rPr>
      </w:pPr>
      <w:r>
        <w:rPr>
          <w:rFonts w:hint="eastAsia"/>
          <w:sz w:val="24"/>
        </w:rPr>
        <w:t>每次检测IRI值小于规定值的，给予全额计量。</w:t>
      </w:r>
    </w:p>
    <w:p>
      <w:pPr>
        <w:spacing w:line="360" w:lineRule="auto"/>
        <w:ind w:firstLine="470" w:firstLineChars="196"/>
        <w:rPr>
          <w:sz w:val="24"/>
        </w:rPr>
      </w:pPr>
      <w:r>
        <w:rPr>
          <w:rFonts w:hint="eastAsia"/>
          <w:sz w:val="24"/>
        </w:rPr>
        <w:t>（5）在一个计量周期内，每一季度综合养护指数值均不低于96分的，给予全额计量；一个计量周期内，两次季度平均综合养护指数值低于96分的：</w:t>
      </w:r>
    </w:p>
    <w:p>
      <w:pPr>
        <w:spacing w:line="360" w:lineRule="auto"/>
        <w:ind w:firstLine="470" w:firstLineChars="196"/>
        <w:rPr>
          <w:sz w:val="24"/>
        </w:rPr>
      </w:pPr>
      <w:r>
        <w:rPr>
          <w:rFonts w:hint="eastAsia"/>
          <w:sz w:val="24"/>
        </w:rPr>
        <w:t>当96.0＞综合养护指数值≥94.0时，每降低0.5分，扣除当期计量的5％；</w:t>
      </w:r>
    </w:p>
    <w:p>
      <w:pPr>
        <w:spacing w:line="360" w:lineRule="auto"/>
        <w:ind w:firstLine="470" w:firstLineChars="196"/>
        <w:rPr>
          <w:sz w:val="24"/>
        </w:rPr>
      </w:pPr>
      <w:r>
        <w:rPr>
          <w:rFonts w:hint="eastAsia"/>
          <w:sz w:val="24"/>
        </w:rPr>
        <w:t>当94.0＞综合养护指数值≥92.0时，以94分为基数，每降低0.5分，再扣除当期计量的10％，并要求承包商在规定的时间内更换项目经理和技术负责人；</w:t>
      </w:r>
    </w:p>
    <w:p>
      <w:pPr>
        <w:spacing w:line="360" w:lineRule="auto"/>
        <w:ind w:firstLine="470" w:firstLineChars="196"/>
        <w:rPr>
          <w:sz w:val="24"/>
        </w:rPr>
      </w:pPr>
      <w:r>
        <w:rPr>
          <w:rFonts w:hint="eastAsia"/>
          <w:sz w:val="24"/>
        </w:rPr>
        <w:t>当任一季度综合养护指数值≤92时，将视为承包商违约，业主将扣除承包商本期所有计量，并予以解除合同。</w:t>
      </w:r>
    </w:p>
    <w:p>
      <w:pPr>
        <w:spacing w:line="360" w:lineRule="auto"/>
        <w:ind w:firstLine="470" w:firstLineChars="196"/>
        <w:rPr>
          <w:sz w:val="24"/>
        </w:rPr>
      </w:pPr>
      <w:r>
        <w:rPr>
          <w:rFonts w:hint="eastAsia"/>
          <w:sz w:val="24"/>
        </w:rPr>
        <w:t>（6）以上国际平整度指数（IRI</w:t>
      </w:r>
      <w:r>
        <w:rPr>
          <w:sz w:val="24"/>
        </w:rPr>
        <w:t>）</w:t>
      </w:r>
      <w:r>
        <w:rPr>
          <w:rFonts w:hint="eastAsia"/>
          <w:sz w:val="24"/>
        </w:rPr>
        <w:t>和综合养护指数实行双控，任一指标低于规定值，均按照上述要求处罚，并且实行以上处罚时不免除合同规定的其它处罚。</w:t>
      </w:r>
    </w:p>
    <w:p>
      <w:pPr>
        <w:spacing w:line="360" w:lineRule="auto"/>
        <w:ind w:firstLine="470" w:firstLineChars="196"/>
        <w:rPr>
          <w:sz w:val="24"/>
        </w:rPr>
      </w:pPr>
      <w:r>
        <w:rPr>
          <w:rFonts w:hint="eastAsia"/>
          <w:sz w:val="24"/>
        </w:rPr>
        <w:t>（7</w:t>
      </w:r>
      <w:r>
        <w:rPr>
          <w:sz w:val="24"/>
        </w:rPr>
        <w:t>）</w:t>
      </w:r>
      <w:r>
        <w:rPr>
          <w:rFonts w:hint="eastAsia"/>
          <w:sz w:val="24"/>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sz w:val="24"/>
        </w:rPr>
      </w:pPr>
      <w:r>
        <w:rPr>
          <w:rFonts w:eastAsia="黑体"/>
          <w:sz w:val="24"/>
        </w:rPr>
        <w:t>17.2预付款</w:t>
      </w:r>
    </w:p>
    <w:p>
      <w:pPr>
        <w:adjustRightInd w:val="0"/>
        <w:snapToGrid w:val="0"/>
        <w:spacing w:line="360" w:lineRule="auto"/>
        <w:ind w:firstLine="480" w:firstLineChars="200"/>
        <w:rPr>
          <w:sz w:val="24"/>
        </w:rPr>
      </w:pPr>
      <w:r>
        <w:rPr>
          <w:sz w:val="24"/>
        </w:rPr>
        <w:t>17.2.1预付款</w:t>
      </w:r>
    </w:p>
    <w:p>
      <w:pPr>
        <w:adjustRightInd w:val="0"/>
        <w:snapToGrid w:val="0"/>
        <w:spacing w:line="360" w:lineRule="auto"/>
        <w:ind w:firstLine="480" w:firstLineChars="200"/>
        <w:rPr>
          <w:sz w:val="24"/>
        </w:rPr>
      </w:pPr>
      <w:r>
        <w:rPr>
          <w:sz w:val="24"/>
        </w:rPr>
        <w:t>本项约定的预付款包括开工预付款和材料、设备预付款。具体额度和预付办法如下：</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pPr>
        <w:adjustRightInd w:val="0"/>
        <w:snapToGrid w:val="0"/>
        <w:spacing w:line="360" w:lineRule="auto"/>
        <w:ind w:firstLine="480" w:firstLineChars="200"/>
        <w:rPr>
          <w:sz w:val="24"/>
        </w:rPr>
      </w:pPr>
      <w:r>
        <w:rPr>
          <w:sz w:val="24"/>
        </w:rPr>
        <w:t>a</w:t>
      </w:r>
      <w:r>
        <w:rPr>
          <w:rFonts w:hint="eastAsia"/>
          <w:sz w:val="24"/>
        </w:rPr>
        <w:t>．</w:t>
      </w:r>
      <w:r>
        <w:rPr>
          <w:sz w:val="24"/>
        </w:rPr>
        <w:t>材料、设备符合规范要求并经监理人认可；</w:t>
      </w:r>
    </w:p>
    <w:p>
      <w:pPr>
        <w:adjustRightInd w:val="0"/>
        <w:snapToGrid w:val="0"/>
        <w:spacing w:line="360" w:lineRule="auto"/>
        <w:ind w:firstLine="480" w:firstLineChars="200"/>
        <w:rPr>
          <w:sz w:val="24"/>
        </w:rPr>
      </w:pPr>
      <w:r>
        <w:rPr>
          <w:sz w:val="24"/>
        </w:rPr>
        <w:t>b</w:t>
      </w:r>
      <w:r>
        <w:rPr>
          <w:rFonts w:hint="eastAsia"/>
          <w:sz w:val="24"/>
        </w:rPr>
        <w:t>．</w:t>
      </w:r>
      <w:r>
        <w:rPr>
          <w:sz w:val="24"/>
        </w:rPr>
        <w:t>承包人已出具材料、设备费用凭证或支付单据；以及</w:t>
      </w:r>
    </w:p>
    <w:p>
      <w:pPr>
        <w:adjustRightInd w:val="0"/>
        <w:snapToGrid w:val="0"/>
        <w:spacing w:line="360" w:lineRule="auto"/>
        <w:ind w:firstLine="480" w:firstLineChars="200"/>
        <w:rPr>
          <w:sz w:val="24"/>
        </w:rPr>
      </w:pPr>
      <w:r>
        <w:rPr>
          <w:sz w:val="24"/>
        </w:rPr>
        <w:t>c</w:t>
      </w:r>
      <w:r>
        <w:rPr>
          <w:rFonts w:hint="eastAsia"/>
          <w:sz w:val="24"/>
        </w:rPr>
        <w:t>．</w:t>
      </w:r>
      <w:r>
        <w:rPr>
          <w:sz w:val="24"/>
        </w:rPr>
        <w:t>材料、设备已在现场交货，且存储良好，监理人认为材料、设备的存储方法符合要求。</w:t>
      </w:r>
    </w:p>
    <w:p>
      <w:pPr>
        <w:adjustRightInd w:val="0"/>
        <w:snapToGrid w:val="0"/>
        <w:spacing w:line="360" w:lineRule="auto"/>
        <w:ind w:firstLine="480" w:firstLineChars="200"/>
        <w:rPr>
          <w:sz w:val="24"/>
        </w:rPr>
      </w:pPr>
      <w:r>
        <w:rPr>
          <w:sz w:val="24"/>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sz w:val="24"/>
        </w:rPr>
      </w:pPr>
      <w:r>
        <w:rPr>
          <w:sz w:val="24"/>
        </w:rPr>
        <w:t>17.2.2预付款保函</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sz w:val="24"/>
        </w:rPr>
      </w:pPr>
      <w:r>
        <w:rPr>
          <w:sz w:val="24"/>
        </w:rPr>
        <w:t>17:2.3预付款的扣回与还清本项约定为：</w:t>
      </w:r>
    </w:p>
    <w:p>
      <w:pPr>
        <w:adjustRightInd w:val="0"/>
        <w:snapToGrid w:val="0"/>
        <w:spacing w:line="360" w:lineRule="auto"/>
        <w:ind w:firstLine="480" w:firstLineChars="200"/>
        <w:rPr>
          <w:sz w:val="24"/>
        </w:rPr>
      </w:pPr>
      <w:r>
        <w:rPr>
          <w:sz w:val="24"/>
        </w:rPr>
        <w:t>（1</w:t>
      </w:r>
      <w:r>
        <w:rPr>
          <w:rFonts w:hint="eastAsia"/>
          <w:sz w:val="24"/>
        </w:rPr>
        <w:t>）</w:t>
      </w:r>
      <w:r>
        <w:rPr>
          <w:sz w:val="24"/>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sz w:val="24"/>
        </w:rPr>
      </w:pPr>
      <w:r>
        <w:rPr>
          <w:rFonts w:eastAsia="黑体"/>
          <w:sz w:val="24"/>
        </w:rPr>
        <w:t>17.3工程进度付款</w:t>
      </w:r>
    </w:p>
    <w:p>
      <w:pPr>
        <w:adjustRightInd w:val="0"/>
        <w:snapToGrid w:val="0"/>
        <w:spacing w:line="360" w:lineRule="auto"/>
        <w:ind w:firstLine="480" w:firstLineChars="200"/>
        <w:rPr>
          <w:sz w:val="24"/>
        </w:rPr>
      </w:pPr>
      <w:r>
        <w:rPr>
          <w:sz w:val="24"/>
        </w:rPr>
        <w:t>17.3.2进度付款申请单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承包人在每个付款周期末，向监理人提交进度付款申请单的份数：份（在项目专用条款数据表中约定）。</w:t>
      </w:r>
    </w:p>
    <w:p>
      <w:pPr>
        <w:adjustRightInd w:val="0"/>
        <w:snapToGrid w:val="0"/>
        <w:spacing w:line="360" w:lineRule="auto"/>
        <w:ind w:firstLine="480" w:firstLineChars="200"/>
        <w:rPr>
          <w:sz w:val="24"/>
        </w:rPr>
      </w:pPr>
      <w:r>
        <w:rPr>
          <w:sz w:val="24"/>
        </w:rPr>
        <w:t>本项（6）目细化为：</w:t>
      </w:r>
    </w:p>
    <w:p>
      <w:pPr>
        <w:adjustRightInd w:val="0"/>
        <w:snapToGrid w:val="0"/>
        <w:spacing w:line="360" w:lineRule="auto"/>
        <w:ind w:firstLine="480" w:firstLineChars="200"/>
        <w:rPr>
          <w:sz w:val="24"/>
        </w:rPr>
      </w:pPr>
      <w:r>
        <w:rPr>
          <w:sz w:val="24"/>
        </w:rPr>
        <w:t>（6）根据第16条应增加和扣减的价格调整金额；</w:t>
      </w:r>
    </w:p>
    <w:p>
      <w:pPr>
        <w:adjustRightInd w:val="0"/>
        <w:snapToGrid w:val="0"/>
        <w:spacing w:line="360" w:lineRule="auto"/>
        <w:ind w:firstLine="480" w:firstLineChars="200"/>
        <w:rPr>
          <w:sz w:val="24"/>
        </w:rPr>
      </w:pPr>
      <w:r>
        <w:rPr>
          <w:rFonts w:hint="eastAsia"/>
          <w:sz w:val="24"/>
        </w:rPr>
        <w:t>（</w:t>
      </w:r>
      <w:r>
        <w:rPr>
          <w:sz w:val="24"/>
        </w:rPr>
        <w:t>7）根据合同应增加和扣减的其他金额。</w:t>
      </w:r>
    </w:p>
    <w:p>
      <w:pPr>
        <w:adjustRightInd w:val="0"/>
        <w:snapToGrid w:val="0"/>
        <w:spacing w:line="360" w:lineRule="auto"/>
        <w:ind w:firstLine="480" w:firstLineChars="200"/>
        <w:rPr>
          <w:sz w:val="24"/>
        </w:rPr>
      </w:pPr>
      <w:r>
        <w:rPr>
          <w:sz w:val="24"/>
        </w:rPr>
        <w:t>17.3.3进度付款证书和支付时间</w:t>
      </w:r>
    </w:p>
    <w:p>
      <w:pPr>
        <w:adjustRightInd w:val="0"/>
        <w:snapToGrid w:val="0"/>
        <w:spacing w:line="360" w:lineRule="auto"/>
        <w:ind w:firstLine="480" w:firstLineChars="200"/>
        <w:rPr>
          <w:sz w:val="24"/>
        </w:rPr>
      </w:pPr>
      <w:r>
        <w:rPr>
          <w:sz w:val="24"/>
        </w:rPr>
        <w:t>本项（1</w:t>
      </w:r>
      <w:r>
        <w:rPr>
          <w:rFonts w:hint="eastAsia"/>
          <w:sz w:val="24"/>
        </w:rPr>
        <w:t>）</w:t>
      </w:r>
      <w:r>
        <w:rPr>
          <w:sz w:val="24"/>
        </w:rPr>
        <w:t>目补充：</w:t>
      </w:r>
    </w:p>
    <w:p>
      <w:pPr>
        <w:adjustRightInd w:val="0"/>
        <w:snapToGrid w:val="0"/>
        <w:spacing w:line="360" w:lineRule="auto"/>
        <w:ind w:firstLine="480" w:firstLineChars="20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目约定为：</w:t>
      </w:r>
    </w:p>
    <w:p>
      <w:pPr>
        <w:adjustRightInd w:val="0"/>
        <w:snapToGrid w:val="0"/>
        <w:spacing w:line="360" w:lineRule="auto"/>
        <w:ind w:firstLine="480" w:firstLineChars="200"/>
        <w:rPr>
          <w:sz w:val="24"/>
        </w:rPr>
      </w:pPr>
      <w:r>
        <w:rPr>
          <w:sz w:val="24"/>
        </w:rPr>
        <w:t>发包人不按期支付的，按</w:t>
      </w:r>
      <w:r>
        <w:rPr>
          <w:rFonts w:hint="eastAsia" w:ascii="宋体" w:hAnsi="宋体"/>
          <w:sz w:val="24"/>
        </w:rPr>
        <w:t>‰天（</w:t>
      </w:r>
      <w:r>
        <w:rPr>
          <w:sz w:val="24"/>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sz w:val="24"/>
        </w:rPr>
      </w:pPr>
      <w:r>
        <w:rPr>
          <w:sz w:val="24"/>
        </w:rPr>
        <w:t>本项</w:t>
      </w:r>
      <w:r>
        <w:rPr>
          <w:rFonts w:hint="eastAsia"/>
          <w:sz w:val="24"/>
        </w:rPr>
        <w:t>（</w:t>
      </w:r>
      <w:r>
        <w:rPr>
          <w:sz w:val="24"/>
        </w:rPr>
        <w:t>4</w:t>
      </w:r>
      <w:r>
        <w:rPr>
          <w:rFonts w:hint="eastAsia"/>
          <w:sz w:val="24"/>
        </w:rPr>
        <w:t>）</w:t>
      </w:r>
      <w:r>
        <w:rPr>
          <w:sz w:val="24"/>
        </w:rPr>
        <w:t>目约定为：</w:t>
      </w:r>
    </w:p>
    <w:p>
      <w:pPr>
        <w:adjustRightInd w:val="0"/>
        <w:snapToGrid w:val="0"/>
        <w:spacing w:line="360" w:lineRule="auto"/>
        <w:ind w:firstLine="480" w:firstLineChars="200"/>
        <w:rPr>
          <w:sz w:val="24"/>
        </w:rPr>
      </w:pPr>
      <w:r>
        <w:rPr>
          <w:sz w:val="24"/>
        </w:rPr>
        <w:t>进度付款涉及政府投资资金的，按照以下规定办理：</w:t>
      </w:r>
      <w:r>
        <w:rPr>
          <w:rFonts w:hint="eastAsia"/>
          <w:sz w:val="24"/>
          <w:u w:val="single"/>
        </w:rPr>
        <w:t xml:space="preserve">  （见项目专用合同条款</w:t>
      </w:r>
      <w:r>
        <w:rPr>
          <w:sz w:val="24"/>
          <w:u w:val="single"/>
        </w:rPr>
        <w:t>）</w:t>
      </w:r>
    </w:p>
    <w:p>
      <w:pPr>
        <w:adjustRightInd w:val="0"/>
        <w:snapToGrid w:val="0"/>
        <w:spacing w:beforeLines="100" w:line="360" w:lineRule="auto"/>
        <w:rPr>
          <w:rFonts w:eastAsia="黑体"/>
          <w:sz w:val="24"/>
        </w:rPr>
      </w:pPr>
      <w:r>
        <w:rPr>
          <w:rFonts w:eastAsia="黑体"/>
          <w:sz w:val="24"/>
        </w:rPr>
        <w:t>17.4质量保证金</w:t>
      </w:r>
    </w:p>
    <w:p>
      <w:pPr>
        <w:adjustRightInd w:val="0"/>
        <w:snapToGrid w:val="0"/>
        <w:spacing w:line="360" w:lineRule="auto"/>
        <w:ind w:firstLine="480" w:firstLineChars="200"/>
        <w:rPr>
          <w:rFonts w:eastAsia="黑体"/>
          <w:sz w:val="24"/>
        </w:rPr>
      </w:pPr>
      <w:r>
        <w:rPr>
          <w:rFonts w:eastAsia="黑体"/>
          <w:sz w:val="24"/>
        </w:rPr>
        <w:t>17.4.1项细化为：</w:t>
      </w:r>
    </w:p>
    <w:p>
      <w:pPr>
        <w:adjustRightInd w:val="0"/>
        <w:snapToGrid w:val="0"/>
        <w:spacing w:line="360" w:lineRule="auto"/>
        <w:ind w:firstLine="480" w:firstLineChars="200"/>
        <w:rPr>
          <w:sz w:val="24"/>
        </w:rPr>
      </w:pPr>
      <w:r>
        <w:rPr>
          <w:sz w:val="24"/>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sz w:val="24"/>
        </w:rPr>
      </w:pPr>
      <w:r>
        <w:rPr>
          <w:rFonts w:eastAsia="黑体"/>
          <w:sz w:val="24"/>
        </w:rPr>
        <w:t>17.5竣工结算</w:t>
      </w:r>
    </w:p>
    <w:p>
      <w:pPr>
        <w:adjustRightInd w:val="0"/>
        <w:snapToGrid w:val="0"/>
        <w:spacing w:line="360" w:lineRule="auto"/>
        <w:ind w:firstLine="480" w:firstLineChars="200"/>
        <w:rPr>
          <w:rFonts w:eastAsia="黑体"/>
          <w:sz w:val="24"/>
        </w:rPr>
      </w:pPr>
      <w:r>
        <w:rPr>
          <w:rFonts w:eastAsia="黑体"/>
          <w:sz w:val="24"/>
        </w:rPr>
        <w:t>17.5.1竣工付款申请单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承包人向监理人提交竣工付款申请单（包括相关证明材料）的份数：份（在项目专用条款数据表中约定）；期限：</w:t>
      </w:r>
      <w:r>
        <w:rPr>
          <w:sz w:val="24"/>
          <w:u w:val="single"/>
        </w:rPr>
        <w:t>工程接收证书签发后42天内</w:t>
      </w:r>
      <w:r>
        <w:rPr>
          <w:rFonts w:hint="eastAsia"/>
          <w:sz w:val="24"/>
        </w:rPr>
        <w:t>。</w:t>
      </w:r>
    </w:p>
    <w:p>
      <w:pPr>
        <w:adjustRightInd w:val="0"/>
        <w:snapToGrid w:val="0"/>
        <w:spacing w:beforeLines="100" w:line="360" w:lineRule="auto"/>
        <w:rPr>
          <w:rFonts w:eastAsia="黑体"/>
          <w:sz w:val="24"/>
        </w:rPr>
      </w:pPr>
      <w:r>
        <w:rPr>
          <w:rFonts w:eastAsia="黑体"/>
          <w:sz w:val="24"/>
        </w:rPr>
        <w:t>17.6最终结清</w:t>
      </w:r>
    </w:p>
    <w:p>
      <w:pPr>
        <w:adjustRightInd w:val="0"/>
        <w:snapToGrid w:val="0"/>
        <w:spacing w:line="360" w:lineRule="auto"/>
        <w:ind w:firstLine="480" w:firstLineChars="200"/>
        <w:rPr>
          <w:rFonts w:eastAsia="黑体"/>
          <w:sz w:val="24"/>
        </w:rPr>
      </w:pPr>
      <w:r>
        <w:rPr>
          <w:rFonts w:eastAsia="黑体"/>
          <w:sz w:val="24"/>
        </w:rPr>
        <w:t>17.6.1最终结清申请单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承包人向监理人提交最终结清申请单（包括相关证明材料）的份数：份（在项目专用条款数据表中约定）；期限：</w:t>
      </w:r>
      <w:r>
        <w:rPr>
          <w:sz w:val="24"/>
          <w:u w:val="single"/>
        </w:rPr>
        <w:t>缺陷责任期终止证书签发后28天内</w:t>
      </w:r>
      <w:r>
        <w:rPr>
          <w:sz w:val="24"/>
        </w:rPr>
        <w:t>。</w:t>
      </w:r>
    </w:p>
    <w:p>
      <w:pPr>
        <w:adjustRightInd w:val="0"/>
        <w:snapToGrid w:val="0"/>
        <w:spacing w:line="360" w:lineRule="auto"/>
        <w:ind w:firstLine="480" w:firstLineChars="200"/>
        <w:rPr>
          <w:sz w:val="24"/>
        </w:rPr>
      </w:pPr>
      <w:r>
        <w:rPr>
          <w:sz w:val="24"/>
        </w:rPr>
        <w:t>最终结清申请单中的总金额应认为是代表了根据合同规定应付给承包人的全部款项的最后结算。</w:t>
      </w:r>
    </w:p>
    <w:p>
      <w:pPr>
        <w:adjustRightInd w:val="0"/>
        <w:snapToGrid w:val="0"/>
        <w:spacing w:beforeLines="100" w:line="360" w:lineRule="auto"/>
        <w:rPr>
          <w:rFonts w:eastAsia="黑体"/>
          <w:sz w:val="24"/>
        </w:rPr>
      </w:pPr>
      <w:r>
        <w:rPr>
          <w:rFonts w:eastAsia="黑体"/>
          <w:sz w:val="24"/>
        </w:rPr>
        <w:t>18．竣工验收</w:t>
      </w:r>
    </w:p>
    <w:p>
      <w:pPr>
        <w:adjustRightInd w:val="0"/>
        <w:snapToGrid w:val="0"/>
        <w:spacing w:line="360" w:lineRule="auto"/>
        <w:rPr>
          <w:rFonts w:eastAsia="黑体"/>
          <w:sz w:val="24"/>
        </w:rPr>
      </w:pPr>
      <w:r>
        <w:rPr>
          <w:rFonts w:eastAsia="黑体"/>
          <w:sz w:val="24"/>
        </w:rPr>
        <w:t>18.1竣工验收的含义</w:t>
      </w:r>
    </w:p>
    <w:p>
      <w:pPr>
        <w:adjustRightInd w:val="0"/>
        <w:snapToGrid w:val="0"/>
        <w:spacing w:line="360" w:lineRule="auto"/>
        <w:ind w:firstLine="480" w:firstLineChars="200"/>
        <w:rPr>
          <w:sz w:val="24"/>
        </w:rPr>
      </w:pPr>
      <w:r>
        <w:rPr>
          <w:sz w:val="24"/>
        </w:rPr>
        <w:t>本款增加第18.1.4项：</w:t>
      </w:r>
    </w:p>
    <w:p>
      <w:pPr>
        <w:adjustRightInd w:val="0"/>
        <w:snapToGrid w:val="0"/>
        <w:spacing w:line="360" w:lineRule="auto"/>
        <w:ind w:firstLine="480" w:firstLineChars="200"/>
        <w:rPr>
          <w:sz w:val="24"/>
        </w:rPr>
      </w:pPr>
      <w:r>
        <w:rPr>
          <w:sz w:val="24"/>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sz w:val="24"/>
        </w:rPr>
      </w:pPr>
      <w:r>
        <w:rPr>
          <w:rFonts w:eastAsia="黑体"/>
          <w:sz w:val="24"/>
        </w:rPr>
        <w:t>18.3验收</w:t>
      </w:r>
    </w:p>
    <w:p>
      <w:pPr>
        <w:adjustRightInd w:val="0"/>
        <w:snapToGrid w:val="0"/>
        <w:spacing w:line="360" w:lineRule="auto"/>
        <w:ind w:firstLine="480" w:firstLineChars="200"/>
        <w:rPr>
          <w:rFonts w:eastAsia="黑体"/>
          <w:sz w:val="24"/>
        </w:rPr>
      </w:pPr>
      <w:r>
        <w:rPr>
          <w:rFonts w:eastAsia="黑体"/>
          <w:sz w:val="24"/>
        </w:rPr>
        <w:t>18.3.2项补充：</w:t>
      </w:r>
    </w:p>
    <w:p>
      <w:pPr>
        <w:adjustRightInd w:val="0"/>
        <w:snapToGrid w:val="0"/>
        <w:spacing w:line="360" w:lineRule="auto"/>
        <w:ind w:firstLine="480" w:firstLineChars="20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sz w:val="24"/>
        </w:rPr>
      </w:pPr>
      <w:r>
        <w:rPr>
          <w:sz w:val="24"/>
        </w:rPr>
        <w:t>18.3.5项约定为：</w:t>
      </w:r>
    </w:p>
    <w:p>
      <w:pPr>
        <w:adjustRightInd w:val="0"/>
        <w:snapToGrid w:val="0"/>
        <w:spacing w:line="360" w:lineRule="auto"/>
        <w:ind w:firstLine="480" w:firstLineChars="200"/>
        <w:rPr>
          <w:sz w:val="24"/>
        </w:rPr>
      </w:pPr>
      <w:r>
        <w:rPr>
          <w:sz w:val="24"/>
        </w:rPr>
        <w:t>经验收合格工程的实际竣工日期，以最终提交竣工验收申请报告的日期为准，并在工程接收证书中写明。</w:t>
      </w:r>
    </w:p>
    <w:p>
      <w:pPr>
        <w:adjustRightInd w:val="0"/>
        <w:snapToGrid w:val="0"/>
        <w:spacing w:line="360" w:lineRule="auto"/>
        <w:ind w:firstLine="480" w:firstLineChars="200"/>
        <w:rPr>
          <w:sz w:val="24"/>
        </w:rPr>
      </w:pPr>
      <w:r>
        <w:rPr>
          <w:sz w:val="24"/>
        </w:rPr>
        <w:t>本款增加第18.3.7项：</w:t>
      </w:r>
    </w:p>
    <w:p>
      <w:pPr>
        <w:adjustRightInd w:val="0"/>
        <w:snapToGrid w:val="0"/>
        <w:spacing w:line="360" w:lineRule="auto"/>
        <w:ind w:firstLine="480" w:firstLineChars="200"/>
        <w:rPr>
          <w:sz w:val="24"/>
        </w:rPr>
      </w:pPr>
      <w:r>
        <w:rPr>
          <w:sz w:val="24"/>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sz w:val="24"/>
        </w:rPr>
      </w:pPr>
      <w:r>
        <w:rPr>
          <w:rFonts w:eastAsia="黑体"/>
          <w:sz w:val="24"/>
        </w:rPr>
        <w:t>18.5施工期运行</w:t>
      </w:r>
    </w:p>
    <w:p>
      <w:pPr>
        <w:adjustRightInd w:val="0"/>
        <w:snapToGrid w:val="0"/>
        <w:spacing w:line="360" w:lineRule="auto"/>
        <w:ind w:firstLine="480" w:firstLineChars="200"/>
        <w:rPr>
          <w:sz w:val="24"/>
        </w:rPr>
      </w:pPr>
      <w:r>
        <w:rPr>
          <w:sz w:val="24"/>
        </w:rPr>
        <w:t>18.5.1项约定：</w:t>
      </w:r>
    </w:p>
    <w:p>
      <w:pPr>
        <w:adjustRightInd w:val="0"/>
        <w:snapToGrid w:val="0"/>
        <w:spacing w:line="360" w:lineRule="auto"/>
        <w:ind w:firstLine="480" w:firstLineChars="200"/>
        <w:rPr>
          <w:sz w:val="24"/>
          <w:u w:val="single"/>
        </w:rPr>
      </w:pPr>
      <w:r>
        <w:rPr>
          <w:sz w:val="24"/>
        </w:rPr>
        <w:t>单位工程或工程设备是否需投入施工期运行：</w:t>
      </w:r>
      <w:r>
        <w:rPr>
          <w:rFonts w:hint="eastAsia"/>
          <w:sz w:val="24"/>
          <w:u w:val="single"/>
        </w:rPr>
        <w:t xml:space="preserve">  （见项目专用合同条款） </w:t>
      </w:r>
    </w:p>
    <w:p>
      <w:pPr>
        <w:adjustRightInd w:val="0"/>
        <w:snapToGrid w:val="0"/>
        <w:spacing w:beforeLines="100" w:line="360" w:lineRule="auto"/>
        <w:rPr>
          <w:rFonts w:eastAsia="黑体"/>
          <w:sz w:val="24"/>
        </w:rPr>
      </w:pPr>
      <w:r>
        <w:rPr>
          <w:rFonts w:hint="eastAsia" w:eastAsia="黑体"/>
          <w:sz w:val="24"/>
        </w:rPr>
        <w:t>18.6试运行</w:t>
      </w:r>
    </w:p>
    <w:p>
      <w:pPr>
        <w:adjustRightInd w:val="0"/>
        <w:snapToGrid w:val="0"/>
        <w:spacing w:line="360" w:lineRule="auto"/>
        <w:ind w:firstLine="480" w:firstLineChars="200"/>
        <w:rPr>
          <w:sz w:val="24"/>
        </w:rPr>
      </w:pPr>
      <w:r>
        <w:rPr>
          <w:sz w:val="24"/>
        </w:rPr>
        <w:t>18.6.1项约定：</w:t>
      </w:r>
    </w:p>
    <w:p>
      <w:pPr>
        <w:adjustRightInd w:val="0"/>
        <w:snapToGrid w:val="0"/>
        <w:spacing w:line="360" w:lineRule="auto"/>
        <w:ind w:firstLine="480" w:firstLineChars="200"/>
        <w:rPr>
          <w:sz w:val="24"/>
          <w:u w:val="single"/>
        </w:rPr>
      </w:pPr>
      <w:r>
        <w:rPr>
          <w:sz w:val="24"/>
        </w:rPr>
        <w:t>本工程及工程设备是否进行试运行：</w:t>
      </w:r>
      <w:r>
        <w:rPr>
          <w:rFonts w:hint="eastAsia"/>
          <w:sz w:val="24"/>
          <w:u w:val="single"/>
        </w:rPr>
        <w:t xml:space="preserve">  （见项目专用合同条款）</w:t>
      </w:r>
    </w:p>
    <w:p>
      <w:pPr>
        <w:adjustRightInd w:val="0"/>
        <w:snapToGrid w:val="0"/>
        <w:spacing w:line="360" w:lineRule="auto"/>
        <w:ind w:firstLine="480" w:firstLineChars="200"/>
        <w:rPr>
          <w:sz w:val="24"/>
        </w:rPr>
      </w:pPr>
      <w:r>
        <w:rPr>
          <w:sz w:val="24"/>
        </w:rPr>
        <w:t>试运行的内容：</w:t>
      </w:r>
      <w:r>
        <w:rPr>
          <w:rFonts w:hint="eastAsia"/>
          <w:sz w:val="24"/>
          <w:u w:val="single"/>
        </w:rPr>
        <w:t xml:space="preserve">  （见项目专用合同条款）</w:t>
      </w:r>
    </w:p>
    <w:p>
      <w:pPr>
        <w:adjustRightInd w:val="0"/>
        <w:snapToGrid w:val="0"/>
        <w:spacing w:line="360" w:lineRule="auto"/>
        <w:ind w:firstLine="480" w:firstLineChars="200"/>
        <w:rPr>
          <w:sz w:val="24"/>
        </w:rPr>
      </w:pPr>
      <w:r>
        <w:rPr>
          <w:sz w:val="24"/>
        </w:rPr>
        <w:t>试运行的费用约定：</w:t>
      </w:r>
      <w:r>
        <w:rPr>
          <w:rFonts w:hint="eastAsia"/>
          <w:sz w:val="24"/>
          <w:u w:val="single"/>
        </w:rPr>
        <w:t xml:space="preserve">  （见项目专用合同条款）</w:t>
      </w:r>
    </w:p>
    <w:p>
      <w:pPr>
        <w:adjustRightInd w:val="0"/>
        <w:snapToGrid w:val="0"/>
        <w:spacing w:beforeLines="100" w:line="360" w:lineRule="auto"/>
        <w:rPr>
          <w:rFonts w:eastAsia="黑体"/>
          <w:sz w:val="24"/>
        </w:rPr>
      </w:pPr>
      <w:r>
        <w:rPr>
          <w:rFonts w:eastAsia="黑体"/>
          <w:sz w:val="24"/>
        </w:rPr>
        <w:t>本条增加第18.9款：</w:t>
      </w:r>
    </w:p>
    <w:p>
      <w:pPr>
        <w:adjustRightInd w:val="0"/>
        <w:snapToGrid w:val="0"/>
        <w:spacing w:line="360" w:lineRule="auto"/>
        <w:rPr>
          <w:rFonts w:eastAsia="黑体"/>
          <w:sz w:val="24"/>
        </w:rPr>
      </w:pPr>
      <w:r>
        <w:rPr>
          <w:rFonts w:eastAsia="黑体"/>
          <w:sz w:val="24"/>
        </w:rPr>
        <w:t>18.9竣工文件</w:t>
      </w:r>
    </w:p>
    <w:p>
      <w:pPr>
        <w:adjustRightInd w:val="0"/>
        <w:snapToGrid w:val="0"/>
        <w:spacing w:line="360" w:lineRule="auto"/>
        <w:ind w:firstLine="480" w:firstLineChars="20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sz w:val="24"/>
        </w:rPr>
      </w:pPr>
      <w:r>
        <w:rPr>
          <w:rFonts w:eastAsia="黑体"/>
          <w:sz w:val="24"/>
        </w:rPr>
        <w:t>19</w:t>
      </w:r>
      <w:r>
        <w:rPr>
          <w:rFonts w:hint="eastAsia" w:eastAsia="黑体"/>
          <w:sz w:val="24"/>
        </w:rPr>
        <w:t>．</w:t>
      </w:r>
      <w:r>
        <w:rPr>
          <w:rFonts w:eastAsia="黑体"/>
          <w:sz w:val="24"/>
        </w:rPr>
        <w:t>缺陷责任与保修责任</w:t>
      </w:r>
    </w:p>
    <w:p>
      <w:pPr>
        <w:adjustRightInd w:val="0"/>
        <w:snapToGrid w:val="0"/>
        <w:spacing w:line="360" w:lineRule="auto"/>
        <w:rPr>
          <w:rFonts w:eastAsia="黑体"/>
          <w:sz w:val="24"/>
        </w:rPr>
      </w:pPr>
      <w:r>
        <w:rPr>
          <w:rFonts w:eastAsia="黑体"/>
          <w:sz w:val="24"/>
        </w:rPr>
        <w:t>19.2缺陷责任</w:t>
      </w:r>
    </w:p>
    <w:p>
      <w:pPr>
        <w:adjustRightInd w:val="0"/>
        <w:snapToGrid w:val="0"/>
        <w:spacing w:line="360" w:lineRule="auto"/>
        <w:ind w:firstLine="480" w:firstLineChars="200"/>
        <w:rPr>
          <w:sz w:val="24"/>
        </w:rPr>
      </w:pPr>
      <w:r>
        <w:rPr>
          <w:sz w:val="24"/>
        </w:rPr>
        <w:t>19.2.2项补充：</w:t>
      </w:r>
    </w:p>
    <w:p>
      <w:pPr>
        <w:adjustRightInd w:val="0"/>
        <w:snapToGrid w:val="0"/>
        <w:spacing w:line="360" w:lineRule="auto"/>
        <w:ind w:firstLine="480" w:firstLineChars="200"/>
        <w:rPr>
          <w:sz w:val="24"/>
        </w:rPr>
      </w:pPr>
      <w:r>
        <w:rPr>
          <w:sz w:val="24"/>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sz w:val="24"/>
        </w:rPr>
      </w:pPr>
      <w:r>
        <w:rPr>
          <w:sz w:val="24"/>
        </w:rPr>
        <w:t>19.2.3项补充：</w:t>
      </w:r>
    </w:p>
    <w:p>
      <w:pPr>
        <w:adjustRightInd w:val="0"/>
        <w:snapToGrid w:val="0"/>
        <w:spacing w:line="360" w:lineRule="auto"/>
        <w:ind w:firstLine="480" w:firstLineChars="200"/>
        <w:rPr>
          <w:sz w:val="24"/>
        </w:rPr>
      </w:pPr>
      <w:r>
        <w:rPr>
          <w:sz w:val="24"/>
        </w:rPr>
        <w:t>在缺陷责任期内，下述原因造成的缺陷修复和查验费用应由承包人自行负责：</w:t>
      </w:r>
    </w:p>
    <w:p>
      <w:pPr>
        <w:adjustRightInd w:val="0"/>
        <w:snapToGrid w:val="0"/>
        <w:spacing w:line="360" w:lineRule="auto"/>
        <w:ind w:firstLine="480" w:firstLineChars="200"/>
        <w:rPr>
          <w:sz w:val="24"/>
        </w:rPr>
      </w:pPr>
      <w:r>
        <w:rPr>
          <w:sz w:val="24"/>
        </w:rPr>
        <w:t>（1</w:t>
      </w:r>
      <w:r>
        <w:rPr>
          <w:rFonts w:hint="eastAsia"/>
          <w:sz w:val="24"/>
        </w:rPr>
        <w:t>）</w:t>
      </w:r>
      <w:r>
        <w:rPr>
          <w:sz w:val="24"/>
        </w:rPr>
        <w:t>承包人所用的材料、设备或操作工艺不符合合同要求；或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承包人的疏忽或未遵守合同中对承包人规定的义务。</w:t>
      </w:r>
    </w:p>
    <w:p>
      <w:pPr>
        <w:adjustRightInd w:val="0"/>
        <w:snapToGrid w:val="0"/>
        <w:spacing w:beforeLines="100" w:line="360" w:lineRule="auto"/>
        <w:rPr>
          <w:rFonts w:eastAsia="黑体"/>
          <w:sz w:val="24"/>
        </w:rPr>
      </w:pPr>
      <w:r>
        <w:rPr>
          <w:rFonts w:eastAsia="黑体"/>
          <w:sz w:val="24"/>
        </w:rPr>
        <w:t>19.3缺陷责任期的延长</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sz w:val="24"/>
        </w:rPr>
      </w:pPr>
      <w:r>
        <w:rPr>
          <w:rFonts w:eastAsia="黑体"/>
          <w:sz w:val="24"/>
        </w:rPr>
        <w:t>19.5承包人的进入权</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sz w:val="24"/>
        </w:rPr>
      </w:pPr>
      <w:r>
        <w:rPr>
          <w:rFonts w:eastAsia="黑体"/>
          <w:sz w:val="24"/>
        </w:rPr>
        <w:t>19.7保修责任</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sz w:val="24"/>
        </w:rPr>
      </w:pPr>
      <w:r>
        <w:rPr>
          <w:sz w:val="24"/>
        </w:rPr>
        <w:t>（2</w:t>
      </w:r>
      <w:r>
        <w:rPr>
          <w:rFonts w:hint="eastAsia"/>
          <w:sz w:val="24"/>
        </w:rPr>
        <w:t>）</w:t>
      </w:r>
      <w:r>
        <w:rPr>
          <w:sz w:val="24"/>
        </w:rPr>
        <w:t>在全部工程竣工验收前，已经发包人提前验收的单位工程，其保修期的起算日期相应提前。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工程保修期终止后28天内，监理人签发保修期终止证书。</w:t>
      </w:r>
    </w:p>
    <w:p>
      <w:pPr>
        <w:adjustRightInd w:val="0"/>
        <w:snapToGrid w:val="0"/>
        <w:spacing w:line="360" w:lineRule="auto"/>
        <w:ind w:firstLine="480" w:firstLineChars="200"/>
        <w:rPr>
          <w:sz w:val="24"/>
        </w:rPr>
      </w:pPr>
    </w:p>
    <w:p>
      <w:pPr>
        <w:adjustRightInd w:val="0"/>
        <w:snapToGrid w:val="0"/>
        <w:spacing w:beforeLines="100" w:line="360" w:lineRule="auto"/>
        <w:rPr>
          <w:rFonts w:eastAsia="黑体"/>
          <w:sz w:val="24"/>
        </w:rPr>
      </w:pPr>
      <w:r>
        <w:rPr>
          <w:rFonts w:eastAsia="黑体"/>
          <w:sz w:val="24"/>
        </w:rPr>
        <w:t>19.</w:t>
      </w:r>
      <w:r>
        <w:rPr>
          <w:rFonts w:hint="eastAsia" w:eastAsia="黑体"/>
          <w:sz w:val="24"/>
        </w:rPr>
        <w:t>8路面保修</w:t>
      </w:r>
    </w:p>
    <w:p>
      <w:pPr>
        <w:adjustRightInd w:val="0"/>
        <w:snapToGrid w:val="0"/>
        <w:spacing w:line="360" w:lineRule="auto"/>
        <w:ind w:firstLine="480" w:firstLineChars="200"/>
        <w:rPr>
          <w:sz w:val="24"/>
        </w:rPr>
      </w:pPr>
      <w:r>
        <w:rPr>
          <w:rFonts w:hint="eastAsia"/>
          <w:sz w:val="24"/>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sz w:val="24"/>
        </w:rPr>
      </w:pPr>
      <w:r>
        <w:rPr>
          <w:rFonts w:eastAsia="黑体"/>
          <w:sz w:val="24"/>
        </w:rPr>
        <w:t>20</w:t>
      </w:r>
      <w:r>
        <w:rPr>
          <w:rFonts w:hint="eastAsia" w:eastAsia="黑体"/>
          <w:sz w:val="24"/>
        </w:rPr>
        <w:t>．</w:t>
      </w:r>
      <w:r>
        <w:rPr>
          <w:rFonts w:eastAsia="黑体"/>
          <w:sz w:val="24"/>
        </w:rPr>
        <w:t>保险</w:t>
      </w:r>
    </w:p>
    <w:p>
      <w:pPr>
        <w:adjustRightInd w:val="0"/>
        <w:snapToGrid w:val="0"/>
        <w:spacing w:line="360" w:lineRule="auto"/>
        <w:rPr>
          <w:rFonts w:eastAsia="黑体"/>
          <w:sz w:val="24"/>
        </w:rPr>
      </w:pPr>
      <w:r>
        <w:rPr>
          <w:rFonts w:eastAsia="黑体"/>
          <w:sz w:val="24"/>
        </w:rPr>
        <w:t>20.1工程保险</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pPr>
        <w:adjustRightInd w:val="0"/>
        <w:snapToGrid w:val="0"/>
        <w:spacing w:line="360" w:lineRule="auto"/>
        <w:ind w:firstLine="480" w:firstLineChars="200"/>
        <w:rPr>
          <w:sz w:val="24"/>
        </w:rPr>
      </w:pPr>
      <w:r>
        <w:rPr>
          <w:sz w:val="24"/>
        </w:rPr>
        <w:t>保险金额：工程量清单第100章（不含建筑工程一切险及第三者责任险的保险费）至700章的合计金额。</w:t>
      </w:r>
    </w:p>
    <w:p>
      <w:pPr>
        <w:adjustRightInd w:val="0"/>
        <w:snapToGrid w:val="0"/>
        <w:spacing w:line="360" w:lineRule="auto"/>
        <w:ind w:firstLine="480" w:firstLineChars="200"/>
        <w:rPr>
          <w:sz w:val="24"/>
        </w:rPr>
      </w:pPr>
      <w:r>
        <w:rPr>
          <w:sz w:val="24"/>
        </w:rPr>
        <w:t>保险费率：</w:t>
      </w:r>
      <w:r>
        <w:rPr>
          <w:rFonts w:hint="eastAsia"/>
          <w:sz w:val="24"/>
        </w:rPr>
        <w:t>%</w:t>
      </w:r>
      <w:r>
        <w:rPr>
          <w:sz w:val="24"/>
        </w:rPr>
        <w:t>（在项目专用条款数据中约定）</w:t>
      </w:r>
    </w:p>
    <w:p>
      <w:pPr>
        <w:adjustRightInd w:val="0"/>
        <w:snapToGrid w:val="0"/>
        <w:spacing w:line="360" w:lineRule="auto"/>
        <w:ind w:firstLine="480" w:firstLineChars="200"/>
        <w:rPr>
          <w:sz w:val="24"/>
        </w:rPr>
      </w:pPr>
      <w:r>
        <w:rPr>
          <w:sz w:val="24"/>
        </w:rPr>
        <w:t>保险期限：开工日起直至本合同工程签发缺陷责任期终止证书止（即合同工期＋缺陷责任期）</w:t>
      </w:r>
    </w:p>
    <w:p>
      <w:pPr>
        <w:adjustRightInd w:val="0"/>
        <w:snapToGrid w:val="0"/>
        <w:spacing w:line="360" w:lineRule="auto"/>
        <w:ind w:firstLine="480" w:firstLineChars="200"/>
        <w:rPr>
          <w:sz w:val="24"/>
        </w:rPr>
      </w:pPr>
      <w:r>
        <w:rPr>
          <w:sz w:val="24"/>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20.4第三者责任险</w:t>
      </w:r>
    </w:p>
    <w:p>
      <w:pPr>
        <w:adjustRightInd w:val="0"/>
        <w:snapToGrid w:val="0"/>
        <w:spacing w:line="360" w:lineRule="auto"/>
        <w:ind w:firstLine="480" w:firstLineChars="200"/>
        <w:rPr>
          <w:sz w:val="24"/>
        </w:rPr>
      </w:pPr>
      <w:r>
        <w:rPr>
          <w:sz w:val="24"/>
        </w:rPr>
        <w:t>20.4.2项约定为：</w:t>
      </w:r>
    </w:p>
    <w:p>
      <w:pPr>
        <w:adjustRightInd w:val="0"/>
        <w:snapToGrid w:val="0"/>
        <w:spacing w:line="360" w:lineRule="auto"/>
        <w:ind w:firstLine="480" w:firstLineChars="200"/>
        <w:rPr>
          <w:sz w:val="24"/>
        </w:rPr>
      </w:pPr>
      <w:r>
        <w:rPr>
          <w:sz w:val="24"/>
        </w:rPr>
        <w:t>第三者责任险的最低保险金额：万元人民币，事故次数不限（不计免赔额）</w:t>
      </w:r>
    </w:p>
    <w:p>
      <w:pPr>
        <w:adjustRightInd w:val="0"/>
        <w:snapToGrid w:val="0"/>
        <w:spacing w:line="360" w:lineRule="auto"/>
        <w:ind w:firstLine="480" w:firstLineChars="200"/>
        <w:rPr>
          <w:sz w:val="24"/>
        </w:rPr>
      </w:pPr>
      <w:r>
        <w:rPr>
          <w:sz w:val="24"/>
        </w:rPr>
        <w:t>保险费率：％。（在项目专用合同条款中约定）</w:t>
      </w:r>
    </w:p>
    <w:p>
      <w:pPr>
        <w:adjustRightInd w:val="0"/>
        <w:snapToGrid w:val="0"/>
        <w:spacing w:line="360" w:lineRule="auto"/>
        <w:ind w:firstLine="480" w:firstLineChars="200"/>
        <w:rPr>
          <w:sz w:val="24"/>
        </w:rPr>
      </w:pPr>
      <w:r>
        <w:rPr>
          <w:sz w:val="24"/>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20.5其他保险</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sz w:val="24"/>
        </w:rPr>
      </w:pPr>
      <w:r>
        <w:rPr>
          <w:rFonts w:eastAsia="黑体"/>
          <w:sz w:val="24"/>
        </w:rPr>
        <w:t>20.6对各项保险的一般要求</w:t>
      </w:r>
    </w:p>
    <w:p>
      <w:pPr>
        <w:adjustRightInd w:val="0"/>
        <w:snapToGrid w:val="0"/>
        <w:spacing w:line="360" w:lineRule="auto"/>
        <w:ind w:firstLine="480" w:firstLineChars="200"/>
        <w:rPr>
          <w:sz w:val="24"/>
        </w:rPr>
      </w:pPr>
      <w:r>
        <w:rPr>
          <w:sz w:val="24"/>
        </w:rPr>
        <w:t>20.6.1保险凭证</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承包人向发包人提交各项保险生效的证据和保险单副本的期限：</w:t>
      </w:r>
      <w:r>
        <w:rPr>
          <w:rFonts w:hint="eastAsia"/>
          <w:sz w:val="24"/>
          <w:u w:val="single"/>
        </w:rPr>
        <w:t xml:space="preserve">  开工后56天内 </w:t>
      </w:r>
      <w:r>
        <w:rPr>
          <w:sz w:val="24"/>
        </w:rPr>
        <w:t>。</w:t>
      </w:r>
    </w:p>
    <w:p>
      <w:pPr>
        <w:adjustRightInd w:val="0"/>
        <w:snapToGrid w:val="0"/>
        <w:spacing w:line="360" w:lineRule="auto"/>
        <w:ind w:firstLine="480" w:firstLineChars="200"/>
        <w:rPr>
          <w:sz w:val="24"/>
        </w:rPr>
      </w:pPr>
      <w:r>
        <w:rPr>
          <w:sz w:val="24"/>
        </w:rPr>
        <w:t>20.6.3持续保险</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在整个合同期内，承包人应按合同条款保证足够的保险额。</w:t>
      </w:r>
    </w:p>
    <w:p>
      <w:pPr>
        <w:adjustRightInd w:val="0"/>
        <w:snapToGrid w:val="0"/>
        <w:spacing w:line="360" w:lineRule="auto"/>
        <w:ind w:firstLine="480" w:firstLineChars="200"/>
        <w:rPr>
          <w:sz w:val="24"/>
        </w:rPr>
      </w:pPr>
      <w:r>
        <w:rPr>
          <w:sz w:val="24"/>
        </w:rPr>
        <w:t>20.6.4保险</w:t>
      </w:r>
      <w:r>
        <w:rPr>
          <w:rFonts w:hint="eastAsia"/>
          <w:sz w:val="24"/>
        </w:rPr>
        <w:t>金</w:t>
      </w:r>
      <w:r>
        <w:rPr>
          <w:sz w:val="24"/>
        </w:rPr>
        <w:t>不足的补偿</w:t>
      </w:r>
    </w:p>
    <w:p>
      <w:pPr>
        <w:adjustRightInd w:val="0"/>
        <w:snapToGrid w:val="0"/>
        <w:spacing w:line="360" w:lineRule="auto"/>
        <w:ind w:firstLine="480" w:firstLineChars="200"/>
        <w:rPr>
          <w:sz w:val="24"/>
        </w:rPr>
      </w:pPr>
      <w:r>
        <w:rPr>
          <w:sz w:val="24"/>
        </w:rPr>
        <w:t xml:space="preserve">本项细化为： </w:t>
      </w:r>
    </w:p>
    <w:p>
      <w:pPr>
        <w:adjustRightInd w:val="0"/>
        <w:snapToGrid w:val="0"/>
        <w:spacing w:line="360" w:lineRule="auto"/>
        <w:ind w:firstLine="480" w:firstLineChars="200"/>
        <w:rPr>
          <w:sz w:val="24"/>
        </w:rPr>
      </w:pPr>
      <w:r>
        <w:rPr>
          <w:sz w:val="24"/>
        </w:rPr>
        <w:t>保险金不足以补偿损失的（包括免赔额和超过赔偿限额的部分），应由承包人和（或）发包人按合同约定负责补偿。</w:t>
      </w:r>
    </w:p>
    <w:p>
      <w:pPr>
        <w:adjustRightInd w:val="0"/>
        <w:snapToGrid w:val="0"/>
        <w:spacing w:line="360" w:lineRule="auto"/>
        <w:ind w:firstLine="480" w:firstLineChars="200"/>
        <w:rPr>
          <w:sz w:val="24"/>
        </w:rPr>
      </w:pPr>
      <w:r>
        <w:rPr>
          <w:sz w:val="24"/>
        </w:rPr>
        <w:t>20.6.5未按约定投保的补救</w:t>
      </w:r>
    </w:p>
    <w:p>
      <w:pPr>
        <w:adjustRightInd w:val="0"/>
        <w:snapToGrid w:val="0"/>
        <w:spacing w:line="360" w:lineRule="auto"/>
        <w:ind w:firstLine="480" w:firstLineChars="200"/>
        <w:rPr>
          <w:sz w:val="24"/>
        </w:rPr>
      </w:pPr>
      <w:r>
        <w:rPr>
          <w:sz w:val="24"/>
        </w:rPr>
        <w:t>本项（2）目细化为：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sz w:val="24"/>
        </w:rPr>
      </w:pPr>
      <w:r>
        <w:rPr>
          <w:rFonts w:eastAsia="黑体"/>
          <w:sz w:val="24"/>
        </w:rPr>
        <w:t>21．不可抗力</w:t>
      </w:r>
    </w:p>
    <w:p>
      <w:pPr>
        <w:adjustRightInd w:val="0"/>
        <w:snapToGrid w:val="0"/>
        <w:spacing w:line="360" w:lineRule="auto"/>
        <w:rPr>
          <w:rFonts w:eastAsia="黑体"/>
          <w:sz w:val="24"/>
        </w:rPr>
      </w:pPr>
      <w:r>
        <w:rPr>
          <w:rFonts w:eastAsia="黑体"/>
          <w:sz w:val="24"/>
        </w:rPr>
        <w:t>21.1不可抗力的确认</w:t>
      </w:r>
    </w:p>
    <w:p>
      <w:pPr>
        <w:adjustRightInd w:val="0"/>
        <w:snapToGrid w:val="0"/>
        <w:spacing w:line="360" w:lineRule="auto"/>
        <w:ind w:firstLine="480" w:firstLineChars="200"/>
        <w:rPr>
          <w:sz w:val="24"/>
        </w:rPr>
      </w:pPr>
      <w:r>
        <w:rPr>
          <w:sz w:val="24"/>
        </w:rPr>
        <w:t>21</w:t>
      </w:r>
      <w:r>
        <w:rPr>
          <w:rFonts w:hint="eastAsia"/>
          <w:sz w:val="24"/>
        </w:rPr>
        <w:t>.</w:t>
      </w:r>
      <w:r>
        <w:rPr>
          <w:sz w:val="24"/>
        </w:rPr>
        <w:t>1</w:t>
      </w:r>
      <w:r>
        <w:rPr>
          <w:rFonts w:hint="eastAsia"/>
          <w:sz w:val="24"/>
        </w:rPr>
        <w:t>.</w:t>
      </w:r>
      <w:r>
        <w:rPr>
          <w:sz w:val="24"/>
        </w:rPr>
        <w:t>1项细化为：</w:t>
      </w:r>
    </w:p>
    <w:p>
      <w:pPr>
        <w:adjustRightInd w:val="0"/>
        <w:snapToGrid w:val="0"/>
        <w:spacing w:line="360" w:lineRule="auto"/>
        <w:ind w:firstLine="480" w:firstLineChars="200"/>
        <w:rPr>
          <w:sz w:val="24"/>
        </w:rPr>
      </w:pPr>
      <w:r>
        <w:rPr>
          <w:sz w:val="24"/>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pPr>
        <w:adjustRightInd w:val="0"/>
        <w:snapToGrid w:val="0"/>
        <w:spacing w:line="360" w:lineRule="auto"/>
        <w:ind w:firstLine="480" w:firstLineChars="200"/>
        <w:rPr>
          <w:sz w:val="24"/>
        </w:rPr>
      </w:pPr>
      <w:r>
        <w:rPr>
          <w:sz w:val="24"/>
        </w:rPr>
        <w:t>（3）核反应、辐射或放射性污染；</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pPr>
        <w:adjustRightInd w:val="0"/>
        <w:snapToGrid w:val="0"/>
        <w:spacing w:line="360" w:lineRule="auto"/>
        <w:ind w:firstLine="480" w:firstLineChars="200"/>
        <w:rPr>
          <w:sz w:val="24"/>
        </w:rPr>
      </w:pPr>
      <w:r>
        <w:rPr>
          <w:sz w:val="24"/>
        </w:rPr>
        <w:t>（5</w:t>
      </w:r>
      <w:r>
        <w:rPr>
          <w:rFonts w:hint="eastAsia"/>
          <w:sz w:val="24"/>
        </w:rPr>
        <w:t>）</w:t>
      </w:r>
      <w:r>
        <w:rPr>
          <w:sz w:val="24"/>
        </w:rPr>
        <w:t>瘟疫；</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项目专用合同条款约定的其他情形。</w:t>
      </w:r>
    </w:p>
    <w:p>
      <w:pPr>
        <w:adjustRightInd w:val="0"/>
        <w:snapToGrid w:val="0"/>
        <w:spacing w:beforeLines="100" w:line="360" w:lineRule="auto"/>
        <w:rPr>
          <w:rFonts w:eastAsia="黑体"/>
          <w:sz w:val="24"/>
        </w:rPr>
      </w:pPr>
      <w:r>
        <w:rPr>
          <w:rFonts w:eastAsia="黑体"/>
          <w:sz w:val="24"/>
        </w:rPr>
        <w:t>21.3不可抗力后果及其处理</w:t>
      </w:r>
    </w:p>
    <w:p>
      <w:pPr>
        <w:adjustRightInd w:val="0"/>
        <w:snapToGrid w:val="0"/>
        <w:spacing w:line="360" w:lineRule="auto"/>
        <w:ind w:firstLine="480" w:firstLineChars="200"/>
        <w:rPr>
          <w:sz w:val="24"/>
        </w:rPr>
      </w:pPr>
      <w:r>
        <w:rPr>
          <w:sz w:val="24"/>
        </w:rPr>
        <w:t>21.3.4因不可抗力解除合同本项细化为：</w:t>
      </w:r>
    </w:p>
    <w:p>
      <w:pPr>
        <w:adjustRightInd w:val="0"/>
        <w:snapToGrid w:val="0"/>
        <w:spacing w:line="360" w:lineRule="auto"/>
        <w:ind w:firstLine="480" w:firstLineChars="200"/>
        <w:rPr>
          <w:sz w:val="24"/>
        </w:rPr>
      </w:pPr>
      <w:r>
        <w:rPr>
          <w:sz w:val="24"/>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sz w:val="24"/>
        </w:rPr>
      </w:pPr>
      <w:r>
        <w:rPr>
          <w:rFonts w:eastAsia="黑体"/>
          <w:sz w:val="24"/>
        </w:rPr>
        <w:t>22</w:t>
      </w:r>
      <w:r>
        <w:rPr>
          <w:rFonts w:hint="eastAsia" w:eastAsia="黑体"/>
          <w:sz w:val="24"/>
        </w:rPr>
        <w:t>．</w:t>
      </w:r>
      <w:r>
        <w:rPr>
          <w:rFonts w:eastAsia="黑体"/>
          <w:sz w:val="24"/>
        </w:rPr>
        <w:t>违约</w:t>
      </w:r>
    </w:p>
    <w:p>
      <w:pPr>
        <w:adjustRightInd w:val="0"/>
        <w:snapToGrid w:val="0"/>
        <w:spacing w:line="360" w:lineRule="auto"/>
        <w:rPr>
          <w:rFonts w:eastAsia="黑体"/>
          <w:sz w:val="24"/>
        </w:rPr>
      </w:pPr>
      <w:r>
        <w:rPr>
          <w:rFonts w:eastAsia="黑体"/>
          <w:sz w:val="24"/>
        </w:rPr>
        <w:t>22.1承包人违约</w:t>
      </w:r>
    </w:p>
    <w:p>
      <w:pPr>
        <w:adjustRightInd w:val="0"/>
        <w:snapToGrid w:val="0"/>
        <w:spacing w:line="360" w:lineRule="auto"/>
        <w:ind w:firstLine="480" w:firstLineChars="200"/>
        <w:rPr>
          <w:sz w:val="24"/>
        </w:rPr>
      </w:pPr>
      <w:r>
        <w:rPr>
          <w:sz w:val="24"/>
        </w:rPr>
        <w:t>22.1.1承包人违约的情形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sz w:val="24"/>
        </w:rPr>
      </w:pPr>
      <w:r>
        <w:rPr>
          <w:sz w:val="24"/>
        </w:rPr>
        <w:t>本项</w:t>
      </w:r>
      <w:r>
        <w:rPr>
          <w:rFonts w:hint="eastAsia"/>
          <w:sz w:val="24"/>
        </w:rPr>
        <w:t>（</w:t>
      </w:r>
      <w:r>
        <w:rPr>
          <w:sz w:val="24"/>
        </w:rPr>
        <w:t>7</w:t>
      </w:r>
      <w:r>
        <w:rPr>
          <w:rFonts w:hint="eastAsia"/>
          <w:sz w:val="24"/>
        </w:rPr>
        <w:t>）</w:t>
      </w:r>
      <w:r>
        <w:rPr>
          <w:sz w:val="24"/>
        </w:rPr>
        <w:t>目细化为：</w:t>
      </w:r>
    </w:p>
    <w:p>
      <w:pPr>
        <w:adjustRightInd w:val="0"/>
        <w:snapToGrid w:val="0"/>
        <w:spacing w:line="360" w:lineRule="auto"/>
        <w:ind w:firstLine="480" w:firstLineChars="200"/>
        <w:rPr>
          <w:sz w:val="24"/>
        </w:rPr>
      </w:pPr>
      <w:r>
        <w:rPr>
          <w:sz w:val="24"/>
        </w:rPr>
        <w:t>（7</w:t>
      </w:r>
      <w:r>
        <w:rPr>
          <w:rFonts w:hint="eastAsia"/>
          <w:sz w:val="24"/>
        </w:rPr>
        <w:t>）</w:t>
      </w:r>
      <w:r>
        <w:rPr>
          <w:sz w:val="24"/>
        </w:rPr>
        <w:t>承包人未能按期开工；</w:t>
      </w:r>
    </w:p>
    <w:p>
      <w:pPr>
        <w:adjustRightInd w:val="0"/>
        <w:snapToGrid w:val="0"/>
        <w:spacing w:line="360" w:lineRule="auto"/>
        <w:ind w:firstLine="480" w:firstLineChars="200"/>
        <w:rPr>
          <w:sz w:val="24"/>
        </w:rPr>
      </w:pPr>
      <w:r>
        <w:rPr>
          <w:sz w:val="24"/>
        </w:rPr>
        <w:t>（8</w:t>
      </w:r>
      <w:r>
        <w:rPr>
          <w:rFonts w:hint="eastAsia"/>
          <w:sz w:val="24"/>
        </w:rPr>
        <w:t>）</w:t>
      </w:r>
      <w:r>
        <w:rPr>
          <w:sz w:val="24"/>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sz w:val="24"/>
        </w:rPr>
      </w:pPr>
      <w:r>
        <w:rPr>
          <w:rFonts w:hint="eastAsia"/>
          <w:sz w:val="24"/>
        </w:rPr>
        <w:t>（</w:t>
      </w:r>
      <w:r>
        <w:rPr>
          <w:sz w:val="24"/>
        </w:rPr>
        <w:t>9</w:t>
      </w:r>
      <w:r>
        <w:rPr>
          <w:rFonts w:hint="eastAsia"/>
          <w:sz w:val="24"/>
        </w:rPr>
        <w:t>）</w:t>
      </w:r>
      <w:r>
        <w:rPr>
          <w:sz w:val="24"/>
        </w:rPr>
        <w:t>承包人不按合同约定履行义务的其他情况。</w:t>
      </w:r>
    </w:p>
    <w:p>
      <w:pPr>
        <w:adjustRightInd w:val="0"/>
        <w:snapToGrid w:val="0"/>
        <w:spacing w:line="360" w:lineRule="auto"/>
        <w:ind w:firstLine="480" w:firstLineChars="200"/>
        <w:rPr>
          <w:sz w:val="24"/>
        </w:rPr>
      </w:pPr>
      <w:r>
        <w:rPr>
          <w:sz w:val="24"/>
        </w:rPr>
        <w:t>22.1.2对承包人违约的处理</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sz w:val="24"/>
        </w:rPr>
      </w:pPr>
      <w:r>
        <w:rPr>
          <w:rFonts w:eastAsia="黑体"/>
          <w:sz w:val="24"/>
        </w:rPr>
        <w:t>22.2发包人违约</w:t>
      </w:r>
    </w:p>
    <w:p>
      <w:pPr>
        <w:adjustRightInd w:val="0"/>
        <w:snapToGrid w:val="0"/>
        <w:spacing w:line="360" w:lineRule="auto"/>
        <w:ind w:firstLine="480" w:firstLineChars="200"/>
        <w:rPr>
          <w:sz w:val="24"/>
        </w:rPr>
      </w:pPr>
      <w:r>
        <w:rPr>
          <w:sz w:val="24"/>
        </w:rPr>
        <w:t>22.2.4解除合同后的付款</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sz w:val="24"/>
        </w:rPr>
      </w:pPr>
      <w:r>
        <w:rPr>
          <w:rFonts w:eastAsia="黑体"/>
          <w:sz w:val="24"/>
        </w:rPr>
        <w:t>23</w:t>
      </w:r>
      <w:r>
        <w:rPr>
          <w:rFonts w:hint="eastAsia" w:eastAsia="黑体"/>
          <w:sz w:val="24"/>
        </w:rPr>
        <w:t>．</w:t>
      </w:r>
      <w:r>
        <w:rPr>
          <w:rFonts w:eastAsia="黑体"/>
          <w:sz w:val="24"/>
        </w:rPr>
        <w:t>索赔</w:t>
      </w:r>
    </w:p>
    <w:p>
      <w:pPr>
        <w:adjustRightInd w:val="0"/>
        <w:snapToGrid w:val="0"/>
        <w:spacing w:line="360" w:lineRule="auto"/>
        <w:rPr>
          <w:rFonts w:eastAsia="黑体"/>
          <w:sz w:val="24"/>
        </w:rPr>
      </w:pPr>
      <w:r>
        <w:rPr>
          <w:rFonts w:eastAsia="黑体"/>
          <w:sz w:val="24"/>
        </w:rPr>
        <w:t>23.1承包人索赔的提出</w:t>
      </w:r>
    </w:p>
    <w:p>
      <w:pPr>
        <w:adjustRightInd w:val="0"/>
        <w:snapToGrid w:val="0"/>
        <w:spacing w:line="360" w:lineRule="auto"/>
        <w:ind w:firstLine="480" w:firstLineChars="200"/>
        <w:rPr>
          <w:sz w:val="24"/>
        </w:rPr>
      </w:pPr>
      <w:r>
        <w:rPr>
          <w:sz w:val="24"/>
        </w:rPr>
        <w:t>本款</w:t>
      </w:r>
      <w:r>
        <w:rPr>
          <w:rFonts w:hint="eastAsia"/>
          <w:sz w:val="24"/>
        </w:rPr>
        <w:t>（</w:t>
      </w:r>
      <w:r>
        <w:rPr>
          <w:sz w:val="24"/>
        </w:rPr>
        <w:t>4）项细化为：</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sz w:val="24"/>
        </w:rPr>
      </w:pPr>
      <w:r>
        <w:rPr>
          <w:rFonts w:eastAsia="黑体"/>
          <w:sz w:val="24"/>
        </w:rPr>
        <w:t>23.2承包人索赔处理程序</w:t>
      </w:r>
    </w:p>
    <w:p>
      <w:pPr>
        <w:adjustRightInd w:val="0"/>
        <w:snapToGrid w:val="0"/>
        <w:spacing w:line="360" w:lineRule="auto"/>
        <w:ind w:firstLine="480" w:firstLineChars="200"/>
        <w:rPr>
          <w:sz w:val="24"/>
        </w:rPr>
      </w:pPr>
      <w:r>
        <w:rPr>
          <w:sz w:val="24"/>
        </w:rPr>
        <w:t>本款（2</w:t>
      </w:r>
      <w:r>
        <w:rPr>
          <w:rFonts w:hint="eastAsia"/>
          <w:sz w:val="24"/>
        </w:rPr>
        <w:t>）</w:t>
      </w:r>
      <w:r>
        <w:rPr>
          <w:sz w:val="24"/>
        </w:rPr>
        <w:t>项细化为：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sz w:val="24"/>
        </w:rPr>
      </w:pPr>
      <w:r>
        <w:rPr>
          <w:rFonts w:eastAsia="黑体"/>
          <w:sz w:val="24"/>
        </w:rPr>
        <w:t>24</w:t>
      </w:r>
      <w:r>
        <w:rPr>
          <w:rFonts w:hint="eastAsia" w:eastAsia="黑体"/>
          <w:sz w:val="24"/>
        </w:rPr>
        <w:t>．</w:t>
      </w:r>
      <w:r>
        <w:rPr>
          <w:rFonts w:eastAsia="黑体"/>
          <w:sz w:val="24"/>
        </w:rPr>
        <w:t>争议的解决</w:t>
      </w:r>
    </w:p>
    <w:p>
      <w:pPr>
        <w:adjustRightInd w:val="0"/>
        <w:snapToGrid w:val="0"/>
        <w:spacing w:line="360" w:lineRule="auto"/>
        <w:rPr>
          <w:rFonts w:eastAsia="黑体"/>
          <w:sz w:val="24"/>
        </w:rPr>
      </w:pPr>
      <w:r>
        <w:rPr>
          <w:rFonts w:eastAsia="黑体"/>
          <w:sz w:val="24"/>
        </w:rPr>
        <w:t>24.1争议的解决方式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争议的最终解决方式：</w:t>
      </w:r>
      <w:r>
        <w:rPr>
          <w:rFonts w:hint="eastAsia"/>
          <w:sz w:val="24"/>
          <w:u w:val="single"/>
        </w:rPr>
        <w:t xml:space="preserve">   仲裁或诉讼   </w:t>
      </w:r>
      <w:r>
        <w:rPr>
          <w:sz w:val="24"/>
        </w:rPr>
        <w:t>（在项目专用条款数据中约定）</w:t>
      </w:r>
    </w:p>
    <w:p>
      <w:pPr>
        <w:adjustRightInd w:val="0"/>
        <w:snapToGrid w:val="0"/>
        <w:spacing w:line="360" w:lineRule="auto"/>
        <w:ind w:firstLine="480" w:firstLineChars="200"/>
        <w:rPr>
          <w:sz w:val="24"/>
        </w:rPr>
      </w:pPr>
      <w:r>
        <w:rPr>
          <w:sz w:val="24"/>
        </w:rPr>
        <w:t>如采用仲裁，仲裁委员会名称：</w:t>
      </w:r>
      <w:r>
        <w:rPr>
          <w:sz w:val="24"/>
          <w:u w:val="single"/>
        </w:rPr>
        <w:t>（在项目专用条款数据中约定）</w:t>
      </w:r>
    </w:p>
    <w:p>
      <w:pPr>
        <w:adjustRightInd w:val="0"/>
        <w:snapToGrid w:val="0"/>
        <w:spacing w:beforeLines="100" w:line="360" w:lineRule="auto"/>
        <w:rPr>
          <w:rFonts w:eastAsia="黑体"/>
          <w:sz w:val="24"/>
        </w:rPr>
      </w:pPr>
      <w:r>
        <w:rPr>
          <w:rFonts w:eastAsia="黑体"/>
          <w:sz w:val="24"/>
        </w:rPr>
        <w:t>24.3争议评审</w:t>
      </w:r>
    </w:p>
    <w:p>
      <w:pPr>
        <w:adjustRightInd w:val="0"/>
        <w:snapToGrid w:val="0"/>
        <w:spacing w:line="360" w:lineRule="auto"/>
        <w:ind w:firstLine="480" w:firstLineChars="200"/>
        <w:rPr>
          <w:sz w:val="24"/>
        </w:rPr>
      </w:pPr>
      <w:r>
        <w:rPr>
          <w:sz w:val="24"/>
        </w:rPr>
        <w:t>24.3</w:t>
      </w:r>
      <w:r>
        <w:rPr>
          <w:rFonts w:hint="eastAsia"/>
          <w:sz w:val="24"/>
        </w:rPr>
        <w:t>.</w:t>
      </w:r>
      <w:r>
        <w:rPr>
          <w:sz w:val="24"/>
        </w:rPr>
        <w:t>1项补充：</w:t>
      </w:r>
    </w:p>
    <w:p>
      <w:pPr>
        <w:adjustRightInd w:val="0"/>
        <w:snapToGrid w:val="0"/>
        <w:spacing w:line="360" w:lineRule="auto"/>
        <w:ind w:firstLine="480" w:firstLineChars="200"/>
        <w:rPr>
          <w:sz w:val="24"/>
        </w:rPr>
      </w:pPr>
      <w:r>
        <w:rPr>
          <w:sz w:val="24"/>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sz w:val="24"/>
        </w:rPr>
      </w:pPr>
      <w:r>
        <w:rPr>
          <w:rFonts w:eastAsia="黑体"/>
          <w:sz w:val="24"/>
        </w:rPr>
        <w:t>本条增加第24.4</w:t>
      </w:r>
      <w:r>
        <w:rPr>
          <w:rFonts w:hint="eastAsia" w:eastAsia="黑体"/>
          <w:sz w:val="24"/>
        </w:rPr>
        <w:t>、</w:t>
      </w:r>
      <w:r>
        <w:rPr>
          <w:rFonts w:eastAsia="黑体"/>
          <w:sz w:val="24"/>
        </w:rPr>
        <w:t>24.5款（适用于采用仲裁方式最终解决争议的项目）：</w:t>
      </w:r>
    </w:p>
    <w:p>
      <w:pPr>
        <w:adjustRightInd w:val="0"/>
        <w:snapToGrid w:val="0"/>
        <w:spacing w:line="360" w:lineRule="auto"/>
        <w:rPr>
          <w:rFonts w:eastAsia="黑体"/>
          <w:sz w:val="24"/>
        </w:rPr>
      </w:pPr>
      <w:r>
        <w:rPr>
          <w:rFonts w:eastAsia="黑体"/>
          <w:sz w:val="24"/>
        </w:rPr>
        <w:t>24.4仲裁</w:t>
      </w:r>
    </w:p>
    <w:p>
      <w:pPr>
        <w:adjustRightInd w:val="0"/>
        <w:snapToGrid w:val="0"/>
        <w:spacing w:line="360" w:lineRule="auto"/>
        <w:ind w:firstLine="480" w:firstLineChars="200"/>
        <w:rPr>
          <w:sz w:val="24"/>
        </w:rPr>
      </w:pPr>
      <w:r>
        <w:rPr>
          <w:sz w:val="24"/>
        </w:rPr>
        <w:t>（1</w:t>
      </w:r>
      <w:r>
        <w:rPr>
          <w:rFonts w:hint="eastAsia"/>
          <w:sz w:val="24"/>
        </w:rPr>
        <w:t>）</w:t>
      </w:r>
      <w:r>
        <w:rPr>
          <w:sz w:val="24"/>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sz w:val="24"/>
        </w:rPr>
      </w:pPr>
      <w:r>
        <w:rPr>
          <w:sz w:val="24"/>
        </w:rPr>
        <w:t>（3</w:t>
      </w:r>
      <w:r>
        <w:rPr>
          <w:rFonts w:hint="eastAsia"/>
          <w:sz w:val="24"/>
        </w:rPr>
        <w:t>）</w:t>
      </w:r>
      <w:r>
        <w:rPr>
          <w:sz w:val="24"/>
        </w:rPr>
        <w:t>仲裁裁决是终局性的并对发包人和承包人双方具有约束力。</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pPr>
        <w:adjustRightInd w:val="0"/>
        <w:snapToGrid w:val="0"/>
        <w:spacing w:beforeLines="100" w:line="360" w:lineRule="auto"/>
        <w:rPr>
          <w:rFonts w:eastAsia="黑体"/>
          <w:sz w:val="24"/>
        </w:rPr>
      </w:pPr>
      <w:r>
        <w:rPr>
          <w:rFonts w:eastAsia="黑体"/>
          <w:sz w:val="24"/>
        </w:rPr>
        <w:t>24.5诉讼</w:t>
      </w:r>
    </w:p>
    <w:p>
      <w:pPr>
        <w:adjustRightInd w:val="0"/>
        <w:snapToGrid w:val="0"/>
        <w:spacing w:line="360" w:lineRule="auto"/>
        <w:ind w:firstLine="480" w:firstLineChars="200"/>
        <w:rPr>
          <w:sz w:val="24"/>
        </w:rPr>
      </w:pPr>
      <w:r>
        <w:rPr>
          <w:sz w:val="24"/>
        </w:rPr>
        <w:t>（1</w:t>
      </w:r>
      <w:r>
        <w:rPr>
          <w:rFonts w:hint="eastAsia"/>
          <w:sz w:val="24"/>
        </w:rPr>
        <w:t>）</w:t>
      </w:r>
      <w:r>
        <w:rPr>
          <w:sz w:val="24"/>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sz w:val="36"/>
          <w:szCs w:val="36"/>
        </w:rPr>
      </w:pPr>
      <w:r>
        <w:rPr>
          <w:rFonts w:hint="eastAsia" w:ascii="黑体" w:eastAsia="黑体"/>
          <w:bCs/>
          <w:sz w:val="36"/>
          <w:szCs w:val="36"/>
        </w:rPr>
        <w:t>B.项目专用合同条款</w:t>
      </w:r>
    </w:p>
    <w:p>
      <w:pPr>
        <w:tabs>
          <w:tab w:val="left" w:pos="4500"/>
        </w:tabs>
        <w:spacing w:line="520" w:lineRule="exact"/>
        <w:ind w:firstLine="480" w:firstLineChars="200"/>
        <w:rPr>
          <w:rFonts w:ascii="宋体" w:hAnsi="宋体"/>
          <w:sz w:val="24"/>
        </w:rPr>
      </w:pPr>
      <w:r>
        <w:rPr>
          <w:rFonts w:hint="eastAsia"/>
          <w:sz w:val="24"/>
        </w:rPr>
        <w:t>1.1 项目清单单价杜绝不平衡报价。</w:t>
      </w:r>
      <w:r>
        <w:rPr>
          <w:rFonts w:hint="eastAsia" w:ascii="宋体" w:hAnsi="宋体"/>
          <w:sz w:val="24"/>
        </w:rPr>
        <w:t>清单单价报价范围应在调整后的招标人清单报价的105％（含105％）至85％（含85％）之间，不在该范围的投标人清单报价作为废标处理。</w:t>
      </w:r>
    </w:p>
    <w:p>
      <w:pPr>
        <w:spacing w:line="360" w:lineRule="auto"/>
        <w:ind w:firstLine="480" w:firstLineChars="200"/>
        <w:rPr>
          <w:rFonts w:ascii="宋体" w:hAnsi="宋体"/>
          <w:sz w:val="24"/>
        </w:rPr>
      </w:pPr>
      <w:r>
        <w:rPr>
          <w:rFonts w:hint="eastAsia" w:ascii="宋体" w:hAnsi="宋体"/>
          <w:sz w:val="24"/>
        </w:rPr>
        <w:t>1.2施工过程中，对于施工质量差、进度严重滞后的施工单位，发包人可以将其驱逐出场，或者强行分割其承包工程。</w:t>
      </w:r>
    </w:p>
    <w:p>
      <w:pPr>
        <w:spacing w:line="360" w:lineRule="auto"/>
        <w:ind w:firstLine="480" w:firstLineChars="200"/>
        <w:rPr>
          <w:rFonts w:ascii="宋体" w:hAnsi="宋体"/>
          <w:sz w:val="24"/>
        </w:rPr>
      </w:pPr>
      <w:r>
        <w:rPr>
          <w:rFonts w:hint="eastAsia" w:ascii="宋体" w:hAnsi="宋体"/>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hint="eastAsia" w:ascii="宋体" w:hAnsi="宋体"/>
          <w:sz w:val="24"/>
        </w:rPr>
        <w:t>厅</w:t>
      </w:r>
      <w:r>
        <w:rPr>
          <w:rFonts w:ascii="宋体" w:hAnsi="宋体"/>
          <w:sz w:val="24"/>
        </w:rPr>
        <w:t>建议降低</w:t>
      </w:r>
      <w:r>
        <w:rPr>
          <w:rFonts w:hint="eastAsia" w:ascii="宋体" w:hAnsi="宋体"/>
          <w:sz w:val="24"/>
        </w:rPr>
        <w:t>施工单位信用等级评价。</w:t>
      </w:r>
    </w:p>
    <w:p>
      <w:pPr>
        <w:adjustRightInd w:val="0"/>
        <w:snapToGrid w:val="0"/>
        <w:spacing w:line="360" w:lineRule="auto"/>
        <w:ind w:firstLine="480" w:firstLineChars="200"/>
        <w:rPr>
          <w:rFonts w:ascii="宋体" w:hAnsi="宋体"/>
          <w:sz w:val="24"/>
        </w:rPr>
      </w:pPr>
      <w:r>
        <w:rPr>
          <w:rFonts w:hint="eastAsia" w:ascii="宋体" w:hAnsi="宋体"/>
          <w:sz w:val="24"/>
        </w:rPr>
        <w:t>2.1价格调整：</w:t>
      </w:r>
    </w:p>
    <w:p>
      <w:pPr>
        <w:adjustRightInd w:val="0"/>
        <w:snapToGrid w:val="0"/>
        <w:spacing w:line="360" w:lineRule="auto"/>
        <w:ind w:firstLine="480" w:firstLineChars="200"/>
        <w:rPr>
          <w:rFonts w:ascii="宋体" w:hAnsi="宋体"/>
          <w:sz w:val="24"/>
        </w:rPr>
      </w:pPr>
      <w:r>
        <w:rPr>
          <w:rFonts w:hint="eastAsia" w:ascii="宋体" w:hAnsi="宋体"/>
          <w:sz w:val="24"/>
        </w:rPr>
        <w:t>因本项目要求工期短，合同期内不调价。</w:t>
      </w:r>
    </w:p>
    <w:p>
      <w:pPr>
        <w:adjustRightInd w:val="0"/>
        <w:snapToGrid w:val="0"/>
        <w:spacing w:line="360" w:lineRule="auto"/>
        <w:ind w:firstLine="480" w:firstLineChars="200"/>
        <w:rPr>
          <w:rFonts w:ascii="宋体" w:hAnsi="宋体"/>
          <w:sz w:val="24"/>
        </w:rPr>
      </w:pPr>
      <w:r>
        <w:rPr>
          <w:rFonts w:hint="eastAsia" w:ascii="宋体" w:hAnsi="宋体"/>
          <w:sz w:val="24"/>
        </w:rPr>
        <w:t>1、当施工单位投标报价中可调材料价格低于基准价格（发包人公示价格）时，只对实际价格涨（降）幅度在基准价10%以外的部分进行调整；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2、当施工单位投标报价中可调材料价格高于基准价格时，只对实际价格涨（降）幅度在投标报价中可调价格10%以外的部分进行调整。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3、双方承担比例：材料价格涨（降）幅度超过10％的部分，由承包人和业主进行协商解决。</w:t>
      </w:r>
    </w:p>
    <w:p>
      <w:pPr>
        <w:adjustRightInd w:val="0"/>
        <w:snapToGrid w:val="0"/>
        <w:spacing w:line="360" w:lineRule="auto"/>
        <w:ind w:firstLine="480" w:firstLineChars="200"/>
        <w:rPr>
          <w:rFonts w:ascii="宋体" w:hAnsi="宋体"/>
          <w:sz w:val="24"/>
        </w:rPr>
      </w:pPr>
      <w:r>
        <w:rPr>
          <w:rFonts w:hint="eastAsia" w:ascii="宋体" w:hAnsi="宋体"/>
          <w:sz w:val="24"/>
        </w:rPr>
        <w:t>4、因施工单位原因造成工期延误的，在延误期间价格变化引起的增加费用由施工单位承担。</w:t>
      </w:r>
    </w:p>
    <w:p>
      <w:pPr>
        <w:spacing w:line="360" w:lineRule="auto"/>
        <w:ind w:firstLine="480" w:firstLineChars="200"/>
        <w:rPr>
          <w:sz w:val="24"/>
        </w:rPr>
      </w:pPr>
      <w:r>
        <w:rPr>
          <w:rFonts w:hint="eastAsia" w:ascii="宋体" w:hAnsi="宋体"/>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rPr>
          <w:rFonts w:ascii="黑体" w:eastAsia="黑体"/>
          <w:sz w:val="32"/>
          <w:szCs w:val="32"/>
        </w:rPr>
      </w:pPr>
      <w:r>
        <w:rPr>
          <w:rFonts w:ascii="黑体" w:eastAsia="黑体"/>
          <w:bCs/>
          <w:sz w:val="36"/>
          <w:szCs w:val="36"/>
        </w:rPr>
        <w:br w:type="page"/>
      </w:r>
      <w:r>
        <w:rPr>
          <w:rFonts w:hint="eastAsia" w:ascii="黑体" w:eastAsia="黑体"/>
          <w:sz w:val="32"/>
          <w:szCs w:val="32"/>
        </w:rPr>
        <w:t>项目专用条款数据表</w:t>
      </w:r>
    </w:p>
    <w:p>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pPr>
        <w:adjustRightInd w:val="0"/>
        <w:snapToGrid w:val="0"/>
        <w:spacing w:line="360" w:lineRule="auto"/>
        <w:ind w:firstLine="811" w:firstLineChars="338"/>
        <w:rPr>
          <w:sz w:val="24"/>
        </w:rPr>
      </w:pPr>
      <w:r>
        <w:rPr>
          <w:rFonts w:hint="eastAsia"/>
          <w:sz w:val="24"/>
        </w:rPr>
        <w:t>示，是项目专用合同条款的组成部分。第三卷投标函附录中的数据（供</w:t>
      </w:r>
    </w:p>
    <w:p>
      <w:pPr>
        <w:adjustRightInd w:val="0"/>
        <w:snapToGrid w:val="0"/>
        <w:spacing w:line="360" w:lineRule="auto"/>
        <w:ind w:firstLine="811" w:firstLineChars="338"/>
        <w:rPr>
          <w:sz w:val="24"/>
        </w:rPr>
      </w:pPr>
      <w:r>
        <w:rPr>
          <w:rFonts w:hint="eastAsia"/>
          <w:sz w:val="24"/>
        </w:rPr>
        <w:t>投标人确认）与本表所列有重复。编写招标文件的单位应仔细校核，不</w:t>
      </w:r>
    </w:p>
    <w:p>
      <w:pPr>
        <w:adjustRightInd w:val="0"/>
        <w:snapToGrid w:val="0"/>
        <w:spacing w:line="360" w:lineRule="auto"/>
        <w:ind w:firstLine="811" w:firstLineChars="338"/>
        <w:rPr>
          <w:sz w:val="24"/>
        </w:rPr>
      </w:pPr>
      <w:r>
        <w:rPr>
          <w:rFonts w:hint="eastAsia"/>
          <w:sz w:val="24"/>
        </w:rPr>
        <w:t>使数据出现差错或不一致。</w:t>
      </w:r>
    </w:p>
    <w:tbl>
      <w:tblPr>
        <w:tblStyle w:val="12"/>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rPr>
                <w:sz w:val="24"/>
              </w:rPr>
            </w:pPr>
            <w:r>
              <w:rPr>
                <w:rFonts w:hint="eastAsia"/>
                <w:sz w:val="24"/>
              </w:rPr>
              <w:t>序号</w:t>
            </w:r>
          </w:p>
        </w:tc>
        <w:tc>
          <w:tcPr>
            <w:tcW w:w="1134" w:type="dxa"/>
            <w:vAlign w:val="center"/>
          </w:tcPr>
          <w:p>
            <w:pPr>
              <w:adjustRightInd w:val="0"/>
              <w:snapToGrid w:val="0"/>
              <w:spacing w:line="312" w:lineRule="auto"/>
              <w:rPr>
                <w:sz w:val="24"/>
              </w:rPr>
            </w:pPr>
            <w:r>
              <w:rPr>
                <w:rFonts w:hint="eastAsia"/>
                <w:sz w:val="24"/>
              </w:rPr>
              <w:t>条款号</w:t>
            </w:r>
          </w:p>
        </w:tc>
        <w:tc>
          <w:tcPr>
            <w:tcW w:w="7027" w:type="dxa"/>
            <w:vAlign w:val="center"/>
          </w:tcPr>
          <w:p>
            <w:pPr>
              <w:adjustRightInd w:val="0"/>
              <w:snapToGrid w:val="0"/>
              <w:spacing w:line="312" w:lineRule="auto"/>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w:t>
            </w:r>
          </w:p>
        </w:tc>
        <w:tc>
          <w:tcPr>
            <w:tcW w:w="1134" w:type="dxa"/>
            <w:vAlign w:val="center"/>
          </w:tcPr>
          <w:p>
            <w:pPr>
              <w:adjustRightInd w:val="0"/>
              <w:snapToGrid w:val="0"/>
              <w:spacing w:line="312" w:lineRule="auto"/>
              <w:rPr>
                <w:sz w:val="24"/>
              </w:rPr>
            </w:pPr>
            <w:r>
              <w:rPr>
                <w:rFonts w:hint="eastAsia"/>
                <w:sz w:val="24"/>
              </w:rPr>
              <w:t>1.1.2.2</w:t>
            </w:r>
          </w:p>
        </w:tc>
        <w:tc>
          <w:tcPr>
            <w:tcW w:w="7027" w:type="dxa"/>
          </w:tcPr>
          <w:p>
            <w:pPr>
              <w:adjustRightInd w:val="0"/>
              <w:snapToGrid w:val="0"/>
              <w:spacing w:line="312" w:lineRule="auto"/>
              <w:rPr>
                <w:sz w:val="24"/>
              </w:rPr>
            </w:pPr>
            <w:r>
              <w:rPr>
                <w:rFonts w:hint="eastAsia"/>
                <w:sz w:val="24"/>
              </w:rPr>
              <w:t>发包人：</w:t>
            </w:r>
            <w:r>
              <w:rPr>
                <w:rFonts w:hint="eastAsia" w:hAnsi="宋体" w:cs="宋体"/>
                <w:sz w:val="24"/>
                <w:lang w:val="zh-CN"/>
              </w:rPr>
              <w:t>许昌市建安区交通运输局</w:t>
            </w:r>
          </w:p>
          <w:p>
            <w:pPr>
              <w:adjustRightInd w:val="0"/>
              <w:snapToGrid w:val="0"/>
              <w:spacing w:line="312" w:lineRule="auto"/>
              <w:rPr>
                <w:sz w:val="24"/>
              </w:rPr>
            </w:pPr>
            <w:r>
              <w:rPr>
                <w:rFonts w:hint="eastAsia"/>
                <w:sz w:val="24"/>
              </w:rPr>
              <w:t>地址： 许昌市建安区新元大道兴业大厦          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2</w:t>
            </w:r>
          </w:p>
        </w:tc>
        <w:tc>
          <w:tcPr>
            <w:tcW w:w="1134" w:type="dxa"/>
            <w:vAlign w:val="center"/>
          </w:tcPr>
          <w:p>
            <w:pPr>
              <w:adjustRightInd w:val="0"/>
              <w:snapToGrid w:val="0"/>
              <w:spacing w:line="312" w:lineRule="auto"/>
              <w:rPr>
                <w:sz w:val="24"/>
              </w:rPr>
            </w:pPr>
            <w:r>
              <w:rPr>
                <w:rFonts w:hint="eastAsia"/>
                <w:sz w:val="24"/>
              </w:rPr>
              <w:t>1.1.2.6</w:t>
            </w:r>
          </w:p>
        </w:tc>
        <w:tc>
          <w:tcPr>
            <w:tcW w:w="7027" w:type="dxa"/>
          </w:tcPr>
          <w:p>
            <w:pPr>
              <w:adjustRightInd w:val="0"/>
              <w:snapToGrid w:val="0"/>
              <w:spacing w:line="312" w:lineRule="auto"/>
              <w:rPr>
                <w:sz w:val="24"/>
              </w:rPr>
            </w:pPr>
            <w:r>
              <w:rPr>
                <w:rFonts w:hint="eastAsia"/>
                <w:sz w:val="24"/>
              </w:rPr>
              <w:t>监理人：</w:t>
            </w:r>
          </w:p>
          <w:p>
            <w:pPr>
              <w:adjustRightInd w:val="0"/>
              <w:snapToGrid w:val="0"/>
              <w:spacing w:line="312" w:lineRule="auto"/>
              <w:rPr>
                <w:sz w:val="24"/>
              </w:rPr>
            </w:pPr>
            <w:r>
              <w:rPr>
                <w:rFonts w:hint="eastAsia"/>
                <w:sz w:val="24"/>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3</w:t>
            </w:r>
          </w:p>
        </w:tc>
        <w:tc>
          <w:tcPr>
            <w:tcW w:w="1134" w:type="dxa"/>
            <w:vAlign w:val="center"/>
          </w:tcPr>
          <w:p>
            <w:pPr>
              <w:adjustRightInd w:val="0"/>
              <w:snapToGrid w:val="0"/>
              <w:spacing w:line="312" w:lineRule="auto"/>
              <w:rPr>
                <w:sz w:val="24"/>
              </w:rPr>
            </w:pPr>
            <w:r>
              <w:rPr>
                <w:rFonts w:hint="eastAsia"/>
                <w:sz w:val="24"/>
              </w:rPr>
              <w:t>1.1.4.3</w:t>
            </w:r>
          </w:p>
        </w:tc>
        <w:tc>
          <w:tcPr>
            <w:tcW w:w="7027" w:type="dxa"/>
          </w:tcPr>
          <w:p>
            <w:pPr>
              <w:adjustRightInd w:val="0"/>
              <w:snapToGrid w:val="0"/>
              <w:spacing w:line="312" w:lineRule="auto"/>
              <w:rPr>
                <w:sz w:val="24"/>
              </w:rPr>
            </w:pPr>
            <w:r>
              <w:rPr>
                <w:rFonts w:hint="eastAsia"/>
                <w:sz w:val="24"/>
              </w:rPr>
              <w:t>工期：日历天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4</w:t>
            </w:r>
          </w:p>
        </w:tc>
        <w:tc>
          <w:tcPr>
            <w:tcW w:w="1134" w:type="dxa"/>
            <w:vAlign w:val="center"/>
          </w:tcPr>
          <w:p>
            <w:pPr>
              <w:adjustRightInd w:val="0"/>
              <w:snapToGrid w:val="0"/>
              <w:spacing w:line="312" w:lineRule="auto"/>
              <w:rPr>
                <w:sz w:val="24"/>
              </w:rPr>
            </w:pPr>
            <w:r>
              <w:rPr>
                <w:rFonts w:hint="eastAsia"/>
                <w:sz w:val="24"/>
              </w:rPr>
              <w:t>1.1.4.5</w:t>
            </w:r>
          </w:p>
        </w:tc>
        <w:tc>
          <w:tcPr>
            <w:tcW w:w="7027" w:type="dxa"/>
          </w:tcPr>
          <w:p>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5</w:t>
            </w:r>
          </w:p>
        </w:tc>
        <w:tc>
          <w:tcPr>
            <w:tcW w:w="1134" w:type="dxa"/>
            <w:vAlign w:val="center"/>
          </w:tcPr>
          <w:p>
            <w:pPr>
              <w:adjustRightInd w:val="0"/>
              <w:snapToGrid w:val="0"/>
              <w:spacing w:line="312" w:lineRule="auto"/>
              <w:rPr>
                <w:sz w:val="24"/>
              </w:rPr>
            </w:pPr>
            <w:r>
              <w:rPr>
                <w:rFonts w:hint="eastAsia"/>
                <w:sz w:val="24"/>
              </w:rPr>
              <w:t>1.6.3</w:t>
            </w:r>
          </w:p>
        </w:tc>
        <w:tc>
          <w:tcPr>
            <w:tcW w:w="7027" w:type="dxa"/>
          </w:tcPr>
          <w:p>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6</w:t>
            </w:r>
          </w:p>
        </w:tc>
        <w:tc>
          <w:tcPr>
            <w:tcW w:w="1134" w:type="dxa"/>
            <w:vAlign w:val="center"/>
          </w:tcPr>
          <w:p>
            <w:pPr>
              <w:adjustRightInd w:val="0"/>
              <w:snapToGrid w:val="0"/>
              <w:spacing w:line="312" w:lineRule="auto"/>
              <w:rPr>
                <w:sz w:val="24"/>
              </w:rPr>
            </w:pPr>
            <w:r>
              <w:rPr>
                <w:rFonts w:hint="eastAsia"/>
                <w:sz w:val="24"/>
              </w:rPr>
              <w:t>3.1.1</w:t>
            </w:r>
          </w:p>
        </w:tc>
        <w:tc>
          <w:tcPr>
            <w:tcW w:w="7027" w:type="dxa"/>
          </w:tcPr>
          <w:p>
            <w:pPr>
              <w:adjustRightInd w:val="0"/>
              <w:snapToGrid w:val="0"/>
              <w:spacing w:line="312" w:lineRule="auto"/>
              <w:rPr>
                <w:sz w:val="24"/>
              </w:rPr>
            </w:pPr>
            <w:r>
              <w:rPr>
                <w:rFonts w:hint="eastAsia"/>
                <w:sz w:val="24"/>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7</w:t>
            </w:r>
          </w:p>
        </w:tc>
        <w:tc>
          <w:tcPr>
            <w:tcW w:w="1134" w:type="dxa"/>
            <w:vAlign w:val="center"/>
          </w:tcPr>
          <w:p>
            <w:pPr>
              <w:adjustRightInd w:val="0"/>
              <w:snapToGrid w:val="0"/>
              <w:spacing w:line="312" w:lineRule="auto"/>
              <w:rPr>
                <w:sz w:val="24"/>
              </w:rPr>
            </w:pPr>
            <w:r>
              <w:rPr>
                <w:rFonts w:hint="eastAsia"/>
                <w:sz w:val="24"/>
              </w:rPr>
              <w:t>4.2</w:t>
            </w:r>
          </w:p>
        </w:tc>
        <w:tc>
          <w:tcPr>
            <w:tcW w:w="7027" w:type="dxa"/>
          </w:tcPr>
          <w:p>
            <w:pPr>
              <w:widowControl/>
              <w:spacing w:line="240" w:lineRule="atLeast"/>
              <w:rPr>
                <w:rFonts w:ascii="宋体" w:hAnsi="宋体" w:cs="宋体"/>
                <w:kern w:val="0"/>
                <w:sz w:val="24"/>
              </w:rPr>
            </w:pPr>
            <w:r>
              <w:rPr>
                <w:rFonts w:hint="eastAsia"/>
                <w:sz w:val="22"/>
              </w:rPr>
              <w:t>履约担保金额：</w:t>
            </w:r>
            <w:r>
              <w:rPr>
                <w:rFonts w:hint="eastAsia" w:ascii="宋体" w:hAnsi="宋体" w:cs="宋体"/>
                <w:kern w:val="0"/>
                <w:sz w:val="24"/>
              </w:rPr>
              <w:t>中标金额的10</w:t>
            </w:r>
            <w:r>
              <w:rPr>
                <w:rFonts w:ascii="宋体" w:hAnsi="宋体" w:cs="宋体"/>
                <w:kern w:val="0"/>
                <w:sz w:val="24"/>
              </w:rPr>
              <w:t xml:space="preserve">% </w:t>
            </w:r>
          </w:p>
          <w:p>
            <w:pPr>
              <w:adjustRightInd w:val="0"/>
              <w:snapToGrid w:val="0"/>
              <w:spacing w:line="312" w:lineRule="auto"/>
              <w:rPr>
                <w:sz w:val="22"/>
              </w:rPr>
            </w:pPr>
            <w:r>
              <w:rPr>
                <w:rFonts w:hint="eastAsia"/>
                <w:sz w:val="22"/>
              </w:rPr>
              <w:t>提交履约担保的时间：在签订合同协议书之前</w:t>
            </w:r>
          </w:p>
          <w:p>
            <w:pPr>
              <w:adjustRightInd w:val="0"/>
              <w:snapToGrid w:val="0"/>
              <w:spacing w:line="312" w:lineRule="auto"/>
              <w:rPr>
                <w:sz w:val="22"/>
              </w:rPr>
            </w:pPr>
            <w:r>
              <w:rPr>
                <w:rFonts w:hint="eastAsia"/>
                <w:sz w:val="22"/>
              </w:rPr>
              <w:t>履约担保形式：</w:t>
            </w:r>
            <w:r>
              <w:rPr>
                <w:rFonts w:hint="eastAsia" w:ascii="宋体" w:hAnsi="宋体" w:cs="宋体"/>
                <w:kern w:val="0"/>
                <w:sz w:val="24"/>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8</w:t>
            </w:r>
          </w:p>
        </w:tc>
        <w:tc>
          <w:tcPr>
            <w:tcW w:w="1134" w:type="dxa"/>
            <w:vAlign w:val="center"/>
          </w:tcPr>
          <w:p>
            <w:pPr>
              <w:adjustRightInd w:val="0"/>
              <w:snapToGrid w:val="0"/>
              <w:spacing w:line="312" w:lineRule="auto"/>
              <w:rPr>
                <w:sz w:val="24"/>
              </w:rPr>
            </w:pPr>
            <w:r>
              <w:rPr>
                <w:rFonts w:hint="eastAsia"/>
                <w:sz w:val="24"/>
              </w:rPr>
              <w:t>10.1</w:t>
            </w:r>
          </w:p>
        </w:tc>
        <w:tc>
          <w:tcPr>
            <w:tcW w:w="7027" w:type="dxa"/>
          </w:tcPr>
          <w:p>
            <w:pPr>
              <w:adjustRightInd w:val="0"/>
              <w:snapToGrid w:val="0"/>
              <w:spacing w:line="312" w:lineRule="auto"/>
              <w:rPr>
                <w:sz w:val="24"/>
              </w:rPr>
            </w:pPr>
            <w:r>
              <w:rPr>
                <w:rFonts w:hint="eastAsia"/>
                <w:sz w:val="24"/>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9</w:t>
            </w:r>
          </w:p>
        </w:tc>
        <w:tc>
          <w:tcPr>
            <w:tcW w:w="1134" w:type="dxa"/>
            <w:vAlign w:val="center"/>
          </w:tcPr>
          <w:p>
            <w:pPr>
              <w:adjustRightInd w:val="0"/>
              <w:snapToGrid w:val="0"/>
              <w:spacing w:line="312" w:lineRule="auto"/>
              <w:rPr>
                <w:sz w:val="24"/>
              </w:rPr>
            </w:pPr>
            <w:r>
              <w:rPr>
                <w:rFonts w:hint="eastAsia"/>
                <w:sz w:val="24"/>
              </w:rPr>
              <w:t>10.2</w:t>
            </w:r>
          </w:p>
        </w:tc>
        <w:tc>
          <w:tcPr>
            <w:tcW w:w="7027" w:type="dxa"/>
          </w:tcPr>
          <w:p>
            <w:pPr>
              <w:adjustRightInd w:val="0"/>
              <w:snapToGrid w:val="0"/>
              <w:spacing w:line="312" w:lineRule="auto"/>
              <w:rPr>
                <w:sz w:val="24"/>
              </w:rPr>
            </w:pPr>
            <w:r>
              <w:rPr>
                <w:rFonts w:hint="eastAsia"/>
                <w:sz w:val="22"/>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10</w:t>
            </w:r>
          </w:p>
        </w:tc>
        <w:tc>
          <w:tcPr>
            <w:tcW w:w="1134" w:type="dxa"/>
            <w:vAlign w:val="center"/>
          </w:tcPr>
          <w:p>
            <w:pPr>
              <w:adjustRightInd w:val="0"/>
              <w:snapToGrid w:val="0"/>
              <w:spacing w:line="312" w:lineRule="auto"/>
              <w:rPr>
                <w:sz w:val="24"/>
              </w:rPr>
            </w:pPr>
            <w:r>
              <w:rPr>
                <w:rFonts w:hint="eastAsia"/>
                <w:sz w:val="24"/>
              </w:rPr>
              <w:t>10.4</w:t>
            </w:r>
          </w:p>
        </w:tc>
        <w:tc>
          <w:tcPr>
            <w:tcW w:w="7027" w:type="dxa"/>
          </w:tcPr>
          <w:p>
            <w:pPr>
              <w:adjustRightInd w:val="0"/>
              <w:snapToGrid w:val="0"/>
              <w:spacing w:line="312" w:lineRule="auto"/>
              <w:rPr>
                <w:sz w:val="24"/>
              </w:rPr>
            </w:pPr>
            <w:r>
              <w:rPr>
                <w:rFonts w:hint="eastAsia"/>
                <w:sz w:val="24"/>
              </w:rPr>
              <w:t>提交合同用款计划的时间：</w:t>
            </w:r>
          </w:p>
          <w:p>
            <w:pPr>
              <w:adjustRightInd w:val="0"/>
              <w:snapToGrid w:val="0"/>
              <w:spacing w:line="312" w:lineRule="auto"/>
              <w:rPr>
                <w:sz w:val="24"/>
              </w:rPr>
            </w:pPr>
            <w:r>
              <w:rPr>
                <w:rFonts w:hint="eastAsia"/>
                <w:sz w:val="24"/>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11</w:t>
            </w:r>
          </w:p>
        </w:tc>
        <w:tc>
          <w:tcPr>
            <w:tcW w:w="1134" w:type="dxa"/>
            <w:vAlign w:val="center"/>
          </w:tcPr>
          <w:p>
            <w:pPr>
              <w:adjustRightInd w:val="0"/>
              <w:snapToGrid w:val="0"/>
              <w:spacing w:line="312" w:lineRule="auto"/>
              <w:rPr>
                <w:sz w:val="24"/>
              </w:rPr>
            </w:pPr>
            <w:r>
              <w:rPr>
                <w:rFonts w:hint="eastAsia"/>
                <w:sz w:val="24"/>
              </w:rPr>
              <w:t>11.1</w:t>
            </w:r>
          </w:p>
        </w:tc>
        <w:tc>
          <w:tcPr>
            <w:tcW w:w="7027" w:type="dxa"/>
          </w:tcPr>
          <w:p>
            <w:pPr>
              <w:adjustRightInd w:val="0"/>
              <w:snapToGrid w:val="0"/>
              <w:spacing w:line="312" w:lineRule="auto"/>
              <w:rPr>
                <w:sz w:val="24"/>
              </w:rPr>
            </w:pPr>
            <w:r>
              <w:rPr>
                <w:rFonts w:hint="eastAsia"/>
                <w:sz w:val="24"/>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12</w:t>
            </w:r>
          </w:p>
        </w:tc>
        <w:tc>
          <w:tcPr>
            <w:tcW w:w="1134" w:type="dxa"/>
            <w:vAlign w:val="center"/>
          </w:tcPr>
          <w:p>
            <w:pPr>
              <w:adjustRightInd w:val="0"/>
              <w:snapToGrid w:val="0"/>
              <w:spacing w:line="312" w:lineRule="auto"/>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逾期竣工违约金：人民币元/天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13</w:t>
            </w:r>
          </w:p>
        </w:tc>
        <w:tc>
          <w:tcPr>
            <w:tcW w:w="1134" w:type="dxa"/>
            <w:vAlign w:val="center"/>
          </w:tcPr>
          <w:p>
            <w:pPr>
              <w:adjustRightInd w:val="0"/>
              <w:snapToGrid w:val="0"/>
              <w:spacing w:line="312" w:lineRule="auto"/>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14</w:t>
            </w:r>
          </w:p>
        </w:tc>
        <w:tc>
          <w:tcPr>
            <w:tcW w:w="1134" w:type="dxa"/>
            <w:vAlign w:val="center"/>
          </w:tcPr>
          <w:p>
            <w:pPr>
              <w:adjustRightInd w:val="0"/>
              <w:snapToGrid w:val="0"/>
              <w:spacing w:line="312" w:lineRule="auto"/>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15</w:t>
            </w:r>
          </w:p>
        </w:tc>
        <w:tc>
          <w:tcPr>
            <w:tcW w:w="1134" w:type="dxa"/>
            <w:vAlign w:val="center"/>
          </w:tcPr>
          <w:p>
            <w:pPr>
              <w:adjustRightInd w:val="0"/>
              <w:snapToGrid w:val="0"/>
              <w:spacing w:line="312" w:lineRule="auto"/>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pPr>
        <w:rPr>
          <w:sz w:val="18"/>
          <w:szCs w:val="18"/>
        </w:rPr>
      </w:pPr>
    </w:p>
    <w:p>
      <w:pPr>
        <w:rPr>
          <w:sz w:val="18"/>
          <w:szCs w:val="18"/>
        </w:rPr>
      </w:pPr>
      <w:r>
        <w:rPr>
          <w:sz w:val="18"/>
          <w:szCs w:val="18"/>
        </w:rPr>
        <w:br w:type="page"/>
      </w:r>
    </w:p>
    <w:tbl>
      <w:tblPr>
        <w:tblStyle w:val="12"/>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rPr>
                <w:sz w:val="24"/>
              </w:rPr>
            </w:pPr>
            <w:r>
              <w:rPr>
                <w:rFonts w:hint="eastAsia"/>
                <w:sz w:val="24"/>
              </w:rPr>
              <w:t>序号</w:t>
            </w:r>
          </w:p>
        </w:tc>
        <w:tc>
          <w:tcPr>
            <w:tcW w:w="1044" w:type="dxa"/>
            <w:vAlign w:val="center"/>
          </w:tcPr>
          <w:p>
            <w:pPr>
              <w:adjustRightInd w:val="0"/>
              <w:snapToGrid w:val="0"/>
              <w:spacing w:line="324" w:lineRule="auto"/>
              <w:rPr>
                <w:sz w:val="24"/>
              </w:rPr>
            </w:pPr>
            <w:r>
              <w:rPr>
                <w:rFonts w:hint="eastAsia"/>
                <w:sz w:val="24"/>
              </w:rPr>
              <w:t>条款号</w:t>
            </w:r>
          </w:p>
        </w:tc>
        <w:tc>
          <w:tcPr>
            <w:tcW w:w="7560" w:type="dxa"/>
            <w:vAlign w:val="center"/>
          </w:tcPr>
          <w:p>
            <w:pPr>
              <w:adjustRightInd w:val="0"/>
              <w:snapToGrid w:val="0"/>
              <w:spacing w:line="324" w:lineRule="auto"/>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16</w:t>
            </w:r>
          </w:p>
        </w:tc>
        <w:tc>
          <w:tcPr>
            <w:tcW w:w="1044" w:type="dxa"/>
            <w:vAlign w:val="center"/>
          </w:tcPr>
          <w:p>
            <w:pPr>
              <w:adjustRightInd w:val="0"/>
              <w:snapToGrid w:val="0"/>
              <w:spacing w:line="324" w:lineRule="auto"/>
              <w:rPr>
                <w:sz w:val="24"/>
              </w:rPr>
            </w:pPr>
            <w:r>
              <w:rPr>
                <w:rFonts w:hint="eastAsia"/>
                <w:sz w:val="24"/>
              </w:rPr>
              <w:t>15.2.2</w:t>
            </w:r>
          </w:p>
        </w:tc>
        <w:tc>
          <w:tcPr>
            <w:tcW w:w="7560" w:type="dxa"/>
          </w:tcPr>
          <w:p>
            <w:pPr>
              <w:adjustRightInd w:val="0"/>
              <w:snapToGrid w:val="0"/>
              <w:spacing w:line="324" w:lineRule="auto"/>
              <w:rPr>
                <w:sz w:val="24"/>
              </w:rPr>
            </w:pPr>
            <w:r>
              <w:rPr>
                <w:rFonts w:hint="eastAsia"/>
                <w:sz w:val="24"/>
              </w:rPr>
              <w:t>按所节约或增加收益的%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17</w:t>
            </w:r>
          </w:p>
        </w:tc>
        <w:tc>
          <w:tcPr>
            <w:tcW w:w="1044" w:type="dxa"/>
            <w:vAlign w:val="center"/>
          </w:tcPr>
          <w:p>
            <w:pPr>
              <w:adjustRightInd w:val="0"/>
              <w:snapToGrid w:val="0"/>
              <w:spacing w:line="324" w:lineRule="auto"/>
              <w:rPr>
                <w:sz w:val="24"/>
              </w:rPr>
            </w:pPr>
            <w:r>
              <w:rPr>
                <w:rFonts w:hint="eastAsia"/>
                <w:sz w:val="24"/>
              </w:rPr>
              <w:t>16.1</w:t>
            </w:r>
          </w:p>
        </w:tc>
        <w:tc>
          <w:tcPr>
            <w:tcW w:w="7560" w:type="dxa"/>
          </w:tcPr>
          <w:p>
            <w:pPr>
              <w:adjustRightInd w:val="0"/>
              <w:snapToGrid w:val="0"/>
              <w:spacing w:line="324" w:lineRule="auto"/>
              <w:rPr>
                <w:sz w:val="24"/>
              </w:rPr>
            </w:pPr>
            <w:r>
              <w:rPr>
                <w:rFonts w:hint="eastAsia"/>
                <w:sz w:val="24"/>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18</w:t>
            </w:r>
          </w:p>
        </w:tc>
        <w:tc>
          <w:tcPr>
            <w:tcW w:w="1044" w:type="dxa"/>
            <w:vAlign w:val="center"/>
          </w:tcPr>
          <w:p>
            <w:pPr>
              <w:adjustRightInd w:val="0"/>
              <w:snapToGrid w:val="0"/>
              <w:spacing w:line="324" w:lineRule="auto"/>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开工预付款比例：%签约合同价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rPr>
                <w:sz w:val="24"/>
              </w:rPr>
            </w:pPr>
            <w:r>
              <w:rPr>
                <w:rFonts w:hint="eastAsia"/>
                <w:sz w:val="24"/>
              </w:rPr>
              <w:t>29</w:t>
            </w:r>
          </w:p>
        </w:tc>
        <w:tc>
          <w:tcPr>
            <w:tcW w:w="1044" w:type="dxa"/>
            <w:vAlign w:val="center"/>
          </w:tcPr>
          <w:p>
            <w:pPr>
              <w:adjustRightInd w:val="0"/>
              <w:snapToGrid w:val="0"/>
              <w:spacing w:line="324" w:lineRule="auto"/>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材料、设备预付款比例：等主要材料、设备单据所列费用的%</w:t>
            </w:r>
            <w:r>
              <w:rPr>
                <w:rStyle w:val="17"/>
                <w:sz w:val="24"/>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20</w:t>
            </w:r>
          </w:p>
        </w:tc>
        <w:tc>
          <w:tcPr>
            <w:tcW w:w="1044" w:type="dxa"/>
            <w:vAlign w:val="center"/>
          </w:tcPr>
          <w:p>
            <w:pPr>
              <w:adjustRightInd w:val="0"/>
              <w:snapToGrid w:val="0"/>
              <w:spacing w:line="324" w:lineRule="auto"/>
              <w:rPr>
                <w:sz w:val="24"/>
              </w:rPr>
            </w:pPr>
            <w:r>
              <w:rPr>
                <w:rFonts w:hint="eastAsia"/>
                <w:sz w:val="24"/>
              </w:rPr>
              <w:t>17.3.2</w:t>
            </w:r>
          </w:p>
        </w:tc>
        <w:tc>
          <w:tcPr>
            <w:tcW w:w="7560" w:type="dxa"/>
          </w:tcPr>
          <w:p>
            <w:pPr>
              <w:adjustRightInd w:val="0"/>
              <w:snapToGrid w:val="0"/>
              <w:spacing w:line="324" w:lineRule="auto"/>
              <w:rPr>
                <w:sz w:val="24"/>
              </w:rPr>
            </w:pPr>
            <w:r>
              <w:rPr>
                <w:rFonts w:hint="eastAsia"/>
                <w:sz w:val="24"/>
              </w:rPr>
              <w:t>进度付款申请单：向监理人提交进度付款申请单的份数：份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21</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jc w:val="left"/>
              <w:rPr>
                <w:sz w:val="24"/>
              </w:rPr>
            </w:pPr>
            <w:r>
              <w:rPr>
                <w:rFonts w:hint="eastAsia"/>
                <w:sz w:val="24"/>
              </w:rPr>
              <w:t>进度付款申请证书最低限额：签约合同价的%或人民币万元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22</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进度付款支付期限：</w:t>
            </w:r>
          </w:p>
          <w:p>
            <w:pPr>
              <w:adjustRightInd w:val="0"/>
              <w:snapToGrid w:val="0"/>
              <w:spacing w:line="324" w:lineRule="auto"/>
              <w:rPr>
                <w:sz w:val="24"/>
              </w:rPr>
            </w:pPr>
            <w:r>
              <w:rPr>
                <w:rFonts w:hint="eastAsia"/>
                <w:sz w:val="24"/>
              </w:rPr>
              <w:t>监理人收到进度付款申请单后</w:t>
            </w:r>
            <w:r>
              <w:rPr>
                <w:rFonts w:hint="eastAsia" w:ascii="宋体" w:hAnsi="宋体"/>
                <w:sz w:val="24"/>
              </w:rPr>
              <w:t>天</w:t>
            </w:r>
            <w:r>
              <w:rPr>
                <w:rFonts w:hint="eastAsia"/>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23</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逾期付款违约金：</w:t>
            </w:r>
            <w:r>
              <w:rPr>
                <w:rFonts w:hint="eastAsia" w:ascii="宋体" w:hAnsi="宋体"/>
                <w:sz w:val="24"/>
              </w:rPr>
              <w:t>‰/天</w:t>
            </w:r>
            <w:r>
              <w:rPr>
                <w:rStyle w:val="17"/>
                <w:sz w:val="24"/>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24</w:t>
            </w:r>
          </w:p>
        </w:tc>
        <w:tc>
          <w:tcPr>
            <w:tcW w:w="1044" w:type="dxa"/>
            <w:vAlign w:val="center"/>
          </w:tcPr>
          <w:p>
            <w:pPr>
              <w:adjustRightInd w:val="0"/>
              <w:snapToGrid w:val="0"/>
              <w:spacing w:line="324" w:lineRule="auto"/>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质量保证金百分比：月支付额的%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25</w:t>
            </w:r>
          </w:p>
        </w:tc>
        <w:tc>
          <w:tcPr>
            <w:tcW w:w="1044" w:type="dxa"/>
            <w:vAlign w:val="center"/>
          </w:tcPr>
          <w:p>
            <w:pPr>
              <w:adjustRightInd w:val="0"/>
              <w:snapToGrid w:val="0"/>
              <w:spacing w:line="324" w:lineRule="auto"/>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rPr>
                <w:sz w:val="24"/>
              </w:rPr>
            </w:pPr>
            <w:r>
              <w:rPr>
                <w:rFonts w:hint="eastAsia"/>
                <w:sz w:val="24"/>
              </w:rPr>
              <w:t>26</w:t>
            </w:r>
          </w:p>
        </w:tc>
        <w:tc>
          <w:tcPr>
            <w:tcW w:w="1044" w:type="dxa"/>
            <w:vAlign w:val="center"/>
          </w:tcPr>
          <w:p>
            <w:pPr>
              <w:adjustRightInd w:val="0"/>
              <w:snapToGrid w:val="0"/>
              <w:spacing w:line="324" w:lineRule="auto"/>
              <w:rPr>
                <w:sz w:val="24"/>
              </w:rPr>
            </w:pPr>
            <w:r>
              <w:rPr>
                <w:rFonts w:hint="eastAsia"/>
                <w:sz w:val="24"/>
              </w:rPr>
              <w:t>17.5.1</w:t>
            </w:r>
          </w:p>
        </w:tc>
        <w:tc>
          <w:tcPr>
            <w:tcW w:w="7560" w:type="dxa"/>
          </w:tcPr>
          <w:p>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27</w:t>
            </w:r>
          </w:p>
        </w:tc>
        <w:tc>
          <w:tcPr>
            <w:tcW w:w="1044" w:type="dxa"/>
            <w:vAlign w:val="center"/>
          </w:tcPr>
          <w:p>
            <w:pPr>
              <w:adjustRightInd w:val="0"/>
              <w:snapToGrid w:val="0"/>
              <w:spacing w:line="324" w:lineRule="auto"/>
              <w:rPr>
                <w:sz w:val="24"/>
              </w:rPr>
            </w:pPr>
            <w:r>
              <w:rPr>
                <w:rFonts w:hint="eastAsia"/>
                <w:sz w:val="24"/>
              </w:rPr>
              <w:t>17.5.2</w:t>
            </w:r>
          </w:p>
        </w:tc>
        <w:tc>
          <w:tcPr>
            <w:tcW w:w="7560" w:type="dxa"/>
          </w:tcPr>
          <w:p>
            <w:pPr>
              <w:adjustRightInd w:val="0"/>
              <w:snapToGrid w:val="0"/>
              <w:spacing w:line="324" w:lineRule="auto"/>
              <w:rPr>
                <w:sz w:val="24"/>
              </w:rPr>
            </w:pPr>
            <w:r>
              <w:rPr>
                <w:rFonts w:hint="eastAsia"/>
                <w:sz w:val="24"/>
              </w:rPr>
              <w:t>竣工付款支付期限：</w:t>
            </w:r>
          </w:p>
          <w:p>
            <w:pPr>
              <w:adjustRightInd w:val="0"/>
              <w:snapToGrid w:val="0"/>
              <w:spacing w:line="324" w:lineRule="auto"/>
              <w:rPr>
                <w:sz w:val="24"/>
              </w:rPr>
            </w:pPr>
            <w:r>
              <w:rPr>
                <w:rFonts w:hint="eastAsia"/>
                <w:sz w:val="24"/>
              </w:rPr>
              <w:t>监理人出具工程竣工付款证书后天内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rPr>
                <w:sz w:val="24"/>
              </w:rPr>
            </w:pPr>
            <w:r>
              <w:rPr>
                <w:rFonts w:hint="eastAsia"/>
                <w:sz w:val="24"/>
              </w:rPr>
              <w:t>28</w:t>
            </w:r>
          </w:p>
        </w:tc>
        <w:tc>
          <w:tcPr>
            <w:tcW w:w="1044" w:type="dxa"/>
            <w:vAlign w:val="center"/>
          </w:tcPr>
          <w:p>
            <w:pPr>
              <w:adjustRightInd w:val="0"/>
              <w:snapToGrid w:val="0"/>
              <w:spacing w:line="324" w:lineRule="auto"/>
              <w:rPr>
                <w:sz w:val="24"/>
              </w:rPr>
            </w:pPr>
            <w:r>
              <w:rPr>
                <w:rFonts w:hint="eastAsia"/>
                <w:sz w:val="24"/>
              </w:rPr>
              <w:t>17.6.1</w:t>
            </w:r>
          </w:p>
        </w:tc>
        <w:tc>
          <w:tcPr>
            <w:tcW w:w="7560" w:type="dxa"/>
          </w:tcPr>
          <w:p>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29</w:t>
            </w:r>
          </w:p>
        </w:tc>
        <w:tc>
          <w:tcPr>
            <w:tcW w:w="1044" w:type="dxa"/>
            <w:vAlign w:val="center"/>
          </w:tcPr>
          <w:p>
            <w:pPr>
              <w:adjustRightInd w:val="0"/>
              <w:snapToGrid w:val="0"/>
              <w:spacing w:line="324" w:lineRule="auto"/>
              <w:rPr>
                <w:sz w:val="24"/>
              </w:rPr>
            </w:pPr>
            <w:r>
              <w:rPr>
                <w:rFonts w:hint="eastAsia"/>
                <w:sz w:val="24"/>
              </w:rPr>
              <w:t>17.6.2</w:t>
            </w:r>
          </w:p>
        </w:tc>
        <w:tc>
          <w:tcPr>
            <w:tcW w:w="7560" w:type="dxa"/>
          </w:tcPr>
          <w:p>
            <w:pPr>
              <w:adjustRightInd w:val="0"/>
              <w:snapToGrid w:val="0"/>
              <w:spacing w:line="324" w:lineRule="auto"/>
              <w:rPr>
                <w:sz w:val="24"/>
              </w:rPr>
            </w:pPr>
            <w:r>
              <w:rPr>
                <w:rFonts w:hint="eastAsia"/>
                <w:sz w:val="24"/>
              </w:rPr>
              <w:t>最终付款支付期限：</w:t>
            </w:r>
          </w:p>
          <w:p>
            <w:pPr>
              <w:adjustRightInd w:val="0"/>
              <w:snapToGrid w:val="0"/>
              <w:spacing w:line="324" w:lineRule="auto"/>
              <w:rPr>
                <w:sz w:val="24"/>
              </w:rPr>
            </w:pPr>
            <w:r>
              <w:rPr>
                <w:rFonts w:hint="eastAsia"/>
                <w:sz w:val="24"/>
              </w:rPr>
              <w:t>监理人出具最终结清证书后天内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30</w:t>
            </w:r>
          </w:p>
        </w:tc>
        <w:tc>
          <w:tcPr>
            <w:tcW w:w="1044" w:type="dxa"/>
            <w:vAlign w:val="center"/>
          </w:tcPr>
          <w:p>
            <w:pPr>
              <w:adjustRightInd w:val="0"/>
              <w:snapToGrid w:val="0"/>
              <w:spacing w:line="324" w:lineRule="auto"/>
              <w:rPr>
                <w:sz w:val="24"/>
              </w:rPr>
            </w:pPr>
            <w:r>
              <w:rPr>
                <w:rFonts w:hint="eastAsia"/>
                <w:sz w:val="24"/>
              </w:rPr>
              <w:t>19.7</w:t>
            </w:r>
          </w:p>
        </w:tc>
        <w:tc>
          <w:tcPr>
            <w:tcW w:w="7560" w:type="dxa"/>
          </w:tcPr>
          <w:p>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31</w:t>
            </w:r>
          </w:p>
        </w:tc>
        <w:tc>
          <w:tcPr>
            <w:tcW w:w="1044" w:type="dxa"/>
            <w:vAlign w:val="center"/>
          </w:tcPr>
          <w:p>
            <w:pPr>
              <w:adjustRightInd w:val="0"/>
              <w:snapToGrid w:val="0"/>
              <w:spacing w:line="324" w:lineRule="auto"/>
              <w:rPr>
                <w:sz w:val="24"/>
              </w:rPr>
            </w:pPr>
            <w:r>
              <w:rPr>
                <w:rFonts w:hint="eastAsia"/>
                <w:sz w:val="24"/>
              </w:rPr>
              <w:t>20.1</w:t>
            </w:r>
          </w:p>
        </w:tc>
        <w:tc>
          <w:tcPr>
            <w:tcW w:w="7560" w:type="dxa"/>
          </w:tcPr>
          <w:p>
            <w:pPr>
              <w:adjustRightInd w:val="0"/>
              <w:snapToGrid w:val="0"/>
              <w:spacing w:line="324" w:lineRule="auto"/>
              <w:rPr>
                <w:sz w:val="24"/>
              </w:rPr>
            </w:pPr>
            <w:r>
              <w:rPr>
                <w:rFonts w:hint="eastAsia"/>
                <w:sz w:val="24"/>
              </w:rPr>
              <w:t>建筑工程一切险的保险费率：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rPr>
                <w:sz w:val="24"/>
              </w:rPr>
            </w:pPr>
            <w:r>
              <w:rPr>
                <w:rFonts w:hint="eastAsia"/>
                <w:sz w:val="24"/>
              </w:rPr>
              <w:t>32</w:t>
            </w:r>
          </w:p>
        </w:tc>
        <w:tc>
          <w:tcPr>
            <w:tcW w:w="1044" w:type="dxa"/>
            <w:vAlign w:val="center"/>
          </w:tcPr>
          <w:p>
            <w:pPr>
              <w:adjustRightInd w:val="0"/>
              <w:snapToGrid w:val="0"/>
              <w:spacing w:line="324" w:lineRule="auto"/>
              <w:rPr>
                <w:sz w:val="24"/>
              </w:rPr>
            </w:pPr>
            <w:r>
              <w:rPr>
                <w:rFonts w:hint="eastAsia"/>
                <w:sz w:val="24"/>
              </w:rPr>
              <w:t>20.4.2</w:t>
            </w:r>
          </w:p>
        </w:tc>
        <w:tc>
          <w:tcPr>
            <w:tcW w:w="7560" w:type="dxa"/>
          </w:tcPr>
          <w:p>
            <w:pPr>
              <w:adjustRightInd w:val="0"/>
              <w:snapToGrid w:val="0"/>
              <w:spacing w:line="324" w:lineRule="auto"/>
              <w:rPr>
                <w:sz w:val="24"/>
              </w:rPr>
            </w:pPr>
            <w:r>
              <w:rPr>
                <w:rFonts w:hint="eastAsia"/>
                <w:sz w:val="24"/>
              </w:rPr>
              <w:t>第三者责任的最低投保金额：万元人民币，事故次数不限（不计免赔额）     保险费率：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rPr>
                <w:sz w:val="24"/>
              </w:rPr>
            </w:pPr>
            <w:r>
              <w:rPr>
                <w:rFonts w:hint="eastAsia"/>
                <w:sz w:val="24"/>
              </w:rPr>
              <w:t>33</w:t>
            </w:r>
          </w:p>
        </w:tc>
        <w:tc>
          <w:tcPr>
            <w:tcW w:w="1044" w:type="dxa"/>
            <w:vAlign w:val="center"/>
          </w:tcPr>
          <w:p>
            <w:pPr>
              <w:adjustRightInd w:val="0"/>
              <w:snapToGrid w:val="0"/>
              <w:spacing w:line="324" w:lineRule="auto"/>
              <w:rPr>
                <w:sz w:val="24"/>
              </w:rPr>
            </w:pPr>
            <w:r>
              <w:rPr>
                <w:rFonts w:hint="eastAsia"/>
                <w:sz w:val="24"/>
              </w:rPr>
              <w:t>24.1</w:t>
            </w:r>
          </w:p>
        </w:tc>
        <w:tc>
          <w:tcPr>
            <w:tcW w:w="7560" w:type="dxa"/>
          </w:tcPr>
          <w:p>
            <w:pPr>
              <w:adjustRightInd w:val="0"/>
              <w:snapToGrid w:val="0"/>
              <w:spacing w:line="324" w:lineRule="auto"/>
              <w:rPr>
                <w:sz w:val="24"/>
                <w:u w:val="single"/>
              </w:rPr>
            </w:pPr>
            <w:r>
              <w:rPr>
                <w:rFonts w:hint="eastAsia"/>
                <w:sz w:val="24"/>
              </w:rPr>
              <w:t>争议的最终解决方式：</w:t>
            </w:r>
            <w:r>
              <w:rPr>
                <w:rFonts w:hint="eastAsia"/>
                <w:sz w:val="24"/>
                <w:u w:val="single"/>
              </w:rPr>
              <w:t xml:space="preserve">      诉讼     </w:t>
            </w:r>
          </w:p>
          <w:p>
            <w:pPr>
              <w:adjustRightInd w:val="0"/>
              <w:snapToGrid w:val="0"/>
              <w:spacing w:line="324" w:lineRule="auto"/>
              <w:rPr>
                <w:sz w:val="24"/>
              </w:rPr>
            </w:pPr>
            <w:r>
              <w:rPr>
                <w:rFonts w:hint="eastAsia"/>
                <w:sz w:val="24"/>
              </w:rPr>
              <w:t>如采用仲裁，仲裁委员会名称</w:t>
            </w:r>
            <w:r>
              <w:rPr>
                <w:rFonts w:hint="eastAsia"/>
                <w:sz w:val="24"/>
                <w:u w:val="single"/>
              </w:rPr>
              <w:t xml:space="preserve">：  许昌市中级人民法院  </w:t>
            </w:r>
          </w:p>
        </w:tc>
      </w:tr>
    </w:tbl>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360" w:lineRule="auto"/>
        <w:rPr>
          <w:rFonts w:ascii="黑体" w:eastAsia="黑体"/>
          <w:sz w:val="30"/>
        </w:rPr>
      </w:pPr>
    </w:p>
    <w:p>
      <w:pPr>
        <w:adjustRightInd w:val="0"/>
        <w:snapToGrid w:val="0"/>
        <w:spacing w:beforeLines="50" w:afterLines="50" w:line="360" w:lineRule="auto"/>
        <w:rPr>
          <w:rFonts w:ascii="黑体" w:eastAsia="黑体"/>
          <w:sz w:val="30"/>
        </w:rPr>
      </w:pPr>
      <w:r>
        <w:rPr>
          <w:rFonts w:hint="eastAsia" w:ascii="黑体" w:eastAsia="黑体"/>
          <w:sz w:val="30"/>
        </w:rPr>
        <w:t>项目专用条款</w:t>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1.4合同文件的优先顺序：</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u w:val="single"/>
        </w:rPr>
      </w:pPr>
      <w:r>
        <w:rPr>
          <w:rFonts w:hint="eastAsia" w:asciiTheme="minorEastAsia" w:hAnsiTheme="minorEastAsia" w:eastAsiaTheme="minorEastAsia"/>
          <w:sz w:val="24"/>
        </w:rPr>
        <w:t>1.7.2来往函件送达的期限：</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2.8发包人应履行的其他义务：</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4.1.2依法纳税：</w:t>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4.1.8为他人提供方便</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672" w:firstLineChars="280"/>
        <w:rPr>
          <w:rFonts w:asciiTheme="minorEastAsia" w:hAnsiTheme="minorEastAsia" w:eastAsiaTheme="minorEastAsia"/>
          <w:sz w:val="24"/>
        </w:rPr>
      </w:pPr>
      <w:r>
        <w:rPr>
          <w:rFonts w:hint="eastAsia" w:asciiTheme="minorEastAsia" w:hAnsiTheme="minorEastAsia" w:eastAsiaTheme="minorEastAsia"/>
          <w:sz w:val="24"/>
        </w:rPr>
        <w:t>承包人为他人提供条件的内容：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672" w:firstLineChars="280"/>
        <w:rPr>
          <w:rFonts w:asciiTheme="minorEastAsia" w:hAnsiTheme="minorEastAsia" w:eastAsiaTheme="minorEastAsia"/>
          <w:sz w:val="24"/>
        </w:rPr>
      </w:pPr>
      <w:r>
        <w:rPr>
          <w:rFonts w:hint="eastAsia" w:asciiTheme="minorEastAsia" w:hAnsiTheme="minorEastAsia" w:eastAsiaTheme="minorEastAsia"/>
          <w:sz w:val="24"/>
        </w:rPr>
        <w:t>承包人为他人提供条件可能发生费用的处理方法：</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4.1.10其他义务：</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4.2履约担保：</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4.11.1不利物质条件的范围：</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6.2发包人提供的施工设备和临时设施：</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8.1.1发包人向承包人提供测量准点、基准线和水准点及其书面资料的时间：</w:t>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rPr>
        <w:t>。承包人监理人报送施工控制网资料的时间：</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9.2承包人的施工安全责任：</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10.1合同进度计划</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承包人编制施工方案的内容：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11.4异常恶劣的气候条件：</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11.5承包人的工期延误：</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11.6工期提前：</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12.1承包人暂停停工的责任：</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15.4变更的佶价原则：</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17.3.3进度付款证书和支付时间：</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进度付款涉及政府投资资金的,按照以下规定办理：</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18.5施工期运行</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单位工程或工程设备是否需投入施工期运行：</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18.6试运行</w:t>
      </w:r>
      <w:r>
        <w:rPr>
          <w:rFonts w:asciiTheme="minorEastAsia" w:hAnsiTheme="minorEastAsia" w:eastAsiaTheme="minorEastAsia"/>
          <w:position w:val="-10"/>
          <w:sz w:val="24"/>
        </w:rPr>
        <w:object>
          <v:shape id="_x0000_i1027" o:spt="75" type="#_x0000_t75" style="height:17.25pt;width:9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6" r:id="rId17">
            <o:LockedField>false</o:LockedField>
          </o:OLEObject>
        </w:objec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18.6.1项约定：</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本工程及工程设备是否进行试运行：</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试运行的内容：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试运行的费用约定：</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21.1不可抗力的确认：</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u w:val="single"/>
        </w:rPr>
      </w:pPr>
      <w:r>
        <w:rPr>
          <w:rFonts w:hint="eastAsia" w:asciiTheme="minorEastAsia" w:hAnsiTheme="minorEastAsia" w:eastAsiaTheme="minorEastAsia"/>
          <w:sz w:val="24"/>
        </w:rPr>
        <w:t>22.1.2对承包人违约的处理：</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pStyle w:val="30"/>
        <w:snapToGrid w:val="0"/>
        <w:spacing w:line="300" w:lineRule="auto"/>
        <w:jc w:val="center"/>
        <w:rPr>
          <w:rFonts w:ascii="黑体" w:eastAsia="黑体"/>
          <w:bCs/>
          <w:color w:val="auto"/>
          <w:sz w:val="36"/>
          <w:szCs w:val="36"/>
        </w:rPr>
      </w:pPr>
    </w:p>
    <w:p>
      <w:pPr>
        <w:pStyle w:val="30"/>
        <w:snapToGrid w:val="0"/>
        <w:spacing w:line="300" w:lineRule="auto"/>
        <w:jc w:val="center"/>
        <w:rPr>
          <w:rFonts w:ascii="黑体" w:eastAsia="黑体"/>
          <w:bCs/>
          <w:color w:val="auto"/>
          <w:sz w:val="36"/>
          <w:szCs w:val="36"/>
        </w:rPr>
      </w:pPr>
      <w:r>
        <w:rPr>
          <w:rFonts w:ascii="黑体" w:eastAsia="黑体"/>
          <w:bCs/>
          <w:color w:val="auto"/>
          <w:sz w:val="36"/>
          <w:szCs w:val="36"/>
        </w:rPr>
        <w:t>第三节 合同附件格式</w:t>
      </w:r>
    </w:p>
    <w:bookmarkEnd w:id="210"/>
    <w:p>
      <w:pPr>
        <w:adjustRightInd w:val="0"/>
        <w:snapToGrid w:val="0"/>
        <w:spacing w:line="360" w:lineRule="auto"/>
        <w:rPr>
          <w:rFonts w:ascii="黑体" w:eastAsia="黑体"/>
          <w:sz w:val="24"/>
          <w:u w:val="single"/>
        </w:rPr>
      </w:pPr>
      <w:r>
        <w:rPr>
          <w:rFonts w:hint="eastAsia" w:ascii="黑体" w:eastAsia="黑体"/>
          <w:sz w:val="24"/>
        </w:rPr>
        <w:t>附件一：合同协议书</w:t>
      </w:r>
    </w:p>
    <w:p>
      <w:pPr>
        <w:adjustRightInd w:val="0"/>
        <w:snapToGrid w:val="0"/>
        <w:spacing w:beforeLines="100" w:afterLines="100" w:line="360" w:lineRule="auto"/>
        <w:jc w:val="center"/>
        <w:rPr>
          <w:rFonts w:ascii="黑体" w:eastAsia="黑体"/>
          <w:sz w:val="28"/>
          <w:szCs w:val="28"/>
        </w:rPr>
      </w:pPr>
      <w:r>
        <w:rPr>
          <w:rFonts w:hint="eastAsia" w:ascii="黑体" w:eastAsia="黑体"/>
          <w:sz w:val="28"/>
          <w:szCs w:val="28"/>
        </w:rPr>
        <w:t>合 同 协 议 书</w:t>
      </w:r>
    </w:p>
    <w:p>
      <w:pPr>
        <w:adjustRightInd w:val="0"/>
        <w:snapToGrid w:val="0"/>
        <w:spacing w:line="360" w:lineRule="auto"/>
        <w:ind w:firstLine="720" w:firstLineChars="30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 ）</w:t>
      </w:r>
      <w:r>
        <w:rPr>
          <w:sz w:val="24"/>
        </w:rPr>
        <w:t>为实施（项目名称），已接受（承包人名称，以下简称“承包人”）对该项目</w:t>
      </w:r>
      <w:r>
        <w:rPr>
          <w:rFonts w:hint="eastAsia" w:asciiTheme="minorEastAsia" w:hAnsiTheme="minorEastAsia" w:eastAsiaTheme="minorEastAsia"/>
          <w:sz w:val="24"/>
        </w:rPr>
        <w:t>标段</w:t>
      </w:r>
      <w:r>
        <w:rPr>
          <w:sz w:val="24"/>
        </w:rPr>
        <w:t>施工的投标。发包人和承包人共同达成如下协议。</w:t>
      </w:r>
    </w:p>
    <w:p>
      <w:pPr>
        <w:adjustRightInd w:val="0"/>
        <w:snapToGrid w:val="0"/>
        <w:spacing w:line="360" w:lineRule="auto"/>
        <w:ind w:firstLine="480" w:firstLineChars="200"/>
        <w:rPr>
          <w:sz w:val="24"/>
        </w:rPr>
      </w:pPr>
      <w:r>
        <w:rPr>
          <w:sz w:val="24"/>
        </w:rPr>
        <w:t>1</w:t>
      </w:r>
      <w:r>
        <w:rPr>
          <w:rFonts w:hint="eastAsia"/>
          <w:sz w:val="24"/>
        </w:rPr>
        <w:t>．</w:t>
      </w:r>
      <w:r>
        <w:rPr>
          <w:sz w:val="24"/>
        </w:rPr>
        <w:t>第标段由K＋至K十，长约km，技术标准级，路面。有立交处；大中桥座，计长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pPr>
        <w:adjustRightInd w:val="0"/>
        <w:snapToGrid w:val="0"/>
        <w:spacing w:line="360" w:lineRule="auto"/>
        <w:ind w:firstLine="480" w:firstLineChars="200"/>
        <w:rPr>
          <w:sz w:val="24"/>
        </w:rPr>
      </w:pPr>
      <w:r>
        <w:rPr>
          <w:sz w:val="24"/>
        </w:rPr>
        <w:t>2</w:t>
      </w:r>
      <w:r>
        <w:rPr>
          <w:rFonts w:hint="eastAsia"/>
          <w:sz w:val="24"/>
        </w:rPr>
        <w:t>．</w:t>
      </w:r>
      <w:r>
        <w:rPr>
          <w:sz w:val="24"/>
        </w:rPr>
        <w:t>下列文件应视为构成合同文件的组成部分：</w:t>
      </w:r>
    </w:p>
    <w:p>
      <w:pPr>
        <w:adjustRightInd w:val="0"/>
        <w:snapToGrid w:val="0"/>
        <w:spacing w:line="360" w:lineRule="auto"/>
        <w:ind w:left="1079" w:leftChars="228" w:hanging="600" w:hangingChars="250"/>
        <w:rPr>
          <w:sz w:val="24"/>
        </w:rPr>
      </w:pPr>
      <w:r>
        <w:rPr>
          <w:sz w:val="24"/>
        </w:rPr>
        <w:t>（1</w:t>
      </w:r>
      <w:r>
        <w:rPr>
          <w:rFonts w:hint="eastAsia"/>
          <w:sz w:val="24"/>
        </w:rPr>
        <w:t>）</w:t>
      </w:r>
      <w:r>
        <w:rPr>
          <w:sz w:val="24"/>
        </w:rPr>
        <w:t>本协议书及各种合同附件（含评标期间和合同谈判过程中的澄清文件和补充资料）；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）施工组织设计安排；</w:t>
      </w:r>
    </w:p>
    <w:p>
      <w:pPr>
        <w:adjustRightInd w:val="0"/>
        <w:snapToGrid w:val="0"/>
        <w:spacing w:line="360" w:lineRule="auto"/>
        <w:ind w:firstLine="480" w:firstLineChars="200"/>
        <w:rPr>
          <w:sz w:val="24"/>
        </w:rPr>
      </w:pPr>
      <w:r>
        <w:rPr>
          <w:sz w:val="24"/>
        </w:rPr>
        <w:t>（1</w:t>
      </w:r>
      <w:r>
        <w:rPr>
          <w:rFonts w:hint="eastAsia"/>
          <w:sz w:val="24"/>
        </w:rPr>
        <w:t>4</w:t>
      </w:r>
      <w:r>
        <w:rPr>
          <w:sz w:val="24"/>
        </w:rPr>
        <w:t>）</w:t>
      </w:r>
      <w:r>
        <w:rPr>
          <w:rFonts w:hint="eastAsia"/>
          <w:sz w:val="24"/>
        </w:rPr>
        <w:t>农民工工资支付承诺书</w:t>
      </w:r>
      <w:r>
        <w:rPr>
          <w:sz w:val="24"/>
        </w:rPr>
        <w:t>；</w:t>
      </w:r>
    </w:p>
    <w:p>
      <w:pPr>
        <w:adjustRightInd w:val="0"/>
        <w:snapToGrid w:val="0"/>
        <w:spacing w:line="360" w:lineRule="auto"/>
        <w:ind w:firstLine="480" w:firstLineChars="200"/>
        <w:rPr>
          <w:sz w:val="24"/>
        </w:rPr>
      </w:pPr>
      <w:r>
        <w:rPr>
          <w:rFonts w:hint="eastAsia"/>
          <w:sz w:val="24"/>
        </w:rPr>
        <w:t>（15）扬尘治理专项承诺书；</w:t>
      </w:r>
    </w:p>
    <w:p>
      <w:pPr>
        <w:adjustRightInd w:val="0"/>
        <w:snapToGrid w:val="0"/>
        <w:spacing w:line="360" w:lineRule="auto"/>
        <w:ind w:firstLine="480" w:firstLineChars="200"/>
        <w:rPr>
          <w:sz w:val="24"/>
        </w:rPr>
      </w:pPr>
      <w:r>
        <w:rPr>
          <w:sz w:val="24"/>
        </w:rPr>
        <w:t>（1</w:t>
      </w:r>
      <w:r>
        <w:rPr>
          <w:rFonts w:hint="eastAsia"/>
          <w:sz w:val="24"/>
        </w:rPr>
        <w:t>6</w:t>
      </w:r>
      <w:r>
        <w:rPr>
          <w:sz w:val="24"/>
        </w:rPr>
        <w:t>）其他合同文件。</w:t>
      </w:r>
    </w:p>
    <w:p>
      <w:pPr>
        <w:adjustRightInd w:val="0"/>
        <w:snapToGrid w:val="0"/>
        <w:spacing w:line="360" w:lineRule="auto"/>
        <w:ind w:firstLine="480" w:firstLineChars="200"/>
        <w:rPr>
          <w:sz w:val="24"/>
        </w:rPr>
      </w:pPr>
      <w:r>
        <w:rPr>
          <w:sz w:val="24"/>
        </w:rPr>
        <w:t>3</w:t>
      </w:r>
      <w:r>
        <w:rPr>
          <w:rFonts w:hint="eastAsia"/>
          <w:sz w:val="24"/>
        </w:rPr>
        <w:t>．</w:t>
      </w:r>
      <w:r>
        <w:rPr>
          <w:sz w:val="24"/>
        </w:rPr>
        <w:t>上述文件互相补充和解释，如有不明确或不一致之处，以合同约定次序在先者为准。</w:t>
      </w:r>
    </w:p>
    <w:p>
      <w:pPr>
        <w:adjustRightInd w:val="0"/>
        <w:snapToGrid w:val="0"/>
        <w:spacing w:line="360" w:lineRule="auto"/>
        <w:ind w:firstLine="480" w:firstLineChars="20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pPr>
        <w:adjustRightInd w:val="0"/>
        <w:snapToGrid w:val="0"/>
        <w:spacing w:line="360" w:lineRule="auto"/>
        <w:ind w:firstLine="480" w:firstLineChars="200"/>
        <w:rPr>
          <w:sz w:val="24"/>
        </w:rPr>
      </w:pPr>
      <w:r>
        <w:rPr>
          <w:sz w:val="24"/>
        </w:rPr>
        <w:t>5</w:t>
      </w:r>
      <w:r>
        <w:rPr>
          <w:rFonts w:hint="eastAsia"/>
          <w:sz w:val="24"/>
        </w:rPr>
        <w:t>．</w:t>
      </w:r>
      <w:r>
        <w:rPr>
          <w:sz w:val="24"/>
        </w:rPr>
        <w:t>承包人项目经理：。技术负责人：。</w:t>
      </w:r>
    </w:p>
    <w:p>
      <w:pPr>
        <w:adjustRightInd w:val="0"/>
        <w:snapToGrid w:val="0"/>
        <w:spacing w:line="360" w:lineRule="auto"/>
        <w:ind w:firstLine="480" w:firstLineChars="200"/>
        <w:rPr>
          <w:sz w:val="24"/>
        </w:rPr>
      </w:pPr>
      <w:r>
        <w:rPr>
          <w:sz w:val="24"/>
        </w:rPr>
        <w:t>6</w:t>
      </w:r>
      <w:r>
        <w:rPr>
          <w:rFonts w:hint="eastAsia"/>
          <w:sz w:val="24"/>
        </w:rPr>
        <w:t>．</w:t>
      </w:r>
      <w:r>
        <w:rPr>
          <w:sz w:val="24"/>
        </w:rPr>
        <w:t>工程质量符合标准。</w:t>
      </w:r>
    </w:p>
    <w:p>
      <w:pPr>
        <w:adjustRightInd w:val="0"/>
        <w:snapToGrid w:val="0"/>
        <w:spacing w:line="360" w:lineRule="auto"/>
        <w:ind w:firstLine="480" w:firstLineChars="200"/>
        <w:rPr>
          <w:sz w:val="24"/>
        </w:rPr>
      </w:pPr>
      <w:r>
        <w:rPr>
          <w:sz w:val="24"/>
        </w:rPr>
        <w:t>7．承包人承诺按合同约定承担工程的实施、完成及缺陷修复。</w:t>
      </w:r>
    </w:p>
    <w:p>
      <w:pPr>
        <w:adjustRightInd w:val="0"/>
        <w:snapToGrid w:val="0"/>
        <w:spacing w:line="360" w:lineRule="auto"/>
        <w:ind w:firstLine="480" w:firstLineChars="200"/>
        <w:rPr>
          <w:sz w:val="24"/>
        </w:rPr>
      </w:pPr>
      <w:r>
        <w:rPr>
          <w:rFonts w:hint="eastAsia"/>
          <w:sz w:val="24"/>
        </w:rPr>
        <w:t>8．</w:t>
      </w:r>
      <w:r>
        <w:rPr>
          <w:sz w:val="24"/>
        </w:rPr>
        <w:t>发包人承诺按合同约定的条件、时间和方式向承包人支付合同价款。</w:t>
      </w:r>
    </w:p>
    <w:p>
      <w:pPr>
        <w:adjustRightInd w:val="0"/>
        <w:snapToGrid w:val="0"/>
        <w:spacing w:line="360" w:lineRule="auto"/>
        <w:ind w:firstLine="480" w:firstLineChars="200"/>
        <w:rPr>
          <w:sz w:val="24"/>
        </w:rPr>
      </w:pPr>
      <w:r>
        <w:rPr>
          <w:sz w:val="24"/>
        </w:rPr>
        <w:t>9</w:t>
      </w:r>
      <w:r>
        <w:rPr>
          <w:rFonts w:hint="eastAsia"/>
          <w:sz w:val="24"/>
        </w:rPr>
        <w:t>．</w:t>
      </w:r>
      <w:r>
        <w:rPr>
          <w:sz w:val="24"/>
        </w:rPr>
        <w:t>承包人应按照监理人指示开工，工期为日历天。</w:t>
      </w:r>
    </w:p>
    <w:p>
      <w:pPr>
        <w:adjustRightInd w:val="0"/>
        <w:snapToGrid w:val="0"/>
        <w:spacing w:line="360" w:lineRule="auto"/>
        <w:ind w:firstLine="480" w:firstLineChars="20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sz w:val="24"/>
        </w:rPr>
      </w:pPr>
      <w:r>
        <w:rPr>
          <w:sz w:val="24"/>
        </w:rPr>
        <w:t>11．本协议书正本二份、副本份，合同双方各执正本一份，副本份，当正本与副本的内容不一致时，以正本为准。</w:t>
      </w:r>
    </w:p>
    <w:p>
      <w:pPr>
        <w:adjustRightInd w:val="0"/>
        <w:snapToGrid w:val="0"/>
        <w:spacing w:line="360" w:lineRule="auto"/>
        <w:ind w:firstLine="480" w:firstLineChars="200"/>
        <w:rPr>
          <w:sz w:val="24"/>
        </w:rPr>
      </w:pPr>
      <w:r>
        <w:rPr>
          <w:sz w:val="24"/>
        </w:rPr>
        <w:t>12</w:t>
      </w:r>
      <w:r>
        <w:rPr>
          <w:rFonts w:hint="eastAsia"/>
          <w:sz w:val="24"/>
        </w:rPr>
        <w:t>．</w:t>
      </w:r>
      <w:r>
        <w:rPr>
          <w:sz w:val="24"/>
        </w:rPr>
        <w:t>合同未尽事宜，双方另行签订补充协议。补充协议是合同的组成部分。</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发包人：（盖单位公章）承包人：（盖单位公章）</w:t>
      </w:r>
    </w:p>
    <w:p>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pPr>
        <w:adjustRightInd w:val="0"/>
        <w:snapToGrid w:val="0"/>
        <w:spacing w:line="360" w:lineRule="auto"/>
        <w:ind w:firstLine="480" w:firstLineChars="200"/>
        <w:rPr>
          <w:sz w:val="24"/>
        </w:rPr>
      </w:pPr>
      <w:r>
        <w:rPr>
          <w:sz w:val="24"/>
        </w:rPr>
        <w:t>年月日年月日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p>
    <w:p>
      <w:pPr>
        <w:pageBreakBefore/>
        <w:adjustRightInd w:val="0"/>
        <w:snapToGrid w:val="0"/>
        <w:spacing w:line="360" w:lineRule="auto"/>
        <w:rPr>
          <w:rFonts w:ascii="黑体" w:eastAsia="黑体"/>
          <w:sz w:val="24"/>
        </w:rPr>
      </w:pPr>
      <w:r>
        <w:rPr>
          <w:rFonts w:hint="eastAsia" w:ascii="黑体" w:eastAsia="黑体"/>
          <w:sz w:val="24"/>
        </w:rPr>
        <w:t>附件二：廉政合同</w:t>
      </w:r>
    </w:p>
    <w:p>
      <w:pPr>
        <w:adjustRightInd w:val="0"/>
        <w:snapToGrid w:val="0"/>
        <w:spacing w:afterLines="50" w:line="360" w:lineRule="auto"/>
        <w:jc w:val="center"/>
        <w:rPr>
          <w:rFonts w:ascii="黑体" w:eastAsia="黑体"/>
          <w:sz w:val="28"/>
          <w:szCs w:val="28"/>
        </w:rPr>
      </w:pPr>
      <w:r>
        <w:rPr>
          <w:rFonts w:hint="eastAsia" w:ascii="黑体" w:eastAsia="黑体"/>
          <w:sz w:val="28"/>
          <w:szCs w:val="28"/>
        </w:rPr>
        <w:t>廉 政 合 同</w:t>
      </w:r>
    </w:p>
    <w:p>
      <w:pPr>
        <w:adjustRightInd w:val="0"/>
        <w:snapToGrid w:val="0"/>
        <w:spacing w:line="360" w:lineRule="auto"/>
        <w:ind w:firstLine="480" w:firstLineChars="20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 xml:space="preserve">    （全称）   </w:t>
      </w:r>
      <w:r>
        <w:rPr>
          <w:sz w:val="24"/>
        </w:rPr>
        <w:t>（以下简称“甲方”）与施工单位</w:t>
      </w:r>
      <w:r>
        <w:rPr>
          <w:rFonts w:hint="eastAsia"/>
          <w:sz w:val="24"/>
          <w:u w:val="single"/>
        </w:rPr>
        <w:t xml:space="preserve">    （全称）   </w:t>
      </w:r>
      <w:r>
        <w:rPr>
          <w:sz w:val="24"/>
        </w:rPr>
        <w:t>（以下简称“乙方”），特订立如下合同。</w:t>
      </w:r>
    </w:p>
    <w:p>
      <w:pPr>
        <w:adjustRightInd w:val="0"/>
        <w:snapToGrid w:val="0"/>
        <w:spacing w:line="360" w:lineRule="auto"/>
        <w:ind w:firstLine="480" w:firstLineChars="200"/>
        <w:rPr>
          <w:rFonts w:eastAsia="黑体"/>
          <w:sz w:val="24"/>
        </w:rPr>
      </w:pPr>
      <w:r>
        <w:rPr>
          <w:rFonts w:hint="eastAsia" w:eastAsia="黑体"/>
          <w:sz w:val="24"/>
        </w:rPr>
        <w:t>1．甲乙双方的权利和义务</w:t>
      </w:r>
    </w:p>
    <w:p>
      <w:pPr>
        <w:adjustRightInd w:val="0"/>
        <w:snapToGrid w:val="0"/>
        <w:spacing w:line="360" w:lineRule="auto"/>
        <w:ind w:firstLine="480" w:firstLineChars="200"/>
        <w:rPr>
          <w:sz w:val="24"/>
        </w:rPr>
      </w:pPr>
      <w:r>
        <w:rPr>
          <w:sz w:val="24"/>
        </w:rPr>
        <w:t>（1）严格遵守党的政策规定和国家有关法律法规及交通部的有关规定。</w:t>
      </w:r>
    </w:p>
    <w:p>
      <w:pPr>
        <w:adjustRightInd w:val="0"/>
        <w:snapToGrid w:val="0"/>
        <w:spacing w:line="360" w:lineRule="auto"/>
        <w:ind w:firstLine="480" w:firstLineChars="200"/>
        <w:rPr>
          <w:sz w:val="24"/>
        </w:rPr>
      </w:pPr>
      <w:r>
        <w:rPr>
          <w:sz w:val="24"/>
        </w:rPr>
        <w:t>（2</w:t>
      </w:r>
      <w:r>
        <w:rPr>
          <w:rFonts w:hint="eastAsia"/>
          <w:sz w:val="24"/>
        </w:rPr>
        <w:t xml:space="preserve">） </w:t>
      </w:r>
      <w:r>
        <w:rPr>
          <w:sz w:val="24"/>
        </w:rPr>
        <w:t>严格执行．（项目名称）工程的合同文件，自觉按合同办事。</w:t>
      </w:r>
    </w:p>
    <w:p>
      <w:pPr>
        <w:adjustRightInd w:val="0"/>
        <w:snapToGrid w:val="0"/>
        <w:spacing w:line="360" w:lineRule="auto"/>
        <w:ind w:firstLine="480" w:firstLineChars="200"/>
        <w:rPr>
          <w:sz w:val="24"/>
        </w:rPr>
      </w:pPr>
      <w:r>
        <w:rPr>
          <w:sz w:val="24"/>
        </w:rPr>
        <w:t>（3</w:t>
      </w:r>
      <w:r>
        <w:rPr>
          <w:rFonts w:hint="eastAsia"/>
          <w:sz w:val="24"/>
        </w:rPr>
        <w:t xml:space="preserve">） </w:t>
      </w:r>
      <w:r>
        <w:rPr>
          <w:sz w:val="24"/>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sz w:val="24"/>
        </w:rPr>
      </w:pPr>
      <w:r>
        <w:rPr>
          <w:rFonts w:hint="eastAsia"/>
          <w:sz w:val="24"/>
        </w:rPr>
        <w:t xml:space="preserve">（4） </w:t>
      </w:r>
      <w:r>
        <w:rPr>
          <w:sz w:val="24"/>
        </w:rPr>
        <w:t>建立健全廉政制度，开展廉政教育，设立廉政告示牌，公布举报电话，监督并认真查处违法违纪行为。</w:t>
      </w:r>
    </w:p>
    <w:p>
      <w:pPr>
        <w:adjustRightInd w:val="0"/>
        <w:snapToGrid w:val="0"/>
        <w:spacing w:line="360" w:lineRule="auto"/>
        <w:ind w:firstLine="480" w:firstLineChars="200"/>
        <w:rPr>
          <w:sz w:val="24"/>
        </w:rPr>
      </w:pPr>
      <w:r>
        <w:rPr>
          <w:sz w:val="24"/>
        </w:rPr>
        <w:t>（5）发现对方在业务活动中有违反廉政规定的行为，有及时提醒对方纠正的权利和义务。</w:t>
      </w:r>
    </w:p>
    <w:p>
      <w:pPr>
        <w:adjustRightInd w:val="0"/>
        <w:snapToGrid w:val="0"/>
        <w:spacing w:line="360" w:lineRule="auto"/>
        <w:ind w:firstLine="480" w:firstLineChars="200"/>
        <w:rPr>
          <w:sz w:val="24"/>
        </w:rPr>
      </w:pPr>
      <w:r>
        <w:rPr>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sz w:val="24"/>
        </w:rPr>
      </w:pPr>
      <w:r>
        <w:rPr>
          <w:rFonts w:eastAsia="黑体"/>
          <w:sz w:val="24"/>
        </w:rPr>
        <w:t>2．甲方的义务</w:t>
      </w:r>
    </w:p>
    <w:p>
      <w:pPr>
        <w:adjustRightInd w:val="0"/>
        <w:snapToGrid w:val="0"/>
        <w:spacing w:line="360" w:lineRule="auto"/>
        <w:ind w:firstLine="480" w:firstLineChars="200"/>
        <w:rPr>
          <w:sz w:val="24"/>
        </w:rPr>
      </w:pPr>
      <w:r>
        <w:rPr>
          <w:sz w:val="24"/>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sz w:val="24"/>
        </w:rPr>
      </w:pPr>
      <w:r>
        <w:rPr>
          <w:sz w:val="24"/>
        </w:rPr>
        <w:t>（2</w:t>
      </w:r>
      <w:r>
        <w:rPr>
          <w:rFonts w:hint="eastAsia"/>
          <w:sz w:val="24"/>
        </w:rPr>
        <w:t xml:space="preserve">） </w:t>
      </w:r>
      <w:r>
        <w:rPr>
          <w:sz w:val="24"/>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sz w:val="24"/>
        </w:rPr>
      </w:pPr>
      <w:r>
        <w:rPr>
          <w:sz w:val="24"/>
        </w:rPr>
        <w:t>（3</w:t>
      </w:r>
      <w:r>
        <w:rPr>
          <w:rFonts w:hint="eastAsia"/>
          <w:sz w:val="24"/>
        </w:rPr>
        <w:t xml:space="preserve">） </w:t>
      </w:r>
      <w:r>
        <w:rPr>
          <w:sz w:val="24"/>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sz w:val="24"/>
        </w:rPr>
      </w:pPr>
      <w:r>
        <w:rPr>
          <w:sz w:val="24"/>
        </w:rPr>
        <w:t>（4）甲方工作人员及其配偶、子女不得从事与甲方工程有关的材料设备供应、工程分包、劳务等经济活动等。</w:t>
      </w:r>
    </w:p>
    <w:p>
      <w:pPr>
        <w:adjustRightInd w:val="0"/>
        <w:snapToGrid w:val="0"/>
        <w:spacing w:line="360" w:lineRule="auto"/>
        <w:ind w:firstLine="480" w:firstLineChars="200"/>
        <w:rPr>
          <w:sz w:val="24"/>
        </w:rPr>
      </w:pPr>
      <w:r>
        <w:rPr>
          <w:sz w:val="24"/>
        </w:rPr>
        <w:t>（5）甲方及其工作人员不得以任何理由向乙方推荐分包单位或推销材料，不得要求乙方购买合同规定外的材料和设备。</w:t>
      </w:r>
    </w:p>
    <w:p>
      <w:pPr>
        <w:adjustRightInd w:val="0"/>
        <w:snapToGrid w:val="0"/>
        <w:spacing w:line="360" w:lineRule="auto"/>
        <w:ind w:firstLine="480" w:firstLineChars="200"/>
        <w:rPr>
          <w:sz w:val="24"/>
        </w:rPr>
      </w:pPr>
      <w:r>
        <w:rPr>
          <w:sz w:val="24"/>
        </w:rPr>
        <w:t>（6）甲方工作人员要秉公办事，不准营私舞弊，不准利用职权从事各种个人有偿中介活动和安排个人施工队伍。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sz w:val="24"/>
        </w:rPr>
      </w:pPr>
      <w:r>
        <w:rPr>
          <w:rFonts w:eastAsia="黑体"/>
          <w:sz w:val="24"/>
        </w:rPr>
        <w:t>3．乙方的义务</w:t>
      </w:r>
    </w:p>
    <w:p>
      <w:pPr>
        <w:adjustRightInd w:val="0"/>
        <w:snapToGrid w:val="0"/>
        <w:spacing w:line="324" w:lineRule="auto"/>
        <w:ind w:firstLine="480" w:firstLineChars="20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pPr>
        <w:adjustRightInd w:val="0"/>
        <w:snapToGrid w:val="0"/>
        <w:spacing w:line="324" w:lineRule="auto"/>
        <w:ind w:firstLine="480" w:firstLineChars="200"/>
        <w:rPr>
          <w:sz w:val="24"/>
        </w:rPr>
      </w:pPr>
      <w:r>
        <w:rPr>
          <w:rFonts w:hint="eastAsia"/>
          <w:sz w:val="24"/>
        </w:rPr>
        <w:t>（</w:t>
      </w:r>
      <w:r>
        <w:rPr>
          <w:sz w:val="24"/>
        </w:rPr>
        <w:t>2）乙方不得以任何名义为甲方及其工作人员报销应由甲方单位或个人支付的任何费用。</w:t>
      </w:r>
    </w:p>
    <w:p>
      <w:pPr>
        <w:adjustRightInd w:val="0"/>
        <w:snapToGrid w:val="0"/>
        <w:spacing w:line="324" w:lineRule="auto"/>
        <w:ind w:firstLine="480" w:firstLineChars="200"/>
        <w:rPr>
          <w:sz w:val="24"/>
        </w:rPr>
      </w:pPr>
      <w:r>
        <w:rPr>
          <w:rFonts w:hint="eastAsia"/>
          <w:sz w:val="24"/>
        </w:rPr>
        <w:t>（</w:t>
      </w:r>
      <w:r>
        <w:rPr>
          <w:sz w:val="24"/>
        </w:rPr>
        <w:t>3）乙方不得以任何理由安排甲方工作人员参加超标准宴请及娱乐活动。</w:t>
      </w:r>
    </w:p>
    <w:p>
      <w:pPr>
        <w:adjustRightInd w:val="0"/>
        <w:snapToGrid w:val="0"/>
        <w:spacing w:line="324" w:lineRule="auto"/>
        <w:ind w:firstLine="480" w:firstLineChars="200"/>
        <w:rPr>
          <w:sz w:val="24"/>
        </w:rPr>
      </w:pPr>
      <w:r>
        <w:rPr>
          <w:rFonts w:hint="eastAsia"/>
          <w:sz w:val="24"/>
        </w:rPr>
        <w:t>（</w:t>
      </w:r>
      <w:r>
        <w:rPr>
          <w:sz w:val="24"/>
        </w:rPr>
        <w:t>4）乙方不得为甲方单位和个人购置或提供通讯工具、交通工具和高档办公用品等。</w:t>
      </w:r>
    </w:p>
    <w:p>
      <w:pPr>
        <w:adjustRightInd w:val="0"/>
        <w:snapToGrid w:val="0"/>
        <w:spacing w:line="360" w:lineRule="auto"/>
        <w:ind w:firstLine="480" w:firstLineChars="200"/>
        <w:rPr>
          <w:rFonts w:eastAsia="黑体"/>
          <w:sz w:val="24"/>
        </w:rPr>
      </w:pPr>
      <w:r>
        <w:rPr>
          <w:rFonts w:eastAsia="黑体"/>
          <w:sz w:val="24"/>
        </w:rPr>
        <w:t>4．违约责任</w:t>
      </w:r>
    </w:p>
    <w:p>
      <w:pPr>
        <w:adjustRightInd w:val="0"/>
        <w:snapToGrid w:val="0"/>
        <w:spacing w:line="324" w:lineRule="auto"/>
        <w:ind w:firstLine="480" w:firstLineChars="200"/>
        <w:rPr>
          <w:sz w:val="24"/>
        </w:rPr>
      </w:pPr>
      <w:r>
        <w:rPr>
          <w:rFonts w:hint="eastAsia"/>
          <w:sz w:val="24"/>
        </w:rPr>
        <w:t>（</w:t>
      </w:r>
      <w:r>
        <w:rPr>
          <w:sz w:val="24"/>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sz w:val="24"/>
        </w:rPr>
      </w:pPr>
      <w:r>
        <w:rPr>
          <w:sz w:val="24"/>
        </w:rPr>
        <w:t>6</w:t>
      </w:r>
      <w:r>
        <w:rPr>
          <w:rFonts w:hint="eastAsia"/>
          <w:sz w:val="24"/>
        </w:rPr>
        <w:t>．</w:t>
      </w:r>
      <w:r>
        <w:rPr>
          <w:sz w:val="24"/>
        </w:rPr>
        <w:t>本合同有效期为甲乙双方签署之日起至该工程项目国家验收后止。</w:t>
      </w:r>
    </w:p>
    <w:p>
      <w:pPr>
        <w:adjustRightInd w:val="0"/>
        <w:snapToGrid w:val="0"/>
        <w:spacing w:line="324" w:lineRule="auto"/>
        <w:ind w:firstLine="480" w:firstLineChars="200"/>
        <w:rPr>
          <w:sz w:val="24"/>
        </w:rPr>
      </w:pPr>
      <w:r>
        <w:rPr>
          <w:sz w:val="24"/>
        </w:rPr>
        <w:t>7</w:t>
      </w:r>
      <w:r>
        <w:rPr>
          <w:rFonts w:hint="eastAsia"/>
          <w:sz w:val="24"/>
        </w:rPr>
        <w:t>．</w:t>
      </w:r>
      <w:r>
        <w:rPr>
          <w:sz w:val="24"/>
        </w:rPr>
        <w:t>本合同作为</w:t>
      </w:r>
      <w:r>
        <w:rPr>
          <w:rFonts w:hint="eastAsia"/>
          <w:sz w:val="24"/>
          <w:u w:val="single"/>
        </w:rPr>
        <w:t xml:space="preserve">    （项目名称）    </w:t>
      </w:r>
      <w:r>
        <w:rPr>
          <w:sz w:val="24"/>
        </w:rPr>
        <w:t>工程施工合同的附件，与工程施工合同具有同等的法律效力，经合同双方签署立即生效。</w:t>
      </w:r>
    </w:p>
    <w:p>
      <w:pPr>
        <w:adjustRightInd w:val="0"/>
        <w:snapToGrid w:val="0"/>
        <w:spacing w:line="324" w:lineRule="auto"/>
        <w:ind w:firstLine="480" w:firstLineChars="200"/>
        <w:rPr>
          <w:sz w:val="24"/>
        </w:rPr>
      </w:pPr>
      <w:r>
        <w:rPr>
          <w:sz w:val="24"/>
        </w:rPr>
        <w:t>8</w:t>
      </w:r>
      <w:r>
        <w:rPr>
          <w:rFonts w:hint="eastAsia"/>
          <w:sz w:val="24"/>
        </w:rPr>
        <w:t>．</w:t>
      </w:r>
      <w:r>
        <w:rPr>
          <w:sz w:val="24"/>
        </w:rPr>
        <w:t>本合同一式四份，由甲乙双方各执一份，送交甲乙双方的监督单位各一份。</w:t>
      </w:r>
    </w:p>
    <w:p>
      <w:pPr>
        <w:adjustRightInd w:val="0"/>
        <w:snapToGrid w:val="0"/>
        <w:spacing w:beforeLines="100" w:line="324" w:lineRule="auto"/>
        <w:rPr>
          <w:sz w:val="24"/>
        </w:rPr>
      </w:pPr>
      <w:r>
        <w:rPr>
          <w:sz w:val="24"/>
        </w:rPr>
        <w:t>甲方：</w:t>
      </w:r>
      <w:r>
        <w:rPr>
          <w:rFonts w:hint="eastAsia"/>
          <w:sz w:val="24"/>
          <w:u w:val="single"/>
        </w:rPr>
        <w:t xml:space="preserve">  单位全称   （盖章）</w:t>
      </w:r>
      <w:r>
        <w:rPr>
          <w:rFonts w:hint="eastAsia"/>
          <w:sz w:val="24"/>
        </w:rPr>
        <w:t xml:space="preserve">         乙  </w:t>
      </w:r>
      <w:r>
        <w:rPr>
          <w:sz w:val="24"/>
        </w:rPr>
        <w:t>方：</w:t>
      </w:r>
      <w:r>
        <w:rPr>
          <w:rFonts w:hint="eastAsia"/>
          <w:sz w:val="24"/>
          <w:u w:val="single"/>
        </w:rPr>
        <w:t xml:space="preserve">    单位全称  （盖章）</w:t>
      </w:r>
    </w:p>
    <w:p>
      <w:pPr>
        <w:adjustRightInd w:val="0"/>
        <w:snapToGrid w:val="0"/>
        <w:spacing w:line="324" w:lineRule="auto"/>
        <w:rPr>
          <w:sz w:val="24"/>
        </w:rPr>
      </w:pPr>
      <w:r>
        <w:rPr>
          <w:sz w:val="24"/>
        </w:rPr>
        <w:t>法定代表人法定代表人</w:t>
      </w:r>
    </w:p>
    <w:p>
      <w:pPr>
        <w:adjustRightInd w:val="0"/>
        <w:snapToGrid w:val="0"/>
        <w:spacing w:line="324" w:lineRule="auto"/>
        <w:ind w:firstLine="960" w:firstLineChars="400"/>
        <w:rPr>
          <w:sz w:val="24"/>
        </w:rPr>
      </w:pPr>
      <w:r>
        <w:rPr>
          <w:sz w:val="24"/>
        </w:rPr>
        <w:t>或或</w:t>
      </w:r>
    </w:p>
    <w:p>
      <w:pPr>
        <w:adjustRightInd w:val="0"/>
        <w:snapToGrid w:val="0"/>
        <w:spacing w:line="324" w:lineRule="auto"/>
        <w:rPr>
          <w:sz w:val="24"/>
        </w:rPr>
      </w:pPr>
      <w:r>
        <w:rPr>
          <w:sz w:val="24"/>
        </w:rPr>
        <w:t>其授权的代理人</w:t>
      </w:r>
      <w:r>
        <w:rPr>
          <w:rFonts w:hint="eastAsia"/>
          <w:sz w:val="24"/>
          <w:u w:val="single"/>
        </w:rPr>
        <w:t xml:space="preserve">   （职务）  </w:t>
      </w:r>
      <w:r>
        <w:rPr>
          <w:sz w:val="24"/>
        </w:rPr>
        <w:t>其授权的代理人</w:t>
      </w:r>
      <w:r>
        <w:rPr>
          <w:rFonts w:hint="eastAsia"/>
          <w:sz w:val="24"/>
          <w:u w:val="single"/>
        </w:rPr>
        <w:t xml:space="preserve">   （职务）   </w:t>
      </w:r>
    </w:p>
    <w:p>
      <w:pPr>
        <w:adjustRightInd w:val="0"/>
        <w:snapToGrid w:val="0"/>
        <w:spacing w:line="324" w:lineRule="auto"/>
        <w:ind w:firstLine="2040" w:firstLineChars="850"/>
        <w:rPr>
          <w:sz w:val="24"/>
          <w:u w:val="single"/>
        </w:rPr>
      </w:pPr>
      <w:r>
        <w:rPr>
          <w:sz w:val="24"/>
          <w:u w:val="single"/>
        </w:rPr>
        <w:t>（姓名）（姓名）</w:t>
      </w:r>
    </w:p>
    <w:p>
      <w:pPr>
        <w:adjustRightInd w:val="0"/>
        <w:snapToGrid w:val="0"/>
        <w:spacing w:line="324" w:lineRule="auto"/>
        <w:ind w:firstLine="2040" w:firstLineChars="85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24" w:lineRule="auto"/>
        <w:rPr>
          <w:sz w:val="24"/>
        </w:rPr>
      </w:pPr>
      <w:r>
        <w:rPr>
          <w:sz w:val="24"/>
        </w:rPr>
        <w:t>地址：地址：</w:t>
      </w:r>
    </w:p>
    <w:p>
      <w:pPr>
        <w:adjustRightInd w:val="0"/>
        <w:snapToGrid w:val="0"/>
        <w:spacing w:line="324" w:lineRule="auto"/>
        <w:rPr>
          <w:sz w:val="24"/>
        </w:rPr>
      </w:pPr>
      <w:r>
        <w:rPr>
          <w:sz w:val="24"/>
        </w:rPr>
        <w:t>电话：电话：</w:t>
      </w:r>
    </w:p>
    <w:p>
      <w:pPr>
        <w:adjustRightInd w:val="0"/>
        <w:snapToGrid w:val="0"/>
        <w:spacing w:line="324" w:lineRule="auto"/>
        <w:rPr>
          <w:sz w:val="24"/>
        </w:rPr>
      </w:pPr>
      <w:r>
        <w:rPr>
          <w:sz w:val="24"/>
        </w:rPr>
        <w:t>日期：日期：</w:t>
      </w:r>
    </w:p>
    <w:p>
      <w:pPr>
        <w:adjustRightInd w:val="0"/>
        <w:snapToGrid w:val="0"/>
        <w:spacing w:line="324" w:lineRule="auto"/>
        <w:rPr>
          <w:sz w:val="24"/>
          <w:u w:val="single"/>
        </w:rPr>
      </w:pPr>
      <w:r>
        <w:rPr>
          <w:sz w:val="24"/>
        </w:rPr>
        <w:t>甲方监督单位：</w:t>
      </w:r>
      <w:r>
        <w:rPr>
          <w:rFonts w:hint="eastAsia"/>
          <w:sz w:val="24"/>
          <w:u w:val="single"/>
        </w:rPr>
        <w:t xml:space="preserve"> （全称）  （盖章）</w:t>
      </w:r>
      <w:r>
        <w:rPr>
          <w:sz w:val="24"/>
        </w:rPr>
        <w:t>乙方监督单位</w:t>
      </w:r>
      <w:r>
        <w:rPr>
          <w:rFonts w:hint="eastAsia"/>
          <w:sz w:val="24"/>
        </w:rPr>
        <w:t>：</w:t>
      </w:r>
      <w:r>
        <w:rPr>
          <w:rFonts w:hint="eastAsia"/>
          <w:sz w:val="24"/>
          <w:u w:val="single"/>
        </w:rPr>
        <w:t>（全称）  （盖章）</w:t>
      </w: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r>
        <w:rPr>
          <w:rFonts w:hint="eastAsia" w:ascii="黑体" w:eastAsia="黑体"/>
          <w:sz w:val="24"/>
        </w:rPr>
        <w:t>附件三：安全生产合同</w:t>
      </w:r>
    </w:p>
    <w:p>
      <w:pPr>
        <w:adjustRightInd w:val="0"/>
        <w:snapToGrid w:val="0"/>
        <w:spacing w:afterLines="50" w:line="343" w:lineRule="auto"/>
        <w:jc w:val="center"/>
        <w:rPr>
          <w:rFonts w:ascii="黑体" w:eastAsia="黑体"/>
          <w:sz w:val="28"/>
          <w:szCs w:val="28"/>
        </w:rPr>
      </w:pPr>
      <w:r>
        <w:rPr>
          <w:rFonts w:hint="eastAsia" w:ascii="黑体" w:eastAsia="黑体"/>
          <w:sz w:val="28"/>
          <w:szCs w:val="28"/>
        </w:rPr>
        <w:t>安全生产合同</w:t>
      </w:r>
    </w:p>
    <w:p>
      <w:pPr>
        <w:adjustRightInd w:val="0"/>
        <w:snapToGrid w:val="0"/>
        <w:spacing w:line="288" w:lineRule="auto"/>
        <w:ind w:firstLine="480" w:firstLineChars="200"/>
        <w:rPr>
          <w:sz w:val="24"/>
        </w:rPr>
      </w:pPr>
      <w:r>
        <w:rPr>
          <w:sz w:val="24"/>
        </w:rPr>
        <w:t>为在施工合同的实施过程中创造安全、高效的施工环境，切实搞好本项目的安全管理工作，本项目发包人</w:t>
      </w:r>
      <w:r>
        <w:rPr>
          <w:sz w:val="24"/>
          <w:u w:val="single"/>
        </w:rPr>
        <w:t>（全称）</w:t>
      </w:r>
      <w:r>
        <w:rPr>
          <w:sz w:val="24"/>
        </w:rPr>
        <w:t>（以下简称“甲方</w:t>
      </w:r>
      <w:r>
        <w:rPr>
          <w:rFonts w:hint="eastAsia"/>
          <w:sz w:val="24"/>
        </w:rPr>
        <w:t xml:space="preserve">” </w:t>
      </w:r>
      <w:r>
        <w:rPr>
          <w:sz w:val="24"/>
        </w:rPr>
        <w:t>）与承包人</w:t>
      </w:r>
      <w:r>
        <w:rPr>
          <w:sz w:val="24"/>
          <w:u w:val="single"/>
        </w:rPr>
        <w:t>（全称）</w:t>
      </w:r>
      <w:r>
        <w:rPr>
          <w:sz w:val="24"/>
        </w:rPr>
        <w:t>（以下简称“乙方</w:t>
      </w:r>
      <w:r>
        <w:rPr>
          <w:rFonts w:hint="eastAsia"/>
          <w:sz w:val="24"/>
        </w:rPr>
        <w:t xml:space="preserve">” </w:t>
      </w:r>
      <w:r>
        <w:rPr>
          <w:sz w:val="24"/>
        </w:rPr>
        <w:t>）特此签订安全生产合同：</w:t>
      </w:r>
    </w:p>
    <w:p>
      <w:pPr>
        <w:adjustRightInd w:val="0"/>
        <w:snapToGrid w:val="0"/>
        <w:spacing w:line="288" w:lineRule="auto"/>
        <w:ind w:firstLine="480" w:firstLineChars="200"/>
        <w:rPr>
          <w:rFonts w:eastAsia="黑体"/>
          <w:sz w:val="24"/>
        </w:rPr>
      </w:pPr>
      <w:r>
        <w:rPr>
          <w:rFonts w:eastAsia="黑体"/>
          <w:sz w:val="24"/>
        </w:rPr>
        <w:t>一、甲方职责</w:t>
      </w:r>
    </w:p>
    <w:p>
      <w:pPr>
        <w:adjustRightInd w:val="0"/>
        <w:snapToGrid w:val="0"/>
        <w:spacing w:line="288" w:lineRule="auto"/>
        <w:ind w:firstLine="480" w:firstLineChars="200"/>
        <w:rPr>
          <w:sz w:val="24"/>
        </w:rPr>
      </w:pPr>
      <w:r>
        <w:rPr>
          <w:sz w:val="24"/>
        </w:rPr>
        <w:t>1、严格遵守国家有关安全生产的法律法规，认真执行工程承包合同中的有关安全要求。</w:t>
      </w:r>
    </w:p>
    <w:p>
      <w:pPr>
        <w:adjustRightInd w:val="0"/>
        <w:snapToGrid w:val="0"/>
        <w:spacing w:line="288" w:lineRule="auto"/>
        <w:ind w:firstLine="480" w:firstLineChars="200"/>
        <w:rPr>
          <w:sz w:val="24"/>
        </w:rPr>
      </w:pPr>
      <w:r>
        <w:rPr>
          <w:sz w:val="24"/>
        </w:rPr>
        <w:t>2、按照“安全第一、预防为主”和坚持“管生产必须管安全”的原则进行安全生产管理，做到生产与安全工作同时计划、布置、检查、总结和评比。</w:t>
      </w:r>
    </w:p>
    <w:p>
      <w:pPr>
        <w:adjustRightInd w:val="0"/>
        <w:snapToGrid w:val="0"/>
        <w:spacing w:line="288" w:lineRule="auto"/>
        <w:ind w:firstLine="480" w:firstLineChars="200"/>
        <w:rPr>
          <w:sz w:val="24"/>
        </w:rPr>
      </w:pPr>
      <w:r>
        <w:rPr>
          <w:sz w:val="24"/>
        </w:rPr>
        <w:t>3、重要的安全设施必须坚持与主体工程“三同时”的原则，即：同时设计、审批，同时施工，一同时验收，投入使用。</w:t>
      </w:r>
    </w:p>
    <w:p>
      <w:pPr>
        <w:adjustRightInd w:val="0"/>
        <w:snapToGrid w:val="0"/>
        <w:spacing w:line="288" w:lineRule="auto"/>
        <w:ind w:firstLine="480" w:firstLineChars="200"/>
        <w:rPr>
          <w:sz w:val="24"/>
        </w:rPr>
      </w:pPr>
      <w:r>
        <w:rPr>
          <w:sz w:val="24"/>
        </w:rPr>
        <w:t>4、定期召开安全生产调度会，及时传达中央及地方有关安全生产的精神。</w:t>
      </w:r>
    </w:p>
    <w:p>
      <w:pPr>
        <w:adjustRightInd w:val="0"/>
        <w:snapToGrid w:val="0"/>
        <w:spacing w:line="288" w:lineRule="auto"/>
        <w:ind w:firstLine="480" w:firstLineChars="200"/>
        <w:rPr>
          <w:sz w:val="24"/>
        </w:rPr>
      </w:pPr>
      <w:r>
        <w:rPr>
          <w:sz w:val="24"/>
        </w:rPr>
        <w:t>5、组织对乙方施工现场安全生产检查，监督乙方及时处理发现的各种安全隐患。</w:t>
      </w:r>
    </w:p>
    <w:p>
      <w:pPr>
        <w:adjustRightInd w:val="0"/>
        <w:snapToGrid w:val="0"/>
        <w:spacing w:line="288" w:lineRule="auto"/>
        <w:ind w:firstLine="480" w:firstLineChars="200"/>
        <w:rPr>
          <w:rFonts w:eastAsia="黑体"/>
          <w:sz w:val="24"/>
        </w:rPr>
      </w:pPr>
      <w:r>
        <w:rPr>
          <w:rFonts w:eastAsia="黑体"/>
          <w:sz w:val="24"/>
        </w:rPr>
        <w:t>二、乙方职责</w:t>
      </w:r>
    </w:p>
    <w:p>
      <w:pPr>
        <w:adjustRightInd w:val="0"/>
        <w:snapToGrid w:val="0"/>
        <w:spacing w:line="288" w:lineRule="auto"/>
        <w:ind w:firstLine="480" w:firstLineChars="200"/>
        <w:rPr>
          <w:sz w:val="24"/>
        </w:rPr>
      </w:pPr>
      <w:r>
        <w:rPr>
          <w:sz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288" w:lineRule="auto"/>
        <w:ind w:firstLine="480" w:firstLineChars="200"/>
        <w:rPr>
          <w:sz w:val="24"/>
        </w:rPr>
      </w:pPr>
      <w:r>
        <w:rPr>
          <w:sz w:val="24"/>
        </w:rPr>
        <w:t>2、坚持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288" w:lineRule="auto"/>
        <w:ind w:firstLine="480" w:firstLineChars="200"/>
        <w:rPr>
          <w:sz w:val="24"/>
        </w:rPr>
      </w:pPr>
      <w:r>
        <w:rPr>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288" w:lineRule="auto"/>
        <w:ind w:firstLine="480" w:firstLineChars="200"/>
        <w:rPr>
          <w:sz w:val="24"/>
        </w:rPr>
      </w:pPr>
      <w:r>
        <w:rPr>
          <w:sz w:val="24"/>
        </w:rPr>
        <w:t>4、乙方在任何时候都应采取各种合理的预防措施，防止其员工发生任何违法、违禁、暴力或妨碍治安的行为。</w:t>
      </w:r>
    </w:p>
    <w:p>
      <w:pPr>
        <w:adjustRightInd w:val="0"/>
        <w:snapToGrid w:val="0"/>
        <w:spacing w:line="288" w:lineRule="auto"/>
        <w:ind w:firstLine="480" w:firstLineChars="200"/>
        <w:rPr>
          <w:sz w:val="24"/>
        </w:rPr>
      </w:pPr>
      <w:r>
        <w:rPr>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288" w:lineRule="auto"/>
        <w:ind w:firstLine="480" w:firstLineChars="200"/>
        <w:rPr>
          <w:sz w:val="24"/>
        </w:rPr>
      </w:pPr>
      <w:r>
        <w:rPr>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288" w:lineRule="auto"/>
        <w:ind w:firstLine="480" w:firstLineChars="200"/>
        <w:rPr>
          <w:sz w:val="24"/>
        </w:rPr>
      </w:pPr>
      <w:r>
        <w:rPr>
          <w:sz w:val="24"/>
        </w:rPr>
        <w:t>7、操作人员上岗，必须按规定穿戴防护用品。施工负责人和安全检查员应随时检查劳动防护用品的穿戴情况，不按规定穿戴防护用品的人员不得上岗。</w:t>
      </w:r>
    </w:p>
    <w:p>
      <w:pPr>
        <w:adjustRightInd w:val="0"/>
        <w:snapToGrid w:val="0"/>
        <w:spacing w:line="288" w:lineRule="auto"/>
        <w:ind w:firstLine="480" w:firstLineChars="200"/>
        <w:rPr>
          <w:sz w:val="24"/>
        </w:rPr>
      </w:pPr>
      <w:r>
        <w:rPr>
          <w:sz w:val="24"/>
        </w:rPr>
        <w:t>8、所有施工机具设备和高空作业的设备均应定期检查，并有安全员的签字记录，保证其经常处于完好状态；不合格的机具、设备和劳动保护用品严禁使用。</w:t>
      </w:r>
    </w:p>
    <w:p>
      <w:pPr>
        <w:adjustRightInd w:val="0"/>
        <w:snapToGrid w:val="0"/>
        <w:spacing w:line="288" w:lineRule="auto"/>
        <w:ind w:firstLine="480" w:firstLineChars="200"/>
        <w:rPr>
          <w:sz w:val="24"/>
        </w:rPr>
      </w:pPr>
      <w:r>
        <w:rPr>
          <w:sz w:val="24"/>
        </w:rPr>
        <w:t>9、施工中采用新技术、新工艺、新设备、新材料时，必须制定相应的安全技术措施，施工现场必须具有相关的安全标志牌。</w:t>
      </w:r>
    </w:p>
    <w:p>
      <w:pPr>
        <w:adjustRightInd w:val="0"/>
        <w:snapToGrid w:val="0"/>
        <w:spacing w:line="288" w:lineRule="auto"/>
        <w:ind w:firstLine="480" w:firstLineChars="200"/>
        <w:rPr>
          <w:sz w:val="24"/>
        </w:rPr>
      </w:pPr>
      <w:r>
        <w:rPr>
          <w:sz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288" w:lineRule="auto"/>
        <w:ind w:firstLine="480" w:firstLineChars="200"/>
        <w:rPr>
          <w:sz w:val="24"/>
        </w:rPr>
      </w:pPr>
      <w:r>
        <w:rPr>
          <w:sz w:val="24"/>
        </w:rPr>
        <w:t>11、安全生产费用按照交通部有关规定使用和管理。</w:t>
      </w:r>
    </w:p>
    <w:p>
      <w:pPr>
        <w:adjustRightInd w:val="0"/>
        <w:snapToGrid w:val="0"/>
        <w:spacing w:line="288" w:lineRule="auto"/>
        <w:ind w:firstLine="480" w:firstLineChars="200"/>
        <w:rPr>
          <w:rFonts w:eastAsia="黑体"/>
          <w:sz w:val="24"/>
        </w:rPr>
      </w:pPr>
      <w:r>
        <w:rPr>
          <w:rFonts w:eastAsia="黑体"/>
          <w:sz w:val="24"/>
        </w:rPr>
        <w:t>三、违约责任</w:t>
      </w:r>
    </w:p>
    <w:p>
      <w:pPr>
        <w:adjustRightInd w:val="0"/>
        <w:snapToGrid w:val="0"/>
        <w:spacing w:line="288" w:lineRule="auto"/>
        <w:ind w:firstLine="480" w:firstLineChars="200"/>
        <w:rPr>
          <w:sz w:val="24"/>
        </w:rPr>
      </w:pPr>
      <w:r>
        <w:rPr>
          <w:sz w:val="24"/>
        </w:rPr>
        <w:t>如因甲方或乙方违约造成安全事故，将依法追究责任。</w:t>
      </w:r>
    </w:p>
    <w:p>
      <w:pPr>
        <w:adjustRightInd w:val="0"/>
        <w:snapToGrid w:val="0"/>
        <w:spacing w:line="288" w:lineRule="auto"/>
        <w:ind w:firstLine="480" w:firstLineChars="200"/>
        <w:rPr>
          <w:sz w:val="24"/>
        </w:rPr>
      </w:pPr>
      <w:r>
        <w:rPr>
          <w:sz w:val="24"/>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sz w:val="24"/>
        </w:rPr>
      </w:pPr>
      <w:r>
        <w:rPr>
          <w:sz w:val="24"/>
        </w:rPr>
        <w:t>甲方：</w:t>
      </w:r>
      <w:r>
        <w:rPr>
          <w:rFonts w:hint="eastAsia"/>
          <w:sz w:val="24"/>
          <w:u w:val="single"/>
        </w:rPr>
        <w:t xml:space="preserve">  单位全称    （盖章）</w:t>
      </w:r>
      <w:r>
        <w:rPr>
          <w:rFonts w:hint="eastAsia"/>
          <w:sz w:val="24"/>
        </w:rPr>
        <w:t xml:space="preserve">         乙  </w:t>
      </w:r>
      <w:r>
        <w:rPr>
          <w:sz w:val="24"/>
        </w:rPr>
        <w:t>方：</w:t>
      </w:r>
      <w:r>
        <w:rPr>
          <w:rFonts w:hint="eastAsia"/>
          <w:sz w:val="24"/>
          <w:u w:val="single"/>
        </w:rPr>
        <w:t xml:space="preserve">  单位全称    （盖章）</w:t>
      </w:r>
    </w:p>
    <w:p>
      <w:pPr>
        <w:adjustRightInd w:val="0"/>
        <w:snapToGrid w:val="0"/>
        <w:spacing w:line="343" w:lineRule="auto"/>
        <w:rPr>
          <w:sz w:val="24"/>
        </w:rPr>
      </w:pPr>
      <w:r>
        <w:rPr>
          <w:sz w:val="24"/>
        </w:rPr>
        <w:t>法定代表人法定代表人</w:t>
      </w:r>
    </w:p>
    <w:p>
      <w:pPr>
        <w:adjustRightInd w:val="0"/>
        <w:snapToGrid w:val="0"/>
        <w:spacing w:line="343" w:lineRule="auto"/>
        <w:ind w:firstLine="960" w:firstLineChars="400"/>
        <w:rPr>
          <w:sz w:val="24"/>
        </w:rPr>
      </w:pPr>
      <w:r>
        <w:rPr>
          <w:sz w:val="24"/>
        </w:rPr>
        <w:t>或或</w:t>
      </w:r>
    </w:p>
    <w:p>
      <w:pPr>
        <w:adjustRightInd w:val="0"/>
        <w:snapToGrid w:val="0"/>
        <w:spacing w:line="343" w:lineRule="auto"/>
        <w:rPr>
          <w:sz w:val="24"/>
          <w:u w:val="single"/>
        </w:rPr>
      </w:pPr>
      <w:r>
        <w:rPr>
          <w:sz w:val="24"/>
        </w:rPr>
        <w:t>其授权的代理人</w:t>
      </w:r>
      <w:r>
        <w:rPr>
          <w:rFonts w:hint="eastAsia"/>
          <w:sz w:val="24"/>
          <w:u w:val="single"/>
        </w:rPr>
        <w:t xml:space="preserve"> （职务）</w:t>
      </w:r>
      <w:r>
        <w:rPr>
          <w:sz w:val="24"/>
          <w:u w:val="single"/>
        </w:rPr>
        <w:t>（姓名）</w:t>
      </w:r>
      <w:r>
        <w:rPr>
          <w:sz w:val="24"/>
        </w:rPr>
        <w:t>其授权的代理人</w:t>
      </w:r>
      <w:r>
        <w:rPr>
          <w:rFonts w:hint="eastAsia"/>
          <w:sz w:val="24"/>
          <w:u w:val="single"/>
        </w:rPr>
        <w:t>（职务）</w:t>
      </w:r>
      <w:r>
        <w:rPr>
          <w:sz w:val="24"/>
          <w:u w:val="single"/>
        </w:rPr>
        <w:t>（姓名</w:t>
      </w:r>
      <w:r>
        <w:rPr>
          <w:rFonts w:hint="eastAsia"/>
          <w:sz w:val="24"/>
          <w:u w:val="single"/>
        </w:rPr>
        <w:t>）</w:t>
      </w:r>
    </w:p>
    <w:p>
      <w:pPr>
        <w:adjustRightInd w:val="0"/>
        <w:snapToGrid w:val="0"/>
        <w:spacing w:line="343" w:lineRule="auto"/>
        <w:ind w:firstLine="2640" w:firstLineChars="110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43" w:lineRule="auto"/>
        <w:rPr>
          <w:sz w:val="24"/>
        </w:rPr>
      </w:pPr>
      <w:r>
        <w:rPr>
          <w:sz w:val="24"/>
        </w:rPr>
        <w:t>地址：地址：</w:t>
      </w:r>
    </w:p>
    <w:p>
      <w:pPr>
        <w:adjustRightInd w:val="0"/>
        <w:snapToGrid w:val="0"/>
        <w:spacing w:line="343" w:lineRule="auto"/>
        <w:rPr>
          <w:sz w:val="24"/>
        </w:rPr>
      </w:pPr>
      <w:r>
        <w:rPr>
          <w:sz w:val="24"/>
        </w:rPr>
        <w:t>电话：电话：</w:t>
      </w:r>
    </w:p>
    <w:p>
      <w:pPr>
        <w:adjustRightInd w:val="0"/>
        <w:snapToGrid w:val="0"/>
        <w:spacing w:line="343" w:lineRule="auto"/>
        <w:rPr>
          <w:sz w:val="24"/>
        </w:rPr>
      </w:pPr>
      <w:r>
        <w:rPr>
          <w:sz w:val="24"/>
        </w:rPr>
        <w:t>日期：日期：</w:t>
      </w: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widowControl/>
        <w:spacing w:line="360" w:lineRule="auto"/>
        <w:ind w:right="714"/>
        <w:jc w:val="center"/>
        <w:rPr>
          <w:rFonts w:ascii="黑体" w:eastAsia="黑体"/>
          <w:sz w:val="24"/>
        </w:rPr>
      </w:pPr>
      <w:r>
        <w:rPr>
          <w:rFonts w:ascii="黑体" w:eastAsia="黑体"/>
          <w:sz w:val="24"/>
        </w:rPr>
        <w:br w:type="page"/>
      </w:r>
    </w:p>
    <w:p>
      <w:pPr>
        <w:adjustRightInd w:val="0"/>
        <w:snapToGrid w:val="0"/>
        <w:spacing w:line="360" w:lineRule="auto"/>
        <w:rPr>
          <w:rFonts w:ascii="黑体" w:eastAsia="黑体"/>
          <w:sz w:val="24"/>
        </w:rPr>
      </w:pPr>
      <w:r>
        <w:rPr>
          <w:rFonts w:hint="eastAsia" w:ascii="黑体" w:eastAsia="黑体"/>
          <w:sz w:val="24"/>
        </w:rPr>
        <w:t>附件四：农民工工资支付承诺书</w:t>
      </w:r>
    </w:p>
    <w:p>
      <w:pPr>
        <w:adjustRightInd w:val="0"/>
        <w:snapToGrid w:val="0"/>
        <w:spacing w:afterLines="50" w:line="343" w:lineRule="auto"/>
        <w:rPr>
          <w:rFonts w:ascii="黑体" w:eastAsia="黑体"/>
          <w:sz w:val="18"/>
          <w:szCs w:val="18"/>
        </w:rPr>
      </w:pP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rFonts w:ascii="黑体" w:eastAsia="黑体"/>
          <w:sz w:val="30"/>
          <w:szCs w:val="30"/>
        </w:rPr>
      </w:pPr>
      <w:r>
        <w:rPr>
          <w:rFonts w:hint="eastAsia" w:ascii="黑体" w:eastAsia="黑体"/>
          <w:sz w:val="30"/>
          <w:szCs w:val="30"/>
          <w:u w:val="single"/>
        </w:rPr>
        <w:t>（合同工程名称）</w:t>
      </w:r>
      <w:r>
        <w:rPr>
          <w:rFonts w:ascii="黑体" w:eastAsia="黑体"/>
          <w:sz w:val="30"/>
          <w:szCs w:val="30"/>
        </w:rPr>
        <w:t>农民工工资支付承诺书</w:t>
      </w:r>
    </w:p>
    <w:p>
      <w:pPr>
        <w:adjustRightInd w:val="0"/>
        <w:snapToGrid w:val="0"/>
        <w:spacing w:afterLines="50" w:line="343" w:lineRule="auto"/>
        <w:ind w:firstLine="360" w:firstLineChars="150"/>
        <w:rPr>
          <w:sz w:val="24"/>
        </w:rPr>
      </w:pPr>
      <w:r>
        <w:rPr>
          <w:rFonts w:hint="eastAsia"/>
          <w:sz w:val="24"/>
        </w:rPr>
        <w:t>我单位在此郑重承诺：</w:t>
      </w:r>
    </w:p>
    <w:p>
      <w:pPr>
        <w:adjustRightInd w:val="0"/>
        <w:snapToGrid w:val="0"/>
        <w:spacing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jc w:val="right"/>
        <w:rPr>
          <w:sz w:val="24"/>
          <w:u w:val="single"/>
        </w:rPr>
      </w:pPr>
      <w:r>
        <w:rPr>
          <w:rFonts w:hint="eastAsia"/>
          <w:sz w:val="24"/>
        </w:rPr>
        <w:t>承诺人：</w:t>
      </w:r>
      <w:r>
        <w:rPr>
          <w:rFonts w:hint="eastAsia"/>
          <w:sz w:val="24"/>
          <w:u w:val="single"/>
        </w:rPr>
        <w:t xml:space="preserve">     （单位全称）（盖章）</w:t>
      </w:r>
    </w:p>
    <w:p>
      <w:pPr>
        <w:adjustRightInd w:val="0"/>
        <w:snapToGrid w:val="0"/>
        <w:spacing w:afterLines="50" w:line="343" w:lineRule="auto"/>
        <w:ind w:firstLine="5640" w:firstLineChars="2350"/>
        <w:rPr>
          <w:sz w:val="24"/>
        </w:rPr>
      </w:pPr>
      <w:r>
        <w:rPr>
          <w:rFonts w:hint="eastAsia"/>
          <w:sz w:val="24"/>
        </w:rPr>
        <w:t>法定代表人：</w:t>
      </w:r>
    </w:p>
    <w:p>
      <w:pPr>
        <w:adjustRightInd w:val="0"/>
        <w:snapToGrid w:val="0"/>
        <w:spacing w:afterLines="50" w:line="343" w:lineRule="auto"/>
        <w:ind w:firstLine="360" w:firstLineChars="150"/>
        <w:rPr>
          <w:sz w:val="24"/>
          <w:u w:val="single"/>
        </w:rPr>
      </w:pPr>
    </w:p>
    <w:p>
      <w:pPr>
        <w:adjustRightInd w:val="0"/>
        <w:snapToGrid w:val="0"/>
        <w:spacing w:afterLines="50" w:line="343" w:lineRule="auto"/>
        <w:rPr>
          <w:rFonts w:ascii="黑体" w:eastAsia="黑体"/>
          <w:sz w:val="28"/>
          <w:szCs w:val="28"/>
        </w:rPr>
      </w:pPr>
    </w:p>
    <w:p>
      <w:pPr>
        <w:adjustRightInd w:val="0"/>
        <w:snapToGrid w:val="0"/>
        <w:spacing w:line="360" w:lineRule="auto"/>
        <w:rPr>
          <w:rFonts w:ascii="黑体" w:eastAsia="黑体"/>
          <w:sz w:val="24"/>
        </w:rPr>
      </w:pPr>
      <w:r>
        <w:rPr>
          <w:rFonts w:ascii="黑体" w:eastAsia="黑体"/>
          <w:sz w:val="24"/>
        </w:rPr>
        <w:br w:type="page"/>
      </w:r>
      <w:r>
        <w:rPr>
          <w:rFonts w:hint="eastAsia" w:ascii="黑体" w:eastAsia="黑体"/>
          <w:sz w:val="24"/>
        </w:rPr>
        <w:t>附件五：项目经理委任书</w:t>
      </w: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sz w:val="24"/>
        </w:rPr>
      </w:pPr>
      <w:r>
        <w:rPr>
          <w:rFonts w:hint="eastAsia" w:ascii="黑体" w:eastAsia="黑体"/>
          <w:sz w:val="30"/>
          <w:szCs w:val="30"/>
          <w:u w:val="single"/>
        </w:rPr>
        <w:t>（合同工程名称）</w:t>
      </w:r>
      <w:r>
        <w:rPr>
          <w:rFonts w:hint="eastAsia" w:ascii="黑体" w:eastAsia="黑体"/>
          <w:sz w:val="30"/>
          <w:szCs w:val="30"/>
        </w:rPr>
        <w:t>项目经理委</w:t>
      </w:r>
      <w:r>
        <w:rPr>
          <w:rFonts w:ascii="黑体" w:eastAsia="黑体"/>
          <w:sz w:val="30"/>
          <w:szCs w:val="30"/>
        </w:rPr>
        <w:t>任书</w:t>
      </w:r>
    </w:p>
    <w:p>
      <w:pPr>
        <w:adjustRightInd w:val="0"/>
        <w:snapToGrid w:val="0"/>
        <w:spacing w:line="360" w:lineRule="auto"/>
        <w:jc w:val="center"/>
        <w:rPr>
          <w:sz w:val="24"/>
        </w:rPr>
      </w:pPr>
    </w:p>
    <w:p>
      <w:pPr>
        <w:adjustRightInd w:val="0"/>
        <w:snapToGrid w:val="0"/>
        <w:spacing w:line="360" w:lineRule="auto"/>
        <w:jc w:val="left"/>
        <w:rPr>
          <w:sz w:val="24"/>
        </w:rPr>
      </w:pPr>
      <w:r>
        <w:rPr>
          <w:sz w:val="24"/>
        </w:rPr>
        <w:t>致：</w:t>
      </w:r>
      <w:r>
        <w:rPr>
          <w:sz w:val="24"/>
          <w:u w:val="single"/>
        </w:rPr>
        <w:t>（发包人全称）</w:t>
      </w:r>
    </w:p>
    <w:p>
      <w:pPr>
        <w:adjustRightInd w:val="0"/>
        <w:snapToGrid w:val="0"/>
        <w:spacing w:line="360" w:lineRule="auto"/>
        <w:ind w:firstLine="480" w:firstLineChars="20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 xml:space="preserve">   （姓名）  </w:t>
      </w:r>
      <w:r>
        <w:rPr>
          <w:sz w:val="24"/>
        </w:rPr>
        <w:t>代表本单位全面负</w:t>
      </w:r>
      <w:r>
        <w:rPr>
          <w:rFonts w:hint="eastAsia"/>
          <w:sz w:val="24"/>
        </w:rPr>
        <w:t>责。</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080" w:firstLineChars="1700"/>
        <w:rPr>
          <w:sz w:val="24"/>
        </w:rPr>
      </w:pPr>
      <w:r>
        <w:rPr>
          <w:sz w:val="24"/>
        </w:rPr>
        <w:t>承包人：</w:t>
      </w:r>
      <w:r>
        <w:rPr>
          <w:sz w:val="24"/>
          <w:u w:val="single"/>
        </w:rPr>
        <w:t>（全称）</w:t>
      </w:r>
      <w:r>
        <w:rPr>
          <w:sz w:val="24"/>
        </w:rPr>
        <w:t>…</w:t>
      </w:r>
      <w:r>
        <w:rPr>
          <w:sz w:val="24"/>
          <w:u w:val="single"/>
        </w:rPr>
        <w:t>（盖章）</w:t>
      </w:r>
    </w:p>
    <w:p>
      <w:pPr>
        <w:adjustRightInd w:val="0"/>
        <w:snapToGrid w:val="0"/>
        <w:spacing w:line="360" w:lineRule="auto"/>
        <w:ind w:firstLine="4800" w:firstLineChars="2000"/>
        <w:rPr>
          <w:sz w:val="24"/>
        </w:rPr>
      </w:pPr>
      <w:r>
        <w:rPr>
          <w:sz w:val="24"/>
        </w:rPr>
        <w:t>法定代表人：</w:t>
      </w:r>
      <w:r>
        <w:rPr>
          <w:rFonts w:hint="eastAsia"/>
          <w:sz w:val="24"/>
          <w:u w:val="single"/>
        </w:rPr>
        <w:t xml:space="preserve">     （职务）     </w:t>
      </w:r>
    </w:p>
    <w:p>
      <w:pPr>
        <w:adjustRightInd w:val="0"/>
        <w:snapToGrid w:val="0"/>
        <w:spacing w:line="360" w:lineRule="auto"/>
        <w:ind w:firstLine="6240" w:firstLineChars="2600"/>
        <w:rPr>
          <w:sz w:val="24"/>
          <w:u w:val="single"/>
        </w:rPr>
      </w:pPr>
      <w:r>
        <w:rPr>
          <w:sz w:val="24"/>
          <w:u w:val="single"/>
        </w:rPr>
        <w:t>（姓名）</w:t>
      </w:r>
    </w:p>
    <w:p>
      <w:pPr>
        <w:adjustRightInd w:val="0"/>
        <w:snapToGrid w:val="0"/>
        <w:spacing w:line="360" w:lineRule="auto"/>
        <w:ind w:firstLine="6240" w:firstLineChars="2600"/>
        <w:rPr>
          <w:sz w:val="24"/>
        </w:rPr>
      </w:pPr>
      <w:r>
        <w:rPr>
          <w:sz w:val="24"/>
          <w:u w:val="single"/>
        </w:rPr>
        <w:t>（</w:t>
      </w:r>
      <w:r>
        <w:rPr>
          <w:rFonts w:hint="eastAsia"/>
          <w:sz w:val="24"/>
          <w:u w:val="single"/>
        </w:rPr>
        <w:t>签字</w:t>
      </w:r>
      <w:r>
        <w:rPr>
          <w:sz w:val="24"/>
          <w:u w:val="single"/>
        </w:rPr>
        <w:t>）</w:t>
      </w:r>
    </w:p>
    <w:p>
      <w:pPr>
        <w:adjustRightInd w:val="0"/>
        <w:snapToGrid w:val="0"/>
        <w:spacing w:line="360" w:lineRule="auto"/>
        <w:ind w:firstLine="5760" w:firstLineChars="2400"/>
        <w:rPr>
          <w:sz w:val="24"/>
        </w:rPr>
      </w:pPr>
      <w:r>
        <w:rPr>
          <w:sz w:val="24"/>
        </w:rPr>
        <w:t>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抄送：</w:t>
      </w:r>
      <w:r>
        <w:rPr>
          <w:sz w:val="24"/>
          <w:u w:val="single"/>
        </w:rPr>
        <w:t>（监理人）</w:t>
      </w:r>
    </w:p>
    <w:p>
      <w:pPr>
        <w:adjustRightInd w:val="0"/>
        <w:snapToGrid w:val="0"/>
        <w:spacing w:line="360" w:lineRule="auto"/>
        <w:rPr>
          <w:rFonts w:ascii="黑体" w:eastAsia="黑体"/>
          <w:sz w:val="24"/>
        </w:rPr>
      </w:pPr>
      <w:r>
        <w:rPr>
          <w:sz w:val="24"/>
        </w:rPr>
        <w:br w:type="page"/>
      </w:r>
      <w:r>
        <w:rPr>
          <w:rFonts w:hint="eastAsia" w:ascii="黑体" w:eastAsia="黑体"/>
          <w:sz w:val="24"/>
        </w:rPr>
        <w:t>附件六：履约担保格式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履 约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担保有效期自发包人与承包人签订的合同生效之日起至发包人签发工程接收证书之日止。</w:t>
      </w:r>
    </w:p>
    <w:p>
      <w:pPr>
        <w:adjustRightInd w:val="0"/>
        <w:snapToGrid w:val="0"/>
        <w:spacing w:line="360" w:lineRule="auto"/>
        <w:ind w:firstLine="480" w:firstLineChars="20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发包人和承包人按合同条款第15条变更合同时，我方承担本担保规定的义务不变。</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rPr>
          <w:sz w:val="24"/>
        </w:rPr>
      </w:pPr>
      <w:r>
        <w:rPr>
          <w:sz w:val="24"/>
        </w:rPr>
        <w:t>年</w:t>
      </w:r>
      <w:r>
        <w:rPr>
          <w:rFonts w:hint="eastAsia"/>
          <w:sz w:val="24"/>
        </w:rPr>
        <w:t xml:space="preserve">  </w:t>
      </w:r>
      <w:r>
        <w:rPr>
          <w:sz w:val="24"/>
        </w:rPr>
        <w:t>月</w:t>
      </w:r>
      <w:r>
        <w:rPr>
          <w:rFonts w:hint="eastAsia"/>
          <w:sz w:val="24"/>
        </w:rPr>
        <w:t xml:space="preserve">  </w:t>
      </w:r>
      <w:r>
        <w:rPr>
          <w:sz w:val="24"/>
        </w:rPr>
        <w:t>日</w:t>
      </w:r>
    </w:p>
    <w:p>
      <w:pPr>
        <w:adjustRightInd w:val="0"/>
        <w:snapToGrid w:val="0"/>
        <w:spacing w:line="360" w:lineRule="auto"/>
        <w:rPr>
          <w:rFonts w:ascii="黑体" w:eastAsia="黑体"/>
          <w:sz w:val="24"/>
        </w:rPr>
      </w:pPr>
      <w:r>
        <w:rPr>
          <w:sz w:val="24"/>
        </w:rPr>
        <w:br w:type="page"/>
      </w:r>
      <w:r>
        <w:rPr>
          <w:rFonts w:hint="eastAsia" w:ascii="黑体" w:eastAsia="黑体"/>
          <w:sz w:val="24"/>
        </w:rPr>
        <w:t>附件七：预付款担保格式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预 付 款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pPr>
        <w:adjustRightInd w:val="0"/>
        <w:snapToGrid w:val="0"/>
        <w:spacing w:line="360" w:lineRule="auto"/>
        <w:ind w:firstLine="480" w:firstLineChars="200"/>
        <w:rPr>
          <w:sz w:val="24"/>
        </w:rPr>
      </w:pPr>
      <w:r>
        <w:rPr>
          <w:sz w:val="24"/>
        </w:rPr>
        <w:t>3</w:t>
      </w:r>
      <w:r>
        <w:rPr>
          <w:rFonts w:hint="eastAsia"/>
          <w:sz w:val="24"/>
        </w:rPr>
        <w:t>．</w:t>
      </w:r>
      <w:r>
        <w:rPr>
          <w:sz w:val="24"/>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发包人和承包人按《通用合同条款》第15条变更合同时，我方承担本保函规定的义务不变。</w:t>
      </w: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pPr>
      <w:r>
        <w:rPr>
          <w:sz w:val="24"/>
        </w:rPr>
        <w:t>年</w:t>
      </w:r>
      <w:r>
        <w:rPr>
          <w:rFonts w:hint="eastAsia"/>
          <w:sz w:val="24"/>
        </w:rPr>
        <w:t xml:space="preserve">  </w:t>
      </w:r>
      <w:r>
        <w:rPr>
          <w:sz w:val="24"/>
        </w:rPr>
        <w:t>月</w:t>
      </w:r>
      <w:r>
        <w:rPr>
          <w:rFonts w:hint="eastAsia"/>
          <w:sz w:val="24"/>
        </w:rPr>
        <w:t xml:space="preserve">  </w:t>
      </w:r>
      <w:r>
        <w:rPr>
          <w:sz w:val="24"/>
        </w:rPr>
        <w:t>日</w:t>
      </w:r>
    </w:p>
    <w:p>
      <w:pPr>
        <w:spacing w:line="400" w:lineRule="exact"/>
        <w:ind w:firstLine="480" w:firstLineChars="200"/>
        <w:rPr>
          <w:rFonts w:ascii="宋体" w:hAnsi="宋体"/>
          <w:sz w:val="24"/>
        </w:rPr>
      </w:pPr>
    </w:p>
    <w:p>
      <w:pPr>
        <w:rPr>
          <w:rFonts w:ascii="宋体" w:hAnsi="宋体"/>
          <w:sz w:val="24"/>
        </w:rPr>
      </w:pPr>
    </w:p>
    <w:p>
      <w:pPr>
        <w:spacing w:line="400" w:lineRule="exact"/>
        <w:rPr>
          <w:rFonts w:ascii="隶书" w:hAnsi="宋体" w:eastAsia="隶书"/>
          <w:sz w:val="24"/>
        </w:rPr>
      </w:pPr>
    </w:p>
    <w:p>
      <w:pPr>
        <w:pStyle w:val="4"/>
        <w:spacing w:after="600" w:line="240" w:lineRule="auto"/>
        <w:jc w:val="center"/>
        <w:rPr>
          <w:b w:val="0"/>
        </w:rPr>
      </w:pPr>
      <w:bookmarkStart w:id="211" w:name="_Toc483496978"/>
      <w:bookmarkStart w:id="212" w:name="_Toc237866020"/>
      <w:r>
        <w:rPr>
          <w:rFonts w:hint="eastAsia" w:ascii="黑体" w:eastAsia="黑体"/>
        </w:rPr>
        <w:t xml:space="preserve">第五章  </w:t>
      </w:r>
      <w:r>
        <w:rPr>
          <w:rFonts w:ascii="黑体" w:eastAsia="黑体"/>
        </w:rPr>
        <w:t>工程量清单说明</w:t>
      </w:r>
      <w:bookmarkEnd w:id="211"/>
      <w:bookmarkEnd w:id="212"/>
    </w:p>
    <w:p>
      <w:pPr>
        <w:spacing w:line="400" w:lineRule="exact"/>
        <w:ind w:firstLine="480" w:firstLineChars="200"/>
        <w:rPr>
          <w:sz w:val="24"/>
        </w:rPr>
      </w:pPr>
      <w:bookmarkStart w:id="213" w:name="_Hlt236721459"/>
      <w:bookmarkEnd w:id="213"/>
      <w:r>
        <w:rPr>
          <w:rFonts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sz w:val="24"/>
        </w:rPr>
      </w:pPr>
      <w:r>
        <w:rPr>
          <w:rFonts w:hint="eastAsia"/>
          <w:sz w:val="24"/>
        </w:rPr>
        <w:t>1.2 本工程量清单应与招标文件中的投标人须知、通用合同条款、专用合同条款、技术规范及图纸等一起阅读和理解。</w:t>
      </w:r>
    </w:p>
    <w:p>
      <w:pPr>
        <w:spacing w:line="400" w:lineRule="exact"/>
        <w:ind w:firstLine="480" w:firstLineChars="200"/>
        <w:rPr>
          <w:sz w:val="24"/>
        </w:rPr>
      </w:pPr>
      <w:r>
        <w:rPr>
          <w:rFonts w:hint="eastAsia"/>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400" w:lineRule="exact"/>
        <w:ind w:firstLine="480" w:firstLineChars="200"/>
        <w:rPr>
          <w:sz w:val="24"/>
        </w:rPr>
      </w:pPr>
      <w:r>
        <w:rPr>
          <w:rFonts w:hint="eastAsia"/>
          <w:sz w:val="24"/>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sz w:val="24"/>
        </w:rPr>
      </w:pPr>
      <w:r>
        <w:rPr>
          <w:rFonts w:hint="eastAsia"/>
          <w:sz w:val="24"/>
        </w:rPr>
        <w:t>1.5 对作业和材料的—般说明或规定，未重复写入工程量清单内，在给工程量清单各子目标价前，应参阅第七章“技术规范”的有关内容。</w:t>
      </w:r>
    </w:p>
    <w:p>
      <w:pPr>
        <w:spacing w:line="400" w:lineRule="exact"/>
        <w:ind w:firstLine="480" w:firstLineChars="200"/>
        <w:rPr>
          <w:sz w:val="24"/>
        </w:rPr>
      </w:pPr>
      <w:r>
        <w:rPr>
          <w:rFonts w:hint="eastAsia"/>
          <w:sz w:val="24"/>
        </w:rPr>
        <w:t>1.6 工程量清单中所列工程量的变动，丝毫不会降低或影响合同条款的效力，也不免除承包人按规定的标准进行施工和修复缺陷的责任。</w:t>
      </w:r>
    </w:p>
    <w:p>
      <w:pPr>
        <w:spacing w:line="400" w:lineRule="exact"/>
        <w:ind w:firstLine="480" w:firstLineChars="200"/>
        <w:rPr>
          <w:sz w:val="24"/>
        </w:rPr>
      </w:pPr>
      <w:r>
        <w:rPr>
          <w:rFonts w:hint="eastAsia"/>
          <w:sz w:val="24"/>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sz w:val="28"/>
          <w:szCs w:val="28"/>
        </w:rPr>
      </w:pPr>
      <w:r>
        <w:rPr>
          <w:rFonts w:hint="eastAsia" w:ascii="黑体" w:eastAsia="黑体"/>
          <w:sz w:val="28"/>
          <w:szCs w:val="28"/>
        </w:rPr>
        <w:t>2．投标报价说明</w:t>
      </w:r>
    </w:p>
    <w:p>
      <w:pPr>
        <w:spacing w:line="400" w:lineRule="exact"/>
        <w:ind w:firstLine="480" w:firstLineChars="200"/>
        <w:rPr>
          <w:sz w:val="24"/>
        </w:rPr>
      </w:pPr>
      <w:r>
        <w:rPr>
          <w:rFonts w:hint="eastAsia"/>
          <w:sz w:val="24"/>
        </w:rPr>
        <w:t>2.1 工程量清单中的每一子目须填入单价或价格，且只允许有一个报价。</w:t>
      </w:r>
    </w:p>
    <w:p>
      <w:pPr>
        <w:spacing w:line="400" w:lineRule="exact"/>
        <w:ind w:firstLine="480" w:firstLineChars="200"/>
        <w:rPr>
          <w:sz w:val="24"/>
        </w:rPr>
      </w:pPr>
      <w:r>
        <w:rPr>
          <w:rFonts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sz w:val="24"/>
        </w:rPr>
      </w:pPr>
      <w:r>
        <w:rPr>
          <w:rFonts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sz w:val="24"/>
        </w:rPr>
      </w:pPr>
      <w:r>
        <w:rPr>
          <w:rFonts w:hint="eastAsia"/>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sz w:val="24"/>
        </w:rPr>
      </w:pPr>
      <w:r>
        <w:rPr>
          <w:rFonts w:hint="eastAsia"/>
          <w:sz w:val="24"/>
        </w:rPr>
        <w:t>2.5承包人用于本合同工程的各类装备的提供、运输、维护、拆卸、拼装等支付的费用，已包括在工程量清单的单价与总额价之中。</w:t>
      </w:r>
    </w:p>
    <w:p>
      <w:pPr>
        <w:spacing w:line="400" w:lineRule="exact"/>
        <w:ind w:firstLine="480" w:firstLineChars="200"/>
        <w:rPr>
          <w:sz w:val="24"/>
        </w:rPr>
      </w:pPr>
      <w:r>
        <w:rPr>
          <w:rFonts w:hint="eastAsia"/>
          <w:sz w:val="24"/>
        </w:rPr>
        <w:t>2.6 工程量清单中各项金额均以人民币（元）结算。</w:t>
      </w:r>
    </w:p>
    <w:p>
      <w:pPr>
        <w:spacing w:line="400" w:lineRule="exact"/>
        <w:ind w:firstLine="480" w:firstLineChars="200"/>
        <w:rPr>
          <w:sz w:val="24"/>
        </w:rPr>
      </w:pPr>
      <w:r>
        <w:rPr>
          <w:rFonts w:hint="eastAsia"/>
          <w:sz w:val="24"/>
        </w:rPr>
        <w:t>2.8 暂列金额（不含计日工总额）的数量及拟用子目的说明：。</w:t>
      </w:r>
    </w:p>
    <w:p>
      <w:pPr>
        <w:spacing w:line="400" w:lineRule="exact"/>
        <w:ind w:firstLine="480" w:firstLineChars="200"/>
        <w:rPr>
          <w:sz w:val="24"/>
        </w:rPr>
      </w:pPr>
      <w:r>
        <w:rPr>
          <w:rFonts w:hint="eastAsia"/>
          <w:sz w:val="24"/>
        </w:rPr>
        <w:t>2.9 暂估价的数量及拟用子目的说明：。</w:t>
      </w:r>
    </w:p>
    <w:p>
      <w:pPr>
        <w:spacing w:before="240" w:after="120"/>
        <w:rPr>
          <w:rFonts w:ascii="黑体" w:eastAsia="黑体"/>
          <w:sz w:val="28"/>
          <w:szCs w:val="28"/>
        </w:rPr>
      </w:pPr>
      <w:r>
        <w:rPr>
          <w:rFonts w:hint="eastAsia" w:ascii="黑体" w:eastAsia="黑体"/>
          <w:sz w:val="28"/>
          <w:szCs w:val="28"/>
        </w:rPr>
        <w:t>3．计日工说明</w:t>
      </w:r>
    </w:p>
    <w:p>
      <w:pPr>
        <w:spacing w:line="400" w:lineRule="exact"/>
        <w:rPr>
          <w:sz w:val="24"/>
        </w:rPr>
      </w:pPr>
      <w:r>
        <w:rPr>
          <w:rFonts w:hint="eastAsia"/>
          <w:sz w:val="24"/>
        </w:rPr>
        <w:t xml:space="preserve">    3.1 总则</w:t>
      </w:r>
    </w:p>
    <w:p>
      <w:pPr>
        <w:spacing w:line="400" w:lineRule="exact"/>
        <w:ind w:firstLine="360" w:firstLineChars="150"/>
        <w:rPr>
          <w:sz w:val="24"/>
        </w:rPr>
      </w:pPr>
      <w:r>
        <w:rPr>
          <w:rFonts w:hint="eastAsia"/>
          <w:sz w:val="24"/>
        </w:rPr>
        <w:t>（l）本说明应参照通用合同条款第15.7款一并理解。</w:t>
      </w:r>
    </w:p>
    <w:p>
      <w:pPr>
        <w:spacing w:line="400" w:lineRule="exact"/>
        <w:ind w:firstLine="360" w:firstLineChars="150"/>
        <w:rPr>
          <w:sz w:val="24"/>
        </w:rPr>
      </w:pPr>
      <w:r>
        <w:rPr>
          <w:rFonts w:hint="eastAsia"/>
          <w:sz w:val="24"/>
        </w:rPr>
        <w:t>（2）未经监理人书面指令，任何工程不得按计日工施工；接到监理人按计日工施工的书面指令，承包人也不得拒绝。</w:t>
      </w:r>
    </w:p>
    <w:p>
      <w:pPr>
        <w:spacing w:line="400" w:lineRule="exact"/>
        <w:ind w:firstLine="360" w:firstLineChars="150"/>
        <w:rPr>
          <w:sz w:val="24"/>
        </w:rPr>
      </w:pPr>
      <w:r>
        <w:rPr>
          <w:rFonts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sz w:val="24"/>
        </w:rPr>
      </w:pPr>
      <w:r>
        <w:rPr>
          <w:rFonts w:hint="eastAsia"/>
          <w:sz w:val="24"/>
        </w:rPr>
        <w:t>（4）计日工不调价。</w:t>
      </w:r>
    </w:p>
    <w:p>
      <w:pPr>
        <w:spacing w:line="400" w:lineRule="exact"/>
        <w:ind w:firstLine="480" w:firstLineChars="200"/>
        <w:rPr>
          <w:sz w:val="24"/>
        </w:rPr>
      </w:pPr>
      <w:r>
        <w:rPr>
          <w:rFonts w:hint="eastAsia"/>
          <w:sz w:val="24"/>
        </w:rPr>
        <w:t>3.2 计日工劳务</w:t>
      </w:r>
    </w:p>
    <w:p>
      <w:pPr>
        <w:spacing w:line="400" w:lineRule="exact"/>
        <w:ind w:firstLine="360" w:firstLineChars="150"/>
        <w:rPr>
          <w:sz w:val="24"/>
        </w:rPr>
      </w:pPr>
      <w:r>
        <w:rPr>
          <w:rFonts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sz w:val="24"/>
        </w:rPr>
      </w:pPr>
      <w:r>
        <w:rPr>
          <w:rFonts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sz w:val="24"/>
        </w:rPr>
      </w:pPr>
      <w:r>
        <w:rPr>
          <w:rFonts w:hint="eastAsia"/>
          <w:sz w:val="24"/>
        </w:rPr>
        <w:t>a.劳务基本单价包括：承包人劳务的全部直接费用，如：工资、加班费、津贴、福利费及劳动保护费等。</w:t>
      </w:r>
    </w:p>
    <w:p>
      <w:pPr>
        <w:spacing w:line="400" w:lineRule="exact"/>
        <w:ind w:firstLine="480" w:firstLineChars="200"/>
        <w:rPr>
          <w:sz w:val="24"/>
        </w:rPr>
      </w:pPr>
      <w:r>
        <w:rPr>
          <w:rFonts w:hint="eastAsia"/>
          <w:sz w:val="24"/>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sz w:val="24"/>
        </w:rPr>
      </w:pPr>
      <w:r>
        <w:rPr>
          <w:rFonts w:hint="eastAsia"/>
          <w:sz w:val="24"/>
        </w:rPr>
        <w:t>3.3 计日工材料</w:t>
      </w:r>
    </w:p>
    <w:p>
      <w:pPr>
        <w:spacing w:line="400" w:lineRule="exact"/>
        <w:ind w:firstLine="360" w:firstLineChars="150"/>
        <w:rPr>
          <w:sz w:val="24"/>
        </w:rPr>
      </w:pPr>
      <w:r>
        <w:rPr>
          <w:rFonts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sz w:val="24"/>
        </w:rPr>
      </w:pPr>
      <w:r>
        <w:rPr>
          <w:rFonts w:hint="eastAsia"/>
          <w:sz w:val="24"/>
        </w:rPr>
        <w:t>a．材料基本单价按供货价加运杂费（到达承包人现场仓库）、保险费、仓库管理费以及运输损耗等计算。</w:t>
      </w:r>
    </w:p>
    <w:p>
      <w:pPr>
        <w:spacing w:line="400" w:lineRule="exact"/>
        <w:ind w:firstLine="480" w:firstLineChars="200"/>
        <w:rPr>
          <w:sz w:val="24"/>
        </w:rPr>
      </w:pPr>
      <w:r>
        <w:rPr>
          <w:rFonts w:hint="eastAsia"/>
          <w:sz w:val="24"/>
        </w:rPr>
        <w:t>b. 承包人的利润、管理、质检、保险、税费及其他附加费：</w:t>
      </w:r>
    </w:p>
    <w:p>
      <w:pPr>
        <w:spacing w:line="400" w:lineRule="exact"/>
        <w:ind w:firstLine="480" w:firstLineChars="200"/>
        <w:rPr>
          <w:sz w:val="24"/>
        </w:rPr>
      </w:pPr>
      <w:r>
        <w:rPr>
          <w:rFonts w:hint="eastAsia"/>
          <w:sz w:val="24"/>
        </w:rPr>
        <w:t>c．从现场运至使用地点的人工费和施工机械使用费不包括在上述基本单价内。</w:t>
      </w:r>
    </w:p>
    <w:p>
      <w:pPr>
        <w:spacing w:line="400" w:lineRule="exact"/>
        <w:ind w:firstLine="480" w:firstLineChars="200"/>
        <w:rPr>
          <w:sz w:val="24"/>
        </w:rPr>
      </w:pPr>
      <w:r>
        <w:rPr>
          <w:rFonts w:hint="eastAsia"/>
          <w:sz w:val="24"/>
        </w:rPr>
        <w:t>3.4 计日工施工机械</w:t>
      </w:r>
    </w:p>
    <w:p>
      <w:pPr>
        <w:spacing w:line="400" w:lineRule="exact"/>
        <w:ind w:firstLine="480" w:firstLineChars="200"/>
        <w:rPr>
          <w:sz w:val="24"/>
        </w:rPr>
      </w:pPr>
      <w:r>
        <w:rPr>
          <w:rFonts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sz w:val="24"/>
        </w:rPr>
      </w:pPr>
      <w:r>
        <w:rPr>
          <w:rFonts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rPr>
      </w:pPr>
      <w:r>
        <w:rPr>
          <w:rFonts w:hint="eastAsia" w:ascii="黑体" w:eastAsia="黑体"/>
          <w:sz w:val="28"/>
          <w:szCs w:val="28"/>
        </w:rPr>
        <w:t>4．其他说明</w:t>
      </w:r>
    </w:p>
    <w:p>
      <w:pPr>
        <w:spacing w:line="400" w:lineRule="exact"/>
        <w:ind w:firstLine="480" w:firstLineChars="200"/>
        <w:rPr>
          <w:sz w:val="24"/>
        </w:rPr>
      </w:pPr>
      <w:r>
        <w:rPr>
          <w:rFonts w:hint="eastAsia"/>
          <w:sz w:val="24"/>
        </w:rPr>
        <w:t>编制说明：</w:t>
      </w:r>
    </w:p>
    <w:p>
      <w:pPr>
        <w:spacing w:line="400" w:lineRule="exact"/>
        <w:ind w:firstLine="480" w:firstLineChars="200"/>
        <w:rPr>
          <w:sz w:val="24"/>
        </w:rPr>
      </w:pPr>
      <w:r>
        <w:rPr>
          <w:rFonts w:hint="eastAsia"/>
          <w:sz w:val="24"/>
        </w:rPr>
        <w:t>1.施工图设计；</w:t>
      </w:r>
    </w:p>
    <w:p>
      <w:pPr>
        <w:spacing w:before="240" w:after="120"/>
        <w:rPr>
          <w:rFonts w:ascii="黑体" w:eastAsia="黑体"/>
          <w:sz w:val="28"/>
          <w:szCs w:val="28"/>
        </w:rPr>
      </w:pPr>
      <w:r>
        <w:rPr>
          <w:rFonts w:hint="eastAsia" w:ascii="黑体" w:eastAsia="黑体"/>
          <w:sz w:val="28"/>
          <w:szCs w:val="28"/>
        </w:rPr>
        <w:t>5.工程量清单（另附）。</w:t>
      </w:r>
    </w:p>
    <w:p>
      <w:pPr>
        <w:rPr>
          <w:rFonts w:ascii="宋体" w:hAnsi="宋体"/>
          <w:sz w:val="24"/>
        </w:rPr>
      </w:pPr>
    </w:p>
    <w:p>
      <w:pPr>
        <w:rPr>
          <w:rFonts w:ascii="宋体" w:hAnsi="宋体"/>
          <w:sz w:val="24"/>
        </w:rPr>
      </w:pPr>
    </w:p>
    <w:p>
      <w:pPr>
        <w:widowControl/>
        <w:spacing w:line="360" w:lineRule="auto"/>
        <w:ind w:right="714"/>
        <w:jc w:val="center"/>
        <w:rPr>
          <w:rFonts w:ascii="黑体" w:eastAsia="黑体"/>
          <w:bCs/>
          <w:sz w:val="44"/>
          <w:szCs w:val="44"/>
        </w:rPr>
      </w:pPr>
      <w:bookmarkStart w:id="214" w:name="_Toc20155"/>
      <w:r>
        <w:rPr>
          <w:rFonts w:ascii="黑体" w:eastAsia="黑体"/>
          <w:bCs/>
          <w:sz w:val="44"/>
          <w:szCs w:val="44"/>
        </w:rPr>
        <w:br w:type="page"/>
      </w:r>
    </w:p>
    <w:p>
      <w:pPr>
        <w:jc w:val="center"/>
        <w:outlineLvl w:val="0"/>
        <w:rPr>
          <w:rFonts w:ascii="宋体" w:hAnsi="宋体"/>
          <w:bCs/>
          <w:sz w:val="44"/>
          <w:szCs w:val="44"/>
        </w:rPr>
      </w:pPr>
      <w:r>
        <w:rPr>
          <w:rFonts w:ascii="黑体" w:eastAsia="黑体"/>
          <w:bCs/>
          <w:sz w:val="44"/>
          <w:szCs w:val="44"/>
        </w:rPr>
        <w:t>第六章</w:t>
      </w:r>
      <w:r>
        <w:rPr>
          <w:rFonts w:ascii="黑体" w:eastAsia="黑体"/>
          <w:bCs/>
          <w:sz w:val="44"/>
          <w:szCs w:val="44"/>
        </w:rPr>
        <w:tab/>
      </w:r>
      <w:r>
        <w:rPr>
          <w:rFonts w:ascii="黑体" w:eastAsia="黑体"/>
          <w:bCs/>
          <w:sz w:val="44"/>
          <w:szCs w:val="44"/>
        </w:rPr>
        <w:t>图纸</w:t>
      </w:r>
      <w:r>
        <w:rPr>
          <w:rFonts w:hint="eastAsia" w:ascii="黑体" w:eastAsia="黑体"/>
          <w:bCs/>
          <w:sz w:val="44"/>
          <w:szCs w:val="44"/>
        </w:rPr>
        <w:t>（无）</w:t>
      </w:r>
      <w:bookmarkEnd w:id="214"/>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jc w:val="center"/>
        <w:outlineLvl w:val="0"/>
        <w:rPr>
          <w:rFonts w:ascii="黑体" w:eastAsia="黑体"/>
          <w:bCs/>
          <w:sz w:val="44"/>
          <w:szCs w:val="44"/>
        </w:rPr>
      </w:pPr>
      <w:bookmarkStart w:id="215" w:name="_Toc18036"/>
    </w:p>
    <w:p>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r>
      <w:r>
        <w:rPr>
          <w:rFonts w:ascii="黑体" w:eastAsia="黑体"/>
          <w:bCs/>
          <w:sz w:val="44"/>
          <w:szCs w:val="44"/>
        </w:rPr>
        <w:t>技术</w:t>
      </w:r>
      <w:r>
        <w:rPr>
          <w:rFonts w:hint="eastAsia" w:ascii="黑体" w:eastAsia="黑体"/>
          <w:bCs/>
          <w:sz w:val="44"/>
          <w:szCs w:val="44"/>
        </w:rPr>
        <w:t>规范（另册）</w:t>
      </w:r>
      <w:bookmarkEnd w:id="215"/>
    </w:p>
    <w:p>
      <w:pPr>
        <w:rPr>
          <w:rFonts w:ascii="宋体" w:hAnsi="宋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spacing w:line="360" w:lineRule="auto"/>
        <w:ind w:right="714"/>
        <w:jc w:val="center"/>
        <w:rPr>
          <w:rFonts w:ascii="黑体" w:eastAsia="黑体"/>
          <w:bCs/>
          <w:sz w:val="44"/>
          <w:szCs w:val="44"/>
        </w:rPr>
      </w:pPr>
      <w:r>
        <w:rPr>
          <w:rFonts w:ascii="黑体" w:eastAsia="黑体"/>
          <w:bCs/>
          <w:sz w:val="44"/>
          <w:szCs w:val="44"/>
        </w:rPr>
        <w:br w:type="page"/>
      </w:r>
    </w:p>
    <w:p>
      <w:pPr>
        <w:jc w:val="center"/>
        <w:outlineLvl w:val="0"/>
        <w:rPr>
          <w:rFonts w:ascii="黑体" w:eastAsia="黑体"/>
          <w:bCs/>
          <w:sz w:val="44"/>
          <w:szCs w:val="44"/>
        </w:rPr>
      </w:pPr>
      <w:r>
        <w:rPr>
          <w:rFonts w:ascii="黑体" w:eastAsia="黑体"/>
          <w:bCs/>
          <w:sz w:val="44"/>
          <w:szCs w:val="44"/>
        </w:rPr>
        <w:t>第八章</w:t>
      </w:r>
      <w:r>
        <w:rPr>
          <w:rFonts w:ascii="黑体" w:eastAsia="黑体"/>
          <w:bCs/>
          <w:sz w:val="44"/>
          <w:szCs w:val="44"/>
        </w:rPr>
        <w:tab/>
      </w:r>
      <w:r>
        <w:rPr>
          <w:rFonts w:ascii="黑体" w:eastAsia="黑体"/>
          <w:bCs/>
          <w:sz w:val="44"/>
          <w:szCs w:val="44"/>
        </w:rPr>
        <w:t>投标文件格式</w:t>
      </w:r>
    </w:p>
    <w:p>
      <w:pPr>
        <w:rPr>
          <w:rFonts w:asciiTheme="majorEastAsia" w:hAnsiTheme="majorEastAsia" w:eastAsiaTheme="majorEastAsia"/>
          <w:sz w:val="52"/>
          <w:szCs w:val="52"/>
        </w:rPr>
      </w:pPr>
    </w:p>
    <w:p>
      <w:pPr>
        <w:jc w:val="right"/>
        <w:rPr>
          <w:rFonts w:asciiTheme="majorEastAsia" w:hAnsiTheme="majorEastAsia" w:eastAsiaTheme="majorEastAsia"/>
          <w:sz w:val="24"/>
        </w:rPr>
      </w:pPr>
      <w:r>
        <w:rPr>
          <w:rFonts w:hint="eastAsia" w:asciiTheme="majorEastAsia" w:hAnsiTheme="majorEastAsia" w:eastAsiaTheme="majorEastAsia"/>
          <w:bCs/>
          <w:sz w:val="36"/>
          <w:szCs w:val="36"/>
        </w:rPr>
        <w:t>正（副）本</w:t>
      </w:r>
    </w:p>
    <w:p>
      <w:pPr>
        <w:rPr>
          <w:rFonts w:asciiTheme="majorEastAsia" w:hAnsiTheme="majorEastAsia" w:eastAsiaTheme="majorEastAsia"/>
          <w:bCs/>
          <w:sz w:val="36"/>
          <w:szCs w:val="36"/>
          <w:u w:val="single"/>
        </w:rPr>
      </w:pPr>
      <w:r>
        <w:rPr>
          <w:rFonts w:hint="eastAsia" w:asciiTheme="majorEastAsia" w:hAnsiTheme="majorEastAsia" w:eastAsiaTheme="majorEastAsia"/>
          <w:bCs/>
          <w:sz w:val="52"/>
          <w:szCs w:val="52"/>
          <w:u w:val="single"/>
        </w:rPr>
        <w:t xml:space="preserve">           (项目名称)             </w:t>
      </w:r>
    </w:p>
    <w:p>
      <w:pPr>
        <w:spacing w:line="360" w:lineRule="auto"/>
        <w:rPr>
          <w:rFonts w:asciiTheme="majorEastAsia" w:hAnsiTheme="majorEastAsia" w:eastAsiaTheme="majorEastAsia"/>
          <w:sz w:val="36"/>
          <w:szCs w:val="36"/>
        </w:rPr>
      </w:pPr>
    </w:p>
    <w:p>
      <w:pPr>
        <w:spacing w:line="360" w:lineRule="auto"/>
        <w:jc w:val="center"/>
        <w:rPr>
          <w:rFonts w:asciiTheme="majorEastAsia" w:hAnsiTheme="majorEastAsia" w:eastAsiaTheme="majorEastAsia"/>
          <w:b/>
          <w:sz w:val="52"/>
          <w:szCs w:val="52"/>
        </w:rPr>
      </w:pPr>
      <w:r>
        <w:rPr>
          <w:rFonts w:hint="eastAsia" w:asciiTheme="majorEastAsia" w:hAnsiTheme="majorEastAsia" w:eastAsiaTheme="majorEastAsia"/>
          <w:sz w:val="36"/>
          <w:szCs w:val="36"/>
        </w:rPr>
        <w:t>建安建工公字〔2019〕   号</w:t>
      </w:r>
    </w:p>
    <w:p>
      <w:pPr>
        <w:spacing w:line="360" w:lineRule="auto"/>
        <w:jc w:val="center"/>
        <w:rPr>
          <w:rFonts w:asciiTheme="majorEastAsia" w:hAnsiTheme="majorEastAsia" w:eastAsiaTheme="majorEastAsia"/>
          <w:b/>
          <w:sz w:val="52"/>
          <w:szCs w:val="52"/>
        </w:rPr>
      </w:pPr>
    </w:p>
    <w:p>
      <w:pPr>
        <w:spacing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投 标 文 件</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第一信封</w:t>
      </w:r>
    </w:p>
    <w:p>
      <w:pPr>
        <w:spacing w:line="360" w:lineRule="auto"/>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（商务及技术文件）</w:t>
      </w: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投  标  人：</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（盖单位章）</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法定代表人或其委托代理人：</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（签字）</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日      期：</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年</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月</w:t>
      </w: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日</w:t>
      </w:r>
    </w:p>
    <w:p>
      <w:pPr>
        <w:jc w:val="center"/>
        <w:rPr>
          <w:rFonts w:ascii="黑体" w:hAnsi="宋体" w:eastAsia="黑体"/>
          <w:b/>
          <w:sz w:val="36"/>
          <w:szCs w:val="36"/>
        </w:rPr>
      </w:pPr>
    </w:p>
    <w:p>
      <w:pPr>
        <w:pageBreakBefore/>
        <w:jc w:val="center"/>
        <w:rPr>
          <w:rFonts w:ascii="黑体" w:hAnsi="宋体" w:eastAsia="黑体"/>
          <w:b/>
          <w:sz w:val="36"/>
          <w:szCs w:val="36"/>
        </w:rPr>
      </w:pPr>
      <w:r>
        <w:rPr>
          <w:rFonts w:hint="eastAsia" w:ascii="黑体" w:hAnsi="宋体" w:eastAsia="黑体"/>
          <w:b/>
          <w:sz w:val="36"/>
          <w:szCs w:val="36"/>
        </w:rPr>
        <w:t xml:space="preserve">目 </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spacing w:line="480" w:lineRule="auto"/>
        <w:ind w:firstLine="700" w:firstLineChars="250"/>
        <w:rPr>
          <w:rFonts w:ascii="宋体" w:hAnsi="宋体"/>
          <w:sz w:val="28"/>
          <w:szCs w:val="28"/>
        </w:rPr>
      </w:pPr>
      <w:r>
        <w:rPr>
          <w:rFonts w:hint="eastAsia" w:ascii="宋体" w:hAnsi="宋体"/>
          <w:sz w:val="28"/>
          <w:szCs w:val="28"/>
        </w:rPr>
        <w:t>一、</w:t>
      </w:r>
      <w:r>
        <w:rPr>
          <w:rFonts w:ascii="宋体" w:hAnsi="宋体"/>
          <w:sz w:val="28"/>
          <w:szCs w:val="28"/>
        </w:rPr>
        <w:t>投标函及投标函附录；</w:t>
      </w:r>
    </w:p>
    <w:p>
      <w:pPr>
        <w:spacing w:line="480" w:lineRule="auto"/>
        <w:ind w:firstLine="700" w:firstLineChars="250"/>
        <w:rPr>
          <w:rFonts w:ascii="宋体" w:hAnsi="宋体"/>
          <w:sz w:val="28"/>
          <w:szCs w:val="28"/>
        </w:rPr>
      </w:pPr>
      <w:r>
        <w:rPr>
          <w:rFonts w:hint="eastAsia" w:ascii="宋体" w:hAnsi="宋体"/>
          <w:sz w:val="28"/>
          <w:szCs w:val="28"/>
        </w:rPr>
        <w:t>二、</w:t>
      </w:r>
      <w:r>
        <w:rPr>
          <w:rFonts w:ascii="宋体" w:hAnsi="宋体"/>
          <w:sz w:val="28"/>
          <w:szCs w:val="28"/>
        </w:rPr>
        <w:t>法定代表人身份证明</w:t>
      </w:r>
      <w:r>
        <w:rPr>
          <w:rFonts w:hint="eastAsia" w:ascii="宋体" w:hAnsi="宋体"/>
          <w:sz w:val="28"/>
          <w:szCs w:val="28"/>
        </w:rPr>
        <w:t>及</w:t>
      </w:r>
      <w:r>
        <w:rPr>
          <w:rFonts w:ascii="宋体" w:hAnsi="宋体"/>
          <w:sz w:val="28"/>
          <w:szCs w:val="28"/>
        </w:rPr>
        <w:t>授权委托书</w:t>
      </w:r>
      <w:r>
        <w:rPr>
          <w:rFonts w:hint="eastAsia" w:ascii="宋体" w:hAnsi="宋体"/>
          <w:sz w:val="28"/>
          <w:szCs w:val="28"/>
        </w:rPr>
        <w:t>；</w:t>
      </w:r>
    </w:p>
    <w:p>
      <w:pPr>
        <w:spacing w:line="480" w:lineRule="auto"/>
        <w:ind w:firstLine="700" w:firstLineChars="250"/>
        <w:rPr>
          <w:rFonts w:ascii="宋体" w:hAnsi="宋体"/>
          <w:sz w:val="28"/>
          <w:szCs w:val="28"/>
        </w:rPr>
      </w:pPr>
      <w:r>
        <w:rPr>
          <w:rFonts w:hint="eastAsia" w:ascii="宋体" w:hAnsi="宋体"/>
          <w:sz w:val="28"/>
          <w:szCs w:val="28"/>
        </w:rPr>
        <w:t>三、</w:t>
      </w:r>
      <w:r>
        <w:rPr>
          <w:rFonts w:ascii="宋体" w:hAnsi="宋体"/>
          <w:sz w:val="28"/>
          <w:szCs w:val="28"/>
        </w:rPr>
        <w:t>投标保证金；</w:t>
      </w:r>
    </w:p>
    <w:p>
      <w:pPr>
        <w:spacing w:line="480" w:lineRule="auto"/>
        <w:ind w:firstLine="700" w:firstLineChars="250"/>
        <w:rPr>
          <w:rFonts w:ascii="宋体" w:hAnsi="宋体"/>
          <w:sz w:val="28"/>
          <w:szCs w:val="28"/>
        </w:rPr>
      </w:pPr>
      <w:r>
        <w:rPr>
          <w:rFonts w:hint="eastAsia" w:ascii="宋体" w:hAnsi="宋体"/>
          <w:sz w:val="28"/>
          <w:szCs w:val="28"/>
        </w:rPr>
        <w:t>四、</w:t>
      </w:r>
      <w:r>
        <w:rPr>
          <w:rFonts w:ascii="宋体" w:hAnsi="宋体"/>
          <w:sz w:val="28"/>
          <w:szCs w:val="28"/>
        </w:rPr>
        <w:t>施工组织设计；</w:t>
      </w:r>
    </w:p>
    <w:p>
      <w:pPr>
        <w:spacing w:line="480" w:lineRule="auto"/>
        <w:ind w:firstLine="700" w:firstLineChars="250"/>
        <w:rPr>
          <w:rFonts w:ascii="宋体" w:hAnsi="宋体"/>
          <w:sz w:val="28"/>
          <w:szCs w:val="28"/>
        </w:rPr>
      </w:pPr>
      <w:r>
        <w:rPr>
          <w:rFonts w:hint="eastAsia" w:ascii="宋体" w:hAnsi="宋体"/>
          <w:sz w:val="28"/>
          <w:szCs w:val="28"/>
        </w:rPr>
        <w:t>五、</w:t>
      </w:r>
      <w:r>
        <w:rPr>
          <w:rFonts w:ascii="宋体" w:hAnsi="宋体"/>
          <w:sz w:val="28"/>
          <w:szCs w:val="28"/>
        </w:rPr>
        <w:t>项目管理机构；</w:t>
      </w:r>
    </w:p>
    <w:p>
      <w:pPr>
        <w:spacing w:line="480" w:lineRule="auto"/>
        <w:ind w:firstLine="700" w:firstLineChars="250"/>
        <w:rPr>
          <w:rFonts w:ascii="宋体" w:hAnsi="宋体"/>
          <w:sz w:val="28"/>
          <w:szCs w:val="28"/>
        </w:rPr>
      </w:pPr>
      <w:r>
        <w:rPr>
          <w:rFonts w:hint="eastAsia" w:ascii="宋体" w:hAnsi="宋体"/>
          <w:sz w:val="28"/>
          <w:szCs w:val="28"/>
        </w:rPr>
        <w:t>六、</w:t>
      </w:r>
      <w:r>
        <w:rPr>
          <w:rFonts w:ascii="宋体" w:hAnsi="宋体"/>
          <w:sz w:val="28"/>
          <w:szCs w:val="28"/>
        </w:rPr>
        <w:t>资格审查资料；</w:t>
      </w:r>
    </w:p>
    <w:p>
      <w:pPr>
        <w:spacing w:line="480" w:lineRule="auto"/>
        <w:ind w:firstLine="700" w:firstLineChars="250"/>
        <w:rPr>
          <w:rFonts w:ascii="宋体" w:hAnsi="宋体"/>
          <w:sz w:val="28"/>
          <w:szCs w:val="28"/>
        </w:rPr>
      </w:pPr>
      <w:r>
        <w:rPr>
          <w:rFonts w:hint="eastAsia" w:ascii="宋体" w:hAnsi="宋体"/>
          <w:sz w:val="28"/>
          <w:szCs w:val="28"/>
        </w:rPr>
        <w:t>七、主要进场管理人员和技术人员最低要求；</w:t>
      </w:r>
    </w:p>
    <w:p>
      <w:pPr>
        <w:spacing w:line="480" w:lineRule="auto"/>
        <w:ind w:firstLine="700" w:firstLineChars="250"/>
        <w:rPr>
          <w:rFonts w:ascii="宋体" w:hAnsi="宋体"/>
          <w:sz w:val="28"/>
          <w:szCs w:val="28"/>
        </w:rPr>
      </w:pPr>
      <w:r>
        <w:rPr>
          <w:rFonts w:hint="eastAsia" w:ascii="宋体" w:hAnsi="宋体"/>
          <w:sz w:val="28"/>
          <w:szCs w:val="28"/>
        </w:rPr>
        <w:t>八、农民工工资支付承诺书；</w:t>
      </w:r>
    </w:p>
    <w:p>
      <w:pPr>
        <w:spacing w:line="480" w:lineRule="auto"/>
        <w:ind w:firstLine="700" w:firstLineChars="250"/>
        <w:rPr>
          <w:rFonts w:ascii="宋体" w:hAnsi="宋体"/>
          <w:sz w:val="28"/>
          <w:szCs w:val="28"/>
        </w:rPr>
      </w:pPr>
      <w:r>
        <w:rPr>
          <w:rFonts w:hint="eastAsia" w:ascii="宋体" w:hAnsi="宋体"/>
          <w:sz w:val="28"/>
          <w:szCs w:val="28"/>
        </w:rPr>
        <w:t>九、扬尘治理专项承诺书；</w:t>
      </w:r>
    </w:p>
    <w:p>
      <w:pPr>
        <w:spacing w:line="480" w:lineRule="auto"/>
        <w:ind w:firstLine="700" w:firstLineChars="250"/>
        <w:rPr>
          <w:rFonts w:ascii="宋体" w:hAnsi="宋体"/>
          <w:sz w:val="28"/>
          <w:szCs w:val="28"/>
        </w:rPr>
      </w:pPr>
      <w:r>
        <w:rPr>
          <w:rFonts w:hint="eastAsia" w:ascii="宋体" w:hAnsi="宋体"/>
          <w:sz w:val="28"/>
          <w:szCs w:val="28"/>
        </w:rPr>
        <w:t>十、其他材料。</w:t>
      </w:r>
    </w:p>
    <w:p>
      <w:pPr>
        <w:spacing w:line="440" w:lineRule="exact"/>
        <w:rPr>
          <w:rFonts w:ascii="宋体" w:hAnsi="宋体"/>
          <w:sz w:val="24"/>
        </w:rPr>
      </w:pPr>
    </w:p>
    <w:p>
      <w:pPr>
        <w:rPr>
          <w:rFonts w:ascii="黑体" w:hAnsi="宋体" w:eastAsia="黑体"/>
          <w:b/>
          <w:sz w:val="36"/>
          <w:szCs w:val="36"/>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pStyle w:val="4"/>
        <w:spacing w:beforeLines="50" w:after="0" w:line="360" w:lineRule="exact"/>
        <w:jc w:val="center"/>
        <w:rPr>
          <w:rFonts w:ascii="黑体" w:hAnsi="宋体" w:eastAsia="黑体"/>
          <w:sz w:val="28"/>
          <w:szCs w:val="28"/>
        </w:rPr>
      </w:pPr>
      <w:bookmarkStart w:id="216" w:name="_Toc4791"/>
      <w:bookmarkStart w:id="217" w:name="_Toc486277922"/>
      <w:bookmarkStart w:id="218" w:name="_Toc234382957"/>
      <w:bookmarkStart w:id="219" w:name="_Toc485889055"/>
      <w:r>
        <w:rPr>
          <w:rFonts w:hint="eastAsia" w:ascii="黑体" w:hAnsi="宋体" w:eastAsia="黑体"/>
          <w:sz w:val="28"/>
          <w:szCs w:val="28"/>
        </w:rPr>
        <w:t>一、投标函及投标函附录</w:t>
      </w:r>
      <w:bookmarkEnd w:id="216"/>
      <w:bookmarkEnd w:id="217"/>
      <w:bookmarkEnd w:id="218"/>
      <w:bookmarkEnd w:id="219"/>
    </w:p>
    <w:p>
      <w:pPr>
        <w:pStyle w:val="4"/>
        <w:spacing w:beforeLines="50" w:after="0" w:line="360" w:lineRule="exact"/>
        <w:jc w:val="center"/>
        <w:rPr>
          <w:rFonts w:ascii="黑体" w:hAnsi="宋体" w:eastAsia="黑体"/>
          <w:sz w:val="28"/>
          <w:szCs w:val="28"/>
        </w:rPr>
      </w:pPr>
      <w:bookmarkStart w:id="220" w:name="_Toc234382958"/>
      <w:bookmarkStart w:id="221" w:name="_Toc486277923"/>
      <w:bookmarkStart w:id="222" w:name="_Toc18643"/>
      <w:bookmarkStart w:id="223" w:name="_Toc485889056"/>
      <w:r>
        <w:rPr>
          <w:rFonts w:hint="eastAsia" w:ascii="黑体" w:hAnsi="宋体" w:eastAsia="黑体"/>
          <w:sz w:val="28"/>
          <w:szCs w:val="28"/>
        </w:rPr>
        <w:t>（一）投标函</w:t>
      </w:r>
      <w:bookmarkEnd w:id="220"/>
      <w:bookmarkEnd w:id="221"/>
      <w:bookmarkEnd w:id="222"/>
      <w:bookmarkEnd w:id="223"/>
    </w:p>
    <w:p>
      <w:pPr>
        <w:spacing w:line="360" w:lineRule="auto"/>
        <w:rPr>
          <w:rFonts w:ascii="宋体" w:hAnsi="宋体"/>
          <w:sz w:val="24"/>
        </w:rPr>
      </w:pPr>
      <w:r>
        <w:rPr>
          <w:rFonts w:hint="eastAsia" w:ascii="宋体" w:hAnsi="宋体"/>
          <w:sz w:val="24"/>
        </w:rPr>
        <w:t>___________</w:t>
      </w:r>
      <w:r>
        <w:rPr>
          <w:rFonts w:ascii="宋体" w:hAnsi="宋体"/>
          <w:sz w:val="24"/>
        </w:rPr>
        <w:t>（招标人名称）：</w:t>
      </w:r>
    </w:p>
    <w:p>
      <w:pPr>
        <w:spacing w:line="360" w:lineRule="auto"/>
        <w:ind w:firstLine="480" w:firstLineChars="200"/>
        <w:rPr>
          <w:rFonts w:ascii="宋体" w:hAnsi="宋体"/>
          <w:sz w:val="24"/>
        </w:rPr>
      </w:pPr>
      <w:r>
        <w:rPr>
          <w:rFonts w:hint="eastAsia" w:ascii="宋体" w:hAnsi="宋体"/>
          <w:sz w:val="24"/>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我方承诺在投标有效期内不修改、撤销投标文件。</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随同本投标函提交投标保证金一份，金额为人民币（大写）</w:t>
      </w:r>
      <w:r>
        <w:rPr>
          <w:rFonts w:hint="eastAsia" w:ascii="宋体" w:hAnsi="宋体"/>
          <w:sz w:val="24"/>
          <w:u w:val="single"/>
        </w:rPr>
        <w:t xml:space="preserve">       </w:t>
      </w:r>
      <w:r>
        <w:rPr>
          <w:rFonts w:ascii="宋体" w:hAnsi="宋体"/>
          <w:sz w:val="24"/>
        </w:rPr>
        <w:t>元（¥</w:t>
      </w:r>
      <w:r>
        <w:rPr>
          <w:rFonts w:hint="eastAsia" w:ascii="宋体" w:hAnsi="宋体"/>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如我方中标：</w:t>
      </w:r>
    </w:p>
    <w:p>
      <w:pPr>
        <w:spacing w:line="360" w:lineRule="auto"/>
        <w:ind w:firstLine="480" w:firstLineChars="200"/>
        <w:rPr>
          <w:rFonts w:ascii="宋体" w:hAnsi="宋体"/>
          <w:sz w:val="24"/>
        </w:rPr>
      </w:pPr>
      <w:r>
        <w:rPr>
          <w:rFonts w:ascii="宋体" w:hAnsi="宋体"/>
          <w:sz w:val="24"/>
        </w:rPr>
        <w:t>（1）我方承诺在收到中标通知书后，在中标通知书规定的期限内与你方签订合同。</w:t>
      </w:r>
    </w:p>
    <w:p>
      <w:pPr>
        <w:spacing w:line="360" w:lineRule="auto"/>
        <w:ind w:firstLine="480" w:firstLineChars="200"/>
        <w:rPr>
          <w:rFonts w:ascii="宋体" w:hAnsi="宋体"/>
          <w:sz w:val="24"/>
        </w:rPr>
      </w:pPr>
      <w:r>
        <w:rPr>
          <w:rFonts w:ascii="宋体" w:hAnsi="宋体"/>
          <w:sz w:val="24"/>
        </w:rPr>
        <w:t>（2）随同本投标函递交的投标函附录属于合同文件的组成部分。</w:t>
      </w:r>
    </w:p>
    <w:p>
      <w:pPr>
        <w:spacing w:line="360" w:lineRule="auto"/>
        <w:ind w:firstLine="480" w:firstLineChars="200"/>
        <w:rPr>
          <w:rFonts w:ascii="宋体" w:hAnsi="宋体"/>
          <w:sz w:val="24"/>
        </w:rPr>
      </w:pPr>
      <w:r>
        <w:rPr>
          <w:rFonts w:ascii="宋体" w:hAnsi="宋体"/>
          <w:sz w:val="24"/>
        </w:rPr>
        <w:t>（3）我方承诺按照招标文件规定向你方递交履约担保。</w:t>
      </w:r>
    </w:p>
    <w:p>
      <w:pPr>
        <w:spacing w:line="360" w:lineRule="auto"/>
        <w:ind w:firstLine="480" w:firstLineChars="200"/>
        <w:rPr>
          <w:rFonts w:ascii="宋体" w:hAnsi="宋体"/>
          <w:sz w:val="24"/>
        </w:rPr>
      </w:pPr>
      <w:r>
        <w:rPr>
          <w:rFonts w:ascii="宋体" w:hAnsi="宋体"/>
          <w:sz w:val="24"/>
        </w:rPr>
        <w:t>（4）我方承诺在合同约定的期限内完成并移交全部合同工程。</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我方在此声明，所递交的投标文件及有关资料内容完整、真实和准确，且不存在第二章“投标人须知”第1.4.3项规定的任何一种情形。</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.在合同协议书正式签署生效之前，本投标函连同你方的中标通知书将构成我们双方之间共同遵守的文件，对双方具有约束力。</w:t>
      </w:r>
    </w:p>
    <w:p>
      <w:pPr>
        <w:spacing w:line="360" w:lineRule="auto"/>
        <w:ind w:firstLine="480" w:firstLineChars="200"/>
        <w:rPr>
          <w:rFonts w:ascii="宋体" w:hAnsi="宋体"/>
          <w:sz w:val="24"/>
        </w:rPr>
      </w:pPr>
      <w:r>
        <w:rPr>
          <w:rFonts w:hint="eastAsia" w:ascii="宋体" w:hAnsi="宋体"/>
          <w:sz w:val="24"/>
        </w:rPr>
        <w:t>7.</w:t>
      </w:r>
      <w:r>
        <w:rPr>
          <w:rFonts w:ascii="宋体" w:hAnsi="宋体"/>
          <w:sz w:val="24"/>
        </w:rPr>
        <w:t>（其他补充说明）。</w:t>
      </w:r>
    </w:p>
    <w:p>
      <w:pPr>
        <w:spacing w:line="360" w:lineRule="exact"/>
        <w:rPr>
          <w:rFonts w:ascii="宋体" w:hAnsi="宋体"/>
          <w:sz w:val="18"/>
          <w:szCs w:val="18"/>
        </w:rPr>
      </w:pPr>
    </w:p>
    <w:p>
      <w:pPr>
        <w:tabs>
          <w:tab w:val="left" w:pos="2977"/>
          <w:tab w:val="left" w:pos="3261"/>
        </w:tabs>
        <w:spacing w:line="360" w:lineRule="auto"/>
        <w:ind w:firstLine="2760" w:firstLineChars="1150"/>
        <w:rPr>
          <w:rFonts w:ascii="宋体" w:hAnsi="宋体"/>
          <w:sz w:val="24"/>
          <w:u w:val="single"/>
        </w:rPr>
      </w:pPr>
      <w:r>
        <w:rPr>
          <w:rFonts w:ascii="宋体" w:hAnsi="宋体"/>
          <w:sz w:val="24"/>
        </w:rPr>
        <w:t>投标人：</w:t>
      </w:r>
      <w:r>
        <w:rPr>
          <w:rFonts w:hint="eastAsia" w:ascii="宋体" w:hAnsi="宋体"/>
          <w:sz w:val="24"/>
          <w:u w:val="single"/>
        </w:rPr>
        <w:t xml:space="preserve">                  </w:t>
      </w:r>
      <w:r>
        <w:rPr>
          <w:rFonts w:ascii="宋体" w:hAnsi="宋体"/>
          <w:sz w:val="24"/>
        </w:rPr>
        <w:t>（盖单位章）</w:t>
      </w:r>
    </w:p>
    <w:p>
      <w:pPr>
        <w:spacing w:line="360" w:lineRule="auto"/>
        <w:ind w:firstLine="2760" w:firstLineChars="1150"/>
        <w:rPr>
          <w:rFonts w:ascii="宋体" w:hAnsi="宋体"/>
          <w:sz w:val="24"/>
        </w:rPr>
      </w:pPr>
      <w:r>
        <w:rPr>
          <w:rFonts w:ascii="宋体" w:hAnsi="宋体"/>
          <w:sz w:val="24"/>
        </w:rPr>
        <w:t>法定代表人或其委托代理人：</w:t>
      </w:r>
      <w:r>
        <w:rPr>
          <w:rFonts w:hint="eastAsia" w:ascii="宋体" w:hAnsi="宋体"/>
          <w:sz w:val="24"/>
          <w:u w:val="single"/>
        </w:rPr>
        <w:t xml:space="preserve">    </w:t>
      </w:r>
      <w:r>
        <w:rPr>
          <w:rFonts w:ascii="宋体" w:hAnsi="宋体"/>
          <w:sz w:val="24"/>
        </w:rPr>
        <w:t>（签字）</w:t>
      </w:r>
    </w:p>
    <w:p>
      <w:pPr>
        <w:spacing w:line="360" w:lineRule="auto"/>
        <w:ind w:firstLine="2760" w:firstLineChars="1150"/>
        <w:rPr>
          <w:rFonts w:ascii="宋体" w:hAnsi="宋体"/>
          <w:sz w:val="24"/>
        </w:rPr>
      </w:pPr>
      <w:r>
        <w:rPr>
          <w:rFonts w:ascii="宋体" w:hAnsi="宋体"/>
          <w:sz w:val="24"/>
        </w:rPr>
        <w:t>地址：</w:t>
      </w:r>
      <w:r>
        <w:rPr>
          <w:rFonts w:hint="eastAsia" w:ascii="宋体" w:hAnsi="宋体"/>
          <w:sz w:val="24"/>
        </w:rPr>
        <w:t>____________________________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ascii="宋体" w:hAnsi="宋体"/>
          <w:sz w:val="24"/>
        </w:rPr>
        <w:t>网址：</w:t>
      </w:r>
      <w:r>
        <w:rPr>
          <w:rFonts w:hint="eastAsia" w:ascii="宋体" w:hAnsi="宋体"/>
          <w:sz w:val="24"/>
        </w:rPr>
        <w:t>____________________________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ascii="宋体" w:hAnsi="宋体"/>
          <w:sz w:val="24"/>
        </w:rPr>
        <w:t>电话：</w:t>
      </w:r>
      <w:r>
        <w:rPr>
          <w:rFonts w:hint="eastAsia" w:ascii="宋体" w:hAnsi="宋体"/>
          <w:sz w:val="24"/>
        </w:rPr>
        <w:t>____________________________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ascii="宋体" w:hAnsi="宋体"/>
          <w:sz w:val="24"/>
        </w:rPr>
        <w:t>传真：</w:t>
      </w:r>
      <w:r>
        <w:rPr>
          <w:rFonts w:hint="eastAsia" w:ascii="宋体" w:hAnsi="宋体"/>
          <w:sz w:val="24"/>
        </w:rPr>
        <w:t>____________________________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ascii="宋体" w:hAnsi="宋体"/>
          <w:sz w:val="24"/>
        </w:rPr>
        <w:t>邮政编码：</w:t>
      </w:r>
      <w:r>
        <w:rPr>
          <w:rFonts w:hint="eastAsia" w:ascii="宋体" w:hAnsi="宋体"/>
          <w:sz w:val="24"/>
        </w:rPr>
        <w:t>________________________</w:t>
      </w:r>
      <w:r>
        <w:rPr>
          <w:rFonts w:hint="eastAsia" w:ascii="宋体" w:hAnsi="宋体"/>
          <w:sz w:val="24"/>
          <w:u w:val="single"/>
        </w:rPr>
        <w:t xml:space="preserve">   </w:t>
      </w:r>
    </w:p>
    <w:p>
      <w:pPr>
        <w:spacing w:line="360" w:lineRule="auto"/>
        <w:ind w:firstLine="2760" w:firstLineChars="1150"/>
        <w:rPr>
          <w:rFonts w:ascii="宋体" w:hAnsi="宋体"/>
          <w:sz w:val="24"/>
        </w:rPr>
      </w:pPr>
      <w:r>
        <w:rPr>
          <w:rFonts w:hint="eastAsia" w:ascii="宋体" w:hAnsi="宋体"/>
          <w:sz w:val="24"/>
        </w:rPr>
        <w:t xml:space="preserve">日期：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pPr>
        <w:pStyle w:val="4"/>
        <w:spacing w:beforeLines="50" w:afterLines="100" w:line="360" w:lineRule="exact"/>
        <w:jc w:val="center"/>
        <w:rPr>
          <w:sz w:val="24"/>
        </w:rPr>
      </w:pPr>
      <w:r>
        <w:rPr>
          <w:rFonts w:ascii="宋体" w:hAnsi="宋体"/>
          <w:sz w:val="24"/>
        </w:rPr>
        <w:br w:type="page"/>
      </w:r>
      <w:bookmarkStart w:id="224" w:name="_Toc485889057"/>
      <w:bookmarkStart w:id="225" w:name="_Toc234382959"/>
      <w:bookmarkStart w:id="226" w:name="_Toc5832"/>
      <w:bookmarkStart w:id="227" w:name="_Toc486277924"/>
      <w:r>
        <w:rPr>
          <w:rFonts w:hint="eastAsia" w:ascii="黑体" w:hAnsi="宋体" w:eastAsia="黑体"/>
          <w:sz w:val="28"/>
          <w:szCs w:val="28"/>
        </w:rPr>
        <w:t>（二）投标函附录</w:t>
      </w:r>
      <w:bookmarkEnd w:id="224"/>
      <w:bookmarkEnd w:id="225"/>
      <w:bookmarkEnd w:id="226"/>
      <w:bookmarkEnd w:id="227"/>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rPr>
                <w:rFonts w:ascii="宋体" w:hAnsi="宋体"/>
                <w:szCs w:val="21"/>
              </w:rPr>
            </w:pPr>
            <w:r>
              <w:rPr>
                <w:rFonts w:hint="eastAsia" w:ascii="宋体" w:hAnsi="宋体"/>
                <w:szCs w:val="21"/>
              </w:rPr>
              <w:t>序号</w:t>
            </w:r>
          </w:p>
        </w:tc>
        <w:tc>
          <w:tcPr>
            <w:tcW w:w="2693" w:type="dxa"/>
            <w:vAlign w:val="center"/>
          </w:tcPr>
          <w:p>
            <w:pPr>
              <w:rPr>
                <w:rFonts w:ascii="宋体" w:hAnsi="宋体"/>
                <w:szCs w:val="21"/>
              </w:rPr>
            </w:pPr>
            <w:r>
              <w:rPr>
                <w:rFonts w:hint="eastAsia" w:ascii="宋体" w:hAnsi="宋体"/>
                <w:szCs w:val="21"/>
              </w:rPr>
              <w:t>条款名称</w:t>
            </w:r>
          </w:p>
        </w:tc>
        <w:tc>
          <w:tcPr>
            <w:tcW w:w="1417" w:type="dxa"/>
            <w:vAlign w:val="center"/>
          </w:tcPr>
          <w:p>
            <w:pPr>
              <w:rPr>
                <w:rFonts w:ascii="宋体" w:hAnsi="宋体"/>
                <w:szCs w:val="21"/>
              </w:rPr>
            </w:pPr>
            <w:r>
              <w:rPr>
                <w:rFonts w:hint="eastAsia" w:ascii="宋体" w:hAnsi="宋体"/>
                <w:szCs w:val="21"/>
              </w:rPr>
              <w:t>合同条目号</w:t>
            </w:r>
          </w:p>
        </w:tc>
        <w:tc>
          <w:tcPr>
            <w:tcW w:w="3686" w:type="dxa"/>
            <w:vAlign w:val="center"/>
          </w:tcPr>
          <w:p>
            <w:pPr>
              <w:rPr>
                <w:rFonts w:ascii="宋体" w:hAnsi="宋体"/>
                <w:szCs w:val="21"/>
              </w:rPr>
            </w:pPr>
            <w:r>
              <w:rPr>
                <w:rFonts w:hint="eastAsia" w:ascii="宋体" w:hAnsi="宋体"/>
                <w:szCs w:val="21"/>
              </w:rPr>
              <w:t>约定内容</w:t>
            </w:r>
          </w:p>
        </w:tc>
        <w:tc>
          <w:tcPr>
            <w:tcW w:w="1190" w:type="dxa"/>
            <w:vAlign w:val="center"/>
          </w:tcPr>
          <w:p>
            <w:pP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rPr>
                <w:rFonts w:ascii="宋体" w:hAnsi="宋体"/>
                <w:szCs w:val="21"/>
              </w:rPr>
            </w:pPr>
            <w:r>
              <w:rPr>
                <w:rFonts w:hint="eastAsia" w:ascii="宋体" w:hAnsi="宋体"/>
                <w:szCs w:val="21"/>
              </w:rPr>
              <w:t>1</w:t>
            </w:r>
          </w:p>
        </w:tc>
        <w:tc>
          <w:tcPr>
            <w:tcW w:w="2693" w:type="dxa"/>
            <w:vAlign w:val="center"/>
          </w:tcPr>
          <w:p>
            <w:pPr>
              <w:rPr>
                <w:rFonts w:ascii="宋体" w:hAnsi="宋体"/>
                <w:szCs w:val="21"/>
              </w:rPr>
            </w:pPr>
            <w:r>
              <w:rPr>
                <w:rFonts w:hint="eastAsia" w:ascii="宋体" w:hAnsi="宋体"/>
                <w:szCs w:val="21"/>
              </w:rPr>
              <w:t>项目经理</w:t>
            </w:r>
          </w:p>
        </w:tc>
        <w:tc>
          <w:tcPr>
            <w:tcW w:w="1417" w:type="dxa"/>
            <w:vAlign w:val="center"/>
          </w:tcPr>
          <w:p>
            <w:pPr>
              <w:rPr>
                <w:rFonts w:ascii="宋体" w:hAnsi="宋体"/>
                <w:szCs w:val="21"/>
              </w:rPr>
            </w:pPr>
          </w:p>
        </w:tc>
        <w:tc>
          <w:tcPr>
            <w:tcW w:w="3686" w:type="dxa"/>
            <w:vAlign w:val="center"/>
          </w:tcPr>
          <w:p>
            <w:pPr>
              <w:ind w:firstLine="210" w:firstLineChars="100"/>
              <w:rPr>
                <w:rFonts w:ascii="宋体" w:hAnsi="宋体"/>
                <w:szCs w:val="21"/>
              </w:rPr>
            </w:pPr>
            <w:r>
              <w:rPr>
                <w:rFonts w:hint="eastAsia" w:ascii="宋体" w:hAnsi="宋体"/>
                <w:szCs w:val="21"/>
              </w:rPr>
              <w:t>姓名：</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rPr>
                <w:rFonts w:ascii="宋体" w:hAnsi="宋体"/>
                <w:szCs w:val="21"/>
              </w:rPr>
            </w:pPr>
            <w:r>
              <w:rPr>
                <w:rFonts w:hint="eastAsia" w:ascii="宋体" w:hAnsi="宋体"/>
                <w:szCs w:val="21"/>
              </w:rPr>
              <w:t>2</w:t>
            </w:r>
          </w:p>
        </w:tc>
        <w:tc>
          <w:tcPr>
            <w:tcW w:w="2693" w:type="dxa"/>
            <w:vAlign w:val="center"/>
          </w:tcPr>
          <w:p>
            <w:pPr>
              <w:rPr>
                <w:rFonts w:ascii="宋体" w:hAnsi="宋体"/>
                <w:szCs w:val="21"/>
              </w:rPr>
            </w:pPr>
            <w:r>
              <w:rPr>
                <w:rFonts w:hint="eastAsia" w:ascii="宋体" w:hAnsi="宋体"/>
                <w:szCs w:val="21"/>
              </w:rPr>
              <w:t>工期</w:t>
            </w:r>
          </w:p>
        </w:tc>
        <w:tc>
          <w:tcPr>
            <w:tcW w:w="1417" w:type="dxa"/>
            <w:vAlign w:val="center"/>
          </w:tcPr>
          <w:p>
            <w:pPr>
              <w:rPr>
                <w:rFonts w:ascii="宋体" w:hAnsi="宋体"/>
                <w:szCs w:val="21"/>
              </w:rPr>
            </w:pPr>
            <w:r>
              <w:rPr>
                <w:rFonts w:hint="eastAsia" w:ascii="宋体" w:hAnsi="宋体"/>
                <w:szCs w:val="21"/>
              </w:rPr>
              <w:t>1.1.4.3</w:t>
            </w:r>
          </w:p>
        </w:tc>
        <w:tc>
          <w:tcPr>
            <w:tcW w:w="3686" w:type="dxa"/>
            <w:vAlign w:val="center"/>
          </w:tcPr>
          <w:p>
            <w:pPr>
              <w:ind w:firstLine="210" w:firstLineChars="100"/>
              <w:rPr>
                <w:rFonts w:ascii="宋体" w:hAnsi="宋体"/>
                <w:szCs w:val="21"/>
              </w:rPr>
            </w:pPr>
            <w:r>
              <w:rPr>
                <w:rFonts w:hint="eastAsia" w:ascii="宋体" w:hAnsi="宋体"/>
                <w:szCs w:val="21"/>
              </w:rPr>
              <w:t>天数：</w:t>
            </w:r>
            <w:r>
              <w:rPr>
                <w:rFonts w:hint="eastAsia" w:ascii="宋体" w:hAnsi="宋体"/>
                <w:szCs w:val="21"/>
                <w:u w:val="single"/>
              </w:rPr>
              <w:t xml:space="preserve">       日历天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3</w:t>
            </w:r>
          </w:p>
        </w:tc>
        <w:tc>
          <w:tcPr>
            <w:tcW w:w="2693" w:type="dxa"/>
            <w:vAlign w:val="center"/>
          </w:tcPr>
          <w:p>
            <w:pPr>
              <w:rPr>
                <w:rFonts w:ascii="宋体" w:hAnsi="宋体"/>
                <w:szCs w:val="21"/>
              </w:rPr>
            </w:pPr>
            <w:r>
              <w:rPr>
                <w:rFonts w:hint="eastAsia" w:ascii="宋体" w:hAnsi="宋体"/>
                <w:szCs w:val="21"/>
              </w:rPr>
              <w:t>缺陷责任期</w:t>
            </w:r>
          </w:p>
        </w:tc>
        <w:tc>
          <w:tcPr>
            <w:tcW w:w="1417" w:type="dxa"/>
            <w:vAlign w:val="center"/>
          </w:tcPr>
          <w:p>
            <w:pPr>
              <w:rPr>
                <w:rFonts w:ascii="宋体" w:hAnsi="宋体"/>
                <w:szCs w:val="21"/>
              </w:rPr>
            </w:pPr>
            <w:r>
              <w:rPr>
                <w:rFonts w:hint="eastAsia" w:ascii="宋体" w:hAnsi="宋体"/>
                <w:szCs w:val="21"/>
              </w:rPr>
              <w:t>1.1.4.5</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2  </w:t>
            </w:r>
            <w:r>
              <w:rPr>
                <w:rFonts w:hint="eastAsia" w:ascii="宋体" w:hAnsi="宋体"/>
                <w:szCs w:val="21"/>
              </w:rPr>
              <w:t>年</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rPr>
                <w:rFonts w:ascii="宋体" w:hAnsi="宋体"/>
                <w:szCs w:val="21"/>
              </w:rPr>
            </w:pPr>
            <w:r>
              <w:rPr>
                <w:rFonts w:hint="eastAsia" w:ascii="宋体" w:hAnsi="宋体"/>
                <w:szCs w:val="21"/>
              </w:rPr>
              <w:t>4</w:t>
            </w:r>
          </w:p>
        </w:tc>
        <w:tc>
          <w:tcPr>
            <w:tcW w:w="2693" w:type="dxa"/>
            <w:vAlign w:val="center"/>
          </w:tcPr>
          <w:p>
            <w:pPr>
              <w:rPr>
                <w:rFonts w:ascii="宋体" w:hAnsi="宋体"/>
                <w:szCs w:val="21"/>
              </w:rPr>
            </w:pPr>
            <w:r>
              <w:rPr>
                <w:rFonts w:hint="eastAsia" w:ascii="宋体" w:hAnsi="宋体"/>
                <w:szCs w:val="21"/>
              </w:rPr>
              <w:t>逾期交工违约金</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5</w:t>
            </w:r>
          </w:p>
        </w:tc>
        <w:tc>
          <w:tcPr>
            <w:tcW w:w="2693" w:type="dxa"/>
            <w:vAlign w:val="center"/>
          </w:tcPr>
          <w:p>
            <w:pPr>
              <w:rPr>
                <w:rFonts w:ascii="宋体" w:hAnsi="宋体"/>
                <w:szCs w:val="21"/>
              </w:rPr>
            </w:pPr>
            <w:r>
              <w:rPr>
                <w:rFonts w:hint="eastAsia" w:ascii="宋体" w:hAnsi="宋体"/>
                <w:szCs w:val="21"/>
              </w:rPr>
              <w:t>逾期交工违约金限额</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rPr>
                <w:rFonts w:ascii="宋体" w:hAnsi="宋体"/>
                <w:szCs w:val="21"/>
              </w:rPr>
            </w:pPr>
            <w:r>
              <w:rPr>
                <w:rFonts w:hint="eastAsia" w:ascii="宋体" w:hAnsi="宋体"/>
                <w:szCs w:val="21"/>
              </w:rPr>
              <w:t>6</w:t>
            </w:r>
          </w:p>
        </w:tc>
        <w:tc>
          <w:tcPr>
            <w:tcW w:w="2693" w:type="dxa"/>
            <w:vAlign w:val="center"/>
          </w:tcPr>
          <w:p>
            <w:pPr>
              <w:rPr>
                <w:rFonts w:ascii="宋体" w:hAnsi="宋体"/>
                <w:szCs w:val="21"/>
              </w:rPr>
            </w:pPr>
            <w:r>
              <w:rPr>
                <w:rFonts w:hint="eastAsia" w:ascii="宋体" w:hAnsi="宋体"/>
                <w:szCs w:val="21"/>
              </w:rPr>
              <w:t>提前交工的奖金</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exact"/>
          <w:jc w:val="center"/>
        </w:trPr>
        <w:tc>
          <w:tcPr>
            <w:tcW w:w="653" w:type="dxa"/>
            <w:vAlign w:val="center"/>
          </w:tcPr>
          <w:p>
            <w:pPr>
              <w:rPr>
                <w:rFonts w:ascii="宋体" w:hAnsi="宋体"/>
                <w:szCs w:val="21"/>
              </w:rPr>
            </w:pPr>
            <w:r>
              <w:rPr>
                <w:rFonts w:hint="eastAsia" w:ascii="宋体" w:hAnsi="宋体"/>
                <w:szCs w:val="21"/>
              </w:rPr>
              <w:t>7</w:t>
            </w:r>
          </w:p>
        </w:tc>
        <w:tc>
          <w:tcPr>
            <w:tcW w:w="2693" w:type="dxa"/>
            <w:vAlign w:val="center"/>
          </w:tcPr>
          <w:p>
            <w:pPr>
              <w:rPr>
                <w:rFonts w:ascii="宋体" w:hAnsi="宋体"/>
                <w:szCs w:val="21"/>
              </w:rPr>
            </w:pPr>
            <w:r>
              <w:rPr>
                <w:rFonts w:hint="eastAsia" w:ascii="宋体" w:hAnsi="宋体"/>
                <w:szCs w:val="21"/>
              </w:rPr>
              <w:t>提前交工的奖金限额</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4" w:hRule="exact"/>
          <w:jc w:val="center"/>
        </w:trPr>
        <w:tc>
          <w:tcPr>
            <w:tcW w:w="653" w:type="dxa"/>
            <w:vAlign w:val="center"/>
          </w:tcPr>
          <w:p>
            <w:pPr>
              <w:rPr>
                <w:rFonts w:ascii="宋体" w:hAnsi="宋体"/>
                <w:szCs w:val="21"/>
              </w:rPr>
            </w:pPr>
            <w:r>
              <w:rPr>
                <w:rFonts w:hint="eastAsia" w:ascii="宋体" w:hAnsi="宋体"/>
                <w:szCs w:val="21"/>
              </w:rPr>
              <w:t>8</w:t>
            </w:r>
          </w:p>
        </w:tc>
        <w:tc>
          <w:tcPr>
            <w:tcW w:w="2693" w:type="dxa"/>
            <w:vAlign w:val="center"/>
          </w:tcPr>
          <w:p>
            <w:pPr>
              <w:rPr>
                <w:rFonts w:ascii="宋体" w:hAnsi="宋体"/>
                <w:szCs w:val="21"/>
              </w:rPr>
            </w:pPr>
            <w:r>
              <w:rPr>
                <w:rFonts w:hint="eastAsia" w:ascii="宋体" w:hAnsi="宋体"/>
                <w:szCs w:val="21"/>
              </w:rPr>
              <w:t>价格调整的差额计算</w:t>
            </w:r>
          </w:p>
        </w:tc>
        <w:tc>
          <w:tcPr>
            <w:tcW w:w="1417" w:type="dxa"/>
            <w:vAlign w:val="center"/>
          </w:tcPr>
          <w:p>
            <w:pPr>
              <w:rPr>
                <w:rFonts w:ascii="宋体" w:hAnsi="宋体"/>
                <w:szCs w:val="21"/>
              </w:rPr>
            </w:pPr>
            <w:r>
              <w:rPr>
                <w:rFonts w:hint="eastAsia" w:ascii="宋体" w:hAnsi="宋体"/>
                <w:szCs w:val="21"/>
              </w:rPr>
              <w:t>16.1.1</w:t>
            </w:r>
          </w:p>
        </w:tc>
        <w:tc>
          <w:tcPr>
            <w:tcW w:w="3686" w:type="dxa"/>
            <w:vAlign w:val="center"/>
          </w:tcPr>
          <w:p>
            <w:pPr>
              <w:ind w:firstLine="210" w:firstLineChars="100"/>
              <w:rPr>
                <w:rFonts w:ascii="宋体" w:hAnsi="宋体"/>
                <w:szCs w:val="21"/>
              </w:rPr>
            </w:pPr>
            <w:r>
              <w:rPr>
                <w:rFonts w:hint="eastAsia" w:ascii="宋体" w:hAnsi="宋体"/>
                <w:szCs w:val="21"/>
              </w:rPr>
              <w:t>见价格指数和权重表</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9</w:t>
            </w:r>
          </w:p>
        </w:tc>
        <w:tc>
          <w:tcPr>
            <w:tcW w:w="2693" w:type="dxa"/>
            <w:vAlign w:val="center"/>
          </w:tcPr>
          <w:p>
            <w:pPr>
              <w:rPr>
                <w:rFonts w:ascii="宋体" w:hAnsi="宋体"/>
                <w:szCs w:val="21"/>
              </w:rPr>
            </w:pPr>
            <w:r>
              <w:rPr>
                <w:rFonts w:hint="eastAsia" w:ascii="宋体" w:hAnsi="宋体"/>
                <w:szCs w:val="21"/>
              </w:rPr>
              <w:t>开工预付款金额</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exact"/>
          <w:jc w:val="center"/>
        </w:trPr>
        <w:tc>
          <w:tcPr>
            <w:tcW w:w="653" w:type="dxa"/>
            <w:vAlign w:val="center"/>
          </w:tcPr>
          <w:p>
            <w:pPr>
              <w:rPr>
                <w:rFonts w:ascii="宋体" w:hAnsi="宋体"/>
                <w:szCs w:val="21"/>
              </w:rPr>
            </w:pPr>
            <w:r>
              <w:rPr>
                <w:rFonts w:hint="eastAsia" w:ascii="宋体" w:hAnsi="宋体"/>
                <w:szCs w:val="21"/>
              </w:rPr>
              <w:t>10</w:t>
            </w:r>
          </w:p>
        </w:tc>
        <w:tc>
          <w:tcPr>
            <w:tcW w:w="2693" w:type="dxa"/>
            <w:vAlign w:val="center"/>
          </w:tcPr>
          <w:p>
            <w:pPr>
              <w:rPr>
                <w:rFonts w:ascii="宋体" w:hAnsi="宋体"/>
                <w:szCs w:val="21"/>
              </w:rPr>
            </w:pPr>
            <w:r>
              <w:rPr>
                <w:rFonts w:hint="eastAsia" w:ascii="宋体" w:hAnsi="宋体"/>
                <w:szCs w:val="21"/>
              </w:rPr>
              <w:t>材料、设备预付款</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等主要材料、设备单据所列费用的%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3" w:hRule="exact"/>
          <w:jc w:val="center"/>
        </w:trPr>
        <w:tc>
          <w:tcPr>
            <w:tcW w:w="653" w:type="dxa"/>
            <w:vAlign w:val="center"/>
          </w:tcPr>
          <w:p>
            <w:pPr>
              <w:rPr>
                <w:rFonts w:ascii="宋体" w:hAnsi="宋体"/>
                <w:szCs w:val="21"/>
              </w:rPr>
            </w:pPr>
            <w:r>
              <w:rPr>
                <w:rFonts w:hint="eastAsia" w:ascii="宋体" w:hAnsi="宋体"/>
                <w:szCs w:val="21"/>
              </w:rPr>
              <w:t>11</w:t>
            </w:r>
          </w:p>
        </w:tc>
        <w:tc>
          <w:tcPr>
            <w:tcW w:w="2693" w:type="dxa"/>
            <w:vAlign w:val="center"/>
          </w:tcPr>
          <w:p>
            <w:pPr>
              <w:rPr>
                <w:rFonts w:ascii="宋体" w:hAnsi="宋体"/>
                <w:szCs w:val="21"/>
              </w:rPr>
            </w:pPr>
            <w:r>
              <w:rPr>
                <w:rFonts w:hint="eastAsia" w:ascii="宋体" w:hAnsi="宋体"/>
                <w:szCs w:val="21"/>
              </w:rPr>
              <w:t>进度付款证书最低限额</w:t>
            </w:r>
          </w:p>
        </w:tc>
        <w:tc>
          <w:tcPr>
            <w:tcW w:w="1417" w:type="dxa"/>
            <w:vAlign w:val="center"/>
          </w:tcPr>
          <w:p>
            <w:pPr>
              <w:rPr>
                <w:rFonts w:ascii="宋体" w:hAnsi="宋体"/>
                <w:szCs w:val="21"/>
              </w:rPr>
            </w:pPr>
            <w:r>
              <w:rPr>
                <w:rFonts w:hint="eastAsia" w:ascii="宋体" w:hAnsi="宋体"/>
                <w:szCs w:val="21"/>
              </w:rPr>
              <w:t>17.3.3(1)</w:t>
            </w:r>
          </w:p>
        </w:tc>
        <w:tc>
          <w:tcPr>
            <w:tcW w:w="3686" w:type="dxa"/>
            <w:vAlign w:val="center"/>
          </w:tcPr>
          <w:p>
            <w:pPr>
              <w:ind w:firstLine="210" w:firstLineChars="100"/>
              <w:rPr>
                <w:rFonts w:ascii="宋体" w:hAnsi="宋体"/>
                <w:szCs w:val="21"/>
              </w:rPr>
            </w:pPr>
            <w:r>
              <w:rPr>
                <w:rFonts w:hint="eastAsia" w:ascii="宋体" w:hAnsi="宋体"/>
                <w:szCs w:val="21"/>
              </w:rPr>
              <w:t>%签约合同价或万元</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12</w:t>
            </w:r>
          </w:p>
        </w:tc>
        <w:tc>
          <w:tcPr>
            <w:tcW w:w="2693" w:type="dxa"/>
            <w:vAlign w:val="center"/>
          </w:tcPr>
          <w:p>
            <w:pPr>
              <w:rPr>
                <w:rFonts w:ascii="宋体" w:hAnsi="宋体"/>
                <w:szCs w:val="21"/>
              </w:rPr>
            </w:pPr>
            <w:r>
              <w:rPr>
                <w:rFonts w:hint="eastAsia" w:ascii="宋体" w:hAnsi="宋体"/>
                <w:szCs w:val="21"/>
              </w:rPr>
              <w:t>逾期付款违约金的利率</w:t>
            </w:r>
          </w:p>
        </w:tc>
        <w:tc>
          <w:tcPr>
            <w:tcW w:w="1417" w:type="dxa"/>
            <w:vAlign w:val="center"/>
          </w:tcPr>
          <w:p>
            <w:pPr>
              <w:rPr>
                <w:rFonts w:ascii="宋体" w:hAnsi="宋体"/>
                <w:szCs w:val="21"/>
              </w:rPr>
            </w:pPr>
            <w:r>
              <w:rPr>
                <w:rFonts w:hint="eastAsia" w:ascii="宋体" w:hAnsi="宋体"/>
                <w:szCs w:val="21"/>
              </w:rPr>
              <w:t>17.3.3(2)</w:t>
            </w:r>
          </w:p>
        </w:tc>
        <w:tc>
          <w:tcPr>
            <w:tcW w:w="3686" w:type="dxa"/>
            <w:vAlign w:val="center"/>
          </w:tcPr>
          <w:p>
            <w:pPr>
              <w:ind w:firstLine="210" w:firstLineChars="100"/>
              <w:rPr>
                <w:rFonts w:ascii="宋体" w:hAnsi="宋体"/>
                <w:szCs w:val="21"/>
              </w:rPr>
            </w:pPr>
            <w:r>
              <w:rPr>
                <w:rFonts w:hint="eastAsia" w:ascii="宋体" w:hAnsi="宋体"/>
                <w:szCs w:val="21"/>
              </w:rPr>
              <w:t>‰/天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13</w:t>
            </w:r>
          </w:p>
        </w:tc>
        <w:tc>
          <w:tcPr>
            <w:tcW w:w="2693" w:type="dxa"/>
            <w:vAlign w:val="center"/>
          </w:tcPr>
          <w:p>
            <w:pPr>
              <w:rPr>
                <w:rFonts w:ascii="宋体" w:hAnsi="宋体"/>
                <w:szCs w:val="21"/>
              </w:rPr>
            </w:pPr>
            <w:r>
              <w:rPr>
                <w:rFonts w:hint="eastAsia" w:ascii="宋体" w:hAnsi="宋体"/>
                <w:szCs w:val="21"/>
              </w:rPr>
              <w:t>质量保证金百分比</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月支付额的%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45" w:hRule="exact"/>
          <w:jc w:val="center"/>
        </w:trPr>
        <w:tc>
          <w:tcPr>
            <w:tcW w:w="653" w:type="dxa"/>
            <w:vAlign w:val="center"/>
          </w:tcPr>
          <w:p>
            <w:pPr>
              <w:rPr>
                <w:rFonts w:ascii="宋体" w:hAnsi="宋体"/>
                <w:szCs w:val="21"/>
              </w:rPr>
            </w:pPr>
            <w:r>
              <w:rPr>
                <w:rFonts w:hint="eastAsia" w:ascii="宋体" w:hAnsi="宋体"/>
                <w:szCs w:val="21"/>
              </w:rPr>
              <w:t>14</w:t>
            </w:r>
          </w:p>
        </w:tc>
        <w:tc>
          <w:tcPr>
            <w:tcW w:w="2693" w:type="dxa"/>
            <w:vAlign w:val="center"/>
          </w:tcPr>
          <w:p>
            <w:pPr>
              <w:rPr>
                <w:rFonts w:ascii="宋体" w:hAnsi="宋体"/>
                <w:szCs w:val="21"/>
              </w:rPr>
            </w:pPr>
            <w:r>
              <w:rPr>
                <w:rFonts w:hint="eastAsia" w:ascii="宋体" w:hAnsi="宋体"/>
                <w:szCs w:val="21"/>
              </w:rPr>
              <w:t>质量保证金限额</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6" w:hRule="exact"/>
          <w:jc w:val="center"/>
        </w:trPr>
        <w:tc>
          <w:tcPr>
            <w:tcW w:w="653" w:type="dxa"/>
            <w:vAlign w:val="center"/>
          </w:tcPr>
          <w:p>
            <w:pPr>
              <w:rPr>
                <w:rFonts w:ascii="宋体" w:hAnsi="宋体"/>
                <w:szCs w:val="21"/>
              </w:rPr>
            </w:pPr>
            <w:r>
              <w:rPr>
                <w:rFonts w:hint="eastAsia" w:ascii="宋体" w:hAnsi="宋体"/>
                <w:szCs w:val="21"/>
              </w:rPr>
              <w:t>15</w:t>
            </w:r>
          </w:p>
        </w:tc>
        <w:tc>
          <w:tcPr>
            <w:tcW w:w="2693" w:type="dxa"/>
            <w:vAlign w:val="center"/>
          </w:tcPr>
          <w:p>
            <w:pPr>
              <w:rPr>
                <w:rFonts w:ascii="宋体" w:hAnsi="宋体"/>
                <w:szCs w:val="21"/>
              </w:rPr>
            </w:pPr>
            <w:r>
              <w:rPr>
                <w:rFonts w:hint="eastAsia" w:ascii="宋体" w:hAnsi="宋体"/>
                <w:szCs w:val="21"/>
              </w:rPr>
              <w:t>保修期</w:t>
            </w:r>
          </w:p>
        </w:tc>
        <w:tc>
          <w:tcPr>
            <w:tcW w:w="1417" w:type="dxa"/>
            <w:vAlign w:val="center"/>
          </w:tcPr>
          <w:p>
            <w:pPr>
              <w:rPr>
                <w:rFonts w:ascii="宋体" w:hAnsi="宋体"/>
                <w:szCs w:val="21"/>
              </w:rPr>
            </w:pPr>
            <w:r>
              <w:rPr>
                <w:rFonts w:hint="eastAsia" w:ascii="宋体" w:hAnsi="宋体"/>
                <w:szCs w:val="21"/>
              </w:rPr>
              <w:t>19.7</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5 </w:t>
            </w:r>
            <w:r>
              <w:rPr>
                <w:rFonts w:hint="eastAsia" w:ascii="宋体" w:hAnsi="宋体"/>
                <w:szCs w:val="21"/>
              </w:rPr>
              <w:t>年</w:t>
            </w:r>
          </w:p>
        </w:tc>
        <w:tc>
          <w:tcPr>
            <w:tcW w:w="1190" w:type="dxa"/>
            <w:vAlign w:val="center"/>
          </w:tcPr>
          <w:p>
            <w:pPr>
              <w:rPr>
                <w:rFonts w:ascii="宋体" w:hAnsi="宋体"/>
                <w:szCs w:val="21"/>
              </w:rPr>
            </w:pPr>
          </w:p>
        </w:tc>
      </w:tr>
    </w:tbl>
    <w:p>
      <w:pPr>
        <w:spacing w:beforeLines="100" w:line="500" w:lineRule="exact"/>
        <w:rPr>
          <w:rFonts w:ascii="宋体" w:hAnsi="宋体"/>
          <w:sz w:val="24"/>
        </w:rPr>
      </w:pPr>
      <w:r>
        <w:rPr>
          <w:rFonts w:hint="eastAsia" w:ascii="宋体" w:hAnsi="宋体"/>
          <w:sz w:val="24"/>
        </w:rPr>
        <w:t xml:space="preserve">                             投 标 人:</w:t>
      </w:r>
      <w:r>
        <w:rPr>
          <w:rFonts w:hint="eastAsia" w:ascii="宋体" w:hAnsi="宋体"/>
          <w:sz w:val="24"/>
          <w:u w:val="single"/>
        </w:rPr>
        <w:t xml:space="preserve">                  (</w:t>
      </w:r>
      <w:r>
        <w:rPr>
          <w:rFonts w:hint="eastAsia" w:ascii="宋体" w:hAnsi="宋体"/>
          <w:sz w:val="24"/>
        </w:rPr>
        <w:t>盖单位章)</w:t>
      </w:r>
    </w:p>
    <w:p>
      <w:pPr>
        <w:spacing w:line="500" w:lineRule="exact"/>
        <w:ind w:right="480" w:firstLine="3480" w:firstLineChars="1450"/>
        <w:rPr>
          <w:rFonts w:ascii="宋体" w:hAnsi="宋体"/>
          <w:sz w:val="24"/>
          <w:u w:val="single"/>
        </w:rPr>
      </w:pPr>
      <w:r>
        <w:rPr>
          <w:rFonts w:hint="eastAsia" w:ascii="宋体" w:hAnsi="宋体"/>
          <w:sz w:val="24"/>
        </w:rPr>
        <w:t>投标文件签署人签名:</w:t>
      </w:r>
      <w:r>
        <w:rPr>
          <w:rFonts w:hint="eastAsia" w:ascii="宋体" w:hAnsi="宋体"/>
          <w:sz w:val="24"/>
          <w:u w:val="single"/>
        </w:rPr>
        <w:t xml:space="preserve">                  </w:t>
      </w:r>
    </w:p>
    <w:p>
      <w:pPr>
        <w:spacing w:line="240" w:lineRule="exact"/>
        <w:ind w:right="480" w:firstLine="3480" w:firstLineChars="1450"/>
        <w:rPr>
          <w:rFonts w:ascii="宋体" w:hAnsi="宋体"/>
          <w:sz w:val="24"/>
        </w:rPr>
      </w:pPr>
    </w:p>
    <w:p>
      <w:pPr>
        <w:pStyle w:val="4"/>
        <w:spacing w:beforeLines="50" w:after="0" w:line="360" w:lineRule="exact"/>
        <w:jc w:val="center"/>
        <w:rPr>
          <w:rFonts w:ascii="黑体" w:hAnsi="宋体" w:eastAsia="黑体"/>
          <w:sz w:val="28"/>
          <w:szCs w:val="28"/>
        </w:rPr>
      </w:pPr>
      <w:bookmarkStart w:id="228" w:name="_Toc29117"/>
      <w:bookmarkStart w:id="229" w:name="_Toc234382961"/>
      <w:bookmarkStart w:id="230" w:name="_Toc485889059"/>
      <w:bookmarkStart w:id="231" w:name="_Toc486277926"/>
      <w:r>
        <w:rPr>
          <w:rFonts w:hint="eastAsia" w:ascii="黑体" w:hAnsi="宋体" w:eastAsia="黑体"/>
          <w:sz w:val="28"/>
          <w:szCs w:val="28"/>
        </w:rPr>
        <w:t>二</w:t>
      </w:r>
      <w:r>
        <w:rPr>
          <w:rFonts w:ascii="黑体" w:hAnsi="宋体" w:eastAsia="黑体"/>
          <w:sz w:val="28"/>
          <w:szCs w:val="28"/>
        </w:rPr>
        <w:t>、法定代表人身份证明</w:t>
      </w:r>
      <w:r>
        <w:rPr>
          <w:rFonts w:hint="eastAsia" w:ascii="黑体" w:hAnsi="宋体" w:eastAsia="黑体"/>
          <w:sz w:val="28"/>
          <w:szCs w:val="28"/>
        </w:rPr>
        <w:t>及授权委托书</w:t>
      </w:r>
      <w:bookmarkEnd w:id="228"/>
      <w:bookmarkEnd w:id="229"/>
      <w:bookmarkEnd w:id="230"/>
      <w:bookmarkEnd w:id="231"/>
    </w:p>
    <w:p>
      <w:pPr>
        <w:pStyle w:val="4"/>
        <w:spacing w:beforeLines="100" w:afterLines="150" w:line="360" w:lineRule="exact"/>
        <w:jc w:val="center"/>
        <w:rPr>
          <w:rFonts w:ascii="黑体" w:hAnsi="宋体" w:eastAsia="黑体"/>
          <w:sz w:val="28"/>
          <w:szCs w:val="28"/>
        </w:rPr>
      </w:pPr>
      <w:bookmarkStart w:id="232" w:name="_Toc4437"/>
      <w:bookmarkStart w:id="233" w:name="_Toc234382962"/>
      <w:bookmarkStart w:id="234" w:name="_Toc486277927"/>
      <w:bookmarkStart w:id="235" w:name="_Toc485889060"/>
      <w:r>
        <w:rPr>
          <w:rFonts w:hint="eastAsia" w:ascii="黑体" w:hAnsi="宋体" w:eastAsia="黑体"/>
          <w:sz w:val="28"/>
          <w:szCs w:val="28"/>
        </w:rPr>
        <w:t>（一）法定代表人身份证明</w:t>
      </w:r>
      <w:bookmarkEnd w:id="232"/>
      <w:bookmarkEnd w:id="233"/>
      <w:bookmarkEnd w:id="234"/>
      <w:bookmarkEnd w:id="235"/>
    </w:p>
    <w:p>
      <w:pPr>
        <w:rPr>
          <w:rFonts w:ascii="宋体" w:hAnsi="宋体"/>
          <w:sz w:val="24"/>
        </w:rPr>
      </w:pPr>
    </w:p>
    <w:p>
      <w:pPr>
        <w:rPr>
          <w:rFonts w:ascii="宋体" w:hAnsi="宋体"/>
          <w:sz w:val="24"/>
        </w:rPr>
      </w:pPr>
    </w:p>
    <w:p>
      <w:pPr>
        <w:spacing w:line="500" w:lineRule="exact"/>
        <w:rPr>
          <w:rFonts w:ascii="宋体" w:hAnsi="宋体"/>
          <w:sz w:val="24"/>
        </w:rPr>
      </w:pPr>
      <w:r>
        <w:rPr>
          <w:rFonts w:hint="eastAsia" w:ascii="宋体" w:hAnsi="宋体"/>
          <w:sz w:val="24"/>
        </w:rPr>
        <w:t>投标人名称：____________________________</w:t>
      </w:r>
    </w:p>
    <w:p>
      <w:pPr>
        <w:spacing w:line="500" w:lineRule="exact"/>
        <w:rPr>
          <w:rFonts w:ascii="宋体" w:hAnsi="宋体"/>
          <w:sz w:val="24"/>
          <w:u w:val="single"/>
        </w:rPr>
      </w:pPr>
      <w:r>
        <w:rPr>
          <w:rFonts w:hint="eastAsia" w:ascii="宋体" w:hAnsi="宋体"/>
          <w:spacing w:val="40"/>
          <w:kern w:val="0"/>
          <w:sz w:val="24"/>
        </w:rPr>
        <w:t>单位性</w:t>
      </w:r>
      <w:r>
        <w:rPr>
          <w:rFonts w:hint="eastAsia" w:ascii="宋体" w:hAnsi="宋体"/>
          <w:kern w:val="0"/>
          <w:sz w:val="24"/>
        </w:rPr>
        <w:t>质</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360"/>
          <w:kern w:val="0"/>
          <w:sz w:val="24"/>
        </w:rPr>
        <w:t>地</w:t>
      </w:r>
      <w:r>
        <w:rPr>
          <w:rFonts w:hint="eastAsia" w:ascii="宋体" w:hAnsi="宋体"/>
          <w:kern w:val="0"/>
          <w:sz w:val="24"/>
        </w:rPr>
        <w:t>址</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40"/>
          <w:kern w:val="0"/>
          <w:sz w:val="24"/>
        </w:rPr>
        <w:t xml:space="preserve">成立时间：  </w:t>
      </w:r>
      <w:r>
        <w:rPr>
          <w:rFonts w:hint="eastAsia" w:ascii="宋体" w:hAnsi="宋体"/>
          <w:sz w:val="24"/>
        </w:rPr>
        <w:t>年   月   日</w:t>
      </w:r>
    </w:p>
    <w:p>
      <w:pPr>
        <w:spacing w:line="500" w:lineRule="exact"/>
        <w:rPr>
          <w:rFonts w:ascii="宋体" w:hAnsi="宋体"/>
          <w:sz w:val="24"/>
        </w:rPr>
      </w:pPr>
      <w:r>
        <w:rPr>
          <w:rFonts w:hint="eastAsia" w:ascii="宋体" w:hAnsi="宋体"/>
          <w:sz w:val="24"/>
        </w:rPr>
        <w:t>经营期限：_________________________  ___</w:t>
      </w:r>
    </w:p>
    <w:p>
      <w:pPr>
        <w:spacing w:line="500" w:lineRule="exact"/>
        <w:rPr>
          <w:rFonts w:ascii="宋体" w:hAnsi="宋体"/>
          <w:sz w:val="24"/>
        </w:rPr>
      </w:pPr>
      <w:r>
        <w:rPr>
          <w:rFonts w:hint="eastAsia" w:ascii="宋体" w:hAnsi="宋体"/>
          <w:sz w:val="24"/>
        </w:rPr>
        <w:t>姓名：</w:t>
      </w:r>
      <w:r>
        <w:rPr>
          <w:rFonts w:hint="eastAsia" w:ascii="宋体" w:hAnsi="宋体"/>
          <w:sz w:val="24"/>
          <w:u w:val="single"/>
        </w:rPr>
        <w:t xml:space="preserve"> （法定代表人亲笔签名） </w:t>
      </w:r>
      <w:r>
        <w:rPr>
          <w:rFonts w:hint="eastAsia" w:ascii="宋体" w:hAnsi="宋体"/>
          <w:sz w:val="24"/>
        </w:rPr>
        <w:t xml:space="preserve">  性别：</w:t>
      </w:r>
      <w:r>
        <w:rPr>
          <w:rFonts w:hint="eastAsia" w:ascii="宋体" w:hAnsi="宋体"/>
          <w:sz w:val="24"/>
          <w:u w:val="single"/>
        </w:rPr>
        <w:t>______</w:t>
      </w:r>
      <w:r>
        <w:rPr>
          <w:rFonts w:hint="eastAsia" w:ascii="宋体" w:hAnsi="宋体"/>
          <w:sz w:val="24"/>
        </w:rPr>
        <w:t>年龄：</w:t>
      </w:r>
      <w:r>
        <w:rPr>
          <w:rFonts w:hint="eastAsia" w:ascii="宋体" w:hAnsi="宋体"/>
          <w:sz w:val="24"/>
          <w:u w:val="single"/>
        </w:rPr>
        <w:t>______</w:t>
      </w:r>
      <w:r>
        <w:rPr>
          <w:rFonts w:hint="eastAsia" w:ascii="宋体" w:hAnsi="宋体"/>
          <w:sz w:val="24"/>
        </w:rPr>
        <w:t>职务：</w:t>
      </w:r>
      <w:r>
        <w:rPr>
          <w:rFonts w:hint="eastAsia" w:ascii="宋体" w:hAnsi="宋体"/>
          <w:sz w:val="24"/>
          <w:u w:val="single"/>
        </w:rPr>
        <w:t>______</w:t>
      </w:r>
    </w:p>
    <w:p>
      <w:pPr>
        <w:spacing w:line="500" w:lineRule="exact"/>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特此证明。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投标人：（盖单位章）</w:t>
      </w:r>
    </w:p>
    <w:p>
      <w:pPr>
        <w:spacing w:line="5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年   月  日</w:t>
      </w:r>
    </w:p>
    <w:p>
      <w:pPr>
        <w:spacing w:line="400" w:lineRule="exact"/>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注：法定代表人的签字必须是亲笔签名，不得使用印章、签名章或其他电子制版签名。</w:t>
      </w:r>
    </w:p>
    <w:p>
      <w:pPr>
        <w:rPr>
          <w:rFonts w:ascii="宋体" w:hAnsi="宋体"/>
          <w:sz w:val="24"/>
        </w:rPr>
      </w:pPr>
    </w:p>
    <w:p>
      <w:pPr>
        <w:jc w:val="center"/>
        <w:rPr>
          <w:b/>
          <w:sz w:val="32"/>
          <w:szCs w:val="32"/>
        </w:rPr>
      </w:pPr>
      <w:r>
        <w:rPr>
          <w:rFonts w:ascii="宋体" w:hAnsi="宋体"/>
          <w:sz w:val="24"/>
        </w:rPr>
        <w:br w:type="page"/>
      </w:r>
      <w:r>
        <w:rPr>
          <w:rFonts w:hint="eastAsia" w:ascii="黑体" w:hAnsi="宋体" w:eastAsia="黑体"/>
          <w:b/>
          <w:bCs/>
          <w:kern w:val="44"/>
          <w:sz w:val="28"/>
          <w:szCs w:val="28"/>
        </w:rPr>
        <w:t>（二）授权委托书</w:t>
      </w:r>
    </w:p>
    <w:p>
      <w:pPr>
        <w:spacing w:line="500" w:lineRule="exact"/>
        <w:rPr>
          <w:rFonts w:ascii="宋体" w:hAnsi="宋体"/>
          <w:sz w:val="24"/>
        </w:rPr>
      </w:pPr>
    </w:p>
    <w:p>
      <w:pPr>
        <w:spacing w:line="50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_______</w:t>
      </w:r>
      <w:r>
        <w:rPr>
          <w:rFonts w:hint="eastAsia" w:ascii="宋体" w:hAnsi="宋体"/>
          <w:sz w:val="24"/>
        </w:rPr>
        <w:t>（姓名）系</w:t>
      </w:r>
      <w:r>
        <w:rPr>
          <w:rFonts w:hint="eastAsia" w:ascii="宋体" w:hAnsi="宋体"/>
          <w:sz w:val="24"/>
          <w:u w:val="single"/>
        </w:rPr>
        <w:t>_______</w:t>
      </w:r>
      <w:r>
        <w:rPr>
          <w:rFonts w:hint="eastAsia" w:ascii="宋体" w:hAnsi="宋体"/>
          <w:sz w:val="24"/>
        </w:rPr>
        <w:t>（投标人名称）的法定代表人，现委托</w:t>
      </w:r>
      <w:r>
        <w:rPr>
          <w:rFonts w:hint="eastAsia" w:ascii="宋体" w:hAnsi="宋体"/>
          <w:sz w:val="24"/>
          <w:u w:val="single"/>
        </w:rPr>
        <w:t>_______</w:t>
      </w:r>
      <w:r>
        <w:rPr>
          <w:rFonts w:hint="eastAsia" w:ascii="宋体" w:hAnsi="宋体"/>
          <w:sz w:val="24"/>
        </w:rPr>
        <w:t>（姓名）为我方代理人。代理人根据授权，以我方名义签署、澄清、递交、撤回、修改</w:t>
      </w:r>
      <w:r>
        <w:rPr>
          <w:rFonts w:hint="eastAsia" w:ascii="宋体" w:hAnsi="宋体"/>
          <w:sz w:val="24"/>
          <w:u w:val="single"/>
        </w:rPr>
        <w:t>_________</w:t>
      </w:r>
      <w:r>
        <w:rPr>
          <w:rFonts w:hint="eastAsia" w:ascii="宋体" w:hAnsi="宋体"/>
          <w:sz w:val="24"/>
        </w:rPr>
        <w:t>（项目名称）投标文件、签订合同和处理有关事宜，其法律后果由我方承担。</w:t>
      </w:r>
    </w:p>
    <w:p>
      <w:pPr>
        <w:spacing w:line="50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_________</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代理人无转委托权。</w:t>
      </w:r>
    </w:p>
    <w:p>
      <w:pPr>
        <w:spacing w:line="500" w:lineRule="exact"/>
        <w:ind w:firstLine="480" w:firstLineChars="200"/>
        <w:rPr>
          <w:rFonts w:ascii="宋体" w:hAnsi="宋体"/>
          <w:sz w:val="24"/>
        </w:rPr>
      </w:pPr>
      <w:r>
        <w:rPr>
          <w:rFonts w:hint="eastAsia" w:ascii="宋体" w:hAnsi="宋体"/>
          <w:sz w:val="24"/>
        </w:rPr>
        <w:t>附：法定代表人身份证明</w:t>
      </w:r>
    </w:p>
    <w:p>
      <w:pPr>
        <w:spacing w:line="500" w:lineRule="exact"/>
        <w:rPr>
          <w:rFonts w:ascii="宋体" w:hAnsi="宋体"/>
          <w:sz w:val="24"/>
        </w:rPr>
      </w:pPr>
    </w:p>
    <w:p>
      <w:pPr>
        <w:spacing w:line="500" w:lineRule="exact"/>
        <w:rPr>
          <w:rFonts w:ascii="宋体" w:hAnsi="宋体"/>
          <w:sz w:val="24"/>
        </w:rPr>
      </w:pPr>
    </w:p>
    <w:p>
      <w:pPr>
        <w:spacing w:line="500" w:lineRule="exact"/>
        <w:ind w:firstLine="3856" w:firstLineChars="800"/>
        <w:rPr>
          <w:rFonts w:ascii="宋体" w:hAnsi="宋体"/>
          <w:sz w:val="24"/>
        </w:rPr>
      </w:pPr>
      <w:r>
        <w:rPr>
          <w:rFonts w:hint="eastAsia" w:ascii="宋体" w:hAnsi="宋体"/>
          <w:spacing w:val="121"/>
          <w:kern w:val="0"/>
          <w:sz w:val="24"/>
        </w:rPr>
        <w:t>投标</w:t>
      </w:r>
      <w:r>
        <w:rPr>
          <w:rFonts w:hint="eastAsia" w:ascii="宋体" w:hAnsi="宋体"/>
          <w:spacing w:val="-1"/>
          <w:kern w:val="0"/>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（盖单位章）</w:t>
      </w:r>
    </w:p>
    <w:p>
      <w:pPr>
        <w:spacing w:line="500" w:lineRule="exact"/>
        <w:rPr>
          <w:rFonts w:ascii="宋体" w:hAnsi="宋体"/>
          <w:sz w:val="24"/>
        </w:rPr>
      </w:pPr>
      <w:r>
        <w:rPr>
          <w:rFonts w:hint="eastAsia" w:ascii="宋体" w:hAnsi="宋体"/>
          <w:sz w:val="24"/>
        </w:rPr>
        <w:t xml:space="preserve">                                法定代表人：（签字）</w:t>
      </w:r>
      <w:r>
        <w:rPr>
          <w:rFonts w:hint="eastAsia" w:ascii="宋体" w:hAnsi="宋体"/>
          <w:sz w:val="24"/>
          <w:u w:val="single"/>
        </w:rPr>
        <w:t xml:space="preserve">______    ___              </w:t>
      </w:r>
    </w:p>
    <w:p>
      <w:pPr>
        <w:spacing w:line="500" w:lineRule="exact"/>
        <w:rPr>
          <w:rFonts w:ascii="宋体" w:hAnsi="宋体"/>
          <w:sz w:val="24"/>
        </w:rPr>
      </w:pPr>
      <w:r>
        <w:rPr>
          <w:rFonts w:hint="eastAsia" w:ascii="宋体" w:hAnsi="宋体"/>
          <w:sz w:val="24"/>
        </w:rPr>
        <w:t xml:space="preserve">                                身份证号码：</w:t>
      </w:r>
      <w:r>
        <w:rPr>
          <w:rFonts w:hint="eastAsia" w:ascii="宋体" w:hAnsi="宋体"/>
          <w:sz w:val="24"/>
          <w:u w:val="single"/>
        </w:rPr>
        <w:t>__________         _          _____</w:t>
      </w:r>
    </w:p>
    <w:p>
      <w:pPr>
        <w:spacing w:line="500" w:lineRule="exact"/>
        <w:rPr>
          <w:rFonts w:ascii="宋体" w:hAnsi="宋体"/>
          <w:sz w:val="24"/>
        </w:rPr>
      </w:pPr>
      <w:r>
        <w:rPr>
          <w:rFonts w:hint="eastAsia" w:ascii="宋体" w:hAnsi="宋体"/>
          <w:sz w:val="24"/>
        </w:rPr>
        <w:t xml:space="preserve">                                委托代理人：（签字）</w:t>
      </w:r>
      <w:r>
        <w:rPr>
          <w:rFonts w:hint="eastAsia" w:ascii="宋体" w:hAnsi="宋体"/>
          <w:sz w:val="24"/>
          <w:u w:val="single"/>
        </w:rPr>
        <w:t>______                    ___</w:t>
      </w:r>
    </w:p>
    <w:p>
      <w:pPr>
        <w:spacing w:line="500" w:lineRule="exact"/>
        <w:rPr>
          <w:rFonts w:ascii="宋体" w:hAnsi="宋体"/>
          <w:sz w:val="24"/>
        </w:rPr>
      </w:pPr>
      <w:r>
        <w:rPr>
          <w:rFonts w:hint="eastAsia" w:ascii="宋体" w:hAnsi="宋体"/>
          <w:sz w:val="24"/>
        </w:rPr>
        <w:t xml:space="preserve">                                身份证号码：</w:t>
      </w:r>
      <w:r>
        <w:rPr>
          <w:rFonts w:hint="eastAsia" w:ascii="宋体" w:hAnsi="宋体"/>
          <w:sz w:val="24"/>
          <w:u w:val="single"/>
        </w:rPr>
        <w:t>_____________                    ___</w:t>
      </w:r>
    </w:p>
    <w:p>
      <w:pPr>
        <w:spacing w:line="500" w:lineRule="exact"/>
        <w:ind w:firstLine="4560" w:firstLineChars="1900"/>
        <w:rPr>
          <w:rFonts w:ascii="宋体" w:hAnsi="宋体"/>
          <w:sz w:val="24"/>
        </w:rPr>
      </w:pPr>
      <w:r>
        <w:rPr>
          <w:rFonts w:hint="eastAsia" w:ascii="宋体" w:hAnsi="宋体"/>
          <w:sz w:val="24"/>
        </w:rPr>
        <w:t>年   月   日</w:t>
      </w:r>
    </w:p>
    <w:p>
      <w:pPr>
        <w:spacing w:line="500" w:lineRule="exact"/>
        <w:rPr>
          <w:rFonts w:ascii="宋体" w:hAnsi="宋体"/>
          <w:sz w:val="24"/>
        </w:rPr>
      </w:pPr>
    </w:p>
    <w:p>
      <w:pPr>
        <w:rPr>
          <w:rFonts w:ascii="宋体" w:hAnsi="宋体"/>
          <w:sz w:val="24"/>
        </w:rPr>
      </w:pPr>
    </w:p>
    <w:p>
      <w:pPr>
        <w:spacing w:line="400" w:lineRule="exact"/>
        <w:ind w:firstLine="480" w:firstLineChars="200"/>
        <w:rPr>
          <w:rFonts w:ascii="宋体" w:hAnsi="宋体"/>
          <w:sz w:val="24"/>
        </w:rPr>
      </w:pPr>
      <w:r>
        <w:rPr>
          <w:rFonts w:hint="eastAsia" w:ascii="宋体" w:hAnsi="宋体"/>
          <w:sz w:val="24"/>
        </w:rPr>
        <w:t>注：</w:t>
      </w:r>
    </w:p>
    <w:p>
      <w:pPr>
        <w:spacing w:line="400" w:lineRule="exact"/>
        <w:ind w:firstLine="480" w:firstLineChars="200"/>
        <w:rPr>
          <w:rFonts w:ascii="宋体" w:hAnsi="宋体"/>
          <w:sz w:val="24"/>
        </w:rPr>
      </w:pPr>
      <w:r>
        <w:rPr>
          <w:rFonts w:hint="eastAsia" w:ascii="宋体" w:hAnsi="宋体"/>
          <w:sz w:val="24"/>
        </w:rPr>
        <w:t>1.法定代表人和委托代理人必须在授权书上亲笔签名，不得使用印章、签名章或其他电子制版签名；</w:t>
      </w:r>
    </w:p>
    <w:p>
      <w:pPr>
        <w:spacing w:line="400" w:lineRule="exact"/>
        <w:ind w:firstLine="480" w:firstLineChars="200"/>
        <w:rPr>
          <w:rFonts w:ascii="宋体" w:hAnsi="宋体"/>
          <w:sz w:val="24"/>
        </w:rPr>
      </w:pPr>
      <w:r>
        <w:rPr>
          <w:rFonts w:hint="eastAsia" w:ascii="宋体" w:hAnsi="宋体"/>
          <w:sz w:val="24"/>
        </w:rPr>
        <w:t>2.以联合体形式投标的，本授权委托书应由联合体牵头人的法定代表人按上述规定签署。</w:t>
      </w:r>
    </w:p>
    <w:p>
      <w:pPr>
        <w:rPr>
          <w:rFonts w:ascii="宋体" w:hAnsi="宋体"/>
          <w:sz w:val="24"/>
        </w:rPr>
      </w:pPr>
    </w:p>
    <w:p>
      <w:pPr>
        <w:pStyle w:val="4"/>
        <w:spacing w:beforeLines="100" w:afterLines="150" w:line="360" w:lineRule="exact"/>
        <w:jc w:val="center"/>
        <w:rPr>
          <w:rFonts w:ascii="黑体" w:hAnsi="宋体" w:eastAsia="黑体"/>
          <w:sz w:val="28"/>
          <w:szCs w:val="28"/>
        </w:rPr>
      </w:pPr>
      <w:bookmarkStart w:id="236" w:name="_Toc234382964"/>
      <w:r>
        <w:rPr>
          <w:rFonts w:ascii="黑体" w:hAnsi="宋体" w:eastAsia="黑体"/>
          <w:sz w:val="28"/>
          <w:szCs w:val="28"/>
        </w:rPr>
        <w:br w:type="page"/>
      </w:r>
      <w:bookmarkStart w:id="237" w:name="_Toc485889061"/>
      <w:bookmarkStart w:id="238" w:name="_Toc486277928"/>
      <w:bookmarkStart w:id="239" w:name="_Toc25686"/>
      <w:r>
        <w:rPr>
          <w:rFonts w:hint="eastAsia" w:ascii="黑体" w:hAnsi="宋体" w:eastAsia="黑体"/>
          <w:sz w:val="28"/>
          <w:szCs w:val="28"/>
        </w:rPr>
        <w:t>三</w:t>
      </w:r>
      <w:r>
        <w:rPr>
          <w:rFonts w:ascii="黑体" w:hAnsi="宋体" w:eastAsia="黑体"/>
          <w:sz w:val="28"/>
          <w:szCs w:val="28"/>
        </w:rPr>
        <w:t>、投标保证金</w:t>
      </w:r>
      <w:bookmarkEnd w:id="236"/>
      <w:bookmarkEnd w:id="237"/>
      <w:bookmarkEnd w:id="238"/>
      <w:bookmarkEnd w:id="239"/>
    </w:p>
    <w:p>
      <w:pPr>
        <w:rPr>
          <w:rFonts w:ascii="宋体" w:hAnsi="宋体"/>
          <w:sz w:val="24"/>
        </w:rPr>
      </w:pPr>
      <w:r>
        <w:rPr>
          <w:rFonts w:hint="eastAsia" w:ascii="宋体" w:hAnsi="宋体"/>
          <w:sz w:val="24"/>
        </w:rPr>
        <w:t xml:space="preserve">     此处附投标人递交投标保证金的银行转账证明复印件。</w:t>
      </w:r>
    </w:p>
    <w:p>
      <w:pPr>
        <w:pStyle w:val="4"/>
        <w:spacing w:beforeLines="100" w:afterLines="150" w:line="360" w:lineRule="exact"/>
        <w:jc w:val="center"/>
      </w:pPr>
      <w:r>
        <w:rPr>
          <w:rFonts w:ascii="宋体"/>
        </w:rPr>
        <w:br w:type="page"/>
      </w:r>
      <w:bookmarkStart w:id="240" w:name="_Toc234382966"/>
      <w:bookmarkStart w:id="241" w:name="_Toc19556"/>
      <w:bookmarkStart w:id="242" w:name="_Toc486277929"/>
      <w:bookmarkStart w:id="243" w:name="_Toc485889062"/>
      <w:r>
        <w:rPr>
          <w:rFonts w:hint="eastAsia" w:ascii="黑体" w:hAnsi="宋体" w:eastAsia="黑体"/>
          <w:sz w:val="28"/>
          <w:szCs w:val="28"/>
        </w:rPr>
        <w:t>四</w:t>
      </w:r>
      <w:r>
        <w:rPr>
          <w:rFonts w:ascii="黑体" w:hAnsi="宋体" w:eastAsia="黑体"/>
          <w:sz w:val="28"/>
          <w:szCs w:val="28"/>
        </w:rPr>
        <w:t>、施工组织设计</w:t>
      </w:r>
      <w:bookmarkEnd w:id="240"/>
      <w:bookmarkEnd w:id="241"/>
      <w:bookmarkEnd w:id="242"/>
      <w:bookmarkEnd w:id="243"/>
    </w:p>
    <w:p>
      <w:pPr>
        <w:spacing w:line="440" w:lineRule="exact"/>
        <w:rPr>
          <w:rFonts w:ascii="宋体" w:hAnsi="宋体"/>
          <w:sz w:val="24"/>
        </w:rPr>
      </w:pPr>
      <w:r>
        <w:rPr>
          <w:rFonts w:hint="eastAsia" w:ascii="宋体" w:hAnsi="宋体"/>
          <w:sz w:val="24"/>
        </w:rPr>
        <w:t>1、投标人应按以下要点编制施工组织设计；</w:t>
      </w:r>
    </w:p>
    <w:p>
      <w:pPr>
        <w:spacing w:line="440" w:lineRule="exact"/>
        <w:ind w:firstLine="480" w:firstLineChars="200"/>
        <w:rPr>
          <w:rFonts w:ascii="宋体" w:hAnsi="宋体"/>
          <w:sz w:val="24"/>
        </w:rPr>
      </w:pPr>
      <w:r>
        <w:rPr>
          <w:rFonts w:hint="eastAsia" w:ascii="宋体" w:hAnsi="宋体"/>
          <w:sz w:val="24"/>
        </w:rPr>
        <w:t>（1）总体施工组织布置及规划</w:t>
      </w:r>
    </w:p>
    <w:p>
      <w:pPr>
        <w:spacing w:line="440" w:lineRule="exact"/>
        <w:ind w:firstLine="480" w:firstLineChars="200"/>
        <w:rPr>
          <w:rFonts w:ascii="宋体" w:hAnsi="宋体"/>
          <w:sz w:val="24"/>
        </w:rPr>
      </w:pPr>
      <w:r>
        <w:rPr>
          <w:rFonts w:hint="eastAsia" w:ascii="宋体" w:hAnsi="宋体"/>
          <w:sz w:val="24"/>
        </w:rPr>
        <w:t>（2）主要工程项目的施工方案、方法与技术措施（尤其对重点、关键和难点工程的施工方案、方法及其措施）</w:t>
      </w:r>
    </w:p>
    <w:p>
      <w:pPr>
        <w:spacing w:line="440" w:lineRule="exact"/>
        <w:ind w:firstLine="480" w:firstLineChars="200"/>
        <w:rPr>
          <w:rFonts w:ascii="宋体" w:hAnsi="宋体"/>
          <w:sz w:val="24"/>
        </w:rPr>
      </w:pPr>
      <w:r>
        <w:rPr>
          <w:rFonts w:hint="eastAsia" w:ascii="宋体" w:hAnsi="宋体"/>
          <w:sz w:val="24"/>
        </w:rPr>
        <w:t>（3）工期的保证体系及保证措施</w:t>
      </w:r>
    </w:p>
    <w:p>
      <w:pPr>
        <w:spacing w:line="440" w:lineRule="exact"/>
        <w:ind w:firstLine="480" w:firstLineChars="200"/>
        <w:rPr>
          <w:rFonts w:ascii="宋体" w:hAnsi="宋体"/>
          <w:sz w:val="24"/>
        </w:rPr>
      </w:pPr>
      <w:r>
        <w:rPr>
          <w:rFonts w:hint="eastAsia" w:ascii="宋体" w:hAnsi="宋体"/>
          <w:sz w:val="24"/>
        </w:rPr>
        <w:t>（4）工程质量管理体系及保证措施</w:t>
      </w:r>
    </w:p>
    <w:p>
      <w:pPr>
        <w:spacing w:line="440" w:lineRule="exact"/>
        <w:ind w:firstLine="480" w:firstLineChars="200"/>
        <w:rPr>
          <w:rFonts w:ascii="宋体" w:hAnsi="宋体"/>
          <w:sz w:val="24"/>
        </w:rPr>
      </w:pPr>
      <w:r>
        <w:rPr>
          <w:rFonts w:hint="eastAsia" w:ascii="宋体" w:hAnsi="宋体"/>
          <w:sz w:val="24"/>
        </w:rPr>
        <w:t>（5）安全生产管理体系及保证措施</w:t>
      </w:r>
    </w:p>
    <w:p>
      <w:pPr>
        <w:spacing w:line="440" w:lineRule="exact"/>
        <w:ind w:firstLine="480" w:firstLineChars="200"/>
        <w:rPr>
          <w:rFonts w:ascii="宋体" w:hAnsi="宋体"/>
          <w:sz w:val="24"/>
        </w:rPr>
      </w:pPr>
      <w:r>
        <w:rPr>
          <w:rFonts w:hint="eastAsia" w:ascii="宋体" w:hAnsi="宋体"/>
          <w:sz w:val="24"/>
        </w:rPr>
        <w:t>（6）环境保护、水土保持保证体系及保证措施</w:t>
      </w:r>
      <w:r>
        <w:rPr>
          <w:rFonts w:hint="eastAsia" w:ascii="宋体" w:hAnsi="宋体"/>
          <w:b/>
          <w:bCs/>
          <w:sz w:val="24"/>
        </w:rPr>
        <w:t>（含扬尘治理措施）</w:t>
      </w:r>
    </w:p>
    <w:p>
      <w:pPr>
        <w:spacing w:line="440" w:lineRule="exact"/>
        <w:ind w:firstLine="480" w:firstLineChars="200"/>
        <w:rPr>
          <w:rFonts w:ascii="宋体" w:hAnsi="宋体"/>
          <w:sz w:val="24"/>
        </w:rPr>
      </w:pPr>
      <w:r>
        <w:rPr>
          <w:rFonts w:hint="eastAsia" w:ascii="宋体" w:hAnsi="宋体"/>
          <w:sz w:val="24"/>
        </w:rPr>
        <w:t>（7）文明施工、文物保护保证体系及保证措施</w:t>
      </w:r>
    </w:p>
    <w:p>
      <w:pPr>
        <w:spacing w:line="440" w:lineRule="exact"/>
        <w:ind w:firstLine="480" w:firstLineChars="200"/>
        <w:rPr>
          <w:rFonts w:ascii="宋体" w:hAnsi="宋体"/>
          <w:sz w:val="24"/>
        </w:rPr>
      </w:pPr>
      <w:r>
        <w:rPr>
          <w:rFonts w:hint="eastAsia" w:ascii="宋体" w:hAnsi="宋体"/>
          <w:sz w:val="24"/>
        </w:rPr>
        <w:t>（8）项目风险预测与防范，事故应急预案</w:t>
      </w:r>
    </w:p>
    <w:p>
      <w:pPr>
        <w:spacing w:line="440" w:lineRule="exact"/>
        <w:ind w:firstLine="480" w:firstLineChars="200"/>
        <w:rPr>
          <w:rFonts w:ascii="宋体" w:hAnsi="宋体"/>
          <w:sz w:val="24"/>
        </w:rPr>
      </w:pPr>
      <w:r>
        <w:rPr>
          <w:rFonts w:hint="eastAsia" w:ascii="宋体" w:hAnsi="宋体"/>
          <w:sz w:val="24"/>
        </w:rPr>
        <w:t>（9）其他应说明的事项</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施工组织设计除采用文字表述外可附下列图表，图表及格式要求附后。</w:t>
      </w:r>
    </w:p>
    <w:p>
      <w:pPr>
        <w:spacing w:line="400" w:lineRule="exact"/>
        <w:ind w:firstLine="480" w:firstLineChars="200"/>
        <w:rPr>
          <w:rFonts w:ascii="宋体" w:hAnsi="宋体"/>
          <w:sz w:val="24"/>
        </w:rPr>
      </w:pPr>
      <w:r>
        <w:rPr>
          <w:rFonts w:hint="eastAsia" w:ascii="宋体" w:hAnsi="宋体"/>
          <w:sz w:val="24"/>
        </w:rPr>
        <w:t xml:space="preserve">   附表一  施工总体计划表</w:t>
      </w:r>
    </w:p>
    <w:p>
      <w:pPr>
        <w:spacing w:line="400" w:lineRule="exact"/>
        <w:ind w:firstLine="480" w:firstLineChars="200"/>
        <w:rPr>
          <w:rFonts w:ascii="宋体" w:hAnsi="宋体"/>
          <w:sz w:val="24"/>
        </w:rPr>
      </w:pPr>
      <w:r>
        <w:rPr>
          <w:rFonts w:hint="eastAsia" w:ascii="宋体" w:hAnsi="宋体"/>
          <w:sz w:val="24"/>
        </w:rPr>
        <w:t xml:space="preserve">   附表二  分项工程进度率计划（斜率图） </w:t>
      </w:r>
    </w:p>
    <w:p>
      <w:pPr>
        <w:spacing w:line="400" w:lineRule="exact"/>
        <w:ind w:firstLine="480" w:firstLineChars="200"/>
        <w:rPr>
          <w:rFonts w:ascii="宋体" w:hAnsi="宋体"/>
          <w:sz w:val="24"/>
        </w:rPr>
      </w:pPr>
      <w:r>
        <w:rPr>
          <w:rFonts w:hint="eastAsia" w:ascii="宋体" w:hAnsi="宋体"/>
          <w:sz w:val="24"/>
        </w:rPr>
        <w:t xml:space="preserve">   附表三  工程管理曲线</w:t>
      </w:r>
    </w:p>
    <w:p>
      <w:pPr>
        <w:spacing w:line="400" w:lineRule="exact"/>
        <w:ind w:firstLine="480" w:firstLineChars="200"/>
        <w:rPr>
          <w:rFonts w:ascii="宋体" w:hAnsi="宋体"/>
          <w:sz w:val="24"/>
        </w:rPr>
      </w:pPr>
      <w:r>
        <w:rPr>
          <w:rFonts w:hint="eastAsia" w:ascii="宋体" w:hAnsi="宋体"/>
          <w:sz w:val="24"/>
        </w:rPr>
        <w:t xml:space="preserve">   附表四  分项工程生产率和施工周期表</w:t>
      </w:r>
    </w:p>
    <w:p>
      <w:pPr>
        <w:spacing w:line="400" w:lineRule="exact"/>
        <w:ind w:firstLine="480" w:firstLineChars="200"/>
        <w:rPr>
          <w:rFonts w:ascii="宋体" w:hAnsi="宋体"/>
          <w:sz w:val="24"/>
        </w:rPr>
      </w:pPr>
      <w:r>
        <w:rPr>
          <w:rFonts w:hint="eastAsia" w:ascii="宋体" w:hAnsi="宋体"/>
          <w:sz w:val="24"/>
        </w:rPr>
        <w:t xml:space="preserve">   附表五  施工总平面图</w:t>
      </w:r>
    </w:p>
    <w:p>
      <w:pPr>
        <w:spacing w:line="400" w:lineRule="exact"/>
        <w:ind w:firstLine="480" w:firstLineChars="200"/>
        <w:rPr>
          <w:rFonts w:ascii="宋体" w:hAnsi="宋体"/>
          <w:sz w:val="24"/>
        </w:rPr>
      </w:pPr>
      <w:r>
        <w:rPr>
          <w:rFonts w:hint="eastAsia" w:ascii="宋体" w:hAnsi="宋体"/>
          <w:sz w:val="24"/>
        </w:rPr>
        <w:t xml:space="preserve">   附表六  劳动力计划表</w:t>
      </w:r>
    </w:p>
    <w:p>
      <w:pPr>
        <w:spacing w:line="400" w:lineRule="exact"/>
        <w:ind w:firstLine="840" w:firstLineChars="350"/>
        <w:rPr>
          <w:rFonts w:ascii="宋体" w:hAnsi="宋体"/>
          <w:sz w:val="24"/>
        </w:rPr>
      </w:pPr>
      <w:r>
        <w:rPr>
          <w:rFonts w:hint="eastAsia" w:ascii="宋体" w:hAnsi="宋体"/>
          <w:sz w:val="24"/>
        </w:rPr>
        <w:t>附表七  临时用地计划表</w:t>
      </w:r>
    </w:p>
    <w:p>
      <w:pPr>
        <w:spacing w:line="400" w:lineRule="exact"/>
        <w:ind w:firstLine="840" w:firstLineChars="350"/>
        <w:rPr>
          <w:rFonts w:ascii="宋体" w:hAnsi="宋体"/>
          <w:sz w:val="24"/>
        </w:rPr>
      </w:pPr>
      <w:r>
        <w:rPr>
          <w:rFonts w:hint="eastAsia" w:ascii="宋体" w:hAnsi="宋体"/>
          <w:sz w:val="24"/>
        </w:rPr>
        <w:t>附表八  外供电力需求计划表</w:t>
      </w:r>
    </w:p>
    <w:p>
      <w:pPr>
        <w:spacing w:line="400" w:lineRule="exact"/>
        <w:ind w:firstLine="840" w:firstLineChars="350"/>
        <w:rPr>
          <w:rFonts w:ascii="宋体" w:hAnsi="宋体"/>
          <w:sz w:val="24"/>
        </w:rPr>
      </w:pPr>
      <w:r>
        <w:rPr>
          <w:rFonts w:hint="eastAsia" w:ascii="宋体" w:hAnsi="宋体"/>
          <w:sz w:val="24"/>
        </w:rPr>
        <w:t>附表九  合同用款估算表</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sectPr>
          <w:headerReference r:id="rId6" w:type="first"/>
          <w:footerReference r:id="rId8" w:type="first"/>
          <w:footerReference r:id="rId7" w:type="default"/>
          <w:pgSz w:w="11906" w:h="16838"/>
          <w:pgMar w:top="1304" w:right="1134" w:bottom="1304" w:left="1247" w:header="851" w:footer="992" w:gutter="0"/>
          <w:pgNumType w:start="1"/>
          <w:cols w:space="425" w:num="1"/>
          <w:titlePg/>
          <w:docGrid w:type="lines" w:linePitch="312" w:charSpace="0"/>
        </w:sectPr>
      </w:pPr>
    </w:p>
    <w:p>
      <w:pPr>
        <w:pStyle w:val="5"/>
        <w:spacing w:before="120" w:after="120" w:line="377" w:lineRule="auto"/>
      </w:pPr>
      <w:r>
        <w:rPr>
          <w:rFonts w:hint="eastAsia"/>
        </w:rPr>
        <w:t>附表一   施工总体计划表</w:t>
      </w:r>
    </w:p>
    <w:tbl>
      <w:tblPr>
        <w:tblStyle w:val="12"/>
        <w:tblW w:w="148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rPr>
                <w:rFonts w:ascii="宋体" w:hAnsi="宋体"/>
                <w:szCs w:val="21"/>
              </w:rPr>
            </w:pPr>
            <w:r>
              <w:rPr>
                <w:rFonts w:hint="eastAsia" w:ascii="宋体" w:hAnsi="宋体"/>
                <w:szCs w:val="21"/>
              </w:rPr>
              <w:t>年度</w:t>
            </w:r>
          </w:p>
        </w:tc>
        <w:tc>
          <w:tcPr>
            <w:tcW w:w="4922" w:type="dxa"/>
            <w:gridSpan w:val="12"/>
            <w:vAlign w:val="center"/>
          </w:tcPr>
          <w:p>
            <w:pPr>
              <w:rPr>
                <w:rFonts w:ascii="宋体" w:hAnsi="宋体"/>
                <w:szCs w:val="21"/>
              </w:rPr>
            </w:pPr>
            <w:r>
              <w:rPr>
                <w:rFonts w:hint="eastAsia" w:ascii="宋体" w:hAnsi="宋体"/>
                <w:szCs w:val="21"/>
              </w:rPr>
              <w:t>年</w:t>
            </w:r>
          </w:p>
        </w:tc>
        <w:tc>
          <w:tcPr>
            <w:tcW w:w="4956" w:type="dxa"/>
            <w:gridSpan w:val="12"/>
            <w:vAlign w:val="center"/>
          </w:tcPr>
          <w:p>
            <w:pPr>
              <w:rPr>
                <w:rFonts w:ascii="宋体" w:hAnsi="宋体"/>
                <w:szCs w:val="21"/>
              </w:rPr>
            </w:pPr>
            <w:r>
              <w:rPr>
                <w:rFonts w:hint="eastAsia" w:ascii="宋体" w:hAnsi="宋体"/>
                <w:szCs w:val="21"/>
              </w:rPr>
              <w:t>年</w:t>
            </w:r>
          </w:p>
        </w:tc>
        <w:tc>
          <w:tcPr>
            <w:tcW w:w="2059" w:type="dxa"/>
            <w:gridSpan w:val="5"/>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rPr>
                <w:rFonts w:ascii="宋体" w:hAnsi="宋体"/>
                <w:szCs w:val="21"/>
              </w:rPr>
            </w:pPr>
            <w:r>
              <w:rPr>
                <w:rFonts w:hint="eastAsia" w:ascii="宋体" w:hAnsi="宋体"/>
                <w:szCs w:val="21"/>
              </w:rPr>
              <w:t xml:space="preserve">                    月份</w:t>
            </w:r>
          </w:p>
          <w:p>
            <w:pPr>
              <w:jc w:val="left"/>
              <w:rPr>
                <w:rFonts w:ascii="宋体" w:hAnsi="宋体"/>
                <w:szCs w:val="21"/>
              </w:rPr>
            </w:pPr>
          </w:p>
          <w:p>
            <w:pPr>
              <w:jc w:val="left"/>
              <w:rPr>
                <w:rFonts w:ascii="宋体" w:hAnsi="宋体"/>
                <w:szCs w:val="21"/>
              </w:rPr>
            </w:pPr>
            <w:r>
              <w:rPr>
                <w:rFonts w:hint="eastAsia" w:ascii="宋体" w:hAnsi="宋体"/>
                <w:szCs w:val="21"/>
              </w:rPr>
              <w:t>主要工程项目</w:t>
            </w:r>
          </w:p>
        </w:tc>
        <w:tc>
          <w:tcPr>
            <w:tcW w:w="403" w:type="dxa"/>
            <w:vAlign w:val="center"/>
          </w:tcPr>
          <w:p>
            <w:pPr>
              <w:rPr>
                <w:rFonts w:ascii="宋体" w:hAnsi="宋体"/>
                <w:szCs w:val="21"/>
              </w:rPr>
            </w:pPr>
            <w:r>
              <w:rPr>
                <w:rFonts w:hint="eastAsia" w:ascii="宋体" w:hAnsi="宋体"/>
                <w:szCs w:val="21"/>
              </w:rPr>
              <w:t>1</w:t>
            </w:r>
          </w:p>
        </w:tc>
        <w:tc>
          <w:tcPr>
            <w:tcW w:w="403" w:type="dxa"/>
            <w:vAlign w:val="center"/>
          </w:tcPr>
          <w:p>
            <w:pPr>
              <w:rPr>
                <w:rFonts w:ascii="宋体" w:hAnsi="宋体"/>
                <w:szCs w:val="21"/>
              </w:rPr>
            </w:pPr>
            <w:r>
              <w:rPr>
                <w:rFonts w:hint="eastAsia" w:ascii="宋体" w:hAnsi="宋体"/>
                <w:szCs w:val="21"/>
              </w:rPr>
              <w:t>2</w:t>
            </w:r>
          </w:p>
        </w:tc>
        <w:tc>
          <w:tcPr>
            <w:tcW w:w="405" w:type="dxa"/>
            <w:vAlign w:val="center"/>
          </w:tcPr>
          <w:p>
            <w:pPr>
              <w:rPr>
                <w:rFonts w:ascii="宋体" w:hAnsi="宋体"/>
                <w:szCs w:val="21"/>
              </w:rPr>
            </w:pPr>
            <w:r>
              <w:rPr>
                <w:rFonts w:hint="eastAsia" w:ascii="宋体" w:hAnsi="宋体"/>
                <w:szCs w:val="21"/>
              </w:rPr>
              <w:t>3</w:t>
            </w:r>
          </w:p>
        </w:tc>
        <w:tc>
          <w:tcPr>
            <w:tcW w:w="405" w:type="dxa"/>
            <w:vAlign w:val="center"/>
          </w:tcPr>
          <w:p>
            <w:pPr>
              <w:rPr>
                <w:rFonts w:ascii="宋体" w:hAnsi="宋体"/>
                <w:szCs w:val="21"/>
              </w:rPr>
            </w:pPr>
            <w:r>
              <w:rPr>
                <w:rFonts w:hint="eastAsia" w:ascii="宋体" w:hAnsi="宋体"/>
                <w:szCs w:val="21"/>
              </w:rPr>
              <w:t>4</w:t>
            </w:r>
          </w:p>
        </w:tc>
        <w:tc>
          <w:tcPr>
            <w:tcW w:w="405" w:type="dxa"/>
            <w:vAlign w:val="center"/>
          </w:tcPr>
          <w:p>
            <w:pPr>
              <w:rPr>
                <w:rFonts w:ascii="宋体" w:hAnsi="宋体"/>
                <w:szCs w:val="21"/>
              </w:rPr>
            </w:pPr>
            <w:r>
              <w:rPr>
                <w:rFonts w:hint="eastAsia" w:ascii="宋体" w:hAnsi="宋体"/>
                <w:szCs w:val="21"/>
              </w:rPr>
              <w:t>5</w:t>
            </w:r>
          </w:p>
        </w:tc>
        <w:tc>
          <w:tcPr>
            <w:tcW w:w="405" w:type="dxa"/>
            <w:vAlign w:val="center"/>
          </w:tcPr>
          <w:p>
            <w:pPr>
              <w:rPr>
                <w:rFonts w:ascii="宋体" w:hAnsi="宋体"/>
                <w:szCs w:val="21"/>
              </w:rPr>
            </w:pPr>
            <w:r>
              <w:rPr>
                <w:rFonts w:hint="eastAsia" w:ascii="宋体" w:hAnsi="宋体"/>
                <w:szCs w:val="21"/>
              </w:rPr>
              <w:t>6</w:t>
            </w:r>
          </w:p>
        </w:tc>
        <w:tc>
          <w:tcPr>
            <w:tcW w:w="405" w:type="dxa"/>
            <w:vAlign w:val="center"/>
          </w:tcPr>
          <w:p>
            <w:pPr>
              <w:rPr>
                <w:rFonts w:ascii="宋体" w:hAnsi="宋体"/>
                <w:szCs w:val="21"/>
              </w:rPr>
            </w:pPr>
            <w:r>
              <w:rPr>
                <w:rFonts w:hint="eastAsia" w:ascii="宋体" w:hAnsi="宋体"/>
                <w:szCs w:val="21"/>
              </w:rPr>
              <w:t>7</w:t>
            </w:r>
          </w:p>
        </w:tc>
        <w:tc>
          <w:tcPr>
            <w:tcW w:w="405" w:type="dxa"/>
            <w:vAlign w:val="center"/>
          </w:tcPr>
          <w:p>
            <w:pPr>
              <w:rPr>
                <w:rFonts w:ascii="宋体" w:hAnsi="宋体"/>
                <w:szCs w:val="21"/>
              </w:rPr>
            </w:pPr>
            <w:r>
              <w:rPr>
                <w:rFonts w:hint="eastAsia" w:ascii="宋体" w:hAnsi="宋体"/>
                <w:szCs w:val="21"/>
              </w:rPr>
              <w:t>8</w:t>
            </w:r>
          </w:p>
        </w:tc>
        <w:tc>
          <w:tcPr>
            <w:tcW w:w="405" w:type="dxa"/>
            <w:vAlign w:val="center"/>
          </w:tcPr>
          <w:p>
            <w:pPr>
              <w:rPr>
                <w:rFonts w:ascii="宋体" w:hAnsi="宋体"/>
                <w:szCs w:val="21"/>
              </w:rPr>
            </w:pPr>
            <w:r>
              <w:rPr>
                <w:rFonts w:hint="eastAsia" w:ascii="宋体" w:hAnsi="宋体"/>
                <w:szCs w:val="21"/>
              </w:rPr>
              <w:t>9</w:t>
            </w:r>
          </w:p>
        </w:tc>
        <w:tc>
          <w:tcPr>
            <w:tcW w:w="426" w:type="dxa"/>
            <w:vAlign w:val="center"/>
          </w:tcPr>
          <w:p>
            <w:pPr>
              <w:rPr>
                <w:rFonts w:ascii="宋体" w:hAnsi="宋体"/>
                <w:szCs w:val="21"/>
              </w:rPr>
            </w:pPr>
            <w:r>
              <w:rPr>
                <w:rFonts w:hint="eastAsia" w:ascii="宋体" w:hAnsi="宋体"/>
                <w:szCs w:val="21"/>
              </w:rPr>
              <w:t>10</w:t>
            </w:r>
          </w:p>
        </w:tc>
        <w:tc>
          <w:tcPr>
            <w:tcW w:w="426" w:type="dxa"/>
            <w:vAlign w:val="center"/>
          </w:tcPr>
          <w:p>
            <w:pPr>
              <w:rPr>
                <w:rFonts w:ascii="宋体" w:hAnsi="宋体"/>
                <w:szCs w:val="21"/>
              </w:rPr>
            </w:pPr>
            <w:r>
              <w:rPr>
                <w:rFonts w:hint="eastAsia" w:ascii="宋体" w:hAnsi="宋体"/>
                <w:szCs w:val="21"/>
              </w:rPr>
              <w:t>11</w:t>
            </w:r>
          </w:p>
        </w:tc>
        <w:tc>
          <w:tcPr>
            <w:tcW w:w="429" w:type="dxa"/>
            <w:vAlign w:val="center"/>
          </w:tcPr>
          <w:p>
            <w:pPr>
              <w:rPr>
                <w:rFonts w:ascii="宋体" w:hAnsi="宋体"/>
                <w:szCs w:val="21"/>
              </w:rPr>
            </w:pPr>
            <w:r>
              <w:rPr>
                <w:rFonts w:hint="eastAsia" w:ascii="宋体" w:hAnsi="宋体"/>
                <w:szCs w:val="21"/>
              </w:rPr>
              <w:t>12</w:t>
            </w:r>
          </w:p>
        </w:tc>
        <w:tc>
          <w:tcPr>
            <w:tcW w:w="405" w:type="dxa"/>
            <w:vAlign w:val="center"/>
          </w:tcPr>
          <w:p>
            <w:pPr>
              <w:rPr>
                <w:rFonts w:ascii="宋体" w:hAnsi="宋体"/>
                <w:szCs w:val="21"/>
              </w:rPr>
            </w:pPr>
            <w:r>
              <w:rPr>
                <w:rFonts w:hint="eastAsia" w:ascii="宋体" w:hAnsi="宋体"/>
                <w:szCs w:val="21"/>
              </w:rPr>
              <w:t>1</w:t>
            </w:r>
          </w:p>
        </w:tc>
        <w:tc>
          <w:tcPr>
            <w:tcW w:w="405"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06" w:type="dxa"/>
            <w:vAlign w:val="center"/>
          </w:tcPr>
          <w:p>
            <w:pPr>
              <w:rPr>
                <w:rFonts w:ascii="宋体" w:hAnsi="宋体"/>
                <w:szCs w:val="21"/>
              </w:rPr>
            </w:pPr>
            <w:r>
              <w:rPr>
                <w:rFonts w:hint="eastAsia" w:ascii="宋体" w:hAnsi="宋体"/>
                <w:szCs w:val="21"/>
              </w:rPr>
              <w:t>5</w:t>
            </w:r>
          </w:p>
        </w:tc>
        <w:tc>
          <w:tcPr>
            <w:tcW w:w="406" w:type="dxa"/>
            <w:vAlign w:val="center"/>
          </w:tcPr>
          <w:p>
            <w:pPr>
              <w:rPr>
                <w:rFonts w:ascii="宋体" w:hAnsi="宋体"/>
                <w:szCs w:val="21"/>
              </w:rPr>
            </w:pPr>
            <w:r>
              <w:rPr>
                <w:rFonts w:hint="eastAsia" w:ascii="宋体" w:hAnsi="宋体"/>
                <w:szCs w:val="21"/>
              </w:rPr>
              <w:t>6</w:t>
            </w:r>
          </w:p>
        </w:tc>
        <w:tc>
          <w:tcPr>
            <w:tcW w:w="406" w:type="dxa"/>
            <w:vAlign w:val="center"/>
          </w:tcPr>
          <w:p>
            <w:pPr>
              <w:rPr>
                <w:rFonts w:ascii="宋体" w:hAnsi="宋体"/>
                <w:szCs w:val="21"/>
              </w:rPr>
            </w:pPr>
            <w:r>
              <w:rPr>
                <w:rFonts w:hint="eastAsia" w:ascii="宋体" w:hAnsi="宋体"/>
                <w:szCs w:val="21"/>
              </w:rPr>
              <w:t>7</w:t>
            </w:r>
          </w:p>
        </w:tc>
        <w:tc>
          <w:tcPr>
            <w:tcW w:w="406" w:type="dxa"/>
            <w:vAlign w:val="center"/>
          </w:tcPr>
          <w:p>
            <w:pPr>
              <w:rPr>
                <w:rFonts w:ascii="宋体" w:hAnsi="宋体"/>
                <w:szCs w:val="21"/>
              </w:rPr>
            </w:pPr>
            <w:r>
              <w:rPr>
                <w:rFonts w:hint="eastAsia" w:ascii="宋体" w:hAnsi="宋体"/>
                <w:szCs w:val="21"/>
              </w:rPr>
              <w:t>8</w:t>
            </w:r>
          </w:p>
        </w:tc>
        <w:tc>
          <w:tcPr>
            <w:tcW w:w="406" w:type="dxa"/>
            <w:vAlign w:val="center"/>
          </w:tcPr>
          <w:p>
            <w:pPr>
              <w:rPr>
                <w:rFonts w:ascii="宋体" w:hAnsi="宋体"/>
                <w:szCs w:val="21"/>
              </w:rPr>
            </w:pPr>
            <w:r>
              <w:rPr>
                <w:rFonts w:hint="eastAsia" w:ascii="宋体" w:hAnsi="宋体"/>
                <w:szCs w:val="21"/>
              </w:rPr>
              <w:t>9</w:t>
            </w:r>
          </w:p>
        </w:tc>
        <w:tc>
          <w:tcPr>
            <w:tcW w:w="427" w:type="dxa"/>
            <w:vAlign w:val="center"/>
          </w:tcPr>
          <w:p>
            <w:pPr>
              <w:rPr>
                <w:rFonts w:ascii="宋体" w:hAnsi="宋体"/>
                <w:szCs w:val="21"/>
              </w:rPr>
            </w:pPr>
            <w:r>
              <w:rPr>
                <w:rFonts w:hint="eastAsia" w:ascii="宋体" w:hAnsi="宋体"/>
                <w:szCs w:val="21"/>
              </w:rPr>
              <w:t>10</w:t>
            </w:r>
          </w:p>
        </w:tc>
        <w:tc>
          <w:tcPr>
            <w:tcW w:w="427" w:type="dxa"/>
            <w:vAlign w:val="center"/>
          </w:tcPr>
          <w:p>
            <w:pPr>
              <w:rPr>
                <w:rFonts w:ascii="宋体" w:hAnsi="宋体"/>
                <w:szCs w:val="21"/>
              </w:rPr>
            </w:pPr>
            <w:r>
              <w:rPr>
                <w:rFonts w:hint="eastAsia" w:ascii="宋体" w:hAnsi="宋体"/>
                <w:szCs w:val="21"/>
              </w:rPr>
              <w:t>11</w:t>
            </w:r>
          </w:p>
        </w:tc>
        <w:tc>
          <w:tcPr>
            <w:tcW w:w="450" w:type="dxa"/>
            <w:vAlign w:val="center"/>
          </w:tcPr>
          <w:p>
            <w:pPr>
              <w:rPr>
                <w:rFonts w:ascii="宋体" w:hAnsi="宋体"/>
                <w:szCs w:val="21"/>
              </w:rPr>
            </w:pPr>
            <w:r>
              <w:rPr>
                <w:rFonts w:hint="eastAsia" w:ascii="宋体" w:hAnsi="宋体"/>
                <w:szCs w:val="21"/>
              </w:rPr>
              <w:t>12</w:t>
            </w:r>
          </w:p>
        </w:tc>
        <w:tc>
          <w:tcPr>
            <w:tcW w:w="406" w:type="dxa"/>
            <w:vAlign w:val="center"/>
          </w:tcPr>
          <w:p>
            <w:pPr>
              <w:rPr>
                <w:rFonts w:ascii="宋体" w:hAnsi="宋体"/>
                <w:szCs w:val="21"/>
              </w:rPr>
            </w:pPr>
            <w:r>
              <w:rPr>
                <w:rFonts w:hint="eastAsia" w:ascii="宋体" w:hAnsi="宋体"/>
                <w:szCs w:val="21"/>
              </w:rPr>
              <w:t>1</w:t>
            </w:r>
          </w:p>
        </w:tc>
        <w:tc>
          <w:tcPr>
            <w:tcW w:w="406"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44" w:type="dxa"/>
            <w:gridSpan w:val="2"/>
            <w:vAlign w:val="center"/>
          </w:tcPr>
          <w:p>
            <w:pP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2.下部结构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3.上部结构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4.附属工程</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bl>
    <w:p>
      <w:pPr>
        <w:pStyle w:val="5"/>
        <w:spacing w:before="120" w:after="0" w:line="240" w:lineRule="auto"/>
      </w:pPr>
    </w:p>
    <w:p>
      <w:pPr>
        <w:pStyle w:val="5"/>
        <w:spacing w:before="120" w:after="0" w:line="240" w:lineRule="auto"/>
      </w:pPr>
      <w:r>
        <w:br w:type="page"/>
      </w:r>
      <w:r>
        <w:rPr>
          <w:rFonts w:hint="eastAsia"/>
        </w:rPr>
        <w:t>附表二   分项工程进度率计划（斜率图）</w:t>
      </w:r>
    </w:p>
    <w:tbl>
      <w:tblPr>
        <w:tblStyle w:val="12"/>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年  度</w:t>
            </w:r>
          </w:p>
        </w:tc>
        <w:tc>
          <w:tcPr>
            <w:tcW w:w="5605" w:type="dxa"/>
            <w:gridSpan w:val="12"/>
            <w:vAlign w:val="center"/>
          </w:tcPr>
          <w:p>
            <w:pPr>
              <w:rPr>
                <w:rFonts w:ascii="宋体" w:hAnsi="宋体"/>
                <w:szCs w:val="21"/>
              </w:rPr>
            </w:pPr>
            <w:r>
              <w:rPr>
                <w:rFonts w:hint="eastAsia" w:ascii="宋体" w:hAnsi="宋体"/>
                <w:szCs w:val="21"/>
              </w:rPr>
              <w:t>年</w:t>
            </w:r>
          </w:p>
        </w:tc>
        <w:tc>
          <w:tcPr>
            <w:tcW w:w="5139" w:type="dxa"/>
            <w:gridSpan w:val="11"/>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季  度</w:t>
            </w:r>
          </w:p>
        </w:tc>
        <w:tc>
          <w:tcPr>
            <w:tcW w:w="1401" w:type="dxa"/>
            <w:gridSpan w:val="3"/>
            <w:vAlign w:val="center"/>
          </w:tcPr>
          <w:p>
            <w:pPr>
              <w:rPr>
                <w:rFonts w:ascii="宋体" w:hAnsi="宋体"/>
                <w:szCs w:val="21"/>
              </w:rPr>
            </w:pPr>
            <w:r>
              <w:rPr>
                <w:rFonts w:hint="eastAsia" w:ascii="宋体" w:hAnsi="宋体"/>
                <w:szCs w:val="21"/>
              </w:rPr>
              <w:t>一</w:t>
            </w:r>
          </w:p>
        </w:tc>
        <w:tc>
          <w:tcPr>
            <w:tcW w:w="1401" w:type="dxa"/>
            <w:gridSpan w:val="3"/>
            <w:vAlign w:val="center"/>
          </w:tcPr>
          <w:p>
            <w:pPr>
              <w:rPr>
                <w:rFonts w:ascii="宋体" w:hAnsi="宋体"/>
                <w:szCs w:val="21"/>
              </w:rPr>
            </w:pPr>
            <w:r>
              <w:rPr>
                <w:rFonts w:hint="eastAsia" w:ascii="宋体" w:hAnsi="宋体"/>
                <w:szCs w:val="21"/>
              </w:rPr>
              <w:t>二</w:t>
            </w:r>
          </w:p>
        </w:tc>
        <w:tc>
          <w:tcPr>
            <w:tcW w:w="1402" w:type="dxa"/>
            <w:gridSpan w:val="3"/>
            <w:vAlign w:val="center"/>
          </w:tcPr>
          <w:p>
            <w:pPr>
              <w:rPr>
                <w:rFonts w:ascii="宋体" w:hAnsi="宋体"/>
                <w:szCs w:val="21"/>
              </w:rPr>
            </w:pPr>
            <w:r>
              <w:rPr>
                <w:rFonts w:hint="eastAsia" w:ascii="宋体" w:hAnsi="宋体"/>
                <w:szCs w:val="21"/>
              </w:rPr>
              <w:t>三</w:t>
            </w:r>
          </w:p>
        </w:tc>
        <w:tc>
          <w:tcPr>
            <w:tcW w:w="1401" w:type="dxa"/>
            <w:gridSpan w:val="3"/>
            <w:vAlign w:val="center"/>
          </w:tcPr>
          <w:p>
            <w:pPr>
              <w:rPr>
                <w:rFonts w:ascii="宋体" w:hAnsi="宋体"/>
                <w:szCs w:val="21"/>
              </w:rPr>
            </w:pPr>
            <w:r>
              <w:rPr>
                <w:rFonts w:hint="eastAsia" w:ascii="宋体" w:hAnsi="宋体"/>
                <w:szCs w:val="21"/>
              </w:rPr>
              <w:t>四</w:t>
            </w:r>
          </w:p>
        </w:tc>
        <w:tc>
          <w:tcPr>
            <w:tcW w:w="1401" w:type="dxa"/>
            <w:gridSpan w:val="3"/>
            <w:vAlign w:val="center"/>
          </w:tcPr>
          <w:p>
            <w:pPr>
              <w:rPr>
                <w:rFonts w:ascii="宋体" w:hAnsi="宋体"/>
                <w:szCs w:val="21"/>
              </w:rPr>
            </w:pPr>
            <w:r>
              <w:rPr>
                <w:rFonts w:hint="eastAsia" w:ascii="宋体" w:hAnsi="宋体"/>
                <w:szCs w:val="21"/>
              </w:rPr>
              <w:t>一</w:t>
            </w:r>
          </w:p>
        </w:tc>
        <w:tc>
          <w:tcPr>
            <w:tcW w:w="1402" w:type="dxa"/>
            <w:gridSpan w:val="3"/>
            <w:vAlign w:val="center"/>
          </w:tcPr>
          <w:p>
            <w:pPr>
              <w:rPr>
                <w:rFonts w:ascii="宋体" w:hAnsi="宋体"/>
                <w:szCs w:val="21"/>
              </w:rPr>
            </w:pPr>
            <w:r>
              <w:rPr>
                <w:rFonts w:hint="eastAsia" w:ascii="宋体" w:hAnsi="宋体"/>
                <w:szCs w:val="21"/>
              </w:rPr>
              <w:t>二</w:t>
            </w:r>
          </w:p>
        </w:tc>
        <w:tc>
          <w:tcPr>
            <w:tcW w:w="1401" w:type="dxa"/>
            <w:gridSpan w:val="3"/>
            <w:vAlign w:val="center"/>
          </w:tcPr>
          <w:p>
            <w:pPr>
              <w:rPr>
                <w:rFonts w:ascii="宋体" w:hAnsi="宋体"/>
                <w:szCs w:val="21"/>
              </w:rPr>
            </w:pPr>
            <w:r>
              <w:rPr>
                <w:rFonts w:hint="eastAsia" w:ascii="宋体" w:hAnsi="宋体"/>
                <w:szCs w:val="21"/>
              </w:rPr>
              <w:t>三</w:t>
            </w:r>
          </w:p>
        </w:tc>
        <w:tc>
          <w:tcPr>
            <w:tcW w:w="935" w:type="dxa"/>
            <w:gridSpan w:val="2"/>
            <w:vAlign w:val="center"/>
          </w:tcPr>
          <w:p>
            <w:pP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rPr>
                <w:rFonts w:ascii="宋体" w:hAnsi="宋体"/>
                <w:szCs w:val="21"/>
              </w:rPr>
            </w:pPr>
            <w:r>
              <w:rPr>
                <w:rFonts w:hint="eastAsia" w:ascii="宋体" w:hAnsi="宋体"/>
                <w:szCs w:val="21"/>
              </w:rPr>
              <w:t>月  份</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7"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8"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7" w:type="dxa"/>
            <w:vAlign w:val="center"/>
          </w:tcPr>
          <w:p>
            <w:pPr>
              <w:rPr>
                <w:rFonts w:ascii="宋体" w:hAnsi="宋体"/>
                <w:szCs w:val="21"/>
              </w:rPr>
            </w:pPr>
            <w:r>
              <w:rPr>
                <w:rFonts w:hint="eastAsia" w:ascii="宋体" w:hAnsi="宋体"/>
                <w:szCs w:val="21"/>
              </w:rPr>
              <w:t>11</w:t>
            </w:r>
          </w:p>
        </w:tc>
        <w:tc>
          <w:tcPr>
            <w:tcW w:w="467" w:type="dxa"/>
            <w:vAlign w:val="center"/>
          </w:tcPr>
          <w:p>
            <w:pPr>
              <w:rPr>
                <w:rFonts w:ascii="宋体" w:hAnsi="宋体"/>
                <w:szCs w:val="21"/>
              </w:rPr>
            </w:pPr>
            <w:r>
              <w:rPr>
                <w:rFonts w:hint="eastAsia" w:ascii="宋体" w:hAnsi="宋体"/>
                <w:szCs w:val="21"/>
              </w:rPr>
              <w:t>12</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8"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7"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8" w:type="dxa"/>
            <w:vAlign w:val="center"/>
          </w:tcPr>
          <w:p>
            <w:pP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rPr>
                <w:rFonts w:ascii="宋体" w:hAnsi="宋体"/>
                <w:szCs w:val="21"/>
              </w:rPr>
            </w:pPr>
            <w:r>
              <w:rPr>
                <w:rFonts w:hint="eastAsia" w:ascii="宋体" w:hAnsi="宋体"/>
                <w:szCs w:val="21"/>
              </w:rPr>
              <w:t>下部结构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rPr>
                <w:rFonts w:ascii="宋体" w:hAnsi="宋体"/>
                <w:szCs w:val="21"/>
              </w:rPr>
            </w:pPr>
            <w:r>
              <w:rPr>
                <w:rFonts w:hint="eastAsia" w:ascii="宋体" w:hAnsi="宋体"/>
                <w:szCs w:val="21"/>
              </w:rPr>
              <w:t>上部结构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rPr>
                <w:rFonts w:ascii="宋体" w:hAnsi="宋体"/>
                <w:szCs w:val="21"/>
              </w:rPr>
            </w:pPr>
            <w:r>
              <w:rPr>
                <w:rFonts w:hint="eastAsia" w:ascii="宋体" w:hAnsi="宋体"/>
                <w:szCs w:val="21"/>
              </w:rPr>
              <w:t>附属工程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rPr>
                <w:rFonts w:ascii="宋体" w:hAnsi="宋体"/>
                <w:szCs w:val="21"/>
              </w:rPr>
            </w:pPr>
          </w:p>
        </w:tc>
        <w:tc>
          <w:tcPr>
            <w:tcW w:w="1276" w:type="dxa"/>
            <w:tcBorders>
              <w:top w:val="nil"/>
              <w:left w:val="nil"/>
              <w:bottom w:val="single" w:color="auto" w:sz="12" w:space="0"/>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pStyle w:val="2"/>
        <w:ind w:firstLine="210"/>
      </w:pPr>
      <w:r>
        <w:rPr>
          <w:rFonts w:hint="eastAsia" w:ascii="宋体" w:hAnsi="宋体"/>
          <w:szCs w:val="21"/>
        </w:rPr>
        <w:t xml:space="preserve">    2.各个项目的进程可用线条的长短来表示。</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sectPr>
          <w:headerReference r:id="rId10" w:type="first"/>
          <w:headerReference r:id="rId9" w:type="default"/>
          <w:pgSz w:w="16838" w:h="11906" w:orient="landscape"/>
          <w:pgMar w:top="1797" w:right="1440" w:bottom="1797" w:left="1440" w:header="851" w:footer="992" w:gutter="0"/>
          <w:cols w:space="425" w:num="1"/>
          <w:titlePg/>
          <w:docGrid w:type="linesAndChars" w:linePitch="312" w:charSpace="0"/>
        </w:sectPr>
      </w:pPr>
    </w:p>
    <w:p>
      <w:pPr>
        <w:pStyle w:val="4"/>
        <w:spacing w:beforeLines="50" w:after="0" w:line="400" w:lineRule="exact"/>
        <w:rPr>
          <w:rFonts w:ascii="Arial" w:hAnsi="Arial" w:eastAsia="黑体"/>
          <w:kern w:val="2"/>
          <w:sz w:val="28"/>
          <w:szCs w:val="28"/>
        </w:rPr>
      </w:pPr>
      <w:bookmarkStart w:id="244" w:name="_Toc234382967"/>
      <w:r>
        <w:rPr>
          <w:rFonts w:ascii="Arial" w:hAnsi="Arial" w:eastAsia="黑体"/>
          <w:kern w:val="2"/>
          <w:sz w:val="28"/>
          <w:szCs w:val="28"/>
        </w:rPr>
        <w:t>附表三</w:t>
      </w:r>
      <w:r>
        <w:rPr>
          <w:rFonts w:hint="eastAsia" w:ascii="Arial" w:hAnsi="Arial" w:eastAsia="黑体"/>
          <w:kern w:val="2"/>
          <w:sz w:val="28"/>
          <w:szCs w:val="28"/>
        </w:rPr>
        <w:t xml:space="preserve">   工程管理曲线</w:t>
      </w:r>
      <w:bookmarkEnd w:id="244"/>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r>
              <w:pict>
                <v:shape id="_x0000_s1027" o:spid="_x0000_s1027" o:spt="32" type="#_x0000_t32" style="position:absolute;left:0pt;margin-left:-5.9pt;margin-top:-0.3pt;height:44.35pt;width:110pt;z-index:251661312;mso-width-relative:page;mso-height-relative:page;" filled="t" o:preferrelative="t" coordsize="21600,21600">
                  <v:path arrowok="t"/>
                  <v:fill on="t" focussize="0,0"/>
                  <v:stroke miterlimit="2"/>
                  <v:imagedata o:title=""/>
                  <o:lock v:ext="edit"/>
                </v:shape>
              </w:pict>
            </w:r>
            <w:r>
              <w:rPr>
                <w:rFonts w:hint="eastAsia"/>
              </w:rPr>
              <w:t xml:space="preserve">            年  度</w:t>
            </w:r>
          </w:p>
          <w:p>
            <w:r>
              <w:pict>
                <v:rect id="_x0000_s1028" o:spid="_x0000_s1028" o:spt="1" style="position:absolute;left:0pt;margin-left:61.5pt;margin-top:1.6pt;height:21.55pt;width:17.15pt;z-index:251662336;mso-width-relative:page;mso-height-relative:page;" filled="f" o:preferrelative="t" stroked="f" coordsize="21600,21600">
                  <v:path/>
                  <v:fill on="f" focussize="0,0"/>
                  <v:stroke on="f"/>
                  <v:imagedata o:title=""/>
                  <o:lock v:ext="edit"/>
                  <v:textbox>
                    <w:txbxContent>
                      <w:p>
                        <w:r>
                          <w:rPr>
                            <w:rFonts w:hint="eastAsia"/>
                          </w:rPr>
                          <w:t>季</w:t>
                        </w:r>
                      </w:p>
                    </w:txbxContent>
                  </v:textbox>
                </v:rect>
              </w:pict>
            </w:r>
          </w:p>
          <w:p/>
        </w:tc>
        <w:tc>
          <w:tcPr>
            <w:tcW w:w="4537" w:type="dxa"/>
            <w:gridSpan w:val="12"/>
            <w:vAlign w:val="center"/>
          </w:tcPr>
          <w:p>
            <w:r>
              <w:rPr>
                <w:rFonts w:hint="eastAsia" w:ascii="宋体" w:hAnsi="宋体"/>
                <w:szCs w:val="21"/>
              </w:rPr>
              <w:t>年</w:t>
            </w:r>
          </w:p>
        </w:tc>
        <w:tc>
          <w:tcPr>
            <w:tcW w:w="2896" w:type="dxa"/>
            <w:gridSpan w:val="8"/>
            <w:vAlign w:val="center"/>
          </w:tcPr>
          <w:p>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r>
              <w:pict>
                <v:rect id="_x0000_s1029" o:spid="_x0000_s1029" o:spt="1" style="position:absolute;left:0pt;margin-left:84pt;margin-top:-0.45pt;height:21.55pt;width:17.15pt;z-index:251663360;mso-width-relative:page;mso-height-relative:page;" filled="f" o:preferrelative="t" stroked="f" coordsize="21600,21600">
                  <v:path/>
                  <v:fill on="f" focussize="0,0"/>
                  <v:stroke on="f"/>
                  <v:imagedata o:title=""/>
                  <o:lock v:ext="edit"/>
                  <v:textbox>
                    <w:txbxContent>
                      <w:p>
                        <w:r>
                          <w:rPr>
                            <w:rFonts w:hint="eastAsia"/>
                          </w:rPr>
                          <w:t>度</w:t>
                        </w:r>
                      </w:p>
                    </w:txbxContent>
                  </v:textbox>
                </v:rect>
              </w:pict>
            </w:r>
          </w:p>
          <w:p>
            <w:pPr>
              <w:jc w:val="left"/>
            </w:pPr>
          </w:p>
          <w:p>
            <w:pPr>
              <w:jc w:val="left"/>
            </w:pPr>
            <w:r>
              <w:pict>
                <v:rect id="_x0000_s1030" o:spid="_x0000_s1030" o:spt="1" style="position:absolute;left:0pt;margin-left:-5.55pt;margin-top:19.35pt;height:454.5pt;width:89.9pt;z-index:251664384;mso-width-relative:page;mso-height-relative:page;" filled="f" o:preferrelative="t" stroked="f" coordsize="21600,21600">
                  <v:path/>
                  <v:fill on="f" focussize="0,0"/>
                  <v:stroke on="f"/>
                  <v:imagedata o:title=""/>
                  <o:lock v:ext="edit"/>
                  <v:textbox>
                    <w:txbxContent>
                      <w:p/>
                      <w:p/>
                      <w:p/>
                      <w:p/>
                      <w:p/>
                      <w:p/>
                      <w:p/>
                      <w:p/>
                      <w:p/>
                      <w:p/>
                      <w:p/>
                      <w:p/>
                      <w:p>
                        <w:pPr>
                          <w:spacing w:line="240" w:lineRule="exact"/>
                        </w:pPr>
                        <w:r>
                          <w:rPr>
                            <w:rFonts w:hint="eastAsia"/>
                          </w:rPr>
                          <w:t>工</w:t>
                        </w:r>
                      </w:p>
                      <w:p>
                        <w:pPr>
                          <w:spacing w:line="240" w:lineRule="exact"/>
                        </w:pPr>
                      </w:p>
                      <w:p>
                        <w:pPr>
                          <w:spacing w:line="240" w:lineRule="exact"/>
                        </w:pPr>
                        <w:r>
                          <w:rPr>
                            <w:rFonts w:hint="eastAsia"/>
                          </w:rPr>
                          <w:t>程</w:t>
                        </w:r>
                      </w:p>
                      <w:p>
                        <w:pPr>
                          <w:spacing w:line="240" w:lineRule="exact"/>
                        </w:pPr>
                      </w:p>
                      <w:p>
                        <w:pPr>
                          <w:spacing w:line="240" w:lineRule="exact"/>
                        </w:pPr>
                        <w:r>
                          <w:rPr>
                            <w:rFonts w:hint="eastAsia"/>
                          </w:rPr>
                          <w:t>完</w:t>
                        </w:r>
                      </w:p>
                      <w:p>
                        <w:pPr>
                          <w:spacing w:line="240" w:lineRule="exact"/>
                        </w:pPr>
                      </w:p>
                      <w:p>
                        <w:pPr>
                          <w:spacing w:line="240" w:lineRule="exact"/>
                        </w:pPr>
                        <w:r>
                          <w:rPr>
                            <w:rFonts w:hint="eastAsia"/>
                          </w:rPr>
                          <w:t>成</w:t>
                        </w:r>
                      </w:p>
                      <w:p>
                        <w:pPr>
                          <w:spacing w:line="240" w:lineRule="exact"/>
                        </w:pPr>
                      </w:p>
                      <w:p>
                        <w:pPr>
                          <w:spacing w:line="240" w:lineRule="exact"/>
                        </w:pPr>
                        <w:r>
                          <w:rPr>
                            <w:rFonts w:hint="eastAsia"/>
                          </w:rPr>
                          <w:t>的</w:t>
                        </w:r>
                      </w:p>
                      <w:p>
                        <w:pPr>
                          <w:spacing w:line="240" w:lineRule="exact"/>
                        </w:pPr>
                      </w:p>
                      <w:p>
                        <w:pPr>
                          <w:spacing w:line="240" w:lineRule="exact"/>
                        </w:pPr>
                        <w:r>
                          <w:rPr>
                            <w:rFonts w:hint="eastAsia"/>
                          </w:rPr>
                          <w:t>百</w:t>
                        </w:r>
                      </w:p>
                      <w:p>
                        <w:pPr>
                          <w:spacing w:line="240" w:lineRule="exact"/>
                        </w:pPr>
                      </w:p>
                      <w:p>
                        <w:pPr>
                          <w:spacing w:line="240" w:lineRule="exact"/>
                        </w:pPr>
                        <w:r>
                          <w:rPr>
                            <w:rFonts w:hint="eastAsia"/>
                          </w:rPr>
                          <w:t>分</w:t>
                        </w:r>
                      </w:p>
                      <w:p>
                        <w:pPr>
                          <w:spacing w:line="240" w:lineRule="exact"/>
                        </w:pPr>
                      </w:p>
                      <w:p>
                        <w:pPr>
                          <w:spacing w:line="240" w:lineRule="exact"/>
                        </w:pPr>
                        <w:r>
                          <w:rPr>
                            <w:rFonts w:hint="eastAsia"/>
                          </w:rPr>
                          <w:t>比</w:t>
                        </w:r>
                      </w:p>
                      <w:p>
                        <w:pPr>
                          <w:spacing w:line="240" w:lineRule="exact"/>
                        </w:pPr>
                      </w:p>
                      <w:p>
                        <w:pPr>
                          <w:spacing w:line="240" w:lineRule="exact"/>
                        </w:pPr>
                        <w:r>
                          <w:rPr>
                            <w:rFonts w:hint="eastAsia"/>
                          </w:rPr>
                          <w:t>（%）</w:t>
                        </w:r>
                      </w:p>
                    </w:txbxContent>
                  </v:textbox>
                </v:rect>
              </w:pict>
            </w:r>
            <w:r>
              <w:rPr>
                <w:rFonts w:hint="eastAsia"/>
              </w:rPr>
              <w:t>进  度</w:t>
            </w:r>
          </w:p>
        </w:tc>
        <w:tc>
          <w:tcPr>
            <w:tcW w:w="1093" w:type="dxa"/>
            <w:gridSpan w:val="3"/>
            <w:vAlign w:val="center"/>
          </w:tcPr>
          <w:p>
            <w:r>
              <w:rPr>
                <w:rFonts w:hint="eastAsia"/>
              </w:rPr>
              <w:t>一</w:t>
            </w:r>
          </w:p>
        </w:tc>
        <w:tc>
          <w:tcPr>
            <w:tcW w:w="1089" w:type="dxa"/>
            <w:gridSpan w:val="3"/>
            <w:vAlign w:val="center"/>
          </w:tcPr>
          <w:p>
            <w:r>
              <w:rPr>
                <w:rFonts w:hint="eastAsia"/>
              </w:rPr>
              <w:t>二</w:t>
            </w:r>
          </w:p>
        </w:tc>
        <w:tc>
          <w:tcPr>
            <w:tcW w:w="1084" w:type="dxa"/>
            <w:gridSpan w:val="3"/>
            <w:vAlign w:val="center"/>
          </w:tcPr>
          <w:p>
            <w:r>
              <w:rPr>
                <w:rFonts w:hint="eastAsia"/>
              </w:rPr>
              <w:t>三</w:t>
            </w:r>
          </w:p>
        </w:tc>
        <w:tc>
          <w:tcPr>
            <w:tcW w:w="1271" w:type="dxa"/>
            <w:gridSpan w:val="3"/>
            <w:vAlign w:val="center"/>
          </w:tcPr>
          <w:p>
            <w:r>
              <w:rPr>
                <w:rFonts w:hint="eastAsia"/>
              </w:rPr>
              <w:t>四</w:t>
            </w:r>
          </w:p>
        </w:tc>
        <w:tc>
          <w:tcPr>
            <w:tcW w:w="1084" w:type="dxa"/>
            <w:gridSpan w:val="3"/>
            <w:vAlign w:val="center"/>
          </w:tcPr>
          <w:p>
            <w:r>
              <w:rPr>
                <w:rFonts w:hint="eastAsia"/>
              </w:rPr>
              <w:t>一</w:t>
            </w:r>
          </w:p>
        </w:tc>
        <w:tc>
          <w:tcPr>
            <w:tcW w:w="1088" w:type="dxa"/>
            <w:gridSpan w:val="3"/>
            <w:vAlign w:val="center"/>
          </w:tcPr>
          <w:p>
            <w:r>
              <w:rPr>
                <w:rFonts w:hint="eastAsia"/>
              </w:rPr>
              <w:t>二</w:t>
            </w:r>
          </w:p>
        </w:tc>
        <w:tc>
          <w:tcPr>
            <w:tcW w:w="724" w:type="dxa"/>
            <w:gridSpan w:val="2"/>
            <w:vAlign w:val="center"/>
          </w:tcPr>
          <w:p>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tc>
        <w:tc>
          <w:tcPr>
            <w:tcW w:w="361" w:type="dxa"/>
            <w:vAlign w:val="center"/>
          </w:tcPr>
          <w:p>
            <w:r>
              <w:rPr>
                <w:rFonts w:hint="eastAsia"/>
              </w:rPr>
              <w:t>1</w:t>
            </w:r>
          </w:p>
        </w:tc>
        <w:tc>
          <w:tcPr>
            <w:tcW w:w="361" w:type="dxa"/>
            <w:vAlign w:val="center"/>
          </w:tcPr>
          <w:p>
            <w:r>
              <w:rPr>
                <w:rFonts w:hint="eastAsia"/>
              </w:rPr>
              <w:t>2</w:t>
            </w:r>
          </w:p>
        </w:tc>
        <w:tc>
          <w:tcPr>
            <w:tcW w:w="371" w:type="dxa"/>
            <w:vAlign w:val="center"/>
          </w:tcPr>
          <w:p>
            <w:r>
              <w:rPr>
                <w:rFonts w:hint="eastAsia"/>
              </w:rPr>
              <w:t>3</w:t>
            </w:r>
          </w:p>
        </w:tc>
        <w:tc>
          <w:tcPr>
            <w:tcW w:w="361" w:type="dxa"/>
            <w:vAlign w:val="center"/>
          </w:tcPr>
          <w:p>
            <w:r>
              <w:rPr>
                <w:rFonts w:hint="eastAsia"/>
              </w:rPr>
              <w:t>4</w:t>
            </w:r>
          </w:p>
        </w:tc>
        <w:tc>
          <w:tcPr>
            <w:tcW w:w="361" w:type="dxa"/>
            <w:vAlign w:val="center"/>
          </w:tcPr>
          <w:p>
            <w:r>
              <w:rPr>
                <w:rFonts w:hint="eastAsia"/>
              </w:rPr>
              <w:t>5</w:t>
            </w:r>
          </w:p>
        </w:tc>
        <w:tc>
          <w:tcPr>
            <w:tcW w:w="367" w:type="dxa"/>
            <w:vAlign w:val="center"/>
          </w:tcPr>
          <w:p>
            <w:r>
              <w:rPr>
                <w:rFonts w:hint="eastAsia"/>
              </w:rPr>
              <w:t>6</w:t>
            </w:r>
          </w:p>
        </w:tc>
        <w:tc>
          <w:tcPr>
            <w:tcW w:w="360" w:type="dxa"/>
            <w:vAlign w:val="center"/>
          </w:tcPr>
          <w:p>
            <w:r>
              <w:rPr>
                <w:rFonts w:hint="eastAsia"/>
              </w:rPr>
              <w:t>7</w:t>
            </w:r>
          </w:p>
        </w:tc>
        <w:tc>
          <w:tcPr>
            <w:tcW w:w="360" w:type="dxa"/>
            <w:vAlign w:val="center"/>
          </w:tcPr>
          <w:p>
            <w:r>
              <w:rPr>
                <w:rFonts w:hint="eastAsia"/>
              </w:rPr>
              <w:t>8</w:t>
            </w:r>
          </w:p>
        </w:tc>
        <w:tc>
          <w:tcPr>
            <w:tcW w:w="364" w:type="dxa"/>
            <w:vAlign w:val="center"/>
          </w:tcPr>
          <w:p>
            <w:r>
              <w:rPr>
                <w:rFonts w:hint="eastAsia"/>
              </w:rPr>
              <w:t>9</w:t>
            </w:r>
          </w:p>
        </w:tc>
        <w:tc>
          <w:tcPr>
            <w:tcW w:w="426" w:type="dxa"/>
            <w:vAlign w:val="center"/>
          </w:tcPr>
          <w:p>
            <w:r>
              <w:rPr>
                <w:rFonts w:hint="eastAsia"/>
              </w:rPr>
              <w:t>10</w:t>
            </w:r>
          </w:p>
        </w:tc>
        <w:tc>
          <w:tcPr>
            <w:tcW w:w="419" w:type="dxa"/>
            <w:vAlign w:val="center"/>
          </w:tcPr>
          <w:p>
            <w:r>
              <w:rPr>
                <w:rFonts w:hint="eastAsia"/>
              </w:rPr>
              <w:t>11</w:t>
            </w:r>
          </w:p>
        </w:tc>
        <w:tc>
          <w:tcPr>
            <w:tcW w:w="426" w:type="dxa"/>
            <w:vAlign w:val="center"/>
          </w:tcPr>
          <w:p>
            <w:r>
              <w:rPr>
                <w:rFonts w:hint="eastAsia"/>
              </w:rPr>
              <w:t>12</w:t>
            </w:r>
          </w:p>
        </w:tc>
        <w:tc>
          <w:tcPr>
            <w:tcW w:w="360" w:type="dxa"/>
            <w:vAlign w:val="center"/>
          </w:tcPr>
          <w:p>
            <w:r>
              <w:rPr>
                <w:rFonts w:hint="eastAsia"/>
              </w:rPr>
              <w:t>1</w:t>
            </w:r>
          </w:p>
        </w:tc>
        <w:tc>
          <w:tcPr>
            <w:tcW w:w="360" w:type="dxa"/>
            <w:vAlign w:val="center"/>
          </w:tcPr>
          <w:p>
            <w:r>
              <w:rPr>
                <w:rFonts w:hint="eastAsia"/>
              </w:rPr>
              <w:t>2</w:t>
            </w:r>
          </w:p>
        </w:tc>
        <w:tc>
          <w:tcPr>
            <w:tcW w:w="364" w:type="dxa"/>
            <w:vAlign w:val="center"/>
          </w:tcPr>
          <w:p>
            <w:r>
              <w:rPr>
                <w:rFonts w:hint="eastAsia"/>
              </w:rPr>
              <w:t>3</w:t>
            </w:r>
          </w:p>
        </w:tc>
        <w:tc>
          <w:tcPr>
            <w:tcW w:w="362" w:type="dxa"/>
            <w:vAlign w:val="center"/>
          </w:tcPr>
          <w:p>
            <w:r>
              <w:rPr>
                <w:rFonts w:hint="eastAsia"/>
              </w:rPr>
              <w:t>4</w:t>
            </w:r>
          </w:p>
        </w:tc>
        <w:tc>
          <w:tcPr>
            <w:tcW w:w="362" w:type="dxa"/>
            <w:vAlign w:val="center"/>
          </w:tcPr>
          <w:p>
            <w:r>
              <w:rPr>
                <w:rFonts w:hint="eastAsia"/>
              </w:rPr>
              <w:t>5</w:t>
            </w:r>
          </w:p>
        </w:tc>
        <w:tc>
          <w:tcPr>
            <w:tcW w:w="364" w:type="dxa"/>
            <w:vAlign w:val="center"/>
          </w:tcPr>
          <w:p>
            <w:r>
              <w:rPr>
                <w:rFonts w:hint="eastAsia"/>
              </w:rPr>
              <w:t>6</w:t>
            </w:r>
          </w:p>
        </w:tc>
        <w:tc>
          <w:tcPr>
            <w:tcW w:w="724" w:type="dxa"/>
            <w:gridSpan w:val="2"/>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bl>
    <w:p>
      <w:r>
        <w:rPr>
          <w:rFonts w:ascii="隶书" w:eastAsia="隶书"/>
          <w:sz w:val="24"/>
        </w:rPr>
        <w:pict>
          <v:rect id="文本框 2" o:spid="_x0000_s1026" o:spt="1" style="position:absolute;left:0pt;margin-left:72.35pt;margin-top:29.85pt;height:23pt;width:288pt;z-index:251660288;mso-width-relative:page;mso-height-relative:page;" filled="f" o:preferrelative="t" stroked="f" coordsize="21600,21600">
            <v:path/>
            <v:fill on="f" focussize="0,0"/>
            <v:stroke on="f"/>
            <v:imagedata o:title=""/>
            <o:lock v:ext="edit"/>
            <v:textbox>
              <w:txbxContent>
                <w:p>
                  <w:pPr>
                    <w:jc w:val="center"/>
                    <w:rPr>
                      <w:rFonts w:ascii="宋体" w:hAnsi="宋体"/>
                    </w:rPr>
                  </w:pPr>
                  <w:r>
                    <w:rPr>
                      <w:rFonts w:hint="eastAsia" w:ascii="宋体" w:hAnsi="宋体"/>
                    </w:rPr>
                    <w:t>工期历程的百分比（%）</w:t>
                  </w:r>
                </w:p>
              </w:txbxContent>
            </v:textbox>
          </v:rect>
        </w:pict>
      </w:r>
      <w:r>
        <w:pict>
          <v:rect id="矩形 19" o:spid="_x0000_s1031" o:spt="1" style="position:absolute;left:0pt;margin-left:90.5pt;margin-top:1.65pt;height:21.05pt;width:410.9pt;z-index:251665408;mso-width-relative:page;mso-height-relative:page;" filled="f" o:preferrelative="t" stroked="f" coordsize="21600,21600">
            <v:path/>
            <v:fill on="f" focussize="0,0"/>
            <v:stroke on="f"/>
            <v:imagedata o:title=""/>
            <o:lock v:ext="edit"/>
            <v:textbox>
              <w:txbxContent>
                <w:p>
                  <w:r>
                    <w:rPr>
                      <w:rFonts w:hint="eastAsia"/>
                    </w:rPr>
                    <w:t>0     10     20     30     40      50     60     70     80     90    100</w:t>
                  </w:r>
                </w:p>
              </w:txbxContent>
            </v:textbox>
          </v:rect>
        </w:pict>
      </w:r>
    </w:p>
    <w:p/>
    <w:p/>
    <w:p/>
    <w:p/>
    <w:p/>
    <w:p/>
    <w:p/>
    <w:p/>
    <w:p>
      <w:pPr>
        <w:sectPr>
          <w:headerReference r:id="rId11" w:type="first"/>
          <w:pgSz w:w="11906" w:h="16838"/>
          <w:pgMar w:top="1440" w:right="1797" w:bottom="1440" w:left="1797" w:header="851" w:footer="992" w:gutter="0"/>
          <w:cols w:space="425" w:num="1"/>
          <w:titlePg/>
          <w:docGrid w:type="lines" w:linePitch="312" w:charSpace="0"/>
        </w:sectPr>
      </w:pPr>
    </w:p>
    <w:p>
      <w:pPr>
        <w:pStyle w:val="4"/>
        <w:spacing w:beforeLines="50" w:after="240" w:line="400" w:lineRule="exact"/>
        <w:rPr>
          <w:rFonts w:ascii="Arial" w:hAnsi="Arial" w:eastAsia="黑体"/>
          <w:kern w:val="2"/>
          <w:sz w:val="28"/>
          <w:szCs w:val="28"/>
        </w:rPr>
      </w:pPr>
      <w:bookmarkStart w:id="245" w:name="_Toc234382968"/>
      <w:r>
        <w:rPr>
          <w:rFonts w:ascii="Arial" w:hAnsi="Arial" w:eastAsia="黑体"/>
          <w:kern w:val="2"/>
          <w:sz w:val="28"/>
          <w:szCs w:val="28"/>
        </w:rPr>
        <w:t>附表四</w:t>
      </w:r>
      <w:r>
        <w:rPr>
          <w:rFonts w:hint="eastAsia" w:ascii="Arial" w:hAnsi="Arial" w:eastAsia="黑体"/>
          <w:kern w:val="2"/>
          <w:sz w:val="28"/>
          <w:szCs w:val="28"/>
        </w:rPr>
        <w:t xml:space="preserve">   分项工程生产率和施工周期表</w:t>
      </w:r>
      <w:bookmarkEnd w:id="245"/>
    </w:p>
    <w:tbl>
      <w:tblPr>
        <w:tblStyle w:val="12"/>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平均每生产单位规模（人，各种机械台）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jc w:val="center"/>
              <w:rPr>
                <w:rFonts w:ascii="宋体" w:hAnsi="宋体"/>
                <w:szCs w:val="21"/>
              </w:rPr>
            </w:pPr>
            <w:r>
              <w:rPr>
                <w:rFonts w:hint="eastAsia" w:ascii="宋体" w:hAnsi="宋体"/>
                <w:szCs w:val="21"/>
              </w:rPr>
              <w:t>下部结构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jc w:val="center"/>
              <w:rPr>
                <w:rFonts w:ascii="宋体" w:hAnsi="宋体"/>
                <w:szCs w:val="21"/>
              </w:rPr>
            </w:pPr>
            <w:r>
              <w:rPr>
                <w:rFonts w:hint="eastAsia" w:ascii="宋体" w:hAnsi="宋体"/>
                <w:szCs w:val="21"/>
              </w:rPr>
              <w:t>上部结构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jc w:val="center"/>
              <w:rPr>
                <w:rFonts w:ascii="宋体" w:hAnsi="宋体"/>
                <w:szCs w:val="21"/>
              </w:rPr>
            </w:pPr>
            <w:r>
              <w:rPr>
                <w:rFonts w:hint="eastAsia" w:ascii="宋体" w:hAnsi="宋体"/>
                <w:szCs w:val="21"/>
              </w:rPr>
              <w:t>附属工程</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bl>
    <w:p>
      <w:pPr>
        <w:sectPr>
          <w:footnotePr>
            <w:numFmt w:val="decimalEnclosedCircleChinese"/>
            <w:numRestart w:val="eachPage"/>
          </w:footnotePr>
          <w:pgSz w:w="16840" w:h="11907" w:orient="landscape"/>
          <w:pgMar w:top="1361" w:right="1440" w:bottom="1361" w:left="1440" w:header="720" w:footer="907" w:gutter="0"/>
          <w:cols w:space="720" w:num="1"/>
        </w:sectPr>
      </w:pPr>
    </w:p>
    <w:p>
      <w:pPr>
        <w:pStyle w:val="4"/>
        <w:spacing w:beforeLines="50" w:after="240" w:line="400" w:lineRule="exact"/>
        <w:rPr>
          <w:rFonts w:ascii="Arial" w:hAnsi="Arial" w:eastAsia="黑体"/>
          <w:kern w:val="2"/>
          <w:sz w:val="28"/>
          <w:szCs w:val="28"/>
        </w:rPr>
      </w:pPr>
      <w:bookmarkStart w:id="246" w:name="_Toc234382969"/>
      <w:r>
        <w:rPr>
          <w:rFonts w:ascii="Arial" w:hAnsi="Arial" w:eastAsia="黑体"/>
          <w:kern w:val="2"/>
          <w:sz w:val="28"/>
          <w:szCs w:val="28"/>
        </w:rPr>
        <w:t>附表五</w:t>
      </w:r>
      <w:r>
        <w:rPr>
          <w:rFonts w:hint="eastAsia" w:ascii="Arial" w:hAnsi="Arial" w:eastAsia="黑体"/>
          <w:kern w:val="2"/>
          <w:sz w:val="28"/>
          <w:szCs w:val="28"/>
        </w:rPr>
        <w:t xml:space="preserve">  </w:t>
      </w:r>
      <w:r>
        <w:rPr>
          <w:rFonts w:ascii="Arial" w:hAnsi="Arial" w:eastAsia="黑体"/>
          <w:kern w:val="2"/>
          <w:sz w:val="28"/>
          <w:szCs w:val="28"/>
        </w:rPr>
        <w:t>施工总平面图</w:t>
      </w:r>
      <w:bookmarkEnd w:id="246"/>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4"/>
        <w:spacing w:beforeLines="50" w:after="240" w:line="400" w:lineRule="exact"/>
        <w:rPr>
          <w:rFonts w:ascii="Arial" w:hAnsi="Arial" w:eastAsia="黑体"/>
          <w:kern w:val="2"/>
          <w:sz w:val="28"/>
          <w:szCs w:val="28"/>
        </w:rPr>
      </w:pPr>
      <w:bookmarkStart w:id="247" w:name="_Toc234382970"/>
      <w:r>
        <w:rPr>
          <w:rFonts w:ascii="Arial" w:hAnsi="Arial" w:eastAsia="黑体"/>
          <w:kern w:val="2"/>
          <w:sz w:val="28"/>
          <w:szCs w:val="28"/>
        </w:rPr>
        <w:t>附表</w:t>
      </w:r>
      <w:r>
        <w:rPr>
          <w:rFonts w:hint="eastAsia" w:ascii="Arial" w:hAnsi="Arial" w:eastAsia="黑体"/>
          <w:kern w:val="2"/>
          <w:sz w:val="28"/>
          <w:szCs w:val="28"/>
        </w:rPr>
        <w:t>六   劳动力计划表</w:t>
      </w:r>
      <w:bookmarkEnd w:id="247"/>
    </w:p>
    <w:p>
      <w:pPr>
        <w:jc w:val="right"/>
        <w:rPr>
          <w:rFonts w:ascii="宋体" w:hAnsi="宋体"/>
          <w:sz w:val="24"/>
        </w:rPr>
      </w:pPr>
      <w:r>
        <w:rPr>
          <w:rFonts w:hint="eastAsia" w:ascii="宋体" w:hAnsi="宋体"/>
          <w:sz w:val="24"/>
        </w:rPr>
        <w:t>单位：人</w:t>
      </w:r>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4"/>
        <w:spacing w:beforeLines="50" w:after="240" w:line="400" w:lineRule="exact"/>
        <w:rPr>
          <w:rFonts w:ascii="Arial" w:hAnsi="Arial" w:eastAsia="黑体"/>
          <w:kern w:val="2"/>
          <w:sz w:val="28"/>
          <w:szCs w:val="28"/>
        </w:rPr>
      </w:pPr>
      <w:r>
        <w:rPr>
          <w:rFonts w:ascii="宋体"/>
          <w:sz w:val="24"/>
        </w:rPr>
        <w:br w:type="page"/>
      </w:r>
      <w:bookmarkStart w:id="248" w:name="_Toc234382971"/>
      <w:r>
        <w:rPr>
          <w:rFonts w:ascii="Arial" w:hAnsi="Arial" w:eastAsia="黑体"/>
          <w:kern w:val="2"/>
          <w:sz w:val="28"/>
          <w:szCs w:val="28"/>
        </w:rPr>
        <w:t>附表</w:t>
      </w:r>
      <w:r>
        <w:rPr>
          <w:rFonts w:hint="eastAsia" w:ascii="Arial" w:hAnsi="Arial" w:eastAsia="黑体"/>
          <w:kern w:val="2"/>
          <w:sz w:val="28"/>
          <w:szCs w:val="28"/>
        </w:rPr>
        <w:t>七  临时用地计划表</w:t>
      </w:r>
      <w:bookmarkEnd w:id="248"/>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rPr>
              <w:t>年月至年月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rPr>
                <w:rFonts w:ascii="宋体" w:hAnsi="宋体"/>
                <w:szCs w:val="21"/>
              </w:rPr>
            </w:pPr>
          </w:p>
        </w:tc>
        <w:tc>
          <w:tcPr>
            <w:tcW w:w="699" w:type="dxa"/>
            <w:vAlign w:val="center"/>
          </w:tcPr>
          <w:p>
            <w:pPr>
              <w:rPr>
                <w:rFonts w:ascii="宋体" w:hAnsi="宋体"/>
                <w:szCs w:val="21"/>
              </w:rPr>
            </w:pPr>
            <w:r>
              <w:rPr>
                <w:rFonts w:hint="eastAsia" w:ascii="宋体" w:hAnsi="宋体"/>
                <w:szCs w:val="21"/>
              </w:rPr>
              <w:t>菜地</w:t>
            </w:r>
          </w:p>
        </w:tc>
        <w:tc>
          <w:tcPr>
            <w:tcW w:w="700" w:type="dxa"/>
            <w:vAlign w:val="center"/>
          </w:tcPr>
          <w:p>
            <w:pPr>
              <w:rPr>
                <w:rFonts w:ascii="宋体" w:hAnsi="宋体"/>
                <w:szCs w:val="21"/>
              </w:rPr>
            </w:pPr>
            <w:r>
              <w:rPr>
                <w:rFonts w:hint="eastAsia" w:ascii="宋体" w:hAnsi="宋体"/>
                <w:szCs w:val="21"/>
              </w:rPr>
              <w:t>水田</w:t>
            </w:r>
          </w:p>
        </w:tc>
        <w:tc>
          <w:tcPr>
            <w:tcW w:w="702" w:type="dxa"/>
            <w:vAlign w:val="center"/>
          </w:tcPr>
          <w:p>
            <w:pPr>
              <w:rPr>
                <w:rFonts w:ascii="宋体" w:hAnsi="宋体"/>
                <w:szCs w:val="21"/>
              </w:rPr>
            </w:pPr>
            <w:r>
              <w:rPr>
                <w:rFonts w:hint="eastAsia" w:ascii="宋体" w:hAnsi="宋体"/>
                <w:szCs w:val="21"/>
              </w:rPr>
              <w:t>旱地</w:t>
            </w:r>
          </w:p>
        </w:tc>
        <w:tc>
          <w:tcPr>
            <w:tcW w:w="700" w:type="dxa"/>
            <w:vAlign w:val="center"/>
          </w:tcPr>
          <w:p>
            <w:pPr>
              <w:rPr>
                <w:rFonts w:ascii="宋体" w:hAnsi="宋体"/>
                <w:szCs w:val="21"/>
              </w:rPr>
            </w:pPr>
            <w:r>
              <w:rPr>
                <w:rFonts w:hint="eastAsia" w:ascii="宋体" w:hAnsi="宋体"/>
                <w:szCs w:val="21"/>
              </w:rPr>
              <w:t>果园</w:t>
            </w:r>
          </w:p>
        </w:tc>
        <w:tc>
          <w:tcPr>
            <w:tcW w:w="706" w:type="dxa"/>
            <w:vAlign w:val="center"/>
          </w:tcPr>
          <w:p>
            <w:pPr>
              <w:rPr>
                <w:rFonts w:ascii="宋体" w:hAnsi="宋体"/>
                <w:szCs w:val="21"/>
              </w:rPr>
            </w:pPr>
            <w:r>
              <w:rPr>
                <w:rFonts w:hint="eastAsia" w:ascii="宋体" w:hAnsi="宋体"/>
                <w:szCs w:val="21"/>
              </w:rPr>
              <w:t>荒地</w:t>
            </w:r>
          </w:p>
        </w:tc>
        <w:tc>
          <w:tcPr>
            <w:tcW w:w="1779" w:type="dxa"/>
            <w:vMerge w:val="continue"/>
            <w:vAlign w:val="center"/>
          </w:tcPr>
          <w:p>
            <w:pPr>
              <w:rPr>
                <w:rFonts w:ascii="宋体" w:hAnsi="宋体"/>
                <w:szCs w:val="21"/>
              </w:rPr>
            </w:pPr>
          </w:p>
        </w:tc>
        <w:tc>
          <w:tcPr>
            <w:tcW w:w="673" w:type="dxa"/>
            <w:vAlign w:val="center"/>
          </w:tcPr>
          <w:p>
            <w:pPr>
              <w:rPr>
                <w:rFonts w:ascii="宋体" w:hAnsi="宋体"/>
                <w:szCs w:val="21"/>
              </w:rPr>
            </w:pPr>
            <w:r>
              <w:rPr>
                <w:rFonts w:hint="eastAsia" w:ascii="宋体" w:hAnsi="宋体"/>
                <w:szCs w:val="21"/>
              </w:rPr>
              <w:t>桩</w:t>
            </w:r>
          </w:p>
          <w:p>
            <w:pPr>
              <w:rPr>
                <w:rFonts w:ascii="宋体" w:hAnsi="宋体"/>
                <w:szCs w:val="21"/>
              </w:rPr>
            </w:pPr>
            <w:r>
              <w:rPr>
                <w:rFonts w:hint="eastAsia" w:ascii="宋体" w:hAnsi="宋体"/>
                <w:szCs w:val="21"/>
              </w:rPr>
              <w:t>号</w:t>
            </w:r>
          </w:p>
        </w:tc>
        <w:tc>
          <w:tcPr>
            <w:tcW w:w="741" w:type="dxa"/>
            <w:vAlign w:val="center"/>
          </w:tcPr>
          <w:p>
            <w:pPr>
              <w:rPr>
                <w:rFonts w:ascii="宋体" w:hAnsi="宋体"/>
                <w:szCs w:val="21"/>
              </w:rPr>
            </w:pPr>
            <w:r>
              <w:rPr>
                <w:rFonts w:hint="eastAsia" w:ascii="宋体" w:hAnsi="宋体"/>
                <w:szCs w:val="21"/>
              </w:rPr>
              <w:t>左侧（m）</w:t>
            </w:r>
          </w:p>
        </w:tc>
        <w:tc>
          <w:tcPr>
            <w:tcW w:w="742" w:type="dxa"/>
            <w:vAlign w:val="center"/>
          </w:tcPr>
          <w:p>
            <w:pP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bl>
    <w:p>
      <w:pPr>
        <w:pStyle w:val="4"/>
        <w:spacing w:beforeLines="50" w:after="240" w:line="400" w:lineRule="exact"/>
        <w:rPr>
          <w:rFonts w:ascii="隶书" w:hAnsi="宋体" w:eastAsia="隶书"/>
          <w:sz w:val="30"/>
          <w:szCs w:val="30"/>
        </w:rPr>
      </w:pPr>
      <w:r>
        <w:rPr>
          <w:rFonts w:ascii="宋体" w:hAnsi="宋体"/>
          <w:sz w:val="24"/>
        </w:rPr>
        <w:br w:type="page"/>
      </w:r>
      <w:bookmarkStart w:id="249" w:name="_Toc234382972"/>
      <w:r>
        <w:rPr>
          <w:rFonts w:hint="eastAsia" w:ascii="Arial" w:hAnsi="Arial" w:eastAsia="黑体"/>
          <w:kern w:val="2"/>
          <w:sz w:val="28"/>
          <w:szCs w:val="28"/>
        </w:rPr>
        <w:t>附表八  外供电力需求计划表</w:t>
      </w:r>
      <w:bookmarkEnd w:id="249"/>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   月</w:t>
            </w:r>
          </w:p>
          <w:p>
            <w:pPr>
              <w:ind w:left="735" w:leftChars="300" w:hanging="105" w:hangingChars="50"/>
              <w:jc w:val="left"/>
              <w:rPr>
                <w:rFonts w:ascii="宋体" w:hAnsi="宋体"/>
                <w:szCs w:val="21"/>
              </w:rPr>
            </w:pPr>
            <w:r>
              <w:rPr>
                <w:rFonts w:hint="eastAsia" w:ascii="宋体" w:hAnsi="宋体"/>
                <w:szCs w:val="21"/>
              </w:rPr>
              <w:t>至年   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pStyle w:val="4"/>
        <w:spacing w:beforeLines="50" w:after="240" w:line="400" w:lineRule="exact"/>
        <w:rPr>
          <w:rFonts w:ascii="Arial" w:hAnsi="Arial" w:eastAsia="黑体"/>
          <w:kern w:val="2"/>
          <w:sz w:val="28"/>
          <w:szCs w:val="28"/>
        </w:rPr>
      </w:pPr>
      <w:r>
        <w:rPr>
          <w:rFonts w:hint="eastAsia" w:ascii="Arial" w:hAnsi="Arial" w:eastAsia="黑体"/>
          <w:kern w:val="2"/>
          <w:sz w:val="28"/>
          <w:szCs w:val="28"/>
        </w:rPr>
        <w:t>附表九   合同用款估算表</w:t>
      </w:r>
    </w:p>
    <w:tbl>
      <w:tblPr>
        <w:tblStyle w:val="12"/>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widowControl/>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rPr>
      </w:pPr>
    </w:p>
    <w:p>
      <w:pPr>
        <w:pStyle w:val="4"/>
        <w:pageBreakBefore/>
        <w:spacing w:beforeLines="100" w:afterLines="150" w:line="360" w:lineRule="exact"/>
        <w:jc w:val="center"/>
        <w:rPr>
          <w:rFonts w:ascii="黑体" w:hAnsi="宋体" w:eastAsia="黑体"/>
          <w:sz w:val="28"/>
          <w:szCs w:val="28"/>
        </w:rPr>
      </w:pPr>
      <w:r>
        <w:rPr>
          <w:rFonts w:hint="eastAsia" w:ascii="黑体" w:hAnsi="宋体" w:eastAsia="黑体"/>
          <w:sz w:val="28"/>
          <w:szCs w:val="28"/>
        </w:rPr>
        <w:t>五</w:t>
      </w:r>
      <w:r>
        <w:rPr>
          <w:rFonts w:ascii="黑体" w:hAnsi="宋体" w:eastAsia="黑体"/>
          <w:sz w:val="28"/>
          <w:szCs w:val="28"/>
        </w:rPr>
        <w:t>、项目管理机构</w:t>
      </w:r>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73"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
      <w:pPr>
        <w:pStyle w:val="4"/>
        <w:spacing w:beforeLines="100" w:afterLines="150" w:line="360" w:lineRule="exact"/>
        <w:jc w:val="center"/>
        <w:rPr>
          <w:rFonts w:ascii="黑体" w:hAnsi="宋体" w:eastAsia="黑体"/>
          <w:sz w:val="28"/>
          <w:szCs w:val="28"/>
        </w:rPr>
      </w:pPr>
      <w:bookmarkStart w:id="250" w:name="_Toc18211"/>
      <w:bookmarkStart w:id="251" w:name="_Toc234382977"/>
      <w:bookmarkStart w:id="252" w:name="_Toc486277938"/>
      <w:bookmarkStart w:id="253" w:name="_Toc485889072"/>
      <w:r>
        <w:rPr>
          <w:rFonts w:hint="eastAsia" w:ascii="黑体" w:hAnsi="宋体" w:eastAsia="黑体"/>
          <w:sz w:val="28"/>
          <w:szCs w:val="28"/>
        </w:rPr>
        <w:t>六、资格审查资料</w:t>
      </w:r>
      <w:bookmarkEnd w:id="250"/>
      <w:bookmarkEnd w:id="251"/>
      <w:bookmarkEnd w:id="252"/>
      <w:bookmarkEnd w:id="253"/>
    </w:p>
    <w:p>
      <w:pPr>
        <w:pStyle w:val="4"/>
        <w:spacing w:beforeLines="100" w:afterLines="150" w:line="360" w:lineRule="exact"/>
        <w:jc w:val="center"/>
        <w:rPr>
          <w:rFonts w:ascii="黑体" w:hAnsi="宋体" w:eastAsia="黑体"/>
          <w:sz w:val="28"/>
          <w:szCs w:val="28"/>
        </w:rPr>
      </w:pPr>
      <w:bookmarkStart w:id="254" w:name="_Toc234382978"/>
      <w:bookmarkStart w:id="255" w:name="_Toc486277939"/>
      <w:bookmarkStart w:id="256" w:name="_Toc9432"/>
      <w:bookmarkStart w:id="257" w:name="_Toc485889073"/>
      <w:r>
        <w:rPr>
          <w:rFonts w:hint="eastAsia" w:ascii="黑体" w:hAnsi="宋体" w:eastAsia="黑体"/>
          <w:sz w:val="28"/>
          <w:szCs w:val="28"/>
        </w:rPr>
        <w:t>（一）投标人基本情况表</w:t>
      </w:r>
      <w:bookmarkEnd w:id="254"/>
      <w:bookmarkEnd w:id="255"/>
      <w:bookmarkEnd w:id="256"/>
      <w:bookmarkEnd w:id="257"/>
    </w:p>
    <w:tbl>
      <w:tblPr>
        <w:tblStyle w:val="12"/>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投标人名称</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注册地址</w:t>
            </w:r>
          </w:p>
        </w:tc>
        <w:tc>
          <w:tcPr>
            <w:tcW w:w="3846" w:type="dxa"/>
            <w:gridSpan w:val="4"/>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邮政编码</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联系方式</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联系人</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kern w:val="0"/>
                <w:szCs w:val="21"/>
              </w:rPr>
            </w:pPr>
          </w:p>
        </w:tc>
        <w:tc>
          <w:tcPr>
            <w:tcW w:w="1010" w:type="dxa"/>
            <w:vAlign w:val="center"/>
          </w:tcPr>
          <w:p>
            <w:pPr>
              <w:tabs>
                <w:tab w:val="left" w:pos="540"/>
              </w:tabs>
              <w:autoSpaceDE w:val="0"/>
              <w:autoSpaceDN w:val="0"/>
              <w:adjustRightInd w:val="0"/>
              <w:jc w:val="center"/>
              <w:rPr>
                <w:rFonts w:ascii="宋体" w:hAnsi="宋体"/>
                <w:kern w:val="0"/>
                <w:szCs w:val="21"/>
              </w:rPr>
            </w:pPr>
            <w:r>
              <w:rPr>
                <w:rFonts w:hint="eastAsia" w:ascii="宋体" w:hAnsi="宋体" w:cs="MingLiU"/>
                <w:kern w:val="0"/>
                <w:szCs w:val="21"/>
              </w:rPr>
              <w:t>传真</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电子邮件</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法定代表人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技术负责人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成立时间</w:t>
            </w:r>
          </w:p>
        </w:tc>
        <w:tc>
          <w:tcPr>
            <w:tcW w:w="2080" w:type="dxa"/>
            <w:gridSpan w:val="2"/>
            <w:vAlign w:val="center"/>
          </w:tcPr>
          <w:p>
            <w:pPr>
              <w:autoSpaceDE w:val="0"/>
              <w:autoSpaceDN w:val="0"/>
              <w:adjustRightInd w:val="0"/>
              <w:jc w:val="center"/>
              <w:rPr>
                <w:rFonts w:ascii="宋体" w:hAnsi="宋体"/>
                <w:kern w:val="0"/>
                <w:szCs w:val="21"/>
              </w:rPr>
            </w:pPr>
          </w:p>
        </w:tc>
        <w:tc>
          <w:tcPr>
            <w:tcW w:w="5617" w:type="dxa"/>
            <w:gridSpan w:val="6"/>
            <w:vAlign w:val="center"/>
          </w:tcPr>
          <w:p>
            <w:pPr>
              <w:autoSpaceDE w:val="0"/>
              <w:autoSpaceDN w:val="0"/>
              <w:adjustRightInd w:val="0"/>
              <w:ind w:left="105" w:leftChars="50"/>
              <w:jc w:val="center"/>
              <w:rPr>
                <w:rFonts w:ascii="宋体" w:hAnsi="宋体"/>
                <w:kern w:val="0"/>
                <w:szCs w:val="21"/>
                <w:u w:val="single"/>
              </w:rPr>
            </w:pPr>
            <w:r>
              <w:rPr>
                <w:rFonts w:hint="eastAsia" w:ascii="宋体" w:hAnsi="宋体" w:cs="MingLiU"/>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企业资质等级</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其中</w:t>
            </w: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项目经理</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营业执照号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高级职称人员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注册资金</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中级职称人员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基本账户开户银行</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初级职称人员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基本账户账号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tabs>
                <w:tab w:val="left" w:pos="1240"/>
              </w:tabs>
              <w:autoSpaceDE w:val="0"/>
              <w:autoSpaceDN w:val="0"/>
              <w:adjustRightInd w:val="0"/>
              <w:spacing w:before="98"/>
              <w:jc w:val="center"/>
              <w:rPr>
                <w:rFonts w:ascii="宋体" w:hAnsi="宋体"/>
                <w:kern w:val="0"/>
                <w:szCs w:val="21"/>
              </w:rPr>
            </w:pPr>
            <w:r>
              <w:rPr>
                <w:rFonts w:hint="eastAsia" w:ascii="宋体" w:hAnsi="宋体" w:cs="MingLiU"/>
                <w:kern w:val="0"/>
                <w:szCs w:val="21"/>
              </w:rPr>
              <w:t>技工</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经营范围</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kern w:val="0"/>
                <w:szCs w:val="21"/>
              </w:rPr>
            </w:pPr>
            <w:r>
              <w:rPr>
                <w:rFonts w:hint="eastAsia" w:ascii="宋体" w:hAnsi="宋体" w:cs="MingLiU"/>
                <w:kern w:val="0"/>
                <w:szCs w:val="21"/>
              </w:rPr>
              <w:t>资产构成情况及申请人投资参股的关联企业情况</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备    注</w:t>
            </w:r>
          </w:p>
        </w:tc>
        <w:tc>
          <w:tcPr>
            <w:tcW w:w="7697" w:type="dxa"/>
            <w:gridSpan w:val="8"/>
            <w:vAlign w:val="center"/>
          </w:tcPr>
          <w:p>
            <w:pPr>
              <w:autoSpaceDE w:val="0"/>
              <w:autoSpaceDN w:val="0"/>
              <w:adjustRightInd w:val="0"/>
              <w:jc w:val="center"/>
              <w:rPr>
                <w:rFonts w:ascii="宋体" w:hAnsi="宋体"/>
                <w:kern w:val="0"/>
                <w:szCs w:val="21"/>
              </w:rPr>
            </w:pPr>
          </w:p>
        </w:tc>
      </w:tr>
    </w:tbl>
    <w:p>
      <w:pPr>
        <w:rPr>
          <w:rFonts w:ascii="宋体" w:hAnsi="宋体"/>
          <w:szCs w:val="21"/>
        </w:rPr>
      </w:pPr>
      <w:r>
        <w:rPr>
          <w:rFonts w:hint="eastAsia" w:ascii="宋体" w:hAnsi="宋体"/>
          <w:szCs w:val="21"/>
        </w:rPr>
        <w:t>注：</w:t>
      </w:r>
      <w:bookmarkStart w:id="258" w:name="_Toc234382979"/>
      <w:bookmarkStart w:id="259" w:name="_Toc486277940"/>
      <w:bookmarkStart w:id="260" w:name="_Toc485889074"/>
      <w:bookmarkStart w:id="261" w:name="_Toc10076"/>
      <w:r>
        <w:rPr>
          <w:rFonts w:hint="eastAsia" w:ascii="宋体" w:hAnsi="宋体"/>
          <w:szCs w:val="21"/>
        </w:rPr>
        <w:t>后</w:t>
      </w:r>
      <w:r>
        <w:rPr>
          <w:rFonts w:ascii="宋体" w:hAnsi="宋体"/>
          <w:szCs w:val="21"/>
        </w:rPr>
        <w:t>附</w:t>
      </w:r>
      <w:r>
        <w:rPr>
          <w:rFonts w:hint="eastAsia" w:ascii="宋体" w:hAnsi="宋体"/>
          <w:szCs w:val="21"/>
        </w:rPr>
        <w:t>企业法人</w:t>
      </w:r>
      <w:r>
        <w:rPr>
          <w:rFonts w:ascii="宋体" w:hAnsi="宋体"/>
          <w:szCs w:val="21"/>
        </w:rPr>
        <w:t>营业执照副本</w:t>
      </w:r>
      <w:r>
        <w:rPr>
          <w:rFonts w:hint="eastAsia" w:ascii="宋体" w:hAnsi="宋体"/>
          <w:szCs w:val="21"/>
        </w:rPr>
        <w:t>、施工资质证书副本、安全生产许可证副本、基本账户开户许可证的复印件并加盖单位章</w:t>
      </w:r>
    </w:p>
    <w:p>
      <w:pPr>
        <w:rPr>
          <w:rFonts w:ascii="黑体" w:hAnsi="宋体" w:eastAsia="黑体"/>
          <w:sz w:val="28"/>
          <w:szCs w:val="28"/>
        </w:rPr>
      </w:pPr>
    </w:p>
    <w:p>
      <w:pPr>
        <w:pStyle w:val="2"/>
        <w:ind w:firstLine="210"/>
      </w:pPr>
    </w:p>
    <w:p>
      <w:pPr>
        <w:jc w:val="center"/>
        <w:rPr>
          <w:rFonts w:ascii="黑体" w:hAnsi="宋体" w:eastAsia="黑体"/>
          <w:sz w:val="28"/>
          <w:szCs w:val="28"/>
        </w:rPr>
      </w:pPr>
      <w:r>
        <w:rPr>
          <w:rFonts w:hint="eastAsia" w:ascii="黑体" w:hAnsi="宋体" w:eastAsia="黑体"/>
          <w:sz w:val="28"/>
          <w:szCs w:val="28"/>
        </w:rPr>
        <w:t>（二）投标人企业组织结构框图</w:t>
      </w:r>
      <w:bookmarkEnd w:id="258"/>
      <w:bookmarkEnd w:id="259"/>
      <w:bookmarkEnd w:id="260"/>
      <w:bookmarkEnd w:id="261"/>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tcPr>
          <w:p/>
          <w:p>
            <w:pPr>
              <w:rPr>
                <w:rFonts w:cs="宋体"/>
                <w:szCs w:val="21"/>
              </w:rPr>
            </w:pPr>
            <w:r>
              <w:rPr>
                <w:rFonts w:hint="eastAsia" w:cs="宋体"/>
                <w:sz w:val="24"/>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tcPr>
          <w:p>
            <w:pPr>
              <w:rPr>
                <w:rFonts w:cs="宋体"/>
                <w:sz w:val="24"/>
              </w:rPr>
            </w:pPr>
          </w:p>
          <w:p>
            <w:pPr>
              <w:rPr>
                <w:rFonts w:cs="宋体"/>
                <w:szCs w:val="21"/>
              </w:rPr>
            </w:pPr>
            <w:r>
              <w:rPr>
                <w:rFonts w:hint="eastAsia" w:cs="宋体"/>
                <w:szCs w:val="21"/>
              </w:rPr>
              <w:t>说明</w:t>
            </w:r>
          </w:p>
        </w:tc>
      </w:tr>
    </w:tbl>
    <w:p>
      <w:pPr>
        <w:pStyle w:val="4"/>
        <w:spacing w:beforeLines="100" w:afterLines="150" w:line="360" w:lineRule="exact"/>
        <w:jc w:val="center"/>
        <w:rPr>
          <w:rFonts w:ascii="黑体" w:hAnsi="宋体" w:eastAsia="黑体"/>
          <w:b w:val="0"/>
          <w:bCs w:val="0"/>
          <w:sz w:val="28"/>
          <w:szCs w:val="28"/>
        </w:rPr>
      </w:pPr>
      <w:r>
        <w:br w:type="page"/>
      </w:r>
      <w:bookmarkStart w:id="262" w:name="_Toc193904176"/>
      <w:bookmarkStart w:id="263" w:name="_Toc234382981"/>
      <w:bookmarkStart w:id="264" w:name="_Toc485889076"/>
      <w:bookmarkStart w:id="265" w:name="_Toc234242180"/>
    </w:p>
    <w:p>
      <w:pPr>
        <w:ind w:left="105" w:firstLine="315"/>
        <w:jc w:val="center"/>
        <w:rPr>
          <w:rFonts w:ascii="宋体" w:hAnsi="宋体"/>
          <w:szCs w:val="21"/>
        </w:rPr>
      </w:pPr>
      <w:r>
        <w:rPr>
          <w:rFonts w:hint="eastAsia" w:ascii="黑体" w:hAnsi="宋体" w:eastAsia="黑体"/>
          <w:b/>
          <w:bCs/>
          <w:kern w:val="44"/>
          <w:sz w:val="28"/>
          <w:szCs w:val="28"/>
        </w:rPr>
        <w:t>（三）近年财务状况表</w:t>
      </w:r>
      <w:bookmarkEnd w:id="262"/>
      <w:bookmarkEnd w:id="263"/>
      <w:bookmarkEnd w:id="264"/>
      <w:bookmarkEnd w:id="265"/>
    </w:p>
    <w:p>
      <w:pPr>
        <w:spacing w:after="120"/>
        <w:jc w:val="center"/>
        <w:rPr>
          <w:rFonts w:ascii="黑体" w:eastAsia="黑体"/>
          <w:b/>
          <w:sz w:val="24"/>
        </w:rPr>
      </w:pPr>
      <w:r>
        <w:rPr>
          <w:rFonts w:hint="eastAsia" w:ascii="黑体" w:eastAsia="黑体"/>
          <w:b/>
          <w:sz w:val="24"/>
        </w:rPr>
        <w:t>财务状况表</w:t>
      </w:r>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szCs w:val="21"/>
              </w:rPr>
            </w:pPr>
            <w:r>
              <w:rPr>
                <w:rFonts w:hint="eastAsia" w:ascii="宋体" w:hAnsi="宋体"/>
                <w:szCs w:val="21"/>
              </w:rPr>
              <w:t>项目或指标</w:t>
            </w:r>
          </w:p>
        </w:tc>
        <w:tc>
          <w:tcPr>
            <w:tcW w:w="990" w:type="dxa"/>
            <w:vAlign w:val="center"/>
          </w:tcPr>
          <w:p>
            <w:pPr>
              <w:jc w:val="center"/>
              <w:rPr>
                <w:rFonts w:ascii="宋体" w:hAnsi="宋体"/>
                <w:szCs w:val="21"/>
              </w:rPr>
            </w:pPr>
            <w:r>
              <w:rPr>
                <w:rFonts w:hint="eastAsia" w:ascii="宋体" w:hAnsi="宋体"/>
                <w:szCs w:val="21"/>
              </w:rPr>
              <w:t>单位</w:t>
            </w:r>
          </w:p>
        </w:tc>
        <w:tc>
          <w:tcPr>
            <w:tcW w:w="1258"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一、注册资金</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二、净资产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三、总资产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四、固定资产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五、流动资产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六、流动负债</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七、负债合计</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八、营业收入</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九、净利润</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十、现金流量净额</w:t>
            </w:r>
          </w:p>
        </w:tc>
        <w:tc>
          <w:tcPr>
            <w:tcW w:w="990" w:type="dxa"/>
            <w:vAlign w:val="center"/>
          </w:tcPr>
          <w:p>
            <w:pPr>
              <w:jc w:val="center"/>
              <w:rPr>
                <w:rFonts w:ascii="宋体" w:hAnsi="宋体"/>
                <w:szCs w:val="21"/>
              </w:rPr>
            </w:pP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十一、主要财务指标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1．净资产收益率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2．总资产报酬</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3．主营业务利润率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4．资产负债率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5、流动比率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6、速动比率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bl>
    <w:p>
      <w:pPr>
        <w:spacing w:line="400" w:lineRule="exact"/>
        <w:rPr>
          <w:rFonts w:ascii="宋体" w:hAnsi="宋体"/>
          <w:szCs w:val="21"/>
        </w:rPr>
      </w:pPr>
      <w:r>
        <w:rPr>
          <w:rFonts w:hint="eastAsia" w:ascii="宋体" w:hAnsi="宋体"/>
          <w:szCs w:val="21"/>
        </w:rPr>
        <w:t>注：附经会计师事务所或审计机构审计的财务会计报表，包括资产负债表、利润表、现金流量表、所有者权益变动表及其附注的复印件，具体年份要求见投标人须知前附表。</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jc w:val="center"/>
        <w:rPr>
          <w:rFonts w:ascii="隶书" w:eastAsia="隶书"/>
          <w:sz w:val="24"/>
        </w:rPr>
      </w:pPr>
    </w:p>
    <w:p>
      <w:pPr>
        <w:jc w:val="center"/>
        <w:rPr>
          <w:rFonts w:ascii="隶书" w:eastAsia="隶书"/>
          <w:sz w:val="24"/>
        </w:rPr>
      </w:pPr>
    </w:p>
    <w:p>
      <w:pPr>
        <w:pStyle w:val="4"/>
        <w:spacing w:beforeLines="100" w:afterLines="100" w:line="360" w:lineRule="exact"/>
        <w:jc w:val="center"/>
        <w:rPr>
          <w:rFonts w:ascii="黑体" w:hAnsi="宋体" w:eastAsia="黑体"/>
          <w:sz w:val="28"/>
          <w:szCs w:val="28"/>
        </w:rPr>
      </w:pPr>
      <w:bookmarkStart w:id="266" w:name="_Toc234242181"/>
      <w:bookmarkStart w:id="267" w:name="_Toc486277942"/>
      <w:bookmarkStart w:id="268" w:name="_Toc234382982"/>
      <w:bookmarkStart w:id="269" w:name="_Toc485889077"/>
      <w:bookmarkStart w:id="270" w:name="_Toc30568"/>
      <w:r>
        <w:rPr>
          <w:rFonts w:hint="eastAsia" w:ascii="黑体" w:hAnsi="宋体" w:eastAsia="黑体"/>
          <w:sz w:val="28"/>
          <w:szCs w:val="28"/>
        </w:rPr>
        <w:t>（四）近年完成的类似项目情况表</w:t>
      </w:r>
      <w:bookmarkEnd w:id="266"/>
      <w:bookmarkEnd w:id="267"/>
      <w:bookmarkEnd w:id="268"/>
      <w:bookmarkEnd w:id="269"/>
      <w:bookmarkEnd w:id="270"/>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合同价格</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rPr>
          <w:rFonts w:ascii="宋体" w:hAnsi="宋体"/>
          <w:szCs w:val="21"/>
          <w:lang w:bidi="zh-CN"/>
        </w:rPr>
      </w:pPr>
      <w:r>
        <w:rPr>
          <w:rFonts w:ascii="宋体" w:hAnsi="宋体"/>
          <w:szCs w:val="21"/>
          <w:lang w:bidi="zh-CN"/>
        </w:rPr>
        <w:t>注：1.每张表格只填写一个项目，并标明序号。</w:t>
      </w:r>
    </w:p>
    <w:p>
      <w:pPr>
        <w:ind w:firstLine="420" w:firstLineChars="200"/>
        <w:rPr>
          <w:rFonts w:ascii="宋体" w:hAnsi="宋体"/>
          <w:szCs w:val="21"/>
          <w:lang w:bidi="zh-CN"/>
        </w:rPr>
      </w:pPr>
      <w:r>
        <w:rPr>
          <w:rFonts w:ascii="宋体" w:hAnsi="宋体"/>
          <w:szCs w:val="21"/>
          <w:lang w:bidi="zh-CN"/>
        </w:rPr>
        <w:t>2.</w:t>
      </w:r>
      <w:r>
        <w:rPr>
          <w:rFonts w:hint="eastAsia" w:ascii="宋体" w:hAnsi="宋体"/>
          <w:szCs w:val="21"/>
          <w:lang w:bidi="zh-CN"/>
        </w:rPr>
        <w:t>后</w:t>
      </w:r>
      <w:r>
        <w:rPr>
          <w:rFonts w:ascii="宋体" w:hAnsi="宋体"/>
          <w:szCs w:val="21"/>
          <w:lang w:bidi="zh-CN"/>
        </w:rPr>
        <w:t>附中标通知书</w:t>
      </w:r>
      <w:r>
        <w:rPr>
          <w:rFonts w:hint="eastAsia" w:ascii="宋体" w:hAnsi="宋体"/>
          <w:szCs w:val="21"/>
          <w:lang w:bidi="zh-CN"/>
        </w:rPr>
        <w:t>、</w:t>
      </w:r>
      <w:r>
        <w:rPr>
          <w:rFonts w:ascii="宋体" w:hAnsi="宋体"/>
          <w:szCs w:val="21"/>
          <w:lang w:bidi="zh-CN"/>
        </w:rPr>
        <w:t>合同协议书</w:t>
      </w:r>
      <w:r>
        <w:rPr>
          <w:rFonts w:hint="eastAsia" w:ascii="宋体" w:hAnsi="宋体"/>
          <w:szCs w:val="21"/>
          <w:lang w:bidi="zh-CN"/>
        </w:rPr>
        <w:t>、</w:t>
      </w:r>
      <w:r>
        <w:rPr>
          <w:rFonts w:ascii="宋体" w:hAnsi="宋体"/>
          <w:szCs w:val="21"/>
          <w:lang w:bidi="zh-CN"/>
        </w:rPr>
        <w:t>工程接收证书（工程竣工验收证书）的复印件。</w:t>
      </w:r>
    </w:p>
    <w:p>
      <w:pPr>
        <w:ind w:firstLine="420" w:firstLineChars="20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pPr>
        <w:ind w:firstLine="420" w:firstLineChars="200"/>
        <w:rPr>
          <w:rFonts w:ascii="宋体" w:hAnsi="宋体"/>
          <w:szCs w:val="21"/>
        </w:rPr>
      </w:pPr>
      <w:r>
        <w:rPr>
          <w:rFonts w:hint="eastAsia" w:ascii="宋体" w:hAnsi="宋体"/>
          <w:szCs w:val="21"/>
        </w:rPr>
        <w:t>4.当本表内容与所附证据材料不一致时，应以所附证据材料为准。</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4"/>
        <w:spacing w:beforeLines="100" w:afterLines="100" w:line="360" w:lineRule="exact"/>
        <w:jc w:val="center"/>
        <w:rPr>
          <w:rFonts w:ascii="黑体" w:hAnsi="宋体" w:eastAsia="黑体"/>
          <w:sz w:val="28"/>
          <w:szCs w:val="28"/>
        </w:rPr>
      </w:pPr>
      <w:bookmarkStart w:id="271" w:name="_Toc486277943"/>
      <w:bookmarkStart w:id="272" w:name="_Toc234382983"/>
      <w:bookmarkStart w:id="273" w:name="_Toc485889078"/>
      <w:bookmarkStart w:id="274" w:name="_Toc234242182"/>
      <w:bookmarkStart w:id="275" w:name="_Toc193904177"/>
      <w:bookmarkStart w:id="276" w:name="_Toc7313"/>
      <w:r>
        <w:rPr>
          <w:rFonts w:hint="eastAsia" w:ascii="黑体" w:hAnsi="宋体" w:eastAsia="黑体"/>
          <w:sz w:val="28"/>
          <w:szCs w:val="28"/>
        </w:rPr>
        <w:t>（五）正在施工和新承接的项目情况表</w:t>
      </w:r>
      <w:bookmarkEnd w:id="271"/>
      <w:bookmarkEnd w:id="272"/>
      <w:bookmarkEnd w:id="273"/>
      <w:bookmarkEnd w:id="274"/>
      <w:bookmarkEnd w:id="275"/>
      <w:bookmarkEnd w:id="276"/>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签约合同价</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计划交工日期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工程质量要求</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autoSpaceDE w:val="0"/>
        <w:autoSpaceDN w:val="0"/>
        <w:adjustRightInd w:val="0"/>
        <w:spacing w:before="4" w:line="100" w:lineRule="exact"/>
        <w:jc w:val="left"/>
        <w:rPr>
          <w:kern w:val="0"/>
          <w:sz w:val="10"/>
          <w:szCs w:val="10"/>
        </w:rPr>
      </w:pPr>
    </w:p>
    <w:p>
      <w:pPr>
        <w:rPr>
          <w:sz w:val="24"/>
        </w:rPr>
      </w:pPr>
      <w:r>
        <w:rPr>
          <w:rFonts w:hint="eastAsia" w:ascii="宋体" w:hAnsi="宋体"/>
          <w:sz w:val="24"/>
        </w:rPr>
        <w:t>注：后附中标通知书和合同协议书复印件。每张表格只填写一个项目，并标明序号。</w:t>
      </w:r>
    </w:p>
    <w:p>
      <w:pPr>
        <w:rPr>
          <w:sz w:val="24"/>
        </w:rPr>
      </w:pPr>
    </w:p>
    <w:p>
      <w:pPr>
        <w:rPr>
          <w:sz w:val="24"/>
        </w:rPr>
      </w:pPr>
    </w:p>
    <w:p>
      <w:pPr>
        <w:rPr>
          <w:sz w:val="24"/>
        </w:rPr>
      </w:pPr>
    </w:p>
    <w:p>
      <w:pPr>
        <w:rPr>
          <w:sz w:val="24"/>
        </w:rPr>
      </w:pPr>
    </w:p>
    <w:p>
      <w:pPr>
        <w:rPr>
          <w:sz w:val="24"/>
        </w:rPr>
      </w:pPr>
    </w:p>
    <w:p>
      <w:pPr>
        <w:pStyle w:val="4"/>
        <w:spacing w:beforeLines="100" w:afterLines="150" w:line="360" w:lineRule="exact"/>
        <w:jc w:val="center"/>
      </w:pPr>
      <w:bookmarkStart w:id="277" w:name="_Toc8347"/>
      <w:bookmarkStart w:id="278" w:name="_Toc486277941"/>
      <w:bookmarkStart w:id="279" w:name="_Toc234382980"/>
      <w:bookmarkStart w:id="280" w:name="_Toc485889075"/>
      <w:bookmarkStart w:id="281" w:name="_Toc7381"/>
      <w:bookmarkStart w:id="282" w:name="_Toc486277944"/>
      <w:bookmarkStart w:id="283" w:name="_Toc234382984"/>
      <w:bookmarkStart w:id="284" w:name="_Toc485889079"/>
      <w:r>
        <w:rPr>
          <w:rFonts w:hint="eastAsia" w:ascii="黑体" w:hAnsi="宋体" w:eastAsia="黑体"/>
          <w:sz w:val="28"/>
          <w:szCs w:val="28"/>
        </w:rPr>
        <w:t>（六）拟委任的项目经理和项目总工资历表</w:t>
      </w:r>
      <w:bookmarkEnd w:id="277"/>
      <w:bookmarkEnd w:id="278"/>
      <w:bookmarkEnd w:id="279"/>
      <w:bookmarkEnd w:id="280"/>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姓</w:t>
            </w:r>
            <w:r>
              <w:rPr>
                <w:rFonts w:hint="eastAsia" w:ascii="宋体" w:hAnsi="宋体"/>
                <w:kern w:val="0"/>
                <w:szCs w:val="21"/>
              </w:rPr>
              <w:tab/>
            </w:r>
            <w:r>
              <w:rPr>
                <w:rFonts w:hint="eastAsia" w:ascii="宋体" w:hAnsi="宋体" w:cs="MingLiU"/>
                <w:kern w:val="0"/>
                <w:szCs w:val="21"/>
              </w:rPr>
              <w:t>名</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年   龄</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专  业</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职</w:t>
            </w:r>
            <w:r>
              <w:rPr>
                <w:rFonts w:hint="eastAsia" w:ascii="宋体" w:hAnsi="宋体"/>
                <w:kern w:val="0"/>
                <w:szCs w:val="21"/>
              </w:rPr>
              <w:tab/>
            </w:r>
            <w:r>
              <w:rPr>
                <w:rFonts w:hint="eastAsia" w:ascii="宋体" w:hAnsi="宋体" w:cs="MingLiU"/>
                <w:kern w:val="0"/>
                <w:szCs w:val="21"/>
              </w:rPr>
              <w:t>称</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公司单位</w:t>
            </w:r>
          </w:p>
          <w:p>
            <w:pPr>
              <w:autoSpaceDE w:val="0"/>
              <w:autoSpaceDN w:val="0"/>
              <w:adjustRightInd w:val="0"/>
              <w:spacing w:before="73"/>
              <w:jc w:val="center"/>
              <w:rPr>
                <w:rFonts w:ascii="宋体" w:hAnsi="宋体"/>
                <w:kern w:val="0"/>
                <w:szCs w:val="21"/>
              </w:rPr>
            </w:pPr>
            <w:r>
              <w:rPr>
                <w:rFonts w:hint="eastAsia" w:ascii="宋体" w:hAnsi="宋体" w:cs="MingLiU"/>
                <w:kern w:val="0"/>
                <w:szCs w:val="21"/>
              </w:rPr>
              <w:t>职    务</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拟在本工程</w:t>
            </w:r>
          </w:p>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担任职务</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毕业学校</w:t>
            </w:r>
          </w:p>
        </w:tc>
        <w:tc>
          <w:tcPr>
            <w:tcW w:w="8285" w:type="dxa"/>
            <w:gridSpan w:val="7"/>
            <w:vAlign w:val="center"/>
          </w:tcPr>
          <w:p>
            <w:pPr>
              <w:tabs>
                <w:tab w:val="left" w:pos="2820"/>
                <w:tab w:val="left" w:pos="4080"/>
              </w:tabs>
              <w:autoSpaceDE w:val="0"/>
              <w:autoSpaceDN w:val="0"/>
              <w:adjustRightInd w:val="0"/>
              <w:spacing w:before="73"/>
              <w:jc w:val="center"/>
              <w:rPr>
                <w:rFonts w:ascii="宋体" w:hAnsi="宋体"/>
                <w:kern w:val="0"/>
                <w:szCs w:val="21"/>
              </w:rPr>
            </w:pPr>
            <w:r>
              <w:rPr>
                <w:rFonts w:hint="eastAsia" w:ascii="宋体" w:hAnsi="宋体"/>
                <w:kern w:val="0"/>
                <w:szCs w:val="21"/>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szCs w:val="21"/>
              </w:rPr>
            </w:pPr>
            <w:r>
              <w:rPr>
                <w:rFonts w:hint="eastAsia" w:ascii="宋体" w:hAnsi="宋体" w:cs="MingLiU"/>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szCs w:val="21"/>
              </w:rPr>
            </w:pPr>
            <w:r>
              <w:rPr>
                <w:rFonts w:hint="eastAsia" w:ascii="宋体" w:hAnsi="宋体"/>
                <w:szCs w:val="21"/>
              </w:rPr>
              <w:t>年～</w:t>
            </w:r>
          </w:p>
          <w:p>
            <w:pPr>
              <w:jc w:val="center"/>
              <w:rPr>
                <w:rFonts w:ascii="宋体" w:hAnsi="宋体"/>
                <w:szCs w:val="21"/>
              </w:rPr>
            </w:pPr>
            <w:r>
              <w:rPr>
                <w:rFonts w:hint="eastAsia" w:ascii="宋体" w:hAnsi="宋体"/>
                <w:szCs w:val="21"/>
              </w:rPr>
              <w:t>年</w:t>
            </w:r>
          </w:p>
        </w:tc>
        <w:tc>
          <w:tcPr>
            <w:tcW w:w="4023" w:type="dxa"/>
            <w:gridSpan w:val="3"/>
            <w:vAlign w:val="center"/>
          </w:tcPr>
          <w:p>
            <w:pPr>
              <w:jc w:val="center"/>
              <w:rPr>
                <w:rFonts w:ascii="宋体" w:hAnsi="宋体"/>
                <w:szCs w:val="21"/>
              </w:rPr>
            </w:pPr>
            <w:r>
              <w:rPr>
                <w:rFonts w:hint="eastAsia" w:ascii="宋体" w:hAnsi="宋体" w:cs="MingLiU"/>
                <w:kern w:val="0"/>
                <w:szCs w:val="21"/>
              </w:rPr>
              <w:t>参加过的工程项目名称</w:t>
            </w:r>
          </w:p>
        </w:tc>
        <w:tc>
          <w:tcPr>
            <w:tcW w:w="1392" w:type="dxa"/>
            <w:gridSpan w:val="2"/>
            <w:vAlign w:val="center"/>
          </w:tcPr>
          <w:p>
            <w:pPr>
              <w:jc w:val="center"/>
              <w:rPr>
                <w:rFonts w:ascii="宋体" w:hAnsi="宋体"/>
                <w:szCs w:val="21"/>
              </w:rPr>
            </w:pPr>
            <w:r>
              <w:rPr>
                <w:rFonts w:hint="eastAsia" w:ascii="宋体" w:hAnsi="宋体" w:cs="MingLiU"/>
                <w:kern w:val="0"/>
                <w:szCs w:val="21"/>
              </w:rPr>
              <w:t>担任何职</w:t>
            </w:r>
          </w:p>
        </w:tc>
        <w:tc>
          <w:tcPr>
            <w:tcW w:w="2870" w:type="dxa"/>
            <w:gridSpan w:val="2"/>
            <w:vAlign w:val="center"/>
          </w:tcPr>
          <w:p>
            <w:pPr>
              <w:jc w:val="center"/>
              <w:rPr>
                <w:rFonts w:ascii="宋体" w:hAnsi="宋体" w:cs="MingLiU"/>
                <w:kern w:val="0"/>
                <w:szCs w:val="21"/>
              </w:rPr>
            </w:pPr>
            <w:r>
              <w:rPr>
                <w:rFonts w:hint="eastAsia" w:ascii="宋体" w:hAnsi="宋体" w:cs="MingLiU"/>
                <w:kern w:val="0"/>
                <w:szCs w:val="21"/>
              </w:rPr>
              <w:t>发包人及</w:t>
            </w:r>
          </w:p>
          <w:p>
            <w:pPr>
              <w:jc w:val="center"/>
              <w:rPr>
                <w:rFonts w:ascii="宋体" w:hAnsi="宋体"/>
                <w:szCs w:val="21"/>
              </w:rPr>
            </w:pPr>
            <w:r>
              <w:rPr>
                <w:rFonts w:hint="eastAsia" w:ascii="宋体" w:hAnsi="宋体" w:cs="MingLiU"/>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szCs w:val="21"/>
              </w:rPr>
            </w:pPr>
            <w:r>
              <w:rPr>
                <w:rFonts w:hint="eastAsia" w:ascii="宋体" w:hAnsi="宋体"/>
                <w:szCs w:val="21"/>
              </w:rPr>
              <w:t>获奖情况</w:t>
            </w: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szCs w:val="21"/>
              </w:rPr>
            </w:pPr>
            <w:r>
              <w:rPr>
                <w:rFonts w:hint="eastAsia" w:ascii="宋体" w:hAnsi="宋体"/>
                <w:szCs w:val="21"/>
              </w:rPr>
              <w:t>目前任职</w:t>
            </w:r>
          </w:p>
          <w:p>
            <w:pPr>
              <w:jc w:val="center"/>
              <w:rPr>
                <w:rFonts w:ascii="宋体" w:hAnsi="宋体"/>
                <w:szCs w:val="21"/>
              </w:rPr>
            </w:pPr>
            <w:r>
              <w:rPr>
                <w:rFonts w:hint="eastAsia" w:ascii="宋体" w:hAnsi="宋体"/>
                <w:szCs w:val="21"/>
              </w:rPr>
              <w:t>项目状况</w:t>
            </w:r>
          </w:p>
        </w:tc>
        <w:tc>
          <w:tcPr>
            <w:tcW w:w="4023" w:type="dxa"/>
            <w:gridSpan w:val="3"/>
            <w:vAlign w:val="center"/>
          </w:tcPr>
          <w:p>
            <w:pPr>
              <w:jc w:val="center"/>
              <w:rPr>
                <w:rFonts w:ascii="宋体" w:hAnsi="宋体"/>
                <w:szCs w:val="21"/>
              </w:rPr>
            </w:pPr>
            <w:r>
              <w:rPr>
                <w:rFonts w:hint="eastAsia" w:ascii="宋体" w:hAnsi="宋体"/>
                <w:szCs w:val="21"/>
              </w:rPr>
              <w:t>项目名称</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担任职位</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可以调离日期</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szCs w:val="21"/>
              </w:rPr>
            </w:pPr>
            <w:r>
              <w:rPr>
                <w:rFonts w:hint="eastAsia" w:ascii="宋体" w:hAnsi="宋体"/>
                <w:szCs w:val="21"/>
              </w:rPr>
              <w:t>备注</w:t>
            </w:r>
          </w:p>
        </w:tc>
        <w:tc>
          <w:tcPr>
            <w:tcW w:w="8285" w:type="dxa"/>
            <w:gridSpan w:val="7"/>
            <w:vAlign w:val="center"/>
          </w:tcPr>
          <w:p>
            <w:pPr>
              <w:jc w:val="center"/>
              <w:rPr>
                <w:rFonts w:ascii="宋体" w:hAnsi="宋体"/>
                <w:szCs w:val="21"/>
              </w:rPr>
            </w:pPr>
          </w:p>
        </w:tc>
      </w:tr>
    </w:tbl>
    <w:p>
      <w:pPr>
        <w:ind w:left="735" w:hanging="735" w:hangingChars="350"/>
        <w:rPr>
          <w:rFonts w:ascii="宋体" w:hAnsi="宋体"/>
          <w:szCs w:val="21"/>
        </w:rPr>
      </w:pPr>
      <w:r>
        <w:rPr>
          <w:rFonts w:hint="eastAsia" w:ascii="宋体" w:hAnsi="宋体"/>
          <w:szCs w:val="21"/>
        </w:rPr>
        <w:t>注：1、本表后附项目经理和项目总工的身份证、职称资格证书以及资格预审条件所要求其他相关证书（如建造师注册证书、安全生产考核合格证书等）的复印件，并应提供其担任类似项目的项目经理和项目总工的相关业绩证明材料复印件。</w:t>
      </w:r>
    </w:p>
    <w:p>
      <w:pPr>
        <w:ind w:left="105" w:firstLine="315"/>
        <w:rPr>
          <w:rFonts w:ascii="宋体" w:hAnsi="宋体"/>
          <w:szCs w:val="21"/>
        </w:rPr>
      </w:pPr>
      <w:r>
        <w:rPr>
          <w:rFonts w:hint="eastAsia" w:ascii="宋体" w:hAnsi="宋体"/>
          <w:szCs w:val="21"/>
        </w:rPr>
        <w:t>2、目前未在具体项目上任职的，请在备注栏说明现在负责的工作内容。</w:t>
      </w:r>
    </w:p>
    <w:p>
      <w:pPr>
        <w:pStyle w:val="3"/>
        <w:spacing w:before="66"/>
        <w:ind w:right="180"/>
        <w:jc w:val="center"/>
        <w:rPr>
          <w:rFonts w:ascii="黑体" w:eastAsia="黑体"/>
          <w:sz w:val="30"/>
          <w:szCs w:val="30"/>
        </w:rPr>
      </w:pPr>
      <w:r>
        <w:rPr>
          <w:rFonts w:hint="eastAsia" w:ascii="黑体" w:hAnsi="宋体" w:eastAsia="黑体"/>
          <w:sz w:val="28"/>
          <w:szCs w:val="28"/>
        </w:rPr>
        <w:br w:type="page"/>
      </w:r>
      <w:r>
        <w:rPr>
          <w:rFonts w:hint="eastAsia" w:ascii="黑体" w:eastAsia="黑体"/>
          <w:sz w:val="30"/>
          <w:szCs w:val="30"/>
        </w:rPr>
        <w:t>（七）投标人的信誉情况表</w:t>
      </w:r>
    </w:p>
    <w:tbl>
      <w:tblPr>
        <w:tblStyle w:val="12"/>
        <w:tblW w:w="85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4261" w:type="dxa"/>
            <w:vAlign w:val="center"/>
          </w:tcPr>
          <w:p>
            <w:pPr>
              <w:pStyle w:val="26"/>
              <w:ind w:left="1848" w:right="1838"/>
              <w:jc w:val="center"/>
              <w:rPr>
                <w:sz w:val="21"/>
              </w:rPr>
            </w:pPr>
            <w:r>
              <w:rPr>
                <w:sz w:val="21"/>
              </w:rPr>
              <w:t>项 目</w:t>
            </w:r>
          </w:p>
        </w:tc>
        <w:tc>
          <w:tcPr>
            <w:tcW w:w="4264" w:type="dxa"/>
            <w:vAlign w:val="center"/>
          </w:tcPr>
          <w:p>
            <w:pPr>
              <w:pStyle w:val="26"/>
              <w:ind w:left="1394"/>
              <w:rPr>
                <w:sz w:val="21"/>
              </w:rPr>
            </w:pPr>
            <w:r>
              <w:rPr>
                <w:sz w:val="21"/>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vAlign w:val="center"/>
          </w:tcPr>
          <w:p>
            <w:pPr>
              <w:pStyle w:val="26"/>
              <w:jc w:val="center"/>
              <w:rPr>
                <w:rFonts w:ascii="Times New Roman"/>
                <w:sz w:val="20"/>
              </w:rPr>
            </w:pPr>
          </w:p>
        </w:tc>
        <w:tc>
          <w:tcPr>
            <w:tcW w:w="4264" w:type="dxa"/>
            <w:vAlign w:val="center"/>
          </w:tcPr>
          <w:p>
            <w:pPr>
              <w:pStyle w:val="26"/>
              <w:jc w:val="center"/>
              <w:rPr>
                <w:rFonts w:ascii="Times New Roman"/>
                <w:sz w:val="20"/>
              </w:rPr>
            </w:pPr>
          </w:p>
        </w:tc>
      </w:tr>
    </w:tbl>
    <w:p>
      <w:pPr>
        <w:spacing w:line="267" w:lineRule="exact"/>
        <w:rPr>
          <w:rFonts w:asciiTheme="minorEastAsia" w:hAnsiTheme="minorEastAsia" w:eastAsiaTheme="minorEastAsia"/>
        </w:rPr>
      </w:pPr>
      <w:r>
        <w:rPr>
          <w:rFonts w:asciiTheme="minorEastAsia" w:hAnsiTheme="minorEastAsia" w:eastAsiaTheme="minorEastAsia"/>
        </w:rPr>
        <w:t>注：1.投标人应按照招标文件第二章“投标人须知”前附表附录 4 和“投标人须知”正文第 1.4.4 项规定，逐条说明其信誉情况。</w:t>
      </w:r>
    </w:p>
    <w:p>
      <w:pPr>
        <w:spacing w:line="267" w:lineRule="exact"/>
        <w:ind w:firstLine="420" w:firstLineChars="200"/>
        <w:rPr>
          <w:rFonts w:asciiTheme="minorEastAsia" w:hAnsiTheme="minorEastAsia" w:eastAsiaTheme="minorEastAsia"/>
        </w:rPr>
      </w:pPr>
      <w:r>
        <w:rPr>
          <w:rFonts w:asciiTheme="minorEastAsia" w:hAnsiTheme="minorEastAsia" w:eastAsiaTheme="minorEastAsia"/>
        </w:rPr>
        <w:t>2.投标人应根据招标文件第二章“投标人须知”第 3.5.</w:t>
      </w:r>
      <w:r>
        <w:rPr>
          <w:rFonts w:hint="eastAsia" w:asciiTheme="minorEastAsia" w:hAnsiTheme="minorEastAsia" w:eastAsiaTheme="minorEastAsia"/>
        </w:rPr>
        <w:t>6</w:t>
      </w:r>
      <w:r>
        <w:rPr>
          <w:rFonts w:asciiTheme="minorEastAsia" w:hAnsiTheme="minorEastAsia" w:eastAsiaTheme="minorEastAsia"/>
        </w:rPr>
        <w:t xml:space="preserve"> 项的要求在本表后附相关证明材料。</w:t>
      </w:r>
    </w:p>
    <w:p>
      <w:pPr>
        <w:pStyle w:val="4"/>
        <w:spacing w:beforeLines="100" w:afterLines="100" w:line="360" w:lineRule="exact"/>
        <w:jc w:val="center"/>
        <w:rPr>
          <w:rFonts w:ascii="黑体" w:hAnsi="宋体" w:eastAsia="黑体"/>
          <w:sz w:val="28"/>
          <w:szCs w:val="28"/>
        </w:rPr>
      </w:pPr>
      <w:r>
        <w:rPr>
          <w:rFonts w:hint="eastAsia" w:ascii="黑体" w:hAnsi="宋体" w:eastAsia="黑体"/>
          <w:sz w:val="28"/>
          <w:szCs w:val="28"/>
        </w:rPr>
        <w:t>（八）近年发生的诉讼及仲裁情况</w:t>
      </w:r>
      <w:bookmarkEnd w:id="281"/>
      <w:bookmarkEnd w:id="282"/>
      <w:bookmarkEnd w:id="283"/>
      <w:bookmarkEnd w:id="284"/>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Cs w:val="21"/>
              </w:rPr>
            </w:pPr>
            <w:r>
              <w:rPr>
                <w:rFonts w:hint="eastAsia" w:ascii="宋体" w:hAnsi="宋体"/>
                <w:szCs w:val="21"/>
              </w:rPr>
              <w:t>项目</w:t>
            </w:r>
          </w:p>
        </w:tc>
        <w:tc>
          <w:tcPr>
            <w:tcW w:w="4820" w:type="dxa"/>
            <w:vAlign w:val="center"/>
          </w:tcPr>
          <w:p>
            <w:pPr>
              <w:jc w:val="center"/>
              <w:rPr>
                <w:rFonts w:ascii="宋体" w:hAnsi="宋体"/>
                <w:szCs w:val="21"/>
              </w:rPr>
            </w:pPr>
            <w:r>
              <w:rPr>
                <w:rFonts w:hint="eastAsia" w:ascii="宋体" w:hAnsi="宋体"/>
                <w:szCs w:val="21"/>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bl>
    <w:p>
      <w:pPr>
        <w:rPr>
          <w:sz w:val="24"/>
        </w:rPr>
      </w:pPr>
      <w:r>
        <w:rPr>
          <w:rFonts w:ascii="宋体" w:hAnsi="宋体"/>
          <w:sz w:val="24"/>
        </w:rPr>
        <w:t>应说明相关情况，并附法院或仲裁机构作出的判决、裁决等有关法律文书复印件，具体年份要求见投标人须知前附表。</w:t>
      </w:r>
    </w:p>
    <w:p>
      <w:pPr>
        <w:rPr>
          <w:sz w:val="24"/>
        </w:rPr>
      </w:pPr>
    </w:p>
    <w:p>
      <w:pPr>
        <w:rPr>
          <w:sz w:val="24"/>
        </w:rPr>
      </w:pPr>
    </w:p>
    <w:p>
      <w:pPr>
        <w:rPr>
          <w:sz w:val="24"/>
        </w:rPr>
      </w:pPr>
    </w:p>
    <w:p>
      <w:pPr>
        <w:rPr>
          <w:sz w:val="24"/>
        </w:rPr>
      </w:pPr>
    </w:p>
    <w:p>
      <w:pPr>
        <w:pStyle w:val="2"/>
        <w:ind w:firstLine="210"/>
      </w:pPr>
    </w:p>
    <w:p>
      <w:pPr>
        <w:rPr>
          <w:sz w:val="24"/>
        </w:rPr>
      </w:pPr>
    </w:p>
    <w:p>
      <w:pPr>
        <w:spacing w:before="120" w:after="120"/>
        <w:jc w:val="center"/>
        <w:rPr>
          <w:rFonts w:ascii="黑体" w:eastAsia="黑体"/>
          <w:b/>
          <w:bCs/>
          <w:kern w:val="44"/>
          <w:sz w:val="30"/>
          <w:szCs w:val="30"/>
        </w:rPr>
      </w:pPr>
      <w:r>
        <w:rPr>
          <w:rFonts w:hint="eastAsia" w:ascii="黑体" w:eastAsia="黑体"/>
          <w:b/>
          <w:bCs/>
          <w:kern w:val="44"/>
          <w:sz w:val="30"/>
          <w:szCs w:val="30"/>
        </w:rPr>
        <w:t>七、主要进场管理人员和技术人员最低要求</w:t>
      </w:r>
    </w:p>
    <w:tbl>
      <w:tblPr>
        <w:tblStyle w:val="12"/>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bookmarkStart w:id="285" w:name="_Toc234382989"/>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szCs w:val="21"/>
              </w:rPr>
            </w:pPr>
            <w:r>
              <w:rPr>
                <w:rFonts w:hint="eastAsia" w:ascii="宋体" w:hAnsi="宋体"/>
                <w:szCs w:val="21"/>
              </w:rPr>
              <w:t>项目经理</w:t>
            </w:r>
          </w:p>
        </w:tc>
        <w:tc>
          <w:tcPr>
            <w:tcW w:w="1997" w:type="dxa"/>
            <w:vAlign w:val="center"/>
          </w:tcPr>
          <w:p>
            <w:pPr>
              <w:jc w:val="center"/>
              <w:rPr>
                <w:rFonts w:ascii="宋体" w:hAnsi="宋体"/>
                <w:szCs w:val="21"/>
              </w:rPr>
            </w:pPr>
            <w:r>
              <w:rPr>
                <w:rFonts w:hint="eastAsia" w:ascii="宋体" w:hAnsi="宋体"/>
                <w:szCs w:val="21"/>
              </w:rPr>
              <w:t>1</w:t>
            </w:r>
          </w:p>
        </w:tc>
        <w:tc>
          <w:tcPr>
            <w:tcW w:w="5053" w:type="dxa"/>
          </w:tcPr>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Cs w:val="21"/>
              </w:rPr>
            </w:pPr>
            <w:r>
              <w:rPr>
                <w:rFonts w:hint="eastAsia" w:ascii="宋体" w:hAnsi="宋体"/>
                <w:szCs w:val="21"/>
              </w:rPr>
              <w:t>项目总工程师</w:t>
            </w:r>
          </w:p>
        </w:tc>
        <w:tc>
          <w:tcPr>
            <w:tcW w:w="1997" w:type="dxa"/>
            <w:vAlign w:val="center"/>
          </w:tcPr>
          <w:p>
            <w:pPr>
              <w:jc w:val="center"/>
              <w:rPr>
                <w:rFonts w:ascii="宋体" w:hAnsi="宋体"/>
                <w:szCs w:val="21"/>
              </w:rPr>
            </w:pPr>
            <w:r>
              <w:rPr>
                <w:rFonts w:hint="eastAsia" w:ascii="宋体" w:hAnsi="宋体"/>
                <w:szCs w:val="21"/>
              </w:rPr>
              <w:t>1</w:t>
            </w:r>
          </w:p>
        </w:tc>
        <w:tc>
          <w:tcPr>
            <w:tcW w:w="5053" w:type="dxa"/>
            <w:vAlign w:val="center"/>
          </w:tcPr>
          <w:p>
            <w:pPr>
              <w:rPr>
                <w:szCs w:val="21"/>
              </w:rPr>
            </w:pPr>
            <w:r>
              <w:rPr>
                <w:rFonts w:hint="eastAsia"/>
                <w:szCs w:val="21"/>
              </w:rPr>
              <w:t>具备中级及以上相关专业技术职称。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9"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3"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ind w:firstLine="3885" w:firstLineChars="1850"/>
        <w:rPr>
          <w:rFonts w:ascii="宋体" w:hAnsi="宋体"/>
          <w:szCs w:val="21"/>
        </w:rPr>
      </w:pPr>
      <w:r>
        <w:rPr>
          <w:rFonts w:hint="eastAsia" w:ascii="宋体" w:hAnsi="宋体"/>
          <w:kern w:val="0"/>
          <w:szCs w:val="21"/>
        </w:rPr>
        <w:t>投  标  人：</w:t>
      </w:r>
      <w:r>
        <w:rPr>
          <w:rFonts w:hint="eastAsia" w:ascii="宋体" w:hAnsi="宋体"/>
          <w:szCs w:val="21"/>
        </w:rPr>
        <w:t>（盖单位章）</w:t>
      </w:r>
    </w:p>
    <w:p>
      <w:pPr>
        <w:adjustRightInd w:val="0"/>
        <w:snapToGrid w:val="0"/>
        <w:spacing w:line="360" w:lineRule="auto"/>
        <w:jc w:val="center"/>
        <w:rPr>
          <w:rFonts w:ascii="宋体" w:hAnsi="宋体"/>
          <w:szCs w:val="21"/>
        </w:rPr>
      </w:pPr>
    </w:p>
    <w:p>
      <w:pPr>
        <w:adjustRightInd w:val="0"/>
        <w:snapToGrid w:val="0"/>
        <w:spacing w:line="360" w:lineRule="auto"/>
        <w:jc w:val="center"/>
        <w:rPr>
          <w:rFonts w:ascii="黑体" w:eastAsia="黑体"/>
          <w:sz w:val="30"/>
          <w:szCs w:val="30"/>
          <w:u w:val="single"/>
        </w:rPr>
      </w:pPr>
      <w:r>
        <w:rPr>
          <w:rFonts w:hint="eastAsia" w:ascii="宋体" w:hAnsi="宋体"/>
          <w:szCs w:val="21"/>
        </w:rPr>
        <w:t xml:space="preserve">                            法定代表人或其委托代理人：（签字）</w:t>
      </w:r>
    </w:p>
    <w:bookmarkEnd w:id="285"/>
    <w:p>
      <w:pPr>
        <w:spacing w:before="120" w:after="120"/>
        <w:jc w:val="center"/>
        <w:rPr>
          <w:rFonts w:ascii="黑体" w:eastAsia="黑体"/>
          <w:b/>
          <w:bCs/>
          <w:kern w:val="44"/>
          <w:sz w:val="30"/>
          <w:szCs w:val="30"/>
        </w:rPr>
      </w:pPr>
      <w:bookmarkStart w:id="286" w:name="_Toc234382990"/>
      <w:r>
        <w:rPr>
          <w:rFonts w:hint="eastAsia" w:ascii="黑体" w:eastAsia="黑体"/>
          <w:b/>
          <w:bCs/>
          <w:kern w:val="44"/>
          <w:sz w:val="30"/>
          <w:szCs w:val="30"/>
        </w:rPr>
        <w:t>八、</w:t>
      </w:r>
      <w:r>
        <w:rPr>
          <w:rFonts w:ascii="黑体" w:eastAsia="黑体"/>
          <w:b/>
          <w:bCs/>
          <w:kern w:val="44"/>
          <w:sz w:val="30"/>
          <w:szCs w:val="30"/>
        </w:rPr>
        <w:t>农民工工资支付承诺书</w:t>
      </w:r>
    </w:p>
    <w:p>
      <w:pPr>
        <w:adjustRightInd w:val="0"/>
        <w:snapToGrid w:val="0"/>
        <w:spacing w:afterLines="50" w:line="343" w:lineRule="auto"/>
        <w:ind w:firstLine="360" w:firstLineChars="150"/>
        <w:rPr>
          <w:sz w:val="24"/>
        </w:rPr>
      </w:pPr>
      <w:r>
        <w:rPr>
          <w:rFonts w:hint="eastAsia"/>
          <w:sz w:val="24"/>
        </w:rPr>
        <w:t>我单位在此郑重承诺：</w:t>
      </w:r>
    </w:p>
    <w:p>
      <w:pPr>
        <w:adjustRightInd w:val="0"/>
        <w:snapToGrid w:val="0"/>
        <w:spacing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right="480" w:firstLine="3480" w:firstLineChars="1450"/>
        <w:rPr>
          <w:sz w:val="24"/>
          <w:u w:val="single"/>
        </w:rPr>
      </w:pPr>
      <w:r>
        <w:rPr>
          <w:rFonts w:hint="eastAsia"/>
          <w:sz w:val="24"/>
        </w:rPr>
        <w:t>承 诺 人：</w:t>
      </w:r>
      <w:r>
        <w:rPr>
          <w:rFonts w:hint="eastAsia"/>
          <w:sz w:val="24"/>
          <w:u w:val="single"/>
        </w:rPr>
        <w:t xml:space="preserve">    （单位全称）（盖章）</w:t>
      </w:r>
    </w:p>
    <w:p>
      <w:pPr>
        <w:adjustRightInd w:val="0"/>
        <w:snapToGrid w:val="0"/>
        <w:spacing w:afterLines="50" w:line="343" w:lineRule="auto"/>
        <w:ind w:firstLine="3480" w:firstLineChars="1450"/>
        <w:rPr>
          <w:sz w:val="24"/>
          <w:u w:val="single"/>
        </w:rPr>
      </w:pPr>
      <w:r>
        <w:rPr>
          <w:rFonts w:hint="eastAsia"/>
          <w:sz w:val="24"/>
        </w:rPr>
        <w:t>法定代表人或其委托代理人：</w:t>
      </w:r>
      <w:r>
        <w:rPr>
          <w:rFonts w:hint="eastAsia"/>
          <w:sz w:val="24"/>
          <w:u w:val="single"/>
        </w:rPr>
        <w:t xml:space="preserve">    (签字) </w:t>
      </w:r>
    </w:p>
    <w:p>
      <w:pPr>
        <w:adjustRightInd w:val="0"/>
        <w:snapToGrid w:val="0"/>
        <w:spacing w:afterLines="50" w:line="343" w:lineRule="auto"/>
        <w:ind w:firstLine="360" w:firstLineChars="150"/>
        <w:rPr>
          <w:sz w:val="24"/>
          <w:u w:val="single"/>
        </w:rPr>
      </w:pPr>
    </w:p>
    <w:p>
      <w:pPr>
        <w:adjustRightInd w:val="0"/>
        <w:snapToGrid w:val="0"/>
        <w:spacing w:afterLines="50" w:line="343" w:lineRule="auto"/>
        <w:rPr>
          <w:rFonts w:ascii="黑体" w:eastAsia="黑体"/>
          <w:sz w:val="28"/>
          <w:szCs w:val="28"/>
        </w:rPr>
      </w:pPr>
    </w:p>
    <w:p>
      <w:pPr>
        <w:pStyle w:val="4"/>
        <w:spacing w:beforeLines="100" w:afterLines="150" w:line="360" w:lineRule="exact"/>
        <w:jc w:val="center"/>
        <w:rPr>
          <w:rFonts w:ascii="黑体" w:eastAsia="黑体"/>
          <w:sz w:val="30"/>
          <w:szCs w:val="30"/>
        </w:rPr>
      </w:pPr>
      <w:bookmarkStart w:id="287" w:name="_Toc485889080"/>
      <w:bookmarkStart w:id="288" w:name="_Toc18302"/>
      <w:bookmarkStart w:id="289" w:name="_Toc486277945"/>
      <w:r>
        <w:rPr>
          <w:rFonts w:hint="eastAsia" w:ascii="黑体" w:eastAsia="黑体"/>
          <w:sz w:val="30"/>
          <w:szCs w:val="30"/>
        </w:rPr>
        <w:t>九、扬尘治理专项承诺书</w:t>
      </w:r>
      <w:bookmarkEnd w:id="287"/>
      <w:bookmarkEnd w:id="288"/>
      <w:bookmarkEnd w:id="289"/>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24"/>
        </w:rPr>
      </w:pPr>
    </w:p>
    <w:p>
      <w:pPr>
        <w:pStyle w:val="4"/>
        <w:spacing w:beforeLines="100" w:afterLines="150" w:line="360" w:lineRule="exact"/>
        <w:jc w:val="center"/>
        <w:rPr>
          <w:rFonts w:ascii="黑体" w:eastAsia="黑体"/>
          <w:sz w:val="30"/>
          <w:szCs w:val="30"/>
        </w:rPr>
      </w:pPr>
    </w:p>
    <w:p>
      <w:pPr>
        <w:pStyle w:val="4"/>
        <w:spacing w:beforeLines="100" w:afterLines="150" w:line="360" w:lineRule="exact"/>
        <w:jc w:val="center"/>
        <w:rPr>
          <w:rFonts w:ascii="黑体" w:hAnsi="宋体" w:eastAsia="黑体"/>
          <w:sz w:val="30"/>
          <w:szCs w:val="30"/>
        </w:rPr>
      </w:pPr>
      <w:bookmarkStart w:id="290" w:name="_Toc5401"/>
      <w:bookmarkStart w:id="291" w:name="_Toc485889081"/>
      <w:bookmarkStart w:id="292" w:name="_Toc486277946"/>
      <w:r>
        <w:rPr>
          <w:rFonts w:hint="eastAsia" w:ascii="黑体" w:hAnsi="宋体" w:eastAsia="黑体"/>
          <w:sz w:val="30"/>
          <w:szCs w:val="30"/>
        </w:rPr>
        <w:t>十、其 他 材 料</w:t>
      </w:r>
      <w:bookmarkEnd w:id="286"/>
      <w:bookmarkEnd w:id="290"/>
      <w:bookmarkEnd w:id="291"/>
      <w:bookmarkEnd w:id="292"/>
    </w:p>
    <w:p/>
    <w:p/>
    <w:p>
      <w:pPr>
        <w:pStyle w:val="4"/>
        <w:spacing w:beforeLines="100" w:afterLines="150" w:line="360" w:lineRule="exact"/>
        <w:jc w:val="center"/>
      </w:pPr>
    </w:p>
    <w:p>
      <w:pPr>
        <w:pStyle w:val="4"/>
        <w:spacing w:beforeLines="100" w:afterLines="150" w:line="360" w:lineRule="exact"/>
        <w:jc w:val="center"/>
      </w:pPr>
    </w:p>
    <w:p/>
    <w:p/>
    <w:p/>
    <w:p/>
    <w:p/>
    <w:p/>
    <w:p/>
    <w:p/>
    <w:p/>
    <w:p/>
    <w:p/>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jc w:val="right"/>
        <w:rPr>
          <w:rFonts w:asciiTheme="minorEastAsia" w:hAnsiTheme="minorEastAsia" w:eastAsiaTheme="minorEastAsia"/>
          <w:bCs/>
          <w:sz w:val="36"/>
          <w:szCs w:val="36"/>
        </w:rPr>
      </w:pPr>
      <w:r>
        <w:rPr>
          <w:rFonts w:hint="eastAsia" w:asciiTheme="minorEastAsia" w:hAnsiTheme="minorEastAsia" w:eastAsiaTheme="minorEastAsia"/>
          <w:bCs/>
          <w:sz w:val="36"/>
          <w:szCs w:val="36"/>
        </w:rPr>
        <w:t>正（副）本</w:t>
      </w:r>
    </w:p>
    <w:p>
      <w:pPr>
        <w:ind w:firstLine="520" w:firstLineChars="100"/>
        <w:rPr>
          <w:rFonts w:asciiTheme="minorEastAsia" w:hAnsiTheme="minorEastAsia" w:eastAsiaTheme="minorEastAsia"/>
          <w:bCs/>
          <w:sz w:val="52"/>
          <w:szCs w:val="52"/>
          <w:u w:val="single"/>
        </w:rPr>
      </w:pPr>
    </w:p>
    <w:p>
      <w:pPr>
        <w:ind w:firstLine="520" w:firstLineChars="100"/>
        <w:rPr>
          <w:rFonts w:asciiTheme="minorEastAsia" w:hAnsiTheme="minorEastAsia" w:eastAsiaTheme="minorEastAsia"/>
          <w:bCs/>
          <w:sz w:val="36"/>
          <w:szCs w:val="36"/>
          <w:u w:val="single"/>
        </w:rPr>
      </w:pPr>
      <w:r>
        <w:rPr>
          <w:rFonts w:hint="eastAsia" w:asciiTheme="minorEastAsia" w:hAnsiTheme="minorEastAsia" w:eastAsiaTheme="minorEastAsia"/>
          <w:bCs/>
          <w:sz w:val="52"/>
          <w:szCs w:val="52"/>
          <w:u w:val="single"/>
        </w:rPr>
        <w:t xml:space="preserve">         (项目名称)        </w:t>
      </w:r>
    </w:p>
    <w:p>
      <w:pPr>
        <w:spacing w:line="360" w:lineRule="auto"/>
        <w:rPr>
          <w:rFonts w:asciiTheme="minorEastAsia" w:hAnsiTheme="minorEastAsia" w:eastAsiaTheme="minorEastAsia"/>
          <w:sz w:val="36"/>
          <w:szCs w:val="36"/>
        </w:rPr>
      </w:pP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sz w:val="36"/>
          <w:szCs w:val="36"/>
        </w:rPr>
        <w:t>建安建工公字〔2019〕   号</w:t>
      </w:r>
    </w:p>
    <w:p>
      <w:pPr>
        <w:spacing w:line="360" w:lineRule="auto"/>
        <w:jc w:val="center"/>
        <w:rPr>
          <w:rFonts w:asciiTheme="minorEastAsia" w:hAnsiTheme="minorEastAsia" w:eastAsiaTheme="minorEastAsia"/>
          <w:b/>
          <w:sz w:val="52"/>
          <w:szCs w:val="52"/>
        </w:rPr>
      </w:pPr>
    </w:p>
    <w:p>
      <w:pPr>
        <w:spacing w:line="360" w:lineRule="auto"/>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投 标 文 件</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 xml:space="preserve">第二信封  </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（投标报价和工程量清单）</w:t>
      </w: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投标人：（盖单位章）</w:t>
      </w: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法定代表人或其委托代理人：（签字）</w:t>
      </w:r>
    </w:p>
    <w:p>
      <w:pPr>
        <w:spacing w:line="800" w:lineRule="exact"/>
        <w:ind w:firstLine="1590" w:firstLineChars="495"/>
        <w:rPr>
          <w:rFonts w:asciiTheme="minorEastAsia" w:hAnsiTheme="minorEastAsia" w:eastAsiaTheme="minorEastAsia"/>
          <w:b/>
          <w:sz w:val="32"/>
          <w:szCs w:val="32"/>
        </w:rPr>
      </w:pPr>
      <w:r>
        <w:rPr>
          <w:rFonts w:hint="eastAsia" w:asciiTheme="minorEastAsia" w:hAnsiTheme="minorEastAsia" w:eastAsiaTheme="minorEastAsia"/>
          <w:b/>
          <w:sz w:val="32"/>
          <w:szCs w:val="32"/>
        </w:rPr>
        <w:t>日  期：    年   月   日</w:t>
      </w:r>
    </w:p>
    <w:p>
      <w:pPr>
        <w:jc w:val="center"/>
        <w:rPr>
          <w:rFonts w:asciiTheme="minorEastAsia" w:hAnsiTheme="minorEastAsia" w:eastAsiaTheme="minorEastAsia"/>
          <w:b/>
          <w:sz w:val="36"/>
          <w:szCs w:val="36"/>
        </w:rPr>
      </w:pPr>
    </w:p>
    <w:p>
      <w:pPr>
        <w:rPr>
          <w:rFonts w:ascii="宋体" w:hAnsi="宋体"/>
        </w:rPr>
      </w:pPr>
    </w:p>
    <w:p>
      <w:pPr>
        <w:pageBreakBefore/>
        <w:spacing w:line="360" w:lineRule="auto"/>
        <w:jc w:val="center"/>
        <w:rPr>
          <w:rFonts w:ascii="宋体" w:hAnsi="宋体"/>
          <w:b/>
          <w:sz w:val="32"/>
          <w:szCs w:val="32"/>
        </w:rPr>
      </w:pPr>
      <w:r>
        <w:rPr>
          <w:rFonts w:hint="eastAsia" w:ascii="宋体" w:hAnsi="宋体"/>
          <w:b/>
          <w:sz w:val="32"/>
          <w:szCs w:val="32"/>
        </w:rPr>
        <w:t>目 录</w:t>
      </w:r>
    </w:p>
    <w:p>
      <w:pPr>
        <w:spacing w:line="360" w:lineRule="auto"/>
        <w:jc w:val="center"/>
        <w:rPr>
          <w:rFonts w:ascii="宋体" w:hAnsi="宋体"/>
          <w:b/>
          <w:sz w:val="32"/>
          <w:szCs w:val="32"/>
        </w:rPr>
      </w:pPr>
    </w:p>
    <w:p>
      <w:pPr>
        <w:spacing w:line="360" w:lineRule="auto"/>
        <w:ind w:firstLine="700" w:firstLineChars="250"/>
        <w:jc w:val="left"/>
        <w:rPr>
          <w:rFonts w:ascii="宋体" w:hAnsi="宋体"/>
          <w:sz w:val="28"/>
          <w:szCs w:val="28"/>
        </w:rPr>
      </w:pPr>
      <w:r>
        <w:rPr>
          <w:rFonts w:hint="eastAsia" w:ascii="宋体" w:hAnsi="宋体"/>
          <w:sz w:val="28"/>
          <w:szCs w:val="28"/>
        </w:rPr>
        <w:t>一、投标函</w:t>
      </w:r>
    </w:p>
    <w:p>
      <w:pPr>
        <w:spacing w:line="360" w:lineRule="auto"/>
        <w:ind w:firstLine="700" w:firstLineChars="250"/>
        <w:jc w:val="left"/>
        <w:rPr>
          <w:rFonts w:ascii="宋体" w:hAnsi="宋体"/>
          <w:sz w:val="28"/>
          <w:szCs w:val="28"/>
        </w:rPr>
      </w:pPr>
      <w:r>
        <w:rPr>
          <w:rFonts w:hint="eastAsia" w:ascii="宋体" w:hAnsi="宋体"/>
          <w:sz w:val="28"/>
          <w:szCs w:val="28"/>
        </w:rPr>
        <w:t>二、已标价工程量清单</w:t>
      </w:r>
    </w:p>
    <w:p>
      <w:pPr>
        <w:spacing w:line="360" w:lineRule="auto"/>
        <w:ind w:firstLine="700" w:firstLineChars="250"/>
        <w:jc w:val="left"/>
        <w:rPr>
          <w:rFonts w:ascii="宋体" w:hAnsi="宋体"/>
          <w:sz w:val="28"/>
          <w:szCs w:val="28"/>
        </w:rPr>
      </w:pPr>
      <w:r>
        <w:rPr>
          <w:rFonts w:hint="eastAsia" w:ascii="宋体" w:hAnsi="宋体"/>
          <w:sz w:val="28"/>
          <w:szCs w:val="28"/>
        </w:rPr>
        <w:t>三、拟分包项目情况表</w:t>
      </w:r>
    </w:p>
    <w:p>
      <w:pPr>
        <w:spacing w:line="360" w:lineRule="auto"/>
        <w:ind w:firstLine="700" w:firstLineChars="250"/>
        <w:jc w:val="left"/>
        <w:rPr>
          <w:rFonts w:ascii="宋体" w:hAnsi="宋体"/>
          <w:sz w:val="28"/>
          <w:szCs w:val="28"/>
        </w:rPr>
      </w:pPr>
      <w:r>
        <w:rPr>
          <w:rFonts w:hint="eastAsia" w:ascii="宋体" w:hAnsi="宋体"/>
          <w:sz w:val="28"/>
          <w:szCs w:val="28"/>
        </w:rPr>
        <w:t>四、合同用款估算表</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b/>
          <w:sz w:val="32"/>
          <w:szCs w:val="32"/>
        </w:rPr>
      </w:pPr>
      <w:r>
        <w:rPr>
          <w:rFonts w:hint="eastAsia" w:ascii="宋体" w:hAnsi="宋体"/>
          <w:b/>
          <w:sz w:val="32"/>
          <w:szCs w:val="32"/>
        </w:rPr>
        <w:t>一、投标函</w:t>
      </w: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_________________________(招标人名称)：</w:t>
      </w:r>
    </w:p>
    <w:p>
      <w:pPr>
        <w:spacing w:line="360" w:lineRule="auto"/>
        <w:ind w:firstLine="480" w:firstLineChars="200"/>
        <w:jc w:val="left"/>
        <w:rPr>
          <w:rFonts w:ascii="宋体" w:hAnsi="宋体"/>
          <w:sz w:val="24"/>
        </w:rPr>
      </w:pPr>
      <w:r>
        <w:rPr>
          <w:rFonts w:hint="eastAsia" w:ascii="宋体" w:hAnsi="宋体"/>
          <w:sz w:val="24"/>
        </w:rPr>
        <w:t>1．我方已仔细研究_____________(项目名称)施工招标文件的全部内容（含补遗书第号至第号），在考察工程现场后，愿意以人民币(大写)________元(¥________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sz w:val="24"/>
        </w:rPr>
      </w:pPr>
      <w:r>
        <w:rPr>
          <w:rFonts w:hint="eastAsia" w:ascii="宋体" w:hAnsi="宋体"/>
          <w:sz w:val="24"/>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sz w:val="24"/>
        </w:rPr>
      </w:pPr>
      <w:r>
        <w:rPr>
          <w:rFonts w:hint="eastAsia" w:ascii="宋体" w:hAnsi="宋体"/>
          <w:sz w:val="24"/>
        </w:rPr>
        <w:t>3．__________________________________(其他补充说明)。</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left="3543" w:leftChars="1687"/>
        <w:jc w:val="left"/>
        <w:rPr>
          <w:rFonts w:ascii="宋体" w:hAnsi="宋体"/>
          <w:sz w:val="24"/>
        </w:rPr>
      </w:pPr>
      <w:r>
        <w:rPr>
          <w:rFonts w:hint="eastAsia" w:ascii="宋体" w:hAnsi="宋体"/>
          <w:sz w:val="24"/>
        </w:rPr>
        <w:t>投 标 人：___________________(盖单位章)</w:t>
      </w:r>
    </w:p>
    <w:p>
      <w:pPr>
        <w:spacing w:line="360" w:lineRule="auto"/>
        <w:ind w:left="3543" w:leftChars="1687"/>
        <w:jc w:val="left"/>
        <w:rPr>
          <w:rFonts w:ascii="宋体" w:hAnsi="宋体"/>
          <w:sz w:val="24"/>
        </w:rPr>
      </w:pPr>
      <w:r>
        <w:rPr>
          <w:rFonts w:hint="eastAsia" w:ascii="宋体" w:hAnsi="宋体"/>
          <w:sz w:val="24"/>
        </w:rPr>
        <w:t>法定代表人或其委托代人:_________(签字)</w:t>
      </w:r>
    </w:p>
    <w:p>
      <w:pPr>
        <w:spacing w:line="360" w:lineRule="auto"/>
        <w:ind w:left="3543" w:leftChars="1687"/>
        <w:jc w:val="left"/>
        <w:rPr>
          <w:rFonts w:ascii="宋体" w:hAnsi="宋体"/>
          <w:sz w:val="24"/>
        </w:rPr>
      </w:pPr>
      <w:r>
        <w:rPr>
          <w:rFonts w:hint="eastAsia" w:ascii="宋体" w:hAnsi="宋体"/>
          <w:sz w:val="24"/>
        </w:rPr>
        <w:t>地址：________________________________</w:t>
      </w:r>
    </w:p>
    <w:p>
      <w:pPr>
        <w:spacing w:line="360" w:lineRule="auto"/>
        <w:ind w:left="3543" w:leftChars="1687"/>
        <w:jc w:val="left"/>
        <w:rPr>
          <w:rFonts w:ascii="宋体" w:hAnsi="宋体"/>
          <w:sz w:val="24"/>
        </w:rPr>
      </w:pPr>
      <w:r>
        <w:rPr>
          <w:rFonts w:hint="eastAsia" w:ascii="宋体" w:hAnsi="宋体"/>
          <w:sz w:val="24"/>
        </w:rPr>
        <w:t>网址：________________________________</w:t>
      </w:r>
    </w:p>
    <w:p>
      <w:pPr>
        <w:spacing w:line="360" w:lineRule="auto"/>
        <w:ind w:left="3543" w:leftChars="1687"/>
        <w:jc w:val="left"/>
        <w:rPr>
          <w:rFonts w:ascii="宋体" w:hAnsi="宋体"/>
          <w:sz w:val="24"/>
        </w:rPr>
      </w:pPr>
      <w:r>
        <w:rPr>
          <w:rFonts w:hint="eastAsia" w:ascii="宋体" w:hAnsi="宋体"/>
          <w:sz w:val="24"/>
        </w:rPr>
        <w:t>电话：________________________________</w:t>
      </w:r>
    </w:p>
    <w:p>
      <w:pPr>
        <w:spacing w:line="360" w:lineRule="auto"/>
        <w:ind w:left="3543" w:leftChars="1687"/>
        <w:jc w:val="left"/>
        <w:rPr>
          <w:rFonts w:ascii="宋体" w:hAnsi="宋体"/>
          <w:sz w:val="24"/>
        </w:rPr>
      </w:pPr>
      <w:r>
        <w:rPr>
          <w:rFonts w:hint="eastAsia" w:ascii="宋体" w:hAnsi="宋体"/>
          <w:sz w:val="24"/>
        </w:rPr>
        <w:t>传真：________________________________</w:t>
      </w:r>
    </w:p>
    <w:p>
      <w:pPr>
        <w:spacing w:line="360" w:lineRule="auto"/>
        <w:ind w:left="3543" w:leftChars="1687"/>
        <w:jc w:val="left"/>
        <w:rPr>
          <w:rFonts w:ascii="宋体" w:hAnsi="宋体"/>
          <w:sz w:val="24"/>
        </w:rPr>
      </w:pPr>
      <w:r>
        <w:rPr>
          <w:rFonts w:hint="eastAsia" w:ascii="宋体" w:hAnsi="宋体"/>
          <w:sz w:val="24"/>
        </w:rPr>
        <w:t>邮政编码：____________________________</w:t>
      </w:r>
    </w:p>
    <w:p>
      <w:pPr>
        <w:spacing w:line="360" w:lineRule="auto"/>
        <w:ind w:left="3543" w:leftChars="1687"/>
        <w:jc w:val="left"/>
        <w:rPr>
          <w:rFonts w:ascii="宋体" w:hAnsi="宋体"/>
          <w:sz w:val="24"/>
        </w:rPr>
      </w:pPr>
    </w:p>
    <w:p>
      <w:pPr>
        <w:spacing w:line="360" w:lineRule="auto"/>
        <w:ind w:left="3543" w:leftChars="1687" w:firstLine="720" w:firstLineChars="300"/>
        <w:jc w:val="left"/>
        <w:rPr>
          <w:rFonts w:ascii="宋体" w:hAnsi="宋体"/>
          <w:sz w:val="24"/>
        </w:rPr>
      </w:pPr>
      <w:r>
        <w:rPr>
          <w:rFonts w:hint="eastAsia" w:ascii="宋体" w:hAnsi="宋体"/>
          <w:sz w:val="24"/>
        </w:rPr>
        <w:t>________年______月_______日</w:t>
      </w:r>
    </w:p>
    <w:p>
      <w:pPr>
        <w:spacing w:line="360" w:lineRule="auto"/>
        <w:ind w:left="1"/>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ind w:left="1"/>
        <w:jc w:val="left"/>
        <w:rPr>
          <w:rFonts w:ascii="宋体" w:hAnsi="宋体"/>
          <w:sz w:val="24"/>
        </w:rPr>
      </w:pPr>
    </w:p>
    <w:p>
      <w:pPr>
        <w:spacing w:line="360" w:lineRule="auto"/>
        <w:ind w:left="3543" w:leftChars="1687" w:firstLine="720" w:firstLineChars="300"/>
        <w:jc w:val="left"/>
        <w:rPr>
          <w:rFonts w:ascii="宋体" w:hAnsi="宋体"/>
          <w:sz w:val="24"/>
        </w:rPr>
      </w:pPr>
    </w:p>
    <w:p>
      <w:pPr>
        <w:spacing w:line="360" w:lineRule="auto"/>
        <w:jc w:val="center"/>
        <w:rPr>
          <w:rFonts w:ascii="宋体" w:hAnsi="宋体"/>
          <w:b/>
          <w:sz w:val="32"/>
          <w:szCs w:val="32"/>
        </w:rPr>
      </w:pPr>
      <w:r>
        <w:rPr>
          <w:rFonts w:hint="eastAsia" w:ascii="宋体" w:hAnsi="宋体"/>
          <w:b/>
          <w:sz w:val="32"/>
          <w:szCs w:val="32"/>
        </w:rPr>
        <w:t>二、已标价工程量清单</w:t>
      </w:r>
    </w:p>
    <w:p>
      <w:pPr>
        <w:spacing w:line="360" w:lineRule="auto"/>
        <w:ind w:firstLine="480" w:firstLineChars="200"/>
        <w:jc w:val="left"/>
        <w:rPr>
          <w:rFonts w:ascii="宋体" w:hAnsi="宋体"/>
          <w:sz w:val="24"/>
        </w:rPr>
      </w:pPr>
      <w:r>
        <w:rPr>
          <w:rFonts w:hint="eastAsia" w:ascii="宋体" w:hAnsi="宋体"/>
          <w:sz w:val="24"/>
        </w:rPr>
        <w:t>投标人应按照第五章“工程量清单”的要求逐项填报工程量清单，包括工程量清单说明、投标报价说明、计日工说明、其他说明及工程量清单各项表格（工程量清单表 5.1～表 5.5）</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ageBreakBefore/>
        <w:spacing w:line="360" w:lineRule="auto"/>
        <w:jc w:val="center"/>
        <w:rPr>
          <w:rFonts w:ascii="宋体" w:hAnsi="宋体"/>
          <w:b/>
          <w:sz w:val="32"/>
          <w:szCs w:val="32"/>
        </w:rPr>
      </w:pPr>
      <w:r>
        <w:rPr>
          <w:rFonts w:hint="eastAsia" w:ascii="宋体" w:hAnsi="宋体"/>
          <w:b/>
          <w:sz w:val="32"/>
          <w:szCs w:val="32"/>
        </w:rPr>
        <w:t>三、拟分包项目情况表</w:t>
      </w:r>
    </w:p>
    <w:p>
      <w:pPr>
        <w:rPr>
          <w:rFonts w:ascii="宋体" w:hAnsi="宋体" w:cs="宋体"/>
        </w:rPr>
      </w:pPr>
    </w:p>
    <w:tbl>
      <w:tblPr>
        <w:tblStyle w:val="12"/>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分包人名称</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地址</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法定代表人</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电话</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营业执照号码</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资质等级</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拟分包的工程项目</w:t>
            </w:r>
          </w:p>
        </w:tc>
        <w:tc>
          <w:tcPr>
            <w:tcW w:w="2410" w:type="dxa"/>
            <w:vAlign w:val="center"/>
          </w:tcPr>
          <w:p>
            <w:pPr>
              <w:jc w:val="center"/>
              <w:rPr>
                <w:rFonts w:ascii="宋体" w:hAnsi="宋体" w:cs="宋体"/>
                <w:szCs w:val="21"/>
              </w:rPr>
            </w:pPr>
            <w:r>
              <w:rPr>
                <w:rFonts w:hint="eastAsia" w:ascii="宋体" w:hAnsi="宋体" w:cs="宋体"/>
                <w:szCs w:val="21"/>
              </w:rPr>
              <w:t>主要内容</w:t>
            </w:r>
          </w:p>
        </w:tc>
        <w:tc>
          <w:tcPr>
            <w:tcW w:w="2410" w:type="dxa"/>
            <w:vAlign w:val="center"/>
          </w:tcPr>
          <w:p>
            <w:pPr>
              <w:jc w:val="center"/>
              <w:rPr>
                <w:rFonts w:ascii="宋体" w:hAnsi="宋体" w:cs="宋体"/>
                <w:szCs w:val="21"/>
              </w:rPr>
            </w:pPr>
            <w:r>
              <w:rPr>
                <w:rFonts w:hint="eastAsia" w:ascii="宋体" w:hAnsi="宋体" w:cs="宋体"/>
                <w:szCs w:val="21"/>
              </w:rPr>
              <w:t>预计造价（万元）</w:t>
            </w:r>
          </w:p>
        </w:tc>
        <w:tc>
          <w:tcPr>
            <w:tcW w:w="2410" w:type="dxa"/>
            <w:vAlign w:val="center"/>
          </w:tcPr>
          <w:p>
            <w:pPr>
              <w:jc w:val="center"/>
              <w:rPr>
                <w:rFonts w:ascii="宋体" w:hAnsi="宋体" w:cs="宋体"/>
                <w:szCs w:val="21"/>
              </w:rPr>
            </w:pPr>
            <w:r>
              <w:rPr>
                <w:rFonts w:hint="eastAsia" w:ascii="宋体" w:hAnsi="宋体" w:cs="宋体"/>
                <w:szCs w:val="21"/>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restart"/>
          </w:tcPr>
          <w:p>
            <w:pPr>
              <w:ind w:firstLine="210" w:firstLineChars="100"/>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注：</w:t>
            </w:r>
          </w:p>
          <w:p>
            <w:pPr>
              <w:ind w:firstLine="210" w:firstLineChars="100"/>
              <w:rPr>
                <w:rFonts w:ascii="宋体" w:hAnsi="宋体" w:cs="宋体"/>
                <w:szCs w:val="21"/>
              </w:rPr>
            </w:pPr>
            <w:r>
              <w:rPr>
                <w:rFonts w:hint="eastAsia" w:ascii="宋体" w:hAnsi="宋体" w:cs="宋体"/>
                <w:szCs w:val="21"/>
              </w:rPr>
              <w:t>1.本栏应写明分包人以往做过的类似工程，包括工程名称、地点、造价、工期、交工年份和其发包人与总监理工程师的姓名和地址。</w:t>
            </w:r>
          </w:p>
          <w:p>
            <w:pPr>
              <w:ind w:firstLine="210" w:firstLineChars="100"/>
              <w:rPr>
                <w:rFonts w:ascii="宋体" w:hAnsi="宋体" w:cs="宋体"/>
                <w:szCs w:val="21"/>
              </w:rPr>
            </w:pPr>
            <w:r>
              <w:rPr>
                <w:rFonts w:hint="eastAsia" w:ascii="宋体" w:hAnsi="宋体" w:cs="宋体"/>
                <w:szCs w:val="21"/>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cs="宋体"/>
                <w:szCs w:val="21"/>
              </w:rPr>
            </w:pPr>
            <w:r>
              <w:rPr>
                <w:rFonts w:hint="eastAsia" w:ascii="宋体" w:hAnsi="宋体" w:cs="宋体"/>
                <w:szCs w:val="21"/>
              </w:rPr>
              <w:t>分包值合计（万元）</w:t>
            </w: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bl>
    <w:p>
      <w:pPr>
        <w:pStyle w:val="4"/>
        <w:spacing w:beforeLines="50" w:after="240" w:line="400" w:lineRule="exact"/>
        <w:ind w:firstLine="2570" w:firstLineChars="800"/>
        <w:rPr>
          <w:rFonts w:ascii="宋体" w:hAnsi="宋体"/>
          <w:kern w:val="2"/>
          <w:sz w:val="32"/>
          <w:szCs w:val="28"/>
        </w:rPr>
      </w:pPr>
      <w:bookmarkStart w:id="293" w:name="_Toc486277947"/>
      <w:bookmarkStart w:id="294" w:name="_Toc485889069"/>
      <w:bookmarkStart w:id="295" w:name="_Toc5044"/>
      <w:bookmarkStart w:id="296" w:name="_Toc234382973"/>
    </w:p>
    <w:p>
      <w:r>
        <w:br w:type="page"/>
      </w:r>
    </w:p>
    <w:p>
      <w:pPr>
        <w:pStyle w:val="4"/>
        <w:spacing w:beforeLines="50" w:after="240" w:line="400" w:lineRule="exact"/>
        <w:ind w:firstLine="2570" w:firstLineChars="800"/>
        <w:rPr>
          <w:rFonts w:ascii="宋体" w:hAnsi="宋体"/>
          <w:kern w:val="2"/>
          <w:sz w:val="32"/>
          <w:szCs w:val="28"/>
        </w:rPr>
      </w:pPr>
      <w:r>
        <w:rPr>
          <w:rFonts w:hint="eastAsia" w:ascii="宋体" w:hAnsi="宋体"/>
          <w:kern w:val="2"/>
          <w:sz w:val="32"/>
          <w:szCs w:val="28"/>
        </w:rPr>
        <w:t>四、合同用款估算表</w:t>
      </w:r>
      <w:bookmarkEnd w:id="293"/>
      <w:bookmarkEnd w:id="294"/>
      <w:bookmarkEnd w:id="295"/>
      <w:bookmarkEnd w:id="296"/>
    </w:p>
    <w:tbl>
      <w:tblPr>
        <w:tblStyle w:val="12"/>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pStyle w:val="2"/>
        <w:ind w:firstLine="0" w:firstLineChars="0"/>
      </w:pPr>
    </w:p>
    <w:sectPr>
      <w:headerReference r:id="rId12"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pPr>
    </w:p>
  </w:footnote>
  <w:footnote w:id="1">
    <w:p>
      <w:pPr>
        <w:pStyle w:val="11"/>
      </w:pPr>
      <w:r>
        <w:rPr>
          <w:rStyle w:val="17"/>
        </w:rPr>
        <w:footnoteRef/>
      </w:r>
      <w:r>
        <w:rPr>
          <w:rFonts w:hint="eastAsia" w:ascii="宋体" w:hAnsi="宋体"/>
          <w:sz w:val="15"/>
          <w:szCs w:val="15"/>
        </w:rPr>
        <w:t xml:space="preserve"> 指主要材料，一般应为70％-75%，最低不少于60％。</w:t>
      </w:r>
    </w:p>
  </w:footnote>
  <w:footnote w:id="2">
    <w:p>
      <w:pPr>
        <w:pStyle w:val="11"/>
      </w:pPr>
      <w:r>
        <w:rPr>
          <w:rStyle w:val="17"/>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eastAsia="zh-CN"/>
      </w:rPr>
      <w:t>许昌市建安区小召乡、苏桥镇危桥改造项目</w:t>
    </w:r>
    <w:r>
      <w:rPr>
        <w:rFonts w:hint="eastAsia"/>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eastAsia="zh-CN"/>
      </w:rPr>
      <w:t>许昌市建安区小召乡、苏桥镇危桥改造项目</w:t>
    </w:r>
    <w:r>
      <w:rPr>
        <w:rFonts w:hint="eastAsia"/>
      </w:rPr>
      <w:t xml:space="preserve">                                                     施工招标文件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eastAsia="zh-CN"/>
      </w:rPr>
      <w:t>许昌市建安区小召乡、苏桥镇危桥改造项目</w:t>
    </w:r>
    <w:r>
      <w:rPr>
        <w:rFonts w:hint="eastAsia"/>
      </w:rPr>
      <w:t xml:space="preserve">                                                                                                 施工招标文件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eastAsia="zh-CN"/>
      </w:rPr>
      <w:t>许昌市建安区小召乡、苏桥镇危桥改造项目</w:t>
    </w:r>
    <w:r>
      <w:rPr>
        <w:rFonts w:hint="eastAsia"/>
      </w:rPr>
      <w:t xml:space="preserve">                                                                                                   施工招标文件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eastAsia="zh-CN"/>
      </w:rPr>
      <w:t>许昌市建安区小召乡、苏桥镇危桥改造项目</w:t>
    </w:r>
    <w:r>
      <w:rPr>
        <w:rFonts w:hint="eastAsia"/>
      </w:rPr>
      <w:t xml:space="preserve">                                         施工招标文件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lang w:eastAsia="zh-CN"/>
      </w:rPr>
      <w:t>许昌市建安区小召乡、苏桥镇危桥改造项目</w:t>
    </w:r>
    <w:r>
      <w:rPr>
        <w:rFonts w:hint="eastAsia"/>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477A"/>
    <w:rsid w:val="000300C6"/>
    <w:rsid w:val="00034870"/>
    <w:rsid w:val="0005672D"/>
    <w:rsid w:val="000971F2"/>
    <w:rsid w:val="000B7CEA"/>
    <w:rsid w:val="00106906"/>
    <w:rsid w:val="00146D3C"/>
    <w:rsid w:val="00162222"/>
    <w:rsid w:val="00171B69"/>
    <w:rsid w:val="00186CD9"/>
    <w:rsid w:val="001B5CE5"/>
    <w:rsid w:val="001B63D3"/>
    <w:rsid w:val="001B7ACE"/>
    <w:rsid w:val="001E3770"/>
    <w:rsid w:val="00222131"/>
    <w:rsid w:val="00224793"/>
    <w:rsid w:val="00236CC6"/>
    <w:rsid w:val="002B46E1"/>
    <w:rsid w:val="002C2611"/>
    <w:rsid w:val="002D360B"/>
    <w:rsid w:val="002F7905"/>
    <w:rsid w:val="003136F6"/>
    <w:rsid w:val="00324978"/>
    <w:rsid w:val="00381727"/>
    <w:rsid w:val="00383FBC"/>
    <w:rsid w:val="00402772"/>
    <w:rsid w:val="0040713B"/>
    <w:rsid w:val="004076F6"/>
    <w:rsid w:val="0041576A"/>
    <w:rsid w:val="00453D68"/>
    <w:rsid w:val="00467614"/>
    <w:rsid w:val="004939F8"/>
    <w:rsid w:val="00512737"/>
    <w:rsid w:val="005336EB"/>
    <w:rsid w:val="005459DB"/>
    <w:rsid w:val="0055148D"/>
    <w:rsid w:val="0056081D"/>
    <w:rsid w:val="005712C0"/>
    <w:rsid w:val="00596D2F"/>
    <w:rsid w:val="005C4873"/>
    <w:rsid w:val="00601AFC"/>
    <w:rsid w:val="00623FB2"/>
    <w:rsid w:val="00633D60"/>
    <w:rsid w:val="0066211D"/>
    <w:rsid w:val="006B0784"/>
    <w:rsid w:val="006D564A"/>
    <w:rsid w:val="006E0029"/>
    <w:rsid w:val="0071519E"/>
    <w:rsid w:val="00724843"/>
    <w:rsid w:val="00732466"/>
    <w:rsid w:val="007A28AC"/>
    <w:rsid w:val="007D323A"/>
    <w:rsid w:val="007D383D"/>
    <w:rsid w:val="00845CE5"/>
    <w:rsid w:val="008523F1"/>
    <w:rsid w:val="0086373E"/>
    <w:rsid w:val="00865E73"/>
    <w:rsid w:val="0087597D"/>
    <w:rsid w:val="008C4387"/>
    <w:rsid w:val="00903C28"/>
    <w:rsid w:val="00904BE7"/>
    <w:rsid w:val="009073E1"/>
    <w:rsid w:val="00932DE2"/>
    <w:rsid w:val="009D0BD7"/>
    <w:rsid w:val="009F477A"/>
    <w:rsid w:val="00A21ED1"/>
    <w:rsid w:val="00A3753C"/>
    <w:rsid w:val="00A9322B"/>
    <w:rsid w:val="00A97200"/>
    <w:rsid w:val="00AE1DE8"/>
    <w:rsid w:val="00AF3910"/>
    <w:rsid w:val="00B02557"/>
    <w:rsid w:val="00B439DC"/>
    <w:rsid w:val="00B460B7"/>
    <w:rsid w:val="00B609D5"/>
    <w:rsid w:val="00B63A8A"/>
    <w:rsid w:val="00BD08EB"/>
    <w:rsid w:val="00BE1571"/>
    <w:rsid w:val="00BE7B13"/>
    <w:rsid w:val="00C4508A"/>
    <w:rsid w:val="00C82375"/>
    <w:rsid w:val="00C91268"/>
    <w:rsid w:val="00CB1587"/>
    <w:rsid w:val="00D173CA"/>
    <w:rsid w:val="00D61AC5"/>
    <w:rsid w:val="00D70201"/>
    <w:rsid w:val="00D73BFB"/>
    <w:rsid w:val="00D83089"/>
    <w:rsid w:val="00DD61D1"/>
    <w:rsid w:val="00E351C1"/>
    <w:rsid w:val="00E45ABA"/>
    <w:rsid w:val="00E468B6"/>
    <w:rsid w:val="00E51E8A"/>
    <w:rsid w:val="00E94C37"/>
    <w:rsid w:val="00EB52EF"/>
    <w:rsid w:val="00EC75BF"/>
    <w:rsid w:val="00ED5B59"/>
    <w:rsid w:val="00ED5C7C"/>
    <w:rsid w:val="00EE046F"/>
    <w:rsid w:val="00F057FC"/>
    <w:rsid w:val="00F413DC"/>
    <w:rsid w:val="00F44409"/>
    <w:rsid w:val="00F8787C"/>
    <w:rsid w:val="00FC74C9"/>
    <w:rsid w:val="02643D91"/>
    <w:rsid w:val="239D18AF"/>
    <w:rsid w:val="2E042180"/>
    <w:rsid w:val="30EF64D0"/>
    <w:rsid w:val="32D65792"/>
    <w:rsid w:val="37052B32"/>
    <w:rsid w:val="435C79A4"/>
    <w:rsid w:val="4B816173"/>
    <w:rsid w:val="50A92EEF"/>
    <w:rsid w:val="64CB736A"/>
    <w:rsid w:val="6A527A73"/>
    <w:rsid w:val="6BC4051D"/>
    <w:rsid w:val="73581EF5"/>
    <w:rsid w:val="79C36111"/>
    <w:rsid w:val="7EB7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5">
    <w:name w:val="heading 4"/>
    <w:basedOn w:val="1"/>
    <w:next w:val="1"/>
    <w:link w:val="29"/>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9"/>
    <w:unhideWhenUsed/>
    <w:qFormat/>
    <w:uiPriority w:val="0"/>
    <w:pPr>
      <w:ind w:firstLine="420" w:firstLineChars="100"/>
    </w:pPr>
  </w:style>
  <w:style w:type="paragraph" w:styleId="3">
    <w:name w:val="Body Text"/>
    <w:basedOn w:val="1"/>
    <w:link w:val="18"/>
    <w:unhideWhenUsed/>
    <w:qFormat/>
    <w:uiPriority w:val="0"/>
    <w:pPr>
      <w:spacing w:after="120"/>
    </w:pPr>
  </w:style>
  <w:style w:type="paragraph" w:styleId="6">
    <w:name w:val="Date"/>
    <w:basedOn w:val="1"/>
    <w:next w:val="1"/>
    <w:link w:val="20"/>
    <w:unhideWhenUsed/>
    <w:qFormat/>
    <w:uiPriority w:val="99"/>
    <w:pPr>
      <w:ind w:left="100" w:leftChars="2500"/>
    </w:pPr>
  </w:style>
  <w:style w:type="paragraph" w:styleId="7">
    <w:name w:val="Balloon Text"/>
    <w:basedOn w:val="1"/>
    <w:link w:val="23"/>
    <w:unhideWhenUsed/>
    <w:qFormat/>
    <w:uiPriority w:val="99"/>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szCs w:val="20"/>
    </w:rPr>
  </w:style>
  <w:style w:type="paragraph" w:styleId="11">
    <w:name w:val="footnote text"/>
    <w:basedOn w:val="1"/>
    <w:link w:val="28"/>
    <w:qFormat/>
    <w:uiPriority w:val="0"/>
    <w:pPr>
      <w:snapToGrid w:val="0"/>
      <w:jc w:val="left"/>
    </w:pPr>
    <w:rPr>
      <w:sz w:val="18"/>
      <w:szCs w:val="18"/>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00"/>
      <w:u w:val="none"/>
    </w:rPr>
  </w:style>
  <w:style w:type="character" w:styleId="17">
    <w:name w:val="footnote reference"/>
    <w:qFormat/>
    <w:uiPriority w:val="0"/>
    <w:rPr>
      <w:vertAlign w:val="superscript"/>
    </w:rPr>
  </w:style>
  <w:style w:type="character" w:customStyle="1" w:styleId="18">
    <w:name w:val="正文文本 Char"/>
    <w:basedOn w:val="14"/>
    <w:link w:val="3"/>
    <w:semiHidden/>
    <w:qFormat/>
    <w:uiPriority w:val="99"/>
    <w:rPr>
      <w:rFonts w:ascii="Times New Roman" w:hAnsi="Times New Roman" w:eastAsia="宋体" w:cs="Times New Roman"/>
      <w:szCs w:val="24"/>
    </w:rPr>
  </w:style>
  <w:style w:type="character" w:customStyle="1" w:styleId="19">
    <w:name w:val="正文首行缩进 Char"/>
    <w:basedOn w:val="18"/>
    <w:link w:val="2"/>
    <w:qFormat/>
    <w:uiPriority w:val="99"/>
  </w:style>
  <w:style w:type="character" w:customStyle="1" w:styleId="20">
    <w:name w:val="日期 Char"/>
    <w:basedOn w:val="14"/>
    <w:link w:val="6"/>
    <w:semiHidden/>
    <w:uiPriority w:val="99"/>
    <w:rPr>
      <w:rFonts w:ascii="Times New Roman" w:hAnsi="Times New Roman" w:eastAsia="宋体" w:cs="Times New Roman"/>
      <w:szCs w:val="24"/>
    </w:rPr>
  </w:style>
  <w:style w:type="character" w:customStyle="1" w:styleId="21">
    <w:name w:val="页眉 Char"/>
    <w:basedOn w:val="14"/>
    <w:link w:val="9"/>
    <w:qFormat/>
    <w:uiPriority w:val="99"/>
    <w:rPr>
      <w:rFonts w:ascii="Times New Roman" w:hAnsi="Times New Roman" w:eastAsia="宋体" w:cs="Times New Roman"/>
      <w:sz w:val="18"/>
      <w:szCs w:val="18"/>
    </w:rPr>
  </w:style>
  <w:style w:type="character" w:customStyle="1" w:styleId="22">
    <w:name w:val="页脚 Char"/>
    <w:basedOn w:val="14"/>
    <w:link w:val="8"/>
    <w:semiHidden/>
    <w:qFormat/>
    <w:uiPriority w:val="99"/>
    <w:rPr>
      <w:rFonts w:ascii="Times New Roman" w:hAnsi="Times New Roman" w:eastAsia="宋体" w:cs="Times New Roman"/>
      <w:sz w:val="18"/>
      <w:szCs w:val="18"/>
    </w:rPr>
  </w:style>
  <w:style w:type="character" w:customStyle="1" w:styleId="23">
    <w:name w:val="批注框文本 Char"/>
    <w:basedOn w:val="14"/>
    <w:link w:val="7"/>
    <w:semiHidden/>
    <w:qFormat/>
    <w:uiPriority w:val="99"/>
    <w:rPr>
      <w:rFonts w:ascii="Times New Roman" w:hAnsi="Times New Roman" w:eastAsia="宋体" w:cs="Times New Roman"/>
      <w:sz w:val="18"/>
      <w:szCs w:val="18"/>
    </w:rPr>
  </w:style>
  <w:style w:type="paragraph" w:customStyle="1" w:styleId="24">
    <w:name w:val="List Paragraph"/>
    <w:basedOn w:val="1"/>
    <w:qFormat/>
    <w:uiPriority w:val="34"/>
    <w:pPr>
      <w:ind w:firstLine="420" w:firstLineChars="200"/>
    </w:pPr>
  </w:style>
  <w:style w:type="paragraph" w:customStyle="1" w:styleId="25">
    <w:name w:val="p0"/>
    <w:basedOn w:val="1"/>
    <w:qFormat/>
    <w:uiPriority w:val="0"/>
    <w:pPr>
      <w:widowControl/>
    </w:pPr>
    <w:rPr>
      <w:kern w:val="0"/>
      <w:szCs w:val="21"/>
    </w:rPr>
  </w:style>
  <w:style w:type="paragraph" w:customStyle="1" w:styleId="2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7">
    <w:name w:val="标题 1 Char"/>
    <w:basedOn w:val="14"/>
    <w:link w:val="4"/>
    <w:qFormat/>
    <w:uiPriority w:val="0"/>
    <w:rPr>
      <w:rFonts w:ascii="Times New Roman" w:hAnsi="Times New Roman" w:eastAsia="宋体" w:cs="Times New Roman"/>
      <w:b/>
      <w:bCs/>
      <w:kern w:val="44"/>
      <w:sz w:val="44"/>
      <w:szCs w:val="44"/>
    </w:rPr>
  </w:style>
  <w:style w:type="character" w:customStyle="1" w:styleId="28">
    <w:name w:val="脚注文本 Char"/>
    <w:basedOn w:val="14"/>
    <w:link w:val="11"/>
    <w:qFormat/>
    <w:uiPriority w:val="0"/>
    <w:rPr>
      <w:rFonts w:ascii="Times New Roman" w:hAnsi="Times New Roman" w:eastAsia="宋体" w:cs="Times New Roman"/>
      <w:sz w:val="18"/>
      <w:szCs w:val="18"/>
    </w:rPr>
  </w:style>
  <w:style w:type="character" w:customStyle="1" w:styleId="29">
    <w:name w:val="标题 4 Char"/>
    <w:basedOn w:val="14"/>
    <w:link w:val="5"/>
    <w:qFormat/>
    <w:uiPriority w:val="0"/>
    <w:rPr>
      <w:rFonts w:ascii="Arial" w:hAnsi="Arial" w:eastAsia="黑体" w:cs="Times New Roman"/>
      <w:b/>
      <w:bCs/>
      <w:sz w:val="28"/>
      <w:szCs w:val="28"/>
    </w:rPr>
  </w:style>
  <w:style w:type="paragraph" w:customStyle="1" w:styleId="30">
    <w:name w:val="纯文本1"/>
    <w:basedOn w:val="1"/>
    <w:qFormat/>
    <w:uiPriority w:val="0"/>
    <w:rPr>
      <w:rFonts w:ascii="宋体" w:hAnsi="Courier New"/>
      <w:color w:val="000000"/>
      <w:szCs w:val="20"/>
    </w:rPr>
  </w:style>
  <w:style w:type="character" w:customStyle="1" w:styleId="31">
    <w:name w:val="页码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7"/>
    <customShpInfo spid="_x0000_s1028"/>
    <customShpInfo spid="_x0000_s1029"/>
    <customShpInfo spid="_x0000_s1030"/>
    <customShpInfo spid="_x0000_s1026"/>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2B4A5-20EB-49BC-8D01-AB5A15C7034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130</Pages>
  <Words>11053</Words>
  <Characters>63008</Characters>
  <Lines>525</Lines>
  <Paragraphs>147</Paragraphs>
  <TotalTime>1</TotalTime>
  <ScaleCrop>false</ScaleCrop>
  <LinksUpToDate>false</LinksUpToDate>
  <CharactersWithSpaces>73914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2019-05-10T09:54:00Z</dcterms:created>
  <dc:creator>中科华水工程管理有限公司:张倩</dc:creator>
  <cp:lastModifiedBy>by1427290779</cp:lastModifiedBy>
  <cp:lastPrinted>2019-05-11T03:09:00Z</cp:lastPrinted>
  <dcterms:modified xsi:type="dcterms:W3CDTF">2019-06-18T04:55:35Z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