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项目编号：建安建工公字〔2019〕101号</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项目名称：</w:t>
      </w:r>
      <w:r>
        <w:rPr>
          <w:rFonts w:hint="eastAsia" w:cs="Times New Roman" w:asciiTheme="minorEastAsia" w:hAnsiTheme="minorEastAsia" w:eastAsiaTheme="minorEastAsia"/>
          <w:sz w:val="32"/>
          <w:szCs w:val="32"/>
          <w:lang w:val="en-US" w:eastAsia="zh-CN"/>
        </w:rPr>
        <w:t>灵井公园景观工程</w:t>
      </w:r>
    </w:p>
    <w:p>
      <w:pPr>
        <w:ind w:firstLine="1280" w:firstLineChars="400"/>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rPr>
        <w:t>招 标 人：</w:t>
      </w:r>
      <w:r>
        <w:rPr>
          <w:rFonts w:hint="eastAsia" w:cs="Times New Roman" w:asciiTheme="minorEastAsia" w:hAnsiTheme="minorEastAsia" w:eastAsiaTheme="minorEastAsia"/>
          <w:sz w:val="32"/>
          <w:szCs w:val="32"/>
          <w:lang w:eastAsia="zh-CN"/>
        </w:rPr>
        <w:t>许昌市建安区灵井镇人民政府</w:t>
      </w:r>
    </w:p>
    <w:p>
      <w:pPr>
        <w:ind w:firstLine="1280" w:firstLineChars="40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rPr>
        <w:t>代理机构：</w:t>
      </w:r>
      <w:r>
        <w:rPr>
          <w:rFonts w:hint="eastAsia" w:cs="Times New Roman" w:asciiTheme="minorEastAsia" w:hAnsiTheme="minorEastAsia" w:eastAsiaTheme="minorEastAsia"/>
          <w:sz w:val="32"/>
          <w:szCs w:val="32"/>
          <w:lang w:eastAsia="zh-CN"/>
        </w:rPr>
        <w:t>丰汇国际项目管理有限公司</w:t>
      </w:r>
    </w:p>
    <w:p>
      <w:pPr>
        <w:jc w:val="left"/>
        <w:rPr>
          <w:rFonts w:asciiTheme="minorEastAsia" w:hAnsiTheme="minorEastAsia" w:eastAsiaTheme="minorEastAsia"/>
          <w:sz w:val="32"/>
          <w:szCs w:val="32"/>
        </w:rPr>
      </w:pP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六</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val="en-US" w:eastAsia="zh-CN"/>
        </w:rPr>
        <w:t>及格式</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footerReference r:id="rId8" w:type="first"/>
          <w:footerReference r:id="rId7" w:type="default"/>
          <w:type w:val="continuous"/>
          <w:pgSz w:w="11906" w:h="16838"/>
          <w:pgMar w:top="1304" w:right="1134" w:bottom="1304" w:left="113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101号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灵井公园景观工程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建安建工公字〔2019〕101号。</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灵井公园景观工程。</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both"/>
        <w:textAlignment w:val="auto"/>
        <w:outlineLvl w:val="0"/>
        <w:rPr>
          <w:rFonts w:hAnsi="宋体" w:cs="宋体"/>
          <w:sz w:val="24"/>
          <w:szCs w:val="24"/>
        </w:rPr>
      </w:pPr>
      <w:r>
        <w:rPr>
          <w:rFonts w:hAnsi="宋体" w:cs="宋体"/>
          <w:sz w:val="24"/>
          <w:szCs w:val="24"/>
        </w:rPr>
        <w:t>3、招标单位：</w:t>
      </w:r>
      <w:r>
        <w:rPr>
          <w:rFonts w:hint="eastAsia" w:hAnsi="宋体" w:cs="宋体"/>
          <w:sz w:val="24"/>
          <w:szCs w:val="24"/>
          <w:lang w:eastAsia="zh-CN"/>
        </w:rPr>
        <w:t>许昌市建安区灵井镇人民政府</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灵井公园景观工程，公园景观园建、景观安装、观景亭、管理房、管理房安装、景观绿化。</w:t>
      </w:r>
    </w:p>
    <w:p>
      <w:pPr>
        <w:keepNext w:val="0"/>
        <w:keepLines w:val="0"/>
        <w:pageBreakBefore w:val="0"/>
        <w:widowControl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5、标段划分：共分为</w:t>
      </w:r>
      <w:r>
        <w:rPr>
          <w:rFonts w:hint="eastAsia" w:hAnsi="宋体" w:cs="宋体"/>
          <w:sz w:val="24"/>
          <w:szCs w:val="24"/>
          <w:lang w:val="en-US" w:eastAsia="zh-CN"/>
        </w:rPr>
        <w:t>一</w:t>
      </w:r>
      <w:r>
        <w:rPr>
          <w:rFonts w:hint="eastAsia" w:hAnsi="宋体" w:cs="宋体"/>
          <w:sz w:val="24"/>
          <w:szCs w:val="24"/>
        </w:rPr>
        <w:t>个标。</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rPr>
        <w:t>6</w:t>
      </w:r>
      <w:r>
        <w:rPr>
          <w:rFonts w:hAnsi="宋体" w:cs="宋体"/>
          <w:sz w:val="24"/>
          <w:szCs w:val="24"/>
        </w:rPr>
        <w:t>、</w:t>
      </w:r>
      <w:r>
        <w:rPr>
          <w:rFonts w:hint="eastAsia" w:hAnsi="宋体" w:cs="宋体"/>
          <w:sz w:val="24"/>
          <w:szCs w:val="24"/>
          <w:lang w:val="en-US" w:eastAsia="zh-CN"/>
        </w:rPr>
        <w:t>资金预算：6480241.35元。</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hAnsi="宋体" w:cs="宋体"/>
          <w:sz w:val="24"/>
          <w:szCs w:val="24"/>
        </w:rPr>
      </w:pPr>
      <w:r>
        <w:rPr>
          <w:rFonts w:hint="eastAsia" w:hAnsi="宋体" w:cs="宋体"/>
          <w:sz w:val="24"/>
          <w:szCs w:val="24"/>
        </w:rPr>
        <w:t>7、计划工期：</w:t>
      </w:r>
      <w:r>
        <w:rPr>
          <w:rFonts w:hint="eastAsia" w:hAnsi="宋体" w:cs="宋体"/>
          <w:sz w:val="24"/>
          <w:szCs w:val="24"/>
          <w:lang w:val="en-US" w:eastAsia="zh-CN"/>
        </w:rPr>
        <w:t>30日历天</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w:t>
      </w:r>
      <w:r>
        <w:rPr>
          <w:rFonts w:hint="eastAsia" w:hAnsi="宋体" w:cs="宋体"/>
          <w:sz w:val="24"/>
          <w:szCs w:val="24"/>
          <w:lang w:eastAsia="zh-CN"/>
        </w:rPr>
        <w:t>市政</w:t>
      </w:r>
      <w:r>
        <w:rPr>
          <w:rFonts w:hint="eastAsia" w:hAnsi="宋体" w:cs="宋体"/>
          <w:sz w:val="24"/>
          <w:szCs w:val="24"/>
        </w:rPr>
        <w:t>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38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拟派建造师须具备市政工程专业贰级及以上注册建造师资格，且具有有效的安全生产考核合格证书，并未担任其他在建工程。</w:t>
      </w:r>
    </w:p>
    <w:p>
      <w:pPr>
        <w:autoSpaceDE w:val="0"/>
        <w:autoSpaceDN w:val="0"/>
        <w:adjustRightInd w:val="0"/>
        <w:spacing w:line="360" w:lineRule="auto"/>
        <w:ind w:firstLine="480" w:firstLineChars="200"/>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5、不接受投标人被“信用中国”和“信用河南”网站信用信息栏列入黑名单，以及被“国家企业信用信息公示系统”列入经营异常名录或严重失信黑名单的投标。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7、本次招标实行资格后审。</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38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color w:val="0000FF"/>
          <w:sz w:val="24"/>
          <w:szCs w:val="24"/>
        </w:rPr>
      </w:pPr>
      <w:r>
        <w:rPr>
          <w:rFonts w:hint="eastAsia" w:hAnsi="宋体" w:cs="宋体"/>
          <w:sz w:val="24"/>
          <w:szCs w:val="24"/>
        </w:rPr>
        <w:t>5.2 投标文件提交的截止时间及开标时间：</w:t>
      </w:r>
      <w:r>
        <w:rPr>
          <w:rFonts w:hint="eastAsia" w:hAnsi="宋体" w:cs="宋体"/>
          <w:color w:val="auto"/>
          <w:sz w:val="24"/>
          <w:szCs w:val="24"/>
          <w:highlight w:val="none"/>
          <w:shd w:val="clear" w:color="auto" w:fill="auto"/>
        </w:rPr>
        <w:t>201</w:t>
      </w:r>
      <w:r>
        <w:rPr>
          <w:rFonts w:hint="eastAsia" w:hAnsi="宋体" w:cs="宋体"/>
          <w:color w:val="auto"/>
          <w:sz w:val="24"/>
          <w:szCs w:val="24"/>
          <w:highlight w:val="none"/>
          <w:shd w:val="clear" w:color="auto" w:fill="auto"/>
          <w:lang w:val="en-US" w:eastAsia="zh-CN"/>
        </w:rPr>
        <w:t>9</w:t>
      </w:r>
      <w:r>
        <w:rPr>
          <w:rFonts w:hint="eastAsia" w:hAnsi="宋体" w:cs="宋体"/>
          <w:color w:val="auto"/>
          <w:sz w:val="24"/>
          <w:szCs w:val="24"/>
          <w:highlight w:val="none"/>
          <w:shd w:val="clear" w:color="auto" w:fill="auto"/>
        </w:rPr>
        <w:t>年</w:t>
      </w:r>
      <w:r>
        <w:rPr>
          <w:rFonts w:hint="eastAsia" w:hAnsi="宋体" w:cs="宋体"/>
          <w:color w:val="auto"/>
          <w:sz w:val="24"/>
          <w:szCs w:val="24"/>
          <w:highlight w:val="none"/>
          <w:shd w:val="clear" w:color="auto" w:fill="auto"/>
          <w:lang w:val="en-US" w:eastAsia="zh-CN"/>
        </w:rPr>
        <w:t>7</w:t>
      </w:r>
      <w:r>
        <w:rPr>
          <w:rFonts w:hint="eastAsia" w:hAnsi="宋体" w:cs="宋体"/>
          <w:color w:val="auto"/>
          <w:sz w:val="24"/>
          <w:szCs w:val="24"/>
          <w:highlight w:val="none"/>
          <w:shd w:val="clear" w:color="auto" w:fill="auto"/>
        </w:rPr>
        <w:t>月</w:t>
      </w:r>
      <w:r>
        <w:rPr>
          <w:rFonts w:hint="eastAsia" w:hAnsi="宋体" w:cs="宋体"/>
          <w:color w:val="auto"/>
          <w:sz w:val="24"/>
          <w:szCs w:val="24"/>
          <w:highlight w:val="none"/>
          <w:shd w:val="clear" w:color="auto" w:fill="auto"/>
          <w:lang w:val="en-US" w:eastAsia="zh-CN"/>
        </w:rPr>
        <w:t>9</w:t>
      </w:r>
      <w:r>
        <w:rPr>
          <w:rFonts w:hint="eastAsia" w:hAnsi="宋体" w:cs="宋体"/>
          <w:color w:val="auto"/>
          <w:sz w:val="24"/>
          <w:szCs w:val="24"/>
          <w:highlight w:val="none"/>
          <w:shd w:val="clear" w:color="auto" w:fill="auto"/>
        </w:rPr>
        <w:t>日</w:t>
      </w:r>
      <w:r>
        <w:rPr>
          <w:rFonts w:hint="eastAsia" w:hAnsi="宋体" w:cs="宋体"/>
          <w:sz w:val="24"/>
          <w:szCs w:val="24"/>
        </w:rPr>
        <w:t>9时30分。</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highlight w:val="none"/>
          <w:shd w:val="clear" w:color="auto" w:fill="auto"/>
          <w:lang w:val="en-US" w:eastAsia="zh-CN"/>
        </w:rPr>
        <w:t>4165</w:t>
      </w:r>
      <w:r>
        <w:rPr>
          <w:rFonts w:hint="eastAsia" w:hAnsi="宋体" w:cs="宋体"/>
          <w:sz w:val="24"/>
          <w:szCs w:val="24"/>
          <w:highlight w:val="none"/>
          <w:shd w:val="clear" w:color="auto" w:fill="auto"/>
        </w:rPr>
        <w:t>室</w:t>
      </w:r>
      <w:r>
        <w:rPr>
          <w:rFonts w:hint="eastAsia" w:hAnsi="宋体" w:cs="宋体"/>
          <w:sz w:val="24"/>
          <w:szCs w:val="24"/>
          <w:highlight w:val="none"/>
          <w:shd w:val="clear" w:color="auto" w:fill="auto"/>
          <w:lang w:eastAsia="zh-CN"/>
        </w:rPr>
        <w:t>（开标二室）</w:t>
      </w:r>
      <w:r>
        <w:rPr>
          <w:rFonts w:hint="eastAsia" w:hAnsi="宋体" w:cs="宋体"/>
          <w:sz w:val="24"/>
          <w:szCs w:val="24"/>
        </w:rPr>
        <w:t>。</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38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38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38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许昌市建安区灵井镇人民政府</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罗付勇</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eastAsia="zh-CN"/>
        </w:rPr>
        <w:t>15836562128</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代理  机构：</w:t>
      </w:r>
      <w:r>
        <w:rPr>
          <w:rFonts w:hint="eastAsia" w:hAnsi="宋体" w:cs="宋体"/>
          <w:sz w:val="24"/>
          <w:szCs w:val="24"/>
          <w:lang w:val="en-US" w:eastAsia="zh-CN"/>
        </w:rPr>
        <w:t>丰汇国际项目管理有限公司</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陈  星</w:t>
      </w:r>
    </w:p>
    <w:p>
      <w:pPr>
        <w:keepNext w:val="0"/>
        <w:keepLines w:val="0"/>
        <w:pageBreakBefore w:val="0"/>
        <w:kinsoku/>
        <w:wordWrap/>
        <w:overflowPunct/>
        <w:topLinePunct w:val="0"/>
        <w:bidi w:val="0"/>
        <w:snapToGrid/>
        <w:spacing w:line="38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eastAsia="zh-CN"/>
        </w:rPr>
        <w:t>15936302666</w:t>
      </w:r>
    </w:p>
    <w:p>
      <w:pPr>
        <w:pStyle w:val="2"/>
        <w:keepNext w:val="0"/>
        <w:keepLines w:val="0"/>
        <w:pageBreakBefore w:val="0"/>
        <w:kinsoku/>
        <w:wordWrap/>
        <w:overflowPunct/>
        <w:topLinePunct w:val="0"/>
        <w:bidi w:val="0"/>
        <w:snapToGrid/>
        <w:spacing w:after="0" w:line="380" w:lineRule="exact"/>
        <w:ind w:left="0" w:leftChars="0" w:firstLine="0" w:firstLineChars="0"/>
        <w:textAlignment w:val="auto"/>
        <w:rPr>
          <w:rFonts w:hAnsi="宋体" w:cs="宋体"/>
          <w:sz w:val="24"/>
          <w:szCs w:val="24"/>
        </w:rPr>
      </w:pPr>
    </w:p>
    <w:p>
      <w:pPr>
        <w:pStyle w:val="2"/>
        <w:keepNext w:val="0"/>
        <w:keepLines w:val="0"/>
        <w:pageBreakBefore w:val="0"/>
        <w:kinsoku/>
        <w:wordWrap/>
        <w:overflowPunct/>
        <w:topLinePunct w:val="0"/>
        <w:bidi w:val="0"/>
        <w:snapToGrid/>
        <w:spacing w:after="0" w:line="380" w:lineRule="exact"/>
        <w:ind w:firstLine="6240" w:firstLineChars="2600"/>
        <w:textAlignment w:val="auto"/>
        <w:rPr>
          <w:rFonts w:hint="eastAsia" w:hAnsi="宋体" w:eastAsia="宋体" w:cs="宋体"/>
          <w:sz w:val="24"/>
          <w:szCs w:val="24"/>
          <w:lang w:val="en-US" w:eastAsia="zh-CN"/>
        </w:rPr>
      </w:pPr>
      <w:r>
        <w:rPr>
          <w:rFonts w:hint="eastAsia" w:hAnsi="宋体" w:cs="宋体"/>
          <w:sz w:val="24"/>
          <w:szCs w:val="24"/>
          <w:lang w:eastAsia="zh-CN"/>
        </w:rPr>
        <w:t>许昌市建安区灵井镇人民政府</w:t>
      </w:r>
    </w:p>
    <w:p>
      <w:pPr>
        <w:pStyle w:val="2"/>
        <w:keepNext w:val="0"/>
        <w:keepLines w:val="0"/>
        <w:pageBreakBefore w:val="0"/>
        <w:kinsoku/>
        <w:wordWrap/>
        <w:overflowPunct/>
        <w:topLinePunct w:val="0"/>
        <w:bidi w:val="0"/>
        <w:snapToGrid/>
        <w:spacing w:after="0" w:line="380" w:lineRule="exact"/>
        <w:ind w:firstLine="6720" w:firstLineChars="2800"/>
        <w:textAlignment w:val="auto"/>
        <w:rPr>
          <w:rFonts w:hint="eastAsia"/>
          <w:lang w:val="en-US" w:eastAsia="zh-CN"/>
        </w:rPr>
      </w:pPr>
      <w:r>
        <w:rPr>
          <w:rFonts w:hint="eastAsia" w:hAnsi="宋体" w:cs="宋体"/>
          <w:sz w:val="24"/>
          <w:szCs w:val="24"/>
          <w:lang w:val="en-US" w:eastAsia="zh-CN"/>
        </w:rPr>
        <w:t>2019年</w:t>
      </w:r>
      <w:r>
        <w:rPr>
          <w:rFonts w:hint="eastAsia" w:hAnsi="宋体" w:cs="宋体"/>
          <w:sz w:val="24"/>
          <w:szCs w:val="24"/>
          <w:highlight w:val="none"/>
          <w:lang w:val="en-US" w:eastAsia="zh-CN"/>
        </w:rPr>
        <w:t xml:space="preserve">6月18日 </w:t>
      </w:r>
      <w:r>
        <w:rPr>
          <w:rFonts w:hint="eastAsia" w:hAnsi="宋体" w:cs="宋体"/>
          <w:sz w:val="24"/>
          <w:szCs w:val="24"/>
          <w:lang w:val="en-US" w:eastAsia="zh-CN"/>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20" w:firstLineChars="50"/>
        <w:rPr>
          <w:rFonts w:hint="eastAsia" w:hAnsi="宋体"/>
          <w:b/>
          <w:bCs w:val="0"/>
          <w:sz w:val="24"/>
          <w:szCs w:val="20"/>
        </w:rPr>
      </w:pPr>
      <w:r>
        <w:rPr>
          <w:rFonts w:hint="eastAsia" w:hAnsi="宋体"/>
          <w:b/>
          <w:bCs w:val="0"/>
          <w:sz w:val="24"/>
          <w:szCs w:val="20"/>
        </w:rPr>
        <w:t>本项目为全流程电子化交易项目，请认真阅读招标文件，并注意以下事项。</w:t>
      </w:r>
    </w:p>
    <w:p>
      <w:pPr>
        <w:widowControl/>
        <w:spacing w:line="312" w:lineRule="auto"/>
        <w:ind w:firstLine="120" w:firstLineChars="50"/>
        <w:rPr>
          <w:rFonts w:hint="eastAsia" w:hAnsi="宋体"/>
          <w:b/>
          <w:bCs w:val="0"/>
          <w:sz w:val="24"/>
          <w:szCs w:val="20"/>
        </w:rPr>
      </w:pPr>
      <w:r>
        <w:rPr>
          <w:rFonts w:hint="eastAsia" w:hAnsi="宋体"/>
          <w:b/>
          <w:bCs w:val="0"/>
          <w:sz w:val="24"/>
          <w:szCs w:val="20"/>
        </w:rPr>
        <w:t>1.投标人应按招标文件规定下载、编制、提交电子投标文件和纸质投标文件。开、评标现场不接受投标人递交的电子投标文件和纸质投标文件以外的其他资料。</w:t>
      </w:r>
    </w:p>
    <w:p>
      <w:pPr>
        <w:widowControl/>
        <w:spacing w:line="312" w:lineRule="auto"/>
        <w:ind w:firstLine="120" w:firstLineChars="50"/>
        <w:rPr>
          <w:rFonts w:hint="eastAsia" w:hAnsi="宋体"/>
          <w:b/>
          <w:bCs w:val="0"/>
          <w:sz w:val="24"/>
          <w:szCs w:val="20"/>
        </w:rPr>
      </w:pPr>
      <w:r>
        <w:rPr>
          <w:rFonts w:hint="eastAsia" w:hAnsi="宋体"/>
          <w:b/>
          <w:bCs w:val="0"/>
          <w:sz w:val="24"/>
          <w:szCs w:val="20"/>
        </w:rPr>
        <w:t>2.电子文件下载、制作、提交期间和开标（电子投标文件的解密）环节，投标人须使用CA数字证书。</w:t>
      </w:r>
    </w:p>
    <w:p>
      <w:pPr>
        <w:widowControl/>
        <w:spacing w:line="312" w:lineRule="auto"/>
        <w:ind w:firstLine="120" w:firstLineChars="50"/>
        <w:rPr>
          <w:rFonts w:hint="eastAsia" w:hAnsi="宋体"/>
          <w:b/>
          <w:bCs w:val="0"/>
          <w:sz w:val="24"/>
          <w:szCs w:val="20"/>
        </w:rPr>
      </w:pPr>
      <w:r>
        <w:rPr>
          <w:rFonts w:hint="eastAsia" w:hAnsi="宋体"/>
          <w:b/>
          <w:bCs w:val="0"/>
          <w:sz w:val="24"/>
          <w:szCs w:val="20"/>
        </w:rPr>
        <w:t>3.电子投标文件的制作</w:t>
      </w:r>
    </w:p>
    <w:p>
      <w:pPr>
        <w:widowControl/>
        <w:spacing w:line="312" w:lineRule="auto"/>
        <w:ind w:firstLine="120" w:firstLineChars="50"/>
        <w:rPr>
          <w:rFonts w:hint="eastAsia" w:hAnsi="宋体"/>
          <w:b/>
          <w:bCs w:val="0"/>
          <w:sz w:val="24"/>
          <w:szCs w:val="20"/>
        </w:rPr>
      </w:pPr>
      <w:r>
        <w:rPr>
          <w:rFonts w:hint="eastAsia" w:hAnsi="宋体"/>
          <w:b/>
          <w:bCs w:val="0"/>
          <w:sz w:val="24"/>
          <w:szCs w:val="20"/>
        </w:rPr>
        <w:t>3.1 投标人登录《全国公共资源交易平台(河南省▪许昌市)》公共资源交易系统（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）下载“许昌投标文件制作系统SEARUN V1.</w:t>
      </w:r>
      <w:r>
        <w:rPr>
          <w:rFonts w:hint="eastAsia" w:hAnsi="宋体"/>
          <w:b/>
          <w:bCs w:val="0"/>
          <w:sz w:val="24"/>
          <w:szCs w:val="20"/>
          <w:lang w:val="en-US" w:eastAsia="zh-CN"/>
        </w:rPr>
        <w:t>1</w:t>
      </w:r>
      <w:r>
        <w:rPr>
          <w:rFonts w:hint="eastAsia" w:hAnsi="宋体"/>
          <w:b/>
          <w:bCs w:val="0"/>
          <w:sz w:val="24"/>
          <w:szCs w:val="20"/>
        </w:rPr>
        <w:t>”，按招标文件要求制作电子投标文件。</w:t>
      </w:r>
    </w:p>
    <w:p>
      <w:pPr>
        <w:widowControl/>
        <w:spacing w:line="312" w:lineRule="auto"/>
        <w:ind w:firstLine="120" w:firstLineChars="50"/>
        <w:rPr>
          <w:rFonts w:hint="eastAsia" w:hAnsi="宋体"/>
          <w:b/>
          <w:bCs w:val="0"/>
          <w:sz w:val="24"/>
          <w:szCs w:val="20"/>
        </w:rPr>
      </w:pPr>
      <w:r>
        <w:rPr>
          <w:rFonts w:hint="eastAsia" w:hAnsi="宋体"/>
          <w:b/>
          <w:bCs w:val="0"/>
          <w:sz w:val="24"/>
          <w:szCs w:val="20"/>
        </w:rPr>
        <w:t>电子投标文件的制作，参考《全国公共资源交易平台(河南省▪许昌市)》公共资源交易系统——组件下载——交易系统操作手册（投标人、供应商）。</w:t>
      </w:r>
    </w:p>
    <w:p>
      <w:pPr>
        <w:widowControl/>
        <w:spacing w:line="312" w:lineRule="auto"/>
        <w:ind w:firstLine="120" w:firstLineChars="50"/>
        <w:rPr>
          <w:rFonts w:hint="eastAsia" w:hAnsi="宋体"/>
          <w:b/>
          <w:bCs w:val="0"/>
          <w:sz w:val="24"/>
          <w:szCs w:val="20"/>
        </w:rPr>
      </w:pPr>
      <w:r>
        <w:rPr>
          <w:rFonts w:hint="eastAsia" w:hAnsi="宋体"/>
          <w:b/>
          <w:bCs w:val="0"/>
          <w:sz w:val="24"/>
          <w:szCs w:val="20"/>
        </w:rPr>
        <w:t>3.2 投标人须将招标文件要求的资质、业绩、荣誉及相关人员证明材料等资料原件扫描件（或图片）制作到所提交的电子投标文件中。</w:t>
      </w:r>
    </w:p>
    <w:p>
      <w:pPr>
        <w:widowControl/>
        <w:spacing w:line="312" w:lineRule="auto"/>
        <w:ind w:firstLine="120" w:firstLineChars="50"/>
        <w:rPr>
          <w:rFonts w:hint="eastAsia" w:hAnsi="宋体"/>
          <w:b/>
          <w:bCs w:val="0"/>
          <w:sz w:val="24"/>
          <w:szCs w:val="20"/>
        </w:rPr>
      </w:pPr>
      <w:r>
        <w:rPr>
          <w:rFonts w:hint="eastAsia" w:hAnsi="宋体"/>
          <w:b/>
          <w:bCs w:val="0"/>
          <w:sz w:val="24"/>
          <w:szCs w:val="20"/>
        </w:rPr>
        <w:t>3.3投标人对同一项目多个标段进行投标的，应分别下载所投标段的招标文件，按标段制作电子投标文件，并按招标文件要求在相应位置加盖投标人电子印章和法人电子印章。</w:t>
      </w:r>
    </w:p>
    <w:p>
      <w:pPr>
        <w:widowControl/>
        <w:spacing w:line="312" w:lineRule="auto"/>
        <w:ind w:firstLine="120" w:firstLineChars="50"/>
        <w:rPr>
          <w:rFonts w:hint="eastAsia" w:hAnsi="宋体"/>
          <w:b/>
          <w:bCs w:val="0"/>
          <w:sz w:val="24"/>
          <w:szCs w:val="20"/>
        </w:rPr>
      </w:pPr>
      <w:r>
        <w:rPr>
          <w:rFonts w:hint="eastAsia" w:hAnsi="宋体"/>
          <w:b/>
          <w:bCs w:val="0"/>
          <w:sz w:val="24"/>
          <w:szCs w:val="20"/>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widowControl/>
        <w:spacing w:line="312" w:lineRule="auto"/>
        <w:ind w:firstLine="120" w:firstLineChars="50"/>
        <w:rPr>
          <w:rFonts w:hint="eastAsia" w:hAnsi="宋体"/>
          <w:b/>
          <w:bCs w:val="0"/>
          <w:sz w:val="24"/>
          <w:szCs w:val="20"/>
        </w:rPr>
      </w:pPr>
      <w:r>
        <w:rPr>
          <w:rFonts w:hint="eastAsia" w:hAnsi="宋体"/>
          <w:b/>
          <w:bCs w:val="0"/>
          <w:sz w:val="24"/>
          <w:szCs w:val="20"/>
        </w:rPr>
        <w:t>4.电子投标文件的提交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 xml:space="preserve">    4.1电子投标文件应在招标文件规定的投标文件提交截止时间（开标时间）之前成功提交至《全国公共资源交易平台(河南省▪许昌市)》公共资源交易系统（</w:t>
      </w:r>
      <w:r>
        <w:rPr>
          <w:rFonts w:hint="eastAsia" w:hAnsi="宋体"/>
          <w:b/>
          <w:bCs w:val="0"/>
          <w:sz w:val="24"/>
          <w:szCs w:val="20"/>
        </w:rPr>
        <w:fldChar w:fldCharType="begin"/>
      </w:r>
      <w:r>
        <w:rPr>
          <w:rFonts w:hint="eastAsia" w:hAnsi="宋体"/>
          <w:b/>
          <w:bCs w:val="0"/>
          <w:sz w:val="24"/>
          <w:szCs w:val="20"/>
        </w:rPr>
        <w:instrText xml:space="preserve"> HYPERLINK "http://221.14.6.70:8088/ggzy/" </w:instrText>
      </w:r>
      <w:r>
        <w:rPr>
          <w:rFonts w:hint="eastAsia" w:hAnsi="宋体"/>
          <w:b/>
          <w:bCs w:val="0"/>
          <w:sz w:val="24"/>
          <w:szCs w:val="20"/>
        </w:rPr>
        <w:fldChar w:fldCharType="separate"/>
      </w:r>
      <w:r>
        <w:rPr>
          <w:rFonts w:hint="eastAsia" w:hAnsi="宋体"/>
          <w:b/>
          <w:bCs w:val="0"/>
          <w:sz w:val="24"/>
          <w:szCs w:val="20"/>
        </w:rPr>
        <w:t>http://221.14.6.70:8088/ggzy/</w:t>
      </w:r>
      <w:r>
        <w:rPr>
          <w:rFonts w:hint="eastAsia" w:hAnsi="宋体"/>
          <w:b/>
          <w:bCs w:val="0"/>
          <w:sz w:val="24"/>
          <w:szCs w:val="20"/>
        </w:rPr>
        <w:fldChar w:fldCharType="end"/>
      </w:r>
      <w:r>
        <w:rPr>
          <w:rFonts w:hint="eastAsia" w:hAnsi="宋体"/>
          <w:b/>
          <w:bCs w:val="0"/>
          <w:sz w:val="24"/>
          <w:szCs w:val="20"/>
        </w:rPr>
        <w:t>）。</w:t>
      </w:r>
    </w:p>
    <w:p>
      <w:pPr>
        <w:widowControl/>
        <w:spacing w:line="312" w:lineRule="auto"/>
        <w:ind w:firstLine="120" w:firstLineChars="50"/>
        <w:rPr>
          <w:rFonts w:hint="eastAsia" w:hAnsi="宋体"/>
          <w:b/>
          <w:bCs w:val="0"/>
          <w:sz w:val="24"/>
          <w:szCs w:val="20"/>
        </w:rPr>
      </w:pPr>
      <w:r>
        <w:rPr>
          <w:rFonts w:hint="eastAsia" w:hAnsi="宋体"/>
          <w:b/>
          <w:bCs w:val="0"/>
          <w:sz w:val="24"/>
          <w:szCs w:val="20"/>
        </w:rPr>
        <w:t>投标人应充分考虑并预留技术处理和上传数据所需时间。</w:t>
      </w:r>
    </w:p>
    <w:p>
      <w:pPr>
        <w:widowControl/>
        <w:spacing w:line="312" w:lineRule="auto"/>
        <w:ind w:firstLine="120" w:firstLineChars="50"/>
        <w:rPr>
          <w:rFonts w:hint="eastAsia" w:hAnsi="宋体"/>
          <w:b/>
          <w:bCs w:val="0"/>
          <w:sz w:val="24"/>
          <w:szCs w:val="20"/>
        </w:rPr>
      </w:pPr>
      <w:r>
        <w:rPr>
          <w:rFonts w:hint="eastAsia" w:hAnsi="宋体"/>
          <w:b/>
          <w:bCs w:val="0"/>
          <w:sz w:val="24"/>
          <w:szCs w:val="20"/>
        </w:rPr>
        <w:t>4.2 投标人对同一项目多个标段进行投标的，电子投标文件应按标段分别提交。</w:t>
      </w:r>
    </w:p>
    <w:p>
      <w:pPr>
        <w:widowControl/>
        <w:spacing w:line="312" w:lineRule="auto"/>
        <w:ind w:firstLine="120" w:firstLineChars="50"/>
        <w:rPr>
          <w:rFonts w:hint="eastAsia" w:hAnsi="宋体"/>
          <w:b/>
          <w:bCs w:val="0"/>
          <w:sz w:val="24"/>
          <w:szCs w:val="20"/>
        </w:rPr>
      </w:pPr>
      <w:r>
        <w:rPr>
          <w:rFonts w:hint="eastAsia" w:hAnsi="宋体"/>
          <w:b/>
          <w:bCs w:val="0"/>
          <w:sz w:val="24"/>
          <w:szCs w:val="20"/>
        </w:rPr>
        <w:t>4.3 电子投标文件成功提交后，投标人应打印“投标文件提交回执单”，供开标现场备查。</w:t>
      </w:r>
    </w:p>
    <w:p>
      <w:pPr>
        <w:widowControl/>
        <w:spacing w:line="312" w:lineRule="auto"/>
        <w:ind w:firstLine="120" w:firstLineChars="50"/>
        <w:rPr>
          <w:rFonts w:hint="eastAsia" w:hAnsi="宋体"/>
          <w:b/>
          <w:bCs w:val="0"/>
          <w:sz w:val="24"/>
          <w:szCs w:val="20"/>
        </w:rPr>
      </w:pPr>
      <w:r>
        <w:rPr>
          <w:rFonts w:hint="eastAsia" w:hAnsi="宋体"/>
          <w:b/>
          <w:bCs w:val="0"/>
          <w:sz w:val="24"/>
          <w:szCs w:val="20"/>
        </w:rPr>
        <w:t>5.评标依据</w:t>
      </w:r>
    </w:p>
    <w:p>
      <w:pPr>
        <w:widowControl/>
        <w:spacing w:line="312" w:lineRule="auto"/>
        <w:ind w:firstLine="120" w:firstLineChars="50"/>
        <w:rPr>
          <w:rFonts w:hint="eastAsia" w:hAnsi="宋体"/>
          <w:b/>
          <w:bCs w:val="0"/>
          <w:sz w:val="24"/>
          <w:szCs w:val="20"/>
        </w:rPr>
      </w:pPr>
      <w:r>
        <w:rPr>
          <w:rFonts w:hint="eastAsia" w:hAnsi="宋体"/>
          <w:b/>
          <w:bCs w:val="0"/>
          <w:sz w:val="24"/>
          <w:szCs w:val="20"/>
        </w:rPr>
        <w:t>5.1采用全流程电子化交易评标时，评标委员会以电子投标文件为依据评标。</w:t>
      </w:r>
    </w:p>
    <w:p>
      <w:pPr>
        <w:widowControl/>
        <w:spacing w:line="312" w:lineRule="auto"/>
        <w:ind w:firstLine="120" w:firstLineChars="50"/>
        <w:rPr>
          <w:rFonts w:hint="eastAsia" w:hAnsi="宋体"/>
          <w:b/>
          <w:bCs w:val="0"/>
          <w:sz w:val="24"/>
          <w:szCs w:val="20"/>
        </w:rPr>
      </w:pPr>
      <w:r>
        <w:rPr>
          <w:rFonts w:hint="eastAsia" w:hAnsi="宋体"/>
          <w:b/>
          <w:bCs w:val="0"/>
          <w:sz w:val="24"/>
          <w:szCs w:val="20"/>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int="eastAsia" w:hAnsi="宋体" w:eastAsia="宋体" w:cs="黑体"/>
                <w:sz w:val="24"/>
                <w:lang w:eastAsia="zh-CN"/>
              </w:rPr>
            </w:pPr>
            <w:r>
              <w:rPr>
                <w:rFonts w:hAnsi="宋体" w:cs="TimesNewRomanPSMT"/>
                <w:sz w:val="24"/>
              </w:rPr>
              <w:t>1.1.</w:t>
            </w:r>
            <w:r>
              <w:rPr>
                <w:rFonts w:hint="eastAsia" w:hAnsi="宋体" w:cs="TimesNewRomanPSMT"/>
                <w:sz w:val="24"/>
                <w:lang w:val="en-US" w:eastAsia="zh-CN"/>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人：许昌市建安区灵井镇人民政府</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址：许昌市建安区</w:t>
            </w:r>
            <w:r>
              <w:rPr>
                <w:rFonts w:hint="eastAsia" w:hAnsi="宋体"/>
                <w:sz w:val="24"/>
                <w:szCs w:val="22"/>
                <w:lang w:eastAsia="zh-CN"/>
              </w:rPr>
              <w:t>灵井镇</w:t>
            </w:r>
          </w:p>
          <w:p>
            <w:pPr>
              <w:autoSpaceDE w:val="0"/>
              <w:autoSpaceDN w:val="0"/>
              <w:adjustRightInd w:val="0"/>
              <w:spacing w:line="320" w:lineRule="exact"/>
              <w:rPr>
                <w:rFonts w:hint="default" w:hAnsi="宋体" w:eastAsia="宋体"/>
                <w:sz w:val="24"/>
                <w:szCs w:val="22"/>
                <w:lang w:val="en-US" w:eastAsia="zh-CN"/>
              </w:rPr>
            </w:pPr>
            <w:r>
              <w:rPr>
                <w:rFonts w:hint="eastAsia" w:hAnsi="宋体"/>
                <w:sz w:val="24"/>
                <w:szCs w:val="22"/>
                <w:lang w:val="en-US" w:eastAsia="zh-CN"/>
              </w:rPr>
              <w:t>项目负责</w:t>
            </w:r>
            <w:r>
              <w:rPr>
                <w:rFonts w:hint="eastAsia" w:hAnsi="宋体"/>
                <w:sz w:val="24"/>
                <w:szCs w:val="22"/>
              </w:rPr>
              <w:t>人：</w:t>
            </w:r>
            <w:r>
              <w:rPr>
                <w:rFonts w:hint="eastAsia" w:hAnsi="宋体"/>
                <w:sz w:val="24"/>
                <w:szCs w:val="22"/>
                <w:lang w:val="en-US" w:eastAsia="zh-CN"/>
              </w:rPr>
              <w:t>罗付勇</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sz w:val="24"/>
                <w:szCs w:val="22"/>
                <w:lang w:eastAsia="zh-CN"/>
              </w:rPr>
              <w:t>15836562128</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int="eastAsia" w:hAnsi="宋体" w:eastAsia="宋体" w:cs="TimesNewRomanPSMT"/>
                <w:sz w:val="24"/>
                <w:lang w:eastAsia="zh-CN"/>
              </w:rPr>
            </w:pPr>
            <w:r>
              <w:rPr>
                <w:rFonts w:hint="eastAsia" w:hAnsi="宋体" w:cs="TimesNewRomanPSMT"/>
                <w:sz w:val="24"/>
              </w:rPr>
              <w:t>1.1.</w:t>
            </w:r>
            <w:r>
              <w:rPr>
                <w:rFonts w:hint="eastAsia" w:hAnsi="宋体" w:cs="TimesNewRomanPSMT"/>
                <w:sz w:val="24"/>
                <w:lang w:val="en-US" w:eastAsia="zh-CN"/>
              </w:rPr>
              <w:t>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cs="Times New Roman"/>
                <w:sz w:val="24"/>
                <w:szCs w:val="22"/>
                <w:lang w:eastAsia="zh-CN"/>
              </w:rPr>
            </w:pPr>
            <w:r>
              <w:rPr>
                <w:rFonts w:hint="eastAsia" w:hAnsi="宋体"/>
                <w:sz w:val="24"/>
              </w:rPr>
              <w:t>代理机构：</w:t>
            </w:r>
            <w:r>
              <w:rPr>
                <w:rFonts w:hint="eastAsia" w:hAnsi="宋体" w:cs="Times New Roman"/>
                <w:sz w:val="24"/>
                <w:szCs w:val="22"/>
                <w:lang w:eastAsia="zh-CN"/>
              </w:rPr>
              <w:t>丰汇国际项目管理有限公司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lang w:val="en-US" w:eastAsia="zh-CN"/>
              </w:rPr>
              <w:t>项目负责</w:t>
            </w:r>
            <w:r>
              <w:rPr>
                <w:rFonts w:hint="eastAsia" w:hAnsi="宋体"/>
                <w:sz w:val="24"/>
              </w:rPr>
              <w:t>人：</w:t>
            </w:r>
            <w:r>
              <w:rPr>
                <w:rFonts w:hint="eastAsia" w:hAnsi="宋体"/>
                <w:sz w:val="24"/>
                <w:lang w:val="en-US" w:eastAsia="zh-CN"/>
              </w:rPr>
              <w:t>陈  星</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eastAsia="zh-CN"/>
              </w:rPr>
              <w:t>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lang w:val="en-US"/>
              </w:rPr>
            </w:pPr>
            <w:r>
              <w:rPr>
                <w:rFonts w:hint="eastAsia" w:hAnsi="宋体" w:cs="Times New Roman"/>
                <w:sz w:val="24"/>
                <w:szCs w:val="22"/>
                <w:lang w:val="en-US" w:eastAsia="zh-CN"/>
              </w:rPr>
              <w:t>灵井公园景观工程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Times New Roman"/>
                <w:sz w:val="24"/>
                <w:szCs w:val="22"/>
                <w:lang w:val="en-US" w:eastAsia="zh-CN"/>
              </w:rPr>
            </w:pPr>
            <w:r>
              <w:rPr>
                <w:rFonts w:hint="eastAsia" w:hAnsi="宋体" w:cs="Times New Roman"/>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cs="Times New Roman"/>
                <w:sz w:val="24"/>
                <w:szCs w:val="22"/>
                <w:lang w:val="en-US" w:eastAsia="zh-CN"/>
              </w:rPr>
            </w:pPr>
            <w:r>
              <w:rPr>
                <w:rFonts w:hint="eastAsia" w:hAnsi="宋体" w:cs="Times New Roman"/>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 xml:space="preserve">1、须具备独立的法人资格。 </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2、须具备建设行政主管部门核发的市政工程施工总承包叁级及以上资质，具有有效的安全生产许可证，并在人员、设备、资金等方面具备相应的施工能力。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3、拟派建造师须具备市政工程专业贰级及以上注册建造师资格，且具有有效的安全生产考核合格证书，并未担任其他在建工程。</w:t>
            </w:r>
          </w:p>
          <w:p>
            <w:pPr>
              <w:autoSpaceDE w:val="0"/>
              <w:autoSpaceDN w:val="0"/>
              <w:adjustRightInd w:val="0"/>
              <w:spacing w:line="360" w:lineRule="auto"/>
              <w:jc w:val="left"/>
              <w:outlineLvl w:val="0"/>
              <w:rPr>
                <w:rFonts w:hint="eastAsia"/>
                <w:lang w:val="en-US" w:eastAsia="zh-CN"/>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int="eastAsia" w:hAnsi="宋体" w:cs="Times New Roman"/>
                <w:sz w:val="24"/>
                <w:szCs w:val="22"/>
                <w:lang w:val="en-US" w:eastAsia="zh-CN"/>
              </w:rPr>
            </w:pPr>
            <w:r>
              <w:rPr>
                <w:rFonts w:hint="eastAsia" w:hAnsi="宋体" w:cs="Times New Roman"/>
                <w:sz w:val="24"/>
                <w:szCs w:val="22"/>
                <w:lang w:val="en-US" w:eastAsia="zh-CN"/>
              </w:rPr>
              <w:t>6、不接受联合体投标。</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outlineLvl w:val="0"/>
              <w:rPr>
                <w:rFonts w:hint="eastAsia" w:hAnsi="宋体" w:cs="Times New Roman"/>
                <w:sz w:val="24"/>
                <w:szCs w:val="22"/>
                <w:lang w:val="en-US" w:eastAsia="zh-CN"/>
              </w:rPr>
            </w:pPr>
            <w:r>
              <w:rPr>
                <w:rFonts w:hint="eastAsia" w:hAnsi="宋体" w:cs="Times New Roman"/>
                <w:sz w:val="24"/>
                <w:szCs w:val="22"/>
                <w:lang w:val="en-US" w:eastAsia="zh-CN"/>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autoSpaceDE w:val="0"/>
              <w:autoSpaceDN w:val="0"/>
              <w:adjustRightInd w:val="0"/>
              <w:spacing w:line="360" w:lineRule="exact"/>
              <w:jc w:val="left"/>
              <w:rPr>
                <w:rFonts w:hint="eastAsia" w:hAnsi="宋体" w:eastAsia="宋体" w:cs="宋体"/>
                <w:sz w:val="24"/>
                <w:szCs w:val="22"/>
              </w:rPr>
            </w:pPr>
            <w:r>
              <w:rPr>
                <w:rFonts w:hint="eastAsia" w:hAnsi="宋体" w:eastAsia="宋体" w:cs="宋体"/>
                <w:sz w:val="24"/>
                <w:szCs w:val="22"/>
              </w:rPr>
              <w:t>投标截止时间10日前。</w:t>
            </w:r>
          </w:p>
          <w:p>
            <w:pPr>
              <w:spacing w:line="320" w:lineRule="exact"/>
              <w:rPr>
                <w:rFonts w:hAnsi="宋体"/>
                <w:sz w:val="24"/>
              </w:rPr>
            </w:pPr>
            <w:r>
              <w:rPr>
                <w:rFonts w:hint="eastAsia" w:hAnsi="宋体" w:eastAsia="宋体" w:cs="宋体"/>
                <w:sz w:val="24"/>
                <w:szCs w:val="22"/>
              </w:rPr>
              <w:t>形式：通过《全国公共资源交易平台（河南省·许昌市）》</w:t>
            </w:r>
            <w:r>
              <w:rPr>
                <w:rFonts w:hint="eastAsia" w:hAnsi="宋体" w:eastAsia="宋体" w:cs="宋体"/>
                <w:color w:val="auto"/>
                <w:sz w:val="24"/>
                <w:szCs w:val="22"/>
                <w:highlight w:val="none"/>
              </w:rPr>
              <w:t>（http://ggzy.xuchang.gov.cn/）</w:t>
            </w:r>
            <w:r>
              <w:rPr>
                <w:rFonts w:hint="eastAsia" w:hAnsi="宋体" w:eastAsia="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eastAsia="宋体" w:cs="宋体"/>
                <w:color w:val="auto"/>
                <w:sz w:val="24"/>
                <w:szCs w:val="22"/>
                <w:highlight w:val="none"/>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highlight w:val="none"/>
                <w:shd w:val="clear" w:color="auto" w:fill="auto"/>
                <w:lang w:val="en-US" w:eastAsia="zh-CN"/>
              </w:rPr>
              <w:t>7</w:t>
            </w:r>
            <w:r>
              <w:rPr>
                <w:rFonts w:hint="eastAsia" w:hAnsi="宋体"/>
                <w:bCs/>
                <w:color w:val="000000" w:themeColor="text1"/>
                <w:sz w:val="24"/>
                <w:szCs w:val="22"/>
                <w:highlight w:val="none"/>
                <w:shd w:val="clear" w:color="auto" w:fill="auto"/>
              </w:rPr>
              <w:t>月</w:t>
            </w:r>
            <w:r>
              <w:rPr>
                <w:rFonts w:hint="eastAsia" w:hAnsi="宋体"/>
                <w:bCs/>
                <w:color w:val="000000" w:themeColor="text1"/>
                <w:sz w:val="24"/>
                <w:szCs w:val="22"/>
                <w:highlight w:val="none"/>
                <w:shd w:val="clear" w:color="auto" w:fill="auto"/>
                <w:lang w:val="en-US" w:eastAsia="zh-CN"/>
              </w:rPr>
              <w:t>9</w:t>
            </w:r>
            <w:r>
              <w:rPr>
                <w:rFonts w:hint="eastAsia" w:hAnsi="宋体"/>
                <w:bCs/>
                <w:color w:val="000000" w:themeColor="text1"/>
                <w:sz w:val="24"/>
                <w:szCs w:val="22"/>
                <w:highlight w:val="none"/>
                <w:shd w:val="clear" w:color="auto" w:fill="auto"/>
              </w:rPr>
              <w:t>日</w:t>
            </w:r>
            <w:r>
              <w:rPr>
                <w:rFonts w:hint="eastAsia" w:hAnsi="宋体"/>
                <w:bCs/>
                <w:color w:val="000000" w:themeColor="text1"/>
                <w:sz w:val="24"/>
                <w:szCs w:val="22"/>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7、2018</w:t>
            </w:r>
            <w:r>
              <w:rPr>
                <w:rFonts w:hint="eastAsia" w:hAnsi="宋体" w:cs="仿宋_GB2312"/>
                <w:sz w:val="24"/>
              </w:rPr>
              <w:t>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eastAsia="宋体" w:cs="仿宋_GB2312"/>
                <w:sz w:val="24"/>
                <w:lang w:eastAsia="zh-CN"/>
              </w:rPr>
            </w:pPr>
            <w:r>
              <w:rPr>
                <w:rFonts w:hint="eastAsia" w:hAnsi="宋体" w:cs="仿宋_GB2312"/>
                <w:sz w:val="24"/>
              </w:rPr>
              <w:t>3.5.</w:t>
            </w:r>
            <w:r>
              <w:rPr>
                <w:rFonts w:hint="eastAsia" w:hAnsi="宋体" w:cs="仿宋_GB2312"/>
                <w:sz w:val="24"/>
                <w:lang w:val="en-US" w:eastAsia="zh-CN"/>
              </w:rPr>
              <w:t>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7</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8</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3.7.</w:t>
            </w:r>
            <w:r>
              <w:rPr>
                <w:rFonts w:hint="eastAsia" w:hAnsi="宋体" w:cs="TimesNewRomanPSMT"/>
                <w:sz w:val="24"/>
                <w:lang w:val="en-US" w:eastAsia="zh-CN"/>
              </w:rPr>
              <w:t>9</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w:t>
            </w:r>
            <w:r>
              <w:rPr>
                <w:rFonts w:hint="eastAsia" w:hAnsi="宋体" w:cs="宋体"/>
                <w:sz w:val="24"/>
              </w:rPr>
              <w:t>分别装订</w:t>
            </w:r>
            <w:r>
              <w:rPr>
                <w:rFonts w:hint="eastAsia" w:ascii="新宋体" w:hAnsi="新宋体" w:eastAsia="新宋体"/>
                <w:sz w:val="24"/>
              </w:rPr>
              <w:t>，装订应牢固、不易拆散和换页，不得采用活页装订。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360" w:lineRule="exact"/>
              <w:jc w:val="left"/>
              <w:rPr>
                <w:rFonts w:ascii="楷体_gb2312" w:hAnsi="楷体_gb2312" w:eastAsia="楷体_gb2312" w:cs="楷体_gb2312"/>
                <w:sz w:val="28"/>
                <w:szCs w:val="28"/>
              </w:rPr>
            </w:pPr>
            <w:r>
              <w:rPr>
                <w:rFonts w:hint="eastAsia" w:hAnsi="宋体" w:cs="仿宋_GB2312"/>
                <w:sz w:val="24"/>
              </w:rPr>
              <w:t>项目编号：</w:t>
            </w:r>
            <w:r>
              <w:rPr>
                <w:rFonts w:hint="eastAsia" w:hAnsi="宋体"/>
                <w:sz w:val="24"/>
              </w:rPr>
              <w:t xml:space="preserve"> </w:t>
            </w:r>
          </w:p>
          <w:p>
            <w:pPr>
              <w:autoSpaceDE w:val="0"/>
              <w:autoSpaceDN w:val="0"/>
              <w:adjustRightInd w:val="0"/>
              <w:spacing w:line="420" w:lineRule="exact"/>
              <w:jc w:val="left"/>
              <w:rPr>
                <w:rFonts w:hint="eastAsia"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项目名称：</w:t>
            </w:r>
            <w:r>
              <w:rPr>
                <w:rFonts w:hint="eastAsia"/>
                <w:sz w:val="24"/>
                <w:u w:val="single"/>
              </w:rPr>
              <w:t xml:space="preserve">         （工程名称）     </w:t>
            </w:r>
            <w:r>
              <w:rPr>
                <w:rFonts w:hint="eastAsia" w:hAnsi="宋体" w:cs="仿宋_GB2312"/>
                <w:sz w:val="24"/>
              </w:rPr>
              <w:t>投标文件在   年  月  日  时  分前不得开启。</w:t>
            </w:r>
            <w:r>
              <w:rPr>
                <w:rFonts w:hint="eastAsia" w:hAnsi="宋体"/>
                <w:sz w:val="24"/>
                <w:u w:val="single"/>
              </w:rPr>
              <w:t xml:space="preserve">    </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highlight w:val="none"/>
                <w:lang w:val="en-US" w:eastAsia="zh-CN"/>
              </w:rPr>
              <w:t>4165</w:t>
            </w:r>
            <w:r>
              <w:rPr>
                <w:rFonts w:hint="eastAsia" w:hAnsi="宋体" w:cs="宋体"/>
                <w:sz w:val="24"/>
                <w:szCs w:val="22"/>
                <w:highlight w:val="none"/>
              </w:rPr>
              <w:t>室</w:t>
            </w:r>
            <w:r>
              <w:rPr>
                <w:rFonts w:hint="eastAsia" w:hAnsi="宋体" w:cs="宋体"/>
                <w:sz w:val="24"/>
                <w:szCs w:val="24"/>
                <w:highlight w:val="none"/>
                <w:shd w:val="clear" w:color="auto" w:fill="auto"/>
                <w:lang w:eastAsia="zh-CN"/>
              </w:rPr>
              <w:t>（开标二室）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sz w:val="24"/>
                <w:szCs w:val="22"/>
                <w:highlight w:val="none"/>
              </w:rPr>
              <w:t>4楼</w:t>
            </w:r>
            <w:r>
              <w:rPr>
                <w:rFonts w:hint="eastAsia" w:hAnsi="宋体" w:cs="仿宋_GB2312"/>
                <w:sz w:val="24"/>
                <w:szCs w:val="22"/>
                <w:highlight w:val="none"/>
                <w:lang w:val="en-US" w:eastAsia="zh-CN"/>
              </w:rPr>
              <w:t>4165</w:t>
            </w:r>
            <w:r>
              <w:rPr>
                <w:rFonts w:hint="eastAsia" w:hAnsi="宋体" w:cs="仿宋_GB2312"/>
                <w:sz w:val="24"/>
                <w:szCs w:val="22"/>
                <w:highlight w:val="none"/>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pPr>
            <w:r>
              <w:rPr>
                <w:rFonts w:hint="eastAsia" w:hAnsi="宋体" w:cs="仿宋_GB2312"/>
                <w:sz w:val="24"/>
                <w:szCs w:val="22"/>
              </w:rPr>
              <w:t>评标委员会构成：5人，从河南省综合评标专家库中随机抽取</w:t>
            </w:r>
            <w:r>
              <w:rPr>
                <w:rFonts w:hint="eastAsia" w:ascii="新宋体" w:hAnsi="新宋体" w:eastAsia="新宋体"/>
                <w:sz w:val="24"/>
              </w:rPr>
              <w:t>相关经济、技术</w:t>
            </w:r>
            <w:r>
              <w:rPr>
                <w:rFonts w:hint="eastAsia" w:ascii="新宋体" w:hAnsi="新宋体" w:eastAsia="新宋体"/>
                <w:sz w:val="24"/>
                <w:lang w:val="en-US" w:eastAsia="zh-CN"/>
              </w:rPr>
              <w:t>专家</w:t>
            </w:r>
            <w:r>
              <w:rPr>
                <w:rFonts w:hint="eastAsia" w:hAnsi="宋体" w:cs="仿宋_GB2312"/>
                <w:sz w:val="24"/>
                <w:szCs w:val="22"/>
              </w:rPr>
              <w:t>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default" w:hAnsi="宋体" w:eastAsia="宋体" w:cs="TimesNewRomanPSMT"/>
                <w:sz w:val="24"/>
                <w:lang w:val="en-US" w:eastAsia="zh-CN"/>
              </w:rPr>
            </w:pPr>
            <w:r>
              <w:rPr>
                <w:rFonts w:hint="eastAsia" w:hAnsi="宋体" w:cs="TimesNewRomanPSMT"/>
                <w:sz w:val="24"/>
                <w:lang w:val="en-US" w:eastAsia="zh-CN"/>
              </w:rPr>
              <w:t>7.4</w:t>
            </w:r>
          </w:p>
        </w:tc>
        <w:tc>
          <w:tcPr>
            <w:tcW w:w="2447" w:type="dxa"/>
            <w:gridSpan w:val="3"/>
            <w:vAlign w:val="center"/>
          </w:tcPr>
          <w:p>
            <w:pPr>
              <w:spacing w:line="340" w:lineRule="exact"/>
              <w:jc w:val="center"/>
              <w:rPr>
                <w:rFonts w:hint="eastAsia" w:hAnsi="宋体" w:cs="仿宋_GB2312"/>
                <w:sz w:val="24"/>
              </w:rPr>
            </w:pPr>
            <w:r>
              <w:rPr>
                <w:rFonts w:hint="eastAsia" w:ascii="宋体" w:hAnsi="宋体" w:cs="宋体"/>
                <w:b/>
                <w:bCs/>
                <w:kern w:val="0"/>
                <w:sz w:val="22"/>
                <w:szCs w:val="22"/>
              </w:rPr>
              <w:t>履约</w:t>
            </w:r>
            <w:r>
              <w:rPr>
                <w:rFonts w:hint="eastAsia" w:ascii="宋体" w:hAnsi="宋体" w:cs="宋体"/>
                <w:b/>
                <w:bCs/>
                <w:kern w:val="0"/>
                <w:sz w:val="22"/>
                <w:szCs w:val="22"/>
                <w:lang w:val="en-US" w:eastAsia="zh-CN"/>
              </w:rPr>
              <w:t>保证金</w:t>
            </w:r>
          </w:p>
        </w:tc>
        <w:tc>
          <w:tcPr>
            <w:tcW w:w="6424" w:type="dxa"/>
            <w:gridSpan w:val="2"/>
            <w:vAlign w:val="center"/>
          </w:tcPr>
          <w:p>
            <w:pPr>
              <w:spacing w:line="340" w:lineRule="exact"/>
              <w:rPr>
                <w:rFonts w:hint="eastAsia" w:hAnsi="宋体" w:cs="仿宋_GB2312"/>
                <w:sz w:val="24"/>
              </w:rPr>
            </w:pPr>
            <w:r>
              <w:rPr>
                <w:rFonts w:hint="eastAsia" w:hAnsi="宋体" w:cs="宋体"/>
                <w:b/>
                <w:bCs/>
                <w:kern w:val="0"/>
                <w:sz w:val="22"/>
                <w:szCs w:val="22"/>
                <w:lang w:val="en-US" w:eastAsia="zh-CN"/>
              </w:rPr>
              <w:t>履约保证金数额不得超过</w:t>
            </w:r>
            <w:r>
              <w:rPr>
                <w:rFonts w:hint="eastAsia" w:ascii="宋体" w:hAnsi="宋体" w:cs="宋体"/>
                <w:b/>
                <w:bCs/>
                <w:kern w:val="0"/>
                <w:sz w:val="22"/>
                <w:szCs w:val="22"/>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b/>
                <w:bCs/>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b/>
                <w:bCs/>
                <w:sz w:val="24"/>
              </w:rPr>
              <w:t>指2016年1月1日以来承建过的单项合同金额不低于</w:t>
            </w:r>
            <w:r>
              <w:rPr>
                <w:rFonts w:hint="eastAsia" w:hAnsi="宋体" w:cs="仿宋_GB2312"/>
                <w:b/>
                <w:bCs/>
                <w:sz w:val="24"/>
                <w:lang w:val="en-US" w:eastAsia="zh-CN"/>
              </w:rPr>
              <w:t>500万</w:t>
            </w:r>
            <w:r>
              <w:rPr>
                <w:rFonts w:hint="eastAsia" w:hAnsi="宋体" w:cs="仿宋_GB2312"/>
                <w:b/>
                <w:bCs/>
                <w:sz w:val="24"/>
              </w:rPr>
              <w:t>的</w:t>
            </w:r>
            <w:r>
              <w:rPr>
                <w:rFonts w:hint="eastAsia" w:hAnsi="宋体" w:cs="仿宋_GB2312"/>
                <w:b/>
                <w:bCs/>
                <w:sz w:val="24"/>
                <w:lang w:eastAsia="zh-CN"/>
              </w:rPr>
              <w:t>市政</w:t>
            </w:r>
            <w:r>
              <w:rPr>
                <w:rFonts w:hint="eastAsia" w:hAnsi="宋体" w:cs="仿宋_GB2312"/>
                <w:b/>
                <w:bCs/>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陆佰肆拾捌万零贰佰肆拾壹元叁角伍分（含规费、税金、安全文明措施费）</w:t>
            </w:r>
            <w:r>
              <w:rPr>
                <w:rFonts w:hint="eastAsia" w:hAnsi="宋体" w:cs="宋体"/>
                <w:b/>
                <w:bCs/>
                <w:sz w:val="24"/>
                <w:szCs w:val="24"/>
              </w:rPr>
              <w:t>；</w:t>
            </w:r>
          </w:p>
          <w:p>
            <w:pPr>
              <w:spacing w:line="440" w:lineRule="exact"/>
              <w:jc w:val="left"/>
              <w:rPr>
                <w:rFonts w:hint="eastAsia" w:hAnsi="宋体" w:cs="宋体"/>
                <w:b/>
                <w:bCs/>
                <w:sz w:val="24"/>
                <w:szCs w:val="24"/>
                <w:lang w:val="en-US" w:eastAsia="zh-CN"/>
              </w:rPr>
            </w:pPr>
            <w:r>
              <w:rPr>
                <w:rFonts w:hint="eastAsia" w:hAnsi="宋体" w:cs="宋体"/>
                <w:b/>
                <w:bCs/>
                <w:sz w:val="24"/>
                <w:szCs w:val="24"/>
                <w:lang w:val="en-US" w:eastAsia="zh-CN"/>
              </w:rPr>
              <w:t>小写：6480241.35元。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int="eastAsia" w:hAnsi="宋体" w:cs="宋体"/>
                <w:b/>
                <w:bCs/>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40"/>
              <w:jc w:val="left"/>
              <w:rPr>
                <w:rFonts w:hAnsi="宋体" w:cs="TimesNewRomanPSMT"/>
                <w:sz w:val="24"/>
              </w:rPr>
            </w:pPr>
            <w:r>
              <w:rPr>
                <w:rFonts w:hint="eastAsia" w:ascii="宋体" w:hAnsi="宋体" w:eastAsia="宋体" w:cs="宋体"/>
                <w:b/>
                <w:i w:val="0"/>
                <w:color w:val="000000"/>
                <w:kern w:val="0"/>
                <w:sz w:val="28"/>
                <w:szCs w:val="28"/>
                <w:u w:val="none"/>
                <w:shd w:val="clear" w:fill="FFFFFF"/>
                <w:lang w:val="en-US" w:eastAsia="zh-CN" w:bidi="ar"/>
              </w:rPr>
              <w:t>注：</w:t>
            </w:r>
            <w:r>
              <w:rPr>
                <w:rFonts w:hint="eastAsia" w:hAnsi="宋体" w:cs="宋体"/>
                <w:b/>
                <w:i w:val="0"/>
                <w:color w:val="000000"/>
                <w:kern w:val="0"/>
                <w:sz w:val="28"/>
                <w:szCs w:val="28"/>
                <w:u w:val="none"/>
                <w:shd w:val="clear" w:fill="FFFFFF"/>
                <w:lang w:val="en-US" w:eastAsia="zh-CN" w:bidi="ar"/>
              </w:rPr>
              <w:t>招标控制价中</w:t>
            </w:r>
            <w:r>
              <w:rPr>
                <w:rFonts w:hint="eastAsia" w:ascii="宋体" w:hAnsi="宋体" w:eastAsia="宋体" w:cs="宋体"/>
                <w:b/>
                <w:i w:val="0"/>
                <w:color w:val="000000"/>
                <w:kern w:val="0"/>
                <w:sz w:val="28"/>
                <w:szCs w:val="28"/>
                <w:u w:val="none"/>
                <w:shd w:val="clear" w:fill="FFFFFF"/>
                <w:lang w:val="en-US" w:eastAsia="zh-CN" w:bidi="ar"/>
              </w:rPr>
              <w:t>由</w:t>
            </w:r>
            <w:r>
              <w:rPr>
                <w:rFonts w:hint="eastAsia" w:hAnsi="宋体" w:cs="宋体"/>
                <w:b/>
                <w:i w:val="0"/>
                <w:color w:val="000000"/>
                <w:kern w:val="0"/>
                <w:sz w:val="28"/>
                <w:szCs w:val="28"/>
                <w:u w:val="none"/>
                <w:shd w:val="clear" w:fill="FFFFFF"/>
                <w:lang w:val="en-US" w:eastAsia="zh-CN" w:bidi="ar"/>
              </w:rPr>
              <w:t>两</w:t>
            </w:r>
            <w:r>
              <w:rPr>
                <w:rFonts w:hint="eastAsia" w:ascii="宋体" w:hAnsi="宋体" w:eastAsia="宋体" w:cs="宋体"/>
                <w:b/>
                <w:i w:val="0"/>
                <w:color w:val="000000"/>
                <w:kern w:val="0"/>
                <w:sz w:val="28"/>
                <w:szCs w:val="28"/>
                <w:u w:val="none"/>
                <w:shd w:val="clear" w:fill="FFFFFF"/>
                <w:lang w:val="en-US" w:eastAsia="zh-CN" w:bidi="ar"/>
              </w:rPr>
              <w:t>座相同</w:t>
            </w:r>
            <w:r>
              <w:rPr>
                <w:rFonts w:hint="eastAsia" w:hAnsi="宋体" w:cs="宋体"/>
                <w:b/>
                <w:i w:val="0"/>
                <w:color w:val="000000"/>
                <w:kern w:val="0"/>
                <w:sz w:val="28"/>
                <w:szCs w:val="28"/>
                <w:u w:val="none"/>
                <w:shd w:val="clear" w:fill="FFFFFF"/>
                <w:lang w:val="en-US" w:eastAsia="zh-CN" w:bidi="ar"/>
              </w:rPr>
              <w:t>管理费（</w:t>
            </w:r>
            <w:r>
              <w:rPr>
                <w:rFonts w:hint="eastAsia" w:ascii="宋体" w:hAnsi="宋体" w:eastAsia="宋体" w:cs="宋体"/>
                <w:b/>
                <w:i w:val="0"/>
                <w:color w:val="000000"/>
                <w:kern w:val="0"/>
                <w:sz w:val="28"/>
                <w:szCs w:val="28"/>
                <w:u w:val="none"/>
                <w:shd w:val="clear" w:fill="FFFFFF"/>
                <w:lang w:val="en-US" w:eastAsia="zh-CN" w:bidi="ar"/>
              </w:rPr>
              <w:t>公厕</w:t>
            </w:r>
            <w:r>
              <w:rPr>
                <w:rFonts w:hint="eastAsia" w:hAnsi="宋体" w:cs="宋体"/>
                <w:b/>
                <w:i w:val="0"/>
                <w:color w:val="000000"/>
                <w:kern w:val="0"/>
                <w:sz w:val="28"/>
                <w:szCs w:val="28"/>
                <w:u w:val="none"/>
                <w:shd w:val="clear" w:fill="FFFFFF"/>
                <w:lang w:val="en-US" w:eastAsia="zh-CN" w:bidi="ar"/>
              </w:rPr>
              <w:t>）</w:t>
            </w:r>
            <w:r>
              <w:rPr>
                <w:rFonts w:hint="eastAsia" w:ascii="宋体" w:hAnsi="宋体" w:eastAsia="宋体" w:cs="宋体"/>
                <w:b/>
                <w:i w:val="0"/>
                <w:color w:val="000000"/>
                <w:kern w:val="0"/>
                <w:sz w:val="28"/>
                <w:szCs w:val="28"/>
                <w:u w:val="none"/>
                <w:shd w:val="clear" w:fill="FFFFFF"/>
                <w:lang w:val="en-US" w:eastAsia="zh-CN" w:bidi="ar"/>
              </w:rPr>
              <w:t>组成，清单</w:t>
            </w:r>
            <w:r>
              <w:rPr>
                <w:rFonts w:hint="eastAsia" w:hAnsi="宋体" w:cs="宋体"/>
                <w:b/>
                <w:i w:val="0"/>
                <w:color w:val="000000"/>
                <w:kern w:val="0"/>
                <w:sz w:val="28"/>
                <w:szCs w:val="28"/>
                <w:u w:val="none"/>
                <w:shd w:val="clear" w:fill="FFFFFF"/>
                <w:lang w:val="en-US" w:eastAsia="zh-CN" w:bidi="ar"/>
              </w:rPr>
              <w:t>编制工程量</w:t>
            </w:r>
            <w:r>
              <w:rPr>
                <w:rFonts w:hint="eastAsia" w:ascii="宋体" w:hAnsi="宋体" w:eastAsia="宋体" w:cs="宋体"/>
                <w:b/>
                <w:i w:val="0"/>
                <w:color w:val="000000"/>
                <w:kern w:val="0"/>
                <w:sz w:val="28"/>
                <w:szCs w:val="28"/>
                <w:u w:val="none"/>
                <w:shd w:val="clear" w:fill="FFFFFF"/>
                <w:lang w:val="en-US" w:eastAsia="zh-CN" w:bidi="ar"/>
              </w:rPr>
              <w:t>仅为</w:t>
            </w:r>
            <w:r>
              <w:rPr>
                <w:rFonts w:hint="eastAsia" w:hAnsi="宋体" w:cs="宋体"/>
                <w:b/>
                <w:i w:val="0"/>
                <w:color w:val="000000"/>
                <w:kern w:val="0"/>
                <w:sz w:val="28"/>
                <w:szCs w:val="28"/>
                <w:u w:val="none"/>
                <w:shd w:val="clear" w:fill="FFFFFF"/>
                <w:lang w:val="en-US" w:eastAsia="zh-CN" w:bidi="ar"/>
              </w:rPr>
              <w:t>一座管理费（</w:t>
            </w:r>
            <w:r>
              <w:rPr>
                <w:rFonts w:hint="eastAsia" w:ascii="宋体" w:hAnsi="宋体" w:eastAsia="宋体" w:cs="宋体"/>
                <w:b/>
                <w:i w:val="0"/>
                <w:color w:val="000000"/>
                <w:kern w:val="0"/>
                <w:sz w:val="28"/>
                <w:szCs w:val="28"/>
                <w:u w:val="none"/>
                <w:shd w:val="clear" w:fill="FFFFFF"/>
                <w:lang w:val="en-US" w:eastAsia="zh-CN" w:bidi="ar"/>
              </w:rPr>
              <w:t>公厕</w:t>
            </w:r>
            <w:r>
              <w:rPr>
                <w:rFonts w:hint="eastAsia" w:hAnsi="宋体" w:cs="宋体"/>
                <w:b/>
                <w:i w:val="0"/>
                <w:color w:val="000000"/>
                <w:kern w:val="0"/>
                <w:sz w:val="28"/>
                <w:szCs w:val="28"/>
                <w:u w:val="none"/>
                <w:shd w:val="clear" w:fill="FFFFFF"/>
                <w:lang w:val="en-US" w:eastAsia="zh-CN" w:bidi="ar"/>
              </w:rPr>
              <w:t>）</w:t>
            </w:r>
            <w:r>
              <w:rPr>
                <w:rFonts w:hint="eastAsia" w:ascii="宋体" w:hAnsi="宋体" w:eastAsia="宋体" w:cs="宋体"/>
                <w:b/>
                <w:i w:val="0"/>
                <w:color w:val="000000"/>
                <w:kern w:val="0"/>
                <w:sz w:val="28"/>
                <w:szCs w:val="28"/>
                <w:u w:val="none"/>
                <w:shd w:val="clear" w:fill="FFFFFF"/>
                <w:lang w:val="en-US" w:eastAsia="zh-CN" w:bidi="ar"/>
              </w:rPr>
              <w:t>，招标文件中涉及到的招标控制价</w:t>
            </w:r>
            <w:r>
              <w:rPr>
                <w:rFonts w:hint="eastAsia" w:hAnsi="宋体" w:cs="宋体"/>
                <w:b/>
                <w:i w:val="0"/>
                <w:color w:val="000000"/>
                <w:kern w:val="0"/>
                <w:sz w:val="28"/>
                <w:szCs w:val="28"/>
                <w:u w:val="none"/>
                <w:shd w:val="clear" w:fill="FFFFFF"/>
                <w:lang w:val="en-US" w:eastAsia="zh-CN" w:bidi="ar"/>
              </w:rPr>
              <w:t>均</w:t>
            </w:r>
            <w:r>
              <w:rPr>
                <w:rFonts w:hint="eastAsia" w:ascii="宋体" w:hAnsi="宋体" w:eastAsia="宋体" w:cs="宋体"/>
                <w:b/>
                <w:i w:val="0"/>
                <w:color w:val="000000"/>
                <w:kern w:val="0"/>
                <w:sz w:val="28"/>
                <w:szCs w:val="28"/>
                <w:u w:val="none"/>
                <w:shd w:val="clear" w:fill="FFFFFF"/>
                <w:lang w:val="en-US" w:eastAsia="zh-CN" w:bidi="ar"/>
              </w:rPr>
              <w:t>为</w:t>
            </w:r>
            <w:r>
              <w:rPr>
                <w:rFonts w:hint="eastAsia" w:hAnsi="宋体" w:cs="宋体"/>
                <w:b/>
                <w:i w:val="0"/>
                <w:color w:val="000000"/>
                <w:kern w:val="0"/>
                <w:sz w:val="28"/>
                <w:szCs w:val="28"/>
                <w:u w:val="none"/>
                <w:shd w:val="clear" w:fill="FFFFFF"/>
                <w:lang w:val="en-US" w:eastAsia="zh-CN" w:bidi="ar"/>
              </w:rPr>
              <w:t>包含两</w:t>
            </w:r>
            <w:r>
              <w:rPr>
                <w:rFonts w:hint="eastAsia" w:ascii="宋体" w:hAnsi="宋体" w:eastAsia="宋体" w:cs="宋体"/>
                <w:b/>
                <w:i w:val="0"/>
                <w:color w:val="000000"/>
                <w:kern w:val="0"/>
                <w:sz w:val="28"/>
                <w:szCs w:val="28"/>
                <w:u w:val="none"/>
                <w:shd w:val="clear" w:fill="FFFFFF"/>
                <w:lang w:val="en-US" w:eastAsia="zh-CN" w:bidi="ar"/>
              </w:rPr>
              <w:t>座</w:t>
            </w:r>
            <w:r>
              <w:rPr>
                <w:rFonts w:hint="eastAsia" w:hAnsi="宋体" w:cs="宋体"/>
                <w:b/>
                <w:i w:val="0"/>
                <w:color w:val="000000"/>
                <w:kern w:val="0"/>
                <w:sz w:val="28"/>
                <w:szCs w:val="28"/>
                <w:u w:val="none"/>
                <w:shd w:val="clear" w:fill="FFFFFF"/>
                <w:lang w:val="en-US" w:eastAsia="zh-CN" w:bidi="ar"/>
              </w:rPr>
              <w:t>管理费（</w:t>
            </w:r>
            <w:r>
              <w:rPr>
                <w:rFonts w:hint="eastAsia" w:ascii="宋体" w:hAnsi="宋体" w:eastAsia="宋体" w:cs="宋体"/>
                <w:b/>
                <w:i w:val="0"/>
                <w:color w:val="000000"/>
                <w:kern w:val="0"/>
                <w:sz w:val="28"/>
                <w:szCs w:val="28"/>
                <w:u w:val="none"/>
                <w:shd w:val="clear" w:fill="FFFFFF"/>
                <w:lang w:val="en-US" w:eastAsia="zh-CN" w:bidi="ar"/>
              </w:rPr>
              <w:t>公厕</w:t>
            </w:r>
            <w:r>
              <w:rPr>
                <w:rFonts w:hint="eastAsia" w:hAnsi="宋体" w:cs="宋体"/>
                <w:b/>
                <w:i w:val="0"/>
                <w:color w:val="000000"/>
                <w:kern w:val="0"/>
                <w:sz w:val="28"/>
                <w:szCs w:val="28"/>
                <w:u w:val="none"/>
                <w:shd w:val="clear" w:fill="FFFFFF"/>
                <w:lang w:val="en-US" w:eastAsia="zh-CN" w:bidi="ar"/>
              </w:rPr>
              <w:t>）的</w:t>
            </w:r>
            <w:r>
              <w:rPr>
                <w:rFonts w:hint="eastAsia" w:ascii="宋体" w:hAnsi="宋体" w:eastAsia="宋体" w:cs="宋体"/>
                <w:b/>
                <w:i w:val="0"/>
                <w:color w:val="000000"/>
                <w:kern w:val="0"/>
                <w:sz w:val="28"/>
                <w:szCs w:val="28"/>
                <w:u w:val="none"/>
                <w:shd w:val="clear" w:fill="FFFFFF"/>
                <w:lang w:val="en-US" w:eastAsia="zh-CN" w:bidi="ar"/>
              </w:rPr>
              <w:t>总价，投标人在投标函及投标函附录中须填写总价</w:t>
            </w:r>
            <w:r>
              <w:rPr>
                <w:rFonts w:hint="eastAsia" w:ascii="宋体" w:hAnsi="宋体" w:eastAsia="宋体" w:cs="宋体"/>
                <w:b w:val="0"/>
                <w:i w:val="0"/>
                <w:color w:val="000000"/>
                <w:kern w:val="0"/>
                <w:sz w:val="28"/>
                <w:szCs w:val="28"/>
                <w:u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r>
              <w:rPr>
                <w:rFonts w:hint="eastAsia" w:ascii="新宋体" w:hAnsi="新宋体" w:eastAsia="新宋体"/>
                <w:sz w:val="24"/>
              </w:rPr>
              <w:t>及仅提供纸质投标文件的</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w:t>
            </w:r>
            <w:r>
              <w:rPr>
                <w:rFonts w:hint="eastAsia" w:ascii="新宋体" w:hAnsi="新宋体" w:eastAsia="新宋体"/>
                <w:sz w:val="24"/>
                <w:szCs w:val="22"/>
                <w:lang w:val="en-US" w:eastAsia="zh-CN"/>
              </w:rPr>
              <w:t>盖章签字</w:t>
            </w:r>
            <w:r>
              <w:rPr>
                <w:rFonts w:hint="eastAsia" w:ascii="新宋体" w:hAnsi="新宋体" w:eastAsia="新宋体"/>
                <w:sz w:val="24"/>
                <w:szCs w:val="22"/>
              </w:rPr>
              <w:t>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cs="宋体"/>
                <w:b/>
                <w:bCs/>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int="eastAsia" w:hAnsi="宋体" w:eastAsia="宋体" w:cs="宋体"/>
                <w:sz w:val="24"/>
                <w:lang w:eastAsia="zh-CN"/>
              </w:rPr>
            </w:pPr>
            <w:r>
              <w:rPr>
                <w:rFonts w:hint="eastAsia" w:hAnsi="宋体" w:cs="宋体"/>
                <w:b/>
                <w:bCs/>
                <w:sz w:val="24"/>
              </w:rPr>
              <w:t>10.1</w:t>
            </w:r>
            <w:r>
              <w:rPr>
                <w:rFonts w:hint="eastAsia" w:hAnsi="宋体" w:cs="宋体"/>
                <w:b/>
                <w:bCs/>
                <w:sz w:val="24"/>
                <w:lang w:val="en-US" w:eastAsia="zh-CN"/>
              </w:rPr>
              <w:t>3</w:t>
            </w:r>
            <w:r>
              <w:rPr>
                <w:rFonts w:hint="eastAsia" w:hAnsi="宋体" w:cs="宋体"/>
                <w:b/>
                <w:bCs/>
                <w:sz w:val="24"/>
              </w:rPr>
              <w:t xml:space="preserve"> </w:t>
            </w:r>
            <w:r>
              <w:rPr>
                <w:rFonts w:hint="eastAsia" w:hAnsi="宋体" w:cs="宋体"/>
                <w:b/>
                <w:bCs/>
                <w:sz w:val="24"/>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keepNext w:val="0"/>
              <w:keepLines w:val="0"/>
              <w:widowControl/>
              <w:suppressLineNumbers w:val="0"/>
              <w:jc w:val="left"/>
              <w:rPr>
                <w:rFonts w:hint="eastAsia" w:hAnsi="宋体" w:cs="宋体"/>
                <w:sz w:val="24"/>
              </w:rPr>
            </w:pPr>
            <w:r>
              <w:rPr>
                <w:rFonts w:ascii="宋体" w:hAnsi="宋体" w:eastAsia="宋体" w:cs="宋体"/>
                <w:b/>
                <w:bCs/>
                <w:kern w:val="0"/>
                <w:sz w:val="24"/>
                <w:szCs w:val="24"/>
                <w:lang w:val="en-US" w:eastAsia="zh-CN" w:bidi="ar"/>
              </w:rPr>
              <w:t>注意事项</w:t>
            </w:r>
            <w:r>
              <w:rPr>
                <w:rFonts w:hint="eastAsia" w:hAnsi="宋体" w:cs="宋体"/>
                <w:b/>
                <w:bCs/>
                <w:kern w:val="0"/>
                <w:sz w:val="24"/>
                <w:szCs w:val="24"/>
                <w:lang w:val="en-US" w:eastAsia="zh-CN" w:bidi="ar"/>
              </w:rPr>
              <w:t>：</w:t>
            </w:r>
            <w:r>
              <w:rPr>
                <w:rFonts w:ascii="宋体" w:hAnsi="宋体" w:eastAsia="宋体" w:cs="宋体"/>
                <w:b/>
                <w:bCs/>
                <w:kern w:val="0"/>
                <w:sz w:val="24"/>
                <w:szCs w:val="24"/>
                <w:lang w:val="en-US" w:eastAsia="zh-CN" w:bidi="ar"/>
              </w:rPr>
              <w:t xml:space="preserve"> 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pStyle w:val="2"/>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1.1.3</w:t>
      </w:r>
      <w:r>
        <w:rPr>
          <w:rFonts w:hint="eastAsia" w:hAnsi="宋体" w:cs="仿宋_GB2312"/>
          <w:sz w:val="24"/>
        </w:rPr>
        <w:t>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1.4.3</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int="eastAsia" w:hAnsi="宋体" w:cs="宋体"/>
          <w:sz w:val="24"/>
          <w:szCs w:val="22"/>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w:t>
      </w:r>
      <w:r>
        <w:rPr>
          <w:rFonts w:hint="eastAsia" w:hAnsi="宋体" w:cs="宋体"/>
          <w:sz w:val="24"/>
          <w:szCs w:val="22"/>
        </w:rPr>
        <w:t>将问题在全国公共资源交易平台（河南省·许昌市）系统电子平台上提出。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）近年财务状况；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12</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r>
        <w:rPr>
          <w:rFonts w:hint="eastAsia" w:ascii="新宋体" w:hAnsi="新宋体" w:eastAsia="新宋体" w:cs="仿宋_GB2312"/>
          <w:sz w:val="24"/>
        </w:rPr>
        <w:t>（或图片）</w:t>
      </w:r>
      <w:r>
        <w:rPr>
          <w:rFonts w:hint="eastAsia" w:hAnsi="宋体" w:cs="宋体"/>
          <w:sz w:val="24"/>
          <w:lang w:val="zh-CN"/>
        </w:rPr>
        <w:t>。</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w:t>
      </w:r>
      <w:r>
        <w:rPr>
          <w:rFonts w:hint="eastAsia" w:ascii="新宋体" w:hAnsi="新宋体" w:eastAsia="新宋体" w:cs="仿宋_GB2312"/>
          <w:sz w:val="24"/>
        </w:rPr>
        <w:t>（或图片）</w:t>
      </w:r>
      <w:r>
        <w:rPr>
          <w:rFonts w:hint="eastAsia" w:hAnsi="宋体" w:cs="宋体"/>
          <w:sz w:val="24"/>
          <w:lang w:val="zh-CN"/>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w:t>
      </w:r>
      <w:r>
        <w:rPr>
          <w:rFonts w:hint="eastAsia" w:ascii="新宋体" w:hAnsi="新宋体" w:eastAsia="新宋体" w:cs="仿宋_GB2312"/>
          <w:sz w:val="24"/>
        </w:rPr>
        <w:t>（或图片）</w:t>
      </w:r>
      <w:r>
        <w:rPr>
          <w:rFonts w:hint="eastAsia" w:hAnsi="宋体" w:cs="宋体"/>
          <w:sz w:val="24"/>
          <w:lang w:val="zh-CN"/>
        </w:rPr>
        <w:t>，具体年份要求见投标人须知前附表。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3.7.5 使用电子介质存储的备份文件1份。</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sz w:val="24"/>
        </w:rPr>
      </w:pPr>
      <w:r>
        <w:rPr>
          <w:rFonts w:hint="eastAsia" w:hAnsi="宋体" w:cs="宋体"/>
          <w:sz w:val="24"/>
        </w:rPr>
        <w:t>3.7.6 同时生成与电子投标文件内容、</w:t>
      </w:r>
      <w:r>
        <w:rPr>
          <w:rFonts w:hint="eastAsia" w:hAnsi="宋体" w:cs="宋体"/>
          <w:sz w:val="24"/>
          <w:lang w:val="en-US" w:eastAsia="zh-CN"/>
        </w:rPr>
        <w:t>格式、</w:t>
      </w:r>
      <w:r>
        <w:rPr>
          <w:rFonts w:hint="eastAsia" w:hAnsi="宋体" w:cs="宋体"/>
          <w:sz w:val="24"/>
        </w:rPr>
        <w:t>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widowControl w:val="0"/>
        <w:tabs>
          <w:tab w:val="left" w:pos="7095"/>
        </w:tabs>
        <w:kinsoku/>
        <w:wordWrap/>
        <w:overflowPunct/>
        <w:topLinePunct w:val="0"/>
        <w:bidi w:val="0"/>
        <w:snapToGrid/>
        <w:spacing w:line="460" w:lineRule="exact"/>
        <w:ind w:firstLine="480" w:firstLineChars="200"/>
        <w:textAlignment w:val="auto"/>
        <w:rPr>
          <w:rFonts w:hint="eastAsia" w:hAnsi="宋体"/>
          <w:color w:val="000000"/>
          <w:sz w:val="24"/>
          <w:szCs w:val="24"/>
        </w:rPr>
      </w:pPr>
      <w:r>
        <w:rPr>
          <w:rFonts w:hint="eastAsia" w:hAnsi="宋体"/>
          <w:color w:val="000000"/>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b/>
          <w:bCs/>
          <w:color w:val="000000"/>
          <w:sz w:val="24"/>
          <w:szCs w:val="24"/>
        </w:rPr>
        <w:t>改动之处应加盖单位公章或由投标人的法定代表人或其授权的代理人签字确认。</w:t>
      </w:r>
      <w:r>
        <w:rPr>
          <w:rFonts w:hint="eastAsia" w:hAnsi="宋体"/>
          <w:color w:val="000000"/>
          <w:sz w:val="24"/>
          <w:szCs w:val="24"/>
        </w:rPr>
        <w:t>签字或盖章的具体要求见投标人须知前附表。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widowControl w:val="0"/>
        <w:kinsoku/>
        <w:wordWrap/>
        <w:overflowPunct/>
        <w:topLinePunct w:val="0"/>
        <w:bidi w:val="0"/>
        <w:snapToGrid/>
        <w:spacing w:line="460" w:lineRule="exact"/>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bookmarkStart w:id="44" w:name="_Toc283559963"/>
      <w:r>
        <w:rPr>
          <w:rFonts w:hint="eastAsia" w:hAnsi="宋体" w:cs="宋体"/>
          <w:sz w:val="24"/>
        </w:rPr>
        <w:t>4.1.1 纸质投标文件的正本、副本应分开包装，加贴封条，</w:t>
      </w:r>
      <w:r>
        <w:rPr>
          <w:rFonts w:hint="eastAsia" w:hAnsi="宋体" w:cs="宋体"/>
          <w:b/>
          <w:bCs/>
          <w:sz w:val="24"/>
        </w:rPr>
        <w:t>并在封套的封口处加盖投标人公章</w:t>
      </w:r>
      <w:r>
        <w:rPr>
          <w:rFonts w:hint="eastAsia" w:hAnsi="宋体" w:cs="宋体"/>
          <w:b/>
          <w:bCs/>
          <w:sz w:val="24"/>
          <w:lang w:eastAsia="zh-CN"/>
        </w:rPr>
        <w:t>、</w:t>
      </w:r>
      <w:r>
        <w:rPr>
          <w:rFonts w:hint="eastAsia" w:hAnsi="宋体" w:cs="宋体"/>
          <w:b/>
          <w:bCs/>
          <w:sz w:val="24"/>
          <w:lang w:val="en-US" w:eastAsia="zh-CN"/>
        </w:rPr>
        <w:t>法人章和法人签字</w:t>
      </w:r>
      <w:r>
        <w:rPr>
          <w:rFonts w:hint="eastAsia" w:hAnsi="宋体" w:cs="宋体"/>
          <w:b/>
          <w:bCs/>
          <w:sz w:val="24"/>
        </w:rPr>
        <w:t>，密封不符合要求的不予受理。</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b/>
          <w:bCs/>
          <w:sz w:val="24"/>
        </w:rPr>
      </w:pPr>
      <w:r>
        <w:rPr>
          <w:rFonts w:hint="eastAsia" w:hAnsi="宋体" w:cs="宋体"/>
          <w:sz w:val="24"/>
        </w:rPr>
        <w:t>4.1.2 使用电子介质存储的投标文件应单独密封，</w:t>
      </w:r>
      <w:r>
        <w:rPr>
          <w:rFonts w:hint="eastAsia" w:hAnsi="宋体" w:cs="宋体"/>
          <w:sz w:val="24"/>
          <w:lang w:val="en-US" w:eastAsia="zh-CN"/>
        </w:rPr>
        <w:t>加贴封条，</w:t>
      </w:r>
      <w:r>
        <w:rPr>
          <w:rFonts w:hint="eastAsia" w:hAnsi="宋体" w:cs="宋体"/>
          <w:b/>
          <w:bCs/>
          <w:sz w:val="24"/>
          <w:szCs w:val="22"/>
          <w:lang w:val="en-US" w:eastAsia="zh-CN"/>
        </w:rPr>
        <w:t>并在</w:t>
      </w:r>
      <w:r>
        <w:rPr>
          <w:rFonts w:hint="eastAsia" w:hAnsi="宋体" w:cs="宋体"/>
          <w:b/>
          <w:bCs/>
          <w:sz w:val="24"/>
          <w:szCs w:val="22"/>
        </w:rPr>
        <w:t>封套</w:t>
      </w:r>
      <w:r>
        <w:rPr>
          <w:rFonts w:hint="eastAsia" w:hAnsi="宋体" w:cs="宋体"/>
          <w:b/>
          <w:bCs/>
          <w:sz w:val="24"/>
          <w:szCs w:val="22"/>
          <w:lang w:val="en-US" w:eastAsia="zh-CN"/>
        </w:rPr>
        <w:t>的封口处</w:t>
      </w:r>
      <w:r>
        <w:rPr>
          <w:rFonts w:hint="eastAsia" w:hAnsi="宋体" w:cs="宋体"/>
          <w:b/>
          <w:bCs/>
          <w:sz w:val="24"/>
        </w:rPr>
        <w:t>加盖单位公章</w:t>
      </w:r>
      <w:r>
        <w:rPr>
          <w:rFonts w:hint="eastAsia" w:hAnsi="宋体" w:cs="宋体"/>
          <w:b/>
          <w:bCs/>
          <w:sz w:val="24"/>
          <w:lang w:eastAsia="zh-CN"/>
        </w:rPr>
        <w:t>、</w:t>
      </w:r>
      <w:r>
        <w:rPr>
          <w:rFonts w:hint="eastAsia" w:hAnsi="宋体" w:cs="宋体"/>
          <w:b/>
          <w:bCs/>
          <w:sz w:val="24"/>
          <w:lang w:val="en-US" w:eastAsia="zh-CN"/>
        </w:rPr>
        <w:t>法人章和法定代表人签名</w:t>
      </w:r>
      <w:r>
        <w:rPr>
          <w:rFonts w:hint="eastAsia" w:hAnsi="宋体" w:cs="宋体"/>
          <w:b/>
          <w:bCs/>
          <w:sz w:val="24"/>
        </w:rPr>
        <w:t>，在投标截止时间前随纸质投标文件一并递交。</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4.1.3</w:t>
      </w:r>
      <w:r>
        <w:rPr>
          <w:rFonts w:hint="eastAsia" w:hAnsi="宋体" w:cs="宋体"/>
          <w:sz w:val="24"/>
          <w:lang w:val="en-US" w:eastAsia="zh-CN"/>
        </w:rPr>
        <w:t xml:space="preserve"> </w:t>
      </w:r>
      <w:r>
        <w:rPr>
          <w:rFonts w:hint="eastAsia" w:hAnsi="宋体" w:cs="宋体"/>
          <w:sz w:val="24"/>
        </w:rPr>
        <w:t>投标文件的封套上应写明的其他内容见投标人须知前附表。</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outlineLvl w:val="0"/>
        <w:rPr>
          <w:rFonts w:hAnsi="宋体" w:cs="宋体"/>
          <w:sz w:val="24"/>
        </w:rPr>
      </w:pPr>
      <w:r>
        <w:rPr>
          <w:rFonts w:hint="eastAsia" w:hAnsi="宋体" w:cs="宋体"/>
          <w:sz w:val="24"/>
        </w:rPr>
        <w:t xml:space="preserve"> 4.1.4 未按本章第4.1.1项、第4.1.2项、第4.1.3项要求密封和加写标记的投标文件，招标人不予受理。</w:t>
      </w:r>
    </w:p>
    <w:p>
      <w:pPr>
        <w:keepNext w:val="0"/>
        <w:keepLines w:val="0"/>
        <w:pageBreakBefore w:val="0"/>
        <w:widowControl w:val="0"/>
        <w:kinsoku/>
        <w:wordWrap/>
        <w:overflowPunct/>
        <w:topLinePunct w:val="0"/>
        <w:autoSpaceDE w:val="0"/>
        <w:autoSpaceDN w:val="0"/>
        <w:bidi w:val="0"/>
        <w:snapToGrid/>
        <w:spacing w:line="460" w:lineRule="exact"/>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修改的内容为投标文件的组成部分。修改的纸质投标文件应按照本章第3条、第4条规定进行编制、密封、标记和递交，并标明“修改”字样。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pStyle w:val="66"/>
        <w:spacing w:line="440" w:lineRule="exact"/>
        <w:jc w:val="both"/>
        <w:outlineLvl w:val="0"/>
        <w:rPr>
          <w:rFonts w:hint="eastAsia" w:hAnsi="宋体"/>
          <w:b/>
          <w:color w:val="auto"/>
        </w:rPr>
      </w:pPr>
      <w:r>
        <w:rPr>
          <w:rFonts w:hint="eastAsia" w:hAnsi="宋体"/>
          <w:b/>
          <w:color w:val="auto"/>
          <w:lang w:val="en-US" w:eastAsia="zh-CN"/>
        </w:rPr>
        <w:t xml:space="preserve">7.4 </w:t>
      </w:r>
      <w:r>
        <w:rPr>
          <w:rFonts w:hint="eastAsia" w:hAnsi="宋体"/>
          <w:b/>
          <w:color w:val="auto"/>
        </w:rPr>
        <w:t>履约保证金</w:t>
      </w:r>
    </w:p>
    <w:p>
      <w:pPr>
        <w:widowControl/>
        <w:numPr>
          <w:ilvl w:val="0"/>
          <w:numId w:val="0"/>
        </w:numPr>
        <w:autoSpaceDE w:val="0"/>
        <w:autoSpaceDN w:val="0"/>
        <w:adjustRightInd w:val="0"/>
        <w:spacing w:line="360" w:lineRule="exact"/>
        <w:ind w:left="105" w:leftChars="0"/>
        <w:jc w:val="left"/>
        <w:rPr>
          <w:rFonts w:hint="eastAsia" w:ascii="宋体" w:hAnsi="宋体" w:eastAsia="宋体" w:cs="宋体"/>
          <w:sz w:val="24"/>
          <w:szCs w:val="24"/>
        </w:rPr>
      </w:pP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1、履约保证金提交方式</w:t>
      </w:r>
      <w:r>
        <w:rPr>
          <w:rFonts w:hint="eastAsia" w:hAnsi="宋体" w:cs="宋体"/>
          <w:b/>
          <w:bCs/>
          <w:sz w:val="24"/>
          <w:szCs w:val="24"/>
          <w:lang w:val="en-US" w:eastAsia="zh-CN"/>
        </w:rPr>
        <w:t>及注意事项</w:t>
      </w:r>
      <w:r>
        <w:rPr>
          <w:rFonts w:hint="eastAsia" w:ascii="宋体" w:hAnsi="宋体" w:eastAsia="宋体" w:cs="宋体"/>
          <w:b/>
          <w:bCs/>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1、以网银、银行转账支票、银行电汇方式提交。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 xml:space="preserve">2、现金支票和现金不得作为履约保证金提交方式。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7.4.1.</w:t>
      </w:r>
      <w:r>
        <w:rPr>
          <w:rFonts w:hint="eastAsia" w:ascii="宋体" w:hAnsi="宋体" w:eastAsia="宋体" w:cs="宋体"/>
          <w:sz w:val="24"/>
          <w:szCs w:val="24"/>
        </w:rPr>
        <w:t>3、中标人必须通过其公司账户按照规定的方式提交，其名称应与中标单位的名称一致。</w:t>
      </w:r>
    </w:p>
    <w:p>
      <w:pPr>
        <w:widowControl/>
        <w:numPr>
          <w:ilvl w:val="0"/>
          <w:numId w:val="0"/>
        </w:numPr>
        <w:autoSpaceDE w:val="0"/>
        <w:autoSpaceDN w:val="0"/>
        <w:adjustRightInd w:val="0"/>
        <w:spacing w:line="360" w:lineRule="exact"/>
        <w:ind w:left="105" w:leftChars="0" w:firstLine="240" w:firstLineChars="100"/>
        <w:jc w:val="left"/>
      </w:pPr>
      <w:r>
        <w:rPr>
          <w:rFonts w:hint="eastAsia" w:hAnsi="宋体" w:cs="宋体"/>
          <w:sz w:val="24"/>
          <w:szCs w:val="24"/>
          <w:lang w:val="en-US" w:eastAsia="zh-CN"/>
        </w:rPr>
        <w:t>7.4.1.4、</w:t>
      </w:r>
      <w:r>
        <w:rPr>
          <w:rFonts w:hint="eastAsia" w:ascii="宋体" w:hAnsi="宋体" w:eastAsia="宋体" w:cs="宋体"/>
          <w:sz w:val="24"/>
          <w:szCs w:val="24"/>
        </w:rPr>
        <w:t>中标人在缴纳履约保证金时，必须在附言、备注和用途栏注明“项目编号及标段”，否则可能造成延迟退还。</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2、履约保证金提交比例和数额</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履约保证金数额不得超过中标合同金额的10%。</w:t>
      </w:r>
      <w:r>
        <w:rPr>
          <w:rFonts w:hint="eastAsia" w:ascii="宋体" w:hAnsi="宋体" w:eastAsia="宋体" w:cs="宋体"/>
          <w:sz w:val="24"/>
          <w:szCs w:val="24"/>
        </w:rPr>
        <w:cr/>
      </w:r>
      <w:r>
        <w:rPr>
          <w:rFonts w:hint="eastAsia" w:hAnsi="宋体" w:cs="宋体"/>
          <w:b/>
          <w:bCs/>
          <w:sz w:val="24"/>
          <w:szCs w:val="24"/>
          <w:lang w:val="en-US" w:eastAsia="zh-CN"/>
        </w:rPr>
        <w:t>7</w:t>
      </w:r>
      <w:r>
        <w:rPr>
          <w:rFonts w:hint="eastAsia" w:ascii="宋体" w:hAnsi="宋体" w:eastAsia="宋体" w:cs="宋体"/>
          <w:b/>
          <w:bCs/>
          <w:sz w:val="24"/>
          <w:szCs w:val="24"/>
        </w:rPr>
        <w:t>.</w:t>
      </w:r>
      <w:r>
        <w:rPr>
          <w:rFonts w:hint="eastAsia" w:hAnsi="宋体" w:cs="宋体"/>
          <w:b/>
          <w:bCs/>
          <w:sz w:val="24"/>
          <w:szCs w:val="24"/>
          <w:lang w:val="en-US" w:eastAsia="zh-CN"/>
        </w:rPr>
        <w:t>4.</w:t>
      </w:r>
      <w:r>
        <w:rPr>
          <w:rFonts w:hint="eastAsia" w:ascii="宋体" w:hAnsi="宋体" w:eastAsia="宋体" w:cs="宋体"/>
          <w:b/>
          <w:bCs/>
          <w:sz w:val="24"/>
          <w:szCs w:val="24"/>
        </w:rPr>
        <w:t xml:space="preserve">3、履约保证金的退还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 xml:space="preserve"> 7.4.3.</w:t>
      </w: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7.4.3.</w:t>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keepNext w:val="0"/>
        <w:keepLines w:val="0"/>
        <w:widowControl/>
        <w:suppressLineNumbers w:val="0"/>
        <w:ind w:left="0" w:leftChars="0" w:firstLine="679" w:firstLineChars="283"/>
        <w:jc w:val="left"/>
        <w:rPr>
          <w:b/>
          <w:bCs/>
        </w:rPr>
      </w:pPr>
      <w:r>
        <w:rPr>
          <w:rFonts w:ascii="宋体" w:hAnsi="宋体" w:eastAsia="宋体" w:cs="宋体"/>
          <w:b/>
          <w:bCs/>
          <w:kern w:val="0"/>
          <w:sz w:val="24"/>
          <w:szCs w:val="24"/>
          <w:lang w:val="en-US" w:eastAsia="zh-CN" w:bidi="ar"/>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3546398"/>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7</w:t>
      </w:r>
      <w:r>
        <w:rPr>
          <w:rFonts w:hint="eastAsia" w:cs="宋体"/>
          <w:b/>
          <w:bCs/>
          <w:sz w:val="24"/>
          <w:szCs w:val="24"/>
        </w:rPr>
        <w:t>分</w:t>
      </w:r>
    </w:p>
    <w:p>
      <w:pPr>
        <w:spacing w:line="360" w:lineRule="auto"/>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sz w:val="24"/>
          <w:szCs w:val="24"/>
        </w:rPr>
        <w:t>拟派技术负责人具有</w:t>
      </w:r>
      <w:r>
        <w:rPr>
          <w:rFonts w:hint="eastAsia"/>
          <w:sz w:val="24"/>
          <w:szCs w:val="24"/>
          <w:lang w:val="en-US" w:eastAsia="zh-CN"/>
        </w:rPr>
        <w:t>市政工程相关专业中级及以上技术职称的得2分</w:t>
      </w:r>
      <w:r>
        <w:rPr>
          <w:rFonts w:hint="eastAsia"/>
          <w:color w:val="auto"/>
          <w:sz w:val="24"/>
          <w:szCs w:val="24"/>
        </w:rPr>
        <w:t>，</w:t>
      </w:r>
      <w:r>
        <w:rPr>
          <w:rFonts w:hint="eastAsia"/>
          <w:color w:val="auto"/>
          <w:sz w:val="24"/>
          <w:szCs w:val="24"/>
          <w:lang w:val="en-US" w:eastAsia="zh-CN"/>
        </w:rPr>
        <w:t>否则不得分。</w:t>
      </w:r>
      <w:r>
        <w:rPr>
          <w:rFonts w:hint="eastAsia"/>
          <w:color w:val="auto"/>
          <w:sz w:val="24"/>
          <w:szCs w:val="24"/>
        </w:rPr>
        <w:t>（以证书为准）</w:t>
      </w:r>
    </w:p>
    <w:p>
      <w:pPr>
        <w:numPr>
          <w:ilvl w:val="0"/>
          <w:numId w:val="0"/>
        </w:numPr>
        <w:snapToGrid w:val="0"/>
        <w:spacing w:line="384" w:lineRule="auto"/>
        <w:ind w:left="481" w:leftChars="0"/>
        <w:rPr>
          <w:rFonts w:hint="eastAsia" w:hAnsi="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员、安全员、材料员</w:t>
      </w:r>
      <w:r>
        <w:rPr>
          <w:rFonts w:hint="eastAsia" w:hAnsi="宋体" w:cs="宋体"/>
          <w:sz w:val="24"/>
          <w:szCs w:val="24"/>
          <w:lang w:eastAsia="zh-CN"/>
        </w:rPr>
        <w:t>、</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w:t>
      </w:r>
      <w:r>
        <w:rPr>
          <w:rFonts w:hint="eastAsia" w:hAnsi="宋体" w:cs="宋体"/>
          <w:sz w:val="24"/>
          <w:szCs w:val="24"/>
          <w:lang w:val="en-US" w:eastAsia="zh-CN"/>
        </w:rPr>
        <w:t>1</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2.1 环境管理体系认证、职业健康安全管理体系认证、质量管理体系认证，三体系齐全得3分，否则不得分</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1.5</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1</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w:t>
      </w:r>
      <w:r>
        <w:rPr>
          <w:rFonts w:hint="eastAsia" w:hAnsi="宋体" w:cs="宋体"/>
          <w:color w:val="000000"/>
          <w:sz w:val="24"/>
          <w:lang w:val="en-US" w:eastAsia="zh-CN"/>
        </w:rPr>
        <w:t>1</w:t>
      </w:r>
      <w:r>
        <w:rPr>
          <w:rFonts w:hint="eastAsia" w:ascii="宋体" w:hAnsi="宋体" w:cs="宋体"/>
          <w:color w:val="000000"/>
          <w:sz w:val="24"/>
        </w:rPr>
        <w:t>分，最高得</w:t>
      </w:r>
      <w:r>
        <w:rPr>
          <w:rFonts w:hint="eastAsia" w:hAnsi="宋体" w:cs="宋体"/>
          <w:color w:val="000000"/>
          <w:sz w:val="24"/>
          <w:lang w:val="en-US" w:eastAsia="zh-CN"/>
        </w:rPr>
        <w:t>1</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w:t>
      </w:r>
      <w:r>
        <w:rPr>
          <w:rFonts w:hint="eastAsia" w:cs="宋体"/>
          <w:b/>
          <w:bCs/>
          <w:sz w:val="24"/>
          <w:szCs w:val="24"/>
          <w:lang w:val="en-US" w:eastAsia="zh-CN"/>
        </w:rPr>
        <w:t>6</w:t>
      </w:r>
      <w:r>
        <w:rPr>
          <w:rFonts w:hint="eastAsia" w:cs="宋体"/>
          <w:b/>
          <w:bCs/>
          <w:sz w:val="24"/>
          <w:szCs w:val="24"/>
        </w:rPr>
        <w:t>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w:t>
      </w:r>
      <w:r>
        <w:rPr>
          <w:rFonts w:hint="eastAsia" w:cs="宋体"/>
          <w:b/>
          <w:bCs/>
          <w:sz w:val="24"/>
          <w:szCs w:val="24"/>
          <w:lang w:val="en-US" w:eastAsia="zh-CN"/>
        </w:rPr>
        <w:t>6</w:t>
      </w:r>
      <w:r>
        <w:rPr>
          <w:rFonts w:hint="eastAsia" w:cs="宋体"/>
          <w:b/>
          <w:bCs/>
          <w:sz w:val="24"/>
          <w:szCs w:val="24"/>
        </w:rPr>
        <w:t>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w:t>
      </w:r>
      <w:r>
        <w:rPr>
          <w:rFonts w:hint="eastAsia" w:cs="宋体"/>
          <w:b/>
          <w:bCs/>
          <w:sz w:val="24"/>
          <w:szCs w:val="24"/>
          <w:lang w:val="en-US" w:eastAsia="zh-CN"/>
        </w:rPr>
        <w:t>6</w:t>
      </w:r>
      <w:r>
        <w:rPr>
          <w:rFonts w:hint="eastAsia" w:cs="宋体"/>
          <w:b/>
          <w:bCs/>
          <w:sz w:val="24"/>
          <w:szCs w:val="24"/>
        </w:rPr>
        <w:t>年1月1日以来承建的合同金额不低于</w:t>
      </w:r>
      <w:r>
        <w:rPr>
          <w:rFonts w:hint="eastAsia" w:cs="宋体"/>
          <w:b/>
          <w:bCs/>
          <w:sz w:val="24"/>
          <w:szCs w:val="24"/>
          <w:lang w:val="en-US" w:eastAsia="zh-CN"/>
        </w:rPr>
        <w:t>500万</w:t>
      </w:r>
      <w:r>
        <w:rPr>
          <w:rFonts w:hint="eastAsia" w:cs="宋体"/>
          <w:b/>
          <w:bCs/>
          <w:sz w:val="24"/>
          <w:szCs w:val="24"/>
        </w:rPr>
        <w:t>的</w:t>
      </w:r>
      <w:r>
        <w:rPr>
          <w:rFonts w:hint="eastAsia" w:cs="宋体"/>
          <w:b/>
          <w:bCs/>
          <w:sz w:val="24"/>
          <w:szCs w:val="24"/>
          <w:lang w:val="en-US" w:eastAsia="zh-CN"/>
        </w:rPr>
        <w:t>市政工程</w:t>
      </w:r>
      <w:r>
        <w:rPr>
          <w:rFonts w:hint="eastAsia" w:cs="宋体"/>
          <w:b/>
          <w:bCs/>
          <w:sz w:val="24"/>
          <w:szCs w:val="24"/>
        </w:rPr>
        <w:t>项目；</w:t>
      </w:r>
    </w:p>
    <w:p>
      <w:pPr>
        <w:snapToGrid w:val="0"/>
        <w:spacing w:line="384" w:lineRule="auto"/>
        <w:ind w:firstLine="480" w:firstLineChars="200"/>
        <w:rPr>
          <w:rFonts w:hint="eastAsia"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hint="eastAsia" w:cs="宋体"/>
          <w:b/>
          <w:bCs/>
          <w:sz w:val="24"/>
          <w:szCs w:val="24"/>
        </w:rPr>
      </w:pPr>
      <w:r>
        <w:rPr>
          <w:rFonts w:hint="eastAsia" w:cs="宋体"/>
          <w:b/>
          <w:bCs/>
          <w:sz w:val="24"/>
          <w:szCs w:val="24"/>
          <w:lang w:val="en-US" w:eastAsia="zh-CN"/>
        </w:rPr>
        <w:t>4）</w:t>
      </w:r>
      <w:r>
        <w:rPr>
          <w:rFonts w:hint="eastAsia" w:cs="宋体"/>
          <w:b/>
          <w:bCs/>
          <w:sz w:val="24"/>
          <w:szCs w:val="24"/>
        </w:rPr>
        <w:t>凡评标办法里涉及到的证书、证件及业绩材料等，均应在电子版和纸质版投标文件中附其原件扫描件（或图片），否则该项得分应作0分处理。</w:t>
      </w:r>
    </w:p>
    <w:p>
      <w:pPr>
        <w:snapToGrid w:val="0"/>
        <w:spacing w:line="384" w:lineRule="auto"/>
        <w:ind w:firstLine="480" w:firstLineChars="200"/>
        <w:rPr>
          <w:rFonts w:cs="宋体"/>
          <w:b/>
          <w:bCs/>
          <w:sz w:val="24"/>
          <w:szCs w:val="24"/>
        </w:rPr>
      </w:pPr>
      <w:r>
        <w:rPr>
          <w:rFonts w:hint="eastAsia" w:cs="宋体"/>
          <w:b/>
          <w:bCs/>
          <w:sz w:val="24"/>
          <w:szCs w:val="24"/>
          <w:lang w:val="en-US" w:eastAsia="zh-CN"/>
        </w:rPr>
        <w:t>5</w:t>
      </w:r>
      <w:r>
        <w:rPr>
          <w:rFonts w:hint="eastAsia" w:cs="宋体"/>
          <w:b/>
          <w:bCs/>
          <w:sz w:val="24"/>
          <w:szCs w:val="24"/>
        </w:rPr>
        <w:t xml:space="preserve">）企业业绩和建造师业绩不可累计使用；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color w:val="000000" w:themeColor="text1"/>
          <w:sz w:val="32"/>
          <w:szCs w:val="32"/>
        </w:rPr>
      </w:pP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灵井公园景观工程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宋体" w:eastAsia="仿宋_GB2312" w:cs="宋体"/>
                <w:sz w:val="24"/>
                <w:szCs w:val="22"/>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壹拾贰万元整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120000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ind w:firstLine="2880" w:firstLineChars="800"/>
        <w:rPr>
          <w:rFonts w:ascii="宋体" w:hAnsi="宋体" w:eastAsia="宋体" w:cs="Times New Roman"/>
          <w:kern w:val="2"/>
          <w:sz w:val="36"/>
          <w:szCs w:val="36"/>
        </w:rPr>
      </w:pPr>
      <w:r>
        <w:rPr>
          <w:rFonts w:hint="eastAsia" w:ascii="宋体" w:hAnsi="宋体" w:eastAsia="宋体" w:cs="Times New Roman"/>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项目编号</w:t>
            </w:r>
          </w:p>
        </w:tc>
        <w:tc>
          <w:tcPr>
            <w:tcW w:w="4140" w:type="dxa"/>
            <w:gridSpan w:val="2"/>
            <w:noWrap w:val="0"/>
            <w:vAlign w:val="center"/>
          </w:tcPr>
          <w:p>
            <w:pPr>
              <w:spacing w:line="360" w:lineRule="exact"/>
              <w:jc w:val="center"/>
              <w:rPr>
                <w:rFonts w:ascii="宋体" w:hAnsi="宋体" w:eastAsia="宋体" w:cs="Times New Roman"/>
                <w:kern w:val="2"/>
                <w:sz w:val="24"/>
                <w:szCs w:val="24"/>
              </w:rPr>
            </w:pPr>
          </w:p>
        </w:tc>
        <w:tc>
          <w:tcPr>
            <w:tcW w:w="1440" w:type="dxa"/>
            <w:gridSpan w:val="2"/>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是否完工</w:t>
            </w:r>
          </w:p>
        </w:tc>
        <w:tc>
          <w:tcPr>
            <w:tcW w:w="2162" w:type="dxa"/>
            <w:noWrap w:val="0"/>
            <w:vAlign w:val="center"/>
          </w:tcPr>
          <w:p>
            <w:pPr>
              <w:spacing w:line="360" w:lineRule="exact"/>
              <w:ind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中标企业名称</w:t>
            </w:r>
          </w:p>
        </w:tc>
        <w:tc>
          <w:tcPr>
            <w:tcW w:w="7742" w:type="dxa"/>
            <w:gridSpan w:val="5"/>
            <w:noWrap w:val="0"/>
            <w:vAlign w:val="center"/>
          </w:tcPr>
          <w:p>
            <w:pPr>
              <w:spacing w:line="360" w:lineRule="exact"/>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开户银行</w:t>
            </w:r>
          </w:p>
        </w:tc>
        <w:tc>
          <w:tcPr>
            <w:tcW w:w="3780" w:type="dxa"/>
            <w:noWrap w:val="0"/>
            <w:vAlign w:val="center"/>
          </w:tcPr>
          <w:p>
            <w:pPr>
              <w:rPr>
                <w:rFonts w:ascii="宋体" w:hAnsi="宋体" w:eastAsia="宋体" w:cs="Times New Roman"/>
                <w:kern w:val="2"/>
                <w:sz w:val="24"/>
                <w:szCs w:val="24"/>
              </w:rPr>
            </w:pPr>
          </w:p>
        </w:tc>
        <w:tc>
          <w:tcPr>
            <w:tcW w:w="722" w:type="dxa"/>
            <w:gridSpan w:val="2"/>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账号</w:t>
            </w:r>
          </w:p>
        </w:tc>
        <w:tc>
          <w:tcPr>
            <w:tcW w:w="3240" w:type="dxa"/>
            <w:gridSpan w:val="2"/>
            <w:noWrap w:val="0"/>
            <w:vAlign w:val="center"/>
          </w:tcPr>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金额</w:t>
            </w:r>
          </w:p>
        </w:tc>
        <w:tc>
          <w:tcPr>
            <w:tcW w:w="7742" w:type="dxa"/>
            <w:gridSpan w:val="5"/>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jc w:val="center"/>
              <w:rPr>
                <w:rFonts w:ascii="宋体" w:hAnsi="宋体" w:eastAsia="宋体" w:cs="Times New Roman"/>
                <w:kern w:val="2"/>
                <w:sz w:val="24"/>
                <w:szCs w:val="24"/>
              </w:rPr>
            </w:pP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840" w:firstLineChars="350"/>
              <w:rPr>
                <w:rFonts w:ascii="宋体" w:hAnsi="宋体" w:eastAsia="宋体" w:cs="Times New Roman"/>
                <w:kern w:val="2"/>
                <w:sz w:val="24"/>
                <w:szCs w:val="24"/>
              </w:rPr>
            </w:pPr>
            <w:r>
              <w:rPr>
                <w:rFonts w:hint="eastAsia" w:ascii="宋体" w:hAnsi="宋体" w:eastAsia="宋体" w:cs="Times New Roman"/>
                <w:kern w:val="2"/>
                <w:sz w:val="24"/>
                <w:szCs w:val="24"/>
              </w:rPr>
              <w:t>主要负责人签字 ：                           盖  章：</w:t>
            </w:r>
          </w:p>
          <w:p>
            <w:pPr>
              <w:jc w:val="center"/>
              <w:rPr>
                <w:rFonts w:ascii="宋体" w:hAnsi="宋体" w:eastAsia="宋体" w:cs="Times New Roman"/>
                <w:kern w:val="2"/>
                <w:sz w:val="24"/>
                <w:szCs w:val="24"/>
              </w:rPr>
            </w:pPr>
          </w:p>
          <w:p>
            <w:pPr>
              <w:ind w:right="480" w:firstLine="5880" w:firstLineChars="2450"/>
              <w:rPr>
                <w:rFonts w:ascii="宋体" w:hAnsi="宋体" w:eastAsia="宋体" w:cs="Times New Roman"/>
                <w:kern w:val="2"/>
                <w:sz w:val="24"/>
                <w:szCs w:val="24"/>
              </w:rPr>
            </w:pPr>
            <w:r>
              <w:rPr>
                <w:rFonts w:hint="eastAsia" w:ascii="宋体" w:hAnsi="宋体" w:eastAsia="宋体" w:cs="Times New Roman"/>
                <w:kern w:val="2"/>
                <w:sz w:val="24"/>
                <w:szCs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(1)本工程依据园建套用2016版定额及相配套的取费标准；绿化套用2008版定额及相配套的取费标准；</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（2）材料价格依据2019年第1期《许昌建设工程造价信息》及市场调查价调整；</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（3）税金按照豫建设标【2018】22号文《河南省住房和城乡建设厅关于调整建设工程计价依据增值税税率的通知》计入。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eastAsia="宋体" w:cs="宋体"/>
          <w:color w:val="auto"/>
          <w:sz w:val="24"/>
          <w:szCs w:val="22"/>
          <w:highlight w:val="none"/>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pStyle w:val="2"/>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p>
    <w:p>
      <w:pPr>
        <w:pStyle w:val="2"/>
        <w:rPr>
          <w:rFonts w:ascii="黑体" w:eastAsia="黑体"/>
          <w:b/>
          <w:sz w:val="32"/>
        </w:rPr>
      </w:pPr>
      <w:bookmarkStart w:id="85" w:name="_GoBack"/>
      <w:bookmarkEnd w:id="85"/>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八、近年财务状况；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九</w:t>
      </w:r>
      <w:r>
        <w:rPr>
          <w:rFonts w:hint="eastAsia" w:hAnsi="宋体" w:cs="仿宋_GB2312"/>
          <w:b/>
          <w:sz w:val="24"/>
        </w:rPr>
        <w:t>、近年完成的类似项目情况；</w:t>
      </w:r>
    </w:p>
    <w:p>
      <w:p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lang w:val="en-US" w:eastAsia="zh-CN"/>
        </w:rPr>
        <w:t>十</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十一、</w:t>
      </w:r>
      <w:r>
        <w:rPr>
          <w:rFonts w:hint="eastAsia" w:hAnsi="宋体" w:cs="仿宋_GB2312"/>
          <w:b/>
          <w:sz w:val="24"/>
        </w:rPr>
        <w:t>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val="en-US" w:eastAsia="zh-CN"/>
        </w:rPr>
        <w:t>十二</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int="eastAsia" w:hAnsi="宋体"/>
          <w:b/>
          <w:sz w:val="32"/>
        </w:rPr>
      </w:pPr>
    </w:p>
    <w:p>
      <w:pPr>
        <w:tabs>
          <w:tab w:val="center" w:pos="4739"/>
        </w:tabs>
        <w:jc w:val="center"/>
        <w:rPr>
          <w:rFonts w:ascii="黑体" w:eastAsia="黑体"/>
          <w:sz w:val="28"/>
          <w:szCs w:val="28"/>
        </w:rPr>
      </w:pPr>
      <w:r>
        <w:rPr>
          <w:rFonts w:hint="eastAsia" w:hAnsi="宋体"/>
          <w:b/>
          <w:sz w:val="32"/>
        </w:rPr>
        <w:t>一、投标函</w:t>
      </w:r>
      <w:bookmarkStart w:id="81" w:name="_Toc271787730"/>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both"/>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ascii="黑体" w:hAnsi="新宋体" w:eastAsia="黑体" w:cs="黑体"/>
          <w:sz w:val="28"/>
          <w:szCs w:val="28"/>
          <w:lang w:eastAsia="zh-CN"/>
        </w:rPr>
      </w:pPr>
    </w:p>
    <w:p>
      <w:pPr>
        <w:numPr>
          <w:ilvl w:val="0"/>
          <w:numId w:val="0"/>
        </w:numPr>
        <w:autoSpaceDE w:val="0"/>
        <w:autoSpaceDN w:val="0"/>
        <w:adjustRightInd w:val="0"/>
        <w:spacing w:line="420" w:lineRule="exact"/>
        <w:jc w:val="center"/>
        <w:outlineLvl w:val="0"/>
        <w:rPr>
          <w:rFonts w:hint="eastAsia"/>
        </w:rPr>
      </w:pP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承诺书</w:t>
      </w:r>
    </w:p>
    <w:tbl>
      <w:tblPr>
        <w:tblStyle w:val="2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r>
              <w:rPr>
                <w:rFonts w:hint="eastAsia" w:hAnsi="宋体" w:cs="仿宋_GB2312"/>
                <w:color w:val="auto"/>
                <w:sz w:val="24"/>
                <w:szCs w:val="24"/>
              </w:rPr>
              <w:t>不转包项目承诺等</w:t>
            </w:r>
          </w:p>
        </w:tc>
      </w:tr>
    </w:tbl>
    <w:p>
      <w:pPr>
        <w:spacing w:line="440" w:lineRule="exact"/>
        <w:jc w:val="right"/>
        <w:rPr>
          <w:rFonts w:hint="eastAsia" w:hAnsi="宋体"/>
          <w:sz w:val="24"/>
        </w:rPr>
      </w:pPr>
    </w:p>
    <w:p>
      <w:pPr>
        <w:spacing w:line="440" w:lineRule="exact"/>
        <w:jc w:val="right"/>
        <w:rPr>
          <w:rFonts w:hint="eastAsia"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440" w:lineRule="exact"/>
        <w:ind w:right="315"/>
        <w:jc w:val="right"/>
        <w:rPr>
          <w:rFonts w:hint="eastAsia"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440" w:lineRule="exact"/>
        <w:jc w:val="right"/>
        <w:rPr>
          <w:rFonts w:hint="eastAsia"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360" w:lineRule="auto"/>
        <w:jc w:val="center"/>
        <w:rPr>
          <w:rFonts w:hint="eastAsia"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both"/>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jc w:val="both"/>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int="eastAsia"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6"/>
        </w:numPr>
        <w:autoSpaceDE w:val="0"/>
        <w:autoSpaceDN w:val="0"/>
        <w:adjustRightInd w:val="0"/>
        <w:spacing w:line="360" w:lineRule="auto"/>
        <w:ind w:right="215" w:rightChars="0"/>
        <w:jc w:val="center"/>
        <w:rPr>
          <w:rFonts w:hint="eastAsia"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int="eastAsia" w:hAnsi="宋体"/>
          <w:b/>
          <w:sz w:val="32"/>
          <w:szCs w:val="32"/>
        </w:rPr>
      </w:pPr>
      <w:r>
        <w:rPr>
          <w:rFonts w:hint="eastAsia" w:hAnsi="宋体"/>
          <w:b/>
          <w:sz w:val="32"/>
          <w:szCs w:val="32"/>
          <w:lang w:val="en-US" w:eastAsia="zh-CN"/>
        </w:rPr>
        <w:t>九</w:t>
      </w:r>
      <w:r>
        <w:rPr>
          <w:rFonts w:hint="eastAsia" w:hAnsi="宋体"/>
          <w:b/>
          <w:sz w:val="32"/>
          <w:szCs w:val="32"/>
        </w:rPr>
        <w:t>、近年完成的类似项目情况表</w:t>
      </w:r>
    </w:p>
    <w:tbl>
      <w:tblPr>
        <w:tblStyle w:val="2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项目所在地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发包人名称</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发包人地址</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发包人电话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合同价格</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开工日期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竣工日期</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承担的工作</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工程质量</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项目经理</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z w:val="24"/>
              </w:rPr>
            </w:pPr>
            <w:r>
              <w:rPr>
                <w:rFonts w:hint="eastAsia" w:hAnsi="宋体"/>
                <w:sz w:val="24"/>
              </w:rPr>
              <w:t>技术负责人</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spacing w:val="-20"/>
                <w:sz w:val="24"/>
              </w:rPr>
            </w:pPr>
            <w:r>
              <w:rPr>
                <w:rFonts w:hint="eastAsia" w:hAnsi="宋体"/>
                <w:spacing w:val="-20"/>
                <w:sz w:val="24"/>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项目描述</w:t>
            </w:r>
          </w:p>
        </w:tc>
        <w:tc>
          <w:tcPr>
            <w:tcW w:w="6721" w:type="dxa"/>
            <w:noWrap w:val="0"/>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sz w:val="24"/>
              </w:rPr>
            </w:pPr>
            <w:r>
              <w:rPr>
                <w:rFonts w:hint="eastAsia" w:hAnsi="宋体"/>
                <w:sz w:val="24"/>
              </w:rPr>
              <w:t>备注</w:t>
            </w:r>
          </w:p>
        </w:tc>
        <w:tc>
          <w:tcPr>
            <w:tcW w:w="6721" w:type="dxa"/>
            <w:noWrap w:val="0"/>
            <w:vAlign w:val="center"/>
          </w:tcPr>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rPr>
                <w:rFonts w:hint="eastAsia" w:hAnsi="宋体"/>
                <w:sz w:val="24"/>
              </w:rPr>
            </w:pPr>
          </w:p>
        </w:tc>
      </w:tr>
    </w:tbl>
    <w:p>
      <w:pPr>
        <w:pStyle w:val="2"/>
        <w:numPr>
          <w:ilvl w:val="0"/>
          <w:numId w:val="0"/>
        </w:num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val="en-US" w:eastAsia="zh-CN"/>
        </w:rPr>
        <w:t>十</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r>
        <w:rPr>
          <w:rFonts w:hint="eastAsia" w:hAnsi="宋体"/>
          <w:b/>
          <w:sz w:val="32"/>
          <w:szCs w:val="32"/>
        </w:rPr>
        <w:t>十</w:t>
      </w:r>
      <w:r>
        <w:rPr>
          <w:rFonts w:hint="eastAsia" w:hAnsi="宋体"/>
          <w:b/>
          <w:sz w:val="32"/>
          <w:szCs w:val="32"/>
          <w:lang w:val="en-US" w:eastAsia="zh-CN"/>
        </w:rPr>
        <w:t>一</w:t>
      </w:r>
      <w:r>
        <w:rPr>
          <w:rFonts w:hint="eastAsia" w:hAnsi="宋体"/>
          <w:b/>
          <w:sz w:val="32"/>
          <w:szCs w:val="32"/>
        </w:rPr>
        <w:t>、近年发生的诉讼及仲裁情况</w:t>
      </w:r>
    </w:p>
    <w:p>
      <w:pPr>
        <w:tabs>
          <w:tab w:val="center" w:pos="4739"/>
        </w:tabs>
        <w:ind w:left="180"/>
        <w:rPr>
          <w:rFonts w:hint="eastAsia" w:hAnsi="宋体" w:cs="宋体"/>
          <w:sz w:val="24"/>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类别</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序号</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发生时间</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情况简介</w:t>
            </w:r>
          </w:p>
        </w:tc>
        <w:tc>
          <w:tcPr>
            <w:tcW w:w="1971" w:type="dxa"/>
            <w:noWrap w:val="0"/>
            <w:vAlign w:val="top"/>
          </w:tcPr>
          <w:p>
            <w:pPr>
              <w:autoSpaceDE w:val="0"/>
              <w:autoSpaceDN w:val="0"/>
              <w:adjustRightInd w:val="0"/>
              <w:spacing w:line="360" w:lineRule="auto"/>
              <w:ind w:right="215"/>
              <w:jc w:val="center"/>
              <w:rPr>
                <w:rFonts w:hint="eastAsia" w:hAnsi="宋体" w:cs="宋体"/>
                <w:b/>
                <w:sz w:val="24"/>
                <w:szCs w:val="24"/>
              </w:rPr>
            </w:pPr>
            <w:r>
              <w:rPr>
                <w:rFonts w:hint="eastAsia" w:hAnsi="宋体" w:cs="宋体"/>
                <w:b/>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诉讼</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center"/>
          </w:tcPr>
          <w:p>
            <w:pPr>
              <w:autoSpaceDE w:val="0"/>
              <w:autoSpaceDN w:val="0"/>
              <w:adjustRightInd w:val="0"/>
              <w:spacing w:line="360" w:lineRule="auto"/>
              <w:ind w:right="215"/>
              <w:jc w:val="center"/>
              <w:rPr>
                <w:rFonts w:hint="eastAsia" w:hAnsi="宋体" w:cs="宋体"/>
                <w:bCs/>
                <w:sz w:val="24"/>
                <w:szCs w:val="24"/>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noWrap w:val="0"/>
            <w:vAlign w:val="center"/>
          </w:tcPr>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仲裁</w:t>
            </w:r>
          </w:p>
          <w:p>
            <w:pPr>
              <w:autoSpaceDE w:val="0"/>
              <w:autoSpaceDN w:val="0"/>
              <w:adjustRightInd w:val="0"/>
              <w:spacing w:line="360" w:lineRule="auto"/>
              <w:ind w:right="215"/>
              <w:jc w:val="center"/>
              <w:rPr>
                <w:rFonts w:hint="eastAsia" w:hAnsi="宋体" w:cs="宋体"/>
                <w:bCs/>
                <w:sz w:val="24"/>
                <w:szCs w:val="24"/>
              </w:rPr>
            </w:pPr>
            <w:r>
              <w:rPr>
                <w:rFonts w:hint="eastAsia" w:hAnsi="宋体" w:cs="宋体"/>
                <w:bCs/>
                <w:sz w:val="24"/>
                <w:szCs w:val="24"/>
              </w:rPr>
              <w:t>情况</w:t>
            </w: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c>
          <w:tcPr>
            <w:tcW w:w="1971" w:type="dxa"/>
            <w:noWrap w:val="0"/>
            <w:vAlign w:val="top"/>
          </w:tcPr>
          <w:p>
            <w:pPr>
              <w:autoSpaceDE w:val="0"/>
              <w:autoSpaceDN w:val="0"/>
              <w:adjustRightInd w:val="0"/>
              <w:spacing w:line="360" w:lineRule="auto"/>
              <w:ind w:right="215"/>
              <w:jc w:val="center"/>
              <w:rPr>
                <w:rFonts w:hint="eastAsia" w:hAnsi="宋体" w:cs="宋体"/>
                <w:b/>
                <w:sz w:val="32"/>
              </w:rPr>
            </w:pPr>
          </w:p>
        </w:tc>
      </w:tr>
    </w:tbl>
    <w:p>
      <w:pPr>
        <w:tabs>
          <w:tab w:val="center" w:pos="4739"/>
        </w:tabs>
        <w:rPr>
          <w:rFonts w:hint="eastAsia" w:hAnsi="宋体" w:cs="宋体"/>
          <w:sz w:val="24"/>
        </w:rPr>
      </w:pPr>
    </w:p>
    <w:p>
      <w:pPr>
        <w:autoSpaceDE w:val="0"/>
        <w:autoSpaceDN w:val="0"/>
        <w:adjustRightInd w:val="0"/>
        <w:spacing w:line="360" w:lineRule="auto"/>
        <w:ind w:right="215" w:firstLine="420"/>
        <w:jc w:val="center"/>
        <w:rPr>
          <w:rFonts w:hint="eastAsia" w:hAnsi="宋体"/>
          <w:b/>
          <w:sz w:val="28"/>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val="en-US" w:eastAsia="zh-CN"/>
        </w:rPr>
        <w:t>十二</w:t>
      </w:r>
      <w:r>
        <w:rPr>
          <w:rFonts w:hint="eastAsia" w:hAnsi="宋体" w:cs="仿宋_GB2312"/>
          <w:b/>
          <w:sz w:val="32"/>
          <w:szCs w:val="32"/>
        </w:rPr>
        <w:t>、其它材料</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autoSpaceDE w:val="0"/>
        <w:autoSpaceDN w:val="0"/>
        <w:adjustRightInd w:val="0"/>
        <w:jc w:val="both"/>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 xml:space="preserve">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0" w:type="first"/>
      <w:footerReference r:id="rId9" w:type="default"/>
      <w:pgSz w:w="11906" w:h="16838"/>
      <w:pgMar w:top="1304" w:right="1134" w:bottom="1304" w:left="113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6" o:spid="_x0000_s205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文本框 5" o:spid="_x0000_s2052" o:spt="202" type="#_x0000_t202" style="position:absolute;left:0pt;margin-left:216.2pt;margin-top:-3pt;height:19.15pt;width:29.25pt;mso-position-horizontal-relative:margin;z-index:251655168;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pict>
        <v:shape id="_x0000_s2055" o:spid="_x0000_s2055"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val="0"/>
      <w:pBdr>
        <w:top w:val="none" w:color="auto" w:sz="0" w:space="0"/>
        <w:left w:val="none" w:color="auto" w:sz="0" w:space="4"/>
        <w:bottom w:val="none" w:color="auto" w:sz="0" w:space="1"/>
        <w:right w:val="none" w:color="auto" w:sz="0" w:space="4"/>
        <w:between w:val="none" w:color="auto" w:sz="0" w:space="0"/>
      </w:pBdr>
      <w:snapToGrid w:val="0"/>
      <w:ind w:right="360" w:rightChars="0"/>
      <w:jc w:val="center"/>
    </w:pPr>
    <w:r>
      <w:rPr>
        <w:sz w:val="18"/>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both"/>
      <w:outlineLvl w:val="0"/>
      <w:rPr>
        <w:rFonts w:hint="eastAsia" w:ascii="华文新魏" w:hAnsi="Times New Roman" w:eastAsia="华文新魏" w:cs="Times New Roman"/>
        <w:b/>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idowControl w:val="0"/>
      <w:pBdr>
        <w:top w:val="none" w:color="auto" w:sz="0" w:space="1"/>
        <w:left w:val="none" w:color="auto" w:sz="0" w:space="4"/>
        <w:bottom w:val="none" w:color="auto" w:sz="0" w:space="1"/>
        <w:right w:val="none" w:color="auto" w:sz="0" w:space="4"/>
        <w:between w:val="none" w:color="auto" w:sz="0" w:space="0"/>
      </w:pBdr>
      <w:snapToGrid w:val="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B97D2"/>
    <w:multiLevelType w:val="singleLevel"/>
    <w:tmpl w:val="204B97D2"/>
    <w:lvl w:ilvl="0" w:tentative="0">
      <w:start w:val="8"/>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40508"/>
    <w:rsid w:val="046A0239"/>
    <w:rsid w:val="048802F3"/>
    <w:rsid w:val="049930A5"/>
    <w:rsid w:val="049F4EFD"/>
    <w:rsid w:val="04F61493"/>
    <w:rsid w:val="05336A3F"/>
    <w:rsid w:val="053D00B6"/>
    <w:rsid w:val="056C4502"/>
    <w:rsid w:val="05A07B6E"/>
    <w:rsid w:val="05E655CF"/>
    <w:rsid w:val="06030411"/>
    <w:rsid w:val="06701493"/>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00D4E"/>
    <w:rsid w:val="0A9A5D3D"/>
    <w:rsid w:val="0A9B67F9"/>
    <w:rsid w:val="0AFE4389"/>
    <w:rsid w:val="0B0978FC"/>
    <w:rsid w:val="0B15582D"/>
    <w:rsid w:val="0B6364EE"/>
    <w:rsid w:val="0B8D3B33"/>
    <w:rsid w:val="0BAF573C"/>
    <w:rsid w:val="0BF0362D"/>
    <w:rsid w:val="0C057449"/>
    <w:rsid w:val="0C2F476E"/>
    <w:rsid w:val="0CDB2A0A"/>
    <w:rsid w:val="0D011BD2"/>
    <w:rsid w:val="0D0D6A84"/>
    <w:rsid w:val="0D8F1F77"/>
    <w:rsid w:val="0E0C2AFD"/>
    <w:rsid w:val="0E0E47F0"/>
    <w:rsid w:val="0E121D9A"/>
    <w:rsid w:val="0E2E6AB6"/>
    <w:rsid w:val="0E3B7750"/>
    <w:rsid w:val="0E7A66D6"/>
    <w:rsid w:val="0EA744AE"/>
    <w:rsid w:val="0EAB77A0"/>
    <w:rsid w:val="0F1C38A1"/>
    <w:rsid w:val="0F367B25"/>
    <w:rsid w:val="0F3F3449"/>
    <w:rsid w:val="0F540BFC"/>
    <w:rsid w:val="0F5E1E20"/>
    <w:rsid w:val="0FCE6FEC"/>
    <w:rsid w:val="10382973"/>
    <w:rsid w:val="10660739"/>
    <w:rsid w:val="106F11B4"/>
    <w:rsid w:val="109026A3"/>
    <w:rsid w:val="10952917"/>
    <w:rsid w:val="10CC1D6A"/>
    <w:rsid w:val="10CF1CAA"/>
    <w:rsid w:val="10DC2540"/>
    <w:rsid w:val="11596574"/>
    <w:rsid w:val="118C1129"/>
    <w:rsid w:val="11CD30BE"/>
    <w:rsid w:val="11D65CBA"/>
    <w:rsid w:val="11E70DCC"/>
    <w:rsid w:val="123021D6"/>
    <w:rsid w:val="124B3A99"/>
    <w:rsid w:val="12A5368B"/>
    <w:rsid w:val="1306646C"/>
    <w:rsid w:val="132C6741"/>
    <w:rsid w:val="13386D2F"/>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03386D"/>
    <w:rsid w:val="16180A85"/>
    <w:rsid w:val="161E22D2"/>
    <w:rsid w:val="162C0DEA"/>
    <w:rsid w:val="16991689"/>
    <w:rsid w:val="16DA63EA"/>
    <w:rsid w:val="173802CD"/>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445112"/>
    <w:rsid w:val="1C6B0F54"/>
    <w:rsid w:val="1C8708CB"/>
    <w:rsid w:val="1C9D5B1D"/>
    <w:rsid w:val="1CD5539A"/>
    <w:rsid w:val="1CD970E1"/>
    <w:rsid w:val="1CEC79F8"/>
    <w:rsid w:val="1CF35E70"/>
    <w:rsid w:val="1D3C3646"/>
    <w:rsid w:val="1D5505BA"/>
    <w:rsid w:val="1DA97E12"/>
    <w:rsid w:val="1DC62049"/>
    <w:rsid w:val="1DD90759"/>
    <w:rsid w:val="1E2A0896"/>
    <w:rsid w:val="1E524C7C"/>
    <w:rsid w:val="1F286B94"/>
    <w:rsid w:val="1F2D2451"/>
    <w:rsid w:val="1F974325"/>
    <w:rsid w:val="1FBA79A2"/>
    <w:rsid w:val="1FCC3593"/>
    <w:rsid w:val="1FFB1D81"/>
    <w:rsid w:val="202366AA"/>
    <w:rsid w:val="202503AA"/>
    <w:rsid w:val="204576CC"/>
    <w:rsid w:val="20497170"/>
    <w:rsid w:val="20725BF4"/>
    <w:rsid w:val="20805AD7"/>
    <w:rsid w:val="20A278EC"/>
    <w:rsid w:val="20B14A46"/>
    <w:rsid w:val="20D3484E"/>
    <w:rsid w:val="20D47DB9"/>
    <w:rsid w:val="219F1645"/>
    <w:rsid w:val="228251F5"/>
    <w:rsid w:val="22AC5A58"/>
    <w:rsid w:val="23BA6F2A"/>
    <w:rsid w:val="23ED5BF9"/>
    <w:rsid w:val="23FE4E88"/>
    <w:rsid w:val="241C3E3B"/>
    <w:rsid w:val="24253A31"/>
    <w:rsid w:val="244F0613"/>
    <w:rsid w:val="245453D0"/>
    <w:rsid w:val="24B17E93"/>
    <w:rsid w:val="26206288"/>
    <w:rsid w:val="262B336A"/>
    <w:rsid w:val="268E0AD7"/>
    <w:rsid w:val="26FD2231"/>
    <w:rsid w:val="26FE03EA"/>
    <w:rsid w:val="271D34AE"/>
    <w:rsid w:val="27B50BE9"/>
    <w:rsid w:val="27CB276C"/>
    <w:rsid w:val="27F01DF4"/>
    <w:rsid w:val="281E0FE5"/>
    <w:rsid w:val="289A661F"/>
    <w:rsid w:val="292B2876"/>
    <w:rsid w:val="293A6D89"/>
    <w:rsid w:val="296B0A15"/>
    <w:rsid w:val="29A754D2"/>
    <w:rsid w:val="29D827B0"/>
    <w:rsid w:val="29D90988"/>
    <w:rsid w:val="29EF08CA"/>
    <w:rsid w:val="2A2D6002"/>
    <w:rsid w:val="2A3C2B26"/>
    <w:rsid w:val="2A487886"/>
    <w:rsid w:val="2ADE189C"/>
    <w:rsid w:val="2AF730EF"/>
    <w:rsid w:val="2B0F6C2E"/>
    <w:rsid w:val="2B2926C1"/>
    <w:rsid w:val="2B351489"/>
    <w:rsid w:val="2B661A55"/>
    <w:rsid w:val="2B967A5F"/>
    <w:rsid w:val="2BE85CD5"/>
    <w:rsid w:val="2BF47537"/>
    <w:rsid w:val="2C41373D"/>
    <w:rsid w:val="2C4338B1"/>
    <w:rsid w:val="2CBD63FA"/>
    <w:rsid w:val="2DA53C82"/>
    <w:rsid w:val="2DE249F9"/>
    <w:rsid w:val="2E4C12F6"/>
    <w:rsid w:val="2EAD42E7"/>
    <w:rsid w:val="2ED14AA3"/>
    <w:rsid w:val="2EDF2A3C"/>
    <w:rsid w:val="2F2E5819"/>
    <w:rsid w:val="2F8B1FAF"/>
    <w:rsid w:val="30033829"/>
    <w:rsid w:val="300A19BE"/>
    <w:rsid w:val="302D0111"/>
    <w:rsid w:val="303323D8"/>
    <w:rsid w:val="30531075"/>
    <w:rsid w:val="30721749"/>
    <w:rsid w:val="30837237"/>
    <w:rsid w:val="30BB211F"/>
    <w:rsid w:val="30CC5A5A"/>
    <w:rsid w:val="30F34025"/>
    <w:rsid w:val="310F08BA"/>
    <w:rsid w:val="312C43CB"/>
    <w:rsid w:val="316E2B00"/>
    <w:rsid w:val="317923F6"/>
    <w:rsid w:val="31A6072E"/>
    <w:rsid w:val="31A815F8"/>
    <w:rsid w:val="31D315D8"/>
    <w:rsid w:val="320D00ED"/>
    <w:rsid w:val="32A61DD0"/>
    <w:rsid w:val="32B35085"/>
    <w:rsid w:val="32DC3B5D"/>
    <w:rsid w:val="33B340EB"/>
    <w:rsid w:val="33C24013"/>
    <w:rsid w:val="33D134FA"/>
    <w:rsid w:val="342C4016"/>
    <w:rsid w:val="34641F0C"/>
    <w:rsid w:val="350267A3"/>
    <w:rsid w:val="352A4911"/>
    <w:rsid w:val="3543129D"/>
    <w:rsid w:val="364411F3"/>
    <w:rsid w:val="36503215"/>
    <w:rsid w:val="36CE3186"/>
    <w:rsid w:val="378B5215"/>
    <w:rsid w:val="37A768A1"/>
    <w:rsid w:val="37AF1E47"/>
    <w:rsid w:val="37B3163C"/>
    <w:rsid w:val="37D92A6E"/>
    <w:rsid w:val="381F0F23"/>
    <w:rsid w:val="38262A20"/>
    <w:rsid w:val="382F4F00"/>
    <w:rsid w:val="389464C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985C45"/>
    <w:rsid w:val="3CC2265C"/>
    <w:rsid w:val="3CF85D5D"/>
    <w:rsid w:val="3D7D5145"/>
    <w:rsid w:val="3DB27522"/>
    <w:rsid w:val="3DBA0DE7"/>
    <w:rsid w:val="3E0811A4"/>
    <w:rsid w:val="3E9D334D"/>
    <w:rsid w:val="3EA214AC"/>
    <w:rsid w:val="3ED830C1"/>
    <w:rsid w:val="3EFA0F76"/>
    <w:rsid w:val="3F5F5B0A"/>
    <w:rsid w:val="3F6E75BE"/>
    <w:rsid w:val="3F6F3B4F"/>
    <w:rsid w:val="3FA826BF"/>
    <w:rsid w:val="3FD225D7"/>
    <w:rsid w:val="3FEB5BAA"/>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1B6905"/>
    <w:rsid w:val="47645B43"/>
    <w:rsid w:val="47A84DA9"/>
    <w:rsid w:val="47BB4E22"/>
    <w:rsid w:val="47C759B2"/>
    <w:rsid w:val="48651BCD"/>
    <w:rsid w:val="48745655"/>
    <w:rsid w:val="487E013D"/>
    <w:rsid w:val="48F0581F"/>
    <w:rsid w:val="49032A86"/>
    <w:rsid w:val="493F1D69"/>
    <w:rsid w:val="49594955"/>
    <w:rsid w:val="49A20568"/>
    <w:rsid w:val="49AA59B2"/>
    <w:rsid w:val="49CF2911"/>
    <w:rsid w:val="49E50628"/>
    <w:rsid w:val="49E85066"/>
    <w:rsid w:val="4A0F57C3"/>
    <w:rsid w:val="4A7B0D63"/>
    <w:rsid w:val="4AB11443"/>
    <w:rsid w:val="4ADD0CFA"/>
    <w:rsid w:val="4B157C35"/>
    <w:rsid w:val="4B1E2524"/>
    <w:rsid w:val="4B620D7B"/>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67461F"/>
    <w:rsid w:val="53FC307D"/>
    <w:rsid w:val="54153A4D"/>
    <w:rsid w:val="54563723"/>
    <w:rsid w:val="54945C21"/>
    <w:rsid w:val="54A93422"/>
    <w:rsid w:val="54A95830"/>
    <w:rsid w:val="54B70268"/>
    <w:rsid w:val="54D97925"/>
    <w:rsid w:val="555979C7"/>
    <w:rsid w:val="557B2F88"/>
    <w:rsid w:val="55A6717A"/>
    <w:rsid w:val="55B202EF"/>
    <w:rsid w:val="55B26F53"/>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866CD7"/>
    <w:rsid w:val="58F87A38"/>
    <w:rsid w:val="59214CD7"/>
    <w:rsid w:val="5940403A"/>
    <w:rsid w:val="5948761B"/>
    <w:rsid w:val="59B53395"/>
    <w:rsid w:val="5A1A2C4A"/>
    <w:rsid w:val="5A4A12C4"/>
    <w:rsid w:val="5A5574BB"/>
    <w:rsid w:val="5A5D411C"/>
    <w:rsid w:val="5A9744F2"/>
    <w:rsid w:val="5A987FB9"/>
    <w:rsid w:val="5ABD5893"/>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06655"/>
    <w:rsid w:val="5E7205D5"/>
    <w:rsid w:val="5EFC3C5C"/>
    <w:rsid w:val="5F036CF7"/>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6E42534"/>
    <w:rsid w:val="67133436"/>
    <w:rsid w:val="6738785E"/>
    <w:rsid w:val="67A105DD"/>
    <w:rsid w:val="67C44765"/>
    <w:rsid w:val="680E7CB8"/>
    <w:rsid w:val="682210A1"/>
    <w:rsid w:val="68961081"/>
    <w:rsid w:val="69A315DF"/>
    <w:rsid w:val="69E877F6"/>
    <w:rsid w:val="6AE65093"/>
    <w:rsid w:val="6B171F8A"/>
    <w:rsid w:val="6B5427FA"/>
    <w:rsid w:val="6B563B97"/>
    <w:rsid w:val="6BC81A9A"/>
    <w:rsid w:val="6BD95B85"/>
    <w:rsid w:val="6CA44DB8"/>
    <w:rsid w:val="6CC62C2C"/>
    <w:rsid w:val="6CCD4A60"/>
    <w:rsid w:val="6CD23B2C"/>
    <w:rsid w:val="6CE47554"/>
    <w:rsid w:val="6CFE37CA"/>
    <w:rsid w:val="6D117D29"/>
    <w:rsid w:val="6D1C0FED"/>
    <w:rsid w:val="6D214955"/>
    <w:rsid w:val="6D531591"/>
    <w:rsid w:val="6D612FC0"/>
    <w:rsid w:val="6D8E6DC2"/>
    <w:rsid w:val="6DBB2B35"/>
    <w:rsid w:val="6DC67B27"/>
    <w:rsid w:val="6E647E42"/>
    <w:rsid w:val="6ECB0CA3"/>
    <w:rsid w:val="6EDF1AD6"/>
    <w:rsid w:val="6F2464EF"/>
    <w:rsid w:val="6F2A63C0"/>
    <w:rsid w:val="6F2C3765"/>
    <w:rsid w:val="6F3F1942"/>
    <w:rsid w:val="6F493831"/>
    <w:rsid w:val="6FEE322F"/>
    <w:rsid w:val="701F1EAD"/>
    <w:rsid w:val="703D225F"/>
    <w:rsid w:val="708D37CC"/>
    <w:rsid w:val="70A214DF"/>
    <w:rsid w:val="70AB74CF"/>
    <w:rsid w:val="70B53817"/>
    <w:rsid w:val="70D45145"/>
    <w:rsid w:val="715044D6"/>
    <w:rsid w:val="717B20B7"/>
    <w:rsid w:val="71863CBA"/>
    <w:rsid w:val="71C15203"/>
    <w:rsid w:val="721B1B28"/>
    <w:rsid w:val="7254789B"/>
    <w:rsid w:val="72A43286"/>
    <w:rsid w:val="730208D7"/>
    <w:rsid w:val="736B1B21"/>
    <w:rsid w:val="737F64DB"/>
    <w:rsid w:val="739A5F82"/>
    <w:rsid w:val="73CE3686"/>
    <w:rsid w:val="73D535AF"/>
    <w:rsid w:val="73DA381C"/>
    <w:rsid w:val="743D795A"/>
    <w:rsid w:val="744B3786"/>
    <w:rsid w:val="74A41EB2"/>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8D0E78"/>
    <w:rsid w:val="79AA056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CED3169"/>
    <w:rsid w:val="7D0509A8"/>
    <w:rsid w:val="7D143198"/>
    <w:rsid w:val="7D79759A"/>
    <w:rsid w:val="7D7B4CC5"/>
    <w:rsid w:val="7D7F25DC"/>
    <w:rsid w:val="7DBA3498"/>
    <w:rsid w:val="7DDF49A0"/>
    <w:rsid w:val="7DF007AE"/>
    <w:rsid w:val="7E70789E"/>
    <w:rsid w:val="7E8D6272"/>
    <w:rsid w:val="7EA102C3"/>
    <w:rsid w:val="7EA212D2"/>
    <w:rsid w:val="7EAD5D01"/>
    <w:rsid w:val="7EDD1569"/>
    <w:rsid w:val="7F002510"/>
    <w:rsid w:val="7F125C1D"/>
    <w:rsid w:val="7F1F5D58"/>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character" w:customStyle="1" w:styleId="82">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textRotate="1"/>
    <customShpInfo spid="_x0000_s2052"/>
    <customShpInfo spid="_x0000_s2054"/>
    <customShpInfo spid="_x0000_s2057" textRotate="1"/>
    <customShpInfo spid="_x0000_s2055"/>
    <customShpInfo spid="_x0000_s2058" textRotate="1"/>
    <customShpInfo spid="_x0000_s2059" textRotate="1"/>
    <customShpInfo spid="_x0000_s2049"/>
    <customShpInfo spid="_x0000_s206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1</TotalTime>
  <ScaleCrop>false</ScaleCrop>
  <LinksUpToDate>false</LinksUpToDate>
  <CharactersWithSpaces>34937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淡成陌路</cp:lastModifiedBy>
  <cp:lastPrinted>2019-04-02T05:19:00Z</cp:lastPrinted>
  <dcterms:modified xsi:type="dcterms:W3CDTF">2019-06-14T08:13:26Z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