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黑体" w:hAnsi="黑体" w:eastAsia="黑体" w:cs="黑体"/>
          <w:color w:val="000000"/>
          <w:sz w:val="44"/>
          <w:szCs w:val="44"/>
          <w:lang w:val="en-US" w:eastAsia="zh-CN"/>
        </w:rPr>
        <w:t>河南省禹州市职业中等专业学校采购汽修设备项目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河南省禹州市职业中等专业学校</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122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jc w:val="center"/>
        <w:rPr>
          <w:rFonts w:hint="eastAsia" w:ascii="仿宋" w:hAnsi="仿宋" w:eastAsia="仿宋" w:cs="仿宋"/>
          <w:sz w:val="36"/>
          <w:szCs w:val="36"/>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河南省禹州市职业中等专业学校采购汽修设备项目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禹州市政府采购中心受河南省禹州市职业中等专业学校的委托，就“河南省禹州市职业中等专业学校采购汽修设备项目”进行公开招标，欢迎合格的投标人前来投标。</w:t>
      </w:r>
    </w:p>
    <w:p>
      <w:pPr>
        <w:pStyle w:val="3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项目名称：河南省禹州市职业中等专业学校采购汽修设备项目</w:t>
      </w:r>
    </w:p>
    <w:p>
      <w:pPr>
        <w:widowControl/>
        <w:shd w:val="clear" w:color="auto" w:fill="FFFFFF"/>
        <w:spacing w:line="4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122</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汽修设备</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77</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77</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2、在投标截止时间前登录http://ggzy.xuchang.gov.cn，自行下载招标文件（详见全国公共资源交易平台（河南省·许昌市）“常见问题解答-交易系统操作手册”）。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left="481"/>
        <w:jc w:val="left"/>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禹州市药城路</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0374-8816068</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pStyle w:val="10"/>
        <w:rPr>
          <w:rFonts w:hint="eastAsia" w:cs="仿宋_GB2312" w:asciiTheme="minorEastAsia" w:hAnsiTheme="minorEastAsia" w:eastAsiaTheme="minorEastAsia"/>
          <w:color w:val="000000"/>
          <w:sz w:val="24"/>
          <w:szCs w:val="24"/>
          <w:lang w:eastAsia="zh-CN"/>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numPr>
          <w:ilvl w:val="0"/>
          <w:numId w:val="6"/>
        </w:numPr>
        <w:spacing w:line="360" w:lineRule="auto"/>
        <w:ind w:right="28" w:firstLine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招标项目概况及要求</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提高我校汽车运用与维修专业实训教学硬件水平、进一步提高汽车运用与维修专业各级竞赛成绩；满足学校汽车运用与维修专业的长远发展</w:t>
      </w:r>
      <w:r>
        <w:rPr>
          <w:rFonts w:hint="eastAsia" w:ascii="仿宋" w:hAnsi="仿宋" w:eastAsia="仿宋" w:cs="宋体"/>
          <w:color w:val="000000"/>
          <w:kern w:val="0"/>
          <w:sz w:val="32"/>
          <w:szCs w:val="32"/>
          <w:lang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8521"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0"/>
        <w:gridCol w:w="1247"/>
        <w:gridCol w:w="70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770" w:type="dxa"/>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序号</w:t>
            </w:r>
          </w:p>
        </w:tc>
        <w:tc>
          <w:tcPr>
            <w:tcW w:w="1247" w:type="dxa"/>
            <w:vAlign w:val="center"/>
          </w:tcPr>
          <w:p>
            <w:pPr>
              <w:widowControl/>
              <w:jc w:val="left"/>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设备名称</w:t>
            </w:r>
          </w:p>
        </w:tc>
        <w:tc>
          <w:tcPr>
            <w:tcW w:w="705" w:type="dxa"/>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数量</w:t>
            </w:r>
          </w:p>
        </w:tc>
        <w:tc>
          <w:tcPr>
            <w:tcW w:w="5799" w:type="dxa"/>
            <w:vAlign w:val="center"/>
          </w:tcPr>
          <w:p>
            <w:pPr>
              <w:widowControl/>
              <w:jc w:val="center"/>
              <w:textAlignment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247"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4镜头3D四轮定位仪</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kern w:val="0"/>
                <w:sz w:val="24"/>
                <w:szCs w:val="24"/>
              </w:rPr>
              <w:t>（教学版）</w:t>
            </w:r>
          </w:p>
        </w:tc>
        <w:tc>
          <w:tcPr>
            <w:tcW w:w="705" w:type="dxa"/>
            <w:vAlign w:val="center"/>
          </w:tcPr>
          <w:p>
            <w:pPr>
              <w:widowControl/>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rPr>
              <w:t>1</w:t>
            </w:r>
          </w:p>
        </w:tc>
        <w:tc>
          <w:tcPr>
            <w:tcW w:w="579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一、性能要求：</w:t>
            </w:r>
          </w:p>
          <w:p>
            <w:pPr>
              <w:rPr>
                <w:rFonts w:hint="eastAsia" w:ascii="仿宋" w:hAnsi="仿宋" w:eastAsia="仿宋" w:cs="仿宋"/>
                <w:sz w:val="24"/>
                <w:szCs w:val="24"/>
              </w:rPr>
            </w:pPr>
            <w:r>
              <w:rPr>
                <w:rFonts w:hint="eastAsia" w:ascii="仿宋" w:hAnsi="仿宋" w:eastAsia="仿宋" w:cs="仿宋"/>
                <w:sz w:val="24"/>
                <w:szCs w:val="24"/>
              </w:rPr>
              <w:t>1、采用最新一代三维成像测量技术，通过4只高分辨率摄像头分别实时跟拍4只目标板，仅需90秒即可迅速精确得到全部定位测量数据。</w:t>
            </w:r>
          </w:p>
          <w:p>
            <w:pPr>
              <w:pStyle w:val="39"/>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2、采用一体式目标板和卡具合为一体的三维条式目标板。目标板上无任何电子元件，无需连接通讯电缆且无需充电电池供电，避免误操且维护成本极低。</w:t>
            </w:r>
          </w:p>
          <w:p>
            <w:pPr>
              <w:widowControl/>
              <w:jc w:val="left"/>
              <w:rPr>
                <w:rFonts w:hint="eastAsia" w:ascii="仿宋" w:hAnsi="仿宋" w:eastAsia="仿宋" w:cs="仿宋"/>
                <w:sz w:val="24"/>
                <w:szCs w:val="24"/>
              </w:rPr>
            </w:pPr>
            <w:r>
              <w:rPr>
                <w:rFonts w:hint="eastAsia" w:ascii="仿宋" w:hAnsi="仿宋" w:eastAsia="仿宋" w:cs="仿宋"/>
                <w:sz w:val="24"/>
                <w:szCs w:val="24"/>
              </w:rPr>
              <w:t>3、采用专利技术的一体式卡具/目标板快速卡具，每支卡具安装仅需1秒，可直接安装在车轮轮毂上，无需对中安装。轻量化设计，操作方便快捷，提高工效。</w:t>
            </w:r>
          </w:p>
          <w:p>
            <w:pPr>
              <w:pStyle w:val="39"/>
              <w:numPr>
                <w:ilvl w:val="0"/>
                <w:numId w:val="7"/>
              </w:numPr>
              <w:ind w:firstLineChars="0"/>
              <w:rPr>
                <w:rFonts w:hint="eastAsia" w:ascii="仿宋" w:hAnsi="仿宋" w:eastAsia="仿宋" w:cs="仿宋"/>
                <w:sz w:val="24"/>
                <w:szCs w:val="24"/>
              </w:rPr>
            </w:pPr>
            <w:r>
              <w:rPr>
                <w:rFonts w:hint="eastAsia" w:ascii="仿宋" w:hAnsi="仿宋" w:eastAsia="仿宋" w:cs="仿宋"/>
                <w:sz w:val="24"/>
                <w:szCs w:val="24"/>
              </w:rPr>
              <w:t>卡具与轮毂接触部分由橡胶垫环保护避免划伤轮毂。卡具两</w:t>
            </w:r>
          </w:p>
          <w:p>
            <w:pPr>
              <w:rPr>
                <w:rFonts w:hint="eastAsia" w:ascii="仿宋" w:hAnsi="仿宋" w:eastAsia="仿宋" w:cs="仿宋"/>
                <w:sz w:val="24"/>
                <w:szCs w:val="24"/>
              </w:rPr>
            </w:pPr>
            <w:r>
              <w:rPr>
                <w:rFonts w:hint="eastAsia" w:ascii="仿宋" w:hAnsi="仿宋" w:eastAsia="仿宋" w:cs="仿宋"/>
                <w:sz w:val="24"/>
                <w:szCs w:val="24"/>
              </w:rPr>
              <w:t>侧的安装钩可紧紧钩住轮胎花纹，确保卡具不掉落。安装钩的长度无需费力调整，采用下压手柄式设计，只需按下锁紧手柄就可将卡具牢牢固定在轮毂上。</w:t>
            </w:r>
          </w:p>
          <w:p>
            <w:pPr>
              <w:widowControl/>
              <w:jc w:val="left"/>
              <w:rPr>
                <w:rFonts w:hint="eastAsia" w:ascii="仿宋" w:hAnsi="仿宋" w:eastAsia="仿宋" w:cs="仿宋"/>
                <w:sz w:val="24"/>
                <w:szCs w:val="24"/>
              </w:rPr>
            </w:pPr>
            <w:r>
              <w:rPr>
                <w:rFonts w:hint="eastAsia" w:ascii="仿宋" w:hAnsi="仿宋" w:eastAsia="仿宋" w:cs="仿宋"/>
                <w:sz w:val="24"/>
                <w:szCs w:val="24"/>
              </w:rPr>
              <w:t>5、“快速滚动补偿”技术：车辆开上举升机后，直接停在转角盘前沿，然后安装好卡具，直接向前推动车辆使前轮落在转角盘上，偏位补偿就已完成！相比传统的“滚动补偿”操作方式，“快速滚动补偿”可节省50%的时间！</w:t>
            </w:r>
          </w:p>
          <w:p>
            <w:pPr>
              <w:widowControl/>
              <w:jc w:val="left"/>
              <w:rPr>
                <w:rFonts w:hint="eastAsia" w:ascii="仿宋" w:hAnsi="仿宋" w:eastAsia="仿宋" w:cs="仿宋"/>
                <w:sz w:val="24"/>
                <w:szCs w:val="24"/>
              </w:rPr>
            </w:pPr>
            <w:r>
              <w:rPr>
                <w:rFonts w:hint="eastAsia" w:ascii="仿宋" w:hAnsi="仿宋" w:eastAsia="仿宋" w:cs="仿宋"/>
                <w:sz w:val="24"/>
                <w:szCs w:val="24"/>
              </w:rPr>
              <w:t>6、特别配备基于Windows技术的最新版WinAlign Elite专用定位软件，一步一步指引定位操作流程，高分辨率的维修指导图片，以及多达250余份的操作培训指导视频，这些功能均保证了定位操作的简便迅速和易于使用。</w:t>
            </w:r>
          </w:p>
          <w:p>
            <w:pPr>
              <w:widowControl/>
              <w:jc w:val="left"/>
              <w:rPr>
                <w:rFonts w:hint="eastAsia" w:ascii="仿宋" w:hAnsi="仿宋" w:eastAsia="仿宋" w:cs="仿宋"/>
                <w:sz w:val="24"/>
                <w:szCs w:val="24"/>
              </w:rPr>
            </w:pPr>
            <w:r>
              <w:rPr>
                <w:rFonts w:hint="eastAsia" w:ascii="仿宋" w:hAnsi="仿宋" w:eastAsia="仿宋" w:cs="仿宋"/>
                <w:sz w:val="24"/>
                <w:szCs w:val="24"/>
              </w:rPr>
              <w:t>7、安装有各大车厂原装车型数据库及中国车型数据库，并可手动添加保存车型数据。</w:t>
            </w:r>
          </w:p>
          <w:p>
            <w:pPr>
              <w:widowControl/>
              <w:jc w:val="left"/>
              <w:rPr>
                <w:rFonts w:hint="eastAsia" w:ascii="仿宋" w:hAnsi="仿宋" w:eastAsia="仿宋" w:cs="仿宋"/>
                <w:sz w:val="24"/>
                <w:szCs w:val="24"/>
              </w:rPr>
            </w:pPr>
            <w:r>
              <w:rPr>
                <w:rFonts w:hint="eastAsia" w:ascii="仿宋" w:hAnsi="仿宋" w:eastAsia="仿宋" w:cs="仿宋"/>
                <w:sz w:val="24"/>
                <w:szCs w:val="24"/>
              </w:rPr>
              <w:t>二、主要功能要求：</w:t>
            </w:r>
          </w:p>
          <w:p>
            <w:pPr>
              <w:jc w:val="left"/>
              <w:rPr>
                <w:rFonts w:hint="eastAsia" w:ascii="仿宋" w:hAnsi="仿宋" w:eastAsia="仿宋" w:cs="仿宋"/>
                <w:sz w:val="24"/>
                <w:szCs w:val="24"/>
              </w:rPr>
            </w:pPr>
            <w:r>
              <w:rPr>
                <w:rFonts w:hint="eastAsia" w:ascii="仿宋" w:hAnsi="仿宋" w:eastAsia="仿宋" w:cs="仿宋"/>
                <w:sz w:val="24"/>
                <w:szCs w:val="24"/>
              </w:rPr>
              <w:t>1、前束调整：前束调整时无需使用方向盘锁，此程序可保证调整后方向盘水平。</w:t>
            </w:r>
          </w:p>
          <w:p>
            <w:pPr>
              <w:jc w:val="left"/>
              <w:rPr>
                <w:rFonts w:hint="eastAsia" w:ascii="仿宋" w:hAnsi="仿宋" w:eastAsia="仿宋" w:cs="仿宋"/>
                <w:sz w:val="24"/>
                <w:szCs w:val="24"/>
              </w:rPr>
            </w:pPr>
            <w:r>
              <w:rPr>
                <w:rFonts w:hint="eastAsia" w:ascii="仿宋" w:hAnsi="仿宋" w:eastAsia="仿宋" w:cs="仿宋"/>
                <w:sz w:val="24"/>
                <w:szCs w:val="24"/>
              </w:rPr>
              <w:t xml:space="preserve">2、悬架控制臂调整：有图形指引可一次对使用前轮垫片、双凸轮或双凹槽结构车辆的悬架控制臂进行调整。 </w:t>
            </w:r>
          </w:p>
          <w:p>
            <w:pPr>
              <w:jc w:val="left"/>
              <w:rPr>
                <w:rFonts w:hint="eastAsia" w:ascii="仿宋" w:hAnsi="仿宋" w:eastAsia="仿宋" w:cs="仿宋"/>
                <w:sz w:val="24"/>
                <w:szCs w:val="24"/>
              </w:rPr>
            </w:pPr>
            <w:r>
              <w:rPr>
                <w:rFonts w:hint="eastAsia" w:ascii="仿宋" w:hAnsi="仿宋" w:eastAsia="仿宋" w:cs="仿宋"/>
                <w:sz w:val="24"/>
                <w:szCs w:val="24"/>
              </w:rPr>
              <w:t>3、对称角度测量：可立即获得车辆对称角度和退缩角以便进行车身修复。</w:t>
            </w:r>
          </w:p>
          <w:p>
            <w:pPr>
              <w:jc w:val="left"/>
              <w:rPr>
                <w:rFonts w:hint="eastAsia" w:ascii="仿宋" w:hAnsi="仿宋" w:eastAsia="仿宋" w:cs="仿宋"/>
                <w:sz w:val="24"/>
                <w:szCs w:val="24"/>
              </w:rPr>
            </w:pPr>
            <w:r>
              <w:rPr>
                <w:rFonts w:hint="eastAsia" w:ascii="仿宋" w:hAnsi="仿宋" w:eastAsia="仿宋" w:cs="仿宋"/>
                <w:sz w:val="24"/>
                <w:szCs w:val="24"/>
              </w:rPr>
              <w:t>4、实时车身高度测量：实时测量和调整车身高度。</w:t>
            </w:r>
          </w:p>
          <w:p>
            <w:pPr>
              <w:ind w:left="34" w:leftChars="16"/>
              <w:jc w:val="left"/>
              <w:rPr>
                <w:rFonts w:hint="eastAsia" w:ascii="仿宋" w:hAnsi="仿宋" w:eastAsia="仿宋" w:cs="仿宋"/>
                <w:sz w:val="24"/>
                <w:szCs w:val="24"/>
              </w:rPr>
            </w:pPr>
            <w:r>
              <w:rPr>
                <w:rFonts w:hint="eastAsia" w:ascii="仿宋" w:hAnsi="仿宋" w:eastAsia="仿宋" w:cs="仿宋"/>
                <w:sz w:val="24"/>
                <w:szCs w:val="24"/>
              </w:rPr>
              <w:t>5、后轮加垫片式调整：彻底摆脱令人糊涂的垫片选择图表程序可自动快速的计算和显示合适的垫片及安装角度。</w:t>
            </w:r>
          </w:p>
          <w:p>
            <w:pPr>
              <w:jc w:val="left"/>
              <w:rPr>
                <w:rFonts w:hint="eastAsia" w:ascii="仿宋" w:hAnsi="仿宋" w:eastAsia="仿宋" w:cs="仿宋"/>
                <w:sz w:val="24"/>
                <w:szCs w:val="24"/>
              </w:rPr>
            </w:pPr>
            <w:r>
              <w:rPr>
                <w:rFonts w:hint="eastAsia" w:ascii="仿宋" w:hAnsi="仿宋" w:eastAsia="仿宋" w:cs="仿宋"/>
                <w:sz w:val="24"/>
                <w:szCs w:val="24"/>
              </w:rPr>
              <w:t>6、离轮式定位调整：取下车轮后可更方便的进行定位调整，提高定位调整的速度。</w:t>
            </w:r>
          </w:p>
          <w:p>
            <w:pPr>
              <w:jc w:val="left"/>
              <w:rPr>
                <w:rFonts w:hint="eastAsia" w:ascii="仿宋" w:hAnsi="仿宋" w:eastAsia="仿宋" w:cs="仿宋"/>
                <w:sz w:val="24"/>
                <w:szCs w:val="24"/>
              </w:rPr>
            </w:pPr>
            <w:r>
              <w:rPr>
                <w:rFonts w:hint="eastAsia" w:ascii="仿宋" w:hAnsi="仿宋" w:eastAsia="仿宋" w:cs="仿宋"/>
                <w:sz w:val="24"/>
                <w:szCs w:val="24"/>
              </w:rPr>
              <w:t>三、技术指标要求：</w:t>
            </w:r>
          </w:p>
          <w:p>
            <w:pPr>
              <w:jc w:val="left"/>
              <w:rPr>
                <w:rFonts w:hint="eastAsia" w:ascii="仿宋" w:hAnsi="仿宋" w:eastAsia="仿宋" w:cs="仿宋"/>
                <w:b/>
                <w:sz w:val="24"/>
                <w:szCs w:val="24"/>
              </w:rPr>
            </w:pPr>
          </w:p>
          <w:tbl>
            <w:tblPr>
              <w:tblStyle w:val="22"/>
              <w:tblW w:w="58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028"/>
              <w:gridCol w:w="1050"/>
              <w:gridCol w:w="145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93"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测量项目</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测量精度</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精度有效范围</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总测量范围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前/后轮总前束</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±0.02º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前/后轮单独前束</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±0.02º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前/后轮外倾角</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±0.02º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前轮后倾角</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±0.05º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前轮主销内倾角</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±0.05º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驱动偏角</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±0.02º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转向角差</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±0.06º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最大转向角</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±0.08º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轮轴偏移（后轴）</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±0.02º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轮迹宽度偏差</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±0.03º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302" w:hRule="atLeast"/>
              </w:trPr>
              <w:tc>
                <w:tcPr>
                  <w:tcW w:w="202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轴距偏差</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±0.03º</w:t>
                  </w:r>
                </w:p>
              </w:tc>
              <w:tc>
                <w:tcPr>
                  <w:tcW w:w="14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360" w:firstLineChars="150"/>
                    <w:jc w:val="left"/>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bl>
          <w:p>
            <w:pPr>
              <w:jc w:val="left"/>
              <w:rPr>
                <w:rFonts w:hint="eastAsia" w:ascii="仿宋" w:hAnsi="仿宋" w:eastAsia="仿宋" w:cs="仿宋"/>
                <w:b/>
                <w:sz w:val="24"/>
                <w:szCs w:val="24"/>
              </w:rPr>
            </w:pPr>
            <w:r>
              <w:rPr>
                <w:rFonts w:hint="eastAsia" w:ascii="仿宋" w:hAnsi="仿宋" w:eastAsia="仿宋" w:cs="仿宋"/>
                <w:sz w:val="24"/>
                <w:szCs w:val="24"/>
              </w:rPr>
              <w:t>四、配置清单：</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1×电脑化四轮定位仪主机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4×一体式三维条式目标板与快速卡具</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1×4摄像头照相系统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1×固定式横梁/立柱</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1×20″宽屏彩色显示器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2×机械转角盘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1×方向盘锁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专用举升机</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是一款藏地式子母四轮定位剪式举升机。   可防止油管爆裂、预防车辆瞬间坠落、防止车辆侧翻、防下降压脚、急停按钮等。   转角盘位置可调，举升长度可调，适用于多种车型。                                                                             满足JT/T155-2004 的质量标准1.驱动方式：电液驱动/气动                                                                                                                            2.主结构：子母双层四轮定位举升机/藏地式                                                 3.保险：气动/机械                                                                                                                                       4.操作电压：24V                                                                                                                          5.最大举升重量：3500kg                                                                                                                       6.举升高度：1,850 mm+450 mm                                                                                                         7.平台长度：4,300 mm(加引桥4,600 mm)                                                                                                                                                   8.平台宽度：600 mm                                                                                                                                         9.上升时间：&lt;50S                                                                                                                       10.最低举升高度：330mm                                                                                                                        11.气源压力：6-8bar                                                                                                                               12.环境温度：0-50℃                                                                                                                                           13.电源：3 Ph/380 V/50 hz                                                                                                                       14.具备光电平衡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27"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定位专用磁吸卡具</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配合定位仪使用，可解决一些繁琐程序，可直接吸附在轮毂上。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万用表</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该测试仪符合: IEC 1010-1 EN61010-1.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绝缘层: 2级,双结缘层。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超电压类别: CATIII1000V/CATIV600V.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显示: 4000 计数带显示功能的 LCD 显示屏。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极性: 自动(-) 负极指示。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超量程: 显示“OL”标志。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低电量指示:当电池电压低于工作电压时，屏幕则会显示“BAT”标志。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测量速率: 每秒2次。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自动关机: 如30秒内无任何操作，测试仪会自动关机</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操作环境: 在相对湿度&lt; 70 %的情况下， 0 oC 至 50 oC (32 oF 至 122 oF)。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存储温度: 在相对湿度&lt; 80 %的情况下-20 oC 至 60 oC (-4 oF 至 140 oF)。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工作海拔高度: 2000m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污染等级: 2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电池: 一节 9V 电池, NEDA 1604, IEC 6F22</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尺寸: 182 (长) x 82 (宽) x55 (高) mm〉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重量: 375g.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转速 PRM2/DRS（300-400RPM）分辨率 1RPM  误差±2% ofrdg±dgtd              直流电压 400.mV 分辨率0.1mV 误差 ±0.5% ofrdg±3dgtd                      直流电流 40.00mA 分辨率10uA 误差 ±1.5% ofrdg±3dgtd                      电阻  400.0欧 分辨率 0.1欧 误差±1.2% ofrdg±4dgtd                      频率  4.0000kHz 分辨率1Hz 误差±1.5% ofrdg±3dgtd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轮胎托架</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定制，可移动，可放1-2条轮胎，内有小滑轮，方便拿动。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叶子板三件套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八抽屉柜型工具车</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八抽屉柜型工具车1035x457x897MM;;LxWxH(MM):1035x457x897;净重：94.3Kg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网格式工具车</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网格式工具车635x390x800MM;;LxWxH(MM):635x390x800;净重：15Kg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150件6.3×10×12.5MM系列综合组套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10件6.3MM系列6角英制套筒</w:t>
            </w:r>
          </w:p>
          <w:p>
            <w:pPr>
              <w:widowControl/>
              <w:jc w:val="center"/>
              <w:textAlignment w:val="center"/>
              <w:rPr>
                <w:rFonts w:hint="eastAsia" w:ascii="仿宋" w:hAnsi="仿宋" w:eastAsia="仿宋" w:cs="仿宋"/>
                <w:color w:val="000000"/>
                <w:kern w:val="0"/>
                <w:sz w:val="24"/>
                <w:szCs w:val="24"/>
              </w:rPr>
            </w:pP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(5/32",3/16",7/32",1/4",9/32",5/16",11/32",3/8",</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7/16",1/2")</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10件6.3MM系列6角套筒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 5, 6, 7, 8, 9, 10,11,12,13MM)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6件6.3MM系列6角长套筒(4, 5, 6, 7, 8, 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3件10MM系列十字形旋具套筒(#1,#2,#3)</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9件10MM系列6角英制套筒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(3/8",7/16",1 /2",9/16",5/8",11/16",3/4",13/16",7/8")</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6件10MM系列6角长套筒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(10,11,12,13,14,15MM)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2件10MM系列锁定接杆(3", 6")</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2件10MM系列火花塞套筒(16,21MM)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6件12.5MM系列6角长套筒(10,12,13,14,17,19MM)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8件10MM系列花形套筒(E8,10,11,12,14,16,18,20)</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11件10MM系列6角套筒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(9,10,11,12,13,14,15,16,17,18,19MM)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3件10MM系列一字形旋具套筒(4, 5.5, 6.5MM)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4件10MM系列50MM长中孔花形旋具套筒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(T-45,50,55,60)</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4件12.5MM系列6角风动套筒(17,19,21,23MM)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4件12.5MM系列12角英制套筒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(15/16",1",1-1/16",1-1/4")</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7件12.5MM系列12角套筒</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(20,21,22,24,27,30,32MM)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2件12.5MM系列转向接杆(5",10"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3件10MM系列花形旋具套筒(T-20,30,40)</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6件10MM系列六角旋具套筒(3,4,5,6,8,10MM)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3件10MM系列十字形旋具套筒(#1,#2,#3)</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12件全抛光两用扳手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(8,9,10,11,12,13,14,15,16,17,18,19MM)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3件全抛光双梅花棘轮扳手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(8x10,12x13,17x19MM)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7件6.3MM系列25MM长中孔花形旋具头</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(T-10,15,20,25,27,30,40)</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10件长内六角扳手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 2, 2.5, 3, 4, 5, 5.5, 6.8, 10MM)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1件6.3MM系列专业快速脱落棘轮扳手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1件6.3MM系列转向接杆(4")</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1件6.3MM系列旋柄</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1件6.3MM系列万向接头</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1件6.3MM系列旋具头接头</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1件10MM系列专业快速脱落棘轮扳手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1件10MM系列万向接头</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1件12.5MM系列专业快速脱落棘轮扳手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1件12.5MM系列万向接头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32件12.5MM系列套筒组套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21件12.5MM系列6角套筒：8、9、10、11、12、13、14、</w:t>
            </w:r>
          </w:p>
          <w:p>
            <w:pPr>
              <w:widowControl/>
              <w:jc w:val="center"/>
              <w:textAlignment w:val="center"/>
              <w:rPr>
                <w:rFonts w:hint="eastAsia" w:ascii="仿宋" w:hAnsi="仿宋" w:eastAsia="仿宋" w:cs="仿宋"/>
                <w:color w:val="000000"/>
                <w:kern w:val="0"/>
                <w:sz w:val="24"/>
                <w:szCs w:val="24"/>
              </w:rPr>
            </w:pP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15、16、17、18、19、20、21、22、23、24、27、30、32、34MM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5件12.5MM系列12角套筒：10、12、14、17、19MM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1件12.5MM系列专业快速脱落棘轮扳手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2件12.5MM系列转向接杆：5"、10"</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1件12.5MM系列万向接头</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1件10MM系列三用接头：10MM×12.5MM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1件12.5MM系列弓型快速摇杆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13件全抛光双开口扳手组套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13件全抛光双开口扳手组套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6件套T系列一字、十字螺丝批</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6件套T系列一字、十字螺丝批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1/2″专业极气动冲击扳手</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1/2″专业极气动冲击扳手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12件12.5MM系列风动套筒组套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12件12.5MM系列风动套筒组套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10mm系列花形旋具套筒(T45)</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10mm系列花形旋具套筒(T45)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10mm系列花形旋具套筒(T30)</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10mm系列花形旋具套筒(T30)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3/8″10mm系列转接头</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3/8″10mm系列转接头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3/8″10mm系列转接头</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3/8″10mm系列转接头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1/2″12.5mm系列转接头</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1/2″12.5mm系列转接头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指针式公斤扳手(300N.m)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指针式公斤扳手(300N.m)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1/4″专业级可调式扭力扳手(1-5N.m)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1/4“G系列预置式扭力扳手5-25Nm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3/8″专业级可调式扭力扳手(5-25N.m)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3/8”G系列预置式扭力扳手10-50Nm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1/2″专业级可调式扭力扳手(20-100N.m)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1/2“G系列预置式扭力扳手20-100Nm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1/2″专业级可调式扭力扳手(68-340N.m)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1/2”G系列预置式扭力扳手68-340Nm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扭矩扳手（40～200 N·m）</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1/2”G系列预置式扭力扳手40-200Nm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配套量具</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内含外径千分尺，高度尺，卡尺，符合比赛标准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举升机垫块挡块</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包含垫块挡块为一套，符合比赛标准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定位专用卡具车</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采用镍钢制造。能够更好的把卡具放进去.配合四轮定位仪使用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剪式举升机</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举升重量3.0吨，最大举升高度1.80米，机械液压双保险，离地500mm下降报警功能，防止手脚被压；24V安全操作电压，避免高压触电；铝壳电机，散热性能好，抛丸、脱脂、磷化等一系列的静电喷涂工序保证机器不掉漆；进口球阀和密封组件；抽拉式可延伸平台设计可服务长轴距车型，符合JT/T155-2004，CE标准平台长度：1550-1950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平台宽度：550mm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最低举升高度：270mm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最大举升高度：1800mm</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功率：2.2KW</w:t>
            </w:r>
          </w:p>
          <w:p>
            <w:pPr>
              <w:widowControl/>
              <w:jc w:val="center"/>
              <w:textAlignment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尾气分析仪</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用于汽、柴油车尾气检测，极快的测量速度（预热时间短，反应灵敏）；附加测量功能：氧传感器电压、喷油开始点、点火时刻，测量精度达到OIMLR 0级标准OIML R . 高性价比，已包括BEA 150和250所有测试功能。 </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维护迅速：滤芯安装在机器后部，便于更换</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预热时间极短，电源开关打开后快速测量功能便已就绪待命</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CO、HC、CO 采用红外线测量方法，测量量可保持长久稳定</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采用电化学测量方法，定期更换传感器可保证测量精度 </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工作温度 5°C—40°C </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存储温度 -20°C—65°C </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环境气压 700 hPa—1100 hPa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解码器</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汽车诊断功能：</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1．读版本信息： 读取汽车ECU 版本信息</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2．读故障码： 读取汽车故障代码，冻结帧</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3．清故障码： 清除汽车故障代码</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4．读数据流： 读取数据流，三种显示模式（数值，波形，</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5．控件）；数据流记录；数据流对比</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6．动作测试： 汽车元器件动作测试</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7．功能测试： 高级功能性测试</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8．匹配/ 设置： 汽车高级设定，部件匹配</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汽车分析仪功能：</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1.元器件测试：25种汽车电子元器件测试，包括各类传感器，执行器</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2.通用示波器：四通道独立同时示波</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3.点火示波：初级点火，次级点火信号</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4.万用表：四通道同时独立采集信号， CH4 可测试二极管，电阻，通断，交流/ 直流电压</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5.记录仪：长时间实时记录波形</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6.参考波形：支持系统储存参考波形，便于与实时波形对比</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7.波形对比：实时波形与标准波形对比</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8.用户自定义功能：根据不同的传感器/ 元器件保存示波参数配置，以便下次使用</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9.扩展功能：共轨测试（柴油版），电流钳测试（特殊配件），喷油器扫描枪功能（柴油版）</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尺寸(mm)  230x132.5x49.5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功率  &lt;30W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工作温度  -10~45oC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工作电压  DC 7~32V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防护等级  IP31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CPU处理器  飞思卡尔 16位微处理器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通讯方式  无线wifi，USB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通讯针脚阵列  全针脚阵列自动跳转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电池  7.2V/2100mAh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示波器通道  4 通道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采样率  4 x 40Ms/s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带宽  DC~2Mhz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存储深度  64 Kbyte/CH </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无线通讯距离  与平板距离20米稳定通讯 </w:t>
            </w:r>
          </w:p>
          <w:p>
            <w:pPr>
              <w:widowControl/>
              <w:jc w:val="center"/>
              <w:textAlignment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32"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解码器</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处理器 双核，Cortex-A8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操作系统  LINUX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显示屏  7'' 800*480LED真彩液晶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工作温度  -10~45°C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工作电压  DC 7~32V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内存  512MB DDR2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内存卡  4G TF卡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防护等级  IP30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网络接口  LAN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无线  WIFI (选配)  </w:t>
            </w:r>
          </w:p>
          <w:p>
            <w:pPr>
              <w:widowControl/>
              <w:jc w:val="center"/>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 xml:space="preserve">USB  高速USB接口  </w:t>
            </w:r>
          </w:p>
          <w:p>
            <w:pPr>
              <w:widowControl/>
              <w:jc w:val="left"/>
              <w:textAlignment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OBD II 接头  标准OBD II接头  双CPU使产品运行更加稳定,快速</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博世工业及品质，全新的外壳材料使产品更加抗摔</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车型数据库基于博世标准开发</w:t>
            </w:r>
          </w:p>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shd w:val="clear" w:color="auto" w:fill="FFFFFF"/>
              </w:rPr>
              <w:t xml:space="preserve"> 诊断的车型及深度大幅度提升</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支持大众、丰田、日产车系等电控系统的自动扫描</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全新一键保养功能,快速完成汽车保养复位</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全新大众维修指引，宝马快速测试功能</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高级功能/匹配功能使用指导</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可选择品牌及车型下载升级</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诊断模式提供汽车维修帮助</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联网后一键自动上传反馈报告</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冻结帧帮助和一键式清除所有故障码</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数据流显示支持数值、波形、控件显示</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支持数据流记录及对比功能</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全面支持OBDII五种协议及九种测试模式</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 xml:space="preserve"> 万用OBDII测试接头适用所有16Pin诊断座的车型测试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示波器</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shd w:val="clear" w:color="auto" w:fill="FFFFFF"/>
              </w:rPr>
              <w:t>25MHz超高采样频率，快速，精确；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直接选择测试部件类型，更有针对性；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次级点火可同时显示波形、火花电压、燃烧时间及燃烧电压等；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“杂波捕捉”功能可快速捕捉、显示并可保存非常态信号波形；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图表式万用表测试速度和精度远远超越普通万用表，测试结果以数字和波形同屏显示；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嵌入的参考信息库提供操作步骤、工作原理及故障诊断提示；</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51个传感器、执行器的背景式参考波形；</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可与电脑联机并同步显示，适时抓取和打印波形图；</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强大的帮助系统可帮助您快速找到答案；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USB接口支持仪器实现快速升级； </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内置电池；</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可用于台式支撑及悬挂的多功能支架；</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该仪器通过CE认证。  </w:t>
            </w:r>
            <w:r>
              <w:rPr>
                <w:rFonts w:hint="eastAsia" w:ascii="仿宋" w:hAnsi="仿宋" w:eastAsia="仿宋" w:cs="仿宋"/>
                <w:color w:val="000000"/>
                <w:sz w:val="24"/>
                <w:szCs w:val="24"/>
                <w:shd w:val="clear" w:color="auto" w:fill="FFFFFF"/>
              </w:rPr>
              <w:br w:type="textWrapping"/>
            </w:r>
            <w:r>
              <w:rPr>
                <w:rStyle w:val="25"/>
                <w:rFonts w:hint="eastAsia" w:ascii="仿宋" w:hAnsi="仿宋" w:eastAsia="仿宋" w:cs="仿宋"/>
                <w:b w:val="0"/>
                <w:bCs/>
                <w:color w:val="000000"/>
                <w:sz w:val="24"/>
                <w:szCs w:val="24"/>
                <w:shd w:val="clear" w:color="auto" w:fill="FFFFFF"/>
              </w:rPr>
              <w:t>技术参数：</w:t>
            </w:r>
            <w:r>
              <w:rPr>
                <w:rStyle w:val="25"/>
                <w:rFonts w:hint="eastAsia" w:ascii="仿宋" w:hAnsi="仿宋" w:eastAsia="仿宋" w:cs="仿宋"/>
                <w:b w:val="0"/>
                <w:bCs/>
                <w:color w:val="000000"/>
                <w:sz w:val="24"/>
                <w:szCs w:val="24"/>
                <w:shd w:val="clear" w:color="auto" w:fill="FFFFFF"/>
              </w:rPr>
              <w:br w:type="textWrapping"/>
            </w:r>
            <w:r>
              <w:rPr>
                <w:rStyle w:val="25"/>
                <w:rFonts w:hint="eastAsia" w:ascii="仿宋" w:hAnsi="仿宋" w:eastAsia="仿宋" w:cs="仿宋"/>
                <w:b w:val="0"/>
                <w:bCs/>
                <w:color w:val="000000"/>
                <w:sz w:val="24"/>
                <w:szCs w:val="24"/>
                <w:shd w:val="clear" w:color="auto" w:fill="FFFFFF"/>
              </w:rPr>
              <w:t>横向：</w:t>
            </w:r>
            <w:r>
              <w:rPr>
                <w:rFonts w:hint="eastAsia" w:ascii="仿宋" w:hAnsi="仿宋" w:eastAsia="仿宋" w:cs="仿宋"/>
                <w:bCs/>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采样速率：25M/秒</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记录长度：1000点</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刷新速率：实时，滚动</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准确度  ：±（0.1%+1像点）</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扫描速率：1μs至50s,在1、2、5序列（示波器模式）5s至24小时，在1、2、5序列（万用表模式）</w:t>
            </w:r>
            <w:r>
              <w:rPr>
                <w:rFonts w:hint="eastAsia" w:ascii="仿宋" w:hAnsi="仿宋" w:eastAsia="仿宋" w:cs="仿宋"/>
                <w:color w:val="000000"/>
                <w:sz w:val="24"/>
                <w:szCs w:val="24"/>
                <w:shd w:val="clear" w:color="auto" w:fill="FFFFFF"/>
              </w:rPr>
              <w:br w:type="textWrapping"/>
            </w:r>
            <w:r>
              <w:rPr>
                <w:rStyle w:val="25"/>
                <w:rFonts w:hint="eastAsia" w:ascii="仿宋" w:hAnsi="仿宋" w:eastAsia="仿宋" w:cs="仿宋"/>
                <w:b w:val="0"/>
                <w:bCs/>
                <w:color w:val="000000"/>
                <w:sz w:val="24"/>
                <w:szCs w:val="24"/>
                <w:shd w:val="clear" w:color="auto" w:fill="FFFFFF"/>
              </w:rPr>
              <w:t>纵向：</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带宽    ：直流 至5MHz；-3dB</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分辨率  ：8位</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通道    ：2通道</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耦合    ：交流、直流、GND</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输入阻抗：1MΩ/70pF</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最大输入电压：300V</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V/DIV(伏/格)：50mV至100V，在1、2、5序列</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准确度  ：±3%</w:t>
            </w:r>
            <w:r>
              <w:rPr>
                <w:rFonts w:hint="eastAsia" w:ascii="仿宋" w:hAnsi="仿宋" w:eastAsia="仿宋" w:cs="仿宋"/>
                <w:color w:val="000000"/>
                <w:sz w:val="24"/>
                <w:szCs w:val="24"/>
                <w:shd w:val="clear" w:color="auto" w:fill="FFFFFF"/>
              </w:rPr>
              <w:br w:type="textWrapping"/>
            </w:r>
            <w:r>
              <w:rPr>
                <w:rStyle w:val="25"/>
                <w:rFonts w:hint="eastAsia" w:ascii="仿宋" w:hAnsi="仿宋" w:eastAsia="仿宋" w:cs="仿宋"/>
                <w:b w:val="0"/>
                <w:bCs/>
                <w:color w:val="000000"/>
                <w:sz w:val="24"/>
                <w:szCs w:val="24"/>
                <w:shd w:val="clear" w:color="auto" w:fill="FFFFFF"/>
              </w:rPr>
              <w:t>触发</w:t>
            </w:r>
            <w:r>
              <w:rPr>
                <w:rStyle w:val="25"/>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触发源 ：CH A,CH B,触发器（外部触发）</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灵敏度(CH A) ：&lt;1.0div(信号输入组电压)至5MHz</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灵敏度（触发） ：0.2Vp-p（峰值至峰值电压）</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模式 ：单次脉冲，普通，自动</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耦合 ：交流,直流</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斜率 ：上升和下降沿</w:t>
            </w:r>
            <w:r>
              <w:rPr>
                <w:rFonts w:hint="eastAsia" w:ascii="仿宋" w:hAnsi="仿宋" w:eastAsia="仿宋" w:cs="仿宋"/>
                <w:color w:val="000000"/>
                <w:sz w:val="24"/>
                <w:szCs w:val="24"/>
                <w:shd w:val="clear" w:color="auto" w:fill="FFFFFF"/>
              </w:rPr>
              <w:br w:type="textWrapping"/>
            </w:r>
            <w:r>
              <w:rPr>
                <w:rStyle w:val="25"/>
                <w:rFonts w:hint="eastAsia" w:ascii="仿宋" w:hAnsi="仿宋" w:eastAsia="仿宋" w:cs="仿宋"/>
                <w:b w:val="0"/>
                <w:color w:val="000000"/>
                <w:sz w:val="24"/>
                <w:szCs w:val="24"/>
                <w:shd w:val="clear" w:color="auto" w:fill="FFFFFF"/>
              </w:rPr>
              <w:t>其它</w:t>
            </w:r>
            <w:r>
              <w:rPr>
                <w:rStyle w:val="25"/>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缺陷捕捉 ：示波器模式（仅在部件测试中）</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获取模式 ：示波器模式</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设置存储器 ：8 波形和编排</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参考波形 ：51 个波形和编排</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游标 ：时间和电压</w:t>
            </w:r>
            <w:r>
              <w:rPr>
                <w:rFonts w:hint="eastAsia" w:ascii="仿宋" w:hAnsi="仿宋" w:eastAsia="仿宋" w:cs="仿宋"/>
                <w:color w:val="000000"/>
                <w:sz w:val="24"/>
                <w:szCs w:val="24"/>
                <w:shd w:val="clear" w:color="auto" w:fill="FFFFFF"/>
              </w:rPr>
              <w:br w:type="textWrapping"/>
            </w:r>
            <w:r>
              <w:rPr>
                <w:rFonts w:hint="eastAsia" w:ascii="仿宋" w:hAnsi="仿宋" w:eastAsia="仿宋" w:cs="仿宋"/>
                <w:color w:val="000000"/>
                <w:sz w:val="24"/>
                <w:szCs w:val="24"/>
                <w:shd w:val="clear" w:color="auto" w:fill="FFFFFF"/>
              </w:rPr>
              <w:t>仪器设置 ：语言，对比度，格栅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尾排</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定制产品，根据实训室规划所安装，做到交钥匙工程。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轮胎深度尺</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产品参数:</w:t>
            </w:r>
          </w:p>
          <w:p>
            <w:pPr>
              <w:widowControl/>
              <w:jc w:val="center"/>
              <w:textAlignment w:val="center"/>
              <w:rPr>
                <w:rFonts w:hint="eastAsia" w:ascii="仿宋" w:hAnsi="仿宋" w:eastAsia="仿宋" w:cs="仿宋"/>
                <w:color w:val="000000"/>
                <w:kern w:val="0"/>
                <w:sz w:val="24"/>
                <w:szCs w:val="24"/>
              </w:rPr>
            </w:pP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量程:0~25.4MM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精度:0.01MM</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测量单位：英尺/毫米.</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电池:SR44/LR44 1.5V</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用于测量车胎胎纹深度。</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可有效减少车胎磨损。</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适用于摩托车，卡车和越野车。</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测量单位：英尺/毫米.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风炮</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799"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类型 气动冲击扳手 方头尺寸 1/2寸（inch）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平均耗气量 2 工作压力 90PSI（Mpa） 空载转速 8000（rpm） </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进气口尺寸 1/4NPT（inch） 长度 185mm（mm） 重量 2.63KG（kg） </w:t>
            </w:r>
          </w:p>
          <w:p>
            <w:pPr>
              <w:widowControl/>
              <w:jc w:val="center"/>
              <w:textAlignment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3" w:hRule="atLeast"/>
          <w:jc w:val="center"/>
        </w:trPr>
        <w:tc>
          <w:tcPr>
            <w:tcW w:w="770"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37</w:t>
            </w:r>
          </w:p>
        </w:tc>
        <w:tc>
          <w:tcPr>
            <w:tcW w:w="1247" w:type="dxa"/>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车身实训台架</w:t>
            </w:r>
          </w:p>
        </w:tc>
        <w:tc>
          <w:tcPr>
            <w:tcW w:w="705" w:type="dxa"/>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799" w:type="dxa"/>
            <w:vAlign w:val="center"/>
          </w:tcPr>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车身实训台架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变速箱附翻转架</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5799" w:type="dxa"/>
            <w:vAlign w:val="center"/>
          </w:tcPr>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1拆装中变速箱可做轴向360度翻转和静止；</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2大面积接油盆可做到工具、零件、机油三不落地；</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3能随意调整工作角度并设有安全锁止装置，拆装灵活可靠。</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4拆装台由底座、翻转架、减速机、接油盆组成。</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5在拆装过程可实现360度翻转，并可在任何角度稳定停留，使拆装工作得心应手。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7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1247" w:type="dxa"/>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发动机附翻转架</w:t>
            </w:r>
          </w:p>
        </w:tc>
        <w:tc>
          <w:tcPr>
            <w:tcW w:w="7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5799" w:type="dxa"/>
            <w:vAlign w:val="center"/>
          </w:tcPr>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1）拆装中发动机可做轴向360度翻转和静止；</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2大面积接油盆可做到工具、零件、机油三不落地；</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3能随意调整工作角度并设有安全锁止装置，拆装灵活可靠。</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4拆装台由底座、翻转架、减速机、接油盆组成。</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5在拆装过程可实现360度翻转，并可在任何角度稳定停留，使拆装工作得心应手。移动方便，四轮可锁止配备智能考核故障设置系统</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配备智能考核故障设置系统</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1.采用Android系统开发的智能故障考核系统，可以应用于平板或手机终端。</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2.操作智能模块采用10.1寸高清IPS大屏平板，带蓝牙，缓存2G，32G硬盘内置30G汽车维修资料和实训实训指导说明书、百份汽车部件构造高清图。附加60GSD卡内置维修手册。</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智能故障控制终端自带WIFI 或有线控制或与校园网络连接进行远程实训控制，可设定与汽车电控模块引脚有关的各种常见故障，包括：</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线路断路、交互短路、内置阻值，偶发等故障现象。基础故障设置不少于32位或更多。智能终端自带数据储存，学生可通过手机APP软件读取实训台架相关知识热点与模拟考核学习。</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软件内设常见授课故障设置和考核设置。</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老师进入教师界面（1）首先进行网络测试可以检查考核系统是否正常工作，（2）</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如需进行授课故障案例分析讲解，选择授课故障设置工作界面，进行故障案例分析讲解，可参考平板内置实训指导书，（3）</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考核故障设置，教师通过对考核故障难易度的任意编写，还可编写学生姓名考核编号，设置不同实训台不同ECU针脚位为故障点（4）</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学生可以凭编号进入考试界面，每次考核的时常为60 分钟，考核结束后自动显示学生考核成绩，学生通过对故障点分析包括电流电压通断等，在答案栏直接输入ECU或线路连接点的代号，进一步加深学生对ECU或线路连接点的作用。教师可以对学生的考核成绩查询导出到SD卡内打印或“云”存储。答题答案直接输入控制单元脚位，便于学生对控制单元与故障点现象的记忆。</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5.可以多台设备通过有线或无线组成一个网络，通过一台平板PC控制所有连网设备。安装有RJ45网络接口与WIFI热点共享功能，备有RS-232串行口。</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6.系统内带“云”资料下载功能 资料由厂家免费提供（包括维修手册、软件更新、课程方案等）</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7、支持高清视频（维修教学讲解视频）播放，支持教学文档编辑、支持幻灯片文件编辑。</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自带故障课件讲解页面，从没一个故障的产生到故障现象的讲解。</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9.支持一故多障（如设置一个故障同时产生4个或多个间隙故障）含盖短路断路间隙故障任意组合。</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10、实训台台架自带二维码，学生与教师通过智能端扫描二维码，可以获取实训台架传感器与执行器的知识热点。</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11、每台智能故障终端wifi名称为校方名称后加实训台架名称方便校方管理。</w:t>
            </w:r>
          </w:p>
          <w:p>
            <w:pPr>
              <w:widowControl/>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内置汽车教育资源公共实训平台系统，可免费联网登入学习与课程更新。加</w:t>
            </w:r>
            <w:r>
              <w:rPr>
                <w:rFonts w:hint="eastAsia" w:ascii="仿宋" w:hAnsi="仿宋" w:eastAsia="仿宋" w:cs="仿宋"/>
                <w:kern w:val="0"/>
                <w:sz w:val="24"/>
                <w:szCs w:val="24"/>
              </w:rPr>
              <w:t>★的提供软件截图</w:t>
            </w:r>
          </w:p>
        </w:tc>
      </w:tr>
    </w:tbl>
    <w:p>
      <w:pPr>
        <w:widowControl/>
        <w:shd w:val="clear" w:color="auto" w:fill="FFFFFF"/>
        <w:spacing w:line="360" w:lineRule="auto"/>
        <w:ind w:firstLine="600"/>
        <w:jc w:val="left"/>
        <w:rPr>
          <w:rFonts w:hint="eastAsia" w:ascii="仿宋" w:hAnsi="仿宋" w:eastAsia="仿宋" w:cs="仿宋"/>
          <w:color w:val="000000"/>
          <w:kern w:val="0"/>
          <w:sz w:val="24"/>
          <w:szCs w:val="24"/>
        </w:rPr>
      </w:pP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（三）采购标的执行标准：国家采购标准</w:t>
      </w:r>
    </w:p>
    <w:p>
      <w:pPr>
        <w:widowControl/>
        <w:shd w:val="clear" w:color="auto" w:fill="FFFFFF"/>
        <w:spacing w:line="360" w:lineRule="auto"/>
        <w:ind w:firstLine="480" w:firstLineChars="200"/>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（四）服务标准合格、期限一年、效率60日历天等要求</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（五）验收标准</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8"/>
        </w:numPr>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按照国家相关标准、行业标准</w:t>
      </w:r>
    </w:p>
    <w:p>
      <w:pPr>
        <w:ind w:firstLine="480" w:firstLineChars="200"/>
        <w:rPr>
          <w:rFonts w:hint="eastAsia" w:ascii="仿宋" w:hAnsi="仿宋" w:eastAsia="仿宋" w:cs="仿宋"/>
          <w:b/>
          <w:kern w:val="2"/>
          <w:sz w:val="24"/>
          <w:szCs w:val="24"/>
          <w:lang w:val="en-US" w:eastAsia="zh-CN" w:bidi="ar-SA"/>
        </w:rPr>
      </w:pPr>
      <w:r>
        <w:rPr>
          <w:rFonts w:hint="eastAsia" w:ascii="仿宋" w:hAnsi="仿宋" w:eastAsia="仿宋" w:cs="仿宋"/>
          <w:color w:val="000000"/>
          <w:kern w:val="0"/>
          <w:sz w:val="24"/>
          <w:szCs w:val="24"/>
        </w:rPr>
        <w:t>2、按照招标文件要求、投标文件响应和承诺验收；</w:t>
      </w: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以签订合同为</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河南省禹州市职业中等专业学校采购汽修设备项目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122</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汽修设备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河南省禹州市职业中等专业学校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禹州市药城路</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1、符合《政府采购法》第二十二条之规定，具有独立法人资格且具有相应的经营范围（以营业执照为准）；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77</w:t>
            </w:r>
            <w:r>
              <w:rPr>
                <w:rFonts w:hint="eastAsia" w:cs="宋体" w:asciiTheme="minorEastAsia" w:hAnsiTheme="minorEastAsia"/>
                <w:color w:val="FF0000"/>
                <w:kern w:val="0"/>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7月8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bookmarkStart w:id="9" w:name="_GoBack"/>
            <w:bookmarkEnd w:id="9"/>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价格分值：50分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仿宋" w:hAnsi="仿宋" w:eastAsia="仿宋" w:cs="宋体"/>
                <w:color w:val="000000"/>
                <w:kern w:val="0"/>
                <w:sz w:val="32"/>
                <w:szCs w:val="32"/>
                <w:lang w:val="en-US" w:eastAsia="zh-CN"/>
              </w:rPr>
              <w:t>40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rPr>
              <w:t>50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w:t>
            </w:r>
          </w:p>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评标基准价：满足招标文件要求的有效投标报价中，最低的投标报价为评标基准价。</w:t>
            </w:r>
          </w:p>
          <w:p>
            <w:pPr>
              <w:widowControl/>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投标报价得分=（评标基准价/投标报价）×50</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rPr>
              <w:t>50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lang w:val="en-US" w:eastAsia="zh-CN"/>
              </w:rPr>
              <w:t>10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restart"/>
            <w:tcBorders>
              <w:top w:val="single" w:color="auto" w:sz="4" w:space="0"/>
              <w:left w:val="single" w:color="auto" w:sz="4" w:space="0"/>
              <w:right w:val="single" w:color="auto" w:sz="4" w:space="0"/>
            </w:tcBorders>
            <w:vAlign w:val="center"/>
          </w:tcPr>
          <w:p>
            <w:pPr>
              <w:snapToGrid w:val="0"/>
              <w:spacing w:line="400" w:lineRule="exact"/>
              <w:jc w:val="left"/>
              <w:rPr>
                <w:rFonts w:hint="eastAsia" w:ascii="仿宋" w:hAnsi="仿宋" w:eastAsia="仿宋" w:cs="宋体"/>
                <w:color w:val="000000"/>
                <w:kern w:val="0"/>
                <w:sz w:val="32"/>
                <w:szCs w:val="32"/>
                <w:lang w:eastAsia="zh-CN"/>
              </w:rPr>
            </w:pPr>
            <w:r>
              <w:rPr>
                <w:rFonts w:hint="eastAsia" w:ascii="仿宋" w:hAnsi="仿宋" w:eastAsia="仿宋" w:cs="仿宋"/>
                <w:sz w:val="24"/>
                <w:szCs w:val="24"/>
              </w:rPr>
              <w:t>企业</w:t>
            </w:r>
            <w:r>
              <w:rPr>
                <w:rFonts w:hint="eastAsia" w:ascii="仿宋" w:hAnsi="仿宋" w:eastAsia="仿宋" w:cs="仿宋"/>
                <w:sz w:val="24"/>
                <w:szCs w:val="24"/>
                <w:lang w:eastAsia="zh-CN"/>
              </w:rPr>
              <w:t>实力（</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165" w:type="dxa"/>
            <w:tcBorders>
              <w:top w:val="single" w:color="auto" w:sz="4" w:space="0"/>
              <w:left w:val="single" w:color="auto" w:sz="4" w:space="0"/>
              <w:bottom w:val="single" w:color="auto" w:sz="4" w:space="0"/>
              <w:right w:val="single" w:color="auto" w:sz="4" w:space="0"/>
            </w:tcBorders>
            <w:vAlign w:val="center"/>
          </w:tcPr>
          <w:p>
            <w:pPr>
              <w:numPr>
                <w:ilvl w:val="0"/>
                <w:numId w:val="10"/>
              </w:numPr>
              <w:snapToGrid w:val="0"/>
              <w:spacing w:line="400" w:lineRule="exact"/>
              <w:jc w:val="left"/>
              <w:rPr>
                <w:rFonts w:hint="eastAsia" w:ascii="仿宋" w:hAnsi="仿宋" w:eastAsia="仿宋" w:cs="仿宋"/>
                <w:sz w:val="24"/>
                <w:szCs w:val="24"/>
                <w:lang w:val="zh-CN"/>
              </w:rPr>
            </w:pPr>
            <w:r>
              <w:rPr>
                <w:rFonts w:hint="eastAsia" w:ascii="仿宋" w:hAnsi="仿宋" w:eastAsia="仿宋" w:cs="仿宋"/>
                <w:sz w:val="24"/>
                <w:szCs w:val="24"/>
                <w:lang w:val="zh-CN"/>
              </w:rPr>
              <w:t>投标人提供的信用等级证书及信用评估报告，评价为AAA级的加</w:t>
            </w:r>
            <w:r>
              <w:rPr>
                <w:rFonts w:hint="eastAsia" w:ascii="仿宋" w:hAnsi="仿宋" w:eastAsia="仿宋" w:cs="仿宋"/>
                <w:sz w:val="24"/>
                <w:szCs w:val="24"/>
              </w:rPr>
              <w:t>3</w:t>
            </w:r>
            <w:r>
              <w:rPr>
                <w:rFonts w:hint="eastAsia" w:ascii="仿宋" w:hAnsi="仿宋" w:eastAsia="仿宋" w:cs="仿宋"/>
                <w:sz w:val="24"/>
                <w:szCs w:val="24"/>
                <w:lang w:val="zh-CN"/>
              </w:rPr>
              <w:t>分，评价为AA级的加</w:t>
            </w:r>
            <w:r>
              <w:rPr>
                <w:rFonts w:hint="eastAsia" w:ascii="仿宋" w:hAnsi="仿宋" w:eastAsia="仿宋" w:cs="仿宋"/>
                <w:sz w:val="24"/>
                <w:szCs w:val="24"/>
              </w:rPr>
              <w:t>2</w:t>
            </w:r>
            <w:r>
              <w:rPr>
                <w:rFonts w:hint="eastAsia" w:ascii="仿宋" w:hAnsi="仿宋" w:eastAsia="仿宋" w:cs="仿宋"/>
                <w:sz w:val="24"/>
                <w:szCs w:val="24"/>
                <w:lang w:val="zh-CN"/>
              </w:rPr>
              <w:t>分，评价为A级的加</w:t>
            </w:r>
            <w:r>
              <w:rPr>
                <w:rFonts w:hint="eastAsia" w:ascii="仿宋" w:hAnsi="仿宋" w:eastAsia="仿宋" w:cs="仿宋"/>
                <w:sz w:val="24"/>
                <w:szCs w:val="24"/>
              </w:rPr>
              <w:t>1</w:t>
            </w:r>
            <w:r>
              <w:rPr>
                <w:rFonts w:hint="eastAsia" w:ascii="仿宋" w:hAnsi="仿宋" w:eastAsia="仿宋" w:cs="仿宋"/>
                <w:sz w:val="24"/>
                <w:szCs w:val="24"/>
                <w:lang w:val="zh-CN"/>
              </w:rPr>
              <w:t>分</w:t>
            </w:r>
            <w:r>
              <w:rPr>
                <w:rFonts w:hint="eastAsia" w:ascii="仿宋" w:hAnsi="仿宋" w:eastAsia="仿宋" w:cs="仿宋"/>
                <w:sz w:val="24"/>
                <w:szCs w:val="24"/>
              </w:rPr>
              <w:t>.不能提供的则</w:t>
            </w:r>
            <w:r>
              <w:rPr>
                <w:rFonts w:hint="eastAsia" w:ascii="仿宋" w:hAnsi="仿宋" w:eastAsia="仿宋" w:cs="仿宋"/>
                <w:sz w:val="24"/>
                <w:szCs w:val="24"/>
                <w:lang w:val="zh-CN"/>
              </w:rPr>
              <w:t>不得分。</w:t>
            </w:r>
          </w:p>
          <w:p>
            <w:pPr>
              <w:pStyle w:val="15"/>
              <w:numPr>
                <w:ilvl w:val="0"/>
                <w:numId w:val="10"/>
              </w:numPr>
              <w:tabs>
                <w:tab w:val="clear" w:pos="312"/>
              </w:tabs>
              <w:ind w:left="0"/>
              <w:rPr>
                <w:rFonts w:hint="eastAsia" w:ascii="仿宋" w:hAnsi="仿宋" w:eastAsia="仿宋" w:cs="仿宋"/>
                <w:sz w:val="24"/>
                <w:szCs w:val="24"/>
              </w:rPr>
            </w:pPr>
            <w:r>
              <w:rPr>
                <w:rFonts w:hint="eastAsia" w:ascii="仿宋" w:hAnsi="仿宋" w:eastAsia="仿宋" w:cs="仿宋"/>
                <w:sz w:val="24"/>
                <w:szCs w:val="24"/>
                <w:lang w:val="zh-CN"/>
              </w:rPr>
              <w:t>提供环境管理体系认证证书的得</w:t>
            </w:r>
            <w:r>
              <w:rPr>
                <w:rFonts w:hint="eastAsia" w:ascii="仿宋" w:hAnsi="仿宋" w:eastAsia="仿宋" w:cs="仿宋"/>
                <w:sz w:val="24"/>
                <w:szCs w:val="24"/>
              </w:rPr>
              <w:t>1分，不提供则不得分.</w:t>
            </w:r>
          </w:p>
          <w:p>
            <w:pPr>
              <w:pStyle w:val="15"/>
              <w:numPr>
                <w:ilvl w:val="0"/>
                <w:numId w:val="10"/>
              </w:numPr>
              <w:tabs>
                <w:tab w:val="clear" w:pos="312"/>
              </w:tabs>
              <w:ind w:left="0"/>
              <w:rPr>
                <w:rFonts w:hint="eastAsia" w:ascii="仿宋" w:hAnsi="仿宋" w:eastAsia="仿宋" w:cs="仿宋"/>
                <w:sz w:val="24"/>
                <w:szCs w:val="24"/>
                <w:lang w:val="zh-CN"/>
              </w:rPr>
            </w:pPr>
            <w:r>
              <w:rPr>
                <w:rFonts w:hint="eastAsia" w:ascii="仿宋" w:hAnsi="仿宋" w:eastAsia="仿宋" w:cs="仿宋"/>
                <w:sz w:val="24"/>
                <w:szCs w:val="24"/>
                <w:lang w:val="zh-CN"/>
              </w:rPr>
              <w:t>提供质量管理体系认证证书的得</w:t>
            </w:r>
            <w:r>
              <w:rPr>
                <w:rFonts w:hint="eastAsia" w:ascii="仿宋" w:hAnsi="仿宋" w:eastAsia="仿宋" w:cs="仿宋"/>
                <w:sz w:val="24"/>
                <w:szCs w:val="24"/>
              </w:rPr>
              <w:t>1分，不提供则不得分</w:t>
            </w:r>
          </w:p>
          <w:p>
            <w:pPr>
              <w:pStyle w:val="15"/>
              <w:numPr>
                <w:ilvl w:val="0"/>
                <w:numId w:val="10"/>
              </w:numPr>
              <w:tabs>
                <w:tab w:val="clear" w:pos="312"/>
              </w:tabs>
              <w:ind w:left="0"/>
              <w:rPr>
                <w:rFonts w:hint="eastAsia" w:ascii="仿宋" w:hAnsi="仿宋" w:eastAsia="仿宋" w:cs="仿宋"/>
                <w:sz w:val="24"/>
                <w:szCs w:val="24"/>
                <w:lang w:val="zh-CN"/>
              </w:rPr>
            </w:pPr>
            <w:r>
              <w:rPr>
                <w:rFonts w:hint="eastAsia" w:ascii="仿宋" w:hAnsi="仿宋" w:eastAsia="仿宋" w:cs="仿宋"/>
                <w:sz w:val="24"/>
                <w:szCs w:val="24"/>
              </w:rPr>
              <w:t>提供职业健康管理体系认证证书的得1分，不提供则不得分</w:t>
            </w:r>
          </w:p>
          <w:p>
            <w:pPr>
              <w:pStyle w:val="15"/>
              <w:ind w:left="0" w:leftChars="0"/>
              <w:rPr>
                <w:rFonts w:ascii="仿宋" w:hAnsi="仿宋" w:eastAsia="仿宋" w:cs="宋体"/>
                <w:color w:val="000000"/>
                <w:kern w:val="0"/>
                <w:sz w:val="32"/>
                <w:szCs w:val="32"/>
              </w:rPr>
            </w:pPr>
            <w:r>
              <w:rPr>
                <w:rFonts w:hint="eastAsia" w:ascii="仿宋" w:hAnsi="仿宋" w:eastAsia="仿宋" w:cs="仿宋"/>
                <w:sz w:val="24"/>
                <w:szCs w:val="24"/>
              </w:rPr>
              <w:t>5.提供河南省教育装备协会会员证书的得1分，不提供则不得分。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Merge w:val="continue"/>
            <w:tcBorders>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宋体"/>
                <w:color w:val="000000"/>
                <w:kern w:val="0"/>
                <w:sz w:val="32"/>
                <w:szCs w:val="32"/>
              </w:rPr>
            </w:pPr>
          </w:p>
        </w:tc>
        <w:tc>
          <w:tcPr>
            <w:tcW w:w="616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仿宋" w:cs="宋体"/>
                <w:szCs w:val="24"/>
                <w:lang w:eastAsia="zh-CN"/>
              </w:rPr>
            </w:pPr>
            <w:r>
              <w:rPr>
                <w:rFonts w:hint="eastAsia" w:ascii="仿宋" w:hAnsi="仿宋" w:eastAsia="仿宋" w:cs="仿宋"/>
                <w:sz w:val="24"/>
                <w:szCs w:val="24"/>
              </w:rPr>
              <w:t>2016年1月1日以来，所投同类产品的销售业绩，每有一项合同的得1分，最高得3分，没有不得分。投标人须提供合同复印件，装订进投标文件中</w:t>
            </w:r>
            <w:r>
              <w:rPr>
                <w:rFonts w:hint="eastAsia" w:ascii="仿宋" w:hAnsi="仿宋" w:eastAsia="仿宋" w:cs="仿宋"/>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lang w:val="en-US" w:eastAsia="zh-CN"/>
              </w:rPr>
              <w:t>40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宋体"/>
                <w:color w:val="000000"/>
                <w:kern w:val="0"/>
                <w:sz w:val="32"/>
                <w:szCs w:val="32"/>
              </w:rPr>
            </w:pPr>
            <w:r>
              <w:rPr>
                <w:rFonts w:hint="eastAsia" w:ascii="仿宋" w:hAnsi="仿宋" w:eastAsia="仿宋" w:cs="仿宋"/>
                <w:sz w:val="24"/>
                <w:szCs w:val="24"/>
                <w:lang w:eastAsia="zh-CN"/>
              </w:rPr>
              <w:t>投标产品的响应程度</w:t>
            </w:r>
            <w:r>
              <w:rPr>
                <w:rFonts w:hint="eastAsia" w:ascii="仿宋" w:hAnsi="仿宋" w:eastAsia="仿宋" w:cs="仿宋"/>
                <w:sz w:val="24"/>
                <w:szCs w:val="24"/>
              </w:rPr>
              <w:t>（30分）</w:t>
            </w:r>
          </w:p>
        </w:tc>
        <w:tc>
          <w:tcPr>
            <w:tcW w:w="616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.投标产品完全满足或优于招标文件要求的得满分；投标产品技术参数不满足招标文件要求的，每有一项从满分30分基础上扣3分，扣完为止。</w:t>
            </w:r>
          </w:p>
          <w:p>
            <w:pPr>
              <w:snapToGrid w:val="0"/>
              <w:spacing w:line="400" w:lineRule="exact"/>
              <w:jc w:val="left"/>
              <w:rPr>
                <w:rFonts w:ascii="仿宋" w:hAnsi="仿宋" w:cs="宋体"/>
                <w:color w:val="000000"/>
                <w:kern w:val="0"/>
                <w:sz w:val="32"/>
                <w:szCs w:val="32"/>
              </w:rPr>
            </w:pPr>
            <w:r>
              <w:rPr>
                <w:rFonts w:hint="eastAsia" w:ascii="仿宋" w:hAnsi="仿宋" w:eastAsia="仿宋" w:cs="仿宋"/>
                <w:sz w:val="24"/>
                <w:szCs w:val="24"/>
              </w:rPr>
              <w:t>2.投标货物的加★技术指标或功能每有一条低于招标文件的扣3分，扣完为止。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质量及售后服务承诺</w:t>
            </w:r>
          </w:p>
          <w:p>
            <w:pPr>
              <w:snapToGrid w:val="0"/>
              <w:spacing w:line="400" w:lineRule="exact"/>
              <w:jc w:val="center"/>
              <w:rPr>
                <w:rFonts w:ascii="仿宋" w:hAnsi="仿宋" w:eastAsia="仿宋" w:cs="宋体"/>
                <w:color w:val="000000"/>
                <w:kern w:val="0"/>
                <w:sz w:val="32"/>
                <w:szCs w:val="32"/>
              </w:rPr>
            </w:pPr>
            <w:r>
              <w:rPr>
                <w:rFonts w:hint="eastAsia" w:ascii="仿宋" w:hAnsi="仿宋" w:eastAsia="仿宋" w:cs="仿宋"/>
                <w:sz w:val="24"/>
                <w:szCs w:val="24"/>
              </w:rPr>
              <w:t>（10分）</w:t>
            </w:r>
          </w:p>
        </w:tc>
        <w:tc>
          <w:tcPr>
            <w:tcW w:w="6165"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288" w:lineRule="auto"/>
              <w:rPr>
                <w:rFonts w:hint="eastAsia" w:ascii="仿宋" w:hAnsi="仿宋" w:eastAsia="仿宋" w:cs="仿宋"/>
                <w:bCs/>
                <w:sz w:val="24"/>
                <w:szCs w:val="24"/>
              </w:rPr>
            </w:pPr>
            <w:r>
              <w:rPr>
                <w:rFonts w:hint="eastAsia" w:ascii="仿宋" w:hAnsi="仿宋" w:eastAsia="仿宋" w:cs="仿宋"/>
                <w:bCs/>
                <w:sz w:val="24"/>
                <w:szCs w:val="24"/>
              </w:rPr>
              <w:t>设备、软件进货渠道正规，有质量保证，提供相关证明，</w:t>
            </w:r>
          </w:p>
          <w:p>
            <w:pPr>
              <w:numPr>
                <w:ilvl w:val="0"/>
                <w:numId w:val="11"/>
              </w:numPr>
              <w:spacing w:line="288" w:lineRule="auto"/>
              <w:rPr>
                <w:rFonts w:hint="eastAsia" w:ascii="仿宋" w:hAnsi="仿宋" w:eastAsia="仿宋" w:cs="仿宋"/>
                <w:bCs/>
                <w:sz w:val="24"/>
                <w:szCs w:val="24"/>
              </w:rPr>
            </w:pPr>
            <w:r>
              <w:rPr>
                <w:rFonts w:hint="eastAsia" w:ascii="仿宋" w:hAnsi="仿宋" w:eastAsia="仿宋" w:cs="仿宋"/>
                <w:bCs/>
                <w:sz w:val="24"/>
                <w:szCs w:val="24"/>
              </w:rPr>
              <w:t>确保生产供应的货物无假货、水货、翻新货、无产权纠纷；并能提供相关设备供销发票证明的。能够保证产、供销正常运转。</w:t>
            </w:r>
          </w:p>
          <w:p>
            <w:pPr>
              <w:numPr>
                <w:ilvl w:val="0"/>
                <w:numId w:val="11"/>
              </w:numPr>
              <w:spacing w:line="288" w:lineRule="auto"/>
              <w:rPr>
                <w:rFonts w:hint="eastAsia" w:ascii="仿宋" w:hAnsi="仿宋" w:eastAsia="仿宋" w:cs="仿宋"/>
                <w:bCs/>
                <w:sz w:val="24"/>
                <w:szCs w:val="24"/>
              </w:rPr>
            </w:pPr>
            <w:r>
              <w:rPr>
                <w:rFonts w:hint="eastAsia" w:ascii="仿宋" w:hAnsi="仿宋" w:eastAsia="仿宋" w:cs="仿宋"/>
                <w:bCs/>
                <w:sz w:val="24"/>
                <w:szCs w:val="24"/>
              </w:rPr>
              <w:t>主要设备和软件配置、安装调试、检测、启动运行方面措施得力，并有专业队伍人员支持。</w:t>
            </w:r>
          </w:p>
          <w:p>
            <w:pPr>
              <w:numPr>
                <w:ilvl w:val="0"/>
                <w:numId w:val="11"/>
              </w:numPr>
              <w:spacing w:line="288" w:lineRule="auto"/>
              <w:rPr>
                <w:rFonts w:hint="eastAsia" w:ascii="仿宋" w:hAnsi="仿宋" w:eastAsia="仿宋" w:cs="仿宋"/>
                <w:bCs/>
                <w:sz w:val="24"/>
                <w:szCs w:val="24"/>
              </w:rPr>
            </w:pPr>
            <w:r>
              <w:rPr>
                <w:rFonts w:hint="eastAsia" w:ascii="仿宋" w:hAnsi="仿宋" w:eastAsia="仿宋" w:cs="仿宋"/>
                <w:bCs/>
                <w:sz w:val="24"/>
                <w:szCs w:val="24"/>
              </w:rPr>
              <w:t>投标人承诺的保修条件、服务期限、服务响应时间、服务保证措施。投标人对采购人给于设备相关的优惠或其他辅材赠送。</w:t>
            </w:r>
          </w:p>
          <w:p>
            <w:pPr>
              <w:spacing w:line="288" w:lineRule="auto"/>
              <w:rPr>
                <w:rFonts w:hint="eastAsia" w:ascii="仿宋" w:hAnsi="仿宋" w:eastAsia="仿宋" w:cs="仿宋"/>
                <w:bCs/>
                <w:sz w:val="24"/>
                <w:szCs w:val="24"/>
              </w:rPr>
            </w:pPr>
            <w:r>
              <w:rPr>
                <w:rFonts w:hint="eastAsia" w:ascii="仿宋" w:hAnsi="仿宋" w:eastAsia="仿宋" w:cs="仿宋"/>
                <w:bCs/>
                <w:sz w:val="24"/>
                <w:szCs w:val="24"/>
              </w:rPr>
              <w:t>5同时具有详细的培训方案，可操作性强，具有详细的培训计划和培训人员安排。</w:t>
            </w:r>
          </w:p>
          <w:p>
            <w:pPr>
              <w:snapToGrid w:val="0"/>
              <w:spacing w:line="400" w:lineRule="exact"/>
              <w:jc w:val="left"/>
              <w:rPr>
                <w:rFonts w:ascii="仿宋" w:hAnsi="仿宋" w:eastAsia="仿宋" w:cs="宋体"/>
                <w:color w:val="000000"/>
                <w:kern w:val="0"/>
                <w:sz w:val="32"/>
                <w:szCs w:val="32"/>
              </w:rPr>
            </w:pPr>
            <w:r>
              <w:rPr>
                <w:rFonts w:hint="eastAsia" w:ascii="仿宋" w:hAnsi="仿宋" w:eastAsia="仿宋" w:cs="仿宋"/>
                <w:sz w:val="24"/>
                <w:szCs w:val="24"/>
              </w:rPr>
              <w:t>根据投标人针对上述条款作出实质性响应，每满足一项得2分，不满足则不得分。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p>
        </w:tc>
      </w:tr>
    </w:tbl>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rPr>
        <w:rFonts w:cs="Times New Roman"/>
      </w:rPr>
    </w:lvl>
  </w:abstractNum>
  <w:abstractNum w:abstractNumId="2">
    <w:nsid w:val="00000002"/>
    <w:multiLevelType w:val="singleLevel"/>
    <w:tmpl w:val="00000002"/>
    <w:lvl w:ilvl="0" w:tentative="0">
      <w:start w:val="1"/>
      <w:numFmt w:val="decimal"/>
      <w:lvlText w:val="%1."/>
      <w:lvlJc w:val="left"/>
      <w:pPr>
        <w:tabs>
          <w:tab w:val="left" w:pos="312"/>
        </w:tabs>
      </w:pPr>
      <w:rPr>
        <w:rFonts w:cs="Times New Roman"/>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CC7851"/>
    <w:multiLevelType w:val="multilevel"/>
    <w:tmpl w:val="06CC7851"/>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CD141E"/>
    <w:multiLevelType w:val="multilevel"/>
    <w:tmpl w:val="27CD141E"/>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0"/>
      <w:suff w:val="nothing"/>
      <w:lvlText w:val="%1、"/>
      <w:lvlJc w:val="left"/>
    </w:lvl>
  </w:abstractNum>
  <w:abstractNum w:abstractNumId="11">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0"/>
  </w:num>
  <w:num w:numId="4">
    <w:abstractNumId w:val="8"/>
  </w:num>
  <w:num w:numId="5">
    <w:abstractNumId w:val="9"/>
  </w:num>
  <w:num w:numId="6">
    <w:abstractNumId w:val="1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E38"/>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3360734"/>
    <w:rsid w:val="03A91E72"/>
    <w:rsid w:val="04CD55F1"/>
    <w:rsid w:val="04EB2520"/>
    <w:rsid w:val="05816BE1"/>
    <w:rsid w:val="06195DD7"/>
    <w:rsid w:val="06A1135B"/>
    <w:rsid w:val="06AE41CF"/>
    <w:rsid w:val="07715A05"/>
    <w:rsid w:val="07A679A3"/>
    <w:rsid w:val="07C16548"/>
    <w:rsid w:val="08F74F9F"/>
    <w:rsid w:val="090E6040"/>
    <w:rsid w:val="0999099B"/>
    <w:rsid w:val="0B842BC9"/>
    <w:rsid w:val="0BEC149C"/>
    <w:rsid w:val="0C3D4298"/>
    <w:rsid w:val="0C756C93"/>
    <w:rsid w:val="0C9523A6"/>
    <w:rsid w:val="0CA67F00"/>
    <w:rsid w:val="0CF658BA"/>
    <w:rsid w:val="0D1B18EA"/>
    <w:rsid w:val="0D3145FB"/>
    <w:rsid w:val="0DC470D4"/>
    <w:rsid w:val="0E0A0070"/>
    <w:rsid w:val="0F270D1C"/>
    <w:rsid w:val="0F94795C"/>
    <w:rsid w:val="10173B0E"/>
    <w:rsid w:val="109B612E"/>
    <w:rsid w:val="116D26CD"/>
    <w:rsid w:val="11C23651"/>
    <w:rsid w:val="121E2194"/>
    <w:rsid w:val="155F2638"/>
    <w:rsid w:val="16B47E06"/>
    <w:rsid w:val="174A0271"/>
    <w:rsid w:val="176C103F"/>
    <w:rsid w:val="17BD36E0"/>
    <w:rsid w:val="17CE6051"/>
    <w:rsid w:val="189035FD"/>
    <w:rsid w:val="189C4807"/>
    <w:rsid w:val="18A01DB4"/>
    <w:rsid w:val="18D55096"/>
    <w:rsid w:val="197F5DF8"/>
    <w:rsid w:val="19C7736F"/>
    <w:rsid w:val="1A08396D"/>
    <w:rsid w:val="1AB34309"/>
    <w:rsid w:val="1AED2151"/>
    <w:rsid w:val="1C264C74"/>
    <w:rsid w:val="1C2D1536"/>
    <w:rsid w:val="1CCF2F1D"/>
    <w:rsid w:val="1EBA7A7F"/>
    <w:rsid w:val="1ECC3FAB"/>
    <w:rsid w:val="1ECE4957"/>
    <w:rsid w:val="1F7208EE"/>
    <w:rsid w:val="1F7A2C5B"/>
    <w:rsid w:val="1FE15514"/>
    <w:rsid w:val="2157706F"/>
    <w:rsid w:val="219C042E"/>
    <w:rsid w:val="21DD4A96"/>
    <w:rsid w:val="22151D9F"/>
    <w:rsid w:val="23724795"/>
    <w:rsid w:val="2453528E"/>
    <w:rsid w:val="271F4B16"/>
    <w:rsid w:val="27623A24"/>
    <w:rsid w:val="28544F45"/>
    <w:rsid w:val="28AB7259"/>
    <w:rsid w:val="29567ACD"/>
    <w:rsid w:val="29F42B94"/>
    <w:rsid w:val="2A553543"/>
    <w:rsid w:val="2AAE37BE"/>
    <w:rsid w:val="2B00153B"/>
    <w:rsid w:val="2BD04C37"/>
    <w:rsid w:val="2BD50AFF"/>
    <w:rsid w:val="2C88705B"/>
    <w:rsid w:val="2CCF40EC"/>
    <w:rsid w:val="2D976D16"/>
    <w:rsid w:val="2E912CDA"/>
    <w:rsid w:val="2ED43BE2"/>
    <w:rsid w:val="2F2200C9"/>
    <w:rsid w:val="2F3D398C"/>
    <w:rsid w:val="2F823D43"/>
    <w:rsid w:val="2FB263B8"/>
    <w:rsid w:val="2FD8330F"/>
    <w:rsid w:val="2FDB6ADB"/>
    <w:rsid w:val="301F0E84"/>
    <w:rsid w:val="303C24AD"/>
    <w:rsid w:val="3078668A"/>
    <w:rsid w:val="31014A2B"/>
    <w:rsid w:val="318F0B04"/>
    <w:rsid w:val="32110BA7"/>
    <w:rsid w:val="33563CED"/>
    <w:rsid w:val="34B644B7"/>
    <w:rsid w:val="35641360"/>
    <w:rsid w:val="360370D2"/>
    <w:rsid w:val="36186F88"/>
    <w:rsid w:val="3682408C"/>
    <w:rsid w:val="37844818"/>
    <w:rsid w:val="37BC7F7A"/>
    <w:rsid w:val="37C90DAF"/>
    <w:rsid w:val="38803185"/>
    <w:rsid w:val="38AC3D24"/>
    <w:rsid w:val="38FB6717"/>
    <w:rsid w:val="39726474"/>
    <w:rsid w:val="3ADD0A2E"/>
    <w:rsid w:val="3BB96859"/>
    <w:rsid w:val="3C34760B"/>
    <w:rsid w:val="3CA257A0"/>
    <w:rsid w:val="3D3F1B63"/>
    <w:rsid w:val="3DDF2A8F"/>
    <w:rsid w:val="3F263B0E"/>
    <w:rsid w:val="400B5EDD"/>
    <w:rsid w:val="408A0F49"/>
    <w:rsid w:val="42070817"/>
    <w:rsid w:val="429A1E61"/>
    <w:rsid w:val="42FB76AE"/>
    <w:rsid w:val="43016347"/>
    <w:rsid w:val="43AF27C5"/>
    <w:rsid w:val="43BC2AF4"/>
    <w:rsid w:val="43EC16B1"/>
    <w:rsid w:val="43FF1107"/>
    <w:rsid w:val="4694498D"/>
    <w:rsid w:val="469762FF"/>
    <w:rsid w:val="46F924A0"/>
    <w:rsid w:val="47F75156"/>
    <w:rsid w:val="48370C77"/>
    <w:rsid w:val="49FD6D8B"/>
    <w:rsid w:val="4A1F3301"/>
    <w:rsid w:val="4AE22F4C"/>
    <w:rsid w:val="4B7069AF"/>
    <w:rsid w:val="4B84675A"/>
    <w:rsid w:val="4C123BC1"/>
    <w:rsid w:val="4C9C5C31"/>
    <w:rsid w:val="4CE51226"/>
    <w:rsid w:val="4D0F0AAF"/>
    <w:rsid w:val="4EB72836"/>
    <w:rsid w:val="50594C1B"/>
    <w:rsid w:val="507B114B"/>
    <w:rsid w:val="51B331C2"/>
    <w:rsid w:val="51BF4163"/>
    <w:rsid w:val="526C39C2"/>
    <w:rsid w:val="52941B60"/>
    <w:rsid w:val="532D0B9E"/>
    <w:rsid w:val="555A0AC0"/>
    <w:rsid w:val="5622683A"/>
    <w:rsid w:val="5647568C"/>
    <w:rsid w:val="56B753BE"/>
    <w:rsid w:val="56F872E8"/>
    <w:rsid w:val="57E51D72"/>
    <w:rsid w:val="58077CBD"/>
    <w:rsid w:val="58A441AD"/>
    <w:rsid w:val="58FD658D"/>
    <w:rsid w:val="59AD4BF8"/>
    <w:rsid w:val="5A476B4A"/>
    <w:rsid w:val="5BB63045"/>
    <w:rsid w:val="5C0C1AB6"/>
    <w:rsid w:val="5CB15BE4"/>
    <w:rsid w:val="5E2C7B65"/>
    <w:rsid w:val="5E8D7C1D"/>
    <w:rsid w:val="5EB84AC3"/>
    <w:rsid w:val="5F07114F"/>
    <w:rsid w:val="5FD472DE"/>
    <w:rsid w:val="622A1A1E"/>
    <w:rsid w:val="624769E7"/>
    <w:rsid w:val="62601735"/>
    <w:rsid w:val="63185FEF"/>
    <w:rsid w:val="633270C2"/>
    <w:rsid w:val="6458241C"/>
    <w:rsid w:val="65970713"/>
    <w:rsid w:val="676B055C"/>
    <w:rsid w:val="68427219"/>
    <w:rsid w:val="68741D48"/>
    <w:rsid w:val="68C2752E"/>
    <w:rsid w:val="68FC58A6"/>
    <w:rsid w:val="698F6E3C"/>
    <w:rsid w:val="6A8E21A8"/>
    <w:rsid w:val="6B1E2B19"/>
    <w:rsid w:val="6B4E2D40"/>
    <w:rsid w:val="6BC71575"/>
    <w:rsid w:val="6BD75C9D"/>
    <w:rsid w:val="6C2638AE"/>
    <w:rsid w:val="6CC87FAF"/>
    <w:rsid w:val="6CDC0267"/>
    <w:rsid w:val="6DFC3DF2"/>
    <w:rsid w:val="6E275931"/>
    <w:rsid w:val="6E9D2198"/>
    <w:rsid w:val="6EE066C7"/>
    <w:rsid w:val="6EF4625B"/>
    <w:rsid w:val="6F272507"/>
    <w:rsid w:val="701E064C"/>
    <w:rsid w:val="706960A3"/>
    <w:rsid w:val="71E53350"/>
    <w:rsid w:val="71FE4216"/>
    <w:rsid w:val="722828BD"/>
    <w:rsid w:val="72F404E5"/>
    <w:rsid w:val="73997DEB"/>
    <w:rsid w:val="73D40348"/>
    <w:rsid w:val="740D2306"/>
    <w:rsid w:val="74B33D66"/>
    <w:rsid w:val="753127F0"/>
    <w:rsid w:val="75C55A4B"/>
    <w:rsid w:val="77D3157C"/>
    <w:rsid w:val="78445F9F"/>
    <w:rsid w:val="78AA48D7"/>
    <w:rsid w:val="792A5DD1"/>
    <w:rsid w:val="7A77760E"/>
    <w:rsid w:val="7AFD3E45"/>
    <w:rsid w:val="7CBB3591"/>
    <w:rsid w:val="7D0D323E"/>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ody Text Indent 2"/>
    <w:basedOn w:val="1"/>
    <w:qFormat/>
    <w:uiPriority w:val="99"/>
    <w:pPr>
      <w:spacing w:line="360" w:lineRule="auto"/>
      <w:ind w:left="1140"/>
    </w:pPr>
    <w:rPr>
      <w:rFonts w:ascii="宋体"/>
      <w:sz w:val="24"/>
      <w:szCs w:val="20"/>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纯文本 Char"/>
    <w:basedOn w:val="24"/>
    <w:link w:val="13"/>
    <w:qFormat/>
    <w:uiPriority w:val="0"/>
    <w:rPr>
      <w:rFonts w:eastAsia="宋体"/>
      <w:sz w:val="24"/>
    </w:rPr>
  </w:style>
  <w:style w:type="character" w:customStyle="1" w:styleId="34">
    <w:name w:val="日期 Char"/>
    <w:basedOn w:val="24"/>
    <w:link w:val="14"/>
    <w:qFormat/>
    <w:uiPriority w:val="99"/>
  </w:style>
  <w:style w:type="character" w:customStyle="1" w:styleId="35">
    <w:name w:val="页脚 Char"/>
    <w:basedOn w:val="24"/>
    <w:link w:val="16"/>
    <w:qFormat/>
    <w:uiPriority w:val="99"/>
    <w:rPr>
      <w:sz w:val="18"/>
      <w:szCs w:val="18"/>
    </w:rPr>
  </w:style>
  <w:style w:type="character" w:customStyle="1" w:styleId="36">
    <w:name w:val="页眉 Char"/>
    <w:basedOn w:val="24"/>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9"/>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10"/>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4"/>
    <w:link w:val="19"/>
    <w:semiHidden/>
    <w:qFormat/>
    <w:uiPriority w:val="99"/>
    <w:rPr>
      <w:rFonts w:ascii="宋体" w:hAnsi="宋体" w:eastAsia="宋体" w:cs="宋体"/>
      <w:kern w:val="0"/>
      <w:sz w:val="24"/>
      <w:szCs w:val="24"/>
    </w:rPr>
  </w:style>
  <w:style w:type="character" w:customStyle="1" w:styleId="54">
    <w:name w:val="font31"/>
    <w:basedOn w:val="24"/>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5">
    <w:name w:val="font61"/>
    <w:basedOn w:val="24"/>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3</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禹州市公共资源交易中心:郭亚青</cp:lastModifiedBy>
  <cp:lastPrinted>2018-07-31T02:20:00Z</cp:lastPrinted>
  <dcterms:modified xsi:type="dcterms:W3CDTF">2019-06-14T01:53:42Z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