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许昌电气职业学院“</w:t>
      </w:r>
      <w:r>
        <w:rPr>
          <w:rFonts w:hint="eastAsia" w:asciiTheme="majorEastAsia" w:hAnsiTheme="majorEastAsia" w:eastAsiaTheme="majorEastAsia" w:cstheme="majorEastAsia"/>
          <w:b/>
          <w:bCs/>
          <w:color w:val="000000"/>
          <w:sz w:val="44"/>
          <w:szCs w:val="44"/>
          <w:lang w:val="en-US" w:eastAsia="zh-CN"/>
        </w:rPr>
        <w:t>手工会计实训、财税一体化实训设备</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088</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许昌电气职业学院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eastAsia="zh-CN"/>
        </w:rPr>
        <w:t>许昌电气职业学院</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手工会计实训、财税一体化实训设备</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 xml:space="preserve"> 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手工会计实训、财税一体化实训设备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088</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w:t>
      </w:r>
      <w:r>
        <w:rPr>
          <w:rFonts w:hint="eastAsia" w:cs="仿宋_GB2312" w:asciiTheme="minorEastAsia" w:hAnsiTheme="minorEastAsia" w:eastAsiaTheme="minorEastAsia"/>
          <w:color w:val="000000"/>
          <w:sz w:val="21"/>
          <w:szCs w:val="21"/>
          <w:shd w:val="clear" w:color="auto" w:fill="FFFFFF"/>
          <w:lang w:val="en-US" w:eastAsia="zh-CN"/>
        </w:rPr>
        <w:t>容、数量及要求：A包：手工会计实训室设备；B包：财税一体化实训设备等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A包：408185元；B包：694785元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1050" w:firstLineChars="5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A包：408185元；B包：694785元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15天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许昌电气职业学院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val="en-US" w:eastAsia="zh-CN"/>
        </w:rPr>
        <w:t>许昌电气职业学院</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许昌市魏文路与永昌大道交汇处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李鹏飞</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13733612696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Arial" w:asciiTheme="minorEastAsia" w:hAnsiTheme="minorEastAsia"/>
          <w:color w:val="000000"/>
          <w:szCs w:val="21"/>
          <w:lang w:val="en-US" w:eastAsia="zh-CN"/>
        </w:rPr>
      </w:pPr>
      <w:r>
        <w:rPr>
          <w:rFonts w:hint="eastAsia" w:cs="Arial" w:asciiTheme="minorEastAsia" w:hAnsiTheme="minorEastAsia"/>
          <w:color w:val="000000"/>
          <w:szCs w:val="21"/>
          <w:lang w:val="en-US" w:eastAsia="zh-CN"/>
        </w:rPr>
        <w:t>许昌电气职业学院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二〇一九年六月六日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firstLineChars="200"/>
        <w:contextualSpacing/>
        <w:jc w:val="left"/>
        <w:rPr>
          <w:rFonts w:hint="eastAsia" w:cs="黑体" w:asciiTheme="minorEastAsia" w:hAnsiTheme="minorEastAsia"/>
          <w:b/>
          <w:bCs/>
          <w:color w:val="000000"/>
          <w:sz w:val="24"/>
          <w:szCs w:val="24"/>
          <w:shd w:val="clear" w:color="auto" w:fill="FFFFFF"/>
          <w:lang w:val="zh-CN"/>
        </w:rPr>
      </w:pPr>
      <w:r>
        <w:rPr>
          <w:rFonts w:hint="eastAsia" w:ascii="仿宋" w:hAnsi="仿宋" w:eastAsia="仿宋" w:cs="仿宋"/>
          <w:color w:val="000000"/>
          <w:kern w:val="0"/>
          <w:sz w:val="30"/>
          <w:szCs w:val="30"/>
          <w:shd w:val="clear" w:color="auto" w:fill="FFFFFF"/>
          <w:lang w:bidi="ar"/>
        </w:rPr>
        <w:t>A包：手工会计实训设备</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教室示教台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b/>
                <w:i/>
                <w:color w:val="548DD4" w:themeColor="text2" w:themeTint="99"/>
                <w:kern w:val="0"/>
                <w:sz w:val="21"/>
                <w:szCs w:val="21"/>
              </w:rPr>
            </w:pPr>
            <w:r>
              <w:rPr>
                <w:rFonts w:hint="eastAsia" w:asciiTheme="minorEastAsia" w:hAnsiTheme="minorEastAsia" w:eastAsiaTheme="minorEastAsia" w:cstheme="minorEastAsia"/>
                <w:sz w:val="21"/>
                <w:szCs w:val="21"/>
              </w:rPr>
              <w:t>桌体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桌面材料选用优质双贴面三聚氰胺板，板截面选用优质PVC封边经全自动封边机加温180摄氏度胶封,整体美观大方，结实耐用。 尺寸：2000*600*800mm</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张</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lang w:eastAsia="zh-CN"/>
              </w:rPr>
              <w:t>教师</w:t>
            </w:r>
            <w:r>
              <w:rPr>
                <w:rFonts w:hint="eastAsia" w:asciiTheme="minorEastAsia" w:hAnsiTheme="minorEastAsia" w:eastAsiaTheme="minorEastAsia" w:cstheme="minorEastAsia"/>
                <w:sz w:val="21"/>
                <w:szCs w:val="21"/>
              </w:rPr>
              <w:t>椅</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韩皮材质,靠背可调节可躺,人体工学扶手,全钢底座，万向转向</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双门柜</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铁皮文件柜 尺寸：1800*850*390mm</w:t>
            </w:r>
          </w:p>
          <w:p>
            <w:pPr>
              <w:pStyle w:val="39"/>
              <w:adjustRightInd w:val="0"/>
              <w:snapToGrid w:val="0"/>
              <w:spacing w:line="360" w:lineRule="auto"/>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5层（上面带玻璃门分三层，下面两层）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个</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4</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双门柜</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铁皮文件柜（两层） 尺寸： 950*900*400mm</w:t>
            </w:r>
          </w:p>
        </w:tc>
        <w:tc>
          <w:tcPr>
            <w:tcW w:w="851"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w:t>
            </w:r>
          </w:p>
        </w:tc>
        <w:tc>
          <w:tcPr>
            <w:tcW w:w="850"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个</w:t>
            </w:r>
          </w:p>
        </w:tc>
        <w:tc>
          <w:tcPr>
            <w:tcW w:w="1134"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计算机</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▲CPU：i5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▲内存：16G</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硬盘：1T</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千兆网卡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▲21.5英寸显示器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USB键盘鼠标</w:t>
            </w:r>
          </w:p>
        </w:tc>
        <w:tc>
          <w:tcPr>
            <w:tcW w:w="851"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台</w:t>
            </w:r>
          </w:p>
        </w:tc>
        <w:tc>
          <w:tcPr>
            <w:tcW w:w="1134" w:type="dxa"/>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音响系统</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音响两台: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黑色喷砂面板， 音乐及话筒高中低音独立调节，混响延时独立调节，输出功率150W+150W</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功放一台: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信躁比： 74 dB</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输出端子：3组</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输入端子：3组</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阻抗：4-8Ω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输出功率：150W+150W RmS</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输入灵敏度：线路输入： 250mV；话筒输入：20mV</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外形尺寸：430(W)*360(D)*120(H)</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总失真率：0.5%@1KHz 8Ω 1/3Rated Power</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电源电压：AC220V/50Hz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鹅颈式话筒一个:</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鹅颈式会议话筒</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单体：静电型电容音头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指向性：心型≤-16dB（0-180°）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频率响应：50Hz-16KHz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灵敏度：-30dB±3dB（0dB=1V/Pa at 1kHz）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低频衰减：100Hz 8dB/倍频</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输出阻抗：100Ω±30%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使用电压：12-52V幻象电源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投影仪</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投影技术：3 LCD</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▲标准亮度：≥4200流明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LCD尺寸：0.63英寸</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标准分辨率：1024×768</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灯泡：≤225W  标准模式下灯泡寿命≥5000小时（节能模式下灯泡寿命≥10000小时）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对比度：≥15000：1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光学变焦：1.2</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配专用吊架、150寸电动幕布、教鞭</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外币标样</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本书囊括32个国家和地区，详细的介绍各国现代纸币防伪技术</w:t>
            </w:r>
            <w:r>
              <w:rPr>
                <w:rFonts w:hint="eastAsia" w:asciiTheme="minorEastAsia" w:hAnsiTheme="minorEastAsia" w:eastAsiaTheme="minorEastAsia" w:cstheme="minorEastAsia"/>
                <w:sz w:val="21"/>
                <w:szCs w:val="21"/>
                <w:lang w:val="en-US" w:eastAsia="zh-CN"/>
              </w:rPr>
              <w:t>.</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票据法图册</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中华人民共和国票据法图册（实用）《票据法及支付结算汇编(新版)》上、下册</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新科目章</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企业会计制度</w:t>
            </w:r>
            <w:r>
              <w:rPr>
                <w:rFonts w:hint="eastAsia" w:asciiTheme="minorEastAsia" w:hAnsiTheme="minorEastAsia" w:eastAsiaTheme="minorEastAsia" w:cstheme="minorEastAsia"/>
                <w:sz w:val="21"/>
                <w:szCs w:val="21"/>
                <w:lang w:eastAsia="zh-CN"/>
              </w:rPr>
              <w:t>科目章（新）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最新版财政部规定全国统一企业科目章</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全铜印章</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财会模拟银行受理章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直径36，永不变形，印章印迹清晰</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枚</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全铜印章</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财会模拟财务专用章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25正方形全铜印章，永不变形，印章印迹清晰</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枚</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印台</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红蓝双色半自动印台</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笔筒</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四层多功能</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财会模拟实验专用凭证.帐册.单据（新）</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账簿户目录；2、账贷多栏式明细账；3、借贷三栏式明细账；4、金额数量式明细账；5、实物数量式明细账；6、总账；7、借启用及接交表；8、应交增值税明细账；9、管理费用明细账；10、经营费用明细账；11、制造费用明细账；12、生产成本明细账；13、材料采购明账；14、本年利润明细账；15、产品销售费用明细账；16、产品销售收入明细账；17、产成品明细账；18、商品产品销售明细账；19、日记账；20、收款凭证；21、付款凭证；22、转账凭证；23、凭证粘贴签；24、差旅费报销单；25、科目汇总表；26、增值税纳税申报表；27、增值税纳税申报表附列资料(表一)；28、增值税纳税申报表附列资料(表二)；29、固定资产进项税额抵扣情况表；30、应交增值税明细表；31、资产负债表；32、现金流量表；33、现金流量表(续表)；34、利润表；35、利润分配表；36、记账凭证封面；37、明细表(乙)。</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实务操作</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企业会计核算模拟</w:t>
            </w:r>
            <w:r>
              <w:rPr>
                <w:rFonts w:hint="eastAsia" w:asciiTheme="minorEastAsia" w:hAnsiTheme="minorEastAsia" w:eastAsiaTheme="minorEastAsia" w:cstheme="minorEastAsia"/>
                <w:sz w:val="21"/>
                <w:szCs w:val="21"/>
                <w:lang w:eastAsia="zh-CN"/>
              </w:rPr>
              <w:t>实务操作，</w:t>
            </w:r>
            <w:r>
              <w:rPr>
                <w:rFonts w:hint="eastAsia" w:asciiTheme="minorEastAsia" w:hAnsiTheme="minorEastAsia" w:eastAsiaTheme="minorEastAsia" w:cstheme="minorEastAsia"/>
                <w:sz w:val="21"/>
                <w:szCs w:val="21"/>
              </w:rPr>
              <w:t>实训室专用实训资料</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财务科各岗位实验资料</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1.银行出纳：银行存款余额调节表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2.工资结算：工资结算表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3.固定资产核算：固定资产折日计算表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4.材料核算：原材料及低值易耗品单位计划成本表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5.成本核算：各产品生产工艺流程</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银行往来凭证和汇票</w:t>
            </w:r>
          </w:p>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1.商业承兑汇票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2.银行进帐单</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3.银行转帐支票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4.银行现金支票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5.汇票委托书</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6.银行汇票</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学生实验桌</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（全木结构），三人位，桌体桌面材料均选用16mm厚优质双贴面三聚氰胺板, 裸露部位均选用优质PVC封边经全自动封边机加温180摄氏度胶封,密封性好，桌面两侧用不锈钢柱固定玻璃，玻璃上下边用特制铁槽包边加固，美观安全，整体结实耐用。尺寸：2000×600×790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lang w:eastAsia="zh-CN"/>
              </w:rPr>
              <w:t>）</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凳</w:t>
            </w:r>
            <w:r>
              <w:rPr>
                <w:rFonts w:hint="eastAsia" w:asciiTheme="minorEastAsia" w:hAnsiTheme="minorEastAsia" w:eastAsiaTheme="minorEastAsia" w:cstheme="minorEastAsia"/>
                <w:sz w:val="21"/>
                <w:szCs w:val="21"/>
                <w:lang w:eastAsia="zh-CN"/>
              </w:rPr>
              <w:t>子</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塑钢材质，凳面带托盘，50mm粗管.</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把</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印台</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红蓝双色半自动印台</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海棉缸</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储水型</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大头针</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通用型</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回形针</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通用型</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尺子</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300mm</w:t>
            </w:r>
            <w:r>
              <w:rPr>
                <w:rFonts w:hint="eastAsia" w:asciiTheme="minorEastAsia" w:hAnsiTheme="minorEastAsia" w:eastAsiaTheme="minorEastAsia" w:cstheme="minorEastAsia"/>
                <w:sz w:val="21"/>
                <w:szCs w:val="21"/>
                <w:lang w:eastAsia="zh-CN"/>
              </w:rPr>
              <w:t>，钢尺</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把</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美工刀</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通用办公美工刀</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把</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胶水</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通用型</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橡皮擦</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制图专用</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点钞纸</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建行</w:t>
            </w:r>
            <w:r>
              <w:rPr>
                <w:rFonts w:hint="eastAsia" w:asciiTheme="minorEastAsia" w:hAnsiTheme="minorEastAsia" w:eastAsiaTheme="minorEastAsia" w:cstheme="minorEastAsia"/>
                <w:sz w:val="21"/>
                <w:szCs w:val="21"/>
                <w:lang w:eastAsia="zh-CN"/>
              </w:rPr>
              <w:t>样钞</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刀</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铅笔</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HB</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红笔</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0.5mm碳素笔</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签字笔</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0.5mm碳素笔</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盒</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会计模拟专用凭证帐用单据（新）</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会计模拟专用凭证、账册、单据：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账簿户目录；2、账贷多栏式明细账；3、借贷三栏式明细账；4、金额数量式明细账；5、实物数量式明细账；6、总账；7、借启用及接交表；8、应交增值税明细账；9、管理费用明细账；10、经营费用明细账；11、制造费用明细账；12、生产成本明细账；13、材料采购明账；14、本年利润明细账；15、产品销售费用明细账；16、产品销售收入明细账；17、产成品明细账；18、商品产品销售明细账；19、日记账；20、收款凭证；21、付款凭证；22、转账凭证；23、凭证粘贴签；24、差旅费报销单；25、科目汇总表；26、增值税纳税申报表；27、增值税纳税申报表附列资料(表一)；28、增值税纳税申报表附列资料(表二)；29、固定资产进项税额抵扣情况表；30、应交增值税明细表；31、资产负债表；32、现金流量表；33、现金流量表(续表)；34、利润表；35、利润分配表；36、记账凭证封面；37、明细表(乙)。</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主要会计报表简图1500*750*40mm本色氧化铝型材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会计电算化信息系统</w:t>
            </w:r>
            <w:r>
              <w:rPr>
                <w:rFonts w:hint="eastAsia" w:asciiTheme="minorEastAsia" w:hAnsiTheme="minorEastAsia" w:eastAsiaTheme="minorEastAsia" w:cstheme="minorEastAsia"/>
                <w:sz w:val="21"/>
                <w:szCs w:val="21"/>
                <w:lang w:eastAsia="zh-CN"/>
              </w:rPr>
              <w:t>主图，</w:t>
            </w:r>
            <w:r>
              <w:rPr>
                <w:rFonts w:hint="eastAsia" w:asciiTheme="minorEastAsia" w:hAnsiTheme="minorEastAsia" w:eastAsiaTheme="minorEastAsia" w:cstheme="minorEastAsia"/>
                <w:sz w:val="21"/>
                <w:szCs w:val="21"/>
              </w:rPr>
              <w:t>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科目汇总表财务处理程序图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会计核算方法体系图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出纳工作流程图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w:t>
            </w:r>
            <w:r>
              <w:rPr>
                <w:rFonts w:hint="eastAsia" w:asciiTheme="minorEastAsia" w:hAnsiTheme="minorEastAsia" w:eastAsiaTheme="minorEastAsia" w:cstheme="minorEastAsia"/>
                <w:sz w:val="21"/>
                <w:szCs w:val="21"/>
              </w:rPr>
              <w:t>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制造成本核算流程图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1500*750*40mm本色氧化铝型材</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电源箱</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配套全套电教板配电源箱</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挂图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实验室管理规章制度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800*600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pvc结皮板高清写真</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激光教鞭</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书写；激光；照明；伸缩</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专用章</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精制全塑支票日期专用章</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实训环境建设</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铺设木地板（实木复合地板）、吊顶（铝扣板吊顶含吊顶灯）、墙体粉刷（刮腻子，刷环保乳胶漆）、窗帘（防静电遮光布）、门牌（亚克力材质）、实训室文化展板。</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类别：立柜式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制冷类型：冷暖</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匹数：5匹及以上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定频/变频：定频</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▲能效等级：3级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电辅加热：支持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适用面积(平方米):55-85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制冷量(W):12000</w:t>
            </w:r>
            <w:r>
              <w:rPr>
                <w:rFonts w:hint="eastAsia" w:asciiTheme="minorEastAsia" w:hAnsiTheme="minorEastAsia" w:eastAsiaTheme="minorEastAsia" w:cstheme="minorEastAsia"/>
                <w:sz w:val="21"/>
                <w:szCs w:val="21"/>
                <w:lang w:val="en-US" w:eastAsia="zh-CN"/>
              </w:rPr>
              <w: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制冷功率(W)：3930</w:t>
            </w:r>
            <w:r>
              <w:rPr>
                <w:rFonts w:hint="eastAsia" w:asciiTheme="minorEastAsia" w:hAnsiTheme="minorEastAsia" w:eastAsiaTheme="minorEastAsia" w:cstheme="minorEastAsia"/>
                <w:sz w:val="21"/>
                <w:szCs w:val="21"/>
                <w:lang w:val="en-US" w:eastAsia="zh-CN"/>
              </w:rPr>
              <w: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制热量(W)：12500</w:t>
            </w:r>
            <w:r>
              <w:rPr>
                <w:rFonts w:hint="eastAsia" w:asciiTheme="minorEastAsia" w:hAnsiTheme="minorEastAsia" w:eastAsiaTheme="minorEastAsia" w:cstheme="minorEastAsia"/>
                <w:sz w:val="21"/>
                <w:szCs w:val="21"/>
                <w:lang w:val="en-US" w:eastAsia="zh-CN"/>
              </w:rPr>
              <w: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制热功率(W)：3800</w:t>
            </w:r>
            <w:r>
              <w:rPr>
                <w:rFonts w:hint="eastAsia" w:asciiTheme="minorEastAsia" w:hAnsiTheme="minorEastAsia" w:eastAsiaTheme="minorEastAsia" w:cstheme="minorEastAsia"/>
                <w:sz w:val="21"/>
                <w:szCs w:val="21"/>
                <w:lang w:val="en-US" w:eastAsia="zh-CN"/>
              </w:rPr>
              <w: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电辅加热功率(W)：3500</w:t>
            </w:r>
            <w:r>
              <w:rPr>
                <w:rFonts w:hint="eastAsia" w:asciiTheme="minorEastAsia" w:hAnsiTheme="minorEastAsia" w:eastAsiaTheme="minorEastAsia" w:cstheme="minorEastAsia"/>
                <w:sz w:val="21"/>
                <w:szCs w:val="21"/>
                <w:lang w:val="en-US" w:eastAsia="zh-CN"/>
              </w:rPr>
              <w: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内机噪音(dB(A)：50-52</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外机噪音(dB(A)≤60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定频机能效比3.05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循环风量(m3/h)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1750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扫风方式：上下/左右扫风</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财务TTC学练训赛一体化平台</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一、技术指标</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1、基于JavaEE平台，采用B/S架构使用java开发技术，支持主流操作系统，应用可以跨操作系统部署。技术平台先进，有良好的可扩展性；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2、内部服务通过dubbo+Zookeeper实现rpc高速调用，亦可方便的开放接口给第三方，不限制第三方开发技术；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3、企业级互联网云服务模式，基于业务垂直切分和数据水平切分的云计算Saas架构，支持大规模比赛结果与过程数据存储；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3、竞赛平台高内聚，低耦合，制题系统与赛务平台分离部署，制题采用云服务模式，赛务平台本地部署；</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4、制题系统和赛务平台无缝衔接，制题系统试卷导出可导入赛务平台，赛务平台实现与U8系统无缝衔接，考试客户端可以直接打开和登录U8系统，支持U8iufo和excel甄别算分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5、支持数据库Mysql 5.6及以上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6、支持兼容谷歌浏览器以及考试客户端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二、功能指标</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（一）赛务系统：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1、赛务管理员系统：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维护赛务人员：进行赛务人员账号的添加、删除以及重置密码操作。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维护大屏人员：进行大屏人员账号的添加、删除以及重置密码操作（大屏人员为管理实时成绩的人员）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维护试卷：进行试卷的导入、资源更新以及删除操作。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定制界面: 进行系统界面的定制操作。包括：赛事名称、字体、样式、logo、字号。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学生机配置: 对比赛有U8操作的学生机进行配置。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强制下线: 针对比赛场次，对在线的学生进行强制下线操作。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2、赛务系统: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创建比赛：输入比赛名称，选择试卷与大屏人员。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查看系统信息：显示服务器系统信息、加密信息及网卡信息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环境检测：查看服务器是否满足比赛要求。</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学生机配置：对本次考试进行个性化配置。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比赛设置;进行比赛设置，设置模式、时长、规模数量；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考生维护:维护考生信息、座位信息、设置随机密码、以及系统自动抽签；</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U8设置:IP进行每个队伍u8服务器配置；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清除历史数据:清除比赛的历史数据。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推送试卷：分章节分阶段推送时间，分阶段比赛</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学生登录：考试控制、全场暂停恢复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赛中监控：考试赛中监控：登陆状态、ip、倒计时、队伍暂停、赛中记录、强制交卷、单独队伍重新考试；</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实时成绩：实时成绩显示。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成绩管理：给学生发送成绩、成绩查看、成绩组成查看、答题情况查看、错误查看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考后处理：考试结束后，对客户端U8账套进行管理。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（二）考试端：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1、多场同时考试功能：匹配登录的学生信息岗位、等待开始考试口令遮罩、含U8操作，加载U8账套、开始考试倒计时。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2、答题功能：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岗位信息与倒计时提醒。</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任务栏：答题过程中，此栏可以收起。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a全部任务：查看所有岗位所有任务。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b业务资源：做任务需要的资料，可以查看所有岗位所有资源。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c业务考核：所有岗位的考核任务单据，再次可以查看所有岗位的已完成考核单据。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d业务信息：多节点任务中历史节点任务单据。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e业务进度：多节点任务的进度，可以查看所有岗位的所有任务的节点进度。</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f信息查询系统：查看企业内部数据以及外部环境数据，在此可以进行关键字模糊查找。</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g金融计算器：金融资产类计算器。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信息栏: 答题过程中，此栏可以收起。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a业务流程：任务节点进度。</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b业务资源：做任务所需要的各种资料。</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c业务信息：多节点任务中历史节点任务单据。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按钮功能：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a交卷按钮：团队比赛中只有一个岗位可以交卷。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b复制答题表格按钮：可以将业务考核单据一键复制到本地excel中。</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c上一步按钮：一个任务中，如果分多步任务组成，需点击上一步按钮翻页。</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d下一步按钮：一个任务中，如果分多步任务组成，需点击下一步按钮翻页。</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e保存按钮：对任务进行保存。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f提交按钮：对任务进行提交。</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g修改按钮：对任务进行修改。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h企业应用平台按钮：试题关联U8操作，登录U8界面。</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i试题文件夹按钮：有U8报表或者本地excel的填报，操作ufo报表或者excel表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比赛完成遮罩。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推送成绩显示。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3、自动甄别功能：u8单据自动甄别、U8UFO报表自动甄别、本地excel单据自动甄别、线上单据自动甄别。</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（三）制题平台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1、制题系统-公共管理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公共分类:对单据设置分类</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标签:设置组件标签，区分组件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公共角色管理:设置角色、支持个性化设置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电子单据管理:甄别的excel单据的上传、预览、删除。</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电子单据授权:将甄别授权给不同制题用户使用。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维护单据权重:甄别单据甄别空设置；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电子公章管理:高仿真公章设置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业务组件:组件管理；重复任务直接设置成组件，直接复用，省去大量时间；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模板维护:根据不同的比赛类型试卷模板，每个模板关联不同的角色；</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组织设置:试卷模板内设置试卷模板的组织类型及数量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岗位管理:试卷模板内组织内岗位关联角色</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印章角色配置:试卷模板内印章与角色管理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票据系统:仿真票据管理系统，财会核算类使用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网上银行:仿真网上银行系统，财会核算类使用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网上报税:仿真网上报税系统，财会核算类使用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智能报账:仿真智能报账系统，财会核算类使用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试卷管理:超级管理员管理所有制题老师试卷，进行删除、导出试卷。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教师管理:新增、停用、修改教师账号；重置密码。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添加菜单:进行个性化设置菜单</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2、在线制题管理：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试卷列表:管理所有的试卷，进行增加、修改、删除、维护</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维护企业资料：维护试卷企业的资料及公章。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试卷资源管理：管理任务的业务资源：进行上传、编辑、预览、删除试卷资源。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试卷数据管理：管理任务的业务信息：进行上传、编辑、预览、删除试卷资源。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试卷章节管理：将试卷划分阶段章节：新增、删除、修改、关联试卷章节。</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章节清单管理：章节内任务管理：可视化操作：设置具体的任务名称、任务流程、任务节点、每个节点的角色、业务考核单据、业务资源、业务信息；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组织设置：初始化组织，自动生成印章信息；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试题单据甄别：对每个任务业务考核单据进行个性化设置：设置每个任务每个单据每个甄别空的权重、角色、答案；</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试题权重设置：设置每个任务中各个考核单据的权重：单据、仿真页面、u8考核</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试题分数设置：设置每个任务的分值；</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用时统计：统计学生答题时每个任务的用时记录。</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关联U8：查看试卷关联的U8帐套与删除。</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包含两套题库：</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题库一：</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为基础题库，可用于平时练习和测试使用，题库含有四个岗位所需题目，资金管理，成本管理，营运管理，预算管理，依据会计信息系统中的财务、业务数据和外部相关的政策、法律、经济等信息，运用管理会计工具方法进行预测、决策、分析、控制和评价等决策支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题库采用客观题和主观分析题相结合的方式，既能加强学生们的基础知识，也能够通过主观题目的处理锻炼学生们的管理会计知识的运用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决策分析：项目投资定性、定量分析值，净现值法进行财务可行性评价，并作出合理决策；筹资决策分析—资金需要量预测分析、计算资本成本，进行筹资决策分析，并作出合理决策；财务预算编制；现金预算编制、预计利润表编制、预计资产负债表编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预算编制：作业成本预算编制;产品成本计算：作业成本计算;产品成本分析：将计算的当期实际作业成本与预算作业成本及以前会计期作业成本进行比较，找出各作业各项资源耗费实际与预算的差异，并对差异产生的原因进行分析，找出主观原因和客观原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销售预算编制、成本费用预算编制：采用滚动预算法、零基预算法、弹性预算法等方法；经营活动预测、决策分析：保本分析、保利分析、利润敏感性分析、边际贡献法决策应用等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年度业务量预测，销售费用预测，管理费用预测，填写利润预计表等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题库二：</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题库为管理会计大赛练习题库，可用于平时练习和考试使用，题库含有四个岗位所需题目，资金管理，成本管理，营运管理，绩效管理，依据会计信息系统中的财务、业务数据和外部相关的政策、法律、经济等信息，运用管理会计工具方法进行预测、决策、分析、控制和评价等决策支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(1)项目投资决策分析。以企业战略为导向，通过定性、定量分析，做出项目投资决策。采用的方法有PEST分析、SWOT分析及贴现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的现金流量法（现金流量估算、净现值法、现值指数法、内含报酬率法等）等。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(2)筹资决策分析。预测资金需要量（销售百分比法、资金习性分析法等），拟定筹资方案，计算资本成本（债务资本成本计算、权益资本成本计算、加权平均资本成本计算等），选择最优筹资方案。</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(3)销售预算的编制。在销售预测的基础上，结合企业战略目标，完成销售预算的编制。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(4)成本预算的编制。预算编制的方法有零基预算法、弹性预算法、滚动预算法等。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(5)财务预算的编制。现金预算的编制、预计利润表的编制、预计资产负债表的编制。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(6)产品成本的计算与分析。采用作业成本法计算产品（服务）成本，将计算的当期实际作业成本与预算作业成本及以前会计期作业成本</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进行比较，分析形成差异的原因。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(7)保本点的预测。单一品种、多品种的保本预测。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(8)保利点的预测。预测保利点，分析相关因素变动对实现目标利润的影响。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(9)边际分析。计算安全边际量、安全边际率等指标，分析判断企业经营安全程度。</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(10)利润敏感性分析。分析单价、单位变动成本、销售量、固定成本的变动对利润的影响。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(11)平衡计分卡的应用。围绕企业战略构建平衡计分卡指标体系。</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(12)平衡计分卡的应用。计算平衡计分卡中有关财务指标，采用杜邦分析法进行财务综合分析，采用因素分析法进行财务指标变动原因分析。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(13)平衡计分卡的应用。对企业层面、部门层面进行绩效考评。</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(14)管理会计信息报告的编制。编制经营层信息报告、业务层信息报告等。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(15)EXCEL在财务管理中的应用。</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w:t>
            </w:r>
          </w:p>
        </w:tc>
        <w:tc>
          <w:tcPr>
            <w:tcW w:w="1418" w:type="dxa"/>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税务实训教学管理系统</w:t>
            </w:r>
          </w:p>
        </w:tc>
        <w:tc>
          <w:tcPr>
            <w:tcW w:w="4252" w:type="dxa"/>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税务实训教学管理系统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该系统为独立系统，采用B/S结构，须与税务实训系统配合使用，可以在手机、pad、电脑上自由登陆；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教师可自主注册老师账号；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教学管理平台中可以进行班级管理、学生管理、案例管理、成绩管理；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班级管理可以任意注册、更改、关闭班级；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可以对注册好的班级进行关注，支持关注班级和所有班级筛选查看；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学生管理可以单一注册和批量注册学生账号；支持修改学生姓名、删除未激活账号、重置学生密码、显示学生账号注册日期的功能；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具有将学生账号在不同班级之间灵活转移功能；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可对班级进行授权，设置班级内的学生可以使用固定的税务实训平台子系统，也可对学生进行授权，设置单个学生可以使用的税务实训平台子系统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例管理系统分为税务实训案例和税收风险管控案例，案例类型有教学实训案例与大赛实训案例等类型可供筛选，不少于100套案例,其中增值税案例不少于10套,税务技能大赛训练案例不少于10套，若学校按要求自制案例，可上传教师端发布;</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可具有案例统计功能,包括案例管理系统中所有案例数量的统计,学校平均使用案例的统计以及当前学校使用案例的统计;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可以将案例批量发布给不同的班级,也可以将多个案例同时发布给一个班级;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老师可以管理学生查看案例标准答案的权限,可以关闭和开启;已发布的案例有测评模式，开启后学生实训评分后看不到分数和正确答案，可用于校内竞赛；同时老师可以关闭或取消整个案例活动;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支持老师查看案例考点、标准答案和评分指标，可下载案例；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可以筛选和查看老师发布的案例名称、发布的班级、发布的日期；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具有成绩分析功能，系统自动统计分析出学生单个知识点的掌握情况和整个案例的掌握情况；在成绩分析功能中可以查看到班级、案例名称、评分指标、正确答案、评分指标分值、学生平均得分、学生正答率、整个案例的平均得分；支持成绩分析结果导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师可以通过学号、姓名、案例名称、班级查询功能查看学生实训结果，包括学生所做案例名称、学生学号、姓名、所在班级、案例得分、学生错误答案、实训结果提交的时间；支持成绩导出，可以进行成绩排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17、软件必须严格按照国家税务总局同类软件的技术标准开发，与企业在用的同类软件仿真度达到99%以上；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18、软件必须能随国家税收政策变化三个月之内与企业版同步升级；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19、必须在三年内随国家税务相关政策发生变化，对软件进行免费升级、维护、改造；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20、软件可以无限量生成增加学生有效登陆操作的账号，保证本专业在校生可以同时进行实训人数500人以上；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税务局纳税管理系统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该系统为独立系统，采用B/S结构，须与税务实训系统配合使用，可以在手机、pad、电脑上自由登陆；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系统包含申报控制、企业核定信息管理、申报税款缴纳、催缴/催报功能；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申报控制中可以搜索查看所有学生的学号、姓名、班级、注册时间；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可以对学生模拟的企业申报进行关闭和开启控制；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核定信息管理至少包含增值税一般企业、电力企业、含农产品业务的企业的核定信息导出；个人生产经营申报中合伙企业、个人独资、个体工商户核定信息导出；企业所得税申报中企税查账季申报、企税查账月申报、企税核定月（季）申报、企税查账汇算清缴、企税核定汇算清缴核定信息导出；一般企业（辅导期）和一般企业（正常）的核定信息导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系统导出的核定信息可以导入税务实训平台，税务实训系统根据导入的核定信息，自动下载对应企业类型所需申报的申报信息表等；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税务局纳税管理系统可以搜索查询学生申报的税种、申报的案例名称、申报结果（包括应纳税额和实缴税额）、缴税日期；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可以搜索、查看所有学生案例申报的状态、税款缴纳状态；可以对未申报或未缴款的企业进行催报催缴；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软件必须严格按照国家税务总局同类软件的技术标准开发，与企业在用的同类软件仿真度达到99%以上；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软件必须能随国家税收政策变化三个月之内与企业版同步升级；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11、必须在三年内随国家税务相关政策发生变化，对软件进行免费升级、维护、改造；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12、软件可以无限量生成增加学生有效登陆操作的账号，保证本专业在校生可以同时进行实训人数500人以上；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增值税防伪税控发行子系统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该系统为独立系统，采用B/S结构，须与增值税防伪税控开票实训系统配合使用，为金税盘设备发行系统，同时兼容实训宝；</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税控发行子系统具有发行管理、报税管理、发票发售管理、查询统计功能；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行管理系统可以对新建企业进行发行开户管理，包括企业名称的自主填写修改、企业所属18类行业类型的自主选择、发票开票限额的自主选择（包括万元版、十万元版、百万元版）；可以查看金税盘内企业名称、企业税号（18位税号）、企业所属行业类型、开票限额、发行日期、学生姓名、学生学号等信息，行业类型选择建筑业，交通运输、仓储及邮政业，房地产业，租赁和商务服务业，居民服务、修理和其他服务业的企业可开具差额征税发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行管理系统可以自动读入查看当前金税盘中企业的信息，可以对当前企业信息进行注销发行，清空发行数据；注销发行后，可以对该企业重新发行；可以查看该企业发行状态，也可以搜索学生学号直接查看金税盘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报税管理可以模拟税务局给企业进行金税盘报税或IC卡报税，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可以模拟税务局给企业进行金税卡时钟修改授权，支持征期与非征期报税；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可以模拟税务局进行电子发票的发售，包括增值税专用发票和增值税普通发票，同时将当前的发售日期和发票代码和发票数量写入金税盘中，发票代码自动进行本地化识别、普通发票代码升级为12位；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模拟税务局对企业退回的发票进行发票收回，收回的发票进入退回发票库中，并可以再次进行发售；收回的发票可以查询退回人、退回人的学号、班级、退回发票类型、退回发票代码、退回发票起止号码、退回发票份数、退回日期；具备退回发票查询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发票查询功能可以对发票发售情况查看也可以对企业开票信息的查看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金税盘可以实现循环或交叉使用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支持实训宝移动实训。</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12、软件必须严格按照国家税务总局同类软件的技术标准开发，与企业在用的同类软件仿真度达到99%以上；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软件必须能随国家税收政策变化三个月之内与企业版同步升级；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14、必须在三年内随国家税务相关政策发生变化，对软件进行免费升级、维护、改造；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软件可以无限量生成增加学生有效登陆操作的账号，保证本专业在校生可以同时进行实训人数500人以上；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配套比赛软件：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纳税实务技能大赛软件：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1.平台采用B/S结构，支持学校灵活选择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2.平台分为管理入口和学生入口，管理入口分管理员和裁判两个角色</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管理员可以进行比赛随机抽签，随机分岗，保证竞赛的公平、公正性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4.管理员可以查看成绩排行榜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5.排行榜可以显示个人得分也可以显示团队得分，并按照岗位显示分数，同时可以显示参赛学校名称和指导老师，</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排行榜实时更新显示成绩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系统抽签的时候可以自动随机分配比赛选手的岗位角色</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抽签页面具有组号、姓名、账号、岗位、密码、参赛选手签名，支持打印抽签结果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管理员可以进行竞赛活动的设置，包括竞赛名称、竞赛类型、竞赛性质（分为个人赛和团体赛）、竞赛时间（包括开始和结束时间）、主办方、技术支持方、增值税防伪开票系统分值设置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10.可以进行比赛试卷的导入和选择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11.可以导入选手资料注册账号，支持删除、修改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12.管理员角色可以注册裁判账号，支持账号的修改、删除、重置密码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13.管理员可以查看所有参赛选手的账号及注册时间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14.管理员可以查看竞赛成绩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裁判可以对开票系统的比赛进行人工成绩录入</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裁判可以模拟税务局端对比赛选手进行发发行金税卡、开户管理、发售发票、开通通知单、发票收回、金税盘报税、金税卡时钟授权</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17.裁判可以查排行榜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18.比赛分为理论比赛和实务操作比赛</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19.比赛选手按照岗位角色分配对应的比赛账号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21.理论比赛在结束时间内没有交卷的，系统强制进行交卷评分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系统均可以自动评分，排行榜实时更新成绩</w:t>
            </w:r>
          </w:p>
        </w:tc>
        <w:tc>
          <w:tcPr>
            <w:tcW w:w="8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3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bl>
    <w:p>
      <w:pPr>
        <w:widowControl/>
        <w:spacing w:line="360" w:lineRule="atLeast"/>
        <w:ind w:left="600"/>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B包：财税一体化实训设备</w:t>
      </w:r>
    </w:p>
    <w:tbl>
      <w:tblPr>
        <w:tblStyle w:val="22"/>
        <w:tblW w:w="9338" w:type="dxa"/>
        <w:tblInd w:w="0" w:type="dxa"/>
        <w:shd w:val="clear" w:color="auto" w:fill="FFFFFF"/>
        <w:tblLayout w:type="fixed"/>
        <w:tblCellMar>
          <w:top w:w="0" w:type="dxa"/>
          <w:left w:w="0" w:type="dxa"/>
          <w:bottom w:w="0" w:type="dxa"/>
          <w:right w:w="0" w:type="dxa"/>
        </w:tblCellMar>
      </w:tblPr>
      <w:tblGrid>
        <w:gridCol w:w="650"/>
        <w:gridCol w:w="806"/>
        <w:gridCol w:w="5197"/>
        <w:gridCol w:w="708"/>
        <w:gridCol w:w="804"/>
        <w:gridCol w:w="1173"/>
      </w:tblGrid>
      <w:tr>
        <w:tblPrEx>
          <w:shd w:val="clear" w:color="auto" w:fill="FFFFFF"/>
          <w:tblLayout w:type="fixed"/>
          <w:tblCellMar>
            <w:top w:w="0" w:type="dxa"/>
            <w:left w:w="0" w:type="dxa"/>
            <w:bottom w:w="0" w:type="dxa"/>
            <w:right w:w="0" w:type="dxa"/>
          </w:tblCellMar>
        </w:tblPrEx>
        <w:trPr>
          <w:trHeight w:val="730" w:hRule="atLeast"/>
        </w:trPr>
        <w:tc>
          <w:tcPr>
            <w:tcW w:w="6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序号</w:t>
            </w:r>
          </w:p>
        </w:tc>
        <w:tc>
          <w:tcPr>
            <w:tcW w:w="806"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货物名称</w:t>
            </w:r>
          </w:p>
        </w:tc>
        <w:tc>
          <w:tcPr>
            <w:tcW w:w="5197"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技术规格及主要参数</w:t>
            </w:r>
          </w:p>
        </w:tc>
        <w:tc>
          <w:tcPr>
            <w:tcW w:w="708"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单位</w:t>
            </w:r>
          </w:p>
        </w:tc>
        <w:tc>
          <w:tcPr>
            <w:tcW w:w="804" w:type="dxa"/>
            <w:tcBorders>
              <w:top w:val="single" w:color="auto" w:sz="8" w:space="0"/>
              <w:left w:val="nil"/>
              <w:bottom w:val="single" w:color="auto" w:sz="8" w:space="0"/>
              <w:right w:val="single" w:color="auto" w:sz="8" w:space="0"/>
            </w:tcBorders>
            <w:shd w:val="clear" w:color="auto" w:fill="auto"/>
            <w:noWrap w:val="0"/>
            <w:tcMar>
              <w:top w:w="0" w:type="dxa"/>
              <w:left w:w="105" w:type="dxa"/>
              <w:bottom w:w="0" w:type="dxa"/>
              <w:right w:w="105" w:type="dxa"/>
            </w:tcMar>
            <w:vAlign w:val="center"/>
          </w:tcPr>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数量</w:t>
            </w:r>
          </w:p>
        </w:tc>
        <w:tc>
          <w:tcPr>
            <w:tcW w:w="1173"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ascii="宋体" w:hAnsi="宋体" w:cs="宋体"/>
                <w:b/>
                <w:bCs/>
                <w:color w:val="000000"/>
                <w:kern w:val="0"/>
                <w:sz w:val="24"/>
              </w:rPr>
            </w:pPr>
            <w:r>
              <w:rPr>
                <w:rFonts w:hint="eastAsia" w:cs="Times New Roman" w:asciiTheme="minorEastAsia" w:hAnsiTheme="minorEastAsia"/>
                <w:color w:val="000000"/>
                <w:kern w:val="0"/>
                <w:szCs w:val="21"/>
              </w:rPr>
              <w:t>核心产品</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扫描仪</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发票认证教学专用扫描仪</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幅面：A4幅面</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分辨率：600dpi</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色彩：彩色/黑白/灰阶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扫描介质：发票/卡片/票据</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实训宝</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1.可擦写次数：SLC颗粒：10万次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2.接口：USB接口，无需驱动器，即插即用，可热插拔</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3.接口类型：USB2.0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4.口令认证：基于autorun架构，即插即用，以CD-ROM形式运行认证程序，可防止病毒恶意修改和破坏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5.私密区，明文区共存：私密区存放安全认证数据；明文区供实训平台数据运行空间，同时可以存储老师和学生本人的重要实训资料</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6.可以移动实训，无需授权码，即插即用，实现办税数据随身携带，提供一键式备份与恢复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7.自带税务实训平台安装包，同时能够实现自动检测软件版本号，并自动升级更新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8.具备金税盘功能，可以进行发行、存储、开具增值税专用发票，完成抄报税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9.支持实训案例同步下载，观看实训操作视频</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10.实现案例自动评分与打印实训报告，同时实训报告可分为实时实训报告、阶段性实训报告、持续性实训报告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11.可以查看实训案例标准答案和实训错误的地方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12.可以进行一个学期所有实训课程历史成绩的查看、导出；实训报告的查看、打印；案例的查看、下载；实现实训数据的连续性、完整性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13.支持实训考试</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14.具有财税法规教学案例资源库科查询</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15.初次登陆实训宝，系统会自动绑定账号，以后登录无需填写账号，只需填写密码，并开通工具箱功能</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税控盘</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1.接口：USB接口，即插即用，可热插拔；</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2.由电脑USB接口提供稳定的电源，无需外接电源，并内置电源保护</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3.口令认证：基于autorun架构，即插即用，以CD-ROM形式运行认证程序，可防止病毒恶意修改和破坏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4.可以存储模拟企业信息，与开票系统连接后，自动识别企业信息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5.可以进行发行、存储增值税专用发票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6.兼容报税盘的功能，能够模拟防伪税控报税盘为企业用户提供抄报税等功能，保证数据正确可靠和安全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7.与企业和税务局在用的防伪税控开票系统的金税盘高度仿真，可模拟防伪税控系统提供数据加解密、发票管理、抄报税资料监控等功能，实现对增值税发票的防伪和税控的双重功能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8.私密区，明文区共存：私密区存放安全认证数据；明文区供实训平台数据运行空间，同时可以存储老师和学生本人的重要实训资料</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与增值税防伪税控开票系统匹配，支持领购和开具增值税专用发票和增值税普通发票。</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票据打印机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1.规格：点阵打印，打印针数(针)24；</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2.最高打印速度 中文（6.7cpi）：超高速：173汉字/秒，高速：115汉字/秒，信函质量：57汉字/秒，英文（10cpi）：超高速347 ；</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3.纸张种类 单页纸，单页拷贝纸，连续纸（单页纸和多页纸），卡片，单页标签纸，连续标签纸纸张厚度0.052-0.53mm</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4.打印针寿命 4亿色带寿命400万字符</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5.与增值税防伪税控开票系统匹配，支持打印增值税实训发票。</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379"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打印机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多功能三合一（打印、复印、扫描）激光打印机</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电脑</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CPU：i5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内存：16G</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硬盘：1T</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千兆网卡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21.5英寸显示器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USB键盘鼠标</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学生电脑</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CPU：i5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内存：4G</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硬盘：1T</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千兆网卡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显示器不低于21.5英寸</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USB键盘鼠标</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90"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24口交换机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24口全千兆交换机；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端口：24个10/100/1000Mbps RJ45 端口</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速度：10/100/1000Mbps</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机柜</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四门带锁可拆式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兼容19英寸国际标准、公制标准和ETSI标准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高度：1200mm</w:t>
            </w:r>
            <w:r>
              <w:rPr>
                <w:rFonts w:hint="eastAsia" w:asciiTheme="minorEastAsia" w:hAnsiTheme="minorEastAsia" w:eastAsiaTheme="minorEastAsia" w:cstheme="minorEastAsia"/>
                <w:sz w:val="21"/>
                <w:szCs w:val="21"/>
                <w:lang w:val="en-US" w:eastAsia="zh-CN"/>
              </w:rPr>
              <w:t>±0.5%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宽度：600mm</w:t>
            </w:r>
            <w:r>
              <w:rPr>
                <w:rFonts w:hint="eastAsia" w:asciiTheme="minorEastAsia" w:hAnsiTheme="minorEastAsia" w:eastAsiaTheme="minorEastAsia" w:cstheme="minorEastAsia"/>
                <w:sz w:val="21"/>
                <w:szCs w:val="21"/>
                <w:lang w:val="en-US" w:eastAsia="zh-CN"/>
              </w:rPr>
              <w:t>±0.5%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深度：600mm</w:t>
            </w:r>
            <w:r>
              <w:rPr>
                <w:rFonts w:hint="eastAsia" w:asciiTheme="minorEastAsia" w:hAnsiTheme="minorEastAsia" w:eastAsiaTheme="minorEastAsia" w:cstheme="minorEastAsia"/>
                <w:sz w:val="21"/>
                <w:szCs w:val="21"/>
                <w:lang w:val="en-US" w:eastAsia="zh-CN"/>
              </w:rPr>
              <w:t>±0.5%</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投影仪（含幕布、教鞭）</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投影技术：3 LCD</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▲标准亮度：≥4200流明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LCD尺寸：0.63英寸</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标准分辨率：1024×768</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灯泡：≤225W  标准模式下灯泡寿命≥5000小时（节能模式下灯泡寿命≥10000小时）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对比度：≥15000：1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光学变焦：1.2</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配专用吊架、150寸电动幕布、教鞭</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音响设备</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音响两台: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黑色喷砂面板， 音乐及话筒高中低音独立调节，混响延时独立调节，输出功率150W+150W</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功放一台: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信躁比： 74 dB</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输出端子：3组</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输入端子：3组</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阻抗：4-8Ω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输出功率：150W+150W RmS</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输入灵敏度：线路输入： 250mV；话筒输入：20mV</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总失真率：0.5%@1KHz 8Ω 1/3Rated Power</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电源电压：AC220V/50Hz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鹅颈式话筒一个:</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鹅颈式会议话筒</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单体：静电型电容音头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指向性：心型≤-16dB（0-180°）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频率响应：50Hz-16KHz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灵敏度：-30dB±3dB（0dB=1V/Pa at 1kHz）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低频衰减：100Hz 8dB/倍频</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输出阻抗：100Ω±30%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使用电压：12-52V幻象电源</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90"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综合布线</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国标电线，6类千兆网线及水晶头、PVC环保线槽、优质五金件等辅材</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教师桌椅</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现代化办公样式，采用环保材质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尺寸：1200*600*750mm</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椅子采用钢架材质，尼龙靠背透气。</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学生桌椅</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钢架结构，面板采用环保板材，具有防霉、防潮等功能，含主机箱，尺寸：800*550*750mm</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配方凳。</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类别：立柜式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制冷类型：冷暖</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匹数：5匹及以上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定频/变频：定频</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▲能效等级：3级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电辅加热：支持</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适用面积(平方米):55-85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制冷量(W):12000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制冷功率(W)：3930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制热量(W)：12500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制热功率(W)：3800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电辅加热功率(W)：3500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内机噪音(dB(A)：50-52</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外机噪音(dB(A)≤60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定频机能效比3.05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循环风量(m3/h)1750</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扫风方式：上下/左右扫风</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实训环境建设</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铺设木地板（实木复合地板）、吊顶（铝扣板吊顶含吊顶灯）、墙体粉刷（刮腻子，刷环保乳胶漆）、窗帘（防静电遮光布）、门牌（亚克力材质）、实训室文化展板</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批</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防伪税控开票仿真系统</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该系统为独立系统，采用B/S结构，包含《增值税防伪税控发行子系统》及《增值税防伪税控开票子系统》两个实训子系统，系统模拟了税局端和企业端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可以搭配最新版金税盘，可模拟税局端进行金税盘发行和企业开户，发行后系统自动配备一个完整的企业信息，可以实现发票发售与购买,抄报税清卡完成后可循环使用金税盘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类型选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开票软件满足增值税专票、增值税普票、增值税电子票开具</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开票符合以下5个流程和规定：发票管理:1.发票读入。对金税盘中的发票读入是，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发票查询。可以按照月份进行历史开票记录进行查询，并可以导出。4.发票作废。可以对已开发票和未开发票作废，对于未开发票可以进行批量作废。5.发票退回。 报税处理：1.抄税。包括上报汇总远程清卡和办税厅抄税，当面清卡两种模式。同时系统支持模拟征期抄税和非征期抄税。在抄税的时候，有明显的进程提示信息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响应国税总局工作要求，严格要求增值税专用发票和增值税普通发票的开具必须选择相应的编码，开具的发票商品必须能对应相应的税收分类简码、同时匹配对应的税收分类编码，防止虚开发票，加强增收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税收分类编码包含6大类、4000个以上内置的税收分类编码，每个税收分类编码均和真实系统一致，有相应的政策依据，同时能对商品的税率、优惠政策类型进行选择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单张发票最高限额与总局金税标准一致</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支持复制已开发票的信息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可以修改金税卡时钟，模拟征期和非征期抄税</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可以进行发票查询、作废、修复</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可实现含税价与不含税价的自动换算</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在报税处理中可以对发票资料分类查询及打印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学生可以自主下载实训案例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系统自带实训数据备份和恢复功能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系统支持学校个性化logo嵌入</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须有独立的案例管理系统，系统中自带增值税防伪税控开票实训案例不少于1套，业务不少于10笔。支持老师选择系统提供案例；同时，系统具有正规出版社出版的“十二五”普通高等教育规划配套教材，教材上具有系统使用说明和实训案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兼容实训宝，且实训宝自带金税盘功能；支持实训宝移动实训。</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20、软件必须严格按照国家税务总局同类软件的技术标准开发，与企业在用的同类软件仿真度达到99%以上；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软件必须能随国家税收政策变化三个月之内与企业版同步升级；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22、必须在三年内随国家税务相关政策发生变化，对软件进行免费升级、维护、改造；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软件可以无限量生成增加学生有效登陆操作的账号，保证本专业在校生可以同时进行实训人数500人以上；</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财务会计技能竞赛全真模拟训练平台</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一、参数指标</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平台为B/S网络版，兼容主流浏览器，安装机房服务器，学生电脑直接通过网页访问使用，无用户数量限制，方便所有相关专业学生使用。平台支持互联网应用模式，可7*24小时使用。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使用主流数据库：MySQL5.6，按业务需要支持横向扩展，支持分库、分表、读写分离等。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软件基于JAVA J2EE技术开发，三层式架构，实现高可用性、安全性、可扩展性和可靠性。既可运行在windows操作系统，也可以运行在 unix 、 linux 等操作系统上。</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系统应用采用MVC架构，展现层通过HTML实现；控制层通过Controller实现；模型层通过Java标准类来实现；与数据库的接口采用对JDBC进行轻量级封装的DAO提供的接口。并采用ajax局部刷新技术提高操作体验。</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系统对学生提交的答题结果实时进行评分，支持实时成绩查询，分数段统计，考场监控，成绩分析。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平台设有功能工具箱，涵盖计算器、函数计算器、EXCEL插件等实用工具，学生可通过EXCEL插件直接在表单上自由运算及运用函数公式计算。</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平台支持单选题、多选题、判断题、实训题、业务题、银行题、报税题，Excel题，前置题型（需要前面的任务做完才能解锁），让出题更加灵活；题目可以在不同角色中流转。</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支持案例库导入导出复制。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全新的单据整理题型，支持系统整理和二维码整理，让用户更加真实地体验到单据整理到填写凭证的财务实操过程。进行审核并进行批准或驳回等操作。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模糊答案功能，即允许学生采用和标准答案不同的正确答案表达方式（比如：1、人民币大写“元”“整”和“圆”“正”互认，现金支票用途“提现”和“取现”“提取现金”等互认），允许学生答案行顺序与标准答案不同（比如会计分录多借多贷时允许借和贷各行分录顺序不同），评分系统能够智能识别互认为正确，而不是僵化的只要和正确答案不一样就判错。</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比赛开始时间可设定按固定时间开启和现场动态开启两种方式。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具有IP筛选功能，教师可设置比赛场次只允许指定的IP段能进入比赛，方便教师监控。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比赛结束后，可查看选手做题情况，支持四个岗位查看各自的做题情况或者切换岗位查看。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具有比赛成绩分析功能，可查看每个业务题的最高分、最低分、平均分信息。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对于学生误点击结束竞赛的，支持由管理员在后台恢复为继续比赛状态，且原有答题数据还在。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管理员可设定是否允许学生在答题结束后查看做题结果。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老师可以自己新编实训案例，也可从已有的案例库中复制案例进行修改生成新的实训案例，背景单据可采用新增或从背景单据库复制的方式生成。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设置正确答案时，支持设定单据的某些空格无需填写；支持单据某行出现个别空格错误时全行都错的评分规则。</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具有单据查询功能，方便学生实训时查询前面的业务数据，在实训界面就可以通过单据查询索引到所需要的单据。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可以查看团队其他成员实训数据。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软件提供仿真税务、银行功能。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采用云财务平台，模拟企业财务共享中心，从建账、凭证编制、审核、过账、自动结转损益、结账到生成账簿、报表，培养学生信息化运用能力。</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平台可以自定义报表公式。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平台提供竞赛和练习两种模式，练习模式任务完成可以直接查看答案和解析。竞赛模式可以控制结束竞赛后是否显示成绩，查看做题结果。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竞赛重置功能后台灵活控制，用户可以在竞赛未结束前多次练习。</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平台支持用户批量导入、批量导出、批量生成。</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支持最终分数导出团队成绩，单岗成绩。</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账套凭证判分权重灵活设置。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平台角色数量，名称后台可以设置。</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二、系统预置12套题库</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预置实训案例内容：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预置案例库以全国职业院校技能大赛高职组会计技能赛项—财务会计技能竞赛环节考核大纲为范围，模拟制造业企业的会计业务。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平台预置5家实训企业案例，并配套5套岗位职业素养内容。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平台根据企业内部控制制度要求，按出纳岗位、成本会计、审核会计、会计主管四个岗位设置，以一家企业一整个月完整的经济业务为主线，涉及的主要内容如下：</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（1）出纳岗位实训内容：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支票签发、银行承兑汇票贴现、银行进账单填写、单据整理、网上电子支付业务、涉及收付款记账凭证审核等。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（2）成本会计岗位实训内容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填制成本核算原始凭证、计算产品成本、编制成本核算相关的记账凭证、编制成本报表、进行成本分析等。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（3）审核会计岗位实训内容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票据审核、填制除成本核算以外的相关业务原始凭证、编制除成本业务以外的记账凭证、凭证审核、账簿核对等。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（4）会计主管岗位实训内容</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建立账套、凭证的审核、过账及结账，网上电子支付业务的审核授权，网上税费申报、报表编制（包括资产负债表、利润表公式设置）及报表分析等。</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虚拟网上银行操作，包括网上电子支付及支付的审核授权。</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虚拟网上报税，包括增值税主表及附表、企业年度所得税主表及附表的申报。</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三、各模块主要功能：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赛务模块主要功能：包括参赛人员信息管理、竞赛过程管理、案例导入和成绩管理。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结果提交模块主要功能：选手根据竞赛要求在比赛结果提交平台直接提交结果，保存在服务器上，系统自动实时评分。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赛题传输模块主要功能：实训案例录入等相关设置。选手按要求可自动阅览。</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r>
      <w:tr>
        <w:tblPrEx>
          <w:tblLayout w:type="fixed"/>
          <w:tblCellMar>
            <w:top w:w="0" w:type="dxa"/>
            <w:left w:w="0" w:type="dxa"/>
            <w:bottom w:w="0" w:type="dxa"/>
            <w:right w:w="0" w:type="dxa"/>
          </w:tblCellMar>
        </w:tblPrEx>
        <w:trPr>
          <w:trHeight w:val="90"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液晶一体机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显示模块参数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1、屏幕显示尺寸：86 英寸</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2、液晶屏类型：节能屏 A规液晶屏</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3、显示色彩：24bit真彩（16.7M）；显示对比度：5000:1；亮度： 350cd/㎡；最大可视角：≈176°；</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安卓系统参数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内置安卓5.0以上的操作系统，实现图片、视频、文档、网页、APP等教学功能浏览操作；CPU：四核 ARM Cortex A53（84bit）；GPU：四核 Mali450 MP4</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触摸技术参数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触摸技术：红外感应10点触摸技术；</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首点响应速度8ms，连续点响应速度4ms</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3、触控的书写响应速度：书写后在屏幕显示的响应速度小于25MS，肉眼几乎无法看出笔迹滞后，无延迟感；</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输入输出接口</w:t>
            </w:r>
          </w:p>
          <w:p>
            <w:pPr>
              <w:pStyle w:val="39"/>
              <w:numPr>
                <w:ilvl w:val="0"/>
                <w:numId w:val="5"/>
              </w:numPr>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前置接口：电脑接口USB3.0*3、HDMI*1；</w:t>
            </w:r>
          </w:p>
          <w:p>
            <w:pPr>
              <w:pStyle w:val="39"/>
              <w:numPr>
                <w:ilvl w:val="0"/>
                <w:numId w:val="0"/>
              </w:numPr>
              <w:adjustRightInd w:val="0"/>
              <w:snapToGrid w:val="0"/>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2、其他接口输入：、VGA+Audio *1、HDMI*2、USB touch*1、RS232*1、、RJ45(LAN)*1、多媒体USB3.0*2；</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3、其他接口输出：AV-out*1、 earphone out*1</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电性能</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1、伴音输出功率：≥15W*2；电源要求：220V~50/60Hz；</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2、电源管理:待机功率≤0.5W；整机寿命：≥100000小时；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电脑参数</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采模块可拔插结构，主板采用标准ops 80针接口，方便其他此类电脑更换</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CPU：Intel英特尔 Core酷睿 I5</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 4G</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硬盘：128G 固态硬盘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网口：10M/100M/1000M RJ45接口，支持wifi信号接收</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整机稳定、易用性</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1、任意通道10点流畅批注；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2、在比较刺眼的任意背景下（任意通道界面下），能识别老师是否在书写,自动开启护眼模式,平滑智能降低显示亮度,以达到保护操作者视力健康的作用；</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3、任意通道下手势自动识别橡皮擦功能，橡皮擦的大小可随手势与屏幕接触的面积改变；</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4、在任意信号源通道下，快捷操作菜单可拖动到屏幕的任意位置，也可通过手势调取，方便老师操作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5、在任意信号源通道及无尘板书画面上，支持毛笔、图形识别笔、文字识别笔切换书写，支持十种以上不同颜色的任意调用，同时支持不小于10人用笔或手指等任何不透明物体进行流畅书写及操作</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嵌入式操作系统软件，在任意信号源通道下实现快捷操作菜单功能，包括信号通道切换、一键进入安卓主页，一键多程序运行预览，一键返回操作，一键切换无尘板书页、书写内容及背景保存等教学功能，主要功能图标具备明显中文标识。</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7、一体机前置面板具有不少于3路USB接口，至少1路USB接口可支持同时在Windows及Android系统下被读取。</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8、硬件菜单上的通道信号源名称支持自定义，支持中英文编辑，方便老师识别。</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智能音箱</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1.无线咪，小型化设计，方便使用，携带，保管；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2、自动搜频，可与每个教室的接收器自动组合；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3、自动锁频，同频无干扰，语音效果最佳；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4、使用锂电,一次充电可使用8小时以上。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5、外壳为工程塑料一次成型，这样才能使其挂在教室内长久不会脱落，从而更加保证学生安全。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6、四路音频输入；2组有线麦克风输入；主机音量及高音、低音独立可调功能。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7、喇叭：中音6寸，高音3寸。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8、功率：25W+25W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9、频率范围：20Hz-20KHz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10、阻抗： 8Ω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12、安装方式：壁挂</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其他：提供智能翻页笔</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Layout w:type="fixed"/>
          <w:tblCellMar>
            <w:top w:w="0" w:type="dxa"/>
            <w:left w:w="0" w:type="dxa"/>
            <w:bottom w:w="0" w:type="dxa"/>
            <w:right w:w="0" w:type="dxa"/>
          </w:tblCellMar>
        </w:tblPrEx>
        <w:trPr>
          <w:trHeight w:val="637" w:hRule="atLeast"/>
        </w:trPr>
        <w:tc>
          <w:tcPr>
            <w:tcW w:w="650" w:type="dxa"/>
            <w:tcBorders>
              <w:top w:val="single" w:color="auto" w:sz="4" w:space="0"/>
              <w:left w:val="single" w:color="auto" w:sz="8" w:space="0"/>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806"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w:t>
            </w:r>
          </w:p>
        </w:tc>
        <w:tc>
          <w:tcPr>
            <w:tcW w:w="5197"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台式</w:t>
            </w:r>
            <w:r>
              <w:rPr>
                <w:rFonts w:hint="eastAsia" w:asciiTheme="minorEastAsia" w:hAnsiTheme="minorEastAsia" w:eastAsiaTheme="minorEastAsia" w:cstheme="minorEastAsia"/>
                <w:sz w:val="21"/>
                <w:szCs w:val="21"/>
              </w:rPr>
              <w:t>一体机</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▲处理器：Intel i5-7200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2G独立显卡，</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▲内存</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G</w:t>
            </w:r>
            <w:r>
              <w:rPr>
                <w:rFonts w:hint="eastAsia" w:asciiTheme="minorEastAsia" w:hAnsiTheme="minorEastAsia" w:eastAsiaTheme="minorEastAsia" w:cstheme="minorEastAsia"/>
                <w:sz w:val="21"/>
                <w:szCs w:val="21"/>
                <w:lang w:eastAsia="zh-CN"/>
              </w:rPr>
              <w:t>；</w:t>
            </w:r>
          </w:p>
          <w:p>
            <w:pPr>
              <w:pStyle w:val="39"/>
              <w:adjustRightInd w:val="0"/>
              <w:snapToGrid w:val="0"/>
              <w:spacing w:line="360" w:lineRule="auto"/>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▲硬盘500G</w:t>
            </w:r>
          </w:p>
          <w:p>
            <w:pPr>
              <w:pStyle w:val="39"/>
              <w:adjustRightInd w:val="0"/>
              <w:snapToGrid w:val="0"/>
              <w:spacing w:line="360" w:lineRule="auto"/>
              <w:ind w:firstLine="0" w:firstLineChars="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显示器尺寸≥23英寸，无线键盘、鼠标</w:t>
            </w:r>
          </w:p>
        </w:tc>
        <w:tc>
          <w:tcPr>
            <w:tcW w:w="708"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04" w:type="dxa"/>
            <w:tcBorders>
              <w:top w:val="single" w:color="auto" w:sz="4" w:space="0"/>
              <w:left w:val="nil"/>
              <w:bottom w:val="single" w:color="auto" w:sz="4" w:space="0"/>
              <w:right w:val="single" w:color="auto" w:sz="8" w:space="0"/>
            </w:tcBorders>
            <w:shd w:val="clear" w:color="auto" w:fill="auto"/>
            <w:noWrap w:val="0"/>
            <w:tcMar>
              <w:top w:w="0" w:type="dxa"/>
              <w:left w:w="105" w:type="dxa"/>
              <w:bottom w:w="0" w:type="dxa"/>
              <w:right w:w="105"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173" w:type="dxa"/>
            <w:tcBorders>
              <w:top w:val="single" w:color="auto" w:sz="4" w:space="0"/>
              <w:left w:val="nil"/>
              <w:bottom w:val="single" w:color="auto" w:sz="4" w:space="0"/>
              <w:right w:val="single" w:color="auto" w:sz="8" w:space="0"/>
            </w:tcBorders>
            <w:shd w:val="clear" w:color="auto" w:fill="auto"/>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en-US" w:eastAsia="zh-CN"/>
        </w:rPr>
        <w:t>1、投标人须明确投标产品的厂家、产地、品牌、型号、详细参数</w:t>
      </w:r>
      <w:r>
        <w:rPr>
          <w:rFonts w:hint="eastAsia" w:ascii="宋体" w:cs="宋体"/>
          <w:sz w:val="24"/>
          <w:highlight w:val="none"/>
          <w:lang w:val="zh-CN"/>
        </w:rPr>
        <w:t>（</w:t>
      </w:r>
      <w:r>
        <w:rPr>
          <w:rFonts w:hint="eastAsia" w:ascii="宋体" w:cs="宋体"/>
          <w:sz w:val="24"/>
          <w:highlight w:val="none"/>
          <w:lang w:val="en-US" w:eastAsia="zh-CN"/>
        </w:rPr>
        <w:t>A包</w:t>
      </w:r>
      <w:r>
        <w:rPr>
          <w:rFonts w:hint="eastAsia" w:ascii="宋体" w:cs="宋体"/>
          <w:sz w:val="24"/>
          <w:highlight w:val="none"/>
          <w:lang w:val="zh-CN"/>
        </w:rPr>
        <w:t>序号</w:t>
      </w:r>
      <w:r>
        <w:rPr>
          <w:rFonts w:hint="eastAsia" w:ascii="宋体" w:cs="宋体"/>
          <w:sz w:val="24"/>
          <w:highlight w:val="none"/>
          <w:lang w:val="en-US" w:eastAsia="zh-CN"/>
        </w:rPr>
        <w:t>44；B包序号</w:t>
      </w:r>
      <w:r>
        <w:rPr>
          <w:rFonts w:hint="eastAsia" w:ascii="宋体" w:cs="宋体"/>
          <w:sz w:val="24"/>
          <w:highlight w:val="none"/>
          <w:lang w:val="zh-CN"/>
        </w:rPr>
        <w:t>12、</w:t>
      </w:r>
      <w:r>
        <w:rPr>
          <w:rFonts w:hint="eastAsia" w:ascii="宋体" w:cs="宋体"/>
          <w:sz w:val="24"/>
          <w:highlight w:val="none"/>
          <w:lang w:val="en-US" w:eastAsia="zh-CN"/>
        </w:rPr>
        <w:t>16</w:t>
      </w:r>
      <w:r>
        <w:rPr>
          <w:rFonts w:hint="eastAsia" w:ascii="宋体" w:cs="宋体"/>
          <w:sz w:val="24"/>
          <w:highlight w:val="none"/>
          <w:lang w:val="zh-CN"/>
        </w:rPr>
        <w:t>除外），</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hint="eastAsia" w:ascii="宋体" w:cs="宋体"/>
          <w:sz w:val="24"/>
          <w:highlight w:val="none"/>
          <w:lang w:val="zh-CN"/>
        </w:rPr>
      </w:pPr>
      <w:r>
        <w:rPr>
          <w:rFonts w:hint="eastAsia" w:ascii="宋体" w:cs="宋体"/>
          <w:sz w:val="24"/>
          <w:highlight w:val="none"/>
          <w:lang w:val="en-US" w:eastAsia="zh-CN"/>
        </w:rPr>
        <w:t>2、A、B包产品免费质保期3年。</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、投标人应就每包完整投标，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w:t>
      </w:r>
      <w:r>
        <w:rPr>
          <w:rFonts w:hint="eastAsia" w:cs="宋体" w:asciiTheme="minorEastAsia" w:hAnsiTheme="minorEastAsia" w:eastAsiaTheme="minorEastAsia"/>
          <w:b/>
          <w:color w:val="000000"/>
          <w:kern w:val="0"/>
          <w:lang w:val="en-US" w:eastAsia="zh-CN"/>
        </w:rPr>
        <w:t>A包：408185元；B包：694785元</w:t>
      </w:r>
      <w:r>
        <w:rPr>
          <w:rFonts w:hint="eastAsia" w:cs="宋体" w:asciiTheme="minorEastAsia" w:hAnsiTheme="minorEastAsia" w:eastAsiaTheme="minorEastAsia"/>
          <w:b/>
          <w:color w:val="000000"/>
          <w:kern w:val="0"/>
          <w:lang w:val="zh-CN"/>
        </w:rPr>
        <w:t xml:space="preserve">。最高限价 </w:t>
      </w:r>
      <w:r>
        <w:rPr>
          <w:rFonts w:hint="eastAsia" w:cs="宋体" w:asciiTheme="minorEastAsia" w:hAnsiTheme="minorEastAsia" w:eastAsiaTheme="minorEastAsia"/>
          <w:b/>
          <w:color w:val="000000"/>
          <w:kern w:val="0"/>
          <w:lang w:val="en-US" w:eastAsia="zh-CN"/>
        </w:rPr>
        <w:t>A包：408185元；B包：694785元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en-US"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手工会计实训、财税一体化实训设备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088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A包：手工会计实训室设备；B包：财税一体化实训设备等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许昌电气职业学院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许昌电气职业学院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许昌市魏文路与永昌大道交汇处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李鹏飞</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13733612696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highlight w:val="none"/>
                <w:lang w:val="en-US" w:eastAsia="zh-CN"/>
              </w:rPr>
              <w:t>A包：408185元；B包：694785元</w:t>
            </w:r>
            <w:r>
              <w:rPr>
                <w:rFonts w:hint="eastAsia" w:cs="宋体" w:asciiTheme="minorEastAsia" w:hAnsiTheme="minorEastAsia"/>
                <w:kern w:val="0"/>
                <w:szCs w:val="21"/>
                <w:highlight w:val="none"/>
                <w:lang w:val="zh-CN"/>
              </w:rPr>
              <w:t>，超出最高</w:t>
            </w:r>
            <w:r>
              <w:rPr>
                <w:rFonts w:hint="eastAsia" w:cs="宋体" w:asciiTheme="minorEastAsia" w:hAnsiTheme="minorEastAsia"/>
                <w:bCs/>
                <w:szCs w:val="21"/>
                <w:lang w:val="zh-CN"/>
              </w:rPr>
              <w:t>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宋体" w:asciiTheme="minorEastAsia" w:hAnsiTheme="minorEastAsia"/>
                <w:kern w:val="0"/>
                <w:szCs w:val="21"/>
                <w:highlight w:val="none"/>
                <w:lang w:val="en-US" w:eastAsia="zh-CN"/>
              </w:rPr>
              <w:t>A包：捌仟</w:t>
            </w:r>
            <w:r>
              <w:rPr>
                <w:rFonts w:hint="eastAsia" w:cs="仿宋_GB2312" w:asciiTheme="minorEastAsia" w:hAnsiTheme="minorEastAsia"/>
                <w:szCs w:val="21"/>
                <w:lang w:val="zh-CN"/>
              </w:rPr>
              <w:t>元（¥</w:t>
            </w:r>
            <w:r>
              <w:rPr>
                <w:rFonts w:hint="eastAsia" w:cs="仿宋_GB2312" w:asciiTheme="minorEastAsia" w:hAnsiTheme="minorEastAsia"/>
                <w:szCs w:val="21"/>
                <w:lang w:val="en-US" w:eastAsia="zh-CN"/>
              </w:rPr>
              <w:t>8000</w:t>
            </w:r>
            <w:r>
              <w:rPr>
                <w:rFonts w:hint="eastAsia" w:cs="仿宋_GB2312" w:asciiTheme="minorEastAsia" w:hAnsiTheme="minorEastAsia"/>
                <w:szCs w:val="21"/>
                <w:lang w:val="zh-CN"/>
              </w:rPr>
              <w:t>元）</w:t>
            </w:r>
            <w:r>
              <w:rPr>
                <w:rFonts w:hint="eastAsia" w:cs="仿宋_GB2312" w:asciiTheme="minorEastAsia" w:hAnsiTheme="minorEastAsia"/>
                <w:szCs w:val="21"/>
                <w:lang w:val="en-US" w:eastAsia="zh-CN"/>
              </w:rPr>
              <w:t xml:space="preserve"> </w:t>
            </w:r>
            <w:r>
              <w:rPr>
                <w:rFonts w:hint="eastAsia" w:cs="宋体" w:asciiTheme="minorEastAsia" w:hAnsiTheme="minorEastAsia"/>
                <w:kern w:val="0"/>
                <w:szCs w:val="21"/>
                <w:highlight w:val="none"/>
                <w:lang w:val="en-US" w:eastAsia="zh-CN"/>
              </w:rPr>
              <w:t>B包：</w:t>
            </w:r>
            <w:r>
              <w:rPr>
                <w:rFonts w:hint="eastAsia" w:cs="仿宋_GB2312" w:asciiTheme="minorEastAsia" w:hAnsiTheme="minorEastAsia"/>
                <w:szCs w:val="21"/>
                <w:lang w:val="zh-CN"/>
              </w:rPr>
              <w:t>壹万叁仟元（¥</w:t>
            </w:r>
            <w:r>
              <w:rPr>
                <w:rFonts w:hint="eastAsia" w:cs="仿宋_GB2312" w:asciiTheme="minorEastAsia" w:hAnsiTheme="minorEastAsia"/>
                <w:szCs w:val="21"/>
                <w:lang w:val="en-US" w:eastAsia="zh-CN"/>
              </w:rPr>
              <w:t>13000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一、投标保证金的递交方式：银行转帐、</w:t>
            </w:r>
            <w:bookmarkStart w:id="14" w:name="_GoBack"/>
            <w:bookmarkEnd w:id="14"/>
            <w:r>
              <w:rPr>
                <w:rFonts w:hint="eastAsia" w:cs="仿宋_GB2312" w:asciiTheme="minorEastAsia" w:hAnsiTheme="minorEastAsia"/>
                <w:szCs w:val="21"/>
                <w:lang w:val="zh-CN"/>
              </w:rPr>
              <w:t xml:space="preserve">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21</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lang w:eastAsia="zh-CN"/>
              </w:rPr>
              <w:t>投标人</w:t>
            </w:r>
            <w:r>
              <w:rPr>
                <w:rFonts w:hint="eastAsia" w:asciiTheme="minorEastAsia" w:hAnsiTheme="minorEastAsia"/>
                <w:szCs w:val="21"/>
              </w:rPr>
              <w:t>提供201</w:t>
            </w:r>
            <w:r>
              <w:rPr>
                <w:rFonts w:hint="eastAsia" w:asciiTheme="minorEastAsia" w:hAnsiTheme="minorEastAsia"/>
                <w:szCs w:val="21"/>
                <w:lang w:val="en-US" w:eastAsia="zh-CN"/>
              </w:rPr>
              <w:t>6</w:t>
            </w:r>
            <w:r>
              <w:rPr>
                <w:rFonts w:hint="eastAsia" w:asciiTheme="minorEastAsia" w:hAnsiTheme="minorEastAsia"/>
                <w:szCs w:val="21"/>
              </w:rPr>
              <w:t>年1月1日以来信用评级机构出具的有效的企业信用报告，等级为AAA级的得3分；AA级的得2分；A级的得1分。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2、投标人提供</w:t>
            </w:r>
            <w:r>
              <w:rPr>
                <w:rFonts w:hint="eastAsia" w:asciiTheme="minorEastAsia" w:hAnsiTheme="minorEastAsia"/>
                <w:szCs w:val="21"/>
              </w:rPr>
              <w:t>质量</w:t>
            </w:r>
            <w:r>
              <w:rPr>
                <w:rFonts w:hint="eastAsia" w:asciiTheme="minorEastAsia" w:hAnsiTheme="minorEastAsia"/>
                <w:szCs w:val="21"/>
                <w:lang w:eastAsia="zh-CN"/>
              </w:rPr>
              <w:t>管理</w:t>
            </w:r>
            <w:r>
              <w:rPr>
                <w:rFonts w:hint="eastAsia" w:asciiTheme="minorEastAsia" w:hAnsiTheme="minorEastAsia"/>
                <w:szCs w:val="21"/>
              </w:rPr>
              <w:t>体系认证、环境管理体系认证、职业健康安全管理体系认证</w:t>
            </w:r>
            <w:r>
              <w:rPr>
                <w:rFonts w:hint="eastAsia" w:asciiTheme="minorEastAsia" w:hAnsiTheme="minorEastAsia"/>
                <w:szCs w:val="21"/>
                <w:lang w:eastAsia="zh-CN"/>
              </w:rPr>
              <w:t>证书复印件，每提供一份得</w:t>
            </w:r>
            <w:r>
              <w:rPr>
                <w:rFonts w:hint="eastAsia" w:asciiTheme="minorEastAsia" w:hAnsiTheme="minorEastAsia"/>
                <w:szCs w:val="21"/>
                <w:lang w:val="en-US" w:eastAsia="zh-CN"/>
              </w:rPr>
              <w:t>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业绩</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提供2016以来类似项目业绩，中标通知书、合同及验收报告齐全的，每个3分，满分</w:t>
            </w:r>
            <w:r>
              <w:rPr>
                <w:rFonts w:hint="eastAsia" w:asciiTheme="minorEastAsia" w:hAnsiTheme="minorEastAsia"/>
                <w:szCs w:val="21"/>
                <w:lang w:val="en-US" w:eastAsia="zh-CN"/>
              </w:rPr>
              <w:t>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right="0"/>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szCs w:val="21"/>
                <w:lang w:val="en-US" w:eastAsia="zh-CN"/>
              </w:rPr>
              <w:t>投标文件规范程度</w:t>
            </w: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p>
            <w:pPr>
              <w:snapToGrid w:val="0"/>
              <w:spacing w:beforeLines="50"/>
              <w:jc w:val="center"/>
              <w:rPr>
                <w:rFonts w:hint="eastAsia" w:ascii="宋体" w:hAnsi="宋体" w:eastAsia="宋体" w:cs="Times New Roman"/>
                <w:szCs w:val="21"/>
              </w:rPr>
            </w:pPr>
          </w:p>
        </w:tc>
        <w:tc>
          <w:tcPr>
            <w:tcW w:w="6095" w:type="dxa"/>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装订规范、文字清晰、无差错1分。</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所提供资料准确完整1分。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21</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1、不满足招标文件技术指标要求和商务条款规定的为无效投标。</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2、货物需求中带▲产品技术参数实质性优于招标文件一项的加1分，满分5分。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综合实力</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lang w:val="en-GB" w:eastAsia="zh-CN"/>
              </w:rPr>
            </w:pPr>
            <w:r>
              <w:rPr>
                <w:rFonts w:hint="eastAsia" w:asciiTheme="minorEastAsia" w:hAnsiTheme="minorEastAsia"/>
                <w:szCs w:val="21"/>
                <w:lang w:val="en-GB" w:eastAsia="zh-CN"/>
              </w:rPr>
              <w:t>1、投标人提供序号46、序号47软件“计算机软件著作权登记证书或者软件著作权证书”复印件，每提供1份得</w:t>
            </w:r>
            <w:r>
              <w:rPr>
                <w:rFonts w:hint="eastAsia" w:asciiTheme="minorEastAsia" w:hAnsiTheme="minorEastAsia"/>
                <w:szCs w:val="21"/>
                <w:lang w:val="en-US" w:eastAsia="zh-CN"/>
              </w:rPr>
              <w:t>4</w:t>
            </w:r>
            <w:r>
              <w:rPr>
                <w:rFonts w:hint="eastAsia" w:asciiTheme="minorEastAsia" w:hAnsiTheme="minorEastAsia"/>
                <w:szCs w:val="21"/>
                <w:lang w:val="en-GB" w:eastAsia="zh-CN"/>
              </w:rPr>
              <w:t>分，不提供或提供不符合不得分，满分</w:t>
            </w:r>
            <w:r>
              <w:rPr>
                <w:rFonts w:hint="eastAsia" w:asciiTheme="minorEastAsia" w:hAnsiTheme="minorEastAsia"/>
                <w:szCs w:val="21"/>
                <w:lang w:val="en-US" w:eastAsia="zh-CN"/>
              </w:rPr>
              <w:t>8</w:t>
            </w:r>
            <w:r>
              <w:rPr>
                <w:rFonts w:hint="eastAsia" w:asciiTheme="minorEastAsia" w:hAnsiTheme="minorEastAsia"/>
                <w:szCs w:val="21"/>
                <w:lang w:val="en-GB" w:eastAsia="zh-CN"/>
              </w:rPr>
              <w:t>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GB" w:eastAsia="zh-CN"/>
              </w:rPr>
              <w:t>2、投标人提供序号46、序号47软件由国家质检部门或第三方检测机构出具的测试报告复印件，每提供一份</w:t>
            </w:r>
            <w:r>
              <w:rPr>
                <w:rFonts w:hint="eastAsia" w:asciiTheme="minorEastAsia" w:hAnsiTheme="minorEastAsia"/>
                <w:szCs w:val="21"/>
                <w:lang w:val="en-US" w:eastAsia="zh-CN"/>
              </w:rPr>
              <w:t>4</w:t>
            </w:r>
            <w:r>
              <w:rPr>
                <w:rFonts w:hint="eastAsia" w:asciiTheme="minorEastAsia" w:hAnsiTheme="minorEastAsia"/>
                <w:szCs w:val="21"/>
                <w:lang w:val="en-GB" w:eastAsia="zh-CN"/>
              </w:rPr>
              <w:t>分，满分</w:t>
            </w:r>
            <w:r>
              <w:rPr>
                <w:rFonts w:hint="eastAsia" w:asciiTheme="minorEastAsia" w:hAnsiTheme="minorEastAsia"/>
                <w:szCs w:val="21"/>
                <w:lang w:val="en-US" w:eastAsia="zh-CN"/>
              </w:rPr>
              <w:t>8</w:t>
            </w:r>
            <w:r>
              <w:rPr>
                <w:rFonts w:hint="eastAsia" w:asciiTheme="minorEastAsia" w:hAnsiTheme="minorEastAsia"/>
                <w:szCs w:val="21"/>
                <w:lang w:val="en-GB"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GB" w:eastAsia="zh-CN"/>
              </w:rPr>
            </w:pPr>
            <w:r>
              <w:rPr>
                <w:rFonts w:hint="eastAsia" w:asciiTheme="minorEastAsia" w:hAnsiTheme="minorEastAsia"/>
                <w:szCs w:val="21"/>
                <w:lang w:val="en-GB" w:eastAsia="zh-CN"/>
              </w:rPr>
              <w:t>1、提供免费质量保障，满足最低3年免费质保的基础上，每延长1年加1分，共</w:t>
            </w:r>
            <w:r>
              <w:rPr>
                <w:rFonts w:hint="eastAsia" w:asciiTheme="minorEastAsia" w:hAnsiTheme="minorEastAsia"/>
                <w:szCs w:val="21"/>
                <w:lang w:val="en-US" w:eastAsia="zh-CN"/>
              </w:rPr>
              <w:t>3</w:t>
            </w:r>
            <w:r>
              <w:rPr>
                <w:rFonts w:hint="eastAsia" w:asciiTheme="minorEastAsia" w:hAnsiTheme="minorEastAsia"/>
                <w:szCs w:val="21"/>
                <w:lang w:val="en-GB" w:eastAsia="zh-CN"/>
              </w:rPr>
              <w:t>分。</w:t>
            </w:r>
          </w:p>
          <w:p>
            <w:pPr>
              <w:spacing w:line="360" w:lineRule="auto"/>
              <w:rPr>
                <w:rFonts w:hint="eastAsia" w:asciiTheme="minorEastAsia" w:hAnsiTheme="minorEastAsia"/>
                <w:szCs w:val="21"/>
                <w:lang w:val="en-GB" w:eastAsia="zh-CN"/>
              </w:rPr>
            </w:pPr>
            <w:r>
              <w:rPr>
                <w:rFonts w:hint="eastAsia" w:asciiTheme="minorEastAsia" w:hAnsiTheme="minorEastAsia"/>
                <w:szCs w:val="21"/>
                <w:lang w:val="en-GB" w:eastAsia="zh-CN"/>
              </w:rPr>
              <w:t>2、技术支持、售后服务程序合理，人员配备技术力量强，故障响应时间小于2小时，上门时间小于8小时，维修和更换时间小于24小时，得3分，不满足不得分。</w:t>
            </w:r>
          </w:p>
          <w:p>
            <w:pPr>
              <w:spacing w:line="360" w:lineRule="auto"/>
              <w:rPr>
                <w:rFonts w:ascii="宋体" w:hAnsi="宋体" w:eastAsia="宋体" w:cs="Times New Roman"/>
                <w:szCs w:val="21"/>
              </w:rPr>
            </w:pPr>
            <w:r>
              <w:rPr>
                <w:rFonts w:hint="eastAsia" w:asciiTheme="minorEastAsia" w:hAnsiTheme="minorEastAsia"/>
                <w:szCs w:val="21"/>
                <w:lang w:val="en-US" w:eastAsia="zh-CN"/>
              </w:rPr>
              <w:t>3、提供所投软件产品三年课程师资培训和教学现场跟踪服务，并承诺提供3年以上软件免费升级服务的，得3分。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5CDD0CDB"/>
    <w:multiLevelType w:val="singleLevel"/>
    <w:tmpl w:val="5CDD0CDB"/>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4"/>
  </w:num>
  <w:num w:numId="6">
    <w:abstractNumId w:val="7"/>
  </w:num>
  <w:num w:numId="7">
    <w:abstractNumId w:val="15"/>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7B354B"/>
    <w:rsid w:val="0A582101"/>
    <w:rsid w:val="0B641221"/>
    <w:rsid w:val="0F5641A9"/>
    <w:rsid w:val="10E64FA4"/>
    <w:rsid w:val="13464CFF"/>
    <w:rsid w:val="16D95C55"/>
    <w:rsid w:val="1A0E4A12"/>
    <w:rsid w:val="1AAA1C1F"/>
    <w:rsid w:val="1B0D3F84"/>
    <w:rsid w:val="1EC1311C"/>
    <w:rsid w:val="23BE10D0"/>
    <w:rsid w:val="279B317D"/>
    <w:rsid w:val="2C635DC2"/>
    <w:rsid w:val="313B5CDB"/>
    <w:rsid w:val="33813D07"/>
    <w:rsid w:val="33BC3DF7"/>
    <w:rsid w:val="35DB3970"/>
    <w:rsid w:val="3DA20BA7"/>
    <w:rsid w:val="3F6A0120"/>
    <w:rsid w:val="43BD35B5"/>
    <w:rsid w:val="4F004D7D"/>
    <w:rsid w:val="571533AA"/>
    <w:rsid w:val="5A5273C3"/>
    <w:rsid w:val="5B1F0BB5"/>
    <w:rsid w:val="5FB85247"/>
    <w:rsid w:val="642B11B3"/>
    <w:rsid w:val="64D431DF"/>
    <w:rsid w:val="66981897"/>
    <w:rsid w:val="67420109"/>
    <w:rsid w:val="6AEF480C"/>
    <w:rsid w:val="6CBF4482"/>
    <w:rsid w:val="757D07F4"/>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8</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2019-06-05T01:45:16Z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