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652F12" w:rsidRDefault="00466372" w:rsidP="00D43490">
      <w:pPr>
        <w:pStyle w:val="p16"/>
        <w:spacing w:before="0" w:after="0" w:line="360" w:lineRule="auto"/>
        <w:jc w:val="center"/>
        <w:rPr>
          <w:b/>
          <w:bCs/>
          <w:sz w:val="48"/>
          <w:szCs w:val="48"/>
        </w:rPr>
      </w:pPr>
      <w:r w:rsidRPr="00466372">
        <w:rPr>
          <w:rFonts w:hint="eastAsia"/>
          <w:b/>
          <w:bCs/>
          <w:sz w:val="48"/>
          <w:szCs w:val="48"/>
        </w:rPr>
        <w:t>襄城县颍阳镇北刘庄下水道建设项目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66372">
        <w:rPr>
          <w:rFonts w:ascii="宋体" w:hAnsi="宋体" w:hint="eastAsia"/>
          <w:b/>
          <w:bCs/>
          <w:spacing w:val="20"/>
          <w:sz w:val="36"/>
          <w:szCs w:val="36"/>
        </w:rPr>
        <w:t>32</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466372">
        <w:rPr>
          <w:rFonts w:ascii="宋体" w:hAnsi="宋体" w:hint="eastAsia"/>
          <w:b/>
          <w:spacing w:val="20"/>
          <w:sz w:val="36"/>
          <w:szCs w:val="36"/>
        </w:rPr>
        <w:t>5</w:t>
      </w:r>
      <w:r>
        <w:rPr>
          <w:rFonts w:ascii="宋体" w:hAnsi="宋体" w:hint="eastAsia"/>
          <w:b/>
          <w:spacing w:val="20"/>
          <w:sz w:val="36"/>
          <w:szCs w:val="36"/>
        </w:rPr>
        <w:t>月</w:t>
      </w:r>
      <w:r w:rsidR="00466372">
        <w:rPr>
          <w:rFonts w:ascii="宋体" w:hAnsi="宋体" w:hint="eastAsia"/>
          <w:b/>
          <w:spacing w:val="20"/>
          <w:sz w:val="36"/>
          <w:szCs w:val="36"/>
        </w:rPr>
        <w:t>27</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18</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29</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466372" w:rsidP="00466372">
      <w:pPr>
        <w:pStyle w:val="p16"/>
        <w:spacing w:line="360" w:lineRule="auto"/>
        <w:ind w:firstLineChars="200" w:firstLine="480"/>
        <w:jc w:val="both"/>
        <w:rPr>
          <w:bCs/>
          <w:color w:val="000000"/>
        </w:rPr>
      </w:pPr>
      <w:r w:rsidRPr="00466372">
        <w:rPr>
          <w:rFonts w:hint="eastAsia"/>
          <w:bCs/>
          <w:color w:val="000000"/>
        </w:rPr>
        <w:t>襄城县政府采购中心受襄城县颍阳镇人民政府的委托，对“襄城县颍阳镇北刘庄下水道建设项目”进行竞争性谈判采购,欢迎符合相关条件的投标企业报名参加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466372" w:rsidP="00466372">
      <w:pPr>
        <w:pStyle w:val="p0"/>
        <w:spacing w:before="100" w:after="100"/>
        <w:ind w:firstLineChars="200" w:firstLine="480"/>
        <w:rPr>
          <w:rFonts w:cs="宋体"/>
          <w:bCs/>
          <w:sz w:val="24"/>
        </w:rPr>
      </w:pPr>
      <w:r w:rsidRPr="00466372">
        <w:rPr>
          <w:rFonts w:cs="宋体" w:hint="eastAsia"/>
          <w:bCs/>
          <w:sz w:val="24"/>
        </w:rPr>
        <w:t>襄城县颍阳镇北刘庄下水道建设项目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66372">
        <w:rPr>
          <w:rFonts w:cs="宋体" w:hint="eastAsia"/>
          <w:bCs/>
          <w:sz w:val="24"/>
        </w:rPr>
        <w:t>32</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466372" w:rsidRPr="00466372">
        <w:rPr>
          <w:rFonts w:hint="eastAsia"/>
          <w:bCs/>
          <w:color w:val="000000"/>
        </w:rPr>
        <w:t>244750.63</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r w:rsidR="00652F12" w:rsidRPr="00652F12">
        <w:rPr>
          <w:rFonts w:hint="eastAsia"/>
          <w:bCs/>
          <w:color w:val="000000"/>
        </w:rPr>
        <w:t>符合《中华人民共和国政府采购法》第二十二条第一款规定（1、具有独立承担民事责任的能力;2、具有良好的商业信誉和健全的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lastRenderedPageBreak/>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466372" w:rsidRPr="00466372">
        <w:rPr>
          <w:rFonts w:hint="eastAsia"/>
          <w:bCs/>
          <w:color w:val="000000"/>
        </w:rPr>
        <w:t>6月4日</w:t>
      </w:r>
      <w:r w:rsidR="00652F12" w:rsidRPr="00652F12">
        <w:rPr>
          <w:rFonts w:hint="eastAsia"/>
          <w:bCs/>
          <w:color w:val="000000"/>
        </w:rPr>
        <w:t>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466372">
        <w:rPr>
          <w:rFonts w:ascii="宋体" w:hAnsi="宋体" w:cs="宋体" w:hint="eastAsia"/>
          <w:b/>
          <w:bCs/>
          <w:sz w:val="24"/>
          <w:szCs w:val="24"/>
          <w:u w:val="single"/>
        </w:rPr>
        <w:t>45</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466372" w:rsidRPr="00466372">
        <w:rPr>
          <w:rFonts w:ascii="宋体" w:hAnsi="宋体" w:cs="宋体" w:hint="eastAsia"/>
          <w:bCs/>
          <w:color w:val="000000"/>
          <w:sz w:val="24"/>
          <w:szCs w:val="24"/>
        </w:rPr>
        <w:t>6月4日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466372" w:rsidRPr="00466372">
        <w:rPr>
          <w:rFonts w:ascii="宋体" w:hAnsi="宋体" w:cs="宋体" w:hint="eastAsia"/>
          <w:bCs/>
          <w:color w:val="000000"/>
          <w:sz w:val="24"/>
        </w:rPr>
        <w:t>襄城县颍阳镇人民政府</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lastRenderedPageBreak/>
        <w:t>联系地址：</w:t>
      </w:r>
      <w:r w:rsidR="00466372" w:rsidRPr="00466372">
        <w:rPr>
          <w:rFonts w:ascii="宋体" w:hAnsi="宋体" w:cs="宋体" w:hint="eastAsia"/>
          <w:bCs/>
          <w:color w:val="000000"/>
          <w:sz w:val="24"/>
        </w:rPr>
        <w:t>襄城县颍阳镇</w:t>
      </w:r>
      <w:r w:rsidR="00466372">
        <w:rPr>
          <w:rFonts w:ascii="宋体" w:hAnsi="宋体" w:cs="宋体" w:hint="eastAsia"/>
          <w:bCs/>
          <w:color w:val="000000"/>
          <w:sz w:val="24"/>
        </w:rPr>
        <w:t xml:space="preserve"> </w:t>
      </w:r>
      <w:r w:rsidRPr="00493A73">
        <w:rPr>
          <w:rFonts w:ascii="宋体" w:hAnsi="宋体" w:cs="宋体" w:hint="eastAsia"/>
          <w:bCs/>
          <w:color w:val="000000"/>
          <w:sz w:val="24"/>
        </w:rPr>
        <w:t xml:space="preserve">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w:t>
      </w:r>
      <w:r w:rsidR="00466372" w:rsidRPr="00466372">
        <w:rPr>
          <w:rFonts w:ascii="宋体" w:hAnsi="宋体" w:cs="宋体" w:hint="eastAsia"/>
          <w:color w:val="000000"/>
          <w:sz w:val="24"/>
        </w:rPr>
        <w:t>13782213999</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466372">
        <w:rPr>
          <w:rFonts w:ascii="宋体" w:hAnsi="宋体" w:cs="宋体" w:hint="eastAsia"/>
          <w:sz w:val="24"/>
          <w:szCs w:val="24"/>
        </w:rPr>
        <w:t>5</w:t>
      </w:r>
      <w:r>
        <w:rPr>
          <w:rFonts w:ascii="宋体" w:hAnsi="宋体" w:cs="宋体" w:hint="eastAsia"/>
          <w:sz w:val="24"/>
          <w:szCs w:val="24"/>
        </w:rPr>
        <w:t>月</w:t>
      </w:r>
      <w:r w:rsidR="00466372">
        <w:rPr>
          <w:rFonts w:ascii="宋体" w:hAnsi="宋体" w:cs="宋体" w:hint="eastAsia"/>
          <w:sz w:val="24"/>
          <w:szCs w:val="24"/>
        </w:rPr>
        <w:t>27</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580"/>
        <w:gridCol w:w="220"/>
        <w:gridCol w:w="80"/>
        <w:gridCol w:w="1060"/>
        <w:gridCol w:w="280"/>
        <w:gridCol w:w="1100"/>
        <w:gridCol w:w="360"/>
        <w:gridCol w:w="80"/>
        <w:gridCol w:w="660"/>
        <w:gridCol w:w="80"/>
        <w:gridCol w:w="240"/>
        <w:gridCol w:w="460"/>
        <w:gridCol w:w="360"/>
        <w:gridCol w:w="180"/>
        <w:gridCol w:w="280"/>
        <w:gridCol w:w="120"/>
        <w:gridCol w:w="560"/>
        <w:gridCol w:w="400"/>
        <w:gridCol w:w="700"/>
        <w:gridCol w:w="20"/>
        <w:gridCol w:w="20"/>
        <w:gridCol w:w="20"/>
        <w:gridCol w:w="220"/>
        <w:gridCol w:w="140"/>
        <w:gridCol w:w="620"/>
        <w:gridCol w:w="80"/>
        <w:gridCol w:w="180"/>
        <w:gridCol w:w="1100"/>
        <w:gridCol w:w="240"/>
        <w:gridCol w:w="20"/>
      </w:tblGrid>
      <w:tr w:rsidR="00466372" w:rsidRPr="00466372" w:rsidTr="00466372">
        <w:trPr>
          <w:trHeight w:val="795"/>
        </w:trPr>
        <w:tc>
          <w:tcPr>
            <w:tcW w:w="10460" w:type="dxa"/>
            <w:gridSpan w:val="30"/>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r w:rsidRPr="00466372">
              <w:rPr>
                <w:rFonts w:ascii="宋体" w:hAnsi="宋体" w:cs="宋体" w:hint="eastAsia"/>
                <w:b/>
                <w:bCs/>
                <w:kern w:val="0"/>
                <w:sz w:val="40"/>
                <w:szCs w:val="40"/>
              </w:rPr>
              <w:t>分部分项工程和单价措施项目清单与计价表</w:t>
            </w:r>
          </w:p>
        </w:tc>
      </w:tr>
      <w:tr w:rsidR="00466372" w:rsidRPr="00466372" w:rsidTr="00466372">
        <w:trPr>
          <w:trHeight w:val="510"/>
        </w:trPr>
        <w:tc>
          <w:tcPr>
            <w:tcW w:w="4420" w:type="dxa"/>
            <w:gridSpan w:val="9"/>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660" w:type="dxa"/>
            <w:gridSpan w:val="14"/>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38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r>
      <w:tr w:rsidR="00466372" w:rsidRPr="00466372" w:rsidTr="00466372">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其中</w:t>
            </w:r>
          </w:p>
        </w:tc>
      </w:tr>
      <w:tr w:rsidR="00466372" w:rsidRPr="00466372" w:rsidTr="00466372">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暂估价</w:t>
            </w: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010101003001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挖沟槽土方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1.土壤类别:一、二类土</w:t>
            </w:r>
            <w:r w:rsidRPr="00466372">
              <w:rPr>
                <w:rFonts w:ascii="宋体" w:hAnsi="宋体" w:cs="宋体" w:hint="eastAsia"/>
                <w:kern w:val="0"/>
                <w:sz w:val="18"/>
                <w:szCs w:val="18"/>
              </w:rPr>
              <w:br/>
              <w:t>2.挖土深度:600mm</w:t>
            </w:r>
            <w:r w:rsidRPr="00466372">
              <w:rPr>
                <w:rFonts w:ascii="宋体" w:hAnsi="宋体" w:cs="宋体" w:hint="eastAsia"/>
                <w:kern w:val="0"/>
                <w:sz w:val="18"/>
                <w:szCs w:val="18"/>
              </w:rPr>
              <w:br/>
              <w:t>3.弃土运距:20m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289.01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010103001001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回填方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1.密实度要求:</w:t>
            </w:r>
            <w:proofErr w:type="gramStart"/>
            <w:r w:rsidRPr="00466372">
              <w:rPr>
                <w:rFonts w:ascii="宋体" w:hAnsi="宋体" w:cs="宋体" w:hint="eastAsia"/>
                <w:kern w:val="0"/>
                <w:sz w:val="18"/>
                <w:szCs w:val="18"/>
              </w:rPr>
              <w:t>基槽夯填</w:t>
            </w:r>
            <w:proofErr w:type="gramEnd"/>
            <w:r w:rsidRPr="00466372">
              <w:rPr>
                <w:rFonts w:ascii="宋体" w:hAnsi="宋体" w:cs="宋体" w:hint="eastAsia"/>
                <w:kern w:val="0"/>
                <w:sz w:val="18"/>
                <w:szCs w:val="18"/>
              </w:rPr>
              <w:br/>
              <w:t>2..:素土运距：投标方自行考虑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481.68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010501001001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垫层</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1.混凝土种类:预拌</w:t>
            </w:r>
            <w:r w:rsidRPr="00466372">
              <w:rPr>
                <w:rFonts w:ascii="宋体" w:hAnsi="宋体" w:cs="宋体" w:hint="eastAsia"/>
                <w:kern w:val="0"/>
                <w:sz w:val="18"/>
                <w:szCs w:val="18"/>
              </w:rPr>
              <w:br/>
              <w:t>2.混凝土强度等级:C10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50.28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011702001001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基础</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垫层模板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107.04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010401014002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砖地沟、明沟</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1.砖品种、规格、强度等级:MU10混凝土砖</w:t>
            </w:r>
            <w:r w:rsidRPr="00466372">
              <w:rPr>
                <w:rFonts w:ascii="宋体" w:hAnsi="宋体" w:cs="宋体" w:hint="eastAsia"/>
                <w:kern w:val="0"/>
                <w:sz w:val="18"/>
                <w:szCs w:val="18"/>
              </w:rPr>
              <w:br/>
              <w:t>2.M7.5水泥砂浆砌沟壁</w:t>
            </w:r>
            <w:r w:rsidRPr="00466372">
              <w:rPr>
                <w:rFonts w:ascii="宋体" w:hAnsi="宋体" w:cs="宋体" w:hint="eastAsia"/>
                <w:kern w:val="0"/>
                <w:sz w:val="18"/>
                <w:szCs w:val="18"/>
              </w:rPr>
              <w:br/>
              <w:t>3.沟壁厚度120mm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1552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010512008001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沟盖板、井盖板、井圈</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1.混凝土强度等级:C20</w:t>
            </w:r>
            <w:r w:rsidRPr="00466372">
              <w:rPr>
                <w:rFonts w:ascii="宋体" w:hAnsi="宋体" w:cs="宋体" w:hint="eastAsia"/>
                <w:kern w:val="0"/>
                <w:sz w:val="18"/>
                <w:szCs w:val="18"/>
              </w:rPr>
              <w:br/>
              <w:t>2.外购置成品地沟盖板</w:t>
            </w:r>
            <w:r w:rsidRPr="00466372">
              <w:rPr>
                <w:rFonts w:ascii="宋体" w:hAnsi="宋体" w:cs="宋体" w:hint="eastAsia"/>
                <w:kern w:val="0"/>
                <w:sz w:val="18"/>
                <w:szCs w:val="18"/>
              </w:rPr>
              <w:br/>
              <w:t>3.盖板安装</w:t>
            </w:r>
            <w:r w:rsidRPr="00466372">
              <w:rPr>
                <w:rFonts w:ascii="宋体" w:hAnsi="宋体" w:cs="宋体" w:hint="eastAsia"/>
                <w:kern w:val="0"/>
                <w:sz w:val="18"/>
                <w:szCs w:val="18"/>
              </w:rPr>
              <w:br/>
              <w:t>4.运输1km以内</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100.57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78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45"/>
        </w:trPr>
        <w:tc>
          <w:tcPr>
            <w:tcW w:w="10460" w:type="dxa"/>
            <w:gridSpan w:val="30"/>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注：为计取</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费等的使用，可在表中增设其中：“定额人工费”。</w:t>
            </w:r>
          </w:p>
        </w:tc>
      </w:tr>
      <w:tr w:rsidR="00466372" w:rsidRPr="00466372" w:rsidTr="00466372">
        <w:trPr>
          <w:trHeight w:val="345"/>
        </w:trPr>
        <w:tc>
          <w:tcPr>
            <w:tcW w:w="4420" w:type="dxa"/>
            <w:gridSpan w:val="9"/>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表—08</w:t>
            </w:r>
          </w:p>
        </w:tc>
      </w:tr>
      <w:tr w:rsidR="00466372" w:rsidRPr="00466372" w:rsidTr="00466372">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r w:rsidRPr="00466372">
              <w:rPr>
                <w:rFonts w:ascii="宋体" w:hAnsi="宋体" w:cs="宋体" w:hint="eastAsia"/>
                <w:b/>
                <w:bCs/>
                <w:kern w:val="0"/>
                <w:sz w:val="40"/>
                <w:szCs w:val="40"/>
              </w:rPr>
              <w:t>总价措施项目清单与计价表</w:t>
            </w:r>
          </w:p>
        </w:tc>
      </w:tr>
      <w:tr w:rsidR="00466372" w:rsidRPr="00466372" w:rsidTr="00466372">
        <w:trPr>
          <w:gridAfter w:val="2"/>
          <w:wAfter w:w="260" w:type="dxa"/>
          <w:trHeight w:val="510"/>
        </w:trPr>
        <w:tc>
          <w:tcPr>
            <w:tcW w:w="4500" w:type="dxa"/>
            <w:gridSpan w:val="10"/>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340" w:type="dxa"/>
            <w:gridSpan w:val="11"/>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 xml:space="preserve">计 算 基 </w:t>
            </w:r>
            <w:proofErr w:type="gramStart"/>
            <w:r w:rsidRPr="00466372">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调整费</w:t>
            </w:r>
            <w:r w:rsidRPr="00466372">
              <w:rPr>
                <w:rFonts w:ascii="宋体" w:hAnsi="宋体" w:cs="宋体" w:hint="eastAsia"/>
                <w:b/>
                <w:bCs/>
                <w:kern w:val="0"/>
                <w:sz w:val="18"/>
                <w:szCs w:val="18"/>
              </w:rPr>
              <w:br/>
              <w:t>率(%)</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调整后金额</w:t>
            </w:r>
            <w:r w:rsidRPr="00466372">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备 注</w:t>
            </w:r>
          </w:p>
        </w:tc>
      </w:tr>
      <w:tr w:rsidR="00466372" w:rsidRPr="00466372" w:rsidTr="00466372">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复核人（造价工程师）：</w:t>
            </w: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466372">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466372">
              <w:rPr>
                <w:rFonts w:ascii="宋体" w:hAnsi="宋体" w:cs="宋体" w:hint="eastAsia"/>
                <w:kern w:val="0"/>
                <w:sz w:val="18"/>
                <w:szCs w:val="18"/>
              </w:rPr>
              <w:t>栏说明</w:t>
            </w:r>
            <w:proofErr w:type="gramEnd"/>
            <w:r w:rsidRPr="00466372">
              <w:rPr>
                <w:rFonts w:ascii="宋体" w:hAnsi="宋体" w:cs="宋体" w:hint="eastAsia"/>
                <w:kern w:val="0"/>
                <w:sz w:val="18"/>
                <w:szCs w:val="18"/>
              </w:rPr>
              <w:t>施工方案出处或计算方法。</w:t>
            </w:r>
          </w:p>
        </w:tc>
      </w:tr>
      <w:tr w:rsidR="00466372" w:rsidRPr="00466372" w:rsidTr="00466372">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表-11</w:t>
            </w:r>
          </w:p>
        </w:tc>
      </w:tr>
      <w:tr w:rsidR="00466372" w:rsidRPr="00466372" w:rsidTr="00466372">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proofErr w:type="gramStart"/>
            <w:r w:rsidRPr="00466372">
              <w:rPr>
                <w:rFonts w:ascii="宋体" w:hAnsi="宋体" w:cs="宋体" w:hint="eastAsia"/>
                <w:b/>
                <w:bCs/>
                <w:kern w:val="0"/>
                <w:sz w:val="40"/>
                <w:szCs w:val="40"/>
              </w:rPr>
              <w:t>规</w:t>
            </w:r>
            <w:proofErr w:type="gramEnd"/>
            <w:r w:rsidRPr="00466372">
              <w:rPr>
                <w:rFonts w:ascii="宋体" w:hAnsi="宋体" w:cs="宋体" w:hint="eastAsia"/>
                <w:b/>
                <w:bCs/>
                <w:kern w:val="0"/>
                <w:sz w:val="40"/>
                <w:szCs w:val="40"/>
              </w:rPr>
              <w:t>费、税金项目计价表</w:t>
            </w:r>
          </w:p>
        </w:tc>
      </w:tr>
      <w:tr w:rsidR="00466372" w:rsidRPr="00466372" w:rsidTr="00466372">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480" w:type="dxa"/>
            <w:gridSpan w:val="13"/>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220" w:type="dxa"/>
            <w:gridSpan w:val="5"/>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 xml:space="preserve">计 算 基 </w:t>
            </w:r>
            <w:proofErr w:type="gramStart"/>
            <w:r w:rsidRPr="00466372">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计算费率</w:t>
            </w:r>
            <w:r w:rsidRPr="00466372">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定额</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定额</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费+单价措施</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复核人（造价工程师）：</w:t>
            </w:r>
          </w:p>
        </w:tc>
      </w:tr>
      <w:tr w:rsidR="00466372" w:rsidRPr="00466372" w:rsidTr="00466372">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3480" w:type="dxa"/>
            <w:gridSpan w:val="13"/>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220" w:type="dxa"/>
            <w:gridSpan w:val="5"/>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466372" w:rsidRDefault="00466372" w:rsidP="00D9491F">
      <w:pPr>
        <w:spacing w:line="500" w:lineRule="exact"/>
        <w:rPr>
          <w:rFonts w:ascii="宋体" w:eastAsia="新宋体" w:hAnsi="宋体" w:cs="宋体" w:hint="eastAsia"/>
          <w:b/>
          <w:bCs/>
          <w:sz w:val="28"/>
          <w:szCs w:val="28"/>
        </w:rPr>
      </w:pPr>
    </w:p>
    <w:p w:rsidR="00466372" w:rsidRDefault="00466372" w:rsidP="00D9491F">
      <w:pPr>
        <w:spacing w:line="500" w:lineRule="exact"/>
        <w:rPr>
          <w:rFonts w:ascii="宋体" w:eastAsia="新宋体" w:hAnsi="宋体" w:cs="宋体" w:hint="eastAsia"/>
          <w:b/>
          <w:bCs/>
          <w:sz w:val="28"/>
          <w:szCs w:val="28"/>
        </w:rPr>
      </w:pPr>
    </w:p>
    <w:p w:rsidR="00466372" w:rsidRDefault="00466372" w:rsidP="00D9491F">
      <w:pPr>
        <w:spacing w:line="500" w:lineRule="exact"/>
        <w:rPr>
          <w:rFonts w:ascii="宋体" w:eastAsia="新宋体" w:hAnsi="宋体" w:cs="宋体" w:hint="eastAsia"/>
          <w:b/>
          <w:bCs/>
          <w:sz w:val="28"/>
          <w:szCs w:val="28"/>
        </w:rPr>
      </w:pPr>
    </w:p>
    <w:p w:rsidR="00466372" w:rsidRDefault="00466372" w:rsidP="00D9491F">
      <w:pPr>
        <w:spacing w:line="500" w:lineRule="exact"/>
        <w:rPr>
          <w:rFonts w:ascii="宋体" w:eastAsia="新宋体" w:hAnsi="宋体" w:cs="宋体" w:hint="eastAsia"/>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工程竣工后，经验收合格付97%工程款，一年后，没有工程质量问题，付剩余3%工程款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466372" w:rsidRPr="00466372">
        <w:rPr>
          <w:rFonts w:ascii="新宋体" w:eastAsia="新宋体" w:hAnsi="新宋体" w:hint="eastAsia"/>
          <w:b/>
          <w:bCs/>
          <w:sz w:val="24"/>
        </w:rPr>
        <w:t>244750.63</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652F12">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466372" w:rsidRDefault="00466372" w:rsidP="00736909">
      <w:pPr>
        <w:spacing w:line="500" w:lineRule="exact"/>
        <w:jc w:val="center"/>
        <w:rPr>
          <w:rFonts w:ascii="宋体" w:hAnsi="宋体" w:hint="eastAsia"/>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466372" w:rsidRPr="00466372">
        <w:rPr>
          <w:rFonts w:hint="eastAsia"/>
          <w:bCs/>
          <w:color w:val="000000"/>
        </w:rPr>
        <w:t>襄城县颍阳镇人民政府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466372">
        <w:rPr>
          <w:rFonts w:ascii="宋体" w:hAnsi="宋体" w:cs="宋体" w:hint="eastAsia"/>
          <w:kern w:val="0"/>
          <w:sz w:val="24"/>
          <w:u w:val="single"/>
        </w:rPr>
        <w:t>45</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19" w:rsidRDefault="003C0B19" w:rsidP="00D276B8">
      <w:r>
        <w:separator/>
      </w:r>
    </w:p>
  </w:endnote>
  <w:endnote w:type="continuationSeparator" w:id="0">
    <w:p w:rsidR="003C0B19" w:rsidRDefault="003C0B19"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F82E5D">
    <w:pPr>
      <w:pStyle w:val="a3"/>
      <w:framePr w:wrap="around" w:vAnchor="text" w:hAnchor="margin" w:xAlign="center" w:y="1"/>
      <w:rPr>
        <w:rStyle w:val="a5"/>
      </w:rPr>
    </w:pPr>
    <w:r>
      <w:fldChar w:fldCharType="begin"/>
    </w:r>
    <w:r w:rsidR="00652F12">
      <w:rPr>
        <w:rStyle w:val="a5"/>
      </w:rPr>
      <w:instrText xml:space="preserve">PAGE  </w:instrText>
    </w:r>
    <w:r>
      <w:fldChar w:fldCharType="separate"/>
    </w:r>
    <w:r w:rsidR="00652F12">
      <w:rPr>
        <w:rStyle w:val="a5"/>
      </w:rPr>
      <w:t>1</w:t>
    </w:r>
    <w:r>
      <w:fldChar w:fldCharType="end"/>
    </w:r>
  </w:p>
  <w:p w:rsidR="00652F12" w:rsidRDefault="00652F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52F12">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F82E5D">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52F12" w:rsidRDefault="00F82E5D">
                <w:pPr>
                  <w:pStyle w:val="a3"/>
                  <w:rPr>
                    <w:rStyle w:val="a5"/>
                  </w:rPr>
                </w:pPr>
                <w:r>
                  <w:fldChar w:fldCharType="begin"/>
                </w:r>
                <w:r w:rsidR="00652F12">
                  <w:rPr>
                    <w:rStyle w:val="a5"/>
                  </w:rPr>
                  <w:instrText xml:space="preserve">PAGE  </w:instrText>
                </w:r>
                <w:r>
                  <w:fldChar w:fldCharType="separate"/>
                </w:r>
                <w:r w:rsidR="00466372">
                  <w:rPr>
                    <w:rStyle w:val="a5"/>
                    <w:noProof/>
                  </w:rPr>
                  <w:t>2</w:t>
                </w:r>
                <w:r>
                  <w:fldChar w:fldCharType="end"/>
                </w:r>
              </w:p>
            </w:txbxContent>
          </v:textbox>
          <w10:wrap anchorx="margin"/>
        </v:rect>
      </w:pict>
    </w:r>
    <w:r w:rsidR="00652F1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19" w:rsidRDefault="003C0B19" w:rsidP="00D276B8">
      <w:r>
        <w:separator/>
      </w:r>
    </w:p>
  </w:footnote>
  <w:footnote w:type="continuationSeparator" w:id="0">
    <w:p w:rsidR="003C0B19" w:rsidRDefault="003C0B19"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421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0B19"/>
    <w:rsid w:val="003C2BCA"/>
    <w:rsid w:val="003E27EC"/>
    <w:rsid w:val="003F02F7"/>
    <w:rsid w:val="0040250C"/>
    <w:rsid w:val="00403FB1"/>
    <w:rsid w:val="00445D19"/>
    <w:rsid w:val="00466372"/>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71608"/>
    <w:rsid w:val="009A27F6"/>
    <w:rsid w:val="009C2F72"/>
    <w:rsid w:val="009D3F9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3451</Words>
  <Characters>19675</Characters>
  <Application>Microsoft Office Word</Application>
  <DocSecurity>0</DocSecurity>
  <Lines>163</Lines>
  <Paragraphs>46</Paragraphs>
  <ScaleCrop>false</ScaleCrop>
  <Company>Microsoft</Company>
  <LinksUpToDate>false</LinksUpToDate>
  <CharactersWithSpaces>23080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11</cp:revision>
  <cp:lastPrinted>2018-11-08T09:09:00Z</cp:lastPrinted>
  <dcterms:created xsi:type="dcterms:W3CDTF">2018-11-07T03:19:00Z</dcterms:created>
  <dcterms:modified xsi:type="dcterms:W3CDTF">2019-05-24T00:49:00Z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