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2"/>
        </w:numPr>
        <w:jc w:val="center"/>
        <w:rPr>
          <w:rFonts w:asciiTheme="minorEastAsia" w:hAnsiTheme="minorEastAsia" w:eastAsiaTheme="minorEastAsia" w:cstheme="minorEastAsia"/>
          <w:sz w:val="30"/>
          <w:szCs w:val="30"/>
        </w:rPr>
      </w:pPr>
      <w:bookmarkStart w:id="0" w:name="_Toc9579523"/>
      <w:r>
        <w:rPr>
          <w:rFonts w:hint="eastAsia" w:asciiTheme="minorEastAsia" w:hAnsiTheme="minorEastAsia" w:eastAsiaTheme="minorEastAsia" w:cstheme="minorEastAsia"/>
          <w:sz w:val="30"/>
          <w:szCs w:val="30"/>
        </w:rPr>
        <w:t>投标分项报价一览表</w:t>
      </w:r>
      <w:bookmarkEnd w:id="0"/>
    </w:p>
    <w:tbl>
      <w:tblPr>
        <w:tblStyle w:val="6"/>
        <w:tblW w:w="9640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8"/>
        <w:gridCol w:w="986"/>
        <w:gridCol w:w="553"/>
        <w:gridCol w:w="134"/>
        <w:gridCol w:w="3592"/>
        <w:gridCol w:w="437"/>
        <w:gridCol w:w="516"/>
        <w:gridCol w:w="822"/>
        <w:gridCol w:w="901"/>
        <w:gridCol w:w="11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68" w:type="dxa"/>
            <w:tcBorders>
              <w:top w:val="double" w:color="auto" w:sz="6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14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货物名称</w:t>
            </w:r>
          </w:p>
        </w:tc>
        <w:tc>
          <w:tcPr>
            <w:tcW w:w="687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品牌</w:t>
            </w:r>
          </w:p>
        </w:tc>
        <w:tc>
          <w:tcPr>
            <w:tcW w:w="3592" w:type="dxa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技术参数</w:t>
            </w:r>
          </w:p>
        </w:tc>
        <w:tc>
          <w:tcPr>
            <w:tcW w:w="437" w:type="dxa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516" w:type="dxa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822" w:type="dxa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单价</w:t>
            </w:r>
          </w:p>
        </w:tc>
        <w:tc>
          <w:tcPr>
            <w:tcW w:w="901" w:type="dxa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总价</w:t>
            </w:r>
          </w:p>
        </w:tc>
        <w:tc>
          <w:tcPr>
            <w:tcW w:w="1103" w:type="dxa"/>
            <w:tcBorders>
              <w:top w:val="double" w:color="auto" w:sz="6" w:space="0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产地及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2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40" w:type="dxa"/>
            <w:gridSpan w:val="11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t xml:space="preserve">     一、办公电脑及配套设备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审讯操作终端(电脑)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联想扬天T4900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Intel Core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I5-8500（主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频3.4GHZ 缓存6M）8G  DDR4内存 1T 7200rpm SATA硬盘 2G独显  (NVIDIA  GeForce GT730) DVDRW 键盘鼠标一套 千兆有线网卡  Windows® 10 64位 宽屏LED 19.5寸显示器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5500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北京/联想集团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网络打印、复印、扫描一体机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京瓷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FS-6525MFP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产品类型：多功能一体机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产品类型：黑白激光一体机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涵盖功能：打印/复印/扫描/传真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网络打印：有线网络打印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双面打印：自动双面打印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最大处理：A3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接口类型：USB 2.0接口,RJ-45接口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• 内存大小：标配：512MB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• 打印速度：单面40ppm，双面：24.5ppm。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24780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24780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东莞/京瓷(中国)商贸有限公司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备用打印复印一体机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HP</w:t>
            </w:r>
            <w: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M1216nfh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黑白多功能激光一体机 （打印 复印 扫描）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4650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4650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北京/中国惠普有限公司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笔记本电脑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联想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Thinkpad E580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商务办公本，  酷睿i5 7200U 主频2.5GHz 双核心/四线程 内存8GB DDR4 2133MHz  硬盘 128GB+500GB屏幕LED15.6英寸 显示比例16:9分辨率1920x1080独立显卡 NVIDIA GeForce GTX 950M显存容量 2GB显存类型 GDDR5显存位宽 128bit ，720p HD摄像头，内置扬声器，内置麦克风，无线网卡 支持802.11a/b/g/n无线协议 1000Mbps以太网卡，蓝牙 支持，蓝牙4.1模块， 1×USB2.0+2×USB3.0，视频接口VGA，HDMI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6700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26800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北京/联想集团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65吋液晶电视（含壁挂支架）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TCL</w:t>
            </w:r>
            <w: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65P6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屏幕尺寸：65英寸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分辨率：4K（3840*2160）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响应时间：8ms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面板等级 A++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HDMI接口：3*HDMI2.0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操作系统：TV+OS Android 6.0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6990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13980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广东惠州/TCL集团股份有限公司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投影机（含幕布）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丽讯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D5380U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采用DLP投影技术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采用0.65”1080P DMD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亮度高达5000流明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多功能遥控器，支援2组自定义功能键功能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遥控器内置激光笔功能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具有1组Mini-Jack Audio-in，1组RCA Audio-in及1组Mini-Jack Audio-out，不同信号不同音频可同时连接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支持开机密码功能和限时使用功能，限制非授权使用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键盘锁定功能，避免不当触碰以及确保安全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具有安全栓及Kensington锁扣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支持多种网络协议（Crestron/AMX/Exrton/PJ- Link/Telnet） ）进行远程控制和集中管理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具有HDMI 1.4A, DisplayPort多种高清数字接口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具有+12V接口，可提供+12V对周边设备进行供电及控制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具有遥控器ID设定及红外开关功能，多台投影机可分别控制，防止互相影响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高清高亮增益 16：9； 120寸投影幕布。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32800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65600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苏州吴江/台达电子企业管理(上海）有限公司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三层千兆交换机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锐捷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RG-S2910-48GT4XS-E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本次投标设备为锐捷RG-S2910-48GT4XS-E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交换容量336Gbps，转发性能144Mpps ；设备提供固化10/100/1000M以太网端口48个，固化1G/10G SFP+万兆光接口4个；整机最大可用千兆口48个，最大可用万兆口4个,支持所有端口100%线速转发，已提供第三方权威机构测试报告。 支持IPv4和IPv6的静态路由、RIP/RIPng、OSPFv2/OSPFv3等三层路由协议；支持虚拟化功能，最多可将9台物理设备虚拟化为一台逻辑设备统一管理，并且链路故障的收敛时间30ms，已提供第三方检测报告。设备支持ITU-TG.8032国际公有环网协议ERPS,支持相切环和相交环，并且链路故障的收敛时间50ms；且已提供第三方权威机构测试报告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16030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48090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福州/锐捷网络股份有限公司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防火墙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锐捷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RG-WALL 1600-S3200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本次投标设备为锐捷RG-WALL1600-S3200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设备固化千兆电口数量10个；为保障接口稳定性，所投产品为固化接口，而非板卡接口。设备最大吞吐量2Gbps；最大并发连接数100万；提供IPSEC VPN授权800，SSL VPN授权300；支持路由模式、透明（网桥模式）、混合模式，要求支持虚拟防火墙，且每个虚拟防火墙独立管理；支持策略路由、组播路由、静态路由、RIP(v1/v2)、OSPF、BGP、IS-IS等；设备支持状态检测、包过滤、深度应用层检测；支持SYN Flood、UDP Flood、ICMP Flood、LAND攻击、Smurf攻击、Fraggle攻击、Winnuke等攻击防护；为保障语音系统效果，设备支持VoIP防护，可基于SIP与SCCP协议防护，可限制SIP的注册请求，可限制SCCP的呼叫建立；已提供功能截图证明。设备支持用户自定义攻击特征，要求提供功能截图；入侵检测特征库5000种，已提供界面截图；支持HTTP、FTP、IMAP、POP3、SMTP、IM、HTTPS、IMAPS、POP3S、SMTPS协议病毒过滤，已提供界面截图；设备支持防数据泄漏功能，能对HTTP、FTP、SMTP、POP3等协议中的敏感内容进行过滤和阻断。设备支持基于应用防御、入侵防御、恶意软件防御的统计结果定义用户的信誉值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37500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37500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福州/锐捷网络股份有限公司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10KVA UPS电源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先控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DSP11-10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规格  10KVA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电池电压 192V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电池电流 65A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最大充电电流  1/2/4/6A可选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交流输入特性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输入额定电压 220V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输入电压范围 110Vac～300Vac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输入功率因数 0．99（100%线性负载）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输入频率 46～54Hz（输入额定线性负载）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频率跟踪速率 1Hz/s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整机效率 ≥93%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切换时间 0ms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并机电流不均衡度 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（1）通讯接口 RS232/USB（标配）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（2）UPS主机可以N+1并联工作，成为冗余备份系统。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（3）具备风机智能调速功能，系统可根据内部温度对强制风冷风机进行调速，并具备风机报警功能。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（4）系统对电池智能管理功能，可以对电池进行均、浮充、温度补偿、定时放电。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（5）多种智能通信方式，对系统进行远程检测和控制，可实现无人值守；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多种报警方式，可以快速、直观地把系统当前状态显示出来，以便更快处理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6）UPS采用DSP控制技术使各种保护功能更准确，具有各种保护功能（如：交流输入过\欠压保护、电池输入过\欠压保护、输入浪涌、过温、输出过流、短路保护、输出过\欠压保护、监控告警功能、声光显示、远程消息通知等）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18500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18500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石家庄/先控捷联电气股份有限公司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12V 100AH蓄电池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圣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12V 100AH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100AH 12V阀控式密封铅酸蓄电池(含电池柜)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1160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37120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曲阜/山东圣阳电源股份有限公司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办公电脑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联想扬天T4900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Intel Core I5-8500（主频3.4GHZ 缓存6M）8G  DDR4内存 1T 7200rpm SATA硬盘 2G独显  (NVIDIA  GeForce GT730) DVDRW 键盘鼠标一套 千兆有线网卡  Windows® 10 64位 宽屏LED 19.5寸显示器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5500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38500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北京/联想集团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激光打印机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HP</w:t>
            </w:r>
            <w: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HP1020plus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产品类型：黑白激光打印机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最大打印幅面：A4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黑白打印速度：A4：14ppm，Letter：15ppm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最高分辨率：600×600dpi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耗材类型：鼓粉一体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进纸盒容量：标配150页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双面打印：手动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15600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北京/中国惠普有限公司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多联机空调主机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美的MDV-280W/D2SN1-8U1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制冷量（kw) 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制热量（kw) 33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IPLV(C） 6.3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电源 380V3N-50Hz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额定功率（kw) 8.5-8.9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噪音（dB） 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风量（m³/h） 11400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机外静压（PA） 82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压缩机数量（个） 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尺寸（宽*深*高mm） 930*765*1605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防水等级 IPX4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净重（kg） 225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43250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43250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顺德/美的集团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多联机空调室内机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美的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MDV-D36T2-DN1-C3(B)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制冷量（kw) 3.6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制热量（kw) 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电源 220V-50Hz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额定功率（kw) 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噪音（dB） 32/25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风量（m³/h） 540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尺寸（宽*深*高mm） 710*450*200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净重（kg） 19.5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3750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33750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顺德/美的集团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空调安装铜管及辅材</w:t>
            </w:r>
          </w:p>
        </w:tc>
        <w:tc>
          <w:tcPr>
            <w:tcW w:w="68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美的</w:t>
            </w:r>
          </w:p>
        </w:tc>
        <w:tc>
          <w:tcPr>
            <w:tcW w:w="3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各类辅材符合国标，根据现场情况定制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顺德/美的集团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40" w:type="dxa"/>
            <w:gridSpan w:val="11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 二、装备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组合铁皮柜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科杰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0.7mm优质冷轧板，望通锁，ABS塑料拉手、热固型环保粉末喷涂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18000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洛阳/洛阳科杰实业有限公司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9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档案室密集架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科杰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H2300mm*W900mm*D560mm。全钢结构，立架部分由立柱、搁板、挂板、书档组成；立柱成型规格：45*38mm。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1、立架是密集架的垂直骨架，选用1.5mm厚冷轧板全自动滚压成形，立柱正面压两条凹型筋，美观牢固。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2、活隔板1.mm厚活隔板每层双面承载80kg,冷轧板全自动滚压成形。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3、侧板、顶板、门板、1.0mm冷轧钢冲压折弯成形。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4、密集架挂板采用可调节双层设计，上挂板安装档书条及上下随意调节可防止档案盒的倾斜(成型尺寸515*28)，下承重挂板采用1.2MM用料使承载力大大提高（成型尺寸545*77）。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组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63000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洛阳/洛阳科杰实业有限公司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指挥中心三联操作台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定制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人位平台式,钢质/喷塑/主框架1mm厚钢板/底部采用机架式结构/表面采用静电喷塑处理方法/内外表面喷涂均匀，无漏喷、掉塑、无杂质、喷质牢固、布线走线简便美观，含3套嵌入式多功能桌面信息面板、多功能插座（含配套座椅）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4500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4500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郑州/国产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40" w:type="dxa"/>
            <w:gridSpan w:val="11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 三、训练器械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跑步机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舒华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SH-T5620S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1.2950W输入功率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2.10.1英寸电子屏幕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3.弓形实木跑板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 PWM静音调速电源控制器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5.可在1.0-20km/h之间进行调速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6.0-15%电动坡度升降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7.跑带宽550mm×长1500mm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8.占地尺寸：2100x920x1460mm（长x宽x高）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9.最大可承受180kg负载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10.按钮式安全开关和拉线式双紧急停止开关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11.主要功能包含搭载安卓系统、跑步、无线上网、在线和本地音乐、在线视频、支持USB安装软件、实景运动等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25500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51000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晋江/舒华股份有限公司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阻力单车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舒华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SH-B8860S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1.惯性轮重量：20KG；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2.座垫采用人体工学座垫，座椅可调节前后和上下位置（不需要使用工具）；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3.把手采用可上下调节的人体工学多位把手（不需要使用工具）；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4.把手和座椅处在最高位时，立杆插入深度为55 mm。立杆上应有永久性标识和文字“STOP”来显示最小插入深度（设计上已保证，标识可免除）；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5.踏板有固定脚部的装置，防止意外移动；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6.踏板上任何刚性部件与地面或地面框架之间的垂直距离60mm；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7.配置紧急制动系统；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8.有平衡调节装置，地面不平时，可微调器械，使器械放置平稳；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9.滚轮式底脚设计，方便器材移动；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10器材其他未列参数应符合GB17498.1-2008和GB17498.10-2008中S类的要求。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11.主立管采用120X50X2.5mm优质跑道管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7350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14700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晋江/舒华股份有限公司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综合训练器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舒华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SH-5105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 器材主要管材壁厚2mm；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 器材应设计科学的牵索方式；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 器材应配置适宜100Kg人体载荷的重块；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 牵索钢丝绳应选用优质材料，抗拉强度不得低于100Kg；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5. 座靠垫设计应舒适美观；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 重块滑杆采用外径∮20的钢材；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7. 外露滑轮等动态组件均有防护设置，防止引入点对使用者及周围人群造成伤害；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 脚踏转盘应设计有冲压凸台，防滑脱；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 器材应能满足4人以上同时使用，锻炼身体多部位；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 器材醒目位置应标有详细的使用示范图、功能简介及安全警示语；器材应配置用户手册，供使用及安装参照；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11、器材其他未列参数应符合GB17498.1-2008和GB17498.2-2008的要求。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23700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71100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晋江/舒华股份有限公司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哑铃练习椅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舒华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SH-6855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1.占地（L×W×H）140×48×56(cm)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2.净重/N.W：31kg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3.毛重/G.W：36kg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4.材料：包棉，皮质，钢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4560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13680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晋江/舒华股份有限公司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哑铃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舒华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2.5kg/5kg/7.5kg/10kg/12.5kg/15kg/17.5kg各四只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公斤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9800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晋江/舒华股份有限公司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沙袋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舒华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1.材料：硅胶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2.高度：170CM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3.重量：40kg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4.颜色：红 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5.沙袋直径：35CM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6.底座尺寸：60*60*40CM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7.装水：120KG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8.装沙：160KG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9000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晋江/舒华股份有限公司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跳绳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舒华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毛重：0.2克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材质：钢丝,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橡胶手柄材质：海棉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晋江/舒华股份有限公司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40" w:type="dxa"/>
            <w:gridSpan w:val="11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    四、办公桌椅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596" w:type="dxa"/>
            <w:gridSpan w:val="2"/>
            <w:vMerge w:val="restart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办公桌椅（1）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办公桌：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主台：1800*900*760H    附台：1480*500*490H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材：优质0.6mm木皮，表面平整，纹理清晰自然；基材：国标A级高密度纤维板，经过防虫、防腐等化学处理，板材含水率在7%-12%，持久不变形；油漆：优质面漆，色漆，底漆，符合E1级环保标准；优质环保胶粘剂，甲醛释放量符合GB18580--2001E1。配件知名品牌门铰、导轨及锁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3360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10080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96" w:type="dxa"/>
            <w:gridSpan w:val="2"/>
            <w:vMerge w:val="continue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名典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面料：优质真皮，防潮、防污处理，皮面柔软舒适，光泽持久；海绵：采用PU低燃高密度定型海棉，软硬适中，回弹好，不变形；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配件：知名品牌气压棒，铝合金脚，坚固耐用；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功能：同步倾仰，拉力调节，右侧调节升降左侧锁定倾仰。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把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2200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6600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广东/广东名典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596" w:type="dxa"/>
            <w:gridSpan w:val="2"/>
            <w:vMerge w:val="restart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办公桌椅（2）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办公桌：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1400*700*760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材：优质0.6mm木皮，表面平整，纹理清晰自然；基材：国标A级高密度纤维板，经过防虫、防腐等化学处理，板材含水率在7%-12%，持久不变形；油漆：优质面漆，色漆，底漆，符合E1级环保标准；优质环保胶粘剂，甲醛释放量符合GB18580--2001E1。配件：知名品牌门铰、导轨及锁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596" w:type="dxa"/>
            <w:gridSpan w:val="2"/>
            <w:vMerge w:val="continue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名典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1.面料：选用优质环保皮面，皮面光泽度好，透气强，柔软且富有韧性，厚度适中，具有冬暖夏凉的效果，且手感良好。                                                   2.木架：优选优质橡木，符合QB/T2280国际标准，经防潮、防腐、防虫化学处理。设计依据人体工程学原理设计。                                                     3、油漆：采用底漆、优质面漆饰面，高聚脂环保油漆，经七底五面油漆工艺。甲醛释放量低于9.0mg/100g,达到国家环保E1级标准。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4.坐垫海绵：采用优质高密度海绵，软硬适中，回弹性能好，不变形，根据人体工程学原理设计。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把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1830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广东/广东名典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596" w:type="dxa"/>
            <w:gridSpan w:val="2"/>
            <w:vMerge w:val="restart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办公桌椅（3）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1200*600*760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材：优质0.6mm木皮，表面平整，纹理清晰自然；基材：国标A级高密度纤维板，经过防虫、防腐等化学处理，板材含水率在7%-12%，持久不变形；油漆：优质面漆，色漆，底漆，符合E1级环保标准；优质环保胶粘剂，甲醛释放量符合GB18580--2001E1。配件：知名品牌门铰、导轨及锁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14400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596" w:type="dxa"/>
            <w:gridSpan w:val="2"/>
            <w:vMerge w:val="continue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材质是实木框架图油漆，木工板真皮面坐垫。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把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4800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办公室三人沙发（1）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博优特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1850*850*800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、基材：选用优质真皮，实木框架软包结构，木架选用优质橡胶木精制而成，主框架四面刨光榫结构，不开裂不鼓包，高弹力绷带打底，与泡棉之间尼龙织物隔垫。木材含水率≤7.4%，经去皮、烘干、防虫、防腐处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、海绵：选用阻燃高密度高回弹海绵，座垫海绵密度≥45kg/m3,内置高强度蛇形弹簧，强力绷带，无纺布防尘护底，回弹率≥90%，不变形，阻燃性好；扪面车缝线路均匀、线条顺畅、针距均匀，整体感观流畅、外型符合要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3、采用优质底漆、优质面漆饰面，高聚脂环保油漆，经七底五面油漆工艺。甲醛释放量低于9.0mg/100g,达到国家环保E1级标准。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12600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广东/广东博优特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办公室三人沙发（2）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博优特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1850*850*800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、基材：选用优质真皮，实木框架软包结构，木架选用优质橡胶木精制而成，主框架四面刨光榫结构，不开裂不鼓包，高弹力绷带打底，与泡棉之间尼龙织物隔垫。木材含水率≤7.4%，经去皮、烘干、防虫、防腐处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、海绵：选用东亚阻燃高密度高回弹海绵，座垫海绵密度≥45kg/m3,内置高强度蛇形弹簧，强力绷带，无纺布防尘护底，回弹率≥90%，不变形，阻燃性好；扪面车缝线路均匀、线条顺畅、针距均匀，整体感观流畅、外型符合要求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3、采用优质底漆、优质面漆饰面，高聚脂环保油漆，经七底五面油漆工艺。甲醛释放量低于9.0mg/100g,达到国家环保E1级标准。</w:t>
            </w:r>
            <w:bookmarkStart w:id="1" w:name="_GoBack"/>
            <w:bookmarkEnd w:id="1"/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4200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12600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广东/广东博优特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办公室单人沙发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博优特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850*850*900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1.面料：采用优质真皮，皮纹细腻，韧性强，厚度适中；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2.海绵：内采用高弹力定型海绵，高回弹率，压缩持久不变形；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3.脚架:采用高档实木脚架；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4.脚架油漆；采用优质品牌PU聚酯环保漆，底漆采用优质优质品牌PE不饱和树脂环保漆，运用5底3面的油漆工艺使漆面色泽均匀，主次分明，木纹清晰。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2800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8400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广东/广东博优特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办公室书柜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1800*400*2030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材：优质0.6mm木皮，表面平整，纹理清晰自然；基材：国标A级高密度纤维板，经过防虫、防腐等化学处理，板材含水率在7%-12%，持久不变形；油漆：优质面漆，色漆，底漆，符合E1级环保标准；优质环保胶粘剂，甲醛释放量符合GB18580--2001E1。配件：知名品牌门铰、导轨及锁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4960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14880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茶几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长茶几 颜色：胡桃木色 1200*600*420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面材：优质0.6mm木皮，表面平整，纹理清晰自然；基材：国标A级高密度纤维板，经过防虫、防腐等化学处理，板材含水率在7%-12%，持久不变形；油漆：优质面漆，色漆，底漆，符合E1级环保标准；优质环保胶粘剂，甲醛释放量符合GB1858--2001E1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3250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96" w:type="dxa"/>
            <w:gridSpan w:val="2"/>
            <w:vMerge w:val="restart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条形会议桌椅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条形会议桌：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E1级中性纤维密度板，贴胡桃木皮。工艺：三底两面。两人位规格是1.2*40*75  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540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12960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96" w:type="dxa"/>
            <w:gridSpan w:val="2"/>
            <w:vMerge w:val="continue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配套会议座椅：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配套的椅子材质是实木框架图油漆，木工板优质环保皮面坐垫。 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把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12480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96" w:type="dxa"/>
            <w:gridSpan w:val="2"/>
            <w:vMerge w:val="restart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8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主席台会议桌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主席台条形会议桌：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E1级中性纤维密度板，贴胡桃木皮。工艺：三底两面。两人位规格是1.4*60*75  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4350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0" w:hRule="atLeast"/>
        </w:trPr>
        <w:tc>
          <w:tcPr>
            <w:tcW w:w="596" w:type="dxa"/>
            <w:gridSpan w:val="2"/>
            <w:vMerge w:val="continue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名典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主席台座椅：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1.面料：选用优质环保皮，皮面光泽度好，透气强，柔软且富有韧性，厚度适中，具有冬暖夏凉的效果，且手感良好。                                                   2.木架：优选优质橡木，符合QB/T2280国际标准，经防潮、防腐、防虫化学处理。设计依据人体工程学原理设计。                                                     3、油漆：采用底漆、优质面漆饰面，高聚脂环保油漆，经七底五面油漆工艺。甲醛释放量低于9.0mg/100g,达到国家环保E1级标准。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4.坐垫海绵：采用优质高密度海绵，软硬适中，回弹性能好，不变形，根据人体工程学原理设计。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把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3660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广东/广东名典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主席台演讲台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E1级中性纤维密度板，贴胡桃木皮。位规格是60*40*110  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1650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596" w:type="dxa"/>
            <w:gridSpan w:val="2"/>
            <w:vMerge w:val="restart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86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长方形会议桌椅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五米长方形会议桌：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5000x2000x760，面层使用优质一级樱桃木木皮，木皮厚度0.6mm，基材为露水河优质环保密度板（森华优质环保中密度纤维板），甲醛释放量≤9mg/100g。优质五金件，优质油漆，充分保证产品具有较好耐磨、耐温性能，不含苯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13000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13000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596" w:type="dxa"/>
            <w:gridSpan w:val="2"/>
            <w:vMerge w:val="continue"/>
            <w:tcBorders>
              <w:top w:val="nil"/>
              <w:left w:val="double" w:color="auto" w:sz="6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6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名典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配套会议座椅：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1.面料：选用优质环保皮，皮面光泽度好，透气强，柔软且富有韧性，厚度适中，具有冬暖夏凉的效果，且手感良好。                                                   2.木架：优选优质橡木，符合QB/T2280国际标准，经防潮、防腐、防虫化学处理。设计依据人体工程学原理设计。                                                     3、油漆：采用底漆、优质面漆饰面，高聚脂环保油漆，经七底五面油漆工艺。甲醛释放量低于9.0mg/100g,达到国家环保E1级标准。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4.坐垫海绵：采用优质高密度海绵，软硬适中，回弹性能好，不变形，根据人体工程学原理设计。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把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610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7320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广东/广东名典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596" w:type="dxa"/>
            <w:gridSpan w:val="2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备勤室床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百圣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1.床头主管40*40*1.5mm厚方管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2.床撑采用60*40*1.2mm厚方管，经打磨的酸洗磷化双重处理标准、静电喷涂而成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3.床板采用优质实木床板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4.带床下柜和鞋架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1750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17500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河南/河南百圣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82" w:type="dxa"/>
            <w:gridSpan w:val="3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53" w:type="dxa"/>
            <w:tcBorders>
              <w:top w:val="nil"/>
              <w:left w:val="single" w:color="auto" w:sz="4" w:space="0"/>
              <w:bottom w:val="doub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05" w:type="dxa"/>
            <w:gridSpan w:val="7"/>
            <w:tcBorders>
              <w:top w:val="single" w:color="auto" w:sz="4" w:space="0"/>
              <w:left w:val="nil"/>
              <w:bottom w:val="double" w:color="auto" w:sz="6" w:space="0"/>
              <w:right w:val="doub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大写：捌拾柒万玖仟柒佰陆拾圆整。    小写：</w:t>
            </w:r>
            <w:r>
              <w:rPr>
                <w:rFonts w:ascii="Arial" w:hAnsi="Arial" w:eastAsia="宋体" w:cs="Arial"/>
                <w:b/>
                <w:bCs/>
                <w:color w:val="000000"/>
                <w:kern w:val="0"/>
                <w:sz w:val="24"/>
                <w:szCs w:val="24"/>
              </w:rPr>
              <w:t>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879760.00元</w:t>
            </w:r>
          </w:p>
        </w:tc>
      </w:tr>
    </w:tbl>
    <w:p>
      <w:pPr>
        <w:pStyle w:val="5"/>
        <w:ind w:firstLine="210"/>
        <w:rPr>
          <w:lang w:val="zh-CN"/>
        </w:rPr>
      </w:pPr>
    </w:p>
    <w:p/>
    <w:sectPr>
      <w:pgSz w:w="11906" w:h="16838"/>
      <w:pgMar w:top="1440" w:right="1463" w:bottom="1440" w:left="1519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FADC3"/>
    <w:multiLevelType w:val="singleLevel"/>
    <w:tmpl w:val="3F2FADC3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hanging="425"/>
      </w:pPr>
      <w:rPr>
        <w:rFonts w:hint="default" w:ascii="宋体" w:hAnsi="宋体" w:eastAsia="宋体" w:cs="宋体"/>
        <w:b/>
        <w:bCs/>
        <w:sz w:val="30"/>
        <w:szCs w:val="30"/>
      </w:rPr>
    </w:lvl>
  </w:abstractNum>
  <w:abstractNum w:abstractNumId="1">
    <w:nsid w:val="4D8D7CA3"/>
    <w:multiLevelType w:val="singleLevel"/>
    <w:tmpl w:val="4D8D7CA3"/>
    <w:lvl w:ilvl="0" w:tentative="0">
      <w:start w:val="1"/>
      <w:numFmt w:val="chineseCounting"/>
      <w:pStyle w:val="8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F4602"/>
    <w:rsid w:val="477B4828"/>
    <w:rsid w:val="578C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ahoma" w:hAnsi="Tahoma" w:eastAsia="仿宋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微软雅黑" w:cs="Times New Roman"/>
      <w:b/>
      <w:kern w:val="0"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99"/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  <w:style w:type="paragraph" w:customStyle="1" w:styleId="8">
    <w:name w:val="样式2"/>
    <w:basedOn w:val="3"/>
    <w:next w:val="1"/>
    <w:qFormat/>
    <w:uiPriority w:val="0"/>
    <w:pPr>
      <w:numPr>
        <w:ilvl w:val="0"/>
        <w:numId w:val="1"/>
      </w:numPr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扶廷江</dc:creator>
  <cp:lastModifiedBy>扶廷江</cp:lastModifiedBy>
  <dcterms:modified xsi:type="dcterms:W3CDTF">2019-06-03T08:56:16Z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