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00" w:lineRule="exact"/>
        <w:rPr>
          <w:rFonts w:eastAsia="Times New Roman"/>
        </w:rPr>
      </w:pPr>
    </w:p>
    <w:p>
      <w:pPr>
        <w:pStyle w:val="2"/>
        <w:ind w:firstLine="340"/>
      </w:pPr>
    </w:p>
    <w:p>
      <w:pPr>
        <w:tabs>
          <w:tab w:val="left" w:pos="0"/>
        </w:tabs>
        <w:spacing w:line="223" w:lineRule="exact"/>
        <w:ind w:left="142" w:leftChars="71"/>
        <w:rPr>
          <w:rFonts w:eastAsia="Times New Roman"/>
        </w:rPr>
      </w:pPr>
    </w:p>
    <w:p>
      <w:pPr>
        <w:jc w:val="center"/>
        <w:rPr>
          <w:rFonts w:ascii="宋体" w:hAnsi="宋体"/>
          <w:sz w:val="72"/>
          <w:szCs w:val="72"/>
        </w:rPr>
      </w:pPr>
      <w:r>
        <w:rPr>
          <w:rFonts w:hint="eastAsia" w:ascii="宋体" w:hAnsi="宋体"/>
          <w:sz w:val="72"/>
          <w:szCs w:val="72"/>
        </w:rPr>
        <w:t>建安区</w:t>
      </w:r>
      <w:r>
        <w:rPr>
          <w:rFonts w:ascii="宋体" w:hAnsi="宋体"/>
          <w:sz w:val="72"/>
          <w:szCs w:val="72"/>
        </w:rPr>
        <w:t>建设工程</w:t>
      </w:r>
    </w:p>
    <w:p>
      <w:pPr>
        <w:jc w:val="both"/>
        <w:rPr>
          <w:rFonts w:eastAsia="华文中宋"/>
          <w:sz w:val="84"/>
          <w:szCs w:val="84"/>
        </w:rPr>
      </w:pPr>
    </w:p>
    <w:p>
      <w:pPr>
        <w:jc w:val="center"/>
        <w:rPr>
          <w:rFonts w:ascii="宋体" w:hAnsi="宋体"/>
          <w:sz w:val="72"/>
          <w:szCs w:val="72"/>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eastAsia="华文中宋"/>
          <w:sz w:val="44"/>
          <w:szCs w:val="44"/>
        </w:rPr>
      </w:pPr>
      <w:r>
        <w:rPr>
          <w:rFonts w:ascii="宋体" w:hAnsi="宋体"/>
          <w:sz w:val="72"/>
          <w:szCs w:val="72"/>
        </w:rPr>
        <w:t>件</w:t>
      </w:r>
    </w:p>
    <w:p>
      <w:pPr>
        <w:jc w:val="center"/>
        <w:rPr>
          <w:rFonts w:eastAsia="华文中宋"/>
          <w:sz w:val="44"/>
          <w:szCs w:val="44"/>
        </w:rPr>
      </w:pPr>
      <w:r>
        <w:rPr>
          <w:rFonts w:hint="eastAsia" w:eastAsia="华文中宋"/>
          <w:sz w:val="44"/>
          <w:szCs w:val="44"/>
        </w:rPr>
        <w:t>（施工标）</w:t>
      </w:r>
    </w:p>
    <w:p>
      <w:pPr>
        <w:spacing w:line="360" w:lineRule="auto"/>
        <w:rPr>
          <w:rFonts w:ascii="宋体" w:hAnsi="宋体"/>
          <w:sz w:val="32"/>
          <w:szCs w:val="32"/>
        </w:rPr>
      </w:pPr>
    </w:p>
    <w:p>
      <w:pPr>
        <w:pStyle w:val="2"/>
        <w:ind w:firstLine="340"/>
      </w:pPr>
    </w:p>
    <w:p>
      <w:pPr>
        <w:pStyle w:val="2"/>
        <w:ind w:firstLine="340"/>
        <w:rPr>
          <w:color w:val="0000FF"/>
        </w:rPr>
      </w:pPr>
    </w:p>
    <w:p>
      <w:pPr>
        <w:spacing w:line="360" w:lineRule="auto"/>
        <w:ind w:left="2560" w:leftChars="480" w:hanging="1600" w:hangingChars="500"/>
        <w:rPr>
          <w:rFonts w:hint="eastAsia" w:ascii="宋体" w:hAnsi="宋体"/>
          <w:sz w:val="32"/>
          <w:szCs w:val="32"/>
        </w:rPr>
      </w:pPr>
      <w:r>
        <w:rPr>
          <w:rFonts w:hint="eastAsia" w:ascii="宋体" w:hAnsi="宋体"/>
          <w:sz w:val="32"/>
          <w:szCs w:val="32"/>
        </w:rPr>
        <w:t>项目编号：建安建工公字〔2019〕</w:t>
      </w:r>
      <w:r>
        <w:rPr>
          <w:rFonts w:hint="eastAsia" w:ascii="宋体" w:hAnsi="宋体"/>
          <w:sz w:val="32"/>
          <w:szCs w:val="32"/>
          <w:lang w:val="en-US" w:eastAsia="zh-CN"/>
        </w:rPr>
        <w:t>91</w:t>
      </w:r>
      <w:r>
        <w:rPr>
          <w:rFonts w:hint="eastAsia" w:ascii="宋体" w:hAnsi="宋体"/>
          <w:sz w:val="32"/>
          <w:szCs w:val="32"/>
        </w:rPr>
        <w:t>号</w:t>
      </w:r>
    </w:p>
    <w:p>
      <w:pPr>
        <w:spacing w:line="360" w:lineRule="auto"/>
        <w:ind w:left="2560" w:leftChars="480" w:hanging="1600" w:hangingChars="500"/>
        <w:rPr>
          <w:rFonts w:ascii="宋体" w:hAnsi="宋体"/>
          <w:sz w:val="24"/>
          <w:szCs w:val="24"/>
        </w:rPr>
      </w:pPr>
      <w:r>
        <w:rPr>
          <w:rFonts w:ascii="宋体" w:hAnsi="宋体"/>
          <w:sz w:val="32"/>
          <w:szCs w:val="32"/>
        </w:rPr>
        <w:t>项目名称：</w:t>
      </w:r>
      <w:r>
        <w:rPr>
          <w:rFonts w:hint="eastAsia" w:ascii="宋体" w:hAnsi="宋体"/>
          <w:sz w:val="32"/>
          <w:szCs w:val="32"/>
        </w:rPr>
        <w:t>许昌市建安区2019年创建‘四好农村路’（苏桥镇、张潘镇、灵井镇、小召乡、艾庄乡）建设项目</w:t>
      </w:r>
    </w:p>
    <w:p>
      <w:pPr>
        <w:spacing w:line="360" w:lineRule="auto"/>
        <w:ind w:firstLine="960" w:firstLineChars="300"/>
        <w:rPr>
          <w:rFonts w:ascii="宋体" w:hAnsi="宋体"/>
          <w:sz w:val="32"/>
          <w:szCs w:val="32"/>
        </w:rPr>
      </w:pPr>
      <w:r>
        <w:rPr>
          <w:rFonts w:ascii="宋体" w:hAnsi="宋体"/>
          <w:sz w:val="32"/>
          <w:szCs w:val="32"/>
        </w:rPr>
        <w:t>招 标 人：</w:t>
      </w:r>
      <w:r>
        <w:rPr>
          <w:rFonts w:hint="eastAsia" w:ascii="宋体" w:hAnsi="宋体"/>
          <w:sz w:val="32"/>
          <w:szCs w:val="32"/>
        </w:rPr>
        <w:t>许昌市建安区交通运输局</w:t>
      </w:r>
    </w:p>
    <w:p>
      <w:pPr>
        <w:spacing w:line="360" w:lineRule="auto"/>
        <w:ind w:firstLine="960" w:firstLineChars="300"/>
        <w:rPr>
          <w:rFonts w:ascii="宋体" w:hAnsi="宋体"/>
          <w:sz w:val="32"/>
          <w:szCs w:val="32"/>
        </w:rPr>
      </w:pPr>
      <w:r>
        <w:rPr>
          <w:rFonts w:ascii="宋体" w:hAnsi="宋体"/>
          <w:sz w:val="32"/>
          <w:szCs w:val="32"/>
        </w:rPr>
        <w:t>代理机构：</w:t>
      </w:r>
      <w:r>
        <w:rPr>
          <w:rFonts w:hint="eastAsia" w:ascii="宋体" w:hAnsi="宋体"/>
          <w:sz w:val="32"/>
          <w:szCs w:val="32"/>
        </w:rPr>
        <w:t>河南天扬工程项目管理有限公司</w:t>
      </w:r>
    </w:p>
    <w:p>
      <w:pPr>
        <w:spacing w:line="360" w:lineRule="auto"/>
        <w:jc w:val="center"/>
        <w:rPr>
          <w:rFonts w:ascii="宋体" w:hAnsi="宋体"/>
          <w:sz w:val="24"/>
        </w:rPr>
      </w:pPr>
      <w:r>
        <w:rPr>
          <w:rFonts w:hint="eastAsia" w:ascii="宋体" w:hAnsi="宋体"/>
          <w:sz w:val="36"/>
          <w:szCs w:val="36"/>
        </w:rPr>
        <w:t>二〇一九年五月</w:t>
      </w:r>
    </w:p>
    <w:p>
      <w:pPr>
        <w:tabs>
          <w:tab w:val="left" w:pos="1000"/>
          <w:tab w:val="left" w:pos="7800"/>
        </w:tabs>
        <w:spacing w:line="0" w:lineRule="atLeast"/>
        <w:rPr>
          <w:rFonts w:ascii="宋体" w:hAnsi="宋体"/>
          <w:sz w:val="24"/>
        </w:rPr>
      </w:pPr>
      <w:r>
        <w:rPr>
          <w:rFonts w:ascii="宋体" w:hAnsi="宋体"/>
          <w:sz w:val="24"/>
        </w:rPr>
        <w:tab/>
      </w:r>
    </w:p>
    <w:p>
      <w:pPr>
        <w:tabs>
          <w:tab w:val="left" w:pos="865"/>
          <w:tab w:val="left" w:pos="7920"/>
        </w:tabs>
        <w:spacing w:line="0" w:lineRule="atLeast"/>
        <w:rPr>
          <w:rFonts w:ascii="宋体" w:hAnsi="宋体"/>
          <w:sz w:val="28"/>
        </w:rPr>
        <w:sectPr>
          <w:pgSz w:w="11906" w:h="16838"/>
          <w:pgMar w:top="1000" w:right="1440" w:bottom="1083" w:left="1440" w:header="200" w:footer="850" w:gutter="0"/>
          <w:cols w:space="0" w:num="1"/>
          <w:docGrid w:linePitch="360" w:charSpace="0"/>
        </w:sectPr>
      </w:pPr>
    </w:p>
    <w:p>
      <w:pPr>
        <w:tabs>
          <w:tab w:val="left" w:pos="3720"/>
          <w:tab w:val="left" w:pos="4720"/>
        </w:tabs>
        <w:spacing w:line="0" w:lineRule="atLeast"/>
        <w:rPr>
          <w:rFonts w:ascii="宋体" w:hAnsi="宋体"/>
          <w:sz w:val="44"/>
        </w:rPr>
        <w:sectPr>
          <w:footerReference r:id="rId5" w:type="default"/>
          <w:type w:val="continuous"/>
          <w:pgSz w:w="11906" w:h="16838"/>
          <w:pgMar w:top="1440" w:right="1440" w:bottom="1083" w:left="1440" w:header="567" w:footer="567" w:gutter="0"/>
          <w:cols w:space="720" w:num="1"/>
          <w:docGrid w:linePitch="360" w:charSpace="0"/>
        </w:sectPr>
      </w:pPr>
      <w:bookmarkStart w:id="0" w:name="page8"/>
      <w:bookmarkEnd w:id="0"/>
    </w:p>
    <w:p>
      <w:pPr>
        <w:tabs>
          <w:tab w:val="left" w:pos="3720"/>
          <w:tab w:val="left" w:pos="4720"/>
        </w:tabs>
        <w:spacing w:line="0" w:lineRule="atLeast"/>
        <w:ind w:left="2740"/>
        <w:rPr>
          <w:rFonts w:ascii="宋体" w:hAnsi="宋体"/>
          <w:sz w:val="44"/>
        </w:rPr>
      </w:pPr>
      <w:r>
        <w:rPr>
          <w:rFonts w:ascii="宋体" w:hAnsi="宋体"/>
          <w:sz w:val="44"/>
        </w:rPr>
        <w:t>总</w:t>
      </w:r>
      <w:r>
        <w:rPr>
          <w:rFonts w:eastAsia="Times New Roman"/>
        </w:rPr>
        <w:tab/>
      </w:r>
      <w:r>
        <w:rPr>
          <w:rFonts w:ascii="宋体" w:hAnsi="宋体"/>
          <w:sz w:val="44"/>
        </w:rPr>
        <w:t>目</w:t>
      </w:r>
      <w:r>
        <w:rPr>
          <w:rFonts w:eastAsia="Times New Roman"/>
        </w:rPr>
        <w:tab/>
      </w:r>
      <w:r>
        <w:rPr>
          <w:rFonts w:ascii="宋体" w:hAnsi="宋体"/>
          <w:sz w:val="44"/>
        </w:rPr>
        <w:t>录</w:t>
      </w:r>
    </w:p>
    <w:p>
      <w:pPr>
        <w:spacing w:line="200" w:lineRule="exact"/>
        <w:rPr>
          <w:rFonts w:eastAsia="Times New Roman"/>
        </w:rPr>
      </w:pPr>
    </w:p>
    <w:p>
      <w:pPr>
        <w:spacing w:line="200" w:lineRule="exact"/>
        <w:rPr>
          <w:rFonts w:eastAsia="Times New Roman"/>
        </w:rPr>
      </w:pPr>
    </w:p>
    <w:p>
      <w:pPr>
        <w:spacing w:line="260" w:lineRule="exact"/>
        <w:rPr>
          <w:rFonts w:eastAsia="Times New Roman"/>
        </w:rPr>
      </w:pPr>
    </w:p>
    <w:p>
      <w:pPr>
        <w:spacing w:line="0" w:lineRule="atLeast"/>
        <w:ind w:left="3200"/>
        <w:rPr>
          <w:rFonts w:ascii="宋体" w:hAnsi="宋体"/>
          <w:b/>
          <w:sz w:val="30"/>
        </w:rPr>
      </w:pPr>
      <w:r>
        <w:rPr>
          <w:rFonts w:ascii="宋体" w:hAnsi="宋体"/>
          <w:b/>
          <w:sz w:val="30"/>
        </w:rPr>
        <w:t>第 一 卷</w:t>
      </w:r>
    </w:p>
    <w:p>
      <w:pPr>
        <w:spacing w:line="359" w:lineRule="exact"/>
        <w:rPr>
          <w:rFonts w:eastAsia="Times New Roman"/>
        </w:rPr>
      </w:pPr>
    </w:p>
    <w:p>
      <w:pPr>
        <w:tabs>
          <w:tab w:val="left" w:pos="1000"/>
          <w:tab w:val="left" w:pos="7920"/>
        </w:tabs>
        <w:spacing w:line="0" w:lineRule="atLeast"/>
        <w:rPr>
          <w:sz w:val="24"/>
        </w:rPr>
      </w:pPr>
      <w:r>
        <w:rPr>
          <w:rFonts w:ascii="宋体" w:hAnsi="宋体"/>
          <w:sz w:val="24"/>
        </w:rPr>
        <w:t>第一章</w:t>
      </w:r>
      <w:r>
        <w:rPr>
          <w:rFonts w:eastAsia="Times New Roman"/>
        </w:rPr>
        <w:tab/>
      </w:r>
      <w:r>
        <w:rPr>
          <w:rFonts w:ascii="宋体" w:hAnsi="宋体"/>
          <w:sz w:val="24"/>
        </w:rPr>
        <w:t>招标公告</w:t>
      </w:r>
      <w:r>
        <w:rPr>
          <w:rFonts w:ascii="Arial" w:hAnsi="Arial" w:eastAsia="Arial"/>
          <w:sz w:val="24"/>
        </w:rPr>
        <w:t>……………………………………………………………</w:t>
      </w:r>
      <w:r>
        <w:rPr>
          <w:rFonts w:eastAsia="Times New Roman"/>
        </w:rPr>
        <w:tab/>
      </w:r>
      <w:r>
        <w:rPr>
          <w:rFonts w:hint="eastAsia"/>
          <w:sz w:val="24"/>
        </w:rPr>
        <w:t>3</w:t>
      </w:r>
    </w:p>
    <w:p>
      <w:pPr>
        <w:spacing w:line="258" w:lineRule="exact"/>
        <w:rPr>
          <w:rFonts w:eastAsia="Times New Roman"/>
        </w:rPr>
      </w:pPr>
    </w:p>
    <w:p>
      <w:pPr>
        <w:tabs>
          <w:tab w:val="left" w:pos="1000"/>
          <w:tab w:val="left" w:pos="7920"/>
        </w:tabs>
        <w:spacing w:line="0" w:lineRule="atLeast"/>
        <w:rPr>
          <w:sz w:val="24"/>
        </w:rPr>
      </w:pPr>
      <w:r>
        <w:rPr>
          <w:rFonts w:ascii="宋体" w:hAnsi="宋体"/>
          <w:sz w:val="24"/>
        </w:rPr>
        <w:t>第二章</w:t>
      </w:r>
      <w:r>
        <w:rPr>
          <w:rFonts w:eastAsia="Times New Roman"/>
        </w:rPr>
        <w:tab/>
      </w:r>
      <w:r>
        <w:rPr>
          <w:rFonts w:ascii="宋体" w:hAnsi="宋体"/>
          <w:sz w:val="24"/>
        </w:rPr>
        <w:t>投标人须知</w:t>
      </w:r>
      <w:r>
        <w:rPr>
          <w:rFonts w:ascii="Arial" w:hAnsi="Arial" w:eastAsia="Arial"/>
          <w:sz w:val="24"/>
        </w:rPr>
        <w:t>…………………………………………………………</w:t>
      </w:r>
      <w:r>
        <w:rPr>
          <w:rFonts w:eastAsia="Times New Roman"/>
        </w:rPr>
        <w:tab/>
      </w:r>
      <w:r>
        <w:rPr>
          <w:rFonts w:hint="eastAsia"/>
          <w:sz w:val="24"/>
        </w:rPr>
        <w:t>4</w:t>
      </w:r>
    </w:p>
    <w:p>
      <w:pPr>
        <w:spacing w:line="250" w:lineRule="exact"/>
        <w:rPr>
          <w:rFonts w:eastAsia="Times New Roman"/>
        </w:rPr>
      </w:pPr>
    </w:p>
    <w:p>
      <w:pPr>
        <w:tabs>
          <w:tab w:val="left" w:pos="1000"/>
          <w:tab w:val="left" w:pos="7920"/>
        </w:tabs>
        <w:spacing w:line="0" w:lineRule="atLeast"/>
        <w:rPr>
          <w:sz w:val="24"/>
        </w:rPr>
      </w:pPr>
      <w:r>
        <w:rPr>
          <w:rFonts w:ascii="宋体" w:hAnsi="宋体"/>
          <w:sz w:val="24"/>
        </w:rPr>
        <w:t>第三章</w:t>
      </w:r>
      <w:r>
        <w:rPr>
          <w:rFonts w:eastAsia="Times New Roman"/>
        </w:rPr>
        <w:tab/>
      </w:r>
      <w:r>
        <w:rPr>
          <w:rFonts w:ascii="宋体" w:hAnsi="宋体"/>
          <w:sz w:val="24"/>
        </w:rPr>
        <w:t>评标办法</w:t>
      </w:r>
      <w:r>
        <w:rPr>
          <w:rFonts w:ascii="Arial" w:hAnsi="Arial" w:eastAsia="Arial"/>
          <w:sz w:val="24"/>
        </w:rPr>
        <w:t>……………………………………………………………</w:t>
      </w:r>
      <w:r>
        <w:rPr>
          <w:rFonts w:eastAsia="Times New Roman"/>
        </w:rPr>
        <w:tab/>
      </w:r>
      <w:r>
        <w:rPr>
          <w:rFonts w:hint="eastAsia"/>
          <w:sz w:val="24"/>
        </w:rPr>
        <w:t>37</w:t>
      </w:r>
    </w:p>
    <w:p>
      <w:pPr>
        <w:spacing w:line="279" w:lineRule="exact"/>
        <w:rPr>
          <w:rFonts w:eastAsia="Times New Roman"/>
        </w:rPr>
      </w:pPr>
    </w:p>
    <w:p>
      <w:pPr>
        <w:tabs>
          <w:tab w:val="left" w:pos="1000"/>
        </w:tabs>
        <w:spacing w:line="0" w:lineRule="atLeast"/>
        <w:rPr>
          <w:sz w:val="24"/>
        </w:rPr>
      </w:pPr>
      <w:r>
        <w:rPr>
          <w:rFonts w:ascii="宋体" w:hAnsi="宋体"/>
          <w:sz w:val="24"/>
        </w:rPr>
        <w:t>第四章</w:t>
      </w:r>
      <w:r>
        <w:rPr>
          <w:rFonts w:eastAsia="Times New Roman"/>
        </w:rPr>
        <w:tab/>
      </w:r>
      <w:r>
        <w:rPr>
          <w:rFonts w:ascii="宋体" w:hAnsi="宋体"/>
          <w:sz w:val="24"/>
        </w:rPr>
        <w:t>合同条款及格式</w:t>
      </w:r>
      <w:r>
        <w:rPr>
          <w:rFonts w:ascii="Arial" w:hAnsi="Arial" w:eastAsia="Arial"/>
          <w:sz w:val="24"/>
        </w:rPr>
        <w:t>……………………………………………………</w:t>
      </w:r>
      <w:r>
        <w:rPr>
          <w:rFonts w:hint="eastAsia" w:ascii="Arial" w:hAnsi="Arial"/>
          <w:sz w:val="24"/>
          <w:lang w:val="en-US" w:eastAsia="zh-CN"/>
        </w:rPr>
        <w:t xml:space="preserve">    </w:t>
      </w:r>
      <w:r>
        <w:rPr>
          <w:rFonts w:hint="eastAsia"/>
          <w:sz w:val="24"/>
        </w:rPr>
        <w:t>48</w:t>
      </w:r>
    </w:p>
    <w:p>
      <w:pPr>
        <w:spacing w:line="274" w:lineRule="exact"/>
        <w:rPr>
          <w:rFonts w:eastAsia="Times New Roman"/>
        </w:rPr>
      </w:pPr>
    </w:p>
    <w:p>
      <w:pPr>
        <w:tabs>
          <w:tab w:val="left" w:pos="1000"/>
        </w:tabs>
        <w:spacing w:line="0" w:lineRule="atLeast"/>
        <w:rPr>
          <w:sz w:val="24"/>
        </w:rPr>
      </w:pPr>
      <w:r>
        <w:rPr>
          <w:rFonts w:ascii="宋体" w:hAnsi="宋体"/>
          <w:sz w:val="24"/>
        </w:rPr>
        <w:t>第五章</w:t>
      </w:r>
      <w:r>
        <w:rPr>
          <w:rFonts w:eastAsia="Times New Roman"/>
        </w:rPr>
        <w:tab/>
      </w:r>
      <w:r>
        <w:rPr>
          <w:rFonts w:ascii="宋体" w:hAnsi="宋体"/>
          <w:sz w:val="24"/>
        </w:rPr>
        <w:t>工程量清单</w:t>
      </w:r>
      <w:r>
        <w:rPr>
          <w:rFonts w:ascii="Arial" w:hAnsi="Arial" w:eastAsia="Arial"/>
          <w:sz w:val="24"/>
        </w:rPr>
        <w:t>…………………………………………………………</w:t>
      </w:r>
      <w:r>
        <w:rPr>
          <w:rFonts w:hint="eastAsia" w:ascii="宋体" w:hAnsi="宋体"/>
          <w:sz w:val="24"/>
          <w:lang w:val="en-US" w:eastAsia="zh-CN"/>
        </w:rPr>
        <w:t xml:space="preserve">    </w:t>
      </w:r>
      <w:r>
        <w:rPr>
          <w:rFonts w:hint="eastAsia" w:ascii="宋体" w:hAnsi="宋体"/>
          <w:sz w:val="24"/>
        </w:rPr>
        <w:t>96</w:t>
      </w:r>
    </w:p>
    <w:p>
      <w:pPr>
        <w:spacing w:line="243" w:lineRule="exact"/>
        <w:rPr>
          <w:rFonts w:eastAsia="Times New Roman"/>
        </w:rPr>
      </w:pPr>
    </w:p>
    <w:p>
      <w:pPr>
        <w:spacing w:line="239" w:lineRule="auto"/>
        <w:ind w:left="3200"/>
        <w:rPr>
          <w:rFonts w:ascii="宋体" w:hAnsi="宋体"/>
          <w:b/>
          <w:sz w:val="30"/>
        </w:rPr>
      </w:pPr>
      <w:r>
        <w:rPr>
          <w:rFonts w:ascii="宋体" w:hAnsi="宋体"/>
          <w:b/>
          <w:sz w:val="30"/>
        </w:rPr>
        <w:t>第 二 卷</w:t>
      </w:r>
    </w:p>
    <w:p>
      <w:pPr>
        <w:spacing w:line="200" w:lineRule="exact"/>
        <w:rPr>
          <w:rFonts w:eastAsia="Times New Roman"/>
        </w:rPr>
      </w:pPr>
    </w:p>
    <w:p>
      <w:pPr>
        <w:spacing w:line="230" w:lineRule="exact"/>
        <w:rPr>
          <w:rFonts w:eastAsia="Times New Roman"/>
        </w:rPr>
      </w:pPr>
    </w:p>
    <w:p>
      <w:pPr>
        <w:tabs>
          <w:tab w:val="left" w:pos="1000"/>
        </w:tabs>
        <w:spacing w:line="0" w:lineRule="atLeast"/>
        <w:ind w:left="20"/>
        <w:rPr>
          <w:sz w:val="24"/>
        </w:rPr>
      </w:pPr>
      <w:r>
        <w:rPr>
          <w:rFonts w:ascii="宋体" w:hAnsi="宋体"/>
          <w:sz w:val="24"/>
        </w:rPr>
        <w:t>第六章</w:t>
      </w:r>
      <w:r>
        <w:rPr>
          <w:rFonts w:eastAsia="Times New Roman"/>
        </w:rPr>
        <w:tab/>
      </w:r>
      <w:r>
        <w:rPr>
          <w:rFonts w:ascii="宋体" w:hAnsi="宋体"/>
          <w:sz w:val="24"/>
        </w:rPr>
        <w:t>图纸（</w:t>
      </w:r>
      <w:r>
        <w:rPr>
          <w:rFonts w:hint="eastAsia" w:ascii="宋体" w:hAnsi="宋体"/>
          <w:sz w:val="24"/>
        </w:rPr>
        <w:t>另附</w:t>
      </w:r>
      <w:r>
        <w:rPr>
          <w:rFonts w:ascii="宋体" w:hAnsi="宋体"/>
          <w:sz w:val="24"/>
        </w:rPr>
        <w:t>）</w:t>
      </w:r>
      <w:r>
        <w:rPr>
          <w:rFonts w:ascii="Arial" w:hAnsi="Arial" w:eastAsia="Arial"/>
          <w:sz w:val="24"/>
        </w:rPr>
        <w:t>……………………………………………………</w:t>
      </w:r>
      <w:r>
        <w:rPr>
          <w:rFonts w:hint="eastAsia" w:ascii="Arial" w:hAnsi="Arial"/>
          <w:sz w:val="24"/>
        </w:rPr>
        <w:t>..........</w:t>
      </w:r>
      <w:r>
        <w:rPr>
          <w:rFonts w:hint="eastAsia" w:ascii="宋体" w:hAnsi="宋体"/>
          <w:sz w:val="24"/>
        </w:rPr>
        <w:t>100</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三 卷</w:t>
      </w:r>
    </w:p>
    <w:p>
      <w:pPr>
        <w:spacing w:line="200" w:lineRule="exact"/>
        <w:rPr>
          <w:rFonts w:eastAsia="Times New Roman"/>
        </w:rPr>
      </w:pPr>
    </w:p>
    <w:p>
      <w:pPr>
        <w:spacing w:line="228" w:lineRule="exact"/>
        <w:rPr>
          <w:rFonts w:eastAsia="Times New Roman"/>
        </w:rPr>
      </w:pPr>
    </w:p>
    <w:p>
      <w:pPr>
        <w:tabs>
          <w:tab w:val="left" w:pos="1020"/>
        </w:tabs>
        <w:spacing w:line="0" w:lineRule="atLeast"/>
        <w:ind w:left="20"/>
        <w:rPr>
          <w:sz w:val="24"/>
        </w:rPr>
      </w:pPr>
      <w:r>
        <w:rPr>
          <w:rFonts w:ascii="宋体" w:hAnsi="宋体"/>
          <w:sz w:val="24"/>
        </w:rPr>
        <w:t>第七章</w:t>
      </w:r>
      <w:r>
        <w:rPr>
          <w:rFonts w:eastAsia="Times New Roman"/>
        </w:rPr>
        <w:tab/>
      </w:r>
      <w:r>
        <w:rPr>
          <w:rFonts w:ascii="宋体" w:hAnsi="宋体"/>
          <w:sz w:val="24"/>
        </w:rPr>
        <w:t>技术规范（另册）</w:t>
      </w:r>
      <w:r>
        <w:rPr>
          <w:rFonts w:ascii="Arial" w:hAnsi="Arial" w:eastAsia="Arial"/>
          <w:sz w:val="24"/>
        </w:rPr>
        <w:t>……………………………………………………</w:t>
      </w:r>
      <w:r>
        <w:rPr>
          <w:rFonts w:hint="eastAsia"/>
          <w:sz w:val="24"/>
        </w:rPr>
        <w:t>102</w:t>
      </w:r>
    </w:p>
    <w:p>
      <w:pPr>
        <w:spacing w:line="390" w:lineRule="exact"/>
        <w:rPr>
          <w:rFonts w:eastAsia="Times New Roman"/>
        </w:rPr>
      </w:pPr>
    </w:p>
    <w:p>
      <w:pPr>
        <w:tabs>
          <w:tab w:val="left" w:pos="1020"/>
        </w:tabs>
        <w:spacing w:line="0" w:lineRule="atLeast"/>
        <w:ind w:left="20"/>
        <w:rPr>
          <w:sz w:val="24"/>
        </w:rPr>
      </w:pPr>
      <w:r>
        <w:rPr>
          <w:rFonts w:ascii="宋体" w:hAnsi="宋体"/>
          <w:sz w:val="24"/>
        </w:rPr>
        <w:t>第八章</w:t>
      </w:r>
      <w:r>
        <w:rPr>
          <w:rFonts w:eastAsia="Times New Roman"/>
        </w:rPr>
        <w:tab/>
      </w:r>
      <w:r>
        <w:rPr>
          <w:rFonts w:ascii="宋体" w:hAnsi="宋体"/>
          <w:sz w:val="24"/>
        </w:rPr>
        <w:t>工程量清单计量规则（另册）</w:t>
      </w:r>
      <w:r>
        <w:rPr>
          <w:rFonts w:ascii="Arial" w:hAnsi="Arial" w:eastAsia="Arial"/>
          <w:sz w:val="24"/>
        </w:rPr>
        <w:t>………………………………………</w:t>
      </w:r>
      <w:r>
        <w:rPr>
          <w:rFonts w:hint="eastAsia"/>
          <w:sz w:val="24"/>
        </w:rPr>
        <w:t>103</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四 卷</w:t>
      </w:r>
    </w:p>
    <w:p>
      <w:pPr>
        <w:spacing w:line="200" w:lineRule="exact"/>
        <w:rPr>
          <w:rFonts w:eastAsia="Times New Roman"/>
        </w:rPr>
      </w:pPr>
    </w:p>
    <w:p>
      <w:pPr>
        <w:spacing w:line="229" w:lineRule="exact"/>
        <w:rPr>
          <w:rFonts w:eastAsia="Times New Roman"/>
        </w:rPr>
      </w:pPr>
    </w:p>
    <w:p>
      <w:pPr>
        <w:tabs>
          <w:tab w:val="left" w:pos="1020"/>
        </w:tabs>
        <w:spacing w:line="0" w:lineRule="atLeast"/>
        <w:ind w:left="20"/>
        <w:rPr>
          <w:sz w:val="24"/>
        </w:rPr>
      </w:pPr>
      <w:r>
        <w:rPr>
          <w:rFonts w:ascii="宋体" w:hAnsi="宋体"/>
          <w:sz w:val="24"/>
        </w:rPr>
        <w:t>第九章</w:t>
      </w:r>
      <w:r>
        <w:rPr>
          <w:rFonts w:eastAsia="Times New Roman"/>
        </w:rPr>
        <w:tab/>
      </w:r>
      <w:r>
        <w:rPr>
          <w:rFonts w:ascii="宋体" w:hAnsi="宋体"/>
          <w:sz w:val="24"/>
        </w:rPr>
        <w:t>投标文件格式</w:t>
      </w:r>
      <w:r>
        <w:rPr>
          <w:rFonts w:ascii="Arial" w:hAnsi="Arial" w:eastAsia="Arial"/>
          <w:sz w:val="24"/>
        </w:rPr>
        <w:t>…………………………………………………………</w:t>
      </w:r>
      <w:r>
        <w:rPr>
          <w:rFonts w:hint="eastAsia" w:ascii="Arial" w:hAnsi="Arial"/>
          <w:sz w:val="24"/>
        </w:rPr>
        <w:t xml:space="preserve"> 105</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center"/>
        <w:rPr>
          <w:sz w:val="17"/>
        </w:rPr>
        <w:sectPr>
          <w:footerReference r:id="rId6" w:type="default"/>
          <w:pgSz w:w="11906" w:h="16838"/>
          <w:pgMar w:top="1440" w:right="1440" w:bottom="1083" w:left="1440" w:header="567" w:footer="567" w:gutter="0"/>
          <w:pgNumType w:start="1"/>
          <w:cols w:space="720" w:num="1"/>
          <w:docGrid w:linePitch="360" w:charSpace="0"/>
        </w:sectPr>
      </w:pPr>
    </w:p>
    <w:p>
      <w:pPr>
        <w:spacing w:line="200" w:lineRule="exact"/>
        <w:rPr>
          <w:rFonts w:eastAsia="Times New Roman"/>
        </w:rPr>
      </w:pPr>
      <w:bookmarkStart w:id="1" w:name="page21"/>
      <w:bookmarkEnd w:id="1"/>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53"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一</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pgSz w:w="11906" w:h="16838"/>
          <w:pgMar w:top="1440" w:right="1440" w:bottom="1440" w:left="1440" w:header="567" w:footer="567" w:gutter="0"/>
          <w:cols w:space="720" w:num="1"/>
          <w:docGrid w:linePitch="360" w:charSpace="0"/>
        </w:sectPr>
      </w:pPr>
    </w:p>
    <w:p>
      <w:pPr>
        <w:spacing w:line="200" w:lineRule="exact"/>
        <w:rPr>
          <w:rFonts w:eastAsia="Times New Roman"/>
        </w:rPr>
      </w:pPr>
      <w:bookmarkStart w:id="2" w:name="page22"/>
      <w:bookmarkEnd w:id="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1" w:lineRule="exact"/>
        <w:rPr>
          <w:rFonts w:eastAsia="Times New Roman"/>
        </w:rPr>
      </w:pPr>
    </w:p>
    <w:p>
      <w:pPr>
        <w:tabs>
          <w:tab w:val="left" w:pos="2220"/>
        </w:tabs>
        <w:spacing w:line="0" w:lineRule="atLeast"/>
        <w:jc w:val="center"/>
        <w:rPr>
          <w:rFonts w:ascii="宋体" w:hAnsi="宋体"/>
          <w:sz w:val="55"/>
        </w:rPr>
        <w:sectPr>
          <w:pgSz w:w="11906" w:h="16838"/>
          <w:pgMar w:top="1440" w:right="1440" w:bottom="1440" w:left="1440" w:header="567" w:footer="567" w:gutter="0"/>
          <w:cols w:space="720" w:num="1"/>
          <w:docGrid w:linePitch="360" w:charSpace="0"/>
        </w:sectPr>
      </w:pPr>
      <w:r>
        <w:rPr>
          <w:rFonts w:ascii="宋体" w:hAnsi="宋体"/>
          <w:sz w:val="55"/>
        </w:rPr>
        <w:t>第一章</w:t>
      </w:r>
      <w:r>
        <w:rPr>
          <w:rFonts w:eastAsia="Times New Roman"/>
        </w:rPr>
        <w:tab/>
      </w:r>
      <w:r>
        <w:rPr>
          <w:rFonts w:ascii="宋体" w:hAnsi="宋体"/>
          <w:sz w:val="55"/>
        </w:rPr>
        <w:t>招标公告</w:t>
      </w:r>
    </w:p>
    <w:p>
      <w:pPr>
        <w:pStyle w:val="4"/>
        <w:spacing w:before="0" w:after="0" w:line="400" w:lineRule="exact"/>
        <w:jc w:val="center"/>
        <w:rPr>
          <w:rFonts w:ascii="宋体" w:hAnsi="宋体" w:cs="宋体"/>
          <w:bCs w:val="0"/>
          <w:kern w:val="2"/>
          <w:sz w:val="36"/>
          <w:szCs w:val="36"/>
        </w:rPr>
      </w:pPr>
      <w:bookmarkStart w:id="3" w:name="page23"/>
      <w:bookmarkEnd w:id="3"/>
      <w:bookmarkStart w:id="4" w:name="_Toc28221"/>
      <w:r>
        <w:rPr>
          <w:rFonts w:hint="eastAsia" w:ascii="宋体" w:hAnsi="宋体" w:cs="宋体"/>
          <w:bCs w:val="0"/>
          <w:kern w:val="2"/>
          <w:sz w:val="36"/>
          <w:szCs w:val="36"/>
        </w:rPr>
        <w:t>第一章  招 标 公 告</w:t>
      </w:r>
      <w:bookmarkEnd w:id="4"/>
    </w:p>
    <w:p>
      <w:pPr>
        <w:pStyle w:val="2"/>
        <w:widowControl w:val="0"/>
        <w:spacing w:line="400" w:lineRule="exact"/>
        <w:ind w:firstLine="320"/>
        <w:jc w:val="center"/>
        <w:rPr>
          <w:rFonts w:ascii="仿宋" w:hAnsi="仿宋" w:eastAsia="仿宋" w:cs="仿宋"/>
          <w:sz w:val="32"/>
          <w:szCs w:val="32"/>
        </w:rPr>
      </w:pPr>
    </w:p>
    <w:p>
      <w:pPr>
        <w:pStyle w:val="2"/>
        <w:widowControl w:val="0"/>
        <w:spacing w:line="460" w:lineRule="exact"/>
        <w:ind w:firstLine="320"/>
        <w:jc w:val="center"/>
        <w:rPr>
          <w:rFonts w:hint="eastAsia" w:ascii="仿宋" w:hAnsi="仿宋" w:eastAsia="仿宋" w:cs="仿宋"/>
          <w:sz w:val="32"/>
          <w:szCs w:val="32"/>
        </w:rPr>
      </w:pPr>
      <w:r>
        <w:rPr>
          <w:rFonts w:hint="eastAsia" w:ascii="仿宋" w:hAnsi="仿宋" w:eastAsia="仿宋" w:cs="仿宋"/>
          <w:sz w:val="32"/>
          <w:szCs w:val="32"/>
        </w:rPr>
        <w:t>建安建工公字〔2019〕</w:t>
      </w:r>
      <w:r>
        <w:rPr>
          <w:rFonts w:hint="eastAsia" w:ascii="仿宋" w:hAnsi="仿宋" w:eastAsia="仿宋" w:cs="仿宋"/>
          <w:sz w:val="32"/>
          <w:szCs w:val="32"/>
          <w:lang w:val="en-US" w:eastAsia="zh-CN"/>
        </w:rPr>
        <w:t>91</w:t>
      </w:r>
      <w:r>
        <w:rPr>
          <w:rFonts w:hint="eastAsia" w:ascii="仿宋" w:hAnsi="仿宋" w:eastAsia="仿宋" w:cs="仿宋"/>
          <w:sz w:val="32"/>
          <w:szCs w:val="32"/>
        </w:rPr>
        <w:t>号</w:t>
      </w:r>
    </w:p>
    <w:p>
      <w:pPr>
        <w:pStyle w:val="2"/>
        <w:widowControl w:val="0"/>
        <w:spacing w:line="460" w:lineRule="exact"/>
        <w:ind w:firstLine="320"/>
        <w:jc w:val="center"/>
        <w:rPr>
          <w:rFonts w:ascii="仿宋" w:hAnsi="仿宋" w:eastAsia="仿宋" w:cs="仿宋"/>
          <w:sz w:val="32"/>
          <w:szCs w:val="32"/>
        </w:rPr>
      </w:pPr>
      <w:r>
        <w:rPr>
          <w:rFonts w:hint="eastAsia" w:ascii="仿宋" w:hAnsi="仿宋" w:eastAsia="仿宋" w:cs="仿宋"/>
          <w:sz w:val="32"/>
          <w:szCs w:val="32"/>
        </w:rPr>
        <w:t>许昌市建安区交通运输局</w:t>
      </w:r>
    </w:p>
    <w:p>
      <w:pPr>
        <w:pStyle w:val="2"/>
        <w:widowControl w:val="0"/>
        <w:spacing w:line="460" w:lineRule="exact"/>
        <w:ind w:firstLine="320"/>
        <w:jc w:val="center"/>
        <w:rPr>
          <w:rFonts w:ascii="仿宋" w:hAnsi="仿宋" w:eastAsia="仿宋" w:cs="仿宋"/>
          <w:sz w:val="32"/>
          <w:szCs w:val="32"/>
        </w:rPr>
      </w:pPr>
      <w:r>
        <w:rPr>
          <w:rFonts w:hint="eastAsia" w:ascii="仿宋" w:hAnsi="仿宋" w:eastAsia="仿宋" w:cs="仿宋"/>
          <w:sz w:val="32"/>
          <w:szCs w:val="32"/>
        </w:rPr>
        <w:t>许昌市建安区2019年创建‘四好农村路’</w:t>
      </w:r>
    </w:p>
    <w:p>
      <w:pPr>
        <w:pStyle w:val="2"/>
        <w:widowControl w:val="0"/>
        <w:spacing w:line="460" w:lineRule="exact"/>
        <w:ind w:firstLine="320"/>
        <w:jc w:val="center"/>
        <w:rPr>
          <w:rFonts w:ascii="仿宋" w:hAnsi="仿宋" w:eastAsia="仿宋" w:cs="仿宋"/>
          <w:sz w:val="32"/>
          <w:szCs w:val="32"/>
        </w:rPr>
      </w:pPr>
      <w:r>
        <w:rPr>
          <w:rFonts w:hint="eastAsia" w:ascii="仿宋" w:hAnsi="仿宋" w:eastAsia="仿宋" w:cs="仿宋"/>
          <w:sz w:val="32"/>
          <w:szCs w:val="32"/>
        </w:rPr>
        <w:t>（苏桥镇、张潘镇、灵井镇、小召乡、艾庄乡）建设项目</w:t>
      </w:r>
    </w:p>
    <w:p>
      <w:pPr>
        <w:pStyle w:val="2"/>
        <w:widowControl w:val="0"/>
        <w:spacing w:line="460" w:lineRule="exact"/>
        <w:ind w:firstLine="320"/>
        <w:jc w:val="center"/>
        <w:rPr>
          <w:rFonts w:ascii="仿宋" w:hAnsi="仿宋" w:eastAsia="仿宋" w:cs="仿宋"/>
          <w:sz w:val="32"/>
          <w:szCs w:val="32"/>
        </w:rPr>
      </w:pPr>
      <w:r>
        <w:rPr>
          <w:rFonts w:hint="eastAsia" w:ascii="仿宋" w:hAnsi="仿宋" w:eastAsia="仿宋" w:cs="仿宋"/>
          <w:sz w:val="32"/>
          <w:szCs w:val="32"/>
        </w:rPr>
        <w:t>公开招标公告</w:t>
      </w:r>
    </w:p>
    <w:p>
      <w:pPr>
        <w:spacing w:line="360" w:lineRule="auto"/>
        <w:rPr>
          <w:rFonts w:ascii="仿宋" w:hAnsi="仿宋" w:eastAsia="仿宋" w:cs="仿宋"/>
          <w:b/>
          <w:sz w:val="24"/>
        </w:rPr>
      </w:pPr>
      <w:bookmarkStart w:id="5" w:name="page33"/>
      <w:bookmarkEnd w:id="5"/>
      <w:r>
        <w:rPr>
          <w:rFonts w:hint="eastAsia" w:ascii="仿宋" w:hAnsi="仿宋" w:eastAsia="仿宋" w:cs="仿宋"/>
          <w:b/>
          <w:sz w:val="24"/>
        </w:rPr>
        <w:t>一、项目概况与招标范围</w:t>
      </w:r>
      <w:r>
        <w:rPr>
          <w:rFonts w:hint="eastAsia" w:ascii="仿宋" w:hAnsi="仿宋" w:eastAsia="仿宋" w:cs="仿宋"/>
          <w:b/>
          <w:sz w:val="24"/>
        </w:rPr>
        <w:tab/>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szCs w:val="22"/>
          <w:lang w:val="en-US" w:eastAsia="zh-CN"/>
        </w:rPr>
      </w:pPr>
      <w:r>
        <w:rPr>
          <w:rFonts w:hint="eastAsia" w:ascii="仿宋" w:hAnsi="仿宋" w:eastAsia="仿宋" w:cs="仿宋"/>
          <w:sz w:val="24"/>
          <w:szCs w:val="22"/>
        </w:rPr>
        <w:t>1、项目编号：建安建工公字〔2019〕</w:t>
      </w:r>
      <w:r>
        <w:rPr>
          <w:rFonts w:hint="eastAsia" w:ascii="仿宋" w:hAnsi="仿宋" w:eastAsia="仿宋" w:cs="仿宋"/>
          <w:sz w:val="24"/>
          <w:szCs w:val="22"/>
          <w:lang w:val="en-US" w:eastAsia="zh-CN"/>
        </w:rPr>
        <w:t>91</w:t>
      </w:r>
      <w:r>
        <w:rPr>
          <w:rFonts w:hint="eastAsia" w:ascii="仿宋" w:hAnsi="仿宋" w:eastAsia="仿宋" w:cs="仿宋"/>
          <w:sz w:val="24"/>
          <w:szCs w:val="22"/>
        </w:rPr>
        <w:t>号</w:t>
      </w:r>
      <w:r>
        <w:rPr>
          <w:rFonts w:hint="eastAsia" w:ascii="仿宋" w:hAnsi="仿宋" w:eastAsia="仿宋" w:cs="仿宋"/>
          <w:sz w:val="24"/>
          <w:szCs w:val="22"/>
          <w:lang w:eastAsia="zh-CN"/>
        </w:rPr>
        <w:t>。</w:t>
      </w:r>
    </w:p>
    <w:p>
      <w:pPr>
        <w:widowControl w:val="0"/>
        <w:autoSpaceDE w:val="0"/>
        <w:autoSpaceDN w:val="0"/>
        <w:adjustRightInd w:val="0"/>
        <w:spacing w:line="520" w:lineRule="exact"/>
        <w:ind w:firstLine="480" w:firstLineChars="200"/>
        <w:jc w:val="both"/>
        <w:outlineLvl w:val="0"/>
        <w:rPr>
          <w:rFonts w:ascii="仿宋" w:hAnsi="仿宋" w:eastAsia="仿宋" w:cs="仿宋"/>
          <w:sz w:val="24"/>
        </w:rPr>
      </w:pPr>
      <w:r>
        <w:rPr>
          <w:rFonts w:hint="eastAsia" w:ascii="仿宋" w:hAnsi="仿宋" w:eastAsia="仿宋" w:cs="仿宋"/>
          <w:sz w:val="24"/>
        </w:rPr>
        <w:t>2、项目概况：本项目共包含五个乡镇：灵井镇、苏桥镇、张潘镇、艾庄回族乡、小召乡。项目全长188.931公里，其中灵井镇共9条道路，</w:t>
      </w:r>
      <w:r>
        <w:rPr>
          <w:rFonts w:hint="eastAsia" w:ascii="仿宋" w:hAnsi="仿宋" w:eastAsia="仿宋" w:cs="仿宋"/>
          <w:sz w:val="24"/>
          <w:lang w:val="en-US" w:eastAsia="zh-CN"/>
        </w:rPr>
        <w:t>总里程为48.928公里；苏桥镇共9条道路，</w:t>
      </w:r>
      <w:r>
        <w:rPr>
          <w:rFonts w:hint="eastAsia" w:ascii="仿宋" w:hAnsi="仿宋" w:eastAsia="仿宋" w:cs="仿宋"/>
          <w:sz w:val="24"/>
        </w:rPr>
        <w:t>总里程为43.405公里；张潘镇共8条道路，总里程为38.299公里；艾庄回族乡共12条道路，总里程为31.126公里；小召乡共15条道路，总里程为27.173公里。主要建设内容为农村道路旧路面的改造提升，不新增用地。</w:t>
      </w:r>
    </w:p>
    <w:p>
      <w:pPr>
        <w:widowControl w:val="0"/>
        <w:autoSpaceDE w:val="0"/>
        <w:autoSpaceDN w:val="0"/>
        <w:adjustRightInd w:val="0"/>
        <w:spacing w:line="520" w:lineRule="exact"/>
        <w:ind w:firstLine="480" w:firstLineChars="200"/>
        <w:jc w:val="both"/>
        <w:outlineLvl w:val="0"/>
        <w:rPr>
          <w:rFonts w:ascii="仿宋" w:hAnsi="仿宋" w:eastAsia="仿宋" w:cs="仿宋"/>
          <w:sz w:val="24"/>
        </w:rPr>
      </w:pPr>
      <w:r>
        <w:rPr>
          <w:rFonts w:hint="eastAsia" w:ascii="仿宋" w:hAnsi="仿宋" w:eastAsia="仿宋" w:cs="仿宋"/>
          <w:sz w:val="24"/>
        </w:rPr>
        <w:t>3、招标范围：招标文件及答疑纪要（如有）范围内的所有工程内容。</w:t>
      </w:r>
    </w:p>
    <w:p>
      <w:pPr>
        <w:widowControl w:val="0"/>
        <w:autoSpaceDE w:val="0"/>
        <w:autoSpaceDN w:val="0"/>
        <w:adjustRightInd w:val="0"/>
        <w:spacing w:line="520" w:lineRule="exact"/>
        <w:ind w:firstLine="480" w:firstLineChars="200"/>
        <w:jc w:val="both"/>
        <w:outlineLvl w:val="0"/>
        <w:rPr>
          <w:rFonts w:ascii="仿宋" w:hAnsi="仿宋" w:eastAsia="仿宋" w:cs="仿宋"/>
          <w:sz w:val="24"/>
        </w:rPr>
      </w:pPr>
      <w:r>
        <w:rPr>
          <w:rFonts w:hint="eastAsia" w:ascii="仿宋" w:hAnsi="仿宋" w:eastAsia="仿宋" w:cs="仿宋"/>
          <w:sz w:val="24"/>
        </w:rPr>
        <w:t>4、标段划分：本项目共划分5个标段，本次招标内容如下：</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一标段：勘察设计标段（招标内容为满足设计和规范所要求的工程详细勘察、</w:t>
      </w:r>
      <w:r>
        <w:rPr>
          <w:rFonts w:hint="eastAsia" w:ascii="仿宋" w:hAnsi="仿宋" w:eastAsia="仿宋" w:cs="仿宋"/>
          <w:sz w:val="24"/>
          <w:lang w:val="en-US" w:eastAsia="zh-CN"/>
        </w:rPr>
        <w:t>工程可行性研究报告文件编制</w:t>
      </w:r>
      <w:r>
        <w:rPr>
          <w:rFonts w:hint="eastAsia" w:ascii="仿宋" w:hAnsi="仿宋" w:eastAsia="仿宋" w:cs="仿宋"/>
          <w:sz w:val="24"/>
        </w:rPr>
        <w:t>、施工图设计及后续相关配套服务设计等工作）；二标段：施工标段（招标内容为本项目所有施工内容）；三标段：监理标段（苏桥镇、小召乡施工全过程及保修期监理服务）；四标段：监理标段（灵井镇、艾庄乡施工全过程及保修期监理服务）；五标段：监理标段（张潘镇施工全过程及保修期监理服务）</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5、投资概算：11580万元</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ascii="仿宋" w:hAnsi="仿宋" w:eastAsia="仿宋" w:cs="仿宋"/>
          <w:sz w:val="24"/>
        </w:rPr>
      </w:pPr>
      <w:r>
        <w:rPr>
          <w:rFonts w:hint="eastAsia" w:ascii="仿宋" w:hAnsi="仿宋" w:eastAsia="仿宋" w:cs="仿宋"/>
          <w:sz w:val="24"/>
        </w:rPr>
        <w:t>6、招标控制价：勘察设计标：（以后期经政府财政主管部门评审的初步设计概算中对应本项目承建范围内的勘察设计费用为基数）；施工、监理标：（以后期经政府财政主管部门评审的初步设计概算中对应本项目承建范围内的费用为基数）。</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一标段（勘察设计标段）：96%</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二标段（施工标段）96%</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三标段（苏桥镇、小召乡监理标段）：0.7%</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四标段（灵井镇、艾庄乡监理标段）：0.7%</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五标段（张潘镇监理标段）：0.7%</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7、计划工期：一标段：20日历天；二标段：90日历天；三、四、五标段：同施工工期</w:t>
      </w:r>
      <w:r>
        <w:rPr>
          <w:rFonts w:hint="eastAsia" w:ascii="仿宋" w:hAnsi="仿宋" w:eastAsia="仿宋" w:cs="仿宋"/>
          <w:sz w:val="24"/>
          <w:lang w:eastAsia="zh-CN"/>
        </w:rPr>
        <w:t>。</w:t>
      </w:r>
    </w:p>
    <w:p>
      <w:pPr>
        <w:widowControl w:val="0"/>
        <w:autoSpaceDE w:val="0"/>
        <w:autoSpaceDN w:val="0"/>
        <w:adjustRightInd w:val="0"/>
        <w:spacing w:line="520" w:lineRule="exact"/>
        <w:ind w:firstLine="480" w:firstLineChars="200"/>
        <w:jc w:val="both"/>
        <w:outlineLvl w:val="0"/>
        <w:rPr>
          <w:rFonts w:hint="eastAsia" w:ascii="仿宋" w:hAnsi="仿宋" w:eastAsia="仿宋" w:cs="仿宋"/>
          <w:sz w:val="24"/>
          <w:lang w:eastAsia="zh-CN"/>
        </w:rPr>
      </w:pPr>
      <w:r>
        <w:rPr>
          <w:rFonts w:hint="eastAsia" w:ascii="仿宋" w:hAnsi="仿宋" w:eastAsia="仿宋" w:cs="仿宋"/>
          <w:sz w:val="24"/>
        </w:rPr>
        <w:t>8、质量要求：合格（符合相关国家标准的要求）</w:t>
      </w:r>
      <w:r>
        <w:rPr>
          <w:rFonts w:hint="eastAsia" w:ascii="仿宋" w:hAnsi="仿宋" w:eastAsia="仿宋" w:cs="仿宋"/>
          <w:sz w:val="24"/>
          <w:lang w:eastAsia="zh-CN"/>
        </w:rPr>
        <w:t>。</w:t>
      </w:r>
    </w:p>
    <w:p>
      <w:pPr>
        <w:spacing w:line="360" w:lineRule="auto"/>
        <w:rPr>
          <w:rFonts w:ascii="仿宋" w:hAnsi="仿宋" w:eastAsia="仿宋" w:cs="仿宋"/>
          <w:b/>
          <w:sz w:val="24"/>
        </w:rPr>
      </w:pPr>
      <w:r>
        <w:rPr>
          <w:rFonts w:hint="eastAsia" w:ascii="仿宋" w:hAnsi="仿宋" w:eastAsia="仿宋" w:cs="仿宋"/>
          <w:b/>
          <w:sz w:val="24"/>
        </w:rPr>
        <w:t>二、投标人资格要求</w:t>
      </w:r>
    </w:p>
    <w:p>
      <w:pPr>
        <w:spacing w:line="360" w:lineRule="auto"/>
        <w:ind w:firstLine="352" w:firstLineChars="147"/>
        <w:rPr>
          <w:rFonts w:ascii="仿宋" w:hAnsi="仿宋" w:eastAsia="仿宋" w:cs="仿宋"/>
          <w:sz w:val="24"/>
        </w:rPr>
      </w:pPr>
      <w:r>
        <w:rPr>
          <w:rFonts w:hint="eastAsia" w:ascii="仿宋" w:hAnsi="仿宋" w:eastAsia="仿宋" w:cs="仿宋"/>
          <w:sz w:val="24"/>
        </w:rPr>
        <w:t>1、须具备独立法人资格;</w:t>
      </w:r>
    </w:p>
    <w:p>
      <w:pPr>
        <w:spacing w:line="360" w:lineRule="auto"/>
        <w:ind w:firstLine="352" w:firstLineChars="147"/>
        <w:rPr>
          <w:rFonts w:hint="eastAsia" w:ascii="仿宋" w:hAnsi="仿宋" w:eastAsia="仿宋" w:cs="仿宋"/>
          <w:sz w:val="24"/>
          <w:szCs w:val="22"/>
        </w:rPr>
      </w:pPr>
      <w:r>
        <w:rPr>
          <w:rFonts w:hint="eastAsia" w:ascii="仿宋" w:hAnsi="仿宋" w:eastAsia="仿宋" w:cs="仿宋"/>
          <w:sz w:val="24"/>
        </w:rPr>
        <w:t>2、一标段：</w:t>
      </w:r>
      <w:bookmarkStart w:id="6" w:name="OLE_LINK14"/>
      <w:bookmarkEnd w:id="6"/>
      <w:r>
        <w:rPr>
          <w:rFonts w:hint="eastAsia" w:ascii="仿宋" w:hAnsi="仿宋" w:eastAsia="仿宋" w:cs="仿宋"/>
          <w:sz w:val="24"/>
          <w:szCs w:val="22"/>
        </w:rPr>
        <w:t>投标人须具有建设行政主管部门颁发的工程设计公路行业（公路）专业</w:t>
      </w:r>
      <w:r>
        <w:rPr>
          <w:rFonts w:hint="eastAsia" w:ascii="仿宋" w:hAnsi="仿宋" w:eastAsia="仿宋" w:cs="仿宋"/>
          <w:sz w:val="24"/>
          <w:szCs w:val="22"/>
          <w:lang w:val="en-US" w:eastAsia="zh-CN"/>
        </w:rPr>
        <w:t>乙</w:t>
      </w:r>
      <w:r>
        <w:rPr>
          <w:rFonts w:hint="eastAsia" w:ascii="仿宋" w:hAnsi="仿宋" w:eastAsia="仿宋" w:cs="仿宋"/>
          <w:sz w:val="24"/>
          <w:szCs w:val="22"/>
        </w:rPr>
        <w:t>级及以上资质，并同时具备工程勘察专业类（工程测量）专业</w:t>
      </w:r>
      <w:r>
        <w:rPr>
          <w:rFonts w:hint="eastAsia" w:ascii="仿宋" w:hAnsi="仿宋" w:eastAsia="仿宋" w:cs="仿宋"/>
          <w:sz w:val="24"/>
          <w:szCs w:val="22"/>
          <w:lang w:val="en-US" w:eastAsia="zh-CN"/>
        </w:rPr>
        <w:t>乙</w:t>
      </w:r>
      <w:r>
        <w:rPr>
          <w:rFonts w:hint="eastAsia" w:ascii="仿宋" w:hAnsi="仿宋" w:eastAsia="仿宋" w:cs="仿宋"/>
          <w:sz w:val="24"/>
          <w:szCs w:val="22"/>
        </w:rPr>
        <w:t>级及以上资质，在人员、设备、资金等方面具有相应的设计能力。项目负责人具备相关专业中级及以上工程师职称证书。</w:t>
      </w:r>
    </w:p>
    <w:p>
      <w:pPr>
        <w:spacing w:line="360" w:lineRule="auto"/>
        <w:ind w:firstLine="352" w:firstLineChars="147"/>
        <w:rPr>
          <w:rFonts w:ascii="仿宋" w:hAnsi="仿宋" w:eastAsia="仿宋" w:cs="仿宋"/>
          <w:sz w:val="24"/>
        </w:rPr>
      </w:pPr>
      <w:r>
        <w:rPr>
          <w:rFonts w:hint="eastAsia" w:ascii="仿宋" w:hAnsi="仿宋" w:eastAsia="仿宋" w:cs="仿宋"/>
          <w:sz w:val="24"/>
          <w:szCs w:val="22"/>
        </w:rPr>
        <w:t>3、二标段：（1）投标人须具备建设行政主管部门颁发的公路工程施工总承包壹级及以上资质，并同时具有河南省交通厅批准的公路养护工程施工二类（甲级）资质，具有有效的安全生产许可证。</w:t>
      </w:r>
      <w:r>
        <w:rPr>
          <w:rFonts w:hint="eastAsia" w:ascii="仿宋" w:hAnsi="仿宋" w:eastAsia="仿宋" w:cs="仿宋"/>
          <w:b/>
          <w:bCs/>
          <w:sz w:val="24"/>
          <w:szCs w:val="22"/>
        </w:rPr>
        <w:t>(注：河南省以外的省、自治区、直辖市的公路养护工程从业单位应符合交通部文件“交公路发[2003]89号《公路养护工程市场准入暂行规定》第十七条规定”，投标文件中应附有备案证明材料。)</w:t>
      </w:r>
      <w:r>
        <w:rPr>
          <w:rFonts w:hint="eastAsia" w:ascii="仿宋" w:hAnsi="仿宋" w:eastAsia="仿宋" w:cs="仿宋"/>
          <w:sz w:val="24"/>
          <w:szCs w:val="22"/>
        </w:rPr>
        <w:t>在人员、设备、资金等方面具有相应的施工能力；拟派建造师须具备壹级及以上公路工程</w:t>
      </w:r>
      <w:r>
        <w:rPr>
          <w:rFonts w:hint="eastAsia" w:ascii="仿宋" w:hAnsi="仿宋" w:eastAsia="仿宋" w:cs="仿宋"/>
          <w:sz w:val="24"/>
        </w:rPr>
        <w:t>专业注册建造师执业资格，具备有效的安全生产考核合格证书，且未担任其他在施建设项目的项目经理。拟派项目总工需具备中级及以上相关专业技术职称。</w:t>
      </w:r>
    </w:p>
    <w:p>
      <w:pPr>
        <w:spacing w:line="360" w:lineRule="auto"/>
        <w:ind w:firstLine="360" w:firstLineChars="150"/>
        <w:rPr>
          <w:rFonts w:ascii="仿宋" w:hAnsi="仿宋" w:eastAsia="仿宋" w:cs="仿宋"/>
          <w:sz w:val="24"/>
        </w:rPr>
      </w:pPr>
      <w:r>
        <w:rPr>
          <w:rFonts w:hint="eastAsia" w:ascii="仿宋" w:hAnsi="仿宋" w:eastAsia="仿宋" w:cs="仿宋"/>
          <w:sz w:val="24"/>
        </w:rPr>
        <w:t>（2）投标人近三年内（2016年1月1日起至今，</w:t>
      </w:r>
      <w:r>
        <w:rPr>
          <w:rFonts w:hint="eastAsia" w:ascii="仿宋" w:hAnsi="仿宋" w:eastAsia="仿宋" w:cs="仿宋"/>
          <w:sz w:val="24"/>
          <w:szCs w:val="22"/>
        </w:rPr>
        <w:t>以交工验收日期为准</w:t>
      </w:r>
      <w:r>
        <w:rPr>
          <w:rFonts w:hint="eastAsia" w:ascii="仿宋" w:hAnsi="仿宋" w:eastAsia="仿宋" w:cs="仿宋"/>
          <w:sz w:val="24"/>
        </w:rPr>
        <w:t>）完成二个以上（含两个）</w:t>
      </w:r>
      <w:r>
        <w:rPr>
          <w:rFonts w:hint="eastAsia" w:ascii="仿宋" w:hAnsi="仿宋" w:eastAsia="仿宋" w:cs="仿宋"/>
          <w:sz w:val="24"/>
          <w:szCs w:val="22"/>
        </w:rPr>
        <w:t>的二级及以上公路工程施工业绩，并</w:t>
      </w:r>
      <w:r>
        <w:rPr>
          <w:rFonts w:hint="eastAsia" w:ascii="仿宋" w:hAnsi="仿宋" w:eastAsia="仿宋" w:cs="仿宋"/>
          <w:sz w:val="24"/>
        </w:rPr>
        <w:t>在人员、设备、资金等方面具有相应的施工能力。</w:t>
      </w:r>
    </w:p>
    <w:p>
      <w:pPr>
        <w:spacing w:line="360" w:lineRule="auto"/>
        <w:ind w:firstLine="360" w:firstLineChars="150"/>
        <w:rPr>
          <w:rFonts w:ascii="仿宋" w:hAnsi="仿宋" w:eastAsia="仿宋" w:cs="仿宋"/>
          <w:sz w:val="24"/>
        </w:rPr>
      </w:pPr>
      <w:r>
        <w:rPr>
          <w:rFonts w:hint="eastAsia" w:ascii="仿宋" w:hAnsi="仿宋" w:eastAsia="仿宋" w:cs="仿宋"/>
          <w:sz w:val="24"/>
        </w:rPr>
        <w:t>（3）根据《河南省公路建设市场从业单位及人员信用管理办法》第二十一条“对信用考核定级为D级即黑名单的从业单位，”不得参与本项目投标。</w:t>
      </w:r>
    </w:p>
    <w:p>
      <w:pPr>
        <w:spacing w:line="360" w:lineRule="auto"/>
        <w:ind w:firstLine="360" w:firstLineChars="150"/>
        <w:rPr>
          <w:rFonts w:ascii="仿宋" w:hAnsi="仿宋" w:eastAsia="仿宋" w:cs="仿宋"/>
          <w:sz w:val="24"/>
        </w:rPr>
      </w:pPr>
      <w:r>
        <w:rPr>
          <w:rFonts w:hint="eastAsia" w:ascii="仿宋" w:hAnsi="仿宋" w:eastAsia="仿宋" w:cs="仿宋"/>
          <w:sz w:val="24"/>
          <w:szCs w:val="22"/>
        </w:rPr>
        <w:t>4、三、四、五标段：投标人须具备建设行政主管部门颁发的工程监理</w:t>
      </w:r>
      <w:r>
        <w:rPr>
          <w:rFonts w:hint="eastAsia" w:ascii="仿宋" w:hAnsi="仿宋" w:eastAsia="仿宋" w:cs="仿宋"/>
          <w:sz w:val="24"/>
          <w:szCs w:val="22"/>
          <w:lang w:val="en-US" w:eastAsia="zh-CN"/>
        </w:rPr>
        <w:t>乙</w:t>
      </w:r>
      <w:r>
        <w:rPr>
          <w:rFonts w:hint="eastAsia" w:ascii="仿宋" w:hAnsi="仿宋" w:eastAsia="仿宋" w:cs="仿宋"/>
          <w:sz w:val="24"/>
          <w:szCs w:val="22"/>
        </w:rPr>
        <w:t>级及以上资</w:t>
      </w:r>
      <w:r>
        <w:rPr>
          <w:rFonts w:hint="eastAsia" w:ascii="仿宋" w:hAnsi="仿宋" w:eastAsia="仿宋" w:cs="仿宋"/>
          <w:sz w:val="24"/>
          <w:szCs w:val="22"/>
          <w:lang w:val="en-US" w:eastAsia="zh-CN"/>
        </w:rPr>
        <w:t>质，拟派总</w:t>
      </w:r>
      <w:r>
        <w:rPr>
          <w:rFonts w:hint="eastAsia" w:ascii="仿宋" w:hAnsi="仿宋" w:eastAsia="仿宋" w:cs="仿宋"/>
          <w:sz w:val="24"/>
          <w:szCs w:val="22"/>
        </w:rPr>
        <w:t>监理工程师须具有公路工程专业注册监理工程师资格，具备中级及以上技术职称。</w:t>
      </w:r>
    </w:p>
    <w:p>
      <w:pPr>
        <w:pStyle w:val="2"/>
        <w:spacing w:line="360" w:lineRule="auto"/>
        <w:ind w:firstLine="360" w:firstLineChars="150"/>
        <w:rPr>
          <w:rFonts w:hint="eastAsia" w:ascii="仿宋" w:hAnsi="仿宋" w:eastAsia="仿宋" w:cs="仿宋"/>
          <w:sz w:val="24"/>
          <w:szCs w:val="22"/>
        </w:rPr>
      </w:pPr>
      <w:r>
        <w:rPr>
          <w:rFonts w:hint="eastAsia" w:ascii="仿宋" w:hAnsi="仿宋" w:eastAsia="仿宋" w:cs="仿宋"/>
          <w:sz w:val="24"/>
        </w:rPr>
        <w:t>5、不接受投标人被“信用中国”和“信用河南”网站信用信息栏列入黑名单，</w:t>
      </w:r>
      <w:r>
        <w:rPr>
          <w:rFonts w:hint="eastAsia" w:ascii="仿宋" w:hAnsi="仿宋" w:eastAsia="仿宋" w:cs="仿宋"/>
          <w:sz w:val="24"/>
          <w:szCs w:val="22"/>
        </w:rPr>
        <w:t>以及被“国家企业信用信息公示系统”列入经营异常名录或严重失信黑名单的投标。</w:t>
      </w:r>
    </w:p>
    <w:p>
      <w:pPr>
        <w:pStyle w:val="2"/>
        <w:spacing w:line="360" w:lineRule="auto"/>
        <w:ind w:firstLine="360" w:firstLineChars="150"/>
        <w:rPr>
          <w:rFonts w:ascii="仿宋" w:hAnsi="仿宋" w:eastAsia="仿宋" w:cs="仿宋"/>
          <w:sz w:val="24"/>
        </w:rPr>
      </w:pPr>
      <w:r>
        <w:rPr>
          <w:rFonts w:hint="eastAsia" w:ascii="仿宋" w:hAnsi="仿宋" w:eastAsia="仿宋" w:cs="仿宋"/>
          <w:sz w:val="24"/>
        </w:rPr>
        <w:t>6、投标人允许同时投多个标段，投标企业一个项目组成班子只能中一个标段（适用于三、四、五标段）。</w:t>
      </w:r>
    </w:p>
    <w:p>
      <w:pPr>
        <w:pStyle w:val="2"/>
        <w:spacing w:line="360" w:lineRule="auto"/>
        <w:ind w:firstLine="360" w:firstLineChars="150"/>
        <w:rPr>
          <w:rFonts w:ascii="仿宋" w:hAnsi="仿宋" w:eastAsia="仿宋" w:cs="仿宋"/>
          <w:sz w:val="24"/>
        </w:rPr>
      </w:pPr>
      <w:r>
        <w:rPr>
          <w:rFonts w:hint="eastAsia" w:ascii="仿宋" w:hAnsi="仿宋" w:eastAsia="仿宋" w:cs="仿宋"/>
          <w:sz w:val="24"/>
        </w:rPr>
        <w:t>7、本次招标不接受联合体投标。</w:t>
      </w:r>
    </w:p>
    <w:p>
      <w:pPr>
        <w:spacing w:line="360" w:lineRule="auto"/>
        <w:ind w:firstLine="360" w:firstLineChars="150"/>
        <w:rPr>
          <w:rFonts w:ascii="仿宋" w:hAnsi="仿宋" w:eastAsia="仿宋" w:cs="仿宋"/>
          <w:sz w:val="24"/>
        </w:rPr>
      </w:pPr>
      <w:r>
        <w:rPr>
          <w:rFonts w:hint="eastAsia" w:ascii="仿宋" w:hAnsi="仿宋" w:eastAsia="仿宋" w:cs="仿宋"/>
          <w:sz w:val="24"/>
        </w:rPr>
        <w:t>8、本次招标实行资格后审。</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三、投标报名方式</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报名方式：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四、招标文件的获取</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1、招标文件的获取：投标人于投标文件递交截止时间前均可登录《全国公共资源交易平台(河南省▪许昌市)》自行下载本项目招标文件。</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2、招标文件每套售价300元，于递交投标文件时缴纳给招标代理机构，售后不退。</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五、投标文件的递交</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szCs w:val="22"/>
        </w:rPr>
        <w:t>投标文件提交的截止时间及开标时间：2019年</w:t>
      </w:r>
      <w:r>
        <w:rPr>
          <w:rFonts w:hint="eastAsia" w:ascii="仿宋" w:hAnsi="仿宋" w:eastAsia="仿宋" w:cs="仿宋"/>
          <w:sz w:val="24"/>
          <w:szCs w:val="22"/>
          <w:lang w:val="en-US" w:eastAsia="zh-CN"/>
        </w:rPr>
        <w:t>6</w:t>
      </w:r>
      <w:r>
        <w:rPr>
          <w:rFonts w:hint="eastAsia" w:ascii="仿宋" w:hAnsi="仿宋" w:eastAsia="仿宋" w:cs="仿宋"/>
          <w:sz w:val="24"/>
          <w:szCs w:val="22"/>
        </w:rPr>
        <w:t>月</w:t>
      </w:r>
      <w:r>
        <w:rPr>
          <w:rFonts w:hint="eastAsia" w:ascii="仿宋" w:hAnsi="仿宋" w:eastAsia="仿宋" w:cs="仿宋"/>
          <w:sz w:val="24"/>
          <w:szCs w:val="22"/>
          <w:lang w:val="en-US" w:eastAsia="zh-CN"/>
        </w:rPr>
        <w:t>24</w:t>
      </w:r>
      <w:r>
        <w:rPr>
          <w:rFonts w:hint="eastAsia" w:ascii="仿宋" w:hAnsi="仿宋" w:eastAsia="仿宋" w:cs="仿宋"/>
          <w:sz w:val="24"/>
          <w:szCs w:val="22"/>
        </w:rPr>
        <w:t>日9时30分，地点为</w:t>
      </w:r>
      <w:r>
        <w:rPr>
          <w:rFonts w:hint="eastAsia" w:ascii="仿宋" w:hAnsi="仿宋" w:eastAsia="仿宋" w:cs="仿宋"/>
          <w:sz w:val="24"/>
        </w:rPr>
        <w:t>许昌市建安区新元大道兴业大厦4楼</w:t>
      </w:r>
      <w:r>
        <w:rPr>
          <w:rFonts w:hint="eastAsia" w:ascii="仿宋" w:hAnsi="仿宋" w:eastAsia="仿宋" w:cs="仿宋"/>
          <w:sz w:val="24"/>
          <w:lang w:val="en-US" w:eastAsia="zh-CN"/>
        </w:rPr>
        <w:t>4167（</w:t>
      </w:r>
      <w:r>
        <w:rPr>
          <w:rFonts w:hint="eastAsia" w:ascii="仿宋" w:hAnsi="仿宋" w:eastAsia="仿宋" w:cs="仿宋"/>
          <w:sz w:val="24"/>
        </w:rPr>
        <w:t>开标一室</w:t>
      </w:r>
      <w:r>
        <w:rPr>
          <w:rFonts w:hint="eastAsia" w:ascii="仿宋" w:hAnsi="仿宋" w:eastAsia="仿宋" w:cs="仿宋"/>
          <w:sz w:val="24"/>
          <w:lang w:eastAsia="zh-CN"/>
        </w:rPr>
        <w:t>）</w:t>
      </w:r>
      <w:r>
        <w:rPr>
          <w:rFonts w:hint="eastAsia" w:ascii="仿宋" w:hAnsi="仿宋" w:eastAsia="仿宋" w:cs="仿宋"/>
          <w:sz w:val="24"/>
        </w:rPr>
        <w:t>。</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 xml:space="preserve">2、逾期送达的或者未送达指定地点的投标文件，招标人不予受理。  </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3、未通过全国公共资源交易平台（河南省▪许昌市）下载招标文件的投标人，其投标文件不予受理。</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六、发布公告的媒介</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本公告同时在《全国公共资源交易平台（河南省·许昌市）》和《河南省电子招标投标公共服务平台》上发布。</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七、 联系方式</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招  标  人：许昌市建安区交通运输局</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项目负责人： 黄向远</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 18803743200</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代 理机 构：河南天扬工程项目管理有限公司</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项目负责人：万亚楠</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电话：13569971108</w:t>
      </w:r>
    </w:p>
    <w:p>
      <w:pPr>
        <w:autoSpaceDE w:val="0"/>
        <w:autoSpaceDN w:val="0"/>
        <w:adjustRightInd w:val="0"/>
        <w:spacing w:line="360" w:lineRule="auto"/>
        <w:jc w:val="right"/>
        <w:outlineLvl w:val="0"/>
        <w:rPr>
          <w:rFonts w:ascii="仿宋" w:hAnsi="仿宋" w:eastAsia="仿宋" w:cs="仿宋"/>
          <w:bCs/>
          <w:sz w:val="24"/>
        </w:rPr>
      </w:pPr>
      <w:r>
        <w:rPr>
          <w:rFonts w:hint="eastAsia" w:ascii="仿宋" w:hAnsi="仿宋" w:eastAsia="仿宋" w:cs="仿宋"/>
          <w:bCs/>
          <w:sz w:val="24"/>
        </w:rPr>
        <w:t xml:space="preserve">  许昌市建安区交通运输局</w:t>
      </w:r>
    </w:p>
    <w:p>
      <w:pPr>
        <w:autoSpaceDE w:val="0"/>
        <w:autoSpaceDN w:val="0"/>
        <w:adjustRightInd w:val="0"/>
        <w:spacing w:line="360" w:lineRule="auto"/>
        <w:jc w:val="right"/>
        <w:outlineLvl w:val="0"/>
        <w:rPr>
          <w:rFonts w:hint="eastAsia" w:ascii="仿宋" w:hAnsi="仿宋" w:eastAsia="仿宋" w:cs="仿宋"/>
          <w:bCs/>
          <w:sz w:val="24"/>
          <w:szCs w:val="22"/>
        </w:rPr>
      </w:pPr>
      <w:r>
        <w:rPr>
          <w:rFonts w:hint="eastAsia" w:ascii="仿宋" w:hAnsi="仿宋" w:eastAsia="仿宋" w:cs="仿宋"/>
          <w:bCs/>
          <w:sz w:val="24"/>
          <w:szCs w:val="22"/>
          <w:lang w:val="en-US" w:eastAsia="zh-CN"/>
        </w:rPr>
        <w:t>2019</w:t>
      </w:r>
      <w:r>
        <w:rPr>
          <w:rFonts w:hint="eastAsia" w:ascii="仿宋" w:hAnsi="仿宋" w:eastAsia="仿宋" w:cs="仿宋"/>
          <w:bCs/>
          <w:sz w:val="24"/>
          <w:szCs w:val="22"/>
        </w:rPr>
        <w:t>年</w:t>
      </w:r>
      <w:r>
        <w:rPr>
          <w:rFonts w:hint="eastAsia" w:ascii="仿宋" w:hAnsi="仿宋" w:eastAsia="仿宋" w:cs="仿宋"/>
          <w:bCs/>
          <w:sz w:val="24"/>
          <w:szCs w:val="22"/>
          <w:lang w:val="en-US" w:eastAsia="zh-CN"/>
        </w:rPr>
        <w:t>5</w:t>
      </w:r>
      <w:r>
        <w:rPr>
          <w:rFonts w:hint="eastAsia" w:ascii="仿宋" w:hAnsi="仿宋" w:eastAsia="仿宋" w:cs="仿宋"/>
          <w:bCs/>
          <w:sz w:val="24"/>
          <w:szCs w:val="22"/>
        </w:rPr>
        <w:t>月</w:t>
      </w:r>
      <w:bookmarkStart w:id="7" w:name="page32"/>
      <w:bookmarkEnd w:id="7"/>
      <w:bookmarkStart w:id="8" w:name="page26"/>
      <w:bookmarkEnd w:id="8"/>
      <w:bookmarkStart w:id="9" w:name="page30"/>
      <w:bookmarkEnd w:id="9"/>
      <w:bookmarkStart w:id="10" w:name="page31"/>
      <w:bookmarkEnd w:id="10"/>
      <w:r>
        <w:rPr>
          <w:rFonts w:hint="eastAsia" w:ascii="仿宋" w:hAnsi="仿宋" w:eastAsia="仿宋" w:cs="仿宋"/>
          <w:bCs/>
          <w:sz w:val="24"/>
          <w:szCs w:val="22"/>
          <w:lang w:val="en-US" w:eastAsia="zh-CN"/>
        </w:rPr>
        <w:t>30</w:t>
      </w:r>
      <w:r>
        <w:rPr>
          <w:rFonts w:hint="eastAsia" w:ascii="仿宋" w:hAnsi="仿宋" w:eastAsia="仿宋" w:cs="仿宋"/>
          <w:bCs/>
          <w:sz w:val="24"/>
          <w:szCs w:val="22"/>
        </w:rPr>
        <w:t>日</w:t>
      </w:r>
    </w:p>
    <w:p>
      <w:pPr>
        <w:pStyle w:val="2"/>
        <w:ind w:firstLine="340"/>
      </w:pPr>
    </w:p>
    <w:p>
      <w:pPr>
        <w:autoSpaceDE w:val="0"/>
        <w:autoSpaceDN w:val="0"/>
        <w:adjustRightInd w:val="0"/>
        <w:spacing w:line="360" w:lineRule="auto"/>
        <w:outlineLvl w:val="0"/>
        <w:rPr>
          <w:rFonts w:ascii="仿宋" w:hAnsi="仿宋" w:eastAsia="仿宋" w:cs="仿宋"/>
          <w:sz w:val="24"/>
        </w:rPr>
        <w:sectPr>
          <w:footerReference r:id="rId8" w:type="first"/>
          <w:footerReference r:id="rId7" w:type="default"/>
          <w:pgSz w:w="11906" w:h="16838"/>
          <w:pgMar w:top="1644" w:right="1418" w:bottom="1644" w:left="1418" w:header="567" w:footer="567" w:gutter="0"/>
          <w:pgNumType w:start="0"/>
          <w:cols w:space="720" w:num="1"/>
          <w:titlePg/>
          <w:docGrid w:linePitch="360" w:charSpace="0"/>
        </w:sectPr>
      </w:pPr>
    </w:p>
    <w:p>
      <w:pPr>
        <w:spacing w:line="200" w:lineRule="exact"/>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ind w:left="423" w:hanging="423" w:hangingChars="77"/>
        <w:rPr>
          <w:rFonts w:ascii="宋体" w:hAnsi="宋体"/>
          <w:sz w:val="55"/>
        </w:rPr>
      </w:pPr>
    </w:p>
    <w:p>
      <w:pPr>
        <w:spacing w:line="0" w:lineRule="atLeast"/>
        <w:ind w:left="423" w:hanging="423" w:hangingChars="77"/>
        <w:jc w:val="center"/>
        <w:rPr>
          <w:rFonts w:ascii="宋体" w:hAnsi="宋体"/>
          <w:sz w:val="55"/>
        </w:rPr>
      </w:pPr>
      <w:r>
        <w:rPr>
          <w:rFonts w:ascii="宋体" w:hAnsi="宋体"/>
          <w:sz w:val="55"/>
        </w:rPr>
        <w:t>第二章</w:t>
      </w:r>
      <w:r>
        <w:rPr>
          <w:rFonts w:eastAsia="Times New Roman"/>
        </w:rPr>
        <w:tab/>
      </w:r>
      <w:r>
        <w:rPr>
          <w:rFonts w:ascii="宋体" w:hAnsi="宋体"/>
          <w:sz w:val="55"/>
        </w:rPr>
        <w:t>投标人须知</w:t>
      </w: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spacing w:line="0" w:lineRule="atLeast"/>
        <w:rPr>
          <w:rFonts w:ascii="宋体" w:hAnsi="宋体"/>
          <w:sz w:val="55"/>
        </w:rPr>
        <w:sectPr>
          <w:headerReference r:id="rId9" w:type="default"/>
          <w:footerReference r:id="rId10" w:type="default"/>
          <w:pgSz w:w="11906" w:h="16838"/>
          <w:pgMar w:top="1440" w:right="1440" w:bottom="1440" w:left="1440" w:header="567" w:footer="567" w:gutter="0"/>
          <w:cols w:space="720" w:num="1"/>
          <w:docGrid w:linePitch="360" w:charSpace="0"/>
        </w:sectPr>
      </w:pPr>
    </w:p>
    <w:p>
      <w:pPr>
        <w:spacing w:line="239" w:lineRule="auto"/>
        <w:ind w:right="-8466" w:rightChars="-4233"/>
        <w:rPr>
          <w:sz w:val="18"/>
        </w:rPr>
        <w:sectPr>
          <w:type w:val="continuous"/>
          <w:pgSz w:w="11906" w:h="16838"/>
          <w:pgMar w:top="1440" w:right="1440" w:bottom="1440" w:left="1440" w:header="0" w:footer="0" w:gutter="0"/>
          <w:cols w:space="720" w:num="1"/>
          <w:docGrid w:linePitch="360" w:charSpace="0"/>
        </w:sectPr>
      </w:pPr>
      <w:bookmarkStart w:id="11" w:name="page34"/>
      <w:bookmarkEnd w:id="11"/>
    </w:p>
    <w:p>
      <w:pPr>
        <w:pStyle w:val="4"/>
        <w:spacing w:before="0" w:after="0" w:line="240" w:lineRule="auto"/>
        <w:rPr>
          <w:rFonts w:ascii="仿宋" w:hAnsi="仿宋" w:eastAsia="仿宋" w:cs="仿宋"/>
          <w:b w:val="0"/>
          <w:bCs w:val="0"/>
          <w:sz w:val="30"/>
          <w:szCs w:val="30"/>
        </w:rPr>
      </w:pPr>
      <w:bookmarkStart w:id="12" w:name="_Hlt111980600"/>
      <w:bookmarkEnd w:id="12"/>
      <w:bookmarkStart w:id="13" w:name="page41"/>
      <w:bookmarkEnd w:id="13"/>
      <w:bookmarkStart w:id="14" w:name="_Toc528314398"/>
      <w:r>
        <w:rPr>
          <w:rFonts w:hint="eastAsia" w:ascii="仿宋" w:hAnsi="仿宋" w:eastAsia="仿宋" w:cs="仿宋"/>
          <w:b w:val="0"/>
          <w:bCs w:val="0"/>
          <w:sz w:val="30"/>
          <w:szCs w:val="30"/>
        </w:rPr>
        <w:t>投标人须知前附表</w:t>
      </w:r>
      <w:bookmarkEnd w:id="14"/>
    </w:p>
    <w:tbl>
      <w:tblPr>
        <w:tblStyle w:val="10"/>
        <w:tblW w:w="9199"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56"/>
        <w:gridCol w:w="2482"/>
        <w:gridCol w:w="56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50"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2538" w:type="dxa"/>
            <w:gridSpan w:val="2"/>
            <w:vAlign w:val="center"/>
          </w:tcPr>
          <w:p>
            <w:pPr>
              <w:jc w:val="center"/>
              <w:rPr>
                <w:rFonts w:ascii="仿宋" w:hAnsi="仿宋" w:eastAsia="仿宋" w:cs="仿宋"/>
                <w:b/>
                <w:sz w:val="24"/>
              </w:rPr>
            </w:pPr>
            <w:r>
              <w:rPr>
                <w:rFonts w:hint="eastAsia" w:ascii="仿宋" w:hAnsi="仿宋" w:eastAsia="仿宋" w:cs="仿宋"/>
                <w:b/>
                <w:sz w:val="24"/>
              </w:rPr>
              <w:t>条 款 名 称</w:t>
            </w:r>
          </w:p>
        </w:tc>
        <w:tc>
          <w:tcPr>
            <w:tcW w:w="5601" w:type="dxa"/>
            <w:vAlign w:val="center"/>
          </w:tcPr>
          <w:p>
            <w:pPr>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8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招标人</w:t>
            </w:r>
          </w:p>
        </w:tc>
        <w:tc>
          <w:tcPr>
            <w:tcW w:w="5601" w:type="dxa"/>
            <w:vAlign w:val="center"/>
          </w:tcPr>
          <w:p>
            <w:pPr>
              <w:rPr>
                <w:rFonts w:ascii="仿宋" w:hAnsi="仿宋" w:eastAsia="仿宋" w:cs="仿宋"/>
                <w:sz w:val="24"/>
              </w:rPr>
            </w:pPr>
            <w:r>
              <w:rPr>
                <w:rFonts w:hint="eastAsia" w:ascii="仿宋" w:hAnsi="仿宋" w:eastAsia="仿宋" w:cs="仿宋"/>
                <w:sz w:val="24"/>
              </w:rPr>
              <w:t>招  标  人：许昌市建安区交通运输局</w:t>
            </w:r>
          </w:p>
          <w:p>
            <w:pPr>
              <w:rPr>
                <w:rFonts w:ascii="仿宋" w:hAnsi="仿宋" w:eastAsia="仿宋" w:cs="仿宋"/>
                <w:sz w:val="24"/>
              </w:rPr>
            </w:pPr>
            <w:r>
              <w:rPr>
                <w:rFonts w:hint="eastAsia" w:ascii="仿宋" w:hAnsi="仿宋" w:eastAsia="仿宋" w:cs="仿宋"/>
                <w:sz w:val="24"/>
              </w:rPr>
              <w:t>项目负责人：黄向远</w:t>
            </w:r>
          </w:p>
          <w:p>
            <w:pPr>
              <w:rPr>
                <w:rFonts w:ascii="仿宋" w:hAnsi="仿宋" w:eastAsia="仿宋" w:cs="仿宋"/>
                <w:sz w:val="24"/>
              </w:rPr>
            </w:pPr>
            <w:r>
              <w:rPr>
                <w:rFonts w:hint="eastAsia" w:ascii="仿宋" w:hAnsi="仿宋" w:eastAsia="仿宋" w:cs="仿宋"/>
                <w:sz w:val="24"/>
              </w:rPr>
              <w:t>联 系 电话：18803743200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7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1.1.3</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招标代理机构</w:t>
            </w:r>
          </w:p>
        </w:tc>
        <w:tc>
          <w:tcPr>
            <w:tcW w:w="5601" w:type="dxa"/>
            <w:vAlign w:val="center"/>
          </w:tcPr>
          <w:p>
            <w:pPr>
              <w:rPr>
                <w:rFonts w:ascii="仿宋" w:hAnsi="仿宋" w:eastAsia="仿宋" w:cs="仿宋"/>
                <w:sz w:val="24"/>
              </w:rPr>
            </w:pPr>
            <w:r>
              <w:rPr>
                <w:rFonts w:hint="eastAsia" w:ascii="仿宋" w:hAnsi="仿宋" w:eastAsia="仿宋" w:cs="仿宋"/>
                <w:sz w:val="24"/>
              </w:rPr>
              <w:t>代 理机 构：河南天扬工程项目管理有限公司</w:t>
            </w:r>
          </w:p>
          <w:p>
            <w:pPr>
              <w:rPr>
                <w:rFonts w:ascii="仿宋" w:hAnsi="仿宋" w:eastAsia="仿宋" w:cs="仿宋"/>
                <w:sz w:val="24"/>
              </w:rPr>
            </w:pPr>
            <w:r>
              <w:rPr>
                <w:rFonts w:hint="eastAsia" w:ascii="仿宋" w:hAnsi="仿宋" w:eastAsia="仿宋" w:cs="仿宋"/>
                <w:sz w:val="24"/>
              </w:rPr>
              <w:t>项目负责人：万亚楠</w:t>
            </w:r>
          </w:p>
          <w:p>
            <w:pPr>
              <w:rPr>
                <w:rFonts w:ascii="仿宋" w:hAnsi="仿宋" w:eastAsia="仿宋" w:cs="仿宋"/>
                <w:sz w:val="24"/>
              </w:rPr>
            </w:pPr>
            <w:r>
              <w:rPr>
                <w:rFonts w:hint="eastAsia" w:ascii="仿宋" w:hAnsi="仿宋" w:eastAsia="仿宋" w:cs="仿宋"/>
                <w:sz w:val="24"/>
              </w:rPr>
              <w:t>联 系 电话：13569971108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12"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1.1.4</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项目名称</w:t>
            </w:r>
          </w:p>
        </w:tc>
        <w:tc>
          <w:tcPr>
            <w:tcW w:w="5601" w:type="dxa"/>
            <w:vAlign w:val="center"/>
          </w:tcPr>
          <w:p>
            <w:pPr>
              <w:rPr>
                <w:rFonts w:ascii="仿宋" w:hAnsi="仿宋" w:eastAsia="仿宋" w:cs="仿宋"/>
                <w:sz w:val="24"/>
              </w:rPr>
            </w:pPr>
            <w:r>
              <w:rPr>
                <w:rFonts w:hint="eastAsia" w:ascii="仿宋" w:hAnsi="仿宋" w:eastAsia="仿宋" w:cs="仿宋"/>
                <w:sz w:val="24"/>
                <w:szCs w:val="22"/>
              </w:rPr>
              <w:t>许昌市建安区2019年创建‘四好农村路’（苏桥镇、张潘镇、灵井镇、小召乡、艾庄乡）建设项目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1.1.5</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建设地点</w:t>
            </w:r>
          </w:p>
        </w:tc>
        <w:tc>
          <w:tcPr>
            <w:tcW w:w="5601" w:type="dxa"/>
            <w:vAlign w:val="center"/>
          </w:tcPr>
          <w:p>
            <w:pPr>
              <w:rPr>
                <w:rFonts w:ascii="仿宋" w:hAnsi="仿宋" w:eastAsia="仿宋" w:cs="仿宋"/>
                <w:sz w:val="24"/>
              </w:rPr>
            </w:pPr>
            <w:r>
              <w:rPr>
                <w:rFonts w:hint="eastAsia" w:ascii="仿宋" w:hAnsi="仿宋" w:eastAsia="仿宋" w:cs="仿宋"/>
                <w:sz w:val="24"/>
              </w:rPr>
              <w:t>许昌市建安区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94"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资金来源</w:t>
            </w:r>
          </w:p>
        </w:tc>
        <w:tc>
          <w:tcPr>
            <w:tcW w:w="5601" w:type="dxa"/>
            <w:vAlign w:val="center"/>
          </w:tcPr>
          <w:p>
            <w:pPr>
              <w:rPr>
                <w:rFonts w:ascii="仿宋" w:hAnsi="仿宋" w:eastAsia="仿宋" w:cs="仿宋"/>
                <w:sz w:val="24"/>
              </w:rPr>
            </w:pPr>
            <w:r>
              <w:rPr>
                <w:rFonts w:hint="eastAsia" w:ascii="仿宋" w:hAnsi="仿宋" w:eastAsia="仿宋" w:cs="仿宋"/>
                <w:sz w:val="24"/>
              </w:rPr>
              <w:t>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出资比例</w:t>
            </w:r>
          </w:p>
        </w:tc>
        <w:tc>
          <w:tcPr>
            <w:tcW w:w="5601" w:type="dxa"/>
            <w:vAlign w:val="center"/>
          </w:tcPr>
          <w:p>
            <w:pPr>
              <w:rPr>
                <w:rFonts w:ascii="仿宋" w:hAnsi="仿宋" w:eastAsia="仿宋" w:cs="仿宋"/>
                <w:sz w:val="24"/>
              </w:rPr>
            </w:pPr>
            <w:r>
              <w:rPr>
                <w:rFonts w:hint="eastAsia" w:ascii="仿宋" w:hAnsi="仿宋" w:eastAsia="仿宋" w:cs="仿宋"/>
                <w:sz w:val="24"/>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82"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1.2.3</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资金落实情况</w:t>
            </w:r>
          </w:p>
        </w:tc>
        <w:tc>
          <w:tcPr>
            <w:tcW w:w="5601" w:type="dxa"/>
            <w:vAlign w:val="center"/>
          </w:tcPr>
          <w:p>
            <w:pPr>
              <w:rPr>
                <w:rFonts w:ascii="仿宋" w:hAnsi="仿宋" w:eastAsia="仿宋" w:cs="仿宋"/>
                <w:sz w:val="24"/>
              </w:rPr>
            </w:pPr>
            <w:r>
              <w:rPr>
                <w:rFonts w:hint="eastAsia" w:ascii="仿宋" w:hAnsi="仿宋" w:eastAsia="仿宋" w:cs="仿宋"/>
                <w:sz w:val="24"/>
              </w:rPr>
              <w:t>建设资金已落实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1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招标范围</w:t>
            </w:r>
          </w:p>
        </w:tc>
        <w:tc>
          <w:tcPr>
            <w:tcW w:w="5601" w:type="dxa"/>
            <w:vAlign w:val="center"/>
          </w:tcPr>
          <w:p>
            <w:pPr>
              <w:rPr>
                <w:rFonts w:ascii="仿宋" w:hAnsi="仿宋" w:eastAsia="仿宋" w:cs="仿宋"/>
                <w:sz w:val="24"/>
              </w:rPr>
            </w:pPr>
            <w:r>
              <w:rPr>
                <w:rFonts w:hint="eastAsia" w:ascii="仿宋" w:hAnsi="仿宋" w:eastAsia="仿宋" w:cs="仿宋"/>
                <w:sz w:val="24"/>
              </w:rPr>
              <w:t>招标文件、工程量清单、变更通知（如有）等范围内的全部内容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4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计划工期</w:t>
            </w:r>
          </w:p>
        </w:tc>
        <w:tc>
          <w:tcPr>
            <w:tcW w:w="5601" w:type="dxa"/>
            <w:vAlign w:val="center"/>
          </w:tcPr>
          <w:p>
            <w:pPr>
              <w:rPr>
                <w:rFonts w:ascii="仿宋" w:hAnsi="仿宋" w:eastAsia="仿宋" w:cs="仿宋"/>
                <w:sz w:val="24"/>
              </w:rPr>
            </w:pPr>
            <w:r>
              <w:rPr>
                <w:rFonts w:hint="eastAsia" w:ascii="仿宋" w:hAnsi="仿宋" w:eastAsia="仿宋" w:cs="仿宋"/>
                <w:sz w:val="24"/>
              </w:rPr>
              <w:t xml:space="preserve"> 二标段：90日历天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1.3.3</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质量要求</w:t>
            </w:r>
          </w:p>
        </w:tc>
        <w:tc>
          <w:tcPr>
            <w:tcW w:w="5601" w:type="dxa"/>
            <w:vAlign w:val="center"/>
          </w:tcPr>
          <w:p>
            <w:pPr>
              <w:ind w:left="100" w:leftChars="50"/>
              <w:rPr>
                <w:rFonts w:ascii="仿宋" w:hAnsi="仿宋" w:eastAsia="仿宋" w:cs="仿宋"/>
                <w:sz w:val="24"/>
              </w:rPr>
            </w:pPr>
            <w:r>
              <w:rPr>
                <w:rFonts w:hint="eastAsia" w:ascii="仿宋" w:hAnsi="仿宋" w:eastAsia="仿宋" w:cs="仿宋"/>
                <w:sz w:val="24"/>
              </w:rPr>
              <w:t>合格（符合相关国家标准的要求）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838" w:hRule="atLeast"/>
          <w:jc w:val="center"/>
        </w:trPr>
        <w:tc>
          <w:tcPr>
            <w:tcW w:w="1060" w:type="dxa"/>
            <w:vAlign w:val="center"/>
          </w:tcPr>
          <w:p>
            <w:pPr>
              <w:jc w:val="center"/>
              <w:rPr>
                <w:rFonts w:ascii="仿宋" w:hAnsi="仿宋" w:eastAsia="仿宋" w:cs="仿宋"/>
                <w:sz w:val="24"/>
                <w:vertAlign w:val="superscript"/>
              </w:rPr>
            </w:pPr>
            <w:r>
              <w:rPr>
                <w:rFonts w:hint="eastAsia" w:ascii="仿宋" w:hAnsi="仿宋" w:eastAsia="仿宋" w:cs="仿宋"/>
                <w:sz w:val="24"/>
              </w:rPr>
              <w:t>1.4.1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投标人资质条件、能力和信誉</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资质条件：见附录1</w:t>
            </w:r>
          </w:p>
          <w:p>
            <w:pPr>
              <w:ind w:firstLine="240" w:firstLineChars="100"/>
              <w:rPr>
                <w:rFonts w:ascii="仿宋" w:hAnsi="仿宋" w:eastAsia="仿宋" w:cs="仿宋"/>
                <w:sz w:val="24"/>
              </w:rPr>
            </w:pPr>
            <w:r>
              <w:rPr>
                <w:rFonts w:hint="eastAsia" w:ascii="仿宋" w:hAnsi="仿宋" w:eastAsia="仿宋" w:cs="仿宋"/>
                <w:sz w:val="24"/>
              </w:rPr>
              <w:t>财务要求：见附录2</w:t>
            </w:r>
          </w:p>
          <w:p>
            <w:pPr>
              <w:ind w:firstLine="240" w:firstLineChars="100"/>
              <w:rPr>
                <w:rFonts w:ascii="仿宋" w:hAnsi="仿宋" w:eastAsia="仿宋" w:cs="仿宋"/>
                <w:sz w:val="24"/>
              </w:rPr>
            </w:pPr>
            <w:r>
              <w:rPr>
                <w:rFonts w:hint="eastAsia" w:ascii="仿宋" w:hAnsi="仿宋" w:eastAsia="仿宋" w:cs="仿宋"/>
                <w:sz w:val="24"/>
              </w:rPr>
              <w:t>业绩要求：见附录3</w:t>
            </w:r>
          </w:p>
          <w:p>
            <w:pPr>
              <w:ind w:firstLine="240" w:firstLineChars="100"/>
              <w:rPr>
                <w:rFonts w:ascii="仿宋" w:hAnsi="仿宋" w:eastAsia="仿宋" w:cs="仿宋"/>
                <w:sz w:val="24"/>
              </w:rPr>
            </w:pPr>
            <w:r>
              <w:rPr>
                <w:rFonts w:hint="eastAsia" w:ascii="仿宋" w:hAnsi="仿宋" w:eastAsia="仿宋" w:cs="仿宋"/>
                <w:sz w:val="24"/>
              </w:rPr>
              <w:t>信誉要求：见附录4</w:t>
            </w:r>
          </w:p>
          <w:p>
            <w:pPr>
              <w:ind w:firstLine="240" w:firstLineChars="100"/>
              <w:rPr>
                <w:rFonts w:ascii="仿宋" w:hAnsi="仿宋" w:eastAsia="仿宋" w:cs="仿宋"/>
                <w:sz w:val="24"/>
              </w:rPr>
            </w:pPr>
            <w:r>
              <w:rPr>
                <w:rFonts w:hint="eastAsia" w:ascii="仿宋" w:hAnsi="仿宋" w:eastAsia="仿宋" w:cs="仿宋"/>
                <w:sz w:val="24"/>
              </w:rPr>
              <w:t>项目经理和项目总工资格：见附录5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1.4.2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是否接受联合体投标</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1.9.1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踏勘现场</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投标预备会</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投标人提出问题的截止时间</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1.10.3</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招标人书面澄清的时间</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15 </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5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分  包</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09"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偏  离</w:t>
            </w:r>
          </w:p>
        </w:tc>
        <w:tc>
          <w:tcPr>
            <w:tcW w:w="5601" w:type="dxa"/>
            <w:vAlign w:val="center"/>
          </w:tcPr>
          <w:p>
            <w:pPr>
              <w:ind w:firstLine="120" w:firstLineChars="50"/>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构成招标文件的其他材料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答疑，经备案的招标文件补充和修改文件（如有）。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66" w:hRule="atLeast"/>
          <w:jc w:val="center"/>
        </w:trPr>
        <w:tc>
          <w:tcPr>
            <w:tcW w:w="1060" w:type="dxa"/>
            <w:vAlign w:val="center"/>
          </w:tcPr>
          <w:p>
            <w:pPr>
              <w:autoSpaceDE w:val="0"/>
              <w:autoSpaceDN w:val="0"/>
              <w:adjustRightInd w:val="0"/>
              <w:spacing w:line="360" w:lineRule="auto"/>
              <w:jc w:val="center"/>
              <w:rPr>
                <w:rFonts w:ascii="仿宋" w:hAnsi="仿宋" w:eastAsia="仿宋" w:cs="仿宋"/>
                <w:sz w:val="24"/>
              </w:rPr>
            </w:pPr>
            <w:r>
              <w:rPr>
                <w:rFonts w:hint="eastAsia" w:ascii="仿宋" w:hAnsi="仿宋" w:eastAsia="仿宋" w:cs="仿宋"/>
                <w:sz w:val="24"/>
              </w:rPr>
              <w:t>2.1.2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招标文件的下载</w:t>
            </w:r>
          </w:p>
        </w:tc>
        <w:tc>
          <w:tcPr>
            <w:tcW w:w="5601" w:type="dxa"/>
            <w:vAlign w:val="center"/>
          </w:tcPr>
          <w:p>
            <w:pPr>
              <w:rPr>
                <w:rFonts w:ascii="仿宋" w:hAnsi="仿宋" w:eastAsia="仿宋" w:cs="仿宋"/>
                <w:sz w:val="24"/>
              </w:rPr>
            </w:pPr>
            <w:r>
              <w:rPr>
                <w:rFonts w:hint="eastAsia" w:ascii="仿宋" w:hAnsi="仿宋" w:eastAsia="仿宋" w:cs="仿宋"/>
                <w:sz w:val="24"/>
              </w:rPr>
              <w:t>在全国公共资源交易平台（河南省·许昌市）自行下载</w:t>
            </w:r>
            <w:r>
              <w:rPr>
                <w:rFonts w:hint="eastAsia" w:ascii="仿宋" w:hAnsi="仿宋" w:eastAsia="仿宋" w:cs="仿宋"/>
                <w:sz w:val="24"/>
                <w:lang w:eastAsia="zh-CN"/>
              </w:rPr>
              <w:t>（http://ggzy.xuchang.gov.cn/）</w:t>
            </w:r>
            <w:r>
              <w:rPr>
                <w:rFonts w:hint="eastAsia" w:ascii="仿宋" w:hAnsi="仿宋" w:eastAsia="仿宋" w:cs="仿宋"/>
                <w:sz w:val="24"/>
                <w:szCs w:val="22"/>
              </w:rPr>
              <w:t>通过“投标人/供应商登录”后自行下载。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投标人要求澄清</w:t>
            </w:r>
          </w:p>
          <w:p>
            <w:pPr>
              <w:jc w:val="center"/>
              <w:rPr>
                <w:rFonts w:ascii="仿宋" w:hAnsi="仿宋" w:eastAsia="仿宋" w:cs="仿宋"/>
                <w:sz w:val="24"/>
              </w:rPr>
            </w:pPr>
            <w:r>
              <w:rPr>
                <w:rFonts w:hint="eastAsia" w:ascii="仿宋" w:hAnsi="仿宋" w:eastAsia="仿宋" w:cs="仿宋"/>
                <w:sz w:val="24"/>
              </w:rPr>
              <w:t>招标文件的截止时间</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71" w:hRule="atLeast"/>
          <w:jc w:val="center"/>
        </w:trPr>
        <w:tc>
          <w:tcPr>
            <w:tcW w:w="1060" w:type="dxa"/>
            <w:vAlign w:val="center"/>
          </w:tcPr>
          <w:p>
            <w:pPr>
              <w:jc w:val="center"/>
              <w:rPr>
                <w:rFonts w:hint="eastAsia" w:ascii="仿宋" w:hAnsi="仿宋" w:eastAsia="仿宋" w:cs="仿宋"/>
                <w:sz w:val="24"/>
                <w:szCs w:val="22"/>
              </w:rPr>
            </w:pPr>
            <w:r>
              <w:rPr>
                <w:rFonts w:hint="eastAsia" w:ascii="仿宋" w:hAnsi="仿宋" w:eastAsia="仿宋" w:cs="仿宋"/>
                <w:sz w:val="24"/>
                <w:szCs w:val="22"/>
              </w:rPr>
              <w:t>2.2.2</w:t>
            </w:r>
          </w:p>
        </w:tc>
        <w:tc>
          <w:tcPr>
            <w:tcW w:w="2538" w:type="dxa"/>
            <w:gridSpan w:val="2"/>
            <w:vAlign w:val="center"/>
          </w:tcPr>
          <w:p>
            <w:pPr>
              <w:jc w:val="center"/>
              <w:rPr>
                <w:rFonts w:hint="eastAsia" w:ascii="仿宋" w:hAnsi="仿宋" w:eastAsia="仿宋" w:cs="仿宋"/>
                <w:sz w:val="24"/>
                <w:szCs w:val="22"/>
              </w:rPr>
            </w:pPr>
            <w:r>
              <w:rPr>
                <w:rFonts w:hint="eastAsia" w:ascii="仿宋" w:hAnsi="仿宋" w:eastAsia="仿宋" w:cs="仿宋"/>
                <w:sz w:val="24"/>
                <w:szCs w:val="22"/>
              </w:rPr>
              <w:t>投标截止时间</w:t>
            </w:r>
          </w:p>
        </w:tc>
        <w:tc>
          <w:tcPr>
            <w:tcW w:w="5601" w:type="dxa"/>
            <w:vAlign w:val="center"/>
          </w:tcPr>
          <w:p>
            <w:pPr>
              <w:rPr>
                <w:rFonts w:hint="eastAsia" w:ascii="仿宋" w:hAnsi="仿宋" w:eastAsia="仿宋" w:cs="仿宋"/>
                <w:sz w:val="24"/>
                <w:szCs w:val="22"/>
              </w:rPr>
            </w:pPr>
            <w:r>
              <w:rPr>
                <w:rFonts w:hint="eastAsia" w:ascii="仿宋" w:hAnsi="仿宋" w:eastAsia="仿宋" w:cs="仿宋"/>
                <w:sz w:val="24"/>
                <w:szCs w:val="22"/>
              </w:rPr>
              <w:t>2019年</w:t>
            </w:r>
            <w:r>
              <w:rPr>
                <w:rFonts w:hint="eastAsia" w:ascii="仿宋" w:hAnsi="仿宋" w:eastAsia="仿宋" w:cs="仿宋"/>
                <w:sz w:val="24"/>
                <w:szCs w:val="22"/>
                <w:lang w:val="en-US" w:eastAsia="zh-CN"/>
              </w:rPr>
              <w:t>6</w:t>
            </w:r>
            <w:r>
              <w:rPr>
                <w:rFonts w:hint="eastAsia" w:ascii="仿宋" w:hAnsi="仿宋" w:eastAsia="仿宋" w:cs="仿宋"/>
                <w:sz w:val="24"/>
                <w:szCs w:val="22"/>
              </w:rPr>
              <w:t>月</w:t>
            </w:r>
            <w:r>
              <w:rPr>
                <w:rFonts w:hint="eastAsia" w:ascii="仿宋" w:hAnsi="仿宋" w:eastAsia="仿宋" w:cs="仿宋"/>
                <w:sz w:val="24"/>
                <w:szCs w:val="22"/>
                <w:lang w:val="en-US" w:eastAsia="zh-CN"/>
              </w:rPr>
              <w:t>24</w:t>
            </w:r>
            <w:r>
              <w:rPr>
                <w:rFonts w:hint="eastAsia" w:ascii="仿宋" w:hAnsi="仿宋" w:eastAsia="仿宋" w:cs="仿宋"/>
                <w:sz w:val="24"/>
                <w:szCs w:val="22"/>
              </w:rPr>
              <w:t>日9时30分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08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3.1.1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构成投标文件的其他材料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（1）投标人认为其它需要补充的内容</w:t>
            </w:r>
          </w:p>
          <w:p>
            <w:pPr>
              <w:rPr>
                <w:rFonts w:ascii="仿宋" w:hAnsi="仿宋" w:eastAsia="仿宋" w:cs="仿宋"/>
                <w:sz w:val="24"/>
              </w:rPr>
            </w:pPr>
            <w:r>
              <w:rPr>
                <w:rFonts w:hint="eastAsia" w:ascii="仿宋" w:hAnsi="仿宋" w:eastAsia="仿宋" w:cs="仿宋"/>
                <w:sz w:val="24"/>
              </w:rPr>
              <w:t>（2）本项目所发出的补遗书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8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工程量清单的填写方式</w:t>
            </w:r>
          </w:p>
        </w:tc>
        <w:tc>
          <w:tcPr>
            <w:tcW w:w="5601"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7"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3.2.9</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是否接受调价函</w:t>
            </w:r>
          </w:p>
        </w:tc>
        <w:tc>
          <w:tcPr>
            <w:tcW w:w="5601" w:type="dxa"/>
            <w:vAlign w:val="center"/>
          </w:tcPr>
          <w:p>
            <w:pPr>
              <w:rPr>
                <w:rFonts w:ascii="仿宋" w:hAnsi="仿宋" w:eastAsia="仿宋" w:cs="仿宋"/>
                <w:sz w:val="24"/>
              </w:rPr>
            </w:pPr>
            <w:r>
              <w:rPr>
                <w:rFonts w:hint="eastAsia" w:ascii="仿宋" w:hAnsi="仿宋" w:eastAsia="仿宋" w:cs="仿宋"/>
                <w:sz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3.3.1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投标有效期</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60日历天（自投标截止之日算起）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3.4.1</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投标保证金</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详见附件一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3.5.2</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近年财务状况的年份要求</w:t>
            </w:r>
          </w:p>
        </w:tc>
        <w:tc>
          <w:tcPr>
            <w:tcW w:w="5601" w:type="dxa"/>
            <w:vAlign w:val="center"/>
          </w:tcPr>
          <w:p>
            <w:pPr>
              <w:rPr>
                <w:rFonts w:hint="eastAsia" w:ascii="仿宋" w:hAnsi="仿宋" w:eastAsia="仿宋" w:cs="仿宋"/>
                <w:sz w:val="24"/>
                <w:szCs w:val="22"/>
              </w:rPr>
            </w:pPr>
            <w:r>
              <w:rPr>
                <w:rFonts w:hint="eastAsia" w:ascii="仿宋" w:hAnsi="仿宋" w:eastAsia="仿宋" w:cs="仿宋"/>
                <w:sz w:val="24"/>
                <w:szCs w:val="22"/>
              </w:rPr>
              <w:t>2016年、2017年、2018年（若公司成立未满三年，需提供从成立至今的年度财务状况，以营业执照注册时间为准）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3.5.3</w:t>
            </w:r>
          </w:p>
        </w:tc>
        <w:tc>
          <w:tcPr>
            <w:tcW w:w="2538" w:type="dxa"/>
            <w:gridSpan w:val="2"/>
            <w:vAlign w:val="center"/>
          </w:tcPr>
          <w:p>
            <w:pPr>
              <w:autoSpaceDE w:val="0"/>
              <w:autoSpaceDN w:val="0"/>
              <w:adjustRightInd w:val="0"/>
              <w:jc w:val="center"/>
              <w:rPr>
                <w:rFonts w:ascii="仿宋" w:hAnsi="仿宋" w:eastAsia="仿宋" w:cs="仿宋"/>
                <w:sz w:val="24"/>
              </w:rPr>
            </w:pPr>
            <w:r>
              <w:rPr>
                <w:rFonts w:hint="eastAsia" w:ascii="仿宋" w:hAnsi="仿宋" w:eastAsia="仿宋" w:cs="仿宋"/>
                <w:sz w:val="24"/>
              </w:rPr>
              <w:t>近年完成的类似项目</w:t>
            </w:r>
          </w:p>
        </w:tc>
        <w:tc>
          <w:tcPr>
            <w:tcW w:w="5601" w:type="dxa"/>
            <w:vAlign w:val="center"/>
          </w:tcPr>
          <w:p>
            <w:pPr>
              <w:autoSpaceDE w:val="0"/>
              <w:autoSpaceDN w:val="0"/>
              <w:adjustRightInd w:val="0"/>
              <w:rPr>
                <w:rFonts w:ascii="仿宋" w:hAnsi="仿宋" w:eastAsia="仿宋" w:cs="仿宋"/>
                <w:sz w:val="24"/>
              </w:rPr>
            </w:pPr>
            <w:r>
              <w:rPr>
                <w:rFonts w:hint="eastAsia" w:ascii="仿宋" w:hAnsi="仿宋" w:eastAsia="仿宋" w:cs="仿宋"/>
                <w:sz w:val="24"/>
              </w:rPr>
              <w:t>近年，指2016年1月1日至今。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3.6</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是否允许递交备选投标方案</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3.7.3</w:t>
            </w:r>
          </w:p>
        </w:tc>
        <w:tc>
          <w:tcPr>
            <w:tcW w:w="2538" w:type="dxa"/>
            <w:gridSpan w:val="2"/>
            <w:vAlign w:val="center"/>
          </w:tcPr>
          <w:p>
            <w:pPr>
              <w:jc w:val="center"/>
              <w:rPr>
                <w:rFonts w:ascii="仿宋" w:hAnsi="仿宋" w:eastAsia="仿宋" w:cs="仿宋"/>
                <w:sz w:val="24"/>
              </w:rPr>
            </w:pPr>
            <w:r>
              <w:rPr>
                <w:rFonts w:hint="eastAsia" w:ascii="仿宋" w:hAnsi="仿宋" w:eastAsia="仿宋" w:cs="仿宋"/>
                <w:sz w:val="24"/>
              </w:rPr>
              <w:t>签字或盖章要求</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shd w:val="clear" w:color="auto" w:fill="FFFFFF"/>
              </w:rPr>
              <w:t>投标文件正本按招标文件要求签字盖章（无需逐页签字盖章），副本应与正本保持一致（可为正本的复印件）。正本与副本不一致的，以正本为准。正本需加盖骑缝章。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jc w:val="center"/>
        </w:trPr>
        <w:tc>
          <w:tcPr>
            <w:tcW w:w="1116" w:type="dxa"/>
            <w:gridSpan w:val="2"/>
            <w:vAlign w:val="center"/>
          </w:tcPr>
          <w:p>
            <w:pPr>
              <w:jc w:val="center"/>
              <w:rPr>
                <w:rFonts w:ascii="仿宋" w:hAnsi="仿宋" w:eastAsia="仿宋" w:cs="仿宋"/>
                <w:b/>
                <w:sz w:val="24"/>
              </w:rPr>
            </w:pPr>
            <w:r>
              <w:rPr>
                <w:rFonts w:hint="eastAsia" w:ascii="仿宋" w:hAnsi="仿宋" w:eastAsia="仿宋" w:cs="仿宋"/>
                <w:sz w:val="24"/>
              </w:rPr>
              <w:t>3.7.4</w:t>
            </w:r>
          </w:p>
        </w:tc>
        <w:tc>
          <w:tcPr>
            <w:tcW w:w="2482" w:type="dxa"/>
            <w:vAlign w:val="center"/>
          </w:tcPr>
          <w:p>
            <w:pPr>
              <w:jc w:val="center"/>
              <w:rPr>
                <w:rFonts w:ascii="仿宋" w:hAnsi="仿宋" w:eastAsia="仿宋" w:cs="仿宋"/>
                <w:b/>
                <w:sz w:val="24"/>
              </w:rPr>
            </w:pPr>
            <w:r>
              <w:rPr>
                <w:rFonts w:hint="eastAsia" w:ascii="仿宋" w:hAnsi="仿宋" w:eastAsia="仿宋" w:cs="仿宋"/>
                <w:sz w:val="24"/>
              </w:rPr>
              <w:t>投标文件副本份数</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投标文件：正本1份，副本8份</w:t>
            </w:r>
          </w:p>
          <w:p>
            <w:pPr>
              <w:ind w:left="113" w:right="113"/>
              <w:rPr>
                <w:rFonts w:ascii="仿宋" w:hAnsi="仿宋" w:eastAsia="仿宋" w:cs="仿宋"/>
                <w:sz w:val="24"/>
              </w:rPr>
            </w:pPr>
            <w:r>
              <w:rPr>
                <w:rFonts w:hint="eastAsia" w:ascii="仿宋" w:hAnsi="仿宋" w:eastAsia="仿宋" w:cs="仿宋"/>
                <w:sz w:val="24"/>
              </w:rPr>
              <w:t>电子U盘1份：U盘内容须包括所有投标文件正本所有内容，且保证能够有效读取）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jc w:val="center"/>
        </w:trPr>
        <w:tc>
          <w:tcPr>
            <w:tcW w:w="1116" w:type="dxa"/>
            <w:gridSpan w:val="2"/>
            <w:vAlign w:val="center"/>
          </w:tcPr>
          <w:p>
            <w:pPr>
              <w:jc w:val="center"/>
              <w:rPr>
                <w:rFonts w:ascii="仿宋" w:hAnsi="仿宋" w:eastAsia="仿宋" w:cs="仿宋"/>
                <w:b/>
                <w:sz w:val="24"/>
              </w:rPr>
            </w:pPr>
            <w:r>
              <w:rPr>
                <w:rFonts w:hint="eastAsia" w:ascii="仿宋" w:hAnsi="仿宋" w:eastAsia="仿宋" w:cs="仿宋"/>
                <w:sz w:val="24"/>
              </w:rPr>
              <w:t>3.7.5</w:t>
            </w:r>
          </w:p>
        </w:tc>
        <w:tc>
          <w:tcPr>
            <w:tcW w:w="2482" w:type="dxa"/>
            <w:vAlign w:val="center"/>
          </w:tcPr>
          <w:p>
            <w:pPr>
              <w:jc w:val="center"/>
              <w:rPr>
                <w:rFonts w:ascii="仿宋" w:hAnsi="仿宋" w:eastAsia="仿宋" w:cs="仿宋"/>
                <w:b/>
                <w:sz w:val="24"/>
              </w:rPr>
            </w:pPr>
            <w:r>
              <w:rPr>
                <w:rFonts w:hint="eastAsia" w:ascii="仿宋" w:hAnsi="仿宋" w:eastAsia="仿宋" w:cs="仿宋"/>
                <w:sz w:val="24"/>
              </w:rPr>
              <w:t>装订要求</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投标文件的正本与副本应分别装订成册（A4纸幅）并编制目录，从目录开始逐页标注连续页码。投标人必须按照招标文件规定的内容和格式填报“投标文件”，同一用A4纸幅采用左侧胶粘的方式装订成册，不得采用活页夹装订，否则，招标人对由于投标文件装订松散而造成的丢失或其他后果不承担任何责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43" w:hRule="atLeast"/>
          <w:jc w:val="center"/>
        </w:trPr>
        <w:tc>
          <w:tcPr>
            <w:tcW w:w="1116" w:type="dxa"/>
            <w:gridSpan w:val="2"/>
            <w:vAlign w:val="center"/>
          </w:tcPr>
          <w:p>
            <w:pPr>
              <w:jc w:val="center"/>
              <w:rPr>
                <w:rFonts w:ascii="仿宋" w:hAnsi="仿宋" w:eastAsia="仿宋" w:cs="仿宋"/>
                <w:sz w:val="24"/>
              </w:rPr>
            </w:pPr>
            <w:r>
              <w:rPr>
                <w:rFonts w:hint="eastAsia" w:ascii="仿宋" w:hAnsi="仿宋" w:eastAsia="仿宋" w:cs="仿宋"/>
                <w:sz w:val="24"/>
              </w:rPr>
              <w:t>4.1.2</w:t>
            </w:r>
          </w:p>
        </w:tc>
        <w:tc>
          <w:tcPr>
            <w:tcW w:w="2482" w:type="dxa"/>
            <w:vAlign w:val="center"/>
          </w:tcPr>
          <w:p>
            <w:pPr>
              <w:jc w:val="center"/>
              <w:rPr>
                <w:rFonts w:ascii="仿宋" w:hAnsi="仿宋" w:eastAsia="仿宋" w:cs="仿宋"/>
                <w:sz w:val="24"/>
              </w:rPr>
            </w:pPr>
            <w:r>
              <w:rPr>
                <w:rFonts w:hint="eastAsia" w:ascii="仿宋" w:hAnsi="仿宋" w:eastAsia="仿宋" w:cs="仿宋"/>
                <w:sz w:val="24"/>
              </w:rPr>
              <w:t>封套上写明</w:t>
            </w:r>
          </w:p>
        </w:tc>
        <w:tc>
          <w:tcPr>
            <w:tcW w:w="5601" w:type="dxa"/>
            <w:vAlign w:val="center"/>
          </w:tcPr>
          <w:p>
            <w:pPr>
              <w:rPr>
                <w:rFonts w:ascii="仿宋" w:hAnsi="仿宋" w:eastAsia="仿宋" w:cs="仿宋"/>
                <w:b/>
                <w:bCs/>
                <w:sz w:val="24"/>
              </w:rPr>
            </w:pPr>
            <w:r>
              <w:rPr>
                <w:rFonts w:hint="eastAsia" w:ascii="仿宋" w:hAnsi="仿宋" w:eastAsia="仿宋" w:cs="仿宋"/>
                <w:b/>
                <w:bCs/>
                <w:sz w:val="24"/>
              </w:rPr>
              <w:t>投标文件第一个信封内层封套上须写明以下内容：</w:t>
            </w:r>
          </w:p>
          <w:p>
            <w:pPr>
              <w:rPr>
                <w:rFonts w:ascii="仿宋" w:hAnsi="仿宋" w:eastAsia="仿宋" w:cs="仿宋"/>
                <w:sz w:val="24"/>
              </w:rPr>
            </w:pPr>
            <w:r>
              <w:rPr>
                <w:rFonts w:hint="eastAsia" w:ascii="仿宋" w:hAnsi="仿宋" w:eastAsia="仿宋" w:cs="仿宋"/>
                <w:sz w:val="24"/>
              </w:rPr>
              <w:t>投标文件第一个信封（商务及技术文件）</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 xml:space="preserve">  年 月 日上午 时 分（开标时间）前不能启封。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p>
            <w:pPr>
              <w:rPr>
                <w:rFonts w:ascii="仿宋" w:hAnsi="仿宋" w:eastAsia="仿宋" w:cs="仿宋"/>
                <w:b/>
                <w:bCs/>
                <w:sz w:val="24"/>
              </w:rPr>
            </w:pPr>
            <w:r>
              <w:rPr>
                <w:rFonts w:hint="eastAsia" w:ascii="仿宋" w:hAnsi="仿宋" w:eastAsia="仿宋" w:cs="仿宋"/>
                <w:b/>
                <w:bCs/>
                <w:sz w:val="24"/>
              </w:rPr>
              <w:t>投标文件第二个信封内层封套上须写明以下内容：</w:t>
            </w:r>
          </w:p>
          <w:p>
            <w:pPr>
              <w:rPr>
                <w:rFonts w:ascii="仿宋" w:hAnsi="仿宋" w:eastAsia="仿宋" w:cs="仿宋"/>
                <w:sz w:val="24"/>
              </w:rPr>
            </w:pPr>
            <w:r>
              <w:rPr>
                <w:rFonts w:hint="eastAsia" w:ascii="仿宋" w:hAnsi="仿宋" w:eastAsia="仿宋" w:cs="仿宋"/>
                <w:sz w:val="24"/>
              </w:rPr>
              <w:t>投标文件第二个信封(投标报价和已标价的工程量清单)</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本招标项目第一信封（商务文件和技术文件）评审结果公布前不能启封。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jc w:val="center"/>
              <w:rPr>
                <w:rFonts w:ascii="仿宋" w:hAnsi="仿宋" w:eastAsia="仿宋" w:cs="仿宋"/>
                <w:sz w:val="24"/>
              </w:rPr>
            </w:pPr>
            <w:r>
              <w:rPr>
                <w:rFonts w:hint="eastAsia" w:ascii="仿宋" w:hAnsi="仿宋" w:eastAsia="仿宋" w:cs="仿宋"/>
                <w:sz w:val="24"/>
              </w:rPr>
              <w:t>5.1</w:t>
            </w:r>
          </w:p>
        </w:tc>
        <w:tc>
          <w:tcPr>
            <w:tcW w:w="2482" w:type="dxa"/>
            <w:vAlign w:val="center"/>
          </w:tcPr>
          <w:p>
            <w:pPr>
              <w:jc w:val="center"/>
              <w:rPr>
                <w:rFonts w:ascii="仿宋" w:hAnsi="仿宋" w:eastAsia="仿宋" w:cs="仿宋"/>
                <w:sz w:val="24"/>
              </w:rPr>
            </w:pPr>
            <w:r>
              <w:rPr>
                <w:rFonts w:hint="eastAsia" w:ascii="仿宋" w:hAnsi="仿宋" w:eastAsia="仿宋" w:cs="仿宋"/>
                <w:sz w:val="24"/>
              </w:rPr>
              <w:t>开标时间和地点</w:t>
            </w:r>
          </w:p>
        </w:tc>
        <w:tc>
          <w:tcPr>
            <w:tcW w:w="5601" w:type="dxa"/>
            <w:vAlign w:val="center"/>
          </w:tcPr>
          <w:p>
            <w:pPr>
              <w:rPr>
                <w:rFonts w:ascii="仿宋" w:hAnsi="仿宋" w:eastAsia="仿宋" w:cs="仿宋"/>
                <w:sz w:val="24"/>
              </w:rPr>
            </w:pPr>
            <w:r>
              <w:rPr>
                <w:rFonts w:hint="eastAsia" w:ascii="仿宋" w:hAnsi="仿宋" w:eastAsia="仿宋" w:cs="仿宋"/>
                <w:sz w:val="24"/>
              </w:rPr>
              <w:t>第一个信封开标时间：同投标截止时间</w:t>
            </w:r>
          </w:p>
          <w:p>
            <w:pPr>
              <w:rPr>
                <w:rFonts w:ascii="仿宋" w:hAnsi="仿宋" w:eastAsia="仿宋" w:cs="仿宋"/>
                <w:sz w:val="24"/>
              </w:rPr>
            </w:pPr>
            <w:r>
              <w:rPr>
                <w:rFonts w:hint="eastAsia" w:ascii="仿宋" w:hAnsi="仿宋" w:eastAsia="仿宋" w:cs="仿宋"/>
                <w:sz w:val="24"/>
              </w:rPr>
              <w:t>第一个信封开标地点：同投标文件递交地点</w:t>
            </w:r>
          </w:p>
          <w:p>
            <w:pPr>
              <w:rPr>
                <w:rFonts w:ascii="仿宋" w:hAnsi="仿宋" w:eastAsia="仿宋" w:cs="仿宋"/>
                <w:sz w:val="24"/>
              </w:rPr>
            </w:pPr>
            <w:r>
              <w:rPr>
                <w:rFonts w:hint="eastAsia" w:ascii="仿宋" w:hAnsi="仿宋" w:eastAsia="仿宋" w:cs="仿宋"/>
                <w:sz w:val="24"/>
              </w:rPr>
              <w:t>第二个信封开标时间：商务及技术文件评审结束后</w:t>
            </w:r>
          </w:p>
          <w:p>
            <w:pPr>
              <w:rPr>
                <w:rFonts w:ascii="仿宋" w:hAnsi="仿宋" w:eastAsia="仿宋" w:cs="仿宋"/>
                <w:sz w:val="24"/>
              </w:rPr>
            </w:pPr>
            <w:r>
              <w:rPr>
                <w:rFonts w:hint="eastAsia" w:ascii="仿宋" w:hAnsi="仿宋" w:eastAsia="仿宋" w:cs="仿宋"/>
                <w:sz w:val="24"/>
              </w:rPr>
              <w:t>第二个信封开标地点：同投标文件递交地点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286" w:hRule="atLeast"/>
          <w:jc w:val="center"/>
        </w:trPr>
        <w:tc>
          <w:tcPr>
            <w:tcW w:w="1116" w:type="dxa"/>
            <w:gridSpan w:val="2"/>
            <w:vAlign w:val="center"/>
          </w:tcPr>
          <w:p>
            <w:pPr>
              <w:jc w:val="center"/>
              <w:rPr>
                <w:rFonts w:ascii="仿宋" w:hAnsi="仿宋" w:eastAsia="仿宋" w:cs="仿宋"/>
                <w:sz w:val="24"/>
              </w:rPr>
            </w:pPr>
            <w:r>
              <w:rPr>
                <w:rFonts w:hint="eastAsia" w:ascii="仿宋" w:hAnsi="仿宋" w:eastAsia="仿宋" w:cs="仿宋"/>
                <w:sz w:val="24"/>
              </w:rPr>
              <w:t>5.2.1</w:t>
            </w:r>
          </w:p>
        </w:tc>
        <w:tc>
          <w:tcPr>
            <w:tcW w:w="2482" w:type="dxa"/>
            <w:vAlign w:val="center"/>
          </w:tcPr>
          <w:p>
            <w:pPr>
              <w:jc w:val="center"/>
              <w:rPr>
                <w:rFonts w:ascii="仿宋" w:hAnsi="仿宋" w:eastAsia="仿宋" w:cs="仿宋"/>
                <w:sz w:val="24"/>
              </w:rPr>
            </w:pPr>
            <w:r>
              <w:rPr>
                <w:rFonts w:hint="eastAsia" w:ascii="仿宋" w:hAnsi="仿宋" w:eastAsia="仿宋" w:cs="仿宋"/>
                <w:sz w:val="24"/>
              </w:rPr>
              <w:t>开标程序</w:t>
            </w:r>
          </w:p>
        </w:tc>
        <w:tc>
          <w:tcPr>
            <w:tcW w:w="5601" w:type="dxa"/>
            <w:vAlign w:val="center"/>
          </w:tcPr>
          <w:p>
            <w:pPr>
              <w:rPr>
                <w:rFonts w:ascii="仿宋" w:hAnsi="仿宋" w:eastAsia="仿宋" w:cs="仿宋"/>
                <w:sz w:val="24"/>
              </w:rPr>
            </w:pPr>
            <w:r>
              <w:rPr>
                <w:rFonts w:hint="eastAsia" w:ascii="仿宋" w:hAnsi="仿宋" w:eastAsia="仿宋" w:cs="仿宋"/>
                <w:sz w:val="24"/>
              </w:rPr>
              <w:t>　　按招标文件规定，投标文件采用双信封形式密封的，开标分两个步骤公开进行：</w:t>
            </w:r>
          </w:p>
          <w:p>
            <w:pPr>
              <w:rPr>
                <w:rFonts w:ascii="仿宋" w:hAnsi="仿宋" w:eastAsia="仿宋" w:cs="仿宋"/>
                <w:sz w:val="24"/>
              </w:rPr>
            </w:pPr>
            <w:r>
              <w:rPr>
                <w:rFonts w:hint="eastAsia" w:ascii="仿宋" w:hAnsi="仿宋" w:eastAsia="仿宋" w:cs="仿宋"/>
                <w:sz w:val="24"/>
              </w:rPr>
              <w:t>　　第一步骤：对第一信封内的商务文件和技术文件进行开标，第二信封不予拆封并由招标人予以封存；</w:t>
            </w:r>
          </w:p>
          <w:p>
            <w:pPr>
              <w:rPr>
                <w:rFonts w:ascii="仿宋" w:hAnsi="仿宋" w:eastAsia="仿宋" w:cs="仿宋"/>
                <w:sz w:val="24"/>
              </w:rPr>
            </w:pPr>
            <w:r>
              <w:rPr>
                <w:rFonts w:hint="eastAsia" w:ascii="仿宋" w:hAnsi="仿宋" w:eastAsia="仿宋" w:cs="仿宋"/>
                <w:sz w:val="24"/>
              </w:rPr>
              <w:t>　　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jc w:val="center"/>
              <w:rPr>
                <w:rFonts w:ascii="仿宋" w:hAnsi="仿宋" w:eastAsia="仿宋" w:cs="仿宋"/>
                <w:sz w:val="24"/>
              </w:rPr>
            </w:pPr>
            <w:r>
              <w:rPr>
                <w:rFonts w:hint="eastAsia" w:ascii="仿宋" w:hAnsi="仿宋" w:eastAsia="仿宋" w:cs="仿宋"/>
                <w:sz w:val="24"/>
              </w:rPr>
              <w:t>6.1.1</w:t>
            </w:r>
          </w:p>
        </w:tc>
        <w:tc>
          <w:tcPr>
            <w:tcW w:w="2482" w:type="dxa"/>
            <w:vAlign w:val="center"/>
          </w:tcPr>
          <w:p>
            <w:pPr>
              <w:jc w:val="center"/>
              <w:rPr>
                <w:rFonts w:ascii="仿宋" w:hAnsi="仿宋" w:eastAsia="仿宋" w:cs="仿宋"/>
                <w:sz w:val="24"/>
              </w:rPr>
            </w:pPr>
            <w:r>
              <w:rPr>
                <w:rFonts w:hint="eastAsia" w:ascii="仿宋" w:hAnsi="仿宋" w:eastAsia="仿宋" w:cs="仿宋"/>
                <w:sz w:val="24"/>
              </w:rPr>
              <w:t>评标委员会的组建</w:t>
            </w:r>
            <w:r>
              <w:rPr>
                <w:rStyle w:val="15"/>
                <w:rFonts w:hint="eastAsia" w:ascii="仿宋" w:hAnsi="仿宋" w:eastAsia="仿宋" w:cs="仿宋"/>
                <w:sz w:val="24"/>
              </w:rPr>
              <w:footnoteReference w:id="0"/>
            </w:r>
          </w:p>
        </w:tc>
        <w:tc>
          <w:tcPr>
            <w:tcW w:w="5601" w:type="dxa"/>
            <w:vAlign w:val="center"/>
          </w:tcPr>
          <w:p>
            <w:pPr>
              <w:rPr>
                <w:rFonts w:ascii="仿宋" w:hAnsi="仿宋" w:eastAsia="仿宋" w:cs="仿宋"/>
                <w:sz w:val="24"/>
              </w:rPr>
            </w:pPr>
            <w:r>
              <w:rPr>
                <w:rFonts w:hint="eastAsia" w:ascii="仿宋" w:hAnsi="仿宋" w:eastAsia="仿宋" w:cs="仿宋"/>
                <w:sz w:val="24"/>
              </w:rPr>
              <w:t>评标委员会构成：9人，其中招标人代表2人，专家7人；</w:t>
            </w:r>
          </w:p>
          <w:p>
            <w:pPr>
              <w:ind w:right="113"/>
              <w:rPr>
                <w:rFonts w:ascii="仿宋" w:hAnsi="仿宋" w:eastAsia="仿宋" w:cs="仿宋"/>
                <w:sz w:val="24"/>
              </w:rPr>
            </w:pPr>
            <w:r>
              <w:rPr>
                <w:rFonts w:hint="eastAsia" w:ascii="仿宋" w:hAnsi="仿宋" w:eastAsia="仿宋" w:cs="仿宋"/>
                <w:sz w:val="24"/>
              </w:rPr>
              <w:t>评标专家确定方式：从河南省综合评标专家库中随机抽取；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jc w:val="center"/>
              <w:rPr>
                <w:rFonts w:ascii="仿宋" w:hAnsi="仿宋" w:eastAsia="仿宋" w:cs="仿宋"/>
                <w:sz w:val="24"/>
              </w:rPr>
            </w:pPr>
            <w:r>
              <w:rPr>
                <w:rFonts w:hint="eastAsia" w:ascii="仿宋" w:hAnsi="仿宋" w:eastAsia="仿宋" w:cs="仿宋"/>
                <w:sz w:val="24"/>
              </w:rPr>
              <w:t>7.1</w:t>
            </w:r>
          </w:p>
        </w:tc>
        <w:tc>
          <w:tcPr>
            <w:tcW w:w="2482" w:type="dxa"/>
            <w:vAlign w:val="center"/>
          </w:tcPr>
          <w:p>
            <w:pPr>
              <w:jc w:val="center"/>
              <w:rPr>
                <w:rFonts w:ascii="仿宋" w:hAnsi="仿宋" w:eastAsia="仿宋" w:cs="仿宋"/>
                <w:sz w:val="24"/>
              </w:rPr>
            </w:pPr>
            <w:r>
              <w:rPr>
                <w:rFonts w:hint="eastAsia" w:ascii="仿宋" w:hAnsi="仿宋" w:eastAsia="仿宋" w:cs="仿宋"/>
                <w:sz w:val="24"/>
              </w:rPr>
              <w:t>是否授权评标委员会确定中标人</w:t>
            </w:r>
          </w:p>
        </w:tc>
        <w:tc>
          <w:tcPr>
            <w:tcW w:w="5601" w:type="dxa"/>
            <w:vAlign w:val="center"/>
          </w:tcPr>
          <w:p>
            <w:pPr>
              <w:ind w:left="100" w:leftChars="50" w:right="113"/>
              <w:rPr>
                <w:rFonts w:ascii="仿宋" w:hAnsi="仿宋" w:eastAsia="仿宋" w:cs="仿宋"/>
                <w:sz w:val="24"/>
              </w:rPr>
            </w:pPr>
            <w:r>
              <w:rPr>
                <w:rFonts w:hint="eastAsia" w:ascii="仿宋" w:hAnsi="仿宋" w:eastAsia="仿宋" w:cs="仿宋"/>
                <w:sz w:val="24"/>
              </w:rPr>
              <w:t>否，推荐的中标候选人的人数为</w:t>
            </w:r>
            <w:r>
              <w:rPr>
                <w:rFonts w:hint="eastAsia" w:ascii="仿宋" w:hAnsi="仿宋" w:eastAsia="仿宋" w:cs="仿宋"/>
                <w:sz w:val="24"/>
                <w:u w:val="single"/>
              </w:rPr>
              <w:t xml:space="preserve">1-3 </w:t>
            </w:r>
            <w:r>
              <w:rPr>
                <w:rFonts w:hint="eastAsia" w:ascii="仿宋" w:hAnsi="仿宋" w:eastAsia="仿宋" w:cs="仿宋"/>
                <w:sz w:val="24"/>
              </w:rPr>
              <w:t>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7.2</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评标结果的公示媒介</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及时间</w:t>
            </w:r>
          </w:p>
        </w:tc>
        <w:tc>
          <w:tcPr>
            <w:tcW w:w="5601" w:type="dxa"/>
            <w:vAlign w:val="center"/>
          </w:tcPr>
          <w:p>
            <w:pPr>
              <w:rPr>
                <w:rFonts w:ascii="仿宋" w:hAnsi="仿宋" w:eastAsia="仿宋" w:cs="仿宋"/>
                <w:sz w:val="24"/>
              </w:rPr>
            </w:pPr>
            <w:r>
              <w:rPr>
                <w:rFonts w:hint="eastAsia" w:ascii="仿宋" w:hAnsi="仿宋" w:eastAsia="仿宋" w:cs="仿宋"/>
                <w:sz w:val="24"/>
              </w:rPr>
              <w:t>公示媒介：《全国公共资源交易平台（河南省•许昌市）》和《河南省电子招标投标公共服务平台》，公示时间不少于3日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djustRightInd w:val="0"/>
              <w:snapToGrid w:val="0"/>
              <w:jc w:val="center"/>
              <w:rPr>
                <w:rFonts w:ascii="仿宋" w:hAnsi="仿宋" w:eastAsia="仿宋" w:cs="仿宋"/>
                <w:sz w:val="24"/>
              </w:rPr>
            </w:pPr>
            <w:r>
              <w:rPr>
                <w:rFonts w:hint="eastAsia" w:ascii="仿宋" w:hAnsi="仿宋" w:eastAsia="仿宋" w:cs="仿宋"/>
                <w:sz w:val="24"/>
              </w:rPr>
              <w:t>7.7</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履约保证金</w:t>
            </w:r>
          </w:p>
        </w:tc>
        <w:tc>
          <w:tcPr>
            <w:tcW w:w="5601" w:type="dxa"/>
            <w:vAlign w:val="center"/>
          </w:tcPr>
          <w:p>
            <w:pPr>
              <w:rPr>
                <w:rFonts w:ascii="仿宋" w:hAnsi="仿宋" w:eastAsia="仿宋" w:cs="仿宋"/>
                <w:sz w:val="24"/>
              </w:rPr>
            </w:pPr>
            <w:r>
              <w:rPr>
                <w:rFonts w:hint="eastAsia" w:ascii="仿宋" w:hAnsi="仿宋" w:eastAsia="仿宋" w:cs="仿宋"/>
                <w:sz w:val="24"/>
              </w:rPr>
              <w:t>不超过中标合同金额的10%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9199" w:type="dxa"/>
            <w:gridSpan w:val="4"/>
            <w:vAlign w:val="center"/>
          </w:tcPr>
          <w:p>
            <w:pPr>
              <w:spacing w:line="400" w:lineRule="exact"/>
              <w:rPr>
                <w:rFonts w:ascii="仿宋" w:hAnsi="仿宋" w:eastAsia="仿宋" w:cs="仿宋"/>
                <w:sz w:val="24"/>
              </w:rPr>
            </w:pPr>
            <w:r>
              <w:rPr>
                <w:rFonts w:hint="eastAsia" w:ascii="仿宋" w:hAnsi="仿宋" w:eastAsia="仿宋" w:cs="仿宋"/>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w:t>
            </w:r>
          </w:p>
        </w:tc>
        <w:tc>
          <w:tcPr>
            <w:tcW w:w="2482" w:type="dxa"/>
            <w:vAlign w:val="center"/>
          </w:tcPr>
          <w:p>
            <w:pPr>
              <w:spacing w:line="400" w:lineRule="exact"/>
              <w:rPr>
                <w:rFonts w:ascii="仿宋" w:hAnsi="仿宋" w:eastAsia="仿宋" w:cs="仿宋"/>
                <w:sz w:val="24"/>
              </w:rPr>
            </w:pPr>
            <w:r>
              <w:rPr>
                <w:rFonts w:hint="eastAsia" w:ascii="仿宋" w:hAnsi="仿宋" w:eastAsia="仿宋" w:cs="仿宋"/>
                <w:sz w:val="24"/>
              </w:rPr>
              <w:t>投标文件的拒收</w:t>
            </w:r>
          </w:p>
        </w:tc>
        <w:tc>
          <w:tcPr>
            <w:tcW w:w="5601" w:type="dxa"/>
            <w:vAlign w:val="center"/>
          </w:tcPr>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1、逾期送达的或者未送达指定地点的纸质投标文件；</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2、投标文件未按招标文件要求密封的；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3、未按招标文件要求缴纳投标保证金的；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4、开标时法人或授权委托人（持有效的授权委托书）未携带本人身份证到开标现场并签到的；</w:t>
            </w:r>
          </w:p>
          <w:p>
            <w:pPr>
              <w:spacing w:line="400" w:lineRule="exact"/>
              <w:rPr>
                <w:rFonts w:ascii="仿宋" w:hAnsi="仿宋" w:eastAsia="仿宋" w:cs="仿宋"/>
                <w:sz w:val="24"/>
              </w:rPr>
            </w:pPr>
            <w:r>
              <w:rPr>
                <w:rFonts w:hint="eastAsia" w:ascii="仿宋" w:hAnsi="仿宋" w:eastAsia="仿宋" w:cs="仿宋"/>
                <w:sz w:val="24"/>
              </w:rPr>
              <w:t>5、未按规定支付招标文件费用的。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10.1.1</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类似项目及年份要求</w:t>
            </w:r>
          </w:p>
        </w:tc>
        <w:tc>
          <w:tcPr>
            <w:tcW w:w="5601" w:type="dxa"/>
            <w:vAlign w:val="center"/>
          </w:tcPr>
          <w:p>
            <w:pPr>
              <w:spacing w:line="400" w:lineRule="exact"/>
              <w:rPr>
                <w:rFonts w:hint="eastAsia" w:ascii="仿宋" w:hAnsi="仿宋" w:eastAsia="仿宋" w:cs="仿宋"/>
                <w:b/>
                <w:color w:val="FF0000"/>
                <w:sz w:val="24"/>
                <w:u w:val="single"/>
                <w:lang w:eastAsia="zh-CN"/>
              </w:rPr>
            </w:pPr>
            <w:r>
              <w:rPr>
                <w:rFonts w:hint="eastAsia" w:ascii="仿宋" w:hAnsi="仿宋" w:eastAsia="仿宋" w:cs="仿宋"/>
                <w:sz w:val="24"/>
                <w:szCs w:val="22"/>
              </w:rPr>
              <w:t>指2016年1月1日（以交工验收日期为准）以来已完成的二级及以上公路工程项目</w:t>
            </w:r>
            <w:r>
              <w:rPr>
                <w:rFonts w:hint="eastAsia" w:ascii="仿宋" w:hAnsi="仿宋" w:eastAsia="仿宋" w:cs="仿宋"/>
                <w:sz w:val="24"/>
                <w:szCs w:val="22"/>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10.1.2</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不良行为记录</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投标人因质量、安全事故、拖欠农民工工资及招标投标中出具虚假资料等受到县级以上建设行政主管部门或招投标监督部门查实和行政处罚，形成的不良记录。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10.2.1</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招标控制报价</w:t>
            </w:r>
          </w:p>
        </w:tc>
        <w:tc>
          <w:tcPr>
            <w:tcW w:w="5601" w:type="dxa"/>
            <w:vAlign w:val="center"/>
          </w:tcPr>
          <w:p>
            <w:pPr>
              <w:rPr>
                <w:rFonts w:ascii="仿宋" w:hAnsi="仿宋" w:eastAsia="仿宋" w:cs="仿宋"/>
                <w:sz w:val="24"/>
              </w:rPr>
            </w:pPr>
            <w:r>
              <w:rPr>
                <w:rFonts w:hint="eastAsia" w:ascii="仿宋" w:hAnsi="仿宋" w:eastAsia="仿宋" w:cs="仿宋"/>
                <w:sz w:val="24"/>
              </w:rPr>
              <w:t>招标控制价：</w:t>
            </w:r>
          </w:p>
          <w:p>
            <w:pPr>
              <w:rPr>
                <w:rFonts w:ascii="仿宋" w:hAnsi="仿宋" w:eastAsia="仿宋" w:cs="仿宋"/>
                <w:b/>
                <w:sz w:val="24"/>
              </w:rPr>
            </w:pPr>
            <w:r>
              <w:rPr>
                <w:rFonts w:hint="eastAsia" w:ascii="仿宋" w:hAnsi="仿宋" w:eastAsia="仿宋" w:cs="仿宋"/>
                <w:b/>
                <w:sz w:val="24"/>
              </w:rPr>
              <w:t>二标段：</w:t>
            </w:r>
            <w:r>
              <w:rPr>
                <w:rFonts w:ascii="仿宋" w:hAnsi="仿宋" w:eastAsia="仿宋" w:cs="仿宋"/>
                <w:b/>
                <w:sz w:val="24"/>
              </w:rPr>
              <w:t>9</w:t>
            </w:r>
            <w:r>
              <w:rPr>
                <w:rFonts w:hint="eastAsia" w:ascii="仿宋" w:hAnsi="仿宋" w:eastAsia="仿宋" w:cs="仿宋"/>
                <w:b/>
                <w:sz w:val="24"/>
              </w:rPr>
              <w:t>6%；</w:t>
            </w:r>
          </w:p>
          <w:p>
            <w:pPr>
              <w:rPr>
                <w:rFonts w:ascii="仿宋" w:hAnsi="仿宋" w:eastAsia="仿宋" w:cs="仿宋"/>
                <w:b/>
                <w:sz w:val="24"/>
              </w:rPr>
            </w:pPr>
            <w:r>
              <w:rPr>
                <w:rFonts w:hint="eastAsia" w:ascii="仿宋" w:hAnsi="仿宋" w:eastAsia="仿宋" w:cs="仿宋"/>
                <w:b/>
                <w:sz w:val="24"/>
              </w:rPr>
              <w:t>本项目采用费率报价，各投标单位根据自身情况，对所投标段进行费率报价，最终价格以后期经政府财政主管部门评审的控制价中对应本项目承建范围内的费用为基数。</w:t>
            </w:r>
          </w:p>
          <w:p>
            <w:pPr>
              <w:spacing w:line="400" w:lineRule="exact"/>
              <w:rPr>
                <w:rFonts w:ascii="仿宋" w:hAnsi="仿宋" w:eastAsia="仿宋" w:cs="仿宋"/>
                <w:sz w:val="24"/>
              </w:rPr>
            </w:pPr>
            <w:r>
              <w:rPr>
                <w:rFonts w:hint="eastAsia" w:ascii="仿宋" w:hAnsi="仿宋" w:eastAsia="仿宋" w:cs="仿宋"/>
                <w:sz w:val="24"/>
              </w:rPr>
              <w:t>凡投标人的投标总报价高于“招标控制价”（不含等于“招标控制价”）的，该投标人的投标文件应作废标处理。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10.3</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解释权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10.5</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投标人代表出席开标会</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及其他</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开标时各投标人的法定代表人（持法定代表人身份证明原件和身份证原件）或委托代理人（持身份证原件和授权委托书原件）到开标现场签到，各投标单位参加会议人数不得多于2人。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10.6</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知识产权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构成本招标文件各个组成部分的招标文件，未经招标人书面</w:t>
            </w:r>
            <w:r>
              <w:rPr>
                <w:rFonts w:hint="eastAsia" w:ascii="仿宋" w:hAnsi="仿宋" w:eastAsia="仿宋" w:cs="仿宋"/>
                <w:sz w:val="24"/>
                <w:lang w:val="en-US" w:eastAsia="zh-CN"/>
              </w:rPr>
              <w:t>同意</w:t>
            </w:r>
            <w:r>
              <w:rPr>
                <w:rFonts w:hint="eastAsia" w:ascii="仿宋" w:hAnsi="仿宋" w:eastAsia="仿宋" w:cs="仿宋"/>
                <w:sz w:val="24"/>
              </w:rPr>
              <w:t>，投标人不得擅自复印和用于非本招标项目所需的其他目的。招标人全部或部分使用未中标人投标文件中的技术成果或技术方案时，需征得其书面同意，并不得擅自复印或提供给其他第三人。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10.8</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需要补充的其他内容</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中标单位须参照《国家计委〈计价格〔2002〕1980号〉》及《国家发展改革委办公厅〈发改办价格〔2003〕857号〉》之有关规定向招标代理机构交纳招标服务费。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10.10</w:t>
            </w:r>
          </w:p>
        </w:tc>
        <w:tc>
          <w:tcPr>
            <w:tcW w:w="2482"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特别提示</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1、潜在投标人如对招标文件有异议，请在规定时间内在全国公共资源交易平台（河南省▪许昌市）上提出，以其他方式递交的异议不予接受。</w:t>
            </w:r>
          </w:p>
          <w:p>
            <w:pPr>
              <w:spacing w:line="400" w:lineRule="exact"/>
              <w:rPr>
                <w:rFonts w:ascii="仿宋" w:hAnsi="仿宋" w:eastAsia="仿宋" w:cs="仿宋"/>
                <w:sz w:val="24"/>
              </w:rPr>
            </w:pPr>
            <w:r>
              <w:rPr>
                <w:rFonts w:hint="eastAsia" w:ascii="仿宋" w:hAnsi="仿宋" w:eastAsia="仿宋" w:cs="仿宋"/>
                <w:sz w:val="24"/>
              </w:rPr>
              <w:t>2、投标人在投标截止时间前应随时关注全国公共资源交易平台（河南省▪许昌市）发出的有关本工程的答疑、修改等相关内容。</w:t>
            </w:r>
          </w:p>
          <w:p>
            <w:pPr>
              <w:spacing w:line="400" w:lineRule="exact"/>
              <w:rPr>
                <w:rFonts w:ascii="仿宋" w:hAnsi="仿宋" w:eastAsia="仿宋" w:cs="仿宋"/>
                <w:sz w:val="24"/>
              </w:rPr>
            </w:pPr>
            <w:r>
              <w:rPr>
                <w:rFonts w:hint="eastAsia" w:ascii="仿宋" w:hAnsi="仿宋" w:eastAsia="仿宋" w:cs="仿宋"/>
                <w:sz w:val="24"/>
              </w:rPr>
              <w:t>3、未通过全国公共资源交易平台（河南省▪许昌市）上下载招标文件的，视为自动放弃投标。</w:t>
            </w:r>
          </w:p>
          <w:p>
            <w:pPr>
              <w:spacing w:line="400" w:lineRule="exact"/>
              <w:rPr>
                <w:rFonts w:ascii="仿宋" w:hAnsi="仿宋" w:eastAsia="仿宋" w:cs="仿宋"/>
                <w:sz w:val="24"/>
              </w:rPr>
            </w:pPr>
            <w:r>
              <w:rPr>
                <w:rFonts w:hint="eastAsia" w:ascii="仿宋" w:hAnsi="仿宋" w:eastAsia="仿宋" w:cs="仿宋"/>
                <w:sz w:val="24"/>
              </w:rPr>
              <w:t>4、投标文件第一个信封（商务及技术文件）不得出现有关投标报价的金额，否则评标委员会将对投标文件第一个信封（商务及技术文件）作废标处理。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25" w:hRule="atLeast"/>
          <w:jc w:val="center"/>
        </w:trPr>
        <w:tc>
          <w:tcPr>
            <w:tcW w:w="1116" w:type="dxa"/>
            <w:gridSpan w:val="2"/>
            <w:vAlign w:val="center"/>
          </w:tcPr>
          <w:p>
            <w:pPr>
              <w:spacing w:line="400" w:lineRule="exact"/>
              <w:jc w:val="center"/>
              <w:rPr>
                <w:rFonts w:hint="eastAsia" w:ascii="仿宋" w:hAnsi="仿宋" w:eastAsia="仿宋" w:cs="仿宋"/>
                <w:b/>
                <w:bCs/>
                <w:sz w:val="24"/>
                <w:szCs w:val="22"/>
              </w:rPr>
            </w:pPr>
            <w:r>
              <w:rPr>
                <w:rFonts w:hint="eastAsia" w:ascii="仿宋" w:hAnsi="仿宋" w:eastAsia="仿宋" w:cs="仿宋"/>
                <w:b/>
                <w:bCs/>
                <w:sz w:val="24"/>
                <w:szCs w:val="22"/>
              </w:rPr>
              <w:t>10.11</w:t>
            </w:r>
          </w:p>
        </w:tc>
        <w:tc>
          <w:tcPr>
            <w:tcW w:w="8083" w:type="dxa"/>
            <w:gridSpan w:val="2"/>
            <w:vAlign w:val="center"/>
          </w:tcPr>
          <w:p>
            <w:pPr>
              <w:spacing w:line="400" w:lineRule="exact"/>
              <w:jc w:val="left"/>
              <w:rPr>
                <w:rFonts w:hint="eastAsia" w:ascii="仿宋" w:hAnsi="仿宋" w:eastAsia="仿宋" w:cs="仿宋"/>
                <w:b/>
                <w:bCs/>
                <w:sz w:val="24"/>
                <w:szCs w:val="22"/>
              </w:rPr>
            </w:pPr>
            <w:r>
              <w:rPr>
                <w:rFonts w:hint="eastAsia" w:ascii="仿宋" w:hAnsi="仿宋" w:eastAsia="仿宋" w:cs="仿宋"/>
                <w:b/>
                <w:bCs/>
                <w:sz w:val="24"/>
                <w:szCs w:val="22"/>
              </w:rPr>
              <w:t>投标人应具有用于本项目的母体检测机构，母体检测机构具有公路试验检测综合丙级及以上资质，并提供证书原件，否则不能通过第一个信封(商务及技术文件)（若施工单位与母体检测机构非同一单位，须提供证书和委托合同原件）。</w:t>
            </w:r>
          </w:p>
        </w:tc>
      </w:tr>
    </w:tbl>
    <w:p>
      <w:pPr>
        <w:rPr>
          <w:rFonts w:ascii="宋体" w:hAnsi="宋体"/>
          <w:sz w:val="24"/>
        </w:rPr>
      </w:pPr>
    </w:p>
    <w:p>
      <w:pPr>
        <w:spacing w:line="338" w:lineRule="exact"/>
      </w:pPr>
    </w:p>
    <w:p>
      <w:pPr>
        <w:pStyle w:val="2"/>
        <w:ind w:firstLine="0" w:firstLineChars="0"/>
      </w:pPr>
    </w:p>
    <w:p>
      <w:pPr>
        <w:pStyle w:val="2"/>
        <w:ind w:firstLine="0" w:firstLineChars="0"/>
      </w:pPr>
    </w:p>
    <w:p>
      <w:pPr>
        <w:pStyle w:val="2"/>
        <w:ind w:firstLine="0" w:firstLineChars="0"/>
      </w:pPr>
    </w:p>
    <w:p>
      <w:pPr>
        <w:pStyle w:val="2"/>
        <w:ind w:firstLine="0" w:firstLineChars="0"/>
      </w:pPr>
    </w:p>
    <w:p>
      <w:pPr>
        <w:tabs>
          <w:tab w:val="left" w:pos="2880"/>
        </w:tabs>
        <w:spacing w:line="326" w:lineRule="exact"/>
        <w:rPr>
          <w:rFonts w:ascii="宋体" w:hAnsi="宋体"/>
          <w:b/>
          <w:sz w:val="28"/>
        </w:rPr>
      </w:pPr>
    </w:p>
    <w:p>
      <w:pPr>
        <w:tabs>
          <w:tab w:val="left" w:pos="2880"/>
        </w:tabs>
        <w:spacing w:line="326" w:lineRule="exact"/>
        <w:rPr>
          <w:rFonts w:ascii="宋体" w:hAnsi="宋体"/>
          <w:b/>
          <w:sz w:val="28"/>
        </w:rPr>
      </w:pPr>
      <w:r>
        <w:rPr>
          <w:rFonts w:ascii="宋体" w:hAnsi="宋体"/>
          <w:b/>
          <w:sz w:val="28"/>
        </w:rPr>
        <w:br w:type="page"/>
      </w:r>
    </w:p>
    <w:p>
      <w:pPr>
        <w:pStyle w:val="2"/>
        <w:ind w:firstLine="340"/>
      </w:pPr>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1</w:t>
      </w:r>
      <w:r>
        <w:rPr>
          <w:rFonts w:eastAsia="Times New Roman"/>
        </w:rPr>
        <w:tab/>
      </w:r>
      <w:r>
        <w:rPr>
          <w:rFonts w:ascii="宋体" w:hAnsi="宋体"/>
          <w:b/>
          <w:sz w:val="27"/>
        </w:rPr>
        <w:t>资格审查条件（资质最低要求）</w:t>
      </w:r>
    </w:p>
    <w:p>
      <w:pPr>
        <w:spacing w:line="200" w:lineRule="exact"/>
        <w:rPr>
          <w:rFonts w:eastAsia="Times New Roman"/>
        </w:rPr>
      </w:pPr>
      <w:r>
        <w:rPr>
          <w:rFonts w:ascii="MS PGothic" w:hAnsi="MS PGothic" w:eastAsia="MS PGothic"/>
          <w:b/>
          <w:sz w:val="27"/>
          <w:vertAlign w:val="superscript"/>
        </w:rPr>
        <w:pict>
          <v:line id="_x0000_s2124" o:spid="_x0000_s2124" o:spt="20" style="position:absolute;left:0pt;flip:y;margin-left:0pt;margin-top:2pt;height:0.4pt;width:450.65pt;z-index:251658240;mso-width-relative:page;mso-height-relative:page;" coordsize="21600,21600" o:allowincell="f" o:allowoverlap="f" o:gfxdata="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rZamtQAAAAEAQAADwAAAAAA&#10;AAABACAAAAAiAAAAZHJzL2Rvd25yZXYueG1sUEsBAhQAFAAAAAgAh07iQK560areAQAAmQMAAA4A&#10;AAAAAAAAAQAgAAAAIwEAAGRycy9lMm9Eb2MueG1sUEsFBgAAAAAGAAYAWQEAAHMFAAAAAA==&#10;">
            <v:path arrowok="t"/>
            <v:fill focussize="0,0"/>
            <v:stroke weight="0.47992125984252pt"/>
            <v:imagedata o:title=""/>
            <o:lock v:ext="edit"/>
          </v:line>
        </w:pict>
      </w:r>
      <w:r>
        <w:rPr>
          <w:rFonts w:ascii="MS PGothic" w:hAnsi="MS PGothic" w:eastAsia="MS PGothic"/>
          <w:b/>
          <w:sz w:val="27"/>
          <w:vertAlign w:val="superscript"/>
        </w:rPr>
        <w:pict>
          <v:line id="_x0000_s2123" o:spid="_x0000_s2123" o:spt="20" style="position:absolute;left:0pt;margin-left:-0.35pt;margin-top:14.2pt;height:570.3pt;width:0pt;z-index:-25165721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&#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DRKf67UAQAAjAMAAA4AAAAAAAAAAQAgAAAA&#10;IQEAAGRycy9lMm9Eb2MueG1sUEsFBgAAAAAGAAYAWQEAAGcFAAAAAA==&#10;">
            <v:path arrowok="t"/>
            <v:fill focussize="0,0"/>
            <v:stroke weight="0.47992125984252pt"/>
            <v:imagedata o:title=""/>
            <o:lock v:ext="edit"/>
          </v:line>
        </w:pict>
      </w:r>
      <w:r>
        <w:rPr>
          <w:rFonts w:ascii="MS PGothic" w:hAnsi="MS PGothic" w:eastAsia="MS PGothic"/>
          <w:b/>
          <w:sz w:val="27"/>
          <w:vertAlign w:val="superscript"/>
        </w:rPr>
        <w:pict>
          <v:line id="_x0000_s2122" o:spid="_x0000_s2122" o:spt="20" style="position:absolute;left:0pt;margin-left:-0.6pt;margin-top:63.75pt;height:0pt;width:441.5pt;z-index:-251656192;mso-width-relative:page;mso-height-relative:page;" coordsize="21600,21600" o:allowincell="f" o:gfxdata="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sncUNMAAAAKAQAADwAAAAAAAAABACAAAAAiAAAA&#10;ZHJzL2Rvd25yZXYueG1sUEsBAhQAFAAAAAgAh07iQK6zXonTAQAAjAMAAA4AAAAAAAAAAQAgAAAA&#10;IgEAAGRycy9lMm9Eb2MueG1sUEsFBgAAAAAGAAYAWQEAAGcFAAAAAA==&#10;">
            <v:path arrowok="t"/>
            <v:fill focussize="0,0"/>
            <v:stroke weight="0.47992125984252pt"/>
            <v:imagedata o:title=""/>
            <o:lock v:ext="edit"/>
          </v:line>
        </w:pict>
      </w:r>
      <w:r>
        <w:rPr>
          <w:rFonts w:ascii="MS PGothic" w:hAnsi="MS PGothic" w:eastAsia="MS PGothic"/>
          <w:b/>
          <w:sz w:val="27"/>
          <w:vertAlign w:val="superscript"/>
        </w:rPr>
        <w:pict>
          <v:line id="_x0000_s2121" o:spid="_x0000_s2121" o:spt="20" style="position:absolute;left:0pt;margin-left:440.7pt;margin-top:14.2pt;height:570.3pt;width:0pt;z-index:-25165516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vJn3tUAAAALAQAADwAAAAAAAAABACAAAAAi&#10;AAAAZHJzL2Rvd25yZXYueG1sUEsBAhQAFAAAAAgAh07iQDyjsMzUAQAAjAMAAA4AAAAAAAAAAQAg&#10;AAAAJAEAAGRycy9lMm9Eb2MueG1sUEsFBgAAAAAGAAYAWQEAAGoFAAAAAA==&#10;">
            <v:path arrowok="t"/>
            <v:fill focussize="0,0"/>
            <v:stroke weight="0.47992125984252pt"/>
            <v:imagedata o:title=""/>
            <o:lock v:ext="edit"/>
          </v:line>
        </w:pict>
      </w:r>
    </w:p>
    <w:p>
      <w:pPr>
        <w:spacing w:line="200" w:lineRule="exact"/>
        <w:rPr>
          <w:rFonts w:eastAsia="Times New Roman"/>
        </w:rPr>
      </w:pPr>
    </w:p>
    <w:p>
      <w:pPr>
        <w:spacing w:line="309" w:lineRule="exact"/>
        <w:rPr>
          <w:rFonts w:eastAsia="Times New Roman"/>
        </w:rPr>
      </w:pPr>
    </w:p>
    <w:p>
      <w:pPr>
        <w:spacing w:line="239" w:lineRule="auto"/>
        <w:ind w:left="3360"/>
        <w:rPr>
          <w:rFonts w:ascii="宋体" w:hAnsi="宋体"/>
          <w:sz w:val="21"/>
        </w:rPr>
      </w:pPr>
      <w:r>
        <w:rPr>
          <w:rFonts w:ascii="宋体" w:hAnsi="宋体"/>
          <w:sz w:val="21"/>
        </w:rPr>
        <w:t>施工企业资质等级要求</w:t>
      </w:r>
    </w:p>
    <w:p>
      <w:pPr>
        <w:spacing w:line="200" w:lineRule="exact"/>
        <w:rPr>
          <w:rFonts w:eastAsia="Times New Roman"/>
        </w:rPr>
      </w:pPr>
      <w:r>
        <w:rPr>
          <w:rFonts w:ascii="宋体" w:hAnsi="宋体"/>
          <w:sz w:val="21"/>
        </w:rPr>
        <w:pict>
          <v:line id="_x0000_s2120" o:spid="_x0000_s2120" o:spt="20" style="position:absolute;left:0pt;margin-left:-0.6pt;margin-top:536.9pt;height:0pt;width:441.5pt;z-index:-251654144;mso-width-relative:page;mso-height-relative:page;" coordsize="21600,21600" o:allowincell="f" o:gfxdata="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RhzdXXAAAADAEAAA8AAAAAAAAAAQAgAAAA&#10;IgAAAGRycy9kb3ducmV2LnhtbFBLAQIUABQAAAAIAIdO4kCdlF8S0wEAAIwDAAAOAAAAAAAAAAEA&#10;IAAAACYBAABkcnMvZTJvRG9jLnhtbFBLBQYAAAAABgAGAFkBAABrBQAAAAA=&#10;">
            <v:path arrowok="t"/>
            <v:fill focussize="0,0"/>
            <v:stroke weight="0.48pt"/>
            <v:imagedata o:title=""/>
            <o:lock v:ext="edit"/>
          </v:line>
        </w:pict>
      </w:r>
    </w:p>
    <w:p>
      <w:pPr>
        <w:spacing w:line="200" w:lineRule="exact"/>
        <w:rPr>
          <w:rFonts w:eastAsia="Times New Roman"/>
        </w:rPr>
      </w:pPr>
    </w:p>
    <w:p>
      <w:pPr>
        <w:numPr>
          <w:ilvl w:val="0"/>
          <w:numId w:val="1"/>
        </w:num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营业执照：具有在中华人民共和国境内注册的独立企业法人营业执照（在有</w:t>
      </w:r>
    </w:p>
    <w:p>
      <w:pPr>
        <w:autoSpaceDE w:val="0"/>
        <w:autoSpaceDN w:val="0"/>
        <w:adjustRightInd w:val="0"/>
        <w:snapToGrid w:val="0"/>
        <w:spacing w:line="460" w:lineRule="exact"/>
        <w:rPr>
          <w:rFonts w:ascii="宋体" w:hAnsi="宋体" w:cs="宋体"/>
          <w:sz w:val="24"/>
        </w:rPr>
      </w:pPr>
      <w:r>
        <w:rPr>
          <w:rFonts w:hint="eastAsia" w:ascii="宋体" w:hAnsi="宋体" w:cs="宋体"/>
          <w:sz w:val="24"/>
        </w:rPr>
        <w:t>效期内）。</w:t>
      </w:r>
    </w:p>
    <w:p>
      <w:pPr>
        <w:numPr>
          <w:ilvl w:val="0"/>
          <w:numId w:val="1"/>
        </w:numPr>
        <w:autoSpaceDE w:val="0"/>
        <w:autoSpaceDN w:val="0"/>
        <w:adjustRightInd w:val="0"/>
        <w:snapToGrid w:val="0"/>
        <w:spacing w:line="460" w:lineRule="exact"/>
        <w:ind w:left="0" w:leftChars="0" w:firstLine="480" w:firstLineChars="200"/>
        <w:rPr>
          <w:rFonts w:hint="eastAsia" w:ascii="宋体" w:hAnsi="宋体" w:cs="宋体"/>
          <w:sz w:val="24"/>
          <w:szCs w:val="22"/>
        </w:rPr>
      </w:pPr>
      <w:r>
        <w:rPr>
          <w:rFonts w:hint="eastAsia" w:ascii="宋体" w:hAnsi="宋体" w:cs="宋体"/>
          <w:sz w:val="24"/>
        </w:rPr>
        <w:t>资质要求：</w:t>
      </w:r>
      <w:r>
        <w:rPr>
          <w:rFonts w:hint="eastAsia" w:ascii="宋体" w:hAnsi="宋体" w:cs="宋体"/>
          <w:sz w:val="24"/>
          <w:lang w:val="zh-CN"/>
        </w:rPr>
        <w:t>公路</w:t>
      </w:r>
      <w:r>
        <w:rPr>
          <w:rFonts w:hint="eastAsia" w:ascii="宋体" w:hAnsi="宋体" w:cs="宋体"/>
          <w:sz w:val="24"/>
          <w:szCs w:val="22"/>
          <w:lang w:val="zh-CN"/>
        </w:rPr>
        <w:t>工程施工总承包</w:t>
      </w:r>
      <w:r>
        <w:rPr>
          <w:rFonts w:hint="eastAsia" w:ascii="宋体" w:hAnsi="宋体" w:cs="宋体"/>
          <w:sz w:val="24"/>
          <w:szCs w:val="22"/>
        </w:rPr>
        <w:t>壹</w:t>
      </w:r>
      <w:r>
        <w:rPr>
          <w:rFonts w:hint="eastAsia" w:ascii="宋体" w:hAnsi="宋体" w:cs="宋体"/>
          <w:sz w:val="24"/>
          <w:szCs w:val="22"/>
          <w:lang w:val="zh-CN"/>
        </w:rPr>
        <w:t>级及以上资</w:t>
      </w:r>
      <w:r>
        <w:rPr>
          <w:rFonts w:hint="eastAsia" w:ascii="宋体" w:hAnsi="宋体" w:cs="宋体"/>
          <w:sz w:val="24"/>
          <w:szCs w:val="22"/>
        </w:rPr>
        <w:t>质，同时具有河南省交通厅批</w:t>
      </w:r>
    </w:p>
    <w:p>
      <w:pPr>
        <w:numPr>
          <w:ilvl w:val="0"/>
          <w:numId w:val="0"/>
        </w:numPr>
        <w:autoSpaceDE w:val="0"/>
        <w:autoSpaceDN w:val="0"/>
        <w:adjustRightInd w:val="0"/>
        <w:snapToGrid w:val="0"/>
        <w:spacing w:line="460" w:lineRule="exact"/>
        <w:rPr>
          <w:rFonts w:hint="eastAsia" w:ascii="宋体" w:hAnsi="宋体" w:cs="宋体"/>
          <w:sz w:val="24"/>
          <w:szCs w:val="22"/>
        </w:rPr>
      </w:pPr>
      <w:r>
        <w:rPr>
          <w:rFonts w:hint="eastAsia" w:ascii="宋体" w:hAnsi="宋体" w:cs="宋体"/>
          <w:sz w:val="24"/>
          <w:szCs w:val="22"/>
        </w:rPr>
        <w:t>准的公路养护工程施工二类（甲级）资质，具有有效的安全生产许可证。(注：河南</w:t>
      </w:r>
    </w:p>
    <w:p>
      <w:pPr>
        <w:numPr>
          <w:ilvl w:val="0"/>
          <w:numId w:val="0"/>
        </w:numPr>
        <w:autoSpaceDE w:val="0"/>
        <w:autoSpaceDN w:val="0"/>
        <w:adjustRightInd w:val="0"/>
        <w:snapToGrid w:val="0"/>
        <w:spacing w:line="460" w:lineRule="exact"/>
        <w:rPr>
          <w:rFonts w:hint="eastAsia" w:ascii="宋体" w:hAnsi="宋体" w:cs="宋体"/>
          <w:sz w:val="24"/>
          <w:szCs w:val="22"/>
        </w:rPr>
      </w:pPr>
      <w:r>
        <w:rPr>
          <w:rFonts w:hint="eastAsia" w:ascii="宋体" w:hAnsi="宋体" w:cs="宋体"/>
          <w:sz w:val="24"/>
          <w:szCs w:val="22"/>
        </w:rPr>
        <w:t>省以外的省、自治区、直辖市的公路养护工程从业单位应符合交通部文件“交公路</w:t>
      </w:r>
    </w:p>
    <w:p>
      <w:pPr>
        <w:numPr>
          <w:ilvl w:val="0"/>
          <w:numId w:val="0"/>
        </w:numPr>
        <w:autoSpaceDE w:val="0"/>
        <w:autoSpaceDN w:val="0"/>
        <w:adjustRightInd w:val="0"/>
        <w:snapToGrid w:val="0"/>
        <w:spacing w:line="460" w:lineRule="exact"/>
        <w:rPr>
          <w:rFonts w:hint="eastAsia" w:ascii="宋体" w:hAnsi="宋体" w:cs="宋体"/>
          <w:sz w:val="24"/>
          <w:szCs w:val="22"/>
        </w:rPr>
      </w:pPr>
      <w:r>
        <w:rPr>
          <w:rFonts w:hint="eastAsia" w:ascii="宋体" w:hAnsi="宋体" w:cs="宋体"/>
          <w:sz w:val="24"/>
          <w:szCs w:val="22"/>
        </w:rPr>
        <w:t>发[2003]89号《公路养护工程市场准入暂行规定》第十七条规定”，投标文件中应附</w:t>
      </w:r>
    </w:p>
    <w:p>
      <w:pPr>
        <w:numPr>
          <w:ilvl w:val="0"/>
          <w:numId w:val="0"/>
        </w:numPr>
        <w:autoSpaceDE w:val="0"/>
        <w:autoSpaceDN w:val="0"/>
        <w:adjustRightInd w:val="0"/>
        <w:snapToGrid w:val="0"/>
        <w:spacing w:line="460" w:lineRule="exact"/>
        <w:rPr>
          <w:rFonts w:hint="eastAsia" w:ascii="宋体" w:hAnsi="宋体" w:cs="宋体"/>
          <w:sz w:val="24"/>
        </w:rPr>
      </w:pPr>
      <w:r>
        <w:rPr>
          <w:rFonts w:hint="eastAsia" w:ascii="宋体" w:hAnsi="宋体" w:cs="宋体"/>
          <w:sz w:val="24"/>
          <w:szCs w:val="22"/>
        </w:rPr>
        <w:t>有备案证明材料。)，并具备有效的企业安全生产许</w:t>
      </w:r>
      <w:r>
        <w:rPr>
          <w:rFonts w:hint="eastAsia" w:ascii="宋体" w:hAnsi="宋体" w:cs="宋体"/>
          <w:sz w:val="24"/>
        </w:rPr>
        <w:t>可证，在人员、设备、资金等方</w:t>
      </w:r>
    </w:p>
    <w:p>
      <w:pPr>
        <w:numPr>
          <w:ilvl w:val="0"/>
          <w:numId w:val="0"/>
        </w:numPr>
        <w:autoSpaceDE w:val="0"/>
        <w:autoSpaceDN w:val="0"/>
        <w:adjustRightInd w:val="0"/>
        <w:snapToGrid w:val="0"/>
        <w:spacing w:line="460" w:lineRule="exact"/>
        <w:rPr>
          <w:rFonts w:ascii="宋体" w:hAnsi="宋体" w:cs="宋体"/>
          <w:sz w:val="24"/>
        </w:rPr>
      </w:pPr>
      <w:r>
        <w:rPr>
          <w:rFonts w:hint="eastAsia" w:ascii="宋体" w:hAnsi="宋体" w:cs="宋体"/>
          <w:sz w:val="24"/>
        </w:rPr>
        <w:t>面具有相应能力的施工企业。</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200" w:lineRule="exact"/>
      </w:pPr>
    </w:p>
    <w:p>
      <w:pPr>
        <w:tabs>
          <w:tab w:val="left" w:pos="2880"/>
        </w:tabs>
        <w:spacing w:line="326" w:lineRule="exact"/>
        <w:ind w:left="1840"/>
        <w:rPr>
          <w:rFonts w:ascii="宋体" w:hAnsi="宋体"/>
          <w:b/>
          <w:sz w:val="28"/>
        </w:rPr>
      </w:pPr>
      <w:bookmarkStart w:id="15" w:name="page42"/>
      <w:bookmarkEnd w:id="15"/>
    </w:p>
    <w:p>
      <w:pPr>
        <w:tabs>
          <w:tab w:val="left" w:pos="2880"/>
        </w:tabs>
        <w:spacing w:line="326" w:lineRule="exact"/>
        <w:ind w:left="184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2</w:t>
      </w:r>
      <w:r>
        <w:rPr>
          <w:rFonts w:eastAsia="Times New Roman"/>
        </w:rPr>
        <w:tab/>
      </w:r>
      <w:r>
        <w:rPr>
          <w:rFonts w:ascii="宋体" w:hAnsi="宋体"/>
          <w:b/>
          <w:sz w:val="27"/>
        </w:rPr>
        <w:t>资格审查条件（财务最低要求）</w:t>
      </w:r>
    </w:p>
    <w:p>
      <w:pPr>
        <w:spacing w:line="200" w:lineRule="exact"/>
        <w:rPr>
          <w:rFonts w:eastAsia="Times New Roman"/>
        </w:rPr>
      </w:pPr>
      <w:r>
        <w:rPr>
          <w:rFonts w:ascii="MS PGothic" w:hAnsi="MS PGothic" w:eastAsia="MS PGothic"/>
          <w:b/>
          <w:sz w:val="27"/>
          <w:vertAlign w:val="superscript"/>
        </w:rPr>
        <w:pict>
          <v:line id="_x0000_s2119" o:spid="_x0000_s2119" o:spt="20" style="position:absolute;left:0pt;margin-left:-0.6pt;margin-top:14.45pt;height:0pt;width:441.5pt;z-index:-25165312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23kK9YAAAAIAQAADwAAAAAAAAABACAAAAAiAAAA&#10;ZHJzL2Rvd25yZXYueG1sUEsBAhQAFAAAAAgAh07iQHAG5ILQAQAAjAMAAA4AAAAAAAAAAQAgAAAA&#10;JQEAAGRycy9lMm9Eb2MueG1sUEsFBgAAAAAGAAYAWQEAAGcFAAAAAA==&#10;">
            <v:path arrowok="t"/>
            <v:fill focussize="0,0"/>
            <v:stroke weight="0.48pt"/>
            <v:imagedata o:title=""/>
            <o:lock v:ext="edit"/>
          </v:line>
        </w:pict>
      </w:r>
      <w:r>
        <w:rPr>
          <w:rFonts w:ascii="MS PGothic" w:hAnsi="MS PGothic" w:eastAsia="MS PGothic"/>
          <w:b/>
          <w:sz w:val="27"/>
          <w:vertAlign w:val="superscript"/>
        </w:rPr>
        <w:pict>
          <v:line id="_x0000_s2118" o:spid="_x0000_s2118" o:spt="20" style="position:absolute;left:0pt;margin-left:-0.35pt;margin-top:14.2pt;height:550.3pt;width:0pt;z-index:-251652096;mso-width-relative:page;mso-height-relative:page;" coordsize="21600,21600" o:allowincell="f" o:gfxdata="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b4Ue0gAAAAcBAAAPAAAAAAAAAAEAIAAAACIAAABk&#10;cnMvZG93bnJldi54bWxQSwECFAAUAAAACACHTuJAAYbVfNMBAACMAwAADgAAAAAAAAABACAAAAAh&#10;AQAAZHJzL2Uyb0RvYy54bWxQSwUGAAAAAAYABgBZAQAAZgUAAAAA&#10;">
            <v:path arrowok="t"/>
            <v:fill focussize="0,0"/>
            <v:stroke weight="0.47992125984252pt"/>
            <v:imagedata o:title=""/>
            <o:lock v:ext="edit"/>
          </v:line>
        </w:pict>
      </w:r>
      <w:r>
        <w:rPr>
          <w:rFonts w:ascii="MS PGothic" w:hAnsi="MS PGothic" w:eastAsia="MS PGothic"/>
          <w:b/>
          <w:sz w:val="27"/>
          <w:vertAlign w:val="superscript"/>
        </w:rPr>
        <w:pict>
          <v:line id="_x0000_s2117" o:spid="_x0000_s2117" o:spt="20" style="position:absolute;left:0pt;margin-left:-0.6pt;margin-top:63.65pt;height:0pt;width:441.5pt;z-index:-25165107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vMJ50wAAAAoBAAAPAAAAAAAAAAEAIAAAACIAAABk&#10;cnMvZG93bnJldi54bWxQSwECFAAUAAAACACHTuJAue2EzNIBAACMAwAADgAAAAAAAAABACAAAAAi&#10;AQAAZHJzL2Uyb0RvYy54bWxQSwUGAAAAAAYABgBZAQAAZgUAAAAA&#10;">
            <v:path arrowok="t"/>
            <v:fill focussize="0,0"/>
            <v:stroke weight="0.47992125984252pt"/>
            <v:imagedata o:title=""/>
            <o:lock v:ext="edit"/>
          </v:line>
        </w:pict>
      </w:r>
      <w:r>
        <w:rPr>
          <w:rFonts w:ascii="MS PGothic" w:hAnsi="MS PGothic" w:eastAsia="MS PGothic"/>
          <w:b/>
          <w:sz w:val="27"/>
          <w:vertAlign w:val="superscript"/>
        </w:rPr>
        <w:pict>
          <v:line id="_x0000_s2116" o:spid="_x0000_s2116" o:spt="20" style="position:absolute;left:0pt;margin-left:440.7pt;margin-top:14.2pt;height:550.3pt;width:0pt;z-index:-251650048;mso-width-relative:page;mso-height-relative:page;" coordsize="21600,21600" o:allowincell="f" o:gfxdata="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n2nszVAAAACwEAAA8AAAAAAAAAAQAgAAAAIgAA&#10;AGRycy9kb3ducmV2LnhtbFBLAQIUABQAAAAIAIdO4kC95xMK0gEAAIwDAAAOAAAAAAAAAAEAIAAA&#10;ACQBAABkcnMvZTJvRG9jLnhtbFBLBQYAAAAABgAGAFkBAABoBQAAAAA=&#10;">
            <v:path arrowok="t"/>
            <v:fill focussize="0,0"/>
            <v:stroke weight="0.47992125984252pt"/>
            <v:imagedata o:title=""/>
            <o:lock v:ext="edit"/>
          </v:line>
        </w:pict>
      </w:r>
    </w:p>
    <w:p>
      <w:pPr>
        <w:spacing w:line="200" w:lineRule="exact"/>
        <w:rPr>
          <w:rFonts w:eastAsia="Times New Roman"/>
        </w:rPr>
      </w:pPr>
    </w:p>
    <w:p>
      <w:pPr>
        <w:spacing w:line="309" w:lineRule="exact"/>
        <w:rPr>
          <w:rFonts w:eastAsia="Times New Roman"/>
        </w:rPr>
      </w:pPr>
    </w:p>
    <w:p>
      <w:pPr>
        <w:spacing w:line="239" w:lineRule="auto"/>
        <w:ind w:left="3820"/>
        <w:rPr>
          <w:rFonts w:ascii="宋体" w:hAnsi="宋体"/>
          <w:sz w:val="21"/>
        </w:rPr>
      </w:pPr>
      <w:r>
        <w:rPr>
          <w:rFonts w:ascii="宋体" w:hAnsi="宋体"/>
          <w:sz w:val="21"/>
        </w:rPr>
        <w:t>财 务 要 求</w:t>
      </w:r>
    </w:p>
    <w:p>
      <w:pPr>
        <w:spacing w:line="200" w:lineRule="exact"/>
        <w:rPr>
          <w:rFonts w:eastAsia="Times New Roman"/>
        </w:rPr>
      </w:pPr>
      <w:r>
        <w:rPr>
          <w:rFonts w:ascii="宋体" w:hAnsi="宋体"/>
          <w:sz w:val="21"/>
        </w:rPr>
        <w:pict>
          <v:line id="_x0000_s2115" o:spid="_x0000_s2115" o:spt="20" style="position:absolute;left:0pt;margin-left:-0.6pt;margin-top:516.85pt;height:0pt;width:441.5pt;z-index:-251649024;mso-width-relative:page;mso-height-relative:page;" coordsize="21600,21600" o:allowincell="f" o:gfxdata="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LcT9dcAAAAMAQAADwAAAAAAAAABACAAAAAi&#10;AAAAZHJzL2Rvd25yZXYueG1sUEsBAhQAFAAAAAgAh07iQLD2XRfSAQAAjAMAAA4AAAAAAAAAAQAg&#10;AAAAJgEAAGRycy9lMm9Eb2MueG1sUEsFBgAAAAAGAAYAWQEAAGoFAAAAAA==&#10;">
            <v:path arrowok="t"/>
            <v:fill focussize="0,0"/>
            <v:stroke weight="0.48pt"/>
            <v:imagedata o:title=""/>
            <o:lock v:ext="edit"/>
          </v:line>
        </w:pict>
      </w:r>
    </w:p>
    <w:p>
      <w:pPr>
        <w:spacing w:line="200" w:lineRule="exact"/>
        <w:rPr>
          <w:rFonts w:eastAsia="Times New Roman"/>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hAnsi="宋体"/>
          <w:bCs/>
          <w:sz w:val="24"/>
        </w:rPr>
      </w:pPr>
      <w:r>
        <w:rPr>
          <w:rFonts w:hint="eastAsia" w:ascii="宋体" w:hAnsi="宋体"/>
          <w:sz w:val="24"/>
        </w:rPr>
        <w:t>投标申请人应提交最近三年内（</w:t>
      </w:r>
      <w:r>
        <w:rPr>
          <w:rFonts w:hint="eastAsia" w:ascii="宋体" w:hAnsi="宋体" w:cs="仿宋_GB2312"/>
          <w:sz w:val="24"/>
        </w:rPr>
        <w:t>2016年1月1日至2018年12月31日</w:t>
      </w:r>
      <w:r>
        <w:rPr>
          <w:rFonts w:hint="eastAsia" w:ascii="宋体" w:hAnsi="宋体"/>
          <w:sz w:val="24"/>
        </w:rPr>
        <w:t>）(</w:t>
      </w:r>
      <w:r>
        <w:rPr>
          <w:rFonts w:hint="eastAsia" w:hAnsi="宋体"/>
          <w:bCs/>
          <w:sz w:val="24"/>
        </w:rPr>
        <w:t>若公</w:t>
      </w:r>
    </w:p>
    <w:p>
      <w:pPr>
        <w:spacing w:line="480" w:lineRule="exact"/>
        <w:rPr>
          <w:rFonts w:ascii="宋体" w:hAnsi="宋体"/>
          <w:sz w:val="24"/>
        </w:rPr>
      </w:pPr>
      <w:r>
        <w:rPr>
          <w:rFonts w:hint="eastAsia" w:hAnsi="宋体"/>
          <w:bCs/>
          <w:sz w:val="24"/>
        </w:rPr>
        <w:t>司成立未满三年，须提供成立当年至今的财务报告</w:t>
      </w:r>
      <w:r>
        <w:rPr>
          <w:rFonts w:hint="eastAsia" w:ascii="宋体" w:hAnsi="宋体"/>
          <w:sz w:val="24"/>
        </w:rPr>
        <w:t>)经审计的资产负债表、利润表、    现金流量表，证明资格预审申请人的财务状况良好，财务无亏损，没有被接管、冻      结、破产状态；必要时，业主将向投标申请人的开户银行进行查询；</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tabs>
          <w:tab w:val="left" w:pos="2880"/>
        </w:tabs>
        <w:spacing w:line="326" w:lineRule="exact"/>
        <w:rPr>
          <w:rFonts w:ascii="宋体" w:hAnsi="宋体"/>
          <w:b/>
          <w:sz w:val="28"/>
        </w:rPr>
      </w:pPr>
      <w:bookmarkStart w:id="16" w:name="page43"/>
      <w:bookmarkEnd w:id="16"/>
    </w:p>
    <w:p>
      <w:pPr>
        <w:pStyle w:val="2"/>
        <w:ind w:left="0" w:leftChars="0" w:firstLine="0" w:firstLineChars="0"/>
        <w:rPr>
          <w:rFonts w:ascii="宋体" w:hAnsi="宋体"/>
          <w:b/>
          <w:sz w:val="28"/>
        </w:rPr>
      </w:pPr>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3</w:t>
      </w:r>
      <w:r>
        <w:rPr>
          <w:rFonts w:eastAsia="Times New Roman"/>
        </w:rPr>
        <w:tab/>
      </w:r>
      <w:r>
        <w:rPr>
          <w:rFonts w:ascii="宋体" w:hAnsi="宋体"/>
          <w:b/>
          <w:sz w:val="27"/>
        </w:rPr>
        <w:t>资格审查条件（业绩最低要求）</w:t>
      </w:r>
    </w:p>
    <w:p>
      <w:pPr>
        <w:spacing w:line="200" w:lineRule="exact"/>
        <w:rPr>
          <w:rFonts w:eastAsia="Times New Roman"/>
        </w:rPr>
      </w:pPr>
      <w:r>
        <w:rPr>
          <w:rFonts w:ascii="MS PGothic" w:hAnsi="MS PGothic" w:eastAsia="MS PGothic"/>
          <w:b/>
          <w:sz w:val="27"/>
          <w:vertAlign w:val="superscript"/>
        </w:rPr>
        <w:pict>
          <v:line id="_x0000_s2114" o:spid="_x0000_s2114" o:spt="20" style="position:absolute;left:0pt;margin-left:-0.6pt;margin-top:14.45pt;height:0pt;width:441.5pt;z-index:-25164800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23kK9YAAAAIAQAADwAAAAAAAAABACAAAAAi&#10;AAAAZHJzL2Rvd25yZXYueG1sUEsBAhQAFAAAAAgAh07iQOoyWR3TAQAAjAMAAA4AAAAAAAAAAQAg&#10;AAAAJQEAAGRycy9lMm9Eb2MueG1sUEsFBgAAAAAGAAYAWQEAAGoFAAAAAA==&#10;">
            <v:path arrowok="t"/>
            <v:fill focussize="0,0"/>
            <v:stroke weight="0.48pt"/>
            <v:imagedata o:title=""/>
            <o:lock v:ext="edit"/>
          </v:line>
        </w:pict>
      </w:r>
      <w:r>
        <w:rPr>
          <w:rFonts w:ascii="MS PGothic" w:hAnsi="MS PGothic" w:eastAsia="MS PGothic"/>
          <w:b/>
          <w:sz w:val="27"/>
          <w:vertAlign w:val="superscript"/>
        </w:rPr>
        <w:pict>
          <v:line id="_x0000_s2113" o:spid="_x0000_s2113" o:spt="20" style="position:absolute;left:0pt;margin-left:-0.35pt;margin-top:14.2pt;height:570.3pt;width:0pt;z-index:-25164697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Cv9aonUAQAAjAMAAA4AAAAAAAAAAQAgAAAA&#10;IQEAAGRycy9lMm9Eb2MueG1sUEsFBgAAAAAGAAYAWQEAAGcFAAAAAA==&#10;">
            <v:path arrowok="t"/>
            <v:fill focussize="0,0"/>
            <v:stroke weight="0.47992125984252pt"/>
            <v:imagedata o:title=""/>
            <o:lock v:ext="edit"/>
          </v:line>
        </w:pict>
      </w:r>
      <w:r>
        <w:rPr>
          <w:rFonts w:ascii="MS PGothic" w:hAnsi="MS PGothic" w:eastAsia="MS PGothic"/>
          <w:b/>
          <w:sz w:val="27"/>
          <w:vertAlign w:val="superscript"/>
        </w:rPr>
        <w:pict>
          <v:line id="_x0000_s2112" o:spid="_x0000_s2112" o:spt="20" style="position:absolute;left:0pt;margin-left:-0.6pt;margin-top:63.65pt;height:0pt;width:441.5pt;z-index:-25164595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&#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vMJ50wAAAAoBAAAPAAAAAAAAAAEAIAAAACIAAABk&#10;cnMvZG93bnJldi54bWxQSwECFAAUAAAACACHTuJAlI+GydIBAACMAwAADgAAAAAAAAABACAAAAAi&#10;AQAAZHJzL2Uyb0RvYy54bWxQSwUGAAAAAAYABgBZAQAAZgUAAAAA&#10;">
            <v:path arrowok="t"/>
            <v:fill focussize="0,0"/>
            <v:stroke weight="0.47992125984252pt"/>
            <v:imagedata o:title=""/>
            <o:lock v:ext="edit"/>
          </v:line>
        </w:pict>
      </w:r>
      <w:r>
        <w:rPr>
          <w:rFonts w:ascii="MS PGothic" w:hAnsi="MS PGothic" w:eastAsia="MS PGothic"/>
          <w:b/>
          <w:sz w:val="27"/>
          <w:vertAlign w:val="superscript"/>
        </w:rPr>
        <w:pict>
          <v:line id="_x0000_s2111" o:spid="_x0000_s2111" o:spt="20" style="position:absolute;left:0pt;margin-left:440.7pt;margin-top:14.2pt;height:570.3pt;width:0pt;z-index:-25164492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8mfe1QAAAAsBAAAPAAAAAAAAAAEAIAAAACIA&#10;AABkcnMvZG93bnJldi54bWxQSwECFAAUAAAACACHTuJAn3VjndMBAACMAwAADgAAAAAAAAABACAA&#10;AAAkAQAAZHJzL2Uyb0RvYy54bWxQSwUGAAAAAAYABgBZAQAAaQUAAAAA&#10;">
            <v:path arrowok="t"/>
            <v:fill focussize="0,0"/>
            <v:stroke weight="0.47992125984252pt"/>
            <v:imagedata o:title=""/>
            <o:lock v:ext="edit"/>
          </v:line>
        </w:pict>
      </w:r>
    </w:p>
    <w:p>
      <w:pPr>
        <w:spacing w:line="200" w:lineRule="exact"/>
        <w:rPr>
          <w:rFonts w:eastAsia="Times New Roman"/>
        </w:rPr>
      </w:pPr>
    </w:p>
    <w:p>
      <w:pPr>
        <w:spacing w:line="309" w:lineRule="exact"/>
        <w:rPr>
          <w:rFonts w:eastAsia="Times New Roman"/>
        </w:rPr>
      </w:pPr>
    </w:p>
    <w:p>
      <w:pPr>
        <w:spacing w:line="239" w:lineRule="auto"/>
        <w:ind w:left="3820"/>
        <w:rPr>
          <w:rFonts w:ascii="宋体" w:hAnsi="宋体"/>
          <w:sz w:val="21"/>
        </w:rPr>
      </w:pPr>
      <w:r>
        <w:rPr>
          <w:rFonts w:ascii="宋体" w:hAnsi="宋体"/>
          <w:sz w:val="21"/>
        </w:rPr>
        <w:t>业 绩 要 求</w:t>
      </w:r>
    </w:p>
    <w:p>
      <w:pPr>
        <w:spacing w:line="200" w:lineRule="exact"/>
        <w:rPr>
          <w:rFonts w:eastAsia="Times New Roman"/>
        </w:rPr>
      </w:pPr>
      <w:r>
        <w:rPr>
          <w:rFonts w:ascii="宋体" w:hAnsi="宋体"/>
          <w:sz w:val="21"/>
        </w:rPr>
        <w:pict>
          <v:line id="_x0000_s2110" o:spid="_x0000_s2110" o:spt="20" style="position:absolute;left:0pt;margin-left:-0.6pt;margin-top:536.9pt;height:0pt;width:441.5pt;z-index:-251643904;mso-width-relative:page;mso-height-relative:page;" coordsize="21600,21600" o:allowincell="f"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ONiLdQAAAAMAQAADwAAAAAAAAABACAAAAAiAAAA&#10;ZHJzL2Rvd25yZXYueG1sUEsBAhQAFAAAAAgAh07iQM5LgsPSAQAAjAMAAA4AAAAAAAAAAQAgAAAA&#10;IwEAAGRycy9lMm9Eb2MueG1sUEsFBgAAAAAGAAYAWQEAAGcFA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480" w:lineRule="exact"/>
        <w:ind w:firstLine="480" w:firstLineChars="200"/>
        <w:rPr>
          <w:rFonts w:hint="eastAsia" w:ascii="宋体" w:hAnsi="宋体"/>
          <w:sz w:val="24"/>
          <w:szCs w:val="22"/>
        </w:rPr>
      </w:pPr>
      <w:r>
        <w:rPr>
          <w:rFonts w:hint="eastAsia" w:ascii="宋体" w:hAnsi="宋体"/>
          <w:sz w:val="24"/>
          <w:szCs w:val="22"/>
        </w:rPr>
        <w:t>自2016年1月1日（以交工验收日期为准）以来，企业有2项二级及以上公路</w:t>
      </w:r>
    </w:p>
    <w:p>
      <w:pPr>
        <w:spacing w:line="480" w:lineRule="exact"/>
        <w:rPr>
          <w:rFonts w:hint="eastAsia" w:ascii="宋体" w:hAnsi="宋体"/>
          <w:sz w:val="24"/>
          <w:szCs w:val="22"/>
        </w:rPr>
      </w:pPr>
      <w:r>
        <w:rPr>
          <w:rFonts w:hint="eastAsia" w:ascii="宋体" w:hAnsi="宋体"/>
          <w:sz w:val="24"/>
          <w:szCs w:val="22"/>
        </w:rPr>
        <w:t>工程施工业绩；</w:t>
      </w:r>
    </w:p>
    <w:p>
      <w:pPr>
        <w:spacing w:line="480" w:lineRule="exact"/>
        <w:ind w:firstLine="482" w:firstLineChars="200"/>
        <w:rPr>
          <w:rFonts w:hint="eastAsia" w:ascii="宋体" w:hAnsi="宋体"/>
          <w:b/>
          <w:bCs/>
          <w:sz w:val="24"/>
          <w:szCs w:val="22"/>
        </w:rPr>
      </w:pPr>
      <w:r>
        <w:rPr>
          <w:rFonts w:hint="eastAsia" w:ascii="宋体" w:hAnsi="宋体"/>
          <w:b/>
          <w:bCs/>
          <w:sz w:val="24"/>
          <w:szCs w:val="22"/>
        </w:rPr>
        <w:t>业绩证明材料需符合招标文件第二章投标人须知1.总则3.5资格审查资料</w:t>
      </w:r>
    </w:p>
    <w:p>
      <w:pPr>
        <w:spacing w:line="480" w:lineRule="exact"/>
        <w:rPr>
          <w:rFonts w:hint="eastAsia" w:ascii="宋体" w:hAnsi="宋体"/>
          <w:b/>
          <w:bCs/>
          <w:sz w:val="24"/>
          <w:szCs w:val="22"/>
        </w:rPr>
      </w:pPr>
      <w:r>
        <w:rPr>
          <w:rFonts w:hint="eastAsia" w:ascii="宋体" w:hAnsi="宋体"/>
          <w:b/>
          <w:bCs/>
          <w:sz w:val="24"/>
          <w:szCs w:val="22"/>
        </w:rPr>
        <w:t>3.5.3要求。</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rPr>
          <w:sz w:val="18"/>
        </w:rPr>
      </w:pPr>
      <w:bookmarkStart w:id="17" w:name="page44"/>
      <w:bookmarkEnd w:id="17"/>
    </w:p>
    <w:p>
      <w:pPr>
        <w:spacing w:line="239" w:lineRule="auto"/>
        <w:rPr>
          <w:sz w:val="18"/>
        </w:rPr>
      </w:pPr>
    </w:p>
    <w:p>
      <w:pPr>
        <w:tabs>
          <w:tab w:val="left" w:pos="2880"/>
        </w:tabs>
        <w:spacing w:line="326" w:lineRule="exact"/>
        <w:ind w:left="1840"/>
        <w:rPr>
          <w:rFonts w:ascii="宋体" w:hAnsi="宋体"/>
          <w:b/>
          <w:sz w:val="28"/>
        </w:rPr>
      </w:pPr>
    </w:p>
    <w:p>
      <w:pPr>
        <w:tabs>
          <w:tab w:val="left" w:pos="2880"/>
        </w:tabs>
        <w:spacing w:line="326" w:lineRule="exact"/>
        <w:ind w:left="1840"/>
        <w:rPr>
          <w:rFonts w:ascii="宋体" w:hAnsi="宋体"/>
          <w:b/>
          <w:sz w:val="27"/>
        </w:rPr>
      </w:pPr>
      <w:r>
        <w:rPr>
          <w:rFonts w:ascii="宋体" w:hAnsi="宋体"/>
          <w:b/>
          <w:sz w:val="28"/>
        </w:rPr>
        <w:t xml:space="preserve">附录 </w:t>
      </w:r>
      <w:r>
        <w:rPr>
          <w:rFonts w:ascii="黑体" w:hAnsi="黑体" w:eastAsia="黑体"/>
          <w:b/>
          <w:sz w:val="28"/>
        </w:rPr>
        <w:t>4</w:t>
      </w:r>
      <w:r>
        <w:rPr>
          <w:rFonts w:eastAsia="Times New Roman"/>
        </w:rPr>
        <w:tab/>
      </w:r>
      <w:r>
        <w:rPr>
          <w:rFonts w:ascii="宋体" w:hAnsi="宋体"/>
          <w:b/>
          <w:sz w:val="27"/>
        </w:rPr>
        <w:t>资格审查条件（信誉最低要求）</w:t>
      </w:r>
    </w:p>
    <w:p>
      <w:pPr>
        <w:tabs>
          <w:tab w:val="left" w:pos="2880"/>
        </w:tabs>
        <w:spacing w:line="326" w:lineRule="exact"/>
        <w:ind w:left="1840"/>
        <w:rPr>
          <w:rFonts w:eastAsia="Times New Roman"/>
        </w:rPr>
      </w:pPr>
      <w:r>
        <w:rPr>
          <w:rFonts w:ascii="MS PGothic" w:hAnsi="MS PGothic" w:eastAsia="MS PGothic"/>
          <w:b/>
          <w:sz w:val="27"/>
          <w:vertAlign w:val="superscript"/>
        </w:rPr>
        <w:pict>
          <v:line id="_x0000_s2109" o:spid="_x0000_s2109" o:spt="20" style="position:absolute;left:0pt;margin-left:-0.6pt;margin-top:14.45pt;height:0pt;width:441.5pt;z-index:-25164288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eQr1gAAAAgBAAAPAAAAAAAAAAEAIAAAACIA&#10;AABkcnMvZG93bnJldi54bWxQSwECFAAUAAAACACHTuJAsyjrmdIBAACMAwAADgAAAAAAAAABACAA&#10;AAAlAQAAZHJzL2Uyb0RvYy54bWxQSwUGAAAAAAYABgBZAQAAaQUAAAAA&#10;">
            <v:path arrowok="t"/>
            <v:fill focussize="0,0"/>
            <v:stroke weight="0.48pt"/>
            <v:imagedata o:title=""/>
            <o:lock v:ext="edit"/>
          </v:line>
        </w:pict>
      </w:r>
      <w:r>
        <w:rPr>
          <w:rFonts w:ascii="MS PGothic" w:hAnsi="MS PGothic" w:eastAsia="MS PGothic"/>
          <w:b/>
          <w:sz w:val="27"/>
          <w:vertAlign w:val="superscript"/>
        </w:rPr>
        <w:pict>
          <v:line id="_x0000_s2108" o:spid="_x0000_s2108" o:spt="20" style="position:absolute;left:0pt;margin-left:-0.35pt;margin-top:14.2pt;height:570.3pt;width:0pt;z-index:-25164185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mt8DNIAAAAHAQAADwAAAAAAAAABACAAAAAiAAAA&#10;ZHJzL2Rvd25yZXYueG1sUEsBAhQAFAAAAAgAh07iQP+Nv9fUAQAAjAMAAA4AAAAAAAAAAQAgAAAA&#10;IQEAAGRycy9lMm9Eb2MueG1sUEsFBgAAAAAGAAYAWQEAAGcFAAAAAA==&#10;">
            <v:path arrowok="t"/>
            <v:fill focussize="0,0"/>
            <v:stroke weight="0.47992125984252pt"/>
            <v:imagedata o:title=""/>
            <o:lock v:ext="edit"/>
          </v:line>
        </w:pict>
      </w:r>
      <w:r>
        <w:rPr>
          <w:rFonts w:ascii="MS PGothic" w:hAnsi="MS PGothic" w:eastAsia="MS PGothic"/>
          <w:b/>
          <w:sz w:val="27"/>
          <w:vertAlign w:val="superscript"/>
        </w:rPr>
        <w:pict>
          <v:line id="_x0000_s2107" o:spid="_x0000_s2107" o:spt="20" style="position:absolute;left:0pt;margin-left:-0.6pt;margin-top:63.65pt;height:0pt;width:441.5pt;z-index:-25164083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&#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bzCedMAAAAKAQAADwAAAAAAAAABACAAAAAiAAAA&#10;ZHJzL2Rvd25yZXYueG1sUEsBAhQAFAAAAAgAh07iQPR3WoPTAQAAjAMAAA4AAAAAAAAAAQAgAAAA&#10;IgEAAGRycy9lMm9Eb2MueG1sUEsFBgAAAAAGAAYAWQEAAGcFA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06" o:spid="_x0000_s2106" o:spt="20" style="position:absolute;left:0pt;flip:x;margin-left:440pt;margin-top:4.95pt;height:570.3pt;width:2.95pt;mso-wrap-distance-left:9pt;mso-wrap-distance-right:9pt;z-index:-251639808;mso-width-relative:page;mso-height-relative:page;" coordsize="21600,21600" wrapcoords="10251 0 10251 21532 23797 21532 23797 0 10251 0" o:allowincell="f" o:gfxdata="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pTl4TYAAAACgEA&#10;AA8AAAAAAAAAAQAgAAAAIgAAAGRycy9kb3ducmV2LnhtbFBLAQIUABQAAAAIAIdO4kBd6XPs4QEA&#10;AJoDAAAOAAAAAAAAAAEAIAAAACcBAABkcnMvZTJvRG9jLnhtbFBLBQYAAAAABgAGAFkBAAB6BQAA&#10;AAA=&#10;">
            <v:path arrowok="t"/>
            <v:fill focussize="0,0"/>
            <v:stroke weight="0.47992125984252pt"/>
            <v:imagedata o:title=""/>
            <o:lock v:ext="edit"/>
            <w10:wrap type="tight"/>
          </v:line>
        </w:pict>
      </w:r>
    </w:p>
    <w:p>
      <w:pPr>
        <w:spacing w:line="309" w:lineRule="exact"/>
        <w:rPr>
          <w:rFonts w:eastAsia="Times New Roman"/>
        </w:rPr>
      </w:pPr>
    </w:p>
    <w:p>
      <w:pPr>
        <w:spacing w:line="239" w:lineRule="auto"/>
        <w:ind w:left="3820"/>
        <w:rPr>
          <w:rFonts w:ascii="宋体" w:hAnsi="宋体"/>
          <w:sz w:val="21"/>
        </w:rPr>
      </w:pPr>
      <w:r>
        <w:rPr>
          <w:rFonts w:ascii="宋体" w:hAnsi="宋体"/>
          <w:sz w:val="21"/>
        </w:rPr>
        <w:t>信 誉 要 求</w:t>
      </w:r>
    </w:p>
    <w:p>
      <w:pPr>
        <w:spacing w:line="200" w:lineRule="exact"/>
        <w:rPr>
          <w:rFonts w:eastAsia="Times New Roman"/>
        </w:rPr>
      </w:pPr>
      <w:r>
        <w:rPr>
          <w:rFonts w:ascii="宋体" w:hAnsi="宋体"/>
          <w:sz w:val="21"/>
        </w:rPr>
        <w:pict>
          <v:line id="_x0000_s2105" o:spid="_x0000_s2105" o:spt="20" style="position:absolute;left:0pt;margin-left:-0.6pt;margin-top:536.9pt;height:0pt;width:441.5pt;z-index:-251638784;mso-width-relative:page;mso-height-relative:page;" coordsize="21600,21600" o:allowincell="f"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ONiLdQAAAAMAQAADwAAAAAAAAABACAAAAAiAAAA&#10;ZHJzL2Rvd25yZXYueG1sUEsBAhQAFAAAAAgAh07iQNrL7gjSAQAAjAMAAA4AAAAAAAAAAQAgAAAA&#10;IwEAAGRycy9lMm9Eb2MueG1sUEsFBgAAAAAGAAYAWQEAAGcFA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widowControl w:val="0"/>
        <w:numPr>
          <w:ilvl w:val="0"/>
          <w:numId w:val="2"/>
        </w:numPr>
        <w:tabs>
          <w:tab w:val="right" w:leader="dot" w:pos="8295"/>
        </w:tabs>
        <w:adjustRightInd w:val="0"/>
        <w:snapToGrid w:val="0"/>
        <w:spacing w:line="360" w:lineRule="auto"/>
        <w:ind w:firstLine="480" w:firstLineChars="200"/>
        <w:rPr>
          <w:spacing w:val="-12"/>
          <w:sz w:val="24"/>
        </w:rPr>
      </w:pPr>
      <w:r>
        <w:rPr>
          <w:rFonts w:hint="eastAsia"/>
          <w:sz w:val="24"/>
        </w:rPr>
        <w:t>按照最新的信用评价结果，被河南省交通运输厅或交通运输部信用等级评定为</w:t>
      </w:r>
      <w:r>
        <w:rPr>
          <w:sz w:val="24"/>
        </w:rPr>
        <w:t>D</w:t>
      </w:r>
      <w:r>
        <w:rPr>
          <w:rFonts w:hint="eastAsia"/>
          <w:sz w:val="24"/>
        </w:rPr>
        <w:t>级施工</w:t>
      </w:r>
      <w:r>
        <w:rPr>
          <w:rFonts w:hint="eastAsia"/>
          <w:spacing w:val="-12"/>
          <w:sz w:val="24"/>
        </w:rPr>
        <w:t>企业不得参与投标。</w:t>
      </w:r>
    </w:p>
    <w:p>
      <w:pPr>
        <w:widowControl w:val="0"/>
        <w:tabs>
          <w:tab w:val="right" w:leader="dot" w:pos="8295"/>
        </w:tabs>
        <w:adjustRightInd w:val="0"/>
        <w:snapToGrid w:val="0"/>
        <w:spacing w:line="360" w:lineRule="auto"/>
        <w:ind w:firstLine="480" w:firstLineChars="200"/>
        <w:rPr>
          <w:b/>
          <w:color w:val="FF0000"/>
          <w:sz w:val="24"/>
          <w:szCs w:val="22"/>
          <w:u w:val="single"/>
        </w:rPr>
      </w:pPr>
      <w:r>
        <w:rPr>
          <w:rFonts w:hint="eastAsia"/>
          <w:sz w:val="24"/>
          <w:szCs w:val="22"/>
        </w:rPr>
        <w:t>2、不接受投标人被“信用中国”和“信用河南”网站信用信息栏列入黑名单，以及被“国家企业信用信息公示系统”列入经营异常名录或严重失信黑名单的投标。</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tabs>
          <w:tab w:val="left" w:pos="1900"/>
        </w:tabs>
        <w:spacing w:line="326" w:lineRule="exact"/>
        <w:rPr>
          <w:sz w:val="18"/>
        </w:rPr>
      </w:pPr>
      <w:bookmarkStart w:id="18" w:name="page45"/>
      <w:bookmarkEnd w:id="18"/>
    </w:p>
    <w:p>
      <w:pPr>
        <w:tabs>
          <w:tab w:val="left" w:pos="1900"/>
        </w:tabs>
        <w:spacing w:line="326" w:lineRule="exact"/>
        <w:rPr>
          <w:sz w:val="18"/>
        </w:rPr>
      </w:pPr>
    </w:p>
    <w:p>
      <w:pPr>
        <w:tabs>
          <w:tab w:val="left" w:pos="1900"/>
        </w:tabs>
        <w:spacing w:line="326" w:lineRule="exact"/>
        <w:rPr>
          <w:sz w:val="18"/>
        </w:rPr>
      </w:pPr>
    </w:p>
    <w:p>
      <w:pPr>
        <w:tabs>
          <w:tab w:val="left" w:pos="1900"/>
        </w:tabs>
        <w:spacing w:line="326" w:lineRule="exact"/>
        <w:rPr>
          <w:sz w:val="18"/>
        </w:rPr>
      </w:pPr>
    </w:p>
    <w:p>
      <w:pPr>
        <w:pStyle w:val="2"/>
        <w:ind w:firstLine="340"/>
      </w:pPr>
    </w:p>
    <w:p>
      <w:pPr>
        <w:tabs>
          <w:tab w:val="left" w:pos="190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5</w:t>
      </w:r>
      <w:r>
        <w:rPr>
          <w:rFonts w:eastAsia="Times New Roman"/>
        </w:rPr>
        <w:tab/>
      </w:r>
      <w:r>
        <w:rPr>
          <w:rFonts w:ascii="宋体" w:hAnsi="宋体"/>
          <w:b/>
          <w:sz w:val="27"/>
        </w:rPr>
        <w:t>资格审查条件（项目经理和项目总工最低要求）</w:t>
      </w:r>
    </w:p>
    <w:p>
      <w:pPr>
        <w:spacing w:line="200" w:lineRule="exact"/>
      </w:pPr>
    </w:p>
    <w:tbl>
      <w:tblPr>
        <w:tblStyle w:val="10"/>
        <w:tblW w:w="9217" w:type="dxa"/>
        <w:jc w:val="center"/>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7"/>
        <w:gridCol w:w="994"/>
        <w:gridCol w:w="3685"/>
        <w:gridCol w:w="3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803" w:hRule="exact"/>
          <w:jc w:val="center"/>
        </w:trPr>
        <w:tc>
          <w:tcPr>
            <w:tcW w:w="1457" w:type="dxa"/>
            <w:vAlign w:val="center"/>
          </w:tcPr>
          <w:p>
            <w:pPr>
              <w:jc w:val="center"/>
              <w:rPr>
                <w:rFonts w:ascii="宋体" w:hAnsi="宋体"/>
                <w:sz w:val="24"/>
              </w:rPr>
            </w:pPr>
            <w:r>
              <w:rPr>
                <w:rFonts w:hint="eastAsia" w:ascii="宋体" w:hAnsi="宋体"/>
                <w:sz w:val="24"/>
              </w:rPr>
              <w:t>人  员</w:t>
            </w:r>
          </w:p>
        </w:tc>
        <w:tc>
          <w:tcPr>
            <w:tcW w:w="994" w:type="dxa"/>
            <w:vAlign w:val="center"/>
          </w:tcPr>
          <w:p>
            <w:pPr>
              <w:jc w:val="center"/>
              <w:rPr>
                <w:rFonts w:ascii="宋体" w:hAnsi="宋体"/>
                <w:sz w:val="24"/>
              </w:rPr>
            </w:pPr>
            <w:r>
              <w:rPr>
                <w:rFonts w:hint="eastAsia" w:ascii="宋体" w:hAnsi="宋体"/>
                <w:sz w:val="24"/>
              </w:rPr>
              <w:t>数  量</w:t>
            </w:r>
          </w:p>
        </w:tc>
        <w:tc>
          <w:tcPr>
            <w:tcW w:w="3685" w:type="dxa"/>
            <w:vAlign w:val="center"/>
          </w:tcPr>
          <w:p>
            <w:pPr>
              <w:jc w:val="center"/>
              <w:rPr>
                <w:rFonts w:ascii="宋体" w:hAnsi="宋体"/>
                <w:sz w:val="24"/>
              </w:rPr>
            </w:pPr>
            <w:r>
              <w:rPr>
                <w:rFonts w:hint="eastAsia" w:ascii="宋体" w:hAnsi="宋体"/>
                <w:sz w:val="24"/>
              </w:rPr>
              <w:t>资 格 要 求</w:t>
            </w:r>
          </w:p>
        </w:tc>
        <w:tc>
          <w:tcPr>
            <w:tcW w:w="3081" w:type="dxa"/>
          </w:tcPr>
          <w:p>
            <w:pPr>
              <w:jc w:val="center"/>
              <w:rPr>
                <w:rFonts w:ascii="宋体" w:hAnsi="宋体"/>
                <w:sz w:val="24"/>
              </w:rPr>
            </w:pPr>
            <w:r>
              <w:rPr>
                <w:rFonts w:ascii="宋体" w:hAnsi="宋体"/>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074" w:hRule="atLeast"/>
          <w:jc w:val="center"/>
        </w:trPr>
        <w:tc>
          <w:tcPr>
            <w:tcW w:w="1457" w:type="dxa"/>
            <w:vAlign w:val="center"/>
          </w:tcPr>
          <w:p>
            <w:pPr>
              <w:jc w:val="center"/>
              <w:rPr>
                <w:rFonts w:ascii="宋体" w:hAnsi="宋体"/>
                <w:sz w:val="24"/>
              </w:rPr>
            </w:pPr>
            <w:r>
              <w:rPr>
                <w:rFonts w:hint="eastAsia" w:ascii="宋体" w:hAnsi="宋体"/>
                <w:sz w:val="24"/>
              </w:rPr>
              <w:t>项目经理</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具备壹级及以上公路工程专业注册建造师执业资格，</w:t>
            </w:r>
            <w:r>
              <w:rPr>
                <w:rFonts w:hint="eastAsia" w:ascii="宋体" w:hAnsi="宋体"/>
                <w:b/>
                <w:bCs/>
                <w:sz w:val="24"/>
                <w:szCs w:val="22"/>
              </w:rPr>
              <w:t>具有交通运输主管部门颁发的安全生产考核合格B证，</w:t>
            </w:r>
            <w:r>
              <w:rPr>
                <w:rFonts w:hint="eastAsia" w:ascii="宋体" w:hAnsi="宋体"/>
                <w:sz w:val="24"/>
                <w:szCs w:val="22"/>
              </w:rPr>
              <w:t>且未担任其他</w:t>
            </w:r>
            <w:r>
              <w:rPr>
                <w:rFonts w:hint="eastAsia" w:ascii="宋体" w:hAnsi="宋体"/>
                <w:sz w:val="24"/>
              </w:rPr>
              <w:t>在施建设项目的项目经理。</w:t>
            </w:r>
          </w:p>
        </w:tc>
        <w:tc>
          <w:tcPr>
            <w:tcW w:w="3081" w:type="dxa"/>
            <w:vMerge w:val="restart"/>
          </w:tcPr>
          <w:p>
            <w:pPr>
              <w:rPr>
                <w:szCs w:val="21"/>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b/>
                <w:bCs/>
                <w:sz w:val="21"/>
                <w:szCs w:val="21"/>
              </w:rPr>
            </w:pPr>
            <w:r>
              <w:rPr>
                <w:rFonts w:hint="eastAsia" w:ascii="宋体" w:hAnsi="宋体"/>
                <w:sz w:val="24"/>
              </w:rPr>
              <w:t>无在岗项目（指目前未在其他项目上任职，或虽在其他项目上任职但本项目中标后能够从该项目撤离）</w:t>
            </w:r>
            <w:r>
              <w:rPr>
                <w:rFonts w:hint="eastAsia"/>
                <w:b/>
                <w:bCs/>
                <w:sz w:val="21"/>
                <w:szCs w:val="21"/>
              </w:rPr>
              <w:t>证明材料需符合招标文件第二章投标人须知1.总则3.5资格审查资料3.5.5要求。</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521" w:hRule="atLeast"/>
          <w:jc w:val="center"/>
        </w:trPr>
        <w:tc>
          <w:tcPr>
            <w:tcW w:w="1457" w:type="dxa"/>
            <w:vAlign w:val="center"/>
          </w:tcPr>
          <w:p>
            <w:pPr>
              <w:jc w:val="center"/>
              <w:rPr>
                <w:rFonts w:ascii="宋体" w:hAnsi="宋体"/>
                <w:sz w:val="24"/>
              </w:rPr>
            </w:pPr>
            <w:r>
              <w:rPr>
                <w:rFonts w:hint="eastAsia" w:ascii="宋体" w:hAnsi="宋体"/>
                <w:sz w:val="24"/>
              </w:rPr>
              <w:t>项目总工程师</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中级及以上相关专业技术职称，</w:t>
            </w:r>
            <w:r>
              <w:rPr>
                <w:rFonts w:hint="eastAsia" w:ascii="宋体" w:hAnsi="宋体"/>
                <w:b/>
                <w:bCs/>
                <w:sz w:val="24"/>
                <w:szCs w:val="22"/>
              </w:rPr>
              <w:t>具有交通运输主管部门颁发的安全生产考核合格B证。</w:t>
            </w:r>
          </w:p>
        </w:tc>
        <w:tc>
          <w:tcPr>
            <w:tcW w:w="3081" w:type="dxa"/>
            <w:vMerge w:val="continue"/>
          </w:tcPr>
          <w:p>
            <w:pPr>
              <w:rPr>
                <w:szCs w:val="21"/>
              </w:rPr>
            </w:pP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03" w:lineRule="exact"/>
      </w:pPr>
    </w:p>
    <w:p>
      <w:pPr>
        <w:pStyle w:val="2"/>
      </w:pPr>
    </w:p>
    <w:p>
      <w:pPr>
        <w:pStyle w:val="2"/>
      </w:pPr>
    </w:p>
    <w:p>
      <w:pPr>
        <w:pStyle w:val="2"/>
      </w:pPr>
    </w:p>
    <w:p>
      <w:pPr>
        <w:spacing w:line="303" w:lineRule="exact"/>
      </w:pPr>
    </w:p>
    <w:p>
      <w:pPr>
        <w:tabs>
          <w:tab w:val="left" w:pos="2000"/>
        </w:tabs>
        <w:spacing w:line="326" w:lineRule="exact"/>
        <w:ind w:left="96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6</w:t>
      </w:r>
      <w:r>
        <w:rPr>
          <w:rFonts w:eastAsia="Times New Roman"/>
        </w:rPr>
        <w:tab/>
      </w:r>
      <w:r>
        <w:rPr>
          <w:rFonts w:ascii="宋体" w:hAnsi="宋体"/>
          <w:b/>
          <w:sz w:val="27"/>
        </w:rPr>
        <w:t>资格审查条件（其他管理和技术人员最低要求）</w:t>
      </w:r>
    </w:p>
    <w:p>
      <w:pPr>
        <w:spacing w:line="265" w:lineRule="exact"/>
        <w:rPr>
          <w:rFonts w:eastAsia="Times New Roman"/>
        </w:rPr>
      </w:pPr>
    </w:p>
    <w:p>
      <w:pPr>
        <w:spacing w:line="264" w:lineRule="exact"/>
        <w:jc w:val="both"/>
        <w:rPr>
          <w:rFonts w:ascii="宋体" w:hAnsi="宋体"/>
          <w:sz w:val="18"/>
        </w:rPr>
        <w:sectPr>
          <w:pgSz w:w="11906" w:h="16838"/>
          <w:pgMar w:top="1440" w:right="1440" w:bottom="1440" w:left="1440" w:header="0" w:footer="567" w:gutter="0"/>
          <w:cols w:space="720" w:num="1"/>
          <w:docGrid w:linePitch="360" w:charSpace="0"/>
        </w:sectPr>
      </w:pPr>
    </w:p>
    <w:tbl>
      <w:tblPr>
        <w:tblStyle w:val="10"/>
        <w:tblpPr w:leftFromText="180" w:rightFromText="180" w:horzAnchor="margin" w:tblpY="2055"/>
        <w:tblW w:w="963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0"/>
        <w:gridCol w:w="1340"/>
        <w:gridCol w:w="4214"/>
        <w:gridCol w:w="25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trPr>
        <w:tc>
          <w:tcPr>
            <w:tcW w:w="1510" w:type="dxa"/>
            <w:vAlign w:val="center"/>
          </w:tcPr>
          <w:p>
            <w:pPr>
              <w:jc w:val="center"/>
              <w:rPr>
                <w:rFonts w:hint="eastAsia"/>
                <w:sz w:val="24"/>
                <w:szCs w:val="22"/>
              </w:rPr>
            </w:pPr>
            <w:r>
              <w:rPr>
                <w:rFonts w:hint="eastAsia"/>
                <w:sz w:val="24"/>
                <w:szCs w:val="22"/>
              </w:rPr>
              <w:t>人  员</w:t>
            </w:r>
          </w:p>
        </w:tc>
        <w:tc>
          <w:tcPr>
            <w:tcW w:w="1340" w:type="dxa"/>
            <w:vAlign w:val="center"/>
          </w:tcPr>
          <w:p>
            <w:pPr>
              <w:jc w:val="center"/>
              <w:rPr>
                <w:rFonts w:hint="eastAsia"/>
                <w:sz w:val="24"/>
                <w:szCs w:val="22"/>
              </w:rPr>
            </w:pPr>
            <w:r>
              <w:rPr>
                <w:rFonts w:hint="eastAsia"/>
                <w:sz w:val="24"/>
                <w:szCs w:val="22"/>
              </w:rPr>
              <w:t>数  量</w:t>
            </w:r>
          </w:p>
        </w:tc>
        <w:tc>
          <w:tcPr>
            <w:tcW w:w="4214" w:type="dxa"/>
            <w:vAlign w:val="center"/>
          </w:tcPr>
          <w:p>
            <w:pPr>
              <w:jc w:val="center"/>
              <w:rPr>
                <w:rFonts w:hint="eastAsia"/>
                <w:sz w:val="24"/>
                <w:szCs w:val="22"/>
              </w:rPr>
            </w:pPr>
            <w:r>
              <w:rPr>
                <w:rFonts w:hint="eastAsia"/>
                <w:sz w:val="24"/>
                <w:szCs w:val="22"/>
              </w:rPr>
              <w:t>资 格 要 求</w:t>
            </w:r>
          </w:p>
        </w:tc>
        <w:tc>
          <w:tcPr>
            <w:tcW w:w="256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31" w:hRule="exact"/>
        </w:trPr>
        <w:tc>
          <w:tcPr>
            <w:tcW w:w="1510" w:type="dxa"/>
            <w:vAlign w:val="center"/>
          </w:tcPr>
          <w:p>
            <w:pPr>
              <w:jc w:val="center"/>
              <w:rPr>
                <w:rFonts w:hint="eastAsia"/>
                <w:sz w:val="24"/>
                <w:szCs w:val="22"/>
              </w:rPr>
            </w:pPr>
            <w:r>
              <w:rPr>
                <w:rFonts w:hint="eastAsia"/>
                <w:sz w:val="24"/>
                <w:szCs w:val="22"/>
              </w:rPr>
              <w:t>合同、计划工程师</w:t>
            </w:r>
          </w:p>
        </w:tc>
        <w:tc>
          <w:tcPr>
            <w:tcW w:w="1340" w:type="dxa"/>
            <w:vAlign w:val="center"/>
          </w:tcPr>
          <w:p>
            <w:pPr>
              <w:jc w:val="center"/>
              <w:rPr>
                <w:rFonts w:hint="eastAsia"/>
                <w:sz w:val="24"/>
                <w:szCs w:val="22"/>
              </w:rPr>
            </w:pPr>
            <w:r>
              <w:rPr>
                <w:rFonts w:hint="eastAsia"/>
                <w:sz w:val="24"/>
                <w:szCs w:val="22"/>
              </w:rPr>
              <w:t>1</w:t>
            </w:r>
          </w:p>
        </w:tc>
        <w:tc>
          <w:tcPr>
            <w:tcW w:w="4214" w:type="dxa"/>
            <w:vAlign w:val="center"/>
          </w:tcPr>
          <w:p>
            <w:pPr>
              <w:jc w:val="center"/>
              <w:rPr>
                <w:rFonts w:hint="eastAsia"/>
                <w:sz w:val="24"/>
                <w:szCs w:val="22"/>
              </w:rPr>
            </w:pPr>
            <w:r>
              <w:rPr>
                <w:rFonts w:hint="eastAsia"/>
                <w:sz w:val="24"/>
                <w:szCs w:val="22"/>
              </w:rPr>
              <w:t>工程师，具有交通运输部颁发的公路工程甲级造价人员资格证。</w:t>
            </w:r>
          </w:p>
        </w:tc>
        <w:tc>
          <w:tcPr>
            <w:tcW w:w="2568" w:type="dxa"/>
            <w:vMerge w:val="restart"/>
            <w:vAlign w:val="center"/>
          </w:tcPr>
          <w:p>
            <w:pPr>
              <w:rPr>
                <w:b/>
                <w:color w:val="FF0000"/>
                <w:szCs w:val="21"/>
                <w:u w:val="single"/>
              </w:rPr>
            </w:pPr>
            <w:r>
              <w:rPr>
                <w:rFonts w:hint="eastAsia"/>
                <w:sz w:val="24"/>
                <w:szCs w:val="22"/>
              </w:rPr>
              <w:t>证明材料需符合招标文件第二章投标人须知1.总则3.5资格审查资料3.5.6要求。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6" w:hRule="exact"/>
        </w:trPr>
        <w:tc>
          <w:tcPr>
            <w:tcW w:w="1510" w:type="dxa"/>
            <w:vAlign w:val="center"/>
          </w:tcPr>
          <w:p>
            <w:pPr>
              <w:jc w:val="center"/>
              <w:rPr>
                <w:rFonts w:hint="eastAsia"/>
                <w:sz w:val="24"/>
                <w:szCs w:val="22"/>
              </w:rPr>
            </w:pPr>
            <w:r>
              <w:rPr>
                <w:rFonts w:hint="eastAsia"/>
                <w:sz w:val="24"/>
                <w:szCs w:val="22"/>
              </w:rPr>
              <w:t>财务负责人</w:t>
            </w:r>
          </w:p>
        </w:tc>
        <w:tc>
          <w:tcPr>
            <w:tcW w:w="1340" w:type="dxa"/>
            <w:vAlign w:val="center"/>
          </w:tcPr>
          <w:p>
            <w:pPr>
              <w:jc w:val="center"/>
              <w:rPr>
                <w:rFonts w:hint="eastAsia"/>
                <w:sz w:val="24"/>
                <w:szCs w:val="22"/>
              </w:rPr>
            </w:pPr>
            <w:r>
              <w:rPr>
                <w:rFonts w:hint="eastAsia"/>
                <w:sz w:val="24"/>
                <w:szCs w:val="22"/>
              </w:rPr>
              <w:t>1</w:t>
            </w:r>
          </w:p>
        </w:tc>
        <w:tc>
          <w:tcPr>
            <w:tcW w:w="4214" w:type="dxa"/>
            <w:vAlign w:val="center"/>
          </w:tcPr>
          <w:p>
            <w:pPr>
              <w:jc w:val="center"/>
              <w:rPr>
                <w:rFonts w:hint="eastAsia"/>
                <w:sz w:val="24"/>
                <w:szCs w:val="22"/>
              </w:rPr>
            </w:pPr>
            <w:r>
              <w:rPr>
                <w:rFonts w:hint="eastAsia"/>
                <w:sz w:val="24"/>
                <w:szCs w:val="22"/>
              </w:rPr>
              <w:t>会计师，具有会计专业中级及以上职称。</w:t>
            </w:r>
          </w:p>
        </w:tc>
        <w:tc>
          <w:tcPr>
            <w:tcW w:w="2568"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4" w:hRule="exact"/>
        </w:trPr>
        <w:tc>
          <w:tcPr>
            <w:tcW w:w="1510" w:type="dxa"/>
            <w:vAlign w:val="center"/>
          </w:tcPr>
          <w:p>
            <w:pPr>
              <w:jc w:val="center"/>
              <w:rPr>
                <w:rFonts w:hint="eastAsia"/>
                <w:sz w:val="24"/>
                <w:szCs w:val="22"/>
              </w:rPr>
            </w:pPr>
            <w:r>
              <w:rPr>
                <w:rFonts w:hint="eastAsia"/>
                <w:sz w:val="24"/>
                <w:szCs w:val="22"/>
              </w:rPr>
              <w:t>质检负责人</w:t>
            </w:r>
          </w:p>
        </w:tc>
        <w:tc>
          <w:tcPr>
            <w:tcW w:w="1340" w:type="dxa"/>
            <w:vAlign w:val="center"/>
          </w:tcPr>
          <w:p>
            <w:pPr>
              <w:jc w:val="center"/>
              <w:rPr>
                <w:rFonts w:hint="eastAsia"/>
                <w:sz w:val="24"/>
                <w:szCs w:val="22"/>
              </w:rPr>
            </w:pPr>
            <w:r>
              <w:rPr>
                <w:rFonts w:hint="eastAsia"/>
                <w:sz w:val="24"/>
                <w:szCs w:val="22"/>
              </w:rPr>
              <w:t>1</w:t>
            </w:r>
          </w:p>
        </w:tc>
        <w:tc>
          <w:tcPr>
            <w:tcW w:w="4214" w:type="dxa"/>
            <w:vAlign w:val="center"/>
          </w:tcPr>
          <w:p>
            <w:pPr>
              <w:jc w:val="center"/>
              <w:rPr>
                <w:rFonts w:hint="eastAsia"/>
                <w:sz w:val="24"/>
                <w:szCs w:val="22"/>
              </w:rPr>
            </w:pPr>
            <w:r>
              <w:rPr>
                <w:rFonts w:hint="eastAsia"/>
                <w:sz w:val="24"/>
                <w:szCs w:val="22"/>
              </w:rPr>
              <w:t>工程师，具有交通运输部颁发的试验检测工程师资格证书。</w:t>
            </w:r>
          </w:p>
        </w:tc>
        <w:tc>
          <w:tcPr>
            <w:tcW w:w="2568"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95" w:hRule="exact"/>
        </w:trPr>
        <w:tc>
          <w:tcPr>
            <w:tcW w:w="1510" w:type="dxa"/>
            <w:vAlign w:val="center"/>
          </w:tcPr>
          <w:p>
            <w:pPr>
              <w:jc w:val="center"/>
              <w:rPr>
                <w:rFonts w:hint="eastAsia"/>
                <w:sz w:val="24"/>
                <w:szCs w:val="22"/>
              </w:rPr>
            </w:pPr>
            <w:r>
              <w:rPr>
                <w:rFonts w:hint="eastAsia"/>
                <w:sz w:val="24"/>
                <w:szCs w:val="22"/>
              </w:rPr>
              <w:t>试验负责人</w:t>
            </w:r>
          </w:p>
        </w:tc>
        <w:tc>
          <w:tcPr>
            <w:tcW w:w="1340" w:type="dxa"/>
            <w:vAlign w:val="center"/>
          </w:tcPr>
          <w:p>
            <w:pPr>
              <w:jc w:val="center"/>
              <w:rPr>
                <w:rFonts w:hint="eastAsia"/>
                <w:sz w:val="24"/>
                <w:szCs w:val="22"/>
              </w:rPr>
            </w:pPr>
            <w:r>
              <w:rPr>
                <w:rFonts w:hint="eastAsia"/>
                <w:sz w:val="24"/>
                <w:szCs w:val="22"/>
              </w:rPr>
              <w:t>1</w:t>
            </w:r>
          </w:p>
        </w:tc>
        <w:tc>
          <w:tcPr>
            <w:tcW w:w="4214" w:type="dxa"/>
            <w:vAlign w:val="center"/>
          </w:tcPr>
          <w:p>
            <w:pPr>
              <w:jc w:val="center"/>
              <w:rPr>
                <w:rFonts w:hint="eastAsia"/>
                <w:sz w:val="24"/>
                <w:szCs w:val="22"/>
              </w:rPr>
            </w:pPr>
            <w:r>
              <w:rPr>
                <w:rFonts w:hint="eastAsia"/>
                <w:sz w:val="24"/>
                <w:szCs w:val="22"/>
              </w:rPr>
              <w:t>工程师，具有交通运输部颁发的试验检测工程师资格证。</w:t>
            </w:r>
          </w:p>
        </w:tc>
        <w:tc>
          <w:tcPr>
            <w:tcW w:w="2568"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6" w:hRule="exact"/>
        </w:trPr>
        <w:tc>
          <w:tcPr>
            <w:tcW w:w="1510" w:type="dxa"/>
            <w:vAlign w:val="center"/>
          </w:tcPr>
          <w:p>
            <w:pPr>
              <w:jc w:val="center"/>
              <w:rPr>
                <w:rFonts w:hint="eastAsia"/>
                <w:sz w:val="24"/>
                <w:szCs w:val="22"/>
              </w:rPr>
            </w:pPr>
            <w:r>
              <w:rPr>
                <w:rFonts w:hint="eastAsia"/>
                <w:sz w:val="24"/>
                <w:szCs w:val="22"/>
              </w:rPr>
              <w:t>安全负责人</w:t>
            </w:r>
          </w:p>
        </w:tc>
        <w:tc>
          <w:tcPr>
            <w:tcW w:w="1340" w:type="dxa"/>
            <w:vAlign w:val="center"/>
          </w:tcPr>
          <w:p>
            <w:pPr>
              <w:jc w:val="center"/>
              <w:rPr>
                <w:rFonts w:hint="eastAsia"/>
                <w:sz w:val="24"/>
                <w:szCs w:val="22"/>
              </w:rPr>
            </w:pPr>
            <w:r>
              <w:rPr>
                <w:rFonts w:hint="eastAsia"/>
                <w:sz w:val="24"/>
                <w:szCs w:val="22"/>
              </w:rPr>
              <w:t>1</w:t>
            </w:r>
          </w:p>
        </w:tc>
        <w:tc>
          <w:tcPr>
            <w:tcW w:w="4214" w:type="dxa"/>
            <w:vAlign w:val="center"/>
          </w:tcPr>
          <w:p>
            <w:pPr>
              <w:jc w:val="center"/>
              <w:rPr>
                <w:rFonts w:hint="eastAsia"/>
                <w:sz w:val="24"/>
                <w:szCs w:val="22"/>
              </w:rPr>
            </w:pPr>
            <w:r>
              <w:rPr>
                <w:rFonts w:hint="eastAsia"/>
                <w:sz w:val="24"/>
                <w:szCs w:val="22"/>
              </w:rPr>
              <w:t>助理工程师，具有交通运输部颁发的交安C类公路行业安全生产考核合格证。</w:t>
            </w:r>
          </w:p>
        </w:tc>
        <w:tc>
          <w:tcPr>
            <w:tcW w:w="2568" w:type="dxa"/>
            <w:vMerge w:val="continue"/>
            <w:vAlign w:val="center"/>
          </w:tcPr>
          <w:p>
            <w:pPr>
              <w:rPr>
                <w:szCs w:val="21"/>
              </w:rPr>
            </w:pPr>
          </w:p>
        </w:tc>
      </w:tr>
    </w:tbl>
    <w:p>
      <w:pPr>
        <w:spacing w:line="239" w:lineRule="auto"/>
        <w:rPr>
          <w:sz w:val="18"/>
        </w:rPr>
        <w:sectPr>
          <w:type w:val="continuous"/>
          <w:pgSz w:w="11906" w:h="16838"/>
          <w:pgMar w:top="1440" w:right="1440" w:bottom="1440" w:left="1440" w:header="0" w:footer="0" w:gutter="0"/>
          <w:cols w:space="720" w:num="1"/>
          <w:docGrid w:linePitch="360" w:charSpace="0"/>
        </w:sectPr>
      </w:pPr>
    </w:p>
    <w:p>
      <w:pPr>
        <w:spacing w:line="0" w:lineRule="atLeast"/>
        <w:rPr>
          <w:rFonts w:eastAsia="Times New Roman"/>
        </w:rPr>
      </w:pPr>
      <w:bookmarkStart w:id="19" w:name="page48"/>
      <w:bookmarkEnd w:id="19"/>
      <w:bookmarkStart w:id="20" w:name="page47"/>
      <w:bookmarkEnd w:id="20"/>
      <w:r>
        <w:rPr>
          <w:rFonts w:ascii="黑体" w:hAnsi="黑体" w:eastAsia="黑体"/>
          <w:b/>
          <w:sz w:val="28"/>
        </w:rPr>
        <w:t xml:space="preserve">1. </w:t>
      </w:r>
      <w:r>
        <w:rPr>
          <w:rFonts w:ascii="宋体" w:hAnsi="宋体"/>
          <w:b/>
          <w:sz w:val="28"/>
        </w:rPr>
        <w:t>总则</w:t>
      </w:r>
    </w:p>
    <w:p>
      <w:pPr>
        <w:numPr>
          <w:ilvl w:val="0"/>
          <w:numId w:val="3"/>
        </w:numPr>
        <w:tabs>
          <w:tab w:val="left" w:pos="480"/>
        </w:tabs>
        <w:spacing w:line="0" w:lineRule="atLeast"/>
        <w:ind w:left="480" w:hanging="471"/>
        <w:jc w:val="both"/>
        <w:rPr>
          <w:rFonts w:ascii="黑体" w:hAnsi="黑体" w:eastAsia="黑体"/>
          <w:sz w:val="24"/>
        </w:rPr>
      </w:pPr>
      <w:r>
        <w:rPr>
          <w:rFonts w:ascii="宋体" w:hAnsi="宋体"/>
          <w:b/>
          <w:sz w:val="24"/>
        </w:rPr>
        <w:t>项目概况</w:t>
      </w:r>
    </w:p>
    <w:p>
      <w:pPr>
        <w:numPr>
          <w:ilvl w:val="1"/>
          <w:numId w:val="3"/>
        </w:numPr>
        <w:tabs>
          <w:tab w:val="left" w:pos="1080"/>
        </w:tabs>
        <w:spacing w:line="323" w:lineRule="auto"/>
        <w:ind w:left="-120" w:firstLine="609"/>
        <w:rPr>
          <w:rFonts w:eastAsia="Times New Roman"/>
          <w:sz w:val="24"/>
        </w:rPr>
      </w:pPr>
      <w:r>
        <w:rPr>
          <w:rFonts w:ascii="宋体" w:hAnsi="宋体"/>
          <w:sz w:val="24"/>
        </w:rPr>
        <w:t>根据《中华人民共和国招标投标法》《中华人民共和国招标投标法实施条例》《公路工程建设项目招标投标管理办法》等有关法律、法规和规章的规定，本招标项目已具备招标条件，现对本标段施工进行招标。</w:t>
      </w:r>
    </w:p>
    <w:p>
      <w:pPr>
        <w:tabs>
          <w:tab w:val="left" w:pos="1080"/>
        </w:tabs>
        <w:spacing w:line="323" w:lineRule="auto"/>
        <w:ind w:firstLine="480" w:firstLineChars="200"/>
        <w:rPr>
          <w:rFonts w:ascii="宋体" w:hAnsi="宋体"/>
          <w:sz w:val="24"/>
        </w:rPr>
      </w:pPr>
      <w:r>
        <w:rPr>
          <w:rFonts w:hint="eastAsia" w:ascii="宋体" w:hAnsi="宋体"/>
          <w:sz w:val="24"/>
        </w:rPr>
        <w:t>1.1.2 本招标项目招标人：见投标人须知前附表。</w:t>
      </w:r>
    </w:p>
    <w:p>
      <w:pPr>
        <w:tabs>
          <w:tab w:val="left" w:pos="1080"/>
        </w:tabs>
        <w:spacing w:line="323" w:lineRule="auto"/>
        <w:ind w:firstLine="480" w:firstLineChars="200"/>
        <w:rPr>
          <w:rFonts w:ascii="宋体" w:hAnsi="宋体"/>
          <w:sz w:val="24"/>
        </w:rPr>
      </w:pPr>
      <w:r>
        <w:rPr>
          <w:rFonts w:hint="eastAsia" w:ascii="宋体" w:hAnsi="宋体"/>
          <w:sz w:val="24"/>
        </w:rPr>
        <w:t>1.1.3 本标段招标代理机构：见投标人须知前附表。</w:t>
      </w:r>
    </w:p>
    <w:p>
      <w:pPr>
        <w:tabs>
          <w:tab w:val="left" w:pos="1080"/>
        </w:tabs>
        <w:spacing w:line="323" w:lineRule="auto"/>
        <w:ind w:firstLine="480" w:firstLineChars="200"/>
        <w:rPr>
          <w:rFonts w:ascii="宋体" w:hAnsi="宋体"/>
          <w:sz w:val="24"/>
        </w:rPr>
      </w:pPr>
      <w:r>
        <w:rPr>
          <w:rFonts w:hint="eastAsia" w:ascii="宋体" w:hAnsi="宋体"/>
          <w:sz w:val="24"/>
        </w:rPr>
        <w:t>1.1.4 本招标项目名称：见投标人须知前附表。</w:t>
      </w:r>
    </w:p>
    <w:p>
      <w:pPr>
        <w:tabs>
          <w:tab w:val="left" w:pos="1080"/>
        </w:tabs>
        <w:spacing w:line="323" w:lineRule="auto"/>
        <w:ind w:firstLine="480" w:firstLineChars="200"/>
        <w:rPr>
          <w:rFonts w:eastAsia="Times New Roman"/>
        </w:rPr>
      </w:pPr>
      <w:r>
        <w:rPr>
          <w:rFonts w:hint="eastAsia" w:ascii="宋体" w:hAnsi="宋体"/>
          <w:sz w:val="24"/>
        </w:rPr>
        <w:t>1.1.5 本标段建设地点：见投标人须知前附表。</w:t>
      </w:r>
    </w:p>
    <w:p>
      <w:pPr>
        <w:numPr>
          <w:ilvl w:val="0"/>
          <w:numId w:val="4"/>
        </w:numPr>
        <w:tabs>
          <w:tab w:val="left" w:pos="480"/>
        </w:tabs>
        <w:spacing w:line="0" w:lineRule="atLeast"/>
        <w:ind w:left="480" w:hanging="471"/>
        <w:jc w:val="both"/>
        <w:rPr>
          <w:rFonts w:ascii="黑体" w:hAnsi="黑体" w:eastAsia="黑体"/>
          <w:sz w:val="24"/>
        </w:rPr>
      </w:pPr>
      <w:r>
        <w:rPr>
          <w:rFonts w:ascii="宋体" w:hAnsi="宋体"/>
          <w:b/>
          <w:sz w:val="24"/>
        </w:rPr>
        <w:t>招标项目的资金来源和落实情况</w:t>
      </w:r>
    </w:p>
    <w:p>
      <w:pPr>
        <w:tabs>
          <w:tab w:val="left" w:pos="1080"/>
        </w:tabs>
        <w:spacing w:line="323" w:lineRule="auto"/>
        <w:ind w:firstLine="480" w:firstLineChars="200"/>
        <w:rPr>
          <w:rFonts w:ascii="宋体" w:hAnsi="宋体"/>
          <w:sz w:val="24"/>
          <w:szCs w:val="22"/>
        </w:rPr>
      </w:pPr>
      <w:r>
        <w:rPr>
          <w:rFonts w:hint="eastAsia" w:ascii="宋体" w:hAnsi="宋体"/>
          <w:sz w:val="24"/>
          <w:szCs w:val="22"/>
        </w:rPr>
        <w:t>1.2.1资金来源及比例：见投标人须知前附表。</w:t>
      </w:r>
    </w:p>
    <w:p>
      <w:pPr>
        <w:tabs>
          <w:tab w:val="left" w:pos="1080"/>
        </w:tabs>
        <w:spacing w:line="323" w:lineRule="auto"/>
        <w:ind w:firstLine="480" w:firstLineChars="200"/>
        <w:rPr>
          <w:rFonts w:ascii="宋体" w:hAnsi="宋体"/>
          <w:sz w:val="24"/>
          <w:szCs w:val="22"/>
        </w:rPr>
      </w:pPr>
      <w:r>
        <w:rPr>
          <w:rFonts w:hint="eastAsia" w:ascii="宋体" w:hAnsi="宋体"/>
          <w:sz w:val="24"/>
          <w:szCs w:val="22"/>
        </w:rPr>
        <w:t>1.2.2资金落实情况：见投标人须知前附表。</w:t>
      </w:r>
    </w:p>
    <w:p>
      <w:pPr>
        <w:numPr>
          <w:ilvl w:val="0"/>
          <w:numId w:val="4"/>
        </w:numPr>
        <w:tabs>
          <w:tab w:val="left" w:pos="480"/>
        </w:tabs>
        <w:spacing w:line="0" w:lineRule="atLeast"/>
        <w:ind w:left="480" w:hanging="471"/>
        <w:jc w:val="both"/>
        <w:rPr>
          <w:rFonts w:ascii="黑体" w:hAnsi="黑体" w:eastAsia="黑体"/>
          <w:sz w:val="24"/>
        </w:rPr>
      </w:pPr>
      <w:r>
        <w:rPr>
          <w:rFonts w:ascii="宋体" w:hAnsi="宋体"/>
          <w:b/>
          <w:sz w:val="24"/>
        </w:rPr>
        <w:t>招标范围、计划工期、质量要求和安全目标</w:t>
      </w:r>
    </w:p>
    <w:p>
      <w:pPr>
        <w:spacing w:line="400" w:lineRule="exact"/>
        <w:ind w:firstLine="480" w:firstLineChars="200"/>
        <w:rPr>
          <w:rFonts w:ascii="宋体" w:hAnsi="宋体"/>
          <w:sz w:val="24"/>
        </w:rPr>
      </w:pPr>
      <w:r>
        <w:rPr>
          <w:rFonts w:ascii="宋体" w:hAnsi="宋体"/>
          <w:sz w:val="24"/>
        </w:rPr>
        <w:t>1.3.1 本次招标范围：见投标人须知前附表。</w:t>
      </w:r>
    </w:p>
    <w:p>
      <w:pPr>
        <w:spacing w:line="400" w:lineRule="exact"/>
        <w:ind w:firstLine="480" w:firstLineChars="200"/>
        <w:rPr>
          <w:rFonts w:ascii="宋体" w:hAnsi="宋体"/>
          <w:sz w:val="24"/>
        </w:rPr>
      </w:pPr>
      <w:r>
        <w:rPr>
          <w:rFonts w:ascii="宋体" w:hAnsi="宋体"/>
          <w:sz w:val="24"/>
        </w:rPr>
        <w:t>1.3.2 本标段的计划工期：见投标人须知前附表。</w:t>
      </w:r>
    </w:p>
    <w:p>
      <w:pPr>
        <w:spacing w:line="400" w:lineRule="exact"/>
        <w:ind w:firstLine="480" w:firstLineChars="200"/>
        <w:rPr>
          <w:rFonts w:ascii="宋体" w:hAnsi="宋体"/>
          <w:sz w:val="24"/>
        </w:rPr>
      </w:pPr>
      <w:r>
        <w:rPr>
          <w:rFonts w:ascii="宋体" w:hAnsi="宋体"/>
          <w:sz w:val="24"/>
        </w:rPr>
        <w:t>1.3.3 本标段的质量要求：见投标人须知前附表。</w:t>
      </w:r>
    </w:p>
    <w:p>
      <w:pPr>
        <w:spacing w:line="97" w:lineRule="exact"/>
        <w:rPr>
          <w:rFonts w:eastAsia="Times New Roman"/>
        </w:rPr>
      </w:pPr>
    </w:p>
    <w:p>
      <w:pPr>
        <w:spacing w:line="400" w:lineRule="exact"/>
        <w:ind w:firstLine="480" w:firstLineChars="200"/>
        <w:rPr>
          <w:rFonts w:eastAsia="Times New Roman"/>
        </w:rPr>
      </w:pPr>
      <w:r>
        <w:rPr>
          <w:rFonts w:ascii="宋体" w:hAnsi="宋体"/>
          <w:sz w:val="24"/>
        </w:rPr>
        <w:t>1.3.4 本标段的安全目标：见投标人须知前附表。</w:t>
      </w:r>
    </w:p>
    <w:p>
      <w:pPr>
        <w:numPr>
          <w:ilvl w:val="0"/>
          <w:numId w:val="5"/>
        </w:numPr>
        <w:tabs>
          <w:tab w:val="left" w:pos="480"/>
        </w:tabs>
        <w:spacing w:line="0" w:lineRule="atLeast"/>
        <w:ind w:left="480" w:hanging="471"/>
        <w:jc w:val="both"/>
        <w:rPr>
          <w:rFonts w:ascii="黑体" w:hAnsi="黑体" w:eastAsia="黑体"/>
          <w:sz w:val="24"/>
        </w:rPr>
      </w:pPr>
      <w:r>
        <w:rPr>
          <w:rFonts w:ascii="宋体" w:hAnsi="宋体"/>
          <w:b/>
          <w:sz w:val="24"/>
        </w:rPr>
        <w:t>投标人资格要求</w:t>
      </w:r>
    </w:p>
    <w:p>
      <w:pPr>
        <w:numPr>
          <w:ilvl w:val="1"/>
          <w:numId w:val="5"/>
        </w:numPr>
        <w:tabs>
          <w:tab w:val="left" w:pos="1080"/>
        </w:tabs>
        <w:spacing w:line="326" w:lineRule="auto"/>
        <w:ind w:left="360" w:firstLine="129"/>
        <w:rPr>
          <w:rFonts w:eastAsia="Times New Roman"/>
          <w:sz w:val="24"/>
        </w:rPr>
      </w:pPr>
      <w:r>
        <w:rPr>
          <w:rFonts w:ascii="宋体" w:hAnsi="宋体"/>
          <w:sz w:val="24"/>
        </w:rPr>
        <w:t>投标人应具备承担本标段施工的资质条件、能力和信誉。</w:t>
      </w:r>
    </w:p>
    <w:p>
      <w:pPr>
        <w:tabs>
          <w:tab w:val="left" w:pos="1080"/>
        </w:tabs>
        <w:spacing w:line="326" w:lineRule="auto"/>
        <w:ind w:left="489" w:firstLine="110" w:firstLineChars="46"/>
        <w:rPr>
          <w:rFonts w:eastAsia="Times New Roman"/>
          <w:sz w:val="24"/>
        </w:rPr>
      </w:pPr>
      <w:r>
        <w:rPr>
          <w:rFonts w:ascii="宋体" w:hAnsi="宋体"/>
          <w:sz w:val="24"/>
        </w:rPr>
        <w:t>（</w:t>
      </w:r>
      <w:r>
        <w:rPr>
          <w:rFonts w:eastAsia="Times New Roman"/>
          <w:sz w:val="24"/>
        </w:rPr>
        <w:t>1</w:t>
      </w:r>
      <w:r>
        <w:rPr>
          <w:rFonts w:ascii="宋体" w:hAnsi="宋体"/>
          <w:sz w:val="24"/>
        </w:rPr>
        <w:t>）资质要求：见投标人须知前附表；</w:t>
      </w:r>
    </w:p>
    <w:p>
      <w:pPr>
        <w:tabs>
          <w:tab w:val="left" w:pos="1080"/>
        </w:tabs>
        <w:spacing w:line="326" w:lineRule="auto"/>
        <w:ind w:firstLine="600" w:firstLineChars="250"/>
        <w:rPr>
          <w:rFonts w:ascii="宋体" w:hAnsi="宋体"/>
          <w:sz w:val="24"/>
        </w:rPr>
      </w:pPr>
      <w:r>
        <w:rPr>
          <w:rFonts w:ascii="宋体" w:hAnsi="宋体"/>
          <w:sz w:val="24"/>
        </w:rPr>
        <w:t>（</w:t>
      </w:r>
      <w:r>
        <w:rPr>
          <w:rFonts w:eastAsia="Times New Roman"/>
          <w:sz w:val="24"/>
        </w:rPr>
        <w:t>2</w:t>
      </w:r>
      <w:r>
        <w:rPr>
          <w:rFonts w:ascii="宋体" w:hAnsi="宋体"/>
          <w:sz w:val="24"/>
        </w:rPr>
        <w:t>）财务要求：见投标人须知前附表；</w:t>
      </w:r>
    </w:p>
    <w:p>
      <w:pPr>
        <w:tabs>
          <w:tab w:val="left" w:pos="1080"/>
        </w:tabs>
        <w:spacing w:line="326" w:lineRule="auto"/>
        <w:ind w:left="360" w:firstLine="240" w:firstLineChars="100"/>
        <w:rPr>
          <w:rFonts w:ascii="宋体" w:hAnsi="宋体"/>
          <w:sz w:val="24"/>
        </w:rPr>
      </w:pPr>
      <w:r>
        <w:rPr>
          <w:rFonts w:ascii="宋体" w:hAnsi="宋体"/>
          <w:sz w:val="24"/>
        </w:rPr>
        <w:t>（</w:t>
      </w:r>
      <w:r>
        <w:rPr>
          <w:rFonts w:eastAsia="Times New Roman"/>
          <w:sz w:val="24"/>
        </w:rPr>
        <w:t>3</w:t>
      </w:r>
      <w:r>
        <w:rPr>
          <w:rFonts w:ascii="宋体" w:hAnsi="宋体"/>
          <w:sz w:val="24"/>
        </w:rPr>
        <w:t>）业绩要求：见投标人须知前附表；</w:t>
      </w:r>
    </w:p>
    <w:p>
      <w:pPr>
        <w:tabs>
          <w:tab w:val="left" w:pos="1080"/>
        </w:tabs>
        <w:spacing w:line="326" w:lineRule="auto"/>
        <w:ind w:left="360" w:firstLine="240" w:firstLineChars="100"/>
        <w:rPr>
          <w:sz w:val="24"/>
        </w:rPr>
      </w:pPr>
      <w:r>
        <w:rPr>
          <w:rFonts w:ascii="宋体" w:hAnsi="宋体"/>
          <w:sz w:val="24"/>
        </w:rPr>
        <w:t>（</w:t>
      </w:r>
      <w:r>
        <w:rPr>
          <w:rFonts w:eastAsia="Times New Roman"/>
          <w:sz w:val="24"/>
        </w:rPr>
        <w:t>4</w:t>
      </w:r>
      <w:r>
        <w:rPr>
          <w:rFonts w:ascii="宋体" w:hAnsi="宋体"/>
          <w:sz w:val="24"/>
        </w:rPr>
        <w:t>）信誉要求：见投标人须知前附表；</w:t>
      </w:r>
    </w:p>
    <w:p>
      <w:pPr>
        <w:spacing w:line="306" w:lineRule="auto"/>
        <w:ind w:left="360" w:firstLine="240" w:firstLineChars="100"/>
        <w:jc w:val="both"/>
        <w:rPr>
          <w:rFonts w:ascii="宋体" w:hAnsi="宋体"/>
          <w:sz w:val="24"/>
        </w:rPr>
      </w:pPr>
      <w:r>
        <w:rPr>
          <w:rFonts w:ascii="宋体" w:hAnsi="宋体"/>
          <w:sz w:val="24"/>
        </w:rPr>
        <w:t>（</w:t>
      </w:r>
      <w:r>
        <w:rPr>
          <w:rFonts w:eastAsia="Times New Roman"/>
          <w:sz w:val="24"/>
        </w:rPr>
        <w:t>5</w:t>
      </w:r>
      <w:r>
        <w:rPr>
          <w:rFonts w:ascii="宋体" w:hAnsi="宋体"/>
          <w:sz w:val="24"/>
        </w:rPr>
        <w:t>）项目经理和项目总工资格：见投标人须知前附表；</w:t>
      </w:r>
    </w:p>
    <w:p>
      <w:pPr>
        <w:spacing w:line="306" w:lineRule="auto"/>
        <w:ind w:left="360" w:firstLine="240" w:firstLineChars="100"/>
        <w:jc w:val="both"/>
        <w:rPr>
          <w:rFonts w:ascii="宋体" w:hAnsi="宋体"/>
          <w:sz w:val="24"/>
        </w:rPr>
      </w:pPr>
      <w:r>
        <w:rPr>
          <w:rFonts w:ascii="宋体" w:hAnsi="宋体"/>
          <w:sz w:val="24"/>
        </w:rPr>
        <w:t>（</w:t>
      </w:r>
      <w:r>
        <w:rPr>
          <w:rFonts w:eastAsia="Times New Roman"/>
          <w:sz w:val="24"/>
        </w:rPr>
        <w:t>6</w:t>
      </w:r>
      <w:r>
        <w:rPr>
          <w:rFonts w:ascii="宋体" w:hAnsi="宋体"/>
          <w:sz w:val="24"/>
        </w:rPr>
        <w:t>）其他要求：见投标人须知前附表。</w:t>
      </w:r>
    </w:p>
    <w:p>
      <w:pPr>
        <w:spacing w:line="29" w:lineRule="exact"/>
        <w:rPr>
          <w:rFonts w:eastAsia="Times New Roman"/>
          <w:sz w:val="24"/>
        </w:rPr>
      </w:pPr>
    </w:p>
    <w:p>
      <w:pPr>
        <w:spacing w:line="0" w:lineRule="atLeast"/>
        <w:ind w:left="480"/>
        <w:jc w:val="both"/>
        <w:rPr>
          <w:rFonts w:ascii="宋体" w:hAnsi="宋体"/>
          <w:sz w:val="24"/>
        </w:rPr>
      </w:pPr>
      <w:r>
        <w:rPr>
          <w:rFonts w:ascii="宋体" w:hAnsi="宋体"/>
          <w:sz w:val="24"/>
        </w:rPr>
        <w:t xml:space="preserve">需要提交的相关证明材料见本章第 </w:t>
      </w:r>
      <w:r>
        <w:rPr>
          <w:rFonts w:eastAsia="Times New Roman"/>
          <w:sz w:val="24"/>
        </w:rPr>
        <w:t>3.5</w:t>
      </w:r>
      <w:r>
        <w:rPr>
          <w:rFonts w:ascii="宋体" w:hAnsi="宋体"/>
          <w:sz w:val="24"/>
        </w:rPr>
        <w:t xml:space="preserve"> 款的规定。</w:t>
      </w:r>
    </w:p>
    <w:p>
      <w:pPr>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spacing w:line="400" w:lineRule="exact"/>
        <w:ind w:firstLine="480" w:firstLineChars="200"/>
        <w:rPr>
          <w:rFonts w:ascii="宋体" w:hAnsi="宋体"/>
          <w:sz w:val="24"/>
        </w:rPr>
      </w:pPr>
      <w:r>
        <w:rPr>
          <w:rFonts w:ascii="宋体" w:hAnsi="宋体"/>
          <w:sz w:val="24"/>
        </w:rPr>
        <w:t>1.4.3 投标人不得存在下列情形之一：</w:t>
      </w:r>
    </w:p>
    <w:p>
      <w:pPr>
        <w:spacing w:line="400" w:lineRule="exact"/>
        <w:ind w:firstLine="480" w:firstLineChars="200"/>
        <w:rPr>
          <w:rFonts w:ascii="宋体" w:hAnsi="宋体"/>
          <w:sz w:val="24"/>
        </w:rPr>
      </w:pPr>
      <w:r>
        <w:rPr>
          <w:rFonts w:ascii="宋体" w:hAnsi="宋体"/>
          <w:sz w:val="24"/>
        </w:rPr>
        <w:t>（1）为招标人不具有独立法人资格的附属机构（单位）；</w:t>
      </w:r>
    </w:p>
    <w:p>
      <w:pPr>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spacing w:line="400" w:lineRule="exact"/>
        <w:ind w:firstLine="480" w:firstLineChars="200"/>
        <w:rPr>
          <w:rFonts w:ascii="宋体" w:hAnsi="宋体"/>
          <w:sz w:val="24"/>
        </w:rPr>
      </w:pPr>
      <w:r>
        <w:rPr>
          <w:rFonts w:ascii="宋体" w:hAnsi="宋体"/>
          <w:sz w:val="24"/>
        </w:rPr>
        <w:t>（3）为本标段的监理人；</w:t>
      </w:r>
    </w:p>
    <w:p>
      <w:pPr>
        <w:spacing w:line="400" w:lineRule="exact"/>
        <w:ind w:firstLine="480" w:firstLineChars="200"/>
        <w:rPr>
          <w:rFonts w:ascii="宋体" w:hAnsi="宋体"/>
          <w:sz w:val="24"/>
        </w:rPr>
      </w:pPr>
      <w:r>
        <w:rPr>
          <w:rFonts w:ascii="宋体" w:hAnsi="宋体"/>
          <w:sz w:val="24"/>
        </w:rPr>
        <w:t>（4）为本标段的代建人；</w:t>
      </w:r>
    </w:p>
    <w:p>
      <w:pPr>
        <w:spacing w:line="400" w:lineRule="exact"/>
        <w:ind w:firstLine="480" w:firstLineChars="200"/>
        <w:rPr>
          <w:rFonts w:ascii="宋体" w:hAnsi="宋体"/>
          <w:sz w:val="24"/>
        </w:rPr>
      </w:pPr>
      <w:r>
        <w:rPr>
          <w:rFonts w:ascii="宋体" w:hAnsi="宋体"/>
          <w:sz w:val="24"/>
        </w:rPr>
        <w:t>（5）为本标段提供招标代理服务的；</w:t>
      </w:r>
    </w:p>
    <w:p>
      <w:pPr>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spacing w:line="400" w:lineRule="exact"/>
        <w:ind w:firstLine="480" w:firstLineChars="200"/>
        <w:rPr>
          <w:rFonts w:ascii="宋体" w:hAnsi="宋体"/>
          <w:sz w:val="24"/>
        </w:rPr>
      </w:pPr>
      <w:r>
        <w:rPr>
          <w:rFonts w:ascii="宋体" w:hAnsi="宋体"/>
          <w:sz w:val="24"/>
        </w:rPr>
        <w:t>（9）被责令停业的；</w:t>
      </w:r>
    </w:p>
    <w:p>
      <w:pPr>
        <w:spacing w:line="400" w:lineRule="exact"/>
        <w:ind w:firstLine="480" w:firstLineChars="200"/>
        <w:rPr>
          <w:rFonts w:ascii="宋体" w:hAnsi="宋体"/>
          <w:sz w:val="24"/>
        </w:rPr>
      </w:pPr>
      <w:r>
        <w:rPr>
          <w:rFonts w:ascii="宋体" w:hAnsi="宋体"/>
          <w:sz w:val="24"/>
        </w:rPr>
        <w:t>（10）被暂停或取消投标资格的；</w:t>
      </w:r>
    </w:p>
    <w:p>
      <w:pPr>
        <w:spacing w:line="400" w:lineRule="exact"/>
        <w:ind w:firstLine="480" w:firstLineChars="200"/>
        <w:rPr>
          <w:rFonts w:ascii="宋体" w:hAnsi="宋体"/>
          <w:sz w:val="24"/>
          <w:szCs w:val="22"/>
        </w:rPr>
      </w:pPr>
      <w:r>
        <w:rPr>
          <w:rFonts w:ascii="宋体" w:hAnsi="宋体"/>
          <w:sz w:val="24"/>
          <w:szCs w:val="22"/>
        </w:rPr>
        <w:t>（11）财产被接管或冻结的；</w:t>
      </w:r>
    </w:p>
    <w:p>
      <w:pPr>
        <w:spacing w:line="400" w:lineRule="exact"/>
        <w:ind w:firstLine="480" w:firstLineChars="200"/>
        <w:rPr>
          <w:rFonts w:ascii="宋体" w:hAnsi="宋体"/>
          <w:sz w:val="24"/>
          <w:szCs w:val="22"/>
        </w:rPr>
      </w:pPr>
      <w:r>
        <w:rPr>
          <w:rFonts w:ascii="宋体" w:hAnsi="宋体"/>
          <w:sz w:val="24"/>
          <w:szCs w:val="22"/>
        </w:rPr>
        <w:t>（12）在最近三年内有骗取中标或严重违约或重大工程质量问题的</w:t>
      </w:r>
      <w:r>
        <w:rPr>
          <w:rFonts w:hint="eastAsia" w:ascii="宋体" w:hAnsi="宋体"/>
          <w:sz w:val="24"/>
          <w:szCs w:val="22"/>
        </w:rPr>
        <w:t>；</w:t>
      </w:r>
    </w:p>
    <w:p>
      <w:pPr>
        <w:spacing w:line="400" w:lineRule="exact"/>
        <w:ind w:firstLine="480" w:firstLineChars="200"/>
        <w:rPr>
          <w:rFonts w:ascii="宋体" w:hAnsi="宋体"/>
          <w:sz w:val="24"/>
          <w:szCs w:val="22"/>
        </w:rPr>
      </w:pPr>
      <w:r>
        <w:rPr>
          <w:rFonts w:hint="eastAsia" w:ascii="宋体" w:hAnsi="宋体"/>
          <w:sz w:val="24"/>
          <w:szCs w:val="22"/>
        </w:rPr>
        <w:t>（13）涉及正在诉讼的案件，或涉及正在诉讼的案件但经审查委员会认定不会对承担本项目造成重大影响；</w:t>
      </w:r>
    </w:p>
    <w:p>
      <w:pPr>
        <w:spacing w:line="400" w:lineRule="exact"/>
        <w:ind w:firstLine="480" w:firstLineChars="200"/>
        <w:rPr>
          <w:rFonts w:ascii="宋体" w:hAnsi="宋体"/>
          <w:sz w:val="24"/>
          <w:szCs w:val="22"/>
        </w:rPr>
      </w:pPr>
      <w:r>
        <w:rPr>
          <w:rFonts w:hint="eastAsia" w:ascii="宋体" w:hAnsi="宋体"/>
          <w:sz w:val="24"/>
          <w:szCs w:val="22"/>
        </w:rPr>
        <w:t>（14）被省级及以上交通主管部门取消项目所在地的投标资格或禁止进入该区域公路建设市场且处于有效期内；</w:t>
      </w:r>
    </w:p>
    <w:p>
      <w:pPr>
        <w:spacing w:line="400" w:lineRule="exact"/>
        <w:ind w:firstLine="480" w:firstLineChars="200"/>
        <w:rPr>
          <w:rFonts w:ascii="宋体" w:hAnsi="宋体"/>
          <w:sz w:val="24"/>
          <w:szCs w:val="22"/>
        </w:rPr>
      </w:pPr>
      <w:r>
        <w:rPr>
          <w:rFonts w:hint="eastAsia" w:ascii="宋体" w:hAnsi="宋体"/>
          <w:sz w:val="24"/>
          <w:szCs w:val="22"/>
        </w:rPr>
        <w:t>（15）为投资参股本项目的法人单位。</w:t>
      </w:r>
    </w:p>
    <w:p>
      <w:pPr>
        <w:spacing w:line="400" w:lineRule="exact"/>
        <w:ind w:firstLine="480" w:firstLineChars="200"/>
        <w:rPr>
          <w:rFonts w:ascii="宋体" w:hAnsi="宋体"/>
          <w:sz w:val="24"/>
          <w:szCs w:val="22"/>
        </w:rPr>
      </w:pPr>
      <w:r>
        <w:rPr>
          <w:rFonts w:hint="eastAsia" w:ascii="宋体" w:hAnsi="宋体"/>
          <w:sz w:val="24"/>
          <w:szCs w:val="22"/>
        </w:rPr>
        <w:t>1.4.4  投标人不得存在下列不良状况或不良信用记录：</w:t>
      </w:r>
    </w:p>
    <w:p>
      <w:pPr>
        <w:spacing w:line="400" w:lineRule="exact"/>
        <w:ind w:firstLine="480" w:firstLineChars="200"/>
        <w:rPr>
          <w:rFonts w:ascii="宋体" w:hAnsi="宋体"/>
          <w:sz w:val="24"/>
          <w:szCs w:val="22"/>
        </w:rPr>
      </w:pPr>
      <w:r>
        <w:rPr>
          <w:rFonts w:hint="eastAsia" w:ascii="宋体" w:hAnsi="宋体"/>
          <w:sz w:val="24"/>
          <w:szCs w:val="22"/>
        </w:rPr>
        <w:t>（1）被省级及以上交通运输主管部门取消招标项目所在地的投标资格且处于有效期内；</w:t>
      </w:r>
    </w:p>
    <w:p>
      <w:pPr>
        <w:spacing w:line="400" w:lineRule="exact"/>
        <w:ind w:firstLine="480" w:firstLineChars="200"/>
        <w:rPr>
          <w:rFonts w:ascii="宋体" w:hAnsi="宋体"/>
          <w:sz w:val="24"/>
          <w:szCs w:val="22"/>
        </w:rPr>
      </w:pPr>
      <w:r>
        <w:rPr>
          <w:rFonts w:hint="eastAsia" w:ascii="宋体" w:hAnsi="宋体"/>
          <w:sz w:val="24"/>
          <w:szCs w:val="22"/>
        </w:rPr>
        <w:t>（2）被责令停业，暂扣或吊销执照，或吊销资质证书；</w:t>
      </w:r>
    </w:p>
    <w:p>
      <w:pPr>
        <w:spacing w:line="400" w:lineRule="exact"/>
        <w:ind w:firstLine="480" w:firstLineChars="200"/>
        <w:rPr>
          <w:rFonts w:ascii="宋体" w:hAnsi="宋体"/>
          <w:sz w:val="24"/>
          <w:szCs w:val="22"/>
        </w:rPr>
      </w:pPr>
      <w:r>
        <w:rPr>
          <w:rFonts w:hint="eastAsia" w:ascii="宋体" w:hAnsi="宋体"/>
          <w:sz w:val="24"/>
          <w:szCs w:val="22"/>
        </w:rPr>
        <w:t>（3）进入清算程序，或被宣告破产，或其他丧失履约能力的情形；</w:t>
      </w:r>
    </w:p>
    <w:p>
      <w:pPr>
        <w:spacing w:line="400" w:lineRule="exact"/>
        <w:ind w:firstLine="480" w:firstLineChars="200"/>
        <w:rPr>
          <w:rFonts w:ascii="宋体" w:hAnsi="宋体"/>
          <w:sz w:val="24"/>
          <w:szCs w:val="22"/>
        </w:rPr>
      </w:pPr>
      <w:r>
        <w:rPr>
          <w:rFonts w:hint="eastAsia" w:ascii="宋体" w:hAnsi="宋体"/>
          <w:sz w:val="24"/>
          <w:szCs w:val="22"/>
        </w:rPr>
        <w:t>（4）被工商行政管理机关在全国企业信用信息公示系统中列入严重违法失信企业名单；被最高人民法院在“信用中国”网站（www.creditchina.gov.cn）或各级信用信息共享平台中列入失信被执行人名单；</w:t>
      </w:r>
    </w:p>
    <w:p>
      <w:pPr>
        <w:spacing w:line="400" w:lineRule="exact"/>
        <w:ind w:firstLine="480" w:firstLineChars="200"/>
        <w:rPr>
          <w:rFonts w:ascii="宋体" w:hAnsi="宋体"/>
          <w:sz w:val="24"/>
          <w:szCs w:val="22"/>
        </w:rPr>
      </w:pPr>
      <w:r>
        <w:rPr>
          <w:rFonts w:hint="eastAsia" w:ascii="宋体" w:hAnsi="宋体"/>
          <w:sz w:val="24"/>
          <w:szCs w:val="22"/>
        </w:rPr>
        <w:t>（5）法律法规或投标人须知前附表规定的其他情形。</w:t>
      </w:r>
    </w:p>
    <w:p>
      <w:pPr>
        <w:spacing w:line="106" w:lineRule="exact"/>
        <w:rPr>
          <w:rFonts w:eastAsia="Times New Roman"/>
          <w:sz w:val="24"/>
        </w:rPr>
      </w:pPr>
    </w:p>
    <w:p>
      <w:pPr>
        <w:numPr>
          <w:ilvl w:val="0"/>
          <w:numId w:val="6"/>
        </w:numPr>
        <w:tabs>
          <w:tab w:val="left" w:pos="480"/>
        </w:tabs>
        <w:spacing w:line="0" w:lineRule="atLeast"/>
        <w:ind w:left="480" w:hanging="471"/>
        <w:jc w:val="both"/>
        <w:rPr>
          <w:rFonts w:ascii="宋体" w:hAnsi="宋体"/>
          <w:b/>
          <w:sz w:val="24"/>
        </w:rPr>
      </w:pPr>
      <w:r>
        <w:rPr>
          <w:rFonts w:ascii="宋体" w:hAnsi="宋体"/>
          <w:b/>
          <w:sz w:val="24"/>
        </w:rPr>
        <w:t>费用承担</w:t>
      </w:r>
    </w:p>
    <w:p>
      <w:pPr>
        <w:pStyle w:val="2"/>
        <w:ind w:firstLine="240"/>
        <w:rPr>
          <w:rFonts w:ascii="黑体" w:hAnsi="黑体" w:eastAsia="黑体"/>
          <w:sz w:val="24"/>
        </w:rPr>
      </w:pPr>
      <w:r>
        <w:rPr>
          <w:rFonts w:hint="eastAsia" w:hAnsi="宋体"/>
          <w:sz w:val="24"/>
        </w:rPr>
        <w:t>投标人准备和参加投标活动发生的费用自理。</w:t>
      </w:r>
    </w:p>
    <w:p>
      <w:pPr>
        <w:tabs>
          <w:tab w:val="left" w:pos="480"/>
        </w:tabs>
        <w:spacing w:line="0" w:lineRule="atLeast"/>
        <w:ind w:left="9"/>
        <w:jc w:val="both"/>
        <w:rPr>
          <w:rFonts w:eastAsia="Times New Roman"/>
        </w:rPr>
      </w:pPr>
      <w:r>
        <w:rPr>
          <w:rFonts w:hint="eastAsia" w:ascii="宋体" w:hAnsi="宋体"/>
          <w:b/>
          <w:sz w:val="24"/>
        </w:rPr>
        <w:t>1.6</w:t>
      </w:r>
      <w:r>
        <w:rPr>
          <w:rFonts w:ascii="宋体" w:hAnsi="宋体"/>
          <w:b/>
          <w:sz w:val="24"/>
        </w:rPr>
        <w:t>保密</w:t>
      </w:r>
    </w:p>
    <w:p>
      <w:pPr>
        <w:spacing w:line="319" w:lineRule="auto"/>
        <w:ind w:firstLine="480"/>
        <w:rPr>
          <w:rFonts w:eastAsia="Times New Roman"/>
        </w:rPr>
      </w:pPr>
      <w:r>
        <w:rPr>
          <w:rFonts w:ascii="宋体" w:hAnsi="宋体"/>
          <w:sz w:val="24"/>
        </w:rPr>
        <w:t>参与招标投标活动的各方应对招标文件和投标文件中的商业和技术等秘密保密，否则应承担相应的法律责任。</w:t>
      </w:r>
    </w:p>
    <w:p>
      <w:pPr>
        <w:numPr>
          <w:ilvl w:val="0"/>
          <w:numId w:val="7"/>
        </w:numPr>
        <w:tabs>
          <w:tab w:val="left" w:pos="480"/>
        </w:tabs>
        <w:spacing w:line="360" w:lineRule="auto"/>
        <w:ind w:left="480" w:hanging="471"/>
        <w:jc w:val="both"/>
        <w:rPr>
          <w:rFonts w:ascii="宋体" w:hAnsi="宋体"/>
          <w:b/>
          <w:sz w:val="24"/>
        </w:rPr>
      </w:pPr>
      <w:r>
        <w:rPr>
          <w:rFonts w:ascii="宋体" w:hAnsi="宋体"/>
          <w:b/>
          <w:sz w:val="24"/>
        </w:rPr>
        <w:t>语言文字</w:t>
      </w:r>
    </w:p>
    <w:p>
      <w:pPr>
        <w:spacing w:line="360" w:lineRule="auto"/>
        <w:rPr>
          <w:rFonts w:ascii="宋体" w:hAnsi="宋体"/>
          <w:sz w:val="24"/>
        </w:rPr>
      </w:pPr>
      <w:r>
        <w:rPr>
          <w:rFonts w:ascii="宋体" w:hAnsi="宋体"/>
          <w:sz w:val="24"/>
        </w:rPr>
        <w:t>招标投标文件使用的语言文字为中文。专用术语使用外文的，应附有中文注释。</w:t>
      </w:r>
    </w:p>
    <w:p>
      <w:pPr>
        <w:tabs>
          <w:tab w:val="left" w:pos="480"/>
        </w:tabs>
        <w:spacing w:line="360" w:lineRule="auto"/>
        <w:jc w:val="both"/>
        <w:rPr>
          <w:rFonts w:ascii="宋体" w:hAnsi="宋体"/>
          <w:b/>
          <w:sz w:val="24"/>
        </w:rPr>
      </w:pPr>
      <w:r>
        <w:rPr>
          <w:rFonts w:hint="eastAsia" w:ascii="宋体" w:hAnsi="宋体"/>
          <w:b/>
          <w:sz w:val="24"/>
        </w:rPr>
        <w:t>1.8</w:t>
      </w:r>
      <w:r>
        <w:rPr>
          <w:rFonts w:ascii="宋体" w:hAnsi="宋体"/>
          <w:b/>
          <w:sz w:val="24"/>
        </w:rPr>
        <w:t>计量单位</w:t>
      </w:r>
    </w:p>
    <w:p>
      <w:pPr>
        <w:pStyle w:val="2"/>
        <w:ind w:firstLine="240"/>
        <w:rPr>
          <w:rFonts w:hAnsi="宋体"/>
          <w:sz w:val="24"/>
        </w:rPr>
      </w:pPr>
      <w:r>
        <w:rPr>
          <w:rFonts w:hint="eastAsia" w:hAnsi="宋体"/>
          <w:sz w:val="24"/>
        </w:rPr>
        <w:t>所有计量均采用中华共和国和国家计量单位</w:t>
      </w:r>
    </w:p>
    <w:p>
      <w:pPr>
        <w:tabs>
          <w:tab w:val="left" w:pos="480"/>
        </w:tabs>
        <w:spacing w:line="360" w:lineRule="auto"/>
        <w:jc w:val="both"/>
        <w:rPr>
          <w:rFonts w:ascii="黑体" w:hAnsi="黑体" w:eastAsia="黑体"/>
          <w:b/>
          <w:sz w:val="24"/>
        </w:rPr>
      </w:pPr>
      <w:r>
        <w:rPr>
          <w:rFonts w:hint="eastAsia" w:ascii="宋体" w:hAnsi="宋体"/>
          <w:b/>
          <w:sz w:val="24"/>
        </w:rPr>
        <w:t>1.9</w:t>
      </w:r>
      <w:r>
        <w:rPr>
          <w:rFonts w:ascii="宋体" w:hAnsi="宋体"/>
          <w:b/>
          <w:sz w:val="24"/>
        </w:rPr>
        <w:t>踏勘现场</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1.9.1 投标人须知前附表规定组织踏勘现场的，招标人按投标人须知前附表规定的时间、地点组织投标人踏勘项目现场。</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1.9.2 投标人踏勘现场发生的费用自理。</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1.9.3 除招标人的原因外，投标人自行负责在踏勘现场中所发生的人员伤亡和财产损失。</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1.9.4 招标人在踏勘现场中介绍的工程场地和相关的周边环境情况，供投标人在编制投标文件时参考，招标人不对投标人据此作出的判断和决策负责。</w:t>
      </w:r>
    </w:p>
    <w:p>
      <w:pPr>
        <w:tabs>
          <w:tab w:val="left" w:pos="480"/>
        </w:tabs>
        <w:spacing w:line="360" w:lineRule="auto"/>
        <w:ind w:firstLine="240" w:firstLineChars="100"/>
        <w:jc w:val="both"/>
        <w:rPr>
          <w:rFonts w:ascii="黑体" w:hAnsi="黑体" w:eastAsia="黑体"/>
          <w:b/>
          <w:sz w:val="24"/>
        </w:rPr>
      </w:pPr>
      <w:r>
        <w:rPr>
          <w:rFonts w:hint="eastAsia" w:ascii="宋体" w:hAnsi="宋体"/>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tabs>
          <w:tab w:val="left" w:pos="600"/>
        </w:tabs>
        <w:spacing w:line="0" w:lineRule="atLeast"/>
        <w:ind w:left="9"/>
        <w:jc w:val="both"/>
        <w:rPr>
          <w:rFonts w:ascii="黑体" w:hAnsi="黑体" w:eastAsia="黑体"/>
          <w:sz w:val="24"/>
        </w:rPr>
      </w:pPr>
      <w:r>
        <w:rPr>
          <w:rFonts w:hint="eastAsia" w:ascii="宋体" w:hAnsi="宋体"/>
          <w:b/>
          <w:sz w:val="24"/>
        </w:rPr>
        <w:t>1.10</w:t>
      </w:r>
      <w:r>
        <w:rPr>
          <w:rFonts w:ascii="宋体" w:hAnsi="宋体"/>
          <w:b/>
          <w:sz w:val="24"/>
        </w:rPr>
        <w:t>投标预备会</w:t>
      </w:r>
      <w:r>
        <w:rPr>
          <w:rFonts w:hint="eastAsia" w:ascii="宋体" w:hAnsi="宋体"/>
          <w:b/>
          <w:sz w:val="24"/>
        </w:rPr>
        <w:t>(无)</w:t>
      </w:r>
    </w:p>
    <w:p>
      <w:pPr>
        <w:tabs>
          <w:tab w:val="left" w:pos="720"/>
        </w:tabs>
        <w:spacing w:line="0" w:lineRule="atLeast"/>
        <w:jc w:val="both"/>
        <w:rPr>
          <w:rFonts w:ascii="黑体" w:hAnsi="黑体" w:eastAsia="黑体"/>
          <w:sz w:val="24"/>
        </w:rPr>
      </w:pPr>
      <w:bookmarkStart w:id="21" w:name="page51"/>
      <w:bookmarkEnd w:id="21"/>
      <w:r>
        <w:rPr>
          <w:rFonts w:hint="eastAsia" w:ascii="宋体" w:hAnsi="宋体"/>
          <w:b/>
          <w:sz w:val="24"/>
        </w:rPr>
        <w:t>1.11</w:t>
      </w:r>
      <w:r>
        <w:rPr>
          <w:rFonts w:ascii="宋体" w:hAnsi="宋体"/>
          <w:b/>
          <w:sz w:val="24"/>
        </w:rPr>
        <w:t>分包</w:t>
      </w:r>
      <w:r>
        <w:rPr>
          <w:rFonts w:hint="eastAsia" w:ascii="宋体" w:hAnsi="宋体"/>
          <w:b/>
          <w:sz w:val="24"/>
        </w:rPr>
        <w:t>（本项目不适用）</w:t>
      </w:r>
    </w:p>
    <w:p>
      <w:pPr>
        <w:numPr>
          <w:ilvl w:val="1"/>
          <w:numId w:val="8"/>
        </w:numPr>
        <w:tabs>
          <w:tab w:val="left" w:pos="1310"/>
        </w:tabs>
        <w:spacing w:line="302" w:lineRule="auto"/>
        <w:ind w:left="120" w:firstLine="489"/>
        <w:jc w:val="both"/>
        <w:rPr>
          <w:rFonts w:eastAsia="Times New Roman"/>
          <w:sz w:val="24"/>
        </w:rPr>
      </w:pPr>
      <w:r>
        <w:rPr>
          <w:rFonts w:ascii="宋体" w:hAnsi="宋体"/>
          <w:sz w:val="24"/>
        </w:rPr>
        <w:t>投标人拟在中标后将中标项目的部分非主体、非关键性工作进行分包的，应符合以下规定：</w:t>
      </w:r>
    </w:p>
    <w:p>
      <w:pPr>
        <w:spacing w:line="80" w:lineRule="exact"/>
        <w:rPr>
          <w:rFonts w:eastAsia="Times New Roman"/>
          <w:sz w:val="24"/>
        </w:rPr>
      </w:pPr>
    </w:p>
    <w:p>
      <w:pPr>
        <w:spacing w:line="327" w:lineRule="auto"/>
        <w:ind w:left="120" w:firstLine="360"/>
        <w:jc w:val="both"/>
        <w:rPr>
          <w:rFonts w:ascii="宋体" w:hAnsi="宋体"/>
          <w:sz w:val="24"/>
        </w:rPr>
      </w:pPr>
      <w:r>
        <w:rPr>
          <w:rFonts w:ascii="宋体" w:hAnsi="宋体"/>
          <w:sz w:val="24"/>
        </w:rPr>
        <w:t>（</w:t>
      </w:r>
      <w:r>
        <w:rPr>
          <w:rFonts w:eastAsia="Times New Roman"/>
          <w:sz w:val="24"/>
        </w:rPr>
        <w:t>1</w:t>
      </w:r>
      <w:r>
        <w:rPr>
          <w:rFonts w:ascii="宋体" w:hAnsi="宋体"/>
          <w:sz w:val="24"/>
        </w:rPr>
        <w:t>）分包内容要求：允许分包的工程范围仅限于非关键性工程或适合专业化队伍施工的专项工程。招标人允许分包或不允许分包的专项工程（如有）应在投标人须知前附表中载明。</w:t>
      </w:r>
    </w:p>
    <w:p>
      <w:pPr>
        <w:spacing w:line="56" w:lineRule="exact"/>
        <w:rPr>
          <w:rFonts w:eastAsia="Times New Roman"/>
          <w:sz w:val="24"/>
        </w:rPr>
      </w:pPr>
    </w:p>
    <w:p>
      <w:pPr>
        <w:spacing w:line="309" w:lineRule="auto"/>
        <w:ind w:left="120" w:firstLine="360"/>
        <w:jc w:val="both"/>
        <w:rPr>
          <w:rFonts w:ascii="宋体" w:hAnsi="宋体"/>
          <w:sz w:val="24"/>
        </w:rPr>
      </w:pPr>
      <w:r>
        <w:rPr>
          <w:rFonts w:ascii="宋体" w:hAnsi="宋体"/>
          <w:sz w:val="24"/>
        </w:rPr>
        <w:t>（</w:t>
      </w:r>
      <w:r>
        <w:rPr>
          <w:rFonts w:eastAsia="Times New Roman"/>
          <w:sz w:val="24"/>
        </w:rPr>
        <w:t>2</w:t>
      </w:r>
      <w:r>
        <w:rPr>
          <w:rFonts w:ascii="宋体" w:hAnsi="宋体"/>
          <w:sz w:val="24"/>
        </w:rPr>
        <w:t>）接受分包的第三人资格要求：分包人的资格能力应与其分包工程的标准和规模相适应，且具备投标人须知前附表中规定的资格条件。</w:t>
      </w:r>
    </w:p>
    <w:p>
      <w:pPr>
        <w:spacing w:line="43" w:lineRule="exact"/>
        <w:rPr>
          <w:rFonts w:eastAsia="Times New Roman"/>
          <w:sz w:val="24"/>
        </w:rPr>
      </w:pPr>
    </w:p>
    <w:p>
      <w:pPr>
        <w:spacing w:line="0" w:lineRule="atLeast"/>
        <w:ind w:left="480"/>
        <w:jc w:val="both"/>
        <w:rPr>
          <w:rFonts w:ascii="宋体" w:hAnsi="宋体"/>
          <w:sz w:val="24"/>
        </w:rPr>
      </w:pPr>
      <w:r>
        <w:rPr>
          <w:rFonts w:ascii="宋体" w:hAnsi="宋体"/>
          <w:sz w:val="24"/>
        </w:rPr>
        <w:t>（</w:t>
      </w:r>
      <w:r>
        <w:rPr>
          <w:rFonts w:eastAsia="Times New Roman"/>
          <w:sz w:val="24"/>
        </w:rPr>
        <w:t>3</w:t>
      </w:r>
      <w:r>
        <w:rPr>
          <w:rFonts w:ascii="宋体" w:hAnsi="宋体"/>
          <w:sz w:val="24"/>
        </w:rPr>
        <w:t>）其他要求：投标人如有分包计划，应按第九章</w:t>
      </w:r>
      <w:r>
        <w:rPr>
          <w:rFonts w:ascii="Arial" w:hAnsi="Arial" w:eastAsia="Arial"/>
          <w:sz w:val="24"/>
        </w:rPr>
        <w:t>“</w:t>
      </w:r>
      <w:r>
        <w:rPr>
          <w:rFonts w:ascii="宋体" w:hAnsi="宋体"/>
          <w:sz w:val="24"/>
        </w:rPr>
        <w:t>投标文件格式</w:t>
      </w:r>
      <w:r>
        <w:rPr>
          <w:rFonts w:ascii="Arial" w:hAnsi="Arial" w:eastAsia="Arial"/>
          <w:sz w:val="24"/>
        </w:rPr>
        <w:t>”</w:t>
      </w:r>
      <w:r>
        <w:rPr>
          <w:rFonts w:ascii="宋体" w:hAnsi="宋体"/>
          <w:sz w:val="24"/>
        </w:rPr>
        <w:t>的要求填写</w:t>
      </w:r>
    </w:p>
    <w:p>
      <w:pPr>
        <w:spacing w:line="92" w:lineRule="exact"/>
        <w:rPr>
          <w:rFonts w:eastAsia="Times New Roman"/>
        </w:rPr>
      </w:pPr>
    </w:p>
    <w:p>
      <w:pPr>
        <w:spacing w:line="0" w:lineRule="atLeast"/>
        <w:rPr>
          <w:rFonts w:ascii="宋体" w:hAnsi="宋体"/>
          <w:sz w:val="24"/>
        </w:rPr>
      </w:pPr>
      <w:r>
        <w:rPr>
          <w:rFonts w:ascii="Arial" w:hAnsi="Arial" w:eastAsia="Arial"/>
          <w:sz w:val="24"/>
        </w:rPr>
        <w:t>“</w:t>
      </w:r>
      <w:r>
        <w:rPr>
          <w:rFonts w:ascii="宋体" w:hAnsi="宋体"/>
          <w:sz w:val="24"/>
        </w:rPr>
        <w:t>拟分包项目情况表</w:t>
      </w:r>
      <w:r>
        <w:rPr>
          <w:rFonts w:ascii="Arial" w:hAnsi="Arial" w:eastAsia="Arial"/>
          <w:sz w:val="24"/>
        </w:rPr>
        <w:t>”</w:t>
      </w:r>
      <w:r>
        <w:rPr>
          <w:rFonts w:ascii="宋体" w:hAnsi="宋体"/>
          <w:sz w:val="24"/>
        </w:rPr>
        <w:t>，明确拟分包的工程及规模，且投标人中标后的分包应满足合同</w:t>
      </w:r>
    </w:p>
    <w:p>
      <w:pPr>
        <w:spacing w:line="124" w:lineRule="exact"/>
        <w:rPr>
          <w:rFonts w:eastAsia="Times New Roman"/>
        </w:rPr>
      </w:pPr>
    </w:p>
    <w:p>
      <w:pPr>
        <w:spacing w:line="0" w:lineRule="atLeast"/>
        <w:ind w:left="120"/>
        <w:rPr>
          <w:rFonts w:ascii="宋体" w:hAnsi="宋体"/>
          <w:sz w:val="24"/>
        </w:rPr>
      </w:pPr>
      <w:r>
        <w:rPr>
          <w:rFonts w:ascii="宋体" w:hAnsi="宋体"/>
          <w:sz w:val="24"/>
        </w:rPr>
        <w:t xml:space="preserve">条款第 </w:t>
      </w:r>
      <w:r>
        <w:rPr>
          <w:rFonts w:eastAsia="Times New Roman"/>
          <w:sz w:val="24"/>
        </w:rPr>
        <w:t>4.3</w:t>
      </w:r>
      <w:r>
        <w:rPr>
          <w:rFonts w:ascii="宋体" w:hAnsi="宋体"/>
          <w:sz w:val="24"/>
        </w:rPr>
        <w:t xml:space="preserve"> 款的相关要求。</w:t>
      </w:r>
    </w:p>
    <w:p>
      <w:pPr>
        <w:spacing w:line="146" w:lineRule="exact"/>
        <w:rPr>
          <w:rFonts w:eastAsia="Times New Roman"/>
        </w:rPr>
      </w:pPr>
    </w:p>
    <w:p>
      <w:pPr>
        <w:numPr>
          <w:ilvl w:val="1"/>
          <w:numId w:val="9"/>
        </w:numPr>
        <w:tabs>
          <w:tab w:val="left" w:pos="1310"/>
        </w:tabs>
        <w:spacing w:line="302" w:lineRule="auto"/>
        <w:ind w:left="120" w:firstLine="489"/>
        <w:jc w:val="both"/>
        <w:rPr>
          <w:rFonts w:eastAsia="Times New Roman"/>
          <w:sz w:val="24"/>
        </w:rPr>
      </w:pPr>
      <w:r>
        <w:rPr>
          <w:rFonts w:ascii="宋体" w:hAnsi="宋体"/>
          <w:sz w:val="24"/>
        </w:rPr>
        <w:t>中标人不得向他人转让中标项目，接受分包的人不得再次分包。中标人应就分包项目向招标人负责，接受分包的人就分包项目承担连带责任。</w:t>
      </w:r>
    </w:p>
    <w:p>
      <w:pPr>
        <w:tabs>
          <w:tab w:val="left" w:pos="720"/>
        </w:tabs>
        <w:spacing w:line="0" w:lineRule="atLeast"/>
        <w:ind w:left="129"/>
        <w:jc w:val="both"/>
        <w:rPr>
          <w:rFonts w:ascii="黑体" w:hAnsi="黑体" w:eastAsia="黑体"/>
          <w:sz w:val="24"/>
        </w:rPr>
      </w:pPr>
      <w:r>
        <w:rPr>
          <w:rFonts w:hint="eastAsia" w:ascii="宋体" w:hAnsi="宋体"/>
          <w:b/>
          <w:sz w:val="24"/>
        </w:rPr>
        <w:t>1.12</w:t>
      </w:r>
      <w:r>
        <w:rPr>
          <w:rFonts w:ascii="宋体" w:hAnsi="宋体"/>
          <w:b/>
          <w:sz w:val="24"/>
        </w:rPr>
        <w:t>响应和偏差</w:t>
      </w:r>
    </w:p>
    <w:p>
      <w:pPr>
        <w:numPr>
          <w:ilvl w:val="1"/>
          <w:numId w:val="10"/>
        </w:numPr>
        <w:tabs>
          <w:tab w:val="left" w:pos="1320"/>
        </w:tabs>
        <w:spacing w:line="302" w:lineRule="auto"/>
        <w:ind w:left="120" w:firstLine="489"/>
        <w:jc w:val="both"/>
        <w:rPr>
          <w:rFonts w:eastAsia="Times New Roman"/>
          <w:sz w:val="24"/>
        </w:rPr>
      </w:pPr>
      <w:r>
        <w:rPr>
          <w:rFonts w:ascii="宋体" w:hAnsi="宋体"/>
          <w:sz w:val="24"/>
        </w:rPr>
        <w:t>投标文件偏离招标文件某些要求，视为投标文件存在偏差。偏差包括重大偏差和细微偏差。</w:t>
      </w:r>
    </w:p>
    <w:p>
      <w:pPr>
        <w:spacing w:line="87" w:lineRule="exact"/>
        <w:rPr>
          <w:rFonts w:eastAsia="Times New Roman"/>
          <w:sz w:val="24"/>
        </w:rPr>
      </w:pPr>
    </w:p>
    <w:p>
      <w:pPr>
        <w:numPr>
          <w:ilvl w:val="1"/>
          <w:numId w:val="10"/>
        </w:numPr>
        <w:tabs>
          <w:tab w:val="left" w:pos="1325"/>
        </w:tabs>
        <w:spacing w:line="302" w:lineRule="auto"/>
        <w:ind w:left="120" w:firstLine="489"/>
        <w:jc w:val="both"/>
        <w:rPr>
          <w:rFonts w:eastAsia="Times New Roman"/>
          <w:sz w:val="24"/>
        </w:rPr>
      </w:pPr>
      <w:r>
        <w:rPr>
          <w:rFonts w:ascii="宋体" w:hAnsi="宋体"/>
          <w:sz w:val="24"/>
        </w:rPr>
        <w:t>投标文件应对招标文件的实质性要求和条件作出满足性或更有利于招标人的响应，否则，视为投标文件存在重大偏差，投标人的投标将被否决。</w:t>
      </w:r>
    </w:p>
    <w:p>
      <w:pPr>
        <w:spacing w:line="89" w:lineRule="exact"/>
        <w:rPr>
          <w:rFonts w:eastAsia="Times New Roman"/>
          <w:sz w:val="24"/>
        </w:rPr>
      </w:pPr>
    </w:p>
    <w:p>
      <w:pPr>
        <w:spacing w:line="301" w:lineRule="auto"/>
        <w:ind w:left="120" w:firstLine="480"/>
        <w:jc w:val="both"/>
        <w:rPr>
          <w:rFonts w:ascii="宋体" w:hAnsi="宋体"/>
          <w:sz w:val="24"/>
        </w:rPr>
      </w:pPr>
      <w:r>
        <w:rPr>
          <w:rFonts w:ascii="宋体" w:hAnsi="宋体"/>
          <w:sz w:val="24"/>
        </w:rPr>
        <w:t>投标文件存在第三章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中所列任一否决投标情形的，均属于存在重大偏差。</w:t>
      </w:r>
    </w:p>
    <w:p>
      <w:pPr>
        <w:spacing w:line="35" w:lineRule="exact"/>
        <w:rPr>
          <w:rFonts w:eastAsia="Times New Roman"/>
          <w:sz w:val="24"/>
        </w:rPr>
      </w:pPr>
    </w:p>
    <w:p>
      <w:pPr>
        <w:numPr>
          <w:ilvl w:val="1"/>
          <w:numId w:val="10"/>
        </w:numPr>
        <w:tabs>
          <w:tab w:val="left" w:pos="1320"/>
        </w:tabs>
        <w:spacing w:line="0" w:lineRule="atLeast"/>
        <w:ind w:left="1320" w:hanging="711"/>
        <w:jc w:val="both"/>
        <w:rPr>
          <w:rFonts w:eastAsia="Times New Roman"/>
          <w:sz w:val="24"/>
        </w:rPr>
      </w:pPr>
      <w:r>
        <w:rPr>
          <w:rFonts w:ascii="宋体" w:hAnsi="宋体"/>
          <w:sz w:val="24"/>
        </w:rPr>
        <w:t>投标文件中的下列偏差为细微偏差：</w:t>
      </w:r>
    </w:p>
    <w:p>
      <w:pPr>
        <w:spacing w:line="156" w:lineRule="exact"/>
        <w:rPr>
          <w:rFonts w:eastAsia="Times New Roman"/>
        </w:rPr>
      </w:pPr>
    </w:p>
    <w:p>
      <w:pPr>
        <w:spacing w:line="310" w:lineRule="auto"/>
        <w:ind w:left="120" w:firstLine="360"/>
        <w:jc w:val="both"/>
        <w:rPr>
          <w:rFonts w:ascii="宋体" w:hAnsi="宋体"/>
          <w:sz w:val="24"/>
        </w:rPr>
      </w:pPr>
      <w:r>
        <w:rPr>
          <w:rFonts w:ascii="宋体" w:hAnsi="宋体"/>
          <w:sz w:val="24"/>
        </w:rPr>
        <w:t>（</w:t>
      </w:r>
      <w:r>
        <w:rPr>
          <w:rFonts w:eastAsia="Times New Roman"/>
          <w:sz w:val="24"/>
        </w:rPr>
        <w:t>1</w:t>
      </w:r>
      <w:r>
        <w:rPr>
          <w:rFonts w:ascii="宋体" w:hAnsi="宋体"/>
          <w:sz w:val="24"/>
        </w:rPr>
        <w:t>）在按照第三章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的规定对投标价进行算术性错误修正及其他错误修正后，最终投标报价未超过最高投标限价（如有）的情况下，出现第三章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规定的算术性错误和投标报价的其他错误；</w:t>
      </w:r>
    </w:p>
    <w:p>
      <w:pPr>
        <w:spacing w:line="72" w:lineRule="exact"/>
        <w:rPr>
          <w:rFonts w:eastAsia="Times New Roman"/>
        </w:rPr>
      </w:pPr>
    </w:p>
    <w:p>
      <w:pPr>
        <w:numPr>
          <w:ilvl w:val="0"/>
          <w:numId w:val="11"/>
        </w:numPr>
        <w:spacing w:line="324" w:lineRule="auto"/>
        <w:ind w:left="480"/>
        <w:rPr>
          <w:rFonts w:ascii="宋体" w:hAnsi="宋体"/>
          <w:sz w:val="24"/>
        </w:rPr>
      </w:pPr>
      <w:r>
        <w:rPr>
          <w:rFonts w:ascii="宋体" w:hAnsi="宋体"/>
          <w:sz w:val="24"/>
        </w:rPr>
        <w:t>施工组织设计（含关键工程技术方案）和项目管理机构不够完善；</w:t>
      </w:r>
    </w:p>
    <w:p>
      <w:pPr>
        <w:spacing w:line="324" w:lineRule="auto"/>
        <w:ind w:firstLine="480" w:firstLineChars="200"/>
        <w:rPr>
          <w:rFonts w:ascii="宋体" w:hAnsi="宋体"/>
          <w:sz w:val="24"/>
        </w:rPr>
      </w:pPr>
      <w:r>
        <w:rPr>
          <w:rFonts w:ascii="宋体" w:hAnsi="宋体"/>
          <w:sz w:val="24"/>
        </w:rPr>
        <w:t>（</w:t>
      </w:r>
      <w:r>
        <w:rPr>
          <w:rFonts w:eastAsia="Times New Roman"/>
          <w:sz w:val="24"/>
        </w:rPr>
        <w:t>3</w:t>
      </w:r>
      <w:r>
        <w:rPr>
          <w:rFonts w:ascii="宋体" w:hAnsi="宋体"/>
          <w:sz w:val="24"/>
        </w:rPr>
        <w:t>）投标文件页码不连续、个别文字有遗漏错误等不影响投标文件实质性内容的偏差。</w:t>
      </w:r>
    </w:p>
    <w:p>
      <w:pPr>
        <w:spacing w:line="127" w:lineRule="exact"/>
        <w:rPr>
          <w:rFonts w:eastAsia="Times New Roman"/>
        </w:rPr>
      </w:pPr>
    </w:p>
    <w:p>
      <w:pPr>
        <w:spacing w:line="0" w:lineRule="atLeast"/>
        <w:ind w:left="600"/>
        <w:rPr>
          <w:rFonts w:ascii="宋体" w:hAnsi="宋体"/>
          <w:sz w:val="24"/>
        </w:rPr>
      </w:pPr>
      <w:r>
        <w:rPr>
          <w:rFonts w:eastAsia="Times New Roman"/>
          <w:sz w:val="24"/>
        </w:rPr>
        <w:t xml:space="preserve">1.12.4 </w:t>
      </w:r>
      <w:r>
        <w:rPr>
          <w:rFonts w:ascii="宋体" w:hAnsi="宋体"/>
          <w:sz w:val="24"/>
        </w:rPr>
        <w:t>评标委员会对投标文件中的细微偏差按如下规定处理：</w:t>
      </w:r>
    </w:p>
    <w:p>
      <w:pPr>
        <w:spacing w:line="106"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 xml:space="preserve">）对于本章第 </w:t>
      </w:r>
      <w:r>
        <w:rPr>
          <w:rFonts w:eastAsia="Times New Roman"/>
          <w:sz w:val="24"/>
        </w:rPr>
        <w:t>1.12.3</w:t>
      </w:r>
      <w:r>
        <w:rPr>
          <w:rFonts w:ascii="宋体" w:hAnsi="宋体"/>
          <w:sz w:val="24"/>
        </w:rPr>
        <w:t xml:space="preserve"> 项（</w:t>
      </w:r>
      <w:r>
        <w:rPr>
          <w:rFonts w:eastAsia="Times New Roman"/>
          <w:sz w:val="24"/>
        </w:rPr>
        <w:t>1</w:t>
      </w:r>
      <w:r>
        <w:rPr>
          <w:rFonts w:ascii="宋体" w:hAnsi="宋体"/>
          <w:sz w:val="24"/>
        </w:rPr>
        <w:t>）目所述的细微偏差，按照第三章</w:t>
      </w:r>
      <w:r>
        <w:rPr>
          <w:rFonts w:ascii="Arial" w:hAnsi="Arial" w:eastAsia="Arial"/>
          <w:sz w:val="24"/>
        </w:rPr>
        <w:t>“</w:t>
      </w:r>
      <w:r>
        <w:rPr>
          <w:rFonts w:ascii="宋体" w:hAnsi="宋体"/>
          <w:sz w:val="24"/>
        </w:rPr>
        <w:t>评标办法</w:t>
      </w:r>
      <w:r>
        <w:rPr>
          <w:rFonts w:ascii="Arial" w:hAnsi="Arial" w:eastAsia="Arial"/>
          <w:sz w:val="24"/>
        </w:rPr>
        <w:t>”</w:t>
      </w:r>
      <w:r>
        <w:rPr>
          <w:rFonts w:ascii="宋体" w:hAnsi="宋体"/>
          <w:sz w:val="24"/>
        </w:rPr>
        <w:t>的</w:t>
      </w:r>
    </w:p>
    <w:p>
      <w:pPr>
        <w:spacing w:line="109" w:lineRule="exact"/>
        <w:rPr>
          <w:rFonts w:eastAsia="Times New Roman"/>
        </w:rPr>
      </w:pPr>
    </w:p>
    <w:p>
      <w:pPr>
        <w:spacing w:line="0" w:lineRule="atLeast"/>
        <w:ind w:left="120"/>
        <w:rPr>
          <w:rFonts w:ascii="宋体" w:hAnsi="宋体"/>
          <w:sz w:val="24"/>
        </w:rPr>
      </w:pPr>
      <w:r>
        <w:rPr>
          <w:rFonts w:ascii="宋体" w:hAnsi="宋体"/>
          <w:sz w:val="24"/>
        </w:rPr>
        <w:t>规定予以修正并要求投标人进行澄清；</w:t>
      </w:r>
    </w:p>
    <w:p>
      <w:pPr>
        <w:spacing w:line="155" w:lineRule="exact"/>
        <w:rPr>
          <w:rFonts w:eastAsia="Times New Roman"/>
        </w:rPr>
      </w:pPr>
    </w:p>
    <w:p>
      <w:pPr>
        <w:spacing w:line="333" w:lineRule="auto"/>
        <w:ind w:left="120" w:firstLine="360"/>
        <w:rPr>
          <w:rFonts w:ascii="宋体" w:hAnsi="宋体"/>
          <w:sz w:val="23"/>
        </w:rPr>
      </w:pPr>
      <w:r>
        <w:rPr>
          <w:rFonts w:ascii="宋体" w:hAnsi="宋体"/>
          <w:sz w:val="23"/>
        </w:rPr>
        <w:t>（</w:t>
      </w:r>
      <w:r>
        <w:rPr>
          <w:rFonts w:eastAsia="Times New Roman"/>
          <w:sz w:val="23"/>
        </w:rPr>
        <w:t>2</w:t>
      </w:r>
      <w:r>
        <w:rPr>
          <w:rFonts w:ascii="宋体" w:hAnsi="宋体"/>
          <w:sz w:val="23"/>
        </w:rPr>
        <w:t>）</w:t>
      </w:r>
      <w:r>
        <w:rPr>
          <w:rFonts w:ascii="宋体" w:hAnsi="宋体"/>
          <w:sz w:val="24"/>
        </w:rPr>
        <w:t>对于本章第 1.12.3 项（2）目所述的细微偏差，如果采用合理低价法或经评审的最低投标价法评标，应要求投标人对细微偏差进行澄清，只有投标人的澄清文件</w:t>
      </w:r>
      <w:bookmarkStart w:id="22" w:name="page52"/>
      <w:bookmarkEnd w:id="22"/>
      <w:r>
        <w:rPr>
          <w:rFonts w:ascii="宋体" w:hAnsi="宋体"/>
          <w:sz w:val="24"/>
        </w:rPr>
        <w:t>被评标委员会接受，投标人才能参加评标价的最终评比。如果采用技术评分最低标价法或综合评分法评标，可在相关评分因素的评分中酌情扣分；</w:t>
      </w:r>
    </w:p>
    <w:p>
      <w:pPr>
        <w:spacing w:line="69" w:lineRule="exact"/>
        <w:rPr>
          <w:rFonts w:eastAsia="Times New Roman"/>
        </w:rPr>
      </w:pPr>
    </w:p>
    <w:p>
      <w:pPr>
        <w:spacing w:line="310" w:lineRule="auto"/>
        <w:ind w:firstLine="360"/>
        <w:rPr>
          <w:rFonts w:ascii="宋体" w:hAnsi="宋体"/>
          <w:sz w:val="24"/>
        </w:rPr>
      </w:pPr>
      <w:r>
        <w:rPr>
          <w:rFonts w:ascii="宋体" w:hAnsi="宋体"/>
          <w:sz w:val="24"/>
        </w:rPr>
        <w:t>（</w:t>
      </w:r>
      <w:r>
        <w:rPr>
          <w:rFonts w:eastAsia="Times New Roman"/>
          <w:sz w:val="24"/>
        </w:rPr>
        <w:t>3</w:t>
      </w:r>
      <w:r>
        <w:rPr>
          <w:rFonts w:ascii="宋体" w:hAnsi="宋体"/>
          <w:sz w:val="24"/>
        </w:rPr>
        <w:t xml:space="preserve">）对于本章第 </w:t>
      </w:r>
      <w:r>
        <w:rPr>
          <w:rFonts w:eastAsia="Times New Roman"/>
          <w:sz w:val="24"/>
        </w:rPr>
        <w:t>1.12.3</w:t>
      </w:r>
      <w:r>
        <w:rPr>
          <w:rFonts w:ascii="宋体" w:hAnsi="宋体"/>
          <w:sz w:val="24"/>
        </w:rPr>
        <w:t xml:space="preserve"> 项（</w:t>
      </w:r>
      <w:r>
        <w:rPr>
          <w:rFonts w:eastAsia="Times New Roman"/>
          <w:sz w:val="24"/>
        </w:rPr>
        <w:t>3</w:t>
      </w:r>
      <w:r>
        <w:rPr>
          <w:rFonts w:ascii="宋体" w:hAnsi="宋体"/>
          <w:sz w:val="24"/>
        </w:rPr>
        <w:t>）目所述的细微偏差，可要求投标人对细微偏差进行澄清。</w:t>
      </w:r>
    </w:p>
    <w:p>
      <w:pPr>
        <w:spacing w:line="40" w:lineRule="exact"/>
        <w:rPr>
          <w:rFonts w:eastAsia="Times New Roman"/>
        </w:rPr>
      </w:pPr>
    </w:p>
    <w:p>
      <w:pPr>
        <w:spacing w:line="0" w:lineRule="atLeast"/>
        <w:ind w:firstLine="566" w:firstLineChars="236"/>
        <w:rPr>
          <w:rFonts w:ascii="宋体" w:hAnsi="宋体"/>
          <w:sz w:val="24"/>
        </w:rPr>
      </w:pPr>
      <w:r>
        <w:rPr>
          <w:rFonts w:eastAsia="Times New Roman"/>
          <w:sz w:val="24"/>
        </w:rPr>
        <w:t xml:space="preserve">1.12.5  </w:t>
      </w:r>
      <w:r>
        <w:rPr>
          <w:rFonts w:ascii="宋体" w:hAnsi="宋体"/>
          <w:sz w:val="24"/>
        </w:rPr>
        <w:t>投标人应根据招标文件的要求提供施工组织设计等内容以对招标文件作出响应。</w:t>
      </w:r>
    </w:p>
    <w:p>
      <w:pPr>
        <w:spacing w:line="0" w:lineRule="atLeast"/>
        <w:rPr>
          <w:rFonts w:eastAsia="Times New Roman"/>
        </w:rPr>
      </w:pPr>
      <w:r>
        <w:rPr>
          <w:rFonts w:ascii="黑体" w:hAnsi="黑体" w:eastAsia="黑体"/>
          <w:b/>
          <w:sz w:val="28"/>
        </w:rPr>
        <w:t xml:space="preserve">2. </w:t>
      </w:r>
      <w:r>
        <w:rPr>
          <w:rFonts w:ascii="宋体" w:hAnsi="宋体"/>
          <w:b/>
          <w:sz w:val="28"/>
        </w:rPr>
        <w:t>招标文件</w:t>
      </w:r>
    </w:p>
    <w:p>
      <w:pPr>
        <w:spacing w:line="0" w:lineRule="atLeast"/>
        <w:rPr>
          <w:rFonts w:ascii="宋体" w:hAnsi="宋体"/>
          <w:b/>
          <w:sz w:val="24"/>
        </w:rPr>
      </w:pPr>
      <w:r>
        <w:rPr>
          <w:rFonts w:ascii="黑体" w:hAnsi="黑体" w:eastAsia="黑体"/>
          <w:b/>
          <w:sz w:val="24"/>
        </w:rPr>
        <w:t xml:space="preserve">2.1 </w:t>
      </w:r>
      <w:r>
        <w:rPr>
          <w:rFonts w:ascii="宋体" w:hAnsi="宋体"/>
          <w:b/>
          <w:sz w:val="24"/>
        </w:rPr>
        <w:t>招标文件的组成</w:t>
      </w:r>
    </w:p>
    <w:p>
      <w:pPr>
        <w:tabs>
          <w:tab w:val="left" w:pos="8920"/>
        </w:tabs>
        <w:spacing w:line="331" w:lineRule="auto"/>
        <w:ind w:left="360" w:leftChars="180" w:firstLine="120" w:firstLineChars="50"/>
        <w:rPr>
          <w:rFonts w:ascii="宋体" w:hAnsi="宋体"/>
          <w:sz w:val="24"/>
        </w:rPr>
      </w:pPr>
      <w:r>
        <w:rPr>
          <w:rFonts w:ascii="宋体" w:hAnsi="宋体"/>
          <w:sz w:val="24"/>
        </w:rPr>
        <w:t>本招标文件包括：</w:t>
      </w:r>
    </w:p>
    <w:p>
      <w:pPr>
        <w:tabs>
          <w:tab w:val="left" w:pos="8920"/>
        </w:tabs>
        <w:spacing w:line="331" w:lineRule="auto"/>
        <w:ind w:left="360"/>
        <w:rPr>
          <w:rFonts w:ascii="宋体" w:hAnsi="宋体"/>
          <w:sz w:val="24"/>
        </w:rPr>
      </w:pPr>
      <w:r>
        <w:rPr>
          <w:rFonts w:ascii="宋体" w:hAnsi="宋体"/>
          <w:sz w:val="24"/>
        </w:rPr>
        <w:t>（1）招标公告；</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2</w:t>
      </w:r>
      <w:r>
        <w:rPr>
          <w:rFonts w:ascii="宋体" w:hAnsi="宋体"/>
          <w:sz w:val="24"/>
        </w:rPr>
        <w:t>）投标人须知；</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3</w:t>
      </w:r>
      <w:r>
        <w:rPr>
          <w:rFonts w:ascii="宋体" w:hAnsi="宋体"/>
          <w:sz w:val="24"/>
        </w:rPr>
        <w:t>）评标办法；</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）合同条款及格式；</w:t>
      </w:r>
    </w:p>
    <w:p>
      <w:pPr>
        <w:spacing w:line="306" w:lineRule="auto"/>
        <w:ind w:left="360"/>
        <w:rPr>
          <w:rFonts w:ascii="宋体" w:hAnsi="宋体"/>
          <w:sz w:val="24"/>
          <w:szCs w:val="22"/>
        </w:rPr>
      </w:pPr>
      <w:r>
        <w:rPr>
          <w:rFonts w:ascii="宋体" w:hAnsi="宋体"/>
          <w:sz w:val="24"/>
          <w:szCs w:val="22"/>
        </w:rPr>
        <w:t>（5）工程量清单；</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6</w:t>
      </w:r>
      <w:r>
        <w:rPr>
          <w:rFonts w:ascii="宋体" w:hAnsi="宋体"/>
          <w:sz w:val="24"/>
        </w:rPr>
        <w:t>）图纸；</w:t>
      </w:r>
    </w:p>
    <w:p>
      <w:pPr>
        <w:tabs>
          <w:tab w:val="left" w:pos="8920"/>
        </w:tabs>
        <w:spacing w:line="331" w:lineRule="auto"/>
        <w:ind w:left="360"/>
        <w:rPr>
          <w:rFonts w:ascii="宋体" w:hAnsi="宋体"/>
          <w:sz w:val="24"/>
        </w:rPr>
      </w:pPr>
      <w:r>
        <w:rPr>
          <w:rFonts w:ascii="宋体" w:hAnsi="宋体"/>
          <w:sz w:val="24"/>
        </w:rPr>
        <w:t>（</w:t>
      </w:r>
      <w:r>
        <w:rPr>
          <w:rFonts w:eastAsia="Times New Roman"/>
          <w:sz w:val="24"/>
        </w:rPr>
        <w:t>7</w:t>
      </w:r>
      <w:r>
        <w:rPr>
          <w:rFonts w:ascii="宋体" w:hAnsi="宋体"/>
          <w:sz w:val="24"/>
        </w:rPr>
        <w:t>）技术规范；</w:t>
      </w:r>
    </w:p>
    <w:p>
      <w:pPr>
        <w:spacing w:line="306" w:lineRule="auto"/>
        <w:ind w:left="360"/>
        <w:rPr>
          <w:rFonts w:ascii="宋体" w:hAnsi="宋体"/>
          <w:sz w:val="24"/>
        </w:rPr>
      </w:pPr>
      <w:r>
        <w:rPr>
          <w:rFonts w:ascii="宋体" w:hAnsi="宋体"/>
          <w:sz w:val="24"/>
        </w:rPr>
        <w:t>（</w:t>
      </w:r>
      <w:r>
        <w:rPr>
          <w:rFonts w:eastAsia="Times New Roman"/>
          <w:sz w:val="24"/>
        </w:rPr>
        <w:t>8</w:t>
      </w:r>
      <w:r>
        <w:rPr>
          <w:rFonts w:ascii="宋体" w:hAnsi="宋体"/>
          <w:sz w:val="24"/>
        </w:rPr>
        <w:t>）工程量清单计量规则；</w:t>
      </w:r>
    </w:p>
    <w:p>
      <w:pPr>
        <w:spacing w:line="306" w:lineRule="auto"/>
        <w:ind w:left="360"/>
        <w:rPr>
          <w:rFonts w:ascii="宋体" w:hAnsi="宋体"/>
          <w:sz w:val="24"/>
        </w:rPr>
      </w:pPr>
      <w:r>
        <w:rPr>
          <w:rFonts w:ascii="宋体" w:hAnsi="宋体"/>
          <w:sz w:val="24"/>
        </w:rPr>
        <w:t>（</w:t>
      </w:r>
      <w:r>
        <w:rPr>
          <w:rFonts w:eastAsia="Times New Roman"/>
          <w:sz w:val="24"/>
        </w:rPr>
        <w:t>9</w:t>
      </w:r>
      <w:r>
        <w:rPr>
          <w:rFonts w:ascii="宋体" w:hAnsi="宋体"/>
          <w:sz w:val="24"/>
        </w:rPr>
        <w:t>）投标文件格式；</w:t>
      </w:r>
    </w:p>
    <w:p>
      <w:pPr>
        <w:spacing w:line="137" w:lineRule="exact"/>
        <w:rPr>
          <w:rFonts w:eastAsia="Times New Roman"/>
        </w:rPr>
      </w:pPr>
    </w:p>
    <w:p>
      <w:pPr>
        <w:spacing w:line="310" w:lineRule="auto"/>
        <w:ind w:firstLine="480"/>
        <w:rPr>
          <w:rFonts w:ascii="宋体" w:hAnsi="宋体"/>
          <w:sz w:val="24"/>
        </w:rPr>
      </w:pPr>
      <w:r>
        <w:rPr>
          <w:rFonts w:ascii="宋体" w:hAnsi="宋体"/>
          <w:sz w:val="24"/>
        </w:rPr>
        <w:t xml:space="preserve">根据本章第 </w:t>
      </w:r>
      <w:r>
        <w:rPr>
          <w:rFonts w:eastAsia="Times New Roman"/>
          <w:sz w:val="24"/>
        </w:rPr>
        <w:t>1.10</w:t>
      </w:r>
      <w:r>
        <w:rPr>
          <w:rFonts w:ascii="宋体" w:hAnsi="宋体"/>
          <w:sz w:val="24"/>
        </w:rPr>
        <w:t xml:space="preserve"> 款、第 </w:t>
      </w:r>
      <w:r>
        <w:rPr>
          <w:rFonts w:eastAsia="Times New Roman"/>
          <w:sz w:val="24"/>
        </w:rPr>
        <w:t>2.2</w:t>
      </w:r>
      <w:r>
        <w:rPr>
          <w:rFonts w:ascii="宋体" w:hAnsi="宋体"/>
          <w:sz w:val="24"/>
        </w:rPr>
        <w:t xml:space="preserve"> 款和第 </w:t>
      </w:r>
      <w:r>
        <w:rPr>
          <w:rFonts w:eastAsia="Times New Roman"/>
          <w:sz w:val="24"/>
        </w:rPr>
        <w:t>2.3</w:t>
      </w:r>
      <w:r>
        <w:rPr>
          <w:rFonts w:ascii="宋体" w:hAnsi="宋体"/>
          <w:sz w:val="24"/>
        </w:rPr>
        <w:t xml:space="preserve"> 款对招标文件所作的澄清、修改，构成招标文件的组成部分。</w:t>
      </w:r>
    </w:p>
    <w:p>
      <w:pPr>
        <w:spacing w:line="79" w:lineRule="exact"/>
        <w:rPr>
          <w:rFonts w:eastAsia="Times New Roman"/>
        </w:rPr>
      </w:pPr>
    </w:p>
    <w:p>
      <w:pPr>
        <w:spacing w:line="318" w:lineRule="auto"/>
        <w:ind w:firstLine="480"/>
        <w:rPr>
          <w:rFonts w:eastAsia="Times New Roman"/>
        </w:rPr>
      </w:pPr>
      <w:r>
        <w:rPr>
          <w:rFonts w:ascii="宋体" w:hAnsi="宋体"/>
          <w:sz w:val="24"/>
        </w:rPr>
        <w:t>当招标文件、招标文件的澄清或修改等在同一内容的表述上不一致时，以最后发出的书面文件为准。</w:t>
      </w:r>
    </w:p>
    <w:p>
      <w:pPr>
        <w:tabs>
          <w:tab w:val="left" w:pos="480"/>
        </w:tabs>
        <w:spacing w:line="0" w:lineRule="atLeast"/>
        <w:ind w:left="9"/>
        <w:jc w:val="both"/>
        <w:rPr>
          <w:rFonts w:ascii="黑体" w:hAnsi="黑体" w:eastAsia="黑体"/>
          <w:sz w:val="24"/>
        </w:rPr>
      </w:pPr>
      <w:r>
        <w:rPr>
          <w:rFonts w:hint="eastAsia" w:ascii="宋体" w:hAnsi="宋体"/>
          <w:b/>
          <w:sz w:val="24"/>
        </w:rPr>
        <w:t>2.2</w:t>
      </w:r>
      <w:r>
        <w:rPr>
          <w:rFonts w:ascii="宋体" w:hAnsi="宋体"/>
          <w:b/>
          <w:sz w:val="24"/>
        </w:rPr>
        <w:t>招标文件的澄清</w:t>
      </w:r>
    </w:p>
    <w:p>
      <w:pPr>
        <w:tabs>
          <w:tab w:val="left" w:pos="1080"/>
        </w:tabs>
        <w:spacing w:line="333" w:lineRule="auto"/>
        <w:ind w:firstLine="482" w:firstLineChars="200"/>
        <w:jc w:val="both"/>
        <w:rPr>
          <w:rFonts w:ascii="宋体" w:hAnsi="宋体"/>
          <w:b/>
          <w:sz w:val="24"/>
        </w:rPr>
      </w:pPr>
      <w:r>
        <w:rPr>
          <w:rFonts w:hint="eastAsia" w:ascii="宋体" w:hAnsi="宋体"/>
          <w:b/>
          <w:sz w:val="24"/>
          <w:szCs w:val="24"/>
        </w:rPr>
        <w:t>2.2.1</w:t>
      </w:r>
      <w:r>
        <w:rPr>
          <w:rFonts w:ascii="宋体" w:hAnsi="宋体"/>
          <w:sz w:val="24"/>
        </w:rPr>
        <w:t>投标人应仔细阅读和检查招标文件的全部内容。如发现缺页或附件不全，应及时向招标人提出，以便补齐。如有疑问，应按投标人须知前附表规定的时间</w:t>
      </w:r>
      <w:r>
        <w:rPr>
          <w:rFonts w:hint="eastAsia" w:ascii="宋体" w:hAnsi="宋体"/>
          <w:sz w:val="24"/>
        </w:rPr>
        <w:t>要求</w:t>
      </w:r>
      <w:r>
        <w:rPr>
          <w:rFonts w:ascii="宋体" w:hAnsi="宋体"/>
          <w:sz w:val="24"/>
        </w:rPr>
        <w:t>招标对招标文件予以澄清。</w:t>
      </w:r>
      <w:r>
        <w:rPr>
          <w:rFonts w:hint="eastAsia" w:ascii="宋体" w:hAnsi="宋体"/>
          <w:b/>
          <w:sz w:val="24"/>
        </w:rPr>
        <w:t>如未提出异议，视为全面接受。</w:t>
      </w:r>
    </w:p>
    <w:p>
      <w:pPr>
        <w:spacing w:line="360" w:lineRule="auto"/>
        <w:ind w:firstLine="354" w:firstLineChars="147"/>
        <w:rPr>
          <w:rFonts w:ascii="宋体" w:hAnsi="宋体"/>
          <w:sz w:val="24"/>
        </w:rPr>
      </w:pPr>
      <w:r>
        <w:rPr>
          <w:rFonts w:hint="eastAsia" w:ascii="宋体" w:hAnsi="宋体"/>
          <w:b/>
          <w:sz w:val="24"/>
          <w:szCs w:val="24"/>
        </w:rPr>
        <w:t>2.2.2</w:t>
      </w:r>
      <w:r>
        <w:rPr>
          <w:rFonts w:hint="eastAsia" w:ascii="宋体" w:hAnsi="宋体"/>
          <w:sz w:val="24"/>
        </w:rPr>
        <w:t xml:space="preserve"> 招标文件的澄清将在投标人须知前附表规定的投标截止时间10 天前通过公共资源交易系统电子平台发出，但不指明澄清问题的来源。如果澄清发出的时间距投标截止时间不足10 天，相应延长投标截止时间。</w:t>
      </w:r>
    </w:p>
    <w:p>
      <w:pPr>
        <w:tabs>
          <w:tab w:val="left" w:pos="1080"/>
        </w:tabs>
        <w:spacing w:line="360" w:lineRule="auto"/>
        <w:ind w:firstLine="482" w:firstLineChars="200"/>
        <w:rPr>
          <w:rFonts w:ascii="宋体" w:hAnsi="宋体"/>
          <w:sz w:val="24"/>
        </w:rPr>
      </w:pPr>
      <w:r>
        <w:rPr>
          <w:rFonts w:hint="eastAsia" w:ascii="宋体" w:hAnsi="宋体"/>
          <w:b/>
          <w:sz w:val="24"/>
          <w:szCs w:val="24"/>
        </w:rPr>
        <w:t>2.2.3</w:t>
      </w:r>
      <w:r>
        <w:rPr>
          <w:rFonts w:hint="eastAsia" w:ascii="宋体" w:hAnsi="宋体"/>
          <w:sz w:val="24"/>
        </w:rPr>
        <w:t>投标人在收到澄清后，应按投标人须知前附表规定的时间和形式通知招标</w:t>
      </w:r>
      <w:r>
        <w:rPr>
          <w:rFonts w:ascii="宋体" w:hAnsi="宋体"/>
          <w:sz w:val="24"/>
        </w:rPr>
        <w:t>人，确认已收到该澄清。</w:t>
      </w:r>
    </w:p>
    <w:p>
      <w:pPr>
        <w:spacing w:line="360" w:lineRule="auto"/>
        <w:ind w:firstLine="482" w:firstLineChars="200"/>
        <w:rPr>
          <w:rFonts w:ascii="宋体" w:hAnsi="宋体"/>
          <w:sz w:val="24"/>
        </w:rPr>
      </w:pPr>
      <w:r>
        <w:rPr>
          <w:rFonts w:hint="eastAsia" w:ascii="宋体" w:hAnsi="宋体"/>
          <w:b/>
          <w:sz w:val="24"/>
          <w:szCs w:val="24"/>
        </w:rPr>
        <w:t>2.2.4</w:t>
      </w:r>
      <w:r>
        <w:rPr>
          <w:rFonts w:hint="eastAsia" w:ascii="宋体" w:hAnsi="宋体"/>
          <w:sz w:val="24"/>
        </w:rPr>
        <w:t>所有澄清、答疑全部以公共资源交易系统电子平台发出的为准，不再接受书面形式的递交。</w:t>
      </w:r>
    </w:p>
    <w:p>
      <w:pPr>
        <w:numPr>
          <w:ilvl w:val="0"/>
          <w:numId w:val="12"/>
        </w:numPr>
        <w:tabs>
          <w:tab w:val="left" w:pos="480"/>
        </w:tabs>
        <w:spacing w:line="360" w:lineRule="auto"/>
        <w:ind w:left="480" w:hanging="471"/>
        <w:jc w:val="both"/>
        <w:rPr>
          <w:rFonts w:ascii="黑体" w:hAnsi="黑体" w:eastAsia="黑体"/>
          <w:b/>
          <w:sz w:val="24"/>
        </w:rPr>
      </w:pPr>
      <w:r>
        <w:rPr>
          <w:rFonts w:ascii="宋体" w:hAnsi="宋体"/>
          <w:b/>
          <w:sz w:val="24"/>
        </w:rPr>
        <w:t>招标文件的修改</w:t>
      </w:r>
    </w:p>
    <w:p>
      <w:pPr>
        <w:tabs>
          <w:tab w:val="left" w:pos="480"/>
        </w:tabs>
        <w:spacing w:line="360" w:lineRule="auto"/>
        <w:ind w:left="480"/>
        <w:jc w:val="both"/>
        <w:rPr>
          <w:rFonts w:ascii="新宋体" w:hAnsi="新宋体" w:eastAsia="新宋体" w:cs="仿宋_GB2312"/>
          <w:sz w:val="24"/>
          <w:szCs w:val="24"/>
        </w:rPr>
      </w:pPr>
      <w:r>
        <w:rPr>
          <w:rFonts w:hint="eastAsia" w:ascii="宋体" w:hAnsi="宋体"/>
          <w:sz w:val="24"/>
          <w:szCs w:val="24"/>
        </w:rPr>
        <w:t xml:space="preserve">2.3.1 </w:t>
      </w:r>
      <w:r>
        <w:rPr>
          <w:rFonts w:hint="eastAsia" w:ascii="新宋体" w:hAnsi="新宋体" w:eastAsia="新宋体" w:cs="仿宋_GB2312"/>
          <w:sz w:val="24"/>
          <w:szCs w:val="24"/>
        </w:rPr>
        <w:t>在投标截止时间</w:t>
      </w:r>
      <w:r>
        <w:rPr>
          <w:rFonts w:hint="eastAsia" w:ascii="新宋体" w:hAnsi="新宋体" w:eastAsia="新宋体" w:cs="TimesNewRomanPSMT"/>
          <w:sz w:val="24"/>
          <w:szCs w:val="24"/>
        </w:rPr>
        <w:t>15</w:t>
      </w:r>
      <w:r>
        <w:rPr>
          <w:rFonts w:hint="eastAsia" w:ascii="新宋体" w:hAnsi="新宋体" w:eastAsia="新宋体" w:cs="仿宋_GB2312"/>
          <w:sz w:val="24"/>
          <w:szCs w:val="24"/>
        </w:rPr>
        <w:t>天前，招标人可以通过全国公共资源交易平台（河南</w:t>
      </w:r>
    </w:p>
    <w:p>
      <w:pPr>
        <w:tabs>
          <w:tab w:val="left" w:pos="480"/>
        </w:tabs>
        <w:spacing w:line="360" w:lineRule="auto"/>
        <w:jc w:val="both"/>
        <w:rPr>
          <w:rFonts w:ascii="新宋体" w:hAnsi="新宋体" w:eastAsia="新宋体" w:cs="仿宋_GB2312"/>
          <w:sz w:val="24"/>
          <w:szCs w:val="24"/>
        </w:rPr>
      </w:pPr>
      <w:r>
        <w:rPr>
          <w:rFonts w:hint="eastAsia" w:ascii="新宋体" w:hAnsi="新宋体" w:eastAsia="新宋体" w:cs="仿宋_GB2312"/>
          <w:sz w:val="24"/>
          <w:szCs w:val="24"/>
        </w:rPr>
        <w:t>省·许昌市）修改招标文件，如果修改招标文件的时间距投标截止时间不足</w:t>
      </w:r>
      <w:r>
        <w:rPr>
          <w:rFonts w:hint="eastAsia" w:ascii="新宋体" w:hAnsi="新宋体" w:eastAsia="新宋体" w:cs="TimesNewRomanPSMT"/>
          <w:sz w:val="24"/>
          <w:szCs w:val="24"/>
        </w:rPr>
        <w:t xml:space="preserve">15 </w:t>
      </w:r>
      <w:r>
        <w:rPr>
          <w:rFonts w:hint="eastAsia" w:ascii="新宋体" w:hAnsi="新宋体" w:eastAsia="新宋体" w:cs="仿宋_GB2312"/>
          <w:sz w:val="24"/>
          <w:szCs w:val="24"/>
        </w:rPr>
        <w:t>天，相应延长投标截止时间。</w:t>
      </w:r>
    </w:p>
    <w:p>
      <w:pPr>
        <w:tabs>
          <w:tab w:val="left" w:pos="480"/>
        </w:tabs>
        <w:spacing w:line="360" w:lineRule="auto"/>
        <w:ind w:firstLine="120" w:firstLineChars="50"/>
        <w:jc w:val="both"/>
        <w:rPr>
          <w:rFonts w:ascii="新宋体" w:hAnsi="新宋体" w:eastAsia="新宋体" w:cs="仿宋_GB2312"/>
          <w:sz w:val="24"/>
          <w:szCs w:val="24"/>
        </w:rPr>
      </w:pPr>
      <w:r>
        <w:rPr>
          <w:rFonts w:hint="eastAsia" w:ascii="宋体" w:hAnsi="宋体"/>
          <w:sz w:val="24"/>
          <w:szCs w:val="24"/>
        </w:rPr>
        <w:t xml:space="preserve">  2.3.2 当招标文件（含评标、定标办法）、补充通知且修改内容可能影响投标文件编制的，内容相互矛盾时，以最后发出的通知（或纪要）为准。</w:t>
      </w:r>
    </w:p>
    <w:p>
      <w:pPr>
        <w:spacing w:line="360" w:lineRule="auto"/>
        <w:rPr>
          <w:rFonts w:ascii="宋体" w:hAnsi="宋体"/>
          <w:b/>
          <w:sz w:val="24"/>
        </w:rPr>
      </w:pPr>
      <w:r>
        <w:rPr>
          <w:rFonts w:ascii="黑体" w:hAnsi="黑体" w:eastAsia="黑体"/>
          <w:b/>
          <w:sz w:val="24"/>
        </w:rPr>
        <w:t xml:space="preserve">2.4 </w:t>
      </w:r>
      <w:r>
        <w:rPr>
          <w:rFonts w:ascii="宋体" w:hAnsi="宋体"/>
          <w:b/>
          <w:sz w:val="24"/>
        </w:rPr>
        <w:t>招标文件的异议</w:t>
      </w:r>
    </w:p>
    <w:p>
      <w:pPr>
        <w:tabs>
          <w:tab w:val="left" w:pos="480"/>
        </w:tabs>
        <w:spacing w:line="360" w:lineRule="auto"/>
        <w:ind w:left="480"/>
        <w:jc w:val="both"/>
        <w:rPr>
          <w:rFonts w:ascii="新宋体" w:hAnsi="新宋体" w:eastAsia="新宋体" w:cs="仿宋_GB2312"/>
          <w:sz w:val="24"/>
          <w:szCs w:val="24"/>
        </w:rPr>
      </w:pPr>
      <w:r>
        <w:rPr>
          <w:rFonts w:ascii="新宋体" w:hAnsi="新宋体" w:eastAsia="新宋体" w:cs="仿宋_GB2312"/>
          <w:sz w:val="24"/>
          <w:szCs w:val="24"/>
        </w:rPr>
        <w:t>投标人或其他利害关系人对招标文件有异议的，应在投标截止时间 10 日</w:t>
      </w:r>
      <w:r>
        <w:rPr>
          <w:rFonts w:hint="eastAsia" w:ascii="新宋体" w:hAnsi="新宋体" w:eastAsia="新宋体" w:cs="仿宋_GB2312"/>
          <w:sz w:val="24"/>
          <w:szCs w:val="24"/>
        </w:rPr>
        <w:t>前通过</w:t>
      </w:r>
    </w:p>
    <w:p>
      <w:pPr>
        <w:tabs>
          <w:tab w:val="left" w:pos="480"/>
        </w:tabs>
        <w:spacing w:line="360" w:lineRule="auto"/>
        <w:jc w:val="both"/>
        <w:rPr>
          <w:rFonts w:ascii="新宋体" w:hAnsi="新宋体" w:eastAsia="新宋体" w:cs="仿宋_GB2312"/>
          <w:sz w:val="24"/>
          <w:szCs w:val="24"/>
        </w:rPr>
      </w:pPr>
      <w:r>
        <w:rPr>
          <w:rFonts w:hint="eastAsia" w:ascii="新宋体" w:hAnsi="新宋体" w:eastAsia="新宋体" w:cs="仿宋_GB2312"/>
          <w:sz w:val="24"/>
          <w:szCs w:val="24"/>
        </w:rPr>
        <w:t>公共资源交易系统电子平台提出，不再接受书面形式的递交。</w:t>
      </w:r>
      <w:r>
        <w:rPr>
          <w:rFonts w:ascii="新宋体" w:hAnsi="新宋体" w:eastAsia="新宋体" w:cs="仿宋_GB2312"/>
          <w:sz w:val="24"/>
          <w:szCs w:val="24"/>
        </w:rPr>
        <w:t>招标人将在收到异议之日起 3 日内作出答复；作出答复前，将暂停招标投</w:t>
      </w:r>
      <w:r>
        <w:rPr>
          <w:rFonts w:ascii="宋体" w:hAnsi="宋体"/>
          <w:sz w:val="24"/>
        </w:rPr>
        <w:t>标活动。</w:t>
      </w:r>
    </w:p>
    <w:p>
      <w:pPr>
        <w:spacing w:line="0" w:lineRule="atLeast"/>
        <w:rPr>
          <w:rFonts w:eastAsia="Times New Roman"/>
        </w:rPr>
      </w:pPr>
      <w:r>
        <w:rPr>
          <w:rFonts w:hint="eastAsia" w:ascii="黑体" w:hAnsi="黑体" w:eastAsia="黑体"/>
          <w:b/>
          <w:sz w:val="28"/>
        </w:rPr>
        <w:t>3.</w:t>
      </w:r>
      <w:r>
        <w:rPr>
          <w:rFonts w:ascii="宋体" w:hAnsi="宋体"/>
          <w:b/>
          <w:sz w:val="28"/>
        </w:rPr>
        <w:t>投标文件</w:t>
      </w:r>
    </w:p>
    <w:p>
      <w:pPr>
        <w:spacing w:line="0" w:lineRule="atLeast"/>
        <w:rPr>
          <w:rFonts w:eastAsia="Times New Roman"/>
        </w:rPr>
      </w:pPr>
      <w:r>
        <w:rPr>
          <w:rFonts w:ascii="黑体" w:hAnsi="黑体" w:eastAsia="黑体"/>
          <w:sz w:val="24"/>
        </w:rPr>
        <w:t xml:space="preserve">3.1 </w:t>
      </w:r>
      <w:r>
        <w:rPr>
          <w:rFonts w:ascii="宋体" w:hAnsi="宋体"/>
          <w:sz w:val="24"/>
        </w:rPr>
        <w:t>投标文件的组成</w:t>
      </w:r>
    </w:p>
    <w:p>
      <w:pPr>
        <w:spacing w:line="0" w:lineRule="atLeast"/>
        <w:ind w:left="480"/>
        <w:rPr>
          <w:rFonts w:ascii="宋体" w:hAnsi="宋体"/>
          <w:sz w:val="24"/>
        </w:rPr>
      </w:pPr>
      <w:r>
        <w:rPr>
          <w:rFonts w:ascii="宋体" w:hAnsi="宋体"/>
          <w:sz w:val="24"/>
        </w:rPr>
        <w:t>根据投标人须知前附表规定的不同形式，投标文件的组成应满足相应条款要求。</w:t>
      </w:r>
    </w:p>
    <w:p>
      <w:pPr>
        <w:spacing w:line="127" w:lineRule="exact"/>
        <w:rPr>
          <w:rFonts w:eastAsia="Times New Roman"/>
        </w:rPr>
      </w:pPr>
    </w:p>
    <w:p>
      <w:pPr>
        <w:spacing w:line="0" w:lineRule="atLeast"/>
        <w:ind w:left="480"/>
        <w:rPr>
          <w:rFonts w:ascii="宋体" w:hAnsi="宋体"/>
          <w:sz w:val="24"/>
        </w:rPr>
      </w:pPr>
      <w:r>
        <w:rPr>
          <w:rFonts w:ascii="宋体" w:hAnsi="宋体"/>
          <w:sz w:val="24"/>
        </w:rPr>
        <w:t xml:space="preserve">若采用双信封形式，第 </w:t>
      </w:r>
      <w:r>
        <w:rPr>
          <w:rFonts w:eastAsia="Times New Roman"/>
          <w:sz w:val="24"/>
        </w:rPr>
        <w:t>3.1.1</w:t>
      </w:r>
      <w:r>
        <w:rPr>
          <w:rFonts w:ascii="宋体" w:hAnsi="宋体"/>
          <w:sz w:val="24"/>
        </w:rPr>
        <w:t xml:space="preserve"> 项采用以下条款：</w:t>
      </w:r>
    </w:p>
    <w:p>
      <w:pPr>
        <w:spacing w:line="109" w:lineRule="exact"/>
        <w:rPr>
          <w:rFonts w:eastAsia="Times New Roman"/>
        </w:rPr>
      </w:pPr>
    </w:p>
    <w:p>
      <w:pPr>
        <w:spacing w:line="0" w:lineRule="atLeast"/>
        <w:ind w:left="480"/>
        <w:rPr>
          <w:rFonts w:ascii="宋体" w:hAnsi="宋体"/>
          <w:sz w:val="24"/>
        </w:rPr>
      </w:pPr>
      <w:r>
        <w:rPr>
          <w:rFonts w:eastAsia="Times New Roman"/>
          <w:sz w:val="24"/>
        </w:rPr>
        <w:t xml:space="preserve">3.1.1 </w:t>
      </w:r>
      <w:r>
        <w:rPr>
          <w:rFonts w:ascii="宋体" w:hAnsi="宋体"/>
          <w:sz w:val="24"/>
        </w:rPr>
        <w:t>投标文件应包括下列内容：</w:t>
      </w:r>
    </w:p>
    <w:p>
      <w:pPr>
        <w:spacing w:line="107" w:lineRule="exact"/>
        <w:rPr>
          <w:rFonts w:eastAsia="Times New Roman"/>
        </w:rPr>
      </w:pPr>
    </w:p>
    <w:p>
      <w:pPr>
        <w:spacing w:line="0" w:lineRule="atLeast"/>
        <w:ind w:left="480"/>
        <w:rPr>
          <w:rFonts w:ascii="宋体" w:hAnsi="宋体"/>
          <w:sz w:val="24"/>
        </w:rPr>
      </w:pPr>
      <w:r>
        <w:rPr>
          <w:rFonts w:ascii="宋体" w:hAnsi="宋体"/>
          <w:sz w:val="24"/>
        </w:rPr>
        <w:t>第一个信封（商务及技术文件）：</w:t>
      </w:r>
    </w:p>
    <w:p>
      <w:pPr>
        <w:spacing w:line="156" w:lineRule="exact"/>
        <w:rPr>
          <w:rFonts w:eastAsia="Times New Roman"/>
        </w:rPr>
      </w:pPr>
    </w:p>
    <w:p>
      <w:pPr>
        <w:spacing w:line="333" w:lineRule="auto"/>
        <w:ind w:left="360"/>
        <w:rPr>
          <w:rFonts w:ascii="宋体" w:hAnsi="宋体"/>
          <w:sz w:val="24"/>
        </w:rPr>
      </w:pPr>
      <w:r>
        <w:rPr>
          <w:rFonts w:ascii="宋体" w:hAnsi="宋体"/>
          <w:sz w:val="24"/>
        </w:rPr>
        <w:t>（</w:t>
      </w:r>
      <w:r>
        <w:rPr>
          <w:rFonts w:eastAsia="Times New Roman"/>
          <w:sz w:val="24"/>
        </w:rPr>
        <w:t>1</w:t>
      </w:r>
      <w:r>
        <w:rPr>
          <w:rFonts w:ascii="宋体" w:hAnsi="宋体"/>
          <w:sz w:val="24"/>
        </w:rPr>
        <w:t>）投标函及投标函附录；</w:t>
      </w:r>
    </w:p>
    <w:p>
      <w:pPr>
        <w:spacing w:line="333" w:lineRule="auto"/>
        <w:ind w:left="360"/>
        <w:rPr>
          <w:rFonts w:ascii="宋体" w:hAnsi="宋体"/>
          <w:sz w:val="24"/>
        </w:rPr>
      </w:pPr>
      <w:r>
        <w:rPr>
          <w:rFonts w:ascii="宋体" w:hAnsi="宋体"/>
          <w:sz w:val="24"/>
        </w:rPr>
        <w:t>（</w:t>
      </w:r>
      <w:r>
        <w:rPr>
          <w:rFonts w:eastAsia="Times New Roman"/>
          <w:sz w:val="24"/>
        </w:rPr>
        <w:t>2</w:t>
      </w:r>
      <w:r>
        <w:rPr>
          <w:rFonts w:ascii="宋体" w:hAnsi="宋体"/>
          <w:sz w:val="24"/>
        </w:rPr>
        <w:t>）授权委托书或法定代表人身份证明；</w:t>
      </w:r>
    </w:p>
    <w:p>
      <w:pPr>
        <w:spacing w:line="333" w:lineRule="auto"/>
        <w:ind w:left="360"/>
        <w:rPr>
          <w:rFonts w:ascii="宋体" w:hAnsi="宋体"/>
          <w:sz w:val="24"/>
        </w:rPr>
      </w:pPr>
      <w:r>
        <w:rPr>
          <w:rFonts w:ascii="宋体" w:hAnsi="宋体"/>
          <w:sz w:val="24"/>
        </w:rPr>
        <w:t>（</w:t>
      </w:r>
      <w:r>
        <w:rPr>
          <w:rFonts w:hint="eastAsia"/>
          <w:sz w:val="24"/>
        </w:rPr>
        <w:t>3</w:t>
      </w:r>
      <w:r>
        <w:rPr>
          <w:rFonts w:ascii="宋体" w:hAnsi="宋体"/>
          <w:sz w:val="24"/>
        </w:rPr>
        <w:t>）投标保证金；</w:t>
      </w:r>
    </w:p>
    <w:p>
      <w:pPr>
        <w:spacing w:line="333" w:lineRule="auto"/>
        <w:ind w:left="360"/>
        <w:rPr>
          <w:rFonts w:ascii="宋体" w:hAnsi="宋体"/>
          <w:sz w:val="24"/>
        </w:rPr>
      </w:pPr>
      <w:r>
        <w:rPr>
          <w:rFonts w:ascii="宋体" w:hAnsi="宋体"/>
          <w:sz w:val="24"/>
        </w:rPr>
        <w:t>（</w:t>
      </w:r>
      <w:r>
        <w:rPr>
          <w:rFonts w:hint="eastAsia"/>
          <w:sz w:val="24"/>
        </w:rPr>
        <w:t>4</w:t>
      </w:r>
      <w:r>
        <w:rPr>
          <w:rFonts w:ascii="宋体" w:hAnsi="宋体"/>
          <w:sz w:val="24"/>
        </w:rPr>
        <w:t>）施工组织设计；</w:t>
      </w:r>
    </w:p>
    <w:p>
      <w:pPr>
        <w:spacing w:line="333" w:lineRule="auto"/>
        <w:ind w:left="360"/>
        <w:rPr>
          <w:rFonts w:ascii="宋体" w:hAnsi="宋体"/>
          <w:sz w:val="24"/>
        </w:rPr>
      </w:pPr>
      <w:r>
        <w:rPr>
          <w:rFonts w:ascii="宋体" w:hAnsi="宋体"/>
          <w:sz w:val="24"/>
        </w:rPr>
        <w:t>（</w:t>
      </w:r>
      <w:r>
        <w:rPr>
          <w:rFonts w:hint="eastAsia"/>
          <w:sz w:val="24"/>
        </w:rPr>
        <w:t>5</w:t>
      </w:r>
      <w:r>
        <w:rPr>
          <w:rFonts w:ascii="宋体" w:hAnsi="宋体"/>
          <w:sz w:val="24"/>
        </w:rPr>
        <w:t>）项目管理机构；</w:t>
      </w:r>
    </w:p>
    <w:p>
      <w:pPr>
        <w:spacing w:line="306" w:lineRule="auto"/>
        <w:ind w:left="360"/>
        <w:rPr>
          <w:rFonts w:ascii="宋体" w:hAnsi="宋体"/>
          <w:sz w:val="24"/>
        </w:rPr>
      </w:pPr>
      <w:r>
        <w:rPr>
          <w:rFonts w:ascii="宋体" w:hAnsi="宋体"/>
          <w:sz w:val="24"/>
        </w:rPr>
        <w:t>（</w:t>
      </w:r>
      <w:r>
        <w:rPr>
          <w:rFonts w:hint="eastAsia"/>
          <w:sz w:val="24"/>
        </w:rPr>
        <w:t>6</w:t>
      </w:r>
      <w:r>
        <w:rPr>
          <w:rFonts w:ascii="宋体" w:hAnsi="宋体"/>
          <w:sz w:val="24"/>
        </w:rPr>
        <w:t>）拟分包项目情况表；</w:t>
      </w:r>
    </w:p>
    <w:p>
      <w:pPr>
        <w:spacing w:line="306" w:lineRule="auto"/>
        <w:ind w:left="360"/>
        <w:rPr>
          <w:rFonts w:ascii="宋体" w:hAnsi="宋体"/>
          <w:sz w:val="24"/>
        </w:rPr>
      </w:pPr>
      <w:r>
        <w:rPr>
          <w:rFonts w:ascii="宋体" w:hAnsi="宋体"/>
          <w:sz w:val="24"/>
        </w:rPr>
        <w:t>（</w:t>
      </w:r>
      <w:r>
        <w:rPr>
          <w:rFonts w:hint="eastAsia"/>
          <w:sz w:val="24"/>
        </w:rPr>
        <w:t>7</w:t>
      </w:r>
      <w:r>
        <w:rPr>
          <w:rFonts w:ascii="宋体" w:hAnsi="宋体"/>
          <w:sz w:val="24"/>
        </w:rPr>
        <w:t>）资格审查资料；</w:t>
      </w:r>
    </w:p>
    <w:p>
      <w:pPr>
        <w:spacing w:line="55" w:lineRule="exact"/>
        <w:rPr>
          <w:rFonts w:eastAsia="Times New Roman"/>
        </w:rPr>
      </w:pPr>
    </w:p>
    <w:p>
      <w:pPr>
        <w:spacing w:line="310" w:lineRule="auto"/>
        <w:ind w:left="480" w:hanging="119"/>
        <w:rPr>
          <w:rFonts w:ascii="宋体" w:hAnsi="宋体"/>
          <w:sz w:val="24"/>
        </w:rPr>
      </w:pPr>
      <w:r>
        <w:rPr>
          <w:rFonts w:ascii="宋体" w:hAnsi="宋体"/>
          <w:sz w:val="24"/>
        </w:rPr>
        <w:t>（</w:t>
      </w:r>
      <w:r>
        <w:rPr>
          <w:rFonts w:hint="eastAsia"/>
          <w:sz w:val="24"/>
        </w:rPr>
        <w:t>8</w:t>
      </w:r>
      <w:r>
        <w:rPr>
          <w:rFonts w:ascii="宋体" w:hAnsi="宋体"/>
          <w:sz w:val="24"/>
        </w:rPr>
        <w:t>）其他资料。</w:t>
      </w:r>
    </w:p>
    <w:p>
      <w:pPr>
        <w:spacing w:line="310" w:lineRule="auto"/>
        <w:ind w:left="480" w:hanging="119"/>
        <w:rPr>
          <w:rFonts w:ascii="宋体" w:hAnsi="宋体"/>
          <w:sz w:val="24"/>
        </w:rPr>
      </w:pPr>
      <w:r>
        <w:rPr>
          <w:rFonts w:ascii="宋体" w:hAnsi="宋体"/>
          <w:sz w:val="24"/>
        </w:rPr>
        <w:t>第二个信封（</w:t>
      </w:r>
      <w:r>
        <w:rPr>
          <w:rFonts w:hint="eastAsia" w:ascii="宋体" w:hAnsi="宋体"/>
          <w:sz w:val="24"/>
        </w:rPr>
        <w:t>投标</w:t>
      </w:r>
      <w:r>
        <w:rPr>
          <w:rFonts w:ascii="宋体" w:hAnsi="宋体"/>
          <w:sz w:val="24"/>
        </w:rPr>
        <w:t>报价）：</w:t>
      </w:r>
    </w:p>
    <w:p>
      <w:pPr>
        <w:spacing w:line="43" w:lineRule="exact"/>
        <w:rPr>
          <w:rFonts w:eastAsia="Times New Roman"/>
        </w:rPr>
      </w:pPr>
    </w:p>
    <w:p>
      <w:pPr>
        <w:spacing w:line="316" w:lineRule="auto"/>
        <w:ind w:left="120" w:firstLine="480"/>
        <w:rPr>
          <w:rFonts w:ascii="宋体" w:hAnsi="宋体"/>
          <w:sz w:val="24"/>
          <w:szCs w:val="22"/>
        </w:rPr>
      </w:pPr>
      <w:bookmarkStart w:id="23" w:name="page54"/>
      <w:bookmarkEnd w:id="23"/>
      <w:r>
        <w:rPr>
          <w:rFonts w:ascii="宋体" w:hAnsi="宋体"/>
          <w:sz w:val="24"/>
          <w:szCs w:val="22"/>
        </w:rPr>
        <w:t>（</w:t>
      </w:r>
      <w:r>
        <w:rPr>
          <w:rFonts w:hint="eastAsia" w:ascii="宋体" w:hAnsi="宋体"/>
          <w:sz w:val="24"/>
          <w:szCs w:val="22"/>
        </w:rPr>
        <w:t>1</w:t>
      </w:r>
      <w:r>
        <w:rPr>
          <w:rFonts w:ascii="宋体" w:hAnsi="宋体"/>
          <w:sz w:val="24"/>
          <w:szCs w:val="22"/>
        </w:rPr>
        <w:t>）投标函；</w:t>
      </w:r>
    </w:p>
    <w:p>
      <w:pPr>
        <w:spacing w:line="316" w:lineRule="auto"/>
        <w:ind w:left="120" w:firstLine="480"/>
        <w:rPr>
          <w:rFonts w:eastAsia="Times New Roman"/>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投标函附录。</w:t>
      </w:r>
    </w:p>
    <w:p>
      <w:pPr>
        <w:spacing w:line="316" w:lineRule="auto"/>
        <w:ind w:left="120" w:firstLine="480"/>
      </w:pPr>
      <w:r>
        <w:rPr>
          <w:rFonts w:hint="eastAsia" w:ascii="宋体" w:hAnsi="宋体"/>
          <w:sz w:val="24"/>
        </w:rPr>
        <w:t>3.1.2</w:t>
      </w:r>
      <w:r>
        <w:rPr>
          <w:rFonts w:ascii="宋体" w:hAnsi="宋体"/>
          <w:sz w:val="24"/>
        </w:rPr>
        <w:t>投标人在评标过程中作出的符合法律法规和招标文件规定的澄清确认，构成投标文件的组成部分。</w:t>
      </w:r>
    </w:p>
    <w:p>
      <w:pPr>
        <w:spacing w:line="41" w:lineRule="exact"/>
        <w:rPr>
          <w:rFonts w:eastAsia="Times New Roman"/>
        </w:rPr>
      </w:pPr>
    </w:p>
    <w:p>
      <w:pPr>
        <w:spacing w:line="69" w:lineRule="exact"/>
        <w:rPr>
          <w:rFonts w:eastAsia="Times New Roman"/>
        </w:rPr>
      </w:pPr>
    </w:p>
    <w:p>
      <w:pPr>
        <w:numPr>
          <w:ilvl w:val="0"/>
          <w:numId w:val="13"/>
        </w:numPr>
        <w:tabs>
          <w:tab w:val="left" w:pos="600"/>
        </w:tabs>
        <w:spacing w:line="0" w:lineRule="atLeast"/>
        <w:ind w:left="600" w:hanging="471"/>
        <w:jc w:val="both"/>
        <w:rPr>
          <w:rFonts w:ascii="黑体" w:hAnsi="黑体" w:eastAsia="黑体"/>
          <w:b/>
          <w:sz w:val="24"/>
        </w:rPr>
      </w:pPr>
      <w:r>
        <w:rPr>
          <w:rFonts w:ascii="宋体" w:hAnsi="宋体"/>
          <w:b/>
          <w:sz w:val="24"/>
        </w:rPr>
        <w:t>投标报价</w:t>
      </w:r>
    </w:p>
    <w:p>
      <w:pPr>
        <w:spacing w:line="200" w:lineRule="exact"/>
        <w:rPr>
          <w:rFonts w:ascii="黑体" w:hAnsi="黑体" w:eastAsia="黑体"/>
          <w:sz w:val="24"/>
        </w:rPr>
      </w:pPr>
    </w:p>
    <w:p>
      <w:pPr>
        <w:tabs>
          <w:tab w:val="left" w:pos="1200"/>
        </w:tabs>
        <w:spacing w:line="315" w:lineRule="auto"/>
        <w:ind w:firstLine="360" w:firstLineChars="150"/>
        <w:rPr>
          <w:rFonts w:ascii="宋体" w:hAnsi="宋体"/>
          <w:sz w:val="24"/>
        </w:rPr>
      </w:pPr>
      <w:r>
        <w:rPr>
          <w:rFonts w:hint="eastAsia" w:ascii="黑体" w:hAnsi="黑体" w:eastAsia="黑体"/>
          <w:sz w:val="24"/>
        </w:rPr>
        <w:t>3.2.1</w:t>
      </w:r>
      <w:r>
        <w:rPr>
          <w:rFonts w:ascii="宋体" w:hAnsi="宋体"/>
          <w:sz w:val="24"/>
        </w:rPr>
        <w:t>投标人应按第九章</w:t>
      </w:r>
      <w:r>
        <w:rPr>
          <w:rFonts w:ascii="Arial" w:hAnsi="Arial" w:eastAsia="Arial"/>
          <w:sz w:val="24"/>
        </w:rPr>
        <w:t>“</w:t>
      </w:r>
      <w:r>
        <w:rPr>
          <w:rFonts w:ascii="宋体" w:hAnsi="宋体"/>
          <w:sz w:val="24"/>
        </w:rPr>
        <w:t>投标文件格式</w:t>
      </w:r>
      <w:r>
        <w:rPr>
          <w:rFonts w:ascii="Arial" w:hAnsi="Arial" w:eastAsia="Arial"/>
          <w:sz w:val="24"/>
        </w:rPr>
        <w:t>”</w:t>
      </w:r>
      <w:r>
        <w:rPr>
          <w:rFonts w:ascii="宋体" w:hAnsi="宋体"/>
          <w:sz w:val="24"/>
        </w:rPr>
        <w:t>的要求在投标函中进行报价。</w:t>
      </w:r>
    </w:p>
    <w:p>
      <w:pPr>
        <w:tabs>
          <w:tab w:val="left" w:pos="1200"/>
        </w:tabs>
        <w:spacing w:line="315" w:lineRule="auto"/>
        <w:ind w:firstLine="360" w:firstLineChars="150"/>
        <w:rPr>
          <w:rFonts w:ascii="宋体" w:hAnsi="宋体"/>
          <w:sz w:val="24"/>
        </w:rPr>
      </w:pPr>
      <w:r>
        <w:rPr>
          <w:rFonts w:hint="eastAsia" w:ascii="宋体" w:hAnsi="宋体"/>
          <w:sz w:val="24"/>
        </w:rPr>
        <w:t>3.2.2</w:t>
      </w:r>
      <w:r>
        <w:rPr>
          <w:rFonts w:ascii="宋体" w:hAnsi="宋体"/>
          <w:sz w:val="24"/>
        </w:rPr>
        <w:t>投标人应充分了解本项目的总体情况以及影响投标报价的其他要素。</w:t>
      </w:r>
    </w:p>
    <w:p>
      <w:pPr>
        <w:tabs>
          <w:tab w:val="left" w:pos="1200"/>
        </w:tabs>
        <w:spacing w:line="315" w:lineRule="auto"/>
        <w:ind w:firstLine="360" w:firstLineChars="150"/>
        <w:rPr>
          <w:rFonts w:ascii="宋体" w:hAnsi="宋体"/>
          <w:sz w:val="24"/>
        </w:rPr>
      </w:pPr>
      <w:r>
        <w:rPr>
          <w:rFonts w:hint="eastAsia" w:ascii="宋体" w:hAnsi="宋体"/>
          <w:sz w:val="24"/>
        </w:rPr>
        <w:t>3.2.3</w:t>
      </w:r>
      <w:r>
        <w:rPr>
          <w:rFonts w:ascii="宋体" w:hAnsi="宋体"/>
          <w:sz w:val="24"/>
        </w:rPr>
        <w:t>本项目的报价方式见投标人须知前附表。投标人在投标截止时间前修改投标函中的投标总报价，应同时修改投标文件</w:t>
      </w:r>
      <w:r>
        <w:rPr>
          <w:rFonts w:eastAsia="Times New Roman"/>
          <w:sz w:val="24"/>
        </w:rPr>
        <w:t>“</w:t>
      </w:r>
      <w:r>
        <w:rPr>
          <w:rFonts w:ascii="宋体" w:hAnsi="宋体"/>
          <w:sz w:val="24"/>
        </w:rPr>
        <w:t>已标价工程量清单</w:t>
      </w:r>
      <w:r>
        <w:rPr>
          <w:rFonts w:eastAsia="Times New Roman"/>
          <w:sz w:val="24"/>
        </w:rPr>
        <w:t>”</w:t>
      </w:r>
      <w:r>
        <w:rPr>
          <w:rFonts w:ascii="宋体" w:hAnsi="宋体"/>
          <w:sz w:val="24"/>
        </w:rPr>
        <w:t xml:space="preserve">中的相应报价。此修改须符合本章第 </w:t>
      </w:r>
      <w:r>
        <w:rPr>
          <w:rFonts w:eastAsia="Times New Roman"/>
          <w:sz w:val="24"/>
        </w:rPr>
        <w:t>4.3</w:t>
      </w:r>
      <w:r>
        <w:rPr>
          <w:rFonts w:ascii="宋体" w:hAnsi="宋体"/>
          <w:sz w:val="24"/>
        </w:rPr>
        <w:t xml:space="preserve"> 款的有关要求。</w:t>
      </w:r>
    </w:p>
    <w:p>
      <w:pPr>
        <w:tabs>
          <w:tab w:val="left" w:pos="1200"/>
        </w:tabs>
        <w:spacing w:line="315" w:lineRule="auto"/>
        <w:ind w:firstLine="360" w:firstLineChars="150"/>
        <w:rPr>
          <w:rFonts w:ascii="宋体" w:hAnsi="宋体"/>
          <w:sz w:val="24"/>
        </w:rPr>
      </w:pPr>
      <w:r>
        <w:rPr>
          <w:rFonts w:hint="eastAsia" w:ascii="宋体" w:hAnsi="宋体"/>
          <w:sz w:val="24"/>
        </w:rPr>
        <w:t>3.2.4</w:t>
      </w:r>
      <w:r>
        <w:rPr>
          <w:rFonts w:ascii="宋体" w:hAnsi="宋体"/>
          <w:sz w:val="24"/>
        </w:rPr>
        <w:t>投标人如果发现工程量清单中的数量与图纸中数量不一致时，应立即通知招标人核查，除非招标人以书面方式予以更正，否则，应以工程量清单中列出的数量为准</w:t>
      </w:r>
      <w:r>
        <w:rPr>
          <w:rFonts w:hint="eastAsia" w:ascii="宋体" w:hAnsi="宋体"/>
          <w:sz w:val="24"/>
        </w:rPr>
        <w:t>。</w:t>
      </w:r>
    </w:p>
    <w:p>
      <w:pPr>
        <w:tabs>
          <w:tab w:val="left" w:pos="1200"/>
        </w:tabs>
        <w:spacing w:line="315" w:lineRule="auto"/>
        <w:ind w:firstLine="360" w:firstLineChars="150"/>
        <w:rPr>
          <w:rFonts w:eastAsia="Times New Roman"/>
        </w:rPr>
      </w:pPr>
      <w:r>
        <w:rPr>
          <w:rFonts w:hint="eastAsia" w:ascii="宋体" w:hAnsi="宋体"/>
          <w:sz w:val="24"/>
        </w:rPr>
        <w:t>3.2.5</w:t>
      </w:r>
      <w:r>
        <w:rPr>
          <w:rFonts w:ascii="宋体" w:hAnsi="宋体"/>
          <w:sz w:val="24"/>
        </w:rPr>
        <w:t>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spacing w:line="61" w:lineRule="exact"/>
        <w:rPr>
          <w:rFonts w:eastAsia="Times New Roman"/>
          <w:sz w:val="24"/>
        </w:rPr>
      </w:pPr>
    </w:p>
    <w:p>
      <w:pPr>
        <w:tabs>
          <w:tab w:val="left" w:pos="1080"/>
        </w:tabs>
        <w:spacing w:line="302" w:lineRule="auto"/>
        <w:ind w:firstLine="240" w:firstLineChars="100"/>
        <w:jc w:val="both"/>
        <w:rPr>
          <w:rFonts w:eastAsia="Times New Roman"/>
          <w:sz w:val="24"/>
        </w:rPr>
      </w:pPr>
      <w:r>
        <w:rPr>
          <w:rFonts w:hint="eastAsia" w:ascii="宋体" w:hAnsi="宋体"/>
          <w:sz w:val="24"/>
        </w:rPr>
        <w:t>3.2.6</w:t>
      </w:r>
      <w:r>
        <w:rPr>
          <w:rFonts w:ascii="宋体" w:hAnsi="宋体"/>
          <w:sz w:val="24"/>
        </w:rPr>
        <w:t>招标人设有最高投标限价的，投标人的投标报价不得超过最高投标限价，最高投标限价在投标人须知前附表中载明。</w:t>
      </w:r>
    </w:p>
    <w:p>
      <w:pPr>
        <w:numPr>
          <w:ilvl w:val="0"/>
          <w:numId w:val="14"/>
        </w:numPr>
        <w:tabs>
          <w:tab w:val="left" w:pos="420"/>
        </w:tabs>
        <w:spacing w:line="0" w:lineRule="atLeast"/>
        <w:ind w:left="420" w:hanging="411"/>
        <w:jc w:val="both"/>
        <w:rPr>
          <w:rFonts w:ascii="黑体" w:hAnsi="黑体" w:eastAsia="黑体"/>
          <w:sz w:val="24"/>
        </w:rPr>
      </w:pPr>
      <w:r>
        <w:rPr>
          <w:rFonts w:ascii="宋体" w:hAnsi="宋体"/>
          <w:sz w:val="24"/>
        </w:rPr>
        <w:t>投标有效期</w:t>
      </w:r>
    </w:p>
    <w:p>
      <w:pPr>
        <w:numPr>
          <w:ilvl w:val="1"/>
          <w:numId w:val="14"/>
        </w:numPr>
        <w:tabs>
          <w:tab w:val="left" w:pos="1080"/>
        </w:tabs>
        <w:spacing w:line="0" w:lineRule="atLeast"/>
        <w:ind w:left="1080" w:hanging="591"/>
        <w:jc w:val="both"/>
        <w:rPr>
          <w:rFonts w:eastAsia="Times New Roman"/>
          <w:sz w:val="24"/>
        </w:rPr>
      </w:pPr>
      <w:r>
        <w:rPr>
          <w:rFonts w:ascii="宋体" w:hAnsi="宋体"/>
          <w:sz w:val="24"/>
        </w:rPr>
        <w:t>除投标人须知前附表另有规定外，投标有效期为</w:t>
      </w:r>
      <w:r>
        <w:rPr>
          <w:rFonts w:hint="eastAsia" w:ascii="宋体" w:hAnsi="宋体"/>
          <w:sz w:val="24"/>
        </w:rPr>
        <w:t>90</w:t>
      </w:r>
      <w:r>
        <w:rPr>
          <w:rFonts w:ascii="宋体" w:hAnsi="宋体"/>
          <w:sz w:val="24"/>
        </w:rPr>
        <w:t>日。</w:t>
      </w:r>
    </w:p>
    <w:p>
      <w:pPr>
        <w:spacing w:line="88" w:lineRule="exact"/>
        <w:rPr>
          <w:rFonts w:eastAsia="Times New Roman"/>
          <w:sz w:val="24"/>
        </w:rPr>
      </w:pPr>
    </w:p>
    <w:p>
      <w:pPr>
        <w:numPr>
          <w:ilvl w:val="1"/>
          <w:numId w:val="14"/>
        </w:numPr>
        <w:tabs>
          <w:tab w:val="left" w:pos="1080"/>
        </w:tabs>
        <w:spacing w:line="0" w:lineRule="atLeast"/>
        <w:ind w:left="1080" w:hanging="591"/>
        <w:jc w:val="both"/>
        <w:rPr>
          <w:rFonts w:eastAsia="Times New Roman"/>
          <w:sz w:val="24"/>
        </w:rPr>
      </w:pPr>
      <w:r>
        <w:rPr>
          <w:rFonts w:ascii="宋体" w:hAnsi="宋体"/>
          <w:sz w:val="24"/>
        </w:rPr>
        <w:t>在投标有效期内，投标人撤销投标文件的，应承担招标文件和法律规定的</w:t>
      </w:r>
    </w:p>
    <w:p>
      <w:pPr>
        <w:spacing w:line="127" w:lineRule="exact"/>
        <w:rPr>
          <w:rFonts w:eastAsia="Times New Roman"/>
          <w:sz w:val="24"/>
        </w:rPr>
      </w:pPr>
    </w:p>
    <w:p>
      <w:pPr>
        <w:spacing w:line="0" w:lineRule="atLeast"/>
        <w:jc w:val="both"/>
        <w:rPr>
          <w:rFonts w:eastAsia="Times New Roman"/>
          <w:sz w:val="24"/>
        </w:rPr>
      </w:pPr>
      <w:r>
        <w:rPr>
          <w:rFonts w:ascii="宋体" w:hAnsi="宋体"/>
          <w:sz w:val="24"/>
        </w:rPr>
        <w:t>责任。</w:t>
      </w:r>
    </w:p>
    <w:p>
      <w:pPr>
        <w:numPr>
          <w:ilvl w:val="1"/>
          <w:numId w:val="14"/>
        </w:numPr>
        <w:tabs>
          <w:tab w:val="left" w:pos="1080"/>
        </w:tabs>
        <w:spacing w:line="336" w:lineRule="auto"/>
        <w:ind w:firstLine="489"/>
        <w:jc w:val="both"/>
        <w:rPr>
          <w:rFonts w:eastAsia="Times New Roman"/>
          <w:sz w:val="24"/>
        </w:rPr>
      </w:pPr>
      <w:r>
        <w:rPr>
          <w:rFonts w:ascii="宋体" w:hAnsi="宋体"/>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w:t>
      </w:r>
      <w:r>
        <w:rPr>
          <w:rFonts w:ascii="宋体" w:hAnsi="宋体"/>
          <w:b/>
          <w:sz w:val="24"/>
        </w:rPr>
        <w:t>期活期存款利息。</w:t>
      </w:r>
    </w:p>
    <w:p>
      <w:pPr>
        <w:numPr>
          <w:ilvl w:val="0"/>
          <w:numId w:val="14"/>
        </w:numPr>
        <w:tabs>
          <w:tab w:val="left" w:pos="540"/>
        </w:tabs>
        <w:spacing w:line="0" w:lineRule="atLeast"/>
        <w:ind w:left="540" w:hanging="531"/>
        <w:jc w:val="both"/>
        <w:rPr>
          <w:rFonts w:ascii="黑体" w:hAnsi="黑体" w:eastAsia="黑体"/>
          <w:sz w:val="24"/>
        </w:rPr>
      </w:pPr>
      <w:r>
        <w:rPr>
          <w:rFonts w:ascii="宋体" w:hAnsi="宋体"/>
          <w:sz w:val="24"/>
        </w:rPr>
        <w:t>投标保证金</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3.4.1投标人应按投标人须知前附表规定缴纳投标保证金。</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3.4.2投标保证金的相关规定</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1、 投标保证金的退还：</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（1）中标公告发出后，5个工作日内退还非中标候选人投标保证金及银行同期活期存款利息。</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（3）项目废标或招标人终止招标的，在此后5个工作日内退还投标保证金及银行同期活期存利息。</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（4）投标活动中出现质疑、投诉的，中标候选人、质疑人和被质疑人、投诉人和被投诉人的投标保证金暂停退还。</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（5）相关投标人有违法违规行为的项目，其投标保证金暂不退还，待行政监督部门对相关情况处置后，按照有关规定办理。</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（6）退还投标保证金，除另有规定外，一般以转账方式一次性退还至投标保证金的原提交账户。</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2、投标人有下列情形之一的，不予退还投标保证金：</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 xml:space="preserve">（一）在招标文件要求提交投标文件的截止时间后至投标文件有效期满前撤回投标的； </w:t>
      </w:r>
    </w:p>
    <w:p>
      <w:pPr>
        <w:widowControl w:val="0"/>
        <w:spacing w:line="400" w:lineRule="exact"/>
        <w:ind w:firstLine="480" w:firstLineChars="200"/>
        <w:jc w:val="both"/>
        <w:rPr>
          <w:rFonts w:ascii="宋体" w:hAnsi="宋体"/>
          <w:kern w:val="2"/>
          <w:sz w:val="24"/>
          <w:szCs w:val="24"/>
        </w:rPr>
      </w:pPr>
      <w:r>
        <w:rPr>
          <w:rFonts w:hint="eastAsia" w:ascii="宋体" w:hAnsi="宋体"/>
          <w:kern w:val="2"/>
          <w:sz w:val="24"/>
          <w:szCs w:val="24"/>
        </w:rPr>
        <w:t xml:space="preserve">（二）中标通知书发出后，中标人无故放弃中标项目或无正当理由在规定时间内不与招标人签订合同或未按招标文件规定提交履约担保的； </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 xml:space="preserve">（三）将中标项目转让给他人，或者在投标文件中未说明，且未经招标人同意，将中标项目分包给他人的； </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 xml:space="preserve">（四）投标人在招投标活动中弄虚作假、围标串标，骗取中标并经招投标行政监督部门调查核实的； </w:t>
      </w:r>
    </w:p>
    <w:p>
      <w:pPr>
        <w:widowControl w:val="0"/>
        <w:spacing w:line="400" w:lineRule="exact"/>
        <w:ind w:firstLine="360" w:firstLineChars="150"/>
        <w:jc w:val="both"/>
        <w:rPr>
          <w:rFonts w:ascii="宋体" w:hAnsi="宋体"/>
          <w:kern w:val="2"/>
          <w:sz w:val="24"/>
          <w:szCs w:val="24"/>
        </w:rPr>
      </w:pPr>
      <w:r>
        <w:rPr>
          <w:rFonts w:hint="eastAsia" w:ascii="宋体" w:hAnsi="宋体"/>
          <w:kern w:val="2"/>
          <w:sz w:val="24"/>
          <w:szCs w:val="24"/>
        </w:rPr>
        <w:t>（五）拒绝履行合同义务的；</w:t>
      </w:r>
    </w:p>
    <w:p>
      <w:pPr>
        <w:widowControl w:val="0"/>
        <w:spacing w:line="400" w:lineRule="exact"/>
        <w:ind w:firstLine="360" w:firstLineChars="150"/>
        <w:jc w:val="both"/>
        <w:rPr>
          <w:rFonts w:ascii="宋体" w:hAnsi="宋体"/>
          <w:kern w:val="2"/>
          <w:sz w:val="24"/>
          <w:szCs w:val="24"/>
        </w:rPr>
      </w:pPr>
      <w:r>
        <w:rPr>
          <w:rFonts w:hint="eastAsia" w:ascii="宋体" w:hAnsi="宋体"/>
          <w:sz w:val="24"/>
        </w:rPr>
        <w:t>（六）相关法律、法规规定不予退还的其它情形。</w:t>
      </w:r>
    </w:p>
    <w:p>
      <w:pPr>
        <w:widowControl w:val="0"/>
        <w:spacing w:line="400" w:lineRule="exact"/>
        <w:ind w:firstLine="360" w:firstLineChars="150"/>
        <w:jc w:val="both"/>
        <w:rPr>
          <w:rFonts w:ascii="宋体" w:hAnsi="宋体"/>
          <w:kern w:val="2"/>
          <w:sz w:val="24"/>
          <w:szCs w:val="24"/>
        </w:rPr>
      </w:pPr>
      <w:r>
        <w:rPr>
          <w:rFonts w:hint="eastAsia" w:ascii="宋体"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ascii="宋体" w:hAnsi="宋体"/>
          <w:sz w:val="24"/>
        </w:rPr>
        <w:t>。</w:t>
      </w:r>
    </w:p>
    <w:p>
      <w:pPr>
        <w:tabs>
          <w:tab w:val="left" w:pos="520"/>
        </w:tabs>
        <w:spacing w:line="360" w:lineRule="auto"/>
        <w:rPr>
          <w:rFonts w:ascii="宋体" w:hAnsi="宋体"/>
          <w:sz w:val="24"/>
        </w:rPr>
      </w:pPr>
      <w:r>
        <w:rPr>
          <w:rFonts w:ascii="宋体" w:hAnsi="宋体"/>
          <w:sz w:val="24"/>
        </w:rPr>
        <w:t>3.5</w:t>
      </w:r>
      <w:r>
        <w:rPr>
          <w:rFonts w:ascii="宋体" w:hAnsi="宋体"/>
          <w:sz w:val="24"/>
        </w:rPr>
        <w:tab/>
      </w:r>
      <w:r>
        <w:rPr>
          <w:rFonts w:ascii="宋体" w:hAnsi="宋体"/>
          <w:sz w:val="24"/>
        </w:rPr>
        <w:t>资格审查资料</w:t>
      </w:r>
    </w:p>
    <w:p>
      <w:pPr>
        <w:tabs>
          <w:tab w:val="left" w:pos="520"/>
        </w:tabs>
        <w:spacing w:line="360" w:lineRule="auto"/>
        <w:ind w:firstLine="480" w:firstLineChars="200"/>
        <w:rPr>
          <w:rFonts w:ascii="宋体" w:hAnsi="宋体"/>
          <w:sz w:val="24"/>
        </w:rPr>
      </w:pPr>
      <w:r>
        <w:rPr>
          <w:rFonts w:ascii="宋体" w:hAnsi="宋体"/>
          <w:sz w:val="24"/>
        </w:rPr>
        <w:t>除投标人须知前附表另有规定外，投标人应按下列规定提供资格审查资料，以证</w:t>
      </w:r>
    </w:p>
    <w:p>
      <w:pPr>
        <w:spacing w:line="0" w:lineRule="atLeast"/>
        <w:rPr>
          <w:rFonts w:ascii="宋体" w:hAnsi="宋体"/>
          <w:sz w:val="24"/>
        </w:rPr>
      </w:pPr>
      <w:r>
        <w:rPr>
          <w:rFonts w:ascii="宋体" w:hAnsi="宋体"/>
          <w:sz w:val="24"/>
        </w:rPr>
        <w:t>明其满足本章第 1.4 款规定的资质、财务、业绩、信誉等要求。</w:t>
      </w:r>
    </w:p>
    <w:p>
      <w:pPr>
        <w:spacing w:line="146" w:lineRule="exact"/>
        <w:rPr>
          <w:rFonts w:ascii="宋体" w:hAnsi="宋体"/>
          <w:sz w:val="24"/>
        </w:rPr>
      </w:pPr>
    </w:p>
    <w:p>
      <w:pPr>
        <w:spacing w:line="360" w:lineRule="auto"/>
        <w:ind w:firstLine="480" w:firstLineChars="200"/>
        <w:rPr>
          <w:rFonts w:ascii="宋体" w:hAnsi="宋体"/>
          <w:b/>
          <w:bCs/>
          <w:sz w:val="24"/>
          <w:szCs w:val="22"/>
        </w:rPr>
      </w:pPr>
      <w:r>
        <w:rPr>
          <w:rFonts w:hint="eastAsia" w:ascii="宋体" w:hAnsi="宋体"/>
          <w:sz w:val="24"/>
        </w:rPr>
        <w:t>3.5.1</w:t>
      </w:r>
      <w:r>
        <w:rPr>
          <w:rFonts w:ascii="宋体" w:hAnsi="宋体"/>
          <w:sz w:val="24"/>
        </w:rPr>
        <w:t>“投标人基本情况表”应附企业法人营业执照副本和组织机构代码证副本（按照“三证合一”或“五证合一”登记制度进行登记的，可仅提供营业执照副本，下同）、施工资质证书副本、安全生产许可证副本、基本账户开户许可证的复印件</w:t>
      </w:r>
      <w:r>
        <w:rPr>
          <w:rFonts w:hint="eastAsia" w:ascii="宋体" w:hAnsi="宋体"/>
          <w:sz w:val="24"/>
        </w:rPr>
        <w:t>，</w:t>
      </w:r>
      <w:r>
        <w:rPr>
          <w:rFonts w:hint="eastAsia" w:ascii="宋体" w:hAnsi="宋体"/>
          <w:b/>
          <w:bCs/>
          <w:sz w:val="24"/>
          <w:szCs w:val="22"/>
        </w:rPr>
        <w:t>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公路养护工程资质提供复印件，开标现场提供原件供评标委员会审查。（投标人名称应与交通运输部“全国公路建设市场信用信息管理系统”公路工程施工资质企业名录一致，如发生工商变更，应附工商更名文件）。</w:t>
      </w:r>
    </w:p>
    <w:p>
      <w:pPr>
        <w:tabs>
          <w:tab w:val="left" w:pos="520"/>
        </w:tabs>
        <w:spacing w:line="360" w:lineRule="auto"/>
        <w:ind w:firstLine="480" w:firstLineChars="200"/>
        <w:rPr>
          <w:rFonts w:ascii="宋体" w:hAnsi="宋体"/>
          <w:sz w:val="24"/>
        </w:rPr>
      </w:pPr>
      <w:r>
        <w:rPr>
          <w:rFonts w:ascii="宋体" w:hAnsi="宋体"/>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w:t>
      </w:r>
      <w:r>
        <w:rPr>
          <w:rFonts w:hint="eastAsia" w:ascii="宋体" w:hAnsi="宋体"/>
          <w:sz w:val="24"/>
        </w:rPr>
        <w:t>公</w:t>
      </w:r>
      <w:r>
        <w:rPr>
          <w:rFonts w:ascii="宋体" w:hAnsi="宋体"/>
          <w:sz w:val="24"/>
        </w:rPr>
        <w:t>章。</w:t>
      </w:r>
    </w:p>
    <w:p>
      <w:pPr>
        <w:spacing w:line="54" w:lineRule="exact"/>
        <w:rPr>
          <w:rFonts w:eastAsia="Times New Roman"/>
          <w:sz w:val="24"/>
        </w:rPr>
      </w:pPr>
    </w:p>
    <w:p>
      <w:pPr>
        <w:tabs>
          <w:tab w:val="left" w:pos="520"/>
        </w:tabs>
        <w:spacing w:line="360" w:lineRule="auto"/>
        <w:ind w:firstLine="480" w:firstLineChars="200"/>
        <w:rPr>
          <w:rFonts w:ascii="宋体" w:hAnsi="宋体"/>
          <w:sz w:val="24"/>
        </w:rPr>
      </w:pPr>
      <w:r>
        <w:rPr>
          <w:rFonts w:hint="eastAsia" w:ascii="宋体" w:hAnsi="宋体"/>
          <w:sz w:val="24"/>
        </w:rPr>
        <w:t>3.5.2</w:t>
      </w:r>
      <w:r>
        <w:rPr>
          <w:rFonts w:ascii="宋体" w:hAnsi="宋体"/>
          <w:sz w:val="24"/>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80" w:firstLineChars="200"/>
        <w:rPr>
          <w:rFonts w:ascii="宋体" w:hAnsi="宋体"/>
          <w:sz w:val="24"/>
          <w:szCs w:val="22"/>
        </w:rPr>
      </w:pPr>
      <w:r>
        <w:rPr>
          <w:rFonts w:hint="eastAsia" w:ascii="宋体" w:hAnsi="宋体"/>
          <w:sz w:val="24"/>
        </w:rPr>
        <w:t>3.5.3</w:t>
      </w:r>
      <w:r>
        <w:rPr>
          <w:rFonts w:hint="eastAsia" w:ascii="宋体" w:hAnsi="宋体"/>
          <w:sz w:val="24"/>
          <w:szCs w:val="22"/>
        </w:rPr>
        <w:t>“近年完成的类似项目”应是已列入交通运输主管部门“公路建设市场信用信息管理系统”并公开的主包已建业绩或分包已建业绩，具体时间要求见投标人须知前附表。</w:t>
      </w:r>
    </w:p>
    <w:p>
      <w:pPr>
        <w:spacing w:line="360" w:lineRule="auto"/>
        <w:ind w:firstLine="480" w:firstLineChars="200"/>
        <w:rPr>
          <w:rFonts w:hint="eastAsia" w:ascii="宋体" w:hAnsi="宋体"/>
          <w:sz w:val="24"/>
          <w:szCs w:val="22"/>
        </w:rPr>
      </w:pPr>
      <w:r>
        <w:rPr>
          <w:rFonts w:hint="eastAsia" w:ascii="宋体" w:hAnsi="宋体"/>
          <w:sz w:val="24"/>
          <w:szCs w:val="22"/>
        </w:rPr>
        <w:t>“近年完成的类似项目情况表”应附在交通运输部“全国公路建设市场信用信息管理系统”（网址：</w:t>
      </w:r>
      <w:r>
        <w:rPr>
          <w:rFonts w:hint="eastAsia" w:ascii="宋体" w:hAnsi="宋体"/>
          <w:sz w:val="24"/>
          <w:szCs w:val="22"/>
        </w:rPr>
        <w:fldChar w:fldCharType="begin"/>
      </w:r>
      <w:r>
        <w:rPr>
          <w:rFonts w:hint="eastAsia" w:ascii="宋体" w:hAnsi="宋体"/>
          <w:sz w:val="24"/>
          <w:szCs w:val="22"/>
        </w:rPr>
        <w:instrText xml:space="preserve"> HYPERLINK "http://glxy.mot.gov.cn/BM/" \h </w:instrText>
      </w:r>
      <w:r>
        <w:rPr>
          <w:rFonts w:hint="eastAsia" w:ascii="宋体" w:hAnsi="宋体"/>
          <w:sz w:val="24"/>
          <w:szCs w:val="22"/>
        </w:rPr>
        <w:fldChar w:fldCharType="separate"/>
      </w:r>
      <w:r>
        <w:rPr>
          <w:rFonts w:hint="eastAsia" w:ascii="宋体" w:hAnsi="宋体"/>
          <w:sz w:val="24"/>
          <w:szCs w:val="22"/>
        </w:rPr>
        <w:t>http://glxy.mot.gov.cn/BM/</w:t>
      </w:r>
      <w:r>
        <w:rPr>
          <w:rFonts w:hint="eastAsia" w:ascii="宋体" w:hAnsi="宋体"/>
          <w:sz w:val="24"/>
          <w:szCs w:val="22"/>
        </w:rPr>
        <w:fldChar w:fldCharType="end"/>
      </w:r>
      <w:r>
        <w:rPr>
          <w:rFonts w:hint="eastAsia" w:ascii="宋体" w:hAnsi="宋体"/>
          <w:sz w:val="24"/>
          <w:szCs w:val="22"/>
        </w:rPr>
        <w:t>）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spacing w:line="360" w:lineRule="auto"/>
        <w:ind w:firstLine="480" w:firstLineChars="200"/>
        <w:rPr>
          <w:rFonts w:hint="eastAsia" w:ascii="宋体" w:hAnsi="宋体"/>
          <w:sz w:val="24"/>
          <w:szCs w:val="22"/>
        </w:rPr>
      </w:pPr>
      <w:r>
        <w:rPr>
          <w:rFonts w:hint="eastAsia" w:ascii="宋体" w:hAnsi="宋体"/>
          <w:sz w:val="24"/>
          <w:szCs w:val="22"/>
        </w:rPr>
        <w:t>如投标人未提供相关项目网页截图复印件或相关项目网页截图中的信息无法证实投标人满足招标文件规定的资格审查条件（业绩最低要求），则该项目业绩不予认定。</w:t>
      </w:r>
    </w:p>
    <w:p>
      <w:pPr>
        <w:spacing w:line="58" w:lineRule="exact"/>
        <w:rPr>
          <w:rFonts w:eastAsia="Times New Roman"/>
        </w:rPr>
      </w:pPr>
    </w:p>
    <w:p>
      <w:pPr>
        <w:numPr>
          <w:ilvl w:val="0"/>
          <w:numId w:val="15"/>
        </w:numPr>
        <w:tabs>
          <w:tab w:val="left" w:pos="1080"/>
        </w:tabs>
        <w:spacing w:line="331" w:lineRule="auto"/>
        <w:ind w:firstLine="489"/>
        <w:jc w:val="both"/>
        <w:rPr>
          <w:rFonts w:ascii="宋体" w:hAnsi="宋体"/>
          <w:sz w:val="24"/>
          <w:szCs w:val="22"/>
        </w:rPr>
      </w:pPr>
      <w:r>
        <w:rPr>
          <w:rFonts w:ascii="Arial" w:hAnsi="Arial" w:eastAsia="Arial"/>
          <w:sz w:val="24"/>
        </w:rPr>
        <w:t>“</w:t>
      </w:r>
      <w:r>
        <w:rPr>
          <w:rFonts w:ascii="宋体" w:hAnsi="宋体"/>
          <w:sz w:val="24"/>
        </w:rPr>
        <w:t>投标人的信誉情况表</w:t>
      </w:r>
      <w:r>
        <w:rPr>
          <w:rFonts w:ascii="Arial" w:hAnsi="Arial" w:eastAsia="Arial"/>
          <w:sz w:val="24"/>
        </w:rPr>
        <w:t>”</w:t>
      </w:r>
      <w:r>
        <w:rPr>
          <w:rFonts w:ascii="宋体" w:hAnsi="宋体"/>
          <w:sz w:val="24"/>
        </w:rPr>
        <w:t>应附投标人在国家企业信用信息公示系统中未被列入严重违法失信企业名单</w:t>
      </w:r>
      <w:r>
        <w:rPr>
          <w:rFonts w:hint="eastAsia" w:ascii="宋体" w:hAnsi="宋体"/>
          <w:sz w:val="24"/>
          <w:szCs w:val="22"/>
        </w:rPr>
        <w:t>、被工商行政管理机关在全国企业信心信息公示系统中列入严重违法失信企业名单的及在“信用中国”网站或各级信用信息共享平台中列入失信被执行人名单的网页截图复印件。</w:t>
      </w:r>
    </w:p>
    <w:p>
      <w:pPr>
        <w:spacing w:line="62" w:lineRule="exact"/>
        <w:rPr>
          <w:rFonts w:eastAsia="Times New Roman"/>
          <w:sz w:val="24"/>
        </w:rPr>
      </w:pPr>
    </w:p>
    <w:p>
      <w:pPr>
        <w:pStyle w:val="32"/>
        <w:widowControl/>
        <w:ind w:firstLine="480"/>
        <w:jc w:val="left"/>
        <w:rPr>
          <w:rFonts w:hint="eastAsia" w:ascii="宋体" w:hAnsi="宋体" w:eastAsia="宋体" w:cs="Times New Roman"/>
          <w:b w:val="0"/>
          <w:kern w:val="0"/>
          <w:sz w:val="24"/>
          <w:szCs w:val="22"/>
          <w:lang w:val="en-US" w:eastAsia="zh-CN" w:bidi="ar-SA"/>
        </w:rPr>
      </w:pPr>
      <w:r>
        <w:rPr>
          <w:rFonts w:hint="eastAsia" w:ascii="宋体" w:hAnsi="宋体" w:eastAsia="宋体" w:cs="Times New Roman"/>
          <w:b w:val="0"/>
          <w:kern w:val="0"/>
          <w:sz w:val="24"/>
          <w:szCs w:val="22"/>
          <w:lang w:val="en-US" w:eastAsia="zh-CN" w:bidi="ar-SA"/>
        </w:rPr>
        <w:t>3.5.5 “拟委任的项目经理、项目总工程师资格证书汇总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spacing w:line="316" w:lineRule="auto"/>
        <w:ind w:firstLine="480"/>
        <w:jc w:val="both"/>
        <w:rPr>
          <w:rFonts w:ascii="宋体" w:hAnsi="宋体"/>
          <w:sz w:val="24"/>
        </w:rPr>
      </w:pPr>
      <w:r>
        <w:rPr>
          <w:rFonts w:ascii="宋体" w:hAnsi="宋体"/>
          <w:sz w:val="24"/>
        </w:rPr>
        <w:t>如项目经理或项目总工目前仍在其他项目上任职，则投标人应提供由该项目发包人出具的、承诺上述人员能够从该项目撤离的书面证明材料</w:t>
      </w:r>
      <w:r>
        <w:rPr>
          <w:rFonts w:hint="eastAsia" w:ascii="宋体" w:hAnsi="宋体"/>
          <w:sz w:val="24"/>
        </w:rPr>
        <w:t>复印</w:t>
      </w:r>
      <w:r>
        <w:rPr>
          <w:rFonts w:ascii="宋体" w:hAnsi="宋体"/>
          <w:sz w:val="24"/>
        </w:rPr>
        <w:t>件。</w:t>
      </w:r>
    </w:p>
    <w:p>
      <w:pPr>
        <w:spacing w:line="69" w:lineRule="exact"/>
        <w:rPr>
          <w:rFonts w:eastAsia="Times New Roman"/>
        </w:rPr>
      </w:pPr>
    </w:p>
    <w:p>
      <w:pPr>
        <w:spacing w:line="333" w:lineRule="auto"/>
        <w:ind w:firstLine="480"/>
        <w:rPr>
          <w:rFonts w:ascii="宋体" w:hAnsi="宋体"/>
          <w:sz w:val="24"/>
          <w:szCs w:val="22"/>
        </w:rPr>
      </w:pPr>
      <w:r>
        <w:rPr>
          <w:rFonts w:eastAsia="Times New Roman"/>
          <w:sz w:val="24"/>
        </w:rPr>
        <w:t xml:space="preserve">3.5.6 </w:t>
      </w:r>
      <w:r>
        <w:rPr>
          <w:rFonts w:ascii="Arial" w:hAnsi="Arial" w:eastAsia="Arial"/>
          <w:sz w:val="24"/>
        </w:rPr>
        <w:t>“</w:t>
      </w:r>
      <w:r>
        <w:rPr>
          <w:rFonts w:ascii="宋体" w:hAnsi="宋体"/>
          <w:sz w:val="24"/>
        </w:rPr>
        <w:t>拟委任的其他管理和技术人员汇总表</w:t>
      </w:r>
      <w:r>
        <w:rPr>
          <w:rFonts w:ascii="Arial" w:hAnsi="Arial" w:eastAsia="Arial"/>
          <w:sz w:val="24"/>
        </w:rPr>
        <w:t>”</w:t>
      </w:r>
      <w:r>
        <w:rPr>
          <w:rFonts w:ascii="宋体" w:hAnsi="宋体"/>
          <w:sz w:val="24"/>
        </w:rPr>
        <w:t xml:space="preserve">（如有）应填报满足投标人须知前附表附录 </w:t>
      </w:r>
      <w:r>
        <w:rPr>
          <w:rFonts w:eastAsia="Times New Roman"/>
          <w:sz w:val="24"/>
        </w:rPr>
        <w:t>6</w:t>
      </w:r>
      <w:r>
        <w:rPr>
          <w:rFonts w:ascii="宋体" w:hAnsi="宋体"/>
          <w:sz w:val="24"/>
        </w:rPr>
        <w:t xml:space="preserve"> 规定的其他人员的相关信息。</w:t>
      </w:r>
      <w:r>
        <w:rPr>
          <w:rFonts w:ascii="Arial" w:hAnsi="Arial" w:eastAsia="Arial"/>
          <w:sz w:val="24"/>
        </w:rPr>
        <w:t>“</w:t>
      </w:r>
      <w:r>
        <w:rPr>
          <w:rFonts w:ascii="宋体" w:hAnsi="宋体"/>
          <w:sz w:val="24"/>
        </w:rPr>
        <w:t>拟委任的其他管理和技术人员资历表</w:t>
      </w:r>
      <w:r>
        <w:rPr>
          <w:rFonts w:ascii="Arial" w:hAnsi="Arial" w:eastAsia="Arial"/>
          <w:sz w:val="24"/>
        </w:rPr>
        <w:t>”</w:t>
      </w:r>
      <w:r>
        <w:rPr>
          <w:rFonts w:ascii="宋体" w:hAnsi="宋体"/>
          <w:sz w:val="24"/>
        </w:rPr>
        <w:t>（如有）中</w:t>
      </w:r>
      <w:r>
        <w:rPr>
          <w:rFonts w:ascii="宋体" w:hAnsi="宋体"/>
          <w:sz w:val="24"/>
          <w:szCs w:val="22"/>
        </w:rPr>
        <w:t>相关人员应附身份证、职称资格证书</w:t>
      </w:r>
      <w:r>
        <w:rPr>
          <w:rFonts w:hint="eastAsia" w:ascii="宋体" w:hAnsi="宋体"/>
          <w:sz w:val="24"/>
          <w:szCs w:val="22"/>
        </w:rPr>
        <w:t>（如有）</w:t>
      </w:r>
      <w:r>
        <w:rPr>
          <w:rFonts w:ascii="宋体" w:hAnsi="宋体"/>
          <w:sz w:val="24"/>
          <w:szCs w:val="22"/>
        </w:rPr>
        <w:t>以及资格审查条件所要求的其他相关证书的复印件，以及投标人所属社保机构出具的参加社保的有效证明材料复印件。</w:t>
      </w:r>
    </w:p>
    <w:p>
      <w:pPr>
        <w:spacing w:line="82" w:lineRule="exact"/>
        <w:rPr>
          <w:rFonts w:eastAsia="Times New Roman"/>
          <w:sz w:val="24"/>
        </w:rPr>
      </w:pPr>
    </w:p>
    <w:p>
      <w:pPr>
        <w:tabs>
          <w:tab w:val="left" w:pos="1080"/>
        </w:tabs>
        <w:spacing w:line="302" w:lineRule="auto"/>
        <w:ind w:firstLine="480" w:firstLineChars="200"/>
        <w:jc w:val="both"/>
        <w:rPr>
          <w:rFonts w:eastAsia="Times New Roman"/>
          <w:sz w:val="24"/>
        </w:rPr>
      </w:pPr>
      <w:r>
        <w:rPr>
          <w:rFonts w:hint="eastAsia" w:eastAsia="Times New Roman"/>
          <w:sz w:val="24"/>
        </w:rPr>
        <w:t>3.5.7</w:t>
      </w:r>
      <w:r>
        <w:rPr>
          <w:rFonts w:ascii="宋体" w:hAnsi="宋体"/>
          <w:sz w:val="24"/>
        </w:rPr>
        <w:t>除合同条款约定的特殊情形外，投标人在投标文件中填报的项目经理和项目总工不允许更换。</w:t>
      </w:r>
    </w:p>
    <w:p>
      <w:pPr>
        <w:spacing w:line="88" w:lineRule="exact"/>
        <w:rPr>
          <w:rFonts w:eastAsia="Times New Roman"/>
          <w:sz w:val="24"/>
        </w:rPr>
      </w:pPr>
    </w:p>
    <w:p>
      <w:pPr>
        <w:tabs>
          <w:tab w:val="left" w:pos="1190"/>
        </w:tabs>
        <w:spacing w:line="350" w:lineRule="auto"/>
        <w:ind w:firstLine="480" w:firstLineChars="200"/>
        <w:jc w:val="both"/>
        <w:rPr>
          <w:rFonts w:eastAsia="Times New Roman"/>
        </w:rPr>
      </w:pPr>
      <w:r>
        <w:rPr>
          <w:rFonts w:hint="eastAsia" w:eastAsia="Times New Roman"/>
          <w:sz w:val="24"/>
        </w:rPr>
        <w:t>3.5.8</w:t>
      </w:r>
      <w:r>
        <w:rPr>
          <w:rFonts w:ascii="宋体" w:hAnsi="宋体"/>
          <w:sz w:val="24"/>
          <w:szCs w:val="22"/>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w:t>
      </w:r>
      <w:r>
        <w:rPr>
          <w:rFonts w:ascii="宋体" w:hAnsi="宋体"/>
          <w:sz w:val="24"/>
        </w:rPr>
        <w:t>交通运输主管部门，作为不良记录纳入公路建设市场信用信息管理系统。</w:t>
      </w:r>
    </w:p>
    <w:p>
      <w:pPr>
        <w:numPr>
          <w:ilvl w:val="0"/>
          <w:numId w:val="16"/>
        </w:numPr>
        <w:tabs>
          <w:tab w:val="left" w:pos="480"/>
        </w:tabs>
        <w:spacing w:line="0" w:lineRule="atLeast"/>
        <w:ind w:left="480" w:hanging="471"/>
        <w:jc w:val="both"/>
        <w:rPr>
          <w:rFonts w:ascii="黑体" w:hAnsi="黑体" w:eastAsia="黑体"/>
          <w:b/>
          <w:sz w:val="24"/>
        </w:rPr>
      </w:pPr>
      <w:r>
        <w:rPr>
          <w:rFonts w:ascii="宋体" w:hAnsi="宋体"/>
          <w:b/>
          <w:sz w:val="24"/>
        </w:rPr>
        <w:t>备选投标方案</w:t>
      </w:r>
    </w:p>
    <w:p>
      <w:pPr>
        <w:spacing w:line="204" w:lineRule="exact"/>
        <w:rPr>
          <w:rFonts w:ascii="黑体" w:hAnsi="黑体" w:eastAsia="黑体"/>
          <w:sz w:val="24"/>
        </w:rPr>
      </w:pPr>
    </w:p>
    <w:p>
      <w:pPr>
        <w:numPr>
          <w:ilvl w:val="1"/>
          <w:numId w:val="16"/>
        </w:numPr>
        <w:tabs>
          <w:tab w:val="left" w:pos="1080"/>
        </w:tabs>
        <w:spacing w:line="300" w:lineRule="auto"/>
        <w:ind w:firstLine="489"/>
        <w:jc w:val="both"/>
        <w:rPr>
          <w:rFonts w:eastAsia="Times New Roman"/>
          <w:sz w:val="24"/>
        </w:rPr>
      </w:pPr>
      <w:r>
        <w:rPr>
          <w:rFonts w:ascii="宋体" w:hAnsi="宋体"/>
          <w:sz w:val="24"/>
        </w:rPr>
        <w:t>除投标人须知前附表规定允许外，投标人不得递交备选投标方案，否则其投标将被否决。</w:t>
      </w:r>
    </w:p>
    <w:p>
      <w:pPr>
        <w:numPr>
          <w:ilvl w:val="1"/>
          <w:numId w:val="16"/>
        </w:numPr>
        <w:tabs>
          <w:tab w:val="left" w:pos="1080"/>
        </w:tabs>
        <w:spacing w:line="323" w:lineRule="auto"/>
        <w:ind w:firstLine="489"/>
        <w:jc w:val="both"/>
        <w:rPr>
          <w:rFonts w:eastAsia="Times New Roman"/>
          <w:sz w:val="24"/>
        </w:rPr>
      </w:pPr>
      <w:r>
        <w:rPr>
          <w:rFonts w:ascii="宋体" w:hAnsi="宋体"/>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70" w:lineRule="exact"/>
        <w:rPr>
          <w:rFonts w:eastAsia="Times New Roman"/>
          <w:sz w:val="24"/>
        </w:rPr>
      </w:pPr>
    </w:p>
    <w:p>
      <w:pPr>
        <w:numPr>
          <w:ilvl w:val="1"/>
          <w:numId w:val="16"/>
        </w:numPr>
        <w:tabs>
          <w:tab w:val="left" w:pos="1080"/>
        </w:tabs>
        <w:spacing w:line="323" w:lineRule="auto"/>
        <w:ind w:firstLine="489"/>
        <w:jc w:val="both"/>
        <w:rPr>
          <w:rFonts w:ascii="宋体" w:hAnsi="宋体"/>
          <w:sz w:val="24"/>
        </w:rPr>
      </w:pPr>
      <w:r>
        <w:rPr>
          <w:rFonts w:ascii="宋体" w:hAnsi="宋体"/>
          <w:sz w:val="24"/>
        </w:rPr>
        <w:t>投标人提供两个或两个以上投标报价，或在投标文件中提供一个报价，但同时提供两个或两个以上施工组织设计的，视为提供备选方案。</w:t>
      </w:r>
    </w:p>
    <w:p>
      <w:pPr>
        <w:numPr>
          <w:ilvl w:val="0"/>
          <w:numId w:val="16"/>
        </w:numPr>
        <w:tabs>
          <w:tab w:val="left" w:pos="480"/>
        </w:tabs>
        <w:spacing w:line="360" w:lineRule="auto"/>
        <w:ind w:left="480" w:hanging="471"/>
        <w:jc w:val="both"/>
        <w:rPr>
          <w:rFonts w:ascii="黑体" w:hAnsi="黑体" w:eastAsia="黑体"/>
          <w:b/>
          <w:sz w:val="24"/>
        </w:rPr>
      </w:pPr>
      <w:r>
        <w:rPr>
          <w:rFonts w:ascii="宋体" w:hAnsi="宋体"/>
          <w:b/>
          <w:sz w:val="24"/>
        </w:rPr>
        <w:t>投标文件的编制</w:t>
      </w:r>
    </w:p>
    <w:p>
      <w:pPr>
        <w:tabs>
          <w:tab w:val="left" w:pos="1080"/>
        </w:tabs>
        <w:spacing w:line="360" w:lineRule="auto"/>
        <w:ind w:firstLine="360" w:firstLineChars="150"/>
        <w:jc w:val="both"/>
        <w:rPr>
          <w:rFonts w:eastAsia="Times New Roman"/>
          <w:sz w:val="24"/>
        </w:rPr>
      </w:pPr>
      <w:r>
        <w:rPr>
          <w:rFonts w:hint="eastAsia" w:ascii="黑体" w:hAnsi="黑体" w:eastAsia="黑体"/>
          <w:sz w:val="24"/>
        </w:rPr>
        <w:t>3.7.1</w:t>
      </w:r>
      <w:r>
        <w:rPr>
          <w:rFonts w:ascii="宋体" w:hAnsi="宋体"/>
          <w:sz w:val="24"/>
        </w:rPr>
        <w:t>投标文件应按第九章“投标文件格式”进行编写，如有必要，可以增加附页，作为投标文件的组成部分。其中，投标函附录在满足招标文件实质性要求的基础上，可以提出比招标文件要求更有利于招标人的承诺。</w:t>
      </w:r>
    </w:p>
    <w:p>
      <w:pPr>
        <w:spacing w:line="66" w:lineRule="exact"/>
        <w:rPr>
          <w:rFonts w:eastAsia="Times New Roman"/>
          <w:sz w:val="24"/>
        </w:rPr>
      </w:pPr>
    </w:p>
    <w:p>
      <w:pPr>
        <w:numPr>
          <w:ilvl w:val="1"/>
          <w:numId w:val="17"/>
        </w:numPr>
        <w:tabs>
          <w:tab w:val="left" w:pos="1080"/>
        </w:tabs>
        <w:spacing w:line="302" w:lineRule="auto"/>
        <w:ind w:firstLine="489"/>
        <w:jc w:val="both"/>
        <w:rPr>
          <w:rFonts w:eastAsia="Times New Roman"/>
          <w:sz w:val="24"/>
        </w:rPr>
      </w:pPr>
      <w:r>
        <w:rPr>
          <w:rFonts w:ascii="宋体" w:hAnsi="宋体"/>
          <w:sz w:val="24"/>
        </w:rPr>
        <w:t>投标文件应对招标文件有关工期、投标有效期、质量要求、安全目标、技术标准和要求、招标范围等实质性内容作出响应。</w:t>
      </w:r>
    </w:p>
    <w:p>
      <w:pPr>
        <w:spacing w:line="31" w:lineRule="exact"/>
        <w:rPr>
          <w:rFonts w:eastAsia="Times New Roman"/>
          <w:sz w:val="24"/>
        </w:rPr>
      </w:pPr>
    </w:p>
    <w:p>
      <w:pPr>
        <w:numPr>
          <w:ilvl w:val="1"/>
          <w:numId w:val="17"/>
        </w:numPr>
        <w:tabs>
          <w:tab w:val="left" w:pos="0"/>
        </w:tabs>
        <w:spacing w:line="360" w:lineRule="auto"/>
        <w:ind w:firstLine="567"/>
        <w:jc w:val="both"/>
        <w:rPr>
          <w:rFonts w:eastAsia="Times New Roman"/>
          <w:sz w:val="24"/>
        </w:rPr>
      </w:pPr>
      <w:r>
        <w:rPr>
          <w:rFonts w:ascii="宋体" w:hAnsi="宋体"/>
          <w:sz w:val="24"/>
        </w:rPr>
        <w:t>投标文件应用不褪色的材料书写或打印。投标文件格式中明确要求投标人</w:t>
      </w:r>
      <w:bookmarkStart w:id="24" w:name="page61"/>
      <w:bookmarkEnd w:id="24"/>
      <w:r>
        <w:rPr>
          <w:rFonts w:ascii="宋体" w:hAnsi="宋体"/>
          <w:sz w:val="24"/>
        </w:rPr>
        <w:t>法定代表人或其委托代理人签字之处，必须由相关人员亲笔签名，不得使用印章、签名章或其他电子制版签名代替；明确要求投标人加盖单位章之处，必须加盖单位章。其中，投标函、对投标文件的澄清和说明应加盖投标人单位章，或由投标人的法定代表人或其委托代理人签字。</w:t>
      </w:r>
    </w:p>
    <w:p>
      <w:pPr>
        <w:spacing w:line="14" w:lineRule="exact"/>
        <w:rPr>
          <w:rFonts w:eastAsia="Times New Roman"/>
        </w:rPr>
      </w:pPr>
    </w:p>
    <w:p>
      <w:pPr>
        <w:spacing w:line="0" w:lineRule="atLeast"/>
        <w:ind w:left="480"/>
        <w:rPr>
          <w:rFonts w:ascii="宋体" w:hAnsi="宋体"/>
          <w:sz w:val="24"/>
        </w:rPr>
      </w:pPr>
      <w:r>
        <w:rPr>
          <w:rFonts w:ascii="宋体" w:hAnsi="宋体"/>
          <w:sz w:val="24"/>
        </w:rPr>
        <w:t>如果投标文件由委托代理人签署，则投标人须提交授权委托书，授权委托书应按</w:t>
      </w:r>
    </w:p>
    <w:p>
      <w:pPr>
        <w:spacing w:line="155" w:lineRule="exact"/>
        <w:rPr>
          <w:rFonts w:eastAsia="Times New Roman"/>
        </w:rPr>
      </w:pPr>
    </w:p>
    <w:p>
      <w:pPr>
        <w:spacing w:line="310" w:lineRule="auto"/>
        <w:jc w:val="both"/>
        <w:rPr>
          <w:rFonts w:ascii="宋体" w:hAnsi="宋体"/>
          <w:sz w:val="24"/>
        </w:rPr>
      </w:pPr>
      <w:r>
        <w:rPr>
          <w:rFonts w:ascii="宋体" w:hAnsi="宋体"/>
          <w:sz w:val="24"/>
        </w:rPr>
        <w:t>第九章</w:t>
      </w:r>
      <w:r>
        <w:rPr>
          <w:rFonts w:eastAsia="Times New Roman"/>
          <w:sz w:val="24"/>
        </w:rPr>
        <w:t>“</w:t>
      </w:r>
      <w:r>
        <w:rPr>
          <w:rFonts w:ascii="宋体" w:hAnsi="宋体"/>
          <w:sz w:val="24"/>
        </w:rPr>
        <w:t>投标文件格式</w:t>
      </w:r>
      <w:r>
        <w:rPr>
          <w:rFonts w:eastAsia="Times New Roman"/>
          <w:sz w:val="24"/>
        </w:rPr>
        <w:t>”</w:t>
      </w:r>
      <w:r>
        <w:rPr>
          <w:rFonts w:ascii="宋体" w:hAnsi="宋体"/>
          <w:sz w:val="24"/>
        </w:rPr>
        <w:t>的要求出具，并由法定代表人和委托代理人亲笔签名，不得使用印章、签名章或其他电子制版签名代替。</w:t>
      </w:r>
    </w:p>
    <w:p>
      <w:pPr>
        <w:spacing w:line="41" w:lineRule="exact"/>
        <w:rPr>
          <w:rFonts w:eastAsia="Times New Roman"/>
        </w:rPr>
      </w:pPr>
    </w:p>
    <w:p>
      <w:pPr>
        <w:spacing w:line="0" w:lineRule="atLeast"/>
        <w:ind w:left="480"/>
        <w:rPr>
          <w:rFonts w:ascii="宋体" w:hAnsi="宋体"/>
          <w:sz w:val="24"/>
        </w:rPr>
      </w:pPr>
      <w:r>
        <w:rPr>
          <w:rFonts w:ascii="宋体" w:hAnsi="宋体"/>
          <w:sz w:val="24"/>
        </w:rPr>
        <w:t>如果由投标人的法定代表人亲自签署投标文件，则投标人须提交法定代表人身份</w:t>
      </w:r>
    </w:p>
    <w:p>
      <w:pPr>
        <w:spacing w:line="127" w:lineRule="exact"/>
        <w:rPr>
          <w:rFonts w:eastAsia="Times New Roman"/>
        </w:rPr>
      </w:pPr>
    </w:p>
    <w:p>
      <w:pPr>
        <w:spacing w:line="0" w:lineRule="atLeast"/>
        <w:rPr>
          <w:rFonts w:ascii="宋体" w:hAnsi="宋体"/>
          <w:sz w:val="24"/>
        </w:rPr>
      </w:pPr>
      <w:r>
        <w:rPr>
          <w:rFonts w:ascii="宋体" w:hAnsi="宋体"/>
          <w:sz w:val="24"/>
        </w:rPr>
        <w:t>证明，身份证明应符合第九章“投标文件格式”的要求。</w:t>
      </w:r>
    </w:p>
    <w:p>
      <w:pPr>
        <w:spacing w:line="146" w:lineRule="exact"/>
        <w:rPr>
          <w:rFonts w:eastAsia="Times New Roman"/>
        </w:rPr>
      </w:pPr>
    </w:p>
    <w:p>
      <w:pPr>
        <w:spacing w:line="316" w:lineRule="auto"/>
        <w:ind w:firstLine="480"/>
        <w:jc w:val="both"/>
        <w:rPr>
          <w:rFonts w:ascii="宋体" w:hAnsi="宋体"/>
          <w:sz w:val="24"/>
        </w:rPr>
      </w:pPr>
      <w:r>
        <w:rPr>
          <w:rFonts w:ascii="宋体" w:hAnsi="宋体"/>
          <w:sz w:val="24"/>
        </w:rPr>
        <w:t>投标文件应尽量避免涂改、行间插字或删除。如果出现上述情况，改动之处应由投标人的法定代表人或其授权的代理人签字或盖单位章。</w:t>
      </w:r>
    </w:p>
    <w:p>
      <w:pPr>
        <w:spacing w:line="69" w:lineRule="exact"/>
        <w:rPr>
          <w:rFonts w:eastAsia="Times New Roman"/>
        </w:rPr>
      </w:pPr>
    </w:p>
    <w:p>
      <w:pPr>
        <w:numPr>
          <w:ilvl w:val="1"/>
          <w:numId w:val="18"/>
        </w:numPr>
        <w:tabs>
          <w:tab w:val="left" w:pos="1082"/>
        </w:tabs>
        <w:spacing w:line="328" w:lineRule="auto"/>
        <w:ind w:firstLine="489"/>
        <w:jc w:val="both"/>
        <w:rPr>
          <w:rFonts w:eastAsia="Times New Roman"/>
          <w:sz w:val="24"/>
        </w:rPr>
      </w:pPr>
      <w:r>
        <w:rPr>
          <w:rFonts w:ascii="宋体" w:hAnsi="宋体"/>
          <w:sz w:val="24"/>
        </w:rPr>
        <w:t>投标文件正本一份</w:t>
      </w:r>
      <w:r>
        <w:rPr>
          <w:rFonts w:eastAsia="Times New Roman"/>
          <w:sz w:val="24"/>
        </w:rPr>
        <w:t>,</w:t>
      </w:r>
      <w:r>
        <w:rPr>
          <w:rFonts w:ascii="宋体" w:hAnsi="宋体"/>
          <w:sz w:val="24"/>
        </w:rPr>
        <w:t xml:space="preserve"> 副本份数见投标人须知前附表。正本和副本的封面右上角上应清楚地标记</w:t>
      </w:r>
      <w:r>
        <w:rPr>
          <w:rFonts w:eastAsia="Times New Roman"/>
          <w:sz w:val="24"/>
        </w:rPr>
        <w:t>“</w:t>
      </w:r>
      <w:r>
        <w:rPr>
          <w:rFonts w:ascii="宋体" w:hAnsi="宋体"/>
          <w:sz w:val="24"/>
        </w:rPr>
        <w:t>正本</w:t>
      </w:r>
      <w:r>
        <w:rPr>
          <w:rFonts w:eastAsia="Times New Roman"/>
          <w:sz w:val="24"/>
        </w:rPr>
        <w:t>”</w:t>
      </w:r>
      <w:r>
        <w:rPr>
          <w:rFonts w:ascii="宋体" w:hAnsi="宋体"/>
          <w:sz w:val="24"/>
        </w:rPr>
        <w:t>或</w:t>
      </w:r>
      <w:r>
        <w:rPr>
          <w:rFonts w:eastAsia="Times New Roman"/>
          <w:sz w:val="24"/>
        </w:rPr>
        <w:t>“</w:t>
      </w:r>
      <w:r>
        <w:rPr>
          <w:rFonts w:ascii="宋体" w:hAnsi="宋体"/>
          <w:sz w:val="24"/>
        </w:rPr>
        <w:t>副本</w:t>
      </w:r>
      <w:r>
        <w:rPr>
          <w:rFonts w:eastAsia="Times New Roman"/>
          <w:sz w:val="24"/>
        </w:rPr>
        <w:t>”</w:t>
      </w:r>
      <w:r>
        <w:rPr>
          <w:rFonts w:ascii="宋体" w:hAnsi="宋体"/>
          <w:sz w:val="24"/>
        </w:rPr>
        <w:t>字样。投标人应根据投标人须知前附表要求提供电子版文件。当副本和正本不一致或电子版文件和纸质正本文件不一致时，以纸质正本文件为准。</w:t>
      </w:r>
    </w:p>
    <w:p>
      <w:pPr>
        <w:spacing w:line="55" w:lineRule="exact"/>
        <w:rPr>
          <w:rFonts w:eastAsia="Times New Roman"/>
          <w:sz w:val="24"/>
        </w:rPr>
      </w:pPr>
    </w:p>
    <w:p>
      <w:pPr>
        <w:tabs>
          <w:tab w:val="left" w:pos="1082"/>
        </w:tabs>
        <w:spacing w:line="328" w:lineRule="auto"/>
        <w:ind w:firstLine="480" w:firstLineChars="200"/>
        <w:jc w:val="both"/>
        <w:rPr>
          <w:rFonts w:ascii="宋体" w:hAnsi="宋体"/>
          <w:sz w:val="24"/>
          <w:szCs w:val="22"/>
        </w:rPr>
      </w:pPr>
      <w:r>
        <w:rPr>
          <w:rFonts w:hint="eastAsia" w:ascii="宋体" w:hAnsi="宋体"/>
          <w:sz w:val="24"/>
          <w:szCs w:val="22"/>
        </w:rPr>
        <w:t>3.7.5</w:t>
      </w:r>
      <w:r>
        <w:rPr>
          <w:rFonts w:ascii="宋体" w:hAnsi="宋体"/>
          <w:sz w:val="24"/>
          <w:szCs w:val="22"/>
        </w:rPr>
        <w:t>投标文件的正本与副本应分别装订成册（A4 纸幅），编制目录并</w:t>
      </w:r>
      <w:r>
        <w:rPr>
          <w:rFonts w:hint="eastAsia" w:ascii="宋体" w:hAnsi="宋体"/>
          <w:sz w:val="24"/>
          <w:szCs w:val="22"/>
        </w:rPr>
        <w:t>除封面外</w:t>
      </w:r>
      <w:r>
        <w:rPr>
          <w:rFonts w:ascii="宋体" w:hAnsi="宋体"/>
          <w:sz w:val="24"/>
          <w:szCs w:val="22"/>
        </w:rPr>
        <w:t>逐页标注连续页码。投标文件不得采用活页夹装订，否则，招标人对由于投标文件装订松散而造成的丢失或其他后果不承担任何责任。装订的其他要求见投标人须知前附表。</w:t>
      </w:r>
    </w:p>
    <w:p>
      <w:pPr>
        <w:tabs>
          <w:tab w:val="left" w:pos="420"/>
        </w:tabs>
        <w:spacing w:line="0" w:lineRule="atLeast"/>
        <w:jc w:val="both"/>
        <w:rPr>
          <w:rFonts w:ascii="黑体" w:hAnsi="黑体" w:eastAsia="黑体"/>
          <w:b/>
          <w:sz w:val="28"/>
        </w:rPr>
      </w:pPr>
      <w:r>
        <w:rPr>
          <w:rFonts w:hint="eastAsia" w:ascii="宋体" w:hAnsi="宋体"/>
          <w:b/>
          <w:sz w:val="28"/>
        </w:rPr>
        <w:t>4.</w:t>
      </w:r>
      <w:r>
        <w:rPr>
          <w:rFonts w:ascii="宋体" w:hAnsi="宋体"/>
          <w:b/>
          <w:sz w:val="28"/>
        </w:rPr>
        <w:t>投标</w:t>
      </w:r>
    </w:p>
    <w:p>
      <w:pPr>
        <w:tabs>
          <w:tab w:val="left" w:pos="480"/>
        </w:tabs>
        <w:spacing w:line="360" w:lineRule="auto"/>
        <w:ind w:firstLine="360" w:firstLineChars="150"/>
        <w:jc w:val="both"/>
        <w:rPr>
          <w:rFonts w:ascii="黑体" w:hAnsi="黑体" w:eastAsia="黑体"/>
          <w:sz w:val="24"/>
        </w:rPr>
      </w:pPr>
      <w:r>
        <w:rPr>
          <w:rFonts w:hint="eastAsia" w:ascii="宋体" w:hAnsi="宋体"/>
          <w:sz w:val="24"/>
        </w:rPr>
        <w:t>4.1</w:t>
      </w:r>
      <w:r>
        <w:rPr>
          <w:rFonts w:ascii="宋体" w:hAnsi="宋体"/>
          <w:sz w:val="24"/>
        </w:rPr>
        <w:t>投标文件的密封和标识</w:t>
      </w:r>
    </w:p>
    <w:p>
      <w:pPr>
        <w:spacing w:line="360" w:lineRule="auto"/>
        <w:jc w:val="both"/>
        <w:rPr>
          <w:rFonts w:ascii="宋体" w:hAnsi="宋体"/>
          <w:sz w:val="24"/>
        </w:rPr>
      </w:pPr>
      <w:r>
        <w:rPr>
          <w:rFonts w:ascii="宋体" w:hAnsi="宋体"/>
          <w:sz w:val="24"/>
        </w:rPr>
        <w:t xml:space="preserve">若采用双信封形式，第 </w:t>
      </w:r>
      <w:r>
        <w:rPr>
          <w:rFonts w:eastAsia="Times New Roman"/>
          <w:sz w:val="24"/>
        </w:rPr>
        <w:t>4.1.1</w:t>
      </w:r>
      <w:r>
        <w:rPr>
          <w:rFonts w:ascii="宋体" w:hAnsi="宋体"/>
          <w:sz w:val="24"/>
        </w:rPr>
        <w:t xml:space="preserve"> 项和第 </w:t>
      </w:r>
      <w:r>
        <w:rPr>
          <w:rFonts w:eastAsia="Times New Roman"/>
          <w:sz w:val="24"/>
        </w:rPr>
        <w:t>4.1.2</w:t>
      </w:r>
      <w:r>
        <w:rPr>
          <w:rFonts w:ascii="宋体" w:hAnsi="宋体"/>
          <w:sz w:val="24"/>
        </w:rPr>
        <w:t xml:space="preserve"> 项采用以下条款：</w:t>
      </w:r>
    </w:p>
    <w:p>
      <w:pPr>
        <w:spacing w:line="360" w:lineRule="auto"/>
        <w:ind w:firstLine="240" w:firstLineChars="100"/>
        <w:jc w:val="both"/>
        <w:rPr>
          <w:rFonts w:ascii="宋体" w:hAnsi="宋体"/>
          <w:sz w:val="24"/>
        </w:rPr>
      </w:pPr>
      <w:r>
        <w:rPr>
          <w:rFonts w:hint="eastAsia" w:ascii="宋体" w:hAnsi="宋体"/>
          <w:sz w:val="24"/>
        </w:rPr>
        <w:t>4.1.1</w:t>
      </w:r>
      <w:r>
        <w:rPr>
          <w:rFonts w:ascii="宋体" w:hAnsi="宋体"/>
          <w:sz w:val="24"/>
        </w:rPr>
        <w:t>投标文件应采用双信封形式密封。投标文件第一个信封（商务及技术文件）以及第二个信封（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）应单独密封包装。商务及技术文件的正本与副本应统一密封在一个封套中。</w:t>
      </w:r>
      <w:r>
        <w:rPr>
          <w:rFonts w:hint="eastAsia" w:ascii="宋体" w:hAnsi="宋体"/>
          <w:sz w:val="24"/>
        </w:rPr>
        <w:t>第二信封（投标</w:t>
      </w:r>
      <w:r>
        <w:rPr>
          <w:rFonts w:ascii="宋体" w:hAnsi="宋体"/>
          <w:sz w:val="24"/>
        </w:rPr>
        <w:t>报价</w:t>
      </w:r>
      <w:r>
        <w:rPr>
          <w:rFonts w:hint="eastAsia" w:ascii="宋体" w:hAnsi="宋体"/>
          <w:sz w:val="24"/>
        </w:rPr>
        <w:t>和工程量清单）</w:t>
      </w:r>
      <w:r>
        <w:rPr>
          <w:rFonts w:ascii="宋体" w:hAnsi="宋体"/>
          <w:sz w:val="24"/>
        </w:rPr>
        <w:t>的正本与</w:t>
      </w:r>
      <w:r>
        <w:rPr>
          <w:rFonts w:hint="eastAsia" w:ascii="宋体" w:hAnsi="宋体"/>
          <w:sz w:val="24"/>
        </w:rPr>
        <w:t>副本</w:t>
      </w:r>
      <w:r>
        <w:rPr>
          <w:rFonts w:ascii="宋体" w:hAnsi="宋体"/>
          <w:sz w:val="24"/>
        </w:rPr>
        <w:t>、投标文件电子版文件（如需要）以及填写完毕的工程量固化清单电子文件（如采用工程量固化清单形式）应统一密封在另一个封套中。封套应加贴封条，并在封套的封口处加盖投标人单位</w:t>
      </w:r>
      <w:r>
        <w:rPr>
          <w:rFonts w:hint="eastAsia" w:ascii="宋体" w:hAnsi="宋体"/>
          <w:sz w:val="24"/>
        </w:rPr>
        <w:t>公</w:t>
      </w:r>
      <w:r>
        <w:rPr>
          <w:rFonts w:ascii="宋体" w:hAnsi="宋体"/>
          <w:sz w:val="24"/>
        </w:rPr>
        <w:t>章或由投标人的法定代表人或其委托代理人签字。</w:t>
      </w:r>
    </w:p>
    <w:p>
      <w:pPr>
        <w:tabs>
          <w:tab w:val="left" w:pos="0"/>
        </w:tabs>
        <w:spacing w:line="360" w:lineRule="auto"/>
        <w:ind w:firstLine="240" w:firstLineChars="100"/>
        <w:jc w:val="both"/>
        <w:rPr>
          <w:rFonts w:ascii="宋体" w:hAnsi="宋体"/>
          <w:sz w:val="24"/>
        </w:rPr>
      </w:pPr>
      <w:r>
        <w:rPr>
          <w:rFonts w:hint="eastAsia" w:ascii="宋体" w:hAnsi="宋体"/>
          <w:sz w:val="24"/>
        </w:rPr>
        <w:t>4.1.2</w:t>
      </w:r>
      <w:r>
        <w:rPr>
          <w:rFonts w:ascii="宋体" w:hAnsi="宋体"/>
          <w:sz w:val="24"/>
        </w:rPr>
        <w:t>投标文件第一个信封（商务及技术文件）</w:t>
      </w:r>
      <w:r>
        <w:rPr>
          <w:rFonts w:hint="eastAsia" w:ascii="宋体" w:hAnsi="宋体"/>
          <w:sz w:val="24"/>
        </w:rPr>
        <w:t>以及</w:t>
      </w:r>
      <w:r>
        <w:rPr>
          <w:rFonts w:ascii="宋体" w:hAnsi="宋体"/>
          <w:sz w:val="24"/>
        </w:rPr>
        <w:t>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）封套上应写明的内容见投标人须知前附表。</w:t>
      </w:r>
    </w:p>
    <w:p>
      <w:pPr>
        <w:tabs>
          <w:tab w:val="left" w:pos="0"/>
        </w:tabs>
        <w:spacing w:line="360" w:lineRule="auto"/>
        <w:ind w:firstLine="240" w:firstLineChars="100"/>
        <w:jc w:val="both"/>
        <w:rPr>
          <w:rFonts w:ascii="宋体" w:hAnsi="宋体"/>
          <w:sz w:val="24"/>
        </w:rPr>
      </w:pPr>
      <w:r>
        <w:rPr>
          <w:rFonts w:hint="eastAsia" w:ascii="宋体" w:hAnsi="宋体"/>
          <w:sz w:val="24"/>
        </w:rPr>
        <w:t>4.1.3</w:t>
      </w:r>
      <w:r>
        <w:rPr>
          <w:rFonts w:ascii="宋体" w:hAnsi="宋体"/>
          <w:sz w:val="24"/>
        </w:rPr>
        <w:t xml:space="preserve">未按本章第 </w:t>
      </w:r>
      <w:r>
        <w:rPr>
          <w:rFonts w:eastAsia="Times New Roman"/>
          <w:sz w:val="24"/>
        </w:rPr>
        <w:t>4.1.1</w:t>
      </w:r>
      <w:r>
        <w:rPr>
          <w:rFonts w:ascii="宋体" w:hAnsi="宋体"/>
          <w:sz w:val="24"/>
        </w:rPr>
        <w:t xml:space="preserve"> 项</w:t>
      </w:r>
      <w:r>
        <w:rPr>
          <w:rFonts w:hint="eastAsia" w:ascii="宋体" w:hAnsi="宋体"/>
          <w:sz w:val="24"/>
        </w:rPr>
        <w:t>或4.1.2项</w:t>
      </w:r>
      <w:r>
        <w:rPr>
          <w:rFonts w:ascii="宋体" w:hAnsi="宋体"/>
          <w:sz w:val="24"/>
        </w:rPr>
        <w:t>要求密封</w:t>
      </w:r>
      <w:r>
        <w:rPr>
          <w:rFonts w:hint="eastAsia" w:ascii="宋体" w:hAnsi="宋体"/>
          <w:sz w:val="24"/>
        </w:rPr>
        <w:t>和加标记</w:t>
      </w:r>
      <w:r>
        <w:rPr>
          <w:rFonts w:ascii="宋体" w:hAnsi="宋体"/>
          <w:sz w:val="24"/>
        </w:rPr>
        <w:t>的投标文件，招标人将予以拒收。</w:t>
      </w:r>
    </w:p>
    <w:p>
      <w:pPr>
        <w:tabs>
          <w:tab w:val="left" w:pos="540"/>
        </w:tabs>
        <w:spacing w:line="0" w:lineRule="atLeast"/>
        <w:jc w:val="both"/>
        <w:rPr>
          <w:rFonts w:ascii="黑体" w:hAnsi="黑体" w:eastAsia="黑体"/>
          <w:sz w:val="24"/>
        </w:rPr>
      </w:pPr>
      <w:r>
        <w:rPr>
          <w:rFonts w:hint="eastAsia"/>
          <w:sz w:val="24"/>
        </w:rPr>
        <w:t>4.2</w:t>
      </w:r>
      <w:r>
        <w:rPr>
          <w:rFonts w:ascii="宋体" w:hAnsi="宋体"/>
          <w:sz w:val="24"/>
        </w:rPr>
        <w:t>投标文件的递交</w:t>
      </w:r>
    </w:p>
    <w:p>
      <w:pPr>
        <w:spacing w:line="200" w:lineRule="exact"/>
        <w:rPr>
          <w:rFonts w:ascii="黑体" w:hAnsi="黑体" w:eastAsia="黑体"/>
          <w:sz w:val="24"/>
        </w:rPr>
      </w:pPr>
    </w:p>
    <w:p>
      <w:pPr>
        <w:tabs>
          <w:tab w:val="left" w:pos="1080"/>
        </w:tabs>
        <w:spacing w:line="302" w:lineRule="auto"/>
        <w:ind w:firstLine="360" w:firstLineChars="150"/>
        <w:jc w:val="both"/>
        <w:rPr>
          <w:rFonts w:eastAsia="Times New Roman"/>
          <w:sz w:val="24"/>
        </w:rPr>
      </w:pPr>
      <w:r>
        <w:rPr>
          <w:rFonts w:hint="eastAsia" w:ascii="黑体" w:hAnsi="黑体" w:eastAsia="黑体"/>
          <w:sz w:val="24"/>
        </w:rPr>
        <w:t>4.2.1</w:t>
      </w:r>
      <w:r>
        <w:rPr>
          <w:rFonts w:ascii="宋体" w:hAnsi="宋体"/>
          <w:sz w:val="24"/>
        </w:rPr>
        <w:t>投标人应在规定的投标截止时间前递交投标文件。</w:t>
      </w:r>
    </w:p>
    <w:p>
      <w:pPr>
        <w:spacing w:line="34" w:lineRule="exact"/>
        <w:rPr>
          <w:rFonts w:eastAsia="Times New Roman"/>
          <w:sz w:val="24"/>
        </w:rPr>
      </w:pPr>
    </w:p>
    <w:p>
      <w:pPr>
        <w:tabs>
          <w:tab w:val="left" w:pos="1080"/>
        </w:tabs>
        <w:spacing w:line="0" w:lineRule="atLeast"/>
        <w:ind w:firstLine="360" w:firstLineChars="150"/>
        <w:jc w:val="both"/>
      </w:pPr>
      <w:r>
        <w:rPr>
          <w:rFonts w:hint="eastAsia" w:ascii="宋体" w:hAnsi="宋体"/>
          <w:sz w:val="24"/>
        </w:rPr>
        <w:t>4.2.2</w:t>
      </w:r>
      <w:r>
        <w:rPr>
          <w:rFonts w:ascii="宋体" w:hAnsi="宋体"/>
          <w:sz w:val="24"/>
        </w:rPr>
        <w:t>投标人递交投标文件的地点</w:t>
      </w:r>
      <w:r>
        <w:rPr>
          <w:rFonts w:hint="eastAsia" w:ascii="宋体" w:hAnsi="宋体"/>
          <w:sz w:val="24"/>
        </w:rPr>
        <w:t>见前附表</w:t>
      </w:r>
      <w:r>
        <w:rPr>
          <w:rFonts w:ascii="宋体" w:hAnsi="宋体"/>
          <w:sz w:val="24"/>
        </w:rPr>
        <w:t>。</w:t>
      </w:r>
    </w:p>
    <w:p>
      <w:pPr>
        <w:spacing w:line="162" w:lineRule="exact"/>
        <w:rPr>
          <w:rFonts w:eastAsia="Times New Roman"/>
          <w:sz w:val="24"/>
        </w:rPr>
      </w:pPr>
    </w:p>
    <w:p>
      <w:pPr>
        <w:tabs>
          <w:tab w:val="left" w:pos="1080"/>
        </w:tabs>
        <w:spacing w:line="298" w:lineRule="auto"/>
        <w:ind w:firstLine="360" w:firstLineChars="150"/>
        <w:jc w:val="both"/>
        <w:rPr>
          <w:rFonts w:eastAsia="Times New Roman"/>
          <w:sz w:val="24"/>
        </w:rPr>
      </w:pPr>
      <w:r>
        <w:rPr>
          <w:rFonts w:hint="eastAsia" w:ascii="宋体" w:hAnsi="宋体"/>
          <w:sz w:val="24"/>
        </w:rPr>
        <w:t>4.2.3</w:t>
      </w:r>
      <w:r>
        <w:rPr>
          <w:rFonts w:ascii="宋体" w:hAnsi="宋体"/>
          <w:sz w:val="24"/>
        </w:rPr>
        <w:t xml:space="preserve">除投标人须知前附表另有规定外，投标人所递交的投标文件不予退还。投标人少于 </w:t>
      </w:r>
      <w:r>
        <w:rPr>
          <w:rFonts w:eastAsia="Times New Roman"/>
          <w:sz w:val="24"/>
        </w:rPr>
        <w:t>3</w:t>
      </w:r>
      <w:r>
        <w:rPr>
          <w:rFonts w:ascii="宋体" w:hAnsi="宋体"/>
          <w:sz w:val="24"/>
        </w:rPr>
        <w:t xml:space="preserve"> 个的，投标文件当场退还给投标人。</w:t>
      </w:r>
    </w:p>
    <w:p>
      <w:pPr>
        <w:spacing w:line="67" w:lineRule="exact"/>
        <w:rPr>
          <w:rFonts w:eastAsia="Times New Roman"/>
        </w:rPr>
      </w:pPr>
    </w:p>
    <w:p>
      <w:pPr>
        <w:spacing w:line="76" w:lineRule="exact"/>
        <w:rPr>
          <w:rFonts w:eastAsia="Times New Roman"/>
        </w:rPr>
      </w:pPr>
    </w:p>
    <w:p>
      <w:pPr>
        <w:tabs>
          <w:tab w:val="left" w:pos="1080"/>
        </w:tabs>
        <w:spacing w:line="0" w:lineRule="atLeast"/>
        <w:ind w:firstLine="360" w:firstLineChars="150"/>
        <w:jc w:val="both"/>
        <w:rPr>
          <w:rFonts w:eastAsia="Times New Roman"/>
          <w:sz w:val="24"/>
        </w:rPr>
      </w:pPr>
      <w:r>
        <w:rPr>
          <w:rFonts w:hint="eastAsia" w:ascii="宋体" w:hAnsi="宋体"/>
          <w:sz w:val="24"/>
        </w:rPr>
        <w:t>4.2.4</w:t>
      </w:r>
      <w:r>
        <w:rPr>
          <w:rFonts w:ascii="宋体" w:hAnsi="宋体"/>
          <w:sz w:val="24"/>
        </w:rPr>
        <w:t>逾期送达的或未送达指定地点的投标文件，招标人将予以拒收。</w:t>
      </w:r>
    </w:p>
    <w:p>
      <w:pPr>
        <w:spacing w:line="278" w:lineRule="exact"/>
        <w:rPr>
          <w:rFonts w:eastAsia="Times New Roman"/>
          <w:sz w:val="24"/>
        </w:rPr>
      </w:pPr>
    </w:p>
    <w:p>
      <w:pPr>
        <w:numPr>
          <w:ilvl w:val="0"/>
          <w:numId w:val="19"/>
        </w:numPr>
        <w:tabs>
          <w:tab w:val="left" w:pos="480"/>
        </w:tabs>
        <w:spacing w:line="360" w:lineRule="auto"/>
        <w:ind w:left="480" w:hanging="471"/>
        <w:jc w:val="both"/>
        <w:rPr>
          <w:rFonts w:ascii="黑体" w:hAnsi="黑体" w:eastAsia="黑体"/>
          <w:sz w:val="24"/>
        </w:rPr>
      </w:pPr>
      <w:r>
        <w:rPr>
          <w:rFonts w:ascii="宋体" w:hAnsi="宋体"/>
          <w:sz w:val="24"/>
        </w:rPr>
        <w:t>投标文件的修改与撤回</w:t>
      </w:r>
    </w:p>
    <w:p>
      <w:pPr>
        <w:tabs>
          <w:tab w:val="left" w:pos="1080"/>
        </w:tabs>
        <w:spacing w:line="360" w:lineRule="auto"/>
        <w:ind w:firstLine="360" w:firstLineChars="150"/>
        <w:jc w:val="both"/>
        <w:rPr>
          <w:rFonts w:ascii="宋体" w:hAnsi="宋体"/>
          <w:sz w:val="24"/>
        </w:rPr>
      </w:pPr>
      <w:r>
        <w:rPr>
          <w:rFonts w:hint="eastAsia" w:ascii="黑体" w:hAnsi="黑体" w:eastAsia="黑体"/>
          <w:sz w:val="24"/>
        </w:rPr>
        <w:t>4.3.1</w:t>
      </w:r>
      <w:r>
        <w:rPr>
          <w:rFonts w:ascii="宋体" w:hAnsi="宋体"/>
          <w:sz w:val="24"/>
        </w:rPr>
        <w:t xml:space="preserve">在本章第 </w:t>
      </w:r>
      <w:r>
        <w:rPr>
          <w:rFonts w:eastAsia="Times New Roman"/>
          <w:sz w:val="24"/>
        </w:rPr>
        <w:t>4.2.1</w:t>
      </w:r>
      <w:r>
        <w:rPr>
          <w:rFonts w:ascii="宋体" w:hAnsi="宋体"/>
          <w:sz w:val="24"/>
        </w:rPr>
        <w:t xml:space="preserve"> 项规定的投标截止时间前，投标人可以修改或撤回已递交的投标文件，但应以书面形式通知招标人。</w:t>
      </w:r>
    </w:p>
    <w:p>
      <w:pPr>
        <w:spacing w:line="73" w:lineRule="exact"/>
        <w:rPr>
          <w:rFonts w:eastAsia="Times New Roman"/>
        </w:rPr>
      </w:pPr>
    </w:p>
    <w:p>
      <w:pPr>
        <w:tabs>
          <w:tab w:val="left" w:pos="1080"/>
        </w:tabs>
        <w:spacing w:line="360" w:lineRule="auto"/>
        <w:ind w:firstLine="360" w:firstLineChars="150"/>
        <w:jc w:val="both"/>
        <w:rPr>
          <w:rFonts w:ascii="宋体" w:hAnsi="宋体"/>
          <w:sz w:val="24"/>
        </w:rPr>
      </w:pPr>
      <w:r>
        <w:rPr>
          <w:rFonts w:ascii="宋体" w:hAnsi="宋体"/>
          <w:sz w:val="24"/>
        </w:rPr>
        <w:t>4.3.2</w:t>
      </w:r>
      <w:r>
        <w:rPr>
          <w:rFonts w:hint="eastAsia" w:ascii="宋体" w:hAnsi="宋体"/>
          <w:sz w:val="24"/>
        </w:rPr>
        <w:t>投标人修改或撤回已递交投标文件的书面通知应按照本章要求签字或盖章。</w:t>
      </w:r>
    </w:p>
    <w:p>
      <w:pPr>
        <w:tabs>
          <w:tab w:val="left" w:pos="1080"/>
        </w:tabs>
        <w:spacing w:line="239" w:lineRule="auto"/>
        <w:ind w:firstLine="360" w:firstLineChars="150"/>
        <w:jc w:val="both"/>
        <w:rPr>
          <w:rFonts w:ascii="宋体" w:hAnsi="宋体"/>
          <w:sz w:val="24"/>
          <w:szCs w:val="24"/>
        </w:rPr>
      </w:pPr>
      <w:r>
        <w:rPr>
          <w:rFonts w:hint="eastAsia" w:ascii="宋体" w:hAnsi="宋体"/>
          <w:sz w:val="24"/>
          <w:szCs w:val="24"/>
        </w:rPr>
        <w:t>4.3.3</w:t>
      </w:r>
      <w:r>
        <w:rPr>
          <w:rFonts w:ascii="宋体" w:hAnsi="宋体"/>
          <w:sz w:val="24"/>
          <w:szCs w:val="24"/>
        </w:rPr>
        <w:t xml:space="preserve">修改的内容为投标文件的组成部分。修改的投标文件应按照本章第 3 </w:t>
      </w:r>
    </w:p>
    <w:p>
      <w:pPr>
        <w:tabs>
          <w:tab w:val="left" w:pos="1080"/>
        </w:tabs>
        <w:spacing w:line="239" w:lineRule="auto"/>
        <w:jc w:val="both"/>
        <w:rPr>
          <w:rFonts w:ascii="宋体" w:hAnsi="宋体"/>
          <w:sz w:val="24"/>
          <w:szCs w:val="24"/>
        </w:rPr>
      </w:pPr>
      <w:r>
        <w:rPr>
          <w:rFonts w:ascii="宋体" w:hAnsi="宋体"/>
          <w:sz w:val="24"/>
          <w:szCs w:val="24"/>
        </w:rPr>
        <w:t>条、</w:t>
      </w:r>
      <w:r>
        <w:rPr>
          <w:rFonts w:hint="eastAsia" w:ascii="宋体" w:hAnsi="宋体"/>
          <w:sz w:val="24"/>
          <w:szCs w:val="24"/>
        </w:rPr>
        <w:t>第</w:t>
      </w:r>
      <w:r>
        <w:rPr>
          <w:rFonts w:ascii="宋体" w:hAnsi="宋体"/>
          <w:sz w:val="24"/>
          <w:szCs w:val="24"/>
        </w:rPr>
        <w:t>4 条的规定进行编制、密封、标记和递交，并标明“修改”字样。</w:t>
      </w:r>
    </w:p>
    <w:p>
      <w:pPr>
        <w:spacing w:line="360" w:lineRule="auto"/>
        <w:rPr>
          <w:rFonts w:ascii="宋体" w:hAnsi="宋体"/>
          <w:b/>
          <w:sz w:val="28"/>
        </w:rPr>
      </w:pPr>
      <w:r>
        <w:rPr>
          <w:rFonts w:ascii="黑体" w:hAnsi="黑体" w:eastAsia="黑体"/>
          <w:b/>
          <w:sz w:val="28"/>
        </w:rPr>
        <w:t xml:space="preserve">5. </w:t>
      </w:r>
      <w:r>
        <w:rPr>
          <w:rFonts w:ascii="宋体" w:hAnsi="宋体"/>
          <w:b/>
          <w:sz w:val="28"/>
        </w:rPr>
        <w:t>开标</w:t>
      </w:r>
    </w:p>
    <w:p>
      <w:pPr>
        <w:tabs>
          <w:tab w:val="left" w:pos="480"/>
        </w:tabs>
        <w:spacing w:line="360" w:lineRule="auto"/>
        <w:jc w:val="both"/>
        <w:rPr>
          <w:rFonts w:ascii="黑体" w:hAnsi="黑体" w:eastAsia="黑体"/>
          <w:sz w:val="24"/>
        </w:rPr>
      </w:pPr>
      <w:r>
        <w:rPr>
          <w:rFonts w:hint="eastAsia" w:ascii="宋体" w:hAnsi="宋体"/>
          <w:sz w:val="24"/>
        </w:rPr>
        <w:t>5.1</w:t>
      </w:r>
      <w:r>
        <w:rPr>
          <w:rFonts w:ascii="宋体" w:hAnsi="宋体"/>
          <w:sz w:val="24"/>
        </w:rPr>
        <w:t>开标时间和地点</w:t>
      </w:r>
    </w:p>
    <w:p>
      <w:pPr>
        <w:spacing w:line="360" w:lineRule="auto"/>
        <w:ind w:firstLine="360" w:firstLineChars="150"/>
        <w:jc w:val="both"/>
        <w:rPr>
          <w:rFonts w:ascii="宋体" w:hAnsi="宋体"/>
          <w:sz w:val="23"/>
        </w:rPr>
      </w:pPr>
      <w:r>
        <w:rPr>
          <w:rFonts w:ascii="宋体" w:hAnsi="宋体"/>
          <w:sz w:val="24"/>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spacing w:line="78" w:lineRule="exact"/>
        <w:rPr>
          <w:rFonts w:eastAsia="Times New Roman"/>
        </w:rPr>
      </w:pPr>
    </w:p>
    <w:p>
      <w:pPr>
        <w:spacing w:line="318" w:lineRule="auto"/>
        <w:ind w:firstLine="480"/>
        <w:rPr>
          <w:rFonts w:ascii="宋体" w:hAnsi="宋体"/>
          <w:sz w:val="24"/>
        </w:rPr>
      </w:pPr>
      <w:r>
        <w:rPr>
          <w:rFonts w:ascii="宋体" w:hAnsi="宋体"/>
          <w:sz w:val="24"/>
        </w:rPr>
        <w:t>招标人在投标人须知前附表规定的时间和地点对投标文件第二个信封（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）公开开标，并邀请所有投标人的法定代表人或其委托代理人准时参加。</w:t>
      </w:r>
    </w:p>
    <w:p>
      <w:pPr>
        <w:spacing w:line="36" w:lineRule="exact"/>
        <w:rPr>
          <w:rFonts w:eastAsia="Times New Roman"/>
        </w:rPr>
      </w:pPr>
    </w:p>
    <w:p>
      <w:pPr>
        <w:spacing w:line="0" w:lineRule="atLeast"/>
        <w:ind w:firstLine="480" w:firstLineChars="200"/>
        <w:rPr>
          <w:rFonts w:ascii="宋体" w:hAnsi="宋体"/>
          <w:sz w:val="24"/>
        </w:rPr>
      </w:pPr>
      <w:r>
        <w:rPr>
          <w:rFonts w:ascii="宋体" w:hAnsi="宋体"/>
          <w:sz w:val="24"/>
        </w:rPr>
        <w:t>投标人若未派法定代表人或委托代理人出席开标活动，视为该投标人默认开标结果。</w:t>
      </w:r>
    </w:p>
    <w:p>
      <w:pPr>
        <w:spacing w:line="258" w:lineRule="exact"/>
        <w:rPr>
          <w:rFonts w:eastAsia="Times New Roman"/>
        </w:rPr>
      </w:pPr>
    </w:p>
    <w:p>
      <w:pPr>
        <w:numPr>
          <w:ilvl w:val="0"/>
          <w:numId w:val="20"/>
        </w:numPr>
        <w:tabs>
          <w:tab w:val="left" w:pos="420"/>
        </w:tabs>
        <w:spacing w:line="0" w:lineRule="atLeast"/>
        <w:ind w:left="420" w:hanging="411"/>
        <w:jc w:val="both"/>
        <w:rPr>
          <w:rFonts w:ascii="黑体" w:hAnsi="黑体" w:eastAsia="黑体"/>
          <w:b/>
          <w:sz w:val="24"/>
        </w:rPr>
      </w:pPr>
      <w:r>
        <w:rPr>
          <w:rFonts w:ascii="宋体" w:hAnsi="宋体"/>
          <w:b/>
          <w:sz w:val="24"/>
        </w:rPr>
        <w:t>开标程序</w:t>
      </w:r>
    </w:p>
    <w:p>
      <w:pPr>
        <w:spacing w:line="204" w:lineRule="exact"/>
        <w:rPr>
          <w:rFonts w:ascii="黑体" w:hAnsi="黑体" w:eastAsia="黑体"/>
          <w:sz w:val="24"/>
        </w:rPr>
      </w:pPr>
    </w:p>
    <w:p>
      <w:pPr>
        <w:numPr>
          <w:ilvl w:val="1"/>
          <w:numId w:val="20"/>
        </w:numPr>
        <w:tabs>
          <w:tab w:val="left" w:pos="1080"/>
        </w:tabs>
        <w:spacing w:line="323" w:lineRule="auto"/>
        <w:ind w:left="360" w:firstLine="129"/>
        <w:rPr>
          <w:rFonts w:eastAsia="Times New Roman"/>
          <w:sz w:val="24"/>
        </w:rPr>
      </w:pPr>
      <w:r>
        <w:rPr>
          <w:rFonts w:ascii="宋体" w:hAnsi="宋体"/>
          <w:sz w:val="24"/>
        </w:rPr>
        <w:t>主持人按下列程序对投标文件第一个信封（商务及技术文件）进行开标：（</w:t>
      </w:r>
      <w:r>
        <w:rPr>
          <w:rFonts w:eastAsia="Times New Roman"/>
          <w:sz w:val="24"/>
        </w:rPr>
        <w:t>1</w:t>
      </w:r>
      <w:r>
        <w:rPr>
          <w:rFonts w:ascii="宋体" w:hAnsi="宋体"/>
          <w:sz w:val="24"/>
        </w:rPr>
        <w:t>）宣布开标纪律；</w:t>
      </w:r>
    </w:p>
    <w:p>
      <w:pPr>
        <w:tabs>
          <w:tab w:val="left" w:pos="1080"/>
        </w:tabs>
        <w:spacing w:line="323" w:lineRule="auto"/>
        <w:ind w:left="360"/>
        <w:rPr>
          <w:rFonts w:eastAsia="Times New Roman"/>
          <w:sz w:val="24"/>
        </w:rPr>
      </w:pPr>
      <w:r>
        <w:rPr>
          <w:rFonts w:ascii="宋体" w:hAnsi="宋体"/>
          <w:sz w:val="24"/>
        </w:rPr>
        <w:t>（</w:t>
      </w:r>
      <w:r>
        <w:rPr>
          <w:rFonts w:eastAsia="Times New Roman"/>
          <w:sz w:val="24"/>
        </w:rPr>
        <w:t>2</w:t>
      </w:r>
      <w:r>
        <w:rPr>
          <w:rFonts w:ascii="宋体" w:hAnsi="宋体"/>
          <w:sz w:val="24"/>
        </w:rPr>
        <w:t>）公布在投标截止时间前递交投标文件的投标人数量；</w:t>
      </w:r>
    </w:p>
    <w:p>
      <w:pPr>
        <w:spacing w:line="8" w:lineRule="exact"/>
        <w:rPr>
          <w:rFonts w:eastAsia="Times New Roman"/>
          <w:sz w:val="24"/>
        </w:rPr>
      </w:pPr>
    </w:p>
    <w:p>
      <w:pPr>
        <w:spacing w:line="0" w:lineRule="atLeast"/>
        <w:ind w:left="360"/>
        <w:jc w:val="both"/>
        <w:rPr>
          <w:rFonts w:ascii="宋体" w:hAnsi="宋体"/>
          <w:sz w:val="24"/>
        </w:rPr>
      </w:pPr>
      <w:r>
        <w:rPr>
          <w:rFonts w:ascii="宋体" w:hAnsi="宋体"/>
          <w:sz w:val="24"/>
        </w:rPr>
        <w:t>（</w:t>
      </w:r>
      <w:r>
        <w:rPr>
          <w:rFonts w:eastAsia="Times New Roman"/>
          <w:sz w:val="24"/>
        </w:rPr>
        <w:t>3</w:t>
      </w:r>
      <w:r>
        <w:rPr>
          <w:rFonts w:ascii="宋体" w:hAnsi="宋体"/>
          <w:sz w:val="24"/>
        </w:rPr>
        <w:t>）宣布开标人、唱标人、记录人等有关人员姓名；</w:t>
      </w:r>
    </w:p>
    <w:p>
      <w:pPr>
        <w:spacing w:line="137" w:lineRule="exact"/>
        <w:rPr>
          <w:rFonts w:eastAsia="Times New Roman"/>
        </w:rPr>
      </w:pPr>
    </w:p>
    <w:p>
      <w:pPr>
        <w:spacing w:line="304"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）按照投标人须知前附表规定由投标人推选的代表检查投标文件的密封情况；（</w:t>
      </w:r>
      <w:r>
        <w:rPr>
          <w:rFonts w:eastAsia="Times New Roman"/>
          <w:sz w:val="24"/>
        </w:rPr>
        <w:t>5</w:t>
      </w:r>
      <w:r>
        <w:rPr>
          <w:rFonts w:ascii="宋体" w:hAnsi="宋体"/>
          <w:sz w:val="24"/>
        </w:rPr>
        <w:t>）按照投标人须知前附表规定的开标顺序当众开标，公布标段名称、投标人名</w:t>
      </w:r>
    </w:p>
    <w:p>
      <w:pPr>
        <w:spacing w:line="32" w:lineRule="exact"/>
        <w:rPr>
          <w:rFonts w:eastAsia="Times New Roman"/>
        </w:rPr>
      </w:pPr>
    </w:p>
    <w:p>
      <w:pPr>
        <w:spacing w:line="0" w:lineRule="atLeast"/>
        <w:rPr>
          <w:rFonts w:ascii="宋体" w:hAnsi="宋体"/>
          <w:sz w:val="24"/>
        </w:rPr>
      </w:pPr>
      <w:r>
        <w:rPr>
          <w:rFonts w:ascii="宋体" w:hAnsi="宋体"/>
          <w:sz w:val="24"/>
        </w:rPr>
        <w:t>称、投标保证金的递交情况、工期及其他内容，并记录在案；</w:t>
      </w:r>
    </w:p>
    <w:p>
      <w:pPr>
        <w:spacing w:line="156" w:lineRule="exact"/>
        <w:rPr>
          <w:rFonts w:eastAsia="Times New Roman"/>
        </w:rPr>
      </w:pPr>
    </w:p>
    <w:p>
      <w:pPr>
        <w:numPr>
          <w:ilvl w:val="0"/>
          <w:numId w:val="21"/>
        </w:numPr>
        <w:spacing w:line="304" w:lineRule="auto"/>
        <w:ind w:left="360"/>
        <w:rPr>
          <w:rFonts w:ascii="宋体" w:hAnsi="宋体"/>
          <w:sz w:val="24"/>
        </w:rPr>
      </w:pPr>
      <w:r>
        <w:rPr>
          <w:rFonts w:ascii="宋体" w:hAnsi="宋体"/>
          <w:sz w:val="24"/>
        </w:rPr>
        <w:t>投标人代表、招标人代表、记录人等有关人员在开标记录上签字确认；</w:t>
      </w:r>
    </w:p>
    <w:p>
      <w:pPr>
        <w:numPr>
          <w:ilvl w:val="0"/>
          <w:numId w:val="21"/>
        </w:numPr>
        <w:spacing w:line="304" w:lineRule="auto"/>
        <w:ind w:left="360"/>
        <w:rPr>
          <w:rFonts w:ascii="宋体" w:hAnsi="宋体"/>
          <w:sz w:val="24"/>
        </w:rPr>
      </w:pPr>
      <w:r>
        <w:rPr>
          <w:rFonts w:ascii="宋体" w:hAnsi="宋体"/>
          <w:sz w:val="24"/>
        </w:rPr>
        <w:t>开标结束。</w:t>
      </w:r>
    </w:p>
    <w:p>
      <w:pPr>
        <w:spacing w:line="69" w:lineRule="exact"/>
        <w:rPr>
          <w:rFonts w:eastAsia="Times New Roman"/>
        </w:rPr>
      </w:pPr>
    </w:p>
    <w:p>
      <w:pPr>
        <w:numPr>
          <w:ilvl w:val="0"/>
          <w:numId w:val="22"/>
        </w:numPr>
        <w:tabs>
          <w:tab w:val="left" w:pos="1080"/>
        </w:tabs>
        <w:spacing w:line="302" w:lineRule="auto"/>
        <w:ind w:firstLine="489"/>
        <w:jc w:val="both"/>
        <w:rPr>
          <w:rFonts w:eastAsia="Times New Roman"/>
          <w:sz w:val="24"/>
        </w:rPr>
      </w:pPr>
      <w:r>
        <w:rPr>
          <w:rFonts w:ascii="宋体" w:hAnsi="宋体"/>
          <w:sz w:val="24"/>
        </w:rPr>
        <w:t>在投标文件第一个信封（商务及技术文件）开标现场，投标文件第二个信封（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）不予开封，</w:t>
      </w:r>
      <w:r>
        <w:rPr>
          <w:rFonts w:hint="eastAsia" w:ascii="宋体" w:hAnsi="宋体"/>
          <w:sz w:val="24"/>
        </w:rPr>
        <w:t>并交给监标人</w:t>
      </w:r>
      <w:r>
        <w:rPr>
          <w:rFonts w:ascii="宋体" w:hAnsi="宋体"/>
          <w:sz w:val="24"/>
        </w:rPr>
        <w:t>密封保存。</w:t>
      </w:r>
    </w:p>
    <w:p>
      <w:pPr>
        <w:spacing w:line="77" w:lineRule="exact"/>
        <w:rPr>
          <w:rFonts w:eastAsia="Times New Roman"/>
          <w:sz w:val="24"/>
        </w:rPr>
      </w:pPr>
    </w:p>
    <w:p>
      <w:pPr>
        <w:numPr>
          <w:ilvl w:val="0"/>
          <w:numId w:val="22"/>
        </w:numPr>
        <w:tabs>
          <w:tab w:val="left" w:pos="1080"/>
        </w:tabs>
        <w:spacing w:line="310" w:lineRule="auto"/>
        <w:ind w:firstLine="489"/>
        <w:jc w:val="both"/>
        <w:rPr>
          <w:rFonts w:eastAsia="Times New Roman"/>
          <w:sz w:val="24"/>
        </w:rPr>
      </w:pPr>
      <w:r>
        <w:rPr>
          <w:rFonts w:ascii="宋体" w:hAnsi="宋体"/>
          <w:sz w:val="24"/>
        </w:rPr>
        <w:t xml:space="preserve">招标人将按照本章第 </w:t>
      </w:r>
      <w:r>
        <w:rPr>
          <w:rFonts w:eastAsia="Times New Roman"/>
          <w:sz w:val="24"/>
        </w:rPr>
        <w:t>5.1</w:t>
      </w:r>
      <w:r>
        <w:rPr>
          <w:rFonts w:ascii="宋体" w:hAnsi="宋体"/>
          <w:sz w:val="24"/>
        </w:rPr>
        <w:t xml:space="preserve"> 款规定的时间和地点对投标文件第二个信封（</w:t>
      </w:r>
      <w:r>
        <w:rPr>
          <w:rFonts w:hint="eastAsia" w:ascii="宋体" w:hAnsi="宋体"/>
          <w:sz w:val="24"/>
        </w:rPr>
        <w:t>投标</w:t>
      </w:r>
      <w:r>
        <w:rPr>
          <w:rFonts w:ascii="宋体" w:hAnsi="宋体"/>
          <w:sz w:val="24"/>
        </w:rPr>
        <w:t>报价</w:t>
      </w:r>
      <w:r>
        <w:rPr>
          <w:rFonts w:hint="eastAsia" w:ascii="宋体" w:hAnsi="宋体"/>
          <w:sz w:val="24"/>
        </w:rPr>
        <w:t>和工程量清单</w:t>
      </w:r>
      <w:r>
        <w:rPr>
          <w:rFonts w:ascii="宋体" w:hAnsi="宋体"/>
          <w:sz w:val="24"/>
        </w:rPr>
        <w:t>）进行开标。主持人按下列程序进行开标：</w:t>
      </w:r>
    </w:p>
    <w:p>
      <w:pPr>
        <w:spacing w:line="42" w:lineRule="exact"/>
        <w:rPr>
          <w:rFonts w:eastAsia="Times New Roman"/>
          <w:sz w:val="24"/>
        </w:rPr>
      </w:pPr>
    </w:p>
    <w:p>
      <w:pPr>
        <w:spacing w:line="0" w:lineRule="atLeast"/>
        <w:ind w:left="360"/>
        <w:jc w:val="both"/>
        <w:rPr>
          <w:rFonts w:ascii="宋体" w:hAnsi="宋体"/>
          <w:sz w:val="24"/>
        </w:rPr>
      </w:pPr>
      <w:r>
        <w:rPr>
          <w:rFonts w:ascii="宋体" w:hAnsi="宋体"/>
          <w:sz w:val="24"/>
        </w:rPr>
        <w:t>（</w:t>
      </w:r>
      <w:r>
        <w:rPr>
          <w:rFonts w:eastAsia="Times New Roman"/>
          <w:sz w:val="24"/>
        </w:rPr>
        <w:t>1</w:t>
      </w:r>
      <w:r>
        <w:rPr>
          <w:rFonts w:ascii="宋体" w:hAnsi="宋体"/>
          <w:sz w:val="24"/>
        </w:rPr>
        <w:t>）宣布开标纪律；</w:t>
      </w:r>
    </w:p>
    <w:p>
      <w:pPr>
        <w:spacing w:line="134" w:lineRule="exact"/>
        <w:rPr>
          <w:rFonts w:eastAsia="Times New Roman"/>
          <w:sz w:val="24"/>
        </w:rPr>
      </w:pPr>
    </w:p>
    <w:p>
      <w:pPr>
        <w:spacing w:line="311" w:lineRule="auto"/>
        <w:ind w:firstLine="360"/>
        <w:jc w:val="both"/>
        <w:rPr>
          <w:rFonts w:ascii="宋体" w:hAnsi="宋体"/>
          <w:sz w:val="24"/>
        </w:rPr>
      </w:pPr>
      <w:r>
        <w:rPr>
          <w:rFonts w:ascii="宋体" w:hAnsi="宋体"/>
          <w:sz w:val="24"/>
        </w:rPr>
        <w:t>（</w:t>
      </w:r>
      <w:r>
        <w:rPr>
          <w:rFonts w:eastAsia="Times New Roman"/>
          <w:sz w:val="24"/>
        </w:rPr>
        <w:t>2</w:t>
      </w:r>
      <w:r>
        <w:rPr>
          <w:rFonts w:ascii="宋体" w:hAnsi="宋体"/>
          <w:sz w:val="24"/>
        </w:rPr>
        <w:t>）当众拆开投标文件第一个信封（商务及技术文件）评审结果的密封袋，宣布通过投标文件第一个信封（商务及技术文件）评审的投标人名单；</w:t>
      </w:r>
    </w:p>
    <w:p>
      <w:pPr>
        <w:spacing w:line="68" w:lineRule="exact"/>
        <w:rPr>
          <w:rFonts w:eastAsia="Times New Roman"/>
          <w:sz w:val="24"/>
        </w:rPr>
      </w:pPr>
    </w:p>
    <w:p>
      <w:pPr>
        <w:spacing w:line="324" w:lineRule="auto"/>
        <w:ind w:left="360"/>
        <w:rPr>
          <w:rFonts w:ascii="宋体" w:hAnsi="宋体"/>
          <w:sz w:val="24"/>
        </w:rPr>
      </w:pPr>
      <w:r>
        <w:rPr>
          <w:rFonts w:ascii="宋体" w:hAnsi="宋体"/>
          <w:sz w:val="24"/>
        </w:rPr>
        <w:t>（</w:t>
      </w:r>
      <w:r>
        <w:rPr>
          <w:rFonts w:eastAsia="Times New Roman"/>
          <w:sz w:val="24"/>
        </w:rPr>
        <w:t>3</w:t>
      </w:r>
      <w:r>
        <w:rPr>
          <w:rFonts w:ascii="宋体" w:hAnsi="宋体"/>
          <w:sz w:val="24"/>
        </w:rPr>
        <w:t>）宣布开标人、唱标人、记录人等有关人员姓名；</w:t>
      </w:r>
    </w:p>
    <w:p>
      <w:pPr>
        <w:spacing w:line="324" w:lineRule="auto"/>
        <w:ind w:left="360"/>
        <w:rPr>
          <w:rFonts w:ascii="宋体" w:hAnsi="宋体"/>
          <w:sz w:val="24"/>
        </w:rPr>
      </w:pPr>
      <w:r>
        <w:rPr>
          <w:rFonts w:ascii="宋体" w:hAnsi="宋体"/>
          <w:sz w:val="24"/>
        </w:rPr>
        <w:t>（</w:t>
      </w:r>
      <w:r>
        <w:rPr>
          <w:rFonts w:eastAsia="Times New Roman"/>
          <w:sz w:val="24"/>
        </w:rPr>
        <w:t>4</w:t>
      </w:r>
      <w:r>
        <w:rPr>
          <w:rFonts w:ascii="宋体" w:hAnsi="宋体"/>
          <w:sz w:val="24"/>
        </w:rPr>
        <w:t>）按照投标人须知前附表规定由投标人推选的代表检查投标文件的密封情况；</w:t>
      </w:r>
    </w:p>
    <w:p>
      <w:pPr>
        <w:spacing w:line="333" w:lineRule="auto"/>
        <w:ind w:firstLine="360"/>
        <w:rPr>
          <w:rFonts w:ascii="宋体" w:hAnsi="宋体"/>
          <w:sz w:val="24"/>
        </w:rPr>
      </w:pPr>
      <w:r>
        <w:rPr>
          <w:rFonts w:ascii="宋体" w:hAnsi="宋体"/>
          <w:sz w:val="24"/>
        </w:rPr>
        <w:t>（5）按照投标人须知前附表规定的开标顺序当众开标，开标人只拆封通过投标文件第一个信封（商务及技术文件）评审的投标文件第二个信封（</w:t>
      </w:r>
      <w:r>
        <w:rPr>
          <w:rFonts w:hint="eastAsia" w:ascii="宋体" w:hAnsi="宋体"/>
          <w:sz w:val="24"/>
        </w:rPr>
        <w:t>投标</w:t>
      </w:r>
      <w:r>
        <w:rPr>
          <w:rFonts w:ascii="宋体" w:hAnsi="宋体"/>
          <w:sz w:val="24"/>
        </w:rPr>
        <w:t>报价），公布标段名称、投标人名称、投标报价</w:t>
      </w:r>
      <w:r>
        <w:rPr>
          <w:rFonts w:ascii="MS PGothic" w:hAnsi="MS PGothic" w:eastAsia="MS PGothic"/>
          <w:sz w:val="24"/>
          <w:vertAlign w:val="superscript"/>
        </w:rPr>
        <w:t>①</w:t>
      </w:r>
      <w:r>
        <w:rPr>
          <w:rFonts w:ascii="宋体" w:hAnsi="宋体"/>
          <w:sz w:val="24"/>
        </w:rPr>
        <w:t>及其他内容，并记录在案；</w:t>
      </w:r>
    </w:p>
    <w:p>
      <w:pPr>
        <w:spacing w:line="326" w:lineRule="exact"/>
        <w:ind w:firstLine="360" w:firstLineChars="150"/>
        <w:rPr>
          <w:rFonts w:ascii="宋体" w:hAnsi="宋体"/>
          <w:sz w:val="24"/>
        </w:rPr>
      </w:pPr>
      <w:r>
        <w:rPr>
          <w:rFonts w:ascii="宋体" w:hAnsi="宋体"/>
          <w:sz w:val="24"/>
        </w:rPr>
        <w:t>（</w:t>
      </w:r>
      <w:r>
        <w:rPr>
          <w:rFonts w:eastAsia="Times New Roman"/>
          <w:sz w:val="24"/>
        </w:rPr>
        <w:t>6</w:t>
      </w:r>
      <w:r>
        <w:rPr>
          <w:rFonts w:ascii="宋体" w:hAnsi="宋体"/>
          <w:sz w:val="24"/>
        </w:rPr>
        <w:t>）计算并宣布评标基准价；</w:t>
      </w:r>
    </w:p>
    <w:p>
      <w:pPr>
        <w:spacing w:line="137" w:lineRule="exact"/>
        <w:rPr>
          <w:rFonts w:eastAsia="Times New Roman"/>
        </w:rPr>
      </w:pPr>
    </w:p>
    <w:p>
      <w:pPr>
        <w:spacing w:line="310" w:lineRule="auto"/>
        <w:ind w:firstLine="360"/>
        <w:rPr>
          <w:rFonts w:ascii="宋体" w:hAnsi="宋体"/>
          <w:sz w:val="24"/>
        </w:rPr>
      </w:pPr>
      <w:r>
        <w:rPr>
          <w:rFonts w:ascii="宋体" w:hAnsi="宋体"/>
          <w:sz w:val="24"/>
        </w:rPr>
        <w:t>（</w:t>
      </w:r>
      <w:r>
        <w:rPr>
          <w:rFonts w:eastAsia="Times New Roman"/>
          <w:sz w:val="24"/>
        </w:rPr>
        <w:t>7</w:t>
      </w:r>
      <w:r>
        <w:rPr>
          <w:rFonts w:ascii="宋体" w:hAnsi="宋体"/>
          <w:sz w:val="24"/>
        </w:rPr>
        <w:t>）将未通过投标文件第一个信封（商务及技术文件）评审的投标文件第二个信封（</w:t>
      </w:r>
      <w:r>
        <w:rPr>
          <w:rFonts w:hint="eastAsia" w:ascii="宋体" w:hAnsi="宋体"/>
          <w:sz w:val="24"/>
        </w:rPr>
        <w:t>投标</w:t>
      </w:r>
      <w:r>
        <w:rPr>
          <w:rFonts w:ascii="宋体" w:hAnsi="宋体"/>
          <w:sz w:val="24"/>
        </w:rPr>
        <w:t>报价）退还给投标人；</w:t>
      </w:r>
    </w:p>
    <w:p>
      <w:pPr>
        <w:spacing w:line="71" w:lineRule="exact"/>
        <w:rPr>
          <w:rFonts w:eastAsia="Times New Roman"/>
        </w:rPr>
      </w:pPr>
    </w:p>
    <w:p>
      <w:pPr>
        <w:spacing w:line="304" w:lineRule="auto"/>
        <w:ind w:left="360"/>
        <w:rPr>
          <w:rFonts w:ascii="宋体" w:hAnsi="宋体"/>
          <w:sz w:val="24"/>
        </w:rPr>
      </w:pPr>
      <w:r>
        <w:rPr>
          <w:rFonts w:ascii="宋体" w:hAnsi="宋体"/>
          <w:sz w:val="24"/>
        </w:rPr>
        <w:t>（</w:t>
      </w:r>
      <w:r>
        <w:rPr>
          <w:rFonts w:eastAsia="Times New Roman"/>
          <w:sz w:val="24"/>
        </w:rPr>
        <w:t>8</w:t>
      </w:r>
      <w:r>
        <w:rPr>
          <w:rFonts w:ascii="宋体" w:hAnsi="宋体"/>
          <w:sz w:val="24"/>
        </w:rPr>
        <w:t>）投标人代表、招标人代表、记录人等有关人员在开标记录上签字确认；</w:t>
      </w:r>
    </w:p>
    <w:p>
      <w:pPr>
        <w:spacing w:line="304" w:lineRule="auto"/>
        <w:ind w:left="360"/>
        <w:rPr>
          <w:rFonts w:ascii="宋体" w:hAnsi="宋体"/>
          <w:sz w:val="24"/>
        </w:rPr>
      </w:pPr>
      <w:r>
        <w:rPr>
          <w:rFonts w:ascii="宋体" w:hAnsi="宋体"/>
          <w:sz w:val="24"/>
        </w:rPr>
        <w:t>（</w:t>
      </w:r>
      <w:r>
        <w:rPr>
          <w:rFonts w:eastAsia="Times New Roman"/>
          <w:sz w:val="24"/>
        </w:rPr>
        <w:t>9</w:t>
      </w:r>
      <w:r>
        <w:rPr>
          <w:rFonts w:ascii="宋体" w:hAnsi="宋体"/>
          <w:sz w:val="24"/>
        </w:rPr>
        <w:t>）开标结束。</w:t>
      </w:r>
    </w:p>
    <w:p>
      <w:pPr>
        <w:spacing w:line="70" w:lineRule="exact"/>
        <w:rPr>
          <w:rFonts w:eastAsia="Times New Roman"/>
        </w:rPr>
      </w:pPr>
    </w:p>
    <w:p>
      <w:pPr>
        <w:spacing w:line="400" w:lineRule="exact"/>
        <w:ind w:firstLine="480" w:firstLineChars="200"/>
        <w:rPr>
          <w:rFonts w:ascii="宋体" w:hAnsi="宋体"/>
          <w:sz w:val="24"/>
          <w:szCs w:val="24"/>
        </w:rPr>
      </w:pPr>
      <w:r>
        <w:rPr>
          <w:rFonts w:hint="eastAsia" w:ascii="宋体" w:hAnsi="宋体"/>
          <w:sz w:val="24"/>
          <w:szCs w:val="24"/>
        </w:rPr>
        <w:t>5.2.4第二个信封（投标报价）开标过程中，若招标人发现投标文件出现以下任一情况，经监标人确认并当场宣布为废标：</w:t>
      </w:r>
    </w:p>
    <w:p>
      <w:pPr>
        <w:spacing w:line="400" w:lineRule="exact"/>
        <w:ind w:firstLine="480" w:firstLineChars="200"/>
        <w:rPr>
          <w:rFonts w:ascii="宋体" w:hAnsi="宋体"/>
          <w:sz w:val="24"/>
          <w:szCs w:val="24"/>
        </w:rPr>
      </w:pPr>
      <w:r>
        <w:rPr>
          <w:rFonts w:hint="eastAsia" w:ascii="宋体" w:hAnsi="宋体"/>
          <w:sz w:val="24"/>
          <w:szCs w:val="24"/>
        </w:rPr>
        <w:t>（1）未在投标函上填写投标总价；</w:t>
      </w:r>
    </w:p>
    <w:p>
      <w:pPr>
        <w:spacing w:line="360" w:lineRule="auto"/>
        <w:ind w:firstLine="360" w:firstLineChars="150"/>
        <w:jc w:val="both"/>
        <w:rPr>
          <w:rFonts w:ascii="宋体" w:hAnsi="宋体"/>
          <w:sz w:val="24"/>
          <w:szCs w:val="22"/>
        </w:rPr>
      </w:pPr>
      <w:r>
        <w:rPr>
          <w:rFonts w:hint="eastAsia" w:ascii="宋体" w:hAnsi="宋体"/>
          <w:sz w:val="24"/>
          <w:szCs w:val="22"/>
        </w:rPr>
        <w:t>（2）投标报价的报价超出招标人公布的招标控制价上限。</w:t>
      </w:r>
    </w:p>
    <w:p>
      <w:pPr>
        <w:spacing w:line="360" w:lineRule="auto"/>
        <w:ind w:firstLine="360" w:firstLineChars="150"/>
        <w:jc w:val="both"/>
        <w:rPr>
          <w:rFonts w:ascii="宋体" w:hAnsi="宋体"/>
          <w:sz w:val="24"/>
          <w:szCs w:val="22"/>
        </w:rPr>
      </w:pPr>
      <w:r>
        <w:rPr>
          <w:rFonts w:hint="eastAsia" w:ascii="宋体" w:hAnsi="宋体"/>
          <w:sz w:val="24"/>
          <w:szCs w:val="22"/>
        </w:rPr>
        <w:t>5.2.5 若招标人宣读的内容与投标文件不符时，投标人有权在开标现场提出异议，经监标人当场核查确认之后，可重新宣读其投标文件。若投标人现场未提出异议，则认为投标人已确认招标人宣读的内容。</w:t>
      </w:r>
      <w:bookmarkStart w:id="25" w:name="page65"/>
      <w:bookmarkEnd w:id="25"/>
    </w:p>
    <w:p>
      <w:pPr>
        <w:spacing w:line="360" w:lineRule="auto"/>
        <w:jc w:val="both"/>
        <w:rPr>
          <w:rFonts w:ascii="宋体" w:hAnsi="宋体"/>
          <w:sz w:val="24"/>
          <w:szCs w:val="22"/>
        </w:rPr>
      </w:pPr>
      <w:r>
        <w:rPr>
          <w:rFonts w:hint="eastAsia" w:ascii="宋体" w:hAnsi="宋体"/>
          <w:sz w:val="24"/>
          <w:szCs w:val="22"/>
        </w:rPr>
        <w:t>5.3</w:t>
      </w:r>
      <w:r>
        <w:rPr>
          <w:rFonts w:ascii="宋体" w:hAnsi="宋体"/>
          <w:sz w:val="24"/>
          <w:szCs w:val="22"/>
        </w:rPr>
        <w:t>开标异议</w:t>
      </w:r>
    </w:p>
    <w:p>
      <w:pPr>
        <w:spacing w:line="360" w:lineRule="auto"/>
        <w:ind w:firstLine="360" w:firstLineChars="150"/>
        <w:jc w:val="both"/>
        <w:rPr>
          <w:rFonts w:ascii="宋体" w:hAnsi="宋体"/>
          <w:sz w:val="24"/>
        </w:rPr>
      </w:pPr>
      <w:r>
        <w:rPr>
          <w:rFonts w:ascii="宋体" w:hAnsi="宋体"/>
          <w:sz w:val="24"/>
          <w:szCs w:val="22"/>
        </w:rPr>
        <w:t>投标人对开标有异议的，应在开标现场提出，招标人当场作出答复，并制作记录，有异议的投标人代表、招标人代表、记录人等有关人员在记录上签字确认。</w:t>
      </w:r>
    </w:p>
    <w:p>
      <w:pPr>
        <w:spacing w:line="360" w:lineRule="auto"/>
        <w:rPr>
          <w:rFonts w:ascii="宋体" w:hAnsi="宋体"/>
          <w:b/>
          <w:sz w:val="28"/>
          <w:szCs w:val="22"/>
        </w:rPr>
      </w:pPr>
      <w:r>
        <w:rPr>
          <w:rFonts w:ascii="宋体" w:hAnsi="宋体"/>
          <w:b/>
          <w:sz w:val="28"/>
          <w:szCs w:val="22"/>
        </w:rPr>
        <w:t>6. 评标</w:t>
      </w:r>
    </w:p>
    <w:p>
      <w:pPr>
        <w:spacing w:line="360" w:lineRule="auto"/>
        <w:jc w:val="both"/>
        <w:rPr>
          <w:rFonts w:ascii="宋体" w:hAnsi="宋体"/>
          <w:b/>
          <w:sz w:val="24"/>
          <w:szCs w:val="22"/>
        </w:rPr>
      </w:pPr>
      <w:r>
        <w:rPr>
          <w:rFonts w:hint="eastAsia" w:ascii="宋体" w:hAnsi="宋体"/>
          <w:b/>
          <w:sz w:val="24"/>
          <w:szCs w:val="22"/>
        </w:rPr>
        <w:t>6.1</w:t>
      </w:r>
      <w:r>
        <w:rPr>
          <w:rFonts w:ascii="宋体" w:hAnsi="宋体"/>
          <w:b/>
          <w:sz w:val="24"/>
          <w:szCs w:val="22"/>
        </w:rPr>
        <w:t>评标委员会</w:t>
      </w:r>
    </w:p>
    <w:p>
      <w:pPr>
        <w:spacing w:line="360" w:lineRule="auto"/>
        <w:ind w:firstLine="240" w:firstLineChars="100"/>
        <w:jc w:val="both"/>
        <w:rPr>
          <w:rFonts w:ascii="宋体" w:hAnsi="宋体"/>
          <w:sz w:val="24"/>
          <w:szCs w:val="22"/>
        </w:rPr>
      </w:pPr>
      <w:r>
        <w:rPr>
          <w:rFonts w:hint="eastAsia" w:ascii="宋体" w:hAnsi="宋体"/>
          <w:sz w:val="24"/>
          <w:szCs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240" w:firstLineChars="100"/>
        <w:jc w:val="both"/>
        <w:rPr>
          <w:rFonts w:ascii="宋体" w:hAnsi="宋体"/>
          <w:sz w:val="24"/>
          <w:szCs w:val="22"/>
        </w:rPr>
      </w:pPr>
      <w:r>
        <w:rPr>
          <w:rFonts w:hint="eastAsia" w:ascii="宋体" w:hAnsi="宋体"/>
          <w:sz w:val="24"/>
          <w:szCs w:val="22"/>
        </w:rPr>
        <w:t>6.1.2 评标委员会成员有下列情形之一的，应当回避：</w:t>
      </w:r>
    </w:p>
    <w:p>
      <w:pPr>
        <w:spacing w:line="360" w:lineRule="auto"/>
        <w:jc w:val="both"/>
        <w:rPr>
          <w:rFonts w:ascii="宋体" w:hAnsi="宋体"/>
          <w:sz w:val="24"/>
          <w:szCs w:val="22"/>
        </w:rPr>
      </w:pPr>
      <w:r>
        <w:rPr>
          <w:rFonts w:hint="eastAsia" w:ascii="宋体" w:hAnsi="宋体"/>
          <w:sz w:val="24"/>
          <w:szCs w:val="22"/>
        </w:rPr>
        <w:t>（1）为负责招标项目监督管理的交通运输主管部门的工作人员；</w:t>
      </w:r>
    </w:p>
    <w:p>
      <w:pPr>
        <w:spacing w:line="360" w:lineRule="auto"/>
        <w:jc w:val="both"/>
        <w:rPr>
          <w:rFonts w:ascii="宋体" w:hAnsi="宋体"/>
          <w:sz w:val="24"/>
          <w:szCs w:val="22"/>
        </w:rPr>
      </w:pPr>
      <w:r>
        <w:rPr>
          <w:rFonts w:hint="eastAsia" w:ascii="宋体" w:hAnsi="宋体"/>
          <w:sz w:val="24"/>
          <w:szCs w:val="22"/>
        </w:rPr>
        <w:t>（2）与投标人法定代表人或其委托代理人有近亲属关系；</w:t>
      </w:r>
    </w:p>
    <w:p>
      <w:pPr>
        <w:spacing w:line="360" w:lineRule="auto"/>
        <w:jc w:val="both"/>
        <w:rPr>
          <w:rFonts w:ascii="宋体" w:hAnsi="宋体"/>
          <w:sz w:val="24"/>
          <w:szCs w:val="22"/>
        </w:rPr>
      </w:pPr>
      <w:r>
        <w:rPr>
          <w:rFonts w:hint="eastAsia" w:ascii="宋体" w:hAnsi="宋体"/>
          <w:sz w:val="24"/>
          <w:szCs w:val="22"/>
        </w:rPr>
        <w:t>（3）为投标人的工作人员或退休人员；</w:t>
      </w:r>
    </w:p>
    <w:p>
      <w:pPr>
        <w:spacing w:line="360" w:lineRule="auto"/>
        <w:jc w:val="both"/>
        <w:rPr>
          <w:rFonts w:ascii="宋体" w:hAnsi="宋体"/>
          <w:sz w:val="24"/>
          <w:szCs w:val="22"/>
        </w:rPr>
      </w:pPr>
      <w:r>
        <w:rPr>
          <w:rFonts w:hint="eastAsia" w:ascii="宋体" w:hAnsi="宋体"/>
          <w:sz w:val="24"/>
          <w:szCs w:val="22"/>
        </w:rPr>
        <w:t>（4）与投标人有其他利害关系，可能影响评标活动公正性；</w:t>
      </w:r>
    </w:p>
    <w:p>
      <w:pPr>
        <w:spacing w:line="360" w:lineRule="auto"/>
        <w:jc w:val="both"/>
        <w:rPr>
          <w:rFonts w:ascii="宋体" w:hAnsi="宋体"/>
          <w:sz w:val="24"/>
          <w:szCs w:val="22"/>
        </w:rPr>
      </w:pPr>
      <w:r>
        <w:rPr>
          <w:rFonts w:hint="eastAsia" w:ascii="宋体" w:hAnsi="宋体"/>
          <w:sz w:val="24"/>
          <w:szCs w:val="22"/>
        </w:rPr>
        <w:t>（5）在与招标投标有关的活动中有过违法违规行为、曾受过行政处罚或刑事处罚。</w:t>
      </w:r>
    </w:p>
    <w:p>
      <w:pPr>
        <w:spacing w:line="360" w:lineRule="auto"/>
        <w:ind w:firstLine="240" w:firstLineChars="100"/>
        <w:jc w:val="both"/>
        <w:rPr>
          <w:rFonts w:ascii="宋体" w:hAnsi="宋体"/>
          <w:sz w:val="24"/>
          <w:szCs w:val="24"/>
        </w:rPr>
      </w:pPr>
      <w:r>
        <w:rPr>
          <w:rFonts w:hint="eastAsia" w:ascii="宋体" w:hAnsi="宋体"/>
          <w:sz w:val="24"/>
          <w:szCs w:val="22"/>
        </w:rPr>
        <w:t>6.1.3 评标过程中，评标委员会成员有回避事由、擅离职守或因健康等原因不能 继续评标的，招标人有权更换。被更换的评标委员会成员作出的评审结论无效，由更 换后的评标委员会成员重新进行评审。</w:t>
      </w:r>
    </w:p>
    <w:p>
      <w:pPr>
        <w:numPr>
          <w:ilvl w:val="0"/>
          <w:numId w:val="23"/>
        </w:numPr>
        <w:tabs>
          <w:tab w:val="left" w:pos="480"/>
        </w:tabs>
        <w:spacing w:line="0" w:lineRule="atLeast"/>
        <w:ind w:left="480" w:hanging="471"/>
        <w:jc w:val="both"/>
        <w:rPr>
          <w:rFonts w:ascii="宋体" w:hAnsi="宋体"/>
          <w:b/>
          <w:sz w:val="24"/>
        </w:rPr>
      </w:pPr>
      <w:r>
        <w:rPr>
          <w:rFonts w:ascii="宋体" w:hAnsi="宋体"/>
          <w:b/>
          <w:sz w:val="24"/>
        </w:rPr>
        <w:t>评标原则</w:t>
      </w:r>
    </w:p>
    <w:p>
      <w:pPr>
        <w:spacing w:line="400" w:lineRule="exact"/>
        <w:ind w:firstLine="360" w:firstLineChars="150"/>
        <w:rPr>
          <w:rFonts w:ascii="宋体" w:hAnsi="宋体"/>
          <w:sz w:val="24"/>
          <w:szCs w:val="24"/>
        </w:rPr>
      </w:pPr>
      <w:r>
        <w:rPr>
          <w:rFonts w:hint="eastAsia" w:ascii="宋体" w:hAnsi="宋体"/>
          <w:sz w:val="24"/>
          <w:szCs w:val="24"/>
        </w:rPr>
        <w:t>评标活动遵循公平、公正、科学和择优的原则。</w:t>
      </w:r>
    </w:p>
    <w:p>
      <w:pPr>
        <w:tabs>
          <w:tab w:val="left" w:pos="480"/>
        </w:tabs>
        <w:spacing w:line="0" w:lineRule="atLeast"/>
        <w:jc w:val="both"/>
        <w:rPr>
          <w:rFonts w:ascii="宋体" w:hAnsi="宋体"/>
          <w:b/>
          <w:sz w:val="24"/>
        </w:rPr>
      </w:pPr>
      <w:r>
        <w:rPr>
          <w:rFonts w:hint="eastAsia" w:ascii="宋体" w:hAnsi="宋体"/>
          <w:b/>
          <w:sz w:val="24"/>
        </w:rPr>
        <w:t>6.3</w:t>
      </w:r>
      <w:r>
        <w:rPr>
          <w:rFonts w:ascii="宋体" w:hAnsi="宋体"/>
          <w:b/>
          <w:sz w:val="24"/>
        </w:rPr>
        <w:t>评标</w:t>
      </w:r>
    </w:p>
    <w:p>
      <w:pPr>
        <w:tabs>
          <w:tab w:val="left" w:pos="1082"/>
        </w:tabs>
        <w:spacing w:line="319" w:lineRule="auto"/>
        <w:ind w:firstLine="360" w:firstLineChars="150"/>
        <w:jc w:val="both"/>
        <w:rPr>
          <w:rFonts w:eastAsia="Times New Roman"/>
          <w:sz w:val="24"/>
        </w:rPr>
      </w:pPr>
      <w:r>
        <w:rPr>
          <w:rFonts w:hint="eastAsia" w:ascii="黑体" w:hAnsi="黑体" w:eastAsia="黑体"/>
          <w:sz w:val="24"/>
        </w:rPr>
        <w:t>6.3.1</w:t>
      </w:r>
      <w:r>
        <w:rPr>
          <w:rFonts w:ascii="宋体" w:hAnsi="宋体"/>
          <w:sz w:val="24"/>
        </w:rPr>
        <w:t>评标委员会按照第三章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规定的方法、评审因素、标准和程序对投标文件进行评审。第三章</w:t>
      </w:r>
      <w:r>
        <w:rPr>
          <w:rFonts w:eastAsia="Times New Roman"/>
          <w:sz w:val="24"/>
        </w:rPr>
        <w:t>“</w:t>
      </w:r>
      <w:r>
        <w:rPr>
          <w:rFonts w:ascii="宋体" w:hAnsi="宋体"/>
          <w:sz w:val="24"/>
        </w:rPr>
        <w:t>评标办法</w:t>
      </w:r>
      <w:r>
        <w:rPr>
          <w:rFonts w:eastAsia="Times New Roman"/>
          <w:sz w:val="24"/>
        </w:rPr>
        <w:t>”</w:t>
      </w:r>
      <w:r>
        <w:rPr>
          <w:rFonts w:ascii="宋体" w:hAnsi="宋体"/>
          <w:sz w:val="24"/>
        </w:rPr>
        <w:t>没有规定的方法、评审因素和标准，不作为评标依据。</w:t>
      </w:r>
    </w:p>
    <w:p>
      <w:pPr>
        <w:spacing w:line="70" w:lineRule="exact"/>
        <w:rPr>
          <w:rFonts w:eastAsia="Times New Roman"/>
          <w:sz w:val="24"/>
        </w:rPr>
      </w:pPr>
    </w:p>
    <w:p>
      <w:pPr>
        <w:tabs>
          <w:tab w:val="left" w:pos="1080"/>
        </w:tabs>
        <w:spacing w:line="302" w:lineRule="auto"/>
        <w:ind w:left="489"/>
        <w:jc w:val="both"/>
        <w:rPr>
          <w:rFonts w:eastAsia="Times New Roman"/>
          <w:sz w:val="24"/>
        </w:rPr>
      </w:pPr>
      <w:r>
        <w:rPr>
          <w:rFonts w:hint="eastAsia" w:ascii="宋体" w:hAnsi="宋体"/>
          <w:sz w:val="24"/>
        </w:rPr>
        <w:t>6.3.2</w:t>
      </w:r>
      <w:r>
        <w:rPr>
          <w:rFonts w:ascii="宋体" w:hAnsi="宋体"/>
          <w:sz w:val="24"/>
        </w:rPr>
        <w:t>评标完成后，评标委员会应向招标人提交书面评标报告和中标候选人名单。评标委员会推荐中标候选人的人数见投标人须知前附表。</w:t>
      </w:r>
    </w:p>
    <w:p>
      <w:pPr>
        <w:tabs>
          <w:tab w:val="left" w:pos="480"/>
        </w:tabs>
        <w:spacing w:line="0" w:lineRule="atLeast"/>
        <w:jc w:val="both"/>
        <w:rPr>
          <w:rFonts w:ascii="宋体" w:hAnsi="宋体"/>
          <w:b/>
          <w:sz w:val="24"/>
          <w:szCs w:val="22"/>
        </w:rPr>
      </w:pPr>
      <w:r>
        <w:rPr>
          <w:rFonts w:hint="eastAsia" w:ascii="宋体" w:hAnsi="宋体"/>
          <w:b/>
          <w:sz w:val="24"/>
          <w:szCs w:val="22"/>
        </w:rPr>
        <w:t>7. 合同授予</w:t>
      </w:r>
    </w:p>
    <w:p>
      <w:pPr>
        <w:spacing w:line="360" w:lineRule="auto"/>
        <w:ind w:firstLine="240" w:firstLineChars="100"/>
        <w:jc w:val="both"/>
        <w:rPr>
          <w:rFonts w:ascii="宋体" w:hAnsi="宋体"/>
          <w:sz w:val="24"/>
          <w:szCs w:val="22"/>
        </w:rPr>
      </w:pPr>
      <w:r>
        <w:rPr>
          <w:rFonts w:hint="eastAsia" w:ascii="宋体" w:hAnsi="宋体"/>
          <w:sz w:val="24"/>
          <w:szCs w:val="22"/>
        </w:rPr>
        <w:t>7.1 中标候选人公示</w:t>
      </w:r>
    </w:p>
    <w:p>
      <w:pPr>
        <w:spacing w:line="360" w:lineRule="auto"/>
        <w:ind w:firstLine="240" w:firstLineChars="100"/>
        <w:jc w:val="both"/>
        <w:rPr>
          <w:rFonts w:ascii="宋体" w:hAnsi="宋体"/>
          <w:sz w:val="24"/>
          <w:szCs w:val="22"/>
        </w:rPr>
      </w:pPr>
      <w:r>
        <w:rPr>
          <w:rFonts w:hint="eastAsia" w:ascii="宋体" w:hAnsi="宋体"/>
          <w:sz w:val="24"/>
          <w:szCs w:val="22"/>
        </w:rPr>
        <w:t>招标人在收到评标报告之日起 3 日内，按照投标人须知前附表规定的公示媒介和期限公示中标候选人，公示期不得少于 3 日，公示内容包括：</w:t>
      </w:r>
    </w:p>
    <w:p>
      <w:pPr>
        <w:spacing w:line="360" w:lineRule="auto"/>
        <w:ind w:firstLine="480" w:firstLineChars="200"/>
        <w:jc w:val="both"/>
        <w:rPr>
          <w:rFonts w:ascii="宋体" w:hAnsi="宋体"/>
          <w:sz w:val="24"/>
          <w:szCs w:val="22"/>
        </w:rPr>
      </w:pPr>
      <w:r>
        <w:rPr>
          <w:rFonts w:hint="eastAsia" w:ascii="宋体" w:hAnsi="宋体"/>
          <w:sz w:val="24"/>
          <w:szCs w:val="22"/>
        </w:rPr>
        <w:t>（1）中标候选人排序、名称、投标报价，对工程质量要求和工期的响应情况；</w:t>
      </w:r>
    </w:p>
    <w:p>
      <w:pPr>
        <w:pStyle w:val="3"/>
        <w:spacing w:before="39" w:line="292" w:lineRule="auto"/>
        <w:ind w:left="149" w:right="227" w:firstLine="360"/>
        <w:rPr>
          <w:rFonts w:hAnsi="宋体"/>
          <w:sz w:val="24"/>
        </w:rPr>
      </w:pPr>
      <w:r>
        <w:rPr>
          <w:rFonts w:hAnsi="宋体"/>
          <w:sz w:val="24"/>
        </w:rPr>
        <w:t>（2）中标候选人在投标文件中承诺的项目经理和项目总工姓名、个人业绩、相关证书名称和编号；</w:t>
      </w:r>
    </w:p>
    <w:p>
      <w:pPr>
        <w:pStyle w:val="3"/>
        <w:spacing w:before="35"/>
        <w:ind w:left="509"/>
        <w:rPr>
          <w:rFonts w:hAnsi="宋体"/>
          <w:sz w:val="24"/>
        </w:rPr>
      </w:pPr>
      <w:r>
        <w:rPr>
          <w:rFonts w:hAnsi="宋体"/>
          <w:sz w:val="24"/>
        </w:rPr>
        <w:t>（3）中标候选人在投标文件中填报的项目业绩；</w:t>
      </w:r>
    </w:p>
    <w:p>
      <w:pPr>
        <w:pStyle w:val="3"/>
        <w:spacing w:before="72"/>
        <w:ind w:left="509"/>
        <w:rPr>
          <w:rFonts w:hAnsi="宋体"/>
          <w:sz w:val="24"/>
        </w:rPr>
      </w:pPr>
      <w:r>
        <w:rPr>
          <w:rFonts w:hAnsi="宋体"/>
          <w:sz w:val="24"/>
        </w:rPr>
        <w:t>（4）被否决投标的投标人名称、否决依据和原因；</w:t>
      </w:r>
    </w:p>
    <w:p>
      <w:pPr>
        <w:pStyle w:val="3"/>
        <w:spacing w:before="73"/>
        <w:ind w:left="509"/>
        <w:rPr>
          <w:rFonts w:hAnsi="宋体"/>
          <w:sz w:val="24"/>
        </w:rPr>
      </w:pPr>
      <w:r>
        <w:rPr>
          <w:rFonts w:hAnsi="宋体"/>
          <w:sz w:val="24"/>
        </w:rPr>
        <w:t>（5）提出异议的渠道和方式；</w:t>
      </w:r>
    </w:p>
    <w:p>
      <w:pPr>
        <w:pStyle w:val="3"/>
        <w:spacing w:before="70"/>
        <w:ind w:left="509"/>
        <w:rPr>
          <w:rFonts w:hAnsi="宋体"/>
          <w:sz w:val="24"/>
        </w:rPr>
      </w:pPr>
      <w:r>
        <w:rPr>
          <w:rFonts w:hAnsi="宋体"/>
          <w:sz w:val="24"/>
        </w:rPr>
        <w:t>（6）投标人须知前附表规定公示的其他内容。</w:t>
      </w:r>
    </w:p>
    <w:p>
      <w:pPr>
        <w:pStyle w:val="3"/>
        <w:ind w:left="149"/>
        <w:rPr>
          <w:rFonts w:hAnsi="宋体"/>
          <w:sz w:val="24"/>
        </w:rPr>
      </w:pPr>
      <w:bookmarkStart w:id="26" w:name="_bookmark72"/>
      <w:bookmarkEnd w:id="26"/>
      <w:r>
        <w:rPr>
          <w:rFonts w:hAnsi="宋体"/>
          <w:sz w:val="24"/>
        </w:rPr>
        <w:t>7.2 评标结果异议</w:t>
      </w:r>
    </w:p>
    <w:p>
      <w:pPr>
        <w:pStyle w:val="3"/>
        <w:spacing w:line="300" w:lineRule="auto"/>
        <w:ind w:left="149" w:firstLine="479"/>
        <w:rPr>
          <w:rFonts w:hAnsi="宋体"/>
          <w:sz w:val="24"/>
        </w:rPr>
      </w:pPr>
      <w:r>
        <w:rPr>
          <w:rFonts w:hAnsi="宋体"/>
          <w:sz w:val="24"/>
        </w:rPr>
        <w:t>投标人或其他利害关系人对依法必须进行招标的项目的评标结果有异议的，应在 中标候选人公示期间提出。招标人将在收到异议之日起 3 日内作出答复；作出答复前， 将暂停招标投标活动。</w:t>
      </w:r>
    </w:p>
    <w:p>
      <w:pPr>
        <w:pStyle w:val="3"/>
        <w:spacing w:before="181"/>
        <w:ind w:left="149"/>
        <w:rPr>
          <w:rFonts w:hAnsi="宋体"/>
          <w:sz w:val="24"/>
        </w:rPr>
      </w:pPr>
      <w:bookmarkStart w:id="27" w:name="_bookmark73"/>
      <w:bookmarkEnd w:id="27"/>
      <w:r>
        <w:rPr>
          <w:rFonts w:hAnsi="宋体"/>
          <w:sz w:val="24"/>
        </w:rPr>
        <w:t>7.3 中标候选人履约能力审查</w:t>
      </w:r>
    </w:p>
    <w:p>
      <w:pPr>
        <w:pStyle w:val="3"/>
        <w:spacing w:line="300" w:lineRule="auto"/>
        <w:ind w:left="149" w:firstLine="479"/>
        <w:rPr>
          <w:rFonts w:hAnsi="宋体"/>
          <w:sz w:val="24"/>
          <w:szCs w:val="22"/>
        </w:rPr>
      </w:pPr>
      <w:r>
        <w:rPr>
          <w:rFonts w:hAnsi="宋体"/>
          <w:sz w:val="24"/>
          <w:szCs w:val="22"/>
        </w:rPr>
        <w:t>中标候选人的经营、财务状况发生较大变化或存在违法行为，招标人认为可能影响其履约能力的，将在发出中标通知书前提请原评标委员会按照招标文件规定的标准 和方法进行审查确认。</w:t>
      </w:r>
    </w:p>
    <w:p>
      <w:pPr>
        <w:pStyle w:val="3"/>
        <w:spacing w:before="173"/>
        <w:ind w:left="149"/>
        <w:rPr>
          <w:rFonts w:hAnsi="宋体"/>
          <w:sz w:val="24"/>
        </w:rPr>
      </w:pPr>
      <w:bookmarkStart w:id="28" w:name="_bookmark74"/>
      <w:bookmarkEnd w:id="28"/>
      <w:r>
        <w:rPr>
          <w:rFonts w:hAnsi="宋体"/>
          <w:sz w:val="24"/>
        </w:rPr>
        <w:t>7.4 定标</w:t>
      </w:r>
    </w:p>
    <w:p>
      <w:pPr>
        <w:pStyle w:val="3"/>
        <w:spacing w:line="308" w:lineRule="auto"/>
        <w:ind w:left="149" w:right="228" w:firstLine="479"/>
        <w:jc w:val="both"/>
        <w:rPr>
          <w:rFonts w:hAnsi="宋体"/>
          <w:sz w:val="24"/>
        </w:rPr>
      </w:pPr>
      <w:r>
        <w:rPr>
          <w:rFonts w:hAnsi="宋体"/>
          <w:sz w:val="24"/>
        </w:rPr>
        <w:t>按照投标人须知前附表的规定，招标人或招标人授权的评标委员会依法确定中标 人。</w:t>
      </w:r>
    </w:p>
    <w:p>
      <w:pPr>
        <w:pStyle w:val="3"/>
        <w:spacing w:before="173"/>
        <w:ind w:left="149"/>
        <w:rPr>
          <w:rFonts w:hAnsi="宋体"/>
          <w:sz w:val="24"/>
        </w:rPr>
      </w:pPr>
      <w:bookmarkStart w:id="29" w:name="_bookmark75"/>
      <w:bookmarkEnd w:id="29"/>
      <w:r>
        <w:rPr>
          <w:rFonts w:hAnsi="宋体"/>
          <w:sz w:val="24"/>
        </w:rPr>
        <w:t>7.5 中标通知</w:t>
      </w:r>
    </w:p>
    <w:p>
      <w:pPr>
        <w:pStyle w:val="3"/>
        <w:spacing w:line="291" w:lineRule="auto"/>
        <w:ind w:left="149" w:right="226" w:firstLine="479"/>
        <w:jc w:val="both"/>
        <w:rPr>
          <w:rFonts w:hAnsi="宋体"/>
          <w:sz w:val="24"/>
        </w:rPr>
      </w:pPr>
      <w:r>
        <w:rPr>
          <w:rFonts w:hAnsi="宋体"/>
          <w:sz w:val="24"/>
        </w:rPr>
        <w:t>在本章第 3.3 款规定的投标有效期内，招标人以投标人须知前附表规定的形式向 中标人发出中标通知书，同时将中标结果通知未中标的投标人。</w:t>
      </w:r>
    </w:p>
    <w:p>
      <w:pPr>
        <w:pStyle w:val="3"/>
        <w:spacing w:before="190"/>
        <w:ind w:left="149"/>
        <w:rPr>
          <w:rFonts w:hAnsi="宋体"/>
          <w:sz w:val="24"/>
        </w:rPr>
      </w:pPr>
      <w:bookmarkStart w:id="30" w:name="_bookmark76"/>
      <w:bookmarkEnd w:id="30"/>
      <w:r>
        <w:rPr>
          <w:rFonts w:hAnsi="宋体"/>
          <w:sz w:val="24"/>
        </w:rPr>
        <w:t>7.6 中标结果公告</w:t>
      </w:r>
    </w:p>
    <w:p>
      <w:pPr>
        <w:pStyle w:val="3"/>
        <w:spacing w:line="291" w:lineRule="auto"/>
        <w:ind w:left="149" w:right="226" w:firstLine="479"/>
        <w:jc w:val="both"/>
        <w:rPr>
          <w:rFonts w:hAnsi="宋体"/>
          <w:sz w:val="24"/>
          <w:szCs w:val="22"/>
        </w:rPr>
      </w:pPr>
      <w:r>
        <w:rPr>
          <w:rFonts w:hAnsi="宋体"/>
          <w:sz w:val="24"/>
          <w:szCs w:val="22"/>
        </w:rPr>
        <w:t>招标人在确定中标人之日起 3 日内，按照投标人须知前附表规定的公告媒介和期限公告中标结果，公告期不得少于 3 日。公告内容包括中标人名称、中标价。</w:t>
      </w:r>
    </w:p>
    <w:p>
      <w:pPr>
        <w:pStyle w:val="3"/>
        <w:spacing w:line="291" w:lineRule="auto"/>
        <w:ind w:right="226" w:firstLine="120" w:firstLineChars="50"/>
        <w:jc w:val="both"/>
        <w:rPr>
          <w:rFonts w:hAnsi="宋体"/>
          <w:sz w:val="24"/>
          <w:szCs w:val="22"/>
        </w:rPr>
      </w:pPr>
      <w:r>
        <w:rPr>
          <w:rFonts w:hint="eastAsia" w:hAnsi="宋体"/>
          <w:sz w:val="24"/>
          <w:szCs w:val="22"/>
        </w:rPr>
        <w:t>7.7</w:t>
      </w:r>
      <w:r>
        <w:rPr>
          <w:rFonts w:hint="eastAsia" w:hAnsi="宋体"/>
          <w:kern w:val="44"/>
          <w:sz w:val="24"/>
          <w:szCs w:val="24"/>
        </w:rPr>
        <w:t>履约保证金</w:t>
      </w:r>
    </w:p>
    <w:p>
      <w:pPr>
        <w:shd w:val="clear" w:color="auto" w:fill="FFFFFF"/>
        <w:spacing w:line="400" w:lineRule="exact"/>
        <w:ind w:firstLine="240" w:firstLineChars="100"/>
        <w:rPr>
          <w:rFonts w:ascii="宋体" w:hAnsi="宋体"/>
          <w:sz w:val="24"/>
        </w:rPr>
      </w:pPr>
      <w:r>
        <w:rPr>
          <w:rFonts w:hint="eastAsia" w:ascii="宋体" w:hAnsi="宋体"/>
          <w:sz w:val="24"/>
        </w:rPr>
        <w:t>7.7.1履约保证金提交方式</w:t>
      </w:r>
    </w:p>
    <w:p>
      <w:pPr>
        <w:shd w:val="clear" w:color="auto" w:fill="FFFFFF"/>
        <w:spacing w:line="400" w:lineRule="exact"/>
        <w:ind w:firstLine="240" w:firstLineChars="100"/>
        <w:rPr>
          <w:rFonts w:ascii="宋体" w:hAnsi="宋体"/>
          <w:sz w:val="24"/>
        </w:rPr>
      </w:pPr>
      <w:r>
        <w:rPr>
          <w:rFonts w:hint="eastAsia" w:ascii="宋体" w:hAnsi="宋体"/>
          <w:sz w:val="24"/>
        </w:rPr>
        <w:t>7.7.1.1、以网银、银行转账支票、银行电汇方式提交。</w:t>
      </w:r>
    </w:p>
    <w:p>
      <w:pPr>
        <w:shd w:val="clear" w:color="auto" w:fill="FFFFFF"/>
        <w:spacing w:line="400" w:lineRule="exact"/>
        <w:ind w:firstLine="240" w:firstLineChars="100"/>
        <w:rPr>
          <w:rFonts w:ascii="宋体" w:hAnsi="宋体"/>
          <w:sz w:val="24"/>
        </w:rPr>
      </w:pPr>
      <w:r>
        <w:rPr>
          <w:rFonts w:hint="eastAsia" w:ascii="宋体" w:hAnsi="宋体"/>
          <w:sz w:val="24"/>
        </w:rPr>
        <w:t>7.7.1.2、现金支票和现金不得作为履约保证金提交方式。</w:t>
      </w:r>
    </w:p>
    <w:p>
      <w:pPr>
        <w:shd w:val="clear" w:color="auto" w:fill="FFFFFF"/>
        <w:spacing w:line="400" w:lineRule="exact"/>
        <w:ind w:firstLine="240" w:firstLineChars="100"/>
        <w:rPr>
          <w:rFonts w:ascii="宋体" w:hAnsi="宋体"/>
          <w:sz w:val="24"/>
        </w:rPr>
      </w:pPr>
      <w:r>
        <w:rPr>
          <w:rFonts w:hint="eastAsia" w:ascii="宋体" w:hAnsi="宋体"/>
          <w:sz w:val="24"/>
        </w:rPr>
        <w:t>7.7.1.3、中标人必须通过其公司账户按照规定的方式提交，其名称应与中标单位的名称一致。</w:t>
      </w:r>
    </w:p>
    <w:p>
      <w:pPr>
        <w:shd w:val="clear" w:color="auto" w:fill="FFFFFF"/>
        <w:spacing w:line="400" w:lineRule="exact"/>
        <w:ind w:firstLine="240" w:firstLineChars="100"/>
        <w:rPr>
          <w:rFonts w:ascii="宋体" w:hAnsi="宋体"/>
          <w:sz w:val="24"/>
        </w:rPr>
      </w:pPr>
      <w:r>
        <w:rPr>
          <w:rFonts w:hint="eastAsia" w:ascii="宋体" w:hAnsi="宋体"/>
          <w:sz w:val="24"/>
        </w:rPr>
        <w:t>7.7.1.4、中标人在缴纳履约保证金时，必须在附言、备注和用途栏注明“项目编号及标段”，否则可能造成延迟退还。</w:t>
      </w:r>
    </w:p>
    <w:p>
      <w:pPr>
        <w:shd w:val="clear" w:color="auto" w:fill="FFFFFF"/>
        <w:spacing w:line="400" w:lineRule="exact"/>
        <w:ind w:firstLine="240" w:firstLineChars="100"/>
        <w:rPr>
          <w:rFonts w:ascii="宋体" w:hAnsi="宋体"/>
          <w:sz w:val="24"/>
        </w:rPr>
      </w:pPr>
      <w:r>
        <w:rPr>
          <w:rFonts w:hint="eastAsia" w:ascii="宋体" w:hAnsi="宋体"/>
          <w:sz w:val="24"/>
        </w:rPr>
        <w:t>7.7.2履约保证金提交比例和数额</w:t>
      </w:r>
    </w:p>
    <w:p>
      <w:pPr>
        <w:shd w:val="clear" w:color="auto" w:fill="FFFFFF"/>
        <w:spacing w:line="400" w:lineRule="exact"/>
        <w:rPr>
          <w:rFonts w:ascii="宋体" w:hAnsi="宋体"/>
          <w:sz w:val="24"/>
        </w:rPr>
      </w:pPr>
      <w:r>
        <w:rPr>
          <w:rFonts w:hint="eastAsia" w:ascii="宋体" w:hAnsi="宋体"/>
          <w:sz w:val="24"/>
        </w:rPr>
        <w:t>  履约保证金数额为中标合同金额的10%。</w:t>
      </w:r>
    </w:p>
    <w:p>
      <w:pPr>
        <w:shd w:val="clear" w:color="auto" w:fill="FFFFFF"/>
        <w:spacing w:line="400" w:lineRule="exact"/>
        <w:ind w:firstLine="240" w:firstLineChars="100"/>
        <w:rPr>
          <w:rFonts w:ascii="宋体" w:hAnsi="宋体"/>
          <w:sz w:val="24"/>
        </w:rPr>
      </w:pPr>
      <w:r>
        <w:rPr>
          <w:rFonts w:hint="eastAsia" w:ascii="宋体" w:hAnsi="宋体"/>
          <w:sz w:val="24"/>
        </w:rPr>
        <w:t>7.7.3履约保证金的退还</w:t>
      </w:r>
    </w:p>
    <w:p>
      <w:pPr>
        <w:shd w:val="clear" w:color="auto" w:fill="FFFFFF"/>
        <w:spacing w:line="400" w:lineRule="exact"/>
        <w:ind w:firstLine="480" w:firstLineChars="200"/>
        <w:rPr>
          <w:rFonts w:ascii="宋体" w:hAnsi="宋体"/>
          <w:sz w:val="24"/>
        </w:rPr>
      </w:pPr>
      <w:r>
        <w:rPr>
          <w:rFonts w:hint="eastAsia" w:ascii="宋体" w:hAnsi="宋体"/>
          <w:sz w:val="24"/>
        </w:rPr>
        <w:t>7.7.3.1、项目完工后，由招标人出具《履约保证金退还通知单》，中心财务凭《履约保证金退还通知单》在五个工作日内退还履约保证金及银行同期活期存款利息至中标人账户。</w:t>
      </w:r>
    </w:p>
    <w:p>
      <w:pPr>
        <w:shd w:val="clear" w:color="auto" w:fill="FFFFFF"/>
        <w:spacing w:line="400" w:lineRule="exact"/>
        <w:ind w:firstLine="480" w:firstLineChars="200"/>
        <w:rPr>
          <w:rFonts w:hAnsi="宋体"/>
          <w:sz w:val="24"/>
          <w:szCs w:val="22"/>
        </w:rPr>
      </w:pPr>
      <w:r>
        <w:rPr>
          <w:rFonts w:hint="eastAsia" w:hAnsi="宋体"/>
          <w:sz w:val="24"/>
        </w:rPr>
        <w:t>7.7.3.2、中标人因发生质疑、投诉、举报或有关部门立案调查的，中心依据相关行政监督部门的意见暂停退还或没收其履约保证金，待行政监督部门对相关情况处置后，按照有关规定办理。</w:t>
      </w:r>
    </w:p>
    <w:p>
      <w:pPr>
        <w:pStyle w:val="3"/>
        <w:spacing w:before="181"/>
        <w:ind w:left="149"/>
        <w:rPr>
          <w:rFonts w:hAnsi="宋体"/>
          <w:sz w:val="24"/>
        </w:rPr>
      </w:pPr>
      <w:bookmarkStart w:id="31" w:name="_bookmark78"/>
      <w:bookmarkEnd w:id="31"/>
      <w:r>
        <w:rPr>
          <w:rFonts w:hAnsi="宋体"/>
          <w:sz w:val="24"/>
        </w:rPr>
        <w:t>7.</w:t>
      </w:r>
      <w:r>
        <w:rPr>
          <w:rFonts w:hint="eastAsia" w:hAnsi="宋体"/>
          <w:sz w:val="24"/>
        </w:rPr>
        <w:t>8</w:t>
      </w:r>
      <w:r>
        <w:rPr>
          <w:rFonts w:hAnsi="宋体"/>
          <w:sz w:val="24"/>
        </w:rPr>
        <w:t xml:space="preserve"> 签订合同</w:t>
      </w:r>
    </w:p>
    <w:p>
      <w:pPr>
        <w:pStyle w:val="3"/>
        <w:spacing w:line="305" w:lineRule="auto"/>
        <w:ind w:left="149" w:right="227" w:firstLine="479"/>
        <w:jc w:val="both"/>
        <w:rPr>
          <w:rFonts w:hAnsi="宋体"/>
          <w:sz w:val="24"/>
        </w:rPr>
      </w:pPr>
      <w:r>
        <w:rPr>
          <w:rFonts w:hAnsi="宋体"/>
          <w:sz w:val="24"/>
        </w:rPr>
        <w:t>7.</w:t>
      </w:r>
      <w:r>
        <w:rPr>
          <w:rFonts w:hint="eastAsia" w:hAnsi="宋体"/>
          <w:sz w:val="24"/>
        </w:rPr>
        <w:t>8</w:t>
      </w:r>
      <w:r>
        <w:rPr>
          <w:rFonts w:hAnsi="宋体"/>
          <w:sz w:val="24"/>
        </w:rPr>
        <w:t>.1 招标人和中标人应在中标通知书发出之日起 30日内，根据招标文件和中标人的投标文件订立书面合同。中标人无正当理由拒签合同，在签订合同时向招标人提出附加条件，或不按照招标文件要求提交履约保证金的，招标人取消其中标资格，其 投标保证金不予退还；给招标人造成的损失超过投标保证金数额的，中标人还应对超过部分予以赔偿。</w:t>
      </w:r>
    </w:p>
    <w:p>
      <w:pPr>
        <w:pStyle w:val="3"/>
        <w:spacing w:before="25" w:line="291" w:lineRule="auto"/>
        <w:ind w:left="149" w:right="229" w:firstLine="479"/>
        <w:jc w:val="both"/>
        <w:rPr>
          <w:rFonts w:hAnsi="宋体"/>
          <w:sz w:val="24"/>
        </w:rPr>
      </w:pPr>
      <w:r>
        <w:rPr>
          <w:rFonts w:hAnsi="宋体"/>
          <w:sz w:val="24"/>
        </w:rPr>
        <w:t>7.</w:t>
      </w:r>
      <w:r>
        <w:rPr>
          <w:rFonts w:hint="eastAsia" w:hAnsi="宋体"/>
          <w:sz w:val="24"/>
        </w:rPr>
        <w:t>8</w:t>
      </w:r>
      <w:r>
        <w:rPr>
          <w:rFonts w:hAnsi="宋体"/>
          <w:sz w:val="24"/>
        </w:rPr>
        <w:t>.2 发出中标通知书后，招标人无正当理由拒签合同，或在签订合同时向中标 人提出附加条件的，招标人向中标人退还投标保证金；给中标人造成损失的，还应赔偿损失。</w:t>
      </w:r>
    </w:p>
    <w:p>
      <w:pPr>
        <w:pStyle w:val="3"/>
        <w:spacing w:before="88"/>
        <w:ind w:left="629"/>
        <w:rPr>
          <w:rFonts w:hAnsi="宋体"/>
          <w:sz w:val="24"/>
        </w:rPr>
      </w:pPr>
      <w:r>
        <w:rPr>
          <w:rFonts w:hAnsi="宋体"/>
          <w:sz w:val="24"/>
        </w:rPr>
        <w:t>7.</w:t>
      </w:r>
      <w:r>
        <w:rPr>
          <w:rFonts w:hint="eastAsia" w:hAnsi="宋体"/>
          <w:sz w:val="24"/>
        </w:rPr>
        <w:t>8</w:t>
      </w:r>
      <w:r>
        <w:rPr>
          <w:rFonts w:hAnsi="宋体"/>
          <w:sz w:val="24"/>
        </w:rPr>
        <w:t>.3  签约合同价的确定原则如下：</w:t>
      </w:r>
    </w:p>
    <w:p>
      <w:pPr>
        <w:pStyle w:val="3"/>
        <w:spacing w:before="72" w:line="292" w:lineRule="auto"/>
        <w:ind w:left="149" w:right="108" w:firstLine="360"/>
        <w:jc w:val="both"/>
        <w:rPr>
          <w:rFonts w:hAnsi="宋体"/>
          <w:sz w:val="24"/>
        </w:rPr>
      </w:pPr>
      <w:r>
        <w:rPr>
          <w:rFonts w:hAnsi="宋体"/>
          <w:sz w:val="24"/>
        </w:rPr>
        <w:t>（1）按照评标办法规定对投标报价进行修正后，若修正后的最终投标报价小于开 标时的投标函大写金额报价，则签订合同时以修正后的最终投标报价为准；</w:t>
      </w:r>
    </w:p>
    <w:p>
      <w:pPr>
        <w:pStyle w:val="3"/>
        <w:spacing w:before="35" w:line="301" w:lineRule="auto"/>
        <w:ind w:left="149" w:right="108" w:firstLine="360"/>
        <w:jc w:val="both"/>
        <w:rPr>
          <w:rFonts w:hAnsi="宋体"/>
          <w:sz w:val="24"/>
        </w:rPr>
      </w:pPr>
      <w:r>
        <w:rPr>
          <w:rFonts w:hAnsi="宋体"/>
          <w:sz w:val="24"/>
        </w:rPr>
        <w:t>（2）按照评标办法规定对投标报价进行修正后，若修正后的最终投标报价大于开 标时的投标函大写金额报价，则签订合同时以开标时的投标函大写金额报价为准，同 时按比例修正相应子目的单价或合价。</w:t>
      </w:r>
    </w:p>
    <w:p>
      <w:pPr>
        <w:pStyle w:val="3"/>
        <w:spacing w:before="37" w:line="300" w:lineRule="auto"/>
        <w:ind w:left="149" w:right="108" w:firstLine="479"/>
        <w:jc w:val="both"/>
        <w:rPr>
          <w:rFonts w:hAnsi="宋体"/>
          <w:sz w:val="24"/>
        </w:rPr>
      </w:pPr>
      <w:r>
        <w:rPr>
          <w:rFonts w:hAnsi="宋体"/>
          <w:sz w:val="24"/>
        </w:rPr>
        <w:t>7.</w:t>
      </w:r>
      <w:r>
        <w:rPr>
          <w:rFonts w:hint="eastAsia" w:hAnsi="宋体"/>
          <w:sz w:val="24"/>
        </w:rPr>
        <w:t>8</w:t>
      </w:r>
      <w:r>
        <w:rPr>
          <w:rFonts w:hAnsi="宋体"/>
          <w:sz w:val="24"/>
        </w:rPr>
        <w:t>.</w:t>
      </w:r>
      <w:r>
        <w:rPr>
          <w:rFonts w:hint="eastAsia" w:hAnsi="宋体"/>
          <w:sz w:val="24"/>
        </w:rPr>
        <w:t>4</w:t>
      </w:r>
      <w:r>
        <w:rPr>
          <w:rFonts w:hAnsi="宋体"/>
          <w:sz w:val="24"/>
        </w:rPr>
        <w:t xml:space="preserve"> 招标人和中标人在签订合同协议书的同时，须按照本招标文件规定的格式 和要求签订廉政合同及安全生产合同，明确双方在廉政建设和安全生产方面的权利和 义务以及应承担的违约责任。</w:t>
      </w:r>
    </w:p>
    <w:p>
      <w:pPr>
        <w:pStyle w:val="4"/>
        <w:spacing w:beforeLines="50" w:after="0" w:line="400" w:lineRule="exact"/>
        <w:rPr>
          <w:rFonts w:ascii="宋体" w:hAnsi="宋体"/>
          <w:sz w:val="24"/>
          <w:szCs w:val="24"/>
        </w:rPr>
      </w:pPr>
      <w:r>
        <w:rPr>
          <w:rFonts w:hint="eastAsia" w:ascii="宋体" w:hAnsi="宋体"/>
          <w:sz w:val="24"/>
          <w:szCs w:val="24"/>
        </w:rPr>
        <w:t>8. 重新招标和不再招标</w:t>
      </w:r>
    </w:p>
    <w:p>
      <w:pPr>
        <w:pStyle w:val="4"/>
        <w:spacing w:beforeLines="50" w:after="0" w:line="400" w:lineRule="exact"/>
        <w:rPr>
          <w:rFonts w:ascii="宋体" w:hAnsi="宋体"/>
          <w:sz w:val="24"/>
          <w:szCs w:val="24"/>
        </w:rPr>
      </w:pPr>
      <w:r>
        <w:rPr>
          <w:rFonts w:hint="eastAsia" w:ascii="宋体" w:hAnsi="宋体"/>
          <w:sz w:val="24"/>
          <w:szCs w:val="24"/>
        </w:rPr>
        <w:t>8.1 重新招标</w:t>
      </w:r>
    </w:p>
    <w:p>
      <w:pPr>
        <w:spacing w:line="400" w:lineRule="exact"/>
        <w:ind w:firstLine="480" w:firstLineChars="200"/>
        <w:rPr>
          <w:rFonts w:ascii="宋体" w:hAnsi="宋体"/>
          <w:sz w:val="24"/>
          <w:szCs w:val="24"/>
        </w:rPr>
      </w:pPr>
      <w:r>
        <w:rPr>
          <w:rFonts w:hint="eastAsia" w:ascii="宋体" w:hAnsi="宋体"/>
          <w:sz w:val="24"/>
          <w:szCs w:val="24"/>
        </w:rPr>
        <w:t>有下列情形之一的，招标人将重新招标：</w:t>
      </w:r>
    </w:p>
    <w:p>
      <w:pPr>
        <w:spacing w:line="400" w:lineRule="exact"/>
        <w:ind w:firstLine="480" w:firstLineChars="200"/>
        <w:rPr>
          <w:rFonts w:ascii="宋体" w:hAnsi="宋体"/>
          <w:sz w:val="24"/>
          <w:szCs w:val="24"/>
        </w:rPr>
      </w:pPr>
      <w:r>
        <w:rPr>
          <w:rFonts w:hint="eastAsia" w:ascii="宋体" w:hAnsi="宋体"/>
          <w:sz w:val="24"/>
          <w:szCs w:val="24"/>
        </w:rPr>
        <w:t>（1）投标截止时间止，投标人少于3个的；</w:t>
      </w:r>
    </w:p>
    <w:p>
      <w:pPr>
        <w:spacing w:line="400" w:lineRule="exact"/>
        <w:ind w:firstLine="480" w:firstLineChars="200"/>
        <w:rPr>
          <w:rFonts w:ascii="宋体" w:hAnsi="宋体"/>
          <w:sz w:val="24"/>
          <w:szCs w:val="24"/>
        </w:rPr>
      </w:pPr>
      <w:r>
        <w:rPr>
          <w:rFonts w:hint="eastAsia" w:ascii="宋体" w:hAnsi="宋体"/>
          <w:sz w:val="24"/>
          <w:szCs w:val="24"/>
        </w:rPr>
        <w:t>（2）经评标委员会评审后否决所有投标的；</w:t>
      </w:r>
    </w:p>
    <w:p>
      <w:pPr>
        <w:spacing w:line="400" w:lineRule="exact"/>
        <w:ind w:firstLine="480" w:firstLineChars="200"/>
        <w:rPr>
          <w:rFonts w:ascii="宋体" w:hAnsi="宋体"/>
          <w:sz w:val="24"/>
          <w:szCs w:val="24"/>
        </w:rPr>
      </w:pPr>
      <w:r>
        <w:rPr>
          <w:rFonts w:hint="eastAsia" w:ascii="宋体" w:hAnsi="宋体"/>
          <w:sz w:val="24"/>
          <w:szCs w:val="24"/>
        </w:rPr>
        <w:t>（3）中标候选人均未与招标人签订合同的；</w:t>
      </w:r>
    </w:p>
    <w:p>
      <w:pPr>
        <w:spacing w:line="400" w:lineRule="exact"/>
        <w:ind w:firstLine="480" w:firstLineChars="200"/>
        <w:rPr>
          <w:rFonts w:ascii="宋体" w:hAnsi="宋体"/>
          <w:sz w:val="24"/>
          <w:szCs w:val="24"/>
        </w:rPr>
      </w:pPr>
      <w:r>
        <w:rPr>
          <w:rFonts w:hint="eastAsia" w:ascii="宋体" w:hAnsi="宋体"/>
          <w:sz w:val="24"/>
          <w:szCs w:val="24"/>
        </w:rPr>
        <w:t>（4）法律规定的其他情形。</w:t>
      </w:r>
    </w:p>
    <w:p>
      <w:pPr>
        <w:pStyle w:val="4"/>
        <w:spacing w:beforeLines="50" w:after="0" w:line="400" w:lineRule="exact"/>
        <w:rPr>
          <w:rFonts w:ascii="宋体" w:hAnsi="宋体"/>
          <w:sz w:val="24"/>
          <w:szCs w:val="24"/>
        </w:rPr>
      </w:pPr>
      <w:r>
        <w:rPr>
          <w:rFonts w:hint="eastAsia" w:ascii="宋体" w:hAnsi="宋体"/>
          <w:sz w:val="24"/>
          <w:szCs w:val="24"/>
        </w:rPr>
        <w:t>8.2 不再招标</w:t>
      </w:r>
    </w:p>
    <w:p>
      <w:pPr>
        <w:spacing w:line="400" w:lineRule="exact"/>
        <w:ind w:firstLine="480" w:firstLineChars="200"/>
        <w:rPr>
          <w:rFonts w:ascii="宋体" w:hAnsi="宋体"/>
          <w:sz w:val="24"/>
          <w:szCs w:val="24"/>
        </w:rPr>
      </w:pPr>
      <w:r>
        <w:rPr>
          <w:rFonts w:hint="eastAsia" w:ascii="宋体" w:hAnsi="宋体"/>
          <w:sz w:val="24"/>
          <w:szCs w:val="24"/>
        </w:rPr>
        <w:t>重新招标后投标人仍少于3 个或者所有投标被否决的，属于必须审批或核准的工程建设项目，经原审批或核准部门批准后不再进行招标。</w:t>
      </w:r>
    </w:p>
    <w:p>
      <w:pPr>
        <w:pStyle w:val="4"/>
        <w:spacing w:beforeLines="50" w:after="0" w:line="400" w:lineRule="exact"/>
        <w:rPr>
          <w:rFonts w:ascii="宋体" w:hAnsi="宋体"/>
          <w:sz w:val="24"/>
          <w:szCs w:val="24"/>
        </w:rPr>
      </w:pPr>
      <w:r>
        <w:rPr>
          <w:rFonts w:hint="eastAsia" w:ascii="宋体" w:hAnsi="宋体"/>
          <w:sz w:val="24"/>
          <w:szCs w:val="24"/>
        </w:rPr>
        <w:t>9. 纪律和监督</w:t>
      </w:r>
    </w:p>
    <w:p>
      <w:pPr>
        <w:pStyle w:val="4"/>
        <w:spacing w:beforeLines="50" w:after="0" w:line="400" w:lineRule="exact"/>
        <w:rPr>
          <w:rFonts w:ascii="宋体" w:hAnsi="宋体"/>
          <w:sz w:val="24"/>
          <w:szCs w:val="24"/>
        </w:rPr>
      </w:pPr>
      <w:r>
        <w:rPr>
          <w:rFonts w:hint="eastAsia" w:ascii="宋体" w:hAnsi="宋体"/>
          <w:sz w:val="24"/>
          <w:szCs w:val="24"/>
        </w:rPr>
        <w:t>9.1 对招标人的纪律要求</w:t>
      </w:r>
    </w:p>
    <w:p>
      <w:pPr>
        <w:spacing w:line="400" w:lineRule="exact"/>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sz w:val="24"/>
          <w:szCs w:val="24"/>
        </w:rPr>
      </w:pPr>
      <w:r>
        <w:rPr>
          <w:rFonts w:hint="eastAsia" w:ascii="宋体" w:hAnsi="宋体"/>
          <w:sz w:val="24"/>
          <w:szCs w:val="24"/>
        </w:rPr>
        <w:t>9.2 对投标人的纪律要求</w:t>
      </w:r>
    </w:p>
    <w:p>
      <w:pPr>
        <w:spacing w:line="400" w:lineRule="exact"/>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sz w:val="24"/>
          <w:szCs w:val="24"/>
        </w:rPr>
      </w:pPr>
      <w:r>
        <w:rPr>
          <w:rFonts w:hint="eastAsia" w:ascii="宋体" w:hAnsi="宋体"/>
          <w:sz w:val="24"/>
          <w:szCs w:val="24"/>
        </w:rPr>
        <w:t>9.3 对评标委员会成员的纪律要求</w:t>
      </w:r>
    </w:p>
    <w:p>
      <w:pPr>
        <w:spacing w:line="400" w:lineRule="exact"/>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sz w:val="24"/>
          <w:szCs w:val="24"/>
        </w:rPr>
      </w:pPr>
      <w:r>
        <w:rPr>
          <w:rFonts w:hint="eastAsia" w:ascii="宋体" w:hAnsi="宋体"/>
          <w:sz w:val="24"/>
          <w:szCs w:val="24"/>
        </w:rPr>
        <w:t>9.4 对与评标活动有关的工作人员的纪律要求</w:t>
      </w:r>
    </w:p>
    <w:p>
      <w:pPr>
        <w:spacing w:line="400" w:lineRule="exact"/>
        <w:ind w:firstLine="480" w:firstLineChars="200"/>
        <w:rPr>
          <w:rFonts w:ascii="宋体" w:hAnsi="宋体"/>
          <w:sz w:val="24"/>
          <w:szCs w:val="24"/>
        </w:rPr>
      </w:pPr>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sz w:val="24"/>
          <w:szCs w:val="24"/>
        </w:rPr>
      </w:pPr>
      <w:r>
        <w:rPr>
          <w:rFonts w:hint="eastAsia" w:ascii="宋体" w:hAnsi="宋体"/>
          <w:sz w:val="24"/>
          <w:szCs w:val="24"/>
        </w:rPr>
        <w:t>9.5 投诉</w:t>
      </w:r>
    </w:p>
    <w:p>
      <w:pPr>
        <w:spacing w:line="400" w:lineRule="exact"/>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pPr>
        <w:pStyle w:val="4"/>
        <w:spacing w:beforeLines="50" w:after="0" w:line="400" w:lineRule="exact"/>
        <w:rPr>
          <w:rFonts w:ascii="宋体" w:hAnsi="宋体"/>
          <w:sz w:val="24"/>
          <w:szCs w:val="24"/>
        </w:rPr>
      </w:pPr>
      <w:bookmarkStart w:id="32" w:name="_Toc528314438"/>
      <w:r>
        <w:rPr>
          <w:rFonts w:hint="eastAsia" w:ascii="宋体" w:hAnsi="宋体"/>
          <w:sz w:val="24"/>
          <w:szCs w:val="24"/>
        </w:rPr>
        <w:t>10.需要补充的其他内容</w:t>
      </w:r>
    </w:p>
    <w:p>
      <w:pPr>
        <w:spacing w:line="400" w:lineRule="exact"/>
        <w:ind w:firstLine="480" w:firstLineChars="200"/>
        <w:rPr>
          <w:rFonts w:ascii="宋体" w:hAnsi="宋体"/>
          <w:sz w:val="24"/>
          <w:szCs w:val="24"/>
        </w:rPr>
      </w:pPr>
      <w:r>
        <w:rPr>
          <w:rFonts w:hint="eastAsia" w:ascii="宋体" w:hAnsi="宋体"/>
          <w:sz w:val="24"/>
          <w:szCs w:val="24"/>
        </w:rPr>
        <w:t>需要补充的其他内容：见投标人须知前附表。</w:t>
      </w:r>
    </w:p>
    <w:bookmarkEnd w:id="32"/>
    <w:p>
      <w:pPr>
        <w:spacing w:line="480" w:lineRule="exact"/>
        <w:rPr>
          <w:rFonts w:ascii="方正小标宋简体" w:hAnsi="黑体"/>
          <w:b/>
          <w:bCs/>
          <w:sz w:val="32"/>
          <w:szCs w:val="32"/>
        </w:rPr>
      </w:pPr>
    </w:p>
    <w:p>
      <w:pPr>
        <w:spacing w:line="480" w:lineRule="exact"/>
        <w:rPr>
          <w:rFonts w:ascii="黑体" w:hAnsi="宋体" w:eastAsia="黑体"/>
          <w:b/>
          <w:sz w:val="28"/>
        </w:rPr>
      </w:pPr>
      <w:r>
        <w:rPr>
          <w:rFonts w:hint="eastAsia" w:ascii="黑体" w:hAnsi="宋体" w:eastAsia="黑体"/>
          <w:b/>
          <w:sz w:val="28"/>
        </w:rPr>
        <w:br w:type="page"/>
      </w:r>
    </w:p>
    <w:p>
      <w:pPr>
        <w:spacing w:line="480" w:lineRule="exact"/>
        <w:rPr>
          <w:rFonts w:ascii="华文中宋" w:hAnsi="华文中宋" w:eastAsia="华文中宋"/>
          <w:b/>
          <w:bCs/>
          <w:sz w:val="36"/>
          <w:szCs w:val="32"/>
        </w:rPr>
      </w:pPr>
      <w:r>
        <w:rPr>
          <w:rFonts w:hint="eastAsia" w:ascii="黑体" w:hAnsi="宋体" w:eastAsia="黑体"/>
          <w:b/>
          <w:sz w:val="28"/>
        </w:rPr>
        <w:t>附件一：投标保证金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10"/>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项目编号</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建安建工公字〔2019〕</w:t>
            </w:r>
            <w:r>
              <w:rPr>
                <w:rFonts w:hint="eastAsia" w:ascii="仿宋" w:hAnsi="仿宋" w:eastAsia="仿宋" w:cs="仿宋"/>
                <w:sz w:val="24"/>
                <w:szCs w:val="22"/>
                <w:lang w:val="en-US" w:eastAsia="zh-CN"/>
              </w:rPr>
              <w:t>91</w:t>
            </w:r>
            <w:r>
              <w:rPr>
                <w:rFonts w:hint="eastAsia" w:ascii="仿宋" w:hAnsi="仿宋" w:eastAsia="仿宋" w:cs="仿宋"/>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项目名称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许昌市建安区2019年创建‘四好农村路’</w:t>
            </w:r>
          </w:p>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（苏桥镇、张潘镇、灵井镇、小召乡、艾庄乡）建设项目</w:t>
            </w:r>
          </w:p>
          <w:p>
            <w:pPr>
              <w:adjustRightInd w:val="0"/>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标段名称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jc w:val="center"/>
        </w:trPr>
        <w:tc>
          <w:tcPr>
            <w:tcW w:w="1590" w:type="dxa"/>
            <w:vMerge w:val="restar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投标保证金</w:t>
            </w:r>
          </w:p>
          <w:p>
            <w:pPr>
              <w:spacing w:line="500" w:lineRule="exact"/>
              <w:jc w:val="center"/>
              <w:rPr>
                <w:rFonts w:ascii="仿宋" w:hAnsi="仿宋" w:eastAsia="仿宋" w:cs="仿宋"/>
                <w:sz w:val="24"/>
              </w:rPr>
            </w:pPr>
            <w:r>
              <w:rPr>
                <w:rFonts w:hint="eastAsia" w:ascii="仿宋" w:hAnsi="仿宋" w:eastAsia="仿宋" w:cs="仿宋"/>
                <w:sz w:val="24"/>
              </w:rPr>
              <w:t>交纳信息</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r>
              <w:rPr>
                <w:rFonts w:hint="eastAsia" w:ascii="仿宋" w:hAnsi="仿宋" w:eastAsia="仿宋" w:cs="仿宋"/>
                <w:sz w:val="24"/>
                <w:szCs w:val="22"/>
              </w:rPr>
              <w:t>金额：人民币</w:t>
            </w:r>
            <w:r>
              <w:rPr>
                <w:rFonts w:hint="eastAsia" w:ascii="仿宋" w:hAnsi="仿宋" w:eastAsia="仿宋" w:cs="仿宋"/>
                <w:sz w:val="24"/>
                <w:szCs w:val="22"/>
                <w:lang w:val="en-US" w:eastAsia="zh-CN"/>
              </w:rPr>
              <w:t>捌</w:t>
            </w:r>
            <w:r>
              <w:rPr>
                <w:rFonts w:hint="eastAsia" w:ascii="仿宋" w:hAnsi="仿宋" w:eastAsia="仿宋" w:cs="仿宋"/>
                <w:sz w:val="24"/>
                <w:szCs w:val="22"/>
              </w:rPr>
              <w:t>拾万元整（</w:t>
            </w:r>
            <w:r>
              <w:rPr>
                <w:rFonts w:hint="eastAsia" w:ascii="仿宋" w:hAnsi="仿宋" w:eastAsia="仿宋" w:cs="仿宋"/>
                <w:sz w:val="24"/>
                <w:szCs w:val="22"/>
                <w:lang w:val="en-US" w:eastAsia="zh-CN"/>
              </w:rPr>
              <w:t>8</w:t>
            </w:r>
            <w:r>
              <w:rPr>
                <w:rFonts w:hint="eastAsia" w:ascii="仿宋" w:hAnsi="仿宋" w:eastAsia="仿宋" w:cs="仿宋"/>
                <w:sz w:val="24"/>
                <w:szCs w:val="22"/>
              </w:rPr>
              <w:t>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80" w:lineRule="exact"/>
              <w:rPr>
                <w:rFonts w:ascii="仿宋" w:hAnsi="仿宋" w:eastAsia="仿宋" w:cs="仿宋"/>
                <w:sz w:val="24"/>
              </w:rPr>
            </w:pPr>
            <w:r>
              <w:rPr>
                <w:rFonts w:hint="eastAsia" w:ascii="仿宋" w:hAnsi="仿宋" w:eastAsia="仿宋" w:cs="仿宋"/>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 w:hAnsi="仿宋" w:eastAsia="仿宋" w:cs="仿宋"/>
                <w:sz w:val="24"/>
              </w:rPr>
            </w:pPr>
            <w:r>
              <w:rPr>
                <w:rFonts w:hint="eastAsia" w:ascii="仿宋" w:hAnsi="仿宋" w:eastAsia="仿宋" w:cs="仿宋"/>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2、投标保证金缴纳方式：</w:t>
            </w:r>
          </w:p>
          <w:p>
            <w:pPr>
              <w:spacing w:line="360" w:lineRule="exact"/>
              <w:ind w:firstLine="480" w:firstLineChars="200"/>
              <w:rPr>
                <w:rFonts w:ascii="仿宋" w:hAnsi="仿宋" w:eastAsia="仿宋" w:cs="仿宋"/>
                <w:sz w:val="24"/>
              </w:rPr>
            </w:pPr>
            <w:r>
              <w:rPr>
                <w:rFonts w:hint="eastAsia" w:ascii="仿宋" w:hAnsi="仿宋" w:eastAsia="仿宋" w:cs="仿宋"/>
                <w:sz w:val="24"/>
              </w:rPr>
              <w:t>2.1投标人网上报名后，登录</w:t>
            </w:r>
            <w:r>
              <w:fldChar w:fldCharType="begin"/>
            </w:r>
            <w:r>
              <w:instrText xml:space="preserve"> HYPERLINK "http://221.14.6.70:8088/ggzy" </w:instrText>
            </w:r>
            <w:r>
              <w:fldChar w:fldCharType="separate"/>
            </w:r>
            <w:r>
              <w:rPr>
                <w:rStyle w:val="14"/>
                <w:rFonts w:hint="eastAsia" w:ascii="仿宋" w:hAnsi="仿宋" w:eastAsia="仿宋" w:cs="仿宋"/>
                <w:color w:val="auto"/>
                <w:sz w:val="24"/>
              </w:rPr>
              <w:t>http://221.14.6.70:8088/ggzy</w:t>
            </w:r>
            <w:r>
              <w:rPr>
                <w:rStyle w:val="14"/>
                <w:rFonts w:hint="eastAsia" w:ascii="仿宋" w:hAnsi="仿宋" w:eastAsia="仿宋" w:cs="仿宋"/>
                <w:color w:val="auto"/>
                <w:sz w:val="24"/>
              </w:rPr>
              <w:fldChar w:fldCharType="end"/>
            </w:r>
            <w:r>
              <w:rPr>
                <w:rFonts w:hint="eastAsia" w:ascii="仿宋" w:hAnsi="仿宋" w:eastAsia="仿宋" w:cs="仿宋"/>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2.2成功缴纳后重新登录前述系统，依次点击“会员向导”→“参与投标”→“保证金绑定”→“绑定”进行投标保证金绑定。</w:t>
            </w:r>
          </w:p>
          <w:p>
            <w:pPr>
              <w:spacing w:line="360" w:lineRule="exact"/>
              <w:ind w:firstLine="480" w:firstLineChars="200"/>
              <w:rPr>
                <w:rFonts w:ascii="仿宋" w:hAnsi="仿宋" w:eastAsia="仿宋" w:cs="仿宋"/>
                <w:sz w:val="24"/>
              </w:rPr>
            </w:pPr>
            <w:r>
              <w:rPr>
                <w:rFonts w:hint="eastAsia" w:ascii="仿宋" w:hAnsi="仿宋" w:eastAsia="仿宋" w:cs="仿宋"/>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 w:hAnsi="仿宋" w:eastAsia="仿宋" w:cs="仿宋"/>
                <w:sz w:val="24"/>
              </w:rPr>
            </w:pPr>
            <w:r>
              <w:rPr>
                <w:rFonts w:hint="eastAsia" w:ascii="仿宋" w:hAnsi="仿宋" w:eastAsia="仿宋" w:cs="仿宋"/>
                <w:sz w:val="24"/>
              </w:rPr>
              <w:t>2.4 每个投标人每个项目每个标段只有唯一缴纳账号，切勿重复缴纳或错误缴纳。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3、未按上述规定操作引起的无效投标，由投标人自行负责。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4、汇款凭证无须备注项目编号和项目名称。</w:t>
            </w:r>
          </w:p>
          <w:p>
            <w:pPr>
              <w:spacing w:line="360" w:lineRule="exact"/>
              <w:ind w:firstLine="480" w:firstLineChars="200"/>
              <w:rPr>
                <w:rFonts w:ascii="仿宋" w:hAnsi="仿宋" w:eastAsia="仿宋" w:cs="仿宋"/>
                <w:sz w:val="24"/>
              </w:rPr>
            </w:pPr>
            <w:r>
              <w:rPr>
                <w:rFonts w:hint="eastAsia" w:ascii="仿宋" w:hAnsi="仿宋" w:eastAsia="仿宋" w:cs="仿宋"/>
                <w:sz w:val="24"/>
              </w:rPr>
              <w:t>5、出现以下情形造成的投标保证金无效，由投标人自行负责。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(1)投标保证金未从投标人的基本账户转出；</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(2)投标保证金未按照招标文件划分的标段依次转账。</w:t>
            </w:r>
          </w:p>
          <w:p>
            <w:pPr>
              <w:spacing w:line="360" w:lineRule="exact"/>
              <w:ind w:firstLine="480" w:firstLineChars="200"/>
              <w:rPr>
                <w:rFonts w:ascii="仿宋" w:hAnsi="仿宋" w:eastAsia="仿宋" w:cs="仿宋"/>
                <w:sz w:val="24"/>
              </w:rPr>
            </w:pPr>
            <w:r>
              <w:rPr>
                <w:rFonts w:hint="eastAsia" w:ascii="仿宋" w:hAnsi="仿宋" w:eastAsia="仿宋" w:cs="仿宋"/>
                <w:sz w:val="24"/>
              </w:rPr>
              <w:t>6、《保证金缴纳绑定操作指南》获取方法：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登录</w:t>
            </w:r>
            <w:r>
              <w:rPr>
                <w:rFonts w:hint="eastAsia" w:ascii="仿宋" w:hAnsi="仿宋" w:eastAsia="仿宋" w:cs="仿宋"/>
                <w:bCs/>
                <w:sz w:val="24"/>
              </w:rPr>
              <w:t>全国公共资源交易平台（河南省▪许昌市）</w:t>
            </w:r>
            <w:r>
              <w:rPr>
                <w:rFonts w:hint="eastAsia" w:ascii="仿宋" w:hAnsi="仿宋" w:eastAsia="仿宋" w:cs="仿宋"/>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注意事项</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1、因投标人的原因无法及时退还投标（竞买）保证金、滞留三年以上的，投标（竞买）保证金上缴财政。</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4、特殊情况处理</w:t>
            </w:r>
          </w:p>
          <w:p>
            <w:pPr>
              <w:adjustRightInd w:val="0"/>
              <w:spacing w:line="360" w:lineRule="exact"/>
              <w:ind w:firstLine="470" w:firstLineChars="196"/>
              <w:rPr>
                <w:rFonts w:ascii="仿宋" w:hAnsi="仿宋" w:eastAsia="仿宋" w:cs="仿宋"/>
                <w:sz w:val="24"/>
              </w:rPr>
            </w:pPr>
            <w:r>
              <w:rPr>
                <w:rFonts w:hint="eastAsia" w:ascii="仿宋" w:hAnsi="仿宋" w:eastAsia="仿宋" w:cs="仿宋"/>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hAnsi="宋体"/>
          <w:sz w:val="36"/>
          <w:szCs w:val="36"/>
        </w:rPr>
      </w:pPr>
      <w:r>
        <w:rPr>
          <w:rFonts w:hint="eastAsia" w:hAnsi="宋体"/>
          <w:sz w:val="36"/>
          <w:szCs w:val="36"/>
        </w:rPr>
        <w:br w:type="page"/>
      </w:r>
    </w:p>
    <w:p>
      <w:pPr>
        <w:pStyle w:val="2"/>
        <w:ind w:firstLine="340"/>
      </w:pPr>
    </w:p>
    <w:p>
      <w:pPr>
        <w:jc w:val="center"/>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p>
    <w:tbl>
      <w:tblPr>
        <w:tblStyle w:val="10"/>
        <w:tblW w:w="982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宋体" w:eastAsia="仿宋_GB2312" w:cs="宋体"/>
                <w:bCs/>
                <w:sz w:val="24"/>
              </w:rPr>
            </w:pPr>
            <w:r>
              <w:rPr>
                <w:rFonts w:hint="eastAsia" w:ascii="仿宋_GB2312" w:hAnsi="宋体" w:eastAsia="仿宋_GB2312"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Cs/>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7"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r>
              <w:rPr>
                <w:rFonts w:hint="eastAsia" w:ascii="仿宋_GB2312" w:hAnsi="宋体" w:eastAsia="仿宋_GB2312" w:cs="宋体"/>
                <w:bCs/>
                <w:sz w:val="24"/>
              </w:rPr>
              <w:t>年   月   日</w:t>
            </w: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07" w:lineRule="exact"/>
        <w:ind w:left="100"/>
        <w:rPr>
          <w:rFonts w:ascii="宋体" w:hAnsi="宋体"/>
          <w:sz w:val="24"/>
        </w:rPr>
      </w:pPr>
    </w:p>
    <w:p>
      <w:pPr>
        <w:ind w:firstLine="2880" w:firstLineChars="800"/>
        <w:rPr>
          <w:rFonts w:hAnsi="宋体"/>
          <w:sz w:val="36"/>
          <w:szCs w:val="36"/>
        </w:rPr>
      </w:pPr>
      <w:bookmarkStart w:id="33" w:name="page72"/>
      <w:bookmarkEnd w:id="33"/>
      <w:r>
        <w:rPr>
          <w:rFonts w:hint="eastAsia" w:hAnsi="宋体"/>
          <w:sz w:val="36"/>
          <w:szCs w:val="36"/>
        </w:rPr>
        <w:t>履约保证金退还通知单</w:t>
      </w:r>
    </w:p>
    <w:tbl>
      <w:tblPr>
        <w:tblStyle w:val="10"/>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sz w:val="24"/>
              </w:rPr>
            </w:pPr>
            <w:r>
              <w:rPr>
                <w:rFonts w:hint="eastAsia" w:hAnsi="宋体"/>
                <w:sz w:val="24"/>
              </w:rPr>
              <w:t>项目编号</w:t>
            </w:r>
          </w:p>
        </w:tc>
        <w:tc>
          <w:tcPr>
            <w:tcW w:w="4140" w:type="dxa"/>
            <w:gridSpan w:val="2"/>
            <w:noWrap/>
            <w:vAlign w:val="center"/>
          </w:tcPr>
          <w:p>
            <w:pPr>
              <w:spacing w:line="360" w:lineRule="exact"/>
              <w:jc w:val="center"/>
              <w:rPr>
                <w:rFonts w:hAnsi="宋体"/>
                <w:sz w:val="24"/>
              </w:rPr>
            </w:pPr>
          </w:p>
        </w:tc>
        <w:tc>
          <w:tcPr>
            <w:tcW w:w="1440" w:type="dxa"/>
            <w:gridSpan w:val="2"/>
            <w:noWrap/>
            <w:vAlign w:val="center"/>
          </w:tcPr>
          <w:p>
            <w:pPr>
              <w:spacing w:line="360" w:lineRule="exact"/>
              <w:jc w:val="center"/>
              <w:rPr>
                <w:rFonts w:hAnsi="宋体"/>
                <w:sz w:val="24"/>
              </w:rPr>
            </w:pPr>
            <w:r>
              <w:rPr>
                <w:rFonts w:hint="eastAsia" w:hAnsi="宋体"/>
                <w:sz w:val="24"/>
              </w:rPr>
              <w:t>是否完工</w:t>
            </w:r>
          </w:p>
        </w:tc>
        <w:tc>
          <w:tcPr>
            <w:tcW w:w="2162" w:type="dxa"/>
            <w:noWrap/>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sz w:val="24"/>
              </w:rPr>
            </w:pPr>
            <w:r>
              <w:rPr>
                <w:rFonts w:hint="eastAsia" w:hAnsi="宋体"/>
                <w:sz w:val="24"/>
              </w:rPr>
              <w:t>中标企业名称</w:t>
            </w:r>
          </w:p>
        </w:tc>
        <w:tc>
          <w:tcPr>
            <w:tcW w:w="7742" w:type="dxa"/>
            <w:gridSpan w:val="5"/>
            <w:noWrap/>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sz w:val="24"/>
              </w:rPr>
            </w:pPr>
            <w:r>
              <w:rPr>
                <w:rFonts w:hint="eastAsia" w:hAnsi="宋体"/>
                <w:sz w:val="24"/>
              </w:rPr>
              <w:t>开户银行</w:t>
            </w:r>
          </w:p>
        </w:tc>
        <w:tc>
          <w:tcPr>
            <w:tcW w:w="3780" w:type="dxa"/>
            <w:noWrap/>
            <w:vAlign w:val="center"/>
          </w:tcPr>
          <w:p>
            <w:pPr>
              <w:rPr>
                <w:rFonts w:hAnsi="宋体"/>
                <w:sz w:val="24"/>
              </w:rPr>
            </w:pPr>
          </w:p>
        </w:tc>
        <w:tc>
          <w:tcPr>
            <w:tcW w:w="722" w:type="dxa"/>
            <w:gridSpan w:val="2"/>
            <w:noWrap/>
            <w:vAlign w:val="center"/>
          </w:tcPr>
          <w:p>
            <w:pPr>
              <w:spacing w:line="360" w:lineRule="exact"/>
              <w:rPr>
                <w:rFonts w:hAnsi="宋体"/>
                <w:sz w:val="24"/>
              </w:rPr>
            </w:pPr>
            <w:r>
              <w:rPr>
                <w:rFonts w:hint="eastAsia" w:hAnsi="宋体"/>
                <w:sz w:val="24"/>
              </w:rPr>
              <w:t>账号</w:t>
            </w:r>
          </w:p>
        </w:tc>
        <w:tc>
          <w:tcPr>
            <w:tcW w:w="3240" w:type="dxa"/>
            <w:gridSpan w:val="2"/>
            <w:noWrap/>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noWrap/>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pacing w:line="270" w:lineRule="exact"/>
        <w:rPr>
          <w:rFonts w:eastAsia="Times New Roman"/>
        </w:rPr>
      </w:pPr>
    </w:p>
    <w:p>
      <w:pPr>
        <w:rPr>
          <w:rFonts w:ascii="宋体" w:hAnsi="宋体"/>
          <w:sz w:val="24"/>
        </w:rPr>
      </w:pPr>
      <w:r>
        <w:rPr>
          <w:rFonts w:hint="eastAsia" w:ascii="宋体" w:hAnsi="宋体"/>
          <w:sz w:val="24"/>
        </w:rPr>
        <w:br w:type="page"/>
      </w:r>
    </w:p>
    <w:p>
      <w:pPr>
        <w:pStyle w:val="2"/>
        <w:ind w:firstLine="0" w:firstLineChars="0"/>
        <w:rPr>
          <w:rFonts w:hAnsi="宋体"/>
          <w:sz w:val="24"/>
        </w:rPr>
      </w:pPr>
      <w:r>
        <w:rPr>
          <w:rFonts w:hint="eastAsia" w:hAnsi="宋体"/>
          <w:sz w:val="24"/>
        </w:rPr>
        <w:t>附件一</w:t>
      </w:r>
      <w:r>
        <w:rPr>
          <w:rFonts w:hAnsi="宋体"/>
          <w:sz w:val="24"/>
        </w:rPr>
        <w:t xml:space="preserve"> 问题澄清通知</w:t>
      </w:r>
    </w:p>
    <w:p>
      <w:pPr>
        <w:spacing w:line="200" w:lineRule="exact"/>
        <w:rPr>
          <w:rFonts w:eastAsia="Times New Roman"/>
        </w:rPr>
      </w:pPr>
    </w:p>
    <w:p>
      <w:pPr>
        <w:spacing w:line="351" w:lineRule="exact"/>
        <w:rPr>
          <w:rFonts w:eastAsia="Times New Roman"/>
        </w:rPr>
      </w:pPr>
    </w:p>
    <w:p>
      <w:pPr>
        <w:spacing w:line="0" w:lineRule="atLeast"/>
        <w:ind w:left="3500"/>
        <w:rPr>
          <w:rFonts w:ascii="宋体" w:hAnsi="宋体"/>
          <w:sz w:val="28"/>
        </w:rPr>
      </w:pPr>
      <w:r>
        <w:rPr>
          <w:rFonts w:ascii="宋体" w:hAnsi="宋体"/>
          <w:sz w:val="28"/>
        </w:rPr>
        <w:t>问题澄清通知</w:t>
      </w:r>
    </w:p>
    <w:p>
      <w:pPr>
        <w:spacing w:line="190" w:lineRule="exact"/>
        <w:rPr>
          <w:rFonts w:eastAsia="Times New Roman"/>
        </w:rPr>
      </w:pPr>
    </w:p>
    <w:p>
      <w:pPr>
        <w:tabs>
          <w:tab w:val="left" w:pos="5680"/>
        </w:tabs>
        <w:spacing w:line="239" w:lineRule="auto"/>
        <w:ind w:left="2760"/>
        <w:rPr>
          <w:rFonts w:ascii="宋体" w:hAnsi="宋体"/>
          <w:sz w:val="24"/>
          <w:szCs w:val="24"/>
        </w:rPr>
      </w:pPr>
      <w:r>
        <w:rPr>
          <w:rFonts w:ascii="宋体" w:hAnsi="宋体"/>
          <w:sz w:val="24"/>
          <w:szCs w:val="24"/>
        </w:rPr>
        <w:t>（编号：</w:t>
      </w:r>
      <w:r>
        <w:rPr>
          <w:rFonts w:ascii="宋体" w:hAnsi="宋体"/>
          <w:sz w:val="24"/>
          <w:szCs w:val="24"/>
        </w:rPr>
        <w:tab/>
      </w:r>
      <w:r>
        <w:rPr>
          <w:rFonts w:ascii="宋体" w:hAnsi="宋体"/>
          <w:sz w:val="24"/>
          <w:szCs w:val="24"/>
        </w:rPr>
        <w:t>）</w:t>
      </w:r>
    </w:p>
    <w:p>
      <w:pPr>
        <w:spacing w:line="200" w:lineRule="exact"/>
        <w:rPr>
          <w:rFonts w:ascii="宋体" w:hAnsi="宋体"/>
          <w:sz w:val="24"/>
          <w:szCs w:val="24"/>
        </w:rPr>
      </w:pPr>
      <w:r>
        <w:rPr>
          <w:rFonts w:ascii="宋体" w:hAnsi="宋体"/>
          <w:sz w:val="24"/>
          <w:szCs w:val="24"/>
        </w:rPr>
        <w:pict>
          <v:line id="_x0000_s2104" o:spid="_x0000_s2104" o:spt="20" style="position:absolute;left:0pt;margin-left:180.45pt;margin-top:0.55pt;height:0pt;width:104.8pt;z-index:-251637760;mso-width-relative:page;mso-height-relative:page;" coordsize="21600,21600" o:allowincell="f" o:gfxdata="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K8fkXVAAAABwEAAA8AAAAAAAAAAQAgAAAAIgAA&#10;AGRycy9kb3ducmV2LnhtbFBLAQIUABQAAAAIAIdO4kCrg6g40gEAAIwDAAAOAAAAAAAAAAEAIAAA&#10;ACQBAABkcnMvZTJvRG9jLnhtbFBLBQYAAAAABgAGAFkBAABoBQAAAAA=&#10;">
            <v:path arrowok="t"/>
            <v:fill focussize="0,0"/>
            <v:stroke weight="0.71992125984252pt"/>
            <v:imagedata o:title=""/>
            <o:lock v:ext="edit"/>
          </v:line>
        </w:pict>
      </w:r>
    </w:p>
    <w:p>
      <w:pPr>
        <w:spacing w:line="200" w:lineRule="exact"/>
        <w:rPr>
          <w:rFonts w:ascii="宋体" w:hAnsi="宋体"/>
          <w:sz w:val="24"/>
          <w:szCs w:val="24"/>
        </w:rPr>
      </w:pPr>
    </w:p>
    <w:p>
      <w:pPr>
        <w:spacing w:line="212" w:lineRule="exact"/>
        <w:rPr>
          <w:rFonts w:ascii="宋体" w:hAnsi="宋体"/>
          <w:sz w:val="24"/>
          <w:szCs w:val="24"/>
        </w:rPr>
      </w:pPr>
    </w:p>
    <w:p>
      <w:pPr>
        <w:spacing w:line="0" w:lineRule="atLeast"/>
        <w:ind w:left="1800"/>
        <w:rPr>
          <w:rFonts w:ascii="宋体" w:hAnsi="宋体"/>
          <w:sz w:val="24"/>
          <w:szCs w:val="24"/>
        </w:rPr>
      </w:pPr>
      <w:r>
        <w:rPr>
          <w:rFonts w:ascii="宋体" w:hAnsi="宋体"/>
          <w:sz w:val="24"/>
          <w:szCs w:val="24"/>
        </w:rPr>
        <w:t>（投标人名称）：</w:t>
      </w:r>
    </w:p>
    <w:p>
      <w:pPr>
        <w:spacing w:line="200" w:lineRule="exact"/>
        <w:rPr>
          <w:rFonts w:ascii="宋体" w:hAnsi="宋体"/>
          <w:sz w:val="24"/>
          <w:szCs w:val="24"/>
        </w:rPr>
      </w:pPr>
      <w:r>
        <w:rPr>
          <w:rFonts w:ascii="宋体" w:hAnsi="宋体"/>
          <w:sz w:val="24"/>
          <w:szCs w:val="24"/>
        </w:rPr>
        <w:pict>
          <v:line id="_x0000_s2103" o:spid="_x0000_s2103" o:spt="20" style="position:absolute;left:0pt;margin-left:0.2pt;margin-top:0pt;height:0pt;width:90pt;z-index:-251636736;mso-width-relative:page;mso-height-relative:page;" coordsize="21600,21600" o:allowincell="f" o:gfxdata="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MC3e0AAAAAIBAAAPAAAAAAAAAAEAIAAAACIAAABkcnMv&#10;ZG93bnJldi54bWxQSwECFAAUAAAACACHTuJAoo69EtIBAACMAwAADgAAAAAAAAABACAAAAAfAQAA&#10;ZHJzL2Uyb0RvYy54bWxQSwUGAAAAAAYABgBZAQAAYwUAAAAA&#10;">
            <v:path arrowok="t"/>
            <v:fill focussize="0,0"/>
            <v:stroke weight="0.59992125984252pt"/>
            <v:imagedata o:title=""/>
            <o:lock v:ext="edit"/>
          </v:line>
        </w:pict>
      </w:r>
    </w:p>
    <w:p>
      <w:pPr>
        <w:spacing w:line="200" w:lineRule="exact"/>
        <w:rPr>
          <w:rFonts w:ascii="宋体" w:hAnsi="宋体"/>
          <w:sz w:val="24"/>
          <w:szCs w:val="24"/>
        </w:rPr>
      </w:pPr>
    </w:p>
    <w:p>
      <w:pPr>
        <w:spacing w:line="205" w:lineRule="exact"/>
        <w:rPr>
          <w:rFonts w:ascii="宋体" w:hAnsi="宋体"/>
          <w:sz w:val="24"/>
          <w:szCs w:val="24"/>
        </w:rPr>
      </w:pPr>
    </w:p>
    <w:p>
      <w:pPr>
        <w:tabs>
          <w:tab w:val="left" w:pos="5040"/>
        </w:tabs>
        <w:spacing w:line="0" w:lineRule="atLeast"/>
        <w:ind w:left="2660"/>
        <w:rPr>
          <w:rFonts w:ascii="宋体" w:hAnsi="宋体"/>
          <w:sz w:val="24"/>
          <w:szCs w:val="24"/>
        </w:rPr>
      </w:pPr>
      <w:r>
        <w:rPr>
          <w:rFonts w:ascii="宋体" w:hAnsi="宋体"/>
          <w:sz w:val="24"/>
          <w:szCs w:val="24"/>
        </w:rPr>
        <w:t>（项目名称）</w:t>
      </w:r>
      <w:r>
        <w:rPr>
          <w:rFonts w:ascii="宋体" w:hAnsi="宋体"/>
          <w:sz w:val="24"/>
          <w:szCs w:val="24"/>
        </w:rPr>
        <w:tab/>
      </w:r>
      <w:r>
        <w:rPr>
          <w:rFonts w:ascii="宋体" w:hAnsi="宋体"/>
          <w:sz w:val="24"/>
          <w:szCs w:val="24"/>
        </w:rPr>
        <w:t>标段施工招标的评标委员会，对你</w:t>
      </w:r>
    </w:p>
    <w:p>
      <w:pPr>
        <w:spacing w:line="179" w:lineRule="exact"/>
        <w:rPr>
          <w:rFonts w:ascii="宋体" w:hAnsi="宋体"/>
          <w:sz w:val="24"/>
          <w:szCs w:val="24"/>
        </w:rPr>
      </w:pPr>
      <w:r>
        <w:rPr>
          <w:rFonts w:ascii="宋体" w:hAnsi="宋体"/>
          <w:sz w:val="24"/>
          <w:szCs w:val="24"/>
        </w:rPr>
        <w:pict>
          <v:line id="_x0000_s2102" o:spid="_x0000_s2102" o:spt="20" style="position:absolute;left:0pt;margin-left:36.3pt;margin-top:0pt;height:0pt;width:90.5pt;z-index:-251635712;mso-width-relative:page;mso-height-relative:page;" coordsize="21600,21600" o:allowincell="f" o:gfxdata="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ihbXNMAAAAEAQAADwAAAAAAAAABACAAAAAiAAAA&#10;ZHJzL2Rvd25yZXYueG1sUEsBAhQAFAAAAAgAh07iQIqiiobTAQAAjAMAAA4AAAAAAAAAAQAgAAAA&#10;IgEAAGRycy9lMm9Eb2MueG1sUEsFBgAAAAAGAAYAWQEAAGcFAAAAAA==&#10;">
            <v:path arrowok="t"/>
            <v:fill focussize="0,0"/>
            <v:stroke weight="0.59992125984252pt"/>
            <v:imagedata o:title=""/>
            <o:lock v:ext="edit"/>
          </v:line>
        </w:pict>
      </w:r>
      <w:r>
        <w:rPr>
          <w:rFonts w:ascii="宋体" w:hAnsi="宋体"/>
          <w:sz w:val="24"/>
          <w:szCs w:val="24"/>
        </w:rPr>
        <w:pict>
          <v:line id="_x0000_s2101" o:spid="_x0000_s2101" o:spt="20" style="position:absolute;left:0pt;margin-left:205.05pt;margin-top:0pt;height:0pt;width:48.3pt;z-index:-251634688;mso-width-relative:page;mso-height-relative:page;" coordsize="21600,21600" o:allowincell="f" o:gfxdata="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&#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OtTf9QAAAAFAQAADwAAAAAAAAABACAAAAAiAAAA&#10;ZHJzL2Rvd25yZXYueG1sUEsBAhQAFAAAAAgAh07iQL8/riHSAQAAiwMAAA4AAAAAAAAAAQAgAAAA&#10;IwEAAGRycy9lMm9Eb2MueG1sUEsFBgAAAAAGAAYAWQEAAGcFAAAAAA==&#10;">
            <v:path arrowok="t"/>
            <v:fill focussize="0,0"/>
            <v:stroke weight="0.59992125984252pt"/>
            <v:imagedata o:title=""/>
            <o:lock v:ext="edit"/>
          </v:line>
        </w:pict>
      </w:r>
    </w:p>
    <w:p>
      <w:pPr>
        <w:spacing w:line="0" w:lineRule="atLeast"/>
        <w:rPr>
          <w:rFonts w:ascii="宋体" w:hAnsi="宋体"/>
          <w:sz w:val="24"/>
          <w:szCs w:val="24"/>
        </w:rPr>
      </w:pPr>
      <w:r>
        <w:rPr>
          <w:rFonts w:ascii="宋体" w:hAnsi="宋体"/>
          <w:sz w:val="24"/>
          <w:szCs w:val="24"/>
        </w:rPr>
        <w:t>方的投标文件进行了仔细的审查，现需你方对下列问题以书面形式予以澄清或说明：</w:t>
      </w:r>
    </w:p>
    <w:p>
      <w:pPr>
        <w:spacing w:line="200" w:lineRule="exact"/>
        <w:rPr>
          <w:rFonts w:ascii="宋体" w:hAnsi="宋体"/>
          <w:sz w:val="24"/>
          <w:szCs w:val="24"/>
        </w:rPr>
      </w:pPr>
    </w:p>
    <w:p>
      <w:pPr>
        <w:spacing w:line="200" w:lineRule="exact"/>
        <w:rPr>
          <w:rFonts w:ascii="宋体" w:hAnsi="宋体"/>
          <w:sz w:val="24"/>
          <w:szCs w:val="24"/>
        </w:rPr>
      </w:pPr>
    </w:p>
    <w:p>
      <w:pPr>
        <w:spacing w:line="220" w:lineRule="exact"/>
        <w:rPr>
          <w:rFonts w:ascii="宋体" w:hAnsi="宋体"/>
          <w:sz w:val="24"/>
          <w:szCs w:val="24"/>
        </w:rPr>
      </w:pPr>
    </w:p>
    <w:p>
      <w:pPr>
        <w:spacing w:line="0" w:lineRule="atLeast"/>
        <w:ind w:left="480"/>
        <w:rPr>
          <w:rFonts w:ascii="宋体" w:hAnsi="宋体"/>
          <w:sz w:val="24"/>
          <w:szCs w:val="24"/>
        </w:rPr>
      </w:pPr>
      <w:r>
        <w:rPr>
          <w:rFonts w:ascii="宋体" w:hAnsi="宋体"/>
          <w:sz w:val="24"/>
          <w:szCs w:val="24"/>
        </w:rPr>
        <w:t>1.</w:t>
      </w:r>
    </w:p>
    <w:p>
      <w:pPr>
        <w:spacing w:line="166" w:lineRule="exact"/>
        <w:rPr>
          <w:rFonts w:ascii="宋体" w:hAnsi="宋体"/>
          <w:sz w:val="24"/>
          <w:szCs w:val="24"/>
        </w:rPr>
      </w:pPr>
    </w:p>
    <w:p>
      <w:pPr>
        <w:spacing w:line="239" w:lineRule="auto"/>
        <w:ind w:left="480"/>
        <w:rPr>
          <w:rFonts w:ascii="宋体" w:hAnsi="宋体"/>
          <w:sz w:val="24"/>
          <w:szCs w:val="24"/>
        </w:rPr>
      </w:pPr>
      <w:r>
        <w:rPr>
          <w:rFonts w:ascii="宋体" w:hAnsi="宋体"/>
          <w:sz w:val="24"/>
          <w:szCs w:val="24"/>
        </w:rPr>
        <w:t>2.</w:t>
      </w:r>
    </w:p>
    <w:p>
      <w:pPr>
        <w:spacing w:line="164" w:lineRule="exact"/>
        <w:rPr>
          <w:rFonts w:ascii="宋体" w:hAnsi="宋体"/>
          <w:sz w:val="24"/>
          <w:szCs w:val="24"/>
        </w:rPr>
      </w:pPr>
    </w:p>
    <w:p>
      <w:pPr>
        <w:spacing w:line="0" w:lineRule="atLeast"/>
        <w:ind w:firstLine="566" w:firstLineChars="236"/>
        <w:rPr>
          <w:rFonts w:ascii="宋体" w:hAnsi="宋体"/>
          <w:sz w:val="24"/>
          <w:szCs w:val="24"/>
        </w:rPr>
      </w:pPr>
      <w:r>
        <w:rPr>
          <w:rFonts w:ascii="宋体" w:hAnsi="宋体"/>
          <w:sz w:val="24"/>
          <w:szCs w:val="24"/>
        </w:rPr>
        <w:t>请将上述问题的澄清或说明于年月日时分前递交至（详细地址）或传</w:t>
      </w:r>
      <w:r>
        <w:rPr>
          <w:rFonts w:hint="eastAsia" w:ascii="宋体" w:hAnsi="宋体"/>
          <w:sz w:val="24"/>
          <w:szCs w:val="24"/>
        </w:rPr>
        <w:t>真</w:t>
      </w:r>
      <w:r>
        <w:rPr>
          <w:rFonts w:ascii="宋体" w:hAnsi="宋体"/>
          <w:sz w:val="24"/>
          <w:szCs w:val="24"/>
        </w:rPr>
        <w:t>至</w:t>
      </w:r>
      <w:r>
        <w:rPr>
          <w:rFonts w:hint="eastAsia" w:ascii="宋体" w:hAnsi="宋体"/>
          <w:sz w:val="24"/>
          <w:szCs w:val="24"/>
        </w:rPr>
        <w:t>（传真号码）。</w:t>
      </w:r>
      <w:r>
        <w:rPr>
          <w:rFonts w:ascii="宋体" w:hAnsi="宋体"/>
          <w:sz w:val="24"/>
          <w:szCs w:val="24"/>
        </w:rPr>
        <w:t>采用传真方式的，</w:t>
      </w:r>
      <w:r>
        <w:rPr>
          <w:rFonts w:hint="eastAsia" w:ascii="宋体" w:hAnsi="宋体"/>
          <w:sz w:val="24"/>
          <w:szCs w:val="24"/>
        </w:rPr>
        <w:t>应在</w:t>
      </w:r>
      <w:r>
        <w:rPr>
          <w:rFonts w:ascii="宋体" w:hAnsi="宋体"/>
          <w:sz w:val="24"/>
          <w:szCs w:val="24"/>
        </w:rPr>
        <w:t>年日时分前将原件递交至（详细地址）。</w:t>
      </w:r>
    </w:p>
    <w:p>
      <w:pPr>
        <w:spacing w:line="0" w:lineRule="atLeast"/>
        <w:rPr>
          <w:rFonts w:ascii="宋体" w:hAnsi="宋体"/>
          <w:sz w:val="24"/>
          <w:szCs w:val="24"/>
        </w:rPr>
      </w:pPr>
    </w:p>
    <w:p>
      <w:pPr>
        <w:spacing w:line="200" w:lineRule="exact"/>
        <w:rPr>
          <w:rFonts w:ascii="宋体" w:hAnsi="宋体"/>
          <w:sz w:val="24"/>
          <w:szCs w:val="24"/>
        </w:rPr>
      </w:pPr>
    </w:p>
    <w:p>
      <w:pPr>
        <w:spacing w:line="200" w:lineRule="exact"/>
        <w:rPr>
          <w:rFonts w:ascii="宋体" w:hAnsi="宋体"/>
          <w:sz w:val="24"/>
          <w:szCs w:val="24"/>
        </w:rPr>
      </w:pPr>
    </w:p>
    <w:p>
      <w:pPr>
        <w:spacing w:line="246" w:lineRule="exact"/>
        <w:rPr>
          <w:rFonts w:ascii="宋体" w:hAnsi="宋体"/>
          <w:sz w:val="24"/>
          <w:szCs w:val="24"/>
        </w:rPr>
      </w:pPr>
    </w:p>
    <w:p>
      <w:pPr>
        <w:tabs>
          <w:tab w:val="left" w:pos="6500"/>
        </w:tabs>
        <w:spacing w:line="0" w:lineRule="atLeast"/>
        <w:ind w:left="1000"/>
        <w:rPr>
          <w:rFonts w:ascii="宋体" w:hAnsi="宋体"/>
          <w:sz w:val="24"/>
          <w:szCs w:val="24"/>
        </w:rPr>
      </w:pPr>
      <w:r>
        <w:rPr>
          <w:rFonts w:ascii="宋体" w:hAnsi="宋体"/>
          <w:sz w:val="24"/>
          <w:szCs w:val="24"/>
        </w:rPr>
        <w:t>标委员会授权的招标人或招标代理机构：</w:t>
      </w:r>
      <w:r>
        <w:rPr>
          <w:rFonts w:ascii="宋体" w:hAnsi="宋体"/>
          <w:sz w:val="24"/>
          <w:szCs w:val="24"/>
        </w:rPr>
        <w:tab/>
      </w:r>
      <w:r>
        <w:rPr>
          <w:rFonts w:ascii="宋体" w:hAnsi="宋体"/>
          <w:sz w:val="24"/>
          <w:szCs w:val="24"/>
        </w:rPr>
        <w:t>（签字或盖单位章）</w:t>
      </w:r>
    </w:p>
    <w:p>
      <w:pPr>
        <w:spacing w:line="200" w:lineRule="exact"/>
        <w:rPr>
          <w:rFonts w:ascii="宋体" w:hAnsi="宋体"/>
          <w:sz w:val="24"/>
          <w:szCs w:val="24"/>
        </w:rPr>
      </w:pPr>
      <w:r>
        <w:rPr>
          <w:rFonts w:ascii="宋体" w:hAnsi="宋体"/>
          <w:sz w:val="24"/>
          <w:szCs w:val="24"/>
        </w:rPr>
        <w:pict>
          <v:line id="_x0000_s2100" o:spid="_x0000_s2100" o:spt="20" style="position:absolute;left:0pt;margin-left:278.05pt;margin-top:0pt;height:0pt;width:48pt;z-index:-251633664;mso-width-relative:page;mso-height-relative:page;" coordsize="21600,21600" o:allowincell="f" o:gfxdata="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mqLR0gAAAAUBAAAPAAAAAAAAAAEAIAAAACIAAABkcnMv&#10;ZG93bnJldi54bWxQSwECFAAUAAAACACHTuJAWC8XXNABAACLAwAADgAAAAAAAAABACAAAAAhAQAA&#10;ZHJzL2Uyb0RvYy54bWxQSwUGAAAAAAYABgBZAQAAYwUAAAAA&#10;">
            <v:path arrowok="t"/>
            <v:fill focussize="0,0"/>
            <v:stroke weight="0.6pt"/>
            <v:imagedata o:title=""/>
            <o:lock v:ext="edit"/>
          </v:line>
        </w:pict>
      </w:r>
    </w:p>
    <w:p>
      <w:pPr>
        <w:spacing w:line="200" w:lineRule="exact"/>
        <w:rPr>
          <w:rFonts w:ascii="宋体" w:hAnsi="宋体"/>
          <w:sz w:val="24"/>
          <w:szCs w:val="24"/>
        </w:rPr>
      </w:pPr>
    </w:p>
    <w:p>
      <w:pPr>
        <w:spacing w:line="205" w:lineRule="exact"/>
        <w:rPr>
          <w:rFonts w:ascii="宋体" w:hAnsi="宋体"/>
          <w:sz w:val="24"/>
          <w:szCs w:val="24"/>
        </w:rPr>
      </w:pPr>
    </w:p>
    <w:p>
      <w:pPr>
        <w:tabs>
          <w:tab w:val="left" w:pos="6660"/>
          <w:tab w:val="left" w:pos="7380"/>
        </w:tabs>
        <w:spacing w:line="0" w:lineRule="atLeast"/>
        <w:ind w:left="5960"/>
        <w:rPr>
          <w:rFonts w:ascii="宋体" w:hAnsi="宋体"/>
          <w:sz w:val="24"/>
          <w:szCs w:val="24"/>
        </w:rPr>
      </w:pPr>
      <w:r>
        <w:rPr>
          <w:rFonts w:ascii="宋体" w:hAnsi="宋体"/>
          <w:sz w:val="24"/>
          <w:szCs w:val="24"/>
        </w:rPr>
        <w:t>年</w:t>
      </w:r>
      <w:r>
        <w:rPr>
          <w:rFonts w:ascii="宋体" w:hAnsi="宋体"/>
          <w:sz w:val="24"/>
          <w:szCs w:val="24"/>
        </w:rPr>
        <w:tab/>
      </w:r>
      <w:r>
        <w:rPr>
          <w:rFonts w:ascii="宋体" w:hAnsi="宋体"/>
          <w:sz w:val="24"/>
          <w:szCs w:val="24"/>
        </w:rPr>
        <w:t>月</w:t>
      </w:r>
      <w:r>
        <w:rPr>
          <w:rFonts w:ascii="宋体" w:hAnsi="宋体"/>
          <w:sz w:val="24"/>
          <w:szCs w:val="24"/>
        </w:rPr>
        <w:tab/>
      </w:r>
      <w:r>
        <w:rPr>
          <w:rFonts w:ascii="宋体" w:hAnsi="宋体"/>
          <w:sz w:val="24"/>
          <w:szCs w:val="24"/>
        </w:rPr>
        <w:t>日</w:t>
      </w:r>
    </w:p>
    <w:p>
      <w:pPr>
        <w:spacing w:line="239" w:lineRule="auto"/>
        <w:rPr>
          <w:rFonts w:ascii="宋体" w:hAnsi="宋体"/>
          <w:sz w:val="21"/>
        </w:rPr>
      </w:pPr>
      <w:bookmarkStart w:id="34" w:name="page73"/>
      <w:bookmarkEnd w:id="34"/>
      <w:r>
        <w:rPr>
          <w:rFonts w:ascii="宋体" w:hAnsi="宋体"/>
          <w:sz w:val="21"/>
        </w:rPr>
        <w:br w:type="page"/>
      </w:r>
    </w:p>
    <w:p>
      <w:pPr>
        <w:pStyle w:val="2"/>
        <w:ind w:firstLine="340"/>
      </w:pPr>
    </w:p>
    <w:p>
      <w:pPr>
        <w:spacing w:line="0" w:lineRule="atLeast"/>
        <w:rPr>
          <w:rFonts w:ascii="宋体" w:hAnsi="宋体"/>
          <w:sz w:val="24"/>
        </w:rPr>
      </w:pPr>
      <w:r>
        <w:rPr>
          <w:rFonts w:hint="eastAsia" w:ascii="宋体" w:hAnsi="宋体"/>
          <w:sz w:val="24"/>
        </w:rPr>
        <w:t>附件二</w:t>
      </w:r>
      <w:r>
        <w:rPr>
          <w:rFonts w:ascii="宋体" w:hAnsi="宋体"/>
          <w:sz w:val="24"/>
        </w:rPr>
        <w:t xml:space="preserve"> 问题的澄清</w:t>
      </w:r>
    </w:p>
    <w:p>
      <w:pPr>
        <w:spacing w:line="109" w:lineRule="exact"/>
        <w:rPr>
          <w:rFonts w:eastAsia="Times New Roman"/>
        </w:rPr>
      </w:pPr>
    </w:p>
    <w:p>
      <w:pPr>
        <w:spacing w:line="0" w:lineRule="atLeast"/>
        <w:ind w:left="3640"/>
        <w:rPr>
          <w:rFonts w:ascii="宋体" w:hAnsi="宋体"/>
          <w:sz w:val="28"/>
        </w:rPr>
      </w:pPr>
      <w:r>
        <w:rPr>
          <w:rFonts w:ascii="宋体" w:hAnsi="宋体"/>
          <w:sz w:val="28"/>
        </w:rPr>
        <w:t>问题的澄清</w:t>
      </w:r>
    </w:p>
    <w:p>
      <w:pPr>
        <w:spacing w:line="192" w:lineRule="exact"/>
        <w:rPr>
          <w:rFonts w:eastAsia="Times New Roman"/>
        </w:rPr>
      </w:pPr>
    </w:p>
    <w:p>
      <w:pPr>
        <w:tabs>
          <w:tab w:val="left" w:pos="5400"/>
        </w:tabs>
        <w:spacing w:line="239" w:lineRule="auto"/>
        <w:ind w:left="3040"/>
        <w:rPr>
          <w:rFonts w:ascii="宋体" w:hAnsi="宋体"/>
          <w:sz w:val="21"/>
        </w:rPr>
      </w:pPr>
      <w:r>
        <w:rPr>
          <w:rFonts w:ascii="宋体" w:hAnsi="宋体"/>
          <w:sz w:val="21"/>
        </w:rPr>
        <w:t>（编号：</w:t>
      </w:r>
      <w:r>
        <w:rPr>
          <w:rFonts w:eastAsia="Times New Roman"/>
        </w:rPr>
        <w:tab/>
      </w:r>
      <w:r>
        <w:rPr>
          <w:rFonts w:ascii="宋体" w:hAnsi="宋体"/>
          <w:sz w:val="21"/>
        </w:rPr>
        <w:t>）</w:t>
      </w:r>
    </w:p>
    <w:p>
      <w:pPr>
        <w:spacing w:line="200" w:lineRule="exact"/>
        <w:rPr>
          <w:rFonts w:eastAsia="Times New Roman"/>
        </w:rPr>
      </w:pPr>
      <w:r>
        <w:rPr>
          <w:rFonts w:ascii="宋体" w:hAnsi="宋体"/>
          <w:sz w:val="21"/>
        </w:rPr>
        <w:pict>
          <v:line id="_x0000_s2099" o:spid="_x0000_s2099" o:spt="20" style="position:absolute;left:0pt;margin-left:194.4pt;margin-top:0.55pt;height:0pt;width:76.95pt;z-index:-251629568;mso-width-relative:page;mso-height-relative:page;" coordsize="21600,21600" o:allowincell="f" o:gfxdata="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jOrn0wAAAAcBAAAPAAAAAAAAAAEAIAAAACIAAABk&#10;cnMvZG93bnJldi54bWxQSwECFAAUAAAACACHTuJA0S8q29IBAACLAwAADgAAAAAAAAABACAAAAAi&#10;AQAAZHJzL2Uyb0RvYy54bWxQSwUGAAAAAAYABgBZAQAAZgUAAAAA&#10;">
            <v:path arrowok="t"/>
            <v:fill focussize="0,0"/>
            <v:stroke weight="0.72pt"/>
            <v:imagedata o:title=""/>
            <o:lock v:ext="edit"/>
          </v:line>
        </w:pict>
      </w:r>
    </w:p>
    <w:p>
      <w:pPr>
        <w:spacing w:line="200" w:lineRule="exact"/>
        <w:rPr>
          <w:rFonts w:eastAsia="Times New Roman"/>
        </w:rPr>
      </w:pPr>
    </w:p>
    <w:p>
      <w:pPr>
        <w:spacing w:line="210" w:lineRule="exact"/>
        <w:rPr>
          <w:rFonts w:eastAsia="Times New Roman"/>
        </w:rPr>
      </w:pPr>
    </w:p>
    <w:p>
      <w:pPr>
        <w:tabs>
          <w:tab w:val="left" w:pos="4660"/>
        </w:tabs>
        <w:spacing w:line="0" w:lineRule="atLeast"/>
        <w:ind w:left="2160"/>
        <w:rPr>
          <w:rFonts w:ascii="宋体" w:hAnsi="宋体"/>
          <w:sz w:val="24"/>
        </w:rPr>
      </w:pPr>
      <w:r>
        <w:rPr>
          <w:rFonts w:ascii="宋体" w:hAnsi="宋体"/>
          <w:sz w:val="24"/>
        </w:rPr>
        <w:t>（项目名称）</w:t>
      </w:r>
      <w:r>
        <w:rPr>
          <w:rFonts w:eastAsia="Times New Roman"/>
        </w:rPr>
        <w:tab/>
      </w:r>
      <w:r>
        <w:rPr>
          <w:rFonts w:ascii="宋体" w:hAnsi="宋体"/>
          <w:sz w:val="24"/>
        </w:rPr>
        <w:t>标段施工招标评标委员会：</w:t>
      </w:r>
    </w:p>
    <w:p>
      <w:pPr>
        <w:spacing w:line="200" w:lineRule="exact"/>
        <w:rPr>
          <w:rFonts w:eastAsia="Times New Roman"/>
        </w:rPr>
      </w:pPr>
      <w:r>
        <w:rPr>
          <w:rFonts w:ascii="宋体" w:hAnsi="宋体"/>
          <w:sz w:val="24"/>
        </w:rPr>
        <w:pict>
          <v:line id="_x0000_s2098" o:spid="_x0000_s2098" o:spt="20" style="position:absolute;left:0pt;margin-left:0.2pt;margin-top:0pt;height:0pt;width:120pt;z-index:-251628544;mso-width-relative:page;mso-height-relative:page;" coordsize="21600,21600" o:allowincell="f" o:gfxdata="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aRty0AAAAAIBAAAPAAAAAAAAAAEAIAAAACIAAABkcnMv&#10;ZG93bnJldi54bWxQSwECFAAUAAAACACHTuJAQMvjL9IBAACMAwAADgAAAAAAAAABACAAAAAfAQAA&#10;ZHJzL2Uyb0RvYy54bWxQSwUGAAAAAAYABgBZAQAAYwUAAAAA&#10;">
            <v:path arrowok="t"/>
            <v:fill focussize="0,0"/>
            <v:stroke weight="0.6pt"/>
            <v:imagedata o:title=""/>
            <o:lock v:ext="edit"/>
          </v:line>
        </w:pict>
      </w:r>
      <w:r>
        <w:rPr>
          <w:rFonts w:ascii="宋体" w:hAnsi="宋体"/>
          <w:sz w:val="24"/>
        </w:rPr>
        <w:pict>
          <v:line id="_x0000_s2097" o:spid="_x0000_s2097" o:spt="20" style="position:absolute;left:0pt;margin-left:180.25pt;margin-top:0pt;height:0pt;width:54pt;z-index:-251627520;mso-width-relative:page;mso-height-relative:page;" coordsize="21600,21600" o:allowincell="f" o:gfxdata="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vDCZtIAAAAFAQAADwAAAAAAAAABACAAAAAiAAAAZHJz&#10;L2Rvd25yZXYueG1sUEsBAhQAFAAAAAgAh07iQFKGbxLRAQAAiwMAAA4AAAAAAAAAAQAgAAAAIQEA&#10;AGRycy9lMm9Eb2MueG1sUEsFBgAAAAAGAAYAWQEAAGQFAAAAAA==&#10;">
            <v:path arrowok="t"/>
            <v:fill focussize="0,0"/>
            <v:stroke weight="0.6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tabs>
          <w:tab w:val="left" w:pos="3820"/>
        </w:tabs>
        <w:spacing w:line="0" w:lineRule="atLeast"/>
        <w:ind w:left="480"/>
        <w:rPr>
          <w:rFonts w:ascii="宋体" w:hAnsi="宋体"/>
          <w:sz w:val="24"/>
        </w:rPr>
      </w:pPr>
      <w:r>
        <w:rPr>
          <w:rFonts w:ascii="宋体" w:hAnsi="宋体"/>
          <w:sz w:val="24"/>
        </w:rPr>
        <w:t>问题澄清通知（编号：</w:t>
      </w:r>
      <w:r>
        <w:rPr>
          <w:rFonts w:eastAsia="Times New Roman"/>
        </w:rPr>
        <w:tab/>
      </w:r>
      <w:r>
        <w:rPr>
          <w:rFonts w:ascii="宋体" w:hAnsi="宋体"/>
          <w:sz w:val="24"/>
        </w:rPr>
        <w:t>）已收悉，现澄清、说明如下：</w:t>
      </w:r>
    </w:p>
    <w:p>
      <w:pPr>
        <w:spacing w:line="184" w:lineRule="exact"/>
        <w:rPr>
          <w:rFonts w:eastAsia="Times New Roman"/>
        </w:rPr>
      </w:pPr>
      <w:r>
        <w:rPr>
          <w:rFonts w:ascii="宋体" w:hAnsi="宋体"/>
          <w:sz w:val="24"/>
        </w:rPr>
        <w:pict>
          <v:line id="_x0000_s2096" o:spid="_x0000_s2096" o:spt="20" style="position:absolute;left:0pt;margin-left:144.25pt;margin-top:0pt;height:0pt;width:48pt;z-index:-251626496;mso-width-relative:page;mso-height-relative:page;" coordsize="21600,21600" o:allowincell="f" o:gfxdata="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&#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AQMh1AAAAAUBAAAPAAAAAAAAAAEAIAAAACIAAABk&#10;cnMvZG93bnJldi54bWxQSwECFAAUAAAACACHTuJAryEdK9EBAACLAwAADgAAAAAAAAABACAAAAAj&#10;AQAAZHJzL2Uyb0RvYy54bWxQSwUGAAAAAAYABgBZAQAAZgUAAAAA&#10;">
            <v:path arrowok="t"/>
            <v:fill focussize="0,0"/>
            <v:stroke weight="0.59992125984252pt"/>
            <v:imagedata o:title=""/>
            <o:lock v:ext="edit"/>
          </v:line>
        </w:pict>
      </w:r>
    </w:p>
    <w:p>
      <w:pPr>
        <w:spacing w:line="0" w:lineRule="atLeast"/>
        <w:ind w:left="840"/>
        <w:rPr>
          <w:rFonts w:eastAsia="Times New Roman"/>
          <w:sz w:val="24"/>
        </w:rPr>
      </w:pPr>
      <w:r>
        <w:rPr>
          <w:rFonts w:eastAsia="Times New Roman"/>
          <w:sz w:val="24"/>
        </w:rPr>
        <w:t>1.</w:t>
      </w:r>
    </w:p>
    <w:p>
      <w:pPr>
        <w:spacing w:line="163" w:lineRule="exact"/>
        <w:rPr>
          <w:rFonts w:eastAsia="Times New Roman"/>
        </w:rPr>
      </w:pPr>
    </w:p>
    <w:p>
      <w:pPr>
        <w:spacing w:line="0" w:lineRule="atLeast"/>
        <w:ind w:left="840"/>
        <w:rPr>
          <w:rFonts w:eastAsia="Times New Roman"/>
          <w:sz w:val="24"/>
        </w:rPr>
      </w:pPr>
      <w:r>
        <w:rPr>
          <w:rFonts w:eastAsia="Times New Roman"/>
          <w:sz w:val="24"/>
        </w:rPr>
        <w:t>2.</w:t>
      </w:r>
    </w:p>
    <w:p>
      <w:pPr>
        <w:spacing w:line="200" w:lineRule="exact"/>
        <w:rPr>
          <w:rFonts w:eastAsia="Times New Roman"/>
        </w:rPr>
      </w:pPr>
    </w:p>
    <w:p>
      <w:pPr>
        <w:spacing w:line="200" w:lineRule="exact"/>
        <w:rPr>
          <w:rFonts w:eastAsia="Times New Roman"/>
        </w:rPr>
      </w:pPr>
    </w:p>
    <w:p>
      <w:pPr>
        <w:spacing w:line="205" w:lineRule="exact"/>
        <w:rPr>
          <w:rFonts w:eastAsia="Times New Roman"/>
        </w:rPr>
      </w:pPr>
    </w:p>
    <w:p>
      <w:pPr>
        <w:spacing w:line="239" w:lineRule="auto"/>
        <w:ind w:left="720"/>
        <w:rPr>
          <w:rFonts w:eastAsia="Times New Roman"/>
          <w:sz w:val="24"/>
        </w:rPr>
      </w:pPr>
      <w:r>
        <w:rPr>
          <w:rFonts w:eastAsia="Times New Roman"/>
          <w:sz w:val="24"/>
        </w:rPr>
        <w:t>.....</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pPr>
        <w:spacing w:line="165" w:lineRule="exact"/>
        <w:rPr>
          <w:rFonts w:eastAsia="Times New Roman"/>
        </w:rPr>
      </w:pPr>
    </w:p>
    <w:p>
      <w:pPr>
        <w:spacing w:line="0" w:lineRule="atLeast"/>
        <w:rPr>
          <w:rFonts w:ascii="宋体" w:hAnsi="宋体"/>
          <w:sz w:val="24"/>
        </w:rPr>
      </w:pPr>
      <w:r>
        <w:rPr>
          <w:rFonts w:ascii="宋体" w:hAnsi="宋体"/>
          <w:sz w:val="24"/>
        </w:rPr>
        <w:t>的组成部分。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7120"/>
        </w:tabs>
        <w:spacing w:line="274" w:lineRule="exact"/>
        <w:ind w:left="3600"/>
        <w:rPr>
          <w:rFonts w:ascii="MS PGothic" w:hAnsi="MS PGothic" w:eastAsia="MS PGothic"/>
          <w:sz w:val="24"/>
          <w:vertAlign w:val="superscript"/>
        </w:rPr>
      </w:pPr>
      <w:r>
        <w:rPr>
          <w:rFonts w:ascii="宋体" w:hAnsi="宋体"/>
          <w:sz w:val="24"/>
        </w:rPr>
        <w:t>投标人：</w:t>
      </w:r>
      <w:r>
        <w:rPr>
          <w:rFonts w:eastAsia="Times New Roman"/>
        </w:rPr>
        <w:tab/>
      </w:r>
      <w:r>
        <w:rPr>
          <w:rFonts w:ascii="宋体" w:hAnsi="宋体"/>
          <w:sz w:val="24"/>
        </w:rPr>
        <w:t>（盖单位章）</w:t>
      </w:r>
      <w:r>
        <w:rPr>
          <w:rFonts w:ascii="MS PGothic" w:hAnsi="MS PGothic" w:eastAsia="MS PGothic"/>
          <w:sz w:val="24"/>
          <w:vertAlign w:val="superscript"/>
        </w:rPr>
        <w:t>①</w:t>
      </w:r>
    </w:p>
    <w:p>
      <w:pPr>
        <w:spacing w:line="165" w:lineRule="exact"/>
        <w:rPr>
          <w:rFonts w:eastAsia="Times New Roman"/>
        </w:rPr>
      </w:pPr>
      <w:r>
        <w:rPr>
          <w:rFonts w:ascii="MS PGothic" w:hAnsi="MS PGothic" w:eastAsia="MS PGothic"/>
          <w:sz w:val="24"/>
          <w:vertAlign w:val="superscript"/>
        </w:rPr>
        <w:pict>
          <v:line id="_x0000_s2095" o:spid="_x0000_s2095" o:spt="20" style="position:absolute;left:0pt;margin-left:226.8pt;margin-top:-0.1pt;height:0pt;width:132pt;z-index:-251625472;mso-width-relative:page;mso-height-relative:page;" coordsize="21600,21600" o:allowincell="f" o:gfxdata="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&#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UU+F0wAAAAcBAAAPAAAAAAAAAAEAIAAAACIAAABk&#10;cnMvZG93bnJldi54bWxQSwECFAAUAAAACACHTuJAG/+8e9IBAACMAwAADgAAAAAAAAABACAAAAAi&#10;AQAAZHJzL2Uyb0RvYy54bWxQSwUGAAAAAAYABgBZAQAAZgUAAAAA&#10;">
            <v:path arrowok="t"/>
            <v:fill focussize="0,0"/>
            <v:stroke weight="0.6pt"/>
            <v:imagedata o:title=""/>
            <o:lock v:ext="edit"/>
          </v:line>
        </w:pict>
      </w:r>
    </w:p>
    <w:p>
      <w:pPr>
        <w:tabs>
          <w:tab w:val="left" w:pos="7820"/>
        </w:tabs>
        <w:spacing w:line="0" w:lineRule="atLeast"/>
        <w:ind w:left="3600"/>
        <w:rPr>
          <w:rFonts w:ascii="宋体" w:hAnsi="宋体"/>
          <w:sz w:val="24"/>
        </w:rPr>
      </w:pPr>
      <w:r>
        <w:rPr>
          <w:rFonts w:ascii="宋体" w:hAnsi="宋体"/>
          <w:sz w:val="24"/>
        </w:rPr>
        <w:t>法定代表人或其委托代理人：</w:t>
      </w:r>
      <w:r>
        <w:rPr>
          <w:rFonts w:eastAsia="Times New Roman"/>
        </w:rPr>
        <w:tab/>
      </w:r>
      <w:r>
        <w:rPr>
          <w:rFonts w:ascii="宋体" w:hAnsi="宋体"/>
          <w:sz w:val="24"/>
        </w:rPr>
        <w:t>（签字）</w:t>
      </w:r>
    </w:p>
    <w:p>
      <w:pPr>
        <w:spacing w:line="200" w:lineRule="exact"/>
        <w:rPr>
          <w:rFonts w:eastAsia="Times New Roman"/>
        </w:rPr>
      </w:pPr>
      <w:r>
        <w:rPr>
          <w:rFonts w:ascii="宋体" w:hAnsi="宋体"/>
          <w:sz w:val="24"/>
        </w:rPr>
        <w:pict>
          <v:line id="_x0000_s2094" o:spid="_x0000_s2094" o:spt="20" style="position:absolute;left:0pt;margin-left:334.1pt;margin-top:0pt;height:0pt;width:60pt;z-index:-251624448;mso-width-relative:page;mso-height-relative:page;" coordsize="21600,21600" o:allowincell="f" o:gfxdata="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xP+D0QAAAAUBAAAPAAAAAAAAAAEAIAAAACIAAABkcnMvZG93&#10;bnJldi54bWxQSwECFAAUAAAACACHTuJAxmD5vM4BAACLAwAADgAAAAAAAAABACAAAAAgAQAAZHJz&#10;L2Uyb0RvYy54bWxQSwUGAAAAAAYABgBZAQAAYAUAAAAA&#10;">
            <v:path arrowok="t"/>
            <v:fill focussize="0,0"/>
            <v:stroke weight="0.6pt"/>
            <v:imagedata o:title=""/>
            <o:lock v:ext="edit"/>
          </v:line>
        </w:pict>
      </w:r>
    </w:p>
    <w:p>
      <w:pPr>
        <w:spacing w:line="200" w:lineRule="exact"/>
        <w:rPr>
          <w:rFonts w:eastAsia="Times New Roman"/>
        </w:rPr>
      </w:pPr>
    </w:p>
    <w:p>
      <w:pPr>
        <w:spacing w:line="205" w:lineRule="exact"/>
        <w:rPr>
          <w:rFonts w:eastAsia="Times New Roman"/>
        </w:rPr>
      </w:pPr>
    </w:p>
    <w:p>
      <w:pPr>
        <w:tabs>
          <w:tab w:val="left" w:pos="6580"/>
          <w:tab w:val="left" w:pos="7300"/>
        </w:tabs>
        <w:spacing w:line="0" w:lineRule="atLeast"/>
        <w:ind w:left="5880"/>
        <w:rPr>
          <w:rFonts w:ascii="宋体" w:hAnsi="宋体"/>
          <w:sz w:val="24"/>
        </w:rPr>
      </w:pPr>
      <w:r>
        <w:rPr>
          <w:rFonts w:ascii="宋体" w:hAnsi="宋体"/>
          <w:sz w:val="24"/>
        </w:rPr>
        <w:t>年</w:t>
      </w:r>
      <w:r>
        <w:rPr>
          <w:rFonts w:eastAsia="Times New Roman"/>
        </w:rPr>
        <w:tab/>
      </w:r>
      <w:r>
        <w:rPr>
          <w:rFonts w:ascii="宋体" w:hAnsi="宋体"/>
          <w:sz w:val="24"/>
        </w:rPr>
        <w:t>月</w:t>
      </w:r>
      <w:r>
        <w:rPr>
          <w:rFonts w:eastAsia="Times New Roman"/>
        </w:rPr>
        <w:tab/>
      </w:r>
      <w:r>
        <w:rPr>
          <w:rFonts w:ascii="宋体" w:hAnsi="宋体"/>
          <w:sz w:val="24"/>
        </w:rPr>
        <w:t>日</w:t>
      </w:r>
    </w:p>
    <w:p>
      <w:pPr>
        <w:spacing w:line="200" w:lineRule="exact"/>
        <w:rPr>
          <w:rFonts w:eastAsia="Times New Roman"/>
        </w:rPr>
      </w:pPr>
      <w:r>
        <w:rPr>
          <w:rFonts w:ascii="宋体" w:hAnsi="宋体"/>
          <w:sz w:val="24"/>
        </w:rPr>
        <w:pict>
          <v:line id="_x0000_s2093" o:spid="_x0000_s2093" o:spt="20" style="position:absolute;left:0pt;margin-left:246.25pt;margin-top:0pt;height:0pt;width:48pt;z-index:-251623424;mso-width-relative:page;mso-height-relative:page;" coordsize="21600,21600" o:allowincell="f" o:gfxdata="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bsEldQAAAAFAQAADwAAAAAAAAABACAAAAAiAAAA&#10;ZHJzL2Rvd25yZXYueG1sUEsBAhQAFAAAAAgAh07iQB265CfSAQAAiwMAAA4AAAAAAAAAAQAgAAAA&#10;IwEAAGRycy9lMm9Eb2MueG1sUEsFBgAAAAAGAAYAWQEAAGcFAAAAAA==&#10;">
            <v:path arrowok="t"/>
            <v:fill focussize="0,0"/>
            <v:stroke weight="0.59992125984252pt"/>
            <v:imagedata o:title=""/>
            <o:lock v:ext="edit"/>
          </v:line>
        </w:pict>
      </w:r>
      <w:r>
        <w:rPr>
          <w:rFonts w:ascii="宋体" w:hAnsi="宋体"/>
          <w:sz w:val="24"/>
        </w:rPr>
        <w:pict>
          <v:line id="_x0000_s2092" o:spid="_x0000_s2092" o:spt="20" style="position:absolute;left:0pt;margin-left:306.25pt;margin-top:0pt;height:0pt;width:24pt;z-index:-251622400;mso-width-relative:page;mso-height-relative:page;" coordsize="21600,21600" o:allowincell="f" o:gfxdata="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OUO9MAAAAFAQAADwAAAAAAAAABACAAAAAiAAAA&#10;ZHJzL2Rvd25yZXYueG1sUEsBAhQAFAAAAAgAh07iQC9I08PTAQAAiwMAAA4AAAAAAAAAAQAgAAAA&#10;IgEAAGRycy9lMm9Eb2MueG1sUEsFBgAAAAAGAAYAWQEAAGcFAAAAAA==&#10;">
            <v:path arrowok="t"/>
            <v:fill focussize="0,0"/>
            <v:stroke weight="0.59992125984252pt"/>
            <v:imagedata o:title=""/>
            <o:lock v:ext="edit"/>
          </v:line>
        </w:pict>
      </w:r>
      <w:r>
        <w:rPr>
          <w:rFonts w:ascii="宋体" w:hAnsi="宋体"/>
          <w:sz w:val="24"/>
        </w:rPr>
        <w:pict>
          <v:line id="_x0000_s2091" o:spid="_x0000_s2091" o:spt="20" style="position:absolute;left:0pt;margin-left:342.25pt;margin-top:0pt;height:0pt;width:24pt;z-index:-251621376;mso-width-relative:page;mso-height-relative:page;" coordsize="21600,21600" o:allowincell="f" o:gfxdata="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NzmldQAAAAFAQAADwAAAAAAAAABACAAAAAiAAAA&#10;ZHJzL2Rvd25yZXYueG1sUEsBAhQAFAAAAAgAh07iQPSNMsnSAQAAiwMAAA4AAAAAAAAAAQAgAAAA&#10;IwEAAGRycy9lMm9Eb2MueG1sUEsFBgAAAAAGAAYAWQEAAGcFA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5" w:lineRule="exact"/>
        <w:rPr>
          <w:rFonts w:ascii="宋体" w:hAnsi="宋体"/>
          <w:sz w:val="18"/>
        </w:rPr>
      </w:pPr>
    </w:p>
    <w:p>
      <w:pPr>
        <w:spacing w:line="239" w:lineRule="auto"/>
        <w:rPr>
          <w:sz w:val="18"/>
        </w:rPr>
        <w:sectPr>
          <w:headerReference r:id="rId11" w:type="default"/>
          <w:footerReference r:id="rId12" w:type="default"/>
          <w:pgSz w:w="11906" w:h="16838"/>
          <w:pgMar w:top="1440" w:right="1440" w:bottom="1440" w:left="1440" w:header="567" w:footer="567" w:gutter="0"/>
          <w:cols w:space="720" w:num="1"/>
          <w:docGrid w:linePitch="360" w:charSpace="0"/>
        </w:sectPr>
      </w:pPr>
    </w:p>
    <w:p>
      <w:pPr>
        <w:spacing w:line="239" w:lineRule="auto"/>
        <w:rPr>
          <w:rFonts w:eastAsia="Times New Roman"/>
        </w:rPr>
      </w:pPr>
      <w:bookmarkStart w:id="35" w:name="page74"/>
      <w:bookmarkEnd w:id="35"/>
    </w:p>
    <w:p>
      <w:pPr>
        <w:spacing w:line="200" w:lineRule="exact"/>
      </w:pPr>
      <w:bookmarkStart w:id="36" w:name="page121"/>
      <w:bookmarkEnd w:id="36"/>
      <w:bookmarkStart w:id="37" w:name="page77"/>
      <w:bookmarkEnd w:id="37"/>
      <w:bookmarkStart w:id="38" w:name="page78"/>
      <w:bookmarkEnd w:id="38"/>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482"/>
        <w:jc w:val="center"/>
        <w:rPr>
          <w:b/>
          <w:sz w:val="48"/>
        </w:rPr>
      </w:pPr>
      <w:r>
        <w:rPr>
          <w:rFonts w:hint="eastAsia"/>
          <w:b/>
          <w:sz w:val="48"/>
        </w:rPr>
        <w:t>第三章   评标办法</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widowControl w:val="0"/>
        <w:jc w:val="both"/>
        <w:outlineLvl w:val="0"/>
        <w:rPr>
          <w:rFonts w:ascii="黑体" w:hAnsi="黑体" w:eastAsia="黑体"/>
          <w:sz w:val="44"/>
          <w:szCs w:val="44"/>
        </w:rPr>
      </w:pPr>
    </w:p>
    <w:p>
      <w:pPr>
        <w:widowControl w:val="0"/>
        <w:jc w:val="center"/>
        <w:outlineLvl w:val="0"/>
        <w:rPr>
          <w:rFonts w:ascii="黑体" w:hAnsi="黑体" w:eastAsia="黑体"/>
          <w:sz w:val="44"/>
          <w:szCs w:val="44"/>
        </w:rPr>
      </w:pPr>
      <w:r>
        <w:rPr>
          <w:rFonts w:hint="eastAsia" w:ascii="黑体" w:hAnsi="黑体" w:eastAsia="黑体"/>
          <w:sz w:val="44"/>
          <w:szCs w:val="44"/>
        </w:rPr>
        <w:br w:type="page"/>
      </w:r>
    </w:p>
    <w:p>
      <w:pPr>
        <w:widowControl w:val="0"/>
        <w:jc w:val="center"/>
        <w:outlineLvl w:val="0"/>
        <w:rPr>
          <w:rFonts w:ascii="黑体" w:eastAsia="黑体"/>
          <w:sz w:val="44"/>
          <w:szCs w:val="44"/>
        </w:rPr>
      </w:pPr>
      <w:r>
        <w:rPr>
          <w:rFonts w:hint="eastAsia" w:ascii="黑体" w:hAnsi="黑体" w:eastAsia="黑体"/>
          <w:sz w:val="44"/>
          <w:szCs w:val="44"/>
        </w:rPr>
        <w:t>第三章评标办法</w:t>
      </w:r>
    </w:p>
    <w:p>
      <w:pPr>
        <w:jc w:val="center"/>
        <w:outlineLvl w:val="0"/>
        <w:rPr>
          <w:rFonts w:ascii="宋体" w:hAnsi="宋体"/>
          <w:sz w:val="32"/>
          <w:szCs w:val="32"/>
        </w:rPr>
      </w:pPr>
      <w:r>
        <w:rPr>
          <w:rFonts w:hint="eastAsia" w:ascii="宋体" w:hAnsi="宋体"/>
          <w:sz w:val="32"/>
          <w:szCs w:val="32"/>
        </w:rPr>
        <w:t>评标办法(技术评分最低标价法)</w:t>
      </w:r>
    </w:p>
    <w:p>
      <w:pPr>
        <w:rPr>
          <w:rFonts w:ascii="新宋体" w:hAnsi="新宋体" w:eastAsia="新宋体"/>
          <w:sz w:val="24"/>
          <w:szCs w:val="24"/>
        </w:rPr>
      </w:pPr>
    </w:p>
    <w:p>
      <w:pPr>
        <w:rPr>
          <w:rFonts w:hint="eastAsia" w:ascii="新宋体" w:hAnsi="新宋体" w:eastAsia="新宋体"/>
          <w:sz w:val="24"/>
          <w:szCs w:val="24"/>
        </w:rPr>
      </w:pPr>
      <w:r>
        <w:rPr>
          <w:rFonts w:hint="eastAsia" w:ascii="新宋体" w:hAnsi="新宋体" w:eastAsia="新宋体"/>
          <w:sz w:val="24"/>
          <w:szCs w:val="24"/>
        </w:rPr>
        <w:t>评标依据：公路工程标准施工招标文件2018版。评标应遵循公正、公平、择优的原则严格按照招标文件进行。</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评标办法前附表</w:t>
      </w:r>
    </w:p>
    <w:tbl>
      <w:tblPr>
        <w:tblStyle w:val="10"/>
        <w:tblW w:w="9813" w:type="dxa"/>
        <w:jc w:val="center"/>
        <w:tblInd w:w="-5" w:type="dxa"/>
        <w:tblLayout w:type="fixed"/>
        <w:tblCellMar>
          <w:top w:w="0" w:type="dxa"/>
          <w:left w:w="0" w:type="dxa"/>
          <w:bottom w:w="0" w:type="dxa"/>
          <w:right w:w="0" w:type="dxa"/>
        </w:tblCellMar>
      </w:tblPr>
      <w:tblGrid>
        <w:gridCol w:w="1239"/>
        <w:gridCol w:w="1134"/>
        <w:gridCol w:w="7440"/>
      </w:tblGrid>
      <w:tr>
        <w:tblPrEx>
          <w:tblLayout w:type="fixed"/>
          <w:tblCellMar>
            <w:top w:w="0" w:type="dxa"/>
            <w:left w:w="0" w:type="dxa"/>
            <w:bottom w:w="0" w:type="dxa"/>
            <w:right w:w="0" w:type="dxa"/>
          </w:tblCellMar>
        </w:tblPrEx>
        <w:trPr>
          <w:trHeight w:val="304" w:hRule="atLeast"/>
          <w:jc w:val="center"/>
        </w:trPr>
        <w:tc>
          <w:tcPr>
            <w:tcW w:w="1239" w:type="dxa"/>
            <w:tcBorders>
              <w:top w:val="single" w:color="000000" w:sz="4" w:space="0"/>
              <w:left w:val="single" w:color="000000" w:sz="4" w:space="0"/>
              <w:bottom w:val="single" w:color="000000" w:sz="4" w:space="0"/>
              <w:right w:val="single" w:color="auto" w:sz="4" w:space="0"/>
            </w:tcBorders>
            <w:vAlign w:val="center"/>
          </w:tcPr>
          <w:p>
            <w:pPr>
              <w:widowControl w:val="0"/>
              <w:jc w:val="center"/>
              <w:rPr>
                <w:rFonts w:ascii="宋体" w:hAnsi="宋体"/>
                <w:b/>
                <w:bCs/>
                <w:kern w:val="2"/>
                <w:sz w:val="21"/>
                <w:szCs w:val="21"/>
              </w:rPr>
            </w:pPr>
            <w:r>
              <w:rPr>
                <w:rFonts w:hint="eastAsia" w:ascii="宋体" w:hAnsi="宋体"/>
                <w:b/>
                <w:bCs/>
              </w:rPr>
              <w:t>条款号</w:t>
            </w:r>
          </w:p>
        </w:tc>
        <w:tc>
          <w:tcPr>
            <w:tcW w:w="1134"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条款内容</w:t>
            </w:r>
          </w:p>
        </w:tc>
        <w:tc>
          <w:tcPr>
            <w:tcW w:w="7440"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评审因素与标准</w:t>
            </w:r>
          </w:p>
        </w:tc>
      </w:tr>
      <w:tr>
        <w:tblPrEx>
          <w:tblLayout w:type="fixed"/>
          <w:tblCellMar>
            <w:top w:w="0" w:type="dxa"/>
            <w:left w:w="0" w:type="dxa"/>
            <w:bottom w:w="0" w:type="dxa"/>
            <w:right w:w="0" w:type="dxa"/>
          </w:tblCellMar>
        </w:tblPrEx>
        <w:trPr>
          <w:trHeight w:val="304" w:hRule="atLeast"/>
          <w:jc w:val="center"/>
        </w:trPr>
        <w:tc>
          <w:tcPr>
            <w:tcW w:w="1239"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rPr>
                <w:rFonts w:ascii="宋体" w:hAnsi="宋体"/>
                <w:sz w:val="21"/>
                <w:szCs w:val="22"/>
              </w:rPr>
            </w:pPr>
            <w:r>
              <w:rPr>
                <w:rFonts w:hint="eastAsia" w:ascii="宋体" w:hAnsi="宋体"/>
                <w:sz w:val="21"/>
                <w:szCs w:val="22"/>
              </w:rPr>
              <w:t>1</w:t>
            </w:r>
          </w:p>
        </w:tc>
        <w:tc>
          <w:tcPr>
            <w:tcW w:w="113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评标方法</w:t>
            </w:r>
          </w:p>
        </w:tc>
        <w:tc>
          <w:tcPr>
            <w:tcW w:w="7440" w:type="dxa"/>
            <w:tcBorders>
              <w:top w:val="single" w:color="000000" w:sz="4" w:space="0"/>
              <w:left w:val="nil"/>
              <w:bottom w:val="single" w:color="000000" w:sz="4" w:space="0"/>
              <w:right w:val="single" w:color="000000" w:sz="4" w:space="0"/>
            </w:tcBorders>
            <w:vAlign w:val="center"/>
          </w:tcPr>
          <w:p>
            <w:pPr>
              <w:spacing w:line="400" w:lineRule="exact"/>
            </w:pPr>
            <w:r>
              <w:rPr>
                <w:rFonts w:hint="eastAsia"/>
              </w:rPr>
              <w:t xml:space="preserve">评标价相等时，评标委员会依次按照以下优先顺序推荐中标候选人或确定中标人： </w:t>
            </w:r>
          </w:p>
          <w:p>
            <w:pPr>
              <w:spacing w:line="400" w:lineRule="exact"/>
            </w:pPr>
            <w:r>
              <w:rPr>
                <w:rFonts w:hint="eastAsia"/>
              </w:rPr>
              <w:t xml:space="preserve">（1）投标报价低的投标人优先； </w:t>
            </w:r>
          </w:p>
          <w:p>
            <w:pPr>
              <w:spacing w:line="400" w:lineRule="exact"/>
            </w:pPr>
            <w:r>
              <w:rPr>
                <w:rFonts w:hint="eastAsia"/>
              </w:rPr>
              <w:t>（2）被招标项目所在地省级交通运输主管部门评为较高信用等级的投标人优先；</w:t>
            </w:r>
          </w:p>
          <w:p>
            <w:pPr>
              <w:spacing w:line="400" w:lineRule="exact"/>
            </w:pPr>
            <w:r>
              <w:rPr>
                <w:rFonts w:hint="eastAsia"/>
              </w:rPr>
              <w:t>（3）商务和技术得分较高的投标人优先。</w:t>
            </w:r>
          </w:p>
        </w:tc>
      </w:tr>
      <w:tr>
        <w:tblPrEx>
          <w:tblLayout w:type="fixed"/>
          <w:tblCellMar>
            <w:top w:w="0" w:type="dxa"/>
            <w:left w:w="0" w:type="dxa"/>
            <w:bottom w:w="0" w:type="dxa"/>
            <w:right w:w="0" w:type="dxa"/>
          </w:tblCellMar>
        </w:tblPrEx>
        <w:trPr>
          <w:trHeight w:val="4988"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2.1.1</w:t>
            </w:r>
          </w:p>
          <w:p>
            <w:pPr>
              <w:widowControl w:val="0"/>
              <w:jc w:val="center"/>
              <w:rPr>
                <w:rFonts w:ascii="宋体" w:hAnsi="宋体"/>
                <w:kern w:val="2"/>
                <w:sz w:val="21"/>
                <w:szCs w:val="21"/>
              </w:rPr>
            </w:pPr>
            <w:r>
              <w:rPr>
                <w:rFonts w:hint="eastAsia" w:ascii="宋体" w:hAnsi="宋体"/>
              </w:rPr>
              <w:t>2.1.3</w:t>
            </w:r>
          </w:p>
        </w:tc>
        <w:tc>
          <w:tcPr>
            <w:tcW w:w="113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形式评审与</w:t>
            </w:r>
          </w:p>
          <w:p>
            <w:pPr>
              <w:jc w:val="center"/>
              <w:rPr>
                <w:rFonts w:ascii="宋体" w:hAnsi="宋体"/>
              </w:rPr>
            </w:pPr>
            <w:r>
              <w:rPr>
                <w:rFonts w:hint="eastAsia" w:ascii="宋体" w:hAnsi="宋体"/>
              </w:rPr>
              <w:t>响应性评审</w:t>
            </w:r>
          </w:p>
          <w:p>
            <w:pPr>
              <w:widowControl w:val="0"/>
              <w:jc w:val="center"/>
              <w:rPr>
                <w:rFonts w:ascii="宋体" w:hAnsi="宋体"/>
                <w:kern w:val="2"/>
                <w:sz w:val="21"/>
                <w:szCs w:val="21"/>
              </w:rPr>
            </w:pPr>
            <w:r>
              <w:rPr>
                <w:rFonts w:hint="eastAsia" w:ascii="宋体" w:hAnsi="宋体"/>
              </w:rPr>
              <w:t>标准</w:t>
            </w:r>
          </w:p>
        </w:tc>
        <w:tc>
          <w:tcPr>
            <w:tcW w:w="744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b/>
                <w:bCs/>
              </w:rPr>
            </w:pPr>
            <w:r>
              <w:rPr>
                <w:rFonts w:hint="eastAsia" w:ascii="宋体" w:hAnsi="宋体"/>
                <w:b/>
                <w:bCs/>
              </w:rPr>
              <w:t>第一个信封（商务及技术文件）评审标准：</w:t>
            </w:r>
          </w:p>
          <w:p>
            <w:pPr>
              <w:spacing w:line="400" w:lineRule="exact"/>
              <w:ind w:firstLine="400" w:firstLineChars="200"/>
              <w:rPr>
                <w:rFonts w:ascii="宋体" w:hAnsi="宋体"/>
              </w:rPr>
            </w:pPr>
            <w:r>
              <w:rPr>
                <w:rFonts w:hint="eastAsia" w:ascii="宋体" w:hAnsi="宋体"/>
              </w:rPr>
              <w:t>(1)投标文件按照招标文件规定的格式、内容填写，字迹清晰可辨：</w:t>
            </w:r>
          </w:p>
          <w:p>
            <w:pPr>
              <w:spacing w:line="400" w:lineRule="exact"/>
              <w:ind w:firstLine="400" w:firstLineChars="200"/>
              <w:rPr>
                <w:rFonts w:ascii="宋体" w:hAnsi="宋体"/>
              </w:rPr>
            </w:pPr>
            <w:r>
              <w:rPr>
                <w:rFonts w:hint="eastAsia" w:ascii="宋体" w:hAnsi="宋体"/>
              </w:rPr>
              <w:t>a.投标函按招标文件规定填报了工期、工程质量目标；</w:t>
            </w:r>
          </w:p>
          <w:p>
            <w:pPr>
              <w:spacing w:line="400" w:lineRule="exact"/>
              <w:ind w:firstLine="400" w:firstLineChars="200"/>
              <w:rPr>
                <w:rFonts w:ascii="宋体" w:hAnsi="宋体"/>
              </w:rPr>
            </w:pPr>
            <w:r>
              <w:rPr>
                <w:rFonts w:hint="eastAsia" w:ascii="宋体" w:hAnsi="宋体"/>
              </w:rPr>
              <w:t>b.投标函附录的所有数据均符合招标文件规定；</w:t>
            </w:r>
          </w:p>
          <w:p>
            <w:pPr>
              <w:spacing w:line="400" w:lineRule="exact"/>
              <w:ind w:firstLine="400" w:firstLineChars="200"/>
              <w:rPr>
                <w:rFonts w:ascii="宋体" w:hAnsi="宋体"/>
              </w:rPr>
            </w:pPr>
            <w:r>
              <w:rPr>
                <w:rFonts w:hint="eastAsia" w:ascii="宋体" w:hAnsi="宋体"/>
              </w:rPr>
              <w:t>c.按照招标文件规定的格式、内容编制了施工组织设计及项目管理</w:t>
            </w:r>
          </w:p>
          <w:p>
            <w:pPr>
              <w:spacing w:line="400" w:lineRule="exact"/>
              <w:ind w:firstLine="400" w:firstLineChars="200"/>
              <w:rPr>
                <w:rFonts w:ascii="宋体" w:hAnsi="宋体"/>
              </w:rPr>
            </w:pPr>
            <w:r>
              <w:rPr>
                <w:rFonts w:hint="eastAsia" w:ascii="宋体" w:hAnsi="宋体"/>
              </w:rPr>
              <w:t>机构相关图表；</w:t>
            </w:r>
          </w:p>
          <w:p>
            <w:pPr>
              <w:spacing w:line="400" w:lineRule="exact"/>
              <w:ind w:firstLine="400" w:firstLineChars="200"/>
              <w:rPr>
                <w:rFonts w:ascii="宋体" w:hAnsi="宋体"/>
              </w:rPr>
            </w:pPr>
            <w:r>
              <w:rPr>
                <w:rFonts w:hint="eastAsia" w:ascii="宋体" w:hAnsi="宋体"/>
              </w:rPr>
              <w:t>d.投标文件组成齐全完整，内容均按规定填写。</w:t>
            </w:r>
          </w:p>
          <w:p>
            <w:pPr>
              <w:spacing w:line="400" w:lineRule="exact"/>
              <w:ind w:firstLine="400" w:firstLineChars="200"/>
              <w:rPr>
                <w:rFonts w:ascii="宋体" w:hAnsi="宋体"/>
              </w:rPr>
            </w:pPr>
            <w:r>
              <w:rPr>
                <w:rFonts w:hint="eastAsia" w:ascii="宋体" w:hAnsi="宋体"/>
              </w:rPr>
              <w:t>(2) 投标文件上法定代表人或其授权代理人的签字、投标人的单位章盖章齐全，符合招标文件规定。</w:t>
            </w:r>
          </w:p>
          <w:p>
            <w:pPr>
              <w:spacing w:line="400" w:lineRule="exact"/>
              <w:ind w:firstLine="400" w:firstLineChars="200"/>
              <w:rPr>
                <w:rFonts w:ascii="宋体" w:hAnsi="宋体"/>
              </w:rPr>
            </w:pPr>
            <w:r>
              <w:rPr>
                <w:rFonts w:hint="eastAsia" w:ascii="宋体" w:hAnsi="宋体"/>
              </w:rPr>
              <w:t>(3) 投标人按照招标文件的规定提供了投标保证金</w:t>
            </w:r>
          </w:p>
          <w:p>
            <w:pPr>
              <w:spacing w:line="400" w:lineRule="exact"/>
              <w:ind w:firstLine="400" w:firstLineChars="200"/>
              <w:rPr>
                <w:rFonts w:ascii="宋体" w:hAnsi="宋体"/>
              </w:rPr>
            </w:pPr>
            <w:r>
              <w:rPr>
                <w:rFonts w:hint="eastAsia" w:ascii="宋体" w:hAnsi="宋体"/>
              </w:rPr>
              <w:t>(4)投标人法定代表人授权委托代理人签署投标文件的，须提交授权委托书，且授权人和被授权人均在授权委托书上签名，未使用印章、 签名章或其他电子制版签名代替。</w:t>
            </w:r>
          </w:p>
          <w:p>
            <w:pPr>
              <w:spacing w:line="400" w:lineRule="exact"/>
              <w:ind w:firstLine="400" w:firstLineChars="200"/>
              <w:rPr>
                <w:rFonts w:ascii="宋体" w:hAnsi="宋体"/>
              </w:rPr>
            </w:pPr>
            <w:r>
              <w:rPr>
                <w:rFonts w:hint="eastAsia" w:ascii="宋体" w:hAnsi="宋体"/>
              </w:rPr>
              <w:t>（5）投标人法定代表人亲自签署投标文件的，提供了法定代表人身份证明，且法定代表人在法定代表人身份证明上签名，未使用印章、 签名章或其他电子制版签名代替。</w:t>
            </w:r>
          </w:p>
          <w:p>
            <w:pPr>
              <w:spacing w:line="400" w:lineRule="exact"/>
              <w:ind w:firstLine="400" w:firstLineChars="200"/>
              <w:rPr>
                <w:rFonts w:ascii="宋体" w:hAnsi="宋体"/>
              </w:rPr>
            </w:pPr>
            <w:r>
              <w:rPr>
                <w:rFonts w:hint="eastAsia" w:ascii="宋体" w:hAnsi="宋体"/>
              </w:rPr>
              <w:t>(6)投标文件中未出现有关投标报价的内容。</w:t>
            </w:r>
          </w:p>
          <w:p>
            <w:pPr>
              <w:spacing w:line="400" w:lineRule="exact"/>
              <w:ind w:firstLine="400" w:firstLineChars="200"/>
              <w:rPr>
                <w:rFonts w:ascii="宋体" w:hAnsi="宋体"/>
              </w:rPr>
            </w:pPr>
            <w:r>
              <w:rPr>
                <w:rFonts w:hint="eastAsia" w:ascii="宋体" w:hAnsi="宋体"/>
              </w:rPr>
              <w:t>(7)投标文件载明的招标项目完成期限未超过招标文件规定的时限。</w:t>
            </w:r>
          </w:p>
          <w:p>
            <w:pPr>
              <w:spacing w:line="400" w:lineRule="exact"/>
              <w:ind w:firstLine="400" w:firstLineChars="200"/>
              <w:rPr>
                <w:rFonts w:ascii="宋体" w:hAnsi="宋体"/>
              </w:rPr>
            </w:pPr>
            <w:r>
              <w:rPr>
                <w:rFonts w:hint="eastAsia" w:ascii="宋体" w:hAnsi="宋体"/>
              </w:rPr>
              <w:t>(8)投标文件对招标文件的实质性要求和条件作出响应。</w:t>
            </w:r>
          </w:p>
          <w:p>
            <w:pPr>
              <w:spacing w:line="400" w:lineRule="exact"/>
              <w:ind w:firstLine="400" w:firstLineChars="200"/>
              <w:rPr>
                <w:rFonts w:ascii="宋体" w:hAnsi="宋体"/>
              </w:rPr>
            </w:pPr>
            <w:r>
              <w:rPr>
                <w:rFonts w:hint="eastAsia" w:ascii="宋体" w:hAnsi="宋体"/>
              </w:rPr>
              <w:t>(9)权利义务符合招标文件规定：</w:t>
            </w:r>
          </w:p>
          <w:p>
            <w:pPr>
              <w:spacing w:line="400" w:lineRule="exact"/>
              <w:ind w:firstLine="400" w:firstLineChars="200"/>
              <w:rPr>
                <w:rFonts w:ascii="宋体" w:hAnsi="宋体"/>
              </w:rPr>
            </w:pPr>
            <w:r>
              <w:rPr>
                <w:rFonts w:hint="eastAsia" w:ascii="宋体" w:hAnsi="宋体"/>
              </w:rPr>
              <w:t>a.投标人应接受招标文件规定的风险划分原则，未提出新的风险划分办法；</w:t>
            </w:r>
          </w:p>
          <w:p>
            <w:pPr>
              <w:spacing w:line="400" w:lineRule="exact"/>
              <w:ind w:firstLine="400" w:firstLineChars="200"/>
              <w:rPr>
                <w:rFonts w:ascii="宋体" w:hAnsi="宋体"/>
              </w:rPr>
            </w:pPr>
            <w:r>
              <w:rPr>
                <w:rFonts w:hint="eastAsia" w:ascii="宋体" w:hAnsi="宋体"/>
              </w:rPr>
              <w:t>b.投标人未增加发包人的责任范围，或减少投标人义务；</w:t>
            </w:r>
          </w:p>
          <w:p>
            <w:pPr>
              <w:spacing w:line="400" w:lineRule="exact"/>
              <w:ind w:firstLine="400" w:firstLineChars="200"/>
              <w:rPr>
                <w:rFonts w:ascii="宋体" w:hAnsi="宋体"/>
              </w:rPr>
            </w:pPr>
            <w:r>
              <w:rPr>
                <w:rFonts w:hint="eastAsia" w:ascii="宋体" w:hAnsi="宋体"/>
              </w:rPr>
              <w:t>c.投标人未提出不同的工程验收、计量、支付办法；</w:t>
            </w:r>
          </w:p>
          <w:p>
            <w:pPr>
              <w:spacing w:line="400" w:lineRule="exact"/>
              <w:ind w:firstLine="400" w:firstLineChars="200"/>
              <w:rPr>
                <w:rFonts w:ascii="宋体" w:hAnsi="宋体"/>
              </w:rPr>
            </w:pPr>
            <w:r>
              <w:rPr>
                <w:rFonts w:hint="eastAsia" w:ascii="宋体" w:hAnsi="宋体"/>
              </w:rPr>
              <w:t>d.投标人对合同纠纷、事故处理办法未提出异议；</w:t>
            </w:r>
          </w:p>
          <w:p>
            <w:pPr>
              <w:spacing w:line="400" w:lineRule="exact"/>
              <w:ind w:firstLine="400" w:firstLineChars="200"/>
              <w:rPr>
                <w:rFonts w:ascii="宋体" w:hAnsi="宋体"/>
              </w:rPr>
            </w:pPr>
            <w:r>
              <w:rPr>
                <w:rFonts w:hint="eastAsia" w:ascii="宋体" w:hAnsi="宋体"/>
              </w:rPr>
              <w:t>e.投标人在投标活动中无欺诈行为；</w:t>
            </w:r>
          </w:p>
          <w:p>
            <w:pPr>
              <w:spacing w:line="400" w:lineRule="exact"/>
              <w:ind w:firstLine="400" w:firstLineChars="200"/>
              <w:rPr>
                <w:rFonts w:ascii="宋体" w:hAnsi="宋体"/>
              </w:rPr>
            </w:pPr>
            <w:r>
              <w:rPr>
                <w:rFonts w:hint="eastAsia" w:ascii="宋体" w:hAnsi="宋体"/>
              </w:rPr>
              <w:t>f.投标人未对合同条款有重要保留。</w:t>
            </w:r>
          </w:p>
          <w:p>
            <w:pPr>
              <w:spacing w:line="400" w:lineRule="exact"/>
              <w:ind w:firstLine="400" w:firstLineChars="200"/>
              <w:rPr>
                <w:rFonts w:ascii="宋体" w:hAnsi="宋体"/>
              </w:rPr>
            </w:pPr>
            <w:r>
              <w:rPr>
                <w:rFonts w:hint="eastAsia" w:ascii="宋体" w:hAnsi="宋体"/>
              </w:rPr>
              <w:t>(10)投标文件正、副本份数符合招标文件第二章“投标人须知”第3.7.4 项规定。</w:t>
            </w:r>
          </w:p>
          <w:p>
            <w:pPr>
              <w:spacing w:line="400" w:lineRule="exact"/>
              <w:rPr>
                <w:rFonts w:ascii="宋体" w:hAnsi="宋体"/>
                <w:b/>
                <w:bCs/>
              </w:rPr>
            </w:pPr>
            <w:r>
              <w:rPr>
                <w:rFonts w:hint="eastAsia" w:ascii="宋体" w:hAnsi="宋体"/>
                <w:b/>
                <w:bCs/>
              </w:rPr>
              <w:t>第二个信封（报价文件）评审标准：</w:t>
            </w:r>
          </w:p>
          <w:p>
            <w:pPr>
              <w:spacing w:line="400" w:lineRule="exact"/>
              <w:ind w:firstLine="400" w:firstLineChars="200"/>
              <w:rPr>
                <w:rFonts w:ascii="宋体" w:hAnsi="宋体"/>
              </w:rPr>
            </w:pPr>
            <w:r>
              <w:rPr>
                <w:rFonts w:hint="eastAsia" w:ascii="宋体" w:hAnsi="宋体"/>
              </w:rPr>
              <w:t>(1)投标文件按照招标文件规定的格式、内容填写，字迹清晰可辨，内容齐全完整：</w:t>
            </w:r>
          </w:p>
          <w:p>
            <w:pPr>
              <w:spacing w:line="400" w:lineRule="exact"/>
              <w:ind w:firstLine="400" w:firstLineChars="200"/>
              <w:rPr>
                <w:rFonts w:ascii="宋体" w:hAnsi="宋体"/>
              </w:rPr>
            </w:pPr>
            <w:r>
              <w:rPr>
                <w:rFonts w:hint="eastAsia" w:ascii="宋体" w:hAnsi="宋体"/>
              </w:rPr>
              <w:t>a.投标函按招标文件规定填报了投标价（包括大写金额和小写金额），且投标价未超过招标文件设定的最高投标限价（如有）；</w:t>
            </w:r>
          </w:p>
          <w:p>
            <w:pPr>
              <w:spacing w:line="400" w:lineRule="exact"/>
              <w:ind w:firstLine="400" w:firstLineChars="200"/>
              <w:rPr>
                <w:rFonts w:ascii="宋体" w:hAnsi="宋体"/>
              </w:rPr>
            </w:pPr>
            <w:r>
              <w:rPr>
                <w:rFonts w:hint="eastAsia" w:ascii="宋体" w:hAnsi="宋体"/>
              </w:rPr>
              <w:t>b.已标价工程量清单说明文字与招标文件规定一致，未进行修改和删减。</w:t>
            </w:r>
          </w:p>
          <w:p>
            <w:pPr>
              <w:spacing w:line="400" w:lineRule="exact"/>
              <w:ind w:firstLine="400" w:firstLineChars="200"/>
              <w:rPr>
                <w:rFonts w:ascii="宋体" w:hAnsi="宋体"/>
              </w:rPr>
            </w:pPr>
            <w:r>
              <w:rPr>
                <w:rFonts w:hint="eastAsia" w:ascii="宋体" w:hAnsi="宋体"/>
              </w:rPr>
              <w:t>(2)投标文件上法定代表人或其授权代理人的签字、投标人的单位章盖章齐全，符合招标文件规定。</w:t>
            </w:r>
          </w:p>
          <w:p>
            <w:pPr>
              <w:spacing w:line="400" w:lineRule="exact"/>
              <w:ind w:firstLine="400" w:firstLineChars="200"/>
              <w:rPr>
                <w:rFonts w:ascii="宋体" w:hAnsi="宋体"/>
              </w:rPr>
            </w:pPr>
            <w:r>
              <w:rPr>
                <w:rFonts w:hint="eastAsia" w:ascii="宋体" w:hAnsi="宋体"/>
              </w:rPr>
              <w:t>(3)同一投标人未提交两个以上不同的投标报价，但招标文件要求提交备选投标的除外。</w:t>
            </w:r>
          </w:p>
          <w:p>
            <w:pPr>
              <w:spacing w:line="400" w:lineRule="exact"/>
              <w:ind w:firstLine="400" w:firstLineChars="200"/>
              <w:rPr>
                <w:rFonts w:ascii="宋体" w:hAnsi="宋体"/>
              </w:rPr>
            </w:pPr>
            <w:r>
              <w:rPr>
                <w:rFonts w:hint="eastAsia" w:ascii="宋体" w:hAnsi="宋体"/>
              </w:rPr>
              <w:t>(4)投标人若填写工程量固化清单，填写完毕的工程量固化清单未对工程量固化清单电子文件中的数据、格式和运算定义进行修改。</w:t>
            </w:r>
          </w:p>
          <w:p>
            <w:pPr>
              <w:spacing w:line="400" w:lineRule="exact"/>
              <w:ind w:firstLine="400" w:firstLineChars="200"/>
              <w:rPr>
                <w:rFonts w:ascii="宋体" w:hAnsi="宋体"/>
                <w:b/>
                <w:bCs/>
                <w:kern w:val="2"/>
                <w:sz w:val="21"/>
                <w:szCs w:val="21"/>
              </w:rPr>
            </w:pPr>
            <w:r>
              <w:rPr>
                <w:rFonts w:hint="eastAsia" w:ascii="宋体" w:hAnsi="宋体"/>
              </w:rPr>
              <w:t>(5)投标文件正、副本份数符合招标文件第二章“投标人须知”第3.7.4 项规定。</w:t>
            </w:r>
          </w:p>
        </w:tc>
      </w:tr>
      <w:tr>
        <w:tblPrEx>
          <w:tblLayout w:type="fixed"/>
          <w:tblCellMar>
            <w:top w:w="0" w:type="dxa"/>
            <w:left w:w="0" w:type="dxa"/>
            <w:bottom w:w="0" w:type="dxa"/>
            <w:right w:w="0" w:type="dxa"/>
          </w:tblCellMar>
        </w:tblPrEx>
        <w:trPr>
          <w:trHeight w:val="3678" w:hRule="atLeast"/>
          <w:jc w:val="center"/>
        </w:trPr>
        <w:tc>
          <w:tcPr>
            <w:tcW w:w="1239" w:type="dxa"/>
            <w:tcBorders>
              <w:top w:val="single" w:color="000000" w:sz="4" w:space="0"/>
              <w:left w:val="single" w:color="000000" w:sz="4" w:space="0"/>
              <w:bottom w:val="single" w:color="auto" w:sz="4" w:space="0"/>
              <w:right w:val="single" w:color="auto" w:sz="4" w:space="0"/>
            </w:tcBorders>
            <w:vAlign w:val="center"/>
          </w:tcPr>
          <w:p>
            <w:pPr>
              <w:widowControl w:val="0"/>
              <w:jc w:val="center"/>
              <w:rPr>
                <w:rFonts w:ascii="宋体" w:hAnsi="宋体"/>
                <w:kern w:val="2"/>
                <w:sz w:val="21"/>
                <w:szCs w:val="21"/>
              </w:rPr>
            </w:pPr>
            <w:r>
              <w:rPr>
                <w:rFonts w:hint="eastAsia" w:ascii="宋体" w:hAnsi="宋体"/>
              </w:rPr>
              <w:t>2.1.2</w:t>
            </w:r>
          </w:p>
        </w:tc>
        <w:tc>
          <w:tcPr>
            <w:tcW w:w="1134" w:type="dxa"/>
            <w:tcBorders>
              <w:top w:val="single" w:color="000000" w:sz="4" w:space="0"/>
              <w:left w:val="nil"/>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资格评审标准</w:t>
            </w:r>
          </w:p>
        </w:tc>
        <w:tc>
          <w:tcPr>
            <w:tcW w:w="7440" w:type="dxa"/>
            <w:tcBorders>
              <w:top w:val="single" w:color="000000" w:sz="4" w:space="0"/>
              <w:left w:val="nil"/>
              <w:bottom w:val="single" w:color="auto" w:sz="4" w:space="0"/>
              <w:right w:val="single" w:color="000000" w:sz="4" w:space="0"/>
            </w:tcBorders>
            <w:vAlign w:val="center"/>
          </w:tcPr>
          <w:p>
            <w:pPr>
              <w:spacing w:line="400" w:lineRule="exact"/>
              <w:ind w:firstLine="400" w:firstLineChars="200"/>
              <w:rPr>
                <w:rFonts w:ascii="宋体" w:hAnsi="宋体"/>
              </w:rPr>
            </w:pPr>
            <w:r>
              <w:rPr>
                <w:rFonts w:hint="eastAsia" w:ascii="宋体" w:hAnsi="宋体"/>
              </w:rPr>
              <w:t>(1)投标人具备有效的营业执照、资质证书和安全生产许可证和基本账户开户许可证；</w:t>
            </w:r>
          </w:p>
          <w:p>
            <w:pPr>
              <w:spacing w:line="400" w:lineRule="exact"/>
              <w:ind w:firstLine="400" w:firstLineChars="200"/>
              <w:rPr>
                <w:rFonts w:ascii="宋体" w:hAnsi="宋体"/>
              </w:rPr>
            </w:pPr>
            <w:r>
              <w:rPr>
                <w:rFonts w:hint="eastAsia" w:ascii="宋体" w:hAnsi="宋体"/>
              </w:rPr>
              <w:t>(2)投标人的资质等级符合招标文件规定；</w:t>
            </w:r>
          </w:p>
          <w:p>
            <w:pPr>
              <w:spacing w:line="400" w:lineRule="exact"/>
              <w:ind w:firstLine="400" w:firstLineChars="200"/>
              <w:rPr>
                <w:rFonts w:ascii="宋体" w:hAnsi="宋体"/>
              </w:rPr>
            </w:pPr>
            <w:r>
              <w:rPr>
                <w:rFonts w:hint="eastAsia" w:ascii="宋体" w:hAnsi="宋体"/>
              </w:rPr>
              <w:t>(3)投标人的财务状况符合招标文件规定；</w:t>
            </w:r>
          </w:p>
          <w:p>
            <w:pPr>
              <w:spacing w:line="400" w:lineRule="exact"/>
              <w:ind w:firstLine="400" w:firstLineChars="200"/>
              <w:rPr>
                <w:rFonts w:ascii="宋体" w:hAnsi="宋体"/>
              </w:rPr>
            </w:pPr>
            <w:r>
              <w:rPr>
                <w:rFonts w:hint="eastAsia" w:ascii="宋体" w:hAnsi="宋体"/>
              </w:rPr>
              <w:t>(4)投标人的类似项目业绩符合招标文件规定；</w:t>
            </w:r>
          </w:p>
          <w:p>
            <w:pPr>
              <w:spacing w:line="400" w:lineRule="exact"/>
              <w:ind w:firstLine="400" w:firstLineChars="200"/>
              <w:rPr>
                <w:rFonts w:ascii="宋体" w:hAnsi="宋体"/>
              </w:rPr>
            </w:pPr>
            <w:r>
              <w:rPr>
                <w:rFonts w:hint="eastAsia" w:ascii="宋体" w:hAnsi="宋体"/>
              </w:rPr>
              <w:t>(5)投标人的信誉符合招标文件规定；</w:t>
            </w:r>
          </w:p>
          <w:p>
            <w:pPr>
              <w:spacing w:line="400" w:lineRule="exact"/>
              <w:ind w:firstLine="400" w:firstLineChars="200"/>
              <w:rPr>
                <w:rFonts w:ascii="宋体" w:hAnsi="宋体"/>
              </w:rPr>
            </w:pPr>
            <w:r>
              <w:rPr>
                <w:rFonts w:hint="eastAsia" w:ascii="宋体" w:hAnsi="宋体"/>
              </w:rPr>
              <w:t>(6)投标人的项目经理资格符合招标文件规定；</w:t>
            </w:r>
          </w:p>
          <w:p>
            <w:pPr>
              <w:spacing w:line="400" w:lineRule="exact"/>
              <w:ind w:firstLine="400" w:firstLineChars="200"/>
              <w:rPr>
                <w:rFonts w:ascii="宋体" w:hAnsi="宋体"/>
              </w:rPr>
            </w:pPr>
            <w:r>
              <w:rPr>
                <w:rFonts w:hint="eastAsia" w:ascii="宋体" w:hAnsi="宋体"/>
              </w:rPr>
              <w:t>(7)投标人的其他要求符合招标文件规定；</w:t>
            </w:r>
          </w:p>
          <w:p>
            <w:pPr>
              <w:widowControl w:val="0"/>
              <w:spacing w:line="400" w:lineRule="exact"/>
              <w:ind w:firstLine="400" w:firstLineChars="200"/>
              <w:jc w:val="both"/>
              <w:rPr>
                <w:rFonts w:ascii="宋体" w:hAnsi="宋体"/>
                <w:kern w:val="2"/>
                <w:sz w:val="21"/>
                <w:szCs w:val="21"/>
              </w:rPr>
            </w:pPr>
            <w:r>
              <w:rPr>
                <w:rFonts w:hint="eastAsia" w:ascii="宋体" w:hAnsi="宋体"/>
              </w:rPr>
              <w:t>(8)投标人不存在第二章“投标人须知”第1.4.3项规定的任何一种情形；</w:t>
            </w:r>
          </w:p>
        </w:tc>
      </w:tr>
      <w:tr>
        <w:tblPrEx>
          <w:tblLayout w:type="fixed"/>
          <w:tblCellMar>
            <w:top w:w="0" w:type="dxa"/>
            <w:left w:w="0" w:type="dxa"/>
            <w:bottom w:w="0" w:type="dxa"/>
            <w:right w:w="0" w:type="dxa"/>
          </w:tblCellMar>
        </w:tblPrEx>
        <w:trPr>
          <w:trHeight w:val="1878"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2.2.1</w:t>
            </w:r>
          </w:p>
        </w:tc>
        <w:tc>
          <w:tcPr>
            <w:tcW w:w="113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第一个信封</w:t>
            </w:r>
          </w:p>
          <w:p>
            <w:pPr>
              <w:widowControl w:val="0"/>
              <w:jc w:val="center"/>
              <w:rPr>
                <w:rFonts w:ascii="宋体" w:hAnsi="宋体"/>
                <w:kern w:val="2"/>
                <w:sz w:val="21"/>
                <w:szCs w:val="21"/>
              </w:rPr>
            </w:pPr>
            <w:r>
              <w:rPr>
                <w:rFonts w:hint="eastAsia" w:ascii="宋体" w:hAnsi="宋体"/>
              </w:rPr>
              <w:t>评分分值构成(总分100分)</w:t>
            </w:r>
          </w:p>
        </w:tc>
        <w:tc>
          <w:tcPr>
            <w:tcW w:w="744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hint="eastAsia" w:ascii="宋体" w:hAnsi="宋体"/>
                <w:sz w:val="21"/>
                <w:szCs w:val="22"/>
              </w:rPr>
            </w:pPr>
            <w:r>
              <w:rPr>
                <w:rFonts w:hint="eastAsia" w:ascii="宋体" w:hAnsi="宋体"/>
                <w:sz w:val="21"/>
                <w:szCs w:val="22"/>
              </w:rPr>
              <w:t>施工组织设计30分</w:t>
            </w:r>
          </w:p>
          <w:p>
            <w:pPr>
              <w:spacing w:line="400" w:lineRule="exact"/>
              <w:ind w:firstLine="420" w:firstLineChars="200"/>
              <w:rPr>
                <w:rFonts w:hint="eastAsia" w:ascii="宋体" w:hAnsi="宋体"/>
                <w:sz w:val="21"/>
                <w:szCs w:val="22"/>
              </w:rPr>
            </w:pPr>
            <w:r>
              <w:rPr>
                <w:rFonts w:hint="eastAsia" w:ascii="宋体" w:hAnsi="宋体"/>
                <w:sz w:val="21"/>
                <w:szCs w:val="22"/>
              </w:rPr>
              <w:t>主要人员25分</w:t>
            </w:r>
          </w:p>
          <w:p>
            <w:pPr>
              <w:spacing w:line="400" w:lineRule="exact"/>
              <w:ind w:firstLine="420" w:firstLineChars="200"/>
              <w:rPr>
                <w:rFonts w:hint="eastAsia" w:ascii="宋体" w:hAnsi="宋体"/>
                <w:sz w:val="21"/>
                <w:szCs w:val="22"/>
              </w:rPr>
            </w:pPr>
            <w:r>
              <w:rPr>
                <w:rFonts w:hint="eastAsia" w:ascii="宋体" w:hAnsi="宋体"/>
                <w:sz w:val="21"/>
                <w:szCs w:val="22"/>
              </w:rPr>
              <w:t>技术能力10分</w:t>
            </w:r>
          </w:p>
          <w:p>
            <w:pPr>
              <w:spacing w:line="400" w:lineRule="exact"/>
              <w:ind w:firstLine="420" w:firstLineChars="200"/>
              <w:rPr>
                <w:rFonts w:hint="eastAsia" w:ascii="宋体" w:hAnsi="宋体"/>
                <w:sz w:val="21"/>
                <w:szCs w:val="22"/>
              </w:rPr>
            </w:pPr>
            <w:r>
              <w:rPr>
                <w:rFonts w:hint="eastAsia" w:ascii="宋体" w:hAnsi="宋体"/>
                <w:sz w:val="21"/>
                <w:szCs w:val="22"/>
              </w:rPr>
              <w:t>履约信誉15分</w:t>
            </w:r>
          </w:p>
          <w:p>
            <w:pPr>
              <w:spacing w:line="400" w:lineRule="exact"/>
              <w:ind w:firstLine="420" w:firstLineChars="200"/>
              <w:rPr>
                <w:rFonts w:hint="eastAsia" w:ascii="宋体" w:hAnsi="宋体"/>
                <w:sz w:val="21"/>
                <w:szCs w:val="22"/>
              </w:rPr>
            </w:pPr>
            <w:r>
              <w:rPr>
                <w:rFonts w:hint="eastAsia" w:ascii="宋体" w:hAnsi="宋体"/>
                <w:sz w:val="21"/>
                <w:szCs w:val="22"/>
              </w:rPr>
              <w:t>财务能力 10分</w:t>
            </w:r>
          </w:p>
          <w:p>
            <w:pPr>
              <w:spacing w:line="400" w:lineRule="exact"/>
              <w:ind w:firstLine="420" w:firstLineChars="200"/>
              <w:rPr>
                <w:sz w:val="20"/>
              </w:rPr>
            </w:pPr>
            <w:r>
              <w:rPr>
                <w:rFonts w:hint="eastAsia" w:ascii="宋体" w:hAnsi="宋体"/>
                <w:sz w:val="21"/>
                <w:szCs w:val="22"/>
              </w:rPr>
              <w:t>企业业绩 10分</w:t>
            </w:r>
          </w:p>
        </w:tc>
      </w:tr>
      <w:tr>
        <w:tblPrEx>
          <w:tblLayout w:type="fixed"/>
          <w:tblCellMar>
            <w:top w:w="0" w:type="dxa"/>
            <w:left w:w="0" w:type="dxa"/>
            <w:bottom w:w="0" w:type="dxa"/>
            <w:right w:w="0" w:type="dxa"/>
          </w:tblCellMar>
        </w:tblPrEx>
        <w:trPr>
          <w:trHeight w:val="497" w:hRule="atLeast"/>
          <w:jc w:val="center"/>
        </w:trPr>
        <w:tc>
          <w:tcPr>
            <w:tcW w:w="1239" w:type="dxa"/>
            <w:tcBorders>
              <w:top w:val="single" w:color="000000" w:sz="4" w:space="0"/>
              <w:left w:val="single" w:color="000000" w:sz="4" w:space="0"/>
              <w:bottom w:val="single" w:color="000000" w:sz="4" w:space="0"/>
              <w:right w:val="single" w:color="auto" w:sz="4" w:space="0"/>
            </w:tcBorders>
            <w:vAlign w:val="center"/>
          </w:tcPr>
          <w:p>
            <w:pPr>
              <w:widowControl w:val="0"/>
              <w:jc w:val="center"/>
              <w:rPr>
                <w:rFonts w:ascii="宋体" w:hAnsi="宋体"/>
                <w:b/>
                <w:bCs/>
                <w:kern w:val="2"/>
                <w:sz w:val="21"/>
                <w:szCs w:val="21"/>
              </w:rPr>
            </w:pPr>
            <w:r>
              <w:rPr>
                <w:rFonts w:hint="eastAsia" w:ascii="宋体" w:hAnsi="宋体"/>
                <w:b/>
                <w:bCs/>
              </w:rPr>
              <w:t>条款号</w:t>
            </w:r>
          </w:p>
        </w:tc>
        <w:tc>
          <w:tcPr>
            <w:tcW w:w="1134"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条款内容</w:t>
            </w:r>
          </w:p>
        </w:tc>
        <w:tc>
          <w:tcPr>
            <w:tcW w:w="7440" w:type="dxa"/>
            <w:tcBorders>
              <w:top w:val="single" w:color="000000" w:sz="4" w:space="0"/>
              <w:left w:val="nil"/>
              <w:bottom w:val="single" w:color="000000" w:sz="4" w:space="0"/>
              <w:right w:val="single" w:color="000000" w:sz="4" w:space="0"/>
            </w:tcBorders>
            <w:vAlign w:val="center"/>
          </w:tcPr>
          <w:p>
            <w:pPr>
              <w:widowControl w:val="0"/>
              <w:jc w:val="center"/>
              <w:rPr>
                <w:rFonts w:ascii="宋体" w:hAnsi="宋体"/>
                <w:b/>
                <w:bCs/>
                <w:kern w:val="2"/>
                <w:sz w:val="21"/>
                <w:szCs w:val="21"/>
              </w:rPr>
            </w:pPr>
            <w:r>
              <w:rPr>
                <w:rFonts w:hint="eastAsia" w:ascii="宋体" w:hAnsi="宋体"/>
                <w:b/>
                <w:bCs/>
              </w:rPr>
              <w:t>评审因素与标准</w:t>
            </w:r>
          </w:p>
        </w:tc>
      </w:tr>
      <w:tr>
        <w:tblPrEx>
          <w:tblLayout w:type="fixed"/>
          <w:tblCellMar>
            <w:top w:w="0" w:type="dxa"/>
            <w:left w:w="0" w:type="dxa"/>
            <w:bottom w:w="0" w:type="dxa"/>
            <w:right w:w="0" w:type="dxa"/>
          </w:tblCellMar>
        </w:tblPrEx>
        <w:trPr>
          <w:trHeight w:val="4920"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w:t>
            </w:r>
            <w:r>
              <w:rPr>
                <w:rFonts w:hint="eastAsia" w:ascii="宋体" w:hAnsi="宋体"/>
                <w:lang w:val="en-US" w:eastAsia="zh-CN"/>
              </w:rPr>
              <w:t>2</w:t>
            </w:r>
            <w:r>
              <w:rPr>
                <w:rFonts w:hint="eastAsia" w:ascii="宋体" w:hAnsi="宋体"/>
              </w:rPr>
              <w:t>（1）</w:t>
            </w:r>
          </w:p>
        </w:tc>
        <w:tc>
          <w:tcPr>
            <w:tcW w:w="113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b/>
                <w:color w:val="FF0000"/>
                <w:kern w:val="2"/>
                <w:sz w:val="21"/>
                <w:szCs w:val="21"/>
                <w:u w:val="single"/>
              </w:rPr>
            </w:pPr>
            <w:r>
              <w:rPr>
                <w:rFonts w:hint="eastAsia" w:ascii="宋体" w:hAnsi="宋体"/>
                <w:sz w:val="21"/>
                <w:szCs w:val="22"/>
              </w:rPr>
              <w:t>施工组织设计（0-30分）</w:t>
            </w:r>
          </w:p>
        </w:tc>
        <w:tc>
          <w:tcPr>
            <w:tcW w:w="7440" w:type="dxa"/>
            <w:tcBorders>
              <w:top w:val="single" w:color="auto" w:sz="4" w:space="0"/>
              <w:left w:val="nil"/>
              <w:bottom w:val="single" w:color="auto" w:sz="4" w:space="0"/>
              <w:right w:val="single" w:color="000000" w:sz="4" w:space="0"/>
            </w:tcBorders>
            <w:vAlign w:val="center"/>
          </w:tcPr>
          <w:p>
            <w:pPr>
              <w:spacing w:line="400" w:lineRule="exact"/>
              <w:ind w:firstLine="400" w:firstLineChars="200"/>
            </w:pPr>
            <w:r>
              <w:rPr>
                <w:rFonts w:hint="eastAsia"/>
              </w:rPr>
              <w:t>1、投标人应按以下要点编制施工组织设计（文字宜精炼、内容具有针对性，总体控制在30000字以内）；</w:t>
            </w:r>
          </w:p>
          <w:p>
            <w:pPr>
              <w:spacing w:line="400" w:lineRule="exact"/>
              <w:ind w:firstLine="400" w:firstLineChars="200"/>
              <w:rPr>
                <w:rFonts w:hint="eastAsia"/>
              </w:rPr>
            </w:pPr>
            <w:r>
              <w:rPr>
                <w:rFonts w:hint="eastAsia"/>
              </w:rPr>
              <w:t xml:space="preserve">（1）总体施工组织布置及规划                   </w:t>
            </w:r>
            <w:r>
              <w:rPr>
                <w:rFonts w:hint="eastAsia"/>
                <w:lang w:val="en-US" w:eastAsia="zh-CN"/>
              </w:rPr>
              <w:t xml:space="preserve"> </w:t>
            </w:r>
            <w:r>
              <w:rPr>
                <w:rFonts w:hint="eastAsia"/>
              </w:rPr>
              <w:t>0-6分</w:t>
            </w:r>
          </w:p>
          <w:p>
            <w:pPr>
              <w:spacing w:line="400" w:lineRule="exact"/>
              <w:ind w:firstLine="400" w:firstLineChars="200"/>
              <w:rPr>
                <w:rFonts w:hint="eastAsia"/>
              </w:rPr>
            </w:pPr>
            <w:r>
              <w:rPr>
                <w:rFonts w:hint="eastAsia"/>
              </w:rPr>
              <w:t xml:space="preserve">（2）主要工程项目的施工方案、方法与技术措施（尤其对重点、关键和难点工程的施工方案、方法及其措施）                   </w:t>
            </w:r>
            <w:r>
              <w:rPr>
                <w:rFonts w:hint="eastAsia"/>
                <w:lang w:val="en-US" w:eastAsia="zh-CN"/>
              </w:rPr>
              <w:t xml:space="preserve">      </w:t>
            </w:r>
            <w:r>
              <w:rPr>
                <w:rFonts w:hint="eastAsia"/>
              </w:rPr>
              <w:t xml:space="preserve"> 0-6分</w:t>
            </w:r>
          </w:p>
          <w:p>
            <w:pPr>
              <w:spacing w:line="400" w:lineRule="exact"/>
              <w:ind w:firstLine="400" w:firstLineChars="200"/>
              <w:rPr>
                <w:rFonts w:hint="eastAsia"/>
              </w:rPr>
            </w:pPr>
            <w:r>
              <w:rPr>
                <w:rFonts w:hint="eastAsia"/>
              </w:rPr>
              <w:t xml:space="preserve">（3）工期的保证体系及保证措施                 </w:t>
            </w:r>
            <w:r>
              <w:rPr>
                <w:rFonts w:hint="eastAsia"/>
                <w:lang w:val="en-US" w:eastAsia="zh-CN"/>
              </w:rPr>
              <w:t xml:space="preserve">  </w:t>
            </w:r>
            <w:r>
              <w:rPr>
                <w:rFonts w:hint="eastAsia"/>
              </w:rPr>
              <w:t>0-3分</w:t>
            </w:r>
          </w:p>
          <w:p>
            <w:pPr>
              <w:spacing w:line="400" w:lineRule="exact"/>
              <w:ind w:firstLine="400" w:firstLineChars="200"/>
              <w:rPr>
                <w:rFonts w:hint="eastAsia"/>
              </w:rPr>
            </w:pPr>
            <w:r>
              <w:rPr>
                <w:rFonts w:hint="eastAsia"/>
              </w:rPr>
              <w:t xml:space="preserve">（4）工程质量管理体系及保证措施              </w:t>
            </w:r>
            <w:r>
              <w:rPr>
                <w:rFonts w:hint="eastAsia"/>
                <w:lang w:val="en-US" w:eastAsia="zh-CN"/>
              </w:rPr>
              <w:t xml:space="preserve">  </w:t>
            </w:r>
            <w:r>
              <w:rPr>
                <w:rFonts w:hint="eastAsia"/>
              </w:rPr>
              <w:t xml:space="preserve"> 0-3分</w:t>
            </w:r>
          </w:p>
          <w:p>
            <w:pPr>
              <w:spacing w:line="400" w:lineRule="exact"/>
              <w:ind w:firstLine="400" w:firstLineChars="200"/>
              <w:rPr>
                <w:rFonts w:hint="eastAsia"/>
              </w:rPr>
            </w:pPr>
            <w:r>
              <w:rPr>
                <w:rFonts w:hint="eastAsia"/>
              </w:rPr>
              <w:t xml:space="preserve">（5）安全生产管理体系及保证措施              </w:t>
            </w:r>
            <w:r>
              <w:rPr>
                <w:rFonts w:hint="eastAsia"/>
                <w:lang w:val="en-US" w:eastAsia="zh-CN"/>
              </w:rPr>
              <w:t xml:space="preserve">  </w:t>
            </w:r>
            <w:r>
              <w:rPr>
                <w:rFonts w:hint="eastAsia"/>
              </w:rPr>
              <w:t xml:space="preserve"> 0-3分</w:t>
            </w:r>
          </w:p>
          <w:p>
            <w:pPr>
              <w:spacing w:line="400" w:lineRule="exact"/>
              <w:ind w:firstLine="400" w:firstLineChars="200"/>
              <w:rPr>
                <w:rFonts w:hint="eastAsia"/>
              </w:rPr>
            </w:pPr>
            <w:r>
              <w:rPr>
                <w:rFonts w:hint="eastAsia"/>
              </w:rPr>
              <w:t xml:space="preserve">（6）环境保护、水土保持保证体系及保证措施（含扬尘治理措施）                                                                  </w:t>
            </w:r>
          </w:p>
          <w:p>
            <w:pPr>
              <w:spacing w:line="400" w:lineRule="exact"/>
              <w:ind w:firstLine="420" w:firstLineChars="200"/>
              <w:jc w:val="center"/>
              <w:rPr>
                <w:rFonts w:hint="eastAsia"/>
                <w:sz w:val="21"/>
                <w:szCs w:val="22"/>
              </w:rPr>
            </w:pPr>
            <w:r>
              <w:rPr>
                <w:rFonts w:hint="eastAsia"/>
                <w:sz w:val="21"/>
                <w:szCs w:val="22"/>
                <w:lang w:val="en-US" w:eastAsia="zh-CN"/>
              </w:rPr>
              <w:t xml:space="preserve">                              </w:t>
            </w:r>
            <w:r>
              <w:rPr>
                <w:rFonts w:hint="eastAsia"/>
                <w:sz w:val="21"/>
                <w:szCs w:val="22"/>
              </w:rPr>
              <w:t>0-3分</w:t>
            </w:r>
          </w:p>
          <w:p>
            <w:pPr>
              <w:spacing w:line="400" w:lineRule="exact"/>
              <w:ind w:firstLine="420" w:firstLineChars="200"/>
              <w:rPr>
                <w:rFonts w:hint="eastAsia"/>
                <w:sz w:val="21"/>
                <w:szCs w:val="22"/>
              </w:rPr>
            </w:pPr>
            <w:r>
              <w:rPr>
                <w:rFonts w:hint="eastAsia"/>
                <w:sz w:val="21"/>
                <w:szCs w:val="22"/>
              </w:rPr>
              <w:t>（7）文明施工、文物保护保证体系及保证措施     0-2分</w:t>
            </w:r>
          </w:p>
          <w:p>
            <w:pPr>
              <w:spacing w:line="400" w:lineRule="exact"/>
              <w:ind w:firstLine="420" w:firstLineChars="200"/>
              <w:rPr>
                <w:rFonts w:hint="eastAsia"/>
                <w:sz w:val="21"/>
                <w:szCs w:val="22"/>
              </w:rPr>
            </w:pPr>
            <w:r>
              <w:rPr>
                <w:rFonts w:hint="eastAsia"/>
                <w:sz w:val="21"/>
                <w:szCs w:val="22"/>
              </w:rPr>
              <w:t>（8）项目风险预测与防范，事故应急预案         0-2分</w:t>
            </w:r>
          </w:p>
          <w:p>
            <w:pPr>
              <w:spacing w:line="400" w:lineRule="exact"/>
              <w:ind w:firstLine="420" w:firstLineChars="200"/>
              <w:rPr>
                <w:rFonts w:hint="default" w:eastAsia="宋体"/>
                <w:lang w:val="en-US" w:eastAsia="zh-CN"/>
              </w:rPr>
            </w:pPr>
            <w:r>
              <w:rPr>
                <w:rFonts w:hint="eastAsia"/>
                <w:sz w:val="21"/>
                <w:szCs w:val="22"/>
                <w:lang w:val="en-US" w:eastAsia="zh-CN"/>
              </w:rPr>
              <w:t>（9）其他应说明的事项                         0-2分</w:t>
            </w:r>
          </w:p>
        </w:tc>
      </w:tr>
      <w:tr>
        <w:tblPrEx>
          <w:tblLayout w:type="fixed"/>
          <w:tblCellMar>
            <w:top w:w="0" w:type="dxa"/>
            <w:left w:w="0" w:type="dxa"/>
            <w:bottom w:w="0" w:type="dxa"/>
            <w:right w:w="0" w:type="dxa"/>
          </w:tblCellMar>
        </w:tblPrEx>
        <w:trPr>
          <w:trHeight w:val="633" w:hRule="atLeast"/>
          <w:jc w:val="center"/>
        </w:trPr>
        <w:tc>
          <w:tcPr>
            <w:tcW w:w="1239" w:type="dxa"/>
            <w:tcBorders>
              <w:top w:val="single" w:color="auto" w:sz="4" w:space="0"/>
              <w:left w:val="single" w:color="000000" w:sz="4" w:space="0"/>
              <w:bottom w:val="single" w:color="000000"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2.2.2（2）</w:t>
            </w:r>
          </w:p>
        </w:tc>
        <w:tc>
          <w:tcPr>
            <w:tcW w:w="1134" w:type="dxa"/>
            <w:tcBorders>
              <w:top w:val="single" w:color="auto" w:sz="4" w:space="0"/>
              <w:left w:val="nil"/>
              <w:bottom w:val="single" w:color="000000" w:sz="4" w:space="0"/>
              <w:right w:val="single" w:color="auto" w:sz="4" w:space="0"/>
            </w:tcBorders>
            <w:vAlign w:val="center"/>
          </w:tcPr>
          <w:p>
            <w:pPr>
              <w:widowControl w:val="0"/>
              <w:ind w:firstLine="210" w:firstLineChars="100"/>
              <w:rPr>
                <w:rFonts w:ascii="宋体" w:hAnsi="宋体"/>
                <w:kern w:val="2"/>
                <w:sz w:val="21"/>
                <w:szCs w:val="21"/>
              </w:rPr>
            </w:pPr>
            <w:r>
              <w:rPr>
                <w:rFonts w:hint="eastAsia" w:ascii="宋体" w:hAnsi="宋体"/>
                <w:sz w:val="21"/>
                <w:szCs w:val="22"/>
              </w:rPr>
              <w:t>主要人员（0-25分）</w:t>
            </w:r>
          </w:p>
        </w:tc>
        <w:tc>
          <w:tcPr>
            <w:tcW w:w="7440" w:type="dxa"/>
            <w:tcBorders>
              <w:top w:val="single" w:color="auto" w:sz="4" w:space="0"/>
              <w:left w:val="nil"/>
              <w:bottom w:val="single" w:color="000000" w:sz="4" w:space="0"/>
              <w:right w:val="single" w:color="000000" w:sz="4" w:space="0"/>
            </w:tcBorders>
            <w:vAlign w:val="center"/>
          </w:tcPr>
          <w:p>
            <w:pPr>
              <w:spacing w:line="400" w:lineRule="exact"/>
              <w:ind w:firstLine="420" w:firstLineChars="200"/>
              <w:rPr>
                <w:rFonts w:hint="eastAsia" w:ascii="宋体" w:hAnsi="宋体"/>
                <w:sz w:val="21"/>
                <w:szCs w:val="22"/>
              </w:rPr>
            </w:pPr>
            <w:r>
              <w:rPr>
                <w:rFonts w:hint="eastAsia" w:ascii="宋体" w:hAnsi="宋体"/>
                <w:sz w:val="21"/>
                <w:szCs w:val="22"/>
              </w:rPr>
              <w:t>1、 项目经理资格达到资格审查条件（项目经理最低要求）的，得5分。配备高级工程师加3分。</w:t>
            </w:r>
          </w:p>
          <w:p>
            <w:pPr>
              <w:spacing w:line="400" w:lineRule="exact"/>
              <w:ind w:firstLine="420" w:firstLineChars="200"/>
              <w:rPr>
                <w:rFonts w:hint="eastAsia" w:ascii="宋体" w:hAnsi="宋体"/>
                <w:sz w:val="21"/>
                <w:szCs w:val="22"/>
              </w:rPr>
            </w:pPr>
            <w:r>
              <w:rPr>
                <w:rFonts w:hint="eastAsia" w:ascii="宋体" w:hAnsi="宋体"/>
                <w:sz w:val="21"/>
                <w:szCs w:val="22"/>
              </w:rPr>
              <w:t>2、 项目总工资格达到资格审查条件（项目经理最低要求）的，得4分。配备高级工程师加3分。</w:t>
            </w:r>
          </w:p>
          <w:p>
            <w:pPr>
              <w:spacing w:line="400" w:lineRule="exact"/>
              <w:ind w:firstLine="420" w:firstLineChars="200"/>
              <w:rPr>
                <w:rFonts w:hint="eastAsia" w:ascii="宋体" w:hAnsi="宋体"/>
                <w:sz w:val="21"/>
                <w:szCs w:val="22"/>
              </w:rPr>
            </w:pPr>
            <w:r>
              <w:rPr>
                <w:rFonts w:hint="eastAsia" w:ascii="宋体" w:hAnsi="宋体"/>
                <w:sz w:val="21"/>
                <w:szCs w:val="22"/>
              </w:rPr>
              <w:t>3、拟委任的其他主要管理及技术人员，达到人员最低要求的，每岗位得1分。其中质检、合同、试验、财务、安全等相关人员配备高级职称的每岗位加1分。</w:t>
            </w:r>
          </w:p>
        </w:tc>
      </w:tr>
      <w:tr>
        <w:tblPrEx>
          <w:tblLayout w:type="fixed"/>
          <w:tblCellMar>
            <w:top w:w="0" w:type="dxa"/>
            <w:left w:w="0" w:type="dxa"/>
            <w:bottom w:w="0" w:type="dxa"/>
            <w:right w:w="0" w:type="dxa"/>
          </w:tblCellMar>
        </w:tblPrEx>
        <w:trPr>
          <w:trHeight w:val="667"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2.2.2（3）</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技术能力</w:t>
            </w:r>
          </w:p>
          <w:p>
            <w:pPr>
              <w:widowControl w:val="0"/>
              <w:jc w:val="center"/>
              <w:rPr>
                <w:rFonts w:ascii="宋体" w:hAnsi="宋体"/>
                <w:kern w:val="2"/>
                <w:sz w:val="21"/>
                <w:szCs w:val="21"/>
              </w:rPr>
            </w:pPr>
            <w:r>
              <w:rPr>
                <w:rFonts w:hint="eastAsia" w:ascii="宋体" w:hAnsi="宋体"/>
              </w:rPr>
              <w:t>（0-10分）</w:t>
            </w:r>
          </w:p>
        </w:tc>
        <w:tc>
          <w:tcPr>
            <w:tcW w:w="744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hint="eastAsia" w:ascii="宋体" w:hAnsi="宋体"/>
                <w:sz w:val="21"/>
                <w:szCs w:val="22"/>
              </w:rPr>
            </w:pPr>
            <w:r>
              <w:rPr>
                <w:rFonts w:hint="eastAsia" w:ascii="宋体" w:hAnsi="宋体"/>
                <w:sz w:val="21"/>
                <w:szCs w:val="22"/>
              </w:rPr>
              <w:t>1、投标人获得国家认证认可监督管理委员会颁发并可查询的有关质量管理体系认证、环境管理体系认证、职业健康及安全管理体系认证技术资质标准的，证书提供齐全得4.5分，每缺一项扣1.5分，扣完为止；</w:t>
            </w:r>
          </w:p>
          <w:p>
            <w:pPr>
              <w:spacing w:line="400" w:lineRule="exact"/>
              <w:ind w:firstLine="420" w:firstLineChars="200"/>
              <w:rPr>
                <w:rFonts w:hint="eastAsia" w:ascii="宋体" w:hAnsi="宋体"/>
                <w:sz w:val="21"/>
                <w:szCs w:val="22"/>
              </w:rPr>
            </w:pPr>
            <w:r>
              <w:rPr>
                <w:rFonts w:hint="eastAsia" w:ascii="宋体" w:hAnsi="宋体"/>
                <w:sz w:val="21"/>
                <w:szCs w:val="22"/>
              </w:rPr>
              <w:t>2、投标人获得的与项目施工有关的国家级工法、专利的得2分；省级及以上科学技术进步奖的得2分；主编或参编过地方标准及以上的得1.5分，以上得分项须提供证书原件及证明材料原件，未提供者不得分。</w:t>
            </w:r>
          </w:p>
        </w:tc>
      </w:tr>
      <w:tr>
        <w:tblPrEx>
          <w:tblLayout w:type="fixed"/>
          <w:tblCellMar>
            <w:top w:w="0" w:type="dxa"/>
            <w:left w:w="0" w:type="dxa"/>
            <w:bottom w:w="0" w:type="dxa"/>
            <w:right w:w="0" w:type="dxa"/>
          </w:tblCellMar>
        </w:tblPrEx>
        <w:trPr>
          <w:trHeight w:val="1573"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kern w:val="2"/>
                <w:sz w:val="21"/>
                <w:szCs w:val="21"/>
              </w:rPr>
            </w:pPr>
            <w:r>
              <w:rPr>
                <w:rFonts w:hint="eastAsia" w:ascii="宋体" w:hAnsi="宋体"/>
              </w:rPr>
              <w:t>2.2.2（4）</w:t>
            </w:r>
          </w:p>
        </w:tc>
        <w:tc>
          <w:tcPr>
            <w:tcW w:w="113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kern w:val="2"/>
                <w:sz w:val="21"/>
                <w:szCs w:val="21"/>
              </w:rPr>
            </w:pPr>
            <w:r>
              <w:rPr>
                <w:rFonts w:hint="eastAsia" w:ascii="宋体" w:hAnsi="宋体"/>
              </w:rPr>
              <w:t>履约信誉（0-15分）</w:t>
            </w:r>
          </w:p>
        </w:tc>
        <w:tc>
          <w:tcPr>
            <w:tcW w:w="744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hint="eastAsia" w:ascii="宋体" w:hAnsi="宋体"/>
                <w:sz w:val="21"/>
                <w:szCs w:val="22"/>
              </w:rPr>
            </w:pPr>
            <w:r>
              <w:rPr>
                <w:rFonts w:hint="eastAsia" w:ascii="宋体" w:hAnsi="宋体"/>
                <w:sz w:val="21"/>
                <w:szCs w:val="22"/>
              </w:rPr>
              <w:t>1、被河南省交通运输厅最新公路工程施工从业单位信用评价结果评定为A级及以上的得5分，B级2分，C级不得分，D级不得参与本次项目投标。</w:t>
            </w:r>
          </w:p>
          <w:p>
            <w:pPr>
              <w:spacing w:line="400" w:lineRule="exact"/>
              <w:ind w:firstLine="420" w:firstLineChars="200"/>
              <w:rPr>
                <w:rFonts w:hint="eastAsia" w:ascii="宋体" w:hAnsi="宋体"/>
                <w:sz w:val="21"/>
                <w:szCs w:val="22"/>
              </w:rPr>
            </w:pPr>
            <w:r>
              <w:rPr>
                <w:rFonts w:hint="eastAsia" w:ascii="宋体" w:hAnsi="宋体"/>
                <w:sz w:val="21"/>
                <w:szCs w:val="22"/>
              </w:rPr>
              <w:t>2、2013年 12月 1 日以来获得与公路工程质量、安全、项目管理有关的奖项，部级及以上的每有一项得 5 分，最多得10 分。</w:t>
            </w:r>
          </w:p>
        </w:tc>
      </w:tr>
      <w:tr>
        <w:tblPrEx>
          <w:tblLayout w:type="fixed"/>
          <w:tblCellMar>
            <w:top w:w="0" w:type="dxa"/>
            <w:left w:w="0" w:type="dxa"/>
            <w:bottom w:w="0" w:type="dxa"/>
            <w:right w:w="0" w:type="dxa"/>
          </w:tblCellMar>
        </w:tblPrEx>
        <w:trPr>
          <w:trHeight w:val="720"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ind w:left="100" w:leftChars="50"/>
              <w:rPr>
                <w:b/>
                <w:color w:val="FF0000"/>
                <w:u w:val="single"/>
              </w:rPr>
            </w:pPr>
            <w:r>
              <w:rPr>
                <w:rFonts w:hint="eastAsia" w:ascii="宋体" w:hAnsi="宋体"/>
              </w:rPr>
              <w:t>2.2.2（5）</w:t>
            </w:r>
          </w:p>
        </w:tc>
        <w:tc>
          <w:tcPr>
            <w:tcW w:w="1134" w:type="dxa"/>
            <w:tcBorders>
              <w:top w:val="single" w:color="auto" w:sz="4" w:space="0"/>
              <w:left w:val="single" w:color="000000" w:sz="4" w:space="0"/>
              <w:bottom w:val="single" w:color="auto" w:sz="4" w:space="0"/>
              <w:right w:val="single" w:color="000000" w:sz="4" w:space="0"/>
            </w:tcBorders>
            <w:vAlign w:val="center"/>
          </w:tcPr>
          <w:p>
            <w:pPr>
              <w:ind w:left="100" w:leftChars="50"/>
              <w:rPr>
                <w:b/>
                <w:color w:val="FF0000"/>
                <w:u w:val="single"/>
              </w:rPr>
            </w:pPr>
            <w:r>
              <w:rPr>
                <w:rFonts w:hint="eastAsia" w:ascii="宋体" w:hAnsi="宋体"/>
              </w:rPr>
              <w:t>财务能力（0-10分）</w:t>
            </w:r>
          </w:p>
        </w:tc>
        <w:tc>
          <w:tcPr>
            <w:tcW w:w="7440" w:type="dxa"/>
            <w:tcBorders>
              <w:top w:val="single" w:color="auto" w:sz="4" w:space="0"/>
              <w:left w:val="single" w:color="000000" w:sz="4" w:space="0"/>
              <w:bottom w:val="single" w:color="auto" w:sz="4" w:space="0"/>
              <w:right w:val="single" w:color="000000" w:sz="4" w:space="0"/>
            </w:tcBorders>
            <w:vAlign w:val="center"/>
          </w:tcPr>
          <w:p>
            <w:pPr>
              <w:spacing w:line="400" w:lineRule="exact"/>
              <w:ind w:firstLine="420" w:firstLineChars="200"/>
              <w:rPr>
                <w:rFonts w:hint="eastAsia" w:ascii="宋体" w:hAnsi="宋体"/>
                <w:sz w:val="21"/>
                <w:szCs w:val="22"/>
              </w:rPr>
            </w:pPr>
            <w:r>
              <w:rPr>
                <w:rFonts w:hint="eastAsia" w:ascii="宋体" w:hAnsi="宋体"/>
                <w:sz w:val="21"/>
                <w:szCs w:val="22"/>
              </w:rPr>
              <w:t>1、企业营运资金（以经会计事务所或审计机构审计的2017年度或2018年度财务会计报表中”流动资金-流动负债“计算，以年末数为准）≥2亿元，得2分，每增加1亿加1分，最多得5分。</w:t>
            </w:r>
          </w:p>
          <w:p>
            <w:pPr>
              <w:spacing w:line="400" w:lineRule="exact"/>
              <w:ind w:firstLine="420" w:firstLineChars="200"/>
              <w:rPr>
                <w:rFonts w:hint="eastAsia" w:ascii="宋体" w:hAnsi="宋体"/>
                <w:sz w:val="21"/>
                <w:szCs w:val="22"/>
              </w:rPr>
            </w:pPr>
            <w:r>
              <w:rPr>
                <w:rFonts w:hint="eastAsia" w:ascii="宋体" w:hAnsi="宋体"/>
                <w:sz w:val="21"/>
                <w:szCs w:val="22"/>
              </w:rPr>
              <w:t>2、企业注册资本金≥2亿元，得2分，每增加1亿加1分，最多得5分。</w:t>
            </w:r>
          </w:p>
        </w:tc>
      </w:tr>
      <w:tr>
        <w:tblPrEx>
          <w:tblLayout w:type="fixed"/>
          <w:tblCellMar>
            <w:top w:w="0" w:type="dxa"/>
            <w:left w:w="0" w:type="dxa"/>
            <w:bottom w:w="0" w:type="dxa"/>
            <w:right w:w="0" w:type="dxa"/>
          </w:tblCellMar>
        </w:tblPrEx>
        <w:trPr>
          <w:trHeight w:val="720"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ind w:left="100" w:leftChars="50"/>
              <w:rPr>
                <w:b/>
                <w:color w:val="FF0000"/>
                <w:u w:val="single"/>
              </w:rPr>
            </w:pPr>
            <w:r>
              <w:rPr>
                <w:rFonts w:hint="eastAsia" w:ascii="宋体" w:hAnsi="宋体"/>
              </w:rPr>
              <w:t>2.2.2（6）</w:t>
            </w:r>
          </w:p>
        </w:tc>
        <w:tc>
          <w:tcPr>
            <w:tcW w:w="1134" w:type="dxa"/>
            <w:tcBorders>
              <w:top w:val="single" w:color="auto" w:sz="4" w:space="0"/>
              <w:left w:val="single" w:color="000000" w:sz="4" w:space="0"/>
              <w:bottom w:val="single" w:color="auto" w:sz="4" w:space="0"/>
              <w:right w:val="single" w:color="000000" w:sz="4" w:space="0"/>
            </w:tcBorders>
            <w:vAlign w:val="center"/>
          </w:tcPr>
          <w:p>
            <w:pPr>
              <w:ind w:left="100" w:leftChars="50"/>
              <w:rPr>
                <w:b/>
                <w:color w:val="FF0000"/>
                <w:u w:val="single"/>
              </w:rPr>
            </w:pPr>
            <w:r>
              <w:rPr>
                <w:rFonts w:hint="eastAsia" w:ascii="宋体" w:hAnsi="宋体"/>
              </w:rPr>
              <w:t>企业业绩（0-10分）</w:t>
            </w:r>
          </w:p>
        </w:tc>
        <w:tc>
          <w:tcPr>
            <w:tcW w:w="7440" w:type="dxa"/>
            <w:tcBorders>
              <w:top w:val="single" w:color="auto" w:sz="4" w:space="0"/>
              <w:left w:val="single" w:color="000000" w:sz="4" w:space="0"/>
              <w:bottom w:val="single" w:color="auto" w:sz="4" w:space="0"/>
              <w:right w:val="single" w:color="000000" w:sz="4" w:space="0"/>
            </w:tcBorders>
            <w:vAlign w:val="center"/>
          </w:tcPr>
          <w:p>
            <w:pPr>
              <w:spacing w:line="400" w:lineRule="exact"/>
              <w:ind w:firstLine="420" w:firstLineChars="200"/>
              <w:rPr>
                <w:rFonts w:hint="eastAsia" w:ascii="宋体" w:hAnsi="宋体"/>
                <w:sz w:val="21"/>
                <w:szCs w:val="22"/>
              </w:rPr>
            </w:pPr>
            <w:r>
              <w:rPr>
                <w:rFonts w:hint="eastAsia" w:ascii="宋体" w:hAnsi="宋体"/>
                <w:sz w:val="21"/>
                <w:szCs w:val="22"/>
              </w:rPr>
              <w:t>投标人类似项目业绩达到资格审查条件（业绩最低要求）的，得 4 分。</w:t>
            </w:r>
          </w:p>
          <w:p>
            <w:pPr>
              <w:spacing w:line="400" w:lineRule="exact"/>
              <w:ind w:firstLine="420" w:firstLineChars="200"/>
              <w:rPr>
                <w:rFonts w:hint="eastAsia" w:ascii="宋体" w:hAnsi="宋体"/>
                <w:sz w:val="21"/>
                <w:szCs w:val="22"/>
              </w:rPr>
            </w:pPr>
            <w:r>
              <w:rPr>
                <w:rFonts w:hint="eastAsia" w:ascii="宋体" w:hAnsi="宋体"/>
                <w:sz w:val="21"/>
                <w:szCs w:val="22"/>
              </w:rPr>
              <w:t>每增加一项业绩加2分，最多加6分。</w:t>
            </w:r>
          </w:p>
        </w:tc>
      </w:tr>
      <w:tr>
        <w:tblPrEx>
          <w:tblLayout w:type="fixed"/>
          <w:tblCellMar>
            <w:top w:w="0" w:type="dxa"/>
            <w:left w:w="0" w:type="dxa"/>
            <w:bottom w:w="0" w:type="dxa"/>
            <w:right w:w="0" w:type="dxa"/>
          </w:tblCellMar>
        </w:tblPrEx>
        <w:trPr>
          <w:trHeight w:val="667"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rPr>
            </w:pPr>
            <w:r>
              <w:rPr>
                <w:rFonts w:hint="eastAsia" w:ascii="宋体" w:hAnsi="宋体"/>
              </w:rPr>
              <w:t>2.2.3</w:t>
            </w:r>
          </w:p>
        </w:tc>
        <w:tc>
          <w:tcPr>
            <w:tcW w:w="113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rPr>
            </w:pPr>
            <w:r>
              <w:rPr>
                <w:rFonts w:hint="eastAsia" w:ascii="宋体" w:hAnsi="宋体"/>
              </w:rPr>
              <w:t>第二个信封详细详审标准</w:t>
            </w:r>
          </w:p>
        </w:tc>
        <w:tc>
          <w:tcPr>
            <w:tcW w:w="7440" w:type="dxa"/>
            <w:tcBorders>
              <w:top w:val="single" w:color="auto" w:sz="4" w:space="0"/>
              <w:left w:val="nil"/>
              <w:bottom w:val="single" w:color="auto" w:sz="4" w:space="0"/>
              <w:right w:val="single" w:color="000000" w:sz="4" w:space="0"/>
            </w:tcBorders>
            <w:vAlign w:val="center"/>
          </w:tcPr>
          <w:p>
            <w:pPr>
              <w:widowControl w:val="0"/>
              <w:spacing w:line="400" w:lineRule="exact"/>
              <w:jc w:val="both"/>
              <w:rPr>
                <w:rFonts w:ascii="宋体" w:hAnsi="宋体"/>
              </w:rPr>
            </w:pPr>
            <w:r>
              <w:rPr>
                <w:rFonts w:hint="eastAsia" w:ascii="宋体" w:hAnsi="宋体"/>
              </w:rPr>
              <w:t>评标价计算公式：评标价=修正后的投标报价-暂估价-暂列金额（不含计日工总额）</w:t>
            </w:r>
          </w:p>
        </w:tc>
      </w:tr>
      <w:tr>
        <w:tblPrEx>
          <w:tblLayout w:type="fixed"/>
          <w:tblCellMar>
            <w:top w:w="0" w:type="dxa"/>
            <w:left w:w="0" w:type="dxa"/>
            <w:bottom w:w="0" w:type="dxa"/>
            <w:right w:w="0" w:type="dxa"/>
          </w:tblCellMar>
        </w:tblPrEx>
        <w:trPr>
          <w:trHeight w:val="667" w:hRule="atLeast"/>
          <w:jc w:val="center"/>
        </w:trPr>
        <w:tc>
          <w:tcPr>
            <w:tcW w:w="1239" w:type="dxa"/>
            <w:tcBorders>
              <w:top w:val="single" w:color="auto" w:sz="4" w:space="0"/>
              <w:left w:val="single" w:color="000000" w:sz="4" w:space="0"/>
              <w:bottom w:val="single" w:color="auto" w:sz="4" w:space="0"/>
              <w:right w:val="single" w:color="000000" w:sz="4" w:space="0"/>
            </w:tcBorders>
            <w:vAlign w:val="center"/>
          </w:tcPr>
          <w:p>
            <w:pPr>
              <w:widowControl w:val="0"/>
              <w:jc w:val="center"/>
              <w:rPr>
                <w:rFonts w:ascii="宋体" w:hAnsi="宋体"/>
              </w:rPr>
            </w:pPr>
            <w:r>
              <w:rPr>
                <w:rFonts w:hint="eastAsia" w:ascii="宋体" w:hAnsi="宋体"/>
              </w:rPr>
              <w:t>2.2.4</w:t>
            </w:r>
          </w:p>
        </w:tc>
        <w:tc>
          <w:tcPr>
            <w:tcW w:w="1134" w:type="dxa"/>
            <w:tcBorders>
              <w:top w:val="single" w:color="auto" w:sz="4" w:space="0"/>
              <w:left w:val="nil"/>
              <w:bottom w:val="single" w:color="auto" w:sz="4" w:space="0"/>
              <w:right w:val="single" w:color="auto" w:sz="4" w:space="0"/>
            </w:tcBorders>
            <w:vAlign w:val="center"/>
          </w:tcPr>
          <w:p>
            <w:pPr>
              <w:widowControl w:val="0"/>
              <w:jc w:val="center"/>
              <w:rPr>
                <w:rFonts w:ascii="宋体" w:hAnsi="宋体"/>
              </w:rPr>
            </w:pPr>
            <w:r>
              <w:rPr>
                <w:rFonts w:hint="eastAsia" w:ascii="宋体" w:hAnsi="宋体"/>
              </w:rPr>
              <w:t>通过第一个信封详细评审的投标人的数量</w:t>
            </w:r>
          </w:p>
        </w:tc>
        <w:tc>
          <w:tcPr>
            <w:tcW w:w="7440" w:type="dxa"/>
            <w:tcBorders>
              <w:top w:val="single" w:color="auto" w:sz="4" w:space="0"/>
              <w:left w:val="nil"/>
              <w:bottom w:val="single" w:color="auto" w:sz="4" w:space="0"/>
              <w:right w:val="single" w:color="000000" w:sz="4" w:space="0"/>
            </w:tcBorders>
            <w:vAlign w:val="center"/>
          </w:tcPr>
          <w:p>
            <w:pPr>
              <w:widowControl w:val="0"/>
              <w:spacing w:line="400" w:lineRule="exact"/>
              <w:ind w:firstLine="400" w:firstLineChars="200"/>
              <w:jc w:val="both"/>
              <w:rPr>
                <w:rFonts w:ascii="宋体" w:hAnsi="宋体"/>
              </w:rPr>
            </w:pPr>
            <w:r>
              <w:rPr>
                <w:rFonts w:hint="eastAsia" w:ascii="宋体" w:hAnsi="宋体"/>
              </w:rPr>
              <w:t>按照投标人的商务和技术得分由高到低排序，选择前3名通过详细评审。</w:t>
            </w:r>
          </w:p>
        </w:tc>
      </w:tr>
      <w:tr>
        <w:tblPrEx>
          <w:tblLayout w:type="fixed"/>
          <w:tblCellMar>
            <w:top w:w="0" w:type="dxa"/>
            <w:left w:w="0" w:type="dxa"/>
            <w:bottom w:w="0" w:type="dxa"/>
            <w:right w:w="0" w:type="dxa"/>
          </w:tblCellMar>
        </w:tblPrEx>
        <w:trPr>
          <w:trHeight w:val="381" w:hRule="atLeast"/>
          <w:jc w:val="center"/>
        </w:trPr>
        <w:tc>
          <w:tcPr>
            <w:tcW w:w="9813" w:type="dxa"/>
            <w:gridSpan w:val="3"/>
            <w:tcBorders>
              <w:top w:val="single" w:color="auto" w:sz="4" w:space="0"/>
              <w:left w:val="single" w:color="000000" w:sz="4" w:space="0"/>
              <w:bottom w:val="single" w:color="auto" w:sz="4" w:space="0"/>
              <w:right w:val="single" w:color="000000" w:sz="4" w:space="0"/>
            </w:tcBorders>
            <w:vAlign w:val="center"/>
          </w:tcPr>
          <w:p>
            <w:pPr>
              <w:rPr>
                <w:rFonts w:ascii="宋体" w:hAnsi="宋体"/>
                <w:kern w:val="2"/>
                <w:sz w:val="21"/>
                <w:szCs w:val="21"/>
              </w:rPr>
            </w:pPr>
            <w:r>
              <w:rPr>
                <w:rFonts w:hint="eastAsia" w:ascii="宋体" w:hAnsi="宋体"/>
              </w:rPr>
              <w:t>需要补充的其他内容：</w:t>
            </w:r>
          </w:p>
        </w:tc>
      </w:tr>
      <w:tr>
        <w:tblPrEx>
          <w:tblLayout w:type="fixed"/>
          <w:tblCellMar>
            <w:top w:w="0" w:type="dxa"/>
            <w:left w:w="0" w:type="dxa"/>
            <w:bottom w:w="0" w:type="dxa"/>
            <w:right w:w="0" w:type="dxa"/>
          </w:tblCellMar>
        </w:tblPrEx>
        <w:trPr>
          <w:trHeight w:val="667" w:hRule="atLeast"/>
          <w:jc w:val="center"/>
        </w:trPr>
        <w:tc>
          <w:tcPr>
            <w:tcW w:w="9813" w:type="dxa"/>
            <w:gridSpan w:val="3"/>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textAlignment w:val="auto"/>
            </w:pPr>
            <w:r>
              <w:rPr>
                <w:rFonts w:hint="eastAsia"/>
              </w:rPr>
              <w:t>评标程序如下：</w:t>
            </w:r>
          </w:p>
          <w:p>
            <w:pPr>
              <w:keepNext w:val="0"/>
              <w:keepLines w:val="0"/>
              <w:pageBreakBefore w:val="0"/>
              <w:widowControl/>
              <w:kinsoku/>
              <w:wordWrap/>
              <w:overflowPunct/>
              <w:topLinePunct w:val="0"/>
              <w:autoSpaceDE/>
              <w:autoSpaceDN/>
              <w:bidi w:val="0"/>
              <w:adjustRightInd/>
              <w:snapToGrid/>
              <w:spacing w:line="360" w:lineRule="exact"/>
              <w:textAlignment w:val="auto"/>
            </w:pPr>
            <w:r>
              <w:rPr>
                <w:rFonts w:hint="eastAsia"/>
              </w:rPr>
              <w:t>1、招标人按照第二章“投标人须知”第5.2.1-5.2.3项的规定对投标文件第一信封（商务及技术文件）进行开标。</w:t>
            </w:r>
          </w:p>
          <w:p>
            <w:pPr>
              <w:keepNext w:val="0"/>
              <w:keepLines w:val="0"/>
              <w:pageBreakBefore w:val="0"/>
              <w:widowControl/>
              <w:kinsoku/>
              <w:wordWrap/>
              <w:overflowPunct/>
              <w:topLinePunct w:val="0"/>
              <w:autoSpaceDE/>
              <w:autoSpaceDN/>
              <w:bidi w:val="0"/>
              <w:adjustRightInd/>
              <w:snapToGrid/>
              <w:spacing w:line="360" w:lineRule="exact"/>
              <w:textAlignment w:val="auto"/>
            </w:pPr>
            <w:r>
              <w:rPr>
                <w:rFonts w:hint="eastAsia"/>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keepNext w:val="0"/>
              <w:keepLines w:val="0"/>
              <w:pageBreakBefore w:val="0"/>
              <w:widowControl/>
              <w:kinsoku/>
              <w:wordWrap/>
              <w:overflowPunct/>
              <w:topLinePunct w:val="0"/>
              <w:autoSpaceDE/>
              <w:autoSpaceDN/>
              <w:bidi w:val="0"/>
              <w:adjustRightInd/>
              <w:snapToGrid/>
              <w:spacing w:line="360" w:lineRule="exact"/>
              <w:textAlignment w:val="auto"/>
            </w:pPr>
            <w:r>
              <w:rPr>
                <w:rFonts w:hint="eastAsia"/>
              </w:rPr>
              <w:t>3、招标人按照第二章“投标人须知”第5.2.4-5.2.5项的规定对投标文件第一信封（商务及技术文件）评审得分前 3 名的投标文件第二个信封（投标文件）进行开启。</w:t>
            </w:r>
          </w:p>
          <w:p>
            <w:pPr>
              <w:keepNext w:val="0"/>
              <w:keepLines w:val="0"/>
              <w:pageBreakBefore w:val="0"/>
              <w:widowControl/>
              <w:kinsoku/>
              <w:wordWrap/>
              <w:overflowPunct/>
              <w:topLinePunct w:val="0"/>
              <w:autoSpaceDE/>
              <w:autoSpaceDN/>
              <w:bidi w:val="0"/>
              <w:adjustRightInd/>
              <w:snapToGrid/>
              <w:spacing w:line="360" w:lineRule="exact"/>
              <w:textAlignment w:val="auto"/>
            </w:pPr>
            <w:r>
              <w:rPr>
                <w:rFonts w:hint="eastAsia"/>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tc>
      </w:tr>
    </w:tbl>
    <w:p>
      <w:pPr>
        <w:pStyle w:val="2"/>
        <w:ind w:left="0" w:leftChars="0" w:firstLine="0" w:firstLineChars="0"/>
      </w:pPr>
    </w:p>
    <w:p>
      <w:pPr>
        <w:spacing w:line="351" w:lineRule="auto"/>
        <w:ind w:left="660" w:hanging="659"/>
        <w:rPr>
          <w:rFonts w:ascii="宋体" w:hAnsi="宋体"/>
          <w:sz w:val="24"/>
        </w:rPr>
      </w:pPr>
      <w:r>
        <w:rPr>
          <w:rFonts w:ascii="宋体" w:hAnsi="宋体"/>
          <w:b/>
          <w:bCs/>
          <w:sz w:val="28"/>
          <w:szCs w:val="28"/>
        </w:rPr>
        <w:t>1. 评标方法</w:t>
      </w:r>
    </w:p>
    <w:p>
      <w:pPr>
        <w:spacing w:line="500" w:lineRule="exact"/>
        <w:ind w:firstLine="480" w:firstLineChars="200"/>
        <w:rPr>
          <w:rFonts w:ascii="宋体" w:hAnsi="宋体"/>
          <w:sz w:val="24"/>
          <w:szCs w:val="24"/>
        </w:rPr>
      </w:pPr>
      <w:r>
        <w:rPr>
          <w:rFonts w:hint="eastAsia" w:ascii="宋体" w:hAnsi="宋体"/>
          <w:sz w:val="24"/>
          <w:szCs w:val="24"/>
        </w:rPr>
        <w:t>本次评标采用技术评分最低标价法。评标委员会对满足招标文件实质性要求的 投标文件的施工组织设计、项目管理机构、技术能力、履约信誉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 先次序推荐中标候选人或确定中标人。</w:t>
      </w:r>
    </w:p>
    <w:p>
      <w:pPr>
        <w:spacing w:line="351" w:lineRule="auto"/>
        <w:ind w:left="660" w:hanging="659"/>
        <w:rPr>
          <w:rFonts w:ascii="宋体" w:hAnsi="宋体"/>
          <w:b/>
          <w:bCs/>
          <w:sz w:val="28"/>
          <w:szCs w:val="28"/>
        </w:rPr>
      </w:pPr>
      <w:bookmarkStart w:id="39" w:name="_bookmark111"/>
      <w:bookmarkEnd w:id="39"/>
      <w:r>
        <w:rPr>
          <w:rFonts w:ascii="宋体" w:hAnsi="宋体"/>
          <w:b/>
          <w:bCs/>
          <w:sz w:val="28"/>
          <w:szCs w:val="28"/>
        </w:rPr>
        <w:t>2. 评审标准</w:t>
      </w:r>
    </w:p>
    <w:p>
      <w:pPr>
        <w:spacing w:line="500" w:lineRule="exact"/>
        <w:ind w:firstLine="480" w:firstLineChars="200"/>
        <w:rPr>
          <w:rFonts w:ascii="宋体" w:hAnsi="宋体"/>
          <w:sz w:val="24"/>
          <w:szCs w:val="24"/>
        </w:rPr>
      </w:pPr>
      <w:bookmarkStart w:id="40" w:name="_bookmark112"/>
      <w:bookmarkEnd w:id="40"/>
      <w:r>
        <w:rPr>
          <w:rFonts w:hint="eastAsia" w:ascii="宋体" w:hAnsi="宋体"/>
          <w:sz w:val="24"/>
          <w:szCs w:val="24"/>
        </w:rPr>
        <w:t>2.1初步详审标准：</w:t>
      </w:r>
    </w:p>
    <w:p>
      <w:pPr>
        <w:spacing w:line="500" w:lineRule="exact"/>
        <w:ind w:firstLine="480" w:firstLineChars="200"/>
        <w:rPr>
          <w:rFonts w:ascii="宋体" w:hAnsi="宋体"/>
          <w:sz w:val="24"/>
          <w:szCs w:val="24"/>
        </w:rPr>
      </w:pPr>
      <w:r>
        <w:rPr>
          <w:rFonts w:hint="eastAsia" w:ascii="宋体" w:hAnsi="宋体"/>
          <w:sz w:val="24"/>
          <w:szCs w:val="24"/>
        </w:rPr>
        <w:t>2.1.1形式评审标准：见评标办法前附表。</w:t>
      </w:r>
    </w:p>
    <w:p>
      <w:pPr>
        <w:spacing w:line="500" w:lineRule="exact"/>
        <w:ind w:firstLine="480" w:firstLineChars="200"/>
        <w:rPr>
          <w:rFonts w:ascii="宋体" w:hAnsi="宋体"/>
          <w:sz w:val="24"/>
          <w:szCs w:val="24"/>
        </w:rPr>
      </w:pPr>
      <w:r>
        <w:rPr>
          <w:rFonts w:hint="eastAsia" w:ascii="宋体" w:hAnsi="宋体"/>
          <w:sz w:val="24"/>
          <w:szCs w:val="24"/>
        </w:rPr>
        <w:t>2.1.2资格评审标准：见评标办法前附表。</w:t>
      </w:r>
    </w:p>
    <w:p>
      <w:pPr>
        <w:spacing w:line="500" w:lineRule="exact"/>
        <w:ind w:firstLine="480" w:firstLineChars="200"/>
        <w:rPr>
          <w:rFonts w:ascii="宋体" w:hAnsi="宋体"/>
          <w:sz w:val="24"/>
          <w:szCs w:val="24"/>
        </w:rPr>
      </w:pPr>
      <w:r>
        <w:rPr>
          <w:rFonts w:hint="eastAsia" w:ascii="宋体" w:hAnsi="宋体"/>
          <w:sz w:val="24"/>
          <w:szCs w:val="24"/>
        </w:rPr>
        <w:t>2.1.3响应性评审标准：见评标办法前附表。</w:t>
      </w:r>
    </w:p>
    <w:p>
      <w:pPr>
        <w:spacing w:line="500" w:lineRule="exact"/>
        <w:ind w:firstLine="480" w:firstLineChars="200"/>
        <w:rPr>
          <w:rFonts w:ascii="宋体" w:hAnsi="宋体"/>
          <w:sz w:val="24"/>
          <w:szCs w:val="24"/>
        </w:rPr>
      </w:pPr>
      <w:r>
        <w:rPr>
          <w:rFonts w:hint="eastAsia" w:ascii="宋体" w:hAnsi="宋体"/>
          <w:sz w:val="24"/>
          <w:szCs w:val="24"/>
        </w:rPr>
        <w:t>2.2 分值构成与评分标准</w:t>
      </w:r>
    </w:p>
    <w:p>
      <w:pPr>
        <w:spacing w:line="351" w:lineRule="auto"/>
        <w:ind w:firstLine="480" w:firstLineChars="200"/>
        <w:rPr>
          <w:rFonts w:ascii="宋体" w:hAnsi="宋体"/>
          <w:sz w:val="24"/>
        </w:rPr>
      </w:pPr>
      <w:r>
        <w:rPr>
          <w:rFonts w:hint="eastAsia" w:ascii="宋体" w:hAnsi="宋体"/>
          <w:sz w:val="24"/>
        </w:rPr>
        <w:t>2.2.</w:t>
      </w:r>
      <w:r>
        <w:rPr>
          <w:rFonts w:ascii="宋体" w:hAnsi="宋体"/>
          <w:sz w:val="24"/>
        </w:rPr>
        <w:t>1  第一个信封评分分值构成</w:t>
      </w:r>
    </w:p>
    <w:p>
      <w:pPr>
        <w:spacing w:line="351" w:lineRule="auto"/>
        <w:ind w:left="677" w:leftChars="185" w:hanging="307" w:hangingChars="128"/>
        <w:rPr>
          <w:rFonts w:ascii="宋体" w:hAnsi="宋体"/>
          <w:sz w:val="24"/>
        </w:rPr>
      </w:pPr>
      <w:r>
        <w:rPr>
          <w:rFonts w:ascii="宋体" w:hAnsi="宋体"/>
          <w:sz w:val="24"/>
        </w:rPr>
        <w:t>（1）施工组织设计：见评标办法前附表；</w:t>
      </w:r>
    </w:p>
    <w:p>
      <w:pPr>
        <w:spacing w:line="351" w:lineRule="auto"/>
        <w:ind w:left="677" w:leftChars="185" w:hanging="307" w:hangingChars="128"/>
        <w:rPr>
          <w:rFonts w:ascii="宋体" w:hAnsi="宋体"/>
          <w:sz w:val="24"/>
        </w:rPr>
      </w:pPr>
      <w:r>
        <w:rPr>
          <w:rFonts w:ascii="宋体" w:hAnsi="宋体"/>
          <w:sz w:val="24"/>
        </w:rPr>
        <w:t>（2）</w:t>
      </w:r>
      <w:r>
        <w:rPr>
          <w:rFonts w:hint="eastAsia" w:ascii="宋体" w:hAnsi="宋体"/>
          <w:sz w:val="24"/>
        </w:rPr>
        <w:t>项目管理机构</w:t>
      </w:r>
      <w:r>
        <w:rPr>
          <w:rFonts w:ascii="宋体" w:hAnsi="宋体"/>
          <w:sz w:val="24"/>
        </w:rPr>
        <w:t>：见评标办法前附表；</w:t>
      </w:r>
    </w:p>
    <w:p>
      <w:pPr>
        <w:spacing w:line="351" w:lineRule="auto"/>
        <w:ind w:left="677" w:leftChars="185" w:hanging="307" w:hangingChars="128"/>
      </w:pPr>
      <w:r>
        <w:rPr>
          <w:rFonts w:ascii="宋体" w:hAnsi="宋体"/>
          <w:sz w:val="24"/>
        </w:rPr>
        <w:t>（3）</w:t>
      </w:r>
      <w:r>
        <w:rPr>
          <w:rFonts w:hint="eastAsia" w:ascii="宋体" w:hAnsi="宋体"/>
          <w:sz w:val="24"/>
        </w:rPr>
        <w:t>技术能力</w:t>
      </w:r>
      <w:r>
        <w:rPr>
          <w:rFonts w:ascii="宋体" w:hAnsi="宋体"/>
          <w:sz w:val="24"/>
        </w:rPr>
        <w:t>：见评标办法前附表</w:t>
      </w:r>
      <w:r>
        <w:rPr>
          <w:rFonts w:hint="eastAsia" w:ascii="宋体" w:hAnsi="宋体"/>
          <w:sz w:val="24"/>
        </w:rPr>
        <w:t>；</w:t>
      </w:r>
    </w:p>
    <w:p>
      <w:pPr>
        <w:spacing w:line="351" w:lineRule="auto"/>
        <w:ind w:left="677" w:leftChars="185" w:hanging="307" w:hangingChars="128"/>
        <w:rPr>
          <w:rFonts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履约信誉</w:t>
      </w:r>
      <w:r>
        <w:rPr>
          <w:rFonts w:ascii="宋体" w:hAnsi="宋体"/>
          <w:sz w:val="24"/>
        </w:rPr>
        <w:t>：见评标办法前附表。</w:t>
      </w:r>
    </w:p>
    <w:p>
      <w:pPr>
        <w:spacing w:line="351" w:lineRule="auto"/>
        <w:ind w:left="677" w:leftChars="185" w:hanging="307" w:hangingChars="128"/>
        <w:rPr>
          <w:rFonts w:ascii="宋体" w:hAnsi="宋体"/>
          <w:sz w:val="24"/>
          <w:szCs w:val="22"/>
        </w:rPr>
      </w:pPr>
      <w:r>
        <w:rPr>
          <w:rFonts w:ascii="宋体" w:hAnsi="宋体"/>
          <w:sz w:val="24"/>
          <w:szCs w:val="22"/>
        </w:rPr>
        <w:t>（</w:t>
      </w:r>
      <w:r>
        <w:rPr>
          <w:rFonts w:hint="eastAsia" w:ascii="宋体" w:hAnsi="宋体"/>
          <w:sz w:val="24"/>
          <w:szCs w:val="22"/>
        </w:rPr>
        <w:t>5</w:t>
      </w:r>
      <w:r>
        <w:rPr>
          <w:rFonts w:ascii="宋体" w:hAnsi="宋体"/>
          <w:sz w:val="24"/>
          <w:szCs w:val="22"/>
        </w:rPr>
        <w:t>）</w:t>
      </w:r>
      <w:r>
        <w:rPr>
          <w:rFonts w:hint="eastAsia" w:ascii="宋体" w:hAnsi="宋体"/>
          <w:sz w:val="24"/>
          <w:szCs w:val="22"/>
        </w:rPr>
        <w:t>财务能力</w:t>
      </w:r>
      <w:r>
        <w:rPr>
          <w:rFonts w:ascii="宋体" w:hAnsi="宋体"/>
          <w:sz w:val="24"/>
          <w:szCs w:val="22"/>
        </w:rPr>
        <w:t>：见评标办法前附表。</w:t>
      </w:r>
    </w:p>
    <w:p>
      <w:pPr>
        <w:spacing w:line="351" w:lineRule="auto"/>
        <w:ind w:left="677" w:leftChars="185" w:hanging="307" w:hangingChars="128"/>
        <w:rPr>
          <w:rFonts w:ascii="宋体" w:hAnsi="宋体"/>
          <w:sz w:val="24"/>
          <w:szCs w:val="22"/>
        </w:rPr>
      </w:pPr>
      <w:r>
        <w:rPr>
          <w:rFonts w:ascii="宋体" w:hAnsi="宋体"/>
          <w:sz w:val="24"/>
          <w:szCs w:val="22"/>
        </w:rPr>
        <w:t>（</w:t>
      </w:r>
      <w:r>
        <w:rPr>
          <w:rFonts w:hint="eastAsia" w:ascii="宋体" w:hAnsi="宋体"/>
          <w:sz w:val="24"/>
          <w:szCs w:val="22"/>
        </w:rPr>
        <w:t>6</w:t>
      </w:r>
      <w:r>
        <w:rPr>
          <w:rFonts w:ascii="宋体" w:hAnsi="宋体"/>
          <w:sz w:val="24"/>
          <w:szCs w:val="22"/>
        </w:rPr>
        <w:t>）</w:t>
      </w:r>
      <w:r>
        <w:rPr>
          <w:rFonts w:hint="eastAsia" w:ascii="宋体" w:hAnsi="宋体"/>
          <w:sz w:val="24"/>
          <w:szCs w:val="22"/>
        </w:rPr>
        <w:t>企业业绩</w:t>
      </w:r>
      <w:r>
        <w:rPr>
          <w:rFonts w:ascii="宋体" w:hAnsi="宋体"/>
          <w:sz w:val="24"/>
          <w:szCs w:val="22"/>
        </w:rPr>
        <w:t>：见评标办法前附表。</w:t>
      </w:r>
    </w:p>
    <w:p>
      <w:pPr>
        <w:spacing w:line="351" w:lineRule="auto"/>
        <w:ind w:left="677" w:leftChars="185" w:hanging="307" w:hangingChars="128"/>
        <w:rPr>
          <w:rFonts w:ascii="宋体" w:hAnsi="宋体"/>
          <w:sz w:val="24"/>
        </w:rPr>
      </w:pPr>
      <w:r>
        <w:rPr>
          <w:rFonts w:ascii="宋体" w:hAnsi="宋体"/>
          <w:sz w:val="24"/>
        </w:rPr>
        <w:t>2.2.2  第一个信封评分评分标准</w:t>
      </w:r>
    </w:p>
    <w:p>
      <w:pPr>
        <w:spacing w:line="351" w:lineRule="auto"/>
        <w:ind w:left="677" w:leftChars="185" w:hanging="307" w:hangingChars="128"/>
        <w:rPr>
          <w:rFonts w:ascii="宋体" w:hAnsi="宋体"/>
          <w:sz w:val="24"/>
        </w:rPr>
      </w:pPr>
      <w:r>
        <w:rPr>
          <w:rFonts w:ascii="宋体" w:hAnsi="宋体"/>
          <w:sz w:val="24"/>
        </w:rPr>
        <w:t>（1）施工组织设计评分标准：见评标办法前附表；</w:t>
      </w:r>
    </w:p>
    <w:p>
      <w:pPr>
        <w:spacing w:line="351" w:lineRule="auto"/>
        <w:ind w:left="677" w:leftChars="185" w:hanging="307" w:hangingChars="128"/>
        <w:rPr>
          <w:rFonts w:ascii="宋体" w:hAnsi="宋体"/>
          <w:sz w:val="24"/>
        </w:rPr>
      </w:pPr>
      <w:r>
        <w:rPr>
          <w:rFonts w:ascii="宋体" w:hAnsi="宋体"/>
          <w:sz w:val="24"/>
        </w:rPr>
        <w:t>（2）</w:t>
      </w:r>
      <w:r>
        <w:rPr>
          <w:rFonts w:hint="eastAsia" w:ascii="宋体" w:hAnsi="宋体"/>
          <w:sz w:val="24"/>
        </w:rPr>
        <w:t>项目管理机构</w:t>
      </w:r>
      <w:r>
        <w:rPr>
          <w:rFonts w:ascii="宋体" w:hAnsi="宋体"/>
          <w:sz w:val="24"/>
        </w:rPr>
        <w:t>评分标准：见评标办法前附表；</w:t>
      </w:r>
    </w:p>
    <w:p>
      <w:pPr>
        <w:spacing w:line="351" w:lineRule="auto"/>
        <w:ind w:left="677" w:leftChars="185" w:hanging="307" w:hangingChars="128"/>
      </w:pPr>
      <w:r>
        <w:rPr>
          <w:rFonts w:ascii="宋体" w:hAnsi="宋体"/>
          <w:sz w:val="24"/>
        </w:rPr>
        <w:t>（3）</w:t>
      </w:r>
      <w:r>
        <w:rPr>
          <w:rFonts w:hint="eastAsia" w:ascii="宋体" w:hAnsi="宋体"/>
          <w:sz w:val="24"/>
        </w:rPr>
        <w:t>技术能力</w:t>
      </w:r>
      <w:r>
        <w:rPr>
          <w:rFonts w:ascii="宋体" w:hAnsi="宋体"/>
          <w:sz w:val="24"/>
        </w:rPr>
        <w:t>：见评标办法前附表</w:t>
      </w:r>
      <w:r>
        <w:rPr>
          <w:rFonts w:hint="eastAsia" w:ascii="宋体" w:hAnsi="宋体"/>
          <w:sz w:val="24"/>
        </w:rPr>
        <w:t>；</w:t>
      </w:r>
    </w:p>
    <w:p>
      <w:pPr>
        <w:spacing w:line="351" w:lineRule="auto"/>
        <w:ind w:left="677" w:leftChars="185" w:hanging="307" w:hangingChars="128"/>
        <w:rPr>
          <w:rFonts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履约信誉</w:t>
      </w:r>
      <w:r>
        <w:rPr>
          <w:rFonts w:ascii="宋体" w:hAnsi="宋体"/>
          <w:sz w:val="24"/>
        </w:rPr>
        <w:t>：见评标办法前附表。</w:t>
      </w:r>
    </w:p>
    <w:p>
      <w:pPr>
        <w:spacing w:line="351" w:lineRule="auto"/>
        <w:ind w:left="677" w:leftChars="185" w:hanging="307" w:hangingChars="128"/>
        <w:rPr>
          <w:rFonts w:ascii="宋体" w:hAnsi="宋体"/>
          <w:sz w:val="24"/>
          <w:szCs w:val="22"/>
        </w:rPr>
      </w:pPr>
      <w:r>
        <w:rPr>
          <w:rFonts w:ascii="宋体" w:hAnsi="宋体"/>
          <w:sz w:val="24"/>
          <w:szCs w:val="22"/>
        </w:rPr>
        <w:t>（</w:t>
      </w:r>
      <w:r>
        <w:rPr>
          <w:rFonts w:hint="eastAsia" w:ascii="宋体" w:hAnsi="宋体"/>
          <w:sz w:val="24"/>
          <w:szCs w:val="22"/>
        </w:rPr>
        <w:t>5</w:t>
      </w:r>
      <w:r>
        <w:rPr>
          <w:rFonts w:ascii="宋体" w:hAnsi="宋体"/>
          <w:sz w:val="24"/>
          <w:szCs w:val="22"/>
        </w:rPr>
        <w:t>）</w:t>
      </w:r>
      <w:r>
        <w:rPr>
          <w:rFonts w:hint="eastAsia" w:ascii="宋体" w:hAnsi="宋体"/>
          <w:sz w:val="24"/>
          <w:szCs w:val="22"/>
        </w:rPr>
        <w:t>财务能力</w:t>
      </w:r>
      <w:r>
        <w:rPr>
          <w:rFonts w:ascii="宋体" w:hAnsi="宋体"/>
          <w:sz w:val="24"/>
          <w:szCs w:val="22"/>
        </w:rPr>
        <w:t>：见评标办法前附表。</w:t>
      </w:r>
    </w:p>
    <w:p>
      <w:pPr>
        <w:spacing w:line="351" w:lineRule="auto"/>
        <w:ind w:left="677" w:leftChars="185" w:hanging="307" w:hangingChars="128"/>
        <w:rPr>
          <w:rFonts w:ascii="宋体" w:hAnsi="宋体"/>
          <w:sz w:val="24"/>
          <w:szCs w:val="22"/>
        </w:rPr>
      </w:pPr>
      <w:r>
        <w:rPr>
          <w:rFonts w:ascii="宋体" w:hAnsi="宋体"/>
          <w:sz w:val="24"/>
          <w:szCs w:val="22"/>
        </w:rPr>
        <w:t>（</w:t>
      </w:r>
      <w:r>
        <w:rPr>
          <w:rFonts w:hint="eastAsia" w:ascii="宋体" w:hAnsi="宋体"/>
          <w:sz w:val="24"/>
          <w:szCs w:val="22"/>
        </w:rPr>
        <w:t>6</w:t>
      </w:r>
      <w:r>
        <w:rPr>
          <w:rFonts w:ascii="宋体" w:hAnsi="宋体"/>
          <w:sz w:val="24"/>
          <w:szCs w:val="22"/>
        </w:rPr>
        <w:t>）</w:t>
      </w:r>
      <w:r>
        <w:rPr>
          <w:rFonts w:hint="eastAsia" w:ascii="宋体" w:hAnsi="宋体"/>
          <w:sz w:val="24"/>
          <w:szCs w:val="22"/>
        </w:rPr>
        <w:t>企业业绩</w:t>
      </w:r>
      <w:r>
        <w:rPr>
          <w:rFonts w:ascii="宋体" w:hAnsi="宋体"/>
          <w:sz w:val="24"/>
          <w:szCs w:val="22"/>
        </w:rPr>
        <w:t>：见评标办法前附表。</w:t>
      </w:r>
    </w:p>
    <w:p>
      <w:pPr>
        <w:spacing w:line="351" w:lineRule="auto"/>
        <w:ind w:left="677" w:leftChars="185" w:hanging="307" w:hangingChars="128"/>
        <w:rPr>
          <w:rFonts w:ascii="宋体" w:hAnsi="宋体"/>
          <w:sz w:val="24"/>
        </w:rPr>
      </w:pPr>
      <w:r>
        <w:rPr>
          <w:rFonts w:ascii="宋体" w:hAnsi="宋体"/>
          <w:sz w:val="24"/>
        </w:rPr>
        <w:t>2.2.3  第二个信封详细评审标准：见评标办法前附表。</w:t>
      </w:r>
    </w:p>
    <w:p>
      <w:pPr>
        <w:spacing w:line="351" w:lineRule="auto"/>
        <w:ind w:left="660" w:hanging="659"/>
        <w:rPr>
          <w:rFonts w:ascii="宋体" w:hAnsi="宋体"/>
          <w:b/>
          <w:bCs/>
          <w:sz w:val="24"/>
        </w:rPr>
      </w:pPr>
      <w:bookmarkStart w:id="41" w:name="_bookmark114"/>
      <w:bookmarkEnd w:id="41"/>
      <w:r>
        <w:rPr>
          <w:rFonts w:ascii="宋体" w:hAnsi="宋体"/>
          <w:b/>
          <w:bCs/>
          <w:sz w:val="24"/>
        </w:rPr>
        <w:t>3. 评标程序</w:t>
      </w:r>
    </w:p>
    <w:p>
      <w:pPr>
        <w:spacing w:line="351" w:lineRule="auto"/>
        <w:ind w:left="660" w:hanging="659"/>
        <w:rPr>
          <w:rFonts w:ascii="宋体" w:hAnsi="宋体"/>
          <w:sz w:val="24"/>
        </w:rPr>
      </w:pPr>
      <w:bookmarkStart w:id="42" w:name="_bookmark115"/>
      <w:bookmarkEnd w:id="42"/>
      <w:r>
        <w:rPr>
          <w:rFonts w:ascii="宋体" w:hAnsi="宋体"/>
          <w:sz w:val="24"/>
        </w:rPr>
        <w:t>3.1 第一个信封初步评审</w:t>
      </w:r>
    </w:p>
    <w:p>
      <w:pPr>
        <w:spacing w:line="351" w:lineRule="auto"/>
        <w:ind w:left="660" w:hanging="659"/>
        <w:rPr>
          <w:rFonts w:ascii="宋体" w:hAnsi="宋体"/>
          <w:sz w:val="24"/>
          <w:szCs w:val="24"/>
        </w:rPr>
      </w:pPr>
      <w:r>
        <w:rPr>
          <w:rFonts w:ascii="宋体" w:hAnsi="宋体"/>
          <w:sz w:val="24"/>
        </w:rPr>
        <w:t>3.1.1</w:t>
      </w:r>
      <w:r>
        <w:rPr>
          <w:rFonts w:hint="eastAsia" w:ascii="宋体" w:hAnsi="宋体"/>
          <w:sz w:val="24"/>
          <w:szCs w:val="24"/>
        </w:rPr>
        <w:t xml:space="preserve"> 评标委员会可以要求投标人提交第二章“投标人须知”第 3.5.1 项至第</w:t>
      </w:r>
    </w:p>
    <w:p>
      <w:pPr>
        <w:spacing w:line="351" w:lineRule="auto"/>
        <w:ind w:left="660" w:hanging="659"/>
        <w:rPr>
          <w:rFonts w:ascii="宋体" w:hAnsi="宋体"/>
          <w:sz w:val="24"/>
          <w:szCs w:val="24"/>
        </w:rPr>
      </w:pPr>
      <w:r>
        <w:rPr>
          <w:rFonts w:hint="eastAsia" w:ascii="宋体" w:hAnsi="宋体"/>
          <w:sz w:val="24"/>
          <w:szCs w:val="24"/>
        </w:rPr>
        <w:t>3.5.6项规定的有关证明和证件的复印件，以便核验。评标委员会依据本章第 2.1</w:t>
      </w:r>
    </w:p>
    <w:p>
      <w:pPr>
        <w:spacing w:line="351" w:lineRule="auto"/>
        <w:ind w:left="660" w:hanging="659"/>
        <w:jc w:val="both"/>
        <w:rPr>
          <w:rFonts w:ascii="宋体" w:hAnsi="宋体"/>
          <w:sz w:val="24"/>
          <w:szCs w:val="24"/>
        </w:rPr>
      </w:pPr>
      <w:r>
        <w:rPr>
          <w:rFonts w:hint="eastAsia" w:ascii="宋体" w:hAnsi="宋体"/>
          <w:sz w:val="24"/>
          <w:szCs w:val="24"/>
        </w:rPr>
        <w:t>款规定的标准对投标文件第一个信封（商务及技术文件）进行初步评审。有一项</w:t>
      </w:r>
    </w:p>
    <w:p>
      <w:pPr>
        <w:spacing w:line="351" w:lineRule="auto"/>
        <w:ind w:left="660" w:hanging="659"/>
        <w:jc w:val="both"/>
        <w:rPr>
          <w:rFonts w:ascii="宋体" w:hAnsi="宋体"/>
          <w:sz w:val="24"/>
          <w:szCs w:val="24"/>
        </w:rPr>
      </w:pPr>
      <w:r>
        <w:rPr>
          <w:rFonts w:hint="eastAsia" w:ascii="宋体" w:hAnsi="宋体"/>
          <w:sz w:val="24"/>
          <w:szCs w:val="24"/>
        </w:rPr>
        <w:t>不符合评审标准的，评标委员会应否决其投标。</w:t>
      </w:r>
    </w:p>
    <w:p>
      <w:pPr>
        <w:spacing w:line="351" w:lineRule="auto"/>
        <w:ind w:left="660" w:hanging="659"/>
        <w:rPr>
          <w:rFonts w:ascii="宋体" w:hAnsi="宋体"/>
          <w:sz w:val="24"/>
        </w:rPr>
      </w:pPr>
      <w:bookmarkStart w:id="43" w:name="_bookmark116"/>
      <w:bookmarkEnd w:id="43"/>
      <w:r>
        <w:rPr>
          <w:rFonts w:ascii="宋体" w:hAnsi="宋体"/>
          <w:sz w:val="24"/>
        </w:rPr>
        <w:t>3.2 第一个信封详细评审</w:t>
      </w:r>
    </w:p>
    <w:p>
      <w:pPr>
        <w:spacing w:line="351" w:lineRule="auto"/>
        <w:ind w:left="660" w:hanging="659"/>
        <w:rPr>
          <w:rFonts w:ascii="宋体" w:hAnsi="宋体"/>
          <w:sz w:val="24"/>
        </w:rPr>
      </w:pPr>
      <w:r>
        <w:rPr>
          <w:rFonts w:ascii="宋体" w:hAnsi="宋体"/>
          <w:sz w:val="24"/>
        </w:rPr>
        <w:t>3.2.1 评标委员会按本章第 2.2 款规定的量化因素和分值进行打分，并计算出各 投标人的商务和技术得分。</w:t>
      </w:r>
    </w:p>
    <w:p>
      <w:pPr>
        <w:spacing w:line="351" w:lineRule="auto"/>
        <w:ind w:left="660" w:hanging="659"/>
        <w:rPr>
          <w:rFonts w:ascii="宋体" w:hAnsi="宋体"/>
          <w:sz w:val="24"/>
        </w:rPr>
      </w:pPr>
      <w:r>
        <w:rPr>
          <w:rFonts w:ascii="宋体" w:hAnsi="宋体"/>
          <w:sz w:val="24"/>
        </w:rPr>
        <w:t>（1）按本章第 2.2.2 项（1）目规定的评审因素和分值对施工组织设计部分计算 出得分 A；</w:t>
      </w:r>
    </w:p>
    <w:p>
      <w:pPr>
        <w:spacing w:line="351" w:lineRule="auto"/>
        <w:ind w:left="660" w:hanging="659"/>
        <w:rPr>
          <w:rFonts w:ascii="宋体" w:hAnsi="宋体"/>
          <w:sz w:val="24"/>
        </w:rPr>
      </w:pPr>
      <w:r>
        <w:rPr>
          <w:rFonts w:ascii="宋体" w:hAnsi="宋体"/>
          <w:sz w:val="24"/>
        </w:rPr>
        <w:t>（2）按本章第 2.2.2 项（2）目规定的评审因素和分值对</w:t>
      </w:r>
      <w:r>
        <w:rPr>
          <w:rFonts w:hint="eastAsia" w:ascii="宋体" w:hAnsi="宋体"/>
          <w:sz w:val="24"/>
        </w:rPr>
        <w:t>项目管理机构</w:t>
      </w:r>
      <w:r>
        <w:rPr>
          <w:rFonts w:ascii="宋体" w:hAnsi="宋体"/>
          <w:sz w:val="24"/>
        </w:rPr>
        <w:t>部分计算出得 分 B；</w:t>
      </w:r>
    </w:p>
    <w:p>
      <w:pPr>
        <w:spacing w:line="351" w:lineRule="auto"/>
        <w:ind w:left="660" w:hanging="659"/>
        <w:rPr>
          <w:rFonts w:ascii="宋体" w:hAnsi="宋体"/>
          <w:sz w:val="24"/>
        </w:rPr>
      </w:pPr>
      <w:r>
        <w:rPr>
          <w:rFonts w:ascii="宋体" w:hAnsi="宋体"/>
          <w:sz w:val="24"/>
        </w:rPr>
        <w:t>（3）按本章第 2.2.2 项（3）目规定的评审因素和分值对</w:t>
      </w:r>
      <w:r>
        <w:rPr>
          <w:rFonts w:hint="eastAsia" w:ascii="宋体" w:hAnsi="宋体"/>
          <w:sz w:val="24"/>
        </w:rPr>
        <w:t>技术能力</w:t>
      </w:r>
      <w:r>
        <w:rPr>
          <w:rFonts w:ascii="宋体" w:hAnsi="宋体"/>
          <w:sz w:val="24"/>
        </w:rPr>
        <w:t xml:space="preserve">部分计算出得分 C。 </w:t>
      </w:r>
    </w:p>
    <w:p>
      <w:pPr>
        <w:spacing w:line="351" w:lineRule="auto"/>
        <w:ind w:left="660" w:hanging="659"/>
        <w:rPr>
          <w:rFonts w:ascii="宋体" w:hAnsi="宋体"/>
          <w:sz w:val="24"/>
        </w:rPr>
      </w:pPr>
      <w:r>
        <w:rPr>
          <w:rFonts w:ascii="宋体" w:hAnsi="宋体"/>
          <w:sz w:val="24"/>
        </w:rPr>
        <w:t>（</w:t>
      </w:r>
      <w:r>
        <w:rPr>
          <w:rFonts w:hint="eastAsia" w:ascii="宋体" w:hAnsi="宋体"/>
          <w:sz w:val="24"/>
        </w:rPr>
        <w:t>4</w:t>
      </w:r>
      <w:r>
        <w:rPr>
          <w:rFonts w:ascii="宋体" w:hAnsi="宋体"/>
          <w:sz w:val="24"/>
        </w:rPr>
        <w:t>）按本章第 2.2.2 项（</w:t>
      </w:r>
      <w:r>
        <w:rPr>
          <w:rFonts w:hint="eastAsia" w:ascii="宋体" w:hAnsi="宋体"/>
          <w:sz w:val="24"/>
        </w:rPr>
        <w:t>4</w:t>
      </w:r>
      <w:r>
        <w:rPr>
          <w:rFonts w:ascii="宋体" w:hAnsi="宋体"/>
          <w:sz w:val="24"/>
        </w:rPr>
        <w:t>）目规定的评审因素和分值对</w:t>
      </w:r>
      <w:r>
        <w:rPr>
          <w:rFonts w:hint="eastAsia" w:ascii="宋体" w:hAnsi="宋体"/>
          <w:sz w:val="24"/>
        </w:rPr>
        <w:t>履约信誉</w:t>
      </w:r>
      <w:r>
        <w:rPr>
          <w:rFonts w:ascii="宋体" w:hAnsi="宋体"/>
          <w:sz w:val="24"/>
        </w:rPr>
        <w:t xml:space="preserve">部分计算出得分 </w:t>
      </w:r>
      <w:r>
        <w:rPr>
          <w:rFonts w:hint="eastAsia" w:ascii="宋体" w:hAnsi="宋体"/>
          <w:sz w:val="24"/>
        </w:rPr>
        <w:t>D</w:t>
      </w:r>
      <w:r>
        <w:rPr>
          <w:rFonts w:ascii="宋体" w:hAnsi="宋体"/>
          <w:sz w:val="24"/>
        </w:rPr>
        <w:t>。</w:t>
      </w:r>
    </w:p>
    <w:p>
      <w:pPr>
        <w:spacing w:line="351" w:lineRule="auto"/>
        <w:ind w:left="677" w:leftChars="185" w:hanging="307" w:hangingChars="128"/>
        <w:rPr>
          <w:rFonts w:ascii="宋体" w:hAnsi="宋体"/>
          <w:sz w:val="24"/>
          <w:szCs w:val="22"/>
        </w:rPr>
      </w:pPr>
      <w:r>
        <w:rPr>
          <w:rFonts w:ascii="宋体" w:hAnsi="宋体"/>
          <w:sz w:val="24"/>
          <w:szCs w:val="22"/>
        </w:rPr>
        <w:t>（</w:t>
      </w:r>
      <w:r>
        <w:rPr>
          <w:rFonts w:hint="eastAsia" w:ascii="宋体" w:hAnsi="宋体"/>
          <w:sz w:val="24"/>
          <w:szCs w:val="22"/>
        </w:rPr>
        <w:t>5</w:t>
      </w:r>
      <w:r>
        <w:rPr>
          <w:rFonts w:ascii="宋体" w:hAnsi="宋体"/>
          <w:sz w:val="24"/>
          <w:szCs w:val="22"/>
        </w:rPr>
        <w:t>）按本章第 2.2.2 项（</w:t>
      </w:r>
      <w:r>
        <w:rPr>
          <w:rFonts w:hint="eastAsia" w:ascii="宋体" w:hAnsi="宋体"/>
          <w:sz w:val="24"/>
          <w:szCs w:val="22"/>
        </w:rPr>
        <w:t>5</w:t>
      </w:r>
      <w:r>
        <w:rPr>
          <w:rFonts w:ascii="宋体" w:hAnsi="宋体"/>
          <w:sz w:val="24"/>
          <w:szCs w:val="22"/>
        </w:rPr>
        <w:t>）目规定的评审因素和分值对</w:t>
      </w:r>
      <w:r>
        <w:rPr>
          <w:rFonts w:hint="eastAsia" w:ascii="宋体" w:hAnsi="宋体"/>
          <w:sz w:val="24"/>
          <w:szCs w:val="22"/>
        </w:rPr>
        <w:t>财务能力</w:t>
      </w:r>
      <w:r>
        <w:rPr>
          <w:rFonts w:ascii="宋体" w:hAnsi="宋体"/>
          <w:sz w:val="24"/>
          <w:szCs w:val="22"/>
        </w:rPr>
        <w:t xml:space="preserve">部分计算出得分 </w:t>
      </w:r>
      <w:r>
        <w:rPr>
          <w:rFonts w:hint="eastAsia" w:ascii="宋体" w:hAnsi="宋体"/>
          <w:sz w:val="24"/>
          <w:szCs w:val="22"/>
        </w:rPr>
        <w:t>E</w:t>
      </w:r>
      <w:r>
        <w:rPr>
          <w:rFonts w:ascii="宋体" w:hAnsi="宋体"/>
          <w:sz w:val="24"/>
          <w:szCs w:val="22"/>
        </w:rPr>
        <w:t>。</w:t>
      </w:r>
    </w:p>
    <w:p>
      <w:pPr>
        <w:spacing w:line="351" w:lineRule="auto"/>
        <w:ind w:left="677" w:leftChars="185" w:hanging="307" w:hangingChars="128"/>
        <w:rPr>
          <w:rFonts w:ascii="宋体" w:hAnsi="宋体"/>
          <w:sz w:val="24"/>
          <w:szCs w:val="22"/>
        </w:rPr>
      </w:pPr>
      <w:r>
        <w:rPr>
          <w:rFonts w:ascii="宋体" w:hAnsi="宋体"/>
          <w:sz w:val="24"/>
          <w:szCs w:val="22"/>
        </w:rPr>
        <w:t>（</w:t>
      </w:r>
      <w:r>
        <w:rPr>
          <w:rFonts w:hint="eastAsia" w:ascii="宋体" w:hAnsi="宋体"/>
          <w:sz w:val="24"/>
          <w:szCs w:val="22"/>
        </w:rPr>
        <w:t>6</w:t>
      </w:r>
      <w:r>
        <w:rPr>
          <w:rFonts w:ascii="宋体" w:hAnsi="宋体"/>
          <w:sz w:val="24"/>
          <w:szCs w:val="22"/>
        </w:rPr>
        <w:t>）按本章第 2.2.2 项（</w:t>
      </w:r>
      <w:r>
        <w:rPr>
          <w:rFonts w:hint="eastAsia" w:ascii="宋体" w:hAnsi="宋体"/>
          <w:sz w:val="24"/>
          <w:szCs w:val="22"/>
        </w:rPr>
        <w:t>6</w:t>
      </w:r>
      <w:r>
        <w:rPr>
          <w:rFonts w:ascii="宋体" w:hAnsi="宋体"/>
          <w:sz w:val="24"/>
          <w:szCs w:val="22"/>
        </w:rPr>
        <w:t>）目规定的评审因素和分值对</w:t>
      </w:r>
      <w:r>
        <w:rPr>
          <w:rFonts w:hint="eastAsia" w:ascii="宋体" w:hAnsi="宋体"/>
          <w:sz w:val="24"/>
          <w:szCs w:val="22"/>
        </w:rPr>
        <w:t>企业业绩</w:t>
      </w:r>
      <w:r>
        <w:rPr>
          <w:rFonts w:ascii="宋体" w:hAnsi="宋体"/>
          <w:sz w:val="24"/>
          <w:szCs w:val="22"/>
        </w:rPr>
        <w:t xml:space="preserve">部分计算出得分 </w:t>
      </w:r>
      <w:r>
        <w:rPr>
          <w:rFonts w:hint="eastAsia" w:ascii="宋体" w:hAnsi="宋体"/>
          <w:sz w:val="24"/>
          <w:szCs w:val="22"/>
        </w:rPr>
        <w:t>F</w:t>
      </w:r>
      <w:r>
        <w:rPr>
          <w:rFonts w:ascii="宋体" w:hAnsi="宋体"/>
          <w:sz w:val="24"/>
          <w:szCs w:val="22"/>
        </w:rPr>
        <w:t>。</w:t>
      </w:r>
    </w:p>
    <w:p>
      <w:pPr>
        <w:spacing w:line="351" w:lineRule="auto"/>
        <w:ind w:left="660" w:hanging="659"/>
        <w:rPr>
          <w:rFonts w:ascii="宋体" w:hAnsi="宋体"/>
          <w:sz w:val="24"/>
        </w:rPr>
      </w:pPr>
      <w:r>
        <w:rPr>
          <w:rFonts w:ascii="宋体" w:hAnsi="宋体"/>
          <w:sz w:val="24"/>
        </w:rPr>
        <w:t>3.2.2  投标人的商务和技术得分分值计算保留小数点后两位，小数点后第三位</w:t>
      </w:r>
    </w:p>
    <w:p>
      <w:pPr>
        <w:spacing w:line="351" w:lineRule="auto"/>
        <w:ind w:left="660" w:hanging="659"/>
        <w:rPr>
          <w:rFonts w:ascii="宋体" w:hAnsi="宋体"/>
          <w:sz w:val="24"/>
        </w:rPr>
      </w:pPr>
      <w:r>
        <w:rPr>
          <w:rFonts w:ascii="宋体" w:hAnsi="宋体"/>
          <w:sz w:val="24"/>
        </w:rPr>
        <w:t>“四舍五入”。</w:t>
      </w:r>
    </w:p>
    <w:p>
      <w:pPr>
        <w:spacing w:line="351" w:lineRule="auto"/>
        <w:ind w:left="660" w:hanging="659"/>
        <w:rPr>
          <w:rFonts w:ascii="宋体" w:hAnsi="宋体"/>
          <w:sz w:val="24"/>
          <w:szCs w:val="22"/>
        </w:rPr>
      </w:pPr>
      <w:r>
        <w:rPr>
          <w:rFonts w:ascii="宋体" w:hAnsi="宋体"/>
          <w:sz w:val="24"/>
        </w:rPr>
        <w:t>3.2.3  投标人的商务和技术得分=A+B+C</w:t>
      </w:r>
      <w:r>
        <w:rPr>
          <w:rFonts w:hint="eastAsia" w:ascii="宋体" w:hAnsi="宋体"/>
          <w:sz w:val="24"/>
          <w:szCs w:val="22"/>
        </w:rPr>
        <w:t>+D+E+F</w:t>
      </w:r>
      <w:r>
        <w:rPr>
          <w:rFonts w:ascii="宋体" w:hAnsi="宋体"/>
          <w:sz w:val="24"/>
          <w:szCs w:val="22"/>
        </w:rPr>
        <w:t>。</w:t>
      </w:r>
    </w:p>
    <w:p>
      <w:pPr>
        <w:spacing w:line="351" w:lineRule="auto"/>
        <w:ind w:left="660" w:hanging="659"/>
        <w:rPr>
          <w:rFonts w:ascii="宋体" w:hAnsi="宋体"/>
          <w:sz w:val="24"/>
          <w:szCs w:val="24"/>
        </w:rPr>
      </w:pPr>
      <w:r>
        <w:rPr>
          <w:rFonts w:hint="eastAsia" w:ascii="宋体" w:hAnsi="宋体"/>
          <w:sz w:val="24"/>
          <w:szCs w:val="24"/>
        </w:rPr>
        <w:t>3.2.4 评标委员会按照投标人的商务和技术得分由高到低排序，排名在评标办法</w:t>
      </w:r>
    </w:p>
    <w:p>
      <w:pPr>
        <w:spacing w:line="351" w:lineRule="auto"/>
        <w:ind w:left="660" w:hanging="659"/>
        <w:rPr>
          <w:rFonts w:ascii="宋体" w:hAnsi="宋体"/>
          <w:sz w:val="24"/>
          <w:szCs w:val="24"/>
        </w:rPr>
      </w:pPr>
      <w:r>
        <w:rPr>
          <w:rFonts w:hint="eastAsia" w:ascii="宋体" w:hAnsi="宋体"/>
          <w:sz w:val="24"/>
          <w:szCs w:val="24"/>
        </w:rPr>
        <w:t>前附表规定数量以内的投标人，其投标文件第一个信封（商务及技术文件）通过</w:t>
      </w:r>
    </w:p>
    <w:p>
      <w:pPr>
        <w:spacing w:line="351" w:lineRule="auto"/>
        <w:ind w:left="660" w:hanging="659"/>
        <w:rPr>
          <w:rFonts w:ascii="宋体" w:hAnsi="宋体"/>
          <w:sz w:val="24"/>
          <w:szCs w:val="24"/>
        </w:rPr>
      </w:pPr>
      <w:r>
        <w:rPr>
          <w:rFonts w:hint="eastAsia" w:ascii="宋体" w:hAnsi="宋体"/>
          <w:sz w:val="24"/>
          <w:szCs w:val="24"/>
        </w:rPr>
        <w:t>详细评审。</w:t>
      </w:r>
    </w:p>
    <w:p>
      <w:pPr>
        <w:spacing w:line="351" w:lineRule="auto"/>
        <w:ind w:leftChars="-29" w:hanging="57" w:hangingChars="24"/>
        <w:rPr>
          <w:rFonts w:ascii="宋体" w:hAnsi="宋体"/>
          <w:sz w:val="24"/>
          <w:szCs w:val="24"/>
        </w:rPr>
      </w:pPr>
      <w:r>
        <w:rPr>
          <w:rFonts w:ascii="宋体" w:hAnsi="宋体"/>
          <w:sz w:val="24"/>
        </w:rPr>
        <w:t xml:space="preserve">3.2.5 </w:t>
      </w:r>
      <w:r>
        <w:rPr>
          <w:rFonts w:hint="eastAsia" w:ascii="宋体" w:hAnsi="宋体"/>
          <w:sz w:val="24"/>
          <w:szCs w:val="24"/>
        </w:rPr>
        <w:t>通过投标文件第一个信封（商务及技术文件）初步评审的投标人等于或少于 3个的，均通过投标文件第一个信封（商务及技术文件）详细评审，不再对投标人的商务和技术文件进行评分。</w:t>
      </w:r>
    </w:p>
    <w:p>
      <w:pPr>
        <w:spacing w:line="351" w:lineRule="auto"/>
        <w:ind w:left="660" w:hanging="659"/>
        <w:rPr>
          <w:rFonts w:ascii="宋体" w:hAnsi="宋体"/>
          <w:sz w:val="24"/>
        </w:rPr>
      </w:pPr>
      <w:bookmarkStart w:id="44" w:name="_bookmark117"/>
      <w:bookmarkEnd w:id="44"/>
      <w:r>
        <w:rPr>
          <w:rFonts w:ascii="宋体" w:hAnsi="宋体"/>
          <w:sz w:val="24"/>
        </w:rPr>
        <w:t>3.3 第二个信封开标</w:t>
      </w:r>
    </w:p>
    <w:p>
      <w:pPr>
        <w:spacing w:line="351" w:lineRule="auto"/>
        <w:ind w:firstLine="240" w:firstLineChars="100"/>
        <w:rPr>
          <w:rFonts w:ascii="宋体" w:hAnsi="宋体"/>
          <w:sz w:val="24"/>
        </w:rPr>
      </w:pPr>
      <w:r>
        <w:rPr>
          <w:rFonts w:ascii="宋体" w:hAnsi="宋体"/>
          <w:sz w:val="24"/>
        </w:rPr>
        <w:t>第一个信封（商务及技术文件）评审结束后，招标人将按照第二章“投标人须知” 第 5.1 款规定的时间和地点对通过投标文件第一个信封（商务及技术文件）评审的 投标文件第二个信封（报价文件）进行开标。</w:t>
      </w:r>
    </w:p>
    <w:p>
      <w:pPr>
        <w:spacing w:line="351" w:lineRule="auto"/>
        <w:ind w:left="660" w:hanging="659"/>
        <w:rPr>
          <w:rFonts w:ascii="宋体" w:hAnsi="宋体"/>
          <w:sz w:val="24"/>
        </w:rPr>
      </w:pPr>
      <w:bookmarkStart w:id="45" w:name="_bookmark118"/>
      <w:bookmarkEnd w:id="45"/>
      <w:r>
        <w:rPr>
          <w:rFonts w:ascii="宋体" w:hAnsi="宋体"/>
          <w:sz w:val="24"/>
        </w:rPr>
        <w:t>3.4 第二个信封初步评审</w:t>
      </w:r>
    </w:p>
    <w:p>
      <w:pPr>
        <w:spacing w:line="351" w:lineRule="auto"/>
        <w:ind w:left="660" w:hanging="659"/>
        <w:rPr>
          <w:rFonts w:ascii="宋体" w:hAnsi="宋体"/>
          <w:sz w:val="24"/>
        </w:rPr>
      </w:pPr>
      <w:r>
        <w:rPr>
          <w:rFonts w:ascii="宋体" w:hAnsi="宋体"/>
          <w:sz w:val="24"/>
        </w:rPr>
        <w:t>3.4.1 评标委员会依据本章第 2.1.1 项、第 2.1.3 项规定的评审标准对投标</w:t>
      </w:r>
    </w:p>
    <w:p>
      <w:pPr>
        <w:spacing w:line="351" w:lineRule="auto"/>
        <w:ind w:left="660" w:hanging="659"/>
        <w:rPr>
          <w:rFonts w:ascii="宋体" w:hAnsi="宋体"/>
          <w:sz w:val="24"/>
        </w:rPr>
      </w:pPr>
      <w:r>
        <w:rPr>
          <w:rFonts w:hint="eastAsia" w:ascii="宋体" w:hAnsi="宋体"/>
          <w:sz w:val="24"/>
        </w:rPr>
        <w:t>文</w:t>
      </w:r>
      <w:r>
        <w:rPr>
          <w:rFonts w:ascii="宋体" w:hAnsi="宋体"/>
          <w:sz w:val="24"/>
        </w:rPr>
        <w:t>件第 二个信封（报价文件）进行初步评审。有一项不符合评审标准的，评标</w:t>
      </w:r>
    </w:p>
    <w:p>
      <w:pPr>
        <w:spacing w:line="351" w:lineRule="auto"/>
        <w:ind w:left="660" w:hanging="659"/>
        <w:rPr>
          <w:rFonts w:ascii="宋体" w:hAnsi="宋体"/>
          <w:sz w:val="24"/>
        </w:rPr>
      </w:pPr>
      <w:r>
        <w:rPr>
          <w:rFonts w:hint="eastAsia" w:ascii="宋体" w:hAnsi="宋体"/>
          <w:sz w:val="24"/>
        </w:rPr>
        <w:t>委</w:t>
      </w:r>
      <w:r>
        <w:rPr>
          <w:rFonts w:ascii="宋体" w:hAnsi="宋体"/>
          <w:sz w:val="24"/>
        </w:rPr>
        <w:t>员会应否 决其投标。</w:t>
      </w:r>
    </w:p>
    <w:p>
      <w:pPr>
        <w:spacing w:line="351" w:lineRule="auto"/>
        <w:rPr>
          <w:rFonts w:ascii="宋体" w:hAnsi="宋体"/>
          <w:sz w:val="24"/>
        </w:rPr>
      </w:pPr>
      <w:r>
        <w:rPr>
          <w:rFonts w:ascii="宋体" w:hAnsi="宋体"/>
          <w:sz w:val="24"/>
        </w:rPr>
        <w:t>3.4.2投标报价有算术错误的，评标委员会按以下原则对投标报价进行修正， 修正的价格经投标人书面确认后具有约束力。投标人不接受修正价格的，评标委员 会应否决其投标。</w:t>
      </w:r>
    </w:p>
    <w:p>
      <w:pPr>
        <w:spacing w:line="351" w:lineRule="auto"/>
        <w:ind w:left="660" w:hanging="659"/>
        <w:rPr>
          <w:rFonts w:ascii="宋体" w:hAnsi="宋体"/>
          <w:sz w:val="24"/>
        </w:rPr>
      </w:pPr>
      <w:r>
        <w:rPr>
          <w:rFonts w:ascii="宋体" w:hAnsi="宋体"/>
          <w:sz w:val="24"/>
        </w:rPr>
        <w:t>（1）投标文件中的大写金额与小写金额不一致的，以大写金额为准；</w:t>
      </w:r>
    </w:p>
    <w:p>
      <w:pPr>
        <w:spacing w:line="351" w:lineRule="auto"/>
        <w:ind w:left="660" w:hanging="659"/>
        <w:rPr>
          <w:rFonts w:ascii="宋体" w:hAnsi="宋体"/>
          <w:sz w:val="24"/>
        </w:rPr>
      </w:pPr>
      <w:r>
        <w:rPr>
          <w:rFonts w:ascii="宋体" w:hAnsi="宋体"/>
          <w:sz w:val="24"/>
        </w:rPr>
        <w:t>（2）总价金额与依据单价计算出的结果不一致的，以单价金额为准修正总价， 但单价金额小数点有明显错误的除外;</w:t>
      </w:r>
    </w:p>
    <w:p>
      <w:pPr>
        <w:spacing w:line="351" w:lineRule="auto"/>
        <w:ind w:left="660" w:hanging="659"/>
        <w:rPr>
          <w:rFonts w:ascii="宋体" w:hAnsi="宋体"/>
          <w:sz w:val="24"/>
        </w:rPr>
      </w:pPr>
      <w:r>
        <w:rPr>
          <w:rFonts w:ascii="宋体" w:hAnsi="宋体"/>
          <w:sz w:val="24"/>
        </w:rPr>
        <w:t>（3）当单价与数量相乘不等于合价时，以单价计算为准，如果单价有明显的小 数点位置差错，应以标出的合价为准，同时对单价予以修正；</w:t>
      </w:r>
    </w:p>
    <w:p>
      <w:pPr>
        <w:spacing w:line="351" w:lineRule="auto"/>
        <w:ind w:left="660" w:hanging="659"/>
        <w:rPr>
          <w:rFonts w:ascii="宋体" w:hAnsi="宋体"/>
          <w:sz w:val="24"/>
        </w:rPr>
      </w:pPr>
      <w:r>
        <w:rPr>
          <w:rFonts w:ascii="宋体" w:hAnsi="宋体"/>
          <w:sz w:val="24"/>
        </w:rPr>
        <w:t>（4）当各子目的合价累计不等于总价时，应以各子目合价累计数为准，修正总 价。</w:t>
      </w:r>
    </w:p>
    <w:p>
      <w:pPr>
        <w:spacing w:line="351" w:lineRule="auto"/>
        <w:ind w:left="660" w:hanging="659"/>
        <w:rPr>
          <w:rFonts w:ascii="宋体" w:hAnsi="宋体"/>
          <w:sz w:val="24"/>
        </w:rPr>
      </w:pPr>
      <w:r>
        <w:rPr>
          <w:rFonts w:ascii="宋体" w:hAnsi="宋体"/>
          <w:sz w:val="24"/>
        </w:rPr>
        <w:t xml:space="preserve">3.4.3 工程量清单中的投标报价有其他错误的，评标委员会按以下原则对投标报 </w:t>
      </w:r>
    </w:p>
    <w:p>
      <w:pPr>
        <w:spacing w:line="351" w:lineRule="auto"/>
        <w:ind w:left="660" w:hanging="659"/>
        <w:rPr>
          <w:rFonts w:ascii="宋体" w:hAnsi="宋体"/>
          <w:sz w:val="24"/>
        </w:rPr>
      </w:pPr>
      <w:r>
        <w:rPr>
          <w:rFonts w:ascii="宋体" w:hAnsi="宋体"/>
          <w:sz w:val="24"/>
        </w:rPr>
        <w:t>价进行修正，修正的价格经投标人书面确认后具有约束力。投标人不接受修正价</w:t>
      </w:r>
    </w:p>
    <w:p>
      <w:pPr>
        <w:spacing w:line="351" w:lineRule="auto"/>
        <w:ind w:left="660" w:hanging="659"/>
        <w:rPr>
          <w:rFonts w:ascii="宋体" w:hAnsi="宋体"/>
          <w:sz w:val="24"/>
        </w:rPr>
      </w:pPr>
      <w:r>
        <w:rPr>
          <w:rFonts w:ascii="宋体" w:hAnsi="宋体"/>
          <w:sz w:val="24"/>
        </w:rPr>
        <w:t>格 的，评标委员会应否决其投标。</w:t>
      </w:r>
    </w:p>
    <w:p>
      <w:pPr>
        <w:spacing w:line="351" w:lineRule="auto"/>
        <w:ind w:left="660" w:hanging="659"/>
        <w:rPr>
          <w:rFonts w:ascii="宋体" w:hAnsi="宋体"/>
          <w:sz w:val="24"/>
        </w:rPr>
      </w:pPr>
      <w:r>
        <w:rPr>
          <w:rFonts w:ascii="宋体" w:hAnsi="宋体"/>
          <w:sz w:val="24"/>
        </w:rPr>
        <w:t xml:space="preserve">（1）在招标人给定的工程量清单中漏报了某个工程子目的单价、合价或总额价， </w:t>
      </w:r>
    </w:p>
    <w:p>
      <w:pPr>
        <w:spacing w:line="351" w:lineRule="auto"/>
        <w:ind w:left="660" w:hanging="659"/>
        <w:rPr>
          <w:rFonts w:ascii="宋体" w:hAnsi="宋体"/>
          <w:sz w:val="24"/>
        </w:rPr>
      </w:pPr>
      <w:r>
        <w:rPr>
          <w:rFonts w:ascii="宋体" w:hAnsi="宋体"/>
          <w:sz w:val="24"/>
        </w:rPr>
        <w:t>或所报单价、合价或总额价减少了报价范围，则漏报的工程子目单价、合价和总</w:t>
      </w:r>
    </w:p>
    <w:p>
      <w:pPr>
        <w:spacing w:line="351" w:lineRule="auto"/>
        <w:ind w:left="660" w:hanging="659"/>
        <w:rPr>
          <w:rFonts w:ascii="宋体" w:hAnsi="宋体"/>
          <w:sz w:val="24"/>
        </w:rPr>
      </w:pPr>
      <w:r>
        <w:rPr>
          <w:rFonts w:ascii="宋体" w:hAnsi="宋体"/>
          <w:sz w:val="24"/>
        </w:rPr>
        <w:t>额 价或单价、合价和总额价中减少的报价内容视为已含入其他工程子目的单价、</w:t>
      </w:r>
    </w:p>
    <w:p>
      <w:pPr>
        <w:spacing w:line="351" w:lineRule="auto"/>
        <w:ind w:left="660" w:hanging="659"/>
        <w:rPr>
          <w:rFonts w:ascii="宋体" w:hAnsi="宋体"/>
          <w:sz w:val="24"/>
        </w:rPr>
      </w:pPr>
      <w:r>
        <w:rPr>
          <w:rFonts w:ascii="宋体" w:hAnsi="宋体"/>
          <w:sz w:val="24"/>
        </w:rPr>
        <w:t>合价 和总额价之中。</w:t>
      </w:r>
    </w:p>
    <w:p>
      <w:pPr>
        <w:spacing w:line="351" w:lineRule="auto"/>
        <w:ind w:left="660" w:hanging="659"/>
        <w:rPr>
          <w:rFonts w:ascii="宋体" w:hAnsi="宋体"/>
          <w:sz w:val="24"/>
        </w:rPr>
      </w:pPr>
      <w:r>
        <w:rPr>
          <w:rFonts w:ascii="宋体" w:hAnsi="宋体"/>
          <w:sz w:val="24"/>
        </w:rPr>
        <w:t xml:space="preserve">（2）在招标人给定的工程量清单中多报了某个工程子目的单价、合价或总额价， </w:t>
      </w:r>
    </w:p>
    <w:p>
      <w:pPr>
        <w:spacing w:line="351" w:lineRule="auto"/>
        <w:ind w:left="660" w:hanging="659"/>
        <w:rPr>
          <w:rFonts w:ascii="宋体" w:hAnsi="宋体"/>
          <w:sz w:val="24"/>
        </w:rPr>
      </w:pPr>
      <w:r>
        <w:rPr>
          <w:rFonts w:ascii="宋体" w:hAnsi="宋体"/>
          <w:sz w:val="24"/>
        </w:rPr>
        <w:t>或所报单价、合价或总额价增加了报价范围，则从投标报价中扣除多报的工程子</w:t>
      </w:r>
    </w:p>
    <w:p>
      <w:pPr>
        <w:spacing w:line="351" w:lineRule="auto"/>
        <w:ind w:left="660" w:hanging="659"/>
        <w:rPr>
          <w:rFonts w:ascii="宋体" w:hAnsi="宋体"/>
          <w:sz w:val="24"/>
        </w:rPr>
      </w:pPr>
      <w:r>
        <w:rPr>
          <w:rFonts w:ascii="宋体" w:hAnsi="宋体"/>
          <w:sz w:val="24"/>
        </w:rPr>
        <w:t>目 报价或工程子目报价中增加了报价范围的部分报价。</w:t>
      </w:r>
    </w:p>
    <w:p>
      <w:pPr>
        <w:spacing w:line="351" w:lineRule="auto"/>
        <w:ind w:left="660" w:hanging="659"/>
        <w:rPr>
          <w:rFonts w:ascii="宋体" w:hAnsi="宋体"/>
          <w:sz w:val="24"/>
        </w:rPr>
      </w:pPr>
      <w:r>
        <w:rPr>
          <w:rFonts w:ascii="宋体" w:hAnsi="宋体"/>
          <w:sz w:val="24"/>
        </w:rPr>
        <w:t xml:space="preserve">（3）当单价与数量的乘积与合价（金额）虽然一致，但投标人修改了该子目的 </w:t>
      </w:r>
    </w:p>
    <w:p>
      <w:pPr>
        <w:spacing w:line="351" w:lineRule="auto"/>
        <w:ind w:left="660" w:hanging="659"/>
        <w:rPr>
          <w:rFonts w:ascii="宋体" w:hAnsi="宋体"/>
          <w:sz w:val="24"/>
        </w:rPr>
      </w:pPr>
      <w:r>
        <w:rPr>
          <w:rFonts w:ascii="宋体" w:hAnsi="宋体"/>
          <w:sz w:val="24"/>
        </w:rPr>
        <w:t>工程数量，则其合价按招标人给定的工程数量乘以投标人所报单价予以修正。</w:t>
      </w:r>
    </w:p>
    <w:p>
      <w:pPr>
        <w:spacing w:line="351" w:lineRule="auto"/>
        <w:ind w:left="660" w:hanging="659"/>
        <w:rPr>
          <w:rFonts w:ascii="宋体" w:hAnsi="宋体"/>
          <w:sz w:val="24"/>
        </w:rPr>
      </w:pPr>
      <w:r>
        <w:rPr>
          <w:rFonts w:ascii="宋体" w:hAnsi="宋体"/>
          <w:sz w:val="24"/>
        </w:rPr>
        <w:t xml:space="preserve">3.4.4  修正后的最终投标报价若超过最高投标限价（如有），评标委员会应否决 </w:t>
      </w:r>
    </w:p>
    <w:p>
      <w:pPr>
        <w:spacing w:line="351" w:lineRule="auto"/>
        <w:ind w:left="660" w:hanging="659"/>
        <w:rPr>
          <w:rFonts w:ascii="宋体" w:hAnsi="宋体"/>
          <w:sz w:val="24"/>
        </w:rPr>
      </w:pPr>
      <w:r>
        <w:rPr>
          <w:rFonts w:ascii="宋体" w:hAnsi="宋体"/>
          <w:sz w:val="24"/>
        </w:rPr>
        <w:t>其投标。</w:t>
      </w:r>
    </w:p>
    <w:p>
      <w:pPr>
        <w:spacing w:line="351" w:lineRule="auto"/>
        <w:ind w:left="660" w:hanging="659"/>
        <w:rPr>
          <w:rFonts w:ascii="宋体" w:hAnsi="宋体"/>
          <w:sz w:val="24"/>
        </w:rPr>
      </w:pPr>
      <w:bookmarkStart w:id="46" w:name="_bookmark119"/>
      <w:bookmarkEnd w:id="46"/>
      <w:r>
        <w:rPr>
          <w:rFonts w:ascii="宋体" w:hAnsi="宋体"/>
          <w:sz w:val="24"/>
        </w:rPr>
        <w:t>3.5 第二个信封详细评审</w:t>
      </w:r>
    </w:p>
    <w:p>
      <w:pPr>
        <w:spacing w:line="351" w:lineRule="auto"/>
        <w:ind w:left="660" w:hanging="659"/>
        <w:rPr>
          <w:rFonts w:ascii="宋体" w:hAnsi="宋体"/>
          <w:sz w:val="24"/>
        </w:rPr>
      </w:pPr>
      <w:r>
        <w:rPr>
          <w:rFonts w:ascii="宋体" w:hAnsi="宋体"/>
          <w:sz w:val="24"/>
        </w:rPr>
        <w:t>3.5.1  评标委员会按本章第 2.2</w:t>
      </w:r>
      <w:r>
        <w:rPr>
          <w:rFonts w:hint="eastAsia" w:ascii="宋体" w:hAnsi="宋体"/>
          <w:sz w:val="24"/>
        </w:rPr>
        <w:t>.2</w:t>
      </w:r>
      <w:r>
        <w:rPr>
          <w:rFonts w:ascii="宋体" w:hAnsi="宋体"/>
          <w:sz w:val="24"/>
        </w:rPr>
        <w:t>款规定的量化因素和标准进行价格折算，计算</w:t>
      </w:r>
    </w:p>
    <w:p>
      <w:pPr>
        <w:spacing w:line="351" w:lineRule="auto"/>
        <w:ind w:left="660" w:hanging="659"/>
        <w:rPr>
          <w:rFonts w:ascii="宋体" w:hAnsi="宋体"/>
          <w:sz w:val="24"/>
        </w:rPr>
      </w:pPr>
      <w:r>
        <w:rPr>
          <w:rFonts w:ascii="宋体" w:hAnsi="宋体"/>
          <w:sz w:val="24"/>
        </w:rPr>
        <w:t>出 评标价，并编制价格比较一览表。</w:t>
      </w:r>
    </w:p>
    <w:p>
      <w:pPr>
        <w:spacing w:line="351" w:lineRule="auto"/>
        <w:ind w:left="660" w:hanging="659"/>
        <w:rPr>
          <w:rFonts w:ascii="宋体" w:hAnsi="宋体"/>
          <w:sz w:val="24"/>
        </w:rPr>
      </w:pPr>
      <w:r>
        <w:rPr>
          <w:rFonts w:ascii="宋体" w:hAnsi="宋体"/>
          <w:sz w:val="24"/>
        </w:rPr>
        <w:t>3.5.2  评标委员会发现投标人的报价明显低于其他投标报价，使得其投标报价可</w:t>
      </w:r>
    </w:p>
    <w:p>
      <w:pPr>
        <w:spacing w:line="351" w:lineRule="auto"/>
        <w:rPr>
          <w:rFonts w:ascii="宋体" w:hAnsi="宋体"/>
          <w:sz w:val="24"/>
        </w:rPr>
      </w:pPr>
      <w:r>
        <w:rPr>
          <w:rFonts w:ascii="宋体" w:hAnsi="宋体"/>
          <w:sz w:val="24"/>
        </w:rPr>
        <w:t>能低于其个别成本的，应要求该投标人作出书面说明并提供相应的证明材料。投标 人不能合理说明或不能提供相应证明材料的，由评标委员会认定该投标人以低于成 本报价竞标，并否决其投标。</w:t>
      </w:r>
    </w:p>
    <w:p>
      <w:pPr>
        <w:spacing w:line="351" w:lineRule="auto"/>
        <w:ind w:left="660" w:hanging="659"/>
        <w:rPr>
          <w:rFonts w:ascii="宋体" w:hAnsi="宋体"/>
          <w:sz w:val="24"/>
        </w:rPr>
      </w:pPr>
      <w:bookmarkStart w:id="47" w:name="_bookmark120"/>
      <w:bookmarkEnd w:id="47"/>
      <w:r>
        <w:rPr>
          <w:rFonts w:ascii="宋体" w:hAnsi="宋体"/>
          <w:sz w:val="24"/>
        </w:rPr>
        <w:t>3.6 投标文件相关信息的核查</w:t>
      </w:r>
    </w:p>
    <w:p>
      <w:pPr>
        <w:spacing w:line="351" w:lineRule="auto"/>
        <w:ind w:left="660" w:hanging="659"/>
        <w:rPr>
          <w:rFonts w:ascii="宋体" w:hAnsi="宋体"/>
          <w:sz w:val="24"/>
        </w:rPr>
      </w:pPr>
      <w:r>
        <w:rPr>
          <w:rFonts w:ascii="宋体" w:hAnsi="宋体"/>
          <w:sz w:val="24"/>
        </w:rPr>
        <w:t>3.6.</w:t>
      </w:r>
      <w:r>
        <w:rPr>
          <w:rFonts w:hint="eastAsia" w:ascii="宋体" w:hAnsi="宋体"/>
          <w:sz w:val="24"/>
        </w:rPr>
        <w:t>1</w:t>
      </w:r>
      <w:r>
        <w:rPr>
          <w:rFonts w:ascii="宋体" w:hAnsi="宋体"/>
          <w:sz w:val="24"/>
        </w:rPr>
        <w:t xml:space="preserve">评标委员会应对在评标过程中发现的投标人与投标人之间、投标人与招标 </w:t>
      </w:r>
    </w:p>
    <w:p>
      <w:pPr>
        <w:spacing w:line="351" w:lineRule="auto"/>
        <w:ind w:left="660" w:hanging="659"/>
        <w:rPr>
          <w:rFonts w:ascii="宋体" w:hAnsi="宋体"/>
          <w:sz w:val="24"/>
        </w:rPr>
      </w:pPr>
      <w:r>
        <w:rPr>
          <w:rFonts w:ascii="宋体" w:hAnsi="宋体"/>
          <w:sz w:val="24"/>
        </w:rPr>
        <w:t>人之间存在的串通投标的情形进行评审和认定。投标人存在串通投标、弄虚作</w:t>
      </w:r>
    </w:p>
    <w:p>
      <w:pPr>
        <w:spacing w:line="351" w:lineRule="auto"/>
        <w:ind w:left="660" w:hanging="659"/>
        <w:rPr>
          <w:rFonts w:ascii="宋体" w:hAnsi="宋体"/>
          <w:sz w:val="24"/>
        </w:rPr>
      </w:pPr>
      <w:r>
        <w:rPr>
          <w:rFonts w:ascii="宋体" w:hAnsi="宋体"/>
          <w:sz w:val="24"/>
        </w:rPr>
        <w:t>假、 行贿等违法行为的，评标委员会应否决其投标。</w:t>
      </w:r>
    </w:p>
    <w:p>
      <w:pPr>
        <w:numPr>
          <w:ilvl w:val="0"/>
          <w:numId w:val="24"/>
        </w:numPr>
        <w:spacing w:line="351" w:lineRule="auto"/>
        <w:ind w:left="660" w:hanging="659"/>
        <w:rPr>
          <w:rFonts w:ascii="宋体" w:hAnsi="宋体"/>
          <w:sz w:val="24"/>
        </w:rPr>
      </w:pPr>
      <w:r>
        <w:rPr>
          <w:rFonts w:ascii="宋体" w:hAnsi="宋体"/>
          <w:sz w:val="24"/>
        </w:rPr>
        <w:t>有下列情形之一的，属于投标人相互串通投标：</w:t>
      </w:r>
    </w:p>
    <w:p>
      <w:pPr>
        <w:spacing w:line="351" w:lineRule="auto"/>
        <w:ind w:left="1" w:firstLine="240" w:firstLineChars="100"/>
        <w:rPr>
          <w:rFonts w:ascii="宋体" w:hAnsi="宋体"/>
          <w:sz w:val="24"/>
        </w:rPr>
      </w:pPr>
      <w:r>
        <w:rPr>
          <w:rFonts w:ascii="宋体" w:hAnsi="宋体"/>
          <w:sz w:val="24"/>
        </w:rPr>
        <w:t xml:space="preserve"> a.投标人之间协商投标报价等投标文件的实质性内容； </w:t>
      </w:r>
    </w:p>
    <w:p>
      <w:pPr>
        <w:spacing w:line="351" w:lineRule="auto"/>
        <w:ind w:left="677" w:leftChars="185" w:hanging="307" w:hangingChars="128"/>
        <w:rPr>
          <w:rFonts w:ascii="宋体" w:hAnsi="宋体"/>
          <w:sz w:val="24"/>
        </w:rPr>
      </w:pPr>
      <w:r>
        <w:rPr>
          <w:rFonts w:ascii="宋体" w:hAnsi="宋体"/>
          <w:sz w:val="24"/>
        </w:rPr>
        <w:t>b.投标人之间约定中标人；</w:t>
      </w:r>
    </w:p>
    <w:p>
      <w:pPr>
        <w:spacing w:line="351" w:lineRule="auto"/>
        <w:ind w:left="660" w:hanging="659"/>
        <w:rPr>
          <w:rFonts w:ascii="宋体" w:hAnsi="宋体"/>
          <w:sz w:val="24"/>
        </w:rPr>
      </w:pPr>
      <w:r>
        <w:rPr>
          <w:rFonts w:ascii="宋体" w:hAnsi="宋体"/>
          <w:sz w:val="24"/>
        </w:rPr>
        <w:t>c.投标人之间约定部分投标人放弃投标或中标；</w:t>
      </w:r>
    </w:p>
    <w:p>
      <w:pPr>
        <w:spacing w:line="351" w:lineRule="auto"/>
        <w:ind w:left="677" w:leftChars="185" w:hanging="307" w:hangingChars="128"/>
        <w:rPr>
          <w:rFonts w:ascii="宋体" w:hAnsi="宋体"/>
          <w:sz w:val="24"/>
        </w:rPr>
      </w:pPr>
      <w:r>
        <w:rPr>
          <w:rFonts w:ascii="宋体" w:hAnsi="宋体"/>
          <w:sz w:val="24"/>
        </w:rPr>
        <w:t>d.属于同一集团、协会、商会等组织成员的投标人按照该组织要求协同投标</w:t>
      </w:r>
    </w:p>
    <w:p>
      <w:pPr>
        <w:spacing w:line="351" w:lineRule="auto"/>
        <w:ind w:left="677" w:leftChars="185" w:hanging="307" w:hangingChars="128"/>
        <w:rPr>
          <w:rFonts w:ascii="宋体" w:hAnsi="宋体"/>
          <w:sz w:val="24"/>
        </w:rPr>
      </w:pPr>
      <w:r>
        <w:rPr>
          <w:rFonts w:ascii="宋体" w:hAnsi="宋体"/>
          <w:sz w:val="24"/>
        </w:rPr>
        <w:t>e.投标人之间为谋取中标或排斥特定投标人而采取的其他联合行动。</w:t>
      </w:r>
    </w:p>
    <w:p>
      <w:pPr>
        <w:numPr>
          <w:ilvl w:val="0"/>
          <w:numId w:val="24"/>
        </w:numPr>
        <w:spacing w:line="351" w:lineRule="auto"/>
        <w:ind w:left="660" w:hanging="659"/>
        <w:rPr>
          <w:rFonts w:ascii="宋体" w:hAnsi="宋体"/>
          <w:sz w:val="24"/>
        </w:rPr>
      </w:pPr>
      <w:r>
        <w:rPr>
          <w:rFonts w:ascii="宋体" w:hAnsi="宋体"/>
          <w:sz w:val="24"/>
        </w:rPr>
        <w:t>有下列情形之一的，视为投标人相互串通投标：</w:t>
      </w:r>
    </w:p>
    <w:p>
      <w:pPr>
        <w:spacing w:line="351" w:lineRule="auto"/>
        <w:ind w:left="1" w:firstLine="240" w:firstLineChars="100"/>
        <w:rPr>
          <w:rFonts w:ascii="宋体" w:hAnsi="宋体"/>
          <w:sz w:val="24"/>
        </w:rPr>
      </w:pPr>
      <w:r>
        <w:rPr>
          <w:rFonts w:ascii="宋体" w:hAnsi="宋体"/>
          <w:sz w:val="24"/>
        </w:rPr>
        <w:t xml:space="preserve"> a.不同投标人的投标文件由同一单位或个人编制；</w:t>
      </w:r>
    </w:p>
    <w:p>
      <w:pPr>
        <w:spacing w:line="351" w:lineRule="auto"/>
        <w:ind w:left="1" w:firstLine="240" w:firstLineChars="100"/>
        <w:rPr>
          <w:rFonts w:ascii="宋体" w:hAnsi="宋体"/>
          <w:sz w:val="24"/>
        </w:rPr>
      </w:pPr>
      <w:r>
        <w:rPr>
          <w:rFonts w:ascii="宋体" w:hAnsi="宋体"/>
          <w:sz w:val="24"/>
        </w:rPr>
        <w:t xml:space="preserve"> b.不同投标人委托同一单位或个人办理投标事宜；</w:t>
      </w:r>
    </w:p>
    <w:p>
      <w:pPr>
        <w:spacing w:line="351" w:lineRule="auto"/>
        <w:ind w:left="1" w:firstLine="240" w:firstLineChars="100"/>
        <w:rPr>
          <w:rFonts w:ascii="宋体" w:hAnsi="宋体"/>
          <w:sz w:val="24"/>
        </w:rPr>
      </w:pPr>
      <w:r>
        <w:rPr>
          <w:rFonts w:ascii="宋体" w:hAnsi="宋体"/>
          <w:sz w:val="24"/>
        </w:rPr>
        <w:t xml:space="preserve"> c.不同投标人的投标文件载明的项目管理成员为同一人；</w:t>
      </w:r>
    </w:p>
    <w:p>
      <w:pPr>
        <w:spacing w:line="351" w:lineRule="auto"/>
        <w:ind w:left="1" w:firstLine="240" w:firstLineChars="100"/>
        <w:rPr>
          <w:rFonts w:ascii="宋体" w:hAnsi="宋体"/>
          <w:sz w:val="24"/>
        </w:rPr>
      </w:pPr>
      <w:r>
        <w:rPr>
          <w:rFonts w:ascii="宋体" w:hAnsi="宋体"/>
          <w:sz w:val="24"/>
        </w:rPr>
        <w:t xml:space="preserve"> d.不同投标人的投标文件异常一致或投标报价呈规律性差异；</w:t>
      </w:r>
    </w:p>
    <w:p>
      <w:pPr>
        <w:spacing w:line="351" w:lineRule="auto"/>
        <w:ind w:left="1" w:firstLine="240" w:firstLineChars="100"/>
        <w:rPr>
          <w:rFonts w:ascii="宋体" w:hAnsi="宋体"/>
          <w:sz w:val="24"/>
        </w:rPr>
      </w:pPr>
      <w:r>
        <w:rPr>
          <w:rFonts w:ascii="宋体" w:hAnsi="宋体"/>
          <w:sz w:val="24"/>
        </w:rPr>
        <w:t xml:space="preserve"> e.不同投标人的投标文件相互混装；</w:t>
      </w:r>
    </w:p>
    <w:p>
      <w:pPr>
        <w:spacing w:line="351" w:lineRule="auto"/>
        <w:ind w:left="1" w:firstLine="240" w:firstLineChars="100"/>
        <w:rPr>
          <w:rFonts w:ascii="宋体" w:hAnsi="宋体"/>
          <w:sz w:val="24"/>
        </w:rPr>
      </w:pPr>
      <w:r>
        <w:rPr>
          <w:rFonts w:ascii="宋体" w:hAnsi="宋体"/>
          <w:sz w:val="24"/>
        </w:rPr>
        <w:t xml:space="preserve"> f.不同投标人的投标保证金从同一单位或个人的账户转出。</w:t>
      </w:r>
    </w:p>
    <w:p>
      <w:pPr>
        <w:spacing w:line="351" w:lineRule="auto"/>
        <w:ind w:left="660" w:hanging="659"/>
        <w:rPr>
          <w:rFonts w:ascii="宋体" w:hAnsi="宋体"/>
          <w:sz w:val="24"/>
        </w:rPr>
      </w:pPr>
      <w:r>
        <w:rPr>
          <w:rFonts w:ascii="宋体" w:hAnsi="宋体"/>
          <w:sz w:val="24"/>
        </w:rPr>
        <w:t xml:space="preserve">（3）有下列情形之一的，属于招标人与投标人串通投标： </w:t>
      </w:r>
    </w:p>
    <w:p>
      <w:pPr>
        <w:spacing w:line="351" w:lineRule="auto"/>
        <w:ind w:left="679" w:leftChars="65" w:hanging="549" w:hangingChars="229"/>
        <w:rPr>
          <w:rFonts w:ascii="宋体" w:hAnsi="宋体"/>
          <w:sz w:val="24"/>
        </w:rPr>
      </w:pPr>
      <w:r>
        <w:rPr>
          <w:rFonts w:ascii="宋体" w:hAnsi="宋体"/>
          <w:sz w:val="24"/>
        </w:rPr>
        <w:t>a.招标人在开标前开启投标文件并将有关信息泄露给其他投标人;</w:t>
      </w:r>
    </w:p>
    <w:p>
      <w:pPr>
        <w:spacing w:line="351" w:lineRule="auto"/>
        <w:ind w:left="660" w:hanging="659"/>
        <w:rPr>
          <w:rFonts w:ascii="宋体" w:hAnsi="宋体"/>
          <w:sz w:val="24"/>
        </w:rPr>
      </w:pPr>
      <w:r>
        <w:rPr>
          <w:rFonts w:ascii="宋体" w:hAnsi="宋体"/>
          <w:sz w:val="24"/>
        </w:rPr>
        <w:t xml:space="preserve"> b.招标人直接或间接向投标人泄露标底、评标委员会成员等信息；</w:t>
      </w:r>
    </w:p>
    <w:p>
      <w:pPr>
        <w:spacing w:line="351" w:lineRule="auto"/>
        <w:ind w:left="660" w:hanging="659"/>
        <w:rPr>
          <w:rFonts w:ascii="宋体" w:hAnsi="宋体"/>
          <w:sz w:val="24"/>
        </w:rPr>
      </w:pPr>
      <w:r>
        <w:rPr>
          <w:rFonts w:ascii="宋体" w:hAnsi="宋体"/>
          <w:sz w:val="24"/>
        </w:rPr>
        <w:t xml:space="preserve"> c.招标人明示或暗示投标人压低或抬高投标报价；</w:t>
      </w:r>
    </w:p>
    <w:p>
      <w:pPr>
        <w:spacing w:line="351" w:lineRule="auto"/>
        <w:ind w:left="660" w:hanging="659"/>
        <w:rPr>
          <w:rFonts w:ascii="宋体" w:hAnsi="宋体"/>
          <w:sz w:val="24"/>
        </w:rPr>
      </w:pPr>
      <w:r>
        <w:rPr>
          <w:rFonts w:ascii="宋体" w:hAnsi="宋体"/>
          <w:sz w:val="24"/>
        </w:rPr>
        <w:t xml:space="preserve"> d.招标人授意投标人撤换、修改投标文件；</w:t>
      </w:r>
    </w:p>
    <w:p>
      <w:pPr>
        <w:spacing w:line="351" w:lineRule="auto"/>
        <w:ind w:left="660" w:hanging="659"/>
        <w:rPr>
          <w:rFonts w:ascii="宋体" w:hAnsi="宋体"/>
          <w:sz w:val="24"/>
        </w:rPr>
      </w:pPr>
      <w:r>
        <w:rPr>
          <w:rFonts w:ascii="宋体" w:hAnsi="宋体"/>
          <w:sz w:val="24"/>
        </w:rPr>
        <w:t xml:space="preserve"> e.招标人明示或暗示投标人为特定投标人中标提供方便；</w:t>
      </w:r>
    </w:p>
    <w:p>
      <w:pPr>
        <w:spacing w:line="351" w:lineRule="auto"/>
        <w:ind w:left="660" w:hanging="659"/>
        <w:rPr>
          <w:rFonts w:ascii="宋体" w:hAnsi="宋体"/>
          <w:sz w:val="24"/>
        </w:rPr>
      </w:pPr>
      <w:r>
        <w:rPr>
          <w:rFonts w:ascii="宋体" w:hAnsi="宋体"/>
          <w:sz w:val="24"/>
        </w:rPr>
        <w:t xml:space="preserve"> f.招标人与投标人为谋求特定投标人中标而采取的其他串通行为。</w:t>
      </w:r>
    </w:p>
    <w:p>
      <w:pPr>
        <w:spacing w:line="351" w:lineRule="auto"/>
        <w:ind w:left="660" w:hanging="659"/>
        <w:rPr>
          <w:rFonts w:ascii="宋体" w:hAnsi="宋体"/>
          <w:sz w:val="24"/>
        </w:rPr>
      </w:pPr>
      <w:r>
        <w:rPr>
          <w:rFonts w:ascii="宋体" w:hAnsi="宋体"/>
          <w:sz w:val="24"/>
        </w:rPr>
        <w:t>（4）投标人有下列情形之一的，属于弄虚作假的行为：</w:t>
      </w:r>
    </w:p>
    <w:p>
      <w:pPr>
        <w:numPr>
          <w:ilvl w:val="0"/>
          <w:numId w:val="25"/>
        </w:numPr>
        <w:spacing w:line="351" w:lineRule="auto"/>
        <w:rPr>
          <w:rFonts w:ascii="宋体" w:hAnsi="宋体"/>
          <w:sz w:val="24"/>
        </w:rPr>
      </w:pPr>
      <w:r>
        <w:rPr>
          <w:rFonts w:ascii="宋体" w:hAnsi="宋体"/>
          <w:sz w:val="24"/>
        </w:rPr>
        <w:t>使用通过受让或租借等方式获取的资格、资质证书投标</w:t>
      </w:r>
    </w:p>
    <w:p>
      <w:pPr>
        <w:numPr>
          <w:ilvl w:val="0"/>
          <w:numId w:val="25"/>
        </w:numPr>
        <w:spacing w:line="351" w:lineRule="auto"/>
        <w:rPr>
          <w:rFonts w:ascii="宋体" w:hAnsi="宋体"/>
          <w:sz w:val="24"/>
        </w:rPr>
      </w:pPr>
      <w:r>
        <w:rPr>
          <w:rFonts w:ascii="宋体" w:hAnsi="宋体"/>
          <w:sz w:val="24"/>
        </w:rPr>
        <w:t xml:space="preserve">使用伪造、变造的许可证件； </w:t>
      </w:r>
    </w:p>
    <w:p>
      <w:pPr>
        <w:spacing w:line="351" w:lineRule="auto"/>
        <w:rPr>
          <w:rFonts w:ascii="宋体" w:hAnsi="宋体"/>
          <w:sz w:val="24"/>
        </w:rPr>
      </w:pPr>
      <w:r>
        <w:rPr>
          <w:rFonts w:ascii="宋体" w:hAnsi="宋体"/>
          <w:sz w:val="24"/>
        </w:rPr>
        <w:t>c.提供虚假的财务状况或业绩；</w:t>
      </w:r>
    </w:p>
    <w:p>
      <w:pPr>
        <w:spacing w:line="351" w:lineRule="auto"/>
        <w:ind w:left="660" w:hanging="659"/>
        <w:rPr>
          <w:rFonts w:ascii="宋体" w:hAnsi="宋体"/>
          <w:sz w:val="24"/>
        </w:rPr>
      </w:pPr>
      <w:r>
        <w:rPr>
          <w:rFonts w:ascii="宋体" w:hAnsi="宋体"/>
          <w:sz w:val="24"/>
        </w:rPr>
        <w:t>d.提供虚假的项目负责人或主要技术人员简历、劳动关系证明；</w:t>
      </w:r>
    </w:p>
    <w:p>
      <w:pPr>
        <w:spacing w:line="351" w:lineRule="auto"/>
        <w:ind w:left="660" w:hanging="659"/>
        <w:rPr>
          <w:rFonts w:ascii="宋体" w:hAnsi="宋体"/>
          <w:sz w:val="24"/>
        </w:rPr>
      </w:pPr>
      <w:r>
        <w:rPr>
          <w:rFonts w:ascii="宋体" w:hAnsi="宋体"/>
          <w:sz w:val="24"/>
        </w:rPr>
        <w:t>e.提供虚假的信况；</w:t>
      </w:r>
    </w:p>
    <w:p>
      <w:pPr>
        <w:spacing w:line="351" w:lineRule="auto"/>
        <w:ind w:left="660" w:hanging="659"/>
        <w:rPr>
          <w:rFonts w:ascii="宋体" w:hAnsi="宋体"/>
          <w:sz w:val="24"/>
        </w:rPr>
      </w:pPr>
      <w:r>
        <w:rPr>
          <w:rFonts w:ascii="宋体" w:hAnsi="宋体"/>
          <w:sz w:val="24"/>
        </w:rPr>
        <w:t>f.其他弄虚作假的行为。</w:t>
      </w:r>
    </w:p>
    <w:p>
      <w:pPr>
        <w:spacing w:line="351" w:lineRule="auto"/>
        <w:ind w:left="660" w:hanging="659"/>
        <w:rPr>
          <w:rFonts w:ascii="宋体" w:hAnsi="宋体"/>
          <w:sz w:val="24"/>
        </w:rPr>
      </w:pPr>
      <w:bookmarkStart w:id="48" w:name="_bookmark121"/>
      <w:bookmarkEnd w:id="48"/>
      <w:r>
        <w:rPr>
          <w:rFonts w:ascii="宋体" w:hAnsi="宋体"/>
          <w:sz w:val="24"/>
        </w:rPr>
        <w:t>3.7 投标文件的澄清和说明</w:t>
      </w:r>
    </w:p>
    <w:p>
      <w:pPr>
        <w:spacing w:line="351" w:lineRule="auto"/>
        <w:ind w:left="660" w:hanging="659"/>
        <w:rPr>
          <w:rFonts w:ascii="宋体" w:hAnsi="宋体"/>
          <w:sz w:val="24"/>
        </w:rPr>
      </w:pPr>
      <w:r>
        <w:rPr>
          <w:rFonts w:ascii="宋体" w:hAnsi="宋体"/>
          <w:sz w:val="24"/>
        </w:rPr>
        <w:t xml:space="preserve">3.7.1 在评标过程中，评标委员会可以书面形式要求投标人对投标文件中含义不 </w:t>
      </w:r>
    </w:p>
    <w:p>
      <w:pPr>
        <w:spacing w:line="351" w:lineRule="auto"/>
        <w:ind w:left="660" w:hanging="659"/>
        <w:rPr>
          <w:rFonts w:ascii="宋体" w:hAnsi="宋体"/>
          <w:sz w:val="24"/>
        </w:rPr>
      </w:pPr>
      <w:r>
        <w:rPr>
          <w:rFonts w:ascii="宋体" w:hAnsi="宋体"/>
          <w:sz w:val="24"/>
        </w:rPr>
        <w:t>明确的内容、明显文字或计算错误进行书面澄清或说明。评标委员会不接受投标</w:t>
      </w:r>
    </w:p>
    <w:p>
      <w:pPr>
        <w:spacing w:line="351" w:lineRule="auto"/>
        <w:ind w:left="660" w:hanging="659"/>
        <w:rPr>
          <w:rFonts w:ascii="宋体" w:hAnsi="宋体"/>
          <w:sz w:val="24"/>
        </w:rPr>
      </w:pPr>
      <w:r>
        <w:rPr>
          <w:rFonts w:ascii="宋体" w:hAnsi="宋体"/>
          <w:sz w:val="24"/>
        </w:rPr>
        <w:t>人 主动提出的澄清、说明。投标人不按评标委员会要求澄清或说明的，评标委员</w:t>
      </w:r>
    </w:p>
    <w:p>
      <w:pPr>
        <w:spacing w:line="351" w:lineRule="auto"/>
        <w:ind w:left="660" w:hanging="659"/>
        <w:rPr>
          <w:rFonts w:ascii="宋体" w:hAnsi="宋体"/>
          <w:sz w:val="24"/>
        </w:rPr>
      </w:pPr>
      <w:r>
        <w:rPr>
          <w:rFonts w:ascii="宋体" w:hAnsi="宋体"/>
          <w:sz w:val="24"/>
        </w:rPr>
        <w:t>会应 否决其投标。</w:t>
      </w:r>
    </w:p>
    <w:p>
      <w:pPr>
        <w:spacing w:line="351" w:lineRule="auto"/>
        <w:ind w:left="660" w:hanging="659"/>
        <w:rPr>
          <w:rFonts w:ascii="宋体" w:hAnsi="宋体"/>
          <w:sz w:val="24"/>
        </w:rPr>
      </w:pPr>
      <w:r>
        <w:rPr>
          <w:rFonts w:ascii="宋体" w:hAnsi="宋体"/>
          <w:sz w:val="24"/>
        </w:rPr>
        <w:t xml:space="preserve">3.7.2  澄清和说明不得超出投标文件的范围或改变投标文件的实质性内容（算术 </w:t>
      </w:r>
    </w:p>
    <w:p>
      <w:pPr>
        <w:spacing w:line="351" w:lineRule="auto"/>
        <w:ind w:left="660" w:hanging="659"/>
        <w:rPr>
          <w:rFonts w:ascii="宋体" w:hAnsi="宋体"/>
          <w:sz w:val="24"/>
        </w:rPr>
      </w:pPr>
      <w:r>
        <w:rPr>
          <w:rFonts w:ascii="宋体" w:hAnsi="宋体"/>
          <w:sz w:val="24"/>
        </w:rPr>
        <w:t>性错误的修正除外）。投标人的书面澄清、说明属于投标文件的组成部分。</w:t>
      </w:r>
    </w:p>
    <w:p>
      <w:pPr>
        <w:spacing w:line="351" w:lineRule="auto"/>
        <w:ind w:left="660" w:hanging="659"/>
        <w:rPr>
          <w:rFonts w:ascii="宋体" w:hAnsi="宋体"/>
          <w:sz w:val="24"/>
        </w:rPr>
      </w:pPr>
      <w:r>
        <w:rPr>
          <w:rFonts w:ascii="宋体" w:hAnsi="宋体"/>
          <w:sz w:val="24"/>
        </w:rPr>
        <w:t>3.7.3  评标委员会不得暗示或诱导投标人作出澄清、说明，对投标人提交的澄</w:t>
      </w:r>
    </w:p>
    <w:p>
      <w:pPr>
        <w:spacing w:line="351" w:lineRule="auto"/>
        <w:ind w:left="660" w:hanging="659"/>
        <w:rPr>
          <w:rFonts w:ascii="宋体" w:hAnsi="宋体"/>
          <w:sz w:val="24"/>
        </w:rPr>
      </w:pPr>
      <w:r>
        <w:rPr>
          <w:rFonts w:ascii="宋体" w:hAnsi="宋体"/>
          <w:sz w:val="24"/>
        </w:rPr>
        <w:t>清、 说明有疑问的，可以要求投标人进一步澄清或说明，直至满足评标委员会的</w:t>
      </w:r>
    </w:p>
    <w:p>
      <w:pPr>
        <w:spacing w:line="351" w:lineRule="auto"/>
        <w:ind w:left="660" w:hanging="659"/>
        <w:rPr>
          <w:rFonts w:ascii="宋体" w:hAnsi="宋体"/>
          <w:sz w:val="24"/>
        </w:rPr>
      </w:pPr>
      <w:r>
        <w:rPr>
          <w:rFonts w:ascii="宋体" w:hAnsi="宋体"/>
          <w:sz w:val="24"/>
        </w:rPr>
        <w:t>要求。</w:t>
      </w:r>
    </w:p>
    <w:p>
      <w:pPr>
        <w:spacing w:line="351" w:lineRule="auto"/>
        <w:ind w:left="660" w:hanging="659"/>
        <w:rPr>
          <w:rFonts w:ascii="宋体" w:hAnsi="宋体"/>
          <w:sz w:val="24"/>
        </w:rPr>
      </w:pPr>
      <w:r>
        <w:rPr>
          <w:rFonts w:ascii="宋体" w:hAnsi="宋体"/>
          <w:sz w:val="24"/>
        </w:rPr>
        <w:t xml:space="preserve">3.7.4  凡超出招标文件规定的或给发包人带来未曾要求的利益的变化、偏差或其 </w:t>
      </w:r>
    </w:p>
    <w:p>
      <w:pPr>
        <w:spacing w:line="351" w:lineRule="auto"/>
        <w:ind w:left="660" w:hanging="659"/>
        <w:rPr>
          <w:rFonts w:ascii="宋体" w:hAnsi="宋体"/>
          <w:sz w:val="24"/>
        </w:rPr>
      </w:pPr>
      <w:r>
        <w:rPr>
          <w:rFonts w:ascii="宋体" w:hAnsi="宋体"/>
          <w:sz w:val="24"/>
        </w:rPr>
        <w:t>他因素在评标时不予考虑。</w:t>
      </w:r>
    </w:p>
    <w:p>
      <w:pPr>
        <w:spacing w:line="351" w:lineRule="auto"/>
        <w:ind w:left="660" w:hanging="659"/>
        <w:rPr>
          <w:rFonts w:ascii="宋体" w:hAnsi="宋体"/>
          <w:sz w:val="24"/>
        </w:rPr>
      </w:pPr>
      <w:bookmarkStart w:id="49" w:name="_bookmark122"/>
      <w:bookmarkEnd w:id="49"/>
      <w:r>
        <w:rPr>
          <w:rFonts w:ascii="宋体" w:hAnsi="宋体"/>
          <w:sz w:val="24"/>
        </w:rPr>
        <w:t>3.8 不得否决投标的情形</w:t>
      </w:r>
    </w:p>
    <w:p>
      <w:pPr>
        <w:spacing w:line="351" w:lineRule="auto"/>
        <w:ind w:left="660" w:hanging="659"/>
        <w:rPr>
          <w:rFonts w:ascii="宋体" w:hAnsi="宋体"/>
          <w:sz w:val="24"/>
        </w:rPr>
      </w:pPr>
      <w:r>
        <w:rPr>
          <w:rFonts w:ascii="宋体" w:hAnsi="宋体"/>
          <w:sz w:val="24"/>
        </w:rPr>
        <w:t>投标文件存在第二章“投标人须知”第 1.12.3 项所列情形的，均视为细微偏</w:t>
      </w:r>
    </w:p>
    <w:p>
      <w:pPr>
        <w:spacing w:line="351" w:lineRule="auto"/>
        <w:ind w:left="660" w:hanging="659"/>
        <w:rPr>
          <w:rFonts w:ascii="宋体" w:hAnsi="宋体"/>
          <w:sz w:val="24"/>
        </w:rPr>
      </w:pPr>
      <w:r>
        <w:rPr>
          <w:rFonts w:ascii="宋体" w:hAnsi="宋体"/>
          <w:sz w:val="24"/>
        </w:rPr>
        <w:t xml:space="preserve">差，评标委员会不得否决投标人的投标，应按照第二章“投标人须知”第 1.12.4 </w:t>
      </w:r>
    </w:p>
    <w:p>
      <w:pPr>
        <w:spacing w:line="351" w:lineRule="auto"/>
        <w:ind w:left="660" w:hanging="659"/>
        <w:rPr>
          <w:rFonts w:ascii="宋体" w:hAnsi="宋体"/>
          <w:sz w:val="24"/>
        </w:rPr>
      </w:pPr>
      <w:r>
        <w:rPr>
          <w:rFonts w:ascii="宋体" w:hAnsi="宋体"/>
          <w:sz w:val="24"/>
        </w:rPr>
        <w:t>项规定 的原则处理。</w:t>
      </w:r>
    </w:p>
    <w:p>
      <w:pPr>
        <w:spacing w:line="351" w:lineRule="auto"/>
        <w:ind w:left="660" w:hanging="659"/>
        <w:rPr>
          <w:rFonts w:ascii="宋体" w:hAnsi="宋体"/>
          <w:sz w:val="24"/>
        </w:rPr>
      </w:pPr>
      <w:bookmarkStart w:id="50" w:name="_bookmark123"/>
      <w:bookmarkEnd w:id="50"/>
      <w:r>
        <w:rPr>
          <w:rFonts w:ascii="宋体" w:hAnsi="宋体"/>
          <w:sz w:val="24"/>
        </w:rPr>
        <w:t>3.9 评标结果</w:t>
      </w:r>
    </w:p>
    <w:p>
      <w:pPr>
        <w:spacing w:line="351" w:lineRule="auto"/>
        <w:ind w:left="660" w:hanging="659"/>
        <w:rPr>
          <w:rFonts w:ascii="宋体" w:hAnsi="宋体"/>
          <w:sz w:val="24"/>
        </w:rPr>
      </w:pPr>
      <w:r>
        <w:rPr>
          <w:rFonts w:ascii="宋体" w:hAnsi="宋体"/>
          <w:sz w:val="24"/>
        </w:rPr>
        <w:t>3.9.1 除第二章“投标人须知”前附表授权直接确定中标人外，评标委员会按照</w:t>
      </w:r>
    </w:p>
    <w:p>
      <w:pPr>
        <w:spacing w:line="351" w:lineRule="auto"/>
        <w:ind w:left="660" w:hanging="659"/>
        <w:rPr>
          <w:rFonts w:ascii="宋体" w:hAnsi="宋体"/>
          <w:sz w:val="24"/>
        </w:rPr>
      </w:pPr>
      <w:r>
        <w:rPr>
          <w:rFonts w:ascii="宋体" w:hAnsi="宋体"/>
          <w:sz w:val="24"/>
        </w:rPr>
        <w:t>评 标价由低到高的顺序推荐中标候选人，并标明排序。</w:t>
      </w:r>
    </w:p>
    <w:p>
      <w:pPr>
        <w:spacing w:line="351" w:lineRule="auto"/>
        <w:ind w:left="660" w:hanging="659"/>
        <w:rPr>
          <w:rFonts w:ascii="宋体" w:hAnsi="宋体"/>
          <w:sz w:val="24"/>
        </w:rPr>
      </w:pPr>
      <w:r>
        <w:rPr>
          <w:rFonts w:ascii="宋体" w:hAnsi="宋体"/>
          <w:sz w:val="24"/>
        </w:rPr>
        <w:t>3.9.2  评标委员会完成评标后，应向招标人提交书面评标报告。</w:t>
      </w:r>
    </w:p>
    <w:p>
      <w:pPr>
        <w:spacing w:line="500" w:lineRule="exact"/>
        <w:rPr>
          <w:rFonts w:ascii="宋体" w:hAnsi="宋体"/>
          <w:b/>
          <w:bCs/>
          <w:sz w:val="24"/>
          <w:szCs w:val="24"/>
        </w:rPr>
      </w:pPr>
      <w:r>
        <w:rPr>
          <w:rFonts w:hint="eastAsia" w:ascii="宋体" w:hAnsi="宋体"/>
          <w:b/>
          <w:bCs/>
          <w:sz w:val="24"/>
          <w:szCs w:val="24"/>
        </w:rPr>
        <w:t>需要注意的问题：</w:t>
      </w:r>
    </w:p>
    <w:p>
      <w:pPr>
        <w:spacing w:line="500" w:lineRule="exact"/>
        <w:ind w:firstLine="482" w:firstLineChars="200"/>
        <w:rPr>
          <w:rFonts w:ascii="宋体" w:hAnsi="宋体"/>
          <w:b/>
          <w:bCs/>
          <w:sz w:val="24"/>
          <w:szCs w:val="24"/>
        </w:rPr>
      </w:pPr>
      <w:r>
        <w:rPr>
          <w:rFonts w:hint="eastAsia" w:ascii="宋体" w:hAnsi="宋体"/>
          <w:b/>
          <w:bCs/>
          <w:sz w:val="24"/>
          <w:szCs w:val="24"/>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sz w:val="24"/>
          <w:szCs w:val="24"/>
        </w:rPr>
      </w:pPr>
    </w:p>
    <w:p>
      <w:pPr>
        <w:rPr>
          <w:sz w:val="24"/>
          <w:szCs w:val="24"/>
        </w:rPr>
      </w:pPr>
    </w:p>
    <w:p>
      <w:pPr>
        <w:spacing w:line="520" w:lineRule="exact"/>
        <w:rPr>
          <w:b/>
          <w:bCs/>
          <w:sz w:val="44"/>
          <w:szCs w:val="44"/>
        </w:rPr>
      </w:pPr>
    </w:p>
    <w:p>
      <w:pPr>
        <w:spacing w:line="520" w:lineRule="exact"/>
        <w:rPr>
          <w:b/>
          <w:bCs/>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r>
        <w:rPr>
          <w:rFonts w:hint="eastAsia" w:ascii="黑体" w:hAnsi="黑体" w:eastAsia="黑体"/>
          <w:sz w:val="44"/>
          <w:szCs w:val="44"/>
        </w:rPr>
        <w:br w:type="page"/>
      </w:r>
    </w:p>
    <w:p>
      <w:pPr>
        <w:adjustRightInd w:val="0"/>
        <w:snapToGrid w:val="0"/>
        <w:jc w:val="center"/>
        <w:outlineLvl w:val="0"/>
        <w:rPr>
          <w:rFonts w:ascii="黑体" w:eastAsia="黑体"/>
          <w:sz w:val="44"/>
          <w:szCs w:val="44"/>
        </w:rPr>
      </w:pPr>
      <w:r>
        <w:rPr>
          <w:rFonts w:hint="eastAsia" w:ascii="黑体" w:hAnsi="黑体" w:eastAsia="黑体"/>
          <w:sz w:val="44"/>
          <w:szCs w:val="44"/>
        </w:rPr>
        <w:t>第四章合同条款及格式</w:t>
      </w:r>
    </w:p>
    <w:p>
      <w:pPr>
        <w:adjustRightInd w:val="0"/>
        <w:snapToGrid w:val="0"/>
        <w:jc w:val="center"/>
        <w:outlineLvl w:val="0"/>
        <w:rPr>
          <w:rFonts w:ascii="仿宋" w:hAnsi="仿宋" w:eastAsia="仿宋" w:cs="仿宋"/>
          <w:sz w:val="36"/>
          <w:szCs w:val="36"/>
        </w:rPr>
      </w:pPr>
    </w:p>
    <w:p>
      <w:pPr>
        <w:adjustRightInd w:val="0"/>
        <w:snapToGrid w:val="0"/>
        <w:jc w:val="center"/>
        <w:outlineLvl w:val="0"/>
        <w:rPr>
          <w:rFonts w:ascii="仿宋" w:hAnsi="仿宋" w:eastAsia="仿宋" w:cs="仿宋"/>
          <w:sz w:val="24"/>
          <w:szCs w:val="24"/>
        </w:rPr>
      </w:pPr>
      <w:r>
        <w:rPr>
          <w:rFonts w:hint="eastAsia" w:ascii="仿宋" w:hAnsi="仿宋" w:eastAsia="仿宋" w:cs="仿宋"/>
          <w:sz w:val="36"/>
          <w:szCs w:val="36"/>
        </w:rPr>
        <w:t>第一节 通用合同条款</w:t>
      </w:r>
    </w:p>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p>
    <w:p>
      <w:pPr>
        <w:spacing w:before="18"/>
        <w:ind w:firstLine="1120" w:firstLineChars="400"/>
        <w:rPr>
          <w:rFonts w:ascii="仿宋" w:hAnsi="仿宋" w:eastAsia="仿宋" w:cs="仿宋"/>
          <w:sz w:val="28"/>
          <w:szCs w:val="28"/>
        </w:rPr>
      </w:pPr>
      <w:r>
        <w:rPr>
          <w:rFonts w:hint="eastAsia" w:ascii="仿宋" w:hAnsi="仿宋" w:eastAsia="仿宋" w:cs="仿宋"/>
          <w:sz w:val="28"/>
          <w:szCs w:val="28"/>
        </w:rPr>
        <w:t>采用《</w:t>
      </w:r>
      <w:r>
        <w:rPr>
          <w:rFonts w:hint="eastAsia" w:ascii="仿宋" w:hAnsi="仿宋" w:eastAsia="仿宋" w:cs="仿宋"/>
          <w:spacing w:val="-3"/>
          <w:sz w:val="28"/>
          <w:szCs w:val="28"/>
        </w:rPr>
        <w:t>标</w:t>
      </w:r>
      <w:r>
        <w:rPr>
          <w:rFonts w:hint="eastAsia" w:ascii="仿宋" w:hAnsi="仿宋" w:eastAsia="仿宋" w:cs="仿宋"/>
          <w:sz w:val="28"/>
          <w:szCs w:val="28"/>
        </w:rPr>
        <w:t>准施</w:t>
      </w:r>
      <w:r>
        <w:rPr>
          <w:rFonts w:hint="eastAsia" w:ascii="仿宋" w:hAnsi="仿宋" w:eastAsia="仿宋" w:cs="仿宋"/>
          <w:spacing w:val="-3"/>
          <w:sz w:val="28"/>
          <w:szCs w:val="28"/>
        </w:rPr>
        <w:t>工招</w:t>
      </w:r>
      <w:r>
        <w:rPr>
          <w:rFonts w:hint="eastAsia" w:ascii="仿宋" w:hAnsi="仿宋" w:eastAsia="仿宋" w:cs="仿宋"/>
          <w:sz w:val="28"/>
          <w:szCs w:val="28"/>
        </w:rPr>
        <w:t>标文件</w:t>
      </w:r>
      <w:r>
        <w:rPr>
          <w:rFonts w:hint="eastAsia" w:ascii="仿宋" w:hAnsi="仿宋" w:eastAsia="仿宋" w:cs="仿宋"/>
          <w:spacing w:val="-3"/>
          <w:sz w:val="28"/>
          <w:szCs w:val="28"/>
        </w:rPr>
        <w:t>》</w:t>
      </w:r>
      <w:r>
        <w:rPr>
          <w:rFonts w:hint="eastAsia" w:ascii="仿宋" w:hAnsi="仿宋" w:eastAsia="仿宋" w:cs="仿宋"/>
          <w:sz w:val="28"/>
          <w:szCs w:val="28"/>
        </w:rPr>
        <w:t>的“</w:t>
      </w:r>
      <w:r>
        <w:rPr>
          <w:rFonts w:hint="eastAsia" w:ascii="仿宋" w:hAnsi="仿宋" w:eastAsia="仿宋" w:cs="仿宋"/>
          <w:spacing w:val="-3"/>
          <w:sz w:val="28"/>
          <w:szCs w:val="28"/>
        </w:rPr>
        <w:t>通用</w:t>
      </w:r>
      <w:r>
        <w:rPr>
          <w:rFonts w:hint="eastAsia" w:ascii="仿宋" w:hAnsi="仿宋" w:eastAsia="仿宋" w:cs="仿宋"/>
          <w:sz w:val="28"/>
          <w:szCs w:val="28"/>
        </w:rPr>
        <w:t>合同条</w:t>
      </w:r>
      <w:r>
        <w:rPr>
          <w:rFonts w:hint="eastAsia" w:ascii="仿宋" w:hAnsi="仿宋" w:eastAsia="仿宋" w:cs="仿宋"/>
          <w:spacing w:val="-3"/>
          <w:sz w:val="28"/>
          <w:szCs w:val="28"/>
        </w:rPr>
        <w:t>款</w:t>
      </w:r>
      <w:r>
        <w:rPr>
          <w:rFonts w:hint="eastAsia" w:ascii="仿宋" w:hAnsi="仿宋" w:eastAsia="仿宋" w:cs="仿宋"/>
          <w:spacing w:val="-140"/>
          <w:sz w:val="28"/>
          <w:szCs w:val="28"/>
        </w:rPr>
        <w:t>”</w:t>
      </w:r>
      <w:r>
        <w:rPr>
          <w:rFonts w:hint="eastAsia" w:ascii="仿宋" w:hAnsi="仿宋" w:eastAsia="仿宋" w:cs="仿宋"/>
          <w:sz w:val="28"/>
          <w:szCs w:val="28"/>
        </w:rPr>
        <w:t>。</w:t>
      </w:r>
    </w:p>
    <w:p>
      <w:pPr>
        <w:rPr>
          <w:rFonts w:ascii="仿宋" w:hAnsi="仿宋" w:eastAsia="仿宋" w:cs="仿宋"/>
          <w:sz w:val="28"/>
          <w:szCs w:val="28"/>
        </w:rPr>
        <w:sectPr>
          <w:pgSz w:w="11850" w:h="16783"/>
          <w:pgMar w:top="1440" w:right="1406" w:bottom="1440" w:left="1406" w:header="720" w:footer="720" w:gutter="0"/>
          <w:cols w:space="0" w:num="1"/>
        </w:sectPr>
      </w:pPr>
    </w:p>
    <w:p>
      <w:pPr>
        <w:tabs>
          <w:tab w:val="left" w:pos="1660"/>
        </w:tabs>
        <w:rPr>
          <w:rFonts w:ascii="仿宋" w:hAnsi="仿宋" w:eastAsia="仿宋" w:cs="仿宋"/>
          <w:sz w:val="41"/>
        </w:rPr>
      </w:pPr>
    </w:p>
    <w:p>
      <w:pPr>
        <w:tabs>
          <w:tab w:val="left" w:pos="1660"/>
        </w:tabs>
        <w:rPr>
          <w:rFonts w:ascii="仿宋" w:hAnsi="仿宋" w:eastAsia="仿宋" w:cs="仿宋"/>
          <w:sz w:val="41"/>
        </w:rPr>
      </w:pPr>
    </w:p>
    <w:p>
      <w:pPr>
        <w:tabs>
          <w:tab w:val="left" w:pos="1660"/>
        </w:tabs>
        <w:rPr>
          <w:rFonts w:ascii="仿宋" w:hAnsi="仿宋" w:eastAsia="仿宋" w:cs="仿宋"/>
          <w:sz w:val="41"/>
        </w:rPr>
      </w:pPr>
    </w:p>
    <w:p>
      <w:pPr>
        <w:tabs>
          <w:tab w:val="left" w:pos="1660"/>
        </w:tabs>
        <w:jc w:val="center"/>
        <w:rPr>
          <w:rFonts w:ascii="仿宋" w:hAnsi="仿宋" w:eastAsia="仿宋" w:cs="仿宋"/>
          <w:sz w:val="41"/>
        </w:rPr>
      </w:pPr>
      <w:r>
        <w:rPr>
          <w:rFonts w:hint="eastAsia" w:ascii="仿宋" w:hAnsi="仿宋" w:eastAsia="仿宋" w:cs="仿宋"/>
          <w:sz w:val="41"/>
        </w:rPr>
        <w:t>第二节</w:t>
      </w:r>
      <w:r>
        <w:rPr>
          <w:rFonts w:hint="eastAsia" w:ascii="仿宋" w:hAnsi="仿宋" w:eastAsia="仿宋" w:cs="仿宋"/>
        </w:rPr>
        <w:tab/>
      </w:r>
      <w:r>
        <w:rPr>
          <w:rFonts w:hint="eastAsia" w:ascii="仿宋" w:hAnsi="仿宋" w:eastAsia="仿宋" w:cs="仿宋"/>
          <w:sz w:val="41"/>
        </w:rPr>
        <w:t>专用合同条款</w:t>
      </w:r>
    </w:p>
    <w:p>
      <w:pPr>
        <w:tabs>
          <w:tab w:val="left" w:pos="1660"/>
        </w:tabs>
        <w:rPr>
          <w:rFonts w:ascii="仿宋" w:hAnsi="仿宋" w:eastAsia="仿宋" w:cs="仿宋"/>
          <w:sz w:val="41"/>
        </w:rPr>
      </w:pPr>
    </w:p>
    <w:p>
      <w:pPr>
        <w:tabs>
          <w:tab w:val="left" w:pos="1660"/>
        </w:tabs>
        <w:rPr>
          <w:rFonts w:ascii="仿宋" w:hAnsi="仿宋" w:eastAsia="仿宋" w:cs="仿宋"/>
          <w:sz w:val="41"/>
        </w:rPr>
      </w:pPr>
    </w:p>
    <w:p>
      <w:pPr>
        <w:tabs>
          <w:tab w:val="left" w:pos="1660"/>
        </w:tabs>
        <w:rPr>
          <w:rFonts w:ascii="仿宋" w:hAnsi="仿宋" w:eastAsia="仿宋" w:cs="仿宋"/>
          <w:sz w:val="41"/>
        </w:rPr>
        <w:sectPr>
          <w:type w:val="continuous"/>
          <w:pgSz w:w="11900" w:h="16841"/>
          <w:pgMar w:top="1417" w:right="1417" w:bottom="1417" w:left="1417" w:header="0" w:footer="567" w:gutter="0"/>
          <w:cols w:space="720" w:num="1"/>
          <w:docGrid w:linePitch="360" w:charSpace="0"/>
        </w:sectPr>
      </w:pPr>
    </w:p>
    <w:p>
      <w:pPr>
        <w:jc w:val="center"/>
        <w:rPr>
          <w:rFonts w:ascii="仿宋" w:hAnsi="仿宋" w:eastAsia="仿宋" w:cs="仿宋"/>
          <w:sz w:val="32"/>
        </w:rPr>
      </w:pPr>
      <w:bookmarkStart w:id="51" w:name="page123"/>
      <w:bookmarkEnd w:id="51"/>
      <w:r>
        <w:rPr>
          <w:rFonts w:hint="eastAsia" w:ascii="仿宋" w:hAnsi="仿宋" w:eastAsia="仿宋" w:cs="仿宋"/>
          <w:sz w:val="32"/>
        </w:rPr>
        <w:t>A. 公路工程专用合同条款</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 一般约定</w:t>
      </w:r>
    </w:p>
    <w:p>
      <w:pPr>
        <w:rPr>
          <w:rFonts w:ascii="仿宋" w:hAnsi="仿宋" w:eastAsia="仿宋" w:cs="仿宋"/>
        </w:rPr>
      </w:pPr>
    </w:p>
    <w:p>
      <w:pPr>
        <w:numPr>
          <w:ilvl w:val="0"/>
          <w:numId w:val="26"/>
        </w:numPr>
        <w:tabs>
          <w:tab w:val="left" w:pos="420"/>
        </w:tabs>
        <w:ind w:left="420" w:hanging="416"/>
        <w:jc w:val="both"/>
        <w:rPr>
          <w:rFonts w:ascii="仿宋" w:hAnsi="仿宋" w:eastAsia="仿宋" w:cs="仿宋"/>
          <w:sz w:val="24"/>
        </w:rPr>
      </w:pPr>
      <w:r>
        <w:rPr>
          <w:rFonts w:hint="eastAsia" w:ascii="仿宋" w:hAnsi="仿宋" w:eastAsia="仿宋" w:cs="仿宋"/>
          <w:sz w:val="24"/>
        </w:rPr>
        <w:t>词语定义</w:t>
      </w:r>
    </w:p>
    <w:p>
      <w:pPr>
        <w:rPr>
          <w:rFonts w:ascii="仿宋" w:hAnsi="仿宋" w:eastAsia="仿宋" w:cs="仿宋"/>
          <w:sz w:val="24"/>
        </w:rPr>
      </w:pPr>
    </w:p>
    <w:p>
      <w:pPr>
        <w:numPr>
          <w:ilvl w:val="1"/>
          <w:numId w:val="26"/>
        </w:numPr>
        <w:tabs>
          <w:tab w:val="left" w:pos="1080"/>
        </w:tabs>
        <w:ind w:left="1080" w:hanging="596"/>
        <w:jc w:val="both"/>
        <w:rPr>
          <w:rFonts w:ascii="仿宋" w:hAnsi="仿宋" w:eastAsia="仿宋" w:cs="仿宋"/>
          <w:sz w:val="24"/>
        </w:rPr>
      </w:pPr>
      <w:r>
        <w:rPr>
          <w:rFonts w:hint="eastAsia" w:ascii="仿宋" w:hAnsi="仿宋" w:eastAsia="仿宋" w:cs="仿宋"/>
          <w:sz w:val="24"/>
        </w:rPr>
        <w:t>合同</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第 1.1.1.6 目细化为：</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技术规范：指本合同所约定的技术标准和要求，是合同文件的组成部分。通</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用合同条款中“技术标准和要求”一词具有相同含义。</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第 1.1.1.8 目细化为：</w:t>
      </w:r>
    </w:p>
    <w:p>
      <w:pPr>
        <w:rPr>
          <w:rFonts w:ascii="仿宋" w:hAnsi="仿宋" w:eastAsia="仿宋" w:cs="仿宋"/>
        </w:rPr>
      </w:pPr>
    </w:p>
    <w:p>
      <w:pPr>
        <w:ind w:firstLine="720"/>
        <w:jc w:val="both"/>
        <w:rPr>
          <w:rFonts w:ascii="仿宋" w:hAnsi="仿宋" w:eastAsia="仿宋" w:cs="仿宋"/>
          <w:sz w:val="24"/>
        </w:rPr>
      </w:pPr>
      <w:r>
        <w:rPr>
          <w:rFonts w:hint="eastAsia" w:ascii="仿宋" w:hAnsi="仿宋" w:eastAsia="仿宋" w:cs="仿宋"/>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单表 5.1～表 5.5）。</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本项补充第 1.1.1.10 目：</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1.1.1.10  补遗书：指发出招标文件之后由招标人向已取得招标文件的投标人</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发出的、编号的对招标文件所作的澄清、修改书。</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1.1.2 合同当事人和人员</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本项补充第 1.1.2.8 目：</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1.1.2.8 承包人项目总工：指由承包人书面委派常驻现场负责管理本合同工程</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的总工程师或技术总负责人。</w:t>
      </w:r>
    </w:p>
    <w:p>
      <w:pPr>
        <w:rPr>
          <w:rFonts w:ascii="仿宋" w:hAnsi="仿宋" w:eastAsia="仿宋" w:cs="仿宋"/>
        </w:rPr>
      </w:pPr>
    </w:p>
    <w:p>
      <w:pPr>
        <w:ind w:left="720" w:hanging="239"/>
        <w:rPr>
          <w:rFonts w:ascii="仿宋" w:hAnsi="仿宋" w:eastAsia="仿宋" w:cs="仿宋"/>
          <w:sz w:val="24"/>
        </w:rPr>
      </w:pPr>
      <w:r>
        <w:rPr>
          <w:rFonts w:hint="eastAsia" w:ascii="仿宋" w:hAnsi="仿宋" w:eastAsia="仿宋" w:cs="仿宋"/>
          <w:sz w:val="24"/>
        </w:rPr>
        <w:t>1.1.3 工程和设备第 1.1.3.4 目细化为：</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单位工程：指在建设项目中，根据签订的合同，具有独立施工条件的工程。</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第 1.1.3.10 目细化为：</w:t>
      </w:r>
    </w:p>
    <w:p>
      <w:pPr>
        <w:rPr>
          <w:rFonts w:ascii="仿宋" w:hAnsi="仿宋" w:eastAsia="仿宋" w:cs="仿宋"/>
        </w:rPr>
      </w:pPr>
    </w:p>
    <w:p>
      <w:pPr>
        <w:ind w:firstLine="720"/>
        <w:jc w:val="both"/>
        <w:rPr>
          <w:rFonts w:ascii="仿宋" w:hAnsi="仿宋" w:eastAsia="仿宋" w:cs="仿宋"/>
          <w:sz w:val="24"/>
        </w:rPr>
      </w:pPr>
      <w:r>
        <w:rPr>
          <w:rFonts w:hint="eastAsia" w:ascii="仿宋" w:hAnsi="仿宋" w:eastAsia="仿宋" w:cs="仿宋"/>
          <w:sz w:val="24"/>
        </w:rPr>
        <w:t>永久占地：指为实施本合同工程而需要的一切永久占用的土地，包括公路两侧路权范围内的用地。</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第 1.1.3.11 目细化为：</w:t>
      </w:r>
    </w:p>
    <w:p>
      <w:pPr>
        <w:rPr>
          <w:rFonts w:ascii="仿宋" w:hAnsi="仿宋" w:eastAsia="仿宋" w:cs="仿宋"/>
        </w:rPr>
      </w:pPr>
    </w:p>
    <w:p>
      <w:pPr>
        <w:ind w:firstLine="720"/>
        <w:jc w:val="both"/>
        <w:rPr>
          <w:rFonts w:ascii="仿宋" w:hAnsi="仿宋" w:eastAsia="仿宋" w:cs="仿宋"/>
          <w:sz w:val="24"/>
        </w:rPr>
      </w:pPr>
      <w:r>
        <w:rPr>
          <w:rFonts w:hint="eastAsia" w:ascii="仿宋" w:hAnsi="仿宋" w:eastAsia="仿宋" w:cs="仿宋"/>
          <w:sz w:val="24"/>
        </w:rPr>
        <w:t>临时占地：指为实施本合同工程而需要的一切临时占用的土地，包括施工所用的临时支线、便道、便桥和现场的临时出入通道，以及生产（办公）、生活等临时设施用地等。</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本项补充第 1.1.3.12 目、第 1.1.3.13 目：</w:t>
      </w:r>
    </w:p>
    <w:p>
      <w:pPr>
        <w:rPr>
          <w:rFonts w:ascii="仿宋" w:hAnsi="仿宋" w:eastAsia="仿宋" w:cs="仿宋"/>
        </w:rPr>
      </w:pPr>
    </w:p>
    <w:p>
      <w:pPr>
        <w:ind w:left="720"/>
        <w:rPr>
          <w:rFonts w:ascii="仿宋" w:hAnsi="仿宋" w:eastAsia="仿宋" w:cs="仿宋"/>
        </w:rPr>
      </w:pPr>
      <w:r>
        <w:rPr>
          <w:rFonts w:hint="eastAsia" w:ascii="仿宋" w:hAnsi="仿宋" w:eastAsia="仿宋" w:cs="仿宋"/>
          <w:sz w:val="24"/>
        </w:rPr>
        <w:t>1.1.3.12  分部工程：指在单位工程中，按结构部位、路段长度及施工特或</w:t>
      </w:r>
      <w:bookmarkStart w:id="52" w:name="page124"/>
      <w:bookmarkEnd w:id="52"/>
    </w:p>
    <w:p>
      <w:pPr>
        <w:rPr>
          <w:rFonts w:ascii="仿宋" w:hAnsi="仿宋" w:eastAsia="仿宋" w:cs="仿宋"/>
        </w:rPr>
      </w:pPr>
      <w:r>
        <w:rPr>
          <w:rFonts w:hint="eastAsia" w:ascii="仿宋" w:hAnsi="仿宋" w:eastAsia="仿宋" w:cs="仿宋"/>
          <w:sz w:val="24"/>
        </w:rPr>
        <w:t>施工任务划分的若干个工程。</w:t>
      </w:r>
    </w:p>
    <w:p>
      <w:pPr>
        <w:ind w:left="720"/>
        <w:rPr>
          <w:rFonts w:ascii="仿宋" w:hAnsi="仿宋" w:eastAsia="仿宋" w:cs="仿宋"/>
        </w:rPr>
      </w:pPr>
      <w:r>
        <w:rPr>
          <w:rFonts w:hint="eastAsia" w:ascii="仿宋" w:hAnsi="仿宋" w:eastAsia="仿宋" w:cs="仿宋"/>
          <w:sz w:val="24"/>
        </w:rPr>
        <w:t>1.1.3.13  分项工程：指在分部工程中，按不同的施工方法、材料、工序及路段长度等划分的若干个工程。</w:t>
      </w:r>
    </w:p>
    <w:p>
      <w:pPr>
        <w:ind w:left="720" w:hanging="249"/>
        <w:rPr>
          <w:rFonts w:ascii="仿宋" w:hAnsi="仿宋" w:eastAsia="仿宋" w:cs="仿宋"/>
        </w:rPr>
      </w:pPr>
      <w:r>
        <w:rPr>
          <w:rFonts w:hint="eastAsia" w:ascii="仿宋" w:hAnsi="仿宋" w:eastAsia="仿宋" w:cs="仿宋"/>
          <w:sz w:val="24"/>
        </w:rPr>
        <w:t>1.1.6 其他本项补充第 1.1.6.2 目～第 1.1.6.9 目：</w:t>
      </w:r>
    </w:p>
    <w:p>
      <w:pPr>
        <w:numPr>
          <w:ilvl w:val="1"/>
          <w:numId w:val="27"/>
        </w:numPr>
        <w:tabs>
          <w:tab w:val="left" w:pos="1500"/>
        </w:tabs>
        <w:ind w:firstLine="724"/>
        <w:jc w:val="both"/>
        <w:rPr>
          <w:rFonts w:ascii="仿宋" w:hAnsi="仿宋" w:eastAsia="仿宋" w:cs="仿宋"/>
          <w:sz w:val="24"/>
        </w:rPr>
      </w:pPr>
      <w:r>
        <w:rPr>
          <w:rFonts w:hint="eastAsia" w:ascii="仿宋" w:hAnsi="仿宋" w:eastAsia="仿宋" w:cs="仿宋"/>
          <w:sz w:val="24"/>
        </w:rPr>
        <w:t>竣工验收：指《公路工程竣（交）工验收办法》中的竣工验收。通用合同条款中“国家验收”一词具有相同含义。</w:t>
      </w:r>
    </w:p>
    <w:p>
      <w:pPr>
        <w:numPr>
          <w:ilvl w:val="1"/>
          <w:numId w:val="27"/>
        </w:numPr>
        <w:tabs>
          <w:tab w:val="left" w:pos="1476"/>
        </w:tabs>
        <w:ind w:firstLine="724"/>
        <w:jc w:val="both"/>
        <w:rPr>
          <w:rFonts w:ascii="仿宋" w:hAnsi="仿宋" w:eastAsia="仿宋" w:cs="仿宋"/>
          <w:sz w:val="24"/>
        </w:rPr>
      </w:pPr>
      <w:r>
        <w:rPr>
          <w:rFonts w:hint="eastAsia" w:ascii="仿宋" w:hAnsi="仿宋" w:eastAsia="仿宋" w:cs="仿宋"/>
          <w:sz w:val="24"/>
        </w:rPr>
        <w:t>交工：指《公路工程竣（交）工验收办法》中的交工。通用合同条款中“竣工”一词具有相同含义。</w:t>
      </w:r>
    </w:p>
    <w:p>
      <w:pPr>
        <w:numPr>
          <w:ilvl w:val="1"/>
          <w:numId w:val="27"/>
        </w:numPr>
        <w:tabs>
          <w:tab w:val="left" w:pos="1476"/>
        </w:tabs>
        <w:ind w:firstLine="724"/>
        <w:jc w:val="both"/>
        <w:rPr>
          <w:rFonts w:ascii="仿宋" w:hAnsi="仿宋" w:eastAsia="仿宋" w:cs="仿宋"/>
          <w:sz w:val="24"/>
        </w:rPr>
      </w:pPr>
      <w:r>
        <w:rPr>
          <w:rFonts w:hint="eastAsia" w:ascii="仿宋" w:hAnsi="仿宋" w:eastAsia="仿宋" w:cs="仿宋"/>
          <w:sz w:val="24"/>
        </w:rPr>
        <w:t>交工验收：指《公路工程竣（交）工验收办法》中的交工验收。通用合同条款中“竣工验收”一词具有相同含义。</w:t>
      </w:r>
    </w:p>
    <w:p>
      <w:pPr>
        <w:rPr>
          <w:rFonts w:ascii="仿宋" w:hAnsi="仿宋" w:eastAsia="仿宋" w:cs="仿宋"/>
          <w:sz w:val="24"/>
        </w:rPr>
      </w:pPr>
    </w:p>
    <w:p>
      <w:pPr>
        <w:numPr>
          <w:ilvl w:val="1"/>
          <w:numId w:val="27"/>
        </w:numPr>
        <w:tabs>
          <w:tab w:val="left" w:pos="1476"/>
        </w:tabs>
        <w:ind w:firstLine="724"/>
        <w:jc w:val="both"/>
        <w:rPr>
          <w:rFonts w:ascii="仿宋" w:hAnsi="仿宋" w:eastAsia="仿宋" w:cs="仿宋"/>
          <w:sz w:val="24"/>
        </w:rPr>
      </w:pPr>
      <w:r>
        <w:rPr>
          <w:rFonts w:hint="eastAsia" w:ascii="仿宋" w:hAnsi="仿宋" w:eastAsia="仿宋" w:cs="仿宋"/>
          <w:sz w:val="24"/>
        </w:rPr>
        <w:t>交工验收证书：指《公路工程竣（交）工验收办法》中的交工验收证书。通用合同条款中“工程接收证书”一词具有相同含义。</w:t>
      </w:r>
    </w:p>
    <w:p>
      <w:pPr>
        <w:rPr>
          <w:rFonts w:ascii="仿宋" w:hAnsi="仿宋" w:eastAsia="仿宋" w:cs="仿宋"/>
          <w:sz w:val="24"/>
        </w:rPr>
      </w:pPr>
    </w:p>
    <w:p>
      <w:pPr>
        <w:numPr>
          <w:ilvl w:val="1"/>
          <w:numId w:val="27"/>
        </w:numPr>
        <w:tabs>
          <w:tab w:val="left" w:pos="1476"/>
        </w:tabs>
        <w:ind w:firstLine="724"/>
        <w:jc w:val="both"/>
        <w:rPr>
          <w:rFonts w:ascii="仿宋" w:hAnsi="仿宋" w:eastAsia="仿宋" w:cs="仿宋"/>
          <w:sz w:val="24"/>
        </w:rPr>
      </w:pPr>
      <w:r>
        <w:rPr>
          <w:rFonts w:hint="eastAsia" w:ascii="仿宋" w:hAnsi="仿宋" w:eastAsia="仿宋" w:cs="仿宋"/>
          <w:sz w:val="24"/>
        </w:rPr>
        <w:t>转包：指承包人违反法律和不履行合同规定的责任和义务，将中标工程全部委托或以专业分包的名义将中标工程肢解后全部委托给其他施工企业施工的行为。</w:t>
      </w:r>
    </w:p>
    <w:p>
      <w:pPr>
        <w:rPr>
          <w:rFonts w:ascii="仿宋" w:hAnsi="仿宋" w:eastAsia="仿宋" w:cs="仿宋"/>
          <w:sz w:val="24"/>
        </w:rPr>
      </w:pPr>
    </w:p>
    <w:p>
      <w:pPr>
        <w:numPr>
          <w:ilvl w:val="1"/>
          <w:numId w:val="27"/>
        </w:numPr>
        <w:tabs>
          <w:tab w:val="left" w:pos="1476"/>
        </w:tabs>
        <w:ind w:firstLine="724"/>
        <w:jc w:val="both"/>
        <w:rPr>
          <w:rFonts w:ascii="仿宋" w:hAnsi="仿宋" w:eastAsia="仿宋" w:cs="仿宋"/>
          <w:sz w:val="24"/>
        </w:rPr>
      </w:pPr>
      <w:r>
        <w:rPr>
          <w:rFonts w:hint="eastAsia" w:ascii="仿宋" w:hAnsi="仿宋" w:eastAsia="仿宋" w:cs="仿宋"/>
          <w:sz w:val="24"/>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rPr>
          <w:rFonts w:ascii="仿宋" w:hAnsi="仿宋" w:eastAsia="仿宋" w:cs="仿宋"/>
          <w:sz w:val="23"/>
        </w:rPr>
      </w:pPr>
    </w:p>
    <w:p>
      <w:pPr>
        <w:numPr>
          <w:ilvl w:val="1"/>
          <w:numId w:val="27"/>
        </w:numPr>
        <w:tabs>
          <w:tab w:val="left" w:pos="1476"/>
        </w:tabs>
        <w:ind w:firstLine="724"/>
        <w:jc w:val="both"/>
        <w:rPr>
          <w:rFonts w:ascii="仿宋" w:hAnsi="仿宋" w:eastAsia="仿宋" w:cs="仿宋"/>
          <w:sz w:val="24"/>
        </w:rPr>
      </w:pPr>
      <w:r>
        <w:rPr>
          <w:rFonts w:hint="eastAsia" w:ascii="仿宋" w:hAnsi="仿宋" w:eastAsia="仿宋" w:cs="仿宋"/>
          <w:sz w:val="24"/>
        </w:rPr>
        <w:t>劳务分包：指承包人与具有施工劳务资质的劳务企业签订劳务分包合同，由劳务企业提供劳务人员及机具，由承包人统一组织施工、统一控制工程质量、施工进度、材料采购、生产安全的施工行为。</w:t>
      </w:r>
    </w:p>
    <w:p>
      <w:pPr>
        <w:rPr>
          <w:rFonts w:ascii="仿宋" w:hAnsi="仿宋" w:eastAsia="仿宋" w:cs="仿宋"/>
          <w:sz w:val="24"/>
        </w:rPr>
      </w:pPr>
    </w:p>
    <w:p>
      <w:pPr>
        <w:numPr>
          <w:ilvl w:val="1"/>
          <w:numId w:val="27"/>
        </w:numPr>
        <w:tabs>
          <w:tab w:val="left" w:pos="1476"/>
        </w:tabs>
        <w:ind w:firstLine="724"/>
        <w:jc w:val="both"/>
        <w:rPr>
          <w:rFonts w:ascii="仿宋" w:hAnsi="仿宋" w:eastAsia="仿宋" w:cs="仿宋"/>
          <w:sz w:val="24"/>
        </w:rPr>
      </w:pPr>
      <w:r>
        <w:rPr>
          <w:rFonts w:hint="eastAsia" w:ascii="仿宋" w:hAnsi="仿宋" w:eastAsia="仿宋" w:cs="仿宋"/>
          <w:sz w:val="24"/>
        </w:rPr>
        <w:t>雇用民工：指承包人与具有相应劳动能力的自然人签订劳动合同，由承包人统一组织管理，从事分项工程施工或配套工程施工的行为。</w:t>
      </w:r>
    </w:p>
    <w:p>
      <w:pPr>
        <w:rPr>
          <w:rFonts w:ascii="仿宋" w:hAnsi="仿宋" w:eastAsia="仿宋" w:cs="仿宋"/>
          <w:sz w:val="24"/>
        </w:rPr>
      </w:pPr>
    </w:p>
    <w:p>
      <w:pPr>
        <w:numPr>
          <w:ilvl w:val="0"/>
          <w:numId w:val="28"/>
        </w:numPr>
        <w:tabs>
          <w:tab w:val="left" w:pos="420"/>
        </w:tabs>
        <w:ind w:left="420" w:hanging="416"/>
        <w:jc w:val="both"/>
        <w:rPr>
          <w:rFonts w:ascii="仿宋" w:hAnsi="仿宋" w:eastAsia="仿宋" w:cs="仿宋"/>
          <w:sz w:val="24"/>
        </w:rPr>
      </w:pPr>
      <w:r>
        <w:rPr>
          <w:rFonts w:hint="eastAsia" w:ascii="仿宋" w:hAnsi="仿宋" w:eastAsia="仿宋" w:cs="仿宋"/>
          <w:sz w:val="24"/>
        </w:rPr>
        <w:t>合同文件的优先顺序</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本款约定为：</w:t>
      </w:r>
    </w:p>
    <w:p>
      <w:pPr>
        <w:rPr>
          <w:rFonts w:ascii="仿宋" w:hAnsi="仿宋" w:eastAsia="仿宋" w:cs="仿宋"/>
        </w:rPr>
      </w:pPr>
    </w:p>
    <w:p>
      <w:pPr>
        <w:ind w:firstLine="391"/>
        <w:rPr>
          <w:rFonts w:ascii="仿宋" w:hAnsi="仿宋" w:eastAsia="仿宋" w:cs="仿宋"/>
          <w:sz w:val="24"/>
        </w:rPr>
      </w:pPr>
      <w:r>
        <w:rPr>
          <w:rFonts w:hint="eastAsia" w:ascii="仿宋" w:hAnsi="仿宋" w:eastAsia="仿宋" w:cs="仿宋"/>
          <w:sz w:val="24"/>
        </w:rPr>
        <w:t>组成合同的各项文件应互相解释，互为说明。除项目专用合同条款另有约定外，解释合同文件的优先顺序如下：</w:t>
      </w:r>
    </w:p>
    <w:p>
      <w:pPr>
        <w:rPr>
          <w:rFonts w:ascii="仿宋" w:hAnsi="仿宋" w:eastAsia="仿宋" w:cs="仿宋"/>
        </w:rPr>
      </w:pPr>
    </w:p>
    <w:p>
      <w:pPr>
        <w:ind w:firstLine="451"/>
        <w:rPr>
          <w:rFonts w:ascii="仿宋" w:hAnsi="仿宋" w:eastAsia="仿宋" w:cs="仿宋"/>
          <w:sz w:val="24"/>
        </w:rPr>
      </w:pPr>
      <w:r>
        <w:rPr>
          <w:rFonts w:hint="eastAsia" w:ascii="仿宋" w:hAnsi="仿宋" w:eastAsia="仿宋" w:cs="仿宋"/>
          <w:sz w:val="24"/>
        </w:rPr>
        <w:t>（1）合同协议书及各种合同附件（含评标期间和合同谈判过程中的澄清文件和补充资料）；</w:t>
      </w:r>
    </w:p>
    <w:p>
      <w:pPr>
        <w:ind w:left="480"/>
        <w:rPr>
          <w:rFonts w:ascii="仿宋" w:hAnsi="仿宋" w:eastAsia="仿宋" w:cs="仿宋"/>
          <w:sz w:val="24"/>
        </w:rPr>
      </w:pPr>
      <w:r>
        <w:rPr>
          <w:rFonts w:hint="eastAsia" w:ascii="仿宋" w:hAnsi="仿宋" w:eastAsia="仿宋" w:cs="仿宋"/>
          <w:sz w:val="24"/>
        </w:rPr>
        <w:t>（2）中标通知书；</w:t>
      </w:r>
    </w:p>
    <w:p>
      <w:pPr>
        <w:ind w:left="480"/>
        <w:rPr>
          <w:rFonts w:ascii="仿宋" w:hAnsi="仿宋" w:eastAsia="仿宋" w:cs="仿宋"/>
          <w:sz w:val="24"/>
        </w:rPr>
      </w:pPr>
      <w:r>
        <w:rPr>
          <w:rFonts w:hint="eastAsia" w:ascii="仿宋" w:hAnsi="仿宋" w:eastAsia="仿宋" w:cs="仿宋"/>
          <w:sz w:val="24"/>
        </w:rPr>
        <w:t>（3）投标函及投标函附录；</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（4）项目专用合同条款；</w:t>
      </w:r>
      <w:bookmarkStart w:id="53" w:name="page125"/>
      <w:bookmarkEnd w:id="53"/>
    </w:p>
    <w:p>
      <w:pPr>
        <w:ind w:left="480"/>
        <w:rPr>
          <w:rFonts w:ascii="仿宋" w:hAnsi="仿宋" w:eastAsia="仿宋" w:cs="仿宋"/>
          <w:sz w:val="24"/>
        </w:rPr>
      </w:pPr>
      <w:r>
        <w:rPr>
          <w:rFonts w:hint="eastAsia" w:ascii="仿宋" w:hAnsi="仿宋" w:eastAsia="仿宋" w:cs="仿宋"/>
          <w:sz w:val="24"/>
        </w:rPr>
        <w:t>（5）公路工程专用合同条款；</w:t>
      </w:r>
    </w:p>
    <w:p>
      <w:pPr>
        <w:ind w:left="480"/>
        <w:rPr>
          <w:rFonts w:ascii="仿宋" w:hAnsi="仿宋" w:eastAsia="仿宋" w:cs="仿宋"/>
          <w:sz w:val="24"/>
        </w:rPr>
      </w:pPr>
      <w:r>
        <w:rPr>
          <w:rFonts w:hint="eastAsia" w:ascii="仿宋" w:hAnsi="仿宋" w:eastAsia="仿宋" w:cs="仿宋"/>
          <w:sz w:val="24"/>
        </w:rPr>
        <w:t>（6）通用合同条款；</w:t>
      </w:r>
    </w:p>
    <w:p>
      <w:pPr>
        <w:ind w:left="480"/>
        <w:rPr>
          <w:rFonts w:ascii="仿宋" w:hAnsi="仿宋" w:eastAsia="仿宋" w:cs="仿宋"/>
          <w:sz w:val="24"/>
        </w:rPr>
      </w:pPr>
      <w:r>
        <w:rPr>
          <w:rFonts w:hint="eastAsia" w:ascii="仿宋" w:hAnsi="仿宋" w:eastAsia="仿宋" w:cs="仿宋"/>
          <w:sz w:val="24"/>
        </w:rPr>
        <w:t>（7）工程量清单计量规则；</w:t>
      </w:r>
    </w:p>
    <w:p>
      <w:pPr>
        <w:ind w:left="480"/>
        <w:rPr>
          <w:rFonts w:ascii="仿宋" w:hAnsi="仿宋" w:eastAsia="仿宋" w:cs="仿宋"/>
          <w:sz w:val="24"/>
        </w:rPr>
      </w:pPr>
      <w:r>
        <w:rPr>
          <w:rFonts w:hint="eastAsia" w:ascii="仿宋" w:hAnsi="仿宋" w:eastAsia="仿宋" w:cs="仿宋"/>
          <w:sz w:val="24"/>
        </w:rPr>
        <w:t>（8）技术规范；</w:t>
      </w:r>
    </w:p>
    <w:p>
      <w:pPr>
        <w:ind w:left="480"/>
        <w:rPr>
          <w:rFonts w:ascii="仿宋" w:hAnsi="仿宋" w:eastAsia="仿宋" w:cs="仿宋"/>
          <w:sz w:val="24"/>
        </w:rPr>
      </w:pPr>
      <w:r>
        <w:rPr>
          <w:rFonts w:hint="eastAsia" w:ascii="仿宋" w:hAnsi="仿宋" w:eastAsia="仿宋" w:cs="仿宋"/>
          <w:sz w:val="24"/>
        </w:rPr>
        <w:t>（9）图纸；</w:t>
      </w:r>
    </w:p>
    <w:p>
      <w:pPr>
        <w:ind w:left="480"/>
        <w:rPr>
          <w:rFonts w:ascii="仿宋" w:hAnsi="仿宋" w:eastAsia="仿宋" w:cs="仿宋"/>
          <w:sz w:val="24"/>
        </w:rPr>
      </w:pPr>
      <w:r>
        <w:rPr>
          <w:rFonts w:hint="eastAsia" w:ascii="仿宋" w:hAnsi="仿宋" w:eastAsia="仿宋" w:cs="仿宋"/>
          <w:sz w:val="24"/>
        </w:rPr>
        <w:t>（10）已标价工程量清单；</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（11）承包人有关人员、设备投入的承诺及投标文件中的施工组织设计；（12）其他合同文件。</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1.5 合同协议书</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制备本合同文件的费用由发包人承担。在合同协议书签订并生效之前，投标函和中标通知书将对双方具有约束力。</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1.6 图纸和承包人文件</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1.6.1 图纸的提供</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本项细化为：</w:t>
      </w:r>
    </w:p>
    <w:p>
      <w:pPr>
        <w:rPr>
          <w:rFonts w:ascii="仿宋" w:hAnsi="仿宋" w:eastAsia="仿宋" w:cs="仿宋"/>
        </w:rPr>
      </w:pPr>
    </w:p>
    <w:p>
      <w:pPr>
        <w:ind w:firstLine="391"/>
        <w:jc w:val="both"/>
        <w:rPr>
          <w:rFonts w:ascii="仿宋" w:hAnsi="仿宋" w:eastAsia="仿宋" w:cs="仿宋"/>
          <w:sz w:val="23"/>
        </w:rPr>
      </w:pPr>
      <w:r>
        <w:rPr>
          <w:rFonts w:hint="eastAsia" w:ascii="仿宋" w:hAnsi="仿宋" w:eastAsia="仿宋" w:cs="仿宋"/>
          <w:sz w:val="23"/>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延误的，按第 11.3 款的约定办理。</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1.6.2 承包人提供的文件</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本项细化为：</w:t>
      </w:r>
    </w:p>
    <w:p>
      <w:pPr>
        <w:rPr>
          <w:rFonts w:ascii="仿宋" w:hAnsi="仿宋" w:eastAsia="仿宋" w:cs="仿宋"/>
        </w:rPr>
      </w:pPr>
    </w:p>
    <w:p>
      <w:pPr>
        <w:ind w:firstLine="391"/>
        <w:rPr>
          <w:rFonts w:ascii="仿宋" w:hAnsi="仿宋" w:eastAsia="仿宋" w:cs="仿宋"/>
          <w:sz w:val="23"/>
        </w:rPr>
      </w:pPr>
      <w:r>
        <w:rPr>
          <w:rFonts w:hint="eastAsia" w:ascii="仿宋" w:hAnsi="仿宋" w:eastAsia="仿宋" w:cs="仿宋"/>
          <w:sz w:val="23"/>
        </w:rPr>
        <w:t>有下列情形之一的，承包人应免费向监理人提交相关部分工程的施工图纸 3 份，并附必要的计算书、技术资料，或施工工艺图、设备安装图及安装设备的使用和维</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护手册各 2 份供监理人批准。</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（1）为使第 1.6.1 项所述的施工图纸适合于经施工测量后的纵、横断面；（2）为使第 1.6.1 项所述的施工图纸适合于现场具体地形；</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（3）为使第 1.6.1 项所述的施工图纸适合于因尺寸与位置变化而引起局部变更；（4）由于合同要求与施工需要。</w:t>
      </w:r>
    </w:p>
    <w:p>
      <w:pPr>
        <w:rPr>
          <w:rFonts w:ascii="仿宋" w:hAnsi="仿宋" w:eastAsia="仿宋" w:cs="仿宋"/>
        </w:rPr>
      </w:pPr>
    </w:p>
    <w:p>
      <w:pPr>
        <w:ind w:left="400"/>
        <w:rPr>
          <w:rFonts w:ascii="仿宋" w:hAnsi="仿宋" w:eastAsia="仿宋" w:cs="仿宋"/>
          <w:sz w:val="23"/>
        </w:rPr>
      </w:pPr>
      <w:r>
        <w:rPr>
          <w:rFonts w:hint="eastAsia" w:ascii="仿宋" w:hAnsi="仿宋" w:eastAsia="仿宋" w:cs="仿宋"/>
          <w:sz w:val="23"/>
        </w:rPr>
        <w:t>此类图纸应按监理人规定的格式和图幅绘制。监理人在收到由承包人绘制的上述</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工程、工艺图纸、计算书和有关技术资料后 14 天内应予批准或提出修改要求，承包人应按监理人提出的要求作出修改，重新向监理人提交，监理人应在 7 天内批准或提出进一步的修改意见。</w:t>
      </w:r>
    </w:p>
    <w:p>
      <w:pPr>
        <w:ind w:left="480"/>
        <w:rPr>
          <w:rFonts w:ascii="仿宋" w:hAnsi="仿宋" w:eastAsia="仿宋" w:cs="仿宋"/>
          <w:sz w:val="24"/>
        </w:rPr>
      </w:pPr>
      <w:bookmarkStart w:id="54" w:name="page126"/>
      <w:bookmarkEnd w:id="54"/>
      <w:r>
        <w:rPr>
          <w:rFonts w:hint="eastAsia" w:ascii="仿宋" w:hAnsi="仿宋" w:eastAsia="仿宋" w:cs="仿宋"/>
          <w:sz w:val="24"/>
        </w:rPr>
        <w:t>1.6.4 图纸的错误</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本项细化为：</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1.9 严禁贿赂</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2. 发包人义务</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2.3 提供施工场地</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left="400"/>
        <w:rPr>
          <w:rFonts w:ascii="仿宋" w:hAnsi="仿宋" w:eastAsia="仿宋" w:cs="仿宋"/>
          <w:sz w:val="23"/>
        </w:rPr>
      </w:pPr>
      <w:r>
        <w:rPr>
          <w:rFonts w:hint="eastAsia" w:ascii="仿宋" w:hAnsi="仿宋" w:eastAsia="仿宋" w:cs="仿宋"/>
          <w:sz w:val="23"/>
        </w:rPr>
        <w:t>发包人负责办理永久占地的征用及与之有关的拆迁赔偿手续并承担相关费用。承</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rPr>
          <w:rFonts w:ascii="仿宋" w:hAnsi="仿宋" w:eastAsia="仿宋" w:cs="仿宋"/>
          <w:sz w:val="28"/>
        </w:rPr>
      </w:pPr>
      <w:r>
        <w:rPr>
          <w:rFonts w:hint="eastAsia" w:ascii="仿宋" w:hAnsi="仿宋" w:eastAsia="仿宋" w:cs="仿宋"/>
          <w:sz w:val="28"/>
        </w:rPr>
        <w:t>3. 监理人</w:t>
      </w:r>
    </w:p>
    <w:p>
      <w:pPr>
        <w:rPr>
          <w:rFonts w:ascii="仿宋" w:hAnsi="仿宋" w:eastAsia="仿宋" w:cs="仿宋"/>
        </w:rPr>
      </w:pPr>
    </w:p>
    <w:p>
      <w:pPr>
        <w:numPr>
          <w:ilvl w:val="0"/>
          <w:numId w:val="29"/>
        </w:numPr>
        <w:tabs>
          <w:tab w:val="left" w:pos="420"/>
        </w:tabs>
        <w:ind w:left="420" w:hanging="416"/>
        <w:jc w:val="both"/>
        <w:rPr>
          <w:rFonts w:ascii="仿宋" w:hAnsi="仿宋" w:eastAsia="仿宋" w:cs="仿宋"/>
          <w:sz w:val="24"/>
        </w:rPr>
      </w:pPr>
      <w:r>
        <w:rPr>
          <w:rFonts w:hint="eastAsia" w:ascii="仿宋" w:hAnsi="仿宋" w:eastAsia="仿宋" w:cs="仿宋"/>
          <w:sz w:val="24"/>
        </w:rPr>
        <w:t>监理人的职责和权力</w:t>
      </w:r>
    </w:p>
    <w:p>
      <w:pPr>
        <w:rPr>
          <w:rFonts w:ascii="仿宋" w:hAnsi="仿宋" w:eastAsia="仿宋" w:cs="仿宋"/>
          <w:sz w:val="24"/>
        </w:rPr>
      </w:pPr>
    </w:p>
    <w:p>
      <w:pPr>
        <w:numPr>
          <w:ilvl w:val="1"/>
          <w:numId w:val="29"/>
        </w:numPr>
        <w:tabs>
          <w:tab w:val="left" w:pos="780"/>
        </w:tabs>
        <w:ind w:left="780" w:hanging="296"/>
        <w:jc w:val="both"/>
        <w:rPr>
          <w:rFonts w:ascii="仿宋" w:hAnsi="仿宋" w:eastAsia="仿宋" w:cs="仿宋"/>
          <w:sz w:val="24"/>
        </w:rPr>
      </w:pPr>
      <w:r>
        <w:rPr>
          <w:rFonts w:hint="eastAsia" w:ascii="仿宋" w:hAnsi="仿宋" w:eastAsia="仿宋" w:cs="仿宋"/>
          <w:sz w:val="24"/>
        </w:rPr>
        <w:t>3.1.1 项补充：</w:t>
      </w:r>
    </w:p>
    <w:p>
      <w:pPr>
        <w:rPr>
          <w:rFonts w:ascii="仿宋" w:hAnsi="仿宋" w:eastAsia="仿宋" w:cs="仿宋"/>
          <w:sz w:val="24"/>
        </w:rPr>
      </w:pPr>
    </w:p>
    <w:p>
      <w:pPr>
        <w:ind w:left="480"/>
        <w:jc w:val="both"/>
        <w:rPr>
          <w:rFonts w:ascii="仿宋" w:hAnsi="仿宋" w:eastAsia="仿宋" w:cs="仿宋"/>
          <w:sz w:val="24"/>
        </w:rPr>
      </w:pPr>
      <w:r>
        <w:rPr>
          <w:rFonts w:hint="eastAsia" w:ascii="仿宋" w:hAnsi="仿宋" w:eastAsia="仿宋" w:cs="仿宋"/>
          <w:sz w:val="24"/>
        </w:rPr>
        <w:t>监理人在行使下列权力前需要经发包人事先批准：</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（1）根据第 4.3 款，同意分包本工程的某些非关键性工作或者适合专业化队伍施工的专项工程；</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（2）确定第 4.11 款下产生的费用增加额；</w:t>
      </w:r>
    </w:p>
    <w:p>
      <w:pPr>
        <w:ind w:left="480"/>
        <w:rPr>
          <w:rFonts w:ascii="仿宋" w:hAnsi="仿宋" w:eastAsia="仿宋" w:cs="仿宋"/>
          <w:sz w:val="24"/>
        </w:rPr>
      </w:pPr>
      <w:r>
        <w:rPr>
          <w:rFonts w:hint="eastAsia" w:ascii="仿宋" w:hAnsi="仿宋" w:eastAsia="仿宋" w:cs="仿宋"/>
          <w:sz w:val="24"/>
        </w:rPr>
        <w:t>（3）根据第 11.1 款、第 12.3 款、第 12.4 款发布开工通知、暂停施工指示或复</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工通知；</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（4）决定第 11.3 款、第 11.4 款下的工期延长；</w:t>
      </w:r>
    </w:p>
    <w:p>
      <w:pPr>
        <w:ind w:left="480"/>
        <w:rPr>
          <w:rFonts w:ascii="仿宋" w:hAnsi="仿宋" w:eastAsia="仿宋" w:cs="仿宋"/>
          <w:sz w:val="24"/>
        </w:rPr>
      </w:pPr>
      <w:r>
        <w:rPr>
          <w:rFonts w:hint="eastAsia" w:ascii="仿宋" w:hAnsi="仿宋" w:eastAsia="仿宋" w:cs="仿宋"/>
          <w:sz w:val="24"/>
        </w:rPr>
        <w:t>（5）审查批准技术方案或设计的变更；</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（6）根据第 15.3 款发出的变更指示，其单项工程变更或累计变更涉及的金额超过了项目专用合同条款数据表中规定的金额；</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（7）确定第 15.4 款下变更工作的单价；</w:t>
      </w:r>
    </w:p>
    <w:p>
      <w:pPr>
        <w:ind w:left="480"/>
        <w:rPr>
          <w:rFonts w:ascii="仿宋" w:hAnsi="仿宋" w:eastAsia="仿宋" w:cs="仿宋"/>
          <w:sz w:val="24"/>
        </w:rPr>
      </w:pPr>
      <w:r>
        <w:rPr>
          <w:rFonts w:hint="eastAsia" w:ascii="仿宋" w:hAnsi="仿宋" w:eastAsia="仿宋" w:cs="仿宋"/>
          <w:sz w:val="24"/>
        </w:rPr>
        <w:t>（8）按照第 15.6 款决定有关暂列金额的使用；</w:t>
      </w:r>
    </w:p>
    <w:p>
      <w:pPr>
        <w:ind w:left="480"/>
        <w:rPr>
          <w:rFonts w:ascii="仿宋" w:hAnsi="仿宋" w:eastAsia="仿宋" w:cs="仿宋"/>
          <w:sz w:val="24"/>
        </w:rPr>
      </w:pPr>
      <w:r>
        <w:rPr>
          <w:rFonts w:hint="eastAsia" w:ascii="仿宋" w:hAnsi="仿宋" w:eastAsia="仿宋" w:cs="仿宋"/>
          <w:sz w:val="24"/>
        </w:rPr>
        <w:t>（9）确定第 15.8 款下的暂估价金额；</w:t>
      </w:r>
    </w:p>
    <w:p>
      <w:pPr>
        <w:ind w:left="480"/>
        <w:rPr>
          <w:rFonts w:ascii="仿宋" w:hAnsi="仿宋" w:eastAsia="仿宋" w:cs="仿宋"/>
          <w:sz w:val="24"/>
        </w:rPr>
      </w:pPr>
      <w:r>
        <w:rPr>
          <w:rFonts w:hint="eastAsia" w:ascii="仿宋" w:hAnsi="仿宋" w:eastAsia="仿宋" w:cs="仿宋"/>
          <w:sz w:val="24"/>
        </w:rPr>
        <w:t>（10）确定第 23.1 款下的索赔额。</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如果发生紧急情况，监理人认为将造成人员伤亡，或危及本工程或邻近的财产</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需立即采取行动，监理人有权在未征得发包人的批准的情况下发布处理紧急情况所</w:t>
      </w:r>
    </w:p>
    <w:p>
      <w:pPr>
        <w:rPr>
          <w:rFonts w:ascii="仿宋" w:hAnsi="仿宋" w:eastAsia="仿宋" w:cs="仿宋"/>
        </w:rPr>
      </w:pPr>
    </w:p>
    <w:p>
      <w:pPr>
        <w:rPr>
          <w:rFonts w:ascii="仿宋" w:hAnsi="仿宋" w:eastAsia="仿宋" w:cs="仿宋"/>
          <w:sz w:val="23"/>
        </w:rPr>
      </w:pPr>
      <w:r>
        <w:rPr>
          <w:rFonts w:hint="eastAsia" w:ascii="仿宋" w:hAnsi="仿宋" w:eastAsia="仿宋" w:cs="仿宋"/>
          <w:sz w:val="23"/>
        </w:rPr>
        <w:t>必需的指令，承包人应予执行，由此造成的费用增加由监理人按第 3.5 款商定或确</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定。</w:t>
      </w:r>
    </w:p>
    <w:p>
      <w:pPr>
        <w:rPr>
          <w:rFonts w:ascii="仿宋" w:hAnsi="仿宋" w:eastAsia="仿宋" w:cs="仿宋"/>
        </w:rPr>
      </w:pPr>
    </w:p>
    <w:p>
      <w:pPr>
        <w:numPr>
          <w:ilvl w:val="0"/>
          <w:numId w:val="30"/>
        </w:numPr>
        <w:tabs>
          <w:tab w:val="left" w:pos="420"/>
        </w:tabs>
        <w:ind w:left="420" w:hanging="416"/>
        <w:jc w:val="both"/>
        <w:rPr>
          <w:rFonts w:ascii="仿宋" w:hAnsi="仿宋" w:eastAsia="仿宋" w:cs="仿宋"/>
          <w:sz w:val="24"/>
        </w:rPr>
      </w:pPr>
      <w:r>
        <w:rPr>
          <w:rFonts w:hint="eastAsia" w:ascii="仿宋" w:hAnsi="仿宋" w:eastAsia="仿宋" w:cs="仿宋"/>
          <w:sz w:val="24"/>
        </w:rPr>
        <w:t>商定或确定</w:t>
      </w:r>
    </w:p>
    <w:p>
      <w:pPr>
        <w:rPr>
          <w:rFonts w:ascii="仿宋" w:hAnsi="仿宋" w:eastAsia="仿宋" w:cs="仿宋"/>
          <w:sz w:val="24"/>
        </w:rPr>
      </w:pPr>
    </w:p>
    <w:p>
      <w:pPr>
        <w:numPr>
          <w:ilvl w:val="1"/>
          <w:numId w:val="30"/>
        </w:numPr>
        <w:tabs>
          <w:tab w:val="left" w:pos="780"/>
        </w:tabs>
        <w:ind w:left="780" w:hanging="296"/>
        <w:jc w:val="both"/>
        <w:rPr>
          <w:rFonts w:ascii="仿宋" w:hAnsi="仿宋" w:eastAsia="仿宋" w:cs="仿宋"/>
          <w:sz w:val="24"/>
        </w:rPr>
      </w:pPr>
      <w:r>
        <w:rPr>
          <w:rFonts w:hint="eastAsia" w:ascii="仿宋" w:hAnsi="仿宋" w:eastAsia="仿宋" w:cs="仿宋"/>
          <w:sz w:val="24"/>
        </w:rPr>
        <w:t>3.5.1 项补充：</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如果这项商定或确定导致费用增加和（或）工期延长，或者涉及确定变更工程的价格，则总监理工程师在发出通知前，应征得发包人的同意。</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4. 承包人</w:t>
      </w:r>
    </w:p>
    <w:p>
      <w:pPr>
        <w:rPr>
          <w:rFonts w:ascii="仿宋" w:hAnsi="仿宋" w:eastAsia="仿宋" w:cs="仿宋"/>
        </w:rPr>
      </w:pPr>
    </w:p>
    <w:p>
      <w:pPr>
        <w:numPr>
          <w:ilvl w:val="0"/>
          <w:numId w:val="31"/>
        </w:numPr>
        <w:tabs>
          <w:tab w:val="left" w:pos="420"/>
        </w:tabs>
        <w:ind w:left="420" w:hanging="416"/>
        <w:jc w:val="both"/>
        <w:rPr>
          <w:rFonts w:ascii="仿宋" w:hAnsi="仿宋" w:eastAsia="仿宋" w:cs="仿宋"/>
          <w:sz w:val="24"/>
        </w:rPr>
      </w:pPr>
      <w:r>
        <w:rPr>
          <w:rFonts w:hint="eastAsia" w:ascii="仿宋" w:hAnsi="仿宋" w:eastAsia="仿宋" w:cs="仿宋"/>
          <w:sz w:val="24"/>
        </w:rPr>
        <w:t>承包人的一般义务</w:t>
      </w:r>
    </w:p>
    <w:p>
      <w:pPr>
        <w:rPr>
          <w:rFonts w:ascii="仿宋" w:hAnsi="仿宋" w:eastAsia="仿宋" w:cs="仿宋"/>
          <w:sz w:val="24"/>
        </w:rPr>
      </w:pPr>
    </w:p>
    <w:p>
      <w:pPr>
        <w:rPr>
          <w:rFonts w:ascii="仿宋" w:hAnsi="仿宋" w:eastAsia="仿宋" w:cs="仿宋"/>
          <w:sz w:val="24"/>
        </w:rPr>
      </w:pPr>
    </w:p>
    <w:p>
      <w:pPr>
        <w:numPr>
          <w:ilvl w:val="1"/>
          <w:numId w:val="31"/>
        </w:numPr>
        <w:tabs>
          <w:tab w:val="left" w:pos="1079"/>
        </w:tabs>
        <w:ind w:left="400" w:firstLine="75"/>
        <w:jc w:val="both"/>
        <w:rPr>
          <w:rFonts w:ascii="仿宋" w:hAnsi="仿宋" w:eastAsia="仿宋" w:cs="仿宋"/>
          <w:sz w:val="24"/>
        </w:rPr>
      </w:pPr>
      <w:r>
        <w:rPr>
          <w:rFonts w:hint="eastAsia" w:ascii="仿宋" w:hAnsi="仿宋" w:eastAsia="仿宋" w:cs="仿宋"/>
          <w:sz w:val="24"/>
        </w:rPr>
        <w:t>工程的维护和照管本项细化为：</w:t>
      </w:r>
    </w:p>
    <w:p>
      <w:pPr>
        <w:ind w:firstLine="391"/>
        <w:jc w:val="both"/>
        <w:rPr>
          <w:rFonts w:ascii="仿宋" w:hAnsi="仿宋" w:eastAsia="仿宋" w:cs="仿宋"/>
          <w:sz w:val="24"/>
        </w:rPr>
      </w:pPr>
      <w:r>
        <w:rPr>
          <w:rFonts w:hint="eastAsia" w:ascii="仿宋" w:hAnsi="仿宋" w:eastAsia="仿宋" w:cs="仿宋"/>
          <w:sz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（2）在承包人负责照管与维护期间，如果本工程或材料、设备等发生损失或损害，除不可抗力原因之外，承包人均应自费弥补，并达到合同要求。承包人还应对</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按第 19 条规定而实施作业过程中由承包人造成的对工程的任何损失或损害负责。</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4.1.10 其他义务</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本项细化为：</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（1） 临时占地由承包人向当地政府土地管理部门申请，并办理租用手续，承包人按有关规定直接支付其费用，发包人对此将予以协调。</w:t>
      </w:r>
    </w:p>
    <w:p>
      <w:pPr>
        <w:rPr>
          <w:rFonts w:ascii="仿宋" w:hAnsi="仿宋" w:eastAsia="仿宋" w:cs="仿宋"/>
        </w:rPr>
      </w:pPr>
    </w:p>
    <w:p>
      <w:pPr>
        <w:ind w:firstLine="391"/>
        <w:rPr>
          <w:rFonts w:ascii="仿宋" w:hAnsi="仿宋" w:eastAsia="仿宋" w:cs="仿宋"/>
          <w:sz w:val="24"/>
        </w:rPr>
      </w:pPr>
      <w:r>
        <w:rPr>
          <w:rFonts w:hint="eastAsia" w:ascii="仿宋" w:hAnsi="仿宋" w:eastAsia="仿宋" w:cs="仿宋"/>
          <w:sz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占地的租地费用实行总额包干，列入工程量清单第 100 章中由承包人按总额报价。</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rPr>
          <w:rFonts w:ascii="仿宋" w:hAnsi="仿宋" w:eastAsia="仿宋" w:cs="仿宋"/>
        </w:rPr>
      </w:pPr>
    </w:p>
    <w:p>
      <w:pPr>
        <w:ind w:firstLine="391"/>
        <w:jc w:val="both"/>
        <w:rPr>
          <w:rFonts w:ascii="仿宋" w:hAnsi="仿宋" w:eastAsia="仿宋" w:cs="仿宋"/>
          <w:sz w:val="23"/>
        </w:rPr>
      </w:pPr>
      <w:r>
        <w:rPr>
          <w:rFonts w:hint="eastAsia" w:ascii="仿宋" w:hAnsi="仿宋" w:eastAsia="仿宋" w:cs="仿宋"/>
          <w:sz w:val="23"/>
        </w:rPr>
        <w:t>承包人的项目经理部是民工工资支付行为的主体，承包人的项目经理是民工工资支付的责任人。项目经理部要建立全体民工花名册和工资支付表，确保将工资直接</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发放给民工本人，或委托银行发放民工工资，严禁发放给“包工头”或其他不具备用工主体资格的组织和个人。</w:t>
      </w:r>
    </w:p>
    <w:p>
      <w:pPr>
        <w:rPr>
          <w:rFonts w:ascii="仿宋" w:hAnsi="仿宋" w:eastAsia="仿宋" w:cs="仿宋"/>
        </w:rPr>
      </w:pPr>
    </w:p>
    <w:p>
      <w:pPr>
        <w:ind w:left="400"/>
        <w:rPr>
          <w:rFonts w:ascii="仿宋" w:hAnsi="仿宋" w:eastAsia="仿宋" w:cs="仿宋"/>
          <w:sz w:val="23"/>
        </w:rPr>
      </w:pPr>
      <w:r>
        <w:rPr>
          <w:rFonts w:hint="eastAsia" w:ascii="仿宋" w:hAnsi="仿宋" w:eastAsia="仿宋" w:cs="仿宋"/>
          <w:sz w:val="23"/>
        </w:rPr>
        <w:t>工资支付表应如实记录支付单位、支付时间、支付对象、支付数额、支付对象的</w:t>
      </w:r>
    </w:p>
    <w:p>
      <w:pPr>
        <w:rPr>
          <w:rFonts w:ascii="仿宋" w:hAnsi="仿宋" w:eastAsia="仿宋" w:cs="仿宋"/>
          <w:sz w:val="24"/>
        </w:rPr>
      </w:pPr>
      <w:r>
        <w:rPr>
          <w:rFonts w:hint="eastAsia" w:ascii="仿宋" w:hAnsi="仿宋" w:eastAsia="仿宋" w:cs="仿宋"/>
          <w:sz w:val="24"/>
        </w:rPr>
        <w:t>身份证号和签字等信息。民工花名册和工资支付表应报监理人备查。</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rPr>
          <w:rFonts w:ascii="仿宋" w:hAnsi="仿宋" w:eastAsia="仿宋" w:cs="仿宋"/>
        </w:rPr>
      </w:pPr>
    </w:p>
    <w:p>
      <w:pPr>
        <w:ind w:firstLine="391"/>
        <w:jc w:val="both"/>
        <w:rPr>
          <w:rFonts w:ascii="仿宋" w:hAnsi="仿宋" w:eastAsia="仿宋" w:cs="仿宋"/>
          <w:sz w:val="24"/>
        </w:rPr>
      </w:pPr>
      <w:r>
        <w:rPr>
          <w:rFonts w:hint="eastAsia" w:ascii="仿宋" w:hAnsi="仿宋" w:eastAsia="仿宋" w:cs="仿宋"/>
          <w:sz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p>
    <w:p>
      <w:pPr>
        <w:rPr>
          <w:rFonts w:ascii="仿宋" w:hAnsi="仿宋" w:eastAsia="仿宋" w:cs="仿宋"/>
        </w:rPr>
      </w:pPr>
    </w:p>
    <w:p>
      <w:pPr>
        <w:rPr>
          <w:rFonts w:ascii="仿宋" w:hAnsi="仿宋" w:eastAsia="仿宋" w:cs="仿宋"/>
          <w:sz w:val="23"/>
        </w:rPr>
      </w:pPr>
      <w:r>
        <w:rPr>
          <w:rFonts w:hint="eastAsia" w:ascii="仿宋" w:hAnsi="仿宋" w:eastAsia="仿宋" w:cs="仿宋"/>
          <w:sz w:val="23"/>
        </w:rPr>
        <w:t>培训，改善职工生产生活条件，与此相关的费用承包人应列入工程量清单第 100 章</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中。</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（6）承包人应履行项目专用合同条款约定的其他义务。</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4.2 履约保证金</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本款细化为：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承包人应保证其履约保证金在发包人签发交工验收证书且承包人按照合同约定</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缴纳质量保证金前一直有效。发包人应在收到承包人缴纳的质量保证金后 28 天内将履约保证金退还给承包人。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承包人拒绝按照本合同约定缴纳质量保证金的，发包人有权从交工付款证书中扣留相应金额作为质量保证金，或者直接将履约保证金金额用于保证承包人在缺陷责任期内履行缺陷修复义务。</w:t>
      </w:r>
    </w:p>
    <w:p>
      <w:pPr>
        <w:rPr>
          <w:rFonts w:ascii="仿宋" w:hAnsi="仿宋" w:eastAsia="仿宋" w:cs="仿宋"/>
        </w:rPr>
      </w:pPr>
    </w:p>
    <w:p>
      <w:pPr>
        <w:numPr>
          <w:ilvl w:val="0"/>
          <w:numId w:val="32"/>
        </w:numPr>
        <w:tabs>
          <w:tab w:val="left" w:pos="420"/>
        </w:tabs>
        <w:ind w:left="420" w:hanging="416"/>
        <w:jc w:val="both"/>
        <w:rPr>
          <w:rFonts w:ascii="仿宋" w:hAnsi="仿宋" w:eastAsia="仿宋" w:cs="仿宋"/>
          <w:sz w:val="24"/>
        </w:rPr>
      </w:pPr>
      <w:r>
        <w:rPr>
          <w:rFonts w:hint="eastAsia" w:ascii="仿宋" w:hAnsi="仿宋" w:eastAsia="仿宋" w:cs="仿宋"/>
          <w:sz w:val="24"/>
        </w:rPr>
        <w:t>分包</w:t>
      </w:r>
    </w:p>
    <w:p>
      <w:pPr>
        <w:rPr>
          <w:rFonts w:ascii="仿宋" w:hAnsi="仿宋" w:eastAsia="仿宋" w:cs="仿宋"/>
          <w:sz w:val="24"/>
        </w:rPr>
      </w:pPr>
    </w:p>
    <w:p>
      <w:pPr>
        <w:numPr>
          <w:ilvl w:val="1"/>
          <w:numId w:val="32"/>
        </w:numPr>
        <w:tabs>
          <w:tab w:val="left" w:pos="780"/>
        </w:tabs>
        <w:ind w:left="780" w:hanging="296"/>
        <w:jc w:val="both"/>
        <w:rPr>
          <w:rFonts w:ascii="仿宋" w:hAnsi="仿宋" w:eastAsia="仿宋" w:cs="仿宋"/>
          <w:sz w:val="24"/>
        </w:rPr>
      </w:pPr>
      <w:r>
        <w:rPr>
          <w:rFonts w:hint="eastAsia" w:ascii="仿宋" w:hAnsi="仿宋" w:eastAsia="仿宋" w:cs="仿宋"/>
          <w:sz w:val="24"/>
        </w:rPr>
        <w:t>4.3.2 项～第 4.3.4 项细化为：</w:t>
      </w:r>
    </w:p>
    <w:p>
      <w:pPr>
        <w:rPr>
          <w:rFonts w:ascii="仿宋" w:hAnsi="仿宋" w:eastAsia="仿宋" w:cs="仿宋"/>
        </w:rPr>
      </w:pPr>
    </w:p>
    <w:p>
      <w:pPr>
        <w:ind w:left="480"/>
        <w:rPr>
          <w:rFonts w:ascii="仿宋" w:hAnsi="仿宋" w:eastAsia="仿宋" w:cs="仿宋"/>
          <w:sz w:val="23"/>
        </w:rPr>
      </w:pPr>
      <w:r>
        <w:rPr>
          <w:rFonts w:hint="eastAsia" w:ascii="仿宋" w:hAnsi="仿宋" w:eastAsia="仿宋" w:cs="仿宋"/>
          <w:sz w:val="23"/>
        </w:rPr>
        <w:t>4.3.2 承包人不得将工程关键性工作分包给第三人。经发包人同意，承包人可将</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工程的其他部分或工作分包给第三人。分包包括专业分包和劳务分包。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4.3.3 专业分包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在工程施工过程中，承包人进行专业分包必须遵守以下规定：</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bookmarkStart w:id="55" w:name="page130"/>
      <w:bookmarkEnd w:id="55"/>
    </w:p>
    <w:p>
      <w:pPr>
        <w:ind w:firstLine="480"/>
        <w:jc w:val="both"/>
        <w:rPr>
          <w:rFonts w:ascii="仿宋" w:hAnsi="仿宋" w:eastAsia="仿宋" w:cs="仿宋"/>
          <w:sz w:val="24"/>
        </w:rPr>
      </w:pPr>
      <w:r>
        <w:rPr>
          <w:rFonts w:hint="eastAsia" w:ascii="仿宋" w:hAnsi="仿宋" w:eastAsia="仿宋" w:cs="仿宋"/>
          <w:sz w:val="24"/>
        </w:rPr>
        <w:t>（2）专业分包人的资格能力（含安全生产能力）应与其分包工程的标准和规模相适应，且应当具备如下条件：</w:t>
      </w:r>
    </w:p>
    <w:p>
      <w:pPr>
        <w:rPr>
          <w:rFonts w:ascii="仿宋" w:hAnsi="仿宋" w:eastAsia="仿宋" w:cs="仿宋"/>
        </w:rPr>
      </w:pPr>
    </w:p>
    <w:p>
      <w:pPr>
        <w:numPr>
          <w:ilvl w:val="0"/>
          <w:numId w:val="33"/>
        </w:numPr>
        <w:tabs>
          <w:tab w:val="left" w:pos="780"/>
        </w:tabs>
        <w:ind w:left="780" w:hanging="296"/>
        <w:jc w:val="both"/>
        <w:rPr>
          <w:rFonts w:ascii="仿宋" w:hAnsi="仿宋" w:eastAsia="仿宋" w:cs="仿宋"/>
          <w:sz w:val="24"/>
        </w:rPr>
      </w:pPr>
      <w:r>
        <w:rPr>
          <w:rFonts w:hint="eastAsia" w:ascii="仿宋" w:hAnsi="仿宋" w:eastAsia="仿宋" w:cs="仿宋"/>
          <w:sz w:val="24"/>
        </w:rPr>
        <w:t>具有经工商登记的法人资格；</w:t>
      </w:r>
    </w:p>
    <w:p>
      <w:pPr>
        <w:rPr>
          <w:rFonts w:ascii="仿宋" w:hAnsi="仿宋" w:eastAsia="仿宋" w:cs="仿宋"/>
          <w:sz w:val="24"/>
        </w:rPr>
      </w:pPr>
    </w:p>
    <w:p>
      <w:pPr>
        <w:numPr>
          <w:ilvl w:val="0"/>
          <w:numId w:val="33"/>
        </w:numPr>
        <w:tabs>
          <w:tab w:val="left" w:pos="780"/>
        </w:tabs>
        <w:ind w:left="780" w:hanging="296"/>
        <w:jc w:val="both"/>
        <w:rPr>
          <w:rFonts w:ascii="仿宋" w:hAnsi="仿宋" w:eastAsia="仿宋" w:cs="仿宋"/>
          <w:sz w:val="24"/>
        </w:rPr>
      </w:pPr>
      <w:r>
        <w:rPr>
          <w:rFonts w:hint="eastAsia" w:ascii="仿宋" w:hAnsi="仿宋" w:eastAsia="仿宋" w:cs="仿宋"/>
          <w:sz w:val="24"/>
        </w:rPr>
        <w:t>具有从事类似工程经验的管理与技术人员；</w:t>
      </w:r>
    </w:p>
    <w:p>
      <w:pPr>
        <w:rPr>
          <w:rFonts w:ascii="仿宋" w:hAnsi="仿宋" w:eastAsia="仿宋" w:cs="仿宋"/>
          <w:sz w:val="24"/>
        </w:rPr>
      </w:pPr>
    </w:p>
    <w:p>
      <w:pPr>
        <w:numPr>
          <w:ilvl w:val="0"/>
          <w:numId w:val="33"/>
        </w:numPr>
        <w:tabs>
          <w:tab w:val="left" w:pos="780"/>
        </w:tabs>
        <w:ind w:left="780" w:hanging="296"/>
        <w:jc w:val="both"/>
        <w:rPr>
          <w:rFonts w:ascii="仿宋" w:hAnsi="仿宋" w:eastAsia="仿宋" w:cs="仿宋"/>
          <w:sz w:val="24"/>
        </w:rPr>
      </w:pPr>
      <w:r>
        <w:rPr>
          <w:rFonts w:hint="eastAsia" w:ascii="仿宋" w:hAnsi="仿宋" w:eastAsia="仿宋" w:cs="仿宋"/>
          <w:sz w:val="24"/>
        </w:rPr>
        <w:t>具有（自有或租赁）分包工程所需的施工设备。</w:t>
      </w:r>
    </w:p>
    <w:p>
      <w:pPr>
        <w:rPr>
          <w:rFonts w:ascii="仿宋" w:hAnsi="仿宋" w:eastAsia="仿宋" w:cs="仿宋"/>
          <w:sz w:val="24"/>
        </w:rPr>
      </w:pPr>
    </w:p>
    <w:p>
      <w:pPr>
        <w:ind w:left="480"/>
        <w:jc w:val="both"/>
        <w:rPr>
          <w:rFonts w:ascii="仿宋" w:hAnsi="仿宋" w:eastAsia="仿宋" w:cs="仿宋"/>
          <w:sz w:val="24"/>
        </w:rPr>
      </w:pPr>
      <w:r>
        <w:rPr>
          <w:rFonts w:hint="eastAsia" w:ascii="仿宋" w:hAnsi="仿宋" w:eastAsia="仿宋" w:cs="仿宋"/>
          <w:sz w:val="24"/>
        </w:rPr>
        <w:t>承包人应向监理人提交专业分包人的资格能力证明材料，经监理人审查并报发</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包人批准后，可以将相应专业工程分包给该专业分包人。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（3）专业分包工程不得再次分包。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违反上述规定之一者属违规分包。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4.3.4 劳务分包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在工程施工过程中，承包人进行劳务分包必须遵守以下规定：</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（1）劳务分包人应具有施工劳务资质。</w:t>
      </w:r>
    </w:p>
    <w:p>
      <w:pPr>
        <w:rPr>
          <w:rFonts w:ascii="仿宋" w:hAnsi="仿宋" w:eastAsia="仿宋" w:cs="仿宋"/>
        </w:rPr>
      </w:pPr>
    </w:p>
    <w:p>
      <w:pPr>
        <w:ind w:right="-28" w:rightChars="-14" w:firstLine="480"/>
        <w:rPr>
          <w:rFonts w:ascii="仿宋" w:hAnsi="仿宋" w:eastAsia="仿宋" w:cs="仿宋"/>
          <w:sz w:val="23"/>
        </w:rPr>
      </w:pPr>
      <w:r>
        <w:rPr>
          <w:rFonts w:hint="eastAsia" w:ascii="仿宋" w:hAnsi="仿宋" w:eastAsia="仿宋" w:cs="仿宋"/>
          <w:sz w:val="23"/>
        </w:rPr>
        <w:t>（2）劳务分包应当依法签订劳务分包合同，劳务分包合同必须由承包人的法定代表人或其委托代理人与劳务分包人直接签订，不得由他人代签。承包人的项目经</w:t>
      </w:r>
      <w:bookmarkStart w:id="56" w:name="page131"/>
      <w:bookmarkEnd w:id="56"/>
      <w:r>
        <w:rPr>
          <w:rFonts w:hint="eastAsia" w:ascii="仿宋" w:hAnsi="仿宋" w:eastAsia="仿宋" w:cs="仿宋"/>
          <w:sz w:val="24"/>
        </w:rPr>
        <w:t>理部、项目经理、施工班组等不具备用工主体资格，不能与劳务分包人签订劳务分包合同。承包人应向发包人和监理人提交劳务分包合同副本并报项目所在地劳动保障部门备案。</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（4）承包人应当对劳务分包人员进行安全培训和管理，劳务分包人不得将其分包的劳务作业再次分包。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违反上述规定之一者属违规分包。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本款补充第 4.3.6 项、第 4.3.7 项：</w:t>
      </w:r>
    </w:p>
    <w:p>
      <w:pPr>
        <w:rPr>
          <w:rFonts w:ascii="仿宋" w:hAnsi="仿宋" w:eastAsia="仿宋" w:cs="仿宋"/>
        </w:rPr>
      </w:pPr>
    </w:p>
    <w:p>
      <w:pPr>
        <w:numPr>
          <w:ilvl w:val="0"/>
          <w:numId w:val="34"/>
        </w:numPr>
        <w:tabs>
          <w:tab w:val="left" w:pos="1080"/>
        </w:tabs>
        <w:ind w:left="1080" w:hanging="596"/>
        <w:jc w:val="both"/>
        <w:rPr>
          <w:rFonts w:ascii="仿宋" w:hAnsi="仿宋" w:eastAsia="仿宋" w:cs="仿宋"/>
          <w:sz w:val="23"/>
        </w:rPr>
      </w:pPr>
      <w:r>
        <w:rPr>
          <w:rFonts w:hint="eastAsia" w:ascii="仿宋" w:hAnsi="仿宋" w:eastAsia="仿宋" w:cs="仿宋"/>
          <w:sz w:val="23"/>
        </w:rPr>
        <w:t>发包人对承包人与分包人之间的法律与经济纠纷不承担任何责任和义务。</w:t>
      </w:r>
    </w:p>
    <w:p>
      <w:pPr>
        <w:rPr>
          <w:rFonts w:ascii="仿宋" w:hAnsi="仿宋" w:eastAsia="仿宋" w:cs="仿宋"/>
          <w:sz w:val="23"/>
        </w:rPr>
      </w:pPr>
    </w:p>
    <w:p>
      <w:pPr>
        <w:numPr>
          <w:ilvl w:val="0"/>
          <w:numId w:val="34"/>
        </w:numPr>
        <w:tabs>
          <w:tab w:val="left" w:pos="1080"/>
        </w:tabs>
        <w:ind w:left="1080" w:hanging="596"/>
        <w:jc w:val="both"/>
        <w:rPr>
          <w:rFonts w:ascii="仿宋" w:hAnsi="仿宋" w:eastAsia="仿宋" w:cs="仿宋"/>
          <w:sz w:val="23"/>
        </w:rPr>
      </w:pPr>
      <w:r>
        <w:rPr>
          <w:rFonts w:hint="eastAsia" w:ascii="仿宋" w:hAnsi="仿宋" w:eastAsia="仿宋" w:cs="仿宋"/>
          <w:sz w:val="23"/>
        </w:rPr>
        <w:t>本项目的各项分包工作均应遵守《公路工程施工分包管理办法》的有关规</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定。</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4.4 联合体</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本款补充第 4.4.4 项：</w:t>
      </w:r>
    </w:p>
    <w:p>
      <w:pPr>
        <w:rPr>
          <w:rFonts w:ascii="仿宋" w:hAnsi="仿宋" w:eastAsia="仿宋" w:cs="仿宋"/>
        </w:rPr>
      </w:pPr>
    </w:p>
    <w:p>
      <w:pPr>
        <w:numPr>
          <w:ilvl w:val="1"/>
          <w:numId w:val="35"/>
        </w:numPr>
        <w:tabs>
          <w:tab w:val="left" w:pos="1020"/>
        </w:tabs>
        <w:ind w:left="1020" w:hanging="536"/>
        <w:jc w:val="both"/>
        <w:rPr>
          <w:rFonts w:ascii="仿宋" w:hAnsi="仿宋" w:eastAsia="仿宋" w:cs="仿宋"/>
          <w:sz w:val="24"/>
        </w:rPr>
      </w:pPr>
      <w:r>
        <w:rPr>
          <w:rFonts w:hint="eastAsia" w:ascii="仿宋" w:hAnsi="仿宋" w:eastAsia="仿宋" w:cs="仿宋"/>
          <w:sz w:val="24"/>
        </w:rPr>
        <w:t>未经发包人事先同意，联合体的组成与结构不得变动。</w:t>
      </w:r>
    </w:p>
    <w:p>
      <w:pPr>
        <w:rPr>
          <w:rFonts w:ascii="仿宋" w:hAnsi="仿宋" w:eastAsia="仿宋" w:cs="仿宋"/>
          <w:sz w:val="24"/>
        </w:rPr>
      </w:pPr>
    </w:p>
    <w:p>
      <w:pPr>
        <w:numPr>
          <w:ilvl w:val="0"/>
          <w:numId w:val="36"/>
        </w:numPr>
        <w:tabs>
          <w:tab w:val="left" w:pos="420"/>
        </w:tabs>
        <w:ind w:left="420" w:hanging="416"/>
        <w:jc w:val="both"/>
        <w:rPr>
          <w:rFonts w:ascii="仿宋" w:hAnsi="仿宋" w:eastAsia="仿宋" w:cs="仿宋"/>
          <w:sz w:val="24"/>
        </w:rPr>
      </w:pPr>
      <w:r>
        <w:rPr>
          <w:rFonts w:hint="eastAsia" w:ascii="仿宋" w:hAnsi="仿宋" w:eastAsia="仿宋" w:cs="仿宋"/>
          <w:sz w:val="24"/>
        </w:rPr>
        <w:t>承包人人员的管理</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4.6.3 项细化为：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本款补充第 4.6.5 项：</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4.6.5 尽管承包人已按承诺派遣了上述各类人员，但若这些人员仍不能满足合同</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4.7 撤换承包人项目经理和其他人员</w:t>
      </w:r>
    </w:p>
    <w:p>
      <w:pPr>
        <w:rPr>
          <w:rFonts w:ascii="仿宋" w:hAnsi="仿宋" w:eastAsia="仿宋" w:cs="仿宋"/>
        </w:rPr>
      </w:pPr>
    </w:p>
    <w:p>
      <w:pPr>
        <w:ind w:firstLine="480" w:firstLineChars="200"/>
        <w:rPr>
          <w:rFonts w:ascii="仿宋" w:hAnsi="仿宋" w:eastAsia="仿宋" w:cs="仿宋"/>
          <w:sz w:val="24"/>
        </w:rPr>
      </w:pPr>
      <w:r>
        <w:rPr>
          <w:rFonts w:hint="eastAsia" w:ascii="仿宋" w:hAnsi="仿宋" w:eastAsia="仿宋" w:cs="仿宋"/>
          <w:sz w:val="24"/>
        </w:rPr>
        <w:t>本款细化为：</w:t>
      </w:r>
    </w:p>
    <w:p>
      <w:pPr>
        <w:ind w:firstLine="400" w:firstLineChars="200"/>
        <w:rPr>
          <w:rFonts w:ascii="仿宋" w:hAnsi="仿宋" w:eastAsia="仿宋" w:cs="仿宋"/>
        </w:rPr>
      </w:pPr>
    </w:p>
    <w:p>
      <w:pPr>
        <w:ind w:firstLine="480" w:firstLineChars="200"/>
        <w:rPr>
          <w:rFonts w:ascii="仿宋" w:hAnsi="仿宋" w:eastAsia="仿宋" w:cs="仿宋"/>
          <w:sz w:val="24"/>
        </w:rPr>
      </w:pPr>
      <w:r>
        <w:rPr>
          <w:rFonts w:hint="eastAsia" w:ascii="仿宋" w:hAnsi="仿宋" w:eastAsia="仿宋" w:cs="仿宋"/>
          <w:sz w:val="24"/>
        </w:rPr>
        <w:t>承包人应对其项目经理和其他人员进行有效管理。监理人要求撤换不能胜任本</w:t>
      </w:r>
      <w:bookmarkStart w:id="57" w:name="page132"/>
      <w:bookmarkEnd w:id="57"/>
      <w:r>
        <w:rPr>
          <w:rFonts w:hint="eastAsia" w:ascii="仿宋" w:hAnsi="仿宋" w:eastAsia="仿宋" w:cs="仿宋"/>
          <w:sz w:val="24"/>
        </w:rPr>
        <w:t>职工作、行为不端或玩忽职守的承包人项目经理和其他人员的，承包人应予以撤换，同时委派经发包人与监理人同意的新的项目经理和其他人员。</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4.9 工程价款应专款专用</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4.10 承包人现场查勘</w:t>
      </w:r>
    </w:p>
    <w:p>
      <w:pPr>
        <w:rPr>
          <w:rFonts w:ascii="仿宋" w:hAnsi="仿宋" w:eastAsia="仿宋" w:cs="仿宋"/>
        </w:rPr>
      </w:pPr>
    </w:p>
    <w:p>
      <w:pPr>
        <w:ind w:left="480"/>
        <w:rPr>
          <w:rFonts w:ascii="仿宋" w:hAnsi="仿宋" w:eastAsia="仿宋" w:cs="仿宋"/>
          <w:sz w:val="24"/>
          <w:vertAlign w:val="superscript"/>
        </w:rPr>
      </w:pPr>
      <w:r>
        <w:rPr>
          <w:rFonts w:hint="eastAsia" w:ascii="仿宋" w:hAnsi="仿宋" w:eastAsia="仿宋" w:cs="仿宋"/>
          <w:sz w:val="24"/>
        </w:rPr>
        <w:t>第 4.10.1 项细化为：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rPr>
          <w:rFonts w:ascii="仿宋" w:hAnsi="仿宋" w:eastAsia="仿宋" w:cs="仿宋"/>
        </w:rPr>
      </w:pPr>
    </w:p>
    <w:p>
      <w:pPr>
        <w:numPr>
          <w:ilvl w:val="0"/>
          <w:numId w:val="37"/>
        </w:numPr>
        <w:tabs>
          <w:tab w:val="left" w:pos="540"/>
        </w:tabs>
        <w:ind w:left="540" w:hanging="536"/>
        <w:jc w:val="both"/>
        <w:rPr>
          <w:rFonts w:ascii="仿宋" w:hAnsi="仿宋" w:eastAsia="仿宋" w:cs="仿宋"/>
          <w:sz w:val="24"/>
        </w:rPr>
      </w:pPr>
      <w:r>
        <w:rPr>
          <w:rFonts w:hint="eastAsia" w:ascii="仿宋" w:hAnsi="仿宋" w:eastAsia="仿宋" w:cs="仿宋"/>
          <w:sz w:val="24"/>
        </w:rPr>
        <w:t>不利物质条件</w:t>
      </w:r>
    </w:p>
    <w:p>
      <w:pPr>
        <w:rPr>
          <w:rFonts w:ascii="仿宋" w:hAnsi="仿宋" w:eastAsia="仿宋" w:cs="仿宋"/>
          <w:sz w:val="24"/>
        </w:rPr>
      </w:pPr>
    </w:p>
    <w:p>
      <w:pPr>
        <w:numPr>
          <w:ilvl w:val="1"/>
          <w:numId w:val="37"/>
        </w:numPr>
        <w:tabs>
          <w:tab w:val="left" w:pos="780"/>
        </w:tabs>
        <w:ind w:left="780" w:hanging="296"/>
        <w:jc w:val="both"/>
        <w:rPr>
          <w:rFonts w:ascii="仿宋" w:hAnsi="仿宋" w:eastAsia="仿宋" w:cs="仿宋"/>
          <w:sz w:val="24"/>
        </w:rPr>
      </w:pPr>
      <w:r>
        <w:rPr>
          <w:rFonts w:hint="eastAsia" w:ascii="仿宋" w:hAnsi="仿宋" w:eastAsia="仿宋" w:cs="仿宋"/>
          <w:sz w:val="24"/>
        </w:rPr>
        <w:t>4.11.2 项细化为：</w:t>
      </w:r>
    </w:p>
    <w:p>
      <w:pPr>
        <w:rPr>
          <w:rFonts w:ascii="仿宋" w:hAnsi="仿宋" w:eastAsia="仿宋" w:cs="仿宋"/>
        </w:rPr>
      </w:pPr>
    </w:p>
    <w:p>
      <w:pPr>
        <w:numPr>
          <w:ilvl w:val="0"/>
          <w:numId w:val="38"/>
        </w:numPr>
        <w:tabs>
          <w:tab w:val="left" w:pos="1133"/>
        </w:tabs>
        <w:ind w:firstLine="424"/>
        <w:rPr>
          <w:rFonts w:ascii="仿宋" w:hAnsi="仿宋" w:eastAsia="仿宋" w:cs="仿宋"/>
          <w:sz w:val="24"/>
        </w:rPr>
      </w:pPr>
      <w:r>
        <w:rPr>
          <w:rFonts w:hint="eastAsia" w:ascii="仿宋" w:hAnsi="仿宋" w:eastAsia="仿宋" w:cs="仿宋"/>
          <w:sz w:val="24"/>
        </w:rPr>
        <w:t>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rPr>
          <w:rFonts w:ascii="仿宋" w:hAnsi="仿宋" w:eastAsia="仿宋" w:cs="仿宋"/>
          <w:sz w:val="24"/>
        </w:rPr>
      </w:pPr>
    </w:p>
    <w:p>
      <w:pPr>
        <w:ind w:left="420"/>
        <w:jc w:val="both"/>
        <w:rPr>
          <w:rFonts w:ascii="仿宋" w:hAnsi="仿宋" w:eastAsia="仿宋" w:cs="仿宋"/>
          <w:sz w:val="24"/>
        </w:rPr>
      </w:pPr>
      <w:r>
        <w:rPr>
          <w:rFonts w:hint="eastAsia" w:ascii="仿宋" w:hAnsi="仿宋" w:eastAsia="仿宋" w:cs="仿宋"/>
          <w:sz w:val="24"/>
        </w:rPr>
        <w:t>本款补充第 4.11.3 项：</w:t>
      </w:r>
    </w:p>
    <w:p>
      <w:pPr>
        <w:rPr>
          <w:rFonts w:ascii="仿宋" w:hAnsi="仿宋" w:eastAsia="仿宋" w:cs="仿宋"/>
          <w:sz w:val="24"/>
        </w:rPr>
      </w:pPr>
    </w:p>
    <w:p>
      <w:pPr>
        <w:numPr>
          <w:ilvl w:val="0"/>
          <w:numId w:val="38"/>
        </w:numPr>
        <w:tabs>
          <w:tab w:val="left" w:pos="1140"/>
        </w:tabs>
        <w:ind w:left="1140" w:hanging="716"/>
        <w:jc w:val="both"/>
        <w:rPr>
          <w:rFonts w:ascii="仿宋" w:hAnsi="仿宋" w:eastAsia="仿宋" w:cs="仿宋"/>
          <w:sz w:val="24"/>
        </w:rPr>
      </w:pPr>
      <w:r>
        <w:rPr>
          <w:rFonts w:hint="eastAsia" w:ascii="仿宋" w:hAnsi="仿宋" w:eastAsia="仿宋" w:cs="仿宋"/>
          <w:sz w:val="24"/>
        </w:rPr>
        <w:t>可预见的不利物质条件</w:t>
      </w:r>
    </w:p>
    <w:p>
      <w:pPr>
        <w:rPr>
          <w:rFonts w:ascii="仿宋" w:hAnsi="仿宋" w:eastAsia="仿宋" w:cs="仿宋"/>
        </w:rPr>
      </w:pPr>
    </w:p>
    <w:p>
      <w:pPr>
        <w:ind w:firstLine="420"/>
        <w:jc w:val="both"/>
        <w:rPr>
          <w:rFonts w:ascii="仿宋" w:hAnsi="仿宋" w:eastAsia="仿宋" w:cs="仿宋"/>
          <w:sz w:val="24"/>
        </w:rPr>
      </w:pPr>
      <w:r>
        <w:rPr>
          <w:rFonts w:hint="eastAsia" w:ascii="仿宋" w:hAnsi="仿宋" w:eastAsia="仿宋" w:cs="仿宋"/>
          <w:sz w:val="24"/>
        </w:rPr>
        <w:t>（1）对于项目专用合同条款中已经明确指出的不利物质条件无论承包人是否有其经历和经验均视为承包人在接受合同时已预见其影响，并已在签约合同价中计入因其影响而可能发生的一切费用。</w:t>
      </w:r>
    </w:p>
    <w:p>
      <w:pPr>
        <w:ind w:firstLine="420"/>
        <w:jc w:val="both"/>
        <w:rPr>
          <w:rFonts w:ascii="仿宋" w:hAnsi="仿宋" w:eastAsia="仿宋" w:cs="仿宋"/>
          <w:sz w:val="24"/>
        </w:rPr>
      </w:pPr>
      <w:bookmarkStart w:id="58" w:name="page133"/>
      <w:bookmarkEnd w:id="58"/>
      <w:r>
        <w:rPr>
          <w:rFonts w:hint="eastAsia" w:ascii="仿宋" w:hAnsi="仿宋" w:eastAsia="仿宋" w:cs="仿宋"/>
          <w:sz w:val="24"/>
        </w:rPr>
        <w:t>（2）对于项目专用合同条款未明确指出，但是在不利物质条件发生之前，监理人已经指示承包人有可能发生，但承包人未能及时采取有效措施，而导致的损失和后果均由承包人承担。</w:t>
      </w:r>
    </w:p>
    <w:p>
      <w:pPr>
        <w:rPr>
          <w:rFonts w:ascii="仿宋" w:hAnsi="仿宋" w:eastAsia="仿宋" w:cs="仿宋"/>
        </w:rPr>
      </w:pP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补充第 4.12 款、第 4.13 款：</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4.12 投标文件的完备性</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4.13 开展党建工作要求</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5. 材料和工程设备</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5.2 发包人提供的材料和工程设备</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5.2.3 项补充：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59" w:name="page134"/>
      <w:bookmarkEnd w:id="59"/>
    </w:p>
    <w:p>
      <w:pPr>
        <w:rPr>
          <w:rFonts w:ascii="仿宋" w:hAnsi="仿宋" w:eastAsia="仿宋" w:cs="仿宋"/>
          <w:sz w:val="28"/>
        </w:rPr>
      </w:pPr>
      <w:r>
        <w:rPr>
          <w:rFonts w:hint="eastAsia" w:ascii="仿宋" w:hAnsi="仿宋" w:eastAsia="仿宋" w:cs="仿宋"/>
          <w:sz w:val="28"/>
        </w:rPr>
        <w:t>6. 施工设备和临时设施</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6.1 承包人提供的施工设备和临时设施</w:t>
      </w:r>
    </w:p>
    <w:p>
      <w:pPr>
        <w:rPr>
          <w:rFonts w:ascii="仿宋" w:hAnsi="仿宋" w:eastAsia="仿宋" w:cs="仿宋"/>
        </w:rPr>
      </w:pPr>
    </w:p>
    <w:p>
      <w:pPr>
        <w:ind w:left="420"/>
        <w:rPr>
          <w:rFonts w:ascii="仿宋" w:hAnsi="仿宋" w:eastAsia="仿宋" w:cs="仿宋"/>
          <w:sz w:val="24"/>
        </w:rPr>
      </w:pPr>
      <w:r>
        <w:rPr>
          <w:rFonts w:hint="eastAsia" w:ascii="仿宋" w:hAnsi="仿宋" w:eastAsia="仿宋" w:cs="仿宋"/>
          <w:sz w:val="24"/>
        </w:rPr>
        <w:t>第 6.1.2 项约定为：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承包人应自行承担修建临时设施的费用，需要临时占地的，应由承包人按第</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4.1.10 项（1）目的规定办理。</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6.3 要求承包人增加或更换施工设备</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7. 交通运输</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7.1 道路通行权和场外设施</w:t>
      </w:r>
    </w:p>
    <w:p>
      <w:pPr>
        <w:rPr>
          <w:rFonts w:ascii="仿宋" w:hAnsi="仿宋" w:eastAsia="仿宋" w:cs="仿宋"/>
        </w:rPr>
      </w:pPr>
    </w:p>
    <w:p>
      <w:pPr>
        <w:ind w:left="420"/>
        <w:rPr>
          <w:rFonts w:ascii="仿宋" w:hAnsi="仿宋" w:eastAsia="仿宋" w:cs="仿宋"/>
          <w:sz w:val="24"/>
        </w:rPr>
      </w:pPr>
      <w:r>
        <w:rPr>
          <w:rFonts w:hint="eastAsia" w:ascii="仿宋" w:hAnsi="仿宋" w:eastAsia="仿宋" w:cs="仿宋"/>
          <w:sz w:val="24"/>
        </w:rPr>
        <w:t>本款约定为：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8. 测量放线</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8.4 监理人使用施工控制网</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经监理人批准，其他相关承包人也可免费使用施工控制网。</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9. 施工安全、治安保卫和环境保护</w:t>
      </w:r>
    </w:p>
    <w:p>
      <w:pPr>
        <w:rPr>
          <w:rFonts w:ascii="仿宋" w:hAnsi="仿宋" w:eastAsia="仿宋" w:cs="仿宋"/>
        </w:rPr>
      </w:pPr>
    </w:p>
    <w:p>
      <w:pPr>
        <w:numPr>
          <w:ilvl w:val="0"/>
          <w:numId w:val="39"/>
        </w:numPr>
        <w:tabs>
          <w:tab w:val="left" w:pos="420"/>
        </w:tabs>
        <w:ind w:left="420" w:hanging="416"/>
        <w:jc w:val="both"/>
        <w:rPr>
          <w:rFonts w:ascii="仿宋" w:hAnsi="仿宋" w:eastAsia="仿宋" w:cs="仿宋"/>
          <w:sz w:val="24"/>
        </w:rPr>
      </w:pPr>
      <w:r>
        <w:rPr>
          <w:rFonts w:hint="eastAsia" w:ascii="仿宋" w:hAnsi="仿宋" w:eastAsia="仿宋" w:cs="仿宋"/>
          <w:sz w:val="24"/>
        </w:rPr>
        <w:t>承包人的施工安全责任</w:t>
      </w:r>
    </w:p>
    <w:p>
      <w:pPr>
        <w:rPr>
          <w:rFonts w:ascii="仿宋" w:hAnsi="仿宋" w:eastAsia="仿宋" w:cs="仿宋"/>
          <w:sz w:val="24"/>
        </w:rPr>
      </w:pPr>
    </w:p>
    <w:p>
      <w:pPr>
        <w:numPr>
          <w:ilvl w:val="1"/>
          <w:numId w:val="39"/>
        </w:numPr>
        <w:tabs>
          <w:tab w:val="left" w:pos="780"/>
        </w:tabs>
        <w:ind w:left="780" w:hanging="296"/>
        <w:jc w:val="both"/>
        <w:rPr>
          <w:rFonts w:ascii="仿宋" w:hAnsi="仿宋" w:eastAsia="仿宋" w:cs="仿宋"/>
          <w:sz w:val="24"/>
        </w:rPr>
      </w:pPr>
      <w:r>
        <w:rPr>
          <w:rFonts w:hint="eastAsia" w:ascii="仿宋" w:hAnsi="仿宋" w:eastAsia="仿宋" w:cs="仿宋"/>
          <w:sz w:val="24"/>
        </w:rPr>
        <w:t>9.2.1 项细化为：</w:t>
      </w:r>
    </w:p>
    <w:p>
      <w:pPr>
        <w:rPr>
          <w:rFonts w:ascii="仿宋" w:hAnsi="仿宋" w:eastAsia="仿宋" w:cs="仿宋"/>
          <w:sz w:val="24"/>
        </w:rPr>
      </w:pPr>
    </w:p>
    <w:p>
      <w:pPr>
        <w:ind w:left="480"/>
        <w:jc w:val="both"/>
        <w:rPr>
          <w:rFonts w:ascii="仿宋" w:hAnsi="仿宋" w:eastAsia="仿宋" w:cs="仿宋"/>
          <w:sz w:val="24"/>
        </w:rPr>
      </w:pPr>
      <w:r>
        <w:rPr>
          <w:rFonts w:hint="eastAsia" w:ascii="仿宋" w:hAnsi="仿宋" w:eastAsia="仿宋" w:cs="仿宋"/>
          <w:sz w:val="24"/>
        </w:rPr>
        <w:t>承包人应按合同约定履行安全职责，严格执行国家、地方政府有关施工安全管</w:t>
      </w:r>
      <w:bookmarkStart w:id="60" w:name="page135"/>
      <w:bookmarkEnd w:id="60"/>
      <w:r>
        <w:rPr>
          <w:rFonts w:hint="eastAsia" w:ascii="仿宋" w:hAnsi="仿宋" w:eastAsia="仿宋" w:cs="仿宋"/>
          <w:sz w:val="24"/>
        </w:rPr>
        <w:t>理方面的法律、法规及规章制度，同时严格执行发包人制订的本项目安全生产管理方面的规章制度、安全检查程序及施工安全管理要求，以及监理人有关安全工作的指示。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承包人应根据本工程的实际安全施工要求，编制施工安全技术措施，并在签订</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本项目需要编制专项施工方案的工程包括但不限于以下内容：</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（1）不良地质条件下有潜在危险性的土方、石方开挖；（2）滑坡和高边坡处理；（3）桩基础、挡墙基础、深水基础及围堰工程；</w:t>
      </w:r>
    </w:p>
    <w:p>
      <w:pPr>
        <w:rPr>
          <w:rFonts w:ascii="仿宋" w:hAnsi="仿宋" w:eastAsia="仿宋" w:cs="仿宋"/>
        </w:rPr>
      </w:pPr>
    </w:p>
    <w:p>
      <w:pPr>
        <w:ind w:left="480"/>
        <w:rPr>
          <w:rFonts w:ascii="仿宋" w:hAnsi="仿宋" w:eastAsia="仿宋" w:cs="仿宋"/>
          <w:sz w:val="23"/>
        </w:rPr>
      </w:pPr>
      <w:r>
        <w:rPr>
          <w:rFonts w:hint="eastAsia" w:ascii="仿宋" w:hAnsi="仿宋" w:eastAsia="仿宋" w:cs="仿宋"/>
          <w:sz w:val="23"/>
        </w:rPr>
        <w:t>（4）桥梁工程中的梁、拱、柱等构件施工等；（5）隧道工程中的不良地质隧道、高瓦斯隧道等；</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（6）水上工程中的打桩船作业、施工船作业、外海孤岛作业、边通航边施工作业等；</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（7）水下工程中的水下焊接、混凝土浇筑、爆破工程等；（8）爆破工程；</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（9）大型临时工程中的大型支架、模板、便桥的架设与拆除；桥梁、码头的加固与拆除；</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（10）其他危险性较大的工程。</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监理人和发包人在检查中发现有安全问题或有违反安全管理规章制度的情况</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时，可视为承包人违约，应按第 22.1 款的规定办理。</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9.2.5 项细化为：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除项目专用合同条款另有约定外，安全生产费用应为投标价（不含安全生产费</w:t>
      </w:r>
    </w:p>
    <w:p>
      <w:pPr>
        <w:rPr>
          <w:rFonts w:ascii="仿宋" w:hAnsi="仿宋" w:eastAsia="仿宋" w:cs="仿宋"/>
        </w:rPr>
      </w:pPr>
    </w:p>
    <w:p>
      <w:pPr>
        <w:rPr>
          <w:rFonts w:ascii="仿宋" w:hAnsi="仿宋" w:eastAsia="仿宋" w:cs="仿宋"/>
          <w:sz w:val="23"/>
        </w:rPr>
      </w:pPr>
      <w:r>
        <w:rPr>
          <w:rFonts w:hint="eastAsia" w:ascii="仿宋" w:hAnsi="仿宋" w:eastAsia="仿宋" w:cs="仿宋"/>
          <w:sz w:val="23"/>
        </w:rPr>
        <w:t>及建筑工程一切险及第三者责任险的保险费）的 1.5%（若发包人公布了最高投标限</w:t>
      </w:r>
    </w:p>
    <w:p>
      <w:pPr>
        <w:rPr>
          <w:rFonts w:ascii="仿宋" w:hAnsi="仿宋" w:eastAsia="仿宋" w:cs="仿宋"/>
        </w:rPr>
      </w:pPr>
    </w:p>
    <w:p>
      <w:pPr>
        <w:rPr>
          <w:rFonts w:ascii="仿宋" w:hAnsi="仿宋" w:eastAsia="仿宋" w:cs="仿宋"/>
          <w:sz w:val="23"/>
        </w:rPr>
      </w:pPr>
      <w:r>
        <w:rPr>
          <w:rFonts w:hint="eastAsia" w:ascii="仿宋" w:hAnsi="仿宋" w:eastAsia="仿宋" w:cs="仿宋"/>
          <w:sz w:val="23"/>
        </w:rPr>
        <w:t>价时，按最高投标限价的 1.5%计）。安全生产费用应用于施工安全防护用具及设施</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的采购和更新、安全施工措施的落实、安全生产条件的改善，不得挪作他用。如承</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包人在此基础上增加安全生产费用以满足项目施工需要，则承包人应在本项目工程</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量清单其他相关子目的单价或总额价中予以考虑，发包人不再另行支付。因采取合</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同未约定的特殊防护措施增加的费用，由监理人按第 3.5 款商定或确定。</w:t>
      </w:r>
      <w:bookmarkStart w:id="61" w:name="page136"/>
      <w:bookmarkEnd w:id="61"/>
    </w:p>
    <w:p>
      <w:pPr>
        <w:rPr>
          <w:rFonts w:ascii="仿宋" w:hAnsi="仿宋" w:eastAsia="仿宋" w:cs="仿宋"/>
          <w:sz w:val="24"/>
        </w:rPr>
      </w:pPr>
    </w:p>
    <w:p>
      <w:pPr>
        <w:ind w:left="480"/>
        <w:rPr>
          <w:rFonts w:ascii="仿宋" w:hAnsi="仿宋" w:eastAsia="仿宋" w:cs="仿宋"/>
          <w:sz w:val="24"/>
        </w:rPr>
      </w:pPr>
      <w:r>
        <w:rPr>
          <w:rFonts w:hint="eastAsia" w:ascii="仿宋" w:hAnsi="仿宋" w:eastAsia="仿宋" w:cs="仿宋"/>
          <w:sz w:val="24"/>
        </w:rPr>
        <w:t>本款补充第 9.2.8 项~第 9.2.11 项：</w:t>
      </w:r>
    </w:p>
    <w:p>
      <w:pPr>
        <w:ind w:left="480"/>
        <w:rPr>
          <w:rFonts w:ascii="仿宋" w:hAnsi="仿宋" w:eastAsia="仿宋" w:cs="仿宋"/>
          <w:sz w:val="24"/>
        </w:rPr>
      </w:pPr>
    </w:p>
    <w:p>
      <w:pPr>
        <w:rPr>
          <w:rFonts w:ascii="仿宋" w:hAnsi="仿宋" w:eastAsia="仿宋" w:cs="仿宋"/>
        </w:rPr>
      </w:pPr>
    </w:p>
    <w:p>
      <w:pPr>
        <w:numPr>
          <w:ilvl w:val="1"/>
          <w:numId w:val="40"/>
        </w:numPr>
        <w:tabs>
          <w:tab w:val="left" w:pos="1080"/>
        </w:tabs>
        <w:ind w:firstLine="484"/>
        <w:jc w:val="both"/>
        <w:rPr>
          <w:rFonts w:ascii="仿宋" w:hAnsi="仿宋" w:eastAsia="仿宋" w:cs="仿宋"/>
          <w:sz w:val="23"/>
        </w:rPr>
      </w:pPr>
      <w:r>
        <w:rPr>
          <w:rFonts w:hint="eastAsia" w:ascii="仿宋" w:hAnsi="仿宋" w:eastAsia="仿宋" w:cs="仿宋"/>
          <w:sz w:val="23"/>
        </w:rPr>
        <w:t>承包人应充分关注和保障所有在现场工作的人员的安全，采取以下有效措施，使现场和本合同工程的实施保持有条不紊，以免使上述人员的安全受到威胁。</w:t>
      </w:r>
    </w:p>
    <w:p>
      <w:pPr>
        <w:rPr>
          <w:rFonts w:ascii="仿宋" w:hAnsi="仿宋" w:eastAsia="仿宋" w:cs="仿宋"/>
          <w:sz w:val="23"/>
        </w:rPr>
      </w:pPr>
    </w:p>
    <w:p>
      <w:pPr>
        <w:ind w:firstLine="480"/>
        <w:jc w:val="both"/>
        <w:rPr>
          <w:rFonts w:ascii="仿宋" w:hAnsi="仿宋" w:eastAsia="仿宋" w:cs="仿宋"/>
          <w:sz w:val="24"/>
        </w:rPr>
      </w:pPr>
      <w:r>
        <w:rPr>
          <w:rFonts w:hint="eastAsia" w:ascii="仿宋" w:hAnsi="仿宋" w:eastAsia="仿宋" w:cs="仿宋"/>
          <w:sz w:val="24"/>
        </w:rPr>
        <w:t>（1）按《公路水运工程安全生产监督管理办法》规定的最低数量和资质条件配备专职安全生产管理人员；</w:t>
      </w:r>
    </w:p>
    <w:p>
      <w:pPr>
        <w:rPr>
          <w:rFonts w:ascii="仿宋" w:hAnsi="仿宋" w:eastAsia="仿宋" w:cs="仿宋"/>
          <w:sz w:val="23"/>
        </w:rPr>
      </w:pPr>
    </w:p>
    <w:p>
      <w:pPr>
        <w:ind w:firstLine="480"/>
        <w:jc w:val="both"/>
        <w:rPr>
          <w:rFonts w:ascii="仿宋" w:hAnsi="仿宋" w:eastAsia="仿宋" w:cs="仿宋"/>
          <w:sz w:val="24"/>
        </w:rPr>
      </w:pPr>
      <w:r>
        <w:rPr>
          <w:rFonts w:hint="eastAsia" w:ascii="仿宋" w:hAnsi="仿宋" w:eastAsia="仿宋" w:cs="仿宋"/>
          <w:sz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rPr>
          <w:rFonts w:ascii="仿宋" w:hAnsi="仿宋" w:eastAsia="仿宋" w:cs="仿宋"/>
          <w:sz w:val="23"/>
        </w:rPr>
      </w:pPr>
    </w:p>
    <w:p>
      <w:pPr>
        <w:ind w:left="480"/>
        <w:jc w:val="both"/>
        <w:rPr>
          <w:rFonts w:ascii="仿宋" w:hAnsi="仿宋" w:eastAsia="仿宋" w:cs="仿宋"/>
          <w:sz w:val="23"/>
        </w:rPr>
      </w:pPr>
      <w:r>
        <w:rPr>
          <w:rFonts w:hint="eastAsia" w:ascii="仿宋" w:hAnsi="仿宋" w:eastAsia="仿宋" w:cs="仿宋"/>
          <w:sz w:val="23"/>
        </w:rPr>
        <w:t>（3）所有施工机具设备和高空作业设备均应定期检查，并有安全员的签字记录；（4）根据本合同各单位工程的施工特点，严格执行《公路水运工程安全生产监</w:t>
      </w:r>
    </w:p>
    <w:p>
      <w:pPr>
        <w:rPr>
          <w:rFonts w:ascii="仿宋" w:hAnsi="仿宋" w:eastAsia="仿宋" w:cs="仿宋"/>
          <w:sz w:val="23"/>
        </w:rPr>
      </w:pPr>
    </w:p>
    <w:p>
      <w:pPr>
        <w:jc w:val="both"/>
        <w:rPr>
          <w:rFonts w:ascii="仿宋" w:hAnsi="仿宋" w:eastAsia="仿宋" w:cs="仿宋"/>
          <w:sz w:val="24"/>
        </w:rPr>
      </w:pPr>
      <w:r>
        <w:rPr>
          <w:rFonts w:hint="eastAsia" w:ascii="仿宋" w:hAnsi="仿宋" w:eastAsia="仿宋" w:cs="仿宋"/>
          <w:sz w:val="24"/>
        </w:rPr>
        <w:t>督管理办法》《公路工程施工安全技术规范》等有关规定。</w:t>
      </w:r>
    </w:p>
    <w:p>
      <w:pPr>
        <w:rPr>
          <w:rFonts w:ascii="仿宋" w:hAnsi="仿宋" w:eastAsia="仿宋" w:cs="仿宋"/>
          <w:sz w:val="23"/>
        </w:rPr>
      </w:pPr>
    </w:p>
    <w:p>
      <w:pPr>
        <w:numPr>
          <w:ilvl w:val="1"/>
          <w:numId w:val="40"/>
        </w:numPr>
        <w:tabs>
          <w:tab w:val="left" w:pos="1085"/>
        </w:tabs>
        <w:ind w:firstLine="484"/>
        <w:jc w:val="both"/>
        <w:rPr>
          <w:rFonts w:ascii="仿宋" w:hAnsi="仿宋" w:eastAsia="仿宋" w:cs="仿宋"/>
          <w:sz w:val="24"/>
        </w:rPr>
      </w:pPr>
      <w:r>
        <w:rPr>
          <w:rFonts w:hint="eastAsia" w:ascii="仿宋" w:hAnsi="仿宋" w:eastAsia="仿宋" w:cs="仿宋"/>
          <w:sz w:val="24"/>
        </w:rPr>
        <w:t>为了保护本合同工程免遭损坏，或为了现场附近和过往群众的安全与方便，在确有必要的时候和地方，或当监理人或有关主管部门要求时，承包人应自费提供照明、警卫、护栅、警告标志等安全防护设施。</w:t>
      </w:r>
    </w:p>
    <w:p>
      <w:pPr>
        <w:rPr>
          <w:rFonts w:ascii="仿宋" w:hAnsi="仿宋" w:eastAsia="仿宋" w:cs="仿宋"/>
          <w:sz w:val="24"/>
        </w:rPr>
      </w:pPr>
    </w:p>
    <w:p>
      <w:pPr>
        <w:numPr>
          <w:ilvl w:val="1"/>
          <w:numId w:val="40"/>
        </w:numPr>
        <w:tabs>
          <w:tab w:val="left" w:pos="1200"/>
        </w:tabs>
        <w:ind w:firstLine="484"/>
        <w:jc w:val="both"/>
        <w:rPr>
          <w:rFonts w:ascii="仿宋" w:hAnsi="仿宋" w:eastAsia="仿宋" w:cs="仿宋"/>
          <w:sz w:val="24"/>
        </w:rPr>
      </w:pPr>
      <w:r>
        <w:rPr>
          <w:rFonts w:hint="eastAsia" w:ascii="仿宋" w:hAnsi="仿宋" w:eastAsia="仿宋" w:cs="仿宋"/>
          <w:sz w:val="24"/>
        </w:rPr>
        <w:t>在通航水域施工时，承包人应与当地主管部门取得联系，设置必要的导航标志，及时发布航行通告，确保施工水域安全。</w:t>
      </w:r>
    </w:p>
    <w:p>
      <w:pPr>
        <w:rPr>
          <w:rFonts w:ascii="仿宋" w:hAnsi="仿宋" w:eastAsia="仿宋" w:cs="仿宋"/>
          <w:sz w:val="24"/>
        </w:rPr>
      </w:pPr>
    </w:p>
    <w:p>
      <w:pPr>
        <w:numPr>
          <w:ilvl w:val="1"/>
          <w:numId w:val="40"/>
        </w:numPr>
        <w:tabs>
          <w:tab w:val="left" w:pos="1193"/>
        </w:tabs>
        <w:ind w:firstLine="484"/>
        <w:jc w:val="both"/>
        <w:rPr>
          <w:rFonts w:ascii="仿宋" w:hAnsi="仿宋" w:eastAsia="仿宋" w:cs="仿宋"/>
          <w:sz w:val="24"/>
        </w:rPr>
      </w:pPr>
      <w:r>
        <w:rPr>
          <w:rFonts w:hint="eastAsia" w:ascii="仿宋" w:hAnsi="仿宋" w:eastAsia="仿宋" w:cs="仿宋"/>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rPr>
          <w:rFonts w:ascii="仿宋" w:hAnsi="仿宋" w:eastAsia="仿宋" w:cs="仿宋"/>
          <w:sz w:val="24"/>
        </w:rPr>
      </w:pPr>
    </w:p>
    <w:p>
      <w:pPr>
        <w:numPr>
          <w:ilvl w:val="0"/>
          <w:numId w:val="41"/>
        </w:numPr>
        <w:tabs>
          <w:tab w:val="left" w:pos="420"/>
        </w:tabs>
        <w:ind w:left="420" w:hanging="416"/>
        <w:jc w:val="both"/>
        <w:rPr>
          <w:rFonts w:ascii="仿宋" w:hAnsi="仿宋" w:eastAsia="仿宋" w:cs="仿宋"/>
          <w:sz w:val="24"/>
        </w:rPr>
      </w:pPr>
      <w:r>
        <w:rPr>
          <w:rFonts w:hint="eastAsia" w:ascii="仿宋" w:hAnsi="仿宋" w:eastAsia="仿宋" w:cs="仿宋"/>
          <w:sz w:val="24"/>
        </w:rPr>
        <w:t>环境保护</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本款补充第 9.4.7 项~第 9.4.11 项：</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9.4.7 承包人应切实执行技术规范中有关环境保护方面的条款和规定。</w:t>
      </w:r>
    </w:p>
    <w:p>
      <w:pPr>
        <w:rPr>
          <w:rFonts w:ascii="仿宋" w:hAnsi="仿宋" w:eastAsia="仿宋" w:cs="仿宋"/>
        </w:rPr>
      </w:pPr>
    </w:p>
    <w:p>
      <w:pPr>
        <w:ind w:firstLine="480"/>
        <w:jc w:val="both"/>
        <w:rPr>
          <w:rFonts w:ascii="仿宋" w:hAnsi="仿宋" w:eastAsia="仿宋" w:cs="仿宋"/>
          <w:sz w:val="23"/>
        </w:rPr>
      </w:pPr>
      <w:r>
        <w:rPr>
          <w:rFonts w:hint="eastAsia" w:ascii="仿宋" w:hAnsi="仿宋" w:eastAsia="仿宋" w:cs="仿宋"/>
          <w:sz w:val="23"/>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水平。为保护施工现场附近居民的夜间休息，对居民区 150m 以内的施工现场，施工时间应加以控制。</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（2）对于公路施工中粉尘污染的主要污染源――灰土拌和、施工车辆和筑路机械运行及运输产生的扬尘，应采取有效措施减轻其对施工现场的大气污染，保护人民健康，如：</w:t>
      </w:r>
      <w:bookmarkStart w:id="62" w:name="page137"/>
      <w:bookmarkEnd w:id="62"/>
    </w:p>
    <w:p>
      <w:pPr>
        <w:numPr>
          <w:ilvl w:val="0"/>
          <w:numId w:val="42"/>
        </w:numPr>
        <w:tabs>
          <w:tab w:val="left" w:pos="780"/>
        </w:tabs>
        <w:ind w:left="780" w:hanging="296"/>
        <w:jc w:val="both"/>
        <w:rPr>
          <w:rFonts w:ascii="仿宋" w:hAnsi="仿宋" w:eastAsia="仿宋" w:cs="仿宋"/>
          <w:sz w:val="24"/>
        </w:rPr>
      </w:pPr>
      <w:r>
        <w:rPr>
          <w:rFonts w:hint="eastAsia" w:ascii="仿宋" w:hAnsi="仿宋" w:eastAsia="仿宋" w:cs="仿宋"/>
          <w:sz w:val="24"/>
        </w:rPr>
        <w:t>拌和设备应有较好的密封，或有防尘设备。</w:t>
      </w:r>
    </w:p>
    <w:p>
      <w:pPr>
        <w:rPr>
          <w:rFonts w:ascii="仿宋" w:hAnsi="仿宋" w:eastAsia="仿宋" w:cs="仿宋"/>
          <w:sz w:val="24"/>
        </w:rPr>
      </w:pPr>
    </w:p>
    <w:p>
      <w:pPr>
        <w:numPr>
          <w:ilvl w:val="0"/>
          <w:numId w:val="42"/>
        </w:numPr>
        <w:tabs>
          <w:tab w:val="left" w:pos="780"/>
        </w:tabs>
        <w:ind w:left="780" w:hanging="296"/>
        <w:jc w:val="both"/>
        <w:rPr>
          <w:rFonts w:ascii="仿宋" w:hAnsi="仿宋" w:eastAsia="仿宋" w:cs="仿宋"/>
          <w:sz w:val="24"/>
        </w:rPr>
      </w:pPr>
      <w:r>
        <w:rPr>
          <w:rFonts w:hint="eastAsia" w:ascii="仿宋" w:hAnsi="仿宋" w:eastAsia="仿宋" w:cs="仿宋"/>
          <w:sz w:val="24"/>
        </w:rPr>
        <w:t>施工通道、沥青混凝土拌和站及灰土拌和站应经常进行洒水降尘。</w:t>
      </w:r>
    </w:p>
    <w:p>
      <w:pPr>
        <w:rPr>
          <w:rFonts w:ascii="仿宋" w:hAnsi="仿宋" w:eastAsia="仿宋" w:cs="仿宋"/>
          <w:sz w:val="24"/>
        </w:rPr>
      </w:pPr>
    </w:p>
    <w:p>
      <w:pPr>
        <w:numPr>
          <w:ilvl w:val="0"/>
          <w:numId w:val="42"/>
        </w:numPr>
        <w:tabs>
          <w:tab w:val="left" w:pos="780"/>
        </w:tabs>
        <w:ind w:left="780" w:hanging="296"/>
        <w:jc w:val="both"/>
        <w:rPr>
          <w:rFonts w:ascii="仿宋" w:hAnsi="仿宋" w:eastAsia="仿宋" w:cs="仿宋"/>
          <w:sz w:val="24"/>
        </w:rPr>
      </w:pPr>
      <w:r>
        <w:rPr>
          <w:rFonts w:hint="eastAsia" w:ascii="仿宋" w:hAnsi="仿宋" w:eastAsia="仿宋" w:cs="仿宋"/>
          <w:sz w:val="24"/>
        </w:rPr>
        <w:t>路面施工应注意保持水分，以免扬尘。</w:t>
      </w:r>
    </w:p>
    <w:p>
      <w:pPr>
        <w:rPr>
          <w:rFonts w:ascii="仿宋" w:hAnsi="仿宋" w:eastAsia="仿宋" w:cs="仿宋"/>
          <w:sz w:val="24"/>
        </w:rPr>
      </w:pPr>
    </w:p>
    <w:p>
      <w:pPr>
        <w:numPr>
          <w:ilvl w:val="0"/>
          <w:numId w:val="42"/>
        </w:numPr>
        <w:tabs>
          <w:tab w:val="left" w:pos="780"/>
        </w:tabs>
        <w:ind w:firstLine="484"/>
        <w:jc w:val="both"/>
        <w:rPr>
          <w:rFonts w:ascii="仿宋" w:hAnsi="仿宋" w:eastAsia="仿宋" w:cs="仿宋"/>
          <w:sz w:val="24"/>
        </w:rPr>
      </w:pPr>
      <w:r>
        <w:rPr>
          <w:rFonts w:hint="eastAsia" w:ascii="仿宋" w:hAnsi="仿宋" w:eastAsia="仿宋" w:cs="仿宋"/>
          <w:sz w:val="24"/>
        </w:rPr>
        <w:t>隧道出渣和桥梁钻孔灌注桩施工时排出的泥浆要进行妥善处理，严禁向河流或农田排放。</w:t>
      </w:r>
    </w:p>
    <w:p>
      <w:pPr>
        <w:rPr>
          <w:rFonts w:ascii="仿宋" w:hAnsi="仿宋" w:eastAsia="仿宋" w:cs="仿宋"/>
          <w:sz w:val="24"/>
        </w:rPr>
      </w:pPr>
    </w:p>
    <w:p>
      <w:pPr>
        <w:ind w:left="480"/>
        <w:jc w:val="both"/>
        <w:rPr>
          <w:rFonts w:ascii="仿宋" w:hAnsi="仿宋" w:eastAsia="仿宋" w:cs="仿宋"/>
          <w:sz w:val="24"/>
        </w:rPr>
      </w:pPr>
      <w:r>
        <w:rPr>
          <w:rFonts w:hint="eastAsia" w:ascii="仿宋" w:hAnsi="仿宋" w:eastAsia="仿宋" w:cs="仿宋"/>
          <w:sz w:val="24"/>
        </w:rPr>
        <w:t>（3）采取可靠措施保证原有交通的正常通行，维持沿线村镇的居民饮水、农田</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灌溉、生产生活用电及通信等管线的正常使用。</w:t>
      </w:r>
    </w:p>
    <w:p>
      <w:pPr>
        <w:rPr>
          <w:rFonts w:ascii="仿宋" w:hAnsi="仿宋" w:eastAsia="仿宋" w:cs="仿宋"/>
        </w:rPr>
      </w:pPr>
    </w:p>
    <w:p>
      <w:pPr>
        <w:numPr>
          <w:ilvl w:val="0"/>
          <w:numId w:val="43"/>
        </w:numPr>
        <w:tabs>
          <w:tab w:val="left" w:pos="1080"/>
        </w:tabs>
        <w:ind w:firstLine="484"/>
        <w:jc w:val="both"/>
        <w:rPr>
          <w:rFonts w:ascii="仿宋" w:hAnsi="仿宋" w:eastAsia="仿宋" w:cs="仿宋"/>
          <w:sz w:val="24"/>
        </w:rPr>
      </w:pPr>
      <w:r>
        <w:rPr>
          <w:rFonts w:hint="eastAsia" w:ascii="仿宋" w:hAnsi="仿宋" w:eastAsia="仿宋" w:cs="仿宋"/>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rPr>
          <w:rFonts w:ascii="仿宋" w:hAnsi="仿宋" w:eastAsia="仿宋" w:cs="仿宋"/>
          <w:sz w:val="24"/>
        </w:rPr>
      </w:pPr>
    </w:p>
    <w:p>
      <w:pPr>
        <w:numPr>
          <w:ilvl w:val="0"/>
          <w:numId w:val="43"/>
        </w:numPr>
        <w:tabs>
          <w:tab w:val="left" w:pos="1020"/>
        </w:tabs>
        <w:ind w:firstLine="484"/>
        <w:jc w:val="both"/>
        <w:rPr>
          <w:rFonts w:ascii="仿宋" w:hAnsi="仿宋" w:eastAsia="仿宋" w:cs="仿宋"/>
          <w:sz w:val="24"/>
        </w:rPr>
      </w:pPr>
      <w:r>
        <w:rPr>
          <w:rFonts w:hint="eastAsia" w:ascii="仿宋" w:hAnsi="仿宋" w:eastAsia="仿宋" w:cs="仿宋"/>
          <w:sz w:val="24"/>
        </w:rPr>
        <w:t>在施工期间，承包人应随时保持现场整洁，施工设备和材料、工程设备应整齐妥善存放和储存，废料与垃圾及不再需要的临时设施应及时从现场清除、拆除并运走。</w:t>
      </w:r>
    </w:p>
    <w:p>
      <w:pPr>
        <w:rPr>
          <w:rFonts w:ascii="仿宋" w:hAnsi="仿宋" w:eastAsia="仿宋" w:cs="仿宋"/>
          <w:sz w:val="24"/>
        </w:rPr>
      </w:pPr>
    </w:p>
    <w:p>
      <w:pPr>
        <w:numPr>
          <w:ilvl w:val="0"/>
          <w:numId w:val="43"/>
        </w:numPr>
        <w:tabs>
          <w:tab w:val="left" w:pos="1200"/>
        </w:tabs>
        <w:ind w:firstLine="484"/>
        <w:jc w:val="both"/>
        <w:rPr>
          <w:rFonts w:ascii="仿宋" w:hAnsi="仿宋" w:eastAsia="仿宋" w:cs="仿宋"/>
          <w:sz w:val="24"/>
        </w:rPr>
      </w:pPr>
      <w:r>
        <w:rPr>
          <w:rFonts w:hint="eastAsia" w:ascii="仿宋" w:hAnsi="仿宋" w:eastAsia="仿宋" w:cs="仿宋"/>
          <w:sz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rPr>
          <w:rFonts w:ascii="仿宋" w:hAnsi="仿宋" w:eastAsia="仿宋" w:cs="仿宋"/>
          <w:sz w:val="24"/>
        </w:rPr>
      </w:pPr>
    </w:p>
    <w:p>
      <w:pPr>
        <w:numPr>
          <w:ilvl w:val="0"/>
          <w:numId w:val="43"/>
        </w:numPr>
        <w:tabs>
          <w:tab w:val="left" w:pos="1193"/>
        </w:tabs>
        <w:ind w:firstLine="484"/>
        <w:rPr>
          <w:rFonts w:ascii="仿宋" w:hAnsi="仿宋" w:eastAsia="仿宋" w:cs="仿宋"/>
          <w:sz w:val="24"/>
        </w:rPr>
      </w:pPr>
      <w:r>
        <w:rPr>
          <w:rFonts w:hint="eastAsia" w:ascii="仿宋" w:hAnsi="仿宋" w:eastAsia="仿宋" w:cs="仿宋"/>
          <w:sz w:val="24"/>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10. 进度计划</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10.1 合同进度计划</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承包人编制施工方案说明的内容见项目专用合同条款。</w:t>
      </w:r>
    </w:p>
    <w:p>
      <w:pPr>
        <w:rPr>
          <w:rFonts w:ascii="仿宋" w:hAnsi="仿宋" w:eastAsia="仿宋" w:cs="仿宋"/>
        </w:rPr>
      </w:pPr>
    </w:p>
    <w:p>
      <w:pPr>
        <w:ind w:firstLine="566" w:firstLineChars="236"/>
        <w:rPr>
          <w:rFonts w:ascii="仿宋" w:hAnsi="仿宋" w:eastAsia="仿宋" w:cs="仿宋"/>
          <w:sz w:val="24"/>
        </w:rPr>
      </w:pPr>
      <w:r>
        <w:rPr>
          <w:rFonts w:hint="eastAsia" w:ascii="仿宋" w:hAnsi="仿宋" w:eastAsia="仿宋" w:cs="仿宋"/>
          <w:sz w:val="24"/>
        </w:rPr>
        <w:t>承包人向监理人报送施工进度计划和施工方案说明的期限：签订合同协议书后28 天之内。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监理人应在 14 天内对承包人施工进度计划和施工方案说明予以批复或提出修改意见。</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合同进度计划应按照关键线路网络图和主要工作横道图两种形式分别编绘，并应包括每月预计完成的工作量和形象进度。</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10.2 合同进度计划的修订</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left="400"/>
        <w:rPr>
          <w:rFonts w:ascii="仿宋" w:hAnsi="仿宋" w:eastAsia="仿宋" w:cs="仿宋"/>
          <w:sz w:val="23"/>
        </w:rPr>
      </w:pPr>
      <w:r>
        <w:rPr>
          <w:rFonts w:hint="eastAsia" w:ascii="仿宋" w:hAnsi="仿宋" w:eastAsia="仿宋" w:cs="仿宋"/>
          <w:sz w:val="23"/>
        </w:rPr>
        <w:t>承包人提交合同进度计划修订申请报告，并附有关措施和相关资料的期限：实际</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进度发生滞后的当月 25 日前。</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监理人批复修订合同进度计划的期限：收到修订合同进度计划后 14 天内。</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本条补充第 10.3 款、第 10.4 款：</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10.3 年度施工计划</w:t>
      </w:r>
    </w:p>
    <w:p>
      <w:pPr>
        <w:rPr>
          <w:rFonts w:ascii="仿宋" w:hAnsi="仿宋" w:eastAsia="仿宋" w:cs="仿宋"/>
        </w:rPr>
      </w:pPr>
    </w:p>
    <w:p>
      <w:pPr>
        <w:ind w:left="400"/>
        <w:rPr>
          <w:rFonts w:ascii="仿宋" w:hAnsi="仿宋" w:eastAsia="仿宋" w:cs="仿宋"/>
          <w:sz w:val="23"/>
        </w:rPr>
      </w:pPr>
      <w:r>
        <w:rPr>
          <w:rFonts w:hint="eastAsia" w:ascii="仿宋" w:hAnsi="仿宋" w:eastAsia="仿宋" w:cs="仿宋"/>
          <w:sz w:val="23"/>
        </w:rPr>
        <w:t>承包人应在每年 11 月底前，根据已同意的合同进度计划或其修订的计划，向监</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理人提交 2 份格式和内容符合监理人合理规定的下一年度的施工计划，以供审查。该计划应包括本年度估计完成的和下一年度预计完成的分项工程数量和工作量，以及为实施此计划将采取的措施。</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10.4 合同用款计划</w:t>
      </w:r>
    </w:p>
    <w:p>
      <w:pPr>
        <w:rPr>
          <w:rFonts w:ascii="仿宋" w:hAnsi="仿宋" w:eastAsia="仿宋" w:cs="仿宋"/>
        </w:rPr>
      </w:pPr>
    </w:p>
    <w:p>
      <w:pPr>
        <w:ind w:left="400"/>
        <w:rPr>
          <w:rFonts w:ascii="仿宋" w:hAnsi="仿宋" w:eastAsia="仿宋" w:cs="仿宋"/>
          <w:sz w:val="23"/>
        </w:rPr>
      </w:pPr>
      <w:r>
        <w:rPr>
          <w:rFonts w:hint="eastAsia" w:ascii="仿宋" w:hAnsi="仿宋" w:eastAsia="仿宋" w:cs="仿宋"/>
          <w:sz w:val="23"/>
        </w:rPr>
        <w:t>承包人应在签订本合同协议书后 28 天之内，按招标文件中规定的格式，向监理</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人提交 2 份按合同规定承包人有权得到支付的详细的季度合同用款计划，以备监理人查阅。如果监理人提出要求，承包人还应按季度提交修订的合同用款计划。</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11. 开工和交工</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11.1 开工</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11.1.2 项补充：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承包人应在分部工程开工前 14 天向监理人提交分部工程开工报审表，若承包人的开工准备、工作计划和质量控制方法是可接受的且已获得批准，则经监理人书面同意，分部工程才能开工。</w:t>
      </w:r>
    </w:p>
    <w:p>
      <w:pPr>
        <w:rPr>
          <w:rFonts w:ascii="仿宋" w:hAnsi="仿宋" w:eastAsia="仿宋" w:cs="仿宋"/>
        </w:rPr>
      </w:pPr>
    </w:p>
    <w:p>
      <w:pPr>
        <w:rPr>
          <w:rFonts w:ascii="仿宋" w:hAnsi="仿宋" w:eastAsia="仿宋" w:cs="仿宋"/>
          <w:sz w:val="24"/>
        </w:rPr>
      </w:pPr>
      <w:bookmarkStart w:id="63" w:name="page139"/>
      <w:bookmarkEnd w:id="63"/>
      <w:r>
        <w:rPr>
          <w:rFonts w:hint="eastAsia" w:ascii="仿宋" w:hAnsi="仿宋" w:eastAsia="仿宋" w:cs="仿宋"/>
          <w:sz w:val="24"/>
        </w:rPr>
        <w:t>11.3 发包人的工期延误</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即使由于上述原因造成工期延误，如果受影响的工程并非处在工程施工进度网络计划的关键线路上，则承包人无权要求延长总工期。</w:t>
      </w:r>
    </w:p>
    <w:p>
      <w:pPr>
        <w:rPr>
          <w:rFonts w:ascii="仿宋" w:hAnsi="仿宋" w:eastAsia="仿宋" w:cs="仿宋"/>
        </w:rPr>
      </w:pPr>
    </w:p>
    <w:p>
      <w:pPr>
        <w:numPr>
          <w:ilvl w:val="0"/>
          <w:numId w:val="44"/>
        </w:numPr>
        <w:tabs>
          <w:tab w:val="left" w:pos="480"/>
        </w:tabs>
        <w:ind w:left="480" w:hanging="476"/>
        <w:jc w:val="both"/>
        <w:rPr>
          <w:rFonts w:ascii="仿宋" w:hAnsi="仿宋" w:eastAsia="仿宋" w:cs="仿宋"/>
          <w:sz w:val="24"/>
        </w:rPr>
      </w:pPr>
      <w:r>
        <w:rPr>
          <w:rFonts w:hint="eastAsia" w:ascii="仿宋" w:hAnsi="仿宋" w:eastAsia="仿宋" w:cs="仿宋"/>
          <w:sz w:val="24"/>
        </w:rPr>
        <w:t>异常恶劣的气候条件本款补充：</w:t>
      </w:r>
    </w:p>
    <w:p>
      <w:pPr>
        <w:ind w:firstLine="480"/>
        <w:jc w:val="both"/>
        <w:rPr>
          <w:rFonts w:ascii="仿宋" w:hAnsi="仿宋" w:eastAsia="仿宋" w:cs="仿宋"/>
          <w:sz w:val="24"/>
        </w:rPr>
      </w:pPr>
      <w:r>
        <w:rPr>
          <w:rFonts w:hint="eastAsia" w:ascii="仿宋" w:hAnsi="仿宋" w:eastAsia="仿宋" w:cs="仿宋"/>
          <w:sz w:val="24"/>
        </w:rPr>
        <w:t>异常气候是指项目所在地 30 年以上一遇的罕见气候现象（包括温度、降水、降雪、风等）。异常恶劣的气候条件在项目专用合同条款中作具体约定。</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11.5 承包人的工期延误</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rPr>
          <w:rFonts w:ascii="仿宋" w:hAnsi="仿宋" w:eastAsia="仿宋" w:cs="仿宋"/>
        </w:rPr>
      </w:pPr>
    </w:p>
    <w:p>
      <w:pPr>
        <w:ind w:firstLine="480"/>
        <w:jc w:val="both"/>
        <w:rPr>
          <w:rFonts w:ascii="仿宋" w:hAnsi="仿宋" w:eastAsia="仿宋" w:cs="仿宋"/>
          <w:sz w:val="23"/>
        </w:rPr>
      </w:pPr>
      <w:r>
        <w:rPr>
          <w:rFonts w:hint="eastAsia" w:ascii="仿宋" w:hAnsi="仿宋" w:eastAsia="仿宋" w:cs="仿宋"/>
          <w:sz w:val="23"/>
        </w:rPr>
        <w:t>（2）如果承包人在接到监理人通知后的 14 天内，未能采取加快工程进度的措施，致使实际工程进度进一步滞后，或承包人虽采取了一些措施，仍无法按预计工</w:t>
      </w:r>
    </w:p>
    <w:p>
      <w:pPr>
        <w:rPr>
          <w:rFonts w:ascii="仿宋" w:hAnsi="仿宋" w:eastAsia="仿宋" w:cs="仿宋"/>
        </w:rPr>
      </w:pPr>
    </w:p>
    <w:p>
      <w:pPr>
        <w:rPr>
          <w:rFonts w:ascii="仿宋" w:hAnsi="仿宋" w:eastAsia="仿宋" w:cs="仿宋"/>
          <w:sz w:val="23"/>
        </w:rPr>
      </w:pPr>
      <w:r>
        <w:rPr>
          <w:rFonts w:hint="eastAsia" w:ascii="仿宋" w:hAnsi="仿宋" w:eastAsia="仿宋" w:cs="仿宋"/>
          <w:sz w:val="23"/>
        </w:rPr>
        <w:t>期交工时，监理人应立即通知发包人。发包人在向承包人发出书面警告通知 14 天后，</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发包人可按第 22.1 款终止对承包人的雇用，也可将本合同工程中的一部分工作交由其他承包人或其他分包人完成。在不解除本合同规定的承包人责任和义务的同时，承包人应承担因此所增加的一切费用。</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rPr>
          <w:rFonts w:ascii="仿宋" w:hAnsi="仿宋" w:eastAsia="仿宋" w:cs="仿宋"/>
        </w:rPr>
      </w:pPr>
    </w:p>
    <w:p>
      <w:pPr>
        <w:jc w:val="right"/>
        <w:rPr>
          <w:rFonts w:ascii="仿宋" w:hAnsi="仿宋" w:eastAsia="仿宋" w:cs="仿宋"/>
          <w:sz w:val="24"/>
        </w:rPr>
      </w:pPr>
      <w:r>
        <w:rPr>
          <w:rFonts w:hint="eastAsia" w:ascii="仿宋" w:hAnsi="仿宋" w:eastAsia="仿宋" w:cs="仿宋"/>
          <w:sz w:val="24"/>
        </w:rPr>
        <w:t>（4）承包人支付逾期交工违约金，不免除承包人完成工程及修补缺陷的义务。（5）如果在合同工程完工之前，已对合同工程内按时完工的单位工程签发了交工验收证书，则合同工程的逾期交工违约金，应按已签发交工验收证书的单位工程</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的价值占合同工程价值的比例予以减少，但本规定不应影响逾期交工违约金的规定</w:t>
      </w:r>
      <w:bookmarkStart w:id="64" w:name="page140"/>
      <w:bookmarkEnd w:id="64"/>
      <w:r>
        <w:rPr>
          <w:rFonts w:hint="eastAsia" w:ascii="仿宋" w:hAnsi="仿宋" w:eastAsia="仿宋" w:cs="仿宋"/>
          <w:sz w:val="24"/>
        </w:rPr>
        <w:t>限额。</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11.6 工期提前</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发包人不得随意要求承包人提前交工，承包人也不得随意提出提前交工的建议。如遇特殊情况，确需将工期提前的，发包人和承包人必须采取有效措施，确保工程质量。</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rPr>
          <w:rFonts w:ascii="仿宋" w:hAnsi="仿宋" w:eastAsia="仿宋" w:cs="仿宋"/>
        </w:rPr>
      </w:pP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本条补充第 11.7 款：</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11.7 工作时间的限制</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承包人在夜间或国家规定的节假日进行永久工程的施工，应向监理人报告，以便监理人履行监理职责和义务。</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但是，为了抢救生命或保护财产，或为了工程的安全、质量而不可避免地短暂作业，则不必事先向监理人报告。但承包人应在事后立即向监理人报告。</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本款规定不适用于习惯上或施工本身要求实行连续生产的作业。</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12. 暂停施工</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12.1 承包人暂停施工的责任</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本款第（5）项细化为：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（5）现场气候条件导致的必要停工（第 11.4 款约定的异常恶劣的气候条件除外）；</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（6）项目专用合同条款可能约定的由承包人承担的其他暂停施工。</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13. 工程质量</w:t>
      </w:r>
    </w:p>
    <w:p>
      <w:pPr>
        <w:rPr>
          <w:rFonts w:ascii="仿宋" w:hAnsi="仿宋" w:eastAsia="仿宋" w:cs="仿宋"/>
        </w:rPr>
      </w:pPr>
    </w:p>
    <w:p>
      <w:pPr>
        <w:numPr>
          <w:ilvl w:val="0"/>
          <w:numId w:val="45"/>
        </w:numPr>
        <w:tabs>
          <w:tab w:val="left" w:pos="540"/>
        </w:tabs>
        <w:ind w:left="540" w:hanging="536"/>
        <w:jc w:val="both"/>
        <w:rPr>
          <w:rFonts w:ascii="仿宋" w:hAnsi="仿宋" w:eastAsia="仿宋" w:cs="仿宋"/>
          <w:sz w:val="24"/>
        </w:rPr>
      </w:pPr>
      <w:r>
        <w:rPr>
          <w:rFonts w:hint="eastAsia" w:ascii="仿宋" w:hAnsi="仿宋" w:eastAsia="仿宋" w:cs="仿宋"/>
          <w:sz w:val="24"/>
        </w:rPr>
        <w:t>工程质量要求</w:t>
      </w:r>
    </w:p>
    <w:p>
      <w:pPr>
        <w:rPr>
          <w:rFonts w:ascii="仿宋" w:hAnsi="仿宋" w:eastAsia="仿宋" w:cs="仿宋"/>
          <w:sz w:val="24"/>
        </w:rPr>
      </w:pPr>
    </w:p>
    <w:p>
      <w:pPr>
        <w:numPr>
          <w:ilvl w:val="1"/>
          <w:numId w:val="45"/>
        </w:numPr>
        <w:tabs>
          <w:tab w:val="left" w:pos="780"/>
        </w:tabs>
        <w:ind w:left="780" w:hanging="296"/>
        <w:jc w:val="both"/>
        <w:rPr>
          <w:rFonts w:ascii="仿宋" w:hAnsi="仿宋" w:eastAsia="仿宋" w:cs="仿宋"/>
          <w:sz w:val="24"/>
        </w:rPr>
      </w:pPr>
      <w:r>
        <w:rPr>
          <w:rFonts w:hint="eastAsia" w:ascii="仿宋" w:hAnsi="仿宋" w:eastAsia="仿宋" w:cs="仿宋"/>
          <w:sz w:val="24"/>
        </w:rPr>
        <w:t>13.1.1 项约定为：</w:t>
      </w:r>
    </w:p>
    <w:p>
      <w:pPr>
        <w:rPr>
          <w:rFonts w:ascii="仿宋" w:hAnsi="仿宋" w:eastAsia="仿宋" w:cs="仿宋"/>
          <w:sz w:val="24"/>
        </w:rPr>
      </w:pPr>
    </w:p>
    <w:p>
      <w:pPr>
        <w:ind w:left="480"/>
        <w:jc w:val="both"/>
        <w:rPr>
          <w:rFonts w:ascii="仿宋" w:hAnsi="仿宋" w:eastAsia="仿宋" w:cs="仿宋"/>
          <w:sz w:val="24"/>
        </w:rPr>
      </w:pPr>
      <w:r>
        <w:rPr>
          <w:rFonts w:hint="eastAsia" w:ascii="仿宋" w:hAnsi="仿宋" w:eastAsia="仿宋" w:cs="仿宋"/>
          <w:sz w:val="24"/>
        </w:rPr>
        <w:t>工程质量验收按技术规范及《公路工程质量检验评定标准》执行。</w:t>
      </w:r>
    </w:p>
    <w:p>
      <w:pPr>
        <w:ind w:left="480"/>
        <w:rPr>
          <w:rFonts w:ascii="仿宋" w:hAnsi="仿宋" w:eastAsia="仿宋" w:cs="仿宋"/>
          <w:sz w:val="24"/>
        </w:rPr>
      </w:pPr>
      <w:bookmarkStart w:id="65" w:name="page141"/>
      <w:bookmarkEnd w:id="65"/>
      <w:r>
        <w:rPr>
          <w:rFonts w:hint="eastAsia" w:ascii="仿宋" w:hAnsi="仿宋" w:eastAsia="仿宋" w:cs="仿宋"/>
          <w:sz w:val="24"/>
        </w:rPr>
        <w:t>本款补充第 13.1.4 项、第 13.1.5 项：</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13.1.4 发包人和承包人应严格遵守《关于严格落实公路工程质量责任制的若干</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意见》的相关规定，认真执行工程质量责任登记制度并按要求填写工程质量责任登记表。</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13.1.5 本项目严格执行质量责任追究制度。质量事故处理实行“四不放过”原则：</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事故原因调查不清不放过；事故责任者没有受到教育不放过；没有防范措施不放过；相关责任人没受到处理不放过。</w:t>
      </w:r>
    </w:p>
    <w:p>
      <w:pPr>
        <w:rPr>
          <w:rFonts w:ascii="仿宋" w:hAnsi="仿宋" w:eastAsia="仿宋" w:cs="仿宋"/>
        </w:rPr>
      </w:pPr>
    </w:p>
    <w:p>
      <w:pPr>
        <w:numPr>
          <w:ilvl w:val="0"/>
          <w:numId w:val="46"/>
        </w:numPr>
        <w:tabs>
          <w:tab w:val="left" w:pos="540"/>
        </w:tabs>
        <w:ind w:left="540" w:hanging="536"/>
        <w:jc w:val="both"/>
        <w:rPr>
          <w:rFonts w:ascii="仿宋" w:hAnsi="仿宋" w:eastAsia="仿宋" w:cs="仿宋"/>
          <w:sz w:val="24"/>
        </w:rPr>
      </w:pPr>
      <w:r>
        <w:rPr>
          <w:rFonts w:hint="eastAsia" w:ascii="仿宋" w:hAnsi="仿宋" w:eastAsia="仿宋" w:cs="仿宋"/>
          <w:sz w:val="24"/>
        </w:rPr>
        <w:t>承包人的质量管理</w:t>
      </w:r>
    </w:p>
    <w:p>
      <w:pPr>
        <w:rPr>
          <w:rFonts w:ascii="仿宋" w:hAnsi="仿宋" w:eastAsia="仿宋" w:cs="仿宋"/>
          <w:sz w:val="24"/>
        </w:rPr>
      </w:pPr>
    </w:p>
    <w:p>
      <w:pPr>
        <w:numPr>
          <w:ilvl w:val="1"/>
          <w:numId w:val="46"/>
        </w:numPr>
        <w:tabs>
          <w:tab w:val="left" w:pos="780"/>
        </w:tabs>
        <w:ind w:left="780" w:hanging="296"/>
        <w:jc w:val="both"/>
        <w:rPr>
          <w:rFonts w:ascii="仿宋" w:hAnsi="仿宋" w:eastAsia="仿宋" w:cs="仿宋"/>
          <w:sz w:val="24"/>
        </w:rPr>
      </w:pPr>
      <w:r>
        <w:rPr>
          <w:rFonts w:hint="eastAsia" w:ascii="仿宋" w:hAnsi="仿宋" w:eastAsia="仿宋" w:cs="仿宋"/>
          <w:sz w:val="24"/>
        </w:rPr>
        <w:t>13.2.1 项补充：</w:t>
      </w:r>
    </w:p>
    <w:p>
      <w:pPr>
        <w:rPr>
          <w:rFonts w:ascii="仿宋" w:hAnsi="仿宋" w:eastAsia="仿宋" w:cs="仿宋"/>
          <w:sz w:val="24"/>
        </w:rPr>
      </w:pPr>
    </w:p>
    <w:p>
      <w:pPr>
        <w:ind w:left="480"/>
        <w:jc w:val="both"/>
        <w:rPr>
          <w:rFonts w:ascii="仿宋" w:hAnsi="仿宋" w:eastAsia="仿宋" w:cs="仿宋"/>
          <w:sz w:val="24"/>
        </w:rPr>
      </w:pPr>
      <w:r>
        <w:rPr>
          <w:rFonts w:hint="eastAsia" w:ascii="仿宋" w:hAnsi="仿宋" w:eastAsia="仿宋" w:cs="仿宋"/>
          <w:sz w:val="24"/>
        </w:rPr>
        <w:t>承包人提交工程质量保证措施文件的期限：签订合同协议书后 28 天之内。本款补充第 13.2.3 项~第 13.2.10 项：</w:t>
      </w:r>
    </w:p>
    <w:p>
      <w:pPr>
        <w:rPr>
          <w:rFonts w:ascii="仿宋" w:hAnsi="仿宋" w:eastAsia="仿宋" w:cs="仿宋"/>
        </w:rPr>
      </w:pPr>
    </w:p>
    <w:p>
      <w:pPr>
        <w:numPr>
          <w:ilvl w:val="0"/>
          <w:numId w:val="47"/>
        </w:numPr>
        <w:tabs>
          <w:tab w:val="left" w:pos="1200"/>
        </w:tabs>
        <w:ind w:firstLine="484"/>
        <w:jc w:val="both"/>
        <w:rPr>
          <w:rFonts w:ascii="仿宋" w:hAnsi="仿宋" w:eastAsia="仿宋" w:cs="仿宋"/>
          <w:sz w:val="24"/>
        </w:rPr>
      </w:pPr>
      <w:r>
        <w:rPr>
          <w:rFonts w:hint="eastAsia" w:ascii="仿宋" w:hAnsi="仿宋" w:eastAsia="仿宋" w:cs="仿宋"/>
          <w:sz w:val="24"/>
        </w:rPr>
        <w:t>公路工程施行质量责任终身制。承包人应当书面明确相应的项目负责人和质量负责人。承包人的相关人员按照国家法律法规和有关规定在工程合理使用年限内承担相应的质量责任。</w:t>
      </w:r>
    </w:p>
    <w:p>
      <w:pPr>
        <w:rPr>
          <w:rFonts w:ascii="仿宋" w:hAnsi="仿宋" w:eastAsia="仿宋" w:cs="仿宋"/>
          <w:sz w:val="24"/>
        </w:rPr>
      </w:pPr>
    </w:p>
    <w:p>
      <w:pPr>
        <w:numPr>
          <w:ilvl w:val="0"/>
          <w:numId w:val="47"/>
        </w:numPr>
        <w:tabs>
          <w:tab w:val="left" w:pos="1200"/>
        </w:tabs>
        <w:ind w:firstLine="484"/>
        <w:rPr>
          <w:rFonts w:ascii="仿宋" w:hAnsi="仿宋" w:eastAsia="仿宋" w:cs="仿宋"/>
          <w:sz w:val="23"/>
        </w:rPr>
      </w:pPr>
      <w:r>
        <w:rPr>
          <w:rFonts w:hint="eastAsia" w:ascii="仿宋" w:hAnsi="仿宋" w:eastAsia="仿宋" w:cs="仿宋"/>
          <w:sz w:val="23"/>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rPr>
          <w:rFonts w:ascii="仿宋" w:hAnsi="仿宋" w:eastAsia="仿宋" w:cs="仿宋"/>
          <w:sz w:val="23"/>
        </w:rPr>
      </w:pPr>
    </w:p>
    <w:p>
      <w:pPr>
        <w:numPr>
          <w:ilvl w:val="0"/>
          <w:numId w:val="47"/>
        </w:numPr>
        <w:tabs>
          <w:tab w:val="left" w:pos="1200"/>
        </w:tabs>
        <w:ind w:firstLine="484"/>
        <w:jc w:val="both"/>
        <w:rPr>
          <w:rFonts w:ascii="仿宋" w:hAnsi="仿宋" w:eastAsia="仿宋" w:cs="仿宋"/>
          <w:sz w:val="24"/>
        </w:rPr>
      </w:pPr>
      <w:r>
        <w:rPr>
          <w:rFonts w:hint="eastAsia" w:ascii="仿宋" w:hAnsi="仿宋" w:eastAsia="仿宋" w:cs="仿宋"/>
          <w:sz w:val="24"/>
        </w:rPr>
        <w:t>承包人对工程施工质量负责，应当按合同约定设立现场质量管理机构、配备工程技术人员和质量管理人员，落实工程施工质量责任制。</w:t>
      </w:r>
    </w:p>
    <w:p>
      <w:pPr>
        <w:rPr>
          <w:rFonts w:ascii="仿宋" w:hAnsi="仿宋" w:eastAsia="仿宋" w:cs="仿宋"/>
          <w:sz w:val="24"/>
        </w:rPr>
      </w:pPr>
    </w:p>
    <w:p>
      <w:pPr>
        <w:numPr>
          <w:ilvl w:val="0"/>
          <w:numId w:val="47"/>
        </w:numPr>
        <w:tabs>
          <w:tab w:val="left" w:pos="1200"/>
        </w:tabs>
        <w:ind w:firstLine="484"/>
        <w:rPr>
          <w:rFonts w:ascii="仿宋" w:hAnsi="仿宋" w:eastAsia="仿宋" w:cs="仿宋"/>
          <w:sz w:val="24"/>
        </w:rPr>
      </w:pPr>
      <w:r>
        <w:rPr>
          <w:rFonts w:hint="eastAsia" w:ascii="仿宋" w:hAnsi="仿宋" w:eastAsia="仿宋" w:cs="仿宋"/>
          <w:sz w:val="24"/>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rPr>
          <w:rFonts w:ascii="仿宋" w:hAnsi="仿宋" w:eastAsia="仿宋" w:cs="仿宋"/>
          <w:sz w:val="24"/>
        </w:rPr>
      </w:pPr>
    </w:p>
    <w:p>
      <w:pPr>
        <w:numPr>
          <w:ilvl w:val="0"/>
          <w:numId w:val="47"/>
        </w:numPr>
        <w:tabs>
          <w:tab w:val="left" w:pos="1200"/>
        </w:tabs>
        <w:ind w:firstLine="484"/>
        <w:jc w:val="both"/>
        <w:rPr>
          <w:rFonts w:ascii="仿宋" w:hAnsi="仿宋" w:eastAsia="仿宋" w:cs="仿宋"/>
          <w:sz w:val="24"/>
        </w:rPr>
      </w:pPr>
      <w:r>
        <w:rPr>
          <w:rFonts w:hint="eastAsia" w:ascii="仿宋" w:hAnsi="仿宋" w:eastAsia="仿宋" w:cs="仿宋"/>
          <w:sz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rPr>
          <w:rFonts w:ascii="仿宋" w:hAnsi="仿宋" w:eastAsia="仿宋" w:cs="仿宋"/>
          <w:sz w:val="24"/>
        </w:rPr>
      </w:pPr>
    </w:p>
    <w:p>
      <w:pPr>
        <w:numPr>
          <w:ilvl w:val="0"/>
          <w:numId w:val="47"/>
        </w:numPr>
        <w:tabs>
          <w:tab w:val="left" w:pos="1200"/>
        </w:tabs>
        <w:ind w:firstLine="484"/>
        <w:rPr>
          <w:rFonts w:ascii="仿宋" w:hAnsi="仿宋" w:eastAsia="仿宋" w:cs="仿宋"/>
          <w:sz w:val="24"/>
        </w:rPr>
      </w:pPr>
      <w:r>
        <w:rPr>
          <w:rFonts w:hint="eastAsia" w:ascii="仿宋" w:hAnsi="仿宋" w:eastAsia="仿宋" w:cs="仿宋"/>
          <w:sz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numPr>
          <w:ilvl w:val="0"/>
          <w:numId w:val="47"/>
        </w:numPr>
        <w:tabs>
          <w:tab w:val="left" w:pos="1200"/>
        </w:tabs>
        <w:ind w:left="1200" w:hanging="716"/>
        <w:jc w:val="both"/>
        <w:rPr>
          <w:rFonts w:ascii="仿宋" w:hAnsi="仿宋" w:eastAsia="仿宋" w:cs="仿宋"/>
          <w:sz w:val="24"/>
        </w:rPr>
      </w:pPr>
      <w:r>
        <w:rPr>
          <w:rFonts w:hint="eastAsia" w:ascii="仿宋" w:hAnsi="仿宋" w:eastAsia="仿宋" w:cs="仿宋"/>
          <w:sz w:val="24"/>
        </w:rPr>
        <w:t>承包人应当依法规范分包行为，并对承担的工程质量负总责，分包单位</w:t>
      </w:r>
    </w:p>
    <w:p>
      <w:pPr>
        <w:rPr>
          <w:rFonts w:ascii="仿宋" w:hAnsi="仿宋" w:eastAsia="仿宋" w:cs="仿宋"/>
        </w:rPr>
      </w:pPr>
    </w:p>
    <w:p>
      <w:pPr>
        <w:rPr>
          <w:rFonts w:ascii="仿宋" w:hAnsi="仿宋" w:eastAsia="仿宋" w:cs="仿宋"/>
          <w:sz w:val="24"/>
        </w:rPr>
      </w:pPr>
      <w:bookmarkStart w:id="66" w:name="page142"/>
      <w:bookmarkEnd w:id="66"/>
      <w:r>
        <w:rPr>
          <w:rFonts w:hint="eastAsia" w:ascii="仿宋" w:hAnsi="仿宋" w:eastAsia="仿宋" w:cs="仿宋"/>
          <w:sz w:val="24"/>
        </w:rPr>
        <w:t>对分包合同范围内的工程质量负责。</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13.2.10 承包人驻工程现场机构应在现场驻地和重要的分部、分项工程施工现场</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设置明显的工程质量责任登记表公示牌。</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13.4 监理人的质量检查</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监理人及其委派的检验人员，应能进入工程现场，以及材料或工程设备的制造、加工或制配的车间和场所，包括不属于承包人的车间或场所进行检查，承包人应为此提供便利和协助。</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监理人可以将材料或工程设备的检查和检验委托给一家独立的有质量检验认证资格的检验单位。该独立检验单位的检验结果应视为监理人完成的。监理人应将这</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种委托的通知书不少于 7 天前交给承包人。</w:t>
      </w:r>
    </w:p>
    <w:p>
      <w:pPr>
        <w:rPr>
          <w:rFonts w:ascii="仿宋" w:hAnsi="仿宋" w:eastAsia="仿宋" w:cs="仿宋"/>
        </w:rPr>
      </w:pPr>
    </w:p>
    <w:p>
      <w:pPr>
        <w:numPr>
          <w:ilvl w:val="0"/>
          <w:numId w:val="48"/>
        </w:numPr>
        <w:tabs>
          <w:tab w:val="left" w:pos="540"/>
        </w:tabs>
        <w:ind w:left="540" w:hanging="536"/>
        <w:jc w:val="both"/>
        <w:rPr>
          <w:rFonts w:ascii="仿宋" w:hAnsi="仿宋" w:eastAsia="仿宋" w:cs="仿宋"/>
          <w:sz w:val="24"/>
        </w:rPr>
      </w:pPr>
      <w:r>
        <w:rPr>
          <w:rFonts w:hint="eastAsia" w:ascii="仿宋" w:hAnsi="仿宋" w:eastAsia="仿宋" w:cs="仿宋"/>
          <w:sz w:val="24"/>
        </w:rPr>
        <w:t>工程隐蔽部位覆盖前的检查</w:t>
      </w:r>
    </w:p>
    <w:p>
      <w:pPr>
        <w:rPr>
          <w:rFonts w:ascii="仿宋" w:hAnsi="仿宋" w:eastAsia="仿宋" w:cs="仿宋"/>
          <w:sz w:val="24"/>
        </w:rPr>
      </w:pPr>
    </w:p>
    <w:p>
      <w:pPr>
        <w:numPr>
          <w:ilvl w:val="1"/>
          <w:numId w:val="48"/>
        </w:numPr>
        <w:tabs>
          <w:tab w:val="left" w:pos="780"/>
        </w:tabs>
        <w:ind w:left="780" w:hanging="296"/>
        <w:jc w:val="both"/>
        <w:rPr>
          <w:rFonts w:ascii="仿宋" w:hAnsi="仿宋" w:eastAsia="仿宋" w:cs="仿宋"/>
          <w:sz w:val="24"/>
        </w:rPr>
      </w:pPr>
      <w:r>
        <w:rPr>
          <w:rFonts w:hint="eastAsia" w:ascii="仿宋" w:hAnsi="仿宋" w:eastAsia="仿宋" w:cs="仿宋"/>
          <w:sz w:val="24"/>
        </w:rPr>
        <w:t>13.5.1 项补充：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13.6 清除不合格工程</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13.6.1 项细化为：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（2）如果承包人未在规定时间内执行监理人的指示，发包人有权雇用他人执行，由此增加的费用和（或）工期延误由承包人承担。</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14. 试验和检验</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本条补充第 14.4 款：</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14.4 试验和检验费用</w:t>
      </w:r>
    </w:p>
    <w:p>
      <w:pPr>
        <w:rPr>
          <w:rFonts w:ascii="仿宋" w:hAnsi="仿宋" w:eastAsia="仿宋" w:cs="仿宋"/>
        </w:rPr>
      </w:pPr>
    </w:p>
    <w:p>
      <w:pPr>
        <w:ind w:firstLine="566" w:firstLineChars="236"/>
        <w:rPr>
          <w:rFonts w:ascii="仿宋" w:hAnsi="仿宋" w:eastAsia="仿宋" w:cs="仿宋"/>
          <w:sz w:val="24"/>
        </w:rPr>
      </w:pPr>
      <w:r>
        <w:rPr>
          <w:rFonts w:hint="eastAsia" w:ascii="仿宋" w:hAnsi="仿宋" w:eastAsia="仿宋" w:cs="仿宋"/>
          <w:sz w:val="24"/>
        </w:rPr>
        <w:t>（1）承包人应负责提供合同和技术规范规定的试验和检验所需的全部样品，并承担其费用。</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（2）在合同中明确规定的试验和检验，包括无须在工程量清单中单独列项和已在工程量清单中单独列项的试验和检验，其试验和检验的费用由承包人承担。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15. 变更</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15.1 变更的范围和内容</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本款第（1）项细化为：</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（1）取消合同中任何一项工作，但被取消的工作不能转由发包人或其他人实施，由于承包人违约造成的情况除外；</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15.3 变更程序</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本款补充第 15.3.4 项：</w:t>
      </w:r>
    </w:p>
    <w:p>
      <w:pPr>
        <w:rPr>
          <w:rFonts w:ascii="仿宋" w:hAnsi="仿宋" w:eastAsia="仿宋" w:cs="仿宋"/>
        </w:rPr>
      </w:pPr>
    </w:p>
    <w:p>
      <w:pPr>
        <w:numPr>
          <w:ilvl w:val="1"/>
          <w:numId w:val="49"/>
        </w:numPr>
        <w:tabs>
          <w:tab w:val="left" w:pos="1200"/>
        </w:tabs>
        <w:ind w:left="1200" w:hanging="716"/>
        <w:jc w:val="both"/>
        <w:rPr>
          <w:rFonts w:ascii="仿宋" w:hAnsi="仿宋" w:eastAsia="仿宋" w:cs="仿宋"/>
          <w:sz w:val="24"/>
        </w:rPr>
      </w:pPr>
      <w:r>
        <w:rPr>
          <w:rFonts w:hint="eastAsia" w:ascii="仿宋" w:hAnsi="仿宋" w:eastAsia="仿宋" w:cs="仿宋"/>
          <w:sz w:val="24"/>
        </w:rPr>
        <w:t>设计变更程序应执行《公路工程设计变更管理办法》的相关规定。</w:t>
      </w:r>
    </w:p>
    <w:p>
      <w:pPr>
        <w:rPr>
          <w:rFonts w:ascii="仿宋" w:hAnsi="仿宋" w:eastAsia="仿宋" w:cs="仿宋"/>
          <w:sz w:val="24"/>
        </w:rPr>
      </w:pPr>
    </w:p>
    <w:p>
      <w:pPr>
        <w:numPr>
          <w:ilvl w:val="0"/>
          <w:numId w:val="50"/>
        </w:numPr>
        <w:tabs>
          <w:tab w:val="left" w:pos="540"/>
        </w:tabs>
        <w:ind w:left="540" w:hanging="536"/>
        <w:jc w:val="both"/>
        <w:rPr>
          <w:rFonts w:ascii="仿宋" w:hAnsi="仿宋" w:eastAsia="仿宋" w:cs="仿宋"/>
          <w:sz w:val="24"/>
        </w:rPr>
      </w:pPr>
      <w:r>
        <w:rPr>
          <w:rFonts w:hint="eastAsia" w:ascii="仿宋" w:hAnsi="仿宋" w:eastAsia="仿宋" w:cs="仿宋"/>
          <w:sz w:val="24"/>
        </w:rPr>
        <w:t>变更的估价原则</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本款细化为：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除项目专用合同条款另有约定外，因变更引起的价格调整按照本款约定处理。</w:t>
      </w:r>
    </w:p>
    <w:p>
      <w:pPr>
        <w:rPr>
          <w:rFonts w:ascii="仿宋" w:hAnsi="仿宋" w:eastAsia="仿宋" w:cs="仿宋"/>
        </w:rPr>
      </w:pPr>
    </w:p>
    <w:p>
      <w:pPr>
        <w:numPr>
          <w:ilvl w:val="0"/>
          <w:numId w:val="51"/>
        </w:numPr>
        <w:tabs>
          <w:tab w:val="left" w:pos="1200"/>
        </w:tabs>
        <w:ind w:left="1200" w:hanging="716"/>
        <w:jc w:val="both"/>
        <w:rPr>
          <w:rFonts w:ascii="仿宋" w:hAnsi="仿宋" w:eastAsia="仿宋" w:cs="仿宋"/>
          <w:sz w:val="24"/>
        </w:rPr>
      </w:pPr>
      <w:r>
        <w:rPr>
          <w:rFonts w:hint="eastAsia" w:ascii="仿宋" w:hAnsi="仿宋" w:eastAsia="仿宋" w:cs="仿宋"/>
          <w:sz w:val="24"/>
        </w:rPr>
        <w:t>如果取消某项工作，则该项工作的总额价不予支付。</w:t>
      </w:r>
    </w:p>
    <w:p>
      <w:pPr>
        <w:rPr>
          <w:rFonts w:ascii="仿宋" w:hAnsi="仿宋" w:eastAsia="仿宋" w:cs="仿宋"/>
          <w:sz w:val="24"/>
        </w:rPr>
      </w:pPr>
    </w:p>
    <w:p>
      <w:pPr>
        <w:numPr>
          <w:ilvl w:val="0"/>
          <w:numId w:val="51"/>
        </w:numPr>
        <w:tabs>
          <w:tab w:val="left" w:pos="1200"/>
        </w:tabs>
        <w:ind w:left="1200" w:hanging="716"/>
        <w:jc w:val="both"/>
        <w:rPr>
          <w:rFonts w:ascii="仿宋" w:hAnsi="仿宋" w:eastAsia="仿宋" w:cs="仿宋"/>
          <w:sz w:val="24"/>
        </w:rPr>
      </w:pPr>
      <w:r>
        <w:rPr>
          <w:rFonts w:hint="eastAsia" w:ascii="仿宋" w:hAnsi="仿宋" w:eastAsia="仿宋" w:cs="仿宋"/>
          <w:sz w:val="24"/>
        </w:rPr>
        <w:t>已标价工程量清单中有适用于变更工作的子目的，采用该子目的单价。</w:t>
      </w:r>
    </w:p>
    <w:p>
      <w:pPr>
        <w:rPr>
          <w:rFonts w:ascii="仿宋" w:hAnsi="仿宋" w:eastAsia="仿宋" w:cs="仿宋"/>
          <w:sz w:val="24"/>
        </w:rPr>
      </w:pPr>
    </w:p>
    <w:p>
      <w:pPr>
        <w:numPr>
          <w:ilvl w:val="0"/>
          <w:numId w:val="51"/>
        </w:numPr>
        <w:tabs>
          <w:tab w:val="left" w:pos="1200"/>
        </w:tabs>
        <w:ind w:firstLine="484"/>
        <w:rPr>
          <w:rFonts w:ascii="仿宋" w:hAnsi="仿宋" w:eastAsia="仿宋" w:cs="仿宋"/>
          <w:sz w:val="23"/>
        </w:rPr>
      </w:pPr>
      <w:r>
        <w:rPr>
          <w:rFonts w:hint="eastAsia" w:ascii="仿宋" w:hAnsi="仿宋" w:eastAsia="仿宋" w:cs="仿宋"/>
          <w:sz w:val="23"/>
        </w:rPr>
        <w:t>已标价工程量清单中无适用于变更工作的子目，但有类似子目的，可在合理范围内参照类似子目的单价，由监理人按第 3.5 款商定或确定变更工作的单价。</w:t>
      </w:r>
    </w:p>
    <w:p>
      <w:pPr>
        <w:rPr>
          <w:rFonts w:ascii="仿宋" w:hAnsi="仿宋" w:eastAsia="仿宋" w:cs="仿宋"/>
          <w:sz w:val="23"/>
        </w:rPr>
      </w:pPr>
    </w:p>
    <w:p>
      <w:pPr>
        <w:numPr>
          <w:ilvl w:val="0"/>
          <w:numId w:val="51"/>
        </w:numPr>
        <w:tabs>
          <w:tab w:val="left" w:pos="1200"/>
        </w:tabs>
        <w:ind w:firstLine="484"/>
        <w:jc w:val="both"/>
        <w:rPr>
          <w:rFonts w:ascii="仿宋" w:hAnsi="仿宋" w:eastAsia="仿宋" w:cs="仿宋"/>
          <w:sz w:val="24"/>
        </w:rPr>
      </w:pPr>
      <w:r>
        <w:rPr>
          <w:rFonts w:hint="eastAsia" w:ascii="仿宋" w:hAnsi="仿宋" w:eastAsia="仿宋" w:cs="仿宋"/>
          <w:sz w:val="24"/>
        </w:rPr>
        <w:t>已标价工程量清单中无适用或类似子目的单价，可在综合考虑承包人在投标时所提供的单价分析表的基础上，由监理人按第 3.5 款商定或确定变更工作的单价。</w:t>
      </w:r>
    </w:p>
    <w:p>
      <w:pPr>
        <w:rPr>
          <w:rFonts w:ascii="仿宋" w:hAnsi="仿宋" w:eastAsia="仿宋" w:cs="仿宋"/>
          <w:sz w:val="24"/>
        </w:rPr>
      </w:pPr>
    </w:p>
    <w:p>
      <w:pPr>
        <w:numPr>
          <w:ilvl w:val="0"/>
          <w:numId w:val="51"/>
        </w:numPr>
        <w:tabs>
          <w:tab w:val="left" w:pos="1200"/>
        </w:tabs>
        <w:ind w:firstLine="484"/>
        <w:jc w:val="both"/>
        <w:rPr>
          <w:rFonts w:ascii="仿宋" w:hAnsi="仿宋" w:eastAsia="仿宋" w:cs="仿宋"/>
          <w:sz w:val="24"/>
        </w:rPr>
      </w:pPr>
      <w:r>
        <w:rPr>
          <w:rFonts w:hint="eastAsia" w:ascii="仿宋" w:hAnsi="仿宋" w:eastAsia="仿宋" w:cs="仿宋"/>
          <w:sz w:val="24"/>
        </w:rPr>
        <w:t>如果本工程的变更指示是因承包人过错、承包人违反合同或承包人责任造成的，则这种违约引起的任何额外费用应由承包人承担。</w:t>
      </w:r>
    </w:p>
    <w:p>
      <w:pPr>
        <w:rPr>
          <w:rFonts w:ascii="仿宋" w:hAnsi="仿宋" w:eastAsia="仿宋" w:cs="仿宋"/>
        </w:rPr>
      </w:pPr>
    </w:p>
    <w:p>
      <w:pPr>
        <w:numPr>
          <w:ilvl w:val="0"/>
          <w:numId w:val="52"/>
        </w:numPr>
        <w:tabs>
          <w:tab w:val="left" w:pos="540"/>
        </w:tabs>
        <w:ind w:left="540" w:hanging="536"/>
        <w:jc w:val="both"/>
        <w:rPr>
          <w:rFonts w:ascii="仿宋" w:hAnsi="仿宋" w:eastAsia="仿宋" w:cs="仿宋"/>
          <w:sz w:val="24"/>
        </w:rPr>
      </w:pPr>
      <w:r>
        <w:rPr>
          <w:rFonts w:hint="eastAsia" w:ascii="仿宋" w:hAnsi="仿宋" w:eastAsia="仿宋" w:cs="仿宋"/>
          <w:sz w:val="24"/>
        </w:rPr>
        <w:t>承包人的合理化建议</w:t>
      </w:r>
    </w:p>
    <w:p>
      <w:pPr>
        <w:rPr>
          <w:rFonts w:ascii="仿宋" w:hAnsi="仿宋" w:eastAsia="仿宋" w:cs="仿宋"/>
          <w:sz w:val="24"/>
        </w:rPr>
      </w:pPr>
    </w:p>
    <w:p>
      <w:pPr>
        <w:numPr>
          <w:ilvl w:val="1"/>
          <w:numId w:val="52"/>
        </w:numPr>
        <w:tabs>
          <w:tab w:val="left" w:pos="700"/>
        </w:tabs>
        <w:ind w:left="700" w:hanging="304"/>
        <w:jc w:val="both"/>
        <w:rPr>
          <w:rFonts w:ascii="仿宋" w:hAnsi="仿宋" w:eastAsia="仿宋" w:cs="仿宋"/>
          <w:sz w:val="24"/>
        </w:rPr>
      </w:pPr>
      <w:r>
        <w:rPr>
          <w:rFonts w:hint="eastAsia" w:ascii="仿宋" w:hAnsi="仿宋" w:eastAsia="仿宋" w:cs="仿宋"/>
          <w:sz w:val="24"/>
        </w:rPr>
        <w:t>15.5.2 项约定为：</w:t>
      </w:r>
    </w:p>
    <w:p>
      <w:pPr>
        <w:rPr>
          <w:rFonts w:ascii="仿宋" w:hAnsi="仿宋" w:eastAsia="仿宋" w:cs="仿宋"/>
        </w:rPr>
      </w:pPr>
    </w:p>
    <w:p>
      <w:pPr>
        <w:ind w:firstLine="460" w:firstLineChars="200"/>
        <w:rPr>
          <w:rFonts w:ascii="仿宋" w:hAnsi="仿宋" w:eastAsia="仿宋" w:cs="仿宋"/>
          <w:sz w:val="24"/>
        </w:rPr>
      </w:pPr>
      <w:r>
        <w:rPr>
          <w:rFonts w:hint="eastAsia" w:ascii="仿宋" w:hAnsi="仿宋" w:eastAsia="仿宋" w:cs="仿宋"/>
          <w:sz w:val="23"/>
        </w:rPr>
        <w:t>承包人提出的合理化建议缩短了工期，发包人按第 11.6 款的规定给予奖励。承包人提出的合理化建议降低了合同价格或者提高了工程经济效益的，发包人按</w:t>
      </w:r>
      <w:r>
        <w:rPr>
          <w:rFonts w:hint="eastAsia" w:ascii="仿宋" w:hAnsi="仿宋" w:eastAsia="仿宋" w:cs="仿宋"/>
          <w:sz w:val="24"/>
        </w:rPr>
        <w:t>项目专用合同条款数据表中规定的金额给予奖励。</w:t>
      </w:r>
    </w:p>
    <w:p>
      <w:pPr>
        <w:rPr>
          <w:rFonts w:ascii="仿宋" w:hAnsi="仿宋" w:eastAsia="仿宋" w:cs="仿宋"/>
          <w:sz w:val="24"/>
        </w:rPr>
      </w:pPr>
      <w:r>
        <w:rPr>
          <w:rFonts w:hint="eastAsia" w:ascii="仿宋" w:hAnsi="仿宋" w:eastAsia="仿宋" w:cs="仿宋"/>
          <w:sz w:val="24"/>
        </w:rPr>
        <w:t>15.6 暂列金额</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本款细化为：</w:t>
      </w:r>
    </w:p>
    <w:p>
      <w:pPr>
        <w:rPr>
          <w:rFonts w:ascii="仿宋" w:hAnsi="仿宋" w:eastAsia="仿宋" w:cs="仿宋"/>
        </w:rPr>
      </w:pPr>
    </w:p>
    <w:p>
      <w:pPr>
        <w:numPr>
          <w:ilvl w:val="1"/>
          <w:numId w:val="53"/>
        </w:numPr>
        <w:tabs>
          <w:tab w:val="left" w:pos="1120"/>
        </w:tabs>
        <w:ind w:left="1120" w:hanging="724"/>
        <w:jc w:val="both"/>
        <w:rPr>
          <w:rFonts w:ascii="仿宋" w:hAnsi="仿宋" w:eastAsia="仿宋" w:cs="仿宋"/>
          <w:sz w:val="23"/>
        </w:rPr>
      </w:pPr>
      <w:r>
        <w:rPr>
          <w:rFonts w:hint="eastAsia" w:ascii="仿宋" w:hAnsi="仿宋" w:eastAsia="仿宋" w:cs="仿宋"/>
          <w:sz w:val="23"/>
        </w:rPr>
        <w:t>暂列金额应由监理人报发包人批准后指令全部或部分地使用，或者根本不</w:t>
      </w:r>
    </w:p>
    <w:p>
      <w:pPr>
        <w:rPr>
          <w:rFonts w:ascii="仿宋" w:hAnsi="仿宋" w:eastAsia="仿宋" w:cs="仿宋"/>
          <w:sz w:val="23"/>
        </w:rPr>
      </w:pPr>
    </w:p>
    <w:p>
      <w:pPr>
        <w:jc w:val="both"/>
        <w:rPr>
          <w:rFonts w:ascii="仿宋" w:hAnsi="仿宋" w:eastAsia="仿宋" w:cs="仿宋"/>
          <w:sz w:val="24"/>
        </w:rPr>
      </w:pPr>
      <w:r>
        <w:rPr>
          <w:rFonts w:hint="eastAsia" w:ascii="仿宋" w:hAnsi="仿宋" w:eastAsia="仿宋" w:cs="仿宋"/>
          <w:sz w:val="24"/>
        </w:rPr>
        <w:t>予动用。</w:t>
      </w:r>
    </w:p>
    <w:p>
      <w:pPr>
        <w:rPr>
          <w:rFonts w:ascii="仿宋" w:hAnsi="仿宋" w:eastAsia="仿宋" w:cs="仿宋"/>
          <w:sz w:val="23"/>
        </w:rPr>
      </w:pPr>
    </w:p>
    <w:p>
      <w:pPr>
        <w:numPr>
          <w:ilvl w:val="1"/>
          <w:numId w:val="53"/>
        </w:numPr>
        <w:tabs>
          <w:tab w:val="left" w:pos="1111"/>
        </w:tabs>
        <w:ind w:firstLine="396"/>
        <w:jc w:val="both"/>
        <w:rPr>
          <w:rFonts w:ascii="仿宋" w:hAnsi="仿宋" w:eastAsia="仿宋" w:cs="仿宋"/>
          <w:sz w:val="23"/>
        </w:rPr>
      </w:pPr>
      <w:r>
        <w:rPr>
          <w:rFonts w:hint="eastAsia" w:ascii="仿宋" w:hAnsi="仿宋" w:eastAsia="仿宋" w:cs="仿宋"/>
          <w:sz w:val="23"/>
        </w:rPr>
        <w:t>对于经发包人批准的每一笔暂列金额，监理人有权向承包人发出实施工程或提供材料、工程设备或服务的指令。这些指令应由承包人完成，监理人应根据第</w:t>
      </w:r>
    </w:p>
    <w:p>
      <w:pPr>
        <w:rPr>
          <w:rFonts w:ascii="仿宋" w:hAnsi="仿宋" w:eastAsia="仿宋" w:cs="仿宋"/>
          <w:sz w:val="23"/>
        </w:rPr>
      </w:pPr>
    </w:p>
    <w:p>
      <w:pPr>
        <w:numPr>
          <w:ilvl w:val="0"/>
          <w:numId w:val="54"/>
        </w:numPr>
        <w:tabs>
          <w:tab w:val="left" w:pos="480"/>
        </w:tabs>
        <w:ind w:left="480" w:hanging="476"/>
        <w:jc w:val="both"/>
        <w:rPr>
          <w:rFonts w:ascii="仿宋" w:hAnsi="仿宋" w:eastAsia="仿宋" w:cs="仿宋"/>
          <w:sz w:val="24"/>
        </w:rPr>
      </w:pPr>
      <w:r>
        <w:rPr>
          <w:rFonts w:hint="eastAsia" w:ascii="仿宋" w:hAnsi="仿宋" w:eastAsia="仿宋" w:cs="仿宋"/>
          <w:sz w:val="24"/>
        </w:rPr>
        <w:t>款约定的变更估价原则和第 15.7 款的规定，对合同价格进行相应调整。</w:t>
      </w:r>
    </w:p>
    <w:p>
      <w:pPr>
        <w:rPr>
          <w:rFonts w:ascii="仿宋" w:hAnsi="仿宋" w:eastAsia="仿宋" w:cs="仿宋"/>
          <w:sz w:val="24"/>
        </w:rPr>
      </w:pPr>
    </w:p>
    <w:p>
      <w:pPr>
        <w:numPr>
          <w:ilvl w:val="1"/>
          <w:numId w:val="54"/>
        </w:numPr>
        <w:tabs>
          <w:tab w:val="left" w:pos="1111"/>
        </w:tabs>
        <w:ind w:firstLine="396"/>
        <w:jc w:val="both"/>
        <w:rPr>
          <w:rFonts w:ascii="仿宋" w:hAnsi="仿宋" w:eastAsia="仿宋" w:cs="仿宋"/>
          <w:sz w:val="24"/>
        </w:rPr>
      </w:pPr>
      <w:r>
        <w:rPr>
          <w:rFonts w:hint="eastAsia" w:ascii="仿宋" w:hAnsi="仿宋" w:eastAsia="仿宋" w:cs="仿宋"/>
          <w:sz w:val="24"/>
        </w:rPr>
        <w:t>当监理人提出要求时，承包人应提供有关暂列金额支出的所有报价单、发票、凭证和账单或收据，除非该工作是根据已标价工程量清单列明的单价或总额价进行的估价。</w:t>
      </w: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16. 价格调整</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16.1 物价波动引起的价格调整</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本款约定为：</w:t>
      </w:r>
    </w:p>
    <w:p>
      <w:pPr>
        <w:rPr>
          <w:rFonts w:ascii="仿宋" w:hAnsi="仿宋" w:eastAsia="仿宋" w:cs="仿宋"/>
        </w:rPr>
      </w:pPr>
    </w:p>
    <w:p>
      <w:pPr>
        <w:ind w:firstLine="480"/>
        <w:rPr>
          <w:rFonts w:ascii="仿宋" w:hAnsi="仿宋" w:eastAsia="仿宋" w:cs="仿宋"/>
          <w:sz w:val="23"/>
        </w:rPr>
      </w:pPr>
      <w:r>
        <w:rPr>
          <w:rFonts w:hint="eastAsia" w:ascii="仿宋" w:hAnsi="仿宋" w:eastAsia="仿宋" w:cs="仿宋"/>
          <w:sz w:val="23"/>
        </w:rPr>
        <w:t>（1）除项目专用合同条款另有约定外，因物价波动引起的价格调整应按项目专用合同条款数据表的规定，按照第 16.1.1 项或第 16.1.2 项约定的原则处理；或者</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（2）在合同执行期间（包括工期拖延期间）由于人工、材料和设备价格的上涨而引起工程施工成本增加的风险由承包人自行承担，合同价格不会因此而调整。</w:t>
      </w:r>
    </w:p>
    <w:p>
      <w:pPr>
        <w:rPr>
          <w:rFonts w:ascii="仿宋" w:hAnsi="仿宋" w:eastAsia="仿宋" w:cs="仿宋"/>
        </w:rPr>
      </w:pPr>
    </w:p>
    <w:p>
      <w:pPr>
        <w:numPr>
          <w:ilvl w:val="0"/>
          <w:numId w:val="55"/>
        </w:numPr>
        <w:tabs>
          <w:tab w:val="left" w:pos="1200"/>
        </w:tabs>
        <w:ind w:left="1200" w:hanging="725"/>
        <w:jc w:val="both"/>
        <w:rPr>
          <w:rFonts w:ascii="仿宋" w:hAnsi="仿宋" w:eastAsia="仿宋" w:cs="仿宋"/>
          <w:sz w:val="24"/>
        </w:rPr>
      </w:pPr>
      <w:r>
        <w:rPr>
          <w:rFonts w:hint="eastAsia" w:ascii="仿宋" w:hAnsi="仿宋" w:eastAsia="仿宋" w:cs="仿宋"/>
          <w:sz w:val="24"/>
        </w:rPr>
        <w:t>采用价格指数调整价格差额</w:t>
      </w:r>
    </w:p>
    <w:p>
      <w:pPr>
        <w:rPr>
          <w:rFonts w:ascii="仿宋" w:hAnsi="仿宋" w:eastAsia="仿宋" w:cs="仿宋"/>
          <w:sz w:val="24"/>
        </w:rPr>
      </w:pPr>
    </w:p>
    <w:p>
      <w:pPr>
        <w:numPr>
          <w:ilvl w:val="1"/>
          <w:numId w:val="55"/>
        </w:numPr>
        <w:tabs>
          <w:tab w:val="left" w:pos="1380"/>
        </w:tabs>
        <w:ind w:left="1380" w:hanging="896"/>
        <w:jc w:val="both"/>
        <w:rPr>
          <w:rFonts w:ascii="仿宋" w:hAnsi="仿宋" w:eastAsia="仿宋" w:cs="仿宋"/>
          <w:sz w:val="24"/>
        </w:rPr>
      </w:pPr>
      <w:r>
        <w:rPr>
          <w:rFonts w:hint="eastAsia" w:ascii="仿宋" w:hAnsi="仿宋" w:eastAsia="仿宋" w:cs="仿宋"/>
          <w:sz w:val="24"/>
        </w:rPr>
        <w:t>价格调整公式</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价格调整公式后增加备注如下：</w:t>
      </w:r>
    </w:p>
    <w:p>
      <w:pPr>
        <w:rPr>
          <w:rFonts w:ascii="仿宋" w:hAnsi="仿宋" w:eastAsia="仿宋" w:cs="仿宋"/>
        </w:rPr>
      </w:pPr>
    </w:p>
    <w:p>
      <w:pPr>
        <w:ind w:left="760"/>
        <w:rPr>
          <w:rFonts w:ascii="仿宋" w:hAnsi="仿宋" w:eastAsia="仿宋" w:cs="仿宋"/>
          <w:sz w:val="24"/>
        </w:rPr>
      </w:pPr>
      <w:r>
        <w:rPr>
          <w:rFonts w:hint="eastAsia" w:ascii="仿宋" w:hAnsi="仿宋" w:eastAsia="仿宋" w:cs="仿宋"/>
          <w:sz w:val="24"/>
        </w:rPr>
        <w:t>式中，</w:t>
      </w:r>
      <w:r>
        <w:rPr>
          <w:rFonts w:hint="eastAsia" w:ascii="仿宋" w:hAnsi="仿宋" w:eastAsia="仿宋" w:cs="仿宋"/>
          <w:b/>
          <w:sz w:val="24"/>
        </w:rPr>
        <w:t>A=1－（B</w:t>
      </w:r>
      <w:r>
        <w:rPr>
          <w:rFonts w:hint="eastAsia" w:ascii="仿宋" w:hAnsi="仿宋" w:eastAsia="仿宋" w:cs="仿宋"/>
          <w:b/>
          <w:sz w:val="32"/>
          <w:vertAlign w:val="subscript"/>
        </w:rPr>
        <w:t>1</w:t>
      </w:r>
      <w:r>
        <w:rPr>
          <w:rFonts w:hint="eastAsia" w:ascii="仿宋" w:hAnsi="仿宋" w:eastAsia="仿宋" w:cs="仿宋"/>
          <w:b/>
          <w:sz w:val="24"/>
        </w:rPr>
        <w:t>＋B</w:t>
      </w:r>
      <w:r>
        <w:rPr>
          <w:rFonts w:hint="eastAsia" w:ascii="仿宋" w:hAnsi="仿宋" w:eastAsia="仿宋" w:cs="仿宋"/>
          <w:b/>
          <w:sz w:val="32"/>
          <w:vertAlign w:val="subscript"/>
        </w:rPr>
        <w:t>2</w:t>
      </w:r>
      <w:r>
        <w:rPr>
          <w:rFonts w:hint="eastAsia" w:ascii="仿宋" w:hAnsi="仿宋" w:eastAsia="仿宋" w:cs="仿宋"/>
          <w:b/>
          <w:sz w:val="24"/>
        </w:rPr>
        <w:t>＋B</w:t>
      </w:r>
      <w:r>
        <w:rPr>
          <w:rFonts w:hint="eastAsia" w:ascii="仿宋" w:hAnsi="仿宋" w:eastAsia="仿宋" w:cs="仿宋"/>
          <w:b/>
          <w:sz w:val="32"/>
          <w:vertAlign w:val="subscript"/>
        </w:rPr>
        <w:t>3</w:t>
      </w:r>
      <w:r>
        <w:rPr>
          <w:rFonts w:hint="eastAsia" w:ascii="仿宋" w:hAnsi="仿宋" w:eastAsia="仿宋" w:cs="仿宋"/>
          <w:b/>
          <w:sz w:val="24"/>
        </w:rPr>
        <w:t>＋</w:t>
      </w:r>
      <w:r>
        <w:rPr>
          <w:rFonts w:hint="eastAsia" w:ascii="仿宋" w:hAnsi="仿宋" w:eastAsia="仿宋" w:cs="仿宋"/>
          <w:b/>
          <w:sz w:val="32"/>
          <w:vertAlign w:val="subscript"/>
        </w:rPr>
        <w:t>……</w:t>
      </w:r>
      <w:r>
        <w:rPr>
          <w:rFonts w:hint="eastAsia" w:ascii="仿宋" w:hAnsi="仿宋" w:eastAsia="仿宋" w:cs="仿宋"/>
          <w:b/>
          <w:sz w:val="24"/>
        </w:rPr>
        <w:t>＋B</w:t>
      </w:r>
      <w:r>
        <w:rPr>
          <w:rFonts w:hint="eastAsia" w:ascii="仿宋" w:hAnsi="仿宋" w:eastAsia="仿宋" w:cs="仿宋"/>
          <w:b/>
          <w:sz w:val="32"/>
          <w:vertAlign w:val="subscript"/>
        </w:rPr>
        <w:t>n</w:t>
      </w:r>
      <w:r>
        <w:rPr>
          <w:rFonts w:hint="eastAsia" w:ascii="仿宋" w:hAnsi="仿宋" w:eastAsia="仿宋" w:cs="仿宋"/>
          <w:b/>
          <w:sz w:val="24"/>
        </w:rPr>
        <w:t>）</w:t>
      </w:r>
      <w:r>
        <w:rPr>
          <w:rFonts w:hint="eastAsia" w:ascii="仿宋" w:hAnsi="仿宋" w:eastAsia="仿宋" w:cs="仿宋"/>
          <w:sz w:val="24"/>
        </w:rPr>
        <w:t>。</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本目最后一段文字细化为：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在采用价格调整公式进行调价时，还应遵守以下规定：</w:t>
      </w:r>
    </w:p>
    <w:p>
      <w:pPr>
        <w:rPr>
          <w:rFonts w:ascii="仿宋" w:hAnsi="仿宋" w:eastAsia="仿宋" w:cs="仿宋"/>
        </w:rPr>
      </w:pPr>
    </w:p>
    <w:p>
      <w:pPr>
        <w:ind w:firstLine="478"/>
        <w:rPr>
          <w:rFonts w:ascii="仿宋" w:hAnsi="仿宋" w:eastAsia="仿宋" w:cs="仿宋"/>
          <w:sz w:val="23"/>
        </w:rPr>
      </w:pPr>
      <w:r>
        <w:rPr>
          <w:rFonts w:hint="eastAsia" w:ascii="仿宋" w:hAnsi="仿宋" w:eastAsia="仿宋" w:cs="仿宋"/>
          <w:sz w:val="23"/>
        </w:rPr>
        <w:t>（1）以上价格调整公式中的各可调因子、定值权重，以及基本价格指数及其来源由发包人在投标函附录价格指数和权重表中约定。价格指数应首先采用国家或省、</w:t>
      </w:r>
      <w:bookmarkStart w:id="67" w:name="page145"/>
      <w:bookmarkEnd w:id="67"/>
      <w:r>
        <w:rPr>
          <w:rFonts w:hint="eastAsia" w:ascii="仿宋" w:hAnsi="仿宋" w:eastAsia="仿宋" w:cs="仿宋"/>
          <w:sz w:val="24"/>
        </w:rPr>
        <w:t>自治区、直辖市价格部门或统计部门提供的价格指数，缺乏上述价格指数时，可采用上述部门提供的价格代替。</w:t>
      </w:r>
    </w:p>
    <w:p>
      <w:pPr>
        <w:rPr>
          <w:rFonts w:ascii="仿宋" w:hAnsi="仿宋" w:eastAsia="仿宋" w:cs="仿宋"/>
        </w:rPr>
      </w:pPr>
    </w:p>
    <w:p>
      <w:pPr>
        <w:ind w:firstLine="478"/>
        <w:jc w:val="both"/>
        <w:rPr>
          <w:rFonts w:ascii="仿宋" w:hAnsi="仿宋" w:eastAsia="仿宋" w:cs="仿宋"/>
          <w:sz w:val="24"/>
        </w:rPr>
      </w:pPr>
      <w:r>
        <w:rPr>
          <w:rFonts w:hint="eastAsia" w:ascii="仿宋" w:hAnsi="仿宋" w:eastAsia="仿宋" w:cs="仿宋"/>
          <w:sz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rPr>
          <w:rFonts w:ascii="仿宋" w:hAnsi="仿宋" w:eastAsia="仿宋" w:cs="仿宋"/>
          <w:sz w:val="28"/>
        </w:rPr>
      </w:pPr>
      <w:r>
        <w:rPr>
          <w:rFonts w:hint="eastAsia" w:ascii="仿宋" w:hAnsi="仿宋" w:eastAsia="仿宋" w:cs="仿宋"/>
          <w:sz w:val="28"/>
        </w:rPr>
        <w:t>17. 计量与支付</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17.1 计量</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17.1.2 计量方法</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本项约定为：</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工程的计量应以净值为准，除非项目专用合同条款另有约定。工程量清单中各个子目的具体计量方法按本合同文件工程量清单计量规则中的规定执行。</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17.1.4 单价子目的计量</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本项补充：</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（7）承包人未在已标价工程量清单中填入单价或总额价的工程子目，将被认为其已包含在本合同的其他子目的单价和总额价中，发包人将不另行支付。</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17.1.5 总价子目的计量</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本项补充：</w:t>
      </w:r>
    </w:p>
    <w:p>
      <w:pPr>
        <w:rPr>
          <w:rFonts w:ascii="仿宋" w:hAnsi="仿宋" w:eastAsia="仿宋" w:cs="仿宋"/>
        </w:rPr>
      </w:pPr>
    </w:p>
    <w:p>
      <w:pPr>
        <w:ind w:firstLine="470"/>
        <w:rPr>
          <w:rFonts w:ascii="仿宋" w:hAnsi="仿宋" w:eastAsia="仿宋" w:cs="仿宋"/>
          <w:sz w:val="24"/>
        </w:rPr>
      </w:pPr>
      <w:r>
        <w:rPr>
          <w:rFonts w:hint="eastAsia" w:ascii="仿宋" w:hAnsi="仿宋" w:eastAsia="仿宋" w:cs="仿宋"/>
          <w:sz w:val="24"/>
        </w:rPr>
        <w:t>本项目工程量清单中要求承包人以“总额”方式报价的子目，各子目的支付原则和支付进度按项目专用合同条款的规定执行。</w:t>
      </w:r>
    </w:p>
    <w:p>
      <w:pPr>
        <w:rPr>
          <w:rFonts w:ascii="仿宋" w:hAnsi="仿宋" w:eastAsia="仿宋" w:cs="仿宋"/>
        </w:rPr>
      </w:pPr>
    </w:p>
    <w:p>
      <w:pPr>
        <w:numPr>
          <w:ilvl w:val="0"/>
          <w:numId w:val="56"/>
        </w:numPr>
        <w:tabs>
          <w:tab w:val="left" w:pos="540"/>
        </w:tabs>
        <w:ind w:left="540" w:hanging="536"/>
        <w:jc w:val="both"/>
        <w:rPr>
          <w:rFonts w:ascii="仿宋" w:hAnsi="仿宋" w:eastAsia="仿宋" w:cs="仿宋"/>
          <w:sz w:val="24"/>
        </w:rPr>
      </w:pPr>
      <w:r>
        <w:rPr>
          <w:rFonts w:hint="eastAsia" w:ascii="仿宋" w:hAnsi="仿宋" w:eastAsia="仿宋" w:cs="仿宋"/>
          <w:sz w:val="24"/>
        </w:rPr>
        <w:t>预付款</w:t>
      </w:r>
    </w:p>
    <w:p>
      <w:pPr>
        <w:rPr>
          <w:rFonts w:ascii="仿宋" w:hAnsi="仿宋" w:eastAsia="仿宋" w:cs="仿宋"/>
          <w:sz w:val="24"/>
        </w:rPr>
      </w:pPr>
    </w:p>
    <w:p>
      <w:pPr>
        <w:numPr>
          <w:ilvl w:val="1"/>
          <w:numId w:val="56"/>
        </w:numPr>
        <w:tabs>
          <w:tab w:val="left" w:pos="1140"/>
        </w:tabs>
        <w:ind w:left="1140" w:hanging="665"/>
        <w:jc w:val="both"/>
        <w:rPr>
          <w:rFonts w:ascii="仿宋" w:hAnsi="仿宋" w:eastAsia="仿宋" w:cs="仿宋"/>
          <w:sz w:val="24"/>
        </w:rPr>
      </w:pPr>
      <w:r>
        <w:rPr>
          <w:rFonts w:hint="eastAsia" w:ascii="仿宋" w:hAnsi="仿宋" w:eastAsia="仿宋" w:cs="仿宋"/>
          <w:sz w:val="24"/>
        </w:rPr>
        <w:t>预付款</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本项约定为：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预付款包括开工预付款和材料、设备预付款。具体额度和预付办法如下：</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（1）开工预付款的金额在项目专用合同条款数据表中约定。在承包人签订了合同协议书且承包人承诺的主要设备进场后，监理人应在当期进度付款证书中向承包人支付开工预付款。</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承包人不得将该预付款用于与本工程无关的支出，监理人有权监督承包人对该项费用的使用，如经查实承包人滥用开工预付款，发包人有权立即向银行索赔履约保证金，并解除合同。</w:t>
      </w:r>
    </w:p>
    <w:p>
      <w:pPr>
        <w:rPr>
          <w:rFonts w:ascii="仿宋" w:hAnsi="仿宋" w:eastAsia="仿宋" w:cs="仿宋"/>
        </w:rPr>
      </w:pPr>
    </w:p>
    <w:p>
      <w:pPr>
        <w:ind w:firstLine="565" w:firstLineChars="246"/>
        <w:rPr>
          <w:rFonts w:ascii="仿宋" w:hAnsi="仿宋" w:eastAsia="仿宋" w:cs="仿宋"/>
          <w:sz w:val="23"/>
        </w:rPr>
      </w:pPr>
      <w:r>
        <w:rPr>
          <w:rFonts w:hint="eastAsia" w:ascii="仿宋" w:hAnsi="仿宋" w:eastAsia="仿宋" w:cs="仿宋"/>
          <w:sz w:val="23"/>
        </w:rPr>
        <w:t>（2）</w:t>
      </w:r>
      <w:r>
        <w:rPr>
          <w:rFonts w:hint="eastAsia" w:ascii="仿宋" w:hAnsi="仿宋" w:eastAsia="仿宋" w:cs="仿宋"/>
          <w:sz w:val="24"/>
        </w:rPr>
        <w:t>材料、设备预付款按项目专用合同条款数据表中所列主要材料、设备单据费用（进口的材料、设备为到岸价，国内采购的为出厂价或销售价，地方材料为堆场价）的百分比支付。其预付条件为：</w:t>
      </w:r>
    </w:p>
    <w:p>
      <w:pPr>
        <w:rPr>
          <w:rFonts w:ascii="仿宋" w:hAnsi="仿宋" w:eastAsia="仿宋" w:cs="仿宋"/>
        </w:rPr>
      </w:pPr>
    </w:p>
    <w:p>
      <w:pPr>
        <w:numPr>
          <w:ilvl w:val="0"/>
          <w:numId w:val="57"/>
        </w:numPr>
        <w:tabs>
          <w:tab w:val="left" w:pos="780"/>
        </w:tabs>
        <w:ind w:left="780" w:hanging="296"/>
        <w:jc w:val="both"/>
        <w:rPr>
          <w:rFonts w:ascii="仿宋" w:hAnsi="仿宋" w:eastAsia="仿宋" w:cs="仿宋"/>
          <w:sz w:val="24"/>
        </w:rPr>
      </w:pPr>
      <w:r>
        <w:rPr>
          <w:rFonts w:hint="eastAsia" w:ascii="仿宋" w:hAnsi="仿宋" w:eastAsia="仿宋" w:cs="仿宋"/>
          <w:sz w:val="24"/>
        </w:rPr>
        <w:t>材料、设备符合规范要求并经监理人认可；</w:t>
      </w:r>
    </w:p>
    <w:p>
      <w:pPr>
        <w:rPr>
          <w:rFonts w:ascii="仿宋" w:hAnsi="仿宋" w:eastAsia="仿宋" w:cs="仿宋"/>
          <w:sz w:val="24"/>
        </w:rPr>
      </w:pPr>
    </w:p>
    <w:p>
      <w:pPr>
        <w:numPr>
          <w:ilvl w:val="0"/>
          <w:numId w:val="57"/>
        </w:numPr>
        <w:tabs>
          <w:tab w:val="left" w:pos="780"/>
        </w:tabs>
        <w:ind w:left="780" w:hanging="296"/>
        <w:jc w:val="both"/>
        <w:rPr>
          <w:rFonts w:ascii="仿宋" w:hAnsi="仿宋" w:eastAsia="仿宋" w:cs="仿宋"/>
          <w:sz w:val="24"/>
        </w:rPr>
      </w:pPr>
      <w:r>
        <w:rPr>
          <w:rFonts w:hint="eastAsia" w:ascii="仿宋" w:hAnsi="仿宋" w:eastAsia="仿宋" w:cs="仿宋"/>
          <w:sz w:val="24"/>
        </w:rPr>
        <w:t>承包人已出具材料、设备费用凭证或支付单据；</w:t>
      </w:r>
    </w:p>
    <w:p>
      <w:pPr>
        <w:rPr>
          <w:rFonts w:ascii="仿宋" w:hAnsi="仿宋" w:eastAsia="仿宋" w:cs="仿宋"/>
          <w:sz w:val="24"/>
        </w:rPr>
      </w:pPr>
    </w:p>
    <w:p>
      <w:pPr>
        <w:numPr>
          <w:ilvl w:val="0"/>
          <w:numId w:val="57"/>
        </w:numPr>
        <w:tabs>
          <w:tab w:val="left" w:pos="766"/>
        </w:tabs>
        <w:ind w:firstLine="484"/>
        <w:jc w:val="both"/>
        <w:rPr>
          <w:rFonts w:ascii="仿宋" w:hAnsi="仿宋" w:eastAsia="仿宋" w:cs="仿宋"/>
          <w:sz w:val="24"/>
        </w:rPr>
      </w:pPr>
      <w:r>
        <w:rPr>
          <w:rFonts w:hint="eastAsia" w:ascii="仿宋" w:hAnsi="仿宋" w:eastAsia="仿宋" w:cs="仿宋"/>
          <w:sz w:val="24"/>
        </w:rPr>
        <w:t>材料、设备已在现场交货，且存储良好，监理人认为材料、设备的存储方法符合要求。</w:t>
      </w:r>
    </w:p>
    <w:p>
      <w:pPr>
        <w:rPr>
          <w:rFonts w:ascii="仿宋" w:hAnsi="仿宋" w:eastAsia="仿宋" w:cs="仿宋"/>
          <w:sz w:val="24"/>
        </w:rPr>
      </w:pPr>
    </w:p>
    <w:p>
      <w:pPr>
        <w:ind w:firstLine="480"/>
        <w:jc w:val="both"/>
        <w:rPr>
          <w:rFonts w:ascii="仿宋" w:hAnsi="仿宋" w:eastAsia="仿宋" w:cs="仿宋"/>
          <w:sz w:val="24"/>
        </w:rPr>
      </w:pPr>
      <w:r>
        <w:rPr>
          <w:rFonts w:hint="eastAsia" w:ascii="仿宋" w:hAnsi="仿宋" w:eastAsia="仿宋" w:cs="仿宋"/>
          <w:sz w:val="24"/>
        </w:rPr>
        <w:t>则监理人应将此项金额作为材料、设备预付款计入下一次的进度付款证书中。在预计交工前 3 个月，将不再支付材料、设备预付款。</w:t>
      </w:r>
    </w:p>
    <w:p>
      <w:pPr>
        <w:rPr>
          <w:rFonts w:ascii="仿宋" w:hAnsi="仿宋" w:eastAsia="仿宋" w:cs="仿宋"/>
          <w:sz w:val="24"/>
        </w:rPr>
      </w:pPr>
    </w:p>
    <w:p>
      <w:pPr>
        <w:ind w:left="480"/>
        <w:jc w:val="both"/>
        <w:rPr>
          <w:rFonts w:ascii="仿宋" w:hAnsi="仿宋" w:eastAsia="仿宋" w:cs="仿宋"/>
          <w:sz w:val="24"/>
        </w:rPr>
      </w:pPr>
      <w:r>
        <w:rPr>
          <w:rFonts w:hint="eastAsia" w:ascii="仿宋" w:hAnsi="仿宋" w:eastAsia="仿宋" w:cs="仿宋"/>
          <w:sz w:val="24"/>
        </w:rPr>
        <w:t>17.2.2 预付款保函</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本项细化为：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承包人无须向发包人提交预付款保函。发包人向承包人支付的预付款，应按照</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本合同第 17.2.1 项规定使用，承包人提交的履约保证金对预付款的正常使用承担保证责任。</w:t>
      </w:r>
    </w:p>
    <w:p>
      <w:pPr>
        <w:rPr>
          <w:rFonts w:ascii="仿宋" w:hAnsi="仿宋" w:eastAsia="仿宋" w:cs="仿宋"/>
        </w:rPr>
      </w:pPr>
    </w:p>
    <w:p>
      <w:pPr>
        <w:ind w:left="420"/>
        <w:rPr>
          <w:rFonts w:ascii="仿宋" w:hAnsi="仿宋" w:eastAsia="仿宋" w:cs="仿宋"/>
          <w:sz w:val="24"/>
        </w:rPr>
      </w:pPr>
      <w:r>
        <w:rPr>
          <w:rFonts w:hint="eastAsia" w:ascii="仿宋" w:hAnsi="仿宋" w:eastAsia="仿宋" w:cs="仿宋"/>
          <w:sz w:val="24"/>
        </w:rPr>
        <w:t>17.2.3 预付款的扣回与还清</w:t>
      </w:r>
    </w:p>
    <w:p>
      <w:pPr>
        <w:rPr>
          <w:rFonts w:ascii="仿宋" w:hAnsi="仿宋" w:eastAsia="仿宋" w:cs="仿宋"/>
        </w:rPr>
      </w:pPr>
    </w:p>
    <w:p>
      <w:pPr>
        <w:ind w:left="420"/>
        <w:rPr>
          <w:rFonts w:ascii="仿宋" w:hAnsi="仿宋" w:eastAsia="仿宋" w:cs="仿宋"/>
          <w:sz w:val="24"/>
        </w:rPr>
      </w:pPr>
      <w:r>
        <w:rPr>
          <w:rFonts w:hint="eastAsia" w:ascii="仿宋" w:hAnsi="仿宋" w:eastAsia="仿宋" w:cs="仿宋"/>
          <w:sz w:val="24"/>
        </w:rPr>
        <w:t>本项约定为：</w:t>
      </w:r>
    </w:p>
    <w:p>
      <w:pPr>
        <w:rPr>
          <w:rFonts w:ascii="仿宋" w:hAnsi="仿宋" w:eastAsia="仿宋" w:cs="仿宋"/>
        </w:rPr>
      </w:pPr>
    </w:p>
    <w:p>
      <w:pPr>
        <w:ind w:firstLine="420"/>
        <w:jc w:val="both"/>
        <w:rPr>
          <w:rFonts w:ascii="仿宋" w:hAnsi="仿宋" w:eastAsia="仿宋" w:cs="仿宋"/>
          <w:sz w:val="23"/>
        </w:rPr>
      </w:pPr>
      <w:r>
        <w:rPr>
          <w:rFonts w:hint="eastAsia" w:ascii="仿宋" w:hAnsi="仿宋" w:eastAsia="仿宋" w:cs="仿宋"/>
          <w:sz w:val="23"/>
        </w:rPr>
        <w:t>（1）开工预付款在进度付款证书的累计金额未达到签约合同价的 30%之前不予扣回，在达到签约合同价 30%之后，开始按工程进度以固定比例（即每完成签约合</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同价的 1%，扣回开工预付款的 2%）分期从各月的进度付款证书中扣回，全部金额在进度付款证书的累计金额达到签约合同价的 80%时扣完。</w:t>
      </w:r>
    </w:p>
    <w:p>
      <w:pPr>
        <w:rPr>
          <w:rFonts w:ascii="仿宋" w:hAnsi="仿宋" w:eastAsia="仿宋" w:cs="仿宋"/>
        </w:rPr>
      </w:pPr>
    </w:p>
    <w:p>
      <w:pPr>
        <w:ind w:firstLine="420"/>
        <w:jc w:val="both"/>
        <w:rPr>
          <w:rFonts w:ascii="仿宋" w:hAnsi="仿宋" w:eastAsia="仿宋" w:cs="仿宋"/>
          <w:sz w:val="24"/>
        </w:rPr>
      </w:pPr>
      <w:r>
        <w:rPr>
          <w:rFonts w:hint="eastAsia" w:ascii="仿宋" w:hAnsi="仿宋" w:eastAsia="仿宋" w:cs="仿宋"/>
          <w:sz w:val="24"/>
        </w:rPr>
        <w:t>（2）当材料、设备已用于或安装在永久工程之中时，材料、设备预付款应从进度付款证书中扣回，扣回期不超过 3 个月。已经支付材料、设备预付款的材料、设备的所有权应属于发包人。</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17.3 工程进度付款</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17.3.3 进度付款证书和支付时间</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本项（1）目补充：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本项（2）目细化为：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发包人应在监理人收到进度付款申请单且承包人提交了合格的增值税专用发票</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后的 28 天内，将进度应付款支付给承包人。</w:t>
      </w:r>
    </w:p>
    <w:p>
      <w:pPr>
        <w:rPr>
          <w:rFonts w:ascii="仿宋" w:hAnsi="仿宋" w:eastAsia="仿宋" w:cs="仿宋"/>
        </w:rPr>
      </w:pPr>
    </w:p>
    <w:p>
      <w:pPr>
        <w:ind w:firstLine="480" w:firstLineChars="200"/>
        <w:rPr>
          <w:rFonts w:ascii="仿宋" w:hAnsi="仿宋" w:eastAsia="仿宋" w:cs="仿宋"/>
          <w:sz w:val="24"/>
        </w:rPr>
      </w:pPr>
      <w:r>
        <w:rPr>
          <w:rFonts w:hint="eastAsia" w:ascii="仿宋" w:hAnsi="仿宋" w:eastAsia="仿宋" w:cs="仿宋"/>
          <w:sz w:val="24"/>
        </w:rPr>
        <w:t>发包人不按期支付的，按项目专用合同条款数据表中约定的利率向承包人支付</w:t>
      </w:r>
      <w:bookmarkStart w:id="68" w:name="page147"/>
      <w:bookmarkEnd w:id="68"/>
      <w:r>
        <w:rPr>
          <w:rFonts w:hint="eastAsia" w:ascii="仿宋" w:hAnsi="仿宋" w:eastAsia="仿宋" w:cs="仿宋"/>
          <w:sz w:val="24"/>
        </w:rPr>
        <w:t>逾期付款违约金。违约金计算基数为发包人的全部未付款额，时间从应付而未付该款额之日算起（不计复利）。</w:t>
      </w:r>
    </w:p>
    <w:p>
      <w:pPr>
        <w:ind w:firstLine="400" w:firstLineChars="200"/>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本款补充第 17.3.5 项：</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17.3.5 农民工工资保证金</w:t>
      </w:r>
    </w:p>
    <w:p>
      <w:pPr>
        <w:rPr>
          <w:rFonts w:ascii="仿宋" w:hAnsi="仿宋" w:eastAsia="仿宋" w:cs="仿宋"/>
        </w:rPr>
      </w:pPr>
    </w:p>
    <w:p>
      <w:pPr>
        <w:ind w:left="480"/>
        <w:rPr>
          <w:rFonts w:ascii="仿宋" w:hAnsi="仿宋" w:eastAsia="仿宋" w:cs="仿宋"/>
          <w:sz w:val="23"/>
        </w:rPr>
      </w:pPr>
      <w:r>
        <w:rPr>
          <w:rFonts w:hint="eastAsia" w:ascii="仿宋" w:hAnsi="仿宋" w:eastAsia="仿宋" w:cs="仿宋"/>
          <w:sz w:val="23"/>
        </w:rPr>
        <w:t>（1）为确保施工过程中农民工工资实时、足额发放到位，承包人应按照项目专</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用合同条款约定的时间和金额缴存农民工工资保证金。</w:t>
      </w:r>
    </w:p>
    <w:p>
      <w:pPr>
        <w:rPr>
          <w:rFonts w:ascii="仿宋" w:hAnsi="仿宋" w:eastAsia="仿宋" w:cs="仿宋"/>
        </w:rPr>
      </w:pPr>
    </w:p>
    <w:p>
      <w:pPr>
        <w:ind w:left="480"/>
        <w:rPr>
          <w:rFonts w:ascii="仿宋" w:hAnsi="仿宋" w:eastAsia="仿宋" w:cs="仿宋"/>
          <w:sz w:val="23"/>
        </w:rPr>
      </w:pPr>
      <w:r>
        <w:rPr>
          <w:rFonts w:hint="eastAsia" w:ascii="仿宋" w:hAnsi="仿宋" w:eastAsia="仿宋" w:cs="仿宋"/>
          <w:sz w:val="23"/>
        </w:rPr>
        <w:t>（2）农民工工资保证金可采用银行保函或现金、支票形式。采用银行保函时，</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出具保函的银行须具有相应担保能力，且按照发包人批准的格式出具，所需费用由</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承包人承担。</w:t>
      </w:r>
    </w:p>
    <w:p>
      <w:pPr>
        <w:rPr>
          <w:rFonts w:ascii="仿宋" w:hAnsi="仿宋" w:eastAsia="仿宋" w:cs="仿宋"/>
        </w:rPr>
      </w:pPr>
    </w:p>
    <w:p>
      <w:pPr>
        <w:ind w:left="480"/>
        <w:rPr>
          <w:rFonts w:ascii="仿宋" w:hAnsi="仿宋" w:eastAsia="仿宋" w:cs="仿宋"/>
        </w:rPr>
      </w:pPr>
      <w:r>
        <w:rPr>
          <w:rFonts w:hint="eastAsia" w:ascii="仿宋" w:hAnsi="仿宋" w:eastAsia="仿宋" w:cs="仿宋"/>
          <w:sz w:val="23"/>
        </w:rPr>
        <w:t>（3）农民工工资保证金的扣留条件、返还时间按照项目专用合同条款的约定执</w:t>
      </w:r>
    </w:p>
    <w:p>
      <w:pPr>
        <w:rPr>
          <w:rFonts w:ascii="仿宋" w:hAnsi="仿宋" w:eastAsia="仿宋" w:cs="仿宋"/>
          <w:sz w:val="24"/>
        </w:rPr>
      </w:pPr>
      <w:r>
        <w:rPr>
          <w:rFonts w:hint="eastAsia" w:ascii="仿宋" w:hAnsi="仿宋" w:eastAsia="仿宋" w:cs="仿宋"/>
          <w:sz w:val="24"/>
        </w:rPr>
        <w:t>行。</w:t>
      </w:r>
    </w:p>
    <w:p>
      <w:pPr>
        <w:rPr>
          <w:rFonts w:ascii="仿宋" w:hAnsi="仿宋" w:eastAsia="仿宋" w:cs="仿宋"/>
        </w:rPr>
      </w:pPr>
    </w:p>
    <w:p>
      <w:pPr>
        <w:numPr>
          <w:ilvl w:val="0"/>
          <w:numId w:val="58"/>
        </w:numPr>
        <w:tabs>
          <w:tab w:val="left" w:pos="540"/>
        </w:tabs>
        <w:ind w:left="540" w:hanging="536"/>
        <w:jc w:val="both"/>
        <w:rPr>
          <w:rFonts w:ascii="仿宋" w:hAnsi="仿宋" w:eastAsia="仿宋" w:cs="仿宋"/>
          <w:sz w:val="24"/>
        </w:rPr>
      </w:pPr>
      <w:r>
        <w:rPr>
          <w:rFonts w:hint="eastAsia" w:ascii="仿宋" w:hAnsi="仿宋" w:eastAsia="仿宋" w:cs="仿宋"/>
          <w:sz w:val="24"/>
        </w:rPr>
        <w:t>质量保证金</w:t>
      </w:r>
    </w:p>
    <w:p>
      <w:pPr>
        <w:rPr>
          <w:rFonts w:ascii="仿宋" w:hAnsi="仿宋" w:eastAsia="仿宋" w:cs="仿宋"/>
          <w:sz w:val="24"/>
        </w:rPr>
      </w:pPr>
    </w:p>
    <w:p>
      <w:pPr>
        <w:numPr>
          <w:ilvl w:val="1"/>
          <w:numId w:val="58"/>
        </w:numPr>
        <w:tabs>
          <w:tab w:val="left" w:pos="780"/>
        </w:tabs>
        <w:ind w:left="780" w:hanging="296"/>
        <w:jc w:val="both"/>
        <w:rPr>
          <w:rFonts w:ascii="仿宋" w:hAnsi="仿宋" w:eastAsia="仿宋" w:cs="仿宋"/>
          <w:sz w:val="24"/>
        </w:rPr>
      </w:pPr>
      <w:r>
        <w:rPr>
          <w:rFonts w:hint="eastAsia" w:ascii="仿宋" w:hAnsi="仿宋" w:eastAsia="仿宋" w:cs="仿宋"/>
          <w:sz w:val="24"/>
        </w:rPr>
        <w:t>17.4.1 项、第 17.4.2 项细化为：</w:t>
      </w:r>
    </w:p>
    <w:p>
      <w:pPr>
        <w:rPr>
          <w:rFonts w:ascii="仿宋" w:hAnsi="仿宋" w:eastAsia="仿宋" w:cs="仿宋"/>
        </w:rPr>
      </w:pPr>
    </w:p>
    <w:p>
      <w:pPr>
        <w:numPr>
          <w:ilvl w:val="0"/>
          <w:numId w:val="59"/>
        </w:numPr>
        <w:tabs>
          <w:tab w:val="left" w:pos="1200"/>
        </w:tabs>
        <w:ind w:firstLine="484"/>
        <w:jc w:val="both"/>
        <w:rPr>
          <w:rFonts w:ascii="仿宋" w:hAnsi="仿宋" w:eastAsia="仿宋" w:cs="仿宋"/>
          <w:sz w:val="24"/>
        </w:rPr>
      </w:pPr>
      <w:r>
        <w:rPr>
          <w:rFonts w:hint="eastAsia" w:ascii="仿宋" w:hAnsi="仿宋" w:eastAsia="仿宋" w:cs="仿宋"/>
          <w:sz w:val="24"/>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rPr>
          <w:rFonts w:ascii="仿宋" w:hAnsi="仿宋" w:eastAsia="仿宋" w:cs="仿宋"/>
          <w:sz w:val="24"/>
        </w:rPr>
      </w:pPr>
    </w:p>
    <w:p>
      <w:pPr>
        <w:ind w:firstLine="480"/>
        <w:jc w:val="both"/>
        <w:rPr>
          <w:rFonts w:ascii="仿宋" w:hAnsi="仿宋" w:eastAsia="仿宋" w:cs="仿宋"/>
          <w:sz w:val="24"/>
        </w:rPr>
      </w:pPr>
      <w:r>
        <w:rPr>
          <w:rFonts w:hint="eastAsia" w:ascii="仿宋" w:hAnsi="仿宋" w:eastAsia="仿宋" w:cs="仿宋"/>
          <w:sz w:val="24"/>
        </w:rPr>
        <w:t>质量保证金采用现金、支票形式提交的，发包人应在项目专用合同条款数据表中明确是否计付利息以及利息的计算方式。</w:t>
      </w:r>
    </w:p>
    <w:p>
      <w:pPr>
        <w:rPr>
          <w:rFonts w:ascii="仿宋" w:hAnsi="仿宋" w:eastAsia="仿宋" w:cs="仿宋"/>
          <w:sz w:val="24"/>
        </w:rPr>
      </w:pPr>
    </w:p>
    <w:p>
      <w:pPr>
        <w:numPr>
          <w:ilvl w:val="0"/>
          <w:numId w:val="59"/>
        </w:numPr>
        <w:tabs>
          <w:tab w:val="left" w:pos="1200"/>
        </w:tabs>
        <w:ind w:left="1200" w:hanging="716"/>
        <w:jc w:val="both"/>
        <w:rPr>
          <w:rFonts w:ascii="仿宋" w:hAnsi="仿宋" w:eastAsia="仿宋" w:cs="仿宋"/>
          <w:sz w:val="23"/>
        </w:rPr>
      </w:pPr>
      <w:r>
        <w:rPr>
          <w:rFonts w:hint="eastAsia" w:ascii="仿宋" w:hAnsi="仿宋" w:eastAsia="仿宋" w:cs="仿宋"/>
          <w:sz w:val="23"/>
        </w:rPr>
        <w:t>在第 1.1.4.5 目约定的缺陷责任期满，且质量监督机构已按规定对工程质</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量检测鉴定合格，承包人向发包人申请到期应返还承包人剩余的质量保证金金额，</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发包人应在 14 天内会同承包人按照合同约定的内容核实承包人是否完成缺陷责任。如无异议，发包人应当在核实后将剩余保证金返还承包人。</w:t>
      </w:r>
    </w:p>
    <w:p>
      <w:pPr>
        <w:rPr>
          <w:rFonts w:ascii="仿宋" w:hAnsi="仿宋" w:eastAsia="仿宋" w:cs="仿宋"/>
        </w:rPr>
      </w:pPr>
    </w:p>
    <w:p>
      <w:pPr>
        <w:numPr>
          <w:ilvl w:val="0"/>
          <w:numId w:val="60"/>
        </w:numPr>
        <w:tabs>
          <w:tab w:val="left" w:pos="540"/>
        </w:tabs>
        <w:ind w:left="540" w:hanging="536"/>
        <w:jc w:val="both"/>
        <w:rPr>
          <w:rFonts w:ascii="仿宋" w:hAnsi="仿宋" w:eastAsia="仿宋" w:cs="仿宋"/>
          <w:sz w:val="24"/>
        </w:rPr>
      </w:pPr>
      <w:r>
        <w:rPr>
          <w:rFonts w:hint="eastAsia" w:ascii="仿宋" w:hAnsi="仿宋" w:eastAsia="仿宋" w:cs="仿宋"/>
          <w:sz w:val="24"/>
        </w:rPr>
        <w:t>交工结算</w:t>
      </w:r>
    </w:p>
    <w:p>
      <w:pPr>
        <w:rPr>
          <w:rFonts w:ascii="仿宋" w:hAnsi="仿宋" w:eastAsia="仿宋" w:cs="仿宋"/>
          <w:sz w:val="24"/>
        </w:rPr>
      </w:pPr>
    </w:p>
    <w:p>
      <w:pPr>
        <w:numPr>
          <w:ilvl w:val="1"/>
          <w:numId w:val="60"/>
        </w:numPr>
        <w:tabs>
          <w:tab w:val="left" w:pos="1200"/>
        </w:tabs>
        <w:ind w:left="1200" w:hanging="725"/>
        <w:jc w:val="both"/>
        <w:rPr>
          <w:rFonts w:ascii="仿宋" w:hAnsi="仿宋" w:eastAsia="仿宋" w:cs="仿宋"/>
          <w:sz w:val="24"/>
        </w:rPr>
      </w:pPr>
      <w:r>
        <w:rPr>
          <w:rFonts w:hint="eastAsia" w:ascii="仿宋" w:hAnsi="仿宋" w:eastAsia="仿宋" w:cs="仿宋"/>
          <w:sz w:val="24"/>
        </w:rPr>
        <w:t>交工付款申请单</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本项（1）目约定为：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承包人向监理人提交交工付款申请单（包括相关证明材料）的份数在项目专用</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合同条款数据表中约定；期限：交工验收证书签发后 42 天内。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17.5.2 交工付款证书及支付时间</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本项（2）目细化为：</w:t>
      </w:r>
    </w:p>
    <w:p>
      <w:pPr>
        <w:rPr>
          <w:rFonts w:ascii="仿宋" w:hAnsi="仿宋" w:eastAsia="仿宋" w:cs="仿宋"/>
        </w:rPr>
      </w:pPr>
    </w:p>
    <w:p>
      <w:pPr>
        <w:ind w:firstLine="566" w:firstLineChars="236"/>
        <w:rPr>
          <w:rFonts w:ascii="仿宋" w:hAnsi="仿宋" w:eastAsia="仿宋" w:cs="仿宋"/>
          <w:sz w:val="24"/>
        </w:rPr>
      </w:pPr>
      <w:r>
        <w:rPr>
          <w:rFonts w:hint="eastAsia" w:ascii="仿宋" w:hAnsi="仿宋" w:eastAsia="仿宋" w:cs="仿宋"/>
          <w:sz w:val="24"/>
        </w:rPr>
        <w:t>发包人应在监理人出具交工付款证书且承包人提交了合格的增值税专用发票后</w:t>
      </w:r>
      <w:bookmarkStart w:id="69" w:name="page148"/>
      <w:bookmarkEnd w:id="69"/>
      <w:r>
        <w:rPr>
          <w:rFonts w:hint="eastAsia" w:ascii="仿宋" w:hAnsi="仿宋" w:eastAsia="仿宋" w:cs="仿宋"/>
          <w:sz w:val="24"/>
        </w:rPr>
        <w:t>的 14 天内，将应支付款支付给承包人。发包人不按期支付的，按第 17.3.3（2）目的约定，将逾期付款违约金支付给承包人。</w:t>
      </w:r>
    </w:p>
    <w:p>
      <w:pPr>
        <w:rPr>
          <w:rFonts w:ascii="仿宋" w:hAnsi="仿宋" w:eastAsia="仿宋" w:cs="仿宋"/>
        </w:rPr>
      </w:pPr>
    </w:p>
    <w:p>
      <w:pPr>
        <w:numPr>
          <w:ilvl w:val="0"/>
          <w:numId w:val="61"/>
        </w:numPr>
        <w:tabs>
          <w:tab w:val="left" w:pos="540"/>
        </w:tabs>
        <w:ind w:left="540" w:hanging="536"/>
        <w:jc w:val="both"/>
        <w:rPr>
          <w:rFonts w:ascii="仿宋" w:hAnsi="仿宋" w:eastAsia="仿宋" w:cs="仿宋"/>
          <w:sz w:val="24"/>
        </w:rPr>
      </w:pPr>
      <w:r>
        <w:rPr>
          <w:rFonts w:hint="eastAsia" w:ascii="仿宋" w:hAnsi="仿宋" w:eastAsia="仿宋" w:cs="仿宋"/>
          <w:sz w:val="24"/>
        </w:rPr>
        <w:t>最终结清</w:t>
      </w:r>
    </w:p>
    <w:p>
      <w:pPr>
        <w:rPr>
          <w:rFonts w:ascii="仿宋" w:hAnsi="仿宋" w:eastAsia="仿宋" w:cs="仿宋"/>
          <w:sz w:val="24"/>
        </w:rPr>
      </w:pPr>
    </w:p>
    <w:p>
      <w:pPr>
        <w:numPr>
          <w:ilvl w:val="1"/>
          <w:numId w:val="61"/>
        </w:numPr>
        <w:tabs>
          <w:tab w:val="left" w:pos="1190"/>
        </w:tabs>
        <w:ind w:left="480" w:hanging="5"/>
        <w:jc w:val="both"/>
        <w:rPr>
          <w:rFonts w:ascii="仿宋" w:hAnsi="仿宋" w:eastAsia="仿宋" w:cs="仿宋"/>
          <w:sz w:val="24"/>
        </w:rPr>
      </w:pPr>
      <w:r>
        <w:rPr>
          <w:rFonts w:hint="eastAsia" w:ascii="仿宋" w:hAnsi="仿宋" w:eastAsia="仿宋" w:cs="仿宋"/>
          <w:sz w:val="24"/>
        </w:rPr>
        <w:t>最终结清申请单本项（1）目约定为：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承包人向监理人提交最终结清申请单（包括相关证明材料）的份数在项目专用</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合同条款数据表中约定；期限：缺陷责任期终止证书签发后 28 天内。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最终结清申请单中的总金额应认为是代表了根据合同规定应付给承包人的全部款项的最后结算。</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17.6.2 最终结清证书和支付时间</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本项（2）目细化为：</w:t>
      </w:r>
    </w:p>
    <w:p>
      <w:pPr>
        <w:rPr>
          <w:rFonts w:ascii="仿宋" w:hAnsi="仿宋" w:eastAsia="仿宋" w:cs="仿宋"/>
        </w:rPr>
      </w:pPr>
    </w:p>
    <w:p>
      <w:pPr>
        <w:ind w:firstLine="480"/>
        <w:rPr>
          <w:rFonts w:ascii="仿宋" w:hAnsi="仿宋" w:eastAsia="仿宋" w:cs="仿宋"/>
          <w:sz w:val="23"/>
        </w:rPr>
      </w:pPr>
      <w:r>
        <w:rPr>
          <w:rFonts w:hint="eastAsia" w:ascii="仿宋" w:hAnsi="仿宋" w:eastAsia="仿宋" w:cs="仿宋"/>
          <w:sz w:val="23"/>
        </w:rPr>
        <w:t>（2）发包人应在监理人出具最终结清证书且承包人提交了合格的增值税专用发票后的 14 天内，将应支付款支付给承包人。发包人不按期支付的，按第 17.3.3（2）</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目的约定，将逾期付款违约金支付给承包人。</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18. 交工验收</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18.2 交工验收申请报告</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本款第（2）项约定为：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竣工资料的内容：承包人应按照《公路工程竣（交）工验收办法》和相关规定编制竣工资料。</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竣工资料的份数在项目专用合同条款数据表中约定。</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18.3 验收</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18.3.2 项补充：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18.3.5 项约定为：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经验收合格工程的实际交工日期，以最终提交交工验收申请报告的日期为准，并在交工验收证书中写明。</w:t>
      </w:r>
    </w:p>
    <w:p>
      <w:pPr>
        <w:rPr>
          <w:rFonts w:ascii="仿宋" w:hAnsi="仿宋" w:eastAsia="仿宋" w:cs="仿宋"/>
          <w:sz w:val="18"/>
        </w:rPr>
      </w:pPr>
    </w:p>
    <w:p>
      <w:pPr>
        <w:ind w:left="480"/>
        <w:rPr>
          <w:rFonts w:ascii="仿宋" w:hAnsi="仿宋" w:eastAsia="仿宋" w:cs="仿宋"/>
          <w:sz w:val="24"/>
        </w:rPr>
      </w:pPr>
      <w:bookmarkStart w:id="70" w:name="page149"/>
      <w:bookmarkEnd w:id="70"/>
      <w:r>
        <w:rPr>
          <w:rFonts w:hint="eastAsia" w:ascii="仿宋" w:hAnsi="仿宋" w:eastAsia="仿宋" w:cs="仿宋"/>
          <w:sz w:val="24"/>
        </w:rPr>
        <w:t>本款补充第 18.3.7 项：</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组织办理交工验收和签发交工验收证书的费用由发包人承担。但按照第 18.3.4</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项规定达不到合格标准的交工验收费用由承包人承担。</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本条补充第 18.9 款：</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18.9 竣工文件</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承包人应按照《公路工程竣（交）工验收办法》的相关规定，在缺陷责任期内为竣工验收补充竣工资料，并在签发缺陷责任期终止证书之前提交。</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19. 缺陷责任与保修责任</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19.2 缺陷责任</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19.2.2 项补充：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在缺陷责任期内，承包人应尽快完成在交工验收证书中写明的未完成工作，并完成对本工程缺陷的修复或监理人指令的修补工作。</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19.5 承包人的进入权</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承包人在缺陷修复施工过程中，应服从管养单位的有关安全管理规定，由于承包人自身原因造成的人员伤亡、设备和材料的损毁及罚款等责任由承包人自负。</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19.7 保修责任</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（2）在全部工程交工验收前，已经发包人提前验收的单位工程，其保修期的起算日期相应提前。</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（3）工程保修期终止后 28 天内，监理人签发保修期终止证书。</w:t>
      </w:r>
    </w:p>
    <w:p>
      <w:pPr>
        <w:rPr>
          <w:rFonts w:ascii="仿宋" w:hAnsi="仿宋" w:eastAsia="仿宋" w:cs="仿宋"/>
        </w:rPr>
      </w:pPr>
    </w:p>
    <w:p>
      <w:pPr>
        <w:ind w:firstLine="480"/>
        <w:jc w:val="both"/>
        <w:rPr>
          <w:rFonts w:ascii="仿宋" w:hAnsi="仿宋" w:eastAsia="仿宋" w:cs="仿宋"/>
        </w:rPr>
      </w:pPr>
      <w:r>
        <w:rPr>
          <w:rFonts w:hint="eastAsia" w:ascii="仿宋" w:hAnsi="仿宋" w:eastAsia="仿宋" w:cs="仿宋"/>
          <w:sz w:val="23"/>
        </w:rPr>
        <w:t>（4）若承包人不履行保修义务和责任，则承包人应承担由于违约造成的法律后果，并由发包人将其违约行为上报省级交通运输主管部门，作为不良记录纳入公路</w:t>
      </w:r>
      <w:r>
        <w:rPr>
          <w:rFonts w:hint="eastAsia" w:ascii="仿宋" w:hAnsi="仿宋" w:eastAsia="仿宋" w:cs="仿宋"/>
          <w:sz w:val="24"/>
        </w:rPr>
        <w:t>建设市场信用信息管理系统。</w:t>
      </w: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20. 保险</w:t>
      </w:r>
    </w:p>
    <w:p>
      <w:pPr>
        <w:rPr>
          <w:rFonts w:ascii="仿宋" w:hAnsi="仿宋" w:eastAsia="仿宋" w:cs="仿宋"/>
        </w:rPr>
      </w:pPr>
    </w:p>
    <w:p>
      <w:pPr>
        <w:numPr>
          <w:ilvl w:val="0"/>
          <w:numId w:val="62"/>
        </w:numPr>
        <w:tabs>
          <w:tab w:val="left" w:pos="480"/>
        </w:tabs>
        <w:ind w:left="480" w:hanging="476"/>
        <w:rPr>
          <w:rFonts w:ascii="仿宋" w:hAnsi="仿宋" w:eastAsia="仿宋" w:cs="仿宋"/>
          <w:sz w:val="24"/>
        </w:rPr>
      </w:pPr>
      <w:r>
        <w:rPr>
          <w:rFonts w:hint="eastAsia" w:ascii="仿宋" w:hAnsi="仿宋" w:eastAsia="仿宋" w:cs="仿宋"/>
          <w:sz w:val="24"/>
        </w:rPr>
        <w:t>工程保险本款约定为：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建筑工程一切险的投保内容：为本合同工程的永久工程、临时工程和设备及已运至施工工地用于永久工程的材料和设备所投的保险。</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保险金额：工程量清单第 100 章（不含建筑工程一切险及第三者责任险的保险费）至第 700 章的合计金额。</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保险费率：在项目专用合同条款数据表中约定。</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保险期限：开工日起直至本合同工程签发缺陷责任期终止证书止（即合同工期＋缺陷责任期）。</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承包人应以发包人和承包人的共同名义投保建筑工程一切险。建筑工程一切险</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的保险费由承包人报价时列入工程量清单第 100 章内。发包人在接到保险单后，将按照保险单的费用直接向承包人支付。</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20.4 第三者责任险</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20.4.2 项补充：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第三者责任险的保险费由承包人报价时列入工程量清单第 100 章内。发包人在接到保险单后，将按照保险单的费用直接向承包人支付。</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20.5 其他保险</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本款约定为：</w:t>
      </w:r>
    </w:p>
    <w:p>
      <w:pPr>
        <w:rPr>
          <w:rFonts w:ascii="仿宋" w:hAnsi="仿宋" w:eastAsia="仿宋" w:cs="仿宋"/>
        </w:rPr>
      </w:pPr>
    </w:p>
    <w:p>
      <w:pPr>
        <w:ind w:firstLine="420"/>
        <w:jc w:val="both"/>
        <w:rPr>
          <w:rFonts w:ascii="仿宋" w:hAnsi="仿宋" w:eastAsia="仿宋" w:cs="仿宋"/>
          <w:sz w:val="24"/>
        </w:rPr>
      </w:pPr>
      <w:r>
        <w:rPr>
          <w:rFonts w:hint="eastAsia" w:ascii="仿宋" w:hAnsi="仿宋" w:eastAsia="仿宋" w:cs="仿宋"/>
          <w:sz w:val="24"/>
        </w:rPr>
        <w:t>承包人应为其施工设备等办理保险，其投保金额应足以现场重置。办理本款保险的一切费用均由承包人承担，并包括在工程量清单的单价及总额价中，发包人不单独支付。</w:t>
      </w:r>
    </w:p>
    <w:p>
      <w:pPr>
        <w:rPr>
          <w:rFonts w:ascii="仿宋" w:hAnsi="仿宋" w:eastAsia="仿宋" w:cs="仿宋"/>
        </w:rPr>
      </w:pPr>
    </w:p>
    <w:p>
      <w:pPr>
        <w:numPr>
          <w:ilvl w:val="0"/>
          <w:numId w:val="63"/>
        </w:numPr>
        <w:tabs>
          <w:tab w:val="left" w:pos="540"/>
        </w:tabs>
        <w:ind w:left="540" w:hanging="536"/>
        <w:jc w:val="both"/>
        <w:rPr>
          <w:rFonts w:ascii="仿宋" w:hAnsi="仿宋" w:eastAsia="仿宋" w:cs="仿宋"/>
          <w:sz w:val="24"/>
        </w:rPr>
      </w:pPr>
      <w:r>
        <w:rPr>
          <w:rFonts w:hint="eastAsia" w:ascii="仿宋" w:hAnsi="仿宋" w:eastAsia="仿宋" w:cs="仿宋"/>
          <w:sz w:val="24"/>
        </w:rPr>
        <w:t>对各项保险的一般要求</w:t>
      </w:r>
    </w:p>
    <w:p>
      <w:pPr>
        <w:rPr>
          <w:rFonts w:ascii="仿宋" w:hAnsi="仿宋" w:eastAsia="仿宋" w:cs="仿宋"/>
          <w:sz w:val="24"/>
        </w:rPr>
      </w:pPr>
    </w:p>
    <w:p>
      <w:pPr>
        <w:rPr>
          <w:rFonts w:ascii="仿宋" w:hAnsi="仿宋" w:eastAsia="仿宋" w:cs="仿宋"/>
          <w:sz w:val="24"/>
        </w:rPr>
      </w:pPr>
    </w:p>
    <w:p>
      <w:pPr>
        <w:numPr>
          <w:ilvl w:val="1"/>
          <w:numId w:val="63"/>
        </w:numPr>
        <w:tabs>
          <w:tab w:val="left" w:pos="1120"/>
        </w:tabs>
        <w:ind w:left="400" w:hanging="4"/>
        <w:jc w:val="both"/>
        <w:rPr>
          <w:rFonts w:ascii="仿宋" w:hAnsi="仿宋" w:eastAsia="仿宋" w:cs="仿宋"/>
          <w:sz w:val="23"/>
        </w:rPr>
      </w:pPr>
      <w:r>
        <w:rPr>
          <w:rFonts w:hint="eastAsia" w:ascii="仿宋" w:hAnsi="仿宋" w:eastAsia="仿宋" w:cs="仿宋"/>
          <w:sz w:val="23"/>
        </w:rPr>
        <w:t>保险凭证本项约定为：</w:t>
      </w:r>
    </w:p>
    <w:p>
      <w:pPr>
        <w:rPr>
          <w:rFonts w:ascii="仿宋" w:hAnsi="仿宋" w:eastAsia="仿宋" w:cs="仿宋"/>
          <w:sz w:val="23"/>
        </w:rPr>
      </w:pPr>
    </w:p>
    <w:p>
      <w:pPr>
        <w:ind w:left="400"/>
        <w:jc w:val="both"/>
        <w:rPr>
          <w:rFonts w:ascii="仿宋" w:hAnsi="仿宋" w:eastAsia="仿宋" w:cs="仿宋"/>
          <w:sz w:val="23"/>
        </w:rPr>
      </w:pPr>
      <w:r>
        <w:rPr>
          <w:rFonts w:hint="eastAsia" w:ascii="仿宋" w:hAnsi="仿宋" w:eastAsia="仿宋" w:cs="仿宋"/>
          <w:sz w:val="23"/>
        </w:rPr>
        <w:t>承包人向发包人提交各项保险生效的证据和保险单副本的期限：开工后 56 天内。</w:t>
      </w:r>
    </w:p>
    <w:p>
      <w:pPr>
        <w:rPr>
          <w:rFonts w:ascii="仿宋" w:hAnsi="仿宋" w:eastAsia="仿宋" w:cs="仿宋"/>
          <w:sz w:val="23"/>
        </w:rPr>
      </w:pPr>
    </w:p>
    <w:p>
      <w:pPr>
        <w:numPr>
          <w:ilvl w:val="1"/>
          <w:numId w:val="64"/>
        </w:numPr>
        <w:tabs>
          <w:tab w:val="left" w:pos="1120"/>
        </w:tabs>
        <w:ind w:left="1120" w:hanging="724"/>
        <w:jc w:val="both"/>
        <w:rPr>
          <w:rFonts w:ascii="仿宋" w:hAnsi="仿宋" w:eastAsia="仿宋" w:cs="仿宋"/>
          <w:sz w:val="24"/>
        </w:rPr>
      </w:pPr>
      <w:r>
        <w:rPr>
          <w:rFonts w:hint="eastAsia" w:ascii="仿宋" w:hAnsi="仿宋" w:eastAsia="仿宋" w:cs="仿宋"/>
          <w:sz w:val="24"/>
        </w:rPr>
        <w:t>持续保险</w:t>
      </w:r>
    </w:p>
    <w:p>
      <w:pPr>
        <w:ind w:left="480"/>
        <w:rPr>
          <w:rFonts w:ascii="仿宋" w:hAnsi="仿宋" w:eastAsia="仿宋" w:cs="仿宋"/>
          <w:sz w:val="24"/>
        </w:rPr>
      </w:pPr>
      <w:r>
        <w:rPr>
          <w:rFonts w:hint="eastAsia" w:ascii="仿宋" w:hAnsi="仿宋" w:eastAsia="仿宋" w:cs="仿宋"/>
          <w:sz w:val="24"/>
        </w:rPr>
        <w:t>本项补充：</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在整个合同期内，承包人应按合同条款规定保证足够的保险额。</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20.6.4 保险金不足的补偿</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本项细化为：</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保险金不足以补偿损失的（包括免赔额和超过赔偿限额的部分），应由承包人和（或）发包人按合同约定负责补偿。</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20.6.5 未按约定投保的补救</w:t>
      </w:r>
    </w:p>
    <w:p>
      <w:pPr>
        <w:rPr>
          <w:rFonts w:ascii="仿宋" w:hAnsi="仿宋" w:eastAsia="仿宋" w:cs="仿宋"/>
        </w:rPr>
      </w:pPr>
    </w:p>
    <w:p>
      <w:pPr>
        <w:ind w:left="400"/>
        <w:rPr>
          <w:rFonts w:ascii="仿宋" w:hAnsi="仿宋" w:eastAsia="仿宋" w:cs="仿宋"/>
          <w:sz w:val="24"/>
        </w:rPr>
      </w:pPr>
      <w:r>
        <w:rPr>
          <w:rFonts w:hint="eastAsia" w:ascii="仿宋" w:hAnsi="仿宋" w:eastAsia="仿宋" w:cs="仿宋"/>
          <w:sz w:val="24"/>
        </w:rPr>
        <w:t>本项（2）目细化为：</w:t>
      </w:r>
    </w:p>
    <w:p>
      <w:pPr>
        <w:rPr>
          <w:rFonts w:ascii="仿宋" w:hAnsi="仿宋" w:eastAsia="仿宋" w:cs="仿宋"/>
        </w:rPr>
      </w:pPr>
    </w:p>
    <w:p>
      <w:pPr>
        <w:ind w:firstLine="391"/>
        <w:rPr>
          <w:rFonts w:ascii="仿宋" w:hAnsi="仿宋" w:eastAsia="仿宋" w:cs="仿宋"/>
          <w:sz w:val="24"/>
        </w:rPr>
      </w:pPr>
      <w:r>
        <w:rPr>
          <w:rFonts w:hint="eastAsia" w:ascii="仿宋" w:hAnsi="仿宋" w:eastAsia="仿宋" w:cs="仿宋"/>
          <w:sz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21. 不可抗力</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21.1 不可抗力的确认</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21.1.1 项细化为：</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不可抗力是指承包人和发包人在订立合同时不可预见，在工程施工过程中不可避免发生并不能克服的自然灾害和社会性突发事件。包括但不限于：</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（1）地震、海啸、火山爆发、泥石流、暴雨（雪）、台风、龙卷风、水灾等自然灾害；</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（2）战争、骚乱、暴动，但纯属承包人或其分包人派遣与雇用的人员由于本合同工程施工原因引起者除外；</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（3）核反应、辐射或放射性污染；（4）空中飞行物体坠落或非发包人或承包人责任造成的爆炸、火灾；（5）瘟疫；</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（6）项目专用合同条款约定的其他情形。</w:t>
      </w:r>
    </w:p>
    <w:p>
      <w:pPr>
        <w:rPr>
          <w:rFonts w:ascii="仿宋" w:hAnsi="仿宋" w:eastAsia="仿宋" w:cs="仿宋"/>
        </w:rPr>
      </w:pPr>
    </w:p>
    <w:p>
      <w:pPr>
        <w:numPr>
          <w:ilvl w:val="0"/>
          <w:numId w:val="65"/>
        </w:numPr>
        <w:tabs>
          <w:tab w:val="left" w:pos="540"/>
        </w:tabs>
        <w:ind w:left="540" w:hanging="536"/>
        <w:jc w:val="both"/>
        <w:rPr>
          <w:rFonts w:ascii="仿宋" w:hAnsi="仿宋" w:eastAsia="仿宋" w:cs="仿宋"/>
          <w:sz w:val="24"/>
        </w:rPr>
      </w:pPr>
      <w:r>
        <w:rPr>
          <w:rFonts w:hint="eastAsia" w:ascii="仿宋" w:hAnsi="仿宋" w:eastAsia="仿宋" w:cs="仿宋"/>
          <w:sz w:val="24"/>
        </w:rPr>
        <w:t>不可抗力后果及其处理</w:t>
      </w:r>
    </w:p>
    <w:p>
      <w:pPr>
        <w:rPr>
          <w:rFonts w:ascii="仿宋" w:hAnsi="仿宋" w:eastAsia="仿宋" w:cs="仿宋"/>
          <w:sz w:val="24"/>
        </w:rPr>
      </w:pPr>
    </w:p>
    <w:p>
      <w:pPr>
        <w:numPr>
          <w:ilvl w:val="1"/>
          <w:numId w:val="65"/>
        </w:numPr>
        <w:tabs>
          <w:tab w:val="left" w:pos="1200"/>
        </w:tabs>
        <w:ind w:left="1200" w:hanging="725"/>
        <w:jc w:val="both"/>
        <w:rPr>
          <w:rFonts w:ascii="仿宋" w:hAnsi="仿宋" w:eastAsia="仿宋" w:cs="仿宋"/>
          <w:sz w:val="24"/>
        </w:rPr>
      </w:pPr>
      <w:r>
        <w:rPr>
          <w:rFonts w:hint="eastAsia" w:ascii="仿宋" w:hAnsi="仿宋" w:eastAsia="仿宋" w:cs="仿宋"/>
          <w:sz w:val="24"/>
        </w:rPr>
        <w:t>因不可抗力解除合同</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本项细化为：</w:t>
      </w:r>
    </w:p>
    <w:p>
      <w:pPr>
        <w:rPr>
          <w:rFonts w:ascii="仿宋" w:hAnsi="仿宋" w:eastAsia="仿宋" w:cs="仿宋"/>
        </w:rPr>
      </w:pPr>
    </w:p>
    <w:p>
      <w:pPr>
        <w:ind w:firstLine="566" w:firstLineChars="236"/>
        <w:rPr>
          <w:rFonts w:ascii="仿宋" w:hAnsi="仿宋" w:eastAsia="仿宋" w:cs="仿宋"/>
          <w:sz w:val="24"/>
        </w:rPr>
      </w:pPr>
      <w:r>
        <w:rPr>
          <w:rFonts w:hint="eastAsia" w:ascii="仿宋" w:hAnsi="仿宋" w:eastAsia="仿宋" w:cs="仿宋"/>
          <w:sz w:val="24"/>
        </w:rPr>
        <w:t>合同一方当事人因不可抗力不能履行合同的，应当及时通知对方解除合同。合同解除后，承包人应按照第 22.2.5 项约定撤离施工场地。已经订货的材料、设备由</w:t>
      </w:r>
      <w:r>
        <w:rPr>
          <w:rFonts w:hint="eastAsia" w:ascii="仿宋" w:hAnsi="仿宋" w:eastAsia="仿宋" w:cs="仿宋"/>
          <w:sz w:val="23"/>
        </w:rPr>
        <w:t>订货方负责退货或解除订货合同，不能退还的货款和因退货、解除订货合同发生的费用，由发包人承担，因未及时退货造成的损失由责任方承担。合同解除后的付款，</w:t>
      </w:r>
      <w:r>
        <w:rPr>
          <w:rFonts w:hint="eastAsia" w:ascii="仿宋" w:hAnsi="仿宋" w:eastAsia="仿宋" w:cs="仿宋"/>
          <w:sz w:val="24"/>
        </w:rPr>
        <w:t>参照第 22.2.4 项约定，由监理人按第 3.5 款商定或确定，但由于解除合同应赔偿的承包人损失不予考虑。</w:t>
      </w: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22. 违约</w:t>
      </w:r>
    </w:p>
    <w:p>
      <w:pPr>
        <w:rPr>
          <w:rFonts w:ascii="仿宋" w:hAnsi="仿宋" w:eastAsia="仿宋" w:cs="仿宋"/>
        </w:rPr>
      </w:pPr>
    </w:p>
    <w:p>
      <w:pPr>
        <w:numPr>
          <w:ilvl w:val="0"/>
          <w:numId w:val="66"/>
        </w:numPr>
        <w:tabs>
          <w:tab w:val="left" w:pos="540"/>
        </w:tabs>
        <w:ind w:left="540" w:hanging="536"/>
        <w:jc w:val="both"/>
        <w:rPr>
          <w:rFonts w:ascii="仿宋" w:hAnsi="仿宋" w:eastAsia="仿宋" w:cs="仿宋"/>
          <w:sz w:val="24"/>
        </w:rPr>
      </w:pPr>
      <w:r>
        <w:rPr>
          <w:rFonts w:hint="eastAsia" w:ascii="仿宋" w:hAnsi="仿宋" w:eastAsia="仿宋" w:cs="仿宋"/>
          <w:sz w:val="24"/>
        </w:rPr>
        <w:t>承包人违约</w:t>
      </w:r>
    </w:p>
    <w:p>
      <w:pPr>
        <w:numPr>
          <w:ilvl w:val="1"/>
          <w:numId w:val="66"/>
        </w:numPr>
        <w:tabs>
          <w:tab w:val="left" w:pos="1200"/>
        </w:tabs>
        <w:ind w:left="1200" w:hanging="716"/>
        <w:jc w:val="both"/>
        <w:rPr>
          <w:rFonts w:ascii="仿宋" w:hAnsi="仿宋" w:eastAsia="仿宋" w:cs="仿宋"/>
        </w:rPr>
      </w:pPr>
      <w:r>
        <w:rPr>
          <w:rFonts w:hint="eastAsia" w:ascii="仿宋" w:hAnsi="仿宋" w:eastAsia="仿宋" w:cs="仿宋"/>
          <w:sz w:val="24"/>
        </w:rPr>
        <w:t>承包人违约的情形</w:t>
      </w:r>
    </w:p>
    <w:p>
      <w:pPr>
        <w:ind w:left="480"/>
        <w:rPr>
          <w:rFonts w:ascii="仿宋" w:hAnsi="仿宋" w:eastAsia="仿宋" w:cs="仿宋"/>
        </w:rPr>
      </w:pPr>
      <w:r>
        <w:rPr>
          <w:rFonts w:hint="eastAsia" w:ascii="仿宋" w:hAnsi="仿宋" w:eastAsia="仿宋" w:cs="仿宋"/>
          <w:sz w:val="24"/>
        </w:rPr>
        <w:t>本项（2）目细化为：</w:t>
      </w:r>
    </w:p>
    <w:p>
      <w:pPr>
        <w:ind w:firstLine="480"/>
        <w:jc w:val="both"/>
        <w:rPr>
          <w:rFonts w:ascii="仿宋" w:hAnsi="仿宋" w:eastAsia="仿宋" w:cs="仿宋"/>
        </w:rPr>
      </w:pPr>
      <w:r>
        <w:rPr>
          <w:rFonts w:hint="eastAsia" w:ascii="仿宋" w:hAnsi="仿宋" w:eastAsia="仿宋" w:cs="仿宋"/>
          <w:sz w:val="24"/>
        </w:rPr>
        <w:t>（2）承包人违反第 5.3 款或第 6.4 款的约定，未经监理人批准，私自将已按合同约定进入施工场地的施工设备、临时设施、材料或工程设备撤离施工场地；</w:t>
      </w:r>
    </w:p>
    <w:p>
      <w:pPr>
        <w:ind w:left="480"/>
        <w:rPr>
          <w:rFonts w:ascii="仿宋" w:hAnsi="仿宋" w:eastAsia="仿宋" w:cs="仿宋"/>
        </w:rPr>
      </w:pPr>
      <w:r>
        <w:rPr>
          <w:rFonts w:hint="eastAsia" w:ascii="仿宋" w:hAnsi="仿宋" w:eastAsia="仿宋" w:cs="仿宋"/>
          <w:sz w:val="24"/>
        </w:rPr>
        <w:t>本项（7）目细化为：</w:t>
      </w:r>
    </w:p>
    <w:p>
      <w:pPr>
        <w:ind w:left="480"/>
        <w:rPr>
          <w:rFonts w:ascii="仿宋" w:hAnsi="仿宋" w:eastAsia="仿宋" w:cs="仿宋"/>
        </w:rPr>
      </w:pPr>
      <w:r>
        <w:rPr>
          <w:rFonts w:hint="eastAsia" w:ascii="仿宋" w:hAnsi="仿宋" w:eastAsia="仿宋" w:cs="仿宋"/>
          <w:sz w:val="24"/>
        </w:rPr>
        <w:t>（7）承包人未能按期开工；</w:t>
      </w:r>
    </w:p>
    <w:p>
      <w:pPr>
        <w:ind w:firstLine="480"/>
        <w:jc w:val="both"/>
        <w:rPr>
          <w:rFonts w:ascii="仿宋" w:hAnsi="仿宋" w:eastAsia="仿宋" w:cs="仿宋"/>
        </w:rPr>
      </w:pPr>
      <w:r>
        <w:rPr>
          <w:rFonts w:hint="eastAsia" w:ascii="仿宋" w:hAnsi="仿宋" w:eastAsia="仿宋" w:cs="仿宋"/>
          <w:sz w:val="24"/>
        </w:rPr>
        <w:t>（8）承包人违反第 4.6 款或第 6.3 款的规定，未按承诺或未按监理人的要求及时配备称职的主要管理人员、技术骨干或关键施工设备；</w:t>
      </w:r>
    </w:p>
    <w:p>
      <w:pPr>
        <w:ind w:firstLine="480"/>
        <w:jc w:val="both"/>
        <w:rPr>
          <w:rFonts w:ascii="仿宋" w:hAnsi="仿宋" w:eastAsia="仿宋" w:cs="仿宋"/>
        </w:rPr>
      </w:pPr>
      <w:r>
        <w:rPr>
          <w:rFonts w:hint="eastAsia" w:ascii="仿宋" w:hAnsi="仿宋" w:eastAsia="仿宋" w:cs="仿宋"/>
          <w:sz w:val="24"/>
        </w:rPr>
        <w:t>（9）经监理人和发包人检查，发现承包人有安全问题或有违反安全管理规章制度的情况；</w:t>
      </w:r>
    </w:p>
    <w:p>
      <w:pPr>
        <w:ind w:left="480"/>
        <w:rPr>
          <w:rFonts w:ascii="仿宋" w:hAnsi="仿宋" w:eastAsia="仿宋" w:cs="仿宋"/>
        </w:rPr>
      </w:pPr>
      <w:r>
        <w:rPr>
          <w:rFonts w:hint="eastAsia" w:ascii="仿宋" w:hAnsi="仿宋" w:eastAsia="仿宋" w:cs="仿宋"/>
          <w:sz w:val="24"/>
        </w:rPr>
        <w:t>（10）承包人不按合同约定履行义务的其他情况。</w:t>
      </w:r>
    </w:p>
    <w:p>
      <w:pPr>
        <w:ind w:left="480"/>
        <w:rPr>
          <w:rFonts w:ascii="仿宋" w:hAnsi="仿宋" w:eastAsia="仿宋" w:cs="仿宋"/>
        </w:rPr>
      </w:pPr>
      <w:r>
        <w:rPr>
          <w:rFonts w:hint="eastAsia" w:ascii="仿宋" w:hAnsi="仿宋" w:eastAsia="仿宋" w:cs="仿宋"/>
          <w:sz w:val="24"/>
        </w:rPr>
        <w:t>22.1.2 对承包人违约的处理</w:t>
      </w:r>
    </w:p>
    <w:p>
      <w:pPr>
        <w:ind w:left="480"/>
        <w:rPr>
          <w:rFonts w:ascii="仿宋" w:hAnsi="仿宋" w:eastAsia="仿宋" w:cs="仿宋"/>
        </w:rPr>
      </w:pPr>
      <w:r>
        <w:rPr>
          <w:rFonts w:hint="eastAsia" w:ascii="仿宋" w:hAnsi="仿宋" w:eastAsia="仿宋" w:cs="仿宋"/>
          <w:sz w:val="24"/>
        </w:rPr>
        <w:t>本项补充：</w:t>
      </w:r>
    </w:p>
    <w:p>
      <w:pPr>
        <w:ind w:firstLine="480"/>
        <w:jc w:val="both"/>
        <w:rPr>
          <w:rFonts w:ascii="仿宋" w:hAnsi="仿宋" w:eastAsia="仿宋" w:cs="仿宋"/>
        </w:rPr>
      </w:pPr>
      <w:r>
        <w:rPr>
          <w:rFonts w:hint="eastAsia" w:ascii="仿宋" w:hAnsi="仿宋" w:eastAsia="仿宋" w:cs="仿宋"/>
          <w:sz w:val="24"/>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rPr>
          <w:rFonts w:ascii="仿宋" w:hAnsi="仿宋" w:eastAsia="仿宋" w:cs="仿宋"/>
        </w:rPr>
      </w:pPr>
      <w:r>
        <w:rPr>
          <w:rFonts w:hint="eastAsia" w:ascii="仿宋" w:hAnsi="仿宋" w:eastAsia="仿宋" w:cs="仿宋"/>
          <w:sz w:val="24"/>
        </w:rPr>
        <w:t>22.2 发包人违约</w:t>
      </w:r>
    </w:p>
    <w:p>
      <w:pPr>
        <w:ind w:left="480"/>
        <w:rPr>
          <w:rFonts w:ascii="仿宋" w:hAnsi="仿宋" w:eastAsia="仿宋" w:cs="仿宋"/>
        </w:rPr>
      </w:pPr>
      <w:r>
        <w:rPr>
          <w:rFonts w:hint="eastAsia" w:ascii="仿宋" w:hAnsi="仿宋" w:eastAsia="仿宋" w:cs="仿宋"/>
          <w:sz w:val="24"/>
        </w:rPr>
        <w:t>22.2.1 发包人违约的情形</w:t>
      </w:r>
    </w:p>
    <w:p>
      <w:pPr>
        <w:ind w:left="480"/>
        <w:rPr>
          <w:rFonts w:ascii="仿宋" w:hAnsi="仿宋" w:eastAsia="仿宋" w:cs="仿宋"/>
        </w:rPr>
      </w:pPr>
      <w:r>
        <w:rPr>
          <w:rFonts w:hint="eastAsia" w:ascii="仿宋" w:hAnsi="仿宋" w:eastAsia="仿宋" w:cs="仿宋"/>
          <w:sz w:val="24"/>
        </w:rPr>
        <w:t>本项（5）目细化为：</w:t>
      </w:r>
    </w:p>
    <w:p>
      <w:pPr>
        <w:ind w:firstLine="480"/>
        <w:jc w:val="both"/>
        <w:rPr>
          <w:rFonts w:ascii="仿宋" w:hAnsi="仿宋" w:eastAsia="仿宋" w:cs="仿宋"/>
        </w:rPr>
      </w:pPr>
      <w:r>
        <w:rPr>
          <w:rFonts w:hint="eastAsia" w:ascii="仿宋" w:hAnsi="仿宋" w:eastAsia="仿宋" w:cs="仿宋"/>
          <w:sz w:val="24"/>
        </w:rPr>
        <w:t>（5）发包人无正当理由不按时返还履约保证金、质量保证金或农民工工资保证金的；</w:t>
      </w:r>
    </w:p>
    <w:p>
      <w:pPr>
        <w:ind w:left="480"/>
        <w:rPr>
          <w:rFonts w:ascii="仿宋" w:hAnsi="仿宋" w:eastAsia="仿宋" w:cs="仿宋"/>
          <w:sz w:val="24"/>
        </w:rPr>
      </w:pPr>
      <w:r>
        <w:rPr>
          <w:rFonts w:hint="eastAsia" w:ascii="仿宋" w:hAnsi="仿宋" w:eastAsia="仿宋" w:cs="仿宋"/>
          <w:sz w:val="24"/>
        </w:rPr>
        <w:t>（6）发包人不履行合同约定其他义务的。</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22.2.2 承包人有权暂停施工</w:t>
      </w:r>
    </w:p>
    <w:p>
      <w:pPr>
        <w:ind w:left="480"/>
        <w:rPr>
          <w:rFonts w:ascii="仿宋" w:hAnsi="仿宋" w:eastAsia="仿宋" w:cs="仿宋"/>
          <w:sz w:val="24"/>
        </w:rPr>
      </w:pPr>
      <w:bookmarkStart w:id="71" w:name="page153"/>
      <w:bookmarkEnd w:id="71"/>
      <w:r>
        <w:rPr>
          <w:rFonts w:hint="eastAsia" w:ascii="仿宋" w:hAnsi="仿宋" w:eastAsia="仿宋" w:cs="仿宋"/>
          <w:sz w:val="24"/>
        </w:rPr>
        <w:t>本项细化为：</w:t>
      </w:r>
    </w:p>
    <w:p>
      <w:pPr>
        <w:rPr>
          <w:rFonts w:ascii="仿宋" w:hAnsi="仿宋" w:eastAsia="仿宋" w:cs="仿宋"/>
        </w:rPr>
      </w:pPr>
    </w:p>
    <w:p>
      <w:pPr>
        <w:ind w:firstLine="470"/>
        <w:jc w:val="both"/>
        <w:rPr>
          <w:rFonts w:ascii="仿宋" w:hAnsi="仿宋" w:eastAsia="仿宋" w:cs="仿宋"/>
        </w:rPr>
      </w:pPr>
      <w:r>
        <w:rPr>
          <w:rFonts w:hint="eastAsia" w:ascii="仿宋" w:hAnsi="仿宋" w:eastAsia="仿宋" w:cs="仿宋"/>
          <w:sz w:val="23"/>
        </w:rPr>
        <w:t>发包人发生除第 22.2.1（4）、（5）目以外的违约情况时，承包人可向发包人发出通知，要求发包人采取有效措施纠正违约行为。发包人收到承包人通知后的 28 天</w:t>
      </w:r>
    </w:p>
    <w:p>
      <w:pPr>
        <w:jc w:val="both"/>
        <w:rPr>
          <w:rFonts w:ascii="仿宋" w:hAnsi="仿宋" w:eastAsia="仿宋" w:cs="仿宋"/>
          <w:sz w:val="24"/>
        </w:rPr>
      </w:pPr>
      <w:r>
        <w:rPr>
          <w:rFonts w:hint="eastAsia" w:ascii="仿宋" w:hAnsi="仿宋" w:eastAsia="仿宋" w:cs="仿宋"/>
          <w:sz w:val="24"/>
        </w:rPr>
        <w:t>内仍不履行合同义务，承包人有权暂停施工，并通知监理人，发包人应承担由此增加的费用和（或）工期延误，并支付承包人合理利润。</w:t>
      </w:r>
    </w:p>
    <w:p>
      <w:pPr>
        <w:rPr>
          <w:rFonts w:ascii="仿宋" w:hAnsi="仿宋" w:eastAsia="仿宋" w:cs="仿宋"/>
        </w:rPr>
      </w:pPr>
    </w:p>
    <w:p>
      <w:pPr>
        <w:ind w:firstLine="470"/>
        <w:jc w:val="both"/>
        <w:rPr>
          <w:rFonts w:ascii="仿宋" w:hAnsi="仿宋" w:eastAsia="仿宋" w:cs="仿宋"/>
          <w:sz w:val="24"/>
        </w:rPr>
      </w:pPr>
      <w:r>
        <w:rPr>
          <w:rFonts w:hint="eastAsia" w:ascii="仿宋" w:hAnsi="仿宋" w:eastAsia="仿宋" w:cs="仿宋"/>
          <w:sz w:val="24"/>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22.2.4 解除合同后的付款</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本项（2）目细化为：</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（2）承包人为该工程施工订购并已付款的材料、工程设备和其他物品的金额。发包人付款后，该材料、工程设备和其他物品归发包人所有；</w:t>
      </w:r>
    </w:p>
    <w:p>
      <w:pPr>
        <w:rPr>
          <w:rFonts w:ascii="仿宋" w:hAnsi="仿宋" w:eastAsia="仿宋" w:cs="仿宋"/>
        </w:rPr>
      </w:pPr>
    </w:p>
    <w:p>
      <w:pPr>
        <w:rPr>
          <w:rFonts w:ascii="仿宋" w:hAnsi="仿宋" w:eastAsia="仿宋" w:cs="仿宋"/>
        </w:rPr>
      </w:pPr>
    </w:p>
    <w:p>
      <w:pPr>
        <w:rPr>
          <w:rFonts w:ascii="仿宋" w:hAnsi="仿宋" w:eastAsia="仿宋" w:cs="仿宋"/>
          <w:sz w:val="28"/>
        </w:rPr>
      </w:pPr>
      <w:r>
        <w:rPr>
          <w:rFonts w:hint="eastAsia" w:ascii="仿宋" w:hAnsi="仿宋" w:eastAsia="仿宋" w:cs="仿宋"/>
          <w:sz w:val="28"/>
        </w:rPr>
        <w:t>23. 索赔</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23.1 承包人索赔的提出</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本款第（4）项细化为：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（4）在索赔事件影响结束后的 28 天内，承包人应向监理人递交最终索赔通知书，说明最终要求索赔的追加付款金额和（或）延长的工期，并附必要的记录和证明材料。</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23.2 承包人索赔处理程序</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本款第（2）项细化为：</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rPr>
          <w:rFonts w:ascii="仿宋" w:hAnsi="仿宋" w:eastAsia="仿宋" w:cs="仿宋"/>
        </w:rPr>
      </w:pPr>
      <w:bookmarkStart w:id="72" w:name="page154"/>
      <w:bookmarkEnd w:id="72"/>
    </w:p>
    <w:p>
      <w:pPr>
        <w:rPr>
          <w:rFonts w:ascii="仿宋" w:hAnsi="仿宋" w:eastAsia="仿宋" w:cs="仿宋"/>
          <w:sz w:val="28"/>
        </w:rPr>
      </w:pPr>
      <w:r>
        <w:rPr>
          <w:rFonts w:hint="eastAsia" w:ascii="仿宋" w:hAnsi="仿宋" w:eastAsia="仿宋" w:cs="仿宋"/>
          <w:sz w:val="28"/>
        </w:rPr>
        <w:t>24. 争议的解决</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24.3 争议评审</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第 24.3.1 项补充：</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本条补充第 24.4 款、第 24.5 款（适用于采用仲裁方式最终解决争议的项目）：</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24.4 仲裁</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（1）对于未能友好解决或未能通过争议评审解决的争议，发包人或承包人任一方均有权提交给第 24.1 款约定的仲裁委员会仲裁。</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rPr>
          <w:rFonts w:ascii="仿宋" w:hAnsi="仿宋" w:eastAsia="仿宋" w:cs="仿宋"/>
        </w:rPr>
      </w:pPr>
    </w:p>
    <w:p>
      <w:pPr>
        <w:ind w:left="480"/>
        <w:rPr>
          <w:rFonts w:ascii="仿宋" w:hAnsi="仿宋" w:eastAsia="仿宋" w:cs="仿宋"/>
        </w:rPr>
      </w:pPr>
      <w:r>
        <w:rPr>
          <w:rFonts w:hint="eastAsia" w:ascii="仿宋" w:hAnsi="仿宋" w:eastAsia="仿宋" w:cs="仿宋"/>
          <w:sz w:val="24"/>
        </w:rPr>
        <w:t>（3）仲裁裁决是终局性的并对发包人和承包人双方具有约束力。</w:t>
      </w:r>
    </w:p>
    <w:p>
      <w:pPr>
        <w:ind w:left="480"/>
        <w:rPr>
          <w:rFonts w:ascii="仿宋" w:hAnsi="仿宋" w:eastAsia="仿宋" w:cs="仿宋"/>
        </w:rPr>
      </w:pPr>
      <w:r>
        <w:rPr>
          <w:rFonts w:hint="eastAsia" w:ascii="仿宋" w:hAnsi="仿宋" w:eastAsia="仿宋" w:cs="仿宋"/>
          <w:sz w:val="24"/>
        </w:rPr>
        <w:t>（4）全部仲裁费用应由败诉方承担；或按仲裁委员会裁决的比例分担。</w:t>
      </w:r>
    </w:p>
    <w:p>
      <w:pPr>
        <w:rPr>
          <w:rFonts w:ascii="仿宋" w:hAnsi="仿宋" w:eastAsia="仿宋" w:cs="仿宋"/>
          <w:sz w:val="24"/>
        </w:rPr>
      </w:pPr>
      <w:r>
        <w:rPr>
          <w:rFonts w:hint="eastAsia" w:ascii="仿宋" w:hAnsi="仿宋" w:eastAsia="仿宋" w:cs="仿宋"/>
          <w:sz w:val="24"/>
        </w:rPr>
        <w:t>24.5 仲裁的执行</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（1）任何一方不履行仲裁机构的裁决的，对方可以向有管辖权的人民法院申请执行。</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jc w:val="both"/>
        <w:rPr>
          <w:rFonts w:ascii="仿宋" w:hAnsi="仿宋" w:eastAsia="仿宋" w:cs="仿宋"/>
          <w:sz w:val="24"/>
        </w:rPr>
        <w:sectPr>
          <w:pgSz w:w="11900" w:h="16841"/>
          <w:pgMar w:top="851" w:right="1580" w:bottom="579" w:left="1640" w:header="567" w:footer="567" w:gutter="0"/>
          <w:cols w:space="720" w:num="1"/>
          <w:docGrid w:linePitch="360" w:charSpace="0"/>
        </w:sectPr>
      </w:pPr>
    </w:p>
    <w:p>
      <w:pPr>
        <w:rPr>
          <w:rFonts w:ascii="仿宋" w:hAnsi="仿宋" w:eastAsia="仿宋" w:cs="仿宋"/>
        </w:rPr>
      </w:pPr>
    </w:p>
    <w:p>
      <w:pPr>
        <w:rPr>
          <w:rFonts w:ascii="仿宋" w:hAnsi="仿宋" w:eastAsia="仿宋" w:cs="仿宋"/>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ind w:left="2840"/>
        <w:rPr>
          <w:rFonts w:ascii="仿宋" w:hAnsi="仿宋" w:eastAsia="仿宋" w:cs="仿宋"/>
          <w:sz w:val="32"/>
        </w:rPr>
      </w:pPr>
      <w:bookmarkStart w:id="73" w:name="page155"/>
      <w:bookmarkEnd w:id="73"/>
      <w:r>
        <w:rPr>
          <w:rFonts w:hint="eastAsia" w:ascii="仿宋" w:hAnsi="仿宋" w:eastAsia="仿宋" w:cs="仿宋"/>
          <w:sz w:val="32"/>
        </w:rPr>
        <w:t>B. 项目专用合同条款</w:t>
      </w: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460"/>
        </w:tabs>
        <w:rPr>
          <w:rFonts w:ascii="仿宋" w:hAnsi="仿宋" w:eastAsia="仿宋" w:cs="仿宋"/>
          <w:sz w:val="24"/>
        </w:rPr>
      </w:pPr>
      <w:r>
        <w:rPr>
          <w:rFonts w:hint="eastAsia" w:ascii="仿宋" w:hAnsi="仿宋" w:eastAsia="仿宋" w:cs="仿宋"/>
          <w:sz w:val="24"/>
        </w:rPr>
        <w:t>说</w:t>
      </w:r>
      <w:r>
        <w:rPr>
          <w:rFonts w:hint="eastAsia" w:ascii="仿宋" w:hAnsi="仿宋" w:eastAsia="仿宋" w:cs="仿宋"/>
        </w:rPr>
        <w:tab/>
      </w:r>
      <w:r>
        <w:rPr>
          <w:rFonts w:hint="eastAsia" w:ascii="仿宋" w:hAnsi="仿宋" w:eastAsia="仿宋" w:cs="仿宋"/>
          <w:sz w:val="24"/>
        </w:rPr>
        <w:t>明：</w:t>
      </w:r>
    </w:p>
    <w:p>
      <w:pPr>
        <w:rPr>
          <w:rFonts w:ascii="仿宋" w:hAnsi="仿宋" w:eastAsia="仿宋" w:cs="仿宋"/>
        </w:rPr>
      </w:pPr>
    </w:p>
    <w:p>
      <w:pPr>
        <w:ind w:firstLine="720"/>
        <w:jc w:val="both"/>
        <w:rPr>
          <w:rFonts w:ascii="仿宋" w:hAnsi="仿宋" w:eastAsia="仿宋" w:cs="仿宋"/>
          <w:sz w:val="24"/>
        </w:rPr>
      </w:pPr>
      <w:r>
        <w:rPr>
          <w:rFonts w:hint="eastAsia" w:ascii="仿宋" w:hAnsi="仿宋" w:eastAsia="仿宋" w:cs="仿宋"/>
          <w:sz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2.项目专用合同条款的编号应与通用合同条款和公路工程专用合同条款一</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致。</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3.项目专用合同条款可对下列内容进行补充和细化：</w:t>
      </w:r>
    </w:p>
    <w:p>
      <w:pPr>
        <w:rPr>
          <w:rFonts w:ascii="仿宋" w:hAnsi="仿宋" w:eastAsia="仿宋" w:cs="仿宋"/>
        </w:rPr>
      </w:pPr>
    </w:p>
    <w:p>
      <w:pPr>
        <w:ind w:firstLine="720"/>
        <w:jc w:val="both"/>
        <w:rPr>
          <w:rFonts w:ascii="仿宋" w:hAnsi="仿宋" w:eastAsia="仿宋" w:cs="仿宋"/>
          <w:sz w:val="23"/>
        </w:rPr>
      </w:pPr>
      <w:r>
        <w:rPr>
          <w:rFonts w:hint="eastAsia" w:ascii="仿宋" w:hAnsi="仿宋" w:eastAsia="仿宋" w:cs="仿宋"/>
          <w:sz w:val="23"/>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rPr>
          <w:rFonts w:ascii="仿宋" w:hAnsi="仿宋" w:eastAsia="仿宋" w:cs="仿宋"/>
        </w:rPr>
      </w:pPr>
    </w:p>
    <w:p>
      <w:pPr>
        <w:ind w:firstLine="720"/>
        <w:jc w:val="both"/>
        <w:rPr>
          <w:rFonts w:ascii="仿宋" w:hAnsi="仿宋" w:eastAsia="仿宋" w:cs="仿宋"/>
          <w:sz w:val="24"/>
        </w:rPr>
      </w:pPr>
      <w:r>
        <w:rPr>
          <w:rFonts w:hint="eastAsia" w:ascii="仿宋" w:hAnsi="仿宋" w:eastAsia="仿宋" w:cs="仿宋"/>
          <w:sz w:val="24"/>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rPr>
          <w:rFonts w:ascii="仿宋" w:hAnsi="仿宋" w:eastAsia="仿宋" w:cs="仿宋"/>
        </w:rPr>
      </w:pPr>
    </w:p>
    <w:p>
      <w:pPr>
        <w:ind w:left="720"/>
        <w:rPr>
          <w:rFonts w:ascii="仿宋" w:hAnsi="仿宋" w:eastAsia="仿宋" w:cs="仿宋"/>
          <w:sz w:val="24"/>
        </w:rPr>
      </w:pPr>
      <w:r>
        <w:rPr>
          <w:rFonts w:hint="eastAsia" w:ascii="仿宋" w:hAnsi="仿宋" w:eastAsia="仿宋" w:cs="仿宋"/>
          <w:sz w:val="24"/>
        </w:rPr>
        <w:t>（3）其他需要补充、细化的内容。</w:t>
      </w: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ind w:left="2680"/>
        <w:rPr>
          <w:rFonts w:ascii="仿宋" w:hAnsi="仿宋" w:eastAsia="仿宋" w:cs="仿宋"/>
          <w:sz w:val="32"/>
        </w:rPr>
      </w:pPr>
      <w:bookmarkStart w:id="74" w:name="page156"/>
      <w:bookmarkEnd w:id="74"/>
      <w:r>
        <w:rPr>
          <w:rFonts w:hint="eastAsia" w:ascii="仿宋" w:hAnsi="仿宋" w:eastAsia="仿宋" w:cs="仿宋"/>
          <w:sz w:val="32"/>
        </w:rPr>
        <w:t>项目专用合同条款数据表</w:t>
      </w:r>
    </w:p>
    <w:p>
      <w:pPr>
        <w:rPr>
          <w:rFonts w:ascii="仿宋" w:hAnsi="仿宋" w:eastAsia="仿宋" w:cs="仿宋"/>
        </w:rPr>
      </w:pPr>
    </w:p>
    <w:p>
      <w:pPr>
        <w:ind w:left="760" w:hanging="659"/>
        <w:jc w:val="both"/>
        <w:rPr>
          <w:rFonts w:ascii="仿宋" w:hAnsi="仿宋" w:eastAsia="仿宋" w:cs="仿宋"/>
          <w:sz w:val="24"/>
        </w:rPr>
      </w:pPr>
      <w:r>
        <w:rPr>
          <w:rFonts w:hint="eastAsia" w:ascii="仿宋" w:hAnsi="仿宋" w:eastAsia="仿宋" w:cs="仿宋"/>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10"/>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noWrap w:val="0"/>
            <w:vAlign w:val="center"/>
          </w:tcPr>
          <w:p>
            <w:pPr>
              <w:jc w:val="both"/>
              <w:rPr>
                <w:rFonts w:hint="eastAsia" w:ascii="仿宋" w:hAnsi="仿宋" w:eastAsia="仿宋" w:cs="仿宋"/>
                <w:b/>
                <w:sz w:val="21"/>
                <w:szCs w:val="22"/>
              </w:rPr>
            </w:pPr>
            <w:r>
              <w:rPr>
                <w:rFonts w:hint="eastAsia" w:ascii="仿宋" w:hAnsi="仿宋" w:eastAsia="仿宋" w:cs="仿宋"/>
                <w:b/>
                <w:sz w:val="21"/>
                <w:szCs w:val="22"/>
              </w:rPr>
              <w:t>序号</w:t>
            </w:r>
          </w:p>
        </w:tc>
        <w:tc>
          <w:tcPr>
            <w:tcW w:w="1134" w:type="dxa"/>
            <w:noWrap w:val="0"/>
            <w:vAlign w:val="center"/>
          </w:tcPr>
          <w:p>
            <w:pPr>
              <w:jc w:val="center"/>
              <w:rPr>
                <w:rFonts w:hint="eastAsia" w:ascii="仿宋" w:hAnsi="仿宋" w:eastAsia="仿宋" w:cs="仿宋"/>
                <w:b/>
                <w:sz w:val="21"/>
                <w:szCs w:val="22"/>
              </w:rPr>
            </w:pPr>
            <w:r>
              <w:rPr>
                <w:rFonts w:hint="eastAsia" w:ascii="仿宋" w:hAnsi="仿宋" w:eastAsia="仿宋" w:cs="仿宋"/>
                <w:b/>
                <w:sz w:val="21"/>
                <w:szCs w:val="22"/>
              </w:rPr>
              <w:t>条</w:t>
            </w:r>
            <w:r>
              <w:rPr>
                <w:rFonts w:hint="eastAsia" w:ascii="仿宋" w:hAnsi="仿宋" w:eastAsia="仿宋" w:cs="仿宋"/>
                <w:b/>
                <w:sz w:val="21"/>
                <w:szCs w:val="22"/>
                <w:lang w:val="en-US" w:eastAsia="zh-CN"/>
              </w:rPr>
              <w:t>目</w:t>
            </w:r>
            <w:r>
              <w:rPr>
                <w:rFonts w:hint="eastAsia" w:ascii="仿宋" w:hAnsi="仿宋" w:eastAsia="仿宋" w:cs="仿宋"/>
                <w:b/>
                <w:sz w:val="21"/>
                <w:szCs w:val="22"/>
              </w:rPr>
              <w:t>号</w:t>
            </w:r>
          </w:p>
        </w:tc>
        <w:tc>
          <w:tcPr>
            <w:tcW w:w="7027" w:type="dxa"/>
            <w:noWrap w:val="0"/>
            <w:vAlign w:val="center"/>
          </w:tcPr>
          <w:p>
            <w:pPr>
              <w:ind w:left="260"/>
              <w:jc w:val="center"/>
              <w:rPr>
                <w:rFonts w:hint="eastAsia" w:ascii="仿宋" w:hAnsi="仿宋" w:eastAsia="仿宋" w:cs="仿宋"/>
                <w:b/>
                <w:sz w:val="21"/>
                <w:szCs w:val="22"/>
              </w:rPr>
            </w:pPr>
            <w:r>
              <w:rPr>
                <w:rFonts w:hint="eastAsia" w:ascii="仿宋" w:hAnsi="仿宋" w:eastAsia="仿宋" w:cs="仿宋"/>
                <w:b/>
                <w:sz w:val="21"/>
                <w:szCs w:val="22"/>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1</w:t>
            </w:r>
          </w:p>
        </w:tc>
        <w:tc>
          <w:tcPr>
            <w:tcW w:w="1134"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1.1.2.2</w:t>
            </w:r>
          </w:p>
        </w:tc>
        <w:tc>
          <w:tcPr>
            <w:tcW w:w="7027"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发包人：</w:t>
            </w:r>
          </w:p>
          <w:p>
            <w:pPr>
              <w:ind w:left="320"/>
              <w:rPr>
                <w:rFonts w:hint="eastAsia" w:ascii="仿宋" w:hAnsi="仿宋" w:eastAsia="仿宋" w:cs="仿宋"/>
                <w:sz w:val="21"/>
                <w:szCs w:val="22"/>
              </w:rPr>
            </w:pPr>
            <w:r>
              <w:rPr>
                <w:rFonts w:hint="eastAsia" w:ascii="仿宋" w:hAnsi="仿宋" w:eastAsia="仿宋" w:cs="仿宋"/>
                <w:sz w:val="21"/>
                <w:szCs w:val="22"/>
              </w:rPr>
              <w:t xml:space="preserve">地址： </w:t>
            </w:r>
            <w:r>
              <w:rPr>
                <w:rFonts w:hint="eastAsia" w:ascii="仿宋" w:hAnsi="仿宋" w:eastAsia="仿宋" w:cs="仿宋"/>
                <w:sz w:val="21"/>
                <w:szCs w:val="22"/>
                <w:lang w:val="en-US" w:eastAsia="zh-CN"/>
              </w:rPr>
              <w:t xml:space="preserve">                                         </w:t>
            </w:r>
            <w:r>
              <w:rPr>
                <w:rFonts w:hint="eastAsia" w:ascii="仿宋" w:hAnsi="仿宋" w:eastAsia="仿宋" w:cs="仿宋"/>
                <w:sz w:val="21"/>
                <w:szCs w:val="22"/>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2</w:t>
            </w:r>
          </w:p>
        </w:tc>
        <w:tc>
          <w:tcPr>
            <w:tcW w:w="1134"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1.1.2.6</w:t>
            </w:r>
          </w:p>
        </w:tc>
        <w:tc>
          <w:tcPr>
            <w:tcW w:w="7027"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监理人：</w:t>
            </w:r>
          </w:p>
          <w:p>
            <w:pPr>
              <w:ind w:left="320"/>
              <w:rPr>
                <w:rFonts w:hint="eastAsia" w:ascii="仿宋" w:hAnsi="仿宋" w:eastAsia="仿宋" w:cs="仿宋"/>
                <w:sz w:val="21"/>
                <w:szCs w:val="22"/>
              </w:rPr>
            </w:pPr>
            <w:r>
              <w:rPr>
                <w:rFonts w:hint="eastAsia" w:ascii="仿宋" w:hAnsi="仿宋" w:eastAsia="仿宋" w:cs="仿宋"/>
                <w:sz w:val="21"/>
                <w:szCs w:val="22"/>
              </w:rPr>
              <w:t xml:space="preserve">地  址：              </w:t>
            </w:r>
            <w:r>
              <w:rPr>
                <w:rFonts w:hint="eastAsia" w:ascii="仿宋" w:hAnsi="仿宋" w:eastAsia="仿宋" w:cs="仿宋"/>
                <w:sz w:val="21"/>
                <w:szCs w:val="22"/>
                <w:lang w:val="en-US" w:eastAsia="zh-CN"/>
              </w:rPr>
              <w:t xml:space="preserve">                     </w:t>
            </w:r>
            <w:r>
              <w:rPr>
                <w:rFonts w:hint="eastAsia" w:ascii="仿宋" w:hAnsi="仿宋" w:eastAsia="仿宋" w:cs="仿宋"/>
                <w:sz w:val="21"/>
                <w:szCs w:val="22"/>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3</w:t>
            </w:r>
          </w:p>
        </w:tc>
        <w:tc>
          <w:tcPr>
            <w:tcW w:w="1134"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1.1.4.5</w:t>
            </w:r>
          </w:p>
        </w:tc>
        <w:tc>
          <w:tcPr>
            <w:tcW w:w="7027" w:type="dxa"/>
            <w:noWrap w:val="0"/>
            <w:vAlign w:val="center"/>
          </w:tcPr>
          <w:p>
            <w:pPr>
              <w:ind w:left="320" w:leftChars="0"/>
              <w:rPr>
                <w:rFonts w:hint="eastAsia" w:ascii="仿宋" w:hAnsi="仿宋" w:eastAsia="仿宋" w:cs="仿宋"/>
                <w:sz w:val="21"/>
                <w:szCs w:val="22"/>
              </w:rPr>
            </w:pPr>
            <w:r>
              <w:rPr>
                <w:rFonts w:hint="eastAsia" w:ascii="仿宋" w:hAnsi="仿宋" w:eastAsia="仿宋" w:cs="仿宋"/>
                <w:sz w:val="21"/>
                <w:szCs w:val="22"/>
              </w:rPr>
              <w:t xml:space="preserve">缺陷责任期： </w:t>
            </w:r>
            <w:r>
              <w:rPr>
                <w:rFonts w:hint="eastAsia" w:ascii="仿宋" w:hAnsi="仿宋" w:eastAsia="仿宋" w:cs="仿宋"/>
                <w:w w:val="99"/>
                <w:sz w:val="21"/>
              </w:rPr>
              <w:t>自实际交工日期起计算</w:t>
            </w:r>
            <w:r>
              <w:rPr>
                <w:rFonts w:hint="eastAsia" w:ascii="仿宋" w:hAnsi="仿宋" w:eastAsia="仿宋" w:cs="仿宋"/>
                <w:sz w:val="21"/>
                <w:szCs w:val="22"/>
                <w:u w:val="single"/>
                <w:lang w:val="en-US" w:eastAsia="zh-CN"/>
              </w:rPr>
              <w:t>2</w:t>
            </w:r>
            <w:r>
              <w:rPr>
                <w:rFonts w:hint="eastAsia" w:ascii="仿宋" w:hAnsi="仿宋" w:eastAsia="仿宋" w:cs="仿宋"/>
                <w:sz w:val="21"/>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864"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4</w:t>
            </w:r>
          </w:p>
        </w:tc>
        <w:tc>
          <w:tcPr>
            <w:tcW w:w="1134" w:type="dxa"/>
            <w:noWrap w:val="0"/>
            <w:vAlign w:val="center"/>
          </w:tcPr>
          <w:p>
            <w:pPr>
              <w:ind w:left="320" w:leftChars="0"/>
              <w:rPr>
                <w:rFonts w:hint="eastAsia" w:ascii="仿宋" w:hAnsi="仿宋" w:eastAsia="仿宋" w:cs="仿宋"/>
                <w:sz w:val="21"/>
                <w:szCs w:val="22"/>
              </w:rPr>
            </w:pPr>
            <w:r>
              <w:rPr>
                <w:rFonts w:hint="eastAsia" w:ascii="仿宋" w:hAnsi="仿宋" w:eastAsia="仿宋" w:cs="仿宋"/>
                <w:sz w:val="21"/>
                <w:szCs w:val="22"/>
              </w:rPr>
              <w:t>1.6.3</w:t>
            </w:r>
          </w:p>
        </w:tc>
        <w:tc>
          <w:tcPr>
            <w:tcW w:w="7027" w:type="dxa"/>
            <w:noWrap w:val="0"/>
            <w:vAlign w:val="center"/>
          </w:tcPr>
          <w:p>
            <w:pPr>
              <w:ind w:left="320" w:leftChars="0"/>
              <w:rPr>
                <w:rFonts w:hint="eastAsia" w:ascii="仿宋" w:hAnsi="仿宋" w:eastAsia="仿宋" w:cs="仿宋"/>
                <w:sz w:val="21"/>
                <w:szCs w:val="22"/>
              </w:rPr>
            </w:pPr>
            <w:r>
              <w:rPr>
                <w:rFonts w:hint="eastAsia" w:ascii="仿宋" w:hAnsi="仿宋" w:eastAsia="仿宋" w:cs="仿宋"/>
                <w:sz w:val="21"/>
                <w:szCs w:val="22"/>
              </w:rPr>
              <w:t xml:space="preserve">图纸需要修改和补充的，应由监理人取得发包人同意后，在该工程或工程相应部位施工前 </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 xml:space="preserve"> 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864" w:type="dxa"/>
            <w:tcBorders/>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lang w:val="en-US" w:eastAsia="zh-CN"/>
              </w:rPr>
              <w:t>5</w:t>
            </w:r>
          </w:p>
        </w:tc>
        <w:tc>
          <w:tcPr>
            <w:tcW w:w="1134" w:type="dxa"/>
            <w:noWrap w:val="0"/>
            <w:vAlign w:val="center"/>
          </w:tcPr>
          <w:p>
            <w:pPr>
              <w:jc w:val="center"/>
              <w:rPr>
                <w:rFonts w:hint="eastAsia" w:ascii="仿宋" w:hAnsi="仿宋" w:eastAsia="仿宋" w:cs="仿宋"/>
                <w:sz w:val="21"/>
                <w:szCs w:val="22"/>
              </w:rPr>
            </w:pPr>
            <w:r>
              <w:rPr>
                <w:rFonts w:hint="eastAsia" w:ascii="仿宋" w:hAnsi="仿宋" w:eastAsia="仿宋" w:cs="仿宋"/>
                <w:sz w:val="21"/>
                <w:szCs w:val="22"/>
              </w:rPr>
              <w:t>3.1.1</w:t>
            </w:r>
          </w:p>
        </w:tc>
        <w:tc>
          <w:tcPr>
            <w:tcW w:w="7027" w:type="dxa"/>
            <w:noWrap w:val="0"/>
            <w:vAlign w:val="bottom"/>
          </w:tcPr>
          <w:p>
            <w:pPr>
              <w:ind w:left="320" w:leftChars="0"/>
              <w:rPr>
                <w:rFonts w:hint="eastAsia" w:ascii="仿宋" w:hAnsi="仿宋" w:eastAsia="仿宋" w:cs="仿宋"/>
                <w:sz w:val="21"/>
              </w:rPr>
            </w:pPr>
            <w:r>
              <w:rPr>
                <w:rFonts w:hint="eastAsia" w:ascii="仿宋" w:hAnsi="仿宋" w:eastAsia="仿宋" w:cs="仿宋"/>
                <w:sz w:val="21"/>
              </w:rPr>
              <w:t>监理人在行使下列权力前需要经发包人事先批准：</w:t>
            </w:r>
          </w:p>
          <w:p>
            <w:pPr>
              <w:ind w:left="320" w:leftChars="0"/>
              <w:rPr>
                <w:rFonts w:hint="eastAsia" w:ascii="仿宋" w:hAnsi="仿宋" w:eastAsia="仿宋" w:cs="仿宋"/>
                <w:sz w:val="21"/>
                <w:szCs w:val="22"/>
              </w:rPr>
            </w:pPr>
            <w:r>
              <w:rPr>
                <w:rFonts w:hint="eastAsia" w:ascii="仿宋" w:hAnsi="仿宋" w:eastAsia="仿宋" w:cs="仿宋"/>
                <w:sz w:val="21"/>
              </w:rPr>
              <w:t>（6）根据第 15.3 款发出的变更指示，其单项工程变更涉及的金额超过了该单项工程签约时合同价的  %或累计变更超过了签约合同的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lang w:val="en-US" w:eastAsia="zh-CN"/>
              </w:rPr>
              <w:t>6</w:t>
            </w:r>
          </w:p>
        </w:tc>
        <w:tc>
          <w:tcPr>
            <w:tcW w:w="113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5.2.1</w:t>
            </w:r>
          </w:p>
        </w:tc>
        <w:tc>
          <w:tcPr>
            <w:tcW w:w="7027" w:type="dxa"/>
            <w:noWrap w:val="0"/>
            <w:vAlign w:val="center"/>
          </w:tcPr>
          <w:p>
            <w:pPr>
              <w:ind w:left="320" w:leftChars="0"/>
              <w:rPr>
                <w:rFonts w:hint="eastAsia" w:ascii="仿宋" w:hAnsi="仿宋" w:eastAsia="仿宋" w:cs="仿宋"/>
                <w:sz w:val="21"/>
                <w:szCs w:val="22"/>
                <w:u w:val="single"/>
                <w:lang w:val="en-US" w:eastAsia="zh-CN"/>
              </w:rPr>
            </w:pPr>
            <w:r>
              <w:rPr>
                <w:rFonts w:hint="eastAsia" w:ascii="仿宋" w:hAnsi="仿宋" w:eastAsia="仿宋" w:cs="仿宋"/>
                <w:sz w:val="21"/>
                <w:szCs w:val="22"/>
              </w:rPr>
              <w:t>发包人是否提供材料或工程设备：</w:t>
            </w:r>
            <w:r>
              <w:rPr>
                <w:rFonts w:hint="eastAsia" w:ascii="仿宋" w:hAnsi="仿宋" w:eastAsia="仿宋" w:cs="仿宋"/>
                <w:sz w:val="21"/>
                <w:szCs w:val="22"/>
                <w:u w:val="single"/>
                <w:lang w:val="en-US" w:eastAsia="zh-CN"/>
              </w:rPr>
              <w:t>是或否</w:t>
            </w:r>
          </w:p>
          <w:p>
            <w:pPr>
              <w:ind w:left="320" w:leftChars="0"/>
              <w:rPr>
                <w:rFonts w:hint="default"/>
                <w:u w:val="single"/>
                <w:lang w:val="en-US" w:eastAsia="zh-CN"/>
              </w:rPr>
            </w:pPr>
            <w:r>
              <w:rPr>
                <w:rFonts w:hint="eastAsia" w:ascii="仿宋" w:hAnsi="仿宋" w:eastAsia="仿宋" w:cs="仿宋"/>
                <w:sz w:val="21"/>
                <w:szCs w:val="22"/>
                <w:lang w:val="en-US" w:eastAsia="zh-CN"/>
              </w:rPr>
              <w:t>如发包人负责提供部分材料或工程设备，相关规定如下：</w:t>
            </w:r>
            <w:r>
              <w:rPr>
                <w:rFonts w:hint="eastAsia" w:ascii="仿宋" w:hAnsi="仿宋" w:eastAsia="仿宋" w:cs="仿宋"/>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lang w:val="en-US" w:eastAsia="zh-CN"/>
              </w:rPr>
              <w:t>7</w:t>
            </w:r>
          </w:p>
        </w:tc>
        <w:tc>
          <w:tcPr>
            <w:tcW w:w="113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6.2</w:t>
            </w:r>
          </w:p>
        </w:tc>
        <w:tc>
          <w:tcPr>
            <w:tcW w:w="7027" w:type="dxa"/>
            <w:noWrap w:val="0"/>
            <w:vAlign w:val="center"/>
          </w:tcPr>
          <w:p>
            <w:pPr>
              <w:ind w:left="320" w:leftChars="0"/>
              <w:rPr>
                <w:rFonts w:hint="eastAsia" w:ascii="仿宋" w:hAnsi="仿宋" w:eastAsia="仿宋" w:cs="仿宋"/>
                <w:sz w:val="21"/>
                <w:szCs w:val="22"/>
                <w:u w:val="single"/>
                <w:lang w:val="en-US" w:eastAsia="zh-CN"/>
              </w:rPr>
            </w:pPr>
            <w:r>
              <w:rPr>
                <w:rFonts w:hint="eastAsia" w:ascii="仿宋" w:hAnsi="仿宋" w:eastAsia="仿宋" w:cs="仿宋"/>
                <w:sz w:val="21"/>
                <w:szCs w:val="22"/>
                <w:lang w:val="en-US" w:eastAsia="zh-CN"/>
              </w:rPr>
              <w:t>发包人是否提供施工设备和临时设施：</w:t>
            </w:r>
            <w:r>
              <w:rPr>
                <w:rFonts w:hint="eastAsia" w:ascii="仿宋" w:hAnsi="仿宋" w:eastAsia="仿宋" w:cs="仿宋"/>
                <w:sz w:val="21"/>
                <w:szCs w:val="22"/>
                <w:u w:val="single"/>
                <w:lang w:val="en-US" w:eastAsia="zh-CN"/>
              </w:rPr>
              <w:t>是或否</w:t>
            </w:r>
          </w:p>
          <w:p>
            <w:pPr>
              <w:ind w:left="320" w:leftChars="0"/>
              <w:rPr>
                <w:rFonts w:hint="default"/>
                <w:u w:val="single"/>
                <w:lang w:val="en-US" w:eastAsia="zh-CN"/>
              </w:rPr>
            </w:pPr>
            <w:r>
              <w:rPr>
                <w:rFonts w:hint="eastAsia" w:ascii="仿宋" w:hAnsi="仿宋" w:eastAsia="仿宋" w:cs="仿宋"/>
                <w:sz w:val="21"/>
                <w:szCs w:val="22"/>
                <w:lang w:val="en-US" w:eastAsia="zh-CN"/>
              </w:rPr>
              <w:t>如发包人负责提供部分施工设备和临时设施，相关规定如下：</w:t>
            </w:r>
            <w:r>
              <w:rPr>
                <w:rFonts w:hint="eastAsia" w:ascii="仿宋" w:hAnsi="仿宋" w:eastAsia="仿宋" w:cs="仿宋"/>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lang w:val="en-US" w:eastAsia="zh-CN"/>
              </w:rPr>
              <w:t>8</w:t>
            </w:r>
          </w:p>
        </w:tc>
        <w:tc>
          <w:tcPr>
            <w:tcW w:w="113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8.1.1</w:t>
            </w:r>
          </w:p>
        </w:tc>
        <w:tc>
          <w:tcPr>
            <w:tcW w:w="7027" w:type="dxa"/>
            <w:noWrap w:val="0"/>
            <w:vAlign w:val="center"/>
          </w:tcPr>
          <w:p>
            <w:pPr>
              <w:ind w:left="320" w:leftChars="0"/>
              <w:rPr>
                <w:rFonts w:hint="default" w:ascii="仿宋" w:hAnsi="仿宋" w:eastAsia="仿宋" w:cs="仿宋"/>
                <w:sz w:val="21"/>
                <w:szCs w:val="22"/>
                <w:u w:val="single"/>
                <w:lang w:val="en-US" w:eastAsia="zh-CN"/>
              </w:rPr>
            </w:pPr>
            <w:r>
              <w:rPr>
                <w:rFonts w:hint="eastAsia" w:ascii="仿宋" w:hAnsi="仿宋" w:eastAsia="仿宋" w:cs="仿宋"/>
                <w:sz w:val="21"/>
                <w:szCs w:val="22"/>
                <w:lang w:val="en-US" w:eastAsia="zh-CN"/>
              </w:rPr>
              <w:t>发包人提供测量基准点、基准线和水准点及其书面资料的期限：</w:t>
            </w:r>
            <w:r>
              <w:rPr>
                <w:rFonts w:hint="eastAsia" w:ascii="仿宋" w:hAnsi="仿宋" w:eastAsia="仿宋" w:cs="仿宋"/>
                <w:sz w:val="21"/>
                <w:szCs w:val="22"/>
                <w:u w:val="single"/>
                <w:lang w:val="en-US" w:eastAsia="zh-CN"/>
              </w:rPr>
              <w:t xml:space="preserve">     </w:t>
            </w:r>
          </w:p>
          <w:p>
            <w:pPr>
              <w:ind w:left="320" w:leftChars="0"/>
              <w:rPr>
                <w:rFonts w:hint="default"/>
                <w:u w:val="single"/>
                <w:lang w:val="en-US" w:eastAsia="zh-CN"/>
              </w:rPr>
            </w:pPr>
            <w:r>
              <w:rPr>
                <w:rFonts w:hint="eastAsia" w:ascii="仿宋" w:hAnsi="仿宋" w:eastAsia="仿宋" w:cs="仿宋"/>
                <w:sz w:val="21"/>
                <w:szCs w:val="22"/>
                <w:lang w:val="en-US" w:eastAsia="zh-CN"/>
              </w:rPr>
              <w:t>承包人将施工控制网资料报送监理人审批的期限：</w:t>
            </w:r>
            <w:r>
              <w:rPr>
                <w:rFonts w:hint="eastAsia" w:ascii="仿宋" w:hAnsi="仿宋" w:eastAsia="仿宋" w:cs="仿宋"/>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lang w:val="en-US" w:eastAsia="zh-CN"/>
              </w:rPr>
              <w:t>9</w:t>
            </w:r>
          </w:p>
        </w:tc>
        <w:tc>
          <w:tcPr>
            <w:tcW w:w="1134" w:type="dxa"/>
            <w:noWrap w:val="0"/>
            <w:vAlign w:val="center"/>
          </w:tcPr>
          <w:p>
            <w:pPr>
              <w:rPr>
                <w:rFonts w:hint="eastAsia" w:ascii="仿宋" w:hAnsi="仿宋" w:eastAsia="仿宋" w:cs="仿宋"/>
                <w:sz w:val="21"/>
                <w:szCs w:val="22"/>
                <w:lang w:eastAsia="zh-CN"/>
              </w:rPr>
            </w:pPr>
            <w:r>
              <w:rPr>
                <w:rFonts w:hint="eastAsia" w:ascii="仿宋" w:hAnsi="仿宋" w:eastAsia="仿宋" w:cs="仿宋"/>
                <w:sz w:val="21"/>
                <w:szCs w:val="22"/>
              </w:rPr>
              <w:t>11.5</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3</w:t>
            </w:r>
            <w:r>
              <w:rPr>
                <w:rFonts w:hint="eastAsia" w:ascii="仿宋" w:hAnsi="仿宋" w:eastAsia="仿宋" w:cs="仿宋"/>
                <w:sz w:val="21"/>
                <w:szCs w:val="22"/>
                <w:lang w:eastAsia="zh-CN"/>
              </w:rPr>
              <w:t>）</w:t>
            </w:r>
          </w:p>
        </w:tc>
        <w:tc>
          <w:tcPr>
            <w:tcW w:w="7027"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逾期</w:t>
            </w:r>
            <w:r>
              <w:rPr>
                <w:rFonts w:hint="eastAsia" w:ascii="仿宋" w:hAnsi="仿宋" w:eastAsia="仿宋" w:cs="仿宋"/>
                <w:sz w:val="21"/>
                <w:szCs w:val="22"/>
                <w:lang w:val="en-US" w:eastAsia="zh-CN"/>
              </w:rPr>
              <w:t>交</w:t>
            </w:r>
            <w:r>
              <w:rPr>
                <w:rFonts w:hint="eastAsia" w:ascii="仿宋" w:hAnsi="仿宋" w:eastAsia="仿宋" w:cs="仿宋"/>
                <w:sz w:val="21"/>
                <w:szCs w:val="22"/>
              </w:rPr>
              <w:t>工违约金：</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10</w:t>
            </w:r>
          </w:p>
        </w:tc>
        <w:tc>
          <w:tcPr>
            <w:tcW w:w="1134"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11.5</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3</w:t>
            </w:r>
            <w:r>
              <w:rPr>
                <w:rFonts w:hint="eastAsia" w:ascii="仿宋" w:hAnsi="仿宋" w:eastAsia="仿宋" w:cs="仿宋"/>
                <w:sz w:val="21"/>
                <w:szCs w:val="22"/>
                <w:lang w:eastAsia="zh-CN"/>
              </w:rPr>
              <w:t>）</w:t>
            </w:r>
          </w:p>
        </w:tc>
        <w:tc>
          <w:tcPr>
            <w:tcW w:w="7027"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逾期</w:t>
            </w:r>
            <w:r>
              <w:rPr>
                <w:rFonts w:hint="eastAsia" w:ascii="仿宋" w:hAnsi="仿宋" w:eastAsia="仿宋" w:cs="仿宋"/>
                <w:sz w:val="21"/>
                <w:szCs w:val="22"/>
                <w:lang w:val="en-US" w:eastAsia="zh-CN"/>
              </w:rPr>
              <w:t>交</w:t>
            </w:r>
            <w:r>
              <w:rPr>
                <w:rFonts w:hint="eastAsia" w:ascii="仿宋" w:hAnsi="仿宋" w:eastAsia="仿宋" w:cs="仿宋"/>
                <w:sz w:val="21"/>
                <w:szCs w:val="22"/>
              </w:rPr>
              <w:t>工违约金限额：</w:t>
            </w:r>
            <w:r>
              <w:rPr>
                <w:rFonts w:hint="eastAsia" w:ascii="仿宋" w:hAnsi="仿宋" w:eastAsia="仿宋" w:cs="仿宋"/>
                <w:sz w:val="21"/>
                <w:szCs w:val="22"/>
                <w:u w:val="single"/>
              </w:rPr>
              <w:t>10%</w:t>
            </w:r>
            <w:r>
              <w:rPr>
                <w:rFonts w:hint="eastAsia" w:ascii="仿宋" w:hAnsi="仿宋" w:eastAsia="仿宋" w:cs="仿宋"/>
                <w:sz w:val="21"/>
                <w:szCs w:val="22"/>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11</w:t>
            </w:r>
          </w:p>
        </w:tc>
        <w:tc>
          <w:tcPr>
            <w:tcW w:w="1134"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11.6</w:t>
            </w:r>
          </w:p>
        </w:tc>
        <w:tc>
          <w:tcPr>
            <w:tcW w:w="7027"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提前</w:t>
            </w:r>
            <w:r>
              <w:rPr>
                <w:rFonts w:hint="eastAsia" w:ascii="仿宋" w:hAnsi="仿宋" w:eastAsia="仿宋" w:cs="仿宋"/>
                <w:sz w:val="21"/>
                <w:szCs w:val="22"/>
                <w:lang w:val="en-US" w:eastAsia="zh-CN"/>
              </w:rPr>
              <w:t>交</w:t>
            </w:r>
            <w:r>
              <w:rPr>
                <w:rFonts w:hint="eastAsia" w:ascii="仿宋" w:hAnsi="仿宋" w:eastAsia="仿宋" w:cs="仿宋"/>
                <w:sz w:val="21"/>
                <w:szCs w:val="22"/>
              </w:rPr>
              <w:t>工的奖金：</w:t>
            </w:r>
            <w:r>
              <w:rPr>
                <w:rFonts w:hint="eastAsia" w:ascii="仿宋" w:hAnsi="仿宋" w:eastAsia="仿宋" w:cs="仿宋"/>
                <w:sz w:val="21"/>
                <w:szCs w:val="22"/>
                <w:u w:val="single"/>
              </w:rPr>
              <w:t xml:space="preserve">  </w:t>
            </w:r>
            <w:r>
              <w:rPr>
                <w:rFonts w:hint="eastAsia" w:ascii="仿宋" w:hAnsi="仿宋" w:eastAsia="仿宋" w:cs="仿宋"/>
                <w:sz w:val="21"/>
                <w:szCs w:val="22"/>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1</w:t>
            </w:r>
            <w:r>
              <w:rPr>
                <w:rFonts w:hint="eastAsia" w:ascii="仿宋" w:hAnsi="仿宋" w:eastAsia="仿宋" w:cs="仿宋"/>
                <w:sz w:val="21"/>
                <w:szCs w:val="22"/>
                <w:lang w:val="en-US" w:eastAsia="zh-CN"/>
              </w:rPr>
              <w:t>2</w:t>
            </w:r>
          </w:p>
        </w:tc>
        <w:tc>
          <w:tcPr>
            <w:tcW w:w="1134"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11.6</w:t>
            </w:r>
          </w:p>
        </w:tc>
        <w:tc>
          <w:tcPr>
            <w:tcW w:w="7027"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提前</w:t>
            </w:r>
            <w:r>
              <w:rPr>
                <w:rFonts w:hint="eastAsia" w:ascii="仿宋" w:hAnsi="仿宋" w:eastAsia="仿宋" w:cs="仿宋"/>
                <w:sz w:val="21"/>
                <w:szCs w:val="22"/>
                <w:lang w:val="en-US" w:eastAsia="zh-CN"/>
              </w:rPr>
              <w:t>交</w:t>
            </w:r>
            <w:r>
              <w:rPr>
                <w:rFonts w:hint="eastAsia" w:ascii="仿宋" w:hAnsi="仿宋" w:eastAsia="仿宋" w:cs="仿宋"/>
                <w:sz w:val="21"/>
                <w:szCs w:val="22"/>
              </w:rPr>
              <w:t>工的奖金限额：</w:t>
            </w:r>
            <w:r>
              <w:rPr>
                <w:rFonts w:hint="eastAsia" w:ascii="仿宋" w:hAnsi="仿宋" w:eastAsia="仿宋" w:cs="仿宋"/>
                <w:i/>
                <w:iCs/>
                <w:sz w:val="21"/>
                <w:szCs w:val="22"/>
                <w:u w:val="single"/>
              </w:rPr>
              <w:t xml:space="preserve">   </w:t>
            </w:r>
            <w:r>
              <w:rPr>
                <w:rFonts w:hint="eastAsia" w:ascii="仿宋" w:hAnsi="仿宋" w:eastAsia="仿宋" w:cs="仿宋"/>
                <w:sz w:val="21"/>
                <w:szCs w:val="22"/>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13</w:t>
            </w:r>
          </w:p>
        </w:tc>
        <w:tc>
          <w:tcPr>
            <w:tcW w:w="1134" w:type="dxa"/>
            <w:noWrap w:val="0"/>
            <w:vAlign w:val="center"/>
          </w:tcPr>
          <w:p>
            <w:pPr>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15.5.2</w:t>
            </w:r>
          </w:p>
        </w:tc>
        <w:tc>
          <w:tcPr>
            <w:tcW w:w="7027" w:type="dxa"/>
            <w:noWrap w:val="0"/>
            <w:vAlign w:val="center"/>
          </w:tcPr>
          <w:p>
            <w:pPr>
              <w:ind w:left="320"/>
              <w:rPr>
                <w:rFonts w:hint="default" w:ascii="仿宋" w:hAnsi="仿宋" w:eastAsia="仿宋" w:cs="仿宋"/>
                <w:sz w:val="21"/>
                <w:szCs w:val="22"/>
                <w:u w:val="single"/>
                <w:lang w:val="en-US" w:eastAsia="zh-CN"/>
              </w:rPr>
            </w:pPr>
            <w:r>
              <w:rPr>
                <w:rFonts w:hint="eastAsia" w:ascii="仿宋" w:hAnsi="仿宋" w:eastAsia="仿宋" w:cs="仿宋"/>
                <w:sz w:val="21"/>
                <w:szCs w:val="22"/>
                <w:lang w:val="en-US" w:eastAsia="zh-CN"/>
              </w:rPr>
              <w:t>承包人提出的合理化建议降低了合同价格或者提高了工程经济效益的，发包人按所节约成本的</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u w:val="none"/>
                <w:lang w:val="en-US" w:eastAsia="zh-CN"/>
              </w:rPr>
              <w:t>或增加收益的</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u w:val="none"/>
                <w:lang w:val="en-US" w:eastAsia="zh-CN"/>
              </w:rPr>
              <w:t>%给予奖励</w:t>
            </w:r>
          </w:p>
        </w:tc>
      </w:tr>
    </w:tbl>
    <w:p>
      <w:pPr>
        <w:ind w:left="320"/>
        <w:rPr>
          <w:rFonts w:hint="eastAsia" w:ascii="仿宋" w:hAnsi="仿宋" w:eastAsia="仿宋" w:cs="仿宋"/>
          <w:sz w:val="21"/>
          <w:szCs w:val="22"/>
        </w:rPr>
      </w:pPr>
    </w:p>
    <w:p>
      <w:pPr>
        <w:ind w:left="320"/>
        <w:rPr>
          <w:rFonts w:hint="eastAsia" w:ascii="仿宋" w:hAnsi="仿宋" w:eastAsia="仿宋" w:cs="仿宋"/>
          <w:sz w:val="21"/>
          <w:szCs w:val="22"/>
        </w:rPr>
      </w:pPr>
      <w:r>
        <w:rPr>
          <w:rFonts w:hint="eastAsia" w:ascii="仿宋" w:hAnsi="仿宋" w:eastAsia="仿宋" w:cs="仿宋"/>
          <w:sz w:val="21"/>
          <w:szCs w:val="22"/>
        </w:rPr>
        <w:br w:type="page"/>
      </w:r>
    </w:p>
    <w:tbl>
      <w:tblPr>
        <w:tblStyle w:val="10"/>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8"/>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jc w:val="center"/>
              <w:rPr>
                <w:rFonts w:hint="eastAsia" w:ascii="仿宋" w:hAnsi="仿宋" w:eastAsia="仿宋" w:cs="仿宋"/>
                <w:b/>
                <w:sz w:val="21"/>
                <w:szCs w:val="22"/>
                <w:lang w:val="en-US" w:eastAsia="zh-CN"/>
              </w:rPr>
            </w:pPr>
            <w:r>
              <w:rPr>
                <w:rFonts w:hint="eastAsia" w:ascii="仿宋" w:hAnsi="仿宋" w:eastAsia="仿宋" w:cs="仿宋"/>
                <w:b/>
                <w:sz w:val="21"/>
                <w:szCs w:val="22"/>
                <w:lang w:val="en-US" w:eastAsia="zh-CN"/>
              </w:rPr>
              <w:t>序号</w:t>
            </w:r>
          </w:p>
        </w:tc>
        <w:tc>
          <w:tcPr>
            <w:tcW w:w="1218" w:type="dxa"/>
            <w:noWrap w:val="0"/>
            <w:vAlign w:val="center"/>
          </w:tcPr>
          <w:p>
            <w:pPr>
              <w:jc w:val="center"/>
              <w:rPr>
                <w:rFonts w:hint="eastAsia" w:ascii="仿宋" w:hAnsi="仿宋" w:eastAsia="仿宋" w:cs="仿宋"/>
                <w:b/>
                <w:sz w:val="21"/>
                <w:szCs w:val="22"/>
                <w:lang w:val="en-US" w:eastAsia="zh-CN"/>
              </w:rPr>
            </w:pPr>
            <w:r>
              <w:rPr>
                <w:rFonts w:hint="eastAsia" w:ascii="仿宋" w:hAnsi="仿宋" w:eastAsia="仿宋" w:cs="仿宋"/>
                <w:b/>
                <w:sz w:val="21"/>
                <w:szCs w:val="22"/>
                <w:lang w:val="en-US" w:eastAsia="zh-CN"/>
              </w:rPr>
              <w:t>条款号</w:t>
            </w:r>
          </w:p>
        </w:tc>
        <w:tc>
          <w:tcPr>
            <w:tcW w:w="7386" w:type="dxa"/>
            <w:noWrap w:val="0"/>
            <w:vAlign w:val="center"/>
          </w:tcPr>
          <w:p>
            <w:pPr>
              <w:jc w:val="center"/>
              <w:rPr>
                <w:rFonts w:hint="eastAsia" w:ascii="仿宋" w:hAnsi="仿宋" w:eastAsia="仿宋" w:cs="仿宋"/>
                <w:b/>
                <w:sz w:val="21"/>
                <w:szCs w:val="22"/>
                <w:lang w:val="en-US" w:eastAsia="zh-CN"/>
              </w:rPr>
            </w:pPr>
            <w:r>
              <w:rPr>
                <w:rFonts w:hint="eastAsia" w:ascii="仿宋" w:hAnsi="仿宋" w:eastAsia="仿宋" w:cs="仿宋"/>
                <w:b/>
                <w:sz w:val="21"/>
                <w:szCs w:val="22"/>
                <w:lang w:val="en-US" w:eastAsia="zh-CN"/>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1</w:t>
            </w:r>
            <w:r>
              <w:rPr>
                <w:rFonts w:hint="eastAsia" w:ascii="仿宋" w:hAnsi="仿宋" w:eastAsia="仿宋" w:cs="仿宋"/>
                <w:sz w:val="21"/>
                <w:szCs w:val="22"/>
                <w:lang w:val="en-US" w:eastAsia="zh-CN"/>
              </w:rPr>
              <w:t>4</w:t>
            </w:r>
          </w:p>
        </w:tc>
        <w:tc>
          <w:tcPr>
            <w:tcW w:w="1218"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16.1</w:t>
            </w:r>
          </w:p>
        </w:tc>
        <w:tc>
          <w:tcPr>
            <w:tcW w:w="7386" w:type="dxa"/>
            <w:noWrap w:val="0"/>
            <w:vAlign w:val="center"/>
          </w:tcPr>
          <w:p>
            <w:pPr>
              <w:ind w:left="320"/>
              <w:jc w:val="both"/>
              <w:rPr>
                <w:rFonts w:hint="eastAsia" w:ascii="仿宋" w:hAnsi="仿宋" w:eastAsia="仿宋" w:cs="仿宋"/>
                <w:sz w:val="21"/>
                <w:szCs w:val="22"/>
              </w:rPr>
            </w:pPr>
            <w:r>
              <w:rPr>
                <w:rFonts w:hint="eastAsia" w:ascii="仿宋" w:hAnsi="仿宋" w:eastAsia="仿宋" w:cs="仿宋"/>
                <w:sz w:val="21"/>
                <w:szCs w:val="22"/>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1</w:t>
            </w:r>
            <w:r>
              <w:rPr>
                <w:rFonts w:hint="eastAsia" w:ascii="仿宋" w:hAnsi="仿宋" w:eastAsia="仿宋" w:cs="仿宋"/>
                <w:sz w:val="21"/>
                <w:szCs w:val="22"/>
                <w:lang w:val="en-US" w:eastAsia="zh-CN"/>
              </w:rPr>
              <w:t>5</w:t>
            </w:r>
          </w:p>
        </w:tc>
        <w:tc>
          <w:tcPr>
            <w:tcW w:w="1218" w:type="dxa"/>
            <w:noWrap w:val="0"/>
            <w:vAlign w:val="center"/>
          </w:tcPr>
          <w:p>
            <w:pPr>
              <w:rPr>
                <w:rFonts w:hint="eastAsia" w:ascii="仿宋" w:hAnsi="仿宋" w:eastAsia="仿宋" w:cs="仿宋"/>
                <w:sz w:val="21"/>
                <w:szCs w:val="22"/>
                <w:lang w:eastAsia="zh-CN"/>
              </w:rPr>
            </w:pPr>
            <w:r>
              <w:rPr>
                <w:rFonts w:hint="eastAsia" w:ascii="仿宋" w:hAnsi="仿宋" w:eastAsia="仿宋" w:cs="仿宋"/>
                <w:sz w:val="21"/>
                <w:szCs w:val="22"/>
              </w:rPr>
              <w:t>17.2.1</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1</w:t>
            </w:r>
            <w:r>
              <w:rPr>
                <w:rFonts w:hint="eastAsia" w:ascii="仿宋" w:hAnsi="仿宋" w:eastAsia="仿宋" w:cs="仿宋"/>
                <w:sz w:val="21"/>
                <w:szCs w:val="22"/>
                <w:lang w:eastAsia="zh-CN"/>
              </w:rPr>
              <w:t>）</w:t>
            </w:r>
          </w:p>
        </w:tc>
        <w:tc>
          <w:tcPr>
            <w:tcW w:w="7386" w:type="dxa"/>
            <w:noWrap w:val="0"/>
            <w:vAlign w:val="center"/>
          </w:tcPr>
          <w:p>
            <w:pPr>
              <w:ind w:left="320"/>
              <w:jc w:val="both"/>
              <w:rPr>
                <w:rFonts w:hint="eastAsia" w:ascii="仿宋" w:hAnsi="仿宋" w:eastAsia="仿宋" w:cs="仿宋"/>
                <w:sz w:val="21"/>
                <w:szCs w:val="22"/>
              </w:rPr>
            </w:pPr>
            <w:r>
              <w:rPr>
                <w:rFonts w:hint="eastAsia" w:ascii="仿宋" w:hAnsi="仿宋" w:eastAsia="仿宋" w:cs="仿宋"/>
                <w:sz w:val="21"/>
                <w:szCs w:val="22"/>
              </w:rPr>
              <w:t>开工预付款</w:t>
            </w:r>
            <w:r>
              <w:rPr>
                <w:rFonts w:hint="eastAsia" w:ascii="仿宋" w:hAnsi="仿宋" w:eastAsia="仿宋" w:cs="仿宋"/>
                <w:sz w:val="21"/>
                <w:szCs w:val="22"/>
                <w:lang w:val="en-US" w:eastAsia="zh-CN"/>
              </w:rPr>
              <w:t>金额</w:t>
            </w:r>
            <w:r>
              <w:rPr>
                <w:rFonts w:hint="eastAsia" w:ascii="仿宋" w:hAnsi="仿宋" w:eastAsia="仿宋" w:cs="仿宋"/>
                <w:sz w:val="21"/>
                <w:szCs w:val="22"/>
              </w:rPr>
              <w:t>：</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1</w:t>
            </w:r>
            <w:r>
              <w:rPr>
                <w:rFonts w:hint="eastAsia" w:ascii="仿宋" w:hAnsi="仿宋" w:eastAsia="仿宋" w:cs="仿宋"/>
                <w:sz w:val="21"/>
                <w:szCs w:val="22"/>
                <w:lang w:val="en-US" w:eastAsia="zh-CN"/>
              </w:rPr>
              <w:t>6</w:t>
            </w:r>
          </w:p>
        </w:tc>
        <w:tc>
          <w:tcPr>
            <w:tcW w:w="1218"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17.2.1</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2</w:t>
            </w:r>
            <w:r>
              <w:rPr>
                <w:rFonts w:hint="eastAsia" w:ascii="仿宋" w:hAnsi="仿宋" w:eastAsia="仿宋" w:cs="仿宋"/>
                <w:sz w:val="21"/>
                <w:szCs w:val="22"/>
                <w:lang w:eastAsia="zh-CN"/>
              </w:rPr>
              <w:t>）</w:t>
            </w:r>
          </w:p>
        </w:tc>
        <w:tc>
          <w:tcPr>
            <w:tcW w:w="7386" w:type="dxa"/>
            <w:noWrap w:val="0"/>
            <w:vAlign w:val="center"/>
          </w:tcPr>
          <w:p>
            <w:pPr>
              <w:ind w:left="320"/>
              <w:jc w:val="both"/>
              <w:rPr>
                <w:rFonts w:hint="eastAsia" w:ascii="仿宋" w:hAnsi="仿宋" w:eastAsia="仿宋" w:cs="仿宋"/>
                <w:sz w:val="21"/>
                <w:szCs w:val="22"/>
              </w:rPr>
            </w:pPr>
            <w:r>
              <w:rPr>
                <w:rFonts w:hint="eastAsia" w:ascii="仿宋" w:hAnsi="仿宋" w:eastAsia="仿宋" w:cs="仿宋"/>
                <w:sz w:val="21"/>
                <w:szCs w:val="22"/>
              </w:rPr>
              <w:t>材料、设备预付款比例：</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等主要材料、设备单据所列费用的</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1</w:t>
            </w:r>
            <w:r>
              <w:rPr>
                <w:rFonts w:hint="eastAsia" w:ascii="仿宋" w:hAnsi="仿宋" w:eastAsia="仿宋" w:cs="仿宋"/>
                <w:sz w:val="21"/>
                <w:szCs w:val="22"/>
                <w:lang w:val="en-US" w:eastAsia="zh-CN"/>
              </w:rPr>
              <w:t>7</w:t>
            </w:r>
          </w:p>
        </w:tc>
        <w:tc>
          <w:tcPr>
            <w:tcW w:w="1218"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17.3.2</w:t>
            </w:r>
          </w:p>
        </w:tc>
        <w:tc>
          <w:tcPr>
            <w:tcW w:w="7386" w:type="dxa"/>
            <w:noWrap w:val="0"/>
            <w:vAlign w:val="center"/>
          </w:tcPr>
          <w:p>
            <w:pPr>
              <w:ind w:left="320"/>
              <w:jc w:val="both"/>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承包人在每个付款周期末向监理人提交进度付款申请单的份数：</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18</w:t>
            </w:r>
          </w:p>
        </w:tc>
        <w:tc>
          <w:tcPr>
            <w:tcW w:w="1218"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17.3.3</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1</w:t>
            </w:r>
            <w:r>
              <w:rPr>
                <w:rFonts w:hint="eastAsia" w:ascii="仿宋" w:hAnsi="仿宋" w:eastAsia="仿宋" w:cs="仿宋"/>
                <w:sz w:val="21"/>
                <w:szCs w:val="22"/>
                <w:lang w:eastAsia="zh-CN"/>
              </w:rPr>
              <w:t>）</w:t>
            </w:r>
          </w:p>
        </w:tc>
        <w:tc>
          <w:tcPr>
            <w:tcW w:w="7386" w:type="dxa"/>
            <w:noWrap w:val="0"/>
            <w:vAlign w:val="center"/>
          </w:tcPr>
          <w:p>
            <w:pPr>
              <w:ind w:left="320"/>
              <w:jc w:val="both"/>
              <w:rPr>
                <w:rFonts w:hint="eastAsia" w:ascii="仿宋" w:hAnsi="仿宋" w:eastAsia="仿宋" w:cs="仿宋"/>
                <w:sz w:val="21"/>
                <w:szCs w:val="22"/>
              </w:rPr>
            </w:pPr>
            <w:r>
              <w:rPr>
                <w:rFonts w:hint="eastAsia" w:ascii="仿宋" w:hAnsi="仿宋" w:eastAsia="仿宋" w:cs="仿宋"/>
                <w:sz w:val="21"/>
                <w:szCs w:val="22"/>
              </w:rPr>
              <w:t>进度付款证书最低限额：</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%签约合同价或</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19</w:t>
            </w:r>
          </w:p>
        </w:tc>
        <w:tc>
          <w:tcPr>
            <w:tcW w:w="1218"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17.3.3</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2</w:t>
            </w:r>
            <w:r>
              <w:rPr>
                <w:rFonts w:hint="eastAsia" w:ascii="仿宋" w:hAnsi="仿宋" w:eastAsia="仿宋" w:cs="仿宋"/>
                <w:sz w:val="21"/>
                <w:szCs w:val="22"/>
                <w:lang w:eastAsia="zh-CN"/>
              </w:rPr>
              <w:t>）</w:t>
            </w:r>
          </w:p>
        </w:tc>
        <w:tc>
          <w:tcPr>
            <w:tcW w:w="7386" w:type="dxa"/>
            <w:noWrap w:val="0"/>
            <w:vAlign w:val="center"/>
          </w:tcPr>
          <w:p>
            <w:pPr>
              <w:ind w:left="320"/>
              <w:jc w:val="both"/>
              <w:rPr>
                <w:rFonts w:hint="eastAsia" w:ascii="仿宋" w:hAnsi="仿宋" w:eastAsia="仿宋" w:cs="仿宋"/>
                <w:sz w:val="21"/>
                <w:szCs w:val="22"/>
              </w:rPr>
            </w:pPr>
            <w:r>
              <w:rPr>
                <w:rFonts w:hint="eastAsia" w:ascii="仿宋" w:hAnsi="仿宋" w:eastAsia="仿宋" w:cs="仿宋"/>
                <w:sz w:val="21"/>
                <w:szCs w:val="22"/>
              </w:rPr>
              <w:t>逾期付款违约金</w:t>
            </w:r>
            <w:r>
              <w:rPr>
                <w:rFonts w:hint="eastAsia" w:ascii="仿宋" w:hAnsi="仿宋" w:eastAsia="仿宋" w:cs="仿宋"/>
                <w:sz w:val="21"/>
                <w:szCs w:val="22"/>
                <w:lang w:val="en-US" w:eastAsia="zh-CN"/>
              </w:rPr>
              <w:t>的利率</w:t>
            </w:r>
            <w:r>
              <w:rPr>
                <w:rFonts w:hint="eastAsia" w:ascii="仿宋" w:hAnsi="仿宋" w:eastAsia="仿宋" w:cs="仿宋"/>
                <w:sz w:val="21"/>
                <w:szCs w:val="22"/>
              </w:rPr>
              <w:t>：</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20</w:t>
            </w:r>
          </w:p>
        </w:tc>
        <w:tc>
          <w:tcPr>
            <w:tcW w:w="1218"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rPr>
              <w:t>17</w:t>
            </w:r>
            <w:r>
              <w:rPr>
                <w:rFonts w:hint="eastAsia" w:ascii="仿宋" w:hAnsi="仿宋" w:eastAsia="仿宋" w:cs="仿宋"/>
                <w:sz w:val="21"/>
                <w:szCs w:val="22"/>
                <w:lang w:val="en-US" w:eastAsia="zh-CN"/>
              </w:rPr>
              <w:t>.4.1</w:t>
            </w:r>
          </w:p>
        </w:tc>
        <w:tc>
          <w:tcPr>
            <w:tcW w:w="7386" w:type="dxa"/>
            <w:noWrap w:val="0"/>
            <w:vAlign w:val="center"/>
          </w:tcPr>
          <w:p>
            <w:pPr>
              <w:ind w:left="32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质量保证金金额：</w:t>
            </w:r>
            <w:r>
              <w:rPr>
                <w:rFonts w:hint="eastAsia" w:ascii="仿宋" w:hAnsi="仿宋" w:eastAsia="仿宋" w:cs="仿宋"/>
                <w:sz w:val="21"/>
                <w:szCs w:val="22"/>
                <w:u w:val="single"/>
                <w:lang w:val="en-US" w:eastAsia="zh-CN"/>
              </w:rPr>
              <w:t xml:space="preserve">  3  </w:t>
            </w:r>
            <w:r>
              <w:rPr>
                <w:rFonts w:hint="eastAsia" w:ascii="仿宋" w:hAnsi="仿宋" w:eastAsia="仿宋" w:cs="仿宋"/>
                <w:sz w:val="21"/>
                <w:szCs w:val="22"/>
                <w:lang w:val="en-US" w:eastAsia="zh-CN"/>
              </w:rPr>
              <w:t xml:space="preserve"> %合同价格，若交工验收时承包人具备被招标项目所在地省级交通运输主管部门评定的最高信用等级，发包人给予    %合同价格质量保证金的优惠。</w:t>
            </w:r>
          </w:p>
          <w:p>
            <w:pPr>
              <w:ind w:left="320"/>
              <w:jc w:val="both"/>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质量保证金是否计付利息：</w:t>
            </w:r>
          </w:p>
          <w:p>
            <w:pPr>
              <w:ind w:left="320"/>
              <w:jc w:val="both"/>
              <w:rPr>
                <w:rFonts w:hint="default" w:ascii="仿宋" w:hAnsi="仿宋" w:eastAsia="仿宋" w:cs="仿宋"/>
                <w:sz w:val="21"/>
                <w:szCs w:val="22"/>
                <w:u w:val="single"/>
                <w:lang w:val="en-US" w:eastAsia="zh-CN"/>
              </w:rPr>
            </w:pPr>
            <w:r>
              <w:rPr>
                <w:rFonts w:hint="default" w:ascii="仿宋" w:hAnsi="仿宋" w:eastAsia="仿宋" w:cs="仿宋"/>
                <w:sz w:val="21"/>
                <w:szCs w:val="22"/>
                <w:lang w:val="en-US" w:eastAsia="zh-CN"/>
              </w:rPr>
              <w:sym w:font="Wingdings 2" w:char="00A3"/>
            </w:r>
            <w:r>
              <w:rPr>
                <w:rFonts w:hint="eastAsia" w:ascii="仿宋" w:hAnsi="仿宋" w:eastAsia="仿宋" w:cs="仿宋"/>
                <w:sz w:val="21"/>
                <w:szCs w:val="22"/>
                <w:lang w:val="en-US" w:eastAsia="zh-CN"/>
              </w:rPr>
              <w:t>是，利息的计算方式：</w:t>
            </w:r>
            <w:r>
              <w:rPr>
                <w:rFonts w:hint="eastAsia" w:ascii="仿宋" w:hAnsi="仿宋" w:eastAsia="仿宋" w:cs="仿宋"/>
                <w:sz w:val="21"/>
                <w:szCs w:val="22"/>
                <w:u w:val="single"/>
                <w:lang w:val="en-US" w:eastAsia="zh-CN"/>
              </w:rPr>
              <w:t xml:space="preserve">           </w:t>
            </w:r>
          </w:p>
          <w:p>
            <w:pPr>
              <w:ind w:left="320"/>
              <w:jc w:val="both"/>
              <w:rPr>
                <w:rFonts w:hint="default" w:ascii="仿宋" w:hAnsi="仿宋" w:eastAsia="仿宋" w:cs="仿宋"/>
                <w:sz w:val="21"/>
                <w:szCs w:val="22"/>
                <w:u w:val="none"/>
                <w:lang w:val="en-US" w:eastAsia="zh-CN"/>
              </w:rPr>
            </w:pPr>
            <w:r>
              <w:rPr>
                <w:rFonts w:hint="default" w:ascii="仿宋" w:hAnsi="仿宋" w:eastAsia="仿宋" w:cs="仿宋"/>
                <w:sz w:val="21"/>
                <w:szCs w:val="22"/>
                <w:lang w:val="en-US" w:eastAsia="zh-CN"/>
              </w:rPr>
              <w:sym w:font="Wingdings 2" w:char="00A3"/>
            </w:r>
            <w:r>
              <w:rPr>
                <w:rFonts w:hint="eastAsia" w:ascii="仿宋" w:hAnsi="仿宋" w:eastAsia="仿宋" w:cs="仿宋"/>
                <w:sz w:val="21"/>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2</w:t>
            </w:r>
            <w:r>
              <w:rPr>
                <w:rFonts w:hint="eastAsia" w:ascii="仿宋" w:hAnsi="仿宋" w:eastAsia="仿宋" w:cs="仿宋"/>
                <w:sz w:val="21"/>
                <w:szCs w:val="22"/>
                <w:lang w:val="en-US" w:eastAsia="zh-CN"/>
              </w:rPr>
              <w:t>1</w:t>
            </w:r>
          </w:p>
        </w:tc>
        <w:tc>
          <w:tcPr>
            <w:tcW w:w="1218"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17.5.1</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1</w:t>
            </w:r>
            <w:r>
              <w:rPr>
                <w:rFonts w:hint="eastAsia" w:ascii="仿宋" w:hAnsi="仿宋" w:eastAsia="仿宋" w:cs="仿宋"/>
                <w:sz w:val="21"/>
                <w:szCs w:val="22"/>
                <w:lang w:eastAsia="zh-CN"/>
              </w:rPr>
              <w:t>）</w:t>
            </w:r>
          </w:p>
        </w:tc>
        <w:tc>
          <w:tcPr>
            <w:tcW w:w="7386" w:type="dxa"/>
            <w:noWrap w:val="0"/>
            <w:vAlign w:val="center"/>
          </w:tcPr>
          <w:p>
            <w:pPr>
              <w:ind w:left="320"/>
              <w:jc w:val="center"/>
              <w:rPr>
                <w:rFonts w:hint="eastAsia" w:ascii="仿宋" w:hAnsi="仿宋" w:eastAsia="仿宋" w:cs="仿宋"/>
                <w:sz w:val="21"/>
                <w:szCs w:val="22"/>
              </w:rPr>
            </w:pPr>
            <w:r>
              <w:rPr>
                <w:rFonts w:hint="eastAsia" w:ascii="仿宋" w:hAnsi="仿宋" w:eastAsia="仿宋" w:cs="仿宋"/>
                <w:sz w:val="21"/>
                <w:szCs w:val="22"/>
              </w:rPr>
              <w:t>承包人向监理人提交交工付款申请单（包括相关证明材料）的份数：</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2</w:t>
            </w:r>
            <w:r>
              <w:rPr>
                <w:rFonts w:hint="eastAsia" w:ascii="仿宋" w:hAnsi="仿宋" w:eastAsia="仿宋" w:cs="仿宋"/>
                <w:sz w:val="21"/>
                <w:szCs w:val="22"/>
                <w:lang w:val="en-US" w:eastAsia="zh-CN"/>
              </w:rPr>
              <w:t>2</w:t>
            </w:r>
          </w:p>
        </w:tc>
        <w:tc>
          <w:tcPr>
            <w:tcW w:w="1218" w:type="dxa"/>
            <w:noWrap w:val="0"/>
            <w:vAlign w:val="center"/>
          </w:tcPr>
          <w:p>
            <w:pPr>
              <w:rPr>
                <w:rFonts w:hint="eastAsia" w:ascii="仿宋" w:hAnsi="仿宋" w:eastAsia="仿宋" w:cs="仿宋"/>
                <w:sz w:val="21"/>
                <w:szCs w:val="22"/>
              </w:rPr>
            </w:pPr>
            <w:r>
              <w:rPr>
                <w:rFonts w:hint="eastAsia" w:ascii="仿宋" w:hAnsi="仿宋" w:eastAsia="仿宋" w:cs="仿宋"/>
                <w:sz w:val="21"/>
                <w:szCs w:val="22"/>
              </w:rPr>
              <w:t>17.6.1</w:t>
            </w:r>
            <w:r>
              <w:rPr>
                <w:rFonts w:hint="eastAsia" w:ascii="仿宋" w:hAnsi="仿宋" w:eastAsia="仿宋" w:cs="仿宋"/>
                <w:sz w:val="21"/>
                <w:szCs w:val="22"/>
                <w:lang w:eastAsia="zh-CN"/>
              </w:rPr>
              <w:t>（</w:t>
            </w:r>
            <w:r>
              <w:rPr>
                <w:rFonts w:hint="eastAsia" w:ascii="仿宋" w:hAnsi="仿宋" w:eastAsia="仿宋" w:cs="仿宋"/>
                <w:sz w:val="21"/>
                <w:szCs w:val="22"/>
                <w:lang w:val="en-US" w:eastAsia="zh-CN"/>
              </w:rPr>
              <w:t>1</w:t>
            </w:r>
            <w:r>
              <w:rPr>
                <w:rFonts w:hint="eastAsia" w:ascii="仿宋" w:hAnsi="仿宋" w:eastAsia="仿宋" w:cs="仿宋"/>
                <w:sz w:val="21"/>
                <w:szCs w:val="22"/>
                <w:lang w:eastAsia="zh-CN"/>
              </w:rPr>
              <w:t>）</w:t>
            </w:r>
          </w:p>
        </w:tc>
        <w:tc>
          <w:tcPr>
            <w:tcW w:w="7386" w:type="dxa"/>
            <w:noWrap w:val="0"/>
            <w:vAlign w:val="center"/>
          </w:tcPr>
          <w:p>
            <w:pPr>
              <w:ind w:left="320"/>
              <w:jc w:val="center"/>
              <w:rPr>
                <w:rFonts w:hint="eastAsia" w:ascii="仿宋" w:hAnsi="仿宋" w:eastAsia="仿宋" w:cs="仿宋"/>
                <w:sz w:val="21"/>
                <w:szCs w:val="22"/>
              </w:rPr>
            </w:pPr>
            <w:r>
              <w:rPr>
                <w:rFonts w:hint="eastAsia" w:ascii="仿宋" w:hAnsi="仿宋" w:eastAsia="仿宋" w:cs="仿宋"/>
                <w:sz w:val="21"/>
                <w:szCs w:val="22"/>
              </w:rPr>
              <w:t>承包人向监理人提交终结清申请单（包括相关证明材料）的份数：</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2</w:t>
            </w:r>
            <w:r>
              <w:rPr>
                <w:rFonts w:hint="eastAsia" w:ascii="仿宋" w:hAnsi="仿宋" w:eastAsia="仿宋" w:cs="仿宋"/>
                <w:sz w:val="21"/>
                <w:szCs w:val="22"/>
                <w:lang w:val="en-US" w:eastAsia="zh-CN"/>
              </w:rPr>
              <w:t>3</w:t>
            </w:r>
          </w:p>
        </w:tc>
        <w:tc>
          <w:tcPr>
            <w:tcW w:w="1218" w:type="dxa"/>
            <w:noWrap w:val="0"/>
            <w:vAlign w:val="center"/>
          </w:tcPr>
          <w:p>
            <w:pPr>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18.2（2）</w:t>
            </w:r>
          </w:p>
        </w:tc>
        <w:tc>
          <w:tcPr>
            <w:tcW w:w="7386" w:type="dxa"/>
            <w:noWrap w:val="0"/>
            <w:vAlign w:val="center"/>
          </w:tcPr>
          <w:p>
            <w:pPr>
              <w:ind w:left="320"/>
              <w:jc w:val="both"/>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竣工资料的份数：</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noWrap w:val="0"/>
            <w:vAlign w:val="center"/>
          </w:tcPr>
          <w:p>
            <w:pPr>
              <w:ind w:left="320"/>
              <w:rPr>
                <w:rFonts w:hint="eastAsia" w:ascii="仿宋" w:hAnsi="仿宋" w:eastAsia="仿宋" w:cs="仿宋"/>
                <w:sz w:val="21"/>
                <w:szCs w:val="22"/>
                <w:lang w:eastAsia="zh-CN"/>
              </w:rPr>
            </w:pPr>
            <w:r>
              <w:rPr>
                <w:rFonts w:hint="eastAsia" w:ascii="仿宋" w:hAnsi="仿宋" w:eastAsia="仿宋" w:cs="仿宋"/>
                <w:sz w:val="21"/>
                <w:szCs w:val="22"/>
              </w:rPr>
              <w:t>2</w:t>
            </w:r>
            <w:r>
              <w:rPr>
                <w:rFonts w:hint="eastAsia" w:ascii="仿宋" w:hAnsi="仿宋" w:eastAsia="仿宋" w:cs="仿宋"/>
                <w:sz w:val="21"/>
                <w:szCs w:val="22"/>
                <w:lang w:val="en-US" w:eastAsia="zh-CN"/>
              </w:rPr>
              <w:t>4</w:t>
            </w:r>
          </w:p>
        </w:tc>
        <w:tc>
          <w:tcPr>
            <w:tcW w:w="1218"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18.5.1</w:t>
            </w:r>
          </w:p>
        </w:tc>
        <w:tc>
          <w:tcPr>
            <w:tcW w:w="7386" w:type="dxa"/>
            <w:noWrap w:val="0"/>
            <w:vAlign w:val="center"/>
          </w:tcPr>
          <w:p>
            <w:pPr>
              <w:ind w:left="320"/>
              <w:jc w:val="both"/>
              <w:rPr>
                <w:rFonts w:hint="eastAsia" w:ascii="仿宋" w:hAnsi="仿宋" w:eastAsia="仿宋" w:cs="仿宋"/>
                <w:sz w:val="21"/>
                <w:szCs w:val="22"/>
                <w:u w:val="single"/>
                <w:lang w:val="en-US" w:eastAsia="zh-CN"/>
              </w:rPr>
            </w:pPr>
            <w:r>
              <w:rPr>
                <w:rFonts w:hint="eastAsia" w:ascii="仿宋" w:hAnsi="仿宋" w:eastAsia="仿宋" w:cs="仿宋"/>
                <w:sz w:val="21"/>
                <w:szCs w:val="22"/>
                <w:lang w:val="en-US" w:eastAsia="zh-CN"/>
              </w:rPr>
              <w:t>单位工程或工程设备是否需要投入施工期运行：</w:t>
            </w:r>
            <w:r>
              <w:rPr>
                <w:rFonts w:hint="eastAsia" w:ascii="仿宋" w:hAnsi="仿宋" w:eastAsia="仿宋" w:cs="仿宋"/>
                <w:sz w:val="21"/>
                <w:szCs w:val="22"/>
                <w:u w:val="single"/>
                <w:lang w:val="en-US" w:eastAsia="zh-CN"/>
              </w:rPr>
              <w:t>是或否</w:t>
            </w:r>
          </w:p>
          <w:p>
            <w:pPr>
              <w:ind w:left="320"/>
              <w:jc w:val="left"/>
              <w:rPr>
                <w:rFonts w:hint="default"/>
                <w:u w:val="single"/>
                <w:lang w:val="en-US" w:eastAsia="zh-CN"/>
              </w:rPr>
            </w:pPr>
            <w:r>
              <w:rPr>
                <w:rFonts w:hint="eastAsia" w:ascii="仿宋" w:hAnsi="仿宋" w:eastAsia="仿宋" w:cs="仿宋"/>
                <w:sz w:val="21"/>
                <w:szCs w:val="22"/>
                <w:lang w:val="en-US" w:eastAsia="zh-CN"/>
              </w:rPr>
              <w:t>若单位工程或工程设备需要进行施工期运行，需要施工期运行的单位工程或工程设备规定如下：</w:t>
            </w:r>
            <w:r>
              <w:rPr>
                <w:rFonts w:hint="eastAsia" w:ascii="仿宋" w:hAnsi="仿宋" w:eastAsia="仿宋" w:cs="仿宋"/>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25</w:t>
            </w:r>
          </w:p>
        </w:tc>
        <w:tc>
          <w:tcPr>
            <w:tcW w:w="1218"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18.6.1</w:t>
            </w:r>
          </w:p>
        </w:tc>
        <w:tc>
          <w:tcPr>
            <w:tcW w:w="7386" w:type="dxa"/>
            <w:noWrap w:val="0"/>
            <w:vAlign w:val="center"/>
          </w:tcPr>
          <w:p>
            <w:pPr>
              <w:ind w:left="320"/>
              <w:jc w:val="left"/>
              <w:rPr>
                <w:rFonts w:hint="eastAsia" w:ascii="仿宋" w:hAnsi="仿宋" w:eastAsia="仿宋" w:cs="仿宋"/>
                <w:sz w:val="21"/>
                <w:szCs w:val="22"/>
                <w:u w:val="single"/>
                <w:lang w:val="en-US" w:eastAsia="zh-CN"/>
              </w:rPr>
            </w:pPr>
            <w:r>
              <w:rPr>
                <w:rFonts w:hint="eastAsia" w:ascii="仿宋" w:hAnsi="仿宋" w:eastAsia="仿宋" w:cs="仿宋"/>
                <w:sz w:val="21"/>
                <w:szCs w:val="22"/>
                <w:lang w:val="en-US" w:eastAsia="zh-CN"/>
              </w:rPr>
              <w:t>本工程及工程设备是否进行试运行：</w:t>
            </w:r>
            <w:r>
              <w:rPr>
                <w:rFonts w:hint="eastAsia" w:ascii="仿宋" w:hAnsi="仿宋" w:eastAsia="仿宋" w:cs="仿宋"/>
                <w:sz w:val="21"/>
                <w:szCs w:val="22"/>
                <w:u w:val="single"/>
                <w:lang w:val="en-US" w:eastAsia="zh-CN"/>
              </w:rPr>
              <w:t>是或否</w:t>
            </w:r>
          </w:p>
          <w:p>
            <w:pPr>
              <w:ind w:left="320"/>
              <w:jc w:val="left"/>
              <w:rPr>
                <w:rFonts w:hint="default"/>
                <w:u w:val="single"/>
                <w:lang w:val="en-US" w:eastAsia="zh-CN"/>
              </w:rPr>
            </w:pPr>
            <w:r>
              <w:rPr>
                <w:rFonts w:hint="eastAsia" w:ascii="仿宋" w:hAnsi="仿宋" w:eastAsia="仿宋" w:cs="仿宋"/>
                <w:sz w:val="21"/>
                <w:szCs w:val="22"/>
                <w:lang w:val="en-US" w:eastAsia="zh-CN"/>
              </w:rPr>
              <w:t>若本工程及工程设备需要进行试运行，试运行的具体规定如下：</w:t>
            </w:r>
            <w:r>
              <w:rPr>
                <w:rFonts w:hint="eastAsia" w:ascii="仿宋" w:hAnsi="仿宋" w:eastAsia="仿宋" w:cs="仿宋"/>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64" w:type="dxa"/>
            <w:noWrap w:val="0"/>
            <w:vAlign w:val="center"/>
          </w:tcPr>
          <w:p>
            <w:pPr>
              <w:ind w:left="320" w:leftChars="0"/>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26</w:t>
            </w:r>
          </w:p>
        </w:tc>
        <w:tc>
          <w:tcPr>
            <w:tcW w:w="1218" w:type="dxa"/>
            <w:noWrap w:val="0"/>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19.7（1）</w:t>
            </w:r>
          </w:p>
        </w:tc>
        <w:tc>
          <w:tcPr>
            <w:tcW w:w="7386" w:type="dxa"/>
            <w:noWrap w:val="0"/>
            <w:vAlign w:val="center"/>
          </w:tcPr>
          <w:p>
            <w:pPr>
              <w:ind w:left="320"/>
              <w:jc w:val="left"/>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保修期：自实际交工日期起计算</w:t>
            </w:r>
            <w:r>
              <w:rPr>
                <w:rFonts w:hint="eastAsia" w:ascii="仿宋" w:hAnsi="仿宋" w:eastAsia="仿宋" w:cs="仿宋"/>
                <w:sz w:val="21"/>
                <w:szCs w:val="22"/>
                <w:u w:val="single"/>
                <w:lang w:val="en-US" w:eastAsia="zh-CN"/>
              </w:rPr>
              <w:t xml:space="preserve">  5  </w:t>
            </w:r>
            <w:r>
              <w:rPr>
                <w:rFonts w:hint="eastAsia" w:ascii="仿宋" w:hAnsi="仿宋" w:eastAsia="仿宋" w:cs="仿宋"/>
                <w:sz w:val="21"/>
                <w:szCs w:val="22"/>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64" w:type="dxa"/>
            <w:noWrap w:val="0"/>
            <w:vAlign w:val="center"/>
          </w:tcPr>
          <w:p>
            <w:pPr>
              <w:ind w:left="320" w:leftChars="0"/>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27</w:t>
            </w:r>
          </w:p>
        </w:tc>
        <w:tc>
          <w:tcPr>
            <w:tcW w:w="1218" w:type="dxa"/>
            <w:noWrap w:val="0"/>
            <w:vAlign w:val="center"/>
          </w:tcPr>
          <w:p>
            <w:pPr>
              <w:jc w:val="center"/>
              <w:rPr>
                <w:rFonts w:hint="eastAsia" w:ascii="仿宋" w:hAnsi="仿宋" w:eastAsia="仿宋" w:cs="仿宋"/>
                <w:sz w:val="21"/>
                <w:szCs w:val="22"/>
                <w:lang w:val="en-US" w:eastAsia="zh-CN"/>
              </w:rPr>
            </w:pPr>
            <w:r>
              <w:rPr>
                <w:rFonts w:hint="eastAsia" w:ascii="仿宋" w:hAnsi="仿宋" w:eastAsia="仿宋" w:cs="仿宋"/>
                <w:sz w:val="21"/>
                <w:szCs w:val="22"/>
                <w:lang w:val="en-US" w:eastAsia="zh-CN"/>
              </w:rPr>
              <w:t>20.1</w:t>
            </w:r>
          </w:p>
        </w:tc>
        <w:tc>
          <w:tcPr>
            <w:tcW w:w="7386" w:type="dxa"/>
            <w:noWrap w:val="0"/>
            <w:vAlign w:val="center"/>
          </w:tcPr>
          <w:p>
            <w:pPr>
              <w:ind w:left="320"/>
              <w:jc w:val="left"/>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建筑工程一切险的保险费率：</w:t>
            </w:r>
            <w:r>
              <w:rPr>
                <w:rFonts w:hint="eastAsia" w:ascii="仿宋" w:hAnsi="仿宋" w:eastAsia="仿宋" w:cs="仿宋"/>
                <w:sz w:val="21"/>
                <w:szCs w:val="22"/>
                <w:u w:val="single"/>
                <w:lang w:val="en-US" w:eastAsia="zh-CN"/>
              </w:rPr>
              <w:t xml:space="preserve">     </w:t>
            </w:r>
            <w:r>
              <w:rPr>
                <w:rFonts w:hint="default" w:ascii="Arial" w:hAnsi="Arial" w:eastAsia="仿宋" w:cs="Arial"/>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28</w:t>
            </w:r>
          </w:p>
        </w:tc>
        <w:tc>
          <w:tcPr>
            <w:tcW w:w="1218" w:type="dxa"/>
            <w:noWrap w:val="0"/>
            <w:vAlign w:val="center"/>
          </w:tcPr>
          <w:p>
            <w:pPr>
              <w:jc w:val="center"/>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20.4.2</w:t>
            </w:r>
          </w:p>
        </w:tc>
        <w:tc>
          <w:tcPr>
            <w:tcW w:w="7386" w:type="dxa"/>
            <w:noWrap w:val="0"/>
            <w:vAlign w:val="center"/>
          </w:tcPr>
          <w:p>
            <w:pPr>
              <w:ind w:left="320"/>
              <w:jc w:val="left"/>
              <w:rPr>
                <w:rFonts w:hint="eastAsia" w:ascii="仿宋" w:hAnsi="仿宋" w:eastAsia="仿宋" w:cs="仿宋"/>
                <w:sz w:val="21"/>
                <w:szCs w:val="22"/>
              </w:rPr>
            </w:pPr>
            <w:r>
              <w:rPr>
                <w:rFonts w:hint="eastAsia" w:ascii="仿宋" w:hAnsi="仿宋" w:eastAsia="仿宋" w:cs="仿宋"/>
                <w:sz w:val="21"/>
                <w:szCs w:val="22"/>
              </w:rPr>
              <w:t>第三者责任</w:t>
            </w:r>
            <w:r>
              <w:rPr>
                <w:rFonts w:hint="eastAsia" w:ascii="仿宋" w:hAnsi="仿宋" w:eastAsia="仿宋" w:cs="仿宋"/>
                <w:sz w:val="21"/>
                <w:szCs w:val="22"/>
                <w:lang w:val="en-US" w:eastAsia="zh-CN"/>
              </w:rPr>
              <w:t>险</w:t>
            </w:r>
            <w:r>
              <w:rPr>
                <w:rFonts w:hint="eastAsia" w:ascii="仿宋" w:hAnsi="仿宋" w:eastAsia="仿宋" w:cs="仿宋"/>
                <w:sz w:val="21"/>
                <w:szCs w:val="22"/>
              </w:rPr>
              <w:t>的最低投保金额：</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万元，事故次数不限（不计免赔额）     保险费率：</w:t>
            </w:r>
            <w:r>
              <w:rPr>
                <w:rFonts w:hint="eastAsia" w:ascii="仿宋" w:hAnsi="仿宋" w:eastAsia="仿宋" w:cs="仿宋"/>
                <w:sz w:val="21"/>
                <w:szCs w:val="22"/>
                <w:u w:val="single"/>
                <w:lang w:val="en-US" w:eastAsia="zh-CN"/>
              </w:rPr>
              <w:t xml:space="preserve">     </w:t>
            </w:r>
            <w:r>
              <w:rPr>
                <w:rFonts w:hint="eastAsia" w:ascii="仿宋" w:hAnsi="仿宋" w:eastAsia="仿宋" w:cs="仿宋"/>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noWrap w:val="0"/>
            <w:vAlign w:val="center"/>
          </w:tcPr>
          <w:p>
            <w:pPr>
              <w:ind w:left="320"/>
              <w:rPr>
                <w:rFonts w:hint="default" w:ascii="仿宋" w:hAnsi="仿宋" w:eastAsia="仿宋" w:cs="仿宋"/>
                <w:sz w:val="21"/>
                <w:szCs w:val="22"/>
                <w:lang w:val="en-US" w:eastAsia="zh-CN"/>
              </w:rPr>
            </w:pPr>
            <w:r>
              <w:rPr>
                <w:rFonts w:hint="eastAsia" w:ascii="仿宋" w:hAnsi="仿宋" w:eastAsia="仿宋" w:cs="仿宋"/>
                <w:sz w:val="21"/>
                <w:szCs w:val="22"/>
                <w:lang w:val="en-US" w:eastAsia="zh-CN"/>
              </w:rPr>
              <w:t>29</w:t>
            </w:r>
          </w:p>
        </w:tc>
        <w:tc>
          <w:tcPr>
            <w:tcW w:w="1218" w:type="dxa"/>
            <w:noWrap w:val="0"/>
            <w:vAlign w:val="center"/>
          </w:tcPr>
          <w:p>
            <w:pPr>
              <w:ind w:left="320"/>
              <w:rPr>
                <w:rFonts w:hint="eastAsia" w:ascii="仿宋" w:hAnsi="仿宋" w:eastAsia="仿宋" w:cs="仿宋"/>
                <w:sz w:val="21"/>
                <w:szCs w:val="22"/>
              </w:rPr>
            </w:pPr>
            <w:r>
              <w:rPr>
                <w:rFonts w:hint="eastAsia" w:ascii="仿宋" w:hAnsi="仿宋" w:eastAsia="仿宋" w:cs="仿宋"/>
                <w:sz w:val="21"/>
                <w:szCs w:val="22"/>
              </w:rPr>
              <w:t>24.1</w:t>
            </w:r>
          </w:p>
        </w:tc>
        <w:tc>
          <w:tcPr>
            <w:tcW w:w="7386" w:type="dxa"/>
            <w:noWrap w:val="0"/>
            <w:vAlign w:val="center"/>
          </w:tcPr>
          <w:p>
            <w:pPr>
              <w:ind w:left="320"/>
              <w:jc w:val="both"/>
              <w:rPr>
                <w:rFonts w:hint="eastAsia" w:ascii="仿宋" w:hAnsi="仿宋" w:eastAsia="仿宋" w:cs="仿宋"/>
                <w:sz w:val="21"/>
                <w:szCs w:val="22"/>
                <w:u w:val="single"/>
              </w:rPr>
            </w:pPr>
            <w:r>
              <w:rPr>
                <w:rFonts w:hint="eastAsia" w:ascii="仿宋" w:hAnsi="仿宋" w:eastAsia="仿宋" w:cs="仿宋"/>
                <w:sz w:val="21"/>
                <w:szCs w:val="22"/>
              </w:rPr>
              <w:t xml:space="preserve">争议的最终解决方式： </w:t>
            </w:r>
            <w:r>
              <w:rPr>
                <w:rFonts w:hint="eastAsia" w:ascii="仿宋" w:hAnsi="仿宋" w:eastAsia="仿宋" w:cs="仿宋"/>
                <w:sz w:val="21"/>
                <w:szCs w:val="22"/>
                <w:u w:val="single"/>
                <w:lang w:val="en-US" w:eastAsia="zh-CN"/>
              </w:rPr>
              <w:t>仲裁或</w:t>
            </w:r>
            <w:r>
              <w:rPr>
                <w:rFonts w:hint="eastAsia" w:ascii="仿宋" w:hAnsi="仿宋" w:eastAsia="仿宋" w:cs="仿宋"/>
                <w:sz w:val="21"/>
                <w:szCs w:val="22"/>
                <w:u w:val="single"/>
              </w:rPr>
              <w:t>诉讼</w:t>
            </w:r>
          </w:p>
          <w:p>
            <w:pPr>
              <w:ind w:left="320"/>
              <w:jc w:val="both"/>
              <w:rPr>
                <w:rFonts w:hint="default" w:ascii="仿宋" w:hAnsi="仿宋" w:eastAsia="仿宋" w:cs="仿宋"/>
                <w:sz w:val="21"/>
                <w:szCs w:val="22"/>
                <w:u w:val="single"/>
                <w:lang w:val="en-US" w:eastAsia="zh-CN"/>
              </w:rPr>
            </w:pPr>
            <w:r>
              <w:rPr>
                <w:rFonts w:hint="eastAsia" w:ascii="仿宋" w:hAnsi="仿宋" w:eastAsia="仿宋" w:cs="仿宋"/>
                <w:sz w:val="21"/>
                <w:szCs w:val="22"/>
              </w:rPr>
              <w:t>如采用仲裁，仲裁委员会名称：</w:t>
            </w:r>
            <w:r>
              <w:rPr>
                <w:rFonts w:hint="eastAsia" w:ascii="仿宋" w:hAnsi="仿宋" w:eastAsia="仿宋" w:cs="仿宋"/>
                <w:sz w:val="21"/>
                <w:szCs w:val="22"/>
                <w:u w:val="single"/>
                <w:lang w:val="en-US" w:eastAsia="zh-CN"/>
              </w:rPr>
              <w:t xml:space="preserve">       </w:t>
            </w:r>
          </w:p>
        </w:tc>
      </w:tr>
    </w:tbl>
    <w:p>
      <w:pPr>
        <w:ind w:left="320"/>
        <w:rPr>
          <w:rFonts w:hint="eastAsia" w:ascii="仿宋" w:hAnsi="仿宋" w:eastAsia="仿宋" w:cs="仿宋"/>
          <w:sz w:val="21"/>
          <w:szCs w:val="22"/>
        </w:rPr>
      </w:pPr>
    </w:p>
    <w:p>
      <w:pPr>
        <w:adjustRightInd w:val="0"/>
        <w:snapToGrid w:val="0"/>
        <w:spacing w:before="120" w:beforeLines="50" w:after="120" w:afterLines="50" w:line="160" w:lineRule="exact"/>
        <w:rPr>
          <w:rFonts w:ascii="宋体" w:hAnsi="宋体"/>
          <w:sz w:val="15"/>
          <w:szCs w:val="15"/>
        </w:rPr>
      </w:pPr>
    </w:p>
    <w:p>
      <w:pPr>
        <w:adjustRightInd w:val="0"/>
        <w:snapToGrid w:val="0"/>
        <w:spacing w:before="120" w:beforeLines="50" w:after="120" w:afterLines="50" w:line="160" w:lineRule="exact"/>
        <w:rPr>
          <w:rFonts w:ascii="宋体" w:hAnsi="宋体"/>
          <w:sz w:val="15"/>
          <w:szCs w:val="15"/>
        </w:rPr>
      </w:pPr>
    </w:p>
    <w:p>
      <w:pPr>
        <w:rPr>
          <w:rFonts w:ascii="仿宋" w:hAnsi="仿宋" w:eastAsia="仿宋" w:cs="仿宋"/>
        </w:rPr>
      </w:pPr>
      <w:r>
        <w:rPr>
          <w:rFonts w:ascii="仿宋" w:hAnsi="仿宋" w:eastAsia="仿宋" w:cs="仿宋"/>
          <w:sz w:val="24"/>
        </w:rPr>
        <w:pict>
          <v:rect id="_x0000_s2090" o:spid="_x0000_s2090" o:spt="1" style="position:absolute;left:0pt;margin-left:451.55pt;margin-top:15.6pt;height:1pt;width:1pt;z-index:-251169792;mso-width-relative:page;mso-height-relative:page;" fillcolor="#000000" filled="t" stroked="t" coordsize="21600,21600" o:allowincell="f"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YIZ2DWAAAACQEAAA8AAAAA&#10;AAAAAQAgAAAAIgAAAGRycy9kb3ducmV2LnhtbFBLAQIUABQAAAAIAIdO4kBjHGhP3QEAAM8DAAAO&#10;AAAAAAAAAAEAIAAAACUBAABkcnMvZTJvRG9jLnhtbFBLBQYAAAAABgAGAFkBAAB0BQAAAAA=&#10;">
            <v:path/>
            <v:fill on="t" focussize="0,0"/>
            <v:stroke color="#FFFFFF"/>
            <v:imagedata o:title=""/>
            <o:lock v:ext="edit"/>
          </v:rect>
        </w:pict>
      </w:r>
    </w:p>
    <w:p>
      <w:pPr>
        <w:rPr>
          <w:rFonts w:ascii="仿宋" w:hAnsi="仿宋" w:eastAsia="仿宋" w:cs="仿宋"/>
        </w:rPr>
      </w:pPr>
    </w:p>
    <w:p>
      <w:pPr>
        <w:ind w:left="100"/>
        <w:rPr>
          <w:rFonts w:ascii="仿宋" w:hAnsi="仿宋" w:eastAsia="仿宋" w:cs="仿宋"/>
          <w:sz w:val="18"/>
        </w:rPr>
        <w:sectPr>
          <w:pgSz w:w="11900" w:h="16841"/>
          <w:pgMar w:top="851" w:right="1320" w:bottom="579" w:left="1540" w:header="567" w:footer="567" w:gutter="0"/>
          <w:cols w:space="720" w:num="1"/>
          <w:docGrid w:linePitch="360" w:charSpace="0"/>
        </w:sect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bookmarkStart w:id="126" w:name="_GoBack"/>
      <w:bookmarkEnd w:id="126"/>
    </w:p>
    <w:p>
      <w:pPr>
        <w:rPr>
          <w:rFonts w:ascii="仿宋" w:hAnsi="仿宋" w:eastAsia="仿宋" w:cs="仿宋"/>
          <w:sz w:val="32"/>
        </w:rPr>
      </w:pPr>
      <w:bookmarkStart w:id="75" w:name="page157"/>
      <w:bookmarkEnd w:id="75"/>
    </w:p>
    <w:p>
      <w:pPr>
        <w:ind w:left="3060"/>
        <w:rPr>
          <w:rFonts w:ascii="仿宋" w:hAnsi="仿宋" w:eastAsia="仿宋" w:cs="仿宋"/>
          <w:sz w:val="32"/>
        </w:rPr>
      </w:pPr>
      <w:r>
        <w:rPr>
          <w:rFonts w:hint="eastAsia" w:ascii="仿宋" w:hAnsi="仿宋" w:eastAsia="仿宋" w:cs="仿宋"/>
          <w:sz w:val="32"/>
        </w:rPr>
        <w:t>项目专用合同条款</w:t>
      </w:r>
    </w:p>
    <w:p>
      <w:pPr>
        <w:rPr>
          <w:rFonts w:ascii="仿宋" w:hAnsi="仿宋" w:eastAsia="仿宋" w:cs="仿宋"/>
        </w:rPr>
      </w:pPr>
    </w:p>
    <w:p>
      <w:pPr>
        <w:rPr>
          <w:rFonts w:ascii="仿宋" w:hAnsi="仿宋" w:eastAsia="仿宋" w:cs="仿宋"/>
        </w:rPr>
      </w:pPr>
    </w:p>
    <w:p>
      <w:pPr>
        <w:ind w:left="660" w:hanging="659"/>
        <w:jc w:val="both"/>
        <w:rPr>
          <w:rFonts w:ascii="仿宋" w:hAnsi="仿宋" w:eastAsia="仿宋" w:cs="仿宋"/>
          <w:sz w:val="24"/>
        </w:rPr>
      </w:pPr>
      <w:r>
        <w:rPr>
          <w:rFonts w:hint="eastAsia" w:ascii="仿宋" w:hAnsi="仿宋" w:eastAsia="仿宋" w:cs="仿宋"/>
          <w:sz w:val="24"/>
        </w:rPr>
        <w:t>说明：本部分所列的项目专用合同条款是对“公路工程专用合同条款”中规定必须在项目专用合同条款中明确的内容的集中，招标人编制的“项目专用合同条款”不限于本部分所列内容。</w:t>
      </w:r>
    </w:p>
    <w:p>
      <w:pPr>
        <w:rPr>
          <w:rFonts w:ascii="仿宋" w:hAnsi="仿宋" w:eastAsia="仿宋" w:cs="仿宋"/>
          <w:sz w:val="24"/>
        </w:rPr>
      </w:pPr>
      <w:r>
        <w:rPr>
          <w:rFonts w:hint="eastAsia" w:ascii="仿宋" w:hAnsi="仿宋" w:eastAsia="仿宋" w:cs="仿宋"/>
          <w:sz w:val="24"/>
        </w:rPr>
        <w:t>4.1 承包人的一般义务</w:t>
      </w:r>
    </w:p>
    <w:p>
      <w:pPr>
        <w:ind w:left="400" w:firstLine="79"/>
        <w:rPr>
          <w:rFonts w:ascii="仿宋" w:hAnsi="仿宋" w:eastAsia="仿宋" w:cs="仿宋"/>
          <w:sz w:val="24"/>
        </w:rPr>
      </w:pPr>
      <w:r>
        <w:rPr>
          <w:rFonts w:hint="eastAsia" w:ascii="仿宋" w:hAnsi="仿宋" w:eastAsia="仿宋" w:cs="仿宋"/>
          <w:sz w:val="24"/>
        </w:rPr>
        <w:t>4.1.10 其他义务</w:t>
      </w:r>
    </w:p>
    <w:p>
      <w:pPr>
        <w:ind w:left="400" w:firstLine="79"/>
        <w:rPr>
          <w:rFonts w:ascii="仿宋" w:hAnsi="仿宋" w:eastAsia="仿宋" w:cs="仿宋"/>
          <w:sz w:val="24"/>
        </w:rPr>
      </w:pPr>
      <w:r>
        <w:rPr>
          <w:rFonts w:hint="eastAsia" w:ascii="仿宋" w:hAnsi="仿宋" w:eastAsia="仿宋" w:cs="仿宋"/>
          <w:sz w:val="24"/>
        </w:rPr>
        <w:t>（4）承包人应履行的其他义务：</w:t>
      </w:r>
    </w:p>
    <w:p>
      <w:pPr>
        <w:numPr>
          <w:ilvl w:val="0"/>
          <w:numId w:val="67"/>
        </w:numPr>
        <w:tabs>
          <w:tab w:val="left" w:pos="540"/>
        </w:tabs>
        <w:ind w:left="540" w:hanging="536"/>
        <w:jc w:val="both"/>
        <w:rPr>
          <w:rFonts w:ascii="仿宋" w:hAnsi="仿宋" w:eastAsia="仿宋" w:cs="仿宋"/>
          <w:sz w:val="24"/>
        </w:rPr>
      </w:pPr>
      <w:r>
        <w:rPr>
          <w:rFonts w:hint="eastAsia" w:ascii="仿宋" w:hAnsi="仿宋" w:eastAsia="仿宋" w:cs="仿宋"/>
          <w:sz w:val="24"/>
        </w:rPr>
        <w:t>不利物质条件</w:t>
      </w:r>
    </w:p>
    <w:p>
      <w:pPr>
        <w:numPr>
          <w:ilvl w:val="1"/>
          <w:numId w:val="67"/>
        </w:numPr>
        <w:tabs>
          <w:tab w:val="left" w:pos="1200"/>
        </w:tabs>
        <w:ind w:left="1200" w:hanging="716"/>
        <w:jc w:val="both"/>
        <w:rPr>
          <w:rFonts w:ascii="仿宋" w:hAnsi="仿宋" w:eastAsia="仿宋" w:cs="仿宋"/>
          <w:sz w:val="24"/>
        </w:rPr>
      </w:pPr>
      <w:r>
        <w:rPr>
          <w:rFonts w:hint="eastAsia" w:ascii="仿宋" w:hAnsi="仿宋" w:eastAsia="仿宋" w:cs="仿宋"/>
          <w:sz w:val="24"/>
        </w:rPr>
        <w:t>不利物质条件的范围：</w:t>
      </w:r>
    </w:p>
    <w:p>
      <w:pPr>
        <w:rPr>
          <w:rFonts w:ascii="仿宋" w:hAnsi="仿宋" w:eastAsia="仿宋" w:cs="仿宋"/>
          <w:sz w:val="24"/>
        </w:rPr>
      </w:pPr>
      <w:r>
        <w:rPr>
          <w:rFonts w:hint="eastAsia" w:ascii="仿宋" w:hAnsi="仿宋" w:eastAsia="仿宋" w:cs="仿宋"/>
          <w:sz w:val="24"/>
        </w:rPr>
        <w:t>10.1 合同进度计划</w:t>
      </w:r>
    </w:p>
    <w:p>
      <w:pPr>
        <w:ind w:left="480"/>
        <w:rPr>
          <w:rFonts w:ascii="仿宋" w:hAnsi="仿宋" w:eastAsia="仿宋" w:cs="仿宋"/>
          <w:sz w:val="24"/>
        </w:rPr>
      </w:pPr>
      <w:r>
        <w:rPr>
          <w:rFonts w:hint="eastAsia" w:ascii="仿宋" w:hAnsi="仿宋" w:eastAsia="仿宋" w:cs="仿宋"/>
          <w:sz w:val="24"/>
        </w:rPr>
        <w:t>承包人编制施工方案的内容：</w:t>
      </w:r>
    </w:p>
    <w:p>
      <w:pPr>
        <w:rPr>
          <w:rFonts w:ascii="仿宋" w:hAnsi="仿宋" w:eastAsia="仿宋" w:cs="仿宋"/>
          <w:sz w:val="24"/>
        </w:rPr>
      </w:pPr>
      <w:r>
        <w:rPr>
          <w:rFonts w:hint="eastAsia" w:ascii="仿宋" w:hAnsi="仿宋" w:eastAsia="仿宋" w:cs="仿宋"/>
          <w:sz w:val="24"/>
        </w:rPr>
        <w:t>11.4 异常恶劣的气候条件</w:t>
      </w:r>
    </w:p>
    <w:p>
      <w:pPr>
        <w:ind w:left="480"/>
        <w:rPr>
          <w:rFonts w:ascii="仿宋" w:hAnsi="仿宋" w:eastAsia="仿宋" w:cs="仿宋"/>
          <w:sz w:val="24"/>
        </w:rPr>
      </w:pPr>
      <w:r>
        <w:rPr>
          <w:rFonts w:hint="eastAsia" w:ascii="仿宋" w:hAnsi="仿宋" w:eastAsia="仿宋" w:cs="仿宋"/>
          <w:sz w:val="24"/>
        </w:rPr>
        <w:t>异常恶劣的气候条件的范围：</w:t>
      </w:r>
    </w:p>
    <w:p>
      <w:pPr>
        <w:rPr>
          <w:rFonts w:ascii="仿宋" w:hAnsi="仿宋" w:eastAsia="仿宋" w:cs="仿宋"/>
          <w:sz w:val="24"/>
        </w:rPr>
      </w:pPr>
      <w:r>
        <w:rPr>
          <w:rFonts w:hint="eastAsia" w:ascii="仿宋" w:hAnsi="仿宋" w:eastAsia="仿宋" w:cs="仿宋"/>
          <w:sz w:val="24"/>
        </w:rPr>
        <w:t>12.1 承包人暂停施工的责任</w:t>
      </w:r>
    </w:p>
    <w:p>
      <w:pPr>
        <w:numPr>
          <w:ilvl w:val="1"/>
          <w:numId w:val="68"/>
        </w:numPr>
        <w:tabs>
          <w:tab w:val="left" w:pos="1020"/>
        </w:tabs>
        <w:ind w:left="1020" w:hanging="536"/>
        <w:jc w:val="both"/>
        <w:rPr>
          <w:rFonts w:ascii="仿宋" w:hAnsi="仿宋" w:eastAsia="仿宋" w:cs="仿宋"/>
          <w:sz w:val="24"/>
        </w:rPr>
      </w:pPr>
      <w:r>
        <w:rPr>
          <w:rFonts w:hint="eastAsia" w:ascii="仿宋" w:hAnsi="仿宋" w:eastAsia="仿宋" w:cs="仿宋"/>
          <w:sz w:val="24"/>
        </w:rPr>
        <w:t>（6）由承包人承担的其他暂停施工：</w:t>
      </w:r>
    </w:p>
    <w:p>
      <w:pPr>
        <w:tabs>
          <w:tab w:val="left" w:pos="0"/>
        </w:tabs>
        <w:jc w:val="both"/>
        <w:rPr>
          <w:rFonts w:ascii="仿宋" w:hAnsi="仿宋" w:eastAsia="仿宋" w:cs="仿宋"/>
          <w:sz w:val="24"/>
        </w:rPr>
      </w:pPr>
      <w:r>
        <w:rPr>
          <w:rFonts w:hint="eastAsia" w:ascii="仿宋" w:hAnsi="仿宋" w:eastAsia="仿宋" w:cs="仿宋"/>
          <w:sz w:val="24"/>
        </w:rPr>
        <w:t>17.1计量</w:t>
      </w:r>
    </w:p>
    <w:p>
      <w:pPr>
        <w:numPr>
          <w:ilvl w:val="1"/>
          <w:numId w:val="69"/>
        </w:numPr>
        <w:tabs>
          <w:tab w:val="left" w:pos="1200"/>
        </w:tabs>
        <w:ind w:left="1200" w:hanging="716"/>
        <w:jc w:val="both"/>
        <w:rPr>
          <w:rFonts w:ascii="仿宋" w:hAnsi="仿宋" w:eastAsia="仿宋" w:cs="仿宋"/>
          <w:sz w:val="24"/>
        </w:rPr>
      </w:pPr>
      <w:r>
        <w:rPr>
          <w:rFonts w:hint="eastAsia" w:ascii="仿宋" w:hAnsi="仿宋" w:eastAsia="仿宋" w:cs="仿宋"/>
          <w:sz w:val="24"/>
        </w:rPr>
        <w:t>本项目工程量清单中总额价子目的支付原则和支付进度：</w:t>
      </w:r>
    </w:p>
    <w:p>
      <w:pPr>
        <w:numPr>
          <w:ilvl w:val="0"/>
          <w:numId w:val="70"/>
        </w:numPr>
        <w:tabs>
          <w:tab w:val="left" w:pos="540"/>
        </w:tabs>
        <w:ind w:left="540" w:hanging="536"/>
        <w:jc w:val="both"/>
        <w:rPr>
          <w:rFonts w:ascii="仿宋" w:hAnsi="仿宋" w:eastAsia="仿宋" w:cs="仿宋"/>
          <w:sz w:val="24"/>
        </w:rPr>
      </w:pPr>
      <w:r>
        <w:rPr>
          <w:rFonts w:hint="eastAsia" w:ascii="仿宋" w:hAnsi="仿宋" w:eastAsia="仿宋" w:cs="仿宋"/>
          <w:sz w:val="24"/>
        </w:rPr>
        <w:t>工程进度付款</w:t>
      </w:r>
    </w:p>
    <w:p>
      <w:pPr>
        <w:numPr>
          <w:ilvl w:val="1"/>
          <w:numId w:val="70"/>
        </w:numPr>
        <w:tabs>
          <w:tab w:val="left" w:pos="1200"/>
        </w:tabs>
        <w:ind w:left="480" w:hanging="5"/>
        <w:jc w:val="both"/>
        <w:rPr>
          <w:rFonts w:ascii="仿宋" w:hAnsi="仿宋" w:eastAsia="仿宋" w:cs="仿宋"/>
          <w:sz w:val="24"/>
        </w:rPr>
      </w:pPr>
      <w:r>
        <w:rPr>
          <w:rFonts w:hint="eastAsia" w:ascii="仿宋" w:hAnsi="仿宋" w:eastAsia="仿宋" w:cs="仿宋"/>
          <w:sz w:val="24"/>
        </w:rPr>
        <w:t>农民工工资保证金的缴存时间：</w:t>
      </w:r>
    </w:p>
    <w:p>
      <w:pPr>
        <w:tabs>
          <w:tab w:val="left" w:pos="1200"/>
        </w:tabs>
        <w:ind w:left="480"/>
        <w:jc w:val="both"/>
        <w:rPr>
          <w:rFonts w:ascii="仿宋" w:hAnsi="仿宋" w:eastAsia="仿宋" w:cs="仿宋"/>
          <w:sz w:val="24"/>
        </w:rPr>
      </w:pPr>
      <w:r>
        <w:rPr>
          <w:rFonts w:hint="eastAsia" w:ascii="仿宋" w:hAnsi="仿宋" w:eastAsia="仿宋" w:cs="仿宋"/>
          <w:sz w:val="24"/>
        </w:rPr>
        <w:t>农民工工资保证金的缴存金额：</w:t>
      </w:r>
    </w:p>
    <w:p>
      <w:pPr>
        <w:ind w:left="480" w:hanging="10"/>
        <w:jc w:val="both"/>
        <w:rPr>
          <w:rFonts w:ascii="仿宋" w:hAnsi="仿宋" w:eastAsia="仿宋" w:cs="仿宋"/>
          <w:sz w:val="23"/>
        </w:rPr>
      </w:pPr>
      <w:r>
        <w:rPr>
          <w:rFonts w:hint="eastAsia" w:ascii="仿宋" w:hAnsi="仿宋" w:eastAsia="仿宋" w:cs="仿宋"/>
          <w:sz w:val="23"/>
        </w:rPr>
        <w:t>农民工工资保证金的扣留条件：</w:t>
      </w:r>
    </w:p>
    <w:p>
      <w:pPr>
        <w:ind w:left="480" w:hanging="10"/>
        <w:jc w:val="both"/>
        <w:rPr>
          <w:rFonts w:ascii="仿宋" w:hAnsi="仿宋" w:eastAsia="仿宋" w:cs="仿宋"/>
          <w:sz w:val="23"/>
        </w:rPr>
      </w:pPr>
      <w:r>
        <w:rPr>
          <w:rFonts w:hint="eastAsia" w:ascii="仿宋" w:hAnsi="仿宋" w:eastAsia="仿宋" w:cs="仿宋"/>
          <w:sz w:val="23"/>
        </w:rPr>
        <w:t>农民工工资保证金的返还时间：</w:t>
      </w:r>
    </w:p>
    <w:p>
      <w:pPr>
        <w:rPr>
          <w:rFonts w:ascii="仿宋" w:hAnsi="仿宋" w:eastAsia="仿宋" w:cs="仿宋"/>
          <w:sz w:val="24"/>
        </w:rPr>
      </w:pPr>
      <w:bookmarkStart w:id="76" w:name="page159"/>
      <w:bookmarkEnd w:id="76"/>
      <w:r>
        <w:rPr>
          <w:rFonts w:hint="eastAsia" w:ascii="仿宋" w:hAnsi="仿宋" w:eastAsia="仿宋" w:cs="仿宋"/>
          <w:sz w:val="24"/>
        </w:rPr>
        <w:t>21.1 不可抗力的确认</w:t>
      </w:r>
    </w:p>
    <w:p>
      <w:pPr>
        <w:numPr>
          <w:ilvl w:val="1"/>
          <w:numId w:val="71"/>
        </w:numPr>
        <w:tabs>
          <w:tab w:val="left" w:pos="1200"/>
        </w:tabs>
        <w:ind w:left="1200" w:hanging="716"/>
        <w:jc w:val="both"/>
        <w:rPr>
          <w:rFonts w:ascii="仿宋" w:hAnsi="仿宋" w:eastAsia="仿宋" w:cs="仿宋"/>
          <w:sz w:val="24"/>
        </w:rPr>
      </w:pPr>
      <w:r>
        <w:rPr>
          <w:rFonts w:hint="eastAsia" w:ascii="仿宋" w:hAnsi="仿宋" w:eastAsia="仿宋" w:cs="仿宋"/>
          <w:sz w:val="24"/>
        </w:rPr>
        <w:t>（6）不可抗力的其他情形：</w:t>
      </w:r>
    </w:p>
    <w:p>
      <w:pPr>
        <w:numPr>
          <w:ilvl w:val="0"/>
          <w:numId w:val="72"/>
        </w:numPr>
        <w:tabs>
          <w:tab w:val="left" w:pos="540"/>
        </w:tabs>
        <w:ind w:left="540" w:hanging="536"/>
        <w:jc w:val="both"/>
        <w:rPr>
          <w:rFonts w:ascii="仿宋" w:hAnsi="仿宋" w:eastAsia="仿宋" w:cs="仿宋"/>
          <w:sz w:val="24"/>
        </w:rPr>
      </w:pPr>
      <w:r>
        <w:rPr>
          <w:rFonts w:hint="eastAsia" w:ascii="仿宋" w:hAnsi="仿宋" w:eastAsia="仿宋" w:cs="仿宋"/>
          <w:sz w:val="24"/>
        </w:rPr>
        <w:t>承包人违约</w:t>
      </w:r>
    </w:p>
    <w:p>
      <w:pPr>
        <w:numPr>
          <w:ilvl w:val="1"/>
          <w:numId w:val="72"/>
        </w:numPr>
        <w:tabs>
          <w:tab w:val="left" w:pos="1200"/>
        </w:tabs>
        <w:spacing w:line="310" w:lineRule="auto"/>
        <w:ind w:firstLine="484"/>
        <w:jc w:val="both"/>
        <w:rPr>
          <w:rFonts w:eastAsia="Times New Roman"/>
          <w:sz w:val="24"/>
        </w:rPr>
      </w:pPr>
      <w:r>
        <w:rPr>
          <w:rFonts w:hint="eastAsia" w:ascii="仿宋" w:hAnsi="仿宋" w:eastAsia="仿宋" w:cs="仿宋"/>
          <w:sz w:val="24"/>
          <w:szCs w:val="22"/>
        </w:rPr>
        <w:t>当承包人发生第 22.1.1 项约定的违约情况时，发包人有权向承包人课以违约金，具体约定如下</w:t>
      </w:r>
      <w:r>
        <w:rPr>
          <w:rFonts w:ascii="宋体" w:hAnsi="宋体"/>
          <w:sz w:val="24"/>
        </w:rPr>
        <w:t>：</w:t>
      </w:r>
    </w:p>
    <w:p>
      <w:pPr>
        <w:numPr>
          <w:ilvl w:val="1"/>
          <w:numId w:val="72"/>
        </w:numPr>
        <w:tabs>
          <w:tab w:val="left" w:pos="1200"/>
        </w:tabs>
        <w:ind w:firstLine="484"/>
        <w:jc w:val="both"/>
        <w:rPr>
          <w:rFonts w:ascii="仿宋" w:hAnsi="仿宋" w:eastAsia="仿宋" w:cs="仿宋"/>
          <w:sz w:val="24"/>
        </w:rPr>
      </w:pPr>
    </w:p>
    <w:p>
      <w:pPr>
        <w:numPr>
          <w:ilvl w:val="0"/>
          <w:numId w:val="72"/>
        </w:numPr>
        <w:tabs>
          <w:tab w:val="left" w:pos="540"/>
        </w:tabs>
        <w:ind w:left="540" w:hanging="536"/>
        <w:jc w:val="both"/>
        <w:rPr>
          <w:rFonts w:ascii="仿宋" w:hAnsi="仿宋" w:eastAsia="仿宋" w:cs="仿宋"/>
          <w:sz w:val="24"/>
        </w:rPr>
      </w:pPr>
      <w:r>
        <w:rPr>
          <w:rFonts w:hint="eastAsia" w:ascii="仿宋" w:hAnsi="仿宋" w:eastAsia="仿宋" w:cs="仿宋"/>
          <w:sz w:val="24"/>
        </w:rPr>
        <w:t>发包人违约</w:t>
      </w:r>
    </w:p>
    <w:p>
      <w:pPr>
        <w:rPr>
          <w:rFonts w:ascii="仿宋" w:hAnsi="仿宋" w:eastAsia="仿宋" w:cs="仿宋"/>
          <w:sz w:val="24"/>
        </w:rPr>
      </w:pPr>
    </w:p>
    <w:p>
      <w:pPr>
        <w:numPr>
          <w:ilvl w:val="1"/>
          <w:numId w:val="73"/>
        </w:numPr>
        <w:tabs>
          <w:tab w:val="left" w:pos="1200"/>
        </w:tabs>
        <w:ind w:firstLine="484"/>
        <w:jc w:val="both"/>
        <w:rPr>
          <w:rFonts w:ascii="仿宋" w:hAnsi="仿宋" w:eastAsia="仿宋" w:cs="仿宋"/>
          <w:sz w:val="24"/>
        </w:rPr>
      </w:pPr>
      <w:r>
        <w:rPr>
          <w:rFonts w:hint="eastAsia" w:ascii="仿宋" w:hAnsi="仿宋" w:eastAsia="仿宋" w:cs="仿宋"/>
          <w:sz w:val="24"/>
        </w:rPr>
        <w:t>发包人无正当理由不按时返还履约保证金、质量保证金或农民工工资保证金的，发包人应向承包人支付的违约金如下：</w:t>
      </w:r>
    </w:p>
    <w:p>
      <w:pPr>
        <w:rPr>
          <w:rFonts w:ascii="仿宋" w:hAnsi="仿宋" w:eastAsia="仿宋" w:cs="仿宋"/>
        </w:rPr>
      </w:pPr>
      <w:r>
        <w:rPr>
          <w:rFonts w:ascii="仿宋" w:hAnsi="仿宋" w:eastAsia="仿宋" w:cs="仿宋"/>
          <w:sz w:val="24"/>
        </w:rPr>
        <w:pict>
          <v:line id="_x0000_s2089" o:spid="_x0000_s2089" o:spt="20" style="position:absolute;left:0pt;margin-left:132.25pt;margin-top:-86.5pt;height:0pt;width:186pt;z-index:-251168768;mso-width-relative:page;mso-height-relative:page;" coordsize="21600,21600" o:allowincell="f"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x3cjXAAAADQEAAA8AAAAAAAAA&#10;AQAgAAAAIgAAAGRycy9kb3ducmV2LnhtbFBLAQIUABQAAAAIAIdO4kDVOVHQ2QEAAJgDAAAOAAAA&#10;AAAAAAEAIAAAACYBAABkcnMvZTJvRG9jLnhtbFBLBQYAAAAABgAGAFkBAABxBQAAAAA=&#10;">
            <v:path arrowok="t"/>
            <v:fill focussize="0,0"/>
            <v:stroke weight="0.6pt"/>
            <v:imagedata o:title=""/>
            <o:lock v:ext="edit"/>
          </v:line>
        </w:pict>
      </w:r>
      <w:r>
        <w:rPr>
          <w:rFonts w:ascii="仿宋" w:hAnsi="仿宋" w:eastAsia="仿宋" w:cs="仿宋"/>
          <w:sz w:val="24"/>
        </w:rPr>
        <w:pict>
          <v:line id="_x0000_s2088" o:spid="_x0000_s2088" o:spt="20" style="position:absolute;left:0pt;margin-left:252.25pt;margin-top:-3.55pt;height:0pt;width:181.8pt;z-index:-251167744;mso-width-relative:page;mso-height-relative:page;" coordsize="21600,21600" o:allowincell="f"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pg/92AAAAAkBAAAPAAAA&#10;AAAAAAEAIAAAACIAAABkcnMvZG93bnJldi54bWxQSwECFAAUAAAACACHTuJASc4u4twBAACYAwAA&#10;DgAAAAAAAAABACAAAAAnAQAAZHJzL2Uyb0RvYy54bWxQSwUGAAAAAAYABgBZAQAAdQUAAAAA&#10;">
            <v:path arrowok="t"/>
            <v:fill focussize="0,0"/>
            <v:stroke weight="0.59992125984252pt"/>
            <v:imagedata o:title=""/>
            <o:lock v:ext="edit"/>
          </v:line>
        </w:pict>
      </w:r>
    </w:p>
    <w:p>
      <w:pPr>
        <w:ind w:left="480"/>
        <w:rPr>
          <w:rFonts w:ascii="仿宋" w:hAnsi="仿宋" w:eastAsia="仿宋" w:cs="仿宋"/>
          <w:sz w:val="24"/>
        </w:rPr>
      </w:pPr>
      <w:r>
        <w:rPr>
          <w:rFonts w:hint="eastAsia" w:ascii="仿宋" w:hAnsi="仿宋" w:eastAsia="仿宋" w:cs="仿宋"/>
          <w:sz w:val="24"/>
        </w:rPr>
        <w:t>………</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1660"/>
        </w:tabs>
        <w:rPr>
          <w:rFonts w:ascii="仿宋" w:hAnsi="仿宋" w:eastAsia="仿宋" w:cs="仿宋"/>
          <w:sz w:val="41"/>
        </w:rPr>
      </w:pPr>
    </w:p>
    <w:p>
      <w:pPr>
        <w:tabs>
          <w:tab w:val="left" w:pos="1660"/>
        </w:tabs>
        <w:jc w:val="center"/>
        <w:rPr>
          <w:rFonts w:ascii="仿宋" w:hAnsi="仿宋" w:eastAsia="仿宋" w:cs="仿宋"/>
          <w:sz w:val="41"/>
        </w:rPr>
      </w:pPr>
      <w:r>
        <w:rPr>
          <w:rFonts w:hint="eastAsia" w:ascii="仿宋" w:hAnsi="仿宋" w:eastAsia="仿宋" w:cs="仿宋"/>
          <w:sz w:val="41"/>
        </w:rPr>
        <w:t>第三节</w:t>
      </w:r>
      <w:r>
        <w:rPr>
          <w:rFonts w:hint="eastAsia" w:ascii="仿宋" w:hAnsi="仿宋" w:eastAsia="仿宋" w:cs="仿宋"/>
        </w:rPr>
        <w:tab/>
      </w:r>
      <w:r>
        <w:rPr>
          <w:rFonts w:hint="eastAsia" w:ascii="仿宋" w:hAnsi="仿宋" w:eastAsia="仿宋" w:cs="仿宋"/>
          <w:sz w:val="41"/>
        </w:rPr>
        <w:t>合同附件格式</w:t>
      </w:r>
    </w:p>
    <w:p>
      <w:pPr>
        <w:rPr>
          <w:rFonts w:ascii="仿宋" w:hAnsi="仿宋" w:eastAsia="仿宋" w:cs="仿宋"/>
          <w:sz w:val="24"/>
        </w:rPr>
      </w:pPr>
      <w:bookmarkStart w:id="77" w:name="page161"/>
      <w:bookmarkEnd w:id="77"/>
      <w:r>
        <w:rPr>
          <w:rFonts w:hint="eastAsia" w:ascii="仿宋" w:hAnsi="仿宋" w:eastAsia="仿宋" w:cs="仿宋"/>
          <w:sz w:val="24"/>
        </w:rPr>
        <w:t>附件一 合同协议书</w:t>
      </w:r>
    </w:p>
    <w:p>
      <w:pPr>
        <w:rPr>
          <w:rFonts w:ascii="仿宋" w:hAnsi="仿宋" w:eastAsia="仿宋" w:cs="仿宋"/>
        </w:rPr>
      </w:pPr>
    </w:p>
    <w:p>
      <w:pPr>
        <w:ind w:left="3360"/>
        <w:rPr>
          <w:rFonts w:ascii="仿宋" w:hAnsi="仿宋" w:eastAsia="仿宋" w:cs="仿宋"/>
          <w:sz w:val="28"/>
        </w:rPr>
      </w:pPr>
      <w:r>
        <w:rPr>
          <w:rFonts w:hint="eastAsia" w:ascii="仿宋" w:hAnsi="仿宋" w:eastAsia="仿宋" w:cs="仿宋"/>
          <w:sz w:val="28"/>
        </w:rPr>
        <w:t>合 同 协 议 书</w:t>
      </w:r>
    </w:p>
    <w:p>
      <w:pPr>
        <w:rPr>
          <w:rFonts w:ascii="仿宋" w:hAnsi="仿宋" w:eastAsia="仿宋" w:cs="仿宋"/>
        </w:rPr>
      </w:pPr>
    </w:p>
    <w:p>
      <w:pPr>
        <w:rPr>
          <w:rFonts w:ascii="仿宋" w:hAnsi="仿宋" w:eastAsia="仿宋" w:cs="仿宋"/>
        </w:rPr>
      </w:pPr>
    </w:p>
    <w:tbl>
      <w:tblPr>
        <w:tblStyle w:val="10"/>
        <w:tblW w:w="8680" w:type="dxa"/>
        <w:tblInd w:w="0" w:type="dxa"/>
        <w:tblLayout w:type="fixed"/>
        <w:tblCellMar>
          <w:top w:w="0" w:type="dxa"/>
          <w:left w:w="0" w:type="dxa"/>
          <w:bottom w:w="0" w:type="dxa"/>
          <w:right w:w="0" w:type="dxa"/>
        </w:tblCellMar>
      </w:tblPr>
      <w:tblGrid>
        <w:gridCol w:w="240"/>
        <w:gridCol w:w="240"/>
        <w:gridCol w:w="120"/>
        <w:gridCol w:w="360"/>
        <w:gridCol w:w="200"/>
        <w:gridCol w:w="360"/>
        <w:gridCol w:w="40"/>
        <w:gridCol w:w="120"/>
        <w:gridCol w:w="140"/>
        <w:gridCol w:w="100"/>
        <w:gridCol w:w="120"/>
        <w:gridCol w:w="440"/>
        <w:gridCol w:w="160"/>
        <w:gridCol w:w="100"/>
        <w:gridCol w:w="120"/>
        <w:gridCol w:w="220"/>
        <w:gridCol w:w="120"/>
        <w:gridCol w:w="240"/>
        <w:gridCol w:w="160"/>
        <w:gridCol w:w="360"/>
        <w:gridCol w:w="200"/>
        <w:gridCol w:w="140"/>
        <w:gridCol w:w="140"/>
        <w:gridCol w:w="80"/>
        <w:gridCol w:w="20"/>
        <w:gridCol w:w="260"/>
        <w:gridCol w:w="100"/>
        <w:gridCol w:w="720"/>
        <w:gridCol w:w="360"/>
        <w:gridCol w:w="120"/>
        <w:gridCol w:w="360"/>
        <w:gridCol w:w="960"/>
        <w:gridCol w:w="60"/>
        <w:gridCol w:w="300"/>
        <w:gridCol w:w="420"/>
        <w:gridCol w:w="240"/>
        <w:gridCol w:w="240"/>
      </w:tblGrid>
      <w:tr>
        <w:tblPrEx>
          <w:tblLayout w:type="fixed"/>
          <w:tblCellMar>
            <w:top w:w="0" w:type="dxa"/>
            <w:left w:w="0" w:type="dxa"/>
            <w:bottom w:w="0" w:type="dxa"/>
            <w:right w:w="0" w:type="dxa"/>
          </w:tblCellMar>
        </w:tblPrEx>
        <w:trPr>
          <w:trHeight w:val="292"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0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20" w:type="dxa"/>
            <w:gridSpan w:val="22"/>
            <w:noWrap/>
            <w:vAlign w:val="bottom"/>
          </w:tcPr>
          <w:p>
            <w:pPr>
              <w:rPr>
                <w:rFonts w:ascii="仿宋" w:hAnsi="仿宋" w:eastAsia="仿宋" w:cs="仿宋"/>
                <w:w w:val="97"/>
                <w:sz w:val="24"/>
              </w:rPr>
            </w:pPr>
            <w:r>
              <w:rPr>
                <w:rFonts w:hint="eastAsia" w:ascii="仿宋" w:hAnsi="仿宋" w:eastAsia="仿宋" w:cs="仿宋"/>
                <w:w w:val="97"/>
                <w:sz w:val="24"/>
              </w:rPr>
              <w:t>（发包人名称，以下简称“发包人”）为实施</w:t>
            </w: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（项</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560" w:type="dxa"/>
            <w:gridSpan w:val="2"/>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080" w:type="dxa"/>
            <w:gridSpan w:val="2"/>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30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1820" w:type="dxa"/>
            <w:gridSpan w:val="9"/>
            <w:noWrap/>
            <w:vAlign w:val="bottom"/>
          </w:tcPr>
          <w:p>
            <w:pPr>
              <w:rPr>
                <w:rFonts w:ascii="仿宋" w:hAnsi="仿宋" w:eastAsia="仿宋" w:cs="仿宋"/>
                <w:w w:val="92"/>
                <w:sz w:val="24"/>
              </w:rPr>
            </w:pPr>
            <w:r>
              <w:rPr>
                <w:rFonts w:hint="eastAsia" w:ascii="仿宋" w:hAnsi="仿宋" w:eastAsia="仿宋" w:cs="仿宋"/>
                <w:w w:val="92"/>
                <w:sz w:val="24"/>
              </w:rPr>
              <w:t>目名称），已接受</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40" w:type="dxa"/>
            <w:gridSpan w:val="20"/>
            <w:noWrap/>
            <w:vAlign w:val="bottom"/>
          </w:tcPr>
          <w:p>
            <w:pPr>
              <w:rPr>
                <w:rFonts w:ascii="仿宋" w:hAnsi="仿宋" w:eastAsia="仿宋" w:cs="仿宋"/>
                <w:sz w:val="24"/>
              </w:rPr>
            </w:pPr>
            <w:r>
              <w:rPr>
                <w:rFonts w:hint="eastAsia" w:ascii="仿宋" w:hAnsi="仿宋" w:eastAsia="仿宋" w:cs="仿宋"/>
                <w:sz w:val="24"/>
              </w:rPr>
              <w:t>（承包人名称，以下简称“承包人”）对该项目</w:t>
            </w: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jc w:val="right"/>
              <w:rPr>
                <w:rFonts w:ascii="仿宋" w:hAnsi="仿宋" w:eastAsia="仿宋" w:cs="仿宋"/>
                <w:w w:val="91"/>
                <w:sz w:val="24"/>
              </w:rPr>
            </w:pPr>
            <w:r>
              <w:rPr>
                <w:rFonts w:hint="eastAsia" w:ascii="仿宋" w:hAnsi="仿宋" w:eastAsia="仿宋" w:cs="仿宋"/>
                <w:w w:val="91"/>
                <w:sz w:val="24"/>
              </w:rPr>
              <w:t>标</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560" w:type="dxa"/>
            <w:gridSpan w:val="2"/>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260" w:type="dxa"/>
            <w:gridSpan w:val="2"/>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440" w:type="dxa"/>
            <w:shd w:val="clear" w:color="auto" w:fill="000000"/>
            <w:noWrap/>
            <w:vAlign w:val="bottom"/>
          </w:tcPr>
          <w:p>
            <w:pPr>
              <w:rPr>
                <w:rFonts w:ascii="仿宋" w:hAnsi="仿宋" w:eastAsia="仿宋" w:cs="仿宋"/>
                <w:sz w:val="1"/>
              </w:rPr>
            </w:pPr>
          </w:p>
        </w:tc>
        <w:tc>
          <w:tcPr>
            <w:tcW w:w="260" w:type="dxa"/>
            <w:gridSpan w:val="2"/>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30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425" w:hRule="atLeast"/>
        </w:trPr>
        <w:tc>
          <w:tcPr>
            <w:tcW w:w="5620" w:type="dxa"/>
            <w:gridSpan w:val="28"/>
            <w:noWrap/>
            <w:vAlign w:val="bottom"/>
          </w:tcPr>
          <w:p>
            <w:pPr>
              <w:rPr>
                <w:rFonts w:ascii="仿宋" w:hAnsi="仿宋" w:eastAsia="仿宋" w:cs="仿宋"/>
                <w:sz w:val="24"/>
              </w:rPr>
            </w:pPr>
            <w:r>
              <w:rPr>
                <w:rFonts w:hint="eastAsia" w:ascii="仿宋" w:hAnsi="仿宋" w:eastAsia="仿宋" w:cs="仿宋"/>
                <w:sz w:val="24"/>
              </w:rPr>
              <w:t>段施工的投标。发包人和承包人共同达成如下协议。</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436"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60" w:type="dxa"/>
            <w:gridSpan w:val="2"/>
            <w:noWrap/>
            <w:vAlign w:val="bottom"/>
          </w:tcPr>
          <w:p>
            <w:pPr>
              <w:ind w:left="20"/>
              <w:rPr>
                <w:rFonts w:ascii="仿宋" w:hAnsi="仿宋" w:eastAsia="仿宋" w:cs="仿宋"/>
                <w:sz w:val="24"/>
              </w:rPr>
            </w:pPr>
            <w:r>
              <w:rPr>
                <w:rFonts w:hint="eastAsia" w:ascii="仿宋" w:hAnsi="仿宋" w:eastAsia="仿宋" w:cs="仿宋"/>
                <w:sz w:val="24"/>
              </w:rPr>
              <w:t>1. 第</w:t>
            </w:r>
          </w:p>
        </w:tc>
        <w:tc>
          <w:tcPr>
            <w:tcW w:w="360" w:type="dxa"/>
            <w:noWrap/>
            <w:vAlign w:val="bottom"/>
          </w:tcPr>
          <w:p>
            <w:pPr>
              <w:rPr>
                <w:rFonts w:ascii="仿宋" w:hAnsi="仿宋" w:eastAsia="仿宋" w:cs="仿宋"/>
                <w:sz w:val="24"/>
              </w:rPr>
            </w:pPr>
          </w:p>
        </w:tc>
        <w:tc>
          <w:tcPr>
            <w:tcW w:w="1120" w:type="dxa"/>
            <w:gridSpan w:val="7"/>
            <w:noWrap/>
            <w:vAlign w:val="bottom"/>
          </w:tcPr>
          <w:p>
            <w:pPr>
              <w:rPr>
                <w:rFonts w:ascii="仿宋" w:hAnsi="仿宋" w:eastAsia="仿宋" w:cs="仿宋"/>
                <w:sz w:val="24"/>
              </w:rPr>
            </w:pPr>
            <w:r>
              <w:rPr>
                <w:rFonts w:hint="eastAsia" w:ascii="仿宋" w:hAnsi="仿宋" w:eastAsia="仿宋" w:cs="仿宋"/>
                <w:sz w:val="24"/>
              </w:rPr>
              <w:t>标段由 K</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20" w:type="dxa"/>
            <w:noWrap/>
            <w:vAlign w:val="bottom"/>
          </w:tcPr>
          <w:p>
            <w:pPr>
              <w:rPr>
                <w:rFonts w:ascii="仿宋" w:hAnsi="仿宋" w:eastAsia="仿宋" w:cs="仿宋"/>
                <w:w w:val="83"/>
                <w:sz w:val="24"/>
              </w:rPr>
            </w:pPr>
            <w:r>
              <w:rPr>
                <w:rFonts w:hint="eastAsia" w:ascii="仿宋" w:hAnsi="仿宋" w:eastAsia="仿宋" w:cs="仿宋"/>
                <w:w w:val="83"/>
                <w:sz w:val="24"/>
              </w:rPr>
              <w:t>＋</w:t>
            </w: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520" w:type="dxa"/>
            <w:gridSpan w:val="2"/>
            <w:noWrap/>
            <w:vAlign w:val="bottom"/>
          </w:tcPr>
          <w:p>
            <w:pPr>
              <w:jc w:val="center"/>
              <w:rPr>
                <w:rFonts w:ascii="仿宋" w:hAnsi="仿宋" w:eastAsia="仿宋" w:cs="仿宋"/>
                <w:w w:val="93"/>
                <w:sz w:val="24"/>
              </w:rPr>
            </w:pPr>
            <w:r>
              <w:rPr>
                <w:rFonts w:hint="eastAsia" w:ascii="仿宋" w:hAnsi="仿宋" w:eastAsia="仿宋" w:cs="仿宋"/>
                <w:w w:val="93"/>
                <w:sz w:val="24"/>
              </w:rPr>
              <w:t>至 K</w:t>
            </w:r>
          </w:p>
        </w:tc>
        <w:tc>
          <w:tcPr>
            <w:tcW w:w="20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240" w:type="dxa"/>
            <w:gridSpan w:val="3"/>
            <w:noWrap/>
            <w:vAlign w:val="bottom"/>
          </w:tcPr>
          <w:p>
            <w:pPr>
              <w:rPr>
                <w:rFonts w:ascii="仿宋" w:hAnsi="仿宋" w:eastAsia="仿宋" w:cs="仿宋"/>
                <w:w w:val="91"/>
                <w:sz w:val="24"/>
              </w:rPr>
            </w:pPr>
            <w:r>
              <w:rPr>
                <w:rFonts w:hint="eastAsia" w:ascii="仿宋" w:hAnsi="仿宋" w:eastAsia="仿宋" w:cs="仿宋"/>
                <w:w w:val="91"/>
                <w:sz w:val="24"/>
              </w:rPr>
              <w:t>＋</w:t>
            </w:r>
          </w:p>
        </w:tc>
        <w:tc>
          <w:tcPr>
            <w:tcW w:w="260" w:type="dxa"/>
            <w:noWrap/>
            <w:vAlign w:val="bottom"/>
          </w:tcPr>
          <w:p>
            <w:pPr>
              <w:rPr>
                <w:rFonts w:ascii="仿宋" w:hAnsi="仿宋" w:eastAsia="仿宋" w:cs="仿宋"/>
                <w:sz w:val="24"/>
              </w:rPr>
            </w:pPr>
          </w:p>
        </w:tc>
        <w:tc>
          <w:tcPr>
            <w:tcW w:w="820" w:type="dxa"/>
            <w:gridSpan w:val="2"/>
            <w:noWrap/>
            <w:vAlign w:val="bottom"/>
          </w:tcPr>
          <w:p>
            <w:pPr>
              <w:ind w:left="100"/>
              <w:rPr>
                <w:rFonts w:ascii="仿宋" w:hAnsi="仿宋" w:eastAsia="仿宋" w:cs="仿宋"/>
                <w:w w:val="97"/>
                <w:sz w:val="24"/>
              </w:rPr>
            </w:pPr>
            <w:r>
              <w:rPr>
                <w:rFonts w:hint="eastAsia" w:ascii="仿宋" w:hAnsi="仿宋" w:eastAsia="仿宋" w:cs="仿宋"/>
                <w:w w:val="97"/>
                <w:sz w:val="24"/>
              </w:rPr>
              <w:t>，长约</w:t>
            </w:r>
          </w:p>
        </w:tc>
        <w:tc>
          <w:tcPr>
            <w:tcW w:w="360" w:type="dxa"/>
            <w:noWrap/>
            <w:vAlign w:val="bottom"/>
          </w:tcPr>
          <w:p>
            <w:pPr>
              <w:rPr>
                <w:rFonts w:ascii="仿宋" w:hAnsi="仿宋" w:eastAsia="仿宋" w:cs="仿宋"/>
                <w:sz w:val="24"/>
              </w:rPr>
            </w:pPr>
          </w:p>
        </w:tc>
        <w:tc>
          <w:tcPr>
            <w:tcW w:w="1800" w:type="dxa"/>
            <w:gridSpan w:val="5"/>
            <w:noWrap/>
            <w:vAlign w:val="bottom"/>
          </w:tcPr>
          <w:p>
            <w:pPr>
              <w:rPr>
                <w:rFonts w:ascii="仿宋" w:hAnsi="仿宋" w:eastAsia="仿宋" w:cs="仿宋"/>
                <w:sz w:val="24"/>
              </w:rPr>
            </w:pPr>
            <w:r>
              <w:rPr>
                <w:rFonts w:hint="eastAsia" w:ascii="仿宋" w:hAnsi="仿宋" w:eastAsia="仿宋" w:cs="仿宋"/>
                <w:sz w:val="24"/>
              </w:rPr>
              <w:t>km，公路等级为</w:t>
            </w: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，设</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20" w:type="dxa"/>
            <w:gridSpan w:val="2"/>
            <w:shd w:val="clear" w:color="auto" w:fill="000000"/>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480" w:type="dxa"/>
            <w:gridSpan w:val="2"/>
            <w:noWrap/>
            <w:vAlign w:val="bottom"/>
          </w:tcPr>
          <w:p>
            <w:pPr>
              <w:rPr>
                <w:rFonts w:ascii="仿宋" w:hAnsi="仿宋" w:eastAsia="仿宋" w:cs="仿宋"/>
                <w:sz w:val="1"/>
              </w:rPr>
            </w:pPr>
          </w:p>
        </w:tc>
      </w:tr>
      <w:tr>
        <w:tblPrEx>
          <w:tblLayout w:type="fixed"/>
        </w:tblPrEx>
        <w:trPr>
          <w:trHeight w:val="420" w:hRule="atLeast"/>
        </w:trPr>
        <w:tc>
          <w:tcPr>
            <w:tcW w:w="1160" w:type="dxa"/>
            <w:gridSpan w:val="5"/>
            <w:noWrap/>
            <w:vAlign w:val="bottom"/>
          </w:tcPr>
          <w:p>
            <w:pPr>
              <w:rPr>
                <w:rFonts w:ascii="仿宋" w:hAnsi="仿宋" w:eastAsia="仿宋" w:cs="仿宋"/>
                <w:sz w:val="24"/>
              </w:rPr>
            </w:pPr>
            <w:r>
              <w:rPr>
                <w:rFonts w:hint="eastAsia" w:ascii="仿宋" w:hAnsi="仿宋" w:eastAsia="仿宋" w:cs="仿宋"/>
                <w:sz w:val="24"/>
              </w:rPr>
              <w:t>计速度为</w:t>
            </w: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660" w:type="dxa"/>
            <w:gridSpan w:val="3"/>
            <w:noWrap/>
            <w:vAlign w:val="bottom"/>
          </w:tcPr>
          <w:p>
            <w:pPr>
              <w:rPr>
                <w:rFonts w:ascii="仿宋" w:hAnsi="仿宋" w:eastAsia="仿宋" w:cs="仿宋"/>
                <w:sz w:val="24"/>
              </w:rPr>
            </w:pPr>
            <w:r>
              <w:rPr>
                <w:rFonts w:hint="eastAsia" w:ascii="仿宋" w:hAnsi="仿宋" w:eastAsia="仿宋" w:cs="仿宋"/>
                <w:sz w:val="24"/>
              </w:rPr>
              <w:t>，</w:t>
            </w:r>
          </w:p>
        </w:tc>
        <w:tc>
          <w:tcPr>
            <w:tcW w:w="160" w:type="dxa"/>
            <w:noWrap/>
            <w:vAlign w:val="bottom"/>
          </w:tcPr>
          <w:p>
            <w:pPr>
              <w:rPr>
                <w:rFonts w:ascii="仿宋" w:hAnsi="仿宋" w:eastAsia="仿宋" w:cs="仿宋"/>
                <w:sz w:val="24"/>
              </w:rPr>
            </w:pPr>
          </w:p>
        </w:tc>
        <w:tc>
          <w:tcPr>
            <w:tcW w:w="1320" w:type="dxa"/>
            <w:gridSpan w:val="7"/>
            <w:noWrap/>
            <w:vAlign w:val="bottom"/>
          </w:tcPr>
          <w:p>
            <w:pPr>
              <w:rPr>
                <w:rFonts w:ascii="仿宋" w:hAnsi="仿宋" w:eastAsia="仿宋" w:cs="仿宋"/>
                <w:sz w:val="24"/>
              </w:rPr>
            </w:pPr>
            <w:r>
              <w:rPr>
                <w:rFonts w:hint="eastAsia" w:ascii="仿宋" w:hAnsi="仿宋" w:eastAsia="仿宋" w:cs="仿宋"/>
                <w:sz w:val="24"/>
              </w:rPr>
              <w:t>路面，有</w:t>
            </w:r>
          </w:p>
        </w:tc>
        <w:tc>
          <w:tcPr>
            <w:tcW w:w="580" w:type="dxa"/>
            <w:gridSpan w:val="5"/>
            <w:noWrap/>
            <w:vAlign w:val="bottom"/>
          </w:tcPr>
          <w:p>
            <w:pPr>
              <w:rPr>
                <w:rFonts w:ascii="仿宋" w:hAnsi="仿宋" w:eastAsia="仿宋" w:cs="仿宋"/>
                <w:sz w:val="24"/>
              </w:rPr>
            </w:pPr>
            <w:r>
              <w:rPr>
                <w:rFonts w:hint="eastAsia" w:ascii="仿宋" w:hAnsi="仿宋" w:eastAsia="仿宋" w:cs="仿宋"/>
                <w:sz w:val="24"/>
              </w:rPr>
              <w:t>立交</w:t>
            </w:r>
          </w:p>
        </w:tc>
        <w:tc>
          <w:tcPr>
            <w:tcW w:w="1560" w:type="dxa"/>
            <w:gridSpan w:val="5"/>
            <w:noWrap/>
            <w:vAlign w:val="bottom"/>
          </w:tcPr>
          <w:p>
            <w:pPr>
              <w:ind w:left="260"/>
              <w:rPr>
                <w:rFonts w:ascii="仿宋" w:hAnsi="仿宋" w:eastAsia="仿宋" w:cs="仿宋"/>
                <w:sz w:val="24"/>
              </w:rPr>
            </w:pPr>
            <w:r>
              <w:rPr>
                <w:rFonts w:hint="eastAsia" w:ascii="仿宋" w:hAnsi="仿宋" w:eastAsia="仿宋" w:cs="仿宋"/>
                <w:sz w:val="24"/>
              </w:rPr>
              <w:t>处；特大桥</w:t>
            </w:r>
          </w:p>
        </w:tc>
        <w:tc>
          <w:tcPr>
            <w:tcW w:w="360" w:type="dxa"/>
            <w:noWrap/>
            <w:vAlign w:val="bottom"/>
          </w:tcPr>
          <w:p>
            <w:pPr>
              <w:rPr>
                <w:rFonts w:ascii="仿宋" w:hAnsi="仿宋" w:eastAsia="仿宋" w:cs="仿宋"/>
                <w:sz w:val="24"/>
              </w:rPr>
            </w:pPr>
          </w:p>
        </w:tc>
        <w:tc>
          <w:tcPr>
            <w:tcW w:w="1320" w:type="dxa"/>
            <w:gridSpan w:val="3"/>
            <w:noWrap/>
            <w:vAlign w:val="bottom"/>
          </w:tcPr>
          <w:p>
            <w:pPr>
              <w:rPr>
                <w:rFonts w:ascii="仿宋" w:hAnsi="仿宋" w:eastAsia="仿宋" w:cs="仿宋"/>
                <w:sz w:val="24"/>
              </w:rPr>
            </w:pPr>
            <w:r>
              <w:rPr>
                <w:rFonts w:hint="eastAsia" w:ascii="仿宋" w:hAnsi="仿宋" w:eastAsia="仿宋" w:cs="仿宋"/>
                <w:sz w:val="24"/>
              </w:rPr>
              <w:t>座，计长</w:t>
            </w:r>
          </w:p>
        </w:tc>
        <w:tc>
          <w:tcPr>
            <w:tcW w:w="900" w:type="dxa"/>
            <w:gridSpan w:val="3"/>
            <w:noWrap/>
            <w:vAlign w:val="bottom"/>
          </w:tcPr>
          <w:p>
            <w:pPr>
              <w:jc w:val="right"/>
              <w:rPr>
                <w:rFonts w:ascii="仿宋" w:hAnsi="仿宋" w:eastAsia="仿宋" w:cs="仿宋"/>
                <w:w w:val="97"/>
                <w:sz w:val="24"/>
              </w:rPr>
            </w:pPr>
            <w:r>
              <w:rPr>
                <w:rFonts w:hint="eastAsia" w:ascii="仿宋" w:hAnsi="仿宋" w:eastAsia="仿宋" w:cs="仿宋"/>
                <w:w w:val="97"/>
                <w:sz w:val="24"/>
              </w:rPr>
              <w:t>m；大中</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260" w:type="dxa"/>
            <w:gridSpan w:val="2"/>
            <w:shd w:val="clear" w:color="auto" w:fill="000000"/>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20" w:type="dxa"/>
            <w:gridSpan w:val="2"/>
            <w:shd w:val="clear" w:color="auto" w:fill="auto"/>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00" w:type="dxa"/>
            <w:gridSpan w:val="2"/>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80" w:type="dxa"/>
            <w:gridSpan w:val="2"/>
            <w:shd w:val="clear" w:color="auto" w:fill="000000"/>
            <w:noWrap/>
            <w:vAlign w:val="bottom"/>
          </w:tcPr>
          <w:p>
            <w:pPr>
              <w:rPr>
                <w:rFonts w:ascii="仿宋" w:hAnsi="仿宋" w:eastAsia="仿宋" w:cs="仿宋"/>
                <w:sz w:val="1"/>
              </w:rPr>
            </w:pPr>
          </w:p>
        </w:tc>
        <w:tc>
          <w:tcPr>
            <w:tcW w:w="1180" w:type="dxa"/>
            <w:gridSpan w:val="3"/>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480" w:type="dxa"/>
            <w:gridSpan w:val="2"/>
            <w:tcBorders>
              <w:bottom w:val="nil"/>
            </w:tcBorders>
            <w:noWrap/>
            <w:vAlign w:val="bottom"/>
          </w:tcPr>
          <w:p>
            <w:pPr>
              <w:rPr>
                <w:rFonts w:ascii="仿宋" w:hAnsi="仿宋" w:eastAsia="仿宋" w:cs="仿宋"/>
                <w:sz w:val="24"/>
              </w:rPr>
            </w:pPr>
            <w:r>
              <w:rPr>
                <w:rFonts w:hint="eastAsia" w:ascii="仿宋" w:hAnsi="仿宋" w:eastAsia="仿宋" w:cs="仿宋"/>
                <w:sz w:val="24"/>
              </w:rPr>
              <w:t>桥</w:t>
            </w:r>
          </w:p>
        </w:tc>
        <w:tc>
          <w:tcPr>
            <w:tcW w:w="120" w:type="dxa"/>
            <w:tcBorders>
              <w:bottom w:val="nil"/>
            </w:tcBorders>
            <w:noWrap/>
            <w:vAlign w:val="bottom"/>
          </w:tcPr>
          <w:p>
            <w:pPr>
              <w:rPr>
                <w:rFonts w:ascii="仿宋" w:hAnsi="仿宋" w:eastAsia="仿宋" w:cs="仿宋"/>
                <w:sz w:val="24"/>
              </w:rPr>
            </w:pPr>
          </w:p>
        </w:tc>
        <w:tc>
          <w:tcPr>
            <w:tcW w:w="1220" w:type="dxa"/>
            <w:gridSpan w:val="6"/>
            <w:tcBorders>
              <w:bottom w:val="nil"/>
            </w:tcBorders>
            <w:noWrap/>
            <w:vAlign w:val="bottom"/>
          </w:tcPr>
          <w:p>
            <w:pPr>
              <w:rPr>
                <w:rFonts w:ascii="仿宋" w:hAnsi="仿宋" w:eastAsia="仿宋" w:cs="仿宋"/>
                <w:sz w:val="24"/>
              </w:rPr>
            </w:pPr>
            <w:r>
              <w:rPr>
                <w:rFonts w:hint="eastAsia" w:ascii="仿宋" w:hAnsi="仿宋" w:eastAsia="仿宋" w:cs="仿宋"/>
                <w:sz w:val="24"/>
              </w:rPr>
              <w:t>座，计长</w:t>
            </w:r>
          </w:p>
        </w:tc>
        <w:tc>
          <w:tcPr>
            <w:tcW w:w="100" w:type="dxa"/>
            <w:tcBorders>
              <w:bottom w:val="nil"/>
            </w:tcBorders>
            <w:noWrap/>
            <w:vAlign w:val="bottom"/>
          </w:tcPr>
          <w:p>
            <w:pPr>
              <w:rPr>
                <w:rFonts w:ascii="仿宋" w:hAnsi="仿宋" w:eastAsia="仿宋" w:cs="仿宋"/>
                <w:sz w:val="24"/>
              </w:rPr>
            </w:pPr>
          </w:p>
        </w:tc>
        <w:tc>
          <w:tcPr>
            <w:tcW w:w="1160" w:type="dxa"/>
            <w:gridSpan w:val="6"/>
            <w:tcBorders>
              <w:bottom w:val="nil"/>
            </w:tcBorders>
            <w:noWrap/>
            <w:vAlign w:val="bottom"/>
          </w:tcPr>
          <w:p>
            <w:pPr>
              <w:rPr>
                <w:rFonts w:ascii="仿宋" w:hAnsi="仿宋" w:eastAsia="仿宋" w:cs="仿宋"/>
                <w:sz w:val="24"/>
              </w:rPr>
            </w:pPr>
            <w:r>
              <w:rPr>
                <w:rFonts w:hint="eastAsia" w:ascii="仿宋" w:hAnsi="仿宋" w:eastAsia="仿宋" w:cs="仿宋"/>
                <w:sz w:val="24"/>
              </w:rPr>
              <w:t>m；隧道</w:t>
            </w:r>
          </w:p>
        </w:tc>
        <w:tc>
          <w:tcPr>
            <w:tcW w:w="120" w:type="dxa"/>
            <w:tcBorders>
              <w:bottom w:val="nil"/>
            </w:tcBorders>
            <w:noWrap/>
            <w:vAlign w:val="bottom"/>
          </w:tcPr>
          <w:p>
            <w:pPr>
              <w:rPr>
                <w:rFonts w:ascii="仿宋" w:hAnsi="仿宋" w:eastAsia="仿宋" w:cs="仿宋"/>
                <w:sz w:val="24"/>
              </w:rPr>
            </w:pPr>
          </w:p>
        </w:tc>
        <w:tc>
          <w:tcPr>
            <w:tcW w:w="1100" w:type="dxa"/>
            <w:gridSpan w:val="5"/>
            <w:tcBorders>
              <w:bottom w:val="nil"/>
            </w:tcBorders>
            <w:noWrap/>
            <w:vAlign w:val="bottom"/>
          </w:tcPr>
          <w:p>
            <w:pPr>
              <w:jc w:val="center"/>
              <w:rPr>
                <w:rFonts w:ascii="仿宋" w:hAnsi="仿宋" w:eastAsia="仿宋" w:cs="仿宋"/>
                <w:w w:val="99"/>
                <w:sz w:val="24"/>
              </w:rPr>
            </w:pPr>
            <w:r>
              <w:rPr>
                <w:rFonts w:hint="eastAsia" w:ascii="仿宋" w:hAnsi="仿宋" w:eastAsia="仿宋" w:cs="仿宋"/>
                <w:w w:val="99"/>
                <w:sz w:val="24"/>
              </w:rPr>
              <w:t>座，计长</w:t>
            </w:r>
          </w:p>
        </w:tc>
        <w:tc>
          <w:tcPr>
            <w:tcW w:w="140" w:type="dxa"/>
            <w:tcBorders>
              <w:bottom w:val="nil"/>
            </w:tcBorders>
            <w:noWrap/>
            <w:vAlign w:val="bottom"/>
          </w:tcPr>
          <w:p>
            <w:pPr>
              <w:rPr>
                <w:rFonts w:ascii="仿宋" w:hAnsi="仿宋" w:eastAsia="仿宋" w:cs="仿宋"/>
                <w:sz w:val="24"/>
              </w:rPr>
            </w:pPr>
          </w:p>
        </w:tc>
        <w:tc>
          <w:tcPr>
            <w:tcW w:w="80" w:type="dxa"/>
            <w:tcBorders>
              <w:bottom w:val="nil"/>
            </w:tcBorders>
            <w:noWrap/>
            <w:vAlign w:val="bottom"/>
          </w:tcPr>
          <w:p>
            <w:pPr>
              <w:rPr>
                <w:rFonts w:ascii="仿宋" w:hAnsi="仿宋" w:eastAsia="仿宋" w:cs="仿宋"/>
                <w:sz w:val="24"/>
              </w:rPr>
            </w:pPr>
          </w:p>
        </w:tc>
        <w:tc>
          <w:tcPr>
            <w:tcW w:w="3260" w:type="dxa"/>
            <w:gridSpan w:val="10"/>
            <w:tcBorders>
              <w:bottom w:val="nil"/>
            </w:tcBorders>
            <w:noWrap/>
            <w:vAlign w:val="bottom"/>
          </w:tcPr>
          <w:p>
            <w:pPr>
              <w:rPr>
                <w:rFonts w:ascii="仿宋" w:hAnsi="仿宋" w:eastAsia="仿宋" w:cs="仿宋"/>
                <w:sz w:val="24"/>
              </w:rPr>
            </w:pPr>
            <w:r>
              <w:rPr>
                <w:rFonts w:hint="eastAsia" w:ascii="仿宋" w:hAnsi="仿宋" w:eastAsia="仿宋" w:cs="仿宋"/>
                <w:sz w:val="24"/>
              </w:rPr>
              <w:t>m 以及其他构造物工程等。</w:t>
            </w:r>
          </w:p>
        </w:tc>
        <w:tc>
          <w:tcPr>
            <w:tcW w:w="420" w:type="dxa"/>
            <w:tcBorders>
              <w:bottom w:val="nil"/>
            </w:tcBorders>
            <w:noWrap/>
            <w:vAlign w:val="bottom"/>
          </w:tcPr>
          <w:p>
            <w:pPr>
              <w:rPr>
                <w:rFonts w:ascii="仿宋" w:hAnsi="仿宋" w:eastAsia="仿宋" w:cs="仿宋"/>
                <w:sz w:val="24"/>
              </w:rPr>
            </w:pPr>
          </w:p>
        </w:tc>
        <w:tc>
          <w:tcPr>
            <w:tcW w:w="240" w:type="dxa"/>
            <w:tcBorders>
              <w:bottom w:val="nil"/>
            </w:tcBorders>
            <w:noWrap/>
            <w:vAlign w:val="bottom"/>
          </w:tcPr>
          <w:p>
            <w:pPr>
              <w:rPr>
                <w:rFonts w:ascii="仿宋" w:hAnsi="仿宋" w:eastAsia="仿宋" w:cs="仿宋"/>
                <w:sz w:val="24"/>
              </w:rPr>
            </w:pPr>
          </w:p>
        </w:tc>
        <w:tc>
          <w:tcPr>
            <w:tcW w:w="240" w:type="dxa"/>
            <w:tcBorders>
              <w:bottom w:val="nil"/>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240" w:type="dxa"/>
            <w:tcBorders>
              <w:top w:val="nil"/>
            </w:tcBorders>
            <w:shd w:val="clear" w:color="auto" w:fill="auto"/>
            <w:noWrap/>
            <w:vAlign w:val="bottom"/>
          </w:tcPr>
          <w:p>
            <w:pPr>
              <w:rPr>
                <w:rFonts w:ascii="仿宋" w:hAnsi="仿宋" w:eastAsia="仿宋" w:cs="仿宋"/>
                <w:sz w:val="1"/>
              </w:rPr>
            </w:pPr>
          </w:p>
        </w:tc>
        <w:tc>
          <w:tcPr>
            <w:tcW w:w="240" w:type="dxa"/>
            <w:tcBorders>
              <w:top w:val="nil"/>
            </w:tcBorders>
            <w:shd w:val="clear" w:color="auto" w:fill="000000"/>
            <w:noWrap/>
            <w:vAlign w:val="bottom"/>
          </w:tcPr>
          <w:p>
            <w:pPr>
              <w:rPr>
                <w:rFonts w:ascii="仿宋" w:hAnsi="仿宋" w:eastAsia="仿宋" w:cs="仿宋"/>
                <w:sz w:val="1"/>
              </w:rPr>
            </w:pPr>
          </w:p>
        </w:tc>
        <w:tc>
          <w:tcPr>
            <w:tcW w:w="120" w:type="dxa"/>
            <w:tcBorders>
              <w:top w:val="nil"/>
            </w:tcBorders>
            <w:shd w:val="clear" w:color="auto" w:fill="000000"/>
            <w:noWrap/>
            <w:vAlign w:val="bottom"/>
          </w:tcPr>
          <w:p>
            <w:pPr>
              <w:rPr>
                <w:rFonts w:ascii="仿宋" w:hAnsi="仿宋" w:eastAsia="仿宋" w:cs="仿宋"/>
                <w:sz w:val="1"/>
              </w:rPr>
            </w:pPr>
          </w:p>
        </w:tc>
        <w:tc>
          <w:tcPr>
            <w:tcW w:w="360" w:type="dxa"/>
            <w:tcBorders>
              <w:top w:val="nil"/>
            </w:tcBorders>
            <w:shd w:val="clear" w:color="auto" w:fill="auto"/>
            <w:noWrap/>
            <w:vAlign w:val="bottom"/>
          </w:tcPr>
          <w:p>
            <w:pPr>
              <w:rPr>
                <w:rFonts w:ascii="仿宋" w:hAnsi="仿宋" w:eastAsia="仿宋" w:cs="仿宋"/>
                <w:sz w:val="1"/>
              </w:rPr>
            </w:pPr>
          </w:p>
        </w:tc>
        <w:tc>
          <w:tcPr>
            <w:tcW w:w="200" w:type="dxa"/>
            <w:tcBorders>
              <w:top w:val="nil"/>
            </w:tcBorders>
            <w:shd w:val="clear" w:color="auto" w:fill="auto"/>
            <w:noWrap/>
            <w:vAlign w:val="bottom"/>
          </w:tcPr>
          <w:p>
            <w:pPr>
              <w:rPr>
                <w:rFonts w:ascii="仿宋" w:hAnsi="仿宋" w:eastAsia="仿宋" w:cs="仿宋"/>
                <w:sz w:val="1"/>
              </w:rPr>
            </w:pPr>
          </w:p>
        </w:tc>
        <w:tc>
          <w:tcPr>
            <w:tcW w:w="360" w:type="dxa"/>
            <w:tcBorders>
              <w:top w:val="nil"/>
            </w:tcBorders>
            <w:shd w:val="clear" w:color="auto" w:fill="auto"/>
            <w:noWrap/>
            <w:vAlign w:val="bottom"/>
          </w:tcPr>
          <w:p>
            <w:pPr>
              <w:rPr>
                <w:rFonts w:ascii="仿宋" w:hAnsi="仿宋" w:eastAsia="仿宋" w:cs="仿宋"/>
                <w:sz w:val="1"/>
              </w:rPr>
            </w:pPr>
          </w:p>
        </w:tc>
        <w:tc>
          <w:tcPr>
            <w:tcW w:w="40" w:type="dxa"/>
            <w:tcBorders>
              <w:top w:val="nil"/>
            </w:tcBorders>
            <w:shd w:val="clear" w:color="auto" w:fill="auto"/>
            <w:noWrap/>
            <w:vAlign w:val="bottom"/>
          </w:tcPr>
          <w:p>
            <w:pPr>
              <w:rPr>
                <w:rFonts w:ascii="仿宋" w:hAnsi="仿宋" w:eastAsia="仿宋" w:cs="仿宋"/>
                <w:sz w:val="1"/>
              </w:rPr>
            </w:pPr>
          </w:p>
        </w:tc>
        <w:tc>
          <w:tcPr>
            <w:tcW w:w="120" w:type="dxa"/>
            <w:tcBorders>
              <w:top w:val="nil"/>
            </w:tcBorders>
            <w:shd w:val="clear" w:color="auto" w:fill="000000"/>
            <w:noWrap/>
            <w:vAlign w:val="bottom"/>
          </w:tcPr>
          <w:p>
            <w:pPr>
              <w:rPr>
                <w:rFonts w:ascii="仿宋" w:hAnsi="仿宋" w:eastAsia="仿宋" w:cs="仿宋"/>
                <w:sz w:val="1"/>
              </w:rPr>
            </w:pPr>
          </w:p>
        </w:tc>
        <w:tc>
          <w:tcPr>
            <w:tcW w:w="140" w:type="dxa"/>
            <w:tcBorders>
              <w:top w:val="nil"/>
            </w:tcBorders>
            <w:shd w:val="clear" w:color="auto" w:fill="000000"/>
            <w:noWrap/>
            <w:vAlign w:val="bottom"/>
          </w:tcPr>
          <w:p>
            <w:pPr>
              <w:rPr>
                <w:rFonts w:ascii="仿宋" w:hAnsi="仿宋" w:eastAsia="仿宋" w:cs="仿宋"/>
                <w:sz w:val="1"/>
              </w:rPr>
            </w:pPr>
          </w:p>
        </w:tc>
        <w:tc>
          <w:tcPr>
            <w:tcW w:w="100" w:type="dxa"/>
            <w:tcBorders>
              <w:top w:val="nil"/>
            </w:tcBorders>
            <w:shd w:val="clear" w:color="auto" w:fill="000000"/>
            <w:noWrap/>
            <w:vAlign w:val="bottom"/>
          </w:tcPr>
          <w:p>
            <w:pPr>
              <w:rPr>
                <w:rFonts w:ascii="仿宋" w:hAnsi="仿宋" w:eastAsia="仿宋" w:cs="仿宋"/>
                <w:sz w:val="1"/>
              </w:rPr>
            </w:pPr>
          </w:p>
        </w:tc>
        <w:tc>
          <w:tcPr>
            <w:tcW w:w="120" w:type="dxa"/>
            <w:tcBorders>
              <w:top w:val="nil"/>
            </w:tcBorders>
            <w:shd w:val="clear" w:color="auto" w:fill="auto"/>
            <w:noWrap/>
            <w:vAlign w:val="bottom"/>
          </w:tcPr>
          <w:p>
            <w:pPr>
              <w:rPr>
                <w:rFonts w:ascii="仿宋" w:hAnsi="仿宋" w:eastAsia="仿宋" w:cs="仿宋"/>
                <w:sz w:val="1"/>
              </w:rPr>
            </w:pPr>
          </w:p>
        </w:tc>
        <w:tc>
          <w:tcPr>
            <w:tcW w:w="440" w:type="dxa"/>
            <w:tcBorders>
              <w:top w:val="nil"/>
            </w:tcBorders>
            <w:shd w:val="clear" w:color="auto" w:fill="auto"/>
            <w:noWrap/>
            <w:vAlign w:val="bottom"/>
          </w:tcPr>
          <w:p>
            <w:pPr>
              <w:rPr>
                <w:rFonts w:ascii="仿宋" w:hAnsi="仿宋" w:eastAsia="仿宋" w:cs="仿宋"/>
                <w:sz w:val="1"/>
              </w:rPr>
            </w:pPr>
          </w:p>
        </w:tc>
        <w:tc>
          <w:tcPr>
            <w:tcW w:w="160" w:type="dxa"/>
            <w:tcBorders>
              <w:top w:val="nil"/>
            </w:tcBorders>
            <w:shd w:val="clear" w:color="auto" w:fill="auto"/>
            <w:noWrap/>
            <w:vAlign w:val="bottom"/>
          </w:tcPr>
          <w:p>
            <w:pPr>
              <w:rPr>
                <w:rFonts w:ascii="仿宋" w:hAnsi="仿宋" w:eastAsia="仿宋" w:cs="仿宋"/>
                <w:sz w:val="1"/>
              </w:rPr>
            </w:pPr>
          </w:p>
        </w:tc>
        <w:tc>
          <w:tcPr>
            <w:tcW w:w="100" w:type="dxa"/>
            <w:tcBorders>
              <w:top w:val="nil"/>
            </w:tcBorders>
            <w:shd w:val="clear" w:color="auto" w:fill="auto"/>
            <w:noWrap/>
            <w:vAlign w:val="bottom"/>
          </w:tcPr>
          <w:p>
            <w:pPr>
              <w:rPr>
                <w:rFonts w:ascii="仿宋" w:hAnsi="仿宋" w:eastAsia="仿宋" w:cs="仿宋"/>
                <w:sz w:val="1"/>
              </w:rPr>
            </w:pPr>
          </w:p>
        </w:tc>
        <w:tc>
          <w:tcPr>
            <w:tcW w:w="120" w:type="dxa"/>
            <w:tcBorders>
              <w:top w:val="nil"/>
            </w:tcBorders>
            <w:shd w:val="clear" w:color="auto" w:fill="auto"/>
            <w:noWrap/>
            <w:vAlign w:val="bottom"/>
          </w:tcPr>
          <w:p>
            <w:pPr>
              <w:rPr>
                <w:rFonts w:ascii="仿宋" w:hAnsi="仿宋" w:eastAsia="仿宋" w:cs="仿宋"/>
                <w:sz w:val="1"/>
              </w:rPr>
            </w:pPr>
          </w:p>
        </w:tc>
        <w:tc>
          <w:tcPr>
            <w:tcW w:w="220" w:type="dxa"/>
            <w:tcBorders>
              <w:top w:val="nil"/>
            </w:tcBorders>
            <w:shd w:val="clear" w:color="auto" w:fill="000000"/>
            <w:noWrap/>
            <w:vAlign w:val="bottom"/>
          </w:tcPr>
          <w:p>
            <w:pPr>
              <w:rPr>
                <w:rFonts w:ascii="仿宋" w:hAnsi="仿宋" w:eastAsia="仿宋" w:cs="仿宋"/>
                <w:sz w:val="1"/>
              </w:rPr>
            </w:pPr>
          </w:p>
        </w:tc>
        <w:tc>
          <w:tcPr>
            <w:tcW w:w="120" w:type="dxa"/>
            <w:tcBorders>
              <w:top w:val="nil"/>
            </w:tcBorders>
            <w:shd w:val="clear" w:color="auto" w:fill="000000"/>
            <w:noWrap/>
            <w:vAlign w:val="bottom"/>
          </w:tcPr>
          <w:p>
            <w:pPr>
              <w:rPr>
                <w:rFonts w:ascii="仿宋" w:hAnsi="仿宋" w:eastAsia="仿宋" w:cs="仿宋"/>
                <w:sz w:val="1"/>
              </w:rPr>
            </w:pPr>
          </w:p>
        </w:tc>
        <w:tc>
          <w:tcPr>
            <w:tcW w:w="240" w:type="dxa"/>
            <w:tcBorders>
              <w:top w:val="nil"/>
            </w:tcBorders>
            <w:shd w:val="clear" w:color="auto" w:fill="auto"/>
            <w:noWrap/>
            <w:vAlign w:val="bottom"/>
          </w:tcPr>
          <w:p>
            <w:pPr>
              <w:rPr>
                <w:rFonts w:ascii="仿宋" w:hAnsi="仿宋" w:eastAsia="仿宋" w:cs="仿宋"/>
                <w:sz w:val="1"/>
              </w:rPr>
            </w:pPr>
          </w:p>
        </w:tc>
        <w:tc>
          <w:tcPr>
            <w:tcW w:w="160" w:type="dxa"/>
            <w:tcBorders>
              <w:top w:val="nil"/>
            </w:tcBorders>
            <w:shd w:val="clear" w:color="auto" w:fill="auto"/>
            <w:noWrap/>
            <w:vAlign w:val="bottom"/>
          </w:tcPr>
          <w:p>
            <w:pPr>
              <w:rPr>
                <w:rFonts w:ascii="仿宋" w:hAnsi="仿宋" w:eastAsia="仿宋" w:cs="仿宋"/>
                <w:sz w:val="1"/>
              </w:rPr>
            </w:pPr>
          </w:p>
        </w:tc>
        <w:tc>
          <w:tcPr>
            <w:tcW w:w="360" w:type="dxa"/>
            <w:tcBorders>
              <w:top w:val="nil"/>
            </w:tcBorders>
            <w:shd w:val="clear" w:color="auto" w:fill="auto"/>
            <w:noWrap/>
            <w:vAlign w:val="bottom"/>
          </w:tcPr>
          <w:p>
            <w:pPr>
              <w:rPr>
                <w:rFonts w:ascii="仿宋" w:hAnsi="仿宋" w:eastAsia="仿宋" w:cs="仿宋"/>
                <w:sz w:val="1"/>
              </w:rPr>
            </w:pPr>
          </w:p>
        </w:tc>
        <w:tc>
          <w:tcPr>
            <w:tcW w:w="200" w:type="dxa"/>
            <w:tcBorders>
              <w:top w:val="nil"/>
            </w:tcBorders>
            <w:shd w:val="clear" w:color="auto" w:fill="auto"/>
            <w:noWrap/>
            <w:vAlign w:val="bottom"/>
          </w:tcPr>
          <w:p>
            <w:pPr>
              <w:rPr>
                <w:rFonts w:ascii="仿宋" w:hAnsi="仿宋" w:eastAsia="仿宋" w:cs="仿宋"/>
                <w:sz w:val="1"/>
              </w:rPr>
            </w:pPr>
          </w:p>
        </w:tc>
        <w:tc>
          <w:tcPr>
            <w:tcW w:w="140" w:type="dxa"/>
            <w:tcBorders>
              <w:top w:val="nil"/>
            </w:tcBorders>
            <w:shd w:val="clear" w:color="auto" w:fill="000000"/>
            <w:noWrap/>
            <w:vAlign w:val="bottom"/>
          </w:tcPr>
          <w:p>
            <w:pPr>
              <w:rPr>
                <w:rFonts w:ascii="仿宋" w:hAnsi="仿宋" w:eastAsia="仿宋" w:cs="仿宋"/>
                <w:sz w:val="1"/>
              </w:rPr>
            </w:pPr>
          </w:p>
        </w:tc>
        <w:tc>
          <w:tcPr>
            <w:tcW w:w="140" w:type="dxa"/>
            <w:tcBorders>
              <w:top w:val="nil"/>
            </w:tcBorders>
            <w:shd w:val="clear" w:color="auto" w:fill="000000"/>
            <w:noWrap/>
            <w:vAlign w:val="bottom"/>
          </w:tcPr>
          <w:p>
            <w:pPr>
              <w:rPr>
                <w:rFonts w:ascii="仿宋" w:hAnsi="仿宋" w:eastAsia="仿宋" w:cs="仿宋"/>
                <w:sz w:val="1"/>
              </w:rPr>
            </w:pPr>
          </w:p>
        </w:tc>
        <w:tc>
          <w:tcPr>
            <w:tcW w:w="80" w:type="dxa"/>
            <w:tcBorders>
              <w:top w:val="nil"/>
            </w:tcBorders>
            <w:shd w:val="clear" w:color="auto" w:fill="000000"/>
            <w:noWrap/>
            <w:vAlign w:val="bottom"/>
          </w:tcPr>
          <w:p>
            <w:pPr>
              <w:rPr>
                <w:rFonts w:ascii="仿宋" w:hAnsi="仿宋" w:eastAsia="仿宋" w:cs="仿宋"/>
                <w:sz w:val="1"/>
              </w:rPr>
            </w:pPr>
          </w:p>
        </w:tc>
        <w:tc>
          <w:tcPr>
            <w:tcW w:w="20" w:type="dxa"/>
            <w:tcBorders>
              <w:top w:val="nil"/>
            </w:tcBorders>
            <w:noWrap/>
            <w:vAlign w:val="bottom"/>
          </w:tcPr>
          <w:p>
            <w:pPr>
              <w:rPr>
                <w:rFonts w:ascii="仿宋" w:hAnsi="仿宋" w:eastAsia="仿宋" w:cs="仿宋"/>
                <w:sz w:val="1"/>
              </w:rPr>
            </w:pPr>
          </w:p>
        </w:tc>
        <w:tc>
          <w:tcPr>
            <w:tcW w:w="260" w:type="dxa"/>
            <w:tcBorders>
              <w:top w:val="nil"/>
            </w:tcBorders>
            <w:noWrap/>
            <w:vAlign w:val="bottom"/>
          </w:tcPr>
          <w:p>
            <w:pPr>
              <w:rPr>
                <w:rFonts w:ascii="仿宋" w:hAnsi="仿宋" w:eastAsia="仿宋" w:cs="仿宋"/>
                <w:sz w:val="1"/>
              </w:rPr>
            </w:pPr>
          </w:p>
        </w:tc>
        <w:tc>
          <w:tcPr>
            <w:tcW w:w="100" w:type="dxa"/>
            <w:tcBorders>
              <w:top w:val="nil"/>
            </w:tcBorders>
            <w:noWrap/>
            <w:vAlign w:val="bottom"/>
          </w:tcPr>
          <w:p>
            <w:pPr>
              <w:rPr>
                <w:rFonts w:ascii="仿宋" w:hAnsi="仿宋" w:eastAsia="仿宋" w:cs="仿宋"/>
                <w:sz w:val="1"/>
              </w:rPr>
            </w:pPr>
          </w:p>
        </w:tc>
        <w:tc>
          <w:tcPr>
            <w:tcW w:w="720" w:type="dxa"/>
            <w:tcBorders>
              <w:top w:val="nil"/>
            </w:tcBorders>
            <w:noWrap/>
            <w:vAlign w:val="bottom"/>
          </w:tcPr>
          <w:p>
            <w:pPr>
              <w:rPr>
                <w:rFonts w:ascii="仿宋" w:hAnsi="仿宋" w:eastAsia="仿宋" w:cs="仿宋"/>
                <w:sz w:val="1"/>
              </w:rPr>
            </w:pPr>
          </w:p>
        </w:tc>
        <w:tc>
          <w:tcPr>
            <w:tcW w:w="360" w:type="dxa"/>
            <w:tcBorders>
              <w:top w:val="nil"/>
            </w:tcBorders>
            <w:noWrap/>
            <w:vAlign w:val="bottom"/>
          </w:tcPr>
          <w:p>
            <w:pPr>
              <w:rPr>
                <w:rFonts w:ascii="仿宋" w:hAnsi="仿宋" w:eastAsia="仿宋" w:cs="仿宋"/>
                <w:sz w:val="1"/>
              </w:rPr>
            </w:pPr>
          </w:p>
        </w:tc>
        <w:tc>
          <w:tcPr>
            <w:tcW w:w="120" w:type="dxa"/>
            <w:tcBorders>
              <w:top w:val="nil"/>
            </w:tcBorders>
            <w:noWrap/>
            <w:vAlign w:val="bottom"/>
          </w:tcPr>
          <w:p>
            <w:pPr>
              <w:rPr>
                <w:rFonts w:ascii="仿宋" w:hAnsi="仿宋" w:eastAsia="仿宋" w:cs="仿宋"/>
                <w:sz w:val="1"/>
              </w:rPr>
            </w:pPr>
          </w:p>
        </w:tc>
        <w:tc>
          <w:tcPr>
            <w:tcW w:w="360" w:type="dxa"/>
            <w:tcBorders>
              <w:top w:val="nil"/>
            </w:tcBorders>
            <w:noWrap/>
            <w:vAlign w:val="bottom"/>
          </w:tcPr>
          <w:p>
            <w:pPr>
              <w:rPr>
                <w:rFonts w:ascii="仿宋" w:hAnsi="仿宋" w:eastAsia="仿宋" w:cs="仿宋"/>
                <w:sz w:val="1"/>
              </w:rPr>
            </w:pPr>
          </w:p>
        </w:tc>
        <w:tc>
          <w:tcPr>
            <w:tcW w:w="960" w:type="dxa"/>
            <w:tcBorders>
              <w:top w:val="nil"/>
            </w:tcBorders>
            <w:noWrap/>
            <w:vAlign w:val="bottom"/>
          </w:tcPr>
          <w:p>
            <w:pPr>
              <w:rPr>
                <w:rFonts w:ascii="仿宋" w:hAnsi="仿宋" w:eastAsia="仿宋" w:cs="仿宋"/>
                <w:sz w:val="1"/>
              </w:rPr>
            </w:pPr>
          </w:p>
        </w:tc>
        <w:tc>
          <w:tcPr>
            <w:tcW w:w="60" w:type="dxa"/>
            <w:tcBorders>
              <w:top w:val="nil"/>
            </w:tcBorders>
            <w:noWrap/>
            <w:vAlign w:val="bottom"/>
          </w:tcPr>
          <w:p>
            <w:pPr>
              <w:rPr>
                <w:rFonts w:ascii="仿宋" w:hAnsi="仿宋" w:eastAsia="仿宋" w:cs="仿宋"/>
                <w:sz w:val="1"/>
              </w:rPr>
            </w:pPr>
          </w:p>
        </w:tc>
        <w:tc>
          <w:tcPr>
            <w:tcW w:w="300" w:type="dxa"/>
            <w:tcBorders>
              <w:top w:val="nil"/>
            </w:tcBorders>
            <w:noWrap/>
            <w:vAlign w:val="bottom"/>
          </w:tcPr>
          <w:p>
            <w:pPr>
              <w:rPr>
                <w:rFonts w:ascii="仿宋" w:hAnsi="仿宋" w:eastAsia="仿宋" w:cs="仿宋"/>
                <w:sz w:val="1"/>
              </w:rPr>
            </w:pPr>
          </w:p>
        </w:tc>
        <w:tc>
          <w:tcPr>
            <w:tcW w:w="420" w:type="dxa"/>
            <w:tcBorders>
              <w:top w:val="nil"/>
            </w:tcBorders>
            <w:noWrap/>
            <w:vAlign w:val="bottom"/>
          </w:tcPr>
          <w:p>
            <w:pPr>
              <w:rPr>
                <w:rFonts w:ascii="仿宋" w:hAnsi="仿宋" w:eastAsia="仿宋" w:cs="仿宋"/>
                <w:sz w:val="1"/>
              </w:rPr>
            </w:pPr>
          </w:p>
        </w:tc>
        <w:tc>
          <w:tcPr>
            <w:tcW w:w="240" w:type="dxa"/>
            <w:tcBorders>
              <w:top w:val="nil"/>
            </w:tcBorders>
            <w:noWrap/>
            <w:vAlign w:val="bottom"/>
          </w:tcPr>
          <w:p>
            <w:pPr>
              <w:rPr>
                <w:rFonts w:ascii="仿宋" w:hAnsi="仿宋" w:eastAsia="仿宋" w:cs="仿宋"/>
                <w:sz w:val="1"/>
              </w:rPr>
            </w:pPr>
          </w:p>
        </w:tc>
        <w:tc>
          <w:tcPr>
            <w:tcW w:w="240" w:type="dxa"/>
            <w:tcBorders>
              <w:top w:val="nil"/>
            </w:tcBorders>
            <w:noWrap/>
            <w:vAlign w:val="bottom"/>
          </w:tcPr>
          <w:p>
            <w:pPr>
              <w:rPr>
                <w:rFonts w:ascii="仿宋" w:hAnsi="仿宋" w:eastAsia="仿宋" w:cs="仿宋"/>
                <w:sz w:val="1"/>
              </w:rPr>
            </w:pPr>
          </w:p>
        </w:tc>
      </w:tr>
    </w:tbl>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 下列文件应视为构成合同文件的组成部分：</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（1）本协议书及各种合同附件（含评标期间和合同谈判过程中的澄清文件和</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补充资料）；</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（2）中标通知书；（3）投标函及投标函附录；</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（4）项目专用合同条款；（5）公路工程专用合同条款；（6）通用合同条款；（7）工程量清单计量规则；（8）技术规范；（9）图纸；</w:t>
      </w:r>
    </w:p>
    <w:p>
      <w:pPr>
        <w:rPr>
          <w:rFonts w:ascii="仿宋" w:hAnsi="仿宋" w:eastAsia="仿宋" w:cs="仿宋"/>
        </w:rPr>
      </w:pP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（10）已标价工程量清单；</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（11）承包人有关人员、设备投入的承诺及投标文件中的施工组织设计；（12）其他合同文件。</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上述合同文件互相补充和解释。如果合同文件之间存在矛盾或不一致之处，以上述文件的排列顺序在先者为准。</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3.  根据工程量清单所列的预计数量和单价或总额价计算的签约合同价：人民</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币（大写）________元（¥________）。</w:t>
      </w:r>
    </w:p>
    <w:p>
      <w:pPr>
        <w:rPr>
          <w:rFonts w:ascii="仿宋" w:hAnsi="仿宋" w:eastAsia="仿宋" w:cs="仿宋"/>
        </w:rPr>
      </w:pPr>
    </w:p>
    <w:tbl>
      <w:tblPr>
        <w:tblStyle w:val="10"/>
        <w:tblW w:w="7980" w:type="dxa"/>
        <w:tblInd w:w="620" w:type="dxa"/>
        <w:tblLayout w:type="fixed"/>
        <w:tblCellMar>
          <w:top w:w="0" w:type="dxa"/>
          <w:left w:w="0" w:type="dxa"/>
          <w:bottom w:w="0" w:type="dxa"/>
          <w:right w:w="0" w:type="dxa"/>
        </w:tblCellMar>
      </w:tblPr>
      <w:tblGrid>
        <w:gridCol w:w="240"/>
        <w:gridCol w:w="1500"/>
        <w:gridCol w:w="480"/>
        <w:gridCol w:w="1080"/>
        <w:gridCol w:w="360"/>
        <w:gridCol w:w="2040"/>
        <w:gridCol w:w="120"/>
        <w:gridCol w:w="1800"/>
        <w:gridCol w:w="120"/>
        <w:gridCol w:w="240"/>
      </w:tblGrid>
      <w:tr>
        <w:tblPrEx>
          <w:tblLayout w:type="fixed"/>
          <w:tblCellMar>
            <w:top w:w="0" w:type="dxa"/>
            <w:left w:w="0" w:type="dxa"/>
            <w:bottom w:w="0" w:type="dxa"/>
            <w:right w:w="0" w:type="dxa"/>
          </w:tblCellMar>
        </w:tblPrEx>
        <w:trPr>
          <w:trHeight w:val="276"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4.</w:t>
            </w:r>
          </w:p>
        </w:tc>
        <w:tc>
          <w:tcPr>
            <w:tcW w:w="1980" w:type="dxa"/>
            <w:gridSpan w:val="2"/>
            <w:noWrap/>
            <w:vAlign w:val="bottom"/>
          </w:tcPr>
          <w:p>
            <w:pPr>
              <w:ind w:left="60"/>
              <w:rPr>
                <w:rFonts w:ascii="仿宋" w:hAnsi="仿宋" w:eastAsia="仿宋" w:cs="仿宋"/>
                <w:w w:val="98"/>
                <w:sz w:val="24"/>
              </w:rPr>
            </w:pPr>
            <w:r>
              <w:rPr>
                <w:rFonts w:hint="eastAsia" w:ascii="仿宋" w:hAnsi="仿宋" w:eastAsia="仿宋" w:cs="仿宋"/>
                <w:w w:val="98"/>
                <w:sz w:val="24"/>
              </w:rPr>
              <w:t>承包人项目经理：</w:t>
            </w:r>
          </w:p>
        </w:tc>
        <w:tc>
          <w:tcPr>
            <w:tcW w:w="1080" w:type="dxa"/>
            <w:tcBorders>
              <w:bottom w:val="single" w:color="auto" w:sz="8" w:space="0"/>
            </w:tcBorders>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2160" w:type="dxa"/>
            <w:gridSpan w:val="2"/>
            <w:noWrap/>
            <w:vAlign w:val="bottom"/>
          </w:tcPr>
          <w:p>
            <w:pPr>
              <w:rPr>
                <w:rFonts w:ascii="仿宋" w:hAnsi="仿宋" w:eastAsia="仿宋" w:cs="仿宋"/>
                <w:w w:val="99"/>
                <w:sz w:val="24"/>
              </w:rPr>
            </w:pPr>
            <w:r>
              <w:rPr>
                <w:rFonts w:hint="eastAsia" w:ascii="仿宋" w:hAnsi="仿宋" w:eastAsia="仿宋" w:cs="仿宋"/>
                <w:w w:val="99"/>
                <w:sz w:val="24"/>
              </w:rPr>
              <w:t>。承包人项目总工：</w:t>
            </w:r>
          </w:p>
        </w:tc>
        <w:tc>
          <w:tcPr>
            <w:tcW w:w="1800" w:type="dxa"/>
            <w:tcBorders>
              <w:bottom w:val="single" w:color="auto" w:sz="8" w:space="0"/>
            </w:tcBorders>
            <w:noWrap/>
            <w:vAlign w:val="bottom"/>
          </w:tcPr>
          <w:p>
            <w:pPr>
              <w:rPr>
                <w:rFonts w:ascii="仿宋" w:hAnsi="仿宋" w:eastAsia="仿宋" w:cs="仿宋"/>
                <w:sz w:val="23"/>
              </w:rPr>
            </w:pPr>
          </w:p>
        </w:tc>
        <w:tc>
          <w:tcPr>
            <w:tcW w:w="120" w:type="dxa"/>
            <w:tcBorders>
              <w:bottom w:val="single" w:color="auto" w:sz="8" w:space="0"/>
            </w:tcBorders>
            <w:noWrap/>
            <w:vAlign w:val="bottom"/>
          </w:tcPr>
          <w:p>
            <w:pPr>
              <w:rPr>
                <w:rFonts w:ascii="仿宋" w:hAnsi="仿宋" w:eastAsia="仿宋" w:cs="仿宋"/>
                <w:sz w:val="23"/>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w:t>
            </w:r>
          </w:p>
        </w:tc>
      </w:tr>
      <w:tr>
        <w:tblPrEx>
          <w:tblLayout w:type="fixed"/>
          <w:tblCellMar>
            <w:top w:w="0" w:type="dxa"/>
            <w:left w:w="0" w:type="dxa"/>
            <w:bottom w:w="0" w:type="dxa"/>
            <w:right w:w="0" w:type="dxa"/>
          </w:tblCellMar>
        </w:tblPrEx>
        <w:trPr>
          <w:trHeight w:val="420"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5.</w:t>
            </w:r>
          </w:p>
        </w:tc>
        <w:tc>
          <w:tcPr>
            <w:tcW w:w="1980" w:type="dxa"/>
            <w:gridSpan w:val="2"/>
            <w:noWrap/>
            <w:vAlign w:val="bottom"/>
          </w:tcPr>
          <w:p>
            <w:pPr>
              <w:ind w:left="60"/>
              <w:rPr>
                <w:rFonts w:ascii="仿宋" w:hAnsi="仿宋" w:eastAsia="仿宋" w:cs="仿宋"/>
                <w:sz w:val="24"/>
              </w:rPr>
            </w:pPr>
            <w:r>
              <w:rPr>
                <w:rFonts w:hint="eastAsia" w:ascii="仿宋" w:hAnsi="仿宋" w:eastAsia="仿宋" w:cs="仿宋"/>
                <w:sz w:val="24"/>
              </w:rPr>
              <w:t>工程质量符合</w:t>
            </w:r>
          </w:p>
        </w:tc>
        <w:tc>
          <w:tcPr>
            <w:tcW w:w="1080" w:type="dxa"/>
            <w:noWrap/>
            <w:vAlign w:val="bottom"/>
          </w:tcPr>
          <w:p>
            <w:pPr>
              <w:rPr>
                <w:rFonts w:ascii="仿宋" w:hAnsi="仿宋" w:eastAsia="仿宋" w:cs="仿宋"/>
                <w:sz w:val="24"/>
              </w:rPr>
            </w:pPr>
          </w:p>
        </w:tc>
        <w:tc>
          <w:tcPr>
            <w:tcW w:w="2520" w:type="dxa"/>
            <w:gridSpan w:val="3"/>
            <w:noWrap/>
            <w:vAlign w:val="bottom"/>
          </w:tcPr>
          <w:p>
            <w:pPr>
              <w:rPr>
                <w:rFonts w:ascii="仿宋" w:hAnsi="仿宋" w:eastAsia="仿宋" w:cs="仿宋"/>
                <w:sz w:val="24"/>
              </w:rPr>
            </w:pPr>
            <w:r>
              <w:rPr>
                <w:rFonts w:hint="eastAsia" w:ascii="仿宋" w:hAnsi="仿宋" w:eastAsia="仿宋" w:cs="仿宋"/>
                <w:sz w:val="24"/>
              </w:rPr>
              <w:t>标准。工程安全目标：</w:t>
            </w:r>
          </w:p>
        </w:tc>
        <w:tc>
          <w:tcPr>
            <w:tcW w:w="1800" w:type="dxa"/>
            <w:noWrap/>
            <w:vAlign w:val="bottom"/>
          </w:tcPr>
          <w:p>
            <w:pPr>
              <w:rPr>
                <w:rFonts w:ascii="仿宋" w:hAnsi="仿宋" w:eastAsia="仿宋" w:cs="仿宋"/>
                <w:sz w:val="24"/>
              </w:rPr>
            </w:pPr>
          </w:p>
        </w:tc>
        <w:tc>
          <w:tcPr>
            <w:tcW w:w="360" w:type="dxa"/>
            <w:gridSpan w:val="2"/>
            <w:noWrap/>
            <w:vAlign w:val="bottom"/>
          </w:tcPr>
          <w:p>
            <w:pPr>
              <w:rPr>
                <w:rFonts w:ascii="仿宋" w:hAnsi="仿宋" w:eastAsia="仿宋" w:cs="仿宋"/>
                <w:sz w:val="24"/>
              </w:rPr>
            </w:pPr>
            <w:r>
              <w:rPr>
                <w:rFonts w:hint="eastAsia" w:ascii="仿宋" w:hAnsi="仿宋" w:eastAsia="仿宋" w:cs="仿宋"/>
                <w:sz w:val="24"/>
              </w:rPr>
              <w:t>。</w:t>
            </w:r>
          </w:p>
        </w:tc>
      </w:tr>
      <w:tr>
        <w:tblPrEx>
          <w:tblLayout w:type="fixed"/>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1500" w:type="dxa"/>
            <w:shd w:val="clear" w:color="auto" w:fill="auto"/>
            <w:noWrap/>
            <w:vAlign w:val="bottom"/>
          </w:tcPr>
          <w:p>
            <w:pPr>
              <w:rPr>
                <w:rFonts w:ascii="仿宋" w:hAnsi="仿宋" w:eastAsia="仿宋" w:cs="仿宋"/>
                <w:sz w:val="1"/>
              </w:rPr>
            </w:pPr>
          </w:p>
        </w:tc>
        <w:tc>
          <w:tcPr>
            <w:tcW w:w="48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80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bl>
    <w:p>
      <w:pPr>
        <w:rPr>
          <w:rFonts w:ascii="仿宋" w:hAnsi="仿宋" w:eastAsia="仿宋" w:cs="仿宋"/>
        </w:rPr>
      </w:pPr>
    </w:p>
    <w:p>
      <w:pPr>
        <w:numPr>
          <w:ilvl w:val="0"/>
          <w:numId w:val="74"/>
        </w:numPr>
        <w:tabs>
          <w:tab w:val="left" w:pos="920"/>
        </w:tabs>
        <w:ind w:left="920" w:hanging="299"/>
        <w:jc w:val="both"/>
        <w:rPr>
          <w:rFonts w:ascii="仿宋" w:hAnsi="仿宋" w:eastAsia="仿宋" w:cs="仿宋"/>
          <w:sz w:val="24"/>
        </w:rPr>
      </w:pPr>
      <w:r>
        <w:rPr>
          <w:rFonts w:hint="eastAsia" w:ascii="仿宋" w:hAnsi="仿宋" w:eastAsia="仿宋" w:cs="仿宋"/>
          <w:sz w:val="24"/>
        </w:rPr>
        <w:t>承包人承诺按合同约定承担工程的实施、完成及缺陷修复。</w:t>
      </w:r>
    </w:p>
    <w:p>
      <w:pPr>
        <w:rPr>
          <w:rFonts w:ascii="仿宋" w:hAnsi="仿宋" w:eastAsia="仿宋" w:cs="仿宋"/>
          <w:sz w:val="24"/>
        </w:rPr>
      </w:pPr>
    </w:p>
    <w:p>
      <w:pPr>
        <w:numPr>
          <w:ilvl w:val="0"/>
          <w:numId w:val="74"/>
        </w:numPr>
        <w:tabs>
          <w:tab w:val="left" w:pos="920"/>
        </w:tabs>
        <w:ind w:left="920" w:hanging="299"/>
        <w:jc w:val="both"/>
        <w:rPr>
          <w:rFonts w:ascii="仿宋" w:hAnsi="仿宋" w:eastAsia="仿宋" w:cs="仿宋"/>
          <w:sz w:val="24"/>
        </w:rPr>
      </w:pPr>
      <w:r>
        <w:rPr>
          <w:rFonts w:hint="eastAsia" w:ascii="仿宋" w:hAnsi="仿宋" w:eastAsia="仿宋" w:cs="仿宋"/>
          <w:sz w:val="24"/>
        </w:rPr>
        <w:t>发包人承诺按合同约定的条件、时间和方式向承包人支付合同价款。</w:t>
      </w:r>
      <w:bookmarkStart w:id="78" w:name="page162"/>
      <w:bookmarkEnd w:id="78"/>
    </w:p>
    <w:p>
      <w:pPr>
        <w:tabs>
          <w:tab w:val="left" w:pos="5460"/>
        </w:tabs>
        <w:ind w:left="620"/>
        <w:rPr>
          <w:rFonts w:ascii="仿宋" w:hAnsi="仿宋" w:eastAsia="仿宋" w:cs="仿宋"/>
          <w:sz w:val="23"/>
        </w:rPr>
      </w:pPr>
      <w:r>
        <w:rPr>
          <w:rFonts w:hint="eastAsia" w:ascii="仿宋" w:hAnsi="仿宋" w:eastAsia="仿宋" w:cs="仿宋"/>
          <w:sz w:val="24"/>
        </w:rPr>
        <w:t>8. 承包人应按照监理人指示开工，工期为</w:t>
      </w:r>
      <w:r>
        <w:rPr>
          <w:rFonts w:hint="eastAsia" w:ascii="仿宋" w:hAnsi="仿宋" w:eastAsia="仿宋" w:cs="仿宋"/>
        </w:rPr>
        <w:tab/>
      </w:r>
      <w:r>
        <w:rPr>
          <w:rFonts w:hint="eastAsia" w:ascii="仿宋" w:hAnsi="仿宋" w:eastAsia="仿宋" w:cs="仿宋"/>
          <w:sz w:val="23"/>
        </w:rPr>
        <w:t>日历天。</w:t>
      </w:r>
    </w:p>
    <w:p>
      <w:pPr>
        <w:rPr>
          <w:rFonts w:ascii="仿宋" w:hAnsi="仿宋" w:eastAsia="仿宋" w:cs="仿宋"/>
        </w:rPr>
      </w:pPr>
      <w:r>
        <w:rPr>
          <w:rFonts w:ascii="仿宋" w:hAnsi="仿宋" w:eastAsia="仿宋" w:cs="仿宋"/>
          <w:sz w:val="23"/>
        </w:rPr>
        <w:pict>
          <v:line id="_x0000_s2087" o:spid="_x0000_s2087" o:spt="20" style="position:absolute;left:0pt;margin-left:250.1pt;margin-top:-0.85pt;height:0pt;width:24pt;z-index:-251166720;mso-width-relative:page;mso-height-relative:page;" coordsize="21600,21600" o:allowincell="f" o:gfxdata="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1XvLNcAAAAJAQAADwAAAAAA&#10;AAABACAAAAAiAAAAZHJzL2Rvd25yZXYueG1sUEsBAhQAFAAAAAgAh07iQJJ/YX/bAQAAlwMAAA4A&#10;AAAAAAAAAQAgAAAAJgEAAGRycy9lMm9Eb2MueG1sUEsFBgAAAAAGAAYAWQEAAHMFAAAAAA==&#10;">
            <v:path arrowok="t"/>
            <v:fill focussize="0,0"/>
            <v:stroke weight="0.59992125984252pt"/>
            <v:imagedata o:title=""/>
            <o:lock v:ext="edit"/>
          </v:line>
        </w:pict>
      </w:r>
    </w:p>
    <w:p>
      <w:pPr>
        <w:numPr>
          <w:ilvl w:val="0"/>
          <w:numId w:val="75"/>
        </w:numPr>
        <w:tabs>
          <w:tab w:val="left" w:pos="919"/>
        </w:tabs>
        <w:ind w:firstLine="621"/>
        <w:jc w:val="both"/>
        <w:rPr>
          <w:rFonts w:ascii="仿宋" w:hAnsi="仿宋" w:eastAsia="仿宋" w:cs="仿宋"/>
          <w:sz w:val="24"/>
        </w:rPr>
      </w:pPr>
      <w:r>
        <w:rPr>
          <w:rFonts w:hint="eastAsia" w:ascii="仿宋" w:hAnsi="仿宋" w:eastAsia="仿宋" w:cs="仿宋"/>
          <w:sz w:val="24"/>
        </w:rPr>
        <w:t>本协议书在承包人提供履约保证金后，由双方法定代表人或其委托代理人签署并加盖单位章后生效。全部工程完工后经交工验收合格、缺陷责任期满签发缺陷责任终止证书后失效。</w:t>
      </w:r>
    </w:p>
    <w:p>
      <w:pPr>
        <w:rPr>
          <w:rFonts w:ascii="仿宋" w:hAnsi="仿宋" w:eastAsia="仿宋" w:cs="仿宋"/>
          <w:sz w:val="24"/>
        </w:rPr>
      </w:pPr>
    </w:p>
    <w:p>
      <w:pPr>
        <w:numPr>
          <w:ilvl w:val="0"/>
          <w:numId w:val="75"/>
        </w:numPr>
        <w:tabs>
          <w:tab w:val="left" w:pos="1037"/>
        </w:tabs>
        <w:ind w:firstLine="621"/>
        <w:jc w:val="both"/>
        <w:rPr>
          <w:rFonts w:ascii="仿宋" w:hAnsi="仿宋" w:eastAsia="仿宋" w:cs="仿宋"/>
          <w:sz w:val="24"/>
        </w:rPr>
      </w:pPr>
      <w:r>
        <w:rPr>
          <w:rFonts w:hint="eastAsia" w:ascii="仿宋" w:hAnsi="仿宋" w:eastAsia="仿宋" w:cs="仿宋"/>
          <w:sz w:val="24"/>
        </w:rPr>
        <w:t>本协议书正本二份、副本____份，合同双方各执正本一份，副本____份，当正本与副本的内容不一致时，以正本为准。</w:t>
      </w:r>
    </w:p>
    <w:p>
      <w:pPr>
        <w:rPr>
          <w:rFonts w:ascii="仿宋" w:hAnsi="仿宋" w:eastAsia="仿宋" w:cs="仿宋"/>
          <w:sz w:val="24"/>
        </w:rPr>
      </w:pPr>
    </w:p>
    <w:p>
      <w:pPr>
        <w:numPr>
          <w:ilvl w:val="0"/>
          <w:numId w:val="75"/>
        </w:numPr>
        <w:tabs>
          <w:tab w:val="left" w:pos="1040"/>
        </w:tabs>
        <w:ind w:left="1040" w:hanging="419"/>
        <w:jc w:val="both"/>
        <w:rPr>
          <w:rFonts w:ascii="仿宋" w:hAnsi="仿宋" w:eastAsia="仿宋" w:cs="仿宋"/>
          <w:sz w:val="24"/>
        </w:rPr>
      </w:pPr>
      <w:r>
        <w:rPr>
          <w:rFonts w:hint="eastAsia" w:ascii="仿宋" w:hAnsi="仿宋" w:eastAsia="仿宋" w:cs="仿宋"/>
          <w:sz w:val="24"/>
        </w:rPr>
        <w:t>合同未尽事宜，双方另行签订补充协议。补充协议是合同的组成部分。</w:t>
      </w:r>
    </w:p>
    <w:p>
      <w:pPr>
        <w:rPr>
          <w:rFonts w:ascii="仿宋" w:hAnsi="仿宋" w:eastAsia="仿宋" w:cs="仿宋"/>
        </w:rPr>
      </w:pPr>
    </w:p>
    <w:p>
      <w:pPr>
        <w:rPr>
          <w:rFonts w:ascii="仿宋" w:hAnsi="仿宋" w:eastAsia="仿宋" w:cs="仿宋"/>
        </w:rPr>
      </w:pPr>
    </w:p>
    <w:tbl>
      <w:tblPr>
        <w:tblStyle w:val="10"/>
        <w:tblW w:w="8800" w:type="dxa"/>
        <w:tblInd w:w="0" w:type="dxa"/>
        <w:tblLayout w:type="fixed"/>
        <w:tblCellMar>
          <w:top w:w="0" w:type="dxa"/>
          <w:left w:w="0" w:type="dxa"/>
          <w:bottom w:w="0" w:type="dxa"/>
          <w:right w:w="0" w:type="dxa"/>
        </w:tblCellMar>
      </w:tblPr>
      <w:tblGrid>
        <w:gridCol w:w="840"/>
        <w:gridCol w:w="120"/>
        <w:gridCol w:w="960"/>
        <w:gridCol w:w="240"/>
        <w:gridCol w:w="580"/>
        <w:gridCol w:w="260"/>
        <w:gridCol w:w="100"/>
        <w:gridCol w:w="240"/>
        <w:gridCol w:w="260"/>
        <w:gridCol w:w="800"/>
        <w:gridCol w:w="1120"/>
        <w:gridCol w:w="180"/>
        <w:gridCol w:w="900"/>
        <w:gridCol w:w="240"/>
        <w:gridCol w:w="540"/>
        <w:gridCol w:w="300"/>
        <w:gridCol w:w="180"/>
        <w:gridCol w:w="420"/>
        <w:gridCol w:w="520"/>
      </w:tblGrid>
      <w:tr>
        <w:tblPrEx>
          <w:tblLayout w:type="fixed"/>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60" w:type="dxa"/>
            <w:gridSpan w:val="5"/>
            <w:noWrap/>
            <w:vAlign w:val="bottom"/>
          </w:tcPr>
          <w:p>
            <w:pPr>
              <w:rPr>
                <w:rFonts w:ascii="仿宋" w:hAnsi="仿宋" w:eastAsia="仿宋" w:cs="仿宋"/>
                <w:sz w:val="24"/>
              </w:rPr>
            </w:pPr>
            <w:r>
              <w:rPr>
                <w:rFonts w:hint="eastAsia" w:ascii="仿宋" w:hAnsi="仿宋" w:eastAsia="仿宋" w:cs="仿宋"/>
                <w:sz w:val="24"/>
              </w:rPr>
              <w:t>（盖单位章）</w:t>
            </w:r>
          </w:p>
        </w:tc>
        <w:tc>
          <w:tcPr>
            <w:tcW w:w="2440" w:type="dxa"/>
            <w:gridSpan w:val="4"/>
            <w:noWrap/>
            <w:vAlign w:val="bottom"/>
          </w:tcPr>
          <w:p>
            <w:pPr>
              <w:ind w:left="360"/>
              <w:rPr>
                <w:rFonts w:ascii="仿宋" w:hAnsi="仿宋" w:eastAsia="仿宋" w:cs="仿宋"/>
                <w:sz w:val="24"/>
              </w:rPr>
            </w:pPr>
            <w:r>
              <w:rPr>
                <w:rFonts w:hint="eastAsia" w:ascii="仿宋" w:hAnsi="仿宋" w:eastAsia="仿宋" w:cs="仿宋"/>
                <w:sz w:val="24"/>
              </w:rPr>
              <w:t>承包人：</w:t>
            </w:r>
          </w:p>
        </w:tc>
        <w:tc>
          <w:tcPr>
            <w:tcW w:w="1960" w:type="dxa"/>
            <w:gridSpan w:val="5"/>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300" w:type="dxa"/>
            <w:noWrap/>
            <w:vAlign w:val="bottom"/>
          </w:tcPr>
          <w:p>
            <w:pPr>
              <w:rPr>
                <w:rFonts w:ascii="仿宋" w:hAnsi="仿宋" w:eastAsia="仿宋" w:cs="仿宋"/>
                <w:sz w:val="1"/>
              </w:rPr>
            </w:pPr>
          </w:p>
        </w:tc>
        <w:tc>
          <w:tcPr>
            <w:tcW w:w="600" w:type="dxa"/>
            <w:gridSpan w:val="2"/>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422" w:hRule="atLeast"/>
        </w:trPr>
        <w:tc>
          <w:tcPr>
            <w:tcW w:w="4400" w:type="dxa"/>
            <w:gridSpan w:val="10"/>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4400" w:type="dxa"/>
            <w:gridSpan w:val="9"/>
            <w:noWrap/>
            <w:vAlign w:val="bottom"/>
          </w:tcPr>
          <w:p>
            <w:pPr>
              <w:jc w:val="right"/>
              <w:rPr>
                <w:rFonts w:ascii="仿宋" w:hAnsi="仿宋" w:eastAsia="仿宋" w:cs="仿宋"/>
                <w:sz w:val="24"/>
              </w:rPr>
            </w:pPr>
            <w:r>
              <w:rPr>
                <w:rFonts w:hint="eastAsia" w:ascii="仿宋" w:hAnsi="仿宋" w:eastAsia="仿宋" w:cs="仿宋"/>
                <w:sz w:val="24"/>
              </w:rPr>
              <w:t>法定代表人或其委托代理人：  （签字）</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300" w:type="dxa"/>
            <w:tcBorders>
              <w:righ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360" w:type="dxa"/>
            <w:gridSpan w:val="2"/>
            <w:noWrap/>
            <w:vAlign w:val="bottom"/>
          </w:tcPr>
          <w:p>
            <w:pPr>
              <w:ind w:left="20"/>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c>
          <w:tcPr>
            <w:tcW w:w="800" w:type="dxa"/>
            <w:noWrap/>
            <w:vAlign w:val="bottom"/>
          </w:tcPr>
          <w:p>
            <w:pPr>
              <w:rPr>
                <w:rFonts w:ascii="仿宋" w:hAnsi="仿宋" w:eastAsia="仿宋" w:cs="仿宋"/>
                <w:sz w:val="24"/>
              </w:rPr>
            </w:pPr>
            <w:r>
              <w:rPr>
                <w:rFonts w:hint="eastAsia" w:ascii="仿宋" w:hAnsi="仿宋" w:eastAsia="仿宋" w:cs="仿宋"/>
                <w:sz w:val="24"/>
              </w:rPr>
              <w:t>日</w:t>
            </w:r>
          </w:p>
        </w:tc>
        <w:tc>
          <w:tcPr>
            <w:tcW w:w="112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540" w:type="dxa"/>
            <w:noWrap/>
            <w:vAlign w:val="bottom"/>
          </w:tcPr>
          <w:p>
            <w:pPr>
              <w:rPr>
                <w:rFonts w:ascii="仿宋" w:hAnsi="仿宋" w:eastAsia="仿宋" w:cs="仿宋"/>
                <w:sz w:val="24"/>
              </w:rPr>
            </w:pPr>
          </w:p>
        </w:tc>
        <w:tc>
          <w:tcPr>
            <w:tcW w:w="480" w:type="dxa"/>
            <w:gridSpan w:val="2"/>
            <w:noWrap/>
            <w:vAlign w:val="bottom"/>
          </w:tcPr>
          <w:p>
            <w:pPr>
              <w:ind w:left="60"/>
              <w:rPr>
                <w:rFonts w:ascii="仿宋" w:hAnsi="仿宋" w:eastAsia="仿宋" w:cs="仿宋"/>
                <w:sz w:val="24"/>
              </w:rPr>
            </w:pPr>
            <w:r>
              <w:rPr>
                <w:rFonts w:hint="eastAsia" w:ascii="仿宋" w:hAnsi="仿宋" w:eastAsia="仿宋" w:cs="仿宋"/>
                <w:sz w:val="24"/>
              </w:rPr>
              <w:t>月</w:t>
            </w:r>
          </w:p>
        </w:tc>
        <w:tc>
          <w:tcPr>
            <w:tcW w:w="42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tcBorders>
              <w:left w:val="single" w:color="auto" w:sz="8" w:space="0"/>
            </w:tcBorders>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000000"/>
            <w:noWrap/>
            <w:vAlign w:val="bottom"/>
          </w:tcPr>
          <w:p>
            <w:pPr>
              <w:rPr>
                <w:rFonts w:ascii="仿宋" w:hAnsi="仿宋" w:eastAsia="仿宋" w:cs="仿宋"/>
                <w:sz w:val="1"/>
              </w:rPr>
            </w:pPr>
          </w:p>
        </w:tc>
        <w:tc>
          <w:tcPr>
            <w:tcW w:w="300" w:type="dxa"/>
            <w:tcBorders>
              <w:lef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bl>
    <w:p>
      <w:pPr>
        <w:rPr>
          <w:rFonts w:ascii="仿宋" w:hAnsi="仿宋" w:eastAsia="仿宋" w:cs="仿宋"/>
          <w:sz w:val="1"/>
        </w:rPr>
        <w:sectPr>
          <w:pgSz w:w="11900" w:h="16841"/>
          <w:pgMar w:top="851" w:right="1460" w:bottom="579" w:left="1640" w:header="567" w:footer="567" w:gutter="0"/>
          <w:cols w:space="720" w:num="1"/>
          <w:docGrid w:linePitch="360" w:charSpace="0"/>
        </w:sectPr>
      </w:pPr>
    </w:p>
    <w:p>
      <w:pPr>
        <w:rPr>
          <w:rFonts w:ascii="仿宋" w:hAnsi="仿宋" w:eastAsia="仿宋" w:cs="仿宋"/>
        </w:rPr>
      </w:pPr>
    </w:p>
    <w:p>
      <w:pPr>
        <w:rPr>
          <w:rFonts w:ascii="仿宋" w:hAnsi="仿宋" w:eastAsia="仿宋" w:cs="仿宋"/>
        </w:rPr>
      </w:pPr>
    </w:p>
    <w:p>
      <w:pPr>
        <w:rPr>
          <w:rFonts w:ascii="仿宋" w:hAnsi="仿宋" w:eastAsia="仿宋" w:cs="仿宋"/>
        </w:rPr>
      </w:pPr>
      <w:bookmarkStart w:id="79" w:name="page163"/>
      <w:bookmarkEnd w:id="79"/>
    </w:p>
    <w:p>
      <w:pPr>
        <w:rPr>
          <w:rFonts w:ascii="仿宋" w:hAnsi="仿宋" w:eastAsia="仿宋" w:cs="仿宋"/>
          <w:sz w:val="24"/>
        </w:rPr>
      </w:pPr>
      <w:r>
        <w:rPr>
          <w:rFonts w:hint="eastAsia" w:ascii="仿宋" w:hAnsi="仿宋" w:eastAsia="仿宋" w:cs="仿宋"/>
          <w:sz w:val="24"/>
        </w:rPr>
        <w:t>附件二 廉政合同</w:t>
      </w:r>
    </w:p>
    <w:p>
      <w:pPr>
        <w:rPr>
          <w:rFonts w:ascii="仿宋" w:hAnsi="仿宋" w:eastAsia="仿宋" w:cs="仿宋"/>
        </w:rPr>
      </w:pPr>
    </w:p>
    <w:p>
      <w:pPr>
        <w:ind w:left="3580"/>
        <w:rPr>
          <w:rFonts w:ascii="仿宋" w:hAnsi="仿宋" w:eastAsia="仿宋" w:cs="仿宋"/>
          <w:sz w:val="28"/>
        </w:rPr>
      </w:pPr>
      <w:r>
        <w:rPr>
          <w:rFonts w:hint="eastAsia" w:ascii="仿宋" w:hAnsi="仿宋" w:eastAsia="仿宋" w:cs="仿宋"/>
          <w:sz w:val="28"/>
        </w:rPr>
        <w:t>廉 政 合 同</w:t>
      </w:r>
    </w:p>
    <w:p>
      <w:pPr>
        <w:rPr>
          <w:rFonts w:ascii="仿宋" w:hAnsi="仿宋" w:eastAsia="仿宋" w:cs="仿宋"/>
        </w:rPr>
      </w:pP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根据《关于在交通基础设施建设中加强廉政建设的若干意见》以及有关工程建</w:t>
      </w:r>
    </w:p>
    <w:p>
      <w:pPr>
        <w:rPr>
          <w:rFonts w:ascii="仿宋" w:hAnsi="仿宋" w:eastAsia="仿宋" w:cs="仿宋"/>
        </w:rPr>
      </w:pPr>
    </w:p>
    <w:p>
      <w:pPr>
        <w:rPr>
          <w:rFonts w:ascii="仿宋" w:hAnsi="仿宋" w:eastAsia="仿宋" w:cs="仿宋"/>
          <w:sz w:val="23"/>
        </w:rPr>
      </w:pPr>
      <w:r>
        <w:rPr>
          <w:rFonts w:hint="eastAsia" w:ascii="仿宋" w:hAnsi="仿宋" w:eastAsia="仿宋" w:cs="仿宋"/>
          <w:sz w:val="23"/>
        </w:rPr>
        <w:t>设、廉政建设的规定，为做好工程建设中的党风廉政建设，保证工程建设高效优质，</w:t>
      </w:r>
    </w:p>
    <w:p>
      <w:pPr>
        <w:rPr>
          <w:rFonts w:ascii="仿宋" w:hAnsi="仿宋" w:eastAsia="仿宋" w:cs="仿宋"/>
        </w:rPr>
      </w:pPr>
    </w:p>
    <w:tbl>
      <w:tblPr>
        <w:tblStyle w:val="10"/>
        <w:tblW w:w="8680" w:type="dxa"/>
        <w:tblInd w:w="0" w:type="dxa"/>
        <w:tblLayout w:type="fixed"/>
        <w:tblCellMar>
          <w:top w:w="0" w:type="dxa"/>
          <w:left w:w="0" w:type="dxa"/>
          <w:bottom w:w="0" w:type="dxa"/>
          <w:right w:w="0" w:type="dxa"/>
        </w:tblCellMar>
      </w:tblPr>
      <w:tblGrid>
        <w:gridCol w:w="720"/>
        <w:gridCol w:w="1340"/>
        <w:gridCol w:w="340"/>
        <w:gridCol w:w="2660"/>
        <w:gridCol w:w="1700"/>
        <w:gridCol w:w="340"/>
        <w:gridCol w:w="620"/>
        <w:gridCol w:w="960"/>
      </w:tblGrid>
      <w:tr>
        <w:tblPrEx>
          <w:tblLayout w:type="fixed"/>
          <w:tblCellMar>
            <w:top w:w="0" w:type="dxa"/>
            <w:left w:w="0" w:type="dxa"/>
            <w:bottom w:w="0" w:type="dxa"/>
            <w:right w:w="0" w:type="dxa"/>
          </w:tblCellMar>
        </w:tblPrEx>
        <w:trPr>
          <w:trHeight w:val="274" w:hRule="atLeast"/>
        </w:trPr>
        <w:tc>
          <w:tcPr>
            <w:tcW w:w="5060" w:type="dxa"/>
            <w:gridSpan w:val="4"/>
            <w:noWrap/>
            <w:vAlign w:val="bottom"/>
          </w:tcPr>
          <w:p>
            <w:pPr>
              <w:rPr>
                <w:rFonts w:ascii="仿宋" w:hAnsi="仿宋" w:eastAsia="仿宋" w:cs="仿宋"/>
                <w:w w:val="99"/>
                <w:sz w:val="24"/>
              </w:rPr>
            </w:pPr>
            <w:r>
              <w:rPr>
                <w:rFonts w:hint="eastAsia" w:ascii="仿宋" w:hAnsi="仿宋" w:eastAsia="仿宋" w:cs="仿宋"/>
                <w:w w:val="99"/>
                <w:sz w:val="24"/>
              </w:rPr>
              <w:t>保证建设资金的安全和有效使用以及投资效益，</w:t>
            </w:r>
          </w:p>
        </w:tc>
        <w:tc>
          <w:tcPr>
            <w:tcW w:w="1700" w:type="dxa"/>
            <w:tcBorders>
              <w:bottom w:val="single" w:color="auto" w:sz="8" w:space="0"/>
            </w:tcBorders>
            <w:noWrap/>
            <w:vAlign w:val="bottom"/>
          </w:tcPr>
          <w:p>
            <w:pPr>
              <w:rPr>
                <w:rFonts w:ascii="仿宋" w:hAnsi="仿宋" w:eastAsia="仿宋" w:cs="仿宋"/>
                <w:sz w:val="23"/>
              </w:rPr>
            </w:pPr>
          </w:p>
        </w:tc>
        <w:tc>
          <w:tcPr>
            <w:tcW w:w="1920" w:type="dxa"/>
            <w:gridSpan w:val="3"/>
            <w:noWrap/>
            <w:vAlign w:val="bottom"/>
          </w:tcPr>
          <w:p>
            <w:pPr>
              <w:jc w:val="right"/>
              <w:rPr>
                <w:rFonts w:ascii="仿宋" w:hAnsi="仿宋" w:eastAsia="仿宋" w:cs="仿宋"/>
                <w:w w:val="98"/>
                <w:sz w:val="24"/>
              </w:rPr>
            </w:pPr>
            <w:r>
              <w:rPr>
                <w:rFonts w:hint="eastAsia" w:ascii="仿宋" w:hAnsi="仿宋" w:eastAsia="仿宋" w:cs="仿宋"/>
                <w:w w:val="98"/>
                <w:sz w:val="24"/>
              </w:rPr>
              <w:t>（项目名称）的项</w:t>
            </w:r>
          </w:p>
        </w:tc>
      </w:tr>
      <w:tr>
        <w:tblPrEx>
          <w:tblLayout w:type="fixed"/>
          <w:tblCellMar>
            <w:top w:w="0" w:type="dxa"/>
            <w:left w:w="0" w:type="dxa"/>
            <w:bottom w:w="0" w:type="dxa"/>
            <w:right w:w="0" w:type="dxa"/>
          </w:tblCellMar>
        </w:tblPrEx>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目法人</w:t>
            </w:r>
          </w:p>
        </w:tc>
        <w:tc>
          <w:tcPr>
            <w:tcW w:w="1340" w:type="dxa"/>
            <w:tcBorders>
              <w:bottom w:val="single" w:color="auto" w:sz="8" w:space="0"/>
            </w:tcBorders>
            <w:noWrap/>
            <w:vAlign w:val="bottom"/>
          </w:tcPr>
          <w:p>
            <w:pPr>
              <w:rPr>
                <w:rFonts w:ascii="仿宋" w:hAnsi="仿宋" w:eastAsia="仿宋" w:cs="仿宋"/>
                <w:sz w:val="24"/>
              </w:rPr>
            </w:pPr>
          </w:p>
        </w:tc>
        <w:tc>
          <w:tcPr>
            <w:tcW w:w="5040" w:type="dxa"/>
            <w:gridSpan w:val="4"/>
            <w:noWrap/>
            <w:vAlign w:val="bottom"/>
          </w:tcPr>
          <w:p>
            <w:pPr>
              <w:rPr>
                <w:rFonts w:ascii="仿宋" w:hAnsi="仿宋" w:eastAsia="仿宋" w:cs="仿宋"/>
                <w:sz w:val="24"/>
              </w:rPr>
            </w:pPr>
            <w:r>
              <w:rPr>
                <w:rFonts w:hint="eastAsia" w:ascii="仿宋" w:hAnsi="仿宋" w:eastAsia="仿宋" w:cs="仿宋"/>
                <w:sz w:val="24"/>
              </w:rPr>
              <w:t>（项目法人名称，以下简称“发包人”）与该项目</w:t>
            </w:r>
          </w:p>
        </w:tc>
        <w:tc>
          <w:tcPr>
            <w:tcW w:w="620" w:type="dxa"/>
            <w:tcBorders>
              <w:bottom w:val="single" w:color="auto" w:sz="8" w:space="0"/>
            </w:tcBorders>
            <w:noWrap/>
            <w:vAlign w:val="bottom"/>
          </w:tcPr>
          <w:p>
            <w:pPr>
              <w:rPr>
                <w:rFonts w:ascii="仿宋" w:hAnsi="仿宋" w:eastAsia="仿宋" w:cs="仿宋"/>
                <w:sz w:val="24"/>
              </w:rPr>
            </w:pPr>
          </w:p>
        </w:tc>
        <w:tc>
          <w:tcPr>
            <w:tcW w:w="960" w:type="dxa"/>
            <w:noWrap/>
            <w:vAlign w:val="bottom"/>
          </w:tcPr>
          <w:p>
            <w:pPr>
              <w:jc w:val="right"/>
              <w:rPr>
                <w:rFonts w:ascii="仿宋" w:hAnsi="仿宋" w:eastAsia="仿宋" w:cs="仿宋"/>
                <w:w w:val="97"/>
                <w:sz w:val="24"/>
              </w:rPr>
            </w:pPr>
            <w:r>
              <w:rPr>
                <w:rFonts w:hint="eastAsia" w:ascii="仿宋" w:hAnsi="仿宋" w:eastAsia="仿宋" w:cs="仿宋"/>
                <w:w w:val="97"/>
                <w:sz w:val="24"/>
              </w:rPr>
              <w:t>标段的施</w:t>
            </w:r>
          </w:p>
        </w:tc>
      </w:tr>
      <w:tr>
        <w:tblPrEx>
          <w:tblLayout w:type="fixed"/>
          <w:tblCellMar>
            <w:top w:w="0" w:type="dxa"/>
            <w:left w:w="0" w:type="dxa"/>
            <w:bottom w:w="0" w:type="dxa"/>
            <w:right w:w="0" w:type="dxa"/>
          </w:tblCellMar>
        </w:tblPrEx>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工单位</w:t>
            </w:r>
          </w:p>
        </w:tc>
        <w:tc>
          <w:tcPr>
            <w:tcW w:w="1340" w:type="dxa"/>
            <w:tcBorders>
              <w:bottom w:val="single" w:color="auto" w:sz="8" w:space="0"/>
            </w:tcBorders>
            <w:noWrap/>
            <w:vAlign w:val="bottom"/>
          </w:tcPr>
          <w:p>
            <w:pPr>
              <w:rPr>
                <w:rFonts w:ascii="仿宋" w:hAnsi="仿宋" w:eastAsia="仿宋" w:cs="仿宋"/>
                <w:sz w:val="24"/>
              </w:rPr>
            </w:pPr>
          </w:p>
        </w:tc>
        <w:tc>
          <w:tcPr>
            <w:tcW w:w="340" w:type="dxa"/>
            <w:tcBorders>
              <w:bottom w:val="single" w:color="auto" w:sz="8" w:space="0"/>
            </w:tcBorders>
            <w:noWrap/>
            <w:vAlign w:val="bottom"/>
          </w:tcPr>
          <w:p>
            <w:pPr>
              <w:rPr>
                <w:rFonts w:ascii="仿宋" w:hAnsi="仿宋" w:eastAsia="仿宋" w:cs="仿宋"/>
                <w:sz w:val="24"/>
              </w:rPr>
            </w:pPr>
          </w:p>
        </w:tc>
        <w:tc>
          <w:tcPr>
            <w:tcW w:w="628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（施工单位名称，以下简称“承包人”），特订立如下合同。</w:t>
            </w:r>
          </w:p>
        </w:tc>
      </w:tr>
    </w:tbl>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1. 发包人和承包人双方的权利和义务</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（1）严格遵守党的政策规定和国家有关法律法规及交通运输部的有关规定。（2）严格执行</w:t>
      </w:r>
      <w:r>
        <w:rPr>
          <w:rFonts w:hint="eastAsia" w:ascii="仿宋" w:hAnsi="仿宋" w:eastAsia="仿宋" w:cs="仿宋"/>
          <w:sz w:val="24"/>
          <w:u w:val="single"/>
        </w:rPr>
        <w:t xml:space="preserve">   （项目名称）    </w:t>
      </w:r>
      <w:r>
        <w:rPr>
          <w:rFonts w:hint="eastAsia" w:ascii="仿宋" w:hAnsi="仿宋" w:eastAsia="仿宋" w:cs="仿宋"/>
          <w:sz w:val="24"/>
        </w:rPr>
        <w:t>标段施工合同文件，自觉按合同</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办事。</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（3）双方的业务活动坚持公开、公正、诚信、透明的原则（法律认定的商业秘密和合同文件另有规定除外），不得损害国家和集体利益，不得违反工程建设管理规章制度。</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（4）建立健全廉政制度，开展廉政教育，设立廉政告示牌，公布举报电话，监督并认真查处违法违纪行为。</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（5）发现对方在业务活动中有违反廉政规定的行为，有及时提醒对方纠正的权利和义务。</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（6）发现对方严重违反本合同义务条款的行为，有向其上级有关部门举报、建议给予处理并要求告知处理结果的权利。</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 发包人的义务</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（1）发包人及其工作人员不得索要或接受承包人的礼金、有价证券和贵重物品，不得让承包人报销任何应由发包人或发包人工作人员个人支付的费用等。</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（2）发包人工作人员不得参加承包人安排的超标准宴请和娱乐活动；不得接受承包人提供的通信工具、交通工具和高档办公用品等。</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（3）发包人及其工作人员不得要求或者接受承包人为其住房装修、婚丧嫁娶活动、配偶子女的工作安排以及出国出境、旅游等提供方便等。</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（4）发包人工作人员及其配偶、子女不得从事与发包人工程有关的材料设备供应、工程分包、劳务等经济活动等。</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（5）发包人及其工作人员不得以任何理由向承包人推荐分包单位或推销材料，不得要求承包人购买合同规定外的材料和设备。</w:t>
      </w:r>
    </w:p>
    <w:p>
      <w:pPr>
        <w:ind w:firstLine="617"/>
        <w:rPr>
          <w:rFonts w:ascii="仿宋" w:hAnsi="仿宋" w:eastAsia="仿宋" w:cs="仿宋"/>
          <w:sz w:val="24"/>
        </w:rPr>
      </w:pPr>
      <w:r>
        <w:rPr>
          <w:rFonts w:hint="eastAsia" w:ascii="仿宋" w:hAnsi="仿宋" w:eastAsia="仿宋" w:cs="仿宋"/>
          <w:sz w:val="24"/>
        </w:rPr>
        <w:t>（6）发包人工作人员要秉公办事，不准营私舞弊，不准利用职权从事各种个人有偿中介活动和安排个人施工队伍。</w:t>
      </w:r>
    </w:p>
    <w:p>
      <w:pPr>
        <w:rPr>
          <w:rFonts w:ascii="仿宋" w:hAnsi="仿宋" w:eastAsia="仿宋" w:cs="仿宋"/>
          <w:sz w:val="24"/>
        </w:rPr>
      </w:pPr>
      <w:bookmarkStart w:id="80" w:name="page164"/>
      <w:bookmarkEnd w:id="80"/>
      <w:r>
        <w:rPr>
          <w:rFonts w:hint="eastAsia" w:ascii="仿宋" w:hAnsi="仿宋" w:eastAsia="仿宋" w:cs="仿宋"/>
          <w:sz w:val="24"/>
        </w:rPr>
        <w:t>3. 承包人的义务</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（1）承包人不得以任何理由向发包人及其工作人员行贿或馈赠礼金、有价证券、贵重礼品。</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（2）承包人不得以任何名义为发包人及其工作人员报销应由发包人单位或个人支付的任何费用。</w:t>
      </w:r>
    </w:p>
    <w:p>
      <w:pPr>
        <w:rPr>
          <w:rFonts w:ascii="仿宋" w:hAnsi="仿宋" w:eastAsia="仿宋" w:cs="仿宋"/>
        </w:rPr>
      </w:pPr>
    </w:p>
    <w:p>
      <w:pPr>
        <w:ind w:left="620"/>
        <w:rPr>
          <w:rFonts w:ascii="仿宋" w:hAnsi="仿宋" w:eastAsia="仿宋" w:cs="仿宋"/>
          <w:sz w:val="23"/>
        </w:rPr>
      </w:pPr>
      <w:r>
        <w:rPr>
          <w:rFonts w:hint="eastAsia" w:ascii="仿宋" w:hAnsi="仿宋" w:eastAsia="仿宋" w:cs="仿宋"/>
          <w:sz w:val="23"/>
        </w:rPr>
        <w:t>（3）承包人不得以任何理由安排发包人工作人员参加超标准宴请及娱乐活动。（4）承包人不得为发包人单位和个人购置或提供通信工具、交通工具和高档</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办公用品等。</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 违约责任</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（1）发包人及其工作人员违反本合同第 1、2 条，按管理权限，依据有关规定给予党纪、政纪或组织处理；涉嫌犯罪的，移交司法机关追究刑事责任；给承包人单位造成经济损失的，应予以赔偿。</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rPr>
          <w:rFonts w:ascii="仿宋" w:hAnsi="仿宋" w:eastAsia="仿宋" w:cs="仿宋"/>
        </w:rPr>
      </w:pPr>
    </w:p>
    <w:p>
      <w:pPr>
        <w:numPr>
          <w:ilvl w:val="0"/>
          <w:numId w:val="76"/>
        </w:numPr>
        <w:tabs>
          <w:tab w:val="left" w:pos="919"/>
        </w:tabs>
        <w:ind w:firstLine="621"/>
        <w:jc w:val="both"/>
        <w:rPr>
          <w:rFonts w:ascii="仿宋" w:hAnsi="仿宋" w:eastAsia="仿宋" w:cs="仿宋"/>
          <w:sz w:val="24"/>
        </w:rPr>
      </w:pPr>
      <w:r>
        <w:rPr>
          <w:rFonts w:hint="eastAsia" w:ascii="仿宋" w:hAnsi="仿宋" w:eastAsia="仿宋" w:cs="仿宋"/>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rPr>
          <w:rFonts w:ascii="仿宋" w:hAnsi="仿宋" w:eastAsia="仿宋" w:cs="仿宋"/>
          <w:sz w:val="24"/>
        </w:rPr>
      </w:pPr>
    </w:p>
    <w:p>
      <w:pPr>
        <w:numPr>
          <w:ilvl w:val="0"/>
          <w:numId w:val="76"/>
        </w:numPr>
        <w:tabs>
          <w:tab w:val="left" w:pos="920"/>
        </w:tabs>
        <w:ind w:left="920" w:hanging="299"/>
        <w:jc w:val="both"/>
        <w:rPr>
          <w:rFonts w:ascii="仿宋" w:hAnsi="仿宋" w:eastAsia="仿宋" w:cs="仿宋"/>
          <w:sz w:val="24"/>
        </w:rPr>
      </w:pPr>
      <w:r>
        <w:rPr>
          <w:rFonts w:hint="eastAsia" w:ascii="仿宋" w:hAnsi="仿宋" w:eastAsia="仿宋" w:cs="仿宋"/>
          <w:sz w:val="24"/>
        </w:rPr>
        <w:t>本合同有效期为发包人和承包人签署之日起至该工程项目竣工验收后止。</w:t>
      </w:r>
    </w:p>
    <w:p>
      <w:pPr>
        <w:rPr>
          <w:rFonts w:ascii="仿宋" w:hAnsi="仿宋" w:eastAsia="仿宋" w:cs="仿宋"/>
        </w:rPr>
      </w:pPr>
    </w:p>
    <w:p>
      <w:pPr>
        <w:tabs>
          <w:tab w:val="left" w:pos="3220"/>
          <w:tab w:val="left" w:pos="5280"/>
        </w:tabs>
        <w:ind w:left="620"/>
        <w:rPr>
          <w:rFonts w:ascii="仿宋" w:hAnsi="仿宋" w:eastAsia="仿宋" w:cs="仿宋"/>
          <w:sz w:val="24"/>
        </w:rPr>
      </w:pPr>
      <w:r>
        <w:rPr>
          <w:rFonts w:hint="eastAsia" w:ascii="仿宋" w:hAnsi="仿宋" w:eastAsia="仿宋" w:cs="仿宋"/>
          <w:sz w:val="24"/>
        </w:rPr>
        <w:t>7.  本合同作为</w:t>
      </w:r>
      <w:r>
        <w:rPr>
          <w:rFonts w:hint="eastAsia" w:ascii="仿宋" w:hAnsi="仿宋" w:eastAsia="仿宋" w:cs="仿宋"/>
        </w:rPr>
        <w:tab/>
      </w:r>
      <w:r>
        <w:rPr>
          <w:rFonts w:hint="eastAsia" w:ascii="仿宋" w:hAnsi="仿宋" w:eastAsia="仿宋" w:cs="仿宋"/>
          <w:sz w:val="24"/>
        </w:rPr>
        <w:t>（项目名称）</w:t>
      </w:r>
      <w:r>
        <w:rPr>
          <w:rFonts w:hint="eastAsia" w:ascii="仿宋" w:hAnsi="仿宋" w:eastAsia="仿宋" w:cs="仿宋"/>
        </w:rPr>
        <w:tab/>
      </w:r>
      <w:r>
        <w:rPr>
          <w:rFonts w:hint="eastAsia" w:ascii="仿宋" w:hAnsi="仿宋" w:eastAsia="仿宋" w:cs="仿宋"/>
          <w:sz w:val="24"/>
        </w:rPr>
        <w:t>标段施工合同的附件，与工程施</w:t>
      </w:r>
    </w:p>
    <w:p>
      <w:pPr>
        <w:rPr>
          <w:rFonts w:ascii="仿宋" w:hAnsi="仿宋" w:eastAsia="仿宋" w:cs="仿宋"/>
        </w:rPr>
      </w:pPr>
      <w:r>
        <w:rPr>
          <w:rFonts w:ascii="仿宋" w:hAnsi="仿宋" w:eastAsia="仿宋" w:cs="仿宋"/>
          <w:sz w:val="24"/>
        </w:rPr>
        <w:pict>
          <v:line id="_x0000_s2086" o:spid="_x0000_s2086" o:spt="20" style="position:absolute;left:0pt;margin-left:106.75pt;margin-top:-0.85pt;height:0pt;width:54.85pt;z-index:-251165696;mso-width-relative:page;mso-height-relative:page;" coordsize="21600,21600" o:allowincell="f" o:gfxdata="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jIttLXAAAACQEAAA8AAAAA&#10;AAAAAQAgAAAAIgAAAGRycy9kb3ducmV2LnhtbFBLAQIUABQAAAAIAIdO4kA4rdV83AEAAJcDAAAO&#10;AAAAAAAAAAEAIAAAACYBAABkcnMvZTJvRG9jLnhtbFBLBQYAAAAABgAGAFkBAAB0BQAAAAA=&#10;">
            <v:path arrowok="t"/>
            <v:fill focussize="0,0"/>
            <v:stroke weight="0.6pt"/>
            <v:imagedata o:title=""/>
            <o:lock v:ext="edit"/>
          </v:line>
        </w:pict>
      </w:r>
      <w:r>
        <w:rPr>
          <w:rFonts w:ascii="仿宋" w:hAnsi="仿宋" w:eastAsia="仿宋" w:cs="仿宋"/>
          <w:sz w:val="24"/>
        </w:rPr>
        <w:pict>
          <v:line id="_x0000_s2085" o:spid="_x0000_s2085" o:spt="20" style="position:absolute;left:0pt;margin-left:234.35pt;margin-top:-0.85pt;height:0pt;width:30.4pt;z-index:-251164672;mso-width-relative:page;mso-height-relative:page;" coordsize="21600,21600" o:allowincell="f" o:gfxdata="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1w8vjXAAAACQEAAA8AAAAAAAAA&#10;AQAgAAAAIgAAAGRycy9kb3ducmV2LnhtbFBLAQIUABQAAAAIAIdO4kCQeqU82QEAAJcDAAAOAAAA&#10;AAAAAAEAIAAAACYBAABkcnMvZTJvRG9jLnhtbFBLBQYAAAAABgAGAFkBAABxBQAAAAA=&#10;">
            <v:path arrowok="t"/>
            <v:fill focussize="0,0"/>
            <v:stroke weight="0.6pt"/>
            <v:imagedata o:title=""/>
            <o:lock v:ext="edit"/>
          </v:line>
        </w:pict>
      </w:r>
    </w:p>
    <w:p>
      <w:pPr>
        <w:rPr>
          <w:rFonts w:ascii="仿宋" w:hAnsi="仿宋" w:eastAsia="仿宋" w:cs="仿宋"/>
          <w:sz w:val="24"/>
        </w:rPr>
      </w:pPr>
      <w:r>
        <w:rPr>
          <w:rFonts w:hint="eastAsia" w:ascii="仿宋" w:hAnsi="仿宋" w:eastAsia="仿宋" w:cs="仿宋"/>
          <w:sz w:val="24"/>
        </w:rPr>
        <w:t>工合同具有同等的法律效力，经合同双方签署后立即生效。</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8.  本合同一式四份，由发包人和承包人各执一份，送交发包人和承包人的监</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督单位各一份。</w:t>
      </w:r>
    </w:p>
    <w:p>
      <w:pPr>
        <w:rPr>
          <w:rFonts w:ascii="仿宋" w:hAnsi="仿宋" w:eastAsia="仿宋" w:cs="仿宋"/>
        </w:rPr>
      </w:pPr>
    </w:p>
    <w:p>
      <w:pPr>
        <w:rPr>
          <w:rFonts w:ascii="仿宋" w:hAnsi="仿宋" w:eastAsia="仿宋" w:cs="仿宋"/>
        </w:rPr>
      </w:pPr>
    </w:p>
    <w:tbl>
      <w:tblPr>
        <w:tblStyle w:val="10"/>
        <w:tblW w:w="8800" w:type="dxa"/>
        <w:tblInd w:w="0" w:type="dxa"/>
        <w:tblLayout w:type="fixed"/>
        <w:tblCellMar>
          <w:top w:w="0" w:type="dxa"/>
          <w:left w:w="0" w:type="dxa"/>
          <w:bottom w:w="0" w:type="dxa"/>
          <w:right w:w="0" w:type="dxa"/>
        </w:tblCellMar>
      </w:tblPr>
      <w:tblGrid>
        <w:gridCol w:w="840"/>
        <w:gridCol w:w="120"/>
        <w:gridCol w:w="960"/>
        <w:gridCol w:w="240"/>
        <w:gridCol w:w="580"/>
        <w:gridCol w:w="20"/>
        <w:gridCol w:w="240"/>
        <w:gridCol w:w="80"/>
        <w:gridCol w:w="240"/>
        <w:gridCol w:w="280"/>
        <w:gridCol w:w="740"/>
        <w:gridCol w:w="1180"/>
        <w:gridCol w:w="180"/>
        <w:gridCol w:w="900"/>
        <w:gridCol w:w="240"/>
        <w:gridCol w:w="540"/>
        <w:gridCol w:w="60"/>
        <w:gridCol w:w="80"/>
        <w:gridCol w:w="160"/>
        <w:gridCol w:w="200"/>
        <w:gridCol w:w="400"/>
        <w:gridCol w:w="520"/>
      </w:tblGrid>
      <w:tr>
        <w:tblPrEx>
          <w:tblLayout w:type="fixed"/>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00" w:type="dxa"/>
            <w:gridSpan w:val="6"/>
            <w:noWrap/>
            <w:vAlign w:val="bottom"/>
          </w:tcPr>
          <w:p>
            <w:pPr>
              <w:rPr>
                <w:rFonts w:ascii="仿宋" w:hAnsi="仿宋" w:eastAsia="仿宋" w:cs="仿宋"/>
                <w:sz w:val="24"/>
              </w:rPr>
            </w:pPr>
            <w:r>
              <w:rPr>
                <w:rFonts w:hint="eastAsia" w:ascii="仿宋" w:hAnsi="仿宋" w:eastAsia="仿宋" w:cs="仿宋"/>
                <w:sz w:val="24"/>
              </w:rPr>
              <w:t>（盖单位章）</w:t>
            </w:r>
          </w:p>
        </w:tc>
        <w:tc>
          <w:tcPr>
            <w:tcW w:w="2500" w:type="dxa"/>
            <w:gridSpan w:val="4"/>
            <w:noWrap/>
            <w:vAlign w:val="bottom"/>
          </w:tcPr>
          <w:p>
            <w:pPr>
              <w:ind w:left="420"/>
              <w:rPr>
                <w:rFonts w:ascii="仿宋" w:hAnsi="仿宋" w:eastAsia="仿宋" w:cs="仿宋"/>
                <w:sz w:val="24"/>
              </w:rPr>
            </w:pPr>
            <w:r>
              <w:rPr>
                <w:rFonts w:hint="eastAsia" w:ascii="仿宋" w:hAnsi="仿宋" w:eastAsia="仿宋" w:cs="仿宋"/>
                <w:sz w:val="24"/>
              </w:rPr>
              <w:t>承包人：</w:t>
            </w:r>
          </w:p>
        </w:tc>
        <w:tc>
          <w:tcPr>
            <w:tcW w:w="196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320" w:type="dxa"/>
            <w:gridSpan w:val="2"/>
            <w:shd w:val="clear" w:color="auto" w:fill="auto"/>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20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422" w:hRule="atLeast"/>
        </w:trPr>
        <w:tc>
          <w:tcPr>
            <w:tcW w:w="4340" w:type="dxa"/>
            <w:gridSpan w:val="11"/>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3340" w:type="dxa"/>
            <w:gridSpan w:val="8"/>
            <w:noWrap/>
            <w:vAlign w:val="bottom"/>
          </w:tcPr>
          <w:p>
            <w:pPr>
              <w:ind w:left="100"/>
              <w:rPr>
                <w:rFonts w:ascii="仿宋" w:hAnsi="仿宋" w:eastAsia="仿宋" w:cs="仿宋"/>
                <w:sz w:val="24"/>
              </w:rPr>
            </w:pPr>
            <w:r>
              <w:rPr>
                <w:rFonts w:hint="eastAsia" w:ascii="仿宋" w:hAnsi="仿宋" w:eastAsia="仿宋" w:cs="仿宋"/>
                <w:sz w:val="24"/>
              </w:rPr>
              <w:t>法定代表人或其委托代理人：</w:t>
            </w:r>
          </w:p>
        </w:tc>
        <w:tc>
          <w:tcPr>
            <w:tcW w:w="1120" w:type="dxa"/>
            <w:gridSpan w:val="3"/>
            <w:noWrap/>
            <w:vAlign w:val="bottom"/>
          </w:tcPr>
          <w:p>
            <w:pPr>
              <w:jc w:val="right"/>
              <w:rPr>
                <w:rFonts w:ascii="仿宋" w:hAnsi="仿宋" w:eastAsia="仿宋" w:cs="仿宋"/>
                <w:sz w:val="24"/>
              </w:rPr>
            </w:pPr>
            <w:r>
              <w:rPr>
                <w:rFonts w:hint="eastAsia" w:ascii="仿宋" w:hAnsi="仿宋" w:eastAsia="仿宋" w:cs="仿宋"/>
                <w:sz w:val="24"/>
              </w:rPr>
              <w:t>（签字）</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20" w:type="dxa"/>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80" w:type="dxa"/>
            <w:noWrap/>
            <w:vAlign w:val="bottom"/>
          </w:tcPr>
          <w:p>
            <w:pPr>
              <w:rPr>
                <w:rFonts w:ascii="仿宋" w:hAnsi="仿宋" w:eastAsia="仿宋" w:cs="仿宋"/>
                <w:sz w:val="24"/>
              </w:rPr>
            </w:pPr>
          </w:p>
        </w:tc>
        <w:tc>
          <w:tcPr>
            <w:tcW w:w="740" w:type="dxa"/>
            <w:noWrap/>
            <w:vAlign w:val="bottom"/>
          </w:tcPr>
          <w:p>
            <w:pPr>
              <w:rPr>
                <w:rFonts w:ascii="仿宋" w:hAnsi="仿宋" w:eastAsia="仿宋" w:cs="仿宋"/>
                <w:sz w:val="24"/>
              </w:rPr>
            </w:pPr>
            <w:r>
              <w:rPr>
                <w:rFonts w:hint="eastAsia" w:ascii="仿宋" w:hAnsi="仿宋" w:eastAsia="仿宋" w:cs="仿宋"/>
                <w:sz w:val="24"/>
              </w:rPr>
              <w:t>日</w:t>
            </w:r>
          </w:p>
        </w:tc>
        <w:tc>
          <w:tcPr>
            <w:tcW w:w="118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jc w:val="center"/>
              <w:rPr>
                <w:rFonts w:ascii="仿宋" w:hAnsi="仿宋" w:eastAsia="仿宋" w:cs="仿宋"/>
                <w:w w:val="99"/>
                <w:sz w:val="24"/>
              </w:rPr>
            </w:pPr>
            <w:r>
              <w:rPr>
                <w:rFonts w:hint="eastAsia" w:ascii="仿宋" w:hAnsi="仿宋" w:eastAsia="仿宋" w:cs="仿宋"/>
                <w:w w:val="99"/>
                <w:sz w:val="24"/>
              </w:rPr>
              <w:t>年</w:t>
            </w:r>
          </w:p>
        </w:tc>
        <w:tc>
          <w:tcPr>
            <w:tcW w:w="54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w w:val="91"/>
                <w:sz w:val="24"/>
              </w:rPr>
            </w:pPr>
            <w:r>
              <w:rPr>
                <w:rFonts w:hint="eastAsia" w:ascii="仿宋" w:hAnsi="仿宋" w:eastAsia="仿宋" w:cs="仿宋"/>
                <w:w w:val="91"/>
                <w:sz w:val="24"/>
              </w:rPr>
              <w:t>月</w:t>
            </w:r>
          </w:p>
        </w:tc>
        <w:tc>
          <w:tcPr>
            <w:tcW w:w="20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Layout w:type="fixed"/>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842" w:hRule="atLeast"/>
        </w:trPr>
        <w:tc>
          <w:tcPr>
            <w:tcW w:w="4340" w:type="dxa"/>
            <w:gridSpan w:val="11"/>
            <w:noWrap/>
            <w:vAlign w:val="bottom"/>
          </w:tcPr>
          <w:p>
            <w:pPr>
              <w:rPr>
                <w:rFonts w:ascii="仿宋" w:hAnsi="仿宋" w:eastAsia="仿宋" w:cs="仿宋"/>
                <w:w w:val="99"/>
                <w:sz w:val="24"/>
                <w:u w:val="single"/>
              </w:rPr>
            </w:pPr>
            <w:r>
              <w:rPr>
                <w:rFonts w:hint="eastAsia" w:ascii="仿宋" w:hAnsi="仿宋" w:eastAsia="仿宋" w:cs="仿宋"/>
                <w:w w:val="99"/>
                <w:sz w:val="24"/>
              </w:rPr>
              <w:t>发包人监督单位：</w:t>
            </w:r>
            <w:r>
              <w:rPr>
                <w:rFonts w:hint="eastAsia" w:ascii="仿宋" w:hAnsi="仿宋" w:eastAsia="仿宋" w:cs="仿宋"/>
                <w:w w:val="99"/>
                <w:sz w:val="24"/>
                <w:u w:val="single"/>
              </w:rPr>
              <w:t>（全称）（盖单位章）</w:t>
            </w:r>
          </w:p>
        </w:tc>
        <w:tc>
          <w:tcPr>
            <w:tcW w:w="4460" w:type="dxa"/>
            <w:gridSpan w:val="11"/>
            <w:noWrap/>
            <w:vAlign w:val="bottom"/>
          </w:tcPr>
          <w:p>
            <w:pPr>
              <w:ind w:left="180"/>
              <w:jc w:val="center"/>
              <w:rPr>
                <w:rFonts w:ascii="仿宋" w:hAnsi="仿宋" w:eastAsia="仿宋" w:cs="仿宋"/>
                <w:w w:val="94"/>
                <w:sz w:val="24"/>
                <w:u w:val="single"/>
              </w:rPr>
            </w:pPr>
            <w:r>
              <w:rPr>
                <w:rFonts w:hint="eastAsia" w:ascii="仿宋" w:hAnsi="仿宋" w:eastAsia="仿宋" w:cs="仿宋"/>
                <w:w w:val="94"/>
                <w:sz w:val="24"/>
              </w:rPr>
              <w:t>承包人监督单位：</w:t>
            </w:r>
            <w:r>
              <w:rPr>
                <w:rFonts w:hint="eastAsia" w:ascii="仿宋" w:hAnsi="仿宋" w:eastAsia="仿宋" w:cs="仿宋"/>
                <w:w w:val="94"/>
                <w:sz w:val="24"/>
                <w:u w:val="single"/>
              </w:rPr>
              <w:t>（全称）（盖单位章）</w:t>
            </w:r>
          </w:p>
        </w:tc>
      </w:tr>
    </w:tbl>
    <w:p>
      <w:pPr>
        <w:rPr>
          <w:rFonts w:ascii="仿宋" w:hAnsi="仿宋" w:eastAsia="仿宋" w:cs="仿宋"/>
          <w:w w:val="94"/>
          <w:sz w:val="24"/>
          <w:u w:val="single"/>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sz w:val="24"/>
        </w:rPr>
      </w:pPr>
      <w:bookmarkStart w:id="81" w:name="page165"/>
      <w:bookmarkEnd w:id="81"/>
      <w:r>
        <w:rPr>
          <w:rFonts w:hint="eastAsia" w:ascii="仿宋" w:hAnsi="仿宋" w:eastAsia="仿宋" w:cs="仿宋"/>
          <w:sz w:val="24"/>
        </w:rPr>
        <w:t>附件三 安全生产合同</w:t>
      </w:r>
    </w:p>
    <w:p>
      <w:pPr>
        <w:rPr>
          <w:rFonts w:ascii="仿宋" w:hAnsi="仿宋" w:eastAsia="仿宋" w:cs="仿宋"/>
        </w:rPr>
      </w:pPr>
    </w:p>
    <w:p>
      <w:pPr>
        <w:ind w:left="3500"/>
        <w:rPr>
          <w:rFonts w:ascii="仿宋" w:hAnsi="仿宋" w:eastAsia="仿宋" w:cs="仿宋"/>
          <w:sz w:val="28"/>
        </w:rPr>
      </w:pPr>
      <w:r>
        <w:rPr>
          <w:rFonts w:hint="eastAsia" w:ascii="仿宋" w:hAnsi="仿宋" w:eastAsia="仿宋" w:cs="仿宋"/>
          <w:sz w:val="28"/>
        </w:rPr>
        <w:t>安全生产合同</w:t>
      </w:r>
    </w:p>
    <w:p>
      <w:pPr>
        <w:rPr>
          <w:rFonts w:ascii="仿宋" w:hAnsi="仿宋" w:eastAsia="仿宋" w:cs="仿宋"/>
        </w:rPr>
      </w:pPr>
    </w:p>
    <w:p>
      <w:pPr>
        <w:rPr>
          <w:rFonts w:ascii="仿宋" w:hAnsi="仿宋" w:eastAsia="仿宋" w:cs="仿宋"/>
        </w:rPr>
      </w:pPr>
    </w:p>
    <w:tbl>
      <w:tblPr>
        <w:tblStyle w:val="10"/>
        <w:tblW w:w="8780" w:type="dxa"/>
        <w:tblInd w:w="0" w:type="dxa"/>
        <w:tblLayout w:type="fixed"/>
        <w:tblCellMar>
          <w:top w:w="0" w:type="dxa"/>
          <w:left w:w="0" w:type="dxa"/>
          <w:bottom w:w="0" w:type="dxa"/>
          <w:right w:w="0" w:type="dxa"/>
        </w:tblCellMar>
      </w:tblPr>
      <w:tblGrid>
        <w:gridCol w:w="1100"/>
        <w:gridCol w:w="1560"/>
        <w:gridCol w:w="1440"/>
        <w:gridCol w:w="180"/>
        <w:gridCol w:w="420"/>
        <w:gridCol w:w="1000"/>
        <w:gridCol w:w="1200"/>
        <w:gridCol w:w="1320"/>
        <w:gridCol w:w="560"/>
      </w:tblGrid>
      <w:tr>
        <w:tblPrEx>
          <w:tblLayout w:type="fixed"/>
          <w:tblCellMar>
            <w:top w:w="0" w:type="dxa"/>
            <w:left w:w="0" w:type="dxa"/>
            <w:bottom w:w="0" w:type="dxa"/>
            <w:right w:w="0" w:type="dxa"/>
          </w:tblCellMar>
        </w:tblPrEx>
        <w:trPr>
          <w:trHeight w:val="274" w:hRule="atLeast"/>
        </w:trPr>
        <w:tc>
          <w:tcPr>
            <w:tcW w:w="1100" w:type="dxa"/>
            <w:noWrap/>
            <w:vAlign w:val="bottom"/>
          </w:tcPr>
          <w:p>
            <w:pPr>
              <w:ind w:left="620"/>
              <w:rPr>
                <w:rFonts w:ascii="仿宋" w:hAnsi="仿宋" w:eastAsia="仿宋" w:cs="仿宋"/>
                <w:w w:val="95"/>
                <w:sz w:val="24"/>
              </w:rPr>
            </w:pPr>
            <w:r>
              <w:rPr>
                <w:rFonts w:hint="eastAsia" w:ascii="仿宋" w:hAnsi="仿宋" w:eastAsia="仿宋" w:cs="仿宋"/>
                <w:w w:val="95"/>
                <w:sz w:val="24"/>
              </w:rPr>
              <w:t>为在</w:t>
            </w:r>
          </w:p>
        </w:tc>
        <w:tc>
          <w:tcPr>
            <w:tcW w:w="1560" w:type="dxa"/>
            <w:noWrap/>
            <w:vAlign w:val="bottom"/>
          </w:tcPr>
          <w:p>
            <w:pPr>
              <w:rPr>
                <w:rFonts w:ascii="仿宋" w:hAnsi="仿宋" w:eastAsia="仿宋" w:cs="仿宋"/>
                <w:sz w:val="23"/>
              </w:rPr>
            </w:pPr>
          </w:p>
        </w:tc>
        <w:tc>
          <w:tcPr>
            <w:tcW w:w="1620" w:type="dxa"/>
            <w:gridSpan w:val="2"/>
            <w:noWrap/>
            <w:vAlign w:val="bottom"/>
          </w:tcPr>
          <w:p>
            <w:pPr>
              <w:rPr>
                <w:rFonts w:ascii="仿宋" w:hAnsi="仿宋" w:eastAsia="仿宋" w:cs="仿宋"/>
                <w:sz w:val="24"/>
              </w:rPr>
            </w:pPr>
            <w:r>
              <w:rPr>
                <w:rFonts w:hint="eastAsia" w:ascii="仿宋" w:hAnsi="仿宋" w:eastAsia="仿宋" w:cs="仿宋"/>
                <w:sz w:val="24"/>
              </w:rPr>
              <w:t>（项目名称）</w:t>
            </w:r>
          </w:p>
        </w:tc>
        <w:tc>
          <w:tcPr>
            <w:tcW w:w="4500" w:type="dxa"/>
            <w:gridSpan w:val="5"/>
            <w:noWrap/>
            <w:vAlign w:val="bottom"/>
          </w:tcPr>
          <w:p>
            <w:pPr>
              <w:jc w:val="right"/>
              <w:rPr>
                <w:rFonts w:ascii="仿宋" w:hAnsi="仿宋" w:eastAsia="仿宋" w:cs="仿宋"/>
                <w:sz w:val="24"/>
              </w:rPr>
            </w:pPr>
            <w:r>
              <w:rPr>
                <w:rFonts w:hint="eastAsia" w:ascii="仿宋" w:hAnsi="仿宋" w:eastAsia="仿宋" w:cs="仿宋"/>
                <w:sz w:val="24"/>
              </w:rPr>
              <w:t>标段施工合同的实施过程中创造安全、</w:t>
            </w:r>
          </w:p>
        </w:tc>
      </w:tr>
      <w:tr>
        <w:tblPrEx>
          <w:tblLayout w:type="fixed"/>
          <w:tblCellMar>
            <w:top w:w="0" w:type="dxa"/>
            <w:left w:w="0" w:type="dxa"/>
            <w:bottom w:w="0" w:type="dxa"/>
            <w:right w:w="0" w:type="dxa"/>
          </w:tblCellMar>
        </w:tblPrEx>
        <w:trPr>
          <w:trHeight w:val="20" w:hRule="atLeast"/>
        </w:trPr>
        <w:tc>
          <w:tcPr>
            <w:tcW w:w="1100" w:type="dxa"/>
            <w:shd w:val="clear" w:color="auto" w:fill="auto"/>
            <w:noWrap/>
            <w:vAlign w:val="bottom"/>
          </w:tcPr>
          <w:p>
            <w:pPr>
              <w:rPr>
                <w:rFonts w:ascii="仿宋" w:hAnsi="仿宋" w:eastAsia="仿宋" w:cs="仿宋"/>
                <w:sz w:val="1"/>
              </w:rPr>
            </w:pPr>
          </w:p>
        </w:tc>
        <w:tc>
          <w:tcPr>
            <w:tcW w:w="1560" w:type="dxa"/>
            <w:shd w:val="clear" w:color="auto" w:fill="000000"/>
            <w:noWrap/>
            <w:vAlign w:val="bottom"/>
          </w:tcPr>
          <w:p>
            <w:pPr>
              <w:rPr>
                <w:rFonts w:ascii="仿宋" w:hAnsi="仿宋" w:eastAsia="仿宋" w:cs="仿宋"/>
                <w:sz w:val="1"/>
              </w:rPr>
            </w:pPr>
          </w:p>
        </w:tc>
        <w:tc>
          <w:tcPr>
            <w:tcW w:w="14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1000" w:type="dxa"/>
            <w:noWrap/>
            <w:vAlign w:val="bottom"/>
          </w:tcPr>
          <w:p>
            <w:pPr>
              <w:rPr>
                <w:rFonts w:ascii="仿宋" w:hAnsi="仿宋" w:eastAsia="仿宋" w:cs="仿宋"/>
                <w:sz w:val="1"/>
              </w:rPr>
            </w:pPr>
          </w:p>
        </w:tc>
        <w:tc>
          <w:tcPr>
            <w:tcW w:w="1200" w:type="dxa"/>
            <w:noWrap/>
            <w:vAlign w:val="bottom"/>
          </w:tcPr>
          <w:p>
            <w:pPr>
              <w:rPr>
                <w:rFonts w:ascii="仿宋" w:hAnsi="仿宋" w:eastAsia="仿宋" w:cs="仿宋"/>
                <w:sz w:val="1"/>
              </w:rPr>
            </w:pPr>
          </w:p>
        </w:tc>
        <w:tc>
          <w:tcPr>
            <w:tcW w:w="1320" w:type="dxa"/>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69" w:hRule="atLeast"/>
        </w:trPr>
        <w:tc>
          <w:tcPr>
            <w:tcW w:w="6900" w:type="dxa"/>
            <w:gridSpan w:val="7"/>
            <w:noWrap/>
            <w:vAlign w:val="bottom"/>
          </w:tcPr>
          <w:p>
            <w:pPr>
              <w:rPr>
                <w:rFonts w:ascii="仿宋" w:hAnsi="仿宋" w:eastAsia="仿宋" w:cs="仿宋"/>
                <w:w w:val="98"/>
                <w:sz w:val="24"/>
              </w:rPr>
            </w:pPr>
            <w:r>
              <w:rPr>
                <w:rFonts w:hint="eastAsia" w:ascii="仿宋" w:hAnsi="仿宋" w:eastAsia="仿宋" w:cs="仿宋"/>
                <w:w w:val="98"/>
                <w:sz w:val="24"/>
              </w:rPr>
              <w:t>高效的施工环境，切实搞好本项目的安全管理工作，本项目发包人</w:t>
            </w:r>
          </w:p>
        </w:tc>
        <w:tc>
          <w:tcPr>
            <w:tcW w:w="1880" w:type="dxa"/>
            <w:gridSpan w:val="2"/>
            <w:noWrap/>
            <w:vAlign w:val="bottom"/>
          </w:tcPr>
          <w:p>
            <w:pPr>
              <w:jc w:val="right"/>
              <w:rPr>
                <w:rFonts w:ascii="仿宋" w:hAnsi="仿宋" w:eastAsia="仿宋" w:cs="仿宋"/>
                <w:sz w:val="24"/>
              </w:rPr>
            </w:pPr>
            <w:r>
              <w:rPr>
                <w:rFonts w:hint="eastAsia" w:ascii="仿宋" w:hAnsi="仿宋" w:eastAsia="仿宋" w:cs="仿宋"/>
                <w:sz w:val="24"/>
              </w:rPr>
              <w:t>（发</w:t>
            </w:r>
          </w:p>
        </w:tc>
      </w:tr>
      <w:tr>
        <w:tblPrEx>
          <w:tblLayout w:type="fixed"/>
          <w:tblCellMar>
            <w:top w:w="0" w:type="dxa"/>
            <w:left w:w="0" w:type="dxa"/>
            <w:bottom w:w="0" w:type="dxa"/>
            <w:right w:w="0" w:type="dxa"/>
          </w:tblCellMar>
        </w:tblPrEx>
        <w:trPr>
          <w:trHeight w:val="20" w:hRule="atLeast"/>
        </w:trPr>
        <w:tc>
          <w:tcPr>
            <w:tcW w:w="4280" w:type="dxa"/>
            <w:gridSpan w:val="4"/>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000" w:type="dxa"/>
            <w:shd w:val="clear" w:color="auto" w:fill="auto"/>
            <w:noWrap/>
            <w:vAlign w:val="bottom"/>
          </w:tcPr>
          <w:p>
            <w:pPr>
              <w:rPr>
                <w:rFonts w:ascii="仿宋" w:hAnsi="仿宋" w:eastAsia="仿宋" w:cs="仿宋"/>
                <w:sz w:val="1"/>
              </w:rPr>
            </w:pPr>
          </w:p>
        </w:tc>
        <w:tc>
          <w:tcPr>
            <w:tcW w:w="1200" w:type="dxa"/>
            <w:shd w:val="clear" w:color="auto" w:fill="auto"/>
            <w:noWrap/>
            <w:vAlign w:val="bottom"/>
          </w:tcPr>
          <w:p>
            <w:pPr>
              <w:rPr>
                <w:rFonts w:ascii="仿宋" w:hAnsi="仿宋" w:eastAsia="仿宋" w:cs="仿宋"/>
                <w:sz w:val="1"/>
              </w:rPr>
            </w:pPr>
          </w:p>
        </w:tc>
        <w:tc>
          <w:tcPr>
            <w:tcW w:w="1320" w:type="dxa"/>
            <w:shd w:val="clear" w:color="auto" w:fill="000000"/>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71" w:hRule="atLeast"/>
        </w:trPr>
        <w:tc>
          <w:tcPr>
            <w:tcW w:w="4280" w:type="dxa"/>
            <w:gridSpan w:val="4"/>
            <w:noWrap/>
            <w:vAlign w:val="bottom"/>
          </w:tcPr>
          <w:p>
            <w:pPr>
              <w:rPr>
                <w:rFonts w:ascii="仿宋" w:hAnsi="仿宋" w:eastAsia="仿宋" w:cs="仿宋"/>
                <w:w w:val="99"/>
                <w:sz w:val="24"/>
              </w:rPr>
            </w:pPr>
            <w:r>
              <w:rPr>
                <w:rFonts w:hint="eastAsia" w:ascii="仿宋" w:hAnsi="仿宋" w:eastAsia="仿宋" w:cs="仿宋"/>
                <w:w w:val="99"/>
                <w:sz w:val="24"/>
              </w:rPr>
              <w:t>包人名称，以下简称“发包人”）与承包人</w:t>
            </w:r>
          </w:p>
        </w:tc>
        <w:tc>
          <w:tcPr>
            <w:tcW w:w="420" w:type="dxa"/>
            <w:tcBorders>
              <w:bottom w:val="single" w:color="auto" w:sz="8" w:space="0"/>
            </w:tcBorders>
            <w:noWrap/>
            <w:vAlign w:val="bottom"/>
          </w:tcPr>
          <w:p>
            <w:pPr>
              <w:rPr>
                <w:rFonts w:ascii="仿宋" w:hAnsi="仿宋" w:eastAsia="仿宋" w:cs="仿宋"/>
                <w:sz w:val="24"/>
              </w:rPr>
            </w:pPr>
          </w:p>
        </w:tc>
        <w:tc>
          <w:tcPr>
            <w:tcW w:w="1000" w:type="dxa"/>
            <w:tcBorders>
              <w:bottom w:val="single" w:color="auto" w:sz="8" w:space="0"/>
            </w:tcBorders>
            <w:noWrap/>
            <w:vAlign w:val="bottom"/>
          </w:tcPr>
          <w:p>
            <w:pPr>
              <w:rPr>
                <w:rFonts w:ascii="仿宋" w:hAnsi="仿宋" w:eastAsia="仿宋" w:cs="仿宋"/>
                <w:sz w:val="24"/>
              </w:rPr>
            </w:pPr>
          </w:p>
        </w:tc>
        <w:tc>
          <w:tcPr>
            <w:tcW w:w="3080" w:type="dxa"/>
            <w:gridSpan w:val="3"/>
            <w:noWrap/>
            <w:vAlign w:val="bottom"/>
          </w:tcPr>
          <w:p>
            <w:pPr>
              <w:jc w:val="right"/>
              <w:rPr>
                <w:rFonts w:ascii="仿宋" w:hAnsi="仿宋" w:eastAsia="仿宋" w:cs="仿宋"/>
                <w:w w:val="99"/>
                <w:sz w:val="24"/>
              </w:rPr>
            </w:pPr>
            <w:r>
              <w:rPr>
                <w:rFonts w:hint="eastAsia" w:ascii="仿宋" w:hAnsi="仿宋" w:eastAsia="仿宋" w:cs="仿宋"/>
                <w:w w:val="99"/>
                <w:sz w:val="24"/>
              </w:rPr>
              <w:t>（承包人名称，以下简称“承</w:t>
            </w:r>
          </w:p>
        </w:tc>
      </w:tr>
    </w:tbl>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包人”）特此签订安全生产合同。</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1.发包人职责</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（1）严格遵守国家有关安全生产的法律法规，认真执行工程承包合同中的有关安全要求。</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（2）按照“安全第一、预防为主、综合治理”和坚持“管生产必须管安全”的原则进行安全生产管理，做到生产与安全工作同时计划、布置、检查、总结和评比。</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（3）重要的安全设施必须坚持与主体工程“三同时”的原则，即：同时设计、审批，同时施工，同时验收，投入使用。</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（4）定期召开安全生产调度会，及时传达中央及地方有关安全生产的精神。（5）组织对承包人施工现场进行安全生产检查，监督承包人及时处理发现的</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各种安全隐患。</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2.承包人职责</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rPr>
          <w:rFonts w:ascii="仿宋" w:hAnsi="仿宋" w:eastAsia="仿宋" w:cs="仿宋"/>
        </w:rPr>
      </w:pPr>
    </w:p>
    <w:p>
      <w:pPr>
        <w:ind w:firstLine="617"/>
        <w:rPr>
          <w:rFonts w:ascii="仿宋" w:hAnsi="仿宋" w:eastAsia="仿宋" w:cs="仿宋"/>
          <w:sz w:val="23"/>
        </w:rPr>
      </w:pPr>
      <w:r>
        <w:rPr>
          <w:rFonts w:hint="eastAsia" w:ascii="仿宋" w:hAnsi="仿宋" w:eastAsia="仿宋" w:cs="仿宋"/>
          <w:sz w:val="23"/>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（4）承包人在任何时候都应采取各种合理的预防措施，防止其员工发生任何</w:t>
      </w:r>
      <w:bookmarkStart w:id="82" w:name="page166"/>
      <w:bookmarkEnd w:id="82"/>
      <w:r>
        <w:rPr>
          <w:rFonts w:hint="eastAsia" w:ascii="仿宋" w:hAnsi="仿宋" w:eastAsia="仿宋" w:cs="仿宋"/>
          <w:sz w:val="24"/>
        </w:rPr>
        <w:t>违法、违禁、暴力或妨碍治安的行为。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（7）操作人员上岗，必须按规定穿戴防护用品。施工负责人和安全检查员应随时检查劳动防护用品的穿戴情况，不按规定穿戴防护用品的人员不得上岗。</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（8）所有施工机具设备和高空作业的设备均应定期检查，并有安全员的签字记录，保证其经常处于完好状态；不合格的机具、设备和劳动保护用品严禁使用。</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（9）施工中采用新技术、新工艺、新设备、新材料时，必须制定相应的安全技术措施，施工现场必须具有相关的安全标志牌。</w:t>
      </w:r>
    </w:p>
    <w:p>
      <w:pPr>
        <w:rPr>
          <w:rFonts w:ascii="仿宋" w:hAnsi="仿宋" w:eastAsia="仿宋" w:cs="仿宋"/>
        </w:rPr>
      </w:pPr>
    </w:p>
    <w:p>
      <w:pPr>
        <w:ind w:firstLine="617"/>
        <w:jc w:val="both"/>
        <w:rPr>
          <w:rFonts w:ascii="仿宋" w:hAnsi="仿宋" w:eastAsia="仿宋" w:cs="仿宋"/>
          <w:sz w:val="23"/>
        </w:rPr>
      </w:pPr>
      <w:r>
        <w:rPr>
          <w:rFonts w:hint="eastAsia" w:ascii="仿宋" w:hAnsi="仿宋" w:eastAsia="仿宋" w:cs="仿宋"/>
          <w:sz w:val="23"/>
        </w:rPr>
        <w:t>（10）承包人必须按照本工程项目特点，组织制定本工程实施中的生产安全事故应急救援预案；如果发生安全事故，应按照《国务院关于特大安全事故行政责任</w:t>
      </w:r>
    </w:p>
    <w:p>
      <w:pPr>
        <w:rPr>
          <w:rFonts w:ascii="仿宋" w:hAnsi="仿宋" w:eastAsia="仿宋" w:cs="仿宋"/>
        </w:rPr>
      </w:pPr>
    </w:p>
    <w:p>
      <w:pPr>
        <w:jc w:val="both"/>
        <w:rPr>
          <w:rFonts w:ascii="仿宋" w:hAnsi="仿宋" w:eastAsia="仿宋" w:cs="仿宋"/>
          <w:sz w:val="24"/>
        </w:rPr>
      </w:pPr>
      <w:r>
        <w:rPr>
          <w:rFonts w:hint="eastAsia" w:ascii="仿宋" w:hAnsi="仿宋" w:eastAsia="仿宋" w:cs="仿宋"/>
          <w:sz w:val="24"/>
        </w:rPr>
        <w:t>追究的规定》以及其他有关规定，及时上报有关部门，并坚持“四不放过”的原则，严肃处理相关责任人。</w:t>
      </w:r>
    </w:p>
    <w:p>
      <w:pPr>
        <w:rPr>
          <w:rFonts w:ascii="仿宋" w:hAnsi="仿宋" w:eastAsia="仿宋" w:cs="仿宋"/>
        </w:rPr>
      </w:pPr>
    </w:p>
    <w:p>
      <w:pPr>
        <w:ind w:firstLine="617"/>
        <w:jc w:val="both"/>
        <w:rPr>
          <w:rFonts w:ascii="仿宋" w:hAnsi="仿宋" w:eastAsia="仿宋" w:cs="仿宋"/>
          <w:sz w:val="24"/>
        </w:rPr>
      </w:pPr>
      <w:r>
        <w:rPr>
          <w:rFonts w:hint="eastAsia" w:ascii="仿宋" w:hAnsi="仿宋" w:eastAsia="仿宋" w:cs="仿宋"/>
          <w:sz w:val="24"/>
        </w:rPr>
        <w:t>（11）安全生产费用按照《公路水运工程安全生产监督管理办法》的相关规定使用和管理。</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3.违约责任</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如因发包人或承包人违约造成安全事故，将依法追究责任。</w:t>
      </w:r>
    </w:p>
    <w:p>
      <w:pPr>
        <w:rPr>
          <w:rFonts w:ascii="仿宋" w:hAnsi="仿宋" w:eastAsia="仿宋" w:cs="仿宋"/>
        </w:rPr>
      </w:pPr>
    </w:p>
    <w:p>
      <w:pPr>
        <w:numPr>
          <w:ilvl w:val="0"/>
          <w:numId w:val="77"/>
        </w:numPr>
        <w:tabs>
          <w:tab w:val="left" w:pos="919"/>
        </w:tabs>
        <w:ind w:firstLine="621"/>
        <w:jc w:val="both"/>
        <w:rPr>
          <w:rFonts w:ascii="仿宋" w:hAnsi="仿宋" w:eastAsia="仿宋" w:cs="仿宋"/>
          <w:sz w:val="24"/>
        </w:rPr>
      </w:pPr>
      <w:r>
        <w:rPr>
          <w:rFonts w:hint="eastAsia" w:ascii="仿宋" w:hAnsi="仿宋" w:eastAsia="仿宋" w:cs="仿宋"/>
          <w:sz w:val="24"/>
        </w:rPr>
        <w:t>本合同由双方法定代表人或其授权的代理人签署并加盖单位章后生效，全部工程竣工验收后失效。</w:t>
      </w:r>
    </w:p>
    <w:p>
      <w:pPr>
        <w:rPr>
          <w:rFonts w:ascii="仿宋" w:hAnsi="仿宋" w:eastAsia="仿宋" w:cs="仿宋"/>
          <w:sz w:val="24"/>
        </w:rPr>
      </w:pPr>
    </w:p>
    <w:p>
      <w:pPr>
        <w:numPr>
          <w:ilvl w:val="0"/>
          <w:numId w:val="77"/>
        </w:numPr>
        <w:tabs>
          <w:tab w:val="left" w:pos="919"/>
        </w:tabs>
        <w:ind w:firstLine="621"/>
        <w:jc w:val="both"/>
        <w:rPr>
          <w:rFonts w:ascii="仿宋" w:hAnsi="仿宋" w:eastAsia="仿宋" w:cs="仿宋"/>
          <w:sz w:val="24"/>
        </w:rPr>
      </w:pPr>
      <w:r>
        <w:rPr>
          <w:rFonts w:hint="eastAsia" w:ascii="仿宋" w:hAnsi="仿宋" w:eastAsia="仿宋" w:cs="仿宋"/>
          <w:sz w:val="24"/>
        </w:rPr>
        <w:t>本合同正本二份、副本____份，合同双方各执正本一份，副本____份，当正本与副本的内容不一致时，以正本为准。</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2720"/>
          <w:tab w:val="left" w:pos="4740"/>
          <w:tab w:val="left" w:pos="7340"/>
        </w:tabs>
        <w:rPr>
          <w:rFonts w:ascii="仿宋" w:hAnsi="仿宋" w:eastAsia="仿宋" w:cs="仿宋"/>
          <w:sz w:val="23"/>
        </w:rPr>
      </w:pPr>
      <w:r>
        <w:rPr>
          <w:rFonts w:hint="eastAsia" w:ascii="仿宋" w:hAnsi="仿宋" w:eastAsia="仿宋" w:cs="仿宋"/>
          <w:sz w:val="24"/>
        </w:rPr>
        <w:t>发包人：</w:t>
      </w:r>
      <w:r>
        <w:rPr>
          <w:rFonts w:hint="eastAsia" w:ascii="仿宋" w:hAnsi="仿宋" w:eastAsia="仿宋" w:cs="仿宋"/>
        </w:rPr>
        <w:tab/>
      </w:r>
      <w:r>
        <w:rPr>
          <w:rFonts w:hint="eastAsia" w:ascii="仿宋" w:hAnsi="仿宋" w:eastAsia="仿宋" w:cs="仿宋"/>
          <w:sz w:val="24"/>
        </w:rPr>
        <w:t>（盖单位章）</w:t>
      </w:r>
      <w:r>
        <w:rPr>
          <w:rFonts w:hint="eastAsia" w:ascii="仿宋" w:hAnsi="仿宋" w:eastAsia="仿宋" w:cs="仿宋"/>
        </w:rPr>
        <w:tab/>
      </w:r>
      <w:r>
        <w:rPr>
          <w:rFonts w:hint="eastAsia" w:ascii="仿宋" w:hAnsi="仿宋" w:eastAsia="仿宋" w:cs="仿宋"/>
          <w:sz w:val="24"/>
        </w:rPr>
        <w:t>承包人：</w:t>
      </w:r>
      <w:r>
        <w:rPr>
          <w:rFonts w:hint="eastAsia" w:ascii="仿宋" w:hAnsi="仿宋" w:eastAsia="仿宋" w:cs="仿宋"/>
        </w:rPr>
        <w:tab/>
      </w:r>
      <w:r>
        <w:rPr>
          <w:rFonts w:hint="eastAsia" w:ascii="仿宋" w:hAnsi="仿宋" w:eastAsia="仿宋" w:cs="仿宋"/>
          <w:sz w:val="23"/>
        </w:rPr>
        <w:t>（盖单位章）</w:t>
      </w:r>
    </w:p>
    <w:p>
      <w:pPr>
        <w:rPr>
          <w:rFonts w:ascii="仿宋" w:hAnsi="仿宋" w:eastAsia="仿宋" w:cs="仿宋"/>
        </w:rPr>
      </w:pPr>
      <w:r>
        <w:rPr>
          <w:rFonts w:ascii="仿宋" w:hAnsi="仿宋" w:eastAsia="仿宋" w:cs="仿宋"/>
          <w:sz w:val="23"/>
        </w:rPr>
        <w:pict>
          <v:line id="_x0000_s2084" o:spid="_x0000_s2084" o:spt="20" style="position:absolute;left:0pt;margin-left:47.35pt;margin-top:0pt;height:0pt;width:90.05pt;z-index:-251163648;mso-width-relative:page;mso-height-relative:page;" coordsize="21600,21600" o:allowincell="f" o:gfxdata="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a5gItMAAAAEAQAADwAAAAAAAAAB&#10;ACAAAAAiAAAAZHJzL2Rvd25yZXYueG1sUEsBAhQAFAAAAAgAh07iQHSJ4L7cAQAAmAMAAA4AAAAA&#10;AAAAAQAgAAAAIgEAAGRycy9lMm9Eb2MueG1sUEsFBgAAAAAGAAYAWQEAAHAFAAAAAA==&#10;">
            <v:path arrowok="t"/>
            <v:fill focussize="0,0"/>
            <v:stroke weight="0.6pt"/>
            <v:imagedata o:title=""/>
            <o:lock v:ext="edit"/>
          </v:line>
        </w:pict>
      </w:r>
      <w:r>
        <w:rPr>
          <w:rFonts w:ascii="仿宋" w:hAnsi="仿宋" w:eastAsia="仿宋" w:cs="仿宋"/>
          <w:sz w:val="23"/>
        </w:rPr>
        <w:pict>
          <v:line id="_x0000_s2083" o:spid="_x0000_s2083" o:spt="20" style="position:absolute;left:0pt;margin-left:284.9pt;margin-top:0pt;height:0pt;width:84pt;z-index:-251162624;mso-width-relative:page;mso-height-relative:page;" coordsize="21600,21600" o:allowincell="f" o:gfxdata="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0xh3TAAAABQEAAA8AAAAAAAAAAQAg&#10;AAAAIgAAAGRycy9kb3ducmV2LnhtbFBLAQIUABQAAAAIAIdO4kDrXBPe2gEAAJgDAAAOAAAAAAAA&#10;AAEAIAAAACIBAABkcnMvZTJvRG9jLnhtbFBLBQYAAAAABgAGAFkBAABuBQAAAAA=&#10;">
            <v:path arrowok="t"/>
            <v:fill focussize="0,0"/>
            <v:stroke weight="0.6pt"/>
            <v:imagedata o:title=""/>
            <o:lock v:ext="edit"/>
          </v:line>
        </w:pict>
      </w:r>
    </w:p>
    <w:p>
      <w:pPr>
        <w:tabs>
          <w:tab w:val="left" w:pos="3320"/>
          <w:tab w:val="left" w:pos="4500"/>
          <w:tab w:val="left" w:pos="7820"/>
        </w:tabs>
        <w:rPr>
          <w:rFonts w:ascii="仿宋" w:hAnsi="仿宋" w:eastAsia="仿宋" w:cs="仿宋"/>
          <w:sz w:val="23"/>
        </w:rPr>
      </w:pP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i/>
          <w:sz w:val="24"/>
        </w:rPr>
        <w:t>（</w:t>
      </w:r>
      <w:r>
        <w:rPr>
          <w:rFonts w:hint="eastAsia" w:ascii="仿宋" w:hAnsi="仿宋" w:eastAsia="仿宋" w:cs="仿宋"/>
          <w:sz w:val="24"/>
        </w:rPr>
        <w:t>签字）</w:t>
      </w:r>
      <w:r>
        <w:rPr>
          <w:rFonts w:hint="eastAsia" w:ascii="仿宋" w:hAnsi="仿宋" w:eastAsia="仿宋" w:cs="仿宋"/>
        </w:rPr>
        <w:tab/>
      </w: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sz w:val="23"/>
        </w:rPr>
        <w:t>（签字）</w:t>
      </w:r>
    </w:p>
    <w:p>
      <w:pPr>
        <w:rPr>
          <w:rFonts w:ascii="仿宋" w:hAnsi="仿宋" w:eastAsia="仿宋" w:cs="仿宋"/>
        </w:rPr>
      </w:pPr>
      <w:r>
        <w:rPr>
          <w:rFonts w:ascii="仿宋" w:hAnsi="仿宋" w:eastAsia="仿宋" w:cs="仿宋"/>
          <w:sz w:val="23"/>
        </w:rPr>
        <w:pict>
          <v:line id="_x0000_s2082" o:spid="_x0000_s2082" o:spt="20" style="position:absolute;left:0pt;margin-left:155.4pt;margin-top:0pt;height:0pt;width:12pt;z-index:-251161600;mso-width-relative:page;mso-height-relative:page;" coordsize="21600,21600" o:allowincell="f" o:gfxdata="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BOVfl0wAAAAUBAAAPAAAAAAAAAAEA&#10;IAAAACIAAABkcnMvZG93bnJldi54bWxQSwECFAAUAAAACACHTuJA5LmZWdsBAACXAwAADgAAAAAA&#10;AAABACAAAAAiAQAAZHJzL2Uyb0RvYy54bWxQSwUGAAAAAAYABgBZAQAAbwUAAAAA&#10;">
            <v:path arrowok="t"/>
            <v:fill focussize="0,0"/>
            <v:stroke weight="0.59992125984252pt"/>
            <v:imagedata o:title=""/>
            <o:lock v:ext="edit"/>
          </v:line>
        </w:pict>
      </w:r>
      <w:r>
        <w:rPr>
          <w:rFonts w:ascii="仿宋" w:hAnsi="仿宋" w:eastAsia="仿宋" w:cs="仿宋"/>
          <w:sz w:val="23"/>
        </w:rPr>
        <w:pict>
          <v:line id="_x0000_s2081" o:spid="_x0000_s2081" o:spt="20" style="position:absolute;left:0pt;margin-left:380.9pt;margin-top:0pt;height:0pt;width:12pt;z-index:-251160576;mso-width-relative:page;mso-height-relative:page;" coordsize="21600,21600" o:allowincell="f" o:gfxdata="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0/si9MAAAAFAQAADwAAAAAAAAAB&#10;ACAAAAAiAAAAZHJzL2Rvd25yZXYueG1sUEsBAhQAFAAAAAgAh07iQGbu7orcAQAAlwMAAA4AAAAA&#10;AAAAAQAgAAAAIgEAAGRycy9lMm9Eb2MueG1sUEsFBgAAAAAGAAYAWQEAAHAFAAAAAA==&#10;">
            <v:path arrowok="t"/>
            <v:fill focussize="0,0"/>
            <v:stroke weight="0.59992125984252pt"/>
            <v:imagedata o:title=""/>
            <o:lock v:ext="edit"/>
          </v:line>
        </w:pict>
      </w:r>
    </w:p>
    <w:p>
      <w:pPr>
        <w:tabs>
          <w:tab w:val="left" w:pos="2740"/>
          <w:tab w:val="left" w:pos="3580"/>
          <w:tab w:val="left" w:pos="6580"/>
          <w:tab w:val="left" w:pos="7420"/>
          <w:tab w:val="left" w:pos="8260"/>
        </w:tabs>
        <w:ind w:left="1920"/>
        <w:rPr>
          <w:rFonts w:ascii="仿宋" w:hAnsi="仿宋" w:eastAsia="仿宋" w:cs="仿宋"/>
          <w:sz w:val="24"/>
        </w:rPr>
      </w:pP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r>
        <w:rPr>
          <w:rFonts w:hint="eastAsia" w:ascii="仿宋" w:hAnsi="仿宋" w:eastAsia="仿宋" w:cs="仿宋"/>
        </w:rPr>
        <w:tab/>
      </w: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p>
    <w:p>
      <w:pPr>
        <w:tabs>
          <w:tab w:val="left" w:pos="2740"/>
          <w:tab w:val="left" w:pos="3580"/>
          <w:tab w:val="left" w:pos="6580"/>
          <w:tab w:val="left" w:pos="7420"/>
          <w:tab w:val="left" w:pos="8260"/>
        </w:tabs>
        <w:ind w:left="1920"/>
        <w:rPr>
          <w:rFonts w:ascii="仿宋" w:hAnsi="仿宋" w:eastAsia="仿宋" w:cs="仿宋"/>
          <w:sz w:val="24"/>
        </w:rPr>
        <w:sectPr>
          <w:pgSz w:w="11900" w:h="16841"/>
          <w:pgMar w:top="851" w:right="1460" w:bottom="579" w:left="1640" w:header="567" w:footer="567" w:gutter="0"/>
          <w:cols w:space="720" w:num="1"/>
          <w:docGrid w:linePitch="360" w:charSpace="0"/>
        </w:sectPr>
      </w:pPr>
      <w:r>
        <w:rPr>
          <w:rFonts w:ascii="仿宋" w:hAnsi="仿宋" w:eastAsia="仿宋" w:cs="仿宋"/>
          <w:sz w:val="24"/>
        </w:rPr>
        <w:pict>
          <v:line id="_x0000_s2080" o:spid="_x0000_s2080" o:spt="20" style="position:absolute;left:0pt;margin-left:42.2pt;margin-top:0pt;height:0pt;width:54pt;z-index:-251159552;mso-width-relative:page;mso-height-relative:page;" coordsize="21600,21600" o:allowincell="f" o:gfxdata="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8srSAAAABAEAAA8AAAAAAAAAAQAg&#10;AAAAIgAAAGRycy9kb3ducmV2LnhtbFBLAQIUABQAAAAIAIdO4kAKB8Ex2wEAAJcDAAAOAAAAAAAA&#10;AAEAIAAAACEBAABkcnMvZTJvRG9jLnhtbFBLBQYAAAAABgAGAFkBAABuBQAAAAA=&#10;">
            <v:path arrowok="t"/>
            <v:fill focussize="0,0"/>
            <v:stroke weight="0.59992125984252pt"/>
            <v:imagedata o:title=""/>
            <o:lock v:ext="edit"/>
          </v:line>
        </w:pict>
      </w:r>
      <w:r>
        <w:rPr>
          <w:rFonts w:ascii="仿宋" w:hAnsi="仿宋" w:eastAsia="仿宋" w:cs="仿宋"/>
          <w:sz w:val="24"/>
        </w:rPr>
        <w:pict>
          <v:line id="_x0000_s2079" o:spid="_x0000_s2079" o:spt="20" style="position:absolute;left:0pt;margin-left:108.25pt;margin-top:0pt;height:0pt;width:30pt;z-index:-251158528;mso-width-relative:page;mso-height-relative:page;" coordsize="21600,21600" o:allowincell="f" o:gfxdata="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tYpO90wAAAAUBAAAPAAAAAAAAAAEA&#10;IAAAACIAAABkcnMvZG93bnJldi54bWxQSwECFAAUAAAACACHTuJAHqFzJ9sBAACXAwAADgAAAAAA&#10;AAABACAAAAAiAQAAZHJzL2Uyb0RvYy54bWxQSwUGAAAAAAYABgBZAQAAbwUAAAAA&#10;">
            <v:path arrowok="t"/>
            <v:fill focussize="0,0"/>
            <v:stroke weight="0.59992125984252pt"/>
            <v:imagedata o:title=""/>
            <o:lock v:ext="edit"/>
          </v:line>
        </w:pict>
      </w:r>
      <w:r>
        <w:rPr>
          <w:rFonts w:ascii="仿宋" w:hAnsi="仿宋" w:eastAsia="仿宋" w:cs="仿宋"/>
          <w:sz w:val="24"/>
        </w:rPr>
        <w:pict>
          <v:line id="_x0000_s2078" o:spid="_x0000_s2078" o:spt="20" style="position:absolute;left:0pt;margin-left:150.25pt;margin-top:0pt;height:0pt;width:30pt;z-index:-251157504;mso-width-relative:page;mso-height-relative:page;" coordsize="21600,21600" o:allowincell="f" o:gfxdata="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QrwW0wAAAAUBAAAPAAAAAAAAAAEA&#10;IAAAACIAAABkcnMvZG93bnJldi54bWxQSwECFAAUAAAACACHTuJA/QzlqdsBAACXAwAADgAAAAAA&#10;AAABACAAAAAiAQAAZHJzL2Uyb0RvYy54bWxQSwUGAAAAAAYABgBZAQAAbwUAAAAA&#10;">
            <v:path arrowok="t"/>
            <v:fill focussize="0,0"/>
            <v:stroke weight="0.59992125984252pt"/>
            <v:imagedata o:title=""/>
            <o:lock v:ext="edit"/>
          </v:line>
        </w:pict>
      </w:r>
      <w:r>
        <w:rPr>
          <w:rFonts w:ascii="仿宋" w:hAnsi="仿宋" w:eastAsia="仿宋" w:cs="仿宋"/>
          <w:sz w:val="24"/>
        </w:rPr>
        <w:pict>
          <v:line id="_x0000_s2077" o:spid="_x0000_s2077" o:spt="20" style="position:absolute;left:0pt;margin-left:276.25pt;margin-top:0pt;height:0pt;width:54pt;z-index:-251156480;mso-width-relative:page;mso-height-relative:page;" coordsize="21600,21600" o:allowincell="f" o:gfxdata="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0wdUb0wAAAAUBAAAPAAAAAAAAAAEA&#10;IAAAACIAAABkcnMvZG93bnJldi54bWxQSwECFAAUAAAACACHTuJAtJx2ptsBAACXAwAADgAAAAAA&#10;AAABACAAAAAiAQAAZHJzL2Uyb0RvYy54bWxQSwUGAAAAAAYABgBZAQAAbwUAAAAA&#10;">
            <v:path arrowok="t"/>
            <v:fill focussize="0,0"/>
            <v:stroke weight="0.59992125984252pt"/>
            <v:imagedata o:title=""/>
            <o:lock v:ext="edit"/>
          </v:line>
        </w:pict>
      </w:r>
      <w:r>
        <w:rPr>
          <w:rFonts w:ascii="仿宋" w:hAnsi="仿宋" w:eastAsia="仿宋" w:cs="仿宋"/>
          <w:sz w:val="24"/>
        </w:rPr>
        <w:pict>
          <v:line id="_x0000_s2076" o:spid="_x0000_s2076" o:spt="20" style="position:absolute;left:0pt;margin-left:342.25pt;margin-top:0pt;height:0pt;width:30pt;z-index:-251155456;mso-width-relative:page;mso-height-relative:page;" coordsize="21600,21600" o:allowincell="f" o:gfxdata="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R+140wAAAAUBAAAPAAAAAAAAAAEA&#10;IAAAACIAAABkcnMvZG93bnJldi54bWxQSwECFAAUAAAACACHTuJAwD37XdsBAACXAwAADgAAAAAA&#10;AAABACAAAAAiAQAAZHJzL2Uyb0RvYy54bWxQSwUGAAAAAAYABgBZAQAAbwUAAAAA&#10;">
            <v:path arrowok="t"/>
            <v:fill focussize="0,0"/>
            <v:stroke weight="0.59992125984252pt"/>
            <v:imagedata o:title=""/>
            <o:lock v:ext="edit"/>
          </v:line>
        </w:pict>
      </w:r>
      <w:r>
        <w:rPr>
          <w:rFonts w:ascii="仿宋" w:hAnsi="仿宋" w:eastAsia="仿宋" w:cs="仿宋"/>
          <w:sz w:val="24"/>
        </w:rPr>
        <w:pict>
          <v:line id="_x0000_s2075" o:spid="_x0000_s2075" o:spt="20" style="position:absolute;left:0pt;margin-left:384.25pt;margin-top:0pt;height:0pt;width:30pt;z-index:-251154432;mso-width-relative:page;mso-height-relative:page;" coordsize="21600,21600" o:allowincell="f" o:gfxdata="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vJS30wAAAAUBAAAPAAAAAAAAAAEA&#10;IAAAACIAAABkcnMvZG93bnJldi54bWxQSwECFAAUAAAACACHTuJAYjgQ1tsBAACXAwAADgAAAAAA&#10;AAABACAAAAAiAQAAZHJzL2Uyb0RvYy54bWxQSwUGAAAAAAYABgBZAQAAbwU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83" w:name="page167"/>
      <w:bookmarkEnd w:id="83"/>
    </w:p>
    <w:p>
      <w:pPr>
        <w:ind w:left="100"/>
        <w:rPr>
          <w:rFonts w:ascii="仿宋" w:hAnsi="仿宋" w:eastAsia="仿宋" w:cs="仿宋"/>
          <w:b/>
          <w:sz w:val="24"/>
          <w:vertAlign w:val="superscript"/>
        </w:rPr>
      </w:pPr>
      <w:r>
        <w:rPr>
          <w:rFonts w:hint="eastAsia" w:ascii="仿宋" w:hAnsi="仿宋" w:eastAsia="仿宋" w:cs="仿宋"/>
          <w:sz w:val="24"/>
        </w:rPr>
        <w:t xml:space="preserve">附件四 其他管理和技术人员最低要求 </w:t>
      </w:r>
    </w:p>
    <w:p>
      <w:pPr>
        <w:rPr>
          <w:rFonts w:ascii="仿宋" w:hAnsi="仿宋" w:eastAsia="仿宋" w:cs="仿宋"/>
        </w:rPr>
      </w:pPr>
    </w:p>
    <w:p>
      <w:pPr>
        <w:rPr>
          <w:rFonts w:ascii="仿宋" w:hAnsi="仿宋" w:eastAsia="仿宋" w:cs="仿宋"/>
        </w:rPr>
      </w:pPr>
    </w:p>
    <w:tbl>
      <w:tblPr>
        <w:tblStyle w:val="10"/>
        <w:tblW w:w="8900" w:type="dxa"/>
        <w:tblInd w:w="0" w:type="dxa"/>
        <w:tblLayout w:type="fixed"/>
        <w:tblCellMar>
          <w:top w:w="0" w:type="dxa"/>
          <w:left w:w="0" w:type="dxa"/>
          <w:bottom w:w="0" w:type="dxa"/>
          <w:right w:w="0" w:type="dxa"/>
        </w:tblCellMar>
      </w:tblPr>
      <w:tblGrid>
        <w:gridCol w:w="100"/>
        <w:gridCol w:w="2360"/>
        <w:gridCol w:w="520"/>
        <w:gridCol w:w="1640"/>
        <w:gridCol w:w="4280"/>
      </w:tblGrid>
      <w:tr>
        <w:tblPrEx>
          <w:tblLayout w:type="fixed"/>
          <w:tblCellMar>
            <w:top w:w="0" w:type="dxa"/>
            <w:left w:w="0" w:type="dxa"/>
            <w:bottom w:w="0" w:type="dxa"/>
            <w:right w:w="0" w:type="dxa"/>
          </w:tblCellMar>
        </w:tblPrEx>
        <w:trPr>
          <w:trHeight w:val="596" w:hRule="atLeast"/>
        </w:trPr>
        <w:tc>
          <w:tcPr>
            <w:tcW w:w="100" w:type="dxa"/>
            <w:tcBorders>
              <w:top w:val="single" w:color="auto" w:sz="8" w:space="0"/>
              <w:left w:val="single" w:color="auto" w:sz="8" w:space="0"/>
            </w:tcBorders>
            <w:noWrap/>
            <w:vAlign w:val="bottom"/>
          </w:tcPr>
          <w:p>
            <w:pPr>
              <w:rPr>
                <w:rFonts w:ascii="仿宋" w:hAnsi="仿宋" w:eastAsia="仿宋" w:cs="仿宋"/>
                <w:sz w:val="24"/>
              </w:rPr>
            </w:pPr>
          </w:p>
        </w:tc>
        <w:tc>
          <w:tcPr>
            <w:tcW w:w="2360" w:type="dxa"/>
            <w:tcBorders>
              <w:top w:val="single" w:color="auto" w:sz="8" w:space="0"/>
              <w:right w:val="single" w:color="auto" w:sz="8" w:space="0"/>
            </w:tcBorders>
            <w:noWrap/>
            <w:vAlign w:val="bottom"/>
          </w:tcPr>
          <w:p>
            <w:pPr>
              <w:ind w:left="760"/>
              <w:rPr>
                <w:rFonts w:ascii="仿宋" w:hAnsi="仿宋" w:eastAsia="仿宋" w:cs="仿宋"/>
                <w:sz w:val="24"/>
              </w:rPr>
            </w:pPr>
            <w:r>
              <w:rPr>
                <w:rFonts w:hint="eastAsia" w:ascii="仿宋" w:hAnsi="仿宋" w:eastAsia="仿宋" w:cs="仿宋"/>
                <w:sz w:val="24"/>
              </w:rPr>
              <w:t>人  员</w:t>
            </w:r>
          </w:p>
        </w:tc>
        <w:tc>
          <w:tcPr>
            <w:tcW w:w="520" w:type="dxa"/>
            <w:tcBorders>
              <w:top w:val="single" w:color="auto" w:sz="8" w:space="0"/>
            </w:tcBorders>
            <w:noWrap/>
            <w:vAlign w:val="bottom"/>
          </w:tcPr>
          <w:p>
            <w:pPr>
              <w:rPr>
                <w:rFonts w:ascii="仿宋" w:hAnsi="仿宋" w:eastAsia="仿宋" w:cs="仿宋"/>
                <w:sz w:val="24"/>
              </w:rPr>
            </w:pPr>
          </w:p>
        </w:tc>
        <w:tc>
          <w:tcPr>
            <w:tcW w:w="1640" w:type="dxa"/>
            <w:tcBorders>
              <w:top w:val="single" w:color="auto" w:sz="8" w:space="0"/>
              <w:right w:val="single" w:color="auto" w:sz="8" w:space="0"/>
            </w:tcBorders>
            <w:noWrap/>
            <w:vAlign w:val="bottom"/>
          </w:tcPr>
          <w:p>
            <w:pPr>
              <w:ind w:left="180"/>
              <w:rPr>
                <w:rFonts w:ascii="仿宋" w:hAnsi="仿宋" w:eastAsia="仿宋" w:cs="仿宋"/>
                <w:sz w:val="24"/>
              </w:rPr>
            </w:pPr>
            <w:r>
              <w:rPr>
                <w:rFonts w:hint="eastAsia" w:ascii="仿宋" w:hAnsi="仿宋" w:eastAsia="仿宋" w:cs="仿宋"/>
                <w:sz w:val="24"/>
              </w:rPr>
              <w:t>数  量</w:t>
            </w:r>
          </w:p>
        </w:tc>
        <w:tc>
          <w:tcPr>
            <w:tcW w:w="4280" w:type="dxa"/>
            <w:tcBorders>
              <w:top w:val="single" w:color="auto" w:sz="8" w:space="0"/>
              <w:right w:val="single" w:color="auto" w:sz="8" w:space="0"/>
            </w:tcBorders>
            <w:noWrap/>
            <w:vAlign w:val="bottom"/>
          </w:tcPr>
          <w:p>
            <w:pPr>
              <w:ind w:left="1460"/>
              <w:rPr>
                <w:rFonts w:ascii="仿宋" w:hAnsi="仿宋" w:eastAsia="仿宋" w:cs="仿宋"/>
                <w:sz w:val="24"/>
              </w:rPr>
            </w:pPr>
            <w:r>
              <w:rPr>
                <w:rFonts w:hint="eastAsia" w:ascii="仿宋" w:hAnsi="仿宋" w:eastAsia="仿宋" w:cs="仿宋"/>
                <w:sz w:val="24"/>
              </w:rPr>
              <w:t>资 格 要 求</w:t>
            </w:r>
          </w:p>
        </w:tc>
      </w:tr>
      <w:tr>
        <w:tblPrEx>
          <w:tblLayout w:type="fixed"/>
          <w:tblCellMar>
            <w:top w:w="0" w:type="dxa"/>
            <w:left w:w="0" w:type="dxa"/>
            <w:bottom w:w="0" w:type="dxa"/>
            <w:right w:w="0" w:type="dxa"/>
          </w:tblCellMar>
        </w:tblPrEx>
        <w:trPr>
          <w:trHeight w:val="263" w:hRule="atLeast"/>
        </w:trPr>
        <w:tc>
          <w:tcPr>
            <w:tcW w:w="100" w:type="dxa"/>
            <w:tcBorders>
              <w:left w:val="single" w:color="auto" w:sz="8" w:space="0"/>
              <w:bottom w:val="single" w:color="auto" w:sz="8" w:space="0"/>
            </w:tcBorders>
            <w:noWrap/>
            <w:vAlign w:val="bottom"/>
          </w:tcPr>
          <w:p>
            <w:pPr>
              <w:rPr>
                <w:rFonts w:ascii="仿宋" w:hAnsi="仿宋" w:eastAsia="仿宋" w:cs="仿宋"/>
                <w:sz w:val="22"/>
              </w:rPr>
            </w:pPr>
          </w:p>
        </w:tc>
        <w:tc>
          <w:tcPr>
            <w:tcW w:w="2360" w:type="dxa"/>
            <w:tcBorders>
              <w:bottom w:val="single" w:color="auto" w:sz="8" w:space="0"/>
              <w:right w:val="single" w:color="auto" w:sz="8" w:space="0"/>
            </w:tcBorders>
            <w:noWrap/>
            <w:vAlign w:val="bottom"/>
          </w:tcPr>
          <w:p>
            <w:pPr>
              <w:rPr>
                <w:rFonts w:ascii="仿宋" w:hAnsi="仿宋" w:eastAsia="仿宋" w:cs="仿宋"/>
                <w:sz w:val="22"/>
              </w:rPr>
            </w:pPr>
          </w:p>
        </w:tc>
        <w:tc>
          <w:tcPr>
            <w:tcW w:w="520" w:type="dxa"/>
            <w:tcBorders>
              <w:bottom w:val="single" w:color="auto" w:sz="8" w:space="0"/>
            </w:tcBorders>
            <w:noWrap/>
            <w:vAlign w:val="bottom"/>
          </w:tcPr>
          <w:p>
            <w:pPr>
              <w:rPr>
                <w:rFonts w:ascii="仿宋" w:hAnsi="仿宋" w:eastAsia="仿宋" w:cs="仿宋"/>
                <w:sz w:val="22"/>
              </w:rPr>
            </w:pPr>
          </w:p>
        </w:tc>
        <w:tc>
          <w:tcPr>
            <w:tcW w:w="1640" w:type="dxa"/>
            <w:tcBorders>
              <w:bottom w:val="single" w:color="auto" w:sz="8" w:space="0"/>
              <w:right w:val="single" w:color="auto" w:sz="8" w:space="0"/>
            </w:tcBorders>
            <w:noWrap/>
            <w:vAlign w:val="bottom"/>
          </w:tcPr>
          <w:p>
            <w:pPr>
              <w:rPr>
                <w:rFonts w:ascii="仿宋" w:hAnsi="仿宋" w:eastAsia="仿宋" w:cs="仿宋"/>
                <w:sz w:val="22"/>
              </w:rPr>
            </w:pPr>
          </w:p>
        </w:tc>
        <w:tc>
          <w:tcPr>
            <w:tcW w:w="4280" w:type="dxa"/>
            <w:tcBorders>
              <w:bottom w:val="single" w:color="auto" w:sz="8" w:space="0"/>
              <w:right w:val="single" w:color="auto" w:sz="8" w:space="0"/>
            </w:tcBorders>
            <w:noWrap/>
            <w:vAlign w:val="bottom"/>
          </w:tcPr>
          <w:p>
            <w:pPr>
              <w:rPr>
                <w:rFonts w:ascii="仿宋" w:hAnsi="仿宋" w:eastAsia="仿宋" w:cs="仿宋"/>
                <w:sz w:val="22"/>
              </w:rPr>
            </w:pPr>
          </w:p>
        </w:tc>
      </w:tr>
      <w:tr>
        <w:tblPrEx>
          <w:tblLayout w:type="fixed"/>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18"/>
        </w:rPr>
      </w:pPr>
      <w:bookmarkStart w:id="84" w:name="page168"/>
      <w:bookmarkEnd w:id="84"/>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pStyle w:val="2"/>
        <w:ind w:firstLine="340"/>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b/>
          <w:sz w:val="24"/>
          <w:vertAlign w:val="superscript"/>
        </w:rPr>
      </w:pPr>
      <w:r>
        <w:rPr>
          <w:rFonts w:hint="eastAsia" w:ascii="仿宋" w:hAnsi="仿宋" w:eastAsia="仿宋" w:cs="仿宋"/>
          <w:sz w:val="24"/>
        </w:rPr>
        <w:t>附件五 主要机械设备和试验检测设备最低要求</w:t>
      </w:r>
    </w:p>
    <w:p>
      <w:pPr>
        <w:rPr>
          <w:rFonts w:ascii="仿宋" w:hAnsi="仿宋" w:eastAsia="仿宋" w:cs="仿宋"/>
        </w:rPr>
      </w:pPr>
    </w:p>
    <w:p>
      <w:pPr>
        <w:rPr>
          <w:rFonts w:ascii="仿宋" w:hAnsi="仿宋" w:eastAsia="仿宋" w:cs="仿宋"/>
        </w:rPr>
      </w:pPr>
    </w:p>
    <w:tbl>
      <w:tblPr>
        <w:tblStyle w:val="10"/>
        <w:tblW w:w="8640" w:type="dxa"/>
        <w:tblInd w:w="0" w:type="dxa"/>
        <w:tblLayout w:type="fixed"/>
        <w:tblCellMar>
          <w:top w:w="0" w:type="dxa"/>
          <w:left w:w="0" w:type="dxa"/>
          <w:bottom w:w="0" w:type="dxa"/>
          <w:right w:w="0" w:type="dxa"/>
        </w:tblCellMar>
      </w:tblPr>
      <w:tblGrid>
        <w:gridCol w:w="80"/>
        <w:gridCol w:w="2240"/>
        <w:gridCol w:w="560"/>
        <w:gridCol w:w="2180"/>
        <w:gridCol w:w="1380"/>
        <w:gridCol w:w="2200"/>
      </w:tblGrid>
      <w:tr>
        <w:tblPrEx>
          <w:tblLayout w:type="fixed"/>
          <w:tblCellMar>
            <w:top w:w="0" w:type="dxa"/>
            <w:left w:w="0" w:type="dxa"/>
            <w:bottom w:w="0" w:type="dxa"/>
            <w:right w:w="0" w:type="dxa"/>
          </w:tblCellMar>
        </w:tblPrEx>
        <w:trPr>
          <w:trHeight w:val="481"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top w:val="single" w:color="auto" w:sz="8" w:space="0"/>
              <w:right w:val="single" w:color="auto" w:sz="8" w:space="0"/>
            </w:tcBorders>
            <w:noWrap/>
            <w:vAlign w:val="bottom"/>
          </w:tcPr>
          <w:p>
            <w:pPr>
              <w:ind w:left="620"/>
              <w:rPr>
                <w:rFonts w:ascii="仿宋" w:hAnsi="仿宋" w:eastAsia="仿宋" w:cs="仿宋"/>
                <w:sz w:val="24"/>
              </w:rPr>
            </w:pPr>
            <w:r>
              <w:rPr>
                <w:rFonts w:hint="eastAsia" w:ascii="仿宋" w:hAnsi="仿宋" w:eastAsia="仿宋" w:cs="仿宋"/>
                <w:sz w:val="24"/>
              </w:rPr>
              <w:t>设备名称</w:t>
            </w:r>
          </w:p>
        </w:tc>
        <w:tc>
          <w:tcPr>
            <w:tcW w:w="2740" w:type="dxa"/>
            <w:gridSpan w:val="2"/>
            <w:tcBorders>
              <w:top w:val="single" w:color="auto" w:sz="8" w:space="0"/>
              <w:right w:val="single" w:color="auto" w:sz="8" w:space="0"/>
            </w:tcBorders>
            <w:noWrap/>
            <w:vAlign w:val="bottom"/>
          </w:tcPr>
          <w:p>
            <w:pPr>
              <w:ind w:left="380"/>
              <w:rPr>
                <w:rFonts w:ascii="仿宋" w:hAnsi="仿宋" w:eastAsia="仿宋" w:cs="仿宋"/>
                <w:sz w:val="24"/>
              </w:rPr>
            </w:pPr>
            <w:r>
              <w:rPr>
                <w:rFonts w:hint="eastAsia" w:ascii="仿宋" w:hAnsi="仿宋" w:eastAsia="仿宋" w:cs="仿宋"/>
                <w:sz w:val="24"/>
              </w:rPr>
              <w:t>规格、功率及容量</w:t>
            </w:r>
          </w:p>
        </w:tc>
        <w:tc>
          <w:tcPr>
            <w:tcW w:w="1380" w:type="dxa"/>
            <w:tcBorders>
              <w:top w:val="single" w:color="auto" w:sz="8" w:space="0"/>
              <w:right w:val="single" w:color="auto" w:sz="8" w:space="0"/>
            </w:tcBorders>
            <w:noWrap/>
            <w:vAlign w:val="bottom"/>
          </w:tcPr>
          <w:p>
            <w:pPr>
              <w:ind w:left="440"/>
              <w:rPr>
                <w:rFonts w:ascii="仿宋" w:hAnsi="仿宋" w:eastAsia="仿宋" w:cs="仿宋"/>
                <w:sz w:val="24"/>
              </w:rPr>
            </w:pPr>
            <w:r>
              <w:rPr>
                <w:rFonts w:hint="eastAsia" w:ascii="仿宋" w:hAnsi="仿宋" w:eastAsia="仿宋" w:cs="仿宋"/>
                <w:sz w:val="24"/>
              </w:rPr>
              <w:t>单位</w:t>
            </w:r>
          </w:p>
        </w:tc>
        <w:tc>
          <w:tcPr>
            <w:tcW w:w="2200" w:type="dxa"/>
            <w:tcBorders>
              <w:top w:val="single" w:color="auto" w:sz="8" w:space="0"/>
              <w:right w:val="single" w:color="auto" w:sz="8" w:space="0"/>
            </w:tcBorders>
            <w:noWrap/>
            <w:vAlign w:val="bottom"/>
          </w:tcPr>
          <w:p>
            <w:pPr>
              <w:ind w:left="360"/>
              <w:rPr>
                <w:rFonts w:ascii="仿宋" w:hAnsi="仿宋" w:eastAsia="仿宋" w:cs="仿宋"/>
                <w:sz w:val="24"/>
              </w:rPr>
            </w:pPr>
            <w:r>
              <w:rPr>
                <w:rFonts w:hint="eastAsia" w:ascii="仿宋" w:hAnsi="仿宋" w:eastAsia="仿宋" w:cs="仿宋"/>
                <w:sz w:val="24"/>
              </w:rPr>
              <w:t>最低数量要求</w:t>
            </w:r>
          </w:p>
        </w:tc>
      </w:tr>
      <w:tr>
        <w:tblPrEx>
          <w:tblLayout w:type="fixed"/>
          <w:tblCellMar>
            <w:top w:w="0" w:type="dxa"/>
            <w:left w:w="0" w:type="dxa"/>
            <w:bottom w:w="0" w:type="dxa"/>
            <w:right w:w="0" w:type="dxa"/>
          </w:tblCellMar>
        </w:tblPrEx>
        <w:trPr>
          <w:trHeight w:val="153" w:hRule="atLeast"/>
        </w:trPr>
        <w:tc>
          <w:tcPr>
            <w:tcW w:w="80" w:type="dxa"/>
            <w:tcBorders>
              <w:right w:val="single" w:color="auto" w:sz="8" w:space="0"/>
            </w:tcBorders>
            <w:noWrap/>
            <w:vAlign w:val="bottom"/>
          </w:tcPr>
          <w:p>
            <w:pPr>
              <w:rPr>
                <w:rFonts w:ascii="仿宋" w:hAnsi="仿宋" w:eastAsia="仿宋" w:cs="仿宋"/>
                <w:sz w:val="13"/>
              </w:rPr>
            </w:pPr>
          </w:p>
        </w:tc>
        <w:tc>
          <w:tcPr>
            <w:tcW w:w="2240" w:type="dxa"/>
            <w:tcBorders>
              <w:bottom w:val="single" w:color="auto" w:sz="8" w:space="0"/>
              <w:right w:val="single" w:color="auto" w:sz="8" w:space="0"/>
            </w:tcBorders>
            <w:noWrap/>
            <w:vAlign w:val="bottom"/>
          </w:tcPr>
          <w:p>
            <w:pPr>
              <w:rPr>
                <w:rFonts w:ascii="仿宋" w:hAnsi="仿宋" w:eastAsia="仿宋" w:cs="仿宋"/>
                <w:sz w:val="13"/>
              </w:rPr>
            </w:pPr>
          </w:p>
        </w:tc>
        <w:tc>
          <w:tcPr>
            <w:tcW w:w="560" w:type="dxa"/>
            <w:tcBorders>
              <w:bottom w:val="single" w:color="auto" w:sz="8" w:space="0"/>
            </w:tcBorders>
            <w:noWrap/>
            <w:vAlign w:val="bottom"/>
          </w:tcPr>
          <w:p>
            <w:pPr>
              <w:rPr>
                <w:rFonts w:ascii="仿宋" w:hAnsi="仿宋" w:eastAsia="仿宋" w:cs="仿宋"/>
                <w:sz w:val="13"/>
              </w:rPr>
            </w:pPr>
          </w:p>
        </w:tc>
        <w:tc>
          <w:tcPr>
            <w:tcW w:w="2180" w:type="dxa"/>
            <w:tcBorders>
              <w:bottom w:val="single" w:color="auto" w:sz="8" w:space="0"/>
              <w:right w:val="single" w:color="auto" w:sz="8" w:space="0"/>
            </w:tcBorders>
            <w:noWrap/>
            <w:vAlign w:val="bottom"/>
          </w:tcPr>
          <w:p>
            <w:pPr>
              <w:rPr>
                <w:rFonts w:ascii="仿宋" w:hAnsi="仿宋" w:eastAsia="仿宋" w:cs="仿宋"/>
                <w:sz w:val="13"/>
              </w:rPr>
            </w:pPr>
          </w:p>
        </w:tc>
        <w:tc>
          <w:tcPr>
            <w:tcW w:w="1380" w:type="dxa"/>
            <w:tcBorders>
              <w:bottom w:val="single" w:color="auto" w:sz="8" w:space="0"/>
              <w:right w:val="single" w:color="auto" w:sz="8" w:space="0"/>
            </w:tcBorders>
            <w:noWrap/>
            <w:vAlign w:val="bottom"/>
          </w:tcPr>
          <w:p>
            <w:pPr>
              <w:rPr>
                <w:rFonts w:ascii="仿宋" w:hAnsi="仿宋" w:eastAsia="仿宋" w:cs="仿宋"/>
                <w:sz w:val="13"/>
              </w:rPr>
            </w:pPr>
          </w:p>
        </w:tc>
        <w:tc>
          <w:tcPr>
            <w:tcW w:w="2200" w:type="dxa"/>
            <w:tcBorders>
              <w:bottom w:val="single" w:color="auto" w:sz="8" w:space="0"/>
              <w:right w:val="single" w:color="auto" w:sz="8" w:space="0"/>
            </w:tcBorders>
            <w:noWrap/>
            <w:vAlign w:val="bottom"/>
          </w:tcPr>
          <w:p>
            <w:pPr>
              <w:rPr>
                <w:rFonts w:ascii="仿宋" w:hAnsi="仿宋" w:eastAsia="仿宋" w:cs="仿宋"/>
                <w:sz w:val="13"/>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22"/>
        </w:rPr>
      </w:pPr>
      <w:bookmarkStart w:id="85" w:name="page169"/>
      <w:bookmarkEnd w:id="85"/>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pStyle w:val="2"/>
        <w:ind w:firstLine="220"/>
        <w:rPr>
          <w:rFonts w:ascii="仿宋" w:hAnsi="仿宋" w:eastAsia="仿宋" w:cs="仿宋"/>
          <w:sz w:val="22"/>
        </w:rPr>
      </w:pPr>
    </w:p>
    <w:p>
      <w:pPr>
        <w:pStyle w:val="2"/>
        <w:ind w:firstLine="220"/>
        <w:rPr>
          <w:rFonts w:ascii="仿宋" w:hAnsi="仿宋" w:eastAsia="仿宋" w:cs="仿宋"/>
          <w:sz w:val="22"/>
        </w:rPr>
      </w:pPr>
    </w:p>
    <w:p>
      <w:pPr>
        <w:rPr>
          <w:rFonts w:ascii="仿宋" w:hAnsi="仿宋" w:eastAsia="仿宋" w:cs="仿宋"/>
          <w:sz w:val="22"/>
        </w:rPr>
      </w:pP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附件六 项目经理委任书</w:t>
      </w:r>
    </w:p>
    <w:p>
      <w:pPr>
        <w:rPr>
          <w:rFonts w:ascii="仿宋" w:hAnsi="仿宋" w:eastAsia="仿宋" w:cs="仿宋"/>
        </w:rPr>
      </w:pPr>
    </w:p>
    <w:p>
      <w:pPr>
        <w:ind w:left="3360"/>
        <w:rPr>
          <w:rFonts w:ascii="仿宋" w:hAnsi="仿宋" w:eastAsia="仿宋" w:cs="仿宋"/>
          <w:sz w:val="28"/>
          <w:u w:val="single"/>
        </w:rPr>
      </w:pPr>
      <w:r>
        <w:rPr>
          <w:rFonts w:hint="eastAsia" w:ascii="仿宋" w:hAnsi="仿宋" w:eastAsia="仿宋" w:cs="仿宋"/>
          <w:sz w:val="28"/>
          <w:u w:val="single"/>
        </w:rPr>
        <w:t>（承包人全称）</w:t>
      </w:r>
    </w:p>
    <w:p>
      <w:pPr>
        <w:rPr>
          <w:rFonts w:ascii="仿宋" w:hAnsi="仿宋" w:eastAsia="仿宋" w:cs="仿宋"/>
        </w:rPr>
      </w:pPr>
    </w:p>
    <w:p>
      <w:pPr>
        <w:ind w:left="2180"/>
        <w:rPr>
          <w:rFonts w:ascii="仿宋" w:hAnsi="仿宋" w:eastAsia="仿宋" w:cs="仿宋"/>
          <w:sz w:val="28"/>
        </w:rPr>
      </w:pPr>
      <w:r>
        <w:rPr>
          <w:rFonts w:hint="eastAsia" w:ascii="仿宋" w:hAnsi="仿宋" w:eastAsia="仿宋" w:cs="仿宋"/>
          <w:sz w:val="28"/>
          <w:u w:val="single"/>
        </w:rPr>
        <w:t>（合同工程名称）</w:t>
      </w:r>
      <w:r>
        <w:rPr>
          <w:rFonts w:hint="eastAsia" w:ascii="仿宋" w:hAnsi="仿宋" w:eastAsia="仿宋" w:cs="仿宋"/>
          <w:sz w:val="28"/>
        </w:rPr>
        <w:t xml:space="preserve"> 项目经理委任书</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（发包人全称）</w:t>
      </w:r>
    </w:p>
    <w:p>
      <w:pPr>
        <w:rPr>
          <w:rFonts w:ascii="仿宋" w:hAnsi="仿宋" w:eastAsia="仿宋" w:cs="仿宋"/>
        </w:rPr>
      </w:pPr>
    </w:p>
    <w:p>
      <w:pPr>
        <w:ind w:firstLine="857"/>
        <w:jc w:val="both"/>
        <w:rPr>
          <w:rFonts w:ascii="仿宋" w:hAnsi="仿宋" w:eastAsia="仿宋" w:cs="仿宋"/>
          <w:sz w:val="23"/>
        </w:rPr>
      </w:pPr>
      <w:r>
        <w:rPr>
          <w:rFonts w:hint="eastAsia" w:ascii="仿宋" w:hAnsi="仿宋" w:eastAsia="仿宋" w:cs="仿宋"/>
          <w:sz w:val="23"/>
        </w:rPr>
        <w:t>（承包人全称） 法定代表人 （职务、姓名） 代表本单位委任 （职务、姓</w:t>
      </w:r>
      <w:r>
        <w:rPr>
          <w:rFonts w:hint="eastAsia" w:ascii="仿宋" w:hAnsi="仿宋" w:eastAsia="仿宋" w:cs="仿宋"/>
          <w:sz w:val="23"/>
          <w:u w:val="single"/>
        </w:rPr>
        <w:t>名）</w:t>
      </w:r>
      <w:r>
        <w:rPr>
          <w:rFonts w:hint="eastAsia" w:ascii="仿宋" w:hAnsi="仿宋" w:eastAsia="仿宋" w:cs="仿宋"/>
          <w:sz w:val="23"/>
        </w:rPr>
        <w:t xml:space="preserve"> 为</w:t>
      </w:r>
      <w:r>
        <w:rPr>
          <w:rFonts w:hint="eastAsia" w:ascii="仿宋" w:hAnsi="仿宋" w:eastAsia="仿宋" w:cs="仿宋"/>
          <w:sz w:val="23"/>
          <w:u w:val="single"/>
        </w:rPr>
        <w:t>（合同工程名称）</w:t>
      </w:r>
      <w:r>
        <w:rPr>
          <w:rFonts w:hint="eastAsia" w:ascii="仿宋" w:hAnsi="仿宋" w:eastAsia="仿宋" w:cs="仿宋"/>
          <w:sz w:val="23"/>
        </w:rPr>
        <w:t>的项目经理。凡本合同执行中的有关技术、工程进度、现场管理、质量检验、结算与支付等方面工作，由 （姓名） 代表本单位全面负责。</w:t>
      </w:r>
    </w:p>
    <w:p>
      <w:pPr>
        <w:rPr>
          <w:rFonts w:ascii="仿宋" w:hAnsi="仿宋" w:eastAsia="仿宋" w:cs="仿宋"/>
        </w:rPr>
      </w:pPr>
      <w:r>
        <w:rPr>
          <w:rFonts w:ascii="仿宋" w:hAnsi="仿宋" w:eastAsia="仿宋" w:cs="仿宋"/>
          <w:sz w:val="23"/>
        </w:rPr>
        <w:pict>
          <v:line id="_x0000_s2074" o:spid="_x0000_s2074" o:spt="20" style="position:absolute;left:0pt;margin-left:31.05pt;margin-top:-45.8pt;height:0pt;width:101.15pt;z-index:-251153408;mso-width-relative:page;mso-height-relative:page;" coordsize="21600,21600" o:allowincell="f" o:gfxdata="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UJog1wAAAAoBAAAPAAAA&#10;AAAAAAEAIAAAACIAAABkcnMvZG93bnJldi54bWxQSwECFAAUAAAACACHTuJAOAYKK90BAACYAwAA&#10;DgAAAAAAAAABACAAAAAmAQAAZHJzL2Uyb0RvYy54bWxQSwUGAAAAAAYABgBZAQAAdQUAAAAA&#10;">
            <v:path arrowok="t"/>
            <v:fill focussize="0,0"/>
            <v:stroke weight="0.6pt"/>
            <v:imagedata o:title=""/>
            <o:lock v:ext="edit"/>
          </v:line>
        </w:pict>
      </w:r>
      <w:r>
        <w:rPr>
          <w:rFonts w:ascii="仿宋" w:hAnsi="仿宋" w:eastAsia="仿宋" w:cs="仿宋"/>
          <w:sz w:val="23"/>
        </w:rPr>
        <w:pict>
          <v:line id="_x0000_s2073" o:spid="_x0000_s2073" o:spt="20" style="position:absolute;left:0pt;margin-left:192.25pt;margin-top:-45.65pt;height:0pt;width:93.5pt;z-index:-251152384;mso-width-relative:page;mso-height-relative:page;" coordsize="21600,21600" o:allowincell="f" o:gfxdata="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Ra63ZAAAACwEAAA8A&#10;AAAAAAAAAQAgAAAAIgAAAGRycy9kb3ducmV2LnhtbFBLAQIUABQAAAAIAIdO4kBhif4U3QEAAJgD&#10;AAAOAAAAAAAAAAEAIAAAACgBAABkcnMvZTJvRG9jLnhtbFBLBQYAAAAABgAGAFkBAAB3BQAAAAA=&#10;">
            <v:path arrowok="t"/>
            <v:fill focussize="0,0"/>
            <v:stroke weight="0.59992125984252pt"/>
            <v:imagedata o:title=""/>
            <o:lock v:ext="edit"/>
          </v:line>
        </w:pict>
      </w:r>
      <w:r>
        <w:rPr>
          <w:rFonts w:ascii="仿宋" w:hAnsi="仿宋" w:eastAsia="仿宋" w:cs="仿宋"/>
          <w:sz w:val="23"/>
        </w:rPr>
        <w:pict>
          <v:line id="_x0000_s2072" o:spid="_x0000_s2072" o:spt="20" style="position:absolute;left:0pt;margin-left:369.75pt;margin-top:-45.65pt;height:0pt;width:64.3pt;z-index:-251151360;mso-width-relative:page;mso-height-relative:page;" coordsize="21600,21600" o:allowincell="f" o:gfxdata="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cNZ0tkAAAALAQAADwAAAAAA&#10;AAABACAAAAAiAAAAZHJzL2Rvd25yZXYueG1sUEsBAhQAFAAAAAgAh07iQKJdoNrZAQAAlwMAAA4A&#10;AAAAAAAAAQAgAAAAKAEAAGRycy9lMm9Eb2MueG1sUEsFBgAAAAAGAAYAWQEAAHMFAAAAAA==&#10;">
            <v:path arrowok="t"/>
            <v:fill focussize="0,0"/>
            <v:stroke weight="0.59992125984252pt"/>
            <v:imagedata o:title=""/>
            <o:lock v:ext="edit"/>
          </v:line>
        </w:pict>
      </w:r>
      <w:r>
        <w:rPr>
          <w:rFonts w:ascii="仿宋" w:hAnsi="仿宋" w:eastAsia="仿宋" w:cs="仿宋"/>
          <w:sz w:val="23"/>
        </w:rPr>
        <w:pict>
          <v:line id="_x0000_s2071" o:spid="_x0000_s2071" o:spt="20" style="position:absolute;left:0pt;margin-left:252.25pt;margin-top:-5.8pt;height:0pt;width:66pt;z-index:-251150336;mso-width-relative:page;mso-height-relative:page;" coordsize="21600,21600" o:allowincell="f" o:gfxdata="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vFq8tgAAAALAQAADwAAAAAA&#10;AAABACAAAAAiAAAAZHJzL2Rvd25yZXYueG1sUEsBAhQAFAAAAAgAh07iQKGR3EPaAQAAlwMAAA4A&#10;AAAAAAAAAQAgAAAAJwEAAGRycy9lMm9Eb2MueG1sUEsFBgAAAAAGAAYAWQEAAHMFAAAAAA==&#10;">
            <v:path arrowok="t"/>
            <v:fill focussize="0,0"/>
            <v:stroke weight="0.59992125984252pt"/>
            <v:imagedata o:title=""/>
            <o:lock v:ext="edit"/>
          </v:line>
        </w:pict>
      </w:r>
    </w:p>
    <w:tbl>
      <w:tblPr>
        <w:tblStyle w:val="10"/>
        <w:tblW w:w="4920" w:type="dxa"/>
        <w:tblInd w:w="3840" w:type="dxa"/>
        <w:tblLayout w:type="fixed"/>
        <w:tblCellMar>
          <w:top w:w="0" w:type="dxa"/>
          <w:left w:w="0" w:type="dxa"/>
          <w:bottom w:w="0" w:type="dxa"/>
          <w:right w:w="0" w:type="dxa"/>
        </w:tblCellMar>
      </w:tblPr>
      <w:tblGrid>
        <w:gridCol w:w="960"/>
        <w:gridCol w:w="840"/>
        <w:gridCol w:w="400"/>
        <w:gridCol w:w="80"/>
        <w:gridCol w:w="360"/>
        <w:gridCol w:w="240"/>
        <w:gridCol w:w="600"/>
        <w:gridCol w:w="240"/>
        <w:gridCol w:w="600"/>
        <w:gridCol w:w="520"/>
        <w:gridCol w:w="80"/>
      </w:tblGrid>
      <w:tr>
        <w:tblPrEx>
          <w:tblLayout w:type="fixed"/>
          <w:tblCellMar>
            <w:top w:w="0" w:type="dxa"/>
            <w:left w:w="0" w:type="dxa"/>
            <w:bottom w:w="0" w:type="dxa"/>
            <w:right w:w="0" w:type="dxa"/>
          </w:tblCellMar>
        </w:tblPrEx>
        <w:trPr>
          <w:trHeight w:val="274" w:hRule="atLeast"/>
        </w:trPr>
        <w:tc>
          <w:tcPr>
            <w:tcW w:w="2880" w:type="dxa"/>
            <w:gridSpan w:val="6"/>
            <w:noWrap/>
            <w:vAlign w:val="bottom"/>
          </w:tcPr>
          <w:p>
            <w:pPr>
              <w:rPr>
                <w:rFonts w:ascii="仿宋" w:hAnsi="仿宋" w:eastAsia="仿宋" w:cs="仿宋"/>
                <w:sz w:val="24"/>
              </w:rPr>
            </w:pPr>
            <w:r>
              <w:rPr>
                <w:rFonts w:hint="eastAsia" w:ascii="仿宋" w:hAnsi="仿宋" w:eastAsia="仿宋" w:cs="仿宋"/>
                <w:sz w:val="24"/>
              </w:rPr>
              <w:t>承包人：</w:t>
            </w:r>
          </w:p>
        </w:tc>
        <w:tc>
          <w:tcPr>
            <w:tcW w:w="600" w:type="dxa"/>
            <w:noWrap/>
            <w:vAlign w:val="bottom"/>
          </w:tcPr>
          <w:p>
            <w:pPr>
              <w:rPr>
                <w:rFonts w:ascii="仿宋" w:hAnsi="仿宋" w:eastAsia="仿宋" w:cs="仿宋"/>
                <w:sz w:val="23"/>
              </w:rPr>
            </w:pPr>
          </w:p>
        </w:tc>
        <w:tc>
          <w:tcPr>
            <w:tcW w:w="1440" w:type="dxa"/>
            <w:gridSpan w:val="4"/>
            <w:noWrap/>
            <w:vAlign w:val="bottom"/>
          </w:tcPr>
          <w:p>
            <w:pPr>
              <w:rPr>
                <w:rFonts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2880" w:type="dxa"/>
            <w:gridSpan w:val="6"/>
            <w:noWrap/>
            <w:vAlign w:val="bottom"/>
          </w:tcPr>
          <w:p>
            <w:pPr>
              <w:ind w:left="760"/>
              <w:rPr>
                <w:rFonts w:ascii="仿宋" w:hAnsi="仿宋" w:eastAsia="仿宋" w:cs="仿宋"/>
                <w:sz w:val="24"/>
              </w:rPr>
            </w:pPr>
            <w:r>
              <w:rPr>
                <w:rFonts w:hint="eastAsia" w:ascii="仿宋" w:hAnsi="仿宋" w:eastAsia="仿宋" w:cs="仿宋"/>
                <w:sz w:val="24"/>
              </w:rPr>
              <w:t>法定代表人：</w:t>
            </w:r>
          </w:p>
        </w:tc>
        <w:tc>
          <w:tcPr>
            <w:tcW w:w="1440" w:type="dxa"/>
            <w:gridSpan w:val="3"/>
            <w:noWrap/>
            <w:vAlign w:val="bottom"/>
          </w:tcPr>
          <w:p>
            <w:pPr>
              <w:ind w:left="160"/>
              <w:rPr>
                <w:rFonts w:ascii="仿宋" w:hAnsi="仿宋" w:eastAsia="仿宋" w:cs="仿宋"/>
                <w:sz w:val="24"/>
              </w:rPr>
            </w:pPr>
            <w:r>
              <w:rPr>
                <w:rFonts w:hint="eastAsia" w:ascii="仿宋" w:hAnsi="仿宋" w:eastAsia="仿宋" w:cs="仿宋"/>
                <w:sz w:val="24"/>
              </w:rPr>
              <w:t>（职务）</w:t>
            </w:r>
          </w:p>
        </w:tc>
        <w:tc>
          <w:tcPr>
            <w:tcW w:w="52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bottom w:val="single" w:color="auto" w:sz="8" w:space="0"/>
            </w:tcBorders>
            <w:noWrap/>
            <w:vAlign w:val="bottom"/>
          </w:tcPr>
          <w:p>
            <w:pPr>
              <w:rPr>
                <w:rFonts w:ascii="仿宋" w:hAnsi="仿宋" w:eastAsia="仿宋" w:cs="仿宋"/>
                <w:sz w:val="24"/>
              </w:rPr>
            </w:pPr>
          </w:p>
        </w:tc>
        <w:tc>
          <w:tcPr>
            <w:tcW w:w="240" w:type="dxa"/>
            <w:tcBorders>
              <w:top w:val="single" w:color="auto" w:sz="8" w:space="0"/>
              <w:bottom w:val="single" w:color="auto" w:sz="8" w:space="0"/>
            </w:tcBorders>
            <w:noWrap/>
            <w:vAlign w:val="bottom"/>
          </w:tcPr>
          <w:p>
            <w:pPr>
              <w:rPr>
                <w:rFonts w:ascii="仿宋" w:hAnsi="仿宋" w:eastAsia="仿宋" w:cs="仿宋"/>
                <w:sz w:val="24"/>
              </w:rPr>
            </w:pPr>
          </w:p>
        </w:tc>
        <w:tc>
          <w:tcPr>
            <w:tcW w:w="1440" w:type="dxa"/>
            <w:gridSpan w:val="3"/>
            <w:tcBorders>
              <w:top w:val="single" w:color="auto" w:sz="8" w:space="0"/>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（姓名）</w:t>
            </w:r>
          </w:p>
        </w:tc>
        <w:tc>
          <w:tcPr>
            <w:tcW w:w="520" w:type="dxa"/>
            <w:tcBorders>
              <w:top w:val="single" w:color="auto" w:sz="8" w:space="0"/>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440" w:type="dxa"/>
            <w:gridSpan w:val="3"/>
            <w:tcBorders>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（签字）</w:t>
            </w:r>
          </w:p>
        </w:tc>
        <w:tc>
          <w:tcPr>
            <w:tcW w:w="520" w:type="dxa"/>
            <w:tcBorders>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376"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600" w:type="dxa"/>
            <w:noWrap/>
            <w:vAlign w:val="bottom"/>
          </w:tcPr>
          <w:p>
            <w:pPr>
              <w:rPr>
                <w:rFonts w:ascii="仿宋" w:hAnsi="仿宋" w:eastAsia="仿宋" w:cs="仿宋"/>
                <w:sz w:val="24"/>
              </w:rPr>
            </w:pPr>
          </w:p>
        </w:tc>
        <w:tc>
          <w:tcPr>
            <w:tcW w:w="840" w:type="dxa"/>
            <w:gridSpan w:val="2"/>
            <w:noWrap/>
            <w:vAlign w:val="bottom"/>
          </w:tcPr>
          <w:p>
            <w:pPr>
              <w:jc w:val="center"/>
              <w:rPr>
                <w:rFonts w:ascii="仿宋" w:hAnsi="仿宋" w:eastAsia="仿宋" w:cs="仿宋"/>
                <w:w w:val="99"/>
                <w:sz w:val="24"/>
              </w:rPr>
            </w:pPr>
            <w:r>
              <w:rPr>
                <w:rFonts w:hint="eastAsia" w:ascii="仿宋" w:hAnsi="仿宋" w:eastAsia="仿宋" w:cs="仿宋"/>
                <w:w w:val="99"/>
                <w:sz w:val="24"/>
              </w:rPr>
              <w:t>月</w:t>
            </w:r>
          </w:p>
        </w:tc>
        <w:tc>
          <w:tcPr>
            <w:tcW w:w="600" w:type="dxa"/>
            <w:gridSpan w:val="2"/>
            <w:noWrap/>
            <w:vAlign w:val="bottom"/>
          </w:tcPr>
          <w:p>
            <w:pPr>
              <w:rPr>
                <w:rFonts w:ascii="仿宋" w:hAnsi="仿宋" w:eastAsia="仿宋" w:cs="仿宋"/>
                <w:sz w:val="24"/>
              </w:rPr>
            </w:pPr>
            <w:r>
              <w:rPr>
                <w:rFonts w:hint="eastAsia" w:ascii="仿宋" w:hAnsi="仿宋" w:eastAsia="仿宋" w:cs="仿宋"/>
                <w:sz w:val="24"/>
              </w:rPr>
              <w:t>日</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auto"/>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940"/>
        </w:tabs>
        <w:rPr>
          <w:rFonts w:ascii="仿宋" w:hAnsi="仿宋" w:eastAsia="仿宋" w:cs="仿宋"/>
          <w:sz w:val="24"/>
        </w:rPr>
      </w:pPr>
      <w:r>
        <w:rPr>
          <w:rFonts w:hint="eastAsia" w:ascii="仿宋" w:hAnsi="仿宋" w:eastAsia="仿宋" w:cs="仿宋"/>
          <w:sz w:val="24"/>
        </w:rPr>
        <w:t>抄送：</w:t>
      </w:r>
      <w:r>
        <w:rPr>
          <w:rFonts w:hint="eastAsia" w:ascii="仿宋" w:hAnsi="仿宋" w:eastAsia="仿宋" w:cs="仿宋"/>
        </w:rPr>
        <w:tab/>
      </w:r>
      <w:r>
        <w:rPr>
          <w:rFonts w:hint="eastAsia" w:ascii="仿宋" w:hAnsi="仿宋" w:eastAsia="仿宋" w:cs="仿宋"/>
          <w:sz w:val="24"/>
        </w:rPr>
        <w:t>（监理人）</w:t>
      </w:r>
    </w:p>
    <w:p>
      <w:pPr>
        <w:rPr>
          <w:rFonts w:ascii="仿宋" w:hAnsi="仿宋" w:eastAsia="仿宋" w:cs="仿宋"/>
        </w:rPr>
      </w:pPr>
      <w:r>
        <w:rPr>
          <w:rFonts w:ascii="仿宋" w:hAnsi="仿宋" w:eastAsia="仿宋" w:cs="仿宋"/>
          <w:sz w:val="24"/>
        </w:rPr>
        <w:pict>
          <v:line id="_x0000_s2070" o:spid="_x0000_s2070" o:spt="20" style="position:absolute;left:0pt;margin-left:36.2pt;margin-top:0.25pt;height:0pt;width:84pt;z-index:-251149312;mso-width-relative:page;mso-height-relative:page;" coordsize="21600,21600" o:allowincell="f" o:gfxdata="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1CH13SAAAABAEAAA8AAAAAAAAAAQAg&#10;AAAAIgAAAGRycy9kb3ducmV2LnhtbFBLAQIUABQAAAAIAIdO4kCQnC1E2wEAAJgDAAAOAAAAAAAA&#10;AAEAIAAAACEBAABkcnMvZTJvRG9jLnhtbFBLBQYAAAAABgAGAFkBAABuBQ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rPr>
          <w:rFonts w:ascii="仿宋" w:hAnsi="仿宋" w:eastAsia="仿宋" w:cs="仿宋"/>
        </w:rPr>
      </w:pPr>
      <w:bookmarkStart w:id="86" w:name="page170"/>
      <w:bookmarkEnd w:id="86"/>
    </w:p>
    <w:p>
      <w:pPr>
        <w:rPr>
          <w:rFonts w:ascii="仿宋" w:hAnsi="仿宋" w:eastAsia="仿宋" w:cs="仿宋"/>
          <w:sz w:val="24"/>
        </w:rPr>
      </w:pPr>
      <w:r>
        <w:rPr>
          <w:rFonts w:hint="eastAsia" w:ascii="仿宋" w:hAnsi="仿宋" w:eastAsia="仿宋" w:cs="仿宋"/>
          <w:sz w:val="24"/>
        </w:rPr>
        <w:t>附件七 履约保证金格式如采用银行保函，格式如下。</w:t>
      </w:r>
    </w:p>
    <w:p>
      <w:pPr>
        <w:rPr>
          <w:rFonts w:ascii="仿宋" w:hAnsi="仿宋" w:eastAsia="仿宋" w:cs="仿宋"/>
        </w:rPr>
      </w:pPr>
    </w:p>
    <w:p>
      <w:pPr>
        <w:ind w:left="3640"/>
        <w:rPr>
          <w:rFonts w:ascii="仿宋" w:hAnsi="仿宋" w:eastAsia="仿宋" w:cs="仿宋"/>
          <w:sz w:val="28"/>
        </w:rPr>
      </w:pPr>
      <w:r>
        <w:rPr>
          <w:rFonts w:hint="eastAsia" w:ascii="仿宋" w:hAnsi="仿宋" w:eastAsia="仿宋" w:cs="仿宋"/>
          <w:sz w:val="28"/>
        </w:rPr>
        <w:t>履约保证金</w:t>
      </w:r>
    </w:p>
    <w:p>
      <w:pPr>
        <w:rPr>
          <w:rFonts w:ascii="仿宋" w:hAnsi="仿宋" w:eastAsia="仿宋" w:cs="仿宋"/>
        </w:rPr>
      </w:pPr>
    </w:p>
    <w:p>
      <w:pPr>
        <w:rPr>
          <w:rFonts w:ascii="仿宋" w:hAnsi="仿宋" w:eastAsia="仿宋" w:cs="仿宋"/>
        </w:rPr>
      </w:pPr>
    </w:p>
    <w:tbl>
      <w:tblPr>
        <w:tblStyle w:val="10"/>
        <w:tblW w:w="8680" w:type="dxa"/>
        <w:tblInd w:w="0" w:type="dxa"/>
        <w:tblLayout w:type="fixed"/>
        <w:tblCellMar>
          <w:top w:w="0" w:type="dxa"/>
          <w:left w:w="0" w:type="dxa"/>
          <w:bottom w:w="0" w:type="dxa"/>
          <w:right w:w="0" w:type="dxa"/>
        </w:tblCellMar>
      </w:tblPr>
      <w:tblGrid>
        <w:gridCol w:w="120"/>
        <w:gridCol w:w="360"/>
        <w:gridCol w:w="600"/>
        <w:gridCol w:w="620"/>
        <w:gridCol w:w="640"/>
        <w:gridCol w:w="660"/>
        <w:gridCol w:w="420"/>
        <w:gridCol w:w="180"/>
        <w:gridCol w:w="600"/>
        <w:gridCol w:w="240"/>
        <w:gridCol w:w="500"/>
        <w:gridCol w:w="240"/>
        <w:gridCol w:w="160"/>
        <w:gridCol w:w="320"/>
        <w:gridCol w:w="400"/>
        <w:gridCol w:w="320"/>
        <w:gridCol w:w="880"/>
        <w:gridCol w:w="360"/>
        <w:gridCol w:w="100"/>
        <w:gridCol w:w="500"/>
        <w:gridCol w:w="460"/>
      </w:tblGrid>
      <w:tr>
        <w:tblPrEx>
          <w:tblLayout w:type="fixed"/>
          <w:tblCellMar>
            <w:top w:w="0" w:type="dxa"/>
            <w:left w:w="0" w:type="dxa"/>
            <w:bottom w:w="0" w:type="dxa"/>
            <w:right w:w="0" w:type="dxa"/>
          </w:tblCellMar>
        </w:tblPrEx>
        <w:trPr>
          <w:trHeight w:val="274" w:hRule="atLeast"/>
        </w:trPr>
        <w:tc>
          <w:tcPr>
            <w:tcW w:w="120" w:type="dxa"/>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600" w:type="dxa"/>
            <w:tcBorders>
              <w:bottom w:val="single" w:color="auto" w:sz="8" w:space="0"/>
            </w:tcBorders>
            <w:noWrap/>
            <w:vAlign w:val="bottom"/>
          </w:tcPr>
          <w:p>
            <w:pPr>
              <w:rPr>
                <w:rFonts w:ascii="仿宋" w:hAnsi="仿宋" w:eastAsia="仿宋" w:cs="仿宋"/>
                <w:sz w:val="23"/>
              </w:rPr>
            </w:pPr>
          </w:p>
        </w:tc>
        <w:tc>
          <w:tcPr>
            <w:tcW w:w="620" w:type="dxa"/>
            <w:tcBorders>
              <w:bottom w:val="single" w:color="auto" w:sz="8" w:space="0"/>
            </w:tcBorders>
            <w:noWrap/>
            <w:vAlign w:val="bottom"/>
          </w:tcPr>
          <w:p>
            <w:pPr>
              <w:rPr>
                <w:rFonts w:ascii="仿宋" w:hAnsi="仿宋" w:eastAsia="仿宋" w:cs="仿宋"/>
                <w:sz w:val="23"/>
              </w:rPr>
            </w:pPr>
          </w:p>
        </w:tc>
        <w:tc>
          <w:tcPr>
            <w:tcW w:w="640" w:type="dxa"/>
            <w:tcBorders>
              <w:bottom w:val="single" w:color="auto" w:sz="8" w:space="0"/>
            </w:tcBorders>
            <w:noWrap/>
            <w:vAlign w:val="bottom"/>
          </w:tcPr>
          <w:p>
            <w:pPr>
              <w:rPr>
                <w:rFonts w:ascii="仿宋" w:hAnsi="仿宋" w:eastAsia="仿宋" w:cs="仿宋"/>
                <w:sz w:val="23"/>
              </w:rPr>
            </w:pPr>
          </w:p>
        </w:tc>
        <w:tc>
          <w:tcPr>
            <w:tcW w:w="1860" w:type="dxa"/>
            <w:gridSpan w:val="4"/>
            <w:noWrap/>
            <w:vAlign w:val="bottom"/>
          </w:tcPr>
          <w:p>
            <w:pPr>
              <w:rPr>
                <w:rFonts w:ascii="仿宋" w:hAnsi="仿宋" w:eastAsia="仿宋" w:cs="仿宋"/>
                <w:w w:val="95"/>
                <w:sz w:val="24"/>
              </w:rPr>
            </w:pPr>
            <w:r>
              <w:rPr>
                <w:rFonts w:hint="eastAsia" w:ascii="仿宋" w:hAnsi="仿宋" w:eastAsia="仿宋" w:cs="仿宋"/>
                <w:w w:val="95"/>
                <w:sz w:val="24"/>
              </w:rPr>
              <w:t>（发包人名称）：</w:t>
            </w:r>
          </w:p>
        </w:tc>
        <w:tc>
          <w:tcPr>
            <w:tcW w:w="24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240" w:type="dxa"/>
            <w:noWrap/>
            <w:vAlign w:val="bottom"/>
          </w:tcPr>
          <w:p>
            <w:pPr>
              <w:rPr>
                <w:rFonts w:ascii="仿宋" w:hAnsi="仿宋" w:eastAsia="仿宋" w:cs="仿宋"/>
                <w:sz w:val="23"/>
              </w:rPr>
            </w:pPr>
          </w:p>
        </w:tc>
        <w:tc>
          <w:tcPr>
            <w:tcW w:w="16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40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880" w:type="dxa"/>
            <w:noWrap/>
            <w:vAlign w:val="bottom"/>
          </w:tcPr>
          <w:p>
            <w:pPr>
              <w:rPr>
                <w:rFonts w:ascii="仿宋" w:hAnsi="仿宋" w:eastAsia="仿宋" w:cs="仿宋"/>
                <w:sz w:val="23"/>
              </w:rPr>
            </w:pPr>
          </w:p>
        </w:tc>
        <w:tc>
          <w:tcPr>
            <w:tcW w:w="360" w:type="dxa"/>
            <w:noWrap/>
            <w:vAlign w:val="bottom"/>
          </w:tcPr>
          <w:p>
            <w:pPr>
              <w:rPr>
                <w:rFonts w:ascii="仿宋" w:hAnsi="仿宋" w:eastAsia="仿宋" w:cs="仿宋"/>
                <w:sz w:val="23"/>
              </w:rPr>
            </w:pPr>
          </w:p>
        </w:tc>
        <w:tc>
          <w:tcPr>
            <w:tcW w:w="10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460" w:type="dxa"/>
            <w:noWrap/>
            <w:vAlign w:val="bottom"/>
          </w:tcPr>
          <w:p>
            <w:pPr>
              <w:rPr>
                <w:rFonts w:ascii="仿宋" w:hAnsi="仿宋" w:eastAsia="仿宋" w:cs="仿宋"/>
                <w:sz w:val="23"/>
              </w:rPr>
            </w:pPr>
          </w:p>
        </w:tc>
      </w:tr>
      <w:tr>
        <w:tblPrEx>
          <w:tblLayout w:type="fixed"/>
          <w:tblCellMar>
            <w:top w:w="0" w:type="dxa"/>
            <w:left w:w="0" w:type="dxa"/>
            <w:bottom w:w="0" w:type="dxa"/>
            <w:right w:w="0" w:type="dxa"/>
          </w:tblCellMar>
        </w:tblPrEx>
        <w:trPr>
          <w:trHeight w:val="780"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0" w:type="dxa"/>
            <w:noWrap/>
            <w:vAlign w:val="bottom"/>
          </w:tcPr>
          <w:p>
            <w:pPr>
              <w:ind w:left="120"/>
              <w:rPr>
                <w:rFonts w:ascii="仿宋" w:hAnsi="仿宋" w:eastAsia="仿宋" w:cs="仿宋"/>
                <w:w w:val="95"/>
                <w:sz w:val="24"/>
              </w:rPr>
            </w:pPr>
            <w:r>
              <w:rPr>
                <w:rFonts w:hint="eastAsia" w:ascii="仿宋" w:hAnsi="仿宋" w:eastAsia="仿宋" w:cs="仿宋"/>
                <w:w w:val="95"/>
                <w:sz w:val="24"/>
              </w:rPr>
              <w:t>鉴于</w:t>
            </w:r>
          </w:p>
        </w:tc>
        <w:tc>
          <w:tcPr>
            <w:tcW w:w="6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4920" w:type="dxa"/>
            <w:gridSpan w:val="12"/>
            <w:noWrap/>
            <w:vAlign w:val="bottom"/>
          </w:tcPr>
          <w:p>
            <w:pPr>
              <w:ind w:left="660"/>
              <w:rPr>
                <w:rFonts w:ascii="仿宋" w:hAnsi="仿宋" w:eastAsia="仿宋" w:cs="仿宋"/>
                <w:w w:val="98"/>
                <w:sz w:val="24"/>
              </w:rPr>
            </w:pPr>
            <w:r>
              <w:rPr>
                <w:rFonts w:hint="eastAsia" w:ascii="仿宋" w:hAnsi="仿宋" w:eastAsia="仿宋" w:cs="仿宋"/>
                <w:w w:val="98"/>
                <w:sz w:val="24"/>
              </w:rPr>
              <w:t>（发包人名称，以下简称“发包人”）接受</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sz w:val="24"/>
              </w:rPr>
            </w:pPr>
            <w:r>
              <w:rPr>
                <w:rFonts w:hint="eastAsia" w:ascii="仿宋" w:hAnsi="仿宋" w:eastAsia="仿宋" w:cs="仿宋"/>
                <w:sz w:val="24"/>
              </w:rPr>
              <w:t>（承</w:t>
            </w:r>
          </w:p>
        </w:tc>
      </w:tr>
      <w:tr>
        <w:tblPrEx>
          <w:tblLayout w:type="fixed"/>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000000"/>
            <w:noWrap/>
            <w:vAlign w:val="bottom"/>
          </w:tcPr>
          <w:p>
            <w:pPr>
              <w:rPr>
                <w:rFonts w:ascii="仿宋" w:hAnsi="仿宋" w:eastAsia="仿宋" w:cs="仿宋"/>
                <w:sz w:val="1"/>
              </w:rPr>
            </w:pPr>
          </w:p>
        </w:tc>
        <w:tc>
          <w:tcPr>
            <w:tcW w:w="1300" w:type="dxa"/>
            <w:gridSpan w:val="2"/>
            <w:shd w:val="clear" w:color="auto" w:fill="000000"/>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88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包人名称，以下简称“承包人”）于</w:t>
            </w: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740" w:type="dxa"/>
            <w:gridSpan w:val="2"/>
            <w:noWrap/>
            <w:vAlign w:val="bottom"/>
          </w:tcPr>
          <w:p>
            <w:pPr>
              <w:ind w:left="500"/>
              <w:rPr>
                <w:rFonts w:ascii="仿宋" w:hAnsi="仿宋" w:eastAsia="仿宋" w:cs="仿宋"/>
                <w:w w:val="91"/>
                <w:sz w:val="24"/>
              </w:rPr>
            </w:pPr>
            <w:r>
              <w:rPr>
                <w:rFonts w:hint="eastAsia" w:ascii="仿宋" w:hAnsi="仿宋" w:eastAsia="仿宋" w:cs="仿宋"/>
                <w:w w:val="91"/>
                <w:sz w:val="24"/>
              </w:rPr>
              <w:t>月</w:t>
            </w: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1600" w:type="dxa"/>
            <w:gridSpan w:val="3"/>
            <w:noWrap/>
            <w:vAlign w:val="bottom"/>
          </w:tcPr>
          <w:p>
            <w:pPr>
              <w:rPr>
                <w:rFonts w:ascii="仿宋" w:hAnsi="仿宋" w:eastAsia="仿宋" w:cs="仿宋"/>
                <w:sz w:val="24"/>
              </w:rPr>
            </w:pPr>
            <w:r>
              <w:rPr>
                <w:rFonts w:hint="eastAsia" w:ascii="仿宋" w:hAnsi="仿宋" w:eastAsia="仿宋" w:cs="仿宋"/>
                <w:sz w:val="24"/>
              </w:rPr>
              <w:t>日参加</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（项目名</w:t>
            </w:r>
          </w:p>
        </w:tc>
      </w:tr>
      <w:tr>
        <w:tblPrEx>
          <w:tblLayout w:type="fixed"/>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1720" w:type="dxa"/>
            <w:gridSpan w:val="3"/>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1240" w:type="dxa"/>
            <w:gridSpan w:val="2"/>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1080" w:type="dxa"/>
            <w:gridSpan w:val="3"/>
            <w:noWrap/>
            <w:vAlign w:val="bottom"/>
          </w:tcPr>
          <w:p>
            <w:pPr>
              <w:rPr>
                <w:rFonts w:ascii="仿宋" w:hAnsi="仿宋" w:eastAsia="仿宋" w:cs="仿宋"/>
                <w:sz w:val="24"/>
              </w:rPr>
            </w:pPr>
            <w:r>
              <w:rPr>
                <w:rFonts w:hint="eastAsia" w:ascii="仿宋" w:hAnsi="仿宋" w:eastAsia="仿宋" w:cs="仿宋"/>
                <w:sz w:val="24"/>
              </w:rPr>
              <w:t>称）</w:t>
            </w:r>
          </w:p>
        </w:tc>
        <w:tc>
          <w:tcPr>
            <w:tcW w:w="620" w:type="dxa"/>
            <w:noWrap/>
            <w:vAlign w:val="bottom"/>
          </w:tcPr>
          <w:p>
            <w:pPr>
              <w:rPr>
                <w:rFonts w:ascii="仿宋" w:hAnsi="仿宋" w:eastAsia="仿宋" w:cs="仿宋"/>
                <w:sz w:val="24"/>
              </w:rPr>
            </w:pPr>
          </w:p>
        </w:tc>
        <w:tc>
          <w:tcPr>
            <w:tcW w:w="6980" w:type="dxa"/>
            <w:gridSpan w:val="17"/>
            <w:noWrap/>
            <w:vAlign w:val="bottom"/>
          </w:tcPr>
          <w:p>
            <w:pPr>
              <w:jc w:val="right"/>
              <w:rPr>
                <w:rFonts w:ascii="仿宋" w:hAnsi="仿宋" w:eastAsia="仿宋" w:cs="仿宋"/>
                <w:w w:val="99"/>
                <w:sz w:val="24"/>
              </w:rPr>
            </w:pPr>
            <w:r>
              <w:rPr>
                <w:rFonts w:hint="eastAsia" w:ascii="仿宋" w:hAnsi="仿宋" w:eastAsia="仿宋" w:cs="仿宋"/>
                <w:w w:val="99"/>
                <w:sz w:val="24"/>
              </w:rPr>
              <w:t>标段施工的投标。我方愿意无条件地、不可撤销地就承包人履行与</w:t>
            </w:r>
          </w:p>
        </w:tc>
      </w:tr>
      <w:tr>
        <w:tblPrEx>
          <w:tblLayout w:type="fixed"/>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1220" w:type="dxa"/>
            <w:gridSpan w:val="2"/>
            <w:shd w:val="clear" w:color="auto" w:fill="000000"/>
            <w:noWrap/>
            <w:vAlign w:val="bottom"/>
          </w:tcPr>
          <w:p>
            <w:pPr>
              <w:rPr>
                <w:rFonts w:ascii="仿宋" w:hAnsi="仿宋" w:eastAsia="仿宋" w:cs="仿宋"/>
                <w:sz w:val="1"/>
              </w:rPr>
            </w:pPr>
          </w:p>
        </w:tc>
        <w:tc>
          <w:tcPr>
            <w:tcW w:w="1720" w:type="dxa"/>
            <w:gridSpan w:val="3"/>
            <w:noWrap/>
            <w:vAlign w:val="bottom"/>
          </w:tcPr>
          <w:p>
            <w:pPr>
              <w:rPr>
                <w:rFonts w:ascii="仿宋" w:hAnsi="仿宋" w:eastAsia="仿宋" w:cs="仿宋"/>
                <w:sz w:val="1"/>
              </w:rPr>
            </w:pPr>
          </w:p>
        </w:tc>
        <w:tc>
          <w:tcPr>
            <w:tcW w:w="780" w:type="dxa"/>
            <w:gridSpan w:val="2"/>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88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84"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你方订立的合同，向你方提供担保。</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8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395"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3720" w:type="dxa"/>
            <w:gridSpan w:val="7"/>
            <w:noWrap/>
            <w:vAlign w:val="bottom"/>
          </w:tcPr>
          <w:p>
            <w:pPr>
              <w:rPr>
                <w:rFonts w:ascii="仿宋" w:hAnsi="仿宋" w:eastAsia="仿宋" w:cs="仿宋"/>
                <w:sz w:val="24"/>
              </w:rPr>
            </w:pPr>
            <w:r>
              <w:rPr>
                <w:rFonts w:hint="eastAsia" w:ascii="仿宋" w:hAnsi="仿宋" w:eastAsia="仿宋" w:cs="仿宋"/>
                <w:sz w:val="24"/>
              </w:rPr>
              <w:t>1. 担保金额人民币（大写）</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920" w:type="dxa"/>
            <w:gridSpan w:val="4"/>
            <w:noWrap/>
            <w:vAlign w:val="bottom"/>
          </w:tcPr>
          <w:p>
            <w:pPr>
              <w:ind w:left="120"/>
              <w:rPr>
                <w:rFonts w:ascii="仿宋" w:hAnsi="仿宋" w:eastAsia="仿宋" w:cs="仿宋"/>
                <w:sz w:val="24"/>
              </w:rPr>
            </w:pPr>
            <w:r>
              <w:rPr>
                <w:rFonts w:hint="eastAsia" w:ascii="仿宋" w:hAnsi="仿宋" w:eastAsia="仿宋" w:cs="仿宋"/>
                <w:sz w:val="24"/>
              </w:rPr>
              <w:t>元（¥</w:t>
            </w:r>
          </w:p>
        </w:tc>
        <w:tc>
          <w:tcPr>
            <w:tcW w:w="360" w:type="dxa"/>
            <w:noWrap/>
            <w:vAlign w:val="bottom"/>
          </w:tcPr>
          <w:p>
            <w:pPr>
              <w:rPr>
                <w:rFonts w:ascii="仿宋" w:hAnsi="仿宋" w:eastAsia="仿宋" w:cs="仿宋"/>
                <w:sz w:val="24"/>
              </w:rPr>
            </w:pPr>
          </w:p>
        </w:tc>
        <w:tc>
          <w:tcPr>
            <w:tcW w:w="1060" w:type="dxa"/>
            <w:gridSpan w:val="3"/>
            <w:noWrap/>
            <w:vAlign w:val="bottom"/>
          </w:tcPr>
          <w:p>
            <w:pPr>
              <w:jc w:val="right"/>
              <w:rPr>
                <w:rFonts w:ascii="仿宋" w:hAnsi="仿宋" w:eastAsia="仿宋" w:cs="仿宋"/>
                <w:w w:val="70"/>
                <w:sz w:val="24"/>
              </w:rPr>
            </w:pPr>
            <w:r>
              <w:rPr>
                <w:rFonts w:hint="eastAsia" w:ascii="仿宋" w:hAnsi="仿宋" w:eastAsia="仿宋" w:cs="仿宋"/>
                <w:w w:val="70"/>
                <w:sz w:val="24"/>
              </w:rPr>
              <w:t>）。</w:t>
            </w:r>
          </w:p>
        </w:tc>
      </w:tr>
      <w:tr>
        <w:tblPrEx>
          <w:tblLayout w:type="fixed"/>
          <w:tblCellMar>
            <w:top w:w="0" w:type="dxa"/>
            <w:left w:w="0" w:type="dxa"/>
            <w:bottom w:w="0" w:type="dxa"/>
            <w:right w:w="0" w:type="dxa"/>
          </w:tblCellMar>
        </w:tblPrEx>
        <w:trPr>
          <w:trHeight w:val="20" w:hRule="atLeast"/>
        </w:trPr>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66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8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bl>
    <w:p>
      <w:pPr>
        <w:rPr>
          <w:rFonts w:ascii="仿宋" w:hAnsi="仿宋" w:eastAsia="仿宋" w:cs="仿宋"/>
        </w:rPr>
      </w:pPr>
    </w:p>
    <w:p>
      <w:pPr>
        <w:numPr>
          <w:ilvl w:val="0"/>
          <w:numId w:val="78"/>
        </w:numPr>
        <w:tabs>
          <w:tab w:val="left" w:pos="787"/>
        </w:tabs>
        <w:ind w:firstLine="484"/>
        <w:jc w:val="both"/>
        <w:rPr>
          <w:rFonts w:ascii="仿宋" w:hAnsi="仿宋" w:eastAsia="仿宋" w:cs="仿宋"/>
          <w:sz w:val="24"/>
        </w:rPr>
      </w:pPr>
      <w:r>
        <w:rPr>
          <w:rFonts w:hint="eastAsia" w:ascii="仿宋" w:hAnsi="仿宋" w:eastAsia="仿宋" w:cs="仿宋"/>
          <w:sz w:val="24"/>
        </w:rPr>
        <w:t>担保有效期自发包人与承包人签订的合同生效之日起至发包人签发交工验收证书且承包人按照合同约定缴纳质量保证金之日止。</w:t>
      </w:r>
      <w:r>
        <w:rPr>
          <w:rFonts w:hint="eastAsia" w:ascii="仿宋" w:hAnsi="仿宋" w:eastAsia="仿宋" w:cs="仿宋"/>
          <w:sz w:val="27"/>
          <w:vertAlign w:val="superscript"/>
        </w:rPr>
        <w:t>①</w:t>
      </w:r>
    </w:p>
    <w:p>
      <w:pPr>
        <w:rPr>
          <w:rFonts w:ascii="仿宋" w:hAnsi="仿宋" w:eastAsia="仿宋" w:cs="仿宋"/>
          <w:sz w:val="24"/>
        </w:rPr>
      </w:pPr>
    </w:p>
    <w:p>
      <w:pPr>
        <w:numPr>
          <w:ilvl w:val="0"/>
          <w:numId w:val="78"/>
        </w:numPr>
        <w:tabs>
          <w:tab w:val="left" w:pos="780"/>
        </w:tabs>
        <w:ind w:firstLine="484"/>
        <w:jc w:val="both"/>
        <w:rPr>
          <w:rFonts w:ascii="仿宋" w:hAnsi="仿宋" w:eastAsia="仿宋" w:cs="仿宋"/>
          <w:sz w:val="24"/>
        </w:rPr>
      </w:pPr>
      <w:r>
        <w:rPr>
          <w:rFonts w:hint="eastAsia" w:ascii="仿宋" w:hAnsi="仿宋" w:eastAsia="仿宋" w:cs="仿宋"/>
          <w:sz w:val="24"/>
        </w:rPr>
        <w:t>在本担保有效期内，因承包人违反合同约定的义务给你方造成经济损失时，我方在收到你方以书面形式提出的在担保金额内的赔偿要求后，在 7 日内无条件支付，无须你方出具证明或陈述理由。</w:t>
      </w:r>
    </w:p>
    <w:p>
      <w:pPr>
        <w:rPr>
          <w:rFonts w:ascii="仿宋" w:hAnsi="仿宋" w:eastAsia="仿宋" w:cs="仿宋"/>
          <w:sz w:val="24"/>
        </w:rPr>
      </w:pPr>
    </w:p>
    <w:p>
      <w:pPr>
        <w:numPr>
          <w:ilvl w:val="0"/>
          <w:numId w:val="78"/>
        </w:numPr>
        <w:tabs>
          <w:tab w:val="left" w:pos="780"/>
        </w:tabs>
        <w:ind w:firstLine="484"/>
        <w:jc w:val="both"/>
        <w:rPr>
          <w:rFonts w:ascii="仿宋" w:hAnsi="仿宋" w:eastAsia="仿宋" w:cs="仿宋"/>
          <w:sz w:val="24"/>
        </w:rPr>
      </w:pPr>
      <w:r>
        <w:rPr>
          <w:rFonts w:hint="eastAsia" w:ascii="仿宋" w:hAnsi="仿宋" w:eastAsia="仿宋" w:cs="仿宋"/>
          <w:sz w:val="24"/>
        </w:rPr>
        <w:t>发包人和承包人按合同条款第 15 条变更合同时，无论我方是否收到该变更，我方承担本担保规定的义务不变。</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10"/>
        <w:tblW w:w="5300" w:type="dxa"/>
        <w:tblInd w:w="3500" w:type="dxa"/>
        <w:tblLayout w:type="fixed"/>
        <w:tblCellMar>
          <w:top w:w="0" w:type="dxa"/>
          <w:left w:w="0" w:type="dxa"/>
          <w:bottom w:w="0" w:type="dxa"/>
          <w:right w:w="0" w:type="dxa"/>
        </w:tblCellMar>
      </w:tblPr>
      <w:tblGrid>
        <w:gridCol w:w="480"/>
        <w:gridCol w:w="720"/>
        <w:gridCol w:w="140"/>
        <w:gridCol w:w="720"/>
        <w:gridCol w:w="840"/>
        <w:gridCol w:w="180"/>
        <w:gridCol w:w="180"/>
        <w:gridCol w:w="720"/>
        <w:gridCol w:w="360"/>
        <w:gridCol w:w="60"/>
        <w:gridCol w:w="500"/>
        <w:gridCol w:w="40"/>
        <w:gridCol w:w="100"/>
        <w:gridCol w:w="260"/>
      </w:tblGrid>
      <w:tr>
        <w:tblPrEx>
          <w:tblLayout w:type="fixed"/>
          <w:tblCellMar>
            <w:top w:w="0" w:type="dxa"/>
            <w:left w:w="0" w:type="dxa"/>
            <w:bottom w:w="0" w:type="dxa"/>
            <w:right w:w="0" w:type="dxa"/>
          </w:tblCellMar>
        </w:tblPrEx>
        <w:trPr>
          <w:trHeight w:val="274"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担保人名称：</w:t>
            </w:r>
          </w:p>
        </w:tc>
        <w:tc>
          <w:tcPr>
            <w:tcW w:w="204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78"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地</w:t>
            </w:r>
          </w:p>
        </w:tc>
        <w:tc>
          <w:tcPr>
            <w:tcW w:w="2600" w:type="dxa"/>
            <w:gridSpan w:val="5"/>
            <w:noWrap/>
            <w:vAlign w:val="bottom"/>
          </w:tcPr>
          <w:p>
            <w:pPr>
              <w:ind w:left="240"/>
              <w:rPr>
                <w:rFonts w:ascii="仿宋" w:hAnsi="仿宋" w:eastAsia="仿宋" w:cs="仿宋"/>
                <w:sz w:val="24"/>
              </w:rPr>
            </w:pPr>
            <w:r>
              <w:rPr>
                <w:rFonts w:hint="eastAsia" w:ascii="仿宋" w:hAnsi="仿宋" w:eastAsia="仿宋" w:cs="仿宋"/>
                <w:sz w:val="24"/>
              </w:rPr>
              <w:t>址：</w:t>
            </w:r>
          </w:p>
        </w:tc>
        <w:tc>
          <w:tcPr>
            <w:tcW w:w="180" w:type="dxa"/>
            <w:tcBorders>
              <w:top w:val="single" w:color="auto" w:sz="8" w:space="0"/>
            </w:tcBorders>
            <w:noWrap/>
            <w:vAlign w:val="bottom"/>
          </w:tcPr>
          <w:p>
            <w:pPr>
              <w:rPr>
                <w:rFonts w:ascii="仿宋" w:hAnsi="仿宋" w:eastAsia="仿宋" w:cs="仿宋"/>
                <w:sz w:val="24"/>
              </w:rPr>
            </w:pPr>
          </w:p>
        </w:tc>
        <w:tc>
          <w:tcPr>
            <w:tcW w:w="72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tcBorders>
            <w:noWrap/>
            <w:vAlign w:val="bottom"/>
          </w:tcPr>
          <w:p>
            <w:pPr>
              <w:rPr>
                <w:rFonts w:ascii="仿宋" w:hAnsi="仿宋" w:eastAsia="仿宋" w:cs="仿宋"/>
                <w:sz w:val="24"/>
              </w:rPr>
            </w:pPr>
          </w:p>
        </w:tc>
        <w:tc>
          <w:tcPr>
            <w:tcW w:w="60" w:type="dxa"/>
            <w:tcBorders>
              <w:top w:val="single" w:color="auto" w:sz="8" w:space="0"/>
            </w:tcBorders>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邮政编码：</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78" w:hRule="atLeast"/>
        </w:trPr>
        <w:tc>
          <w:tcPr>
            <w:tcW w:w="480" w:type="dxa"/>
            <w:noWrap/>
            <w:vAlign w:val="bottom"/>
          </w:tcPr>
          <w:p>
            <w:pPr>
              <w:rPr>
                <w:rFonts w:ascii="仿宋" w:hAnsi="仿宋" w:eastAsia="仿宋" w:cs="仿宋"/>
                <w:sz w:val="24"/>
              </w:rPr>
            </w:pPr>
            <w:r>
              <w:rPr>
                <w:rFonts w:hint="eastAsia" w:ascii="仿宋" w:hAnsi="仿宋" w:eastAsia="仿宋" w:cs="仿宋"/>
                <w:sz w:val="24"/>
              </w:rPr>
              <w:t>电</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话：</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传</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真：</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8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ind w:left="120"/>
              <w:rPr>
                <w:rFonts w:ascii="仿宋" w:hAnsi="仿宋" w:eastAsia="仿宋" w:cs="仿宋"/>
                <w:w w:val="91"/>
                <w:sz w:val="24"/>
              </w:rPr>
            </w:pPr>
            <w:r>
              <w:rPr>
                <w:rFonts w:hint="eastAsia" w:ascii="仿宋" w:hAnsi="仿宋" w:eastAsia="仿宋" w:cs="仿宋"/>
                <w:w w:val="91"/>
                <w:sz w:val="24"/>
              </w:rPr>
              <w:t>年</w:t>
            </w:r>
          </w:p>
        </w:tc>
        <w:tc>
          <w:tcPr>
            <w:tcW w:w="720" w:type="dxa"/>
            <w:tcBorders>
              <w:bottom w:val="single" w:color="auto" w:sz="8" w:space="0"/>
            </w:tcBorders>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r>
              <w:rPr>
                <w:rFonts w:hint="eastAsia" w:ascii="仿宋" w:hAnsi="仿宋" w:eastAsia="仿宋" w:cs="仿宋"/>
                <w:sz w:val="24"/>
              </w:rPr>
              <w:t>月</w:t>
            </w:r>
          </w:p>
        </w:tc>
        <w:tc>
          <w:tcPr>
            <w:tcW w:w="60" w:type="dxa"/>
            <w:tcBorders>
              <w:bottom w:val="single" w:color="auto" w:sz="8" w:space="0"/>
            </w:tcBorders>
            <w:noWrap/>
            <w:vAlign w:val="bottom"/>
          </w:tcPr>
          <w:p>
            <w:pPr>
              <w:rPr>
                <w:rFonts w:ascii="仿宋" w:hAnsi="仿宋" w:eastAsia="仿宋" w:cs="仿宋"/>
                <w:sz w:val="24"/>
              </w:rPr>
            </w:pPr>
          </w:p>
        </w:tc>
        <w:tc>
          <w:tcPr>
            <w:tcW w:w="500" w:type="dxa"/>
            <w:tcBorders>
              <w:bottom w:val="single" w:color="auto" w:sz="8" w:space="0"/>
            </w:tcBorders>
            <w:noWrap/>
            <w:vAlign w:val="bottom"/>
          </w:tcPr>
          <w:p>
            <w:pPr>
              <w:rPr>
                <w:rFonts w:ascii="仿宋" w:hAnsi="仿宋" w:eastAsia="仿宋" w:cs="仿宋"/>
                <w:sz w:val="24"/>
              </w:rPr>
            </w:pPr>
          </w:p>
        </w:tc>
        <w:tc>
          <w:tcPr>
            <w:tcW w:w="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bl>
    <w:p>
      <w:pPr>
        <w:rPr>
          <w:rFonts w:ascii="仿宋" w:hAnsi="仿宋" w:eastAsia="仿宋" w:cs="仿宋"/>
        </w:rPr>
      </w:pPr>
      <w:r>
        <w:rPr>
          <w:rFonts w:ascii="仿宋" w:hAnsi="仿宋" w:eastAsia="仿宋" w:cs="仿宋"/>
          <w:w w:val="91"/>
          <w:sz w:val="24"/>
        </w:rPr>
        <w:pict>
          <v:line id="_x0000_s2069" o:spid="_x0000_s2069" o:spt="20" style="position:absolute;left:0pt;margin-left:0.2pt;margin-top:57.7pt;height:0pt;width:144pt;z-index:-251148288;mso-width-relative:page;mso-height-relative:page;" coordsize="21600,21600" o:allowincell="f" o:gfxdata="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WULOzwAAAAgBAAAPAAAAAAAAAAEAIAAA&#10;ACIAAABkcnMvZG93bnJldi54bWxQSwECFAAUAAAACACHTuJAEmw7r9wBAACYAwAADgAAAAAAAAAB&#10;ACAAAAAeAQAAZHJzL2Uyb0RvYy54bWxQSwUGAAAAAAYABgBZAQAAbAUAAAAA&#10;">
            <v:path arrowok="t"/>
            <v:fill focussize="0,0"/>
            <v:stroke weight="0.504015748031496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3400"/>
          <w:tab w:val="left" w:pos="6520"/>
        </w:tabs>
        <w:rPr>
          <w:rFonts w:ascii="仿宋" w:hAnsi="仿宋" w:eastAsia="仿宋" w:cs="仿宋"/>
          <w:sz w:val="18"/>
        </w:rPr>
      </w:pPr>
      <w:r>
        <w:rPr>
          <w:rFonts w:hint="eastAsia" w:ascii="仿宋" w:hAnsi="仿宋" w:eastAsia="仿宋" w:cs="仿宋"/>
          <w:sz w:val="18"/>
          <w:vertAlign w:val="superscript"/>
        </w:rPr>
        <w:t>①</w:t>
      </w:r>
      <w:r>
        <w:rPr>
          <w:rFonts w:hint="eastAsia" w:ascii="仿宋" w:hAnsi="仿宋" w:eastAsia="仿宋" w:cs="仿宋"/>
          <w:sz w:val="18"/>
        </w:rPr>
        <w:t>本条内容可修改为：“本担保自</w:t>
      </w:r>
      <w:r>
        <w:rPr>
          <w:rFonts w:hint="eastAsia" w:ascii="仿宋" w:hAnsi="仿宋" w:eastAsia="仿宋" w:cs="仿宋"/>
        </w:rPr>
        <w:tab/>
      </w:r>
      <w:r>
        <w:rPr>
          <w:rFonts w:hint="eastAsia" w:ascii="仿宋" w:hAnsi="仿宋" w:eastAsia="仿宋" w:cs="仿宋"/>
          <w:sz w:val="18"/>
        </w:rPr>
        <w:t>（生效日期）之日起生效，至</w:t>
      </w:r>
      <w:r>
        <w:rPr>
          <w:rFonts w:hint="eastAsia" w:ascii="仿宋" w:hAnsi="仿宋" w:eastAsia="仿宋" w:cs="仿宋"/>
        </w:rPr>
        <w:tab/>
      </w:r>
      <w:r>
        <w:rPr>
          <w:rFonts w:hint="eastAsia" w:ascii="仿宋" w:hAnsi="仿宋" w:eastAsia="仿宋" w:cs="仿宋"/>
          <w:sz w:val="18"/>
        </w:rPr>
        <w:t>（失效日期）之日失效。”</w:t>
      </w:r>
    </w:p>
    <w:p>
      <w:pPr>
        <w:rPr>
          <w:rFonts w:ascii="仿宋" w:hAnsi="仿宋" w:eastAsia="仿宋" w:cs="仿宋"/>
        </w:rPr>
      </w:pPr>
      <w:r>
        <w:rPr>
          <w:rFonts w:ascii="仿宋" w:hAnsi="仿宋" w:eastAsia="仿宋" w:cs="仿宋"/>
          <w:sz w:val="18"/>
        </w:rPr>
        <w:pict>
          <v:line id="_x0000_s2068" o:spid="_x0000_s2068" o:spt="20" style="position:absolute;left:0pt;margin-left:130.8pt;margin-top:-0.35pt;height:0pt;width:40.65pt;z-index:-251147264;mso-width-relative:page;mso-height-relative:page;" coordsize="21600,21600" o:allowincell="f" o:gfxdata="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fBtONYAAAAHAQAADwAAAAAA&#10;AAABACAAAAAiAAAAZHJzL2Rvd25yZXYueG1sUEsBAhQAFAAAAAgAh07iQKNsnnjcAQAAlwMAAA4A&#10;AAAAAAAAAQAgAAAAJQEAAGRycy9lMm9Eb2MueG1sUEsFBgAAAAAGAAYAWQEAAHMFAAAAAA==&#10;">
            <v:path arrowok="t"/>
            <v:fill focussize="0,0"/>
            <v:stroke weight="0.48pt"/>
            <v:imagedata o:title=""/>
            <o:lock v:ext="edit"/>
          </v:line>
        </w:pict>
      </w:r>
      <w:r>
        <w:rPr>
          <w:rFonts w:ascii="仿宋" w:hAnsi="仿宋" w:eastAsia="仿宋" w:cs="仿宋"/>
          <w:sz w:val="18"/>
        </w:rPr>
        <w:pict>
          <v:line id="_x0000_s2067" o:spid="_x0000_s2067" o:spt="20" style="position:absolute;left:0pt;margin-left:286.95pt;margin-top:-0.35pt;height:0pt;width:40.65pt;z-index:-251146240;mso-width-relative:page;mso-height-relative:page;" coordsize="21600,21600" o:allowincell="f" o:gfxdata="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lsDY1gAAAAcBAAAPAAAAAAAA&#10;AAEAIAAAACIAAABkcnMvZG93bnJldi54bWxQSwECFAAUAAAACACHTuJA4W2MctsBAACXAwAADgAA&#10;AAAAAAABACAAAAAlAQAAZHJzL2Uyb0RvYy54bWxQSwUGAAAAAAYABgBZAQAAcgUAAAAA&#10;">
            <v:path arrowok="t"/>
            <v:fill focussize="0,0"/>
            <v:stroke weight="0.48pt"/>
            <v:imagedata o:title=""/>
            <o:lock v:ext="edit"/>
          </v:line>
        </w:pict>
      </w:r>
    </w:p>
    <w:p>
      <w:pPr>
        <w:ind w:left="220"/>
        <w:rPr>
          <w:rFonts w:ascii="仿宋" w:hAnsi="仿宋" w:eastAsia="仿宋" w:cs="仿宋"/>
          <w:sz w:val="18"/>
        </w:rPr>
      </w:pPr>
      <w:r>
        <w:rPr>
          <w:rFonts w:hint="eastAsia" w:ascii="仿宋" w:hAnsi="仿宋" w:eastAsia="仿宋" w:cs="仿宋"/>
          <w:sz w:val="18"/>
        </w:rPr>
        <w:t>如发包人接受履约保函采用固定有效期，在项目专用合同条款中应增加保证承包人在履约保函失效日前向发</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包人出具后续阶段履约保函的约束性条款，直至发包人签发交工验收证书且承包人按照合同约定缴纳质量保</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证金之日为止。</w:t>
      </w:r>
    </w:p>
    <w:p>
      <w:pPr>
        <w:ind w:left="220"/>
        <w:rPr>
          <w:rFonts w:ascii="仿宋" w:hAnsi="仿宋" w:eastAsia="仿宋" w:cs="仿宋"/>
          <w:sz w:val="18"/>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87" w:name="page171"/>
      <w:bookmarkEnd w:id="87"/>
    </w:p>
    <w:p>
      <w:pPr>
        <w:rPr>
          <w:rFonts w:ascii="仿宋" w:hAnsi="仿宋" w:eastAsia="仿宋" w:cs="仿宋"/>
          <w:sz w:val="24"/>
        </w:rPr>
      </w:pPr>
      <w:r>
        <w:rPr>
          <w:rFonts w:hint="eastAsia" w:ascii="仿宋" w:hAnsi="仿宋" w:eastAsia="仿宋" w:cs="仿宋"/>
          <w:sz w:val="24"/>
        </w:rPr>
        <w:t>附件八 工程资金监管协议格式</w:t>
      </w:r>
    </w:p>
    <w:p>
      <w:pPr>
        <w:rPr>
          <w:rFonts w:ascii="仿宋" w:hAnsi="仿宋" w:eastAsia="仿宋" w:cs="仿宋"/>
        </w:rPr>
      </w:pPr>
    </w:p>
    <w:p>
      <w:pPr>
        <w:ind w:firstLine="480"/>
        <w:rPr>
          <w:rFonts w:ascii="仿宋" w:hAnsi="仿宋" w:eastAsia="仿宋" w:cs="仿宋"/>
          <w:sz w:val="23"/>
        </w:rPr>
      </w:pPr>
      <w:r>
        <w:rPr>
          <w:rFonts w:hint="eastAsia" w:ascii="仿宋" w:hAnsi="仿宋" w:eastAsia="仿宋" w:cs="仿宋"/>
          <w:sz w:val="23"/>
        </w:rPr>
        <w:t>（发包人与承包人签订合同协议书时应与发包人指定的银行签署工程资金监管协议，工程资金监管协议内容在保证本项目资金有效监管的前提下由三方共同商定）</w:t>
      </w:r>
    </w:p>
    <w:p>
      <w:pPr>
        <w:rPr>
          <w:rFonts w:ascii="仿宋" w:hAnsi="仿宋" w:eastAsia="仿宋" w:cs="仿宋"/>
        </w:rPr>
      </w:pPr>
    </w:p>
    <w:p>
      <w:pPr>
        <w:ind w:left="3220"/>
        <w:rPr>
          <w:rFonts w:ascii="仿宋" w:hAnsi="仿宋" w:eastAsia="仿宋" w:cs="仿宋"/>
          <w:sz w:val="28"/>
        </w:rPr>
      </w:pPr>
      <w:r>
        <w:rPr>
          <w:rFonts w:hint="eastAsia" w:ascii="仿宋" w:hAnsi="仿宋" w:eastAsia="仿宋" w:cs="仿宋"/>
          <w:sz w:val="28"/>
        </w:rPr>
        <w:t>工程资金监管协议</w:t>
      </w:r>
    </w:p>
    <w:p>
      <w:pPr>
        <w:rPr>
          <w:rFonts w:ascii="仿宋" w:hAnsi="仿宋" w:eastAsia="仿宋" w:cs="仿宋"/>
        </w:rPr>
      </w:pPr>
    </w:p>
    <w:p>
      <w:pPr>
        <w:rPr>
          <w:rFonts w:ascii="仿宋" w:hAnsi="仿宋" w:eastAsia="仿宋" w:cs="仿宋"/>
        </w:rPr>
      </w:pPr>
    </w:p>
    <w:tbl>
      <w:tblPr>
        <w:tblStyle w:val="10"/>
        <w:tblW w:w="8800" w:type="dxa"/>
        <w:tblInd w:w="0" w:type="dxa"/>
        <w:tblLayout w:type="fixed"/>
        <w:tblCellMar>
          <w:top w:w="0" w:type="dxa"/>
          <w:left w:w="0" w:type="dxa"/>
          <w:bottom w:w="0" w:type="dxa"/>
          <w:right w:w="0" w:type="dxa"/>
        </w:tblCellMar>
      </w:tblPr>
      <w:tblGrid>
        <w:gridCol w:w="960"/>
        <w:gridCol w:w="240"/>
        <w:gridCol w:w="240"/>
        <w:gridCol w:w="820"/>
        <w:gridCol w:w="160"/>
        <w:gridCol w:w="460"/>
        <w:gridCol w:w="120"/>
        <w:gridCol w:w="220"/>
        <w:gridCol w:w="3380"/>
        <w:gridCol w:w="840"/>
        <w:gridCol w:w="1360"/>
      </w:tblGrid>
      <w:tr>
        <w:tblPrEx>
          <w:tblLayout w:type="fixed"/>
          <w:tblCellMar>
            <w:top w:w="0" w:type="dxa"/>
            <w:left w:w="0" w:type="dxa"/>
            <w:bottom w:w="0" w:type="dxa"/>
            <w:right w:w="0" w:type="dxa"/>
          </w:tblCellMar>
        </w:tblPrEx>
        <w:trPr>
          <w:trHeight w:val="292"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460" w:type="dxa"/>
            <w:noWrap/>
            <w:vAlign w:val="bottom"/>
          </w:tcPr>
          <w:p>
            <w:pPr>
              <w:rPr>
                <w:rFonts w:ascii="仿宋" w:hAnsi="仿宋" w:eastAsia="仿宋" w:cs="仿宋"/>
                <w:sz w:val="24"/>
              </w:rPr>
            </w:pPr>
          </w:p>
        </w:tc>
        <w:tc>
          <w:tcPr>
            <w:tcW w:w="3720" w:type="dxa"/>
            <w:gridSpan w:val="3"/>
            <w:noWrap/>
            <w:vAlign w:val="bottom"/>
          </w:tcPr>
          <w:p>
            <w:pPr>
              <w:rPr>
                <w:rFonts w:ascii="仿宋" w:hAnsi="仿宋" w:eastAsia="仿宋" w:cs="仿宋"/>
                <w:sz w:val="24"/>
              </w:rPr>
            </w:pPr>
            <w:r>
              <w:rPr>
                <w:rFonts w:hint="eastAsia" w:ascii="仿宋" w:hAnsi="仿宋" w:eastAsia="仿宋" w:cs="仿宋"/>
                <w:sz w:val="24"/>
              </w:rPr>
              <w:t>（以下简称“甲方”）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3720" w:type="dxa"/>
            <w:gridSpan w:val="3"/>
            <w:vMerge w:val="restart"/>
            <w:noWrap/>
            <w:vAlign w:val="bottom"/>
          </w:tcPr>
          <w:p>
            <w:pPr>
              <w:rPr>
                <w:rFonts w:ascii="仿宋" w:hAnsi="仿宋" w:eastAsia="仿宋" w:cs="仿宋"/>
                <w:sz w:val="24"/>
              </w:rPr>
            </w:pPr>
            <w:r>
              <w:rPr>
                <w:rFonts w:hint="eastAsia" w:ascii="仿宋" w:hAnsi="仿宋" w:eastAsia="仿宋" w:cs="仿宋"/>
                <w:sz w:val="24"/>
              </w:rPr>
              <w:t>（以下简称“乙方”）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59"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承包人：</w:t>
            </w:r>
          </w:p>
        </w:tc>
        <w:tc>
          <w:tcPr>
            <w:tcW w:w="460" w:type="dxa"/>
            <w:noWrap/>
            <w:vAlign w:val="bottom"/>
          </w:tcPr>
          <w:p>
            <w:pPr>
              <w:rPr>
                <w:rFonts w:ascii="仿宋" w:hAnsi="仿宋" w:eastAsia="仿宋" w:cs="仿宋"/>
                <w:sz w:val="24"/>
              </w:rPr>
            </w:pPr>
          </w:p>
        </w:tc>
        <w:tc>
          <w:tcPr>
            <w:tcW w:w="3720" w:type="dxa"/>
            <w:gridSpan w:val="3"/>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0" w:type="dxa"/>
            <w:gridSpan w:val="2"/>
            <w:vMerge w:val="restart"/>
            <w:noWrap/>
            <w:vAlign w:val="bottom"/>
          </w:tcPr>
          <w:p>
            <w:pPr>
              <w:rPr>
                <w:rFonts w:ascii="仿宋" w:hAnsi="仿宋" w:eastAsia="仿宋" w:cs="仿宋"/>
                <w:sz w:val="24"/>
              </w:rPr>
            </w:pPr>
            <w:r>
              <w:rPr>
                <w:rFonts w:hint="eastAsia" w:ascii="仿宋" w:hAnsi="仿宋" w:eastAsia="仿宋" w:cs="仿宋"/>
                <w:sz w:val="24"/>
              </w:rPr>
              <w:t>（以下简称“丙方”）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60"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经办银行：</w:t>
            </w: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0" w:type="dxa"/>
            <w:gridSpan w:val="2"/>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580" w:type="dxa"/>
            <w:gridSpan w:val="2"/>
            <w:shd w:val="clear" w:color="auto" w:fill="000000"/>
            <w:noWrap/>
            <w:vAlign w:val="bottom"/>
          </w:tcPr>
          <w:p>
            <w:pPr>
              <w:rPr>
                <w:rFonts w:ascii="仿宋" w:hAnsi="仿宋" w:eastAsia="仿宋" w:cs="仿宋"/>
                <w:sz w:val="1"/>
              </w:rPr>
            </w:pPr>
          </w:p>
        </w:tc>
        <w:tc>
          <w:tcPr>
            <w:tcW w:w="220" w:type="dxa"/>
            <w:noWrap/>
            <w:vAlign w:val="bottom"/>
          </w:tcPr>
          <w:p>
            <w:pPr>
              <w:rPr>
                <w:rFonts w:ascii="仿宋" w:hAnsi="仿宋" w:eastAsia="仿宋" w:cs="仿宋"/>
                <w:sz w:val="1"/>
              </w:rPr>
            </w:pPr>
          </w:p>
        </w:tc>
        <w:tc>
          <w:tcPr>
            <w:tcW w:w="4220" w:type="dxa"/>
            <w:gridSpan w:val="2"/>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741" w:hRule="atLeast"/>
        </w:trPr>
        <w:tc>
          <w:tcPr>
            <w:tcW w:w="2420" w:type="dxa"/>
            <w:gridSpan w:val="5"/>
            <w:noWrap/>
            <w:vAlign w:val="bottom"/>
          </w:tcPr>
          <w:p>
            <w:pPr>
              <w:ind w:left="480"/>
              <w:rPr>
                <w:rFonts w:ascii="仿宋" w:hAnsi="仿宋" w:eastAsia="仿宋" w:cs="仿宋"/>
                <w:sz w:val="24"/>
              </w:rPr>
            </w:pPr>
            <w:r>
              <w:rPr>
                <w:rFonts w:hint="eastAsia" w:ascii="仿宋" w:hAnsi="仿宋" w:eastAsia="仿宋" w:cs="仿宋"/>
                <w:sz w:val="24"/>
              </w:rPr>
              <w:t>为了促进</w:t>
            </w:r>
          </w:p>
        </w:tc>
        <w:tc>
          <w:tcPr>
            <w:tcW w:w="6380" w:type="dxa"/>
            <w:gridSpan w:val="6"/>
            <w:noWrap/>
            <w:vAlign w:val="bottom"/>
          </w:tcPr>
          <w:p>
            <w:pPr>
              <w:jc w:val="right"/>
              <w:rPr>
                <w:rFonts w:ascii="仿宋" w:hAnsi="仿宋" w:eastAsia="仿宋" w:cs="仿宋"/>
                <w:w w:val="99"/>
                <w:sz w:val="24"/>
              </w:rPr>
            </w:pPr>
            <w:r>
              <w:rPr>
                <w:rFonts w:hint="eastAsia" w:ascii="仿宋" w:hAnsi="仿宋" w:eastAsia="仿宋" w:cs="仿宋"/>
                <w:w w:val="99"/>
                <w:sz w:val="24"/>
              </w:rPr>
              <w:t>（项目名称）的顺利实施，管好用好建设资金，确保工程资</w:t>
            </w:r>
          </w:p>
        </w:tc>
      </w:tr>
      <w:tr>
        <w:tblPrEx>
          <w:tblLayout w:type="fixed"/>
          <w:tblCellMar>
            <w:top w:w="0" w:type="dxa"/>
            <w:left w:w="0" w:type="dxa"/>
            <w:bottom w:w="0" w:type="dxa"/>
            <w:right w:w="0" w:type="dxa"/>
          </w:tblCellMar>
        </w:tblPrEx>
        <w:trPr>
          <w:trHeight w:val="20" w:hRule="atLeast"/>
        </w:trPr>
        <w:tc>
          <w:tcPr>
            <w:tcW w:w="1440" w:type="dxa"/>
            <w:gridSpan w:val="3"/>
            <w:shd w:val="clear" w:color="auto" w:fill="auto"/>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800" w:type="dxa"/>
            <w:gridSpan w:val="3"/>
            <w:noWrap/>
            <w:vAlign w:val="bottom"/>
          </w:tcPr>
          <w:p>
            <w:pPr>
              <w:rPr>
                <w:rFonts w:ascii="仿宋" w:hAnsi="仿宋" w:eastAsia="仿宋" w:cs="仿宋"/>
                <w:sz w:val="1"/>
              </w:rPr>
            </w:pPr>
          </w:p>
        </w:tc>
        <w:tc>
          <w:tcPr>
            <w:tcW w:w="3380" w:type="dxa"/>
            <w:noWrap/>
            <w:vAlign w:val="bottom"/>
          </w:tcPr>
          <w:p>
            <w:pPr>
              <w:rPr>
                <w:rFonts w:ascii="仿宋" w:hAnsi="仿宋" w:eastAsia="仿宋" w:cs="仿宋"/>
                <w:sz w:val="1"/>
              </w:rPr>
            </w:pP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59" w:hRule="atLeast"/>
        </w:trPr>
        <w:tc>
          <w:tcPr>
            <w:tcW w:w="6600" w:type="dxa"/>
            <w:gridSpan w:val="9"/>
            <w:noWrap/>
            <w:vAlign w:val="bottom"/>
          </w:tcPr>
          <w:p>
            <w:pPr>
              <w:rPr>
                <w:rFonts w:ascii="仿宋" w:hAnsi="仿宋" w:eastAsia="仿宋" w:cs="仿宋"/>
                <w:w w:val="97"/>
                <w:sz w:val="24"/>
              </w:rPr>
            </w:pPr>
            <w:r>
              <w:rPr>
                <w:rFonts w:hint="eastAsia" w:ascii="仿宋" w:hAnsi="仿宋" w:eastAsia="仿宋" w:cs="仿宋"/>
                <w:w w:val="97"/>
                <w:sz w:val="24"/>
              </w:rPr>
              <w:t>金专款专用，同时为承包人提供便捷有效的银行业务服务，根据</w:t>
            </w:r>
          </w:p>
        </w:tc>
        <w:tc>
          <w:tcPr>
            <w:tcW w:w="2200" w:type="dxa"/>
            <w:gridSpan w:val="2"/>
            <w:noWrap/>
            <w:vAlign w:val="bottom"/>
          </w:tcPr>
          <w:p>
            <w:pPr>
              <w:jc w:val="right"/>
              <w:rPr>
                <w:rFonts w:ascii="仿宋" w:hAnsi="仿宋" w:eastAsia="仿宋" w:cs="仿宋"/>
                <w:sz w:val="24"/>
              </w:rPr>
            </w:pPr>
            <w:r>
              <w:rPr>
                <w:rFonts w:hint="eastAsia" w:ascii="仿宋" w:hAnsi="仿宋" w:eastAsia="仿宋" w:cs="仿宋"/>
                <w:sz w:val="24"/>
              </w:rPr>
              <w:t>（项目名称）</w:t>
            </w:r>
          </w:p>
        </w:tc>
      </w:tr>
      <w:tr>
        <w:tblPrEx>
          <w:tblLayout w:type="fixed"/>
          <w:tblCellMar>
            <w:top w:w="0" w:type="dxa"/>
            <w:left w:w="0" w:type="dxa"/>
            <w:bottom w:w="0" w:type="dxa"/>
            <w:right w:w="0" w:type="dxa"/>
          </w:tblCellMar>
        </w:tblPrEx>
        <w:trPr>
          <w:trHeight w:val="367" w:hRule="atLeast"/>
        </w:trPr>
        <w:tc>
          <w:tcPr>
            <w:tcW w:w="6600" w:type="dxa"/>
            <w:gridSpan w:val="9"/>
            <w:noWrap/>
            <w:vAlign w:val="bottom"/>
          </w:tcPr>
          <w:p>
            <w:pPr>
              <w:rPr>
                <w:rFonts w:ascii="仿宋" w:hAnsi="仿宋" w:eastAsia="仿宋" w:cs="仿宋"/>
                <w:sz w:val="24"/>
              </w:rPr>
            </w:pPr>
            <w:r>
              <w:rPr>
                <w:rFonts w:hint="eastAsia" w:ascii="仿宋" w:hAnsi="仿宋" w:eastAsia="仿宋" w:cs="仿宋"/>
                <w:sz w:val="24"/>
              </w:rPr>
              <w:t>合同条款有关规定，经甲、乙、丙三方协商，达成协议如下：</w:t>
            </w:r>
          </w:p>
        </w:tc>
        <w:tc>
          <w:tcPr>
            <w:tcW w:w="840" w:type="dxa"/>
            <w:tcBorders>
              <w:top w:val="single" w:color="auto" w:sz="8" w:space="0"/>
            </w:tcBorders>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397" w:hRule="atLeast"/>
        </w:trPr>
        <w:tc>
          <w:tcPr>
            <w:tcW w:w="6600" w:type="dxa"/>
            <w:gridSpan w:val="9"/>
            <w:noWrap/>
            <w:vAlign w:val="bottom"/>
          </w:tcPr>
          <w:p>
            <w:pPr>
              <w:ind w:left="480"/>
              <w:rPr>
                <w:rFonts w:ascii="仿宋" w:hAnsi="仿宋" w:eastAsia="仿宋" w:cs="仿宋"/>
                <w:sz w:val="24"/>
              </w:rPr>
            </w:pPr>
            <w:r>
              <w:rPr>
                <w:rFonts w:hint="eastAsia" w:ascii="仿宋" w:hAnsi="仿宋" w:eastAsia="仿宋" w:cs="仿宋"/>
                <w:sz w:val="24"/>
              </w:rPr>
              <w:t>1. 资金管理的内容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356" w:hRule="atLeast"/>
        </w:trPr>
        <w:tc>
          <w:tcPr>
            <w:tcW w:w="2260" w:type="dxa"/>
            <w:gridSpan w:val="4"/>
            <w:noWrap/>
            <w:vAlign w:val="bottom"/>
          </w:tcPr>
          <w:p>
            <w:pPr>
              <w:ind w:left="480"/>
              <w:rPr>
                <w:rFonts w:ascii="仿宋" w:hAnsi="仿宋" w:eastAsia="仿宋" w:cs="仿宋"/>
                <w:w w:val="97"/>
                <w:sz w:val="24"/>
              </w:rPr>
            </w:pPr>
            <w:r>
              <w:rPr>
                <w:rFonts w:hint="eastAsia" w:ascii="仿宋" w:hAnsi="仿宋" w:eastAsia="仿宋" w:cs="仿宋"/>
                <w:w w:val="97"/>
                <w:sz w:val="24"/>
              </w:rPr>
              <w:t>（1）乙方为完成</w:t>
            </w:r>
          </w:p>
        </w:tc>
        <w:tc>
          <w:tcPr>
            <w:tcW w:w="16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800" w:type="dxa"/>
            <w:gridSpan w:val="4"/>
            <w:noWrap/>
            <w:vAlign w:val="bottom"/>
          </w:tcPr>
          <w:p>
            <w:pPr>
              <w:jc w:val="right"/>
              <w:rPr>
                <w:rFonts w:ascii="仿宋" w:hAnsi="仿宋" w:eastAsia="仿宋" w:cs="仿宋"/>
                <w:sz w:val="24"/>
              </w:rPr>
            </w:pPr>
            <w:r>
              <w:rPr>
                <w:rFonts w:hint="eastAsia" w:ascii="仿宋" w:hAnsi="仿宋" w:eastAsia="仿宋" w:cs="仿宋"/>
                <w:sz w:val="24"/>
              </w:rPr>
              <w:t>（项目名称）工程成立的项目经理部在丙方开设基本</w:t>
            </w:r>
          </w:p>
        </w:tc>
      </w:tr>
      <w:tr>
        <w:tblPrEx>
          <w:tblLayout w:type="fixed"/>
          <w:tblCellMar>
            <w:top w:w="0" w:type="dxa"/>
            <w:left w:w="0" w:type="dxa"/>
            <w:bottom w:w="0" w:type="dxa"/>
            <w:right w:w="0" w:type="dxa"/>
          </w:tblCellMar>
        </w:tblPrEx>
        <w:trPr>
          <w:trHeight w:val="367" w:hRule="atLeast"/>
        </w:trPr>
        <w:tc>
          <w:tcPr>
            <w:tcW w:w="2260" w:type="dxa"/>
            <w:gridSpan w:val="4"/>
            <w:noWrap/>
            <w:vAlign w:val="bottom"/>
          </w:tcPr>
          <w:p>
            <w:pPr>
              <w:rPr>
                <w:rFonts w:ascii="仿宋" w:hAnsi="仿宋" w:eastAsia="仿宋" w:cs="仿宋"/>
                <w:sz w:val="24"/>
              </w:rPr>
            </w:pPr>
            <w:r>
              <w:rPr>
                <w:rFonts w:hint="eastAsia" w:ascii="仿宋" w:hAnsi="仿宋" w:eastAsia="仿宋" w:cs="仿宋"/>
                <w:sz w:val="24"/>
              </w:rPr>
              <w:t>结算户；</w:t>
            </w:r>
          </w:p>
        </w:tc>
        <w:tc>
          <w:tcPr>
            <w:tcW w:w="160" w:type="dxa"/>
            <w:tcBorders>
              <w:top w:val="single" w:color="auto" w:sz="8" w:space="0"/>
            </w:tcBorders>
            <w:noWrap/>
            <w:vAlign w:val="bottom"/>
          </w:tcPr>
          <w:p>
            <w:pPr>
              <w:rPr>
                <w:rFonts w:ascii="仿宋" w:hAnsi="仿宋" w:eastAsia="仿宋" w:cs="仿宋"/>
                <w:sz w:val="24"/>
              </w:rPr>
            </w:pPr>
          </w:p>
        </w:tc>
        <w:tc>
          <w:tcPr>
            <w:tcW w:w="46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220" w:type="dxa"/>
            <w:tcBorders>
              <w:top w:val="single" w:color="auto" w:sz="8" w:space="0"/>
            </w:tcBorders>
            <w:noWrap/>
            <w:vAlign w:val="bottom"/>
          </w:tcPr>
          <w:p>
            <w:pPr>
              <w:rPr>
                <w:rFonts w:ascii="仿宋" w:hAnsi="仿宋" w:eastAsia="仿宋" w:cs="仿宋"/>
                <w:sz w:val="24"/>
              </w:rPr>
            </w:pPr>
          </w:p>
        </w:tc>
        <w:tc>
          <w:tcPr>
            <w:tcW w:w="338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bl>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（2）甲方应按合同规定将工程款汇入乙方在丙方开设的账户；（3）乙方应将流动资金及甲方所拨付资金专项用于 （项目名称）；</w:t>
      </w:r>
    </w:p>
    <w:p>
      <w:pPr>
        <w:rPr>
          <w:rFonts w:ascii="仿宋" w:hAnsi="仿宋" w:eastAsia="仿宋" w:cs="仿宋"/>
        </w:rPr>
      </w:pPr>
      <w:r>
        <w:rPr>
          <w:rFonts w:ascii="仿宋" w:hAnsi="仿宋" w:eastAsia="仿宋" w:cs="仿宋"/>
          <w:sz w:val="24"/>
        </w:rPr>
        <w:pict>
          <v:line id="_x0000_s2066" o:spid="_x0000_s2066" o:spt="20" style="position:absolute;left:0pt;margin-left:294.25pt;margin-top:-4.9pt;height:0pt;width:48pt;z-index:-251145216;mso-width-relative:page;mso-height-relative:page;" coordsize="21600,21600" o:allowincell="f" o:gfxdata="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0j8XtUAAAAJAQAADwAAAAAAAAAB&#10;ACAAAAAiAAAAZHJzL2Rvd25yZXYueG1sUEsBAhQAFAAAAAgAh07iQCpVlbfaAQAAlwMAAA4AAAAA&#10;AAAAAQAgAAAAJAEAAGRycy9lMm9Eb2MueG1sUEsFBgAAAAAGAAYAWQEAAHAFAAAAAA==&#10;">
            <v:path arrowok="t"/>
            <v:fill focussize="0,0"/>
            <v:stroke weight="0.6pt"/>
            <v:imagedata o:title=""/>
            <o:lock v:ext="edit"/>
          </v:line>
        </w:pict>
      </w:r>
    </w:p>
    <w:p>
      <w:pPr>
        <w:ind w:firstLine="480"/>
        <w:rPr>
          <w:rFonts w:ascii="仿宋" w:hAnsi="仿宋" w:eastAsia="仿宋" w:cs="仿宋"/>
          <w:sz w:val="24"/>
        </w:rPr>
      </w:pPr>
      <w:r>
        <w:rPr>
          <w:rFonts w:hint="eastAsia" w:ascii="仿宋" w:hAnsi="仿宋" w:eastAsia="仿宋" w:cs="仿宋"/>
          <w:sz w:val="24"/>
        </w:rPr>
        <w:t>（4）丙方应为乙方提供便捷有效的银行业务服务，并接受甲方委托对乙方在丙方开设的基本结算户资金使用情况进行监督。</w:t>
      </w:r>
    </w:p>
    <w:p>
      <w:pPr>
        <w:rPr>
          <w:rFonts w:ascii="仿宋" w:hAnsi="仿宋" w:eastAsia="仿宋" w:cs="仿宋"/>
        </w:rPr>
      </w:pPr>
    </w:p>
    <w:tbl>
      <w:tblPr>
        <w:tblStyle w:val="10"/>
        <w:tblW w:w="8680" w:type="dxa"/>
        <w:tblInd w:w="0" w:type="dxa"/>
        <w:tblLayout w:type="fixed"/>
        <w:tblCellMar>
          <w:top w:w="0" w:type="dxa"/>
          <w:left w:w="0" w:type="dxa"/>
          <w:bottom w:w="0" w:type="dxa"/>
          <w:right w:w="0" w:type="dxa"/>
        </w:tblCellMar>
      </w:tblPr>
      <w:tblGrid>
        <w:gridCol w:w="1540"/>
        <w:gridCol w:w="700"/>
        <w:gridCol w:w="260"/>
        <w:gridCol w:w="6180"/>
      </w:tblGrid>
      <w:tr>
        <w:tblPrEx>
          <w:tblLayout w:type="fixed"/>
          <w:tblCellMar>
            <w:top w:w="0" w:type="dxa"/>
            <w:left w:w="0" w:type="dxa"/>
            <w:bottom w:w="0" w:type="dxa"/>
            <w:right w:w="0" w:type="dxa"/>
          </w:tblCellMar>
        </w:tblPrEx>
        <w:trPr>
          <w:trHeight w:val="292"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2. 甲方的权责</w:t>
            </w:r>
          </w:p>
        </w:tc>
        <w:tc>
          <w:tcPr>
            <w:tcW w:w="260" w:type="dxa"/>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r>
        <w:tblPrEx>
          <w:tblLayout w:type="fixed"/>
          <w:tblCellMar>
            <w:top w:w="0" w:type="dxa"/>
            <w:left w:w="0" w:type="dxa"/>
            <w:bottom w:w="0" w:type="dxa"/>
            <w:right w:w="0" w:type="dxa"/>
          </w:tblCellMar>
        </w:tblPrEx>
        <w:trPr>
          <w:trHeight w:val="358"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（1）按照</w:t>
            </w:r>
          </w:p>
        </w:tc>
        <w:tc>
          <w:tcPr>
            <w:tcW w:w="6440" w:type="dxa"/>
            <w:gridSpan w:val="2"/>
            <w:noWrap/>
            <w:vAlign w:val="bottom"/>
          </w:tcPr>
          <w:p>
            <w:pPr>
              <w:ind w:left="240"/>
              <w:rPr>
                <w:rFonts w:ascii="仿宋" w:hAnsi="仿宋" w:eastAsia="仿宋" w:cs="仿宋"/>
                <w:w w:val="99"/>
                <w:sz w:val="24"/>
              </w:rPr>
            </w:pPr>
            <w:r>
              <w:rPr>
                <w:rFonts w:hint="eastAsia" w:ascii="仿宋" w:hAnsi="仿宋" w:eastAsia="仿宋" w:cs="仿宋"/>
                <w:w w:val="99"/>
                <w:sz w:val="24"/>
              </w:rPr>
              <w:t>（项目名称）合同有关条款规定的时间和方式，向乙方支付</w:t>
            </w:r>
          </w:p>
        </w:tc>
      </w:tr>
      <w:tr>
        <w:tblPrEx>
          <w:tblLayout w:type="fixed"/>
          <w:tblCellMar>
            <w:top w:w="0" w:type="dxa"/>
            <w:left w:w="0" w:type="dxa"/>
            <w:bottom w:w="0" w:type="dxa"/>
            <w:right w:w="0" w:type="dxa"/>
          </w:tblCellMar>
        </w:tblPrEx>
        <w:trPr>
          <w:trHeight w:val="365" w:hRule="atLeast"/>
        </w:trPr>
        <w:tc>
          <w:tcPr>
            <w:tcW w:w="1540" w:type="dxa"/>
            <w:noWrap/>
            <w:vAlign w:val="bottom"/>
          </w:tcPr>
          <w:p>
            <w:pPr>
              <w:rPr>
                <w:rFonts w:ascii="仿宋" w:hAnsi="仿宋" w:eastAsia="仿宋" w:cs="仿宋"/>
                <w:sz w:val="24"/>
              </w:rPr>
            </w:pPr>
            <w:r>
              <w:rPr>
                <w:rFonts w:hint="eastAsia" w:ascii="仿宋" w:hAnsi="仿宋" w:eastAsia="仿宋" w:cs="仿宋"/>
                <w:sz w:val="24"/>
              </w:rPr>
              <w:t>工程款；</w:t>
            </w:r>
          </w:p>
        </w:tc>
        <w:tc>
          <w:tcPr>
            <w:tcW w:w="700" w:type="dxa"/>
            <w:tcBorders>
              <w:top w:val="single" w:color="auto" w:sz="8" w:space="0"/>
            </w:tcBorders>
            <w:noWrap/>
            <w:vAlign w:val="bottom"/>
          </w:tcPr>
          <w:p>
            <w:pPr>
              <w:rPr>
                <w:rFonts w:ascii="仿宋" w:hAnsi="仿宋" w:eastAsia="仿宋" w:cs="仿宋"/>
                <w:sz w:val="24"/>
              </w:rPr>
            </w:pPr>
          </w:p>
        </w:tc>
        <w:tc>
          <w:tcPr>
            <w:tcW w:w="260" w:type="dxa"/>
            <w:tcBorders>
              <w:top w:val="single" w:color="auto" w:sz="8" w:space="0"/>
            </w:tcBorders>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bl>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（2）在发现乙方将本项目资金挪用、转移时，甲方有权中止工程支付，直至乙方改正为止；</w:t>
      </w:r>
    </w:p>
    <w:p>
      <w:pPr>
        <w:rPr>
          <w:rFonts w:ascii="仿宋" w:hAnsi="仿宋" w:eastAsia="仿宋" w:cs="仿宋"/>
        </w:rPr>
      </w:pPr>
    </w:p>
    <w:p>
      <w:pPr>
        <w:ind w:firstLine="480"/>
        <w:jc w:val="both"/>
        <w:rPr>
          <w:rFonts w:ascii="仿宋" w:hAnsi="仿宋" w:eastAsia="仿宋" w:cs="仿宋"/>
          <w:sz w:val="24"/>
        </w:rPr>
      </w:pPr>
      <w:r>
        <w:rPr>
          <w:rFonts w:hint="eastAsia" w:ascii="仿宋" w:hAnsi="仿宋" w:eastAsia="仿宋" w:cs="仿宋"/>
          <w:sz w:val="24"/>
        </w:rPr>
        <w:t>（3）不定期审查丙方对乙方的资金使用监督情况，如丙方不能履行其责任，甲方有权随时终止本协议；</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（4）在乙、丙双方发生争议时，甲方应负责协调、解决。</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3. 乙方的权责</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（1）项目经理部成立以后，乙方应尽快在丙方开设基本结算户；（2）确保本项目资金专款专用，不发生挪用、转移资金的现象；保证不通过权</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益转让、抵押、担保承担债务等任何其他方式使用基本结算户的资金；</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rPr>
          <w:rFonts w:ascii="仿宋" w:hAnsi="仿宋" w:eastAsia="仿宋" w:cs="仿宋"/>
        </w:rPr>
      </w:pPr>
      <w:r>
        <w:rPr>
          <w:rFonts w:ascii="仿宋" w:hAnsi="仿宋" w:eastAsia="仿宋" w:cs="仿宋"/>
          <w:sz w:val="24"/>
        </w:rPr>
        <w:pict>
          <v:line id="_x0000_s2065" o:spid="_x0000_s2065" o:spt="20" style="position:absolute;left:0pt;margin-left:232.05pt;margin-top:-41.9pt;height:0pt;width:12.05pt;z-index:-251144192;mso-width-relative:page;mso-height-relative:page;" coordsize="21600,21600" o:allowincell="f"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ISKCV2AAAAAsBAAAPAAAA&#10;AAAAAAEAIAAAACIAAABkcnMvZG93bnJldi54bWxQSwECFAAUAAAACACHTuJAxd2gVtwBAACXAwAA&#10;DgAAAAAAAAABACAAAAAnAQAAZHJzL2Uyb0RvYy54bWxQSwUGAAAAAAYABgBZAQAAdQUAAAAA&#10;">
            <v:path arrowok="t"/>
            <v:fill focussize="0,0"/>
            <v:stroke weight="0.59992125984252pt"/>
            <v:imagedata o:title=""/>
            <o:lock v:ext="edit"/>
          </v:line>
        </w:pict>
      </w:r>
      <w:r>
        <w:rPr>
          <w:rFonts w:ascii="仿宋" w:hAnsi="仿宋" w:eastAsia="仿宋" w:cs="仿宋"/>
          <w:sz w:val="24"/>
        </w:rPr>
        <w:pict>
          <v:line id="_x0000_s2064" o:spid="_x0000_s2064" o:spt="20" style="position:absolute;left:0pt;margin-left:132.7pt;margin-top:-22.8pt;height:0pt;width:12.15pt;z-index:-251143168;mso-width-relative:page;mso-height-relative:page;" coordsize="21600,21600" o:allowincell="f"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pjJQ2AAAAAsBAAAPAAAA&#10;AAAAAAEAIAAAACIAAABkcnMvZG93bnJldi54bWxQSwECFAAUAAAACACHTuJAz9d1wNwBAACXAwAA&#10;DgAAAAAAAAABACAAAAAnAQAAZHJzL2Uyb0RvYy54bWxQSwUGAAAAAAYABgBZAQAAdQUAAAAA&#10;">
            <v:path arrowok="t"/>
            <v:fill focussize="0,0"/>
            <v:stroke weight="0.6pt"/>
            <v:imagedata o:title=""/>
            <o:lock v:ext="edit"/>
          </v:line>
        </w:pict>
      </w:r>
    </w:p>
    <w:p>
      <w:pPr>
        <w:ind w:left="480"/>
        <w:rPr>
          <w:rFonts w:ascii="仿宋" w:hAnsi="仿宋" w:eastAsia="仿宋" w:cs="仿宋"/>
          <w:sz w:val="24"/>
        </w:rPr>
      </w:pPr>
      <w:r>
        <w:rPr>
          <w:rFonts w:hint="eastAsia" w:ascii="仿宋" w:hAnsi="仿宋" w:eastAsia="仿宋" w:cs="仿宋"/>
          <w:sz w:val="24"/>
        </w:rPr>
        <w:t>（4）用银行转账支票办理支付款项时，必须将转账支票送交丙方，由丙方负责</w:t>
      </w:r>
      <w:bookmarkStart w:id="88" w:name="page172"/>
      <w:bookmarkEnd w:id="88"/>
      <w:r>
        <w:rPr>
          <w:rFonts w:hint="eastAsia" w:ascii="仿宋" w:hAnsi="仿宋" w:eastAsia="仿宋" w:cs="仿宋"/>
          <w:sz w:val="24"/>
        </w:rPr>
        <w:t>办理支票转付手续；</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（5）向分包单位支付工程进度款时，应附甲方批准分包的文件；（6）向上级单位缴纳管理费、机械设备及周转材料租赁摊销费等款项时，应附</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上级单位出具的转账通知等有关资料，以确保资金专款专用。</w:t>
      </w:r>
    </w:p>
    <w:p>
      <w:pPr>
        <w:rPr>
          <w:rFonts w:ascii="仿宋" w:hAnsi="仿宋" w:eastAsia="仿宋" w:cs="仿宋"/>
        </w:rPr>
      </w:pPr>
    </w:p>
    <w:p>
      <w:pPr>
        <w:ind w:left="480"/>
        <w:rPr>
          <w:rFonts w:ascii="仿宋" w:hAnsi="仿宋" w:eastAsia="仿宋" w:cs="仿宋"/>
          <w:sz w:val="24"/>
        </w:rPr>
      </w:pPr>
      <w:r>
        <w:rPr>
          <w:rFonts w:hint="eastAsia" w:ascii="仿宋" w:hAnsi="仿宋" w:eastAsia="仿宋" w:cs="仿宋"/>
          <w:sz w:val="24"/>
        </w:rPr>
        <w:t>4. 丙方的权责</w:t>
      </w:r>
    </w:p>
    <w:p>
      <w:pPr>
        <w:rPr>
          <w:rFonts w:ascii="仿宋" w:hAnsi="仿宋" w:eastAsia="仿宋" w:cs="仿宋"/>
        </w:rPr>
      </w:pPr>
    </w:p>
    <w:p>
      <w:pPr>
        <w:tabs>
          <w:tab w:val="left" w:pos="2480"/>
        </w:tabs>
        <w:ind w:left="480"/>
        <w:rPr>
          <w:rFonts w:ascii="仿宋" w:hAnsi="仿宋" w:eastAsia="仿宋" w:cs="仿宋"/>
          <w:sz w:val="23"/>
        </w:rPr>
      </w:pPr>
      <w:r>
        <w:rPr>
          <w:rFonts w:hint="eastAsia" w:ascii="仿宋" w:hAnsi="仿宋" w:eastAsia="仿宋" w:cs="仿宋"/>
          <w:sz w:val="24"/>
        </w:rPr>
        <w:t>（1）成立</w:t>
      </w:r>
      <w:r>
        <w:rPr>
          <w:rFonts w:hint="eastAsia" w:ascii="仿宋" w:hAnsi="仿宋" w:eastAsia="仿宋" w:cs="仿宋"/>
        </w:rPr>
        <w:tab/>
      </w:r>
      <w:r>
        <w:rPr>
          <w:rFonts w:hint="eastAsia" w:ascii="仿宋" w:hAnsi="仿宋" w:eastAsia="仿宋" w:cs="仿宋"/>
          <w:sz w:val="23"/>
        </w:rPr>
        <w:t>（项目名称）工程资金管理服务小组，明确业务流程，提高</w:t>
      </w:r>
    </w:p>
    <w:p>
      <w:pPr>
        <w:rPr>
          <w:rFonts w:ascii="仿宋" w:hAnsi="仿宋" w:eastAsia="仿宋" w:cs="仿宋"/>
        </w:rPr>
      </w:pPr>
      <w:r>
        <w:rPr>
          <w:rFonts w:ascii="仿宋" w:hAnsi="仿宋" w:eastAsia="仿宋" w:cs="仿宋"/>
          <w:sz w:val="23"/>
        </w:rPr>
        <w:pict>
          <v:line id="_x0000_s2063" o:spid="_x0000_s2063" o:spt="20" style="position:absolute;left:0pt;margin-left:77.35pt;margin-top:-0.85pt;height:0pt;width:48.05pt;z-index:-251142144;mso-width-relative:page;mso-height-relative:page;" coordsize="21600,21600" o:allowincell="f" o:gfxdata="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Ye3rNcAAAAJAQAADwAAAAAA&#10;AAABACAAAAAiAAAAZHJzL2Rvd25yZXYueG1sUEsBAhQAFAAAAAgAh07iQGBWdijbAQAAlwMAAA4A&#10;AAAAAAAAAQAgAAAAJgEAAGRycy9lMm9Eb2MueG1sUEsFBgAAAAAGAAYAWQEAAHMFAAAAAA==&#10;">
            <v:path arrowok="t"/>
            <v:fill focussize="0,0"/>
            <v:stroke weight="0.59992125984252pt"/>
            <v:imagedata o:title=""/>
            <o:lock v:ext="edit"/>
          </v:line>
        </w:pict>
      </w:r>
    </w:p>
    <w:p>
      <w:pPr>
        <w:rPr>
          <w:rFonts w:ascii="仿宋" w:hAnsi="仿宋" w:eastAsia="仿宋" w:cs="仿宋"/>
          <w:sz w:val="24"/>
        </w:rPr>
      </w:pPr>
      <w:r>
        <w:rPr>
          <w:rFonts w:hint="eastAsia" w:ascii="仿宋" w:hAnsi="仿宋" w:eastAsia="仿宋" w:cs="仿宋"/>
          <w:sz w:val="24"/>
        </w:rPr>
        <w:t>工作效率，杜绝“压票”现象；</w:t>
      </w:r>
    </w:p>
    <w:p>
      <w:pPr>
        <w:rPr>
          <w:rFonts w:ascii="仿宋" w:hAnsi="仿宋" w:eastAsia="仿宋" w:cs="仿宋"/>
        </w:rPr>
      </w:pPr>
    </w:p>
    <w:p>
      <w:pPr>
        <w:ind w:firstLine="480"/>
        <w:rPr>
          <w:rFonts w:ascii="仿宋" w:hAnsi="仿宋" w:eastAsia="仿宋" w:cs="仿宋"/>
          <w:sz w:val="22"/>
        </w:rPr>
      </w:pPr>
      <w:r>
        <w:rPr>
          <w:rFonts w:hint="eastAsia" w:ascii="仿宋" w:hAnsi="仿宋" w:eastAsia="仿宋" w:cs="仿宋"/>
          <w:sz w:val="22"/>
        </w:rPr>
        <w:t>（2）根据乙方提供的购货合同、协议和发票，检查其所购材料、设备是否用于 （项目名称）工程建设，对本标段以外的购货款项，有权拒绝办理，并及时报告甲方；</w:t>
      </w:r>
    </w:p>
    <w:p>
      <w:pPr>
        <w:rPr>
          <w:rFonts w:ascii="仿宋" w:hAnsi="仿宋" w:eastAsia="仿宋" w:cs="仿宋"/>
        </w:rPr>
      </w:pPr>
      <w:r>
        <w:rPr>
          <w:rFonts w:ascii="仿宋" w:hAnsi="仿宋" w:eastAsia="仿宋" w:cs="仿宋"/>
          <w:sz w:val="22"/>
        </w:rPr>
        <w:pict>
          <v:line id="_x0000_s2062" o:spid="_x0000_s2062" o:spt="20" style="position:absolute;left:0pt;margin-left:398.9pt;margin-top:-24.6pt;height:0pt;width:16.2pt;z-index:-251141120;mso-width-relative:page;mso-height-relative:page;" coordsize="21600,21600" o:allowincell="f" o:gfxdata="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a8709gAAAALAQAADwAAAAAA&#10;AAABACAAAAAiAAAAZHJzL2Rvd25yZXYueG1sUEsBAhQAFAAAAAgAh07iQOh5n/vaAQAAlwMAAA4A&#10;AAAAAAAAAQAgAAAAJwEAAGRycy9lMm9Eb2MueG1sUEsFBgAAAAAGAAYAWQEAAHMFAAAAAA==&#10;">
            <v:path arrowok="t"/>
            <v:fill focussize="0,0"/>
            <v:stroke weight="0.6pt"/>
            <v:imagedata o:title=""/>
            <o:lock v:ext="edit"/>
          </v:line>
        </w:pict>
      </w:r>
    </w:p>
    <w:p>
      <w:pPr>
        <w:ind w:firstLine="480"/>
        <w:rPr>
          <w:rFonts w:ascii="仿宋" w:hAnsi="仿宋" w:eastAsia="仿宋" w:cs="仿宋"/>
          <w:sz w:val="24"/>
        </w:rPr>
      </w:pPr>
      <w:r>
        <w:rPr>
          <w:rFonts w:hint="eastAsia" w:ascii="仿宋" w:hAnsi="仿宋" w:eastAsia="仿宋" w:cs="仿宋"/>
          <w:sz w:val="24"/>
        </w:rPr>
        <w:t>（3）根据乙方与分包单位签订的合同及支付文件，检查其支付款项是否符合有关条件，向分包单位以外单位的支付有权拒绝办理，并及时报告甲方；</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（4）根据乙方提供的上级单位出具的转账通知等有关资料，办理管理费、机械设备及周转材料租赁摊销费等款项的支付；对超出转账通知等有关资料以外的支付，有权拒绝办理，并及时报告甲方；</w:t>
      </w:r>
    </w:p>
    <w:p>
      <w:pPr>
        <w:rPr>
          <w:rFonts w:ascii="仿宋" w:hAnsi="仿宋" w:eastAsia="仿宋" w:cs="仿宋"/>
        </w:rPr>
      </w:pPr>
    </w:p>
    <w:p>
      <w:pPr>
        <w:ind w:firstLine="480"/>
        <w:rPr>
          <w:rFonts w:ascii="仿宋" w:hAnsi="仿宋" w:eastAsia="仿宋" w:cs="仿宋"/>
          <w:sz w:val="24"/>
        </w:rPr>
      </w:pPr>
      <w:r>
        <w:rPr>
          <w:rFonts w:hint="eastAsia" w:ascii="仿宋" w:hAnsi="仿宋" w:eastAsia="仿宋" w:cs="仿宋"/>
          <w:sz w:val="24"/>
        </w:rPr>
        <w:t>（5）定期将乙方前一个周期的支付情况，整理后书面报送甲方；乙方复印备案的材料一并送甲方。</w:t>
      </w:r>
    </w:p>
    <w:p>
      <w:pPr>
        <w:rPr>
          <w:rFonts w:ascii="仿宋" w:hAnsi="仿宋" w:eastAsia="仿宋" w:cs="仿宋"/>
        </w:rPr>
      </w:pPr>
    </w:p>
    <w:p>
      <w:pPr>
        <w:numPr>
          <w:ilvl w:val="0"/>
          <w:numId w:val="79"/>
        </w:numPr>
        <w:tabs>
          <w:tab w:val="left" w:pos="780"/>
        </w:tabs>
        <w:ind w:firstLine="484"/>
        <w:jc w:val="both"/>
        <w:rPr>
          <w:rFonts w:ascii="仿宋" w:hAnsi="仿宋" w:eastAsia="仿宋" w:cs="仿宋"/>
          <w:sz w:val="24"/>
        </w:rPr>
      </w:pPr>
      <w:r>
        <w:rPr>
          <w:rFonts w:hint="eastAsia" w:ascii="仿宋" w:hAnsi="仿宋" w:eastAsia="仿宋" w:cs="仿宋"/>
          <w:sz w:val="24"/>
        </w:rPr>
        <w:t>甲、乙、丙三方都应履行保密责任，不得将其他两方的业务情况透露给三方以外的其他单位或个人。</w:t>
      </w:r>
    </w:p>
    <w:p>
      <w:pPr>
        <w:rPr>
          <w:rFonts w:ascii="仿宋" w:hAnsi="仿宋" w:eastAsia="仿宋" w:cs="仿宋"/>
          <w:sz w:val="24"/>
        </w:rPr>
      </w:pPr>
    </w:p>
    <w:p>
      <w:pPr>
        <w:numPr>
          <w:ilvl w:val="0"/>
          <w:numId w:val="79"/>
        </w:numPr>
        <w:tabs>
          <w:tab w:val="left" w:pos="780"/>
        </w:tabs>
        <w:ind w:firstLine="484"/>
        <w:jc w:val="both"/>
        <w:rPr>
          <w:rFonts w:ascii="仿宋" w:hAnsi="仿宋" w:eastAsia="仿宋" w:cs="仿宋"/>
          <w:sz w:val="24"/>
        </w:rPr>
      </w:pPr>
      <w:r>
        <w:rPr>
          <w:rFonts w:hint="eastAsia" w:ascii="仿宋" w:hAnsi="仿宋" w:eastAsia="仿宋" w:cs="仿宋"/>
          <w:sz w:val="24"/>
        </w:rPr>
        <w:t>本协议有效期自乙方在丙方开户起，至工程交工验收甲方向乙方颁发交工验收证书后结束。</w:t>
      </w:r>
    </w:p>
    <w:p>
      <w:pPr>
        <w:rPr>
          <w:rFonts w:ascii="仿宋" w:hAnsi="仿宋" w:eastAsia="仿宋" w:cs="仿宋"/>
          <w:sz w:val="24"/>
        </w:rPr>
      </w:pPr>
    </w:p>
    <w:p>
      <w:pPr>
        <w:numPr>
          <w:ilvl w:val="0"/>
          <w:numId w:val="79"/>
        </w:numPr>
        <w:tabs>
          <w:tab w:val="left" w:pos="780"/>
        </w:tabs>
        <w:ind w:left="780" w:hanging="296"/>
        <w:jc w:val="both"/>
        <w:rPr>
          <w:rFonts w:ascii="仿宋" w:hAnsi="仿宋" w:eastAsia="仿宋" w:cs="仿宋"/>
          <w:sz w:val="24"/>
        </w:rPr>
      </w:pPr>
      <w:r>
        <w:rPr>
          <w:rFonts w:hint="eastAsia" w:ascii="仿宋" w:hAnsi="仿宋" w:eastAsia="仿宋" w:cs="仿宋"/>
          <w:sz w:val="24"/>
        </w:rPr>
        <w:t>本协议未尽事宜，由甲方牵头，三方协商解决。</w:t>
      </w:r>
    </w:p>
    <w:p>
      <w:pPr>
        <w:rPr>
          <w:rFonts w:ascii="仿宋" w:hAnsi="仿宋" w:eastAsia="仿宋" w:cs="仿宋"/>
          <w:sz w:val="24"/>
        </w:rPr>
      </w:pPr>
    </w:p>
    <w:p>
      <w:pPr>
        <w:numPr>
          <w:ilvl w:val="0"/>
          <w:numId w:val="79"/>
        </w:numPr>
        <w:tabs>
          <w:tab w:val="left" w:pos="780"/>
        </w:tabs>
        <w:ind w:firstLine="484"/>
        <w:jc w:val="both"/>
        <w:rPr>
          <w:rFonts w:ascii="仿宋" w:hAnsi="仿宋" w:eastAsia="仿宋" w:cs="仿宋"/>
          <w:sz w:val="24"/>
        </w:rPr>
      </w:pPr>
      <w:r>
        <w:rPr>
          <w:rFonts w:hint="eastAsia" w:ascii="仿宋" w:hAnsi="仿宋" w:eastAsia="仿宋" w:cs="仿宋"/>
          <w:sz w:val="24"/>
        </w:rPr>
        <w:t>本协议正本三份、副本 份。合同三方各执正本一份、副本 份，当正本与副本内容不一致时，以正本为准。</w:t>
      </w:r>
    </w:p>
    <w:p>
      <w:pPr>
        <w:rPr>
          <w:rFonts w:ascii="仿宋" w:hAnsi="仿宋" w:eastAsia="仿宋" w:cs="仿宋"/>
        </w:rPr>
      </w:pPr>
      <w:r>
        <w:rPr>
          <w:rFonts w:ascii="仿宋" w:hAnsi="仿宋" w:eastAsia="仿宋" w:cs="仿宋"/>
          <w:sz w:val="24"/>
        </w:rPr>
        <w:pict>
          <v:line id="_x0000_s2061" o:spid="_x0000_s2061" o:spt="20" style="position:absolute;left:0pt;margin-left:158.85pt;margin-top:-21.5pt;height:0pt;width:12pt;z-index:-251140096;mso-width-relative:page;mso-height-relative:page;" coordsize="21600,21600" o:allowincell="f" o:gfxdata="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4vRi1wAAAAsBAAAPAAAAAAAA&#10;AAEAIAAAACIAAABkcnMvZG93bnJldi54bWxQSwECFAAUAAAACACHTuJAJryK/toBAACXAwAADgAA&#10;AAAAAAABACAAAAAmAQAAZHJzL2Uyb0RvYy54bWxQSwUGAAAAAAYABgBZAQAAcgUAAAAA&#10;">
            <v:path arrowok="t"/>
            <v:fill focussize="0,0"/>
            <v:stroke weight="0.6pt"/>
            <v:imagedata o:title=""/>
            <o:lock v:ext="edit"/>
          </v:line>
        </w:pict>
      </w:r>
      <w:r>
        <w:rPr>
          <w:rFonts w:ascii="仿宋" w:hAnsi="仿宋" w:eastAsia="仿宋" w:cs="仿宋"/>
          <w:sz w:val="24"/>
        </w:rPr>
        <w:pict>
          <v:line id="_x0000_s2060" o:spid="_x0000_s2060" o:spt="20" style="position:absolute;left:0pt;margin-left:350.15pt;margin-top:-21.5pt;height:0pt;width:12.05pt;z-index:-251139072;mso-width-relative:page;mso-height-relative:page;" coordsize="21600,21600" o:allowincell="f" o:gfxdata="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qzlWrXAAAACwEAAA8AAAAA&#10;AAAAAQAgAAAAIgAAAGRycy9kb3ducmV2LnhtbFBLAQIUABQAAAAIAIdO4kDn3Epw3AEAAJcDAAAO&#10;AAAAAAAAAAEAIAAAACYBAABkcnMvZTJvRG9jLnhtbFBLBQYAAAAABgAGAFkBAAB0BQAAAAA=&#10;">
            <v:path arrowok="t"/>
            <v:fill focussize="0,0"/>
            <v:stroke weight="0.6pt"/>
            <v:imagedata o:title=""/>
            <o:lock v:ext="edit"/>
          </v:line>
        </w:pict>
      </w:r>
    </w:p>
    <w:tbl>
      <w:tblPr>
        <w:tblStyle w:val="10"/>
        <w:tblW w:w="5520" w:type="dxa"/>
        <w:tblInd w:w="0" w:type="dxa"/>
        <w:tblLayout w:type="fixed"/>
        <w:tblCellMar>
          <w:top w:w="0" w:type="dxa"/>
          <w:left w:w="0" w:type="dxa"/>
          <w:bottom w:w="0" w:type="dxa"/>
          <w:right w:w="0" w:type="dxa"/>
        </w:tblCellMar>
      </w:tblPr>
      <w:tblGrid>
        <w:gridCol w:w="960"/>
        <w:gridCol w:w="240"/>
        <w:gridCol w:w="720"/>
        <w:gridCol w:w="1080"/>
        <w:gridCol w:w="120"/>
        <w:gridCol w:w="120"/>
        <w:gridCol w:w="840"/>
        <w:gridCol w:w="360"/>
        <w:gridCol w:w="120"/>
        <w:gridCol w:w="360"/>
        <w:gridCol w:w="600"/>
      </w:tblGrid>
      <w:tr>
        <w:tblPrEx>
          <w:tblLayout w:type="fixed"/>
          <w:tblCellMar>
            <w:top w:w="0" w:type="dxa"/>
            <w:left w:w="0" w:type="dxa"/>
            <w:bottom w:w="0" w:type="dxa"/>
            <w:right w:w="0" w:type="dxa"/>
          </w:tblCellMar>
        </w:tblPrEx>
        <w:trPr>
          <w:trHeight w:val="274"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发包人：</w:t>
            </w: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18"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662"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承包人：</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18"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659"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经办银行：</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Layout w:type="fixed"/>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Layout w:type="fixed"/>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Layout w:type="fixed"/>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bl>
    <w:p>
      <w:pPr>
        <w:adjustRightInd w:val="0"/>
        <w:snapToGrid w:val="0"/>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bookmarkStart w:id="89" w:name="page173"/>
      <w:bookmarkEnd w:id="89"/>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400" w:lineRule="exact"/>
        <w:rPr>
          <w:rFonts w:eastAsia="Times New Roman"/>
        </w:rPr>
      </w:pPr>
    </w:p>
    <w:p>
      <w:pPr>
        <w:adjustRightInd w:val="0"/>
        <w:snapToGrid w:val="0"/>
        <w:spacing w:line="360" w:lineRule="auto"/>
        <w:jc w:val="center"/>
        <w:outlineLvl w:val="0"/>
        <w:rPr>
          <w:rFonts w:eastAsia="Times New Roman"/>
        </w:rPr>
      </w:pPr>
      <w:r>
        <w:rPr>
          <w:rFonts w:hint="eastAsia" w:ascii="黑体" w:hAnsi="黑体" w:eastAsia="黑体"/>
          <w:sz w:val="44"/>
          <w:szCs w:val="44"/>
        </w:rPr>
        <w:t>第五章</w:t>
      </w:r>
      <w:r>
        <w:rPr>
          <w:rFonts w:hint="eastAsia" w:ascii="黑体" w:hAnsi="黑体" w:eastAsia="黑体"/>
          <w:sz w:val="44"/>
          <w:szCs w:val="44"/>
        </w:rPr>
        <w:tab/>
      </w:r>
      <w:r>
        <w:rPr>
          <w:rFonts w:hint="eastAsia" w:ascii="黑体" w:hAnsi="黑体" w:eastAsia="黑体"/>
          <w:sz w:val="44"/>
          <w:szCs w:val="44"/>
        </w:rPr>
        <w:t>工程量清单</w:t>
      </w:r>
      <w:bookmarkStart w:id="90" w:name="page174"/>
      <w:bookmarkEnd w:id="90"/>
    </w:p>
    <w:p>
      <w:pPr>
        <w:spacing w:line="327" w:lineRule="exact"/>
        <w:rPr>
          <w:rFonts w:eastAsia="Times New Roman"/>
        </w:rPr>
      </w:pPr>
    </w:p>
    <w:p>
      <w:pPr>
        <w:pStyle w:val="2"/>
        <w:ind w:firstLine="480" w:firstLineChars="200"/>
        <w:rPr>
          <w:rFonts w:hAnsi="宋体"/>
          <w:sz w:val="24"/>
          <w:szCs w:val="22"/>
        </w:rPr>
      </w:pPr>
      <w:r>
        <w:rPr>
          <w:rFonts w:hint="eastAsia" w:hAnsi="宋体"/>
          <w:sz w:val="24"/>
          <w:szCs w:val="22"/>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2"/>
        <w:ind w:firstLine="480" w:firstLineChars="200"/>
        <w:rPr>
          <w:rFonts w:hAnsi="宋体"/>
          <w:sz w:val="24"/>
          <w:szCs w:val="22"/>
        </w:rPr>
      </w:pPr>
      <w:r>
        <w:rPr>
          <w:rFonts w:hint="eastAsia" w:hAnsi="宋体"/>
          <w:sz w:val="24"/>
          <w:szCs w:val="22"/>
        </w:rPr>
        <w:t>1.2 本工程量清单应与招标文件中的投标人须知、通用合同条款、专用合同条款、技术规范及图纸等一起阅读和理解。</w:t>
      </w:r>
    </w:p>
    <w:p>
      <w:pPr>
        <w:pStyle w:val="2"/>
        <w:ind w:firstLine="480" w:firstLineChars="200"/>
        <w:rPr>
          <w:rFonts w:hAnsi="宋体"/>
          <w:sz w:val="24"/>
          <w:szCs w:val="22"/>
        </w:rPr>
      </w:pPr>
      <w:r>
        <w:rPr>
          <w:rFonts w:hint="eastAsia" w:hAnsi="宋体"/>
          <w:sz w:val="24"/>
          <w:szCs w:val="22"/>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pStyle w:val="2"/>
        <w:ind w:firstLine="480" w:firstLineChars="200"/>
        <w:rPr>
          <w:rFonts w:hAnsi="宋体"/>
          <w:sz w:val="24"/>
          <w:szCs w:val="22"/>
        </w:rPr>
      </w:pPr>
      <w:r>
        <w:rPr>
          <w:rFonts w:hint="eastAsia" w:hAnsi="宋体"/>
          <w:sz w:val="24"/>
          <w:szCs w:val="22"/>
        </w:rPr>
        <w:t>1.4 工程量清单各章是按第七章“技术规范”的相应章次编号的，因此，工程量清单中各章的工程子目的范围与计量等应与“技术规范”相应章节的范围、计量与支付条款结合起来理解或解释。</w:t>
      </w:r>
    </w:p>
    <w:p>
      <w:pPr>
        <w:pStyle w:val="2"/>
        <w:ind w:firstLine="480" w:firstLineChars="200"/>
        <w:rPr>
          <w:rFonts w:hAnsi="宋体"/>
          <w:sz w:val="24"/>
          <w:szCs w:val="22"/>
        </w:rPr>
      </w:pPr>
      <w:r>
        <w:rPr>
          <w:rFonts w:hint="eastAsia" w:hAnsi="宋体"/>
          <w:sz w:val="24"/>
          <w:szCs w:val="22"/>
        </w:rPr>
        <w:t>1.5 对作业和材料的—般说明或规定，未重复写入工程量清单内，在给工程量清单各子目标价前，应参阅第七章“技术规范”的有关内容。</w:t>
      </w:r>
    </w:p>
    <w:p>
      <w:pPr>
        <w:pStyle w:val="2"/>
        <w:ind w:firstLine="480" w:firstLineChars="200"/>
        <w:rPr>
          <w:rFonts w:hAnsi="宋体"/>
          <w:sz w:val="24"/>
          <w:szCs w:val="22"/>
        </w:rPr>
      </w:pPr>
      <w:r>
        <w:rPr>
          <w:rFonts w:hint="eastAsia" w:hAnsi="宋体"/>
          <w:sz w:val="24"/>
          <w:szCs w:val="22"/>
        </w:rPr>
        <w:t>1.6 工程量清单中所列工程量的变动，丝毫不会降低或影响合同条款的效力，也不免除承包人按规定的标准进行施工和修复缺陷的责任。</w:t>
      </w:r>
    </w:p>
    <w:p>
      <w:pPr>
        <w:pStyle w:val="2"/>
        <w:ind w:firstLine="480" w:firstLineChars="200"/>
        <w:rPr>
          <w:rFonts w:hAnsi="宋体"/>
          <w:sz w:val="24"/>
          <w:szCs w:val="22"/>
        </w:rPr>
      </w:pPr>
      <w:r>
        <w:rPr>
          <w:rFonts w:hint="eastAsia" w:hAnsi="宋体"/>
          <w:sz w:val="24"/>
          <w:szCs w:val="22"/>
        </w:rPr>
        <w:t>1.7 图纸中所列的工程数量表及数量汇总表仅是提供资料，不是工程量清单的外延。当图纸与工程量清单所列数量不一致时，以工程量清单所列数量作为报价的依据。</w:t>
      </w:r>
    </w:p>
    <w:p>
      <w:pPr>
        <w:pStyle w:val="2"/>
        <w:ind w:firstLine="480" w:firstLineChars="200"/>
        <w:rPr>
          <w:rFonts w:hAnsi="宋体"/>
          <w:sz w:val="24"/>
          <w:szCs w:val="22"/>
        </w:rPr>
      </w:pPr>
      <w:r>
        <w:rPr>
          <w:rFonts w:hint="eastAsia" w:hAnsi="宋体"/>
          <w:sz w:val="24"/>
          <w:szCs w:val="22"/>
        </w:rPr>
        <w:t>2．投标报价说明</w:t>
      </w:r>
    </w:p>
    <w:p>
      <w:pPr>
        <w:pStyle w:val="2"/>
        <w:ind w:firstLine="480" w:firstLineChars="200"/>
        <w:rPr>
          <w:rFonts w:hAnsi="宋体"/>
          <w:sz w:val="24"/>
          <w:szCs w:val="22"/>
        </w:rPr>
      </w:pPr>
      <w:r>
        <w:rPr>
          <w:rFonts w:hint="eastAsia" w:hAnsi="宋体"/>
          <w:sz w:val="24"/>
          <w:szCs w:val="22"/>
        </w:rPr>
        <w:t>2.1 工程量清单中的每一子目须填入单价或价格，且只允许有一个报价。</w:t>
      </w:r>
    </w:p>
    <w:p>
      <w:pPr>
        <w:pStyle w:val="2"/>
        <w:ind w:firstLine="480" w:firstLineChars="200"/>
        <w:rPr>
          <w:rFonts w:hAnsi="宋体"/>
          <w:sz w:val="24"/>
          <w:szCs w:val="22"/>
        </w:rPr>
      </w:pPr>
      <w:r>
        <w:rPr>
          <w:rFonts w:hint="eastAsia" w:hAnsi="宋体"/>
          <w:sz w:val="24"/>
          <w:szCs w:val="22"/>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Style w:val="2"/>
        <w:ind w:firstLine="480" w:firstLineChars="200"/>
        <w:rPr>
          <w:rFonts w:hAnsi="宋体"/>
          <w:sz w:val="24"/>
          <w:szCs w:val="22"/>
        </w:rPr>
      </w:pPr>
      <w:r>
        <w:rPr>
          <w:rFonts w:hint="eastAsia" w:hAnsi="宋体"/>
          <w:sz w:val="24"/>
          <w:szCs w:val="22"/>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pStyle w:val="2"/>
        <w:ind w:firstLine="480" w:firstLineChars="200"/>
        <w:rPr>
          <w:rFonts w:hAnsi="宋体"/>
          <w:sz w:val="24"/>
          <w:szCs w:val="22"/>
        </w:rPr>
      </w:pPr>
      <w:r>
        <w:rPr>
          <w:rFonts w:hint="eastAsia" w:hAnsi="宋体"/>
          <w:sz w:val="24"/>
          <w:szCs w:val="22"/>
        </w:rPr>
        <w:t>2.4 符合合同条款规定的全部费用应认为已被计入有标价的工程量清单所列各子目之中，未列子目不予计量的工作，其费用应视为已分摊在本合同工程的有关子目的单价或总额价之中。</w:t>
      </w:r>
    </w:p>
    <w:p>
      <w:pPr>
        <w:pStyle w:val="2"/>
        <w:ind w:firstLine="480" w:firstLineChars="200"/>
        <w:rPr>
          <w:rFonts w:hAnsi="宋体"/>
          <w:sz w:val="24"/>
          <w:szCs w:val="22"/>
        </w:rPr>
      </w:pPr>
      <w:r>
        <w:rPr>
          <w:rFonts w:hint="eastAsia" w:hAnsi="宋体"/>
          <w:sz w:val="24"/>
          <w:szCs w:val="22"/>
        </w:rPr>
        <w:t>2.5承包人用于本合同工程的各类装备的提供、运输、维护、拆卸、拼装等支付的费用，已包括在工程量清单的单价与总额价之中。</w:t>
      </w:r>
    </w:p>
    <w:p>
      <w:pPr>
        <w:pStyle w:val="2"/>
        <w:ind w:firstLine="480" w:firstLineChars="200"/>
        <w:rPr>
          <w:rFonts w:hAnsi="宋体"/>
          <w:sz w:val="24"/>
          <w:szCs w:val="22"/>
        </w:rPr>
      </w:pPr>
      <w:r>
        <w:rPr>
          <w:rFonts w:hint="eastAsia" w:hAnsi="宋体"/>
          <w:sz w:val="24"/>
          <w:szCs w:val="22"/>
        </w:rPr>
        <w:t>2.6 工程量清单中各项金额均以人民币（元）结算。</w:t>
      </w:r>
    </w:p>
    <w:p>
      <w:pPr>
        <w:pStyle w:val="2"/>
        <w:ind w:firstLine="480" w:firstLineChars="200"/>
        <w:rPr>
          <w:rFonts w:hAnsi="宋体"/>
          <w:sz w:val="24"/>
          <w:szCs w:val="22"/>
        </w:rPr>
      </w:pPr>
      <w:r>
        <w:rPr>
          <w:rFonts w:hint="eastAsia" w:hAnsi="宋体"/>
          <w:sz w:val="24"/>
          <w:szCs w:val="22"/>
        </w:rPr>
        <w:t>2.8 暂列金额（不含计日工总额）的数量及拟用子目的说明：。</w:t>
      </w:r>
    </w:p>
    <w:p>
      <w:pPr>
        <w:pStyle w:val="2"/>
        <w:ind w:firstLine="480" w:firstLineChars="200"/>
        <w:rPr>
          <w:rFonts w:hAnsi="宋体"/>
          <w:sz w:val="24"/>
          <w:szCs w:val="22"/>
        </w:rPr>
      </w:pPr>
      <w:r>
        <w:rPr>
          <w:rFonts w:hint="eastAsia" w:hAnsi="宋体"/>
          <w:sz w:val="24"/>
          <w:szCs w:val="22"/>
        </w:rPr>
        <w:t>2.9 暂估价的数量及拟用子目的说明：。</w:t>
      </w:r>
    </w:p>
    <w:p>
      <w:pPr>
        <w:pStyle w:val="2"/>
        <w:ind w:firstLine="480" w:firstLineChars="200"/>
        <w:rPr>
          <w:rFonts w:hAnsi="宋体"/>
          <w:sz w:val="24"/>
          <w:szCs w:val="22"/>
        </w:rPr>
      </w:pPr>
      <w:r>
        <w:rPr>
          <w:rFonts w:hint="eastAsia" w:hAnsi="宋体"/>
          <w:sz w:val="24"/>
          <w:szCs w:val="22"/>
        </w:rPr>
        <w:t>3．计日工说明</w:t>
      </w:r>
    </w:p>
    <w:p>
      <w:pPr>
        <w:pStyle w:val="2"/>
        <w:ind w:firstLine="480" w:firstLineChars="200"/>
        <w:rPr>
          <w:rFonts w:hAnsi="宋体"/>
          <w:sz w:val="24"/>
          <w:szCs w:val="22"/>
        </w:rPr>
      </w:pPr>
      <w:r>
        <w:rPr>
          <w:rFonts w:hint="eastAsia" w:hAnsi="宋体"/>
          <w:sz w:val="24"/>
          <w:szCs w:val="22"/>
        </w:rPr>
        <w:t xml:space="preserve">    3.1 总则</w:t>
      </w:r>
    </w:p>
    <w:p>
      <w:pPr>
        <w:pStyle w:val="2"/>
        <w:ind w:firstLine="480" w:firstLineChars="200"/>
        <w:rPr>
          <w:rFonts w:hAnsi="宋体"/>
          <w:sz w:val="24"/>
          <w:szCs w:val="22"/>
        </w:rPr>
      </w:pPr>
      <w:r>
        <w:rPr>
          <w:rFonts w:hint="eastAsia" w:hAnsi="宋体"/>
          <w:sz w:val="24"/>
          <w:szCs w:val="22"/>
        </w:rPr>
        <w:t>（l）本说明应参照通用合同条款第15.7款一并理解。</w:t>
      </w:r>
    </w:p>
    <w:p>
      <w:pPr>
        <w:pStyle w:val="2"/>
        <w:ind w:firstLine="480" w:firstLineChars="200"/>
        <w:rPr>
          <w:rFonts w:hAnsi="宋体"/>
          <w:sz w:val="24"/>
          <w:szCs w:val="22"/>
        </w:rPr>
      </w:pPr>
      <w:r>
        <w:rPr>
          <w:rFonts w:hint="eastAsia" w:hAnsi="宋体"/>
          <w:sz w:val="24"/>
          <w:szCs w:val="22"/>
        </w:rPr>
        <w:t>（2）未经监理人书面指令，任何工程不得按计日工施工；接到监理人按计日工施工的书面指令，承包人也不得拒绝。</w:t>
      </w:r>
    </w:p>
    <w:p>
      <w:pPr>
        <w:pStyle w:val="2"/>
        <w:ind w:firstLine="480" w:firstLineChars="200"/>
        <w:rPr>
          <w:rFonts w:hAnsi="宋体"/>
          <w:sz w:val="24"/>
          <w:szCs w:val="22"/>
        </w:rPr>
      </w:pPr>
      <w:r>
        <w:rPr>
          <w:rFonts w:hint="eastAsia" w:hAnsi="宋体"/>
          <w:sz w:val="24"/>
          <w:szCs w:val="22"/>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
        <w:ind w:firstLine="480" w:firstLineChars="200"/>
        <w:rPr>
          <w:rFonts w:hAnsi="宋体"/>
          <w:sz w:val="24"/>
          <w:szCs w:val="22"/>
        </w:rPr>
      </w:pPr>
      <w:r>
        <w:rPr>
          <w:rFonts w:hint="eastAsia" w:hAnsi="宋体"/>
          <w:sz w:val="24"/>
          <w:szCs w:val="22"/>
        </w:rPr>
        <w:t>（4）计日工不调价。</w:t>
      </w:r>
    </w:p>
    <w:p>
      <w:pPr>
        <w:pStyle w:val="2"/>
        <w:ind w:firstLine="480" w:firstLineChars="200"/>
        <w:rPr>
          <w:rFonts w:hAnsi="宋体"/>
          <w:sz w:val="24"/>
          <w:szCs w:val="22"/>
        </w:rPr>
      </w:pPr>
      <w:r>
        <w:rPr>
          <w:rFonts w:hint="eastAsia" w:hAnsi="宋体"/>
          <w:sz w:val="24"/>
          <w:szCs w:val="22"/>
        </w:rPr>
        <w:t>3.2 计日工劳务</w:t>
      </w:r>
    </w:p>
    <w:p>
      <w:pPr>
        <w:pStyle w:val="2"/>
        <w:ind w:firstLine="480" w:firstLineChars="200"/>
        <w:rPr>
          <w:rFonts w:hAnsi="宋体"/>
          <w:sz w:val="24"/>
          <w:szCs w:val="22"/>
        </w:rPr>
      </w:pPr>
      <w:r>
        <w:rPr>
          <w:rFonts w:hint="eastAsia" w:hAnsi="宋体"/>
          <w:sz w:val="24"/>
          <w:szCs w:val="22"/>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pStyle w:val="2"/>
        <w:ind w:firstLine="480" w:firstLineChars="200"/>
        <w:rPr>
          <w:rFonts w:hAnsi="宋体"/>
          <w:sz w:val="24"/>
          <w:szCs w:val="22"/>
        </w:rPr>
      </w:pPr>
      <w:r>
        <w:rPr>
          <w:rFonts w:hint="eastAsia" w:hAnsi="宋体"/>
          <w:sz w:val="24"/>
          <w:szCs w:val="22"/>
        </w:rPr>
        <w:t>（2）承包人可以得到用于计日工劳务的全部工时的支付，此支付按承包人填报的“计日工劳务单价表”所列单价计算，该单价应包括基本单价及承包人的管理费、税费、利润等所有附加费，说明如下：</w:t>
      </w:r>
    </w:p>
    <w:p>
      <w:pPr>
        <w:pStyle w:val="2"/>
        <w:ind w:firstLine="480" w:firstLineChars="200"/>
        <w:rPr>
          <w:rFonts w:hAnsi="宋体"/>
          <w:sz w:val="24"/>
          <w:szCs w:val="22"/>
        </w:rPr>
      </w:pPr>
      <w:r>
        <w:rPr>
          <w:rFonts w:hint="eastAsia" w:hAnsi="宋体"/>
          <w:sz w:val="24"/>
          <w:szCs w:val="22"/>
        </w:rPr>
        <w:t>a.劳务基本单价包括：承包人劳务的全部直接费用，如：工资、加班费、津贴、福利费及劳动保护费等。</w:t>
      </w:r>
    </w:p>
    <w:p>
      <w:pPr>
        <w:pStyle w:val="2"/>
        <w:ind w:firstLine="480" w:firstLineChars="200"/>
        <w:rPr>
          <w:rFonts w:hAnsi="宋体"/>
          <w:sz w:val="24"/>
          <w:szCs w:val="22"/>
        </w:rPr>
      </w:pPr>
      <w:r>
        <w:rPr>
          <w:rFonts w:hint="eastAsia" w:hAnsi="宋体"/>
          <w:sz w:val="24"/>
          <w:szCs w:val="22"/>
        </w:rPr>
        <w:t>b.承包人的利润、管理、质检、保险、税费；易耗品的使用、水电及照明费，工作台、脚手架、临时设施费，手动机具与工具的使用及维修，以及上述各项伴随而来的费用。</w:t>
      </w:r>
    </w:p>
    <w:p>
      <w:pPr>
        <w:pStyle w:val="2"/>
        <w:ind w:firstLine="480" w:firstLineChars="200"/>
        <w:rPr>
          <w:rFonts w:hAnsi="宋体"/>
          <w:sz w:val="24"/>
          <w:szCs w:val="22"/>
        </w:rPr>
      </w:pPr>
      <w:r>
        <w:rPr>
          <w:rFonts w:hint="eastAsia" w:hAnsi="宋体"/>
          <w:sz w:val="24"/>
          <w:szCs w:val="22"/>
        </w:rPr>
        <w:t>3.3 计日工材料</w:t>
      </w:r>
    </w:p>
    <w:p>
      <w:pPr>
        <w:pStyle w:val="2"/>
        <w:ind w:firstLine="480" w:firstLineChars="200"/>
        <w:rPr>
          <w:rFonts w:hAnsi="宋体"/>
          <w:sz w:val="24"/>
          <w:szCs w:val="22"/>
        </w:rPr>
      </w:pPr>
      <w:r>
        <w:rPr>
          <w:rFonts w:hint="eastAsia" w:hAnsi="宋体"/>
          <w:sz w:val="24"/>
          <w:szCs w:val="22"/>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
        <w:ind w:firstLine="480" w:firstLineChars="200"/>
        <w:rPr>
          <w:rFonts w:hAnsi="宋体"/>
          <w:sz w:val="24"/>
          <w:szCs w:val="22"/>
        </w:rPr>
      </w:pPr>
      <w:r>
        <w:rPr>
          <w:rFonts w:hint="eastAsia" w:hAnsi="宋体"/>
          <w:sz w:val="24"/>
          <w:szCs w:val="22"/>
        </w:rPr>
        <w:t>a．材料基本单价按供货价加运杂费（到达承包人现场仓库）、保险费、仓库管理费以及运输损耗等计算。</w:t>
      </w:r>
    </w:p>
    <w:p>
      <w:pPr>
        <w:pStyle w:val="2"/>
        <w:ind w:firstLine="480" w:firstLineChars="200"/>
        <w:rPr>
          <w:rFonts w:hAnsi="宋体"/>
          <w:sz w:val="24"/>
          <w:szCs w:val="22"/>
        </w:rPr>
      </w:pPr>
      <w:r>
        <w:rPr>
          <w:rFonts w:hint="eastAsia" w:hAnsi="宋体"/>
          <w:sz w:val="24"/>
          <w:szCs w:val="22"/>
        </w:rPr>
        <w:t>b. 承包人的利润、管理、质检、保险、税费及其他附加费：</w:t>
      </w:r>
    </w:p>
    <w:p>
      <w:pPr>
        <w:pStyle w:val="2"/>
        <w:ind w:firstLine="480" w:firstLineChars="200"/>
        <w:rPr>
          <w:rFonts w:hAnsi="宋体"/>
          <w:sz w:val="24"/>
          <w:szCs w:val="22"/>
        </w:rPr>
      </w:pPr>
      <w:r>
        <w:rPr>
          <w:rFonts w:hint="eastAsia" w:hAnsi="宋体"/>
          <w:sz w:val="24"/>
          <w:szCs w:val="22"/>
        </w:rPr>
        <w:t>c．从现场运至使用地点的人工费和施工机械使用费不包括在上述基本单价内。</w:t>
      </w:r>
    </w:p>
    <w:p>
      <w:pPr>
        <w:pStyle w:val="2"/>
        <w:ind w:firstLine="480" w:firstLineChars="200"/>
        <w:rPr>
          <w:rFonts w:hAnsi="宋体"/>
          <w:sz w:val="24"/>
          <w:szCs w:val="22"/>
        </w:rPr>
      </w:pPr>
      <w:r>
        <w:rPr>
          <w:rFonts w:hint="eastAsia" w:hAnsi="宋体"/>
          <w:sz w:val="24"/>
          <w:szCs w:val="22"/>
        </w:rPr>
        <w:t>3.4 计日工施工机械</w:t>
      </w:r>
    </w:p>
    <w:p>
      <w:pPr>
        <w:pStyle w:val="2"/>
        <w:ind w:firstLine="480" w:firstLineChars="200"/>
        <w:rPr>
          <w:rFonts w:hAnsi="宋体"/>
          <w:sz w:val="24"/>
          <w:szCs w:val="22"/>
        </w:rPr>
      </w:pPr>
      <w:r>
        <w:rPr>
          <w:rFonts w:hint="eastAsia" w:hAnsi="宋体"/>
          <w:sz w:val="24"/>
          <w:szCs w:val="22"/>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2"/>
        <w:ind w:firstLine="480" w:firstLineChars="200"/>
        <w:rPr>
          <w:rFonts w:hAnsi="宋体"/>
          <w:sz w:val="24"/>
          <w:szCs w:val="22"/>
        </w:rPr>
      </w:pPr>
      <w:r>
        <w:rPr>
          <w:rFonts w:hint="eastAsia" w:hAnsi="宋体"/>
          <w:sz w:val="24"/>
          <w:szCs w:val="22"/>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2"/>
        <w:ind w:firstLine="480" w:firstLineChars="200"/>
        <w:rPr>
          <w:rFonts w:hAnsi="宋体"/>
          <w:sz w:val="24"/>
          <w:szCs w:val="22"/>
        </w:rPr>
      </w:pPr>
      <w:r>
        <w:rPr>
          <w:rFonts w:hint="eastAsia" w:hAnsi="宋体"/>
          <w:sz w:val="24"/>
          <w:szCs w:val="22"/>
        </w:rPr>
        <w:t>4．其他说明</w:t>
      </w:r>
    </w:p>
    <w:p>
      <w:pPr>
        <w:pStyle w:val="2"/>
        <w:ind w:firstLine="480" w:firstLineChars="200"/>
        <w:rPr>
          <w:rFonts w:hAnsi="宋体"/>
          <w:sz w:val="24"/>
          <w:szCs w:val="22"/>
        </w:rPr>
      </w:pPr>
      <w:r>
        <w:rPr>
          <w:rFonts w:hint="eastAsia" w:hAnsi="宋体"/>
          <w:sz w:val="24"/>
          <w:szCs w:val="22"/>
        </w:rPr>
        <w:t>编制说明：</w:t>
      </w:r>
    </w:p>
    <w:p>
      <w:pPr>
        <w:pStyle w:val="2"/>
        <w:ind w:firstLine="480" w:firstLineChars="200"/>
        <w:rPr>
          <w:rFonts w:hint="eastAsia" w:hAnsi="宋体"/>
          <w:sz w:val="24"/>
          <w:szCs w:val="22"/>
        </w:rPr>
      </w:pPr>
      <w:r>
        <w:rPr>
          <w:rFonts w:hint="eastAsia" w:hAnsi="宋体"/>
          <w:sz w:val="24"/>
          <w:szCs w:val="22"/>
        </w:rPr>
        <w:t>1、本次招标只需根据项目内容及概况进行投标报价。</w:t>
      </w:r>
    </w:p>
    <w:p>
      <w:pPr>
        <w:pStyle w:val="2"/>
        <w:ind w:firstLine="480" w:firstLineChars="200"/>
        <w:rPr>
          <w:rFonts w:hAnsi="宋体"/>
          <w:sz w:val="24"/>
          <w:szCs w:val="22"/>
        </w:rPr>
      </w:pPr>
    </w:p>
    <w:p>
      <w:pPr>
        <w:pStyle w:val="2"/>
        <w:ind w:firstLine="480" w:firstLineChars="200"/>
        <w:rPr>
          <w:rFonts w:hAnsi="宋体"/>
          <w:sz w:val="24"/>
          <w:szCs w:val="22"/>
        </w:rPr>
      </w:pPr>
    </w:p>
    <w:p>
      <w:pPr>
        <w:spacing w:line="327" w:lineRule="auto"/>
        <w:ind w:firstLine="540"/>
        <w:jc w:val="both"/>
        <w:rPr>
          <w:rFonts w:ascii="宋体" w:hAnsi="宋体"/>
          <w:sz w:val="24"/>
          <w:szCs w:val="22"/>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line="200" w:lineRule="exact"/>
        <w:rPr>
          <w:rFonts w:eastAsia="Times New Roman"/>
        </w:rPr>
      </w:pPr>
      <w:bookmarkStart w:id="91" w:name="page177"/>
      <w:bookmarkEnd w:id="91"/>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二</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3"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2" w:name="page208"/>
      <w:bookmarkEnd w:id="9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rPr>
          <w:rFonts w:ascii="Times New Roman" w:eastAsia="Times New Roman"/>
        </w:rPr>
      </w:pPr>
    </w:p>
    <w:p>
      <w:pPr>
        <w:spacing w:line="200" w:lineRule="exact"/>
        <w:rPr>
          <w:rFonts w:eastAsia="Times New Roman"/>
        </w:rPr>
      </w:pPr>
    </w:p>
    <w:p>
      <w:pPr>
        <w:spacing w:line="266" w:lineRule="exact"/>
        <w:rPr>
          <w:rFonts w:eastAsia="Times New Roman"/>
        </w:rPr>
      </w:pPr>
    </w:p>
    <w:p>
      <w:pPr>
        <w:numPr>
          <w:ilvl w:val="0"/>
          <w:numId w:val="80"/>
        </w:numPr>
        <w:tabs>
          <w:tab w:val="left" w:pos="2220"/>
        </w:tabs>
        <w:spacing w:line="239" w:lineRule="auto"/>
        <w:jc w:val="center"/>
        <w:rPr>
          <w:rFonts w:ascii="宋体" w:hAnsi="宋体"/>
          <w:sz w:val="55"/>
          <w:szCs w:val="22"/>
        </w:rPr>
      </w:pPr>
      <w:r>
        <w:rPr>
          <w:rFonts w:ascii="宋体" w:hAnsi="宋体"/>
          <w:sz w:val="55"/>
        </w:rPr>
        <w:t>图纸</w:t>
      </w:r>
      <w:r>
        <w:rPr>
          <w:rFonts w:hint="eastAsia" w:ascii="宋体" w:hAnsi="宋体"/>
          <w:sz w:val="55"/>
          <w:szCs w:val="22"/>
        </w:rPr>
        <w:t>（无）</w:t>
      </w:r>
    </w:p>
    <w:p>
      <w:pPr>
        <w:spacing w:line="200" w:lineRule="exact"/>
        <w:rPr>
          <w:rFonts w:eastAsia="Times New Roman"/>
        </w:rPr>
      </w:pPr>
      <w:bookmarkStart w:id="93" w:name="page209"/>
      <w:bookmarkEnd w:id="93"/>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三</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4"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4" w:name="page210"/>
      <w:bookmarkEnd w:id="94"/>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tabs>
          <w:tab w:val="left" w:pos="2220"/>
        </w:tabs>
        <w:spacing w:line="239" w:lineRule="auto"/>
        <w:jc w:val="center"/>
        <w:rPr>
          <w:rFonts w:ascii="宋体" w:hAnsi="宋体"/>
          <w:sz w:val="55"/>
        </w:rPr>
      </w:pPr>
      <w:r>
        <w:rPr>
          <w:rFonts w:ascii="宋体" w:hAnsi="宋体"/>
          <w:sz w:val="55"/>
        </w:rPr>
        <w:t>第七章</w:t>
      </w:r>
      <w:r>
        <w:rPr>
          <w:rFonts w:eastAsia="Times New Roman"/>
        </w:rPr>
        <w:tab/>
      </w:r>
      <w:r>
        <w:rPr>
          <w:rFonts w:ascii="宋体" w:hAnsi="宋体"/>
          <w:sz w:val="55"/>
        </w:rPr>
        <w:t>技术规范（另册）</w:t>
      </w:r>
    </w:p>
    <w:p>
      <w:pPr>
        <w:tabs>
          <w:tab w:val="left" w:pos="2220"/>
        </w:tabs>
        <w:spacing w:line="239" w:lineRule="auto"/>
        <w:rPr>
          <w:rFonts w:ascii="宋体" w:hAnsi="宋体"/>
          <w:sz w:val="55"/>
        </w:rPr>
        <w:sectPr>
          <w:footerReference r:id="rId15"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5" w:name="page211"/>
      <w:bookmarkEnd w:id="95"/>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numPr>
          <w:ilvl w:val="0"/>
          <w:numId w:val="81"/>
        </w:numPr>
        <w:tabs>
          <w:tab w:val="left" w:pos="2220"/>
        </w:tabs>
        <w:spacing w:line="239" w:lineRule="auto"/>
        <w:jc w:val="center"/>
        <w:rPr>
          <w:rFonts w:ascii="宋体" w:hAnsi="宋体"/>
          <w:sz w:val="55"/>
        </w:rPr>
      </w:pPr>
      <w:r>
        <w:rPr>
          <w:rFonts w:ascii="宋体" w:hAnsi="宋体"/>
          <w:sz w:val="55"/>
        </w:rPr>
        <w:t>工程量清单计量规则</w:t>
      </w:r>
    </w:p>
    <w:p>
      <w:pPr>
        <w:pStyle w:val="2"/>
        <w:ind w:firstLine="0" w:firstLineChars="0"/>
      </w:pPr>
    </w:p>
    <w:p>
      <w:pPr>
        <w:pStyle w:val="2"/>
        <w:ind w:firstLine="0" w:firstLineChars="0"/>
        <w:jc w:val="center"/>
        <w:rPr>
          <w:rFonts w:hAnsi="宋体"/>
          <w:sz w:val="55"/>
        </w:rPr>
        <w:sectPr>
          <w:footerReference r:id="rId16" w:type="default"/>
          <w:pgSz w:w="11906" w:h="16838"/>
          <w:pgMar w:top="1440" w:right="1440" w:bottom="1440" w:left="1440" w:header="0" w:footer="567" w:gutter="0"/>
          <w:cols w:space="720" w:num="1"/>
          <w:docGrid w:linePitch="360" w:charSpace="0"/>
        </w:sectPr>
      </w:pPr>
      <w:r>
        <w:rPr>
          <w:rFonts w:hint="eastAsia" w:hAnsi="宋体"/>
          <w:sz w:val="55"/>
        </w:rPr>
        <w:t>（另册）</w:t>
      </w:r>
    </w:p>
    <w:p>
      <w:pPr>
        <w:tabs>
          <w:tab w:val="left" w:pos="1940"/>
        </w:tabs>
        <w:spacing w:line="239" w:lineRule="auto"/>
        <w:rPr>
          <w:rFonts w:ascii="宋体" w:hAnsi="宋体"/>
          <w:sz w:val="55"/>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rPr>
          <w:sz w:val="18"/>
        </w:rPr>
        <w:sectPr>
          <w:type w:val="continuous"/>
          <w:pgSz w:w="11906" w:h="16838"/>
          <w:pgMar w:top="1440" w:right="1440" w:bottom="1440" w:left="1440" w:header="0" w:footer="0" w:gutter="0"/>
          <w:cols w:space="720" w:num="1"/>
          <w:docGrid w:linePitch="360" w:charSpace="0"/>
        </w:sectPr>
      </w:pPr>
    </w:p>
    <w:p>
      <w:pPr>
        <w:tabs>
          <w:tab w:val="left" w:pos="1500"/>
          <w:tab w:val="left" w:pos="3020"/>
        </w:tabs>
        <w:spacing w:line="0" w:lineRule="atLeast"/>
        <w:rPr>
          <w:rFonts w:ascii="宋体" w:hAnsi="宋体"/>
          <w:sz w:val="76"/>
        </w:rPr>
      </w:pPr>
      <w:bookmarkStart w:id="96" w:name="page212"/>
      <w:bookmarkEnd w:id="96"/>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四</w:t>
      </w:r>
      <w:r>
        <w:rPr>
          <w:rFonts w:eastAsia="Times New Roman"/>
        </w:rPr>
        <w:tab/>
      </w:r>
      <w:r>
        <w:rPr>
          <w:rFonts w:ascii="宋体" w:hAnsi="宋体"/>
          <w:sz w:val="76"/>
        </w:rPr>
        <w:t>卷</w:t>
      </w:r>
    </w:p>
    <w:p>
      <w:pPr>
        <w:tabs>
          <w:tab w:val="left" w:pos="1500"/>
          <w:tab w:val="left" w:pos="3020"/>
        </w:tabs>
        <w:spacing w:line="0" w:lineRule="atLeast"/>
        <w:jc w:val="center"/>
        <w:rPr>
          <w:rFonts w:ascii="宋体" w:hAnsi="宋体"/>
          <w:sz w:val="76"/>
        </w:rPr>
        <w:sectPr>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7" w:name="page213"/>
      <w:bookmarkEnd w:id="97"/>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7" w:lineRule="exact"/>
        <w:rPr>
          <w:rFonts w:eastAsia="Times New Roman"/>
        </w:rPr>
      </w:pPr>
    </w:p>
    <w:p>
      <w:pPr>
        <w:tabs>
          <w:tab w:val="left" w:pos="3620"/>
        </w:tabs>
        <w:spacing w:line="639" w:lineRule="exact"/>
        <w:ind w:left="1400"/>
        <w:rPr>
          <w:rFonts w:ascii="MS PGothic" w:hAnsi="MS PGothic"/>
          <w:b/>
          <w:sz w:val="56"/>
          <w:vertAlign w:val="superscript"/>
        </w:rPr>
      </w:pPr>
      <w:r>
        <w:rPr>
          <w:rFonts w:ascii="宋体" w:hAnsi="宋体"/>
          <w:sz w:val="56"/>
        </w:rPr>
        <w:t>第九章</w:t>
      </w:r>
      <w:r>
        <w:rPr>
          <w:rFonts w:eastAsia="Times New Roman"/>
        </w:rPr>
        <w:tab/>
      </w:r>
      <w:r>
        <w:rPr>
          <w:rFonts w:ascii="宋体" w:hAnsi="宋体"/>
          <w:sz w:val="56"/>
        </w:rPr>
        <w:t>投标文件格式</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spacing w:line="200" w:lineRule="exact"/>
        <w:rPr>
          <w:rFonts w:eastAsia="Times New Roman"/>
        </w:rPr>
      </w:pPr>
      <w:bookmarkStart w:id="98" w:name="page214"/>
      <w:bookmarkEnd w:id="98"/>
    </w:p>
    <w:p>
      <w:pPr>
        <w:pStyle w:val="2"/>
        <w:ind w:firstLine="7680" w:firstLineChars="3200"/>
      </w:pPr>
      <w:r>
        <w:rPr>
          <w:rFonts w:hint="eastAsia" w:hAnsi="宋体"/>
          <w:sz w:val="24"/>
          <w:szCs w:val="22"/>
        </w:rPr>
        <w:t>正（副）本</w:t>
      </w:r>
    </w:p>
    <w:p>
      <w:pPr>
        <w:tabs>
          <w:tab w:val="left" w:pos="5440"/>
        </w:tabs>
        <w:spacing w:line="0" w:lineRule="atLeast"/>
        <w:ind w:left="2820"/>
        <w:rPr>
          <w:rFonts w:ascii="宋体" w:hAnsi="宋体"/>
          <w:sz w:val="24"/>
        </w:rPr>
      </w:pPr>
      <w:r>
        <w:rPr>
          <w:rFonts w:ascii="宋体" w:hAnsi="宋体"/>
          <w:sz w:val="24"/>
        </w:rPr>
        <w:t>（项目名称）</w:t>
      </w:r>
      <w:r>
        <w:rPr>
          <w:rFonts w:eastAsia="Times New Roman"/>
        </w:rPr>
        <w:tab/>
      </w:r>
      <w:r>
        <w:rPr>
          <w:rFonts w:ascii="宋体" w:hAnsi="宋体"/>
          <w:sz w:val="24"/>
        </w:rPr>
        <w:t>标段施工招标</w:t>
      </w:r>
    </w:p>
    <w:p>
      <w:pPr>
        <w:spacing w:line="200" w:lineRule="exact"/>
        <w:rPr>
          <w:rFonts w:eastAsia="Times New Roman"/>
        </w:rPr>
      </w:pPr>
      <w:r>
        <w:rPr>
          <w:rFonts w:ascii="宋体" w:hAnsi="宋体"/>
          <w:sz w:val="24"/>
        </w:rPr>
        <w:pict>
          <v:line id="_x0000_s2059" o:spid="_x0000_s2059" o:spt="20" style="position:absolute;left:0pt;margin-left:27.3pt;margin-top:0.05pt;height:0pt;width:107.85pt;z-index:-251589632;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56iWtIAAAAEAQAADwAAAAAAAAABACAAAAAiAAAAZHJz&#10;L2Rvd25yZXYueG1sUEsBAhQAFAAAAAgAh07iQMbZOeLRAQAAigMAAA4AAAAAAAAAAQAgAAAAIQEA&#10;AGRycy9lMm9Eb2MueG1sUEsFBgAAAAAGAAYAWQEAAGQFAAAAAA==&#10;">
            <v:path arrowok="t"/>
            <v:fill focussize="0,0"/>
            <v:stroke weight="0.59992125984252pt"/>
            <v:imagedata o:title=""/>
            <o:lock v:ext="edit"/>
          </v:line>
        </w:pict>
      </w:r>
      <w:r>
        <w:rPr>
          <w:rFonts w:ascii="宋体" w:hAnsi="宋体"/>
          <w:sz w:val="24"/>
        </w:rPr>
        <w:pict>
          <v:line id="_x0000_s2058" o:spid="_x0000_s2058" o:spt="20" style="position:absolute;left:0pt;margin-left:213.2pt;margin-top:0.05pt;height:0pt;width:60pt;z-index:-251588608;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Ug4LSAAAABQEAAA8AAAAAAAAAAQAgAAAAIgAAAGRycy9k&#10;b3ducmV2LnhtbFBLAQIUABQAAAAIAIdO4kDIOd1uzwEAAIkDAAAOAAAAAAAAAAEAIAAAACEBAABk&#10;cnMvZTJvRG9jLnhtbFBLBQYAAAAABgAGAFkBAABiBQ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spacing w:line="360" w:lineRule="auto"/>
        <w:ind w:firstLine="340"/>
        <w:jc w:val="center"/>
        <w:rPr>
          <w:color w:val="000000" w:themeColor="text1"/>
        </w:rPr>
      </w:pPr>
      <w:r>
        <w:rPr>
          <w:rFonts w:hint="eastAsia"/>
          <w:color w:val="000000" w:themeColor="text1"/>
        </w:rPr>
        <w:t>建安建工公字﹝2019﹞</w:t>
      </w:r>
      <w:r>
        <w:rPr>
          <w:rFonts w:hint="eastAsia"/>
          <w:color w:val="000000" w:themeColor="text1"/>
          <w:lang w:val="en-US" w:eastAsia="zh-CN"/>
        </w:rPr>
        <w:t>91</w:t>
      </w:r>
      <w:r>
        <w:rPr>
          <w:rFonts w:hint="eastAsia"/>
          <w:color w:val="000000" w:themeColor="text1"/>
        </w:rPr>
        <w:t>号</w:t>
      </w:r>
    </w:p>
    <w:p>
      <w:pPr>
        <w:spacing w:line="200" w:lineRule="exact"/>
        <w:rPr>
          <w:rFonts w:eastAsia="Times New Roman"/>
        </w:rPr>
      </w:pPr>
    </w:p>
    <w:p>
      <w:pPr>
        <w:autoSpaceDE w:val="0"/>
        <w:spacing w:line="360" w:lineRule="auto"/>
        <w:ind w:left="236"/>
        <w:jc w:val="center"/>
        <w:rPr>
          <w:rFonts w:eastAsia="Times New Roman"/>
        </w:rPr>
      </w:pPr>
      <w:r>
        <w:rPr>
          <w:rFonts w:hint="eastAsia" w:ascii="黑体" w:hAnsi="黑体" w:eastAsia="黑体"/>
          <w:sz w:val="56"/>
          <w:szCs w:val="56"/>
        </w:rPr>
        <w:t>第一信封</w:t>
      </w:r>
    </w:p>
    <w:p>
      <w:pPr>
        <w:spacing w:line="257" w:lineRule="exact"/>
        <w:rPr>
          <w:rFonts w:eastAsia="Times New Roman"/>
        </w:rPr>
      </w:pPr>
    </w:p>
    <w:p>
      <w:pPr>
        <w:tabs>
          <w:tab w:val="left" w:pos="2680"/>
          <w:tab w:val="left" w:pos="4120"/>
          <w:tab w:val="left" w:pos="5560"/>
        </w:tabs>
        <w:spacing w:line="360" w:lineRule="auto"/>
        <w:ind w:left="1260"/>
        <w:jc w:val="center"/>
        <w:rPr>
          <w:rFonts w:ascii="宋体" w:hAnsi="宋体"/>
          <w:sz w:val="72"/>
        </w:rPr>
      </w:pPr>
      <w:r>
        <w:rPr>
          <w:rFonts w:ascii="宋体" w:hAnsi="宋体"/>
          <w:sz w:val="72"/>
        </w:rPr>
        <w:t>投</w:t>
      </w:r>
      <w:r>
        <w:rPr>
          <w:rFonts w:eastAsia="Times New Roman"/>
        </w:rPr>
        <w:tab/>
      </w:r>
      <w:r>
        <w:rPr>
          <w:rFonts w:ascii="宋体" w:hAnsi="宋体"/>
          <w:sz w:val="72"/>
        </w:rPr>
        <w:t>标</w:t>
      </w:r>
      <w:r>
        <w:rPr>
          <w:rFonts w:eastAsia="Times New Roman"/>
        </w:rPr>
        <w:tab/>
      </w:r>
      <w:r>
        <w:rPr>
          <w:rFonts w:ascii="宋体" w:hAnsi="宋体"/>
          <w:sz w:val="72"/>
        </w:rPr>
        <w:t>文</w:t>
      </w:r>
      <w:r>
        <w:rPr>
          <w:rFonts w:eastAsia="Times New Roman"/>
        </w:rPr>
        <w:tab/>
      </w:r>
      <w:r>
        <w:rPr>
          <w:rFonts w:ascii="宋体" w:hAnsi="宋体"/>
          <w:sz w:val="72"/>
        </w:rPr>
        <w:t>件</w:t>
      </w:r>
    </w:p>
    <w:p>
      <w:pPr>
        <w:pStyle w:val="2"/>
        <w:spacing w:line="360" w:lineRule="auto"/>
        <w:ind w:firstLine="340"/>
        <w:jc w:val="center"/>
        <w:rPr>
          <w:rFonts w:ascii="Times New Roman" w:eastAsia="Times New Roman"/>
        </w:rPr>
      </w:pPr>
    </w:p>
    <w:p>
      <w:pPr>
        <w:spacing w:line="0" w:lineRule="atLeast"/>
        <w:jc w:val="center"/>
        <w:rPr>
          <w:rFonts w:ascii="宋体" w:hAnsi="宋体"/>
          <w:sz w:val="32"/>
        </w:rPr>
      </w:pPr>
      <w:r>
        <w:rPr>
          <w:rFonts w:ascii="宋体" w:hAnsi="宋体"/>
          <w:sz w:val="32"/>
        </w:rPr>
        <w:t>（商务及技术文件）</w:t>
      </w:r>
    </w:p>
    <w:p>
      <w:pPr>
        <w:spacing w:line="200" w:lineRule="exact"/>
        <w:jc w:val="center"/>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2" w:lineRule="exact"/>
        <w:rPr>
          <w:rFonts w:eastAsia="Times New Roman"/>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ascii="黑体"/>
          <w:sz w:val="20"/>
        </w:rPr>
      </w:pPr>
    </w:p>
    <w:p>
      <w:pPr>
        <w:pStyle w:val="3"/>
        <w:spacing w:before="12"/>
        <w:rPr>
          <w:rFonts w:ascii="黑体"/>
          <w:sz w:val="15"/>
        </w:rPr>
      </w:pPr>
    </w:p>
    <w:p>
      <w:pPr>
        <w:jc w:val="center"/>
        <w:rPr>
          <w:rFonts w:ascii="宋体" w:hAnsi="宋体"/>
          <w:sz w:val="28"/>
        </w:rPr>
        <w:sectPr>
          <w:headerReference r:id="rId17" w:type="default"/>
          <w:footerReference r:id="rId18" w:type="default"/>
          <w:pgSz w:w="11906" w:h="16838"/>
          <w:pgMar w:top="1440" w:right="1440" w:bottom="1440" w:left="1440" w:header="0" w:footer="567" w:gutter="0"/>
          <w:cols w:space="720" w:num="1"/>
          <w:docGrid w:linePitch="360" w:charSpace="0"/>
        </w:sectPr>
      </w:pPr>
      <w:r>
        <w:rPr>
          <w:rFonts w:hint="eastAsia" w:ascii="黑体" w:eastAsia="黑体"/>
          <w:sz w:val="28"/>
        </w:rPr>
        <w:t>年</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ab/>
      </w:r>
      <w:r>
        <w:rPr>
          <w:rFonts w:hint="eastAsia" w:ascii="黑体" w:eastAsia="黑体"/>
          <w:sz w:val="28"/>
        </w:rPr>
        <w:t>日</w:t>
      </w:r>
    </w:p>
    <w:p>
      <w:pPr>
        <w:spacing w:line="200" w:lineRule="exact"/>
        <w:rPr>
          <w:rFonts w:eastAsia="Times New Roman"/>
        </w:rPr>
      </w:pPr>
      <w:bookmarkStart w:id="99" w:name="page215"/>
      <w:bookmarkEnd w:id="99"/>
    </w:p>
    <w:p>
      <w:pPr>
        <w:spacing w:line="309" w:lineRule="exact"/>
        <w:rPr>
          <w:rFonts w:eastAsia="Times New Roman"/>
        </w:rPr>
      </w:pPr>
    </w:p>
    <w:p>
      <w:pPr>
        <w:tabs>
          <w:tab w:val="left" w:pos="3080"/>
        </w:tabs>
        <w:spacing w:line="0" w:lineRule="atLeast"/>
        <w:ind w:left="2040"/>
        <w:rPr>
          <w:rFonts w:ascii="宋体" w:hAnsi="宋体"/>
          <w:sz w:val="30"/>
        </w:rPr>
      </w:pPr>
      <w:r>
        <w:rPr>
          <w:rFonts w:ascii="宋体" w:hAnsi="宋体"/>
          <w:sz w:val="30"/>
        </w:rPr>
        <w:t>目</w:t>
      </w:r>
      <w:r>
        <w:rPr>
          <w:rFonts w:eastAsia="Times New Roman"/>
        </w:rPr>
        <w:tab/>
      </w:r>
      <w:r>
        <w:rPr>
          <w:rFonts w:ascii="宋体" w:hAnsi="宋体"/>
          <w:sz w:val="30"/>
        </w:rPr>
        <w:t>录</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7" w:lineRule="exact"/>
        <w:rPr>
          <w:rFonts w:eastAsia="Times New Roman"/>
        </w:rPr>
      </w:pPr>
    </w:p>
    <w:p>
      <w:pPr>
        <w:spacing w:line="0" w:lineRule="atLeast"/>
        <w:rPr>
          <w:rFonts w:ascii="宋体" w:hAnsi="宋体"/>
          <w:sz w:val="24"/>
        </w:rPr>
      </w:pPr>
      <w:r>
        <w:rPr>
          <w:rFonts w:ascii="宋体" w:hAnsi="宋体"/>
          <w:sz w:val="24"/>
        </w:rPr>
        <w:t>一、投标函及投标函附录</w:t>
      </w:r>
    </w:p>
    <w:p>
      <w:pPr>
        <w:spacing w:line="177" w:lineRule="exact"/>
        <w:rPr>
          <w:rFonts w:eastAsia="Times New Roman"/>
        </w:rPr>
      </w:pPr>
    </w:p>
    <w:p>
      <w:pPr>
        <w:spacing w:line="0" w:lineRule="atLeast"/>
        <w:rPr>
          <w:rFonts w:ascii="宋体" w:hAnsi="宋体"/>
          <w:sz w:val="23"/>
        </w:rPr>
      </w:pPr>
      <w:r>
        <w:rPr>
          <w:rFonts w:ascii="宋体" w:hAnsi="宋体"/>
          <w:sz w:val="23"/>
        </w:rPr>
        <w:t>二、授权委托书或法定代表人身份证明</w:t>
      </w:r>
    </w:p>
    <w:p>
      <w:pPr>
        <w:spacing w:line="166" w:lineRule="exact"/>
        <w:rPr>
          <w:rFonts w:eastAsia="Times New Roman"/>
        </w:rPr>
      </w:pPr>
    </w:p>
    <w:p>
      <w:pPr>
        <w:spacing w:line="0" w:lineRule="atLeast"/>
        <w:rPr>
          <w:rFonts w:ascii="宋体" w:hAnsi="宋体"/>
          <w:sz w:val="24"/>
        </w:rPr>
      </w:pPr>
      <w:r>
        <w:rPr>
          <w:rFonts w:hint="eastAsia" w:ascii="宋体" w:hAnsi="宋体"/>
          <w:sz w:val="24"/>
        </w:rPr>
        <w:t>三</w:t>
      </w:r>
      <w:r>
        <w:rPr>
          <w:rFonts w:ascii="宋体" w:hAnsi="宋体"/>
          <w:sz w:val="24"/>
        </w:rPr>
        <w:t>、投标保证金</w:t>
      </w:r>
    </w:p>
    <w:p>
      <w:pPr>
        <w:spacing w:line="165" w:lineRule="exact"/>
        <w:rPr>
          <w:rFonts w:eastAsia="Times New Roman"/>
        </w:rPr>
      </w:pPr>
    </w:p>
    <w:p>
      <w:pPr>
        <w:spacing w:line="0" w:lineRule="atLeast"/>
        <w:rPr>
          <w:rFonts w:ascii="宋体" w:hAnsi="宋体"/>
          <w:sz w:val="24"/>
        </w:rPr>
      </w:pPr>
      <w:r>
        <w:rPr>
          <w:rFonts w:hint="eastAsia" w:ascii="宋体" w:hAnsi="宋体"/>
          <w:sz w:val="24"/>
        </w:rPr>
        <w:t>四</w:t>
      </w:r>
      <w:r>
        <w:rPr>
          <w:rFonts w:ascii="宋体" w:hAnsi="宋体"/>
          <w:sz w:val="24"/>
        </w:rPr>
        <w:t>、施工组织设计</w:t>
      </w:r>
    </w:p>
    <w:p>
      <w:pPr>
        <w:spacing w:line="168" w:lineRule="exact"/>
        <w:rPr>
          <w:rFonts w:eastAsia="Times New Roman"/>
        </w:rPr>
      </w:pPr>
    </w:p>
    <w:p>
      <w:pPr>
        <w:spacing w:line="0" w:lineRule="atLeast"/>
        <w:rPr>
          <w:rFonts w:ascii="宋体" w:hAnsi="宋体"/>
          <w:sz w:val="24"/>
        </w:rPr>
      </w:pPr>
      <w:r>
        <w:rPr>
          <w:rFonts w:hint="eastAsia" w:ascii="宋体" w:hAnsi="宋体"/>
          <w:sz w:val="24"/>
        </w:rPr>
        <w:t>五</w:t>
      </w:r>
      <w:r>
        <w:rPr>
          <w:rFonts w:ascii="宋体" w:hAnsi="宋体"/>
          <w:sz w:val="24"/>
        </w:rPr>
        <w:t>、项目管理机构</w:t>
      </w:r>
    </w:p>
    <w:p>
      <w:pPr>
        <w:spacing w:line="165" w:lineRule="exact"/>
        <w:rPr>
          <w:rFonts w:eastAsia="Times New Roman"/>
        </w:rPr>
      </w:pPr>
    </w:p>
    <w:p>
      <w:pPr>
        <w:spacing w:line="0" w:lineRule="atLeast"/>
        <w:rPr>
          <w:rFonts w:ascii="宋体" w:hAnsi="宋体"/>
          <w:sz w:val="24"/>
        </w:rPr>
      </w:pPr>
      <w:r>
        <w:rPr>
          <w:rFonts w:hint="eastAsia" w:ascii="宋体" w:hAnsi="宋体"/>
          <w:sz w:val="24"/>
        </w:rPr>
        <w:t>六</w:t>
      </w:r>
      <w:r>
        <w:rPr>
          <w:rFonts w:ascii="宋体" w:hAnsi="宋体"/>
          <w:sz w:val="24"/>
        </w:rPr>
        <w:t>、拟分包项目情况表</w:t>
      </w:r>
    </w:p>
    <w:p>
      <w:pPr>
        <w:spacing w:line="165" w:lineRule="exact"/>
        <w:rPr>
          <w:rFonts w:eastAsia="Times New Roman"/>
        </w:rPr>
      </w:pPr>
    </w:p>
    <w:p>
      <w:pPr>
        <w:spacing w:line="0" w:lineRule="atLeast"/>
        <w:rPr>
          <w:rFonts w:ascii="宋体" w:hAnsi="宋体"/>
          <w:sz w:val="24"/>
        </w:rPr>
      </w:pPr>
      <w:r>
        <w:rPr>
          <w:rFonts w:hint="eastAsia" w:ascii="宋体" w:hAnsi="宋体"/>
          <w:sz w:val="24"/>
        </w:rPr>
        <w:t>七</w:t>
      </w:r>
      <w:r>
        <w:rPr>
          <w:rFonts w:ascii="宋体" w:hAnsi="宋体"/>
          <w:sz w:val="24"/>
        </w:rPr>
        <w:t>、资格审查资料</w:t>
      </w:r>
    </w:p>
    <w:p>
      <w:pPr>
        <w:spacing w:line="168" w:lineRule="exact"/>
        <w:rPr>
          <w:rFonts w:eastAsia="Times New Roman"/>
        </w:rPr>
      </w:pPr>
    </w:p>
    <w:p>
      <w:pPr>
        <w:spacing w:line="0" w:lineRule="atLeast"/>
        <w:rPr>
          <w:rFonts w:ascii="宋体" w:hAnsi="宋体"/>
          <w:sz w:val="24"/>
        </w:rPr>
      </w:pPr>
      <w:r>
        <w:rPr>
          <w:rFonts w:hint="eastAsia" w:ascii="宋体" w:hAnsi="宋体"/>
          <w:sz w:val="24"/>
        </w:rPr>
        <w:t>八</w:t>
      </w:r>
      <w:r>
        <w:rPr>
          <w:rFonts w:ascii="宋体" w:hAnsi="宋体"/>
          <w:sz w:val="24"/>
        </w:rPr>
        <w:t>、其他资料</w:t>
      </w:r>
    </w:p>
    <w:p>
      <w:pPr>
        <w:pStyle w:val="2"/>
        <w:ind w:firstLine="0" w:firstLineChars="0"/>
        <w:rPr>
          <w:rFonts w:hAnsi="宋体"/>
          <w:sz w:val="24"/>
        </w:rPr>
      </w:pPr>
    </w:p>
    <w:p>
      <w:pPr>
        <w:spacing w:line="440" w:lineRule="exact"/>
        <w:rPr>
          <w:rFonts w:ascii="宋体" w:hAnsi="宋体"/>
          <w:sz w:val="24"/>
        </w:rPr>
      </w:pPr>
      <w:r>
        <w:rPr>
          <w:rFonts w:hint="eastAsia" w:ascii="宋体" w:hAnsi="宋体"/>
          <w:sz w:val="24"/>
        </w:rPr>
        <w:t>注：如有本章未提供的格式，投标人可自行编制。</w:t>
      </w:r>
    </w:p>
    <w:p>
      <w:pPr>
        <w:pStyle w:val="2"/>
        <w:ind w:firstLine="240"/>
        <w:rPr>
          <w:rFonts w:hAnsi="宋体"/>
          <w:sz w:val="24"/>
        </w:rPr>
        <w:sectPr>
          <w:pgSz w:w="11906" w:h="16838"/>
          <w:pgMar w:top="1440" w:right="1440" w:bottom="1440" w:left="1440" w:header="0" w:footer="567" w:gutter="0"/>
          <w:cols w:space="720" w:num="1"/>
          <w:docGrid w:linePitch="360" w:charSpace="0"/>
        </w:sectPr>
      </w:pPr>
    </w:p>
    <w:p>
      <w:pPr>
        <w:spacing w:line="281" w:lineRule="exact"/>
        <w:rPr>
          <w:rFonts w:eastAsia="Times New Roman"/>
        </w:rPr>
      </w:pPr>
      <w:bookmarkStart w:id="100" w:name="page216"/>
      <w:bookmarkEnd w:id="100"/>
    </w:p>
    <w:p>
      <w:pPr>
        <w:spacing w:line="0" w:lineRule="atLeast"/>
        <w:ind w:left="2700"/>
        <w:rPr>
          <w:rFonts w:ascii="宋体" w:hAnsi="宋体"/>
          <w:sz w:val="30"/>
        </w:rPr>
      </w:pPr>
      <w:r>
        <w:rPr>
          <w:rFonts w:ascii="宋体" w:hAnsi="宋体"/>
          <w:sz w:val="30"/>
        </w:rPr>
        <w:t>一、投标函及投标函附录</w:t>
      </w:r>
    </w:p>
    <w:p>
      <w:pPr>
        <w:spacing w:line="200" w:lineRule="exact"/>
        <w:rPr>
          <w:rFonts w:eastAsia="Times New Roman"/>
        </w:rPr>
      </w:pPr>
    </w:p>
    <w:p>
      <w:pPr>
        <w:spacing w:line="206" w:lineRule="exact"/>
        <w:rPr>
          <w:rFonts w:eastAsia="Times New Roman"/>
        </w:rPr>
      </w:pPr>
    </w:p>
    <w:p>
      <w:pPr>
        <w:spacing w:line="0" w:lineRule="atLeast"/>
        <w:ind w:left="3300"/>
        <w:rPr>
          <w:rFonts w:ascii="宋体" w:hAnsi="宋体"/>
          <w:sz w:val="28"/>
        </w:rPr>
      </w:pPr>
      <w:r>
        <w:rPr>
          <w:rFonts w:ascii="宋体" w:hAnsi="宋体"/>
          <w:sz w:val="28"/>
        </w:rPr>
        <w:t>（一） 投 标 函</w:t>
      </w:r>
    </w:p>
    <w:p>
      <w:pPr>
        <w:spacing w:line="335" w:lineRule="exact"/>
        <w:rPr>
          <w:rFonts w:eastAsia="Times New Roman"/>
        </w:rPr>
      </w:pPr>
    </w:p>
    <w:p>
      <w:pPr>
        <w:adjustRightInd w:val="0"/>
        <w:snapToGrid w:val="0"/>
        <w:spacing w:line="360" w:lineRule="auto"/>
        <w:rPr>
          <w:sz w:val="21"/>
          <w:szCs w:val="21"/>
        </w:rPr>
      </w:pPr>
      <w:bookmarkStart w:id="101" w:name="page217"/>
      <w:bookmarkEnd w:id="101"/>
      <w:bookmarkStart w:id="102" w:name="_Toc486277924"/>
      <w:bookmarkStart w:id="103" w:name="_Toc485889057"/>
      <w:bookmarkStart w:id="104" w:name="_Toc234382959"/>
      <w:bookmarkStart w:id="105" w:name="_Toc5832"/>
      <w:r>
        <w:rPr>
          <w:sz w:val="21"/>
          <w:szCs w:val="21"/>
          <w:u w:val="single"/>
        </w:rPr>
        <w:tab/>
      </w:r>
      <w:r>
        <w:rPr>
          <w:sz w:val="21"/>
          <w:szCs w:val="21"/>
        </w:rPr>
        <w:t>（招标人名称）：</w:t>
      </w:r>
    </w:p>
    <w:p>
      <w:pPr>
        <w:adjustRightInd w:val="0"/>
        <w:snapToGrid w:val="0"/>
        <w:spacing w:line="360" w:lineRule="auto"/>
        <w:ind w:firstLine="420" w:firstLineChars="200"/>
        <w:rPr>
          <w:sz w:val="21"/>
          <w:szCs w:val="21"/>
        </w:rPr>
      </w:pPr>
      <w:r>
        <w:rPr>
          <w:sz w:val="21"/>
          <w:szCs w:val="21"/>
        </w:rPr>
        <w:t>1．我方已仔细研究</w:t>
      </w:r>
      <w:r>
        <w:rPr>
          <w:sz w:val="21"/>
          <w:szCs w:val="21"/>
          <w:u w:val="single"/>
        </w:rPr>
        <w:tab/>
      </w:r>
      <w:r>
        <w:rPr>
          <w:sz w:val="21"/>
          <w:szCs w:val="21"/>
          <w:u w:val="single"/>
        </w:rPr>
        <w:t xml:space="preserve">（项目名称） </w:t>
      </w:r>
      <w:r>
        <w:rPr>
          <w:sz w:val="21"/>
          <w:szCs w:val="21"/>
          <w:u w:val="single"/>
        </w:rPr>
        <w:tab/>
      </w:r>
      <w:r>
        <w:rPr>
          <w:sz w:val="21"/>
          <w:szCs w:val="21"/>
        </w:rPr>
        <w:t>标段施工招标文件的全部内容（含补遗书第号至第 号），在考察工程现场后，愿意以第二个信封（报价文件）中的投标总报价（或根据招标文件规定修正核实后确定的另一金额），按合同约定实施和完成承包工程，修补工程中的任何缺陷。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sz w:val="21"/>
          <w:szCs w:val="21"/>
        </w:rPr>
      </w:pPr>
      <w:r>
        <w:rPr>
          <w:sz w:val="21"/>
          <w:szCs w:val="21"/>
        </w:rPr>
        <w:t>2．我方承诺在招标文件规定的投标有效期内不撤销投标文件。</w:t>
      </w:r>
    </w:p>
    <w:p>
      <w:pPr>
        <w:adjustRightInd w:val="0"/>
        <w:snapToGrid w:val="0"/>
        <w:spacing w:line="360" w:lineRule="auto"/>
        <w:ind w:firstLine="420" w:firstLineChars="200"/>
        <w:rPr>
          <w:sz w:val="21"/>
          <w:szCs w:val="21"/>
        </w:rPr>
      </w:pPr>
      <w:r>
        <w:rPr>
          <w:sz w:val="21"/>
          <w:szCs w:val="21"/>
        </w:rPr>
        <w:t>3．工程质量：</w:t>
      </w:r>
      <w:r>
        <w:rPr>
          <w:sz w:val="21"/>
          <w:szCs w:val="21"/>
          <w:u w:val="single"/>
        </w:rPr>
        <w:tab/>
      </w:r>
      <w:r>
        <w:rPr>
          <w:sz w:val="21"/>
          <w:szCs w:val="21"/>
        </w:rPr>
        <w:t>，安全目标：</w:t>
      </w:r>
      <w:r>
        <w:rPr>
          <w:sz w:val="21"/>
          <w:szCs w:val="21"/>
          <w:u w:val="single"/>
        </w:rPr>
        <w:tab/>
      </w:r>
      <w:r>
        <w:rPr>
          <w:sz w:val="21"/>
          <w:szCs w:val="21"/>
        </w:rPr>
        <w:t>，工期：</w:t>
      </w:r>
      <w:r>
        <w:rPr>
          <w:sz w:val="21"/>
          <w:szCs w:val="21"/>
          <w:u w:val="single"/>
        </w:rPr>
        <w:tab/>
      </w:r>
      <w:r>
        <w:rPr>
          <w:sz w:val="21"/>
          <w:szCs w:val="21"/>
        </w:rPr>
        <w:t>日历天。</w:t>
      </w:r>
    </w:p>
    <w:p>
      <w:pPr>
        <w:adjustRightInd w:val="0"/>
        <w:snapToGrid w:val="0"/>
        <w:spacing w:line="360" w:lineRule="auto"/>
        <w:ind w:firstLine="420" w:firstLineChars="200"/>
        <w:rPr>
          <w:sz w:val="21"/>
          <w:szCs w:val="21"/>
        </w:rPr>
      </w:pPr>
      <w:r>
        <w:rPr>
          <w:sz w:val="21"/>
          <w:szCs w:val="21"/>
        </w:rPr>
        <w:t>4．如我方中标，我方承诺：</w:t>
      </w:r>
    </w:p>
    <w:p>
      <w:pPr>
        <w:adjustRightInd w:val="0"/>
        <w:snapToGrid w:val="0"/>
        <w:spacing w:line="360" w:lineRule="auto"/>
        <w:ind w:firstLine="420" w:firstLineChars="200"/>
        <w:rPr>
          <w:sz w:val="21"/>
          <w:szCs w:val="21"/>
        </w:rPr>
      </w:pPr>
      <w:r>
        <w:rPr>
          <w:sz w:val="21"/>
          <w:szCs w:val="21"/>
        </w:rPr>
        <w:t>（1）在收到中标通知书后，在中标通知书规定的期限内与你方签订合同；</w:t>
      </w:r>
    </w:p>
    <w:p>
      <w:pPr>
        <w:adjustRightInd w:val="0"/>
        <w:snapToGrid w:val="0"/>
        <w:spacing w:line="360" w:lineRule="auto"/>
        <w:ind w:firstLine="420" w:firstLineChars="200"/>
        <w:rPr>
          <w:sz w:val="21"/>
          <w:szCs w:val="21"/>
        </w:rPr>
      </w:pPr>
      <w:r>
        <w:rPr>
          <w:sz w:val="21"/>
          <w:szCs w:val="21"/>
        </w:rPr>
        <w:t>（2）在签订合同时不向你方提出附加条件；</w:t>
      </w:r>
    </w:p>
    <w:p>
      <w:pPr>
        <w:adjustRightInd w:val="0"/>
        <w:snapToGrid w:val="0"/>
        <w:spacing w:line="360" w:lineRule="auto"/>
        <w:ind w:firstLine="420" w:firstLineChars="200"/>
        <w:rPr>
          <w:sz w:val="21"/>
          <w:szCs w:val="21"/>
        </w:rPr>
      </w:pPr>
      <w:r>
        <w:rPr>
          <w:sz w:val="21"/>
          <w:szCs w:val="21"/>
        </w:rPr>
        <w:t>（3）按照招标文件要求提交履约保证金；</w:t>
      </w:r>
    </w:p>
    <w:p>
      <w:pPr>
        <w:adjustRightInd w:val="0"/>
        <w:snapToGrid w:val="0"/>
        <w:spacing w:line="360" w:lineRule="auto"/>
        <w:ind w:firstLine="420" w:firstLineChars="200"/>
        <w:rPr>
          <w:sz w:val="21"/>
          <w:szCs w:val="21"/>
        </w:rPr>
      </w:pPr>
      <w:r>
        <w:rPr>
          <w:sz w:val="21"/>
          <w:szCs w:val="21"/>
        </w:rPr>
        <w:t>（4）在合同约定的期限内完成合同规定的全部义务；</w:t>
      </w:r>
    </w:p>
    <w:p>
      <w:pPr>
        <w:adjustRightInd w:val="0"/>
        <w:snapToGrid w:val="0"/>
        <w:spacing w:line="360" w:lineRule="auto"/>
        <w:ind w:firstLine="420" w:firstLineChars="200"/>
        <w:rPr>
          <w:sz w:val="21"/>
          <w:szCs w:val="21"/>
        </w:rPr>
      </w:pPr>
      <w:r>
        <w:rPr>
          <w:rFonts w:hint="eastAsia"/>
          <w:sz w:val="21"/>
          <w:szCs w:val="21"/>
        </w:rPr>
        <w:t>（5）我方承诺若我方中标将按规定支付招标代理服务费用。</w:t>
      </w:r>
    </w:p>
    <w:p>
      <w:pPr>
        <w:adjustRightInd w:val="0"/>
        <w:snapToGrid w:val="0"/>
        <w:spacing w:line="360" w:lineRule="auto"/>
        <w:ind w:firstLine="420" w:firstLineChars="200"/>
        <w:rPr>
          <w:sz w:val="21"/>
          <w:szCs w:val="21"/>
        </w:rPr>
      </w:pPr>
      <w:r>
        <w:rPr>
          <w:sz w:val="21"/>
          <w:szCs w:val="21"/>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sz w:val="21"/>
          <w:szCs w:val="21"/>
        </w:rPr>
      </w:pPr>
      <w:r>
        <w:rPr>
          <w:sz w:val="21"/>
          <w:szCs w:val="21"/>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sz w:val="21"/>
          <w:szCs w:val="21"/>
        </w:rPr>
      </w:pPr>
      <w:r>
        <w:rPr>
          <w:sz w:val="21"/>
          <w:szCs w:val="21"/>
        </w:rPr>
        <w:t>7．</w:t>
      </w:r>
      <w:r>
        <w:rPr>
          <w:sz w:val="21"/>
          <w:szCs w:val="21"/>
          <w:u w:val="single"/>
        </w:rPr>
        <w:tab/>
      </w:r>
      <w:r>
        <w:rPr>
          <w:sz w:val="21"/>
          <w:szCs w:val="21"/>
        </w:rPr>
        <w:t>（其他补充说明）。</w:t>
      </w:r>
    </w:p>
    <w:p>
      <w:pPr>
        <w:spacing w:line="360" w:lineRule="auto"/>
        <w:jc w:val="both"/>
        <w:rPr>
          <w:sz w:val="21"/>
          <w:szCs w:val="21"/>
        </w:rPr>
      </w:pPr>
    </w:p>
    <w:p>
      <w:pPr>
        <w:tabs>
          <w:tab w:val="left" w:pos="2977"/>
          <w:tab w:val="left" w:pos="3261"/>
        </w:tabs>
        <w:spacing w:line="360" w:lineRule="auto"/>
        <w:ind w:firstLine="2730" w:firstLineChars="1300"/>
        <w:rPr>
          <w:sz w:val="21"/>
          <w:szCs w:val="21"/>
        </w:rPr>
      </w:pPr>
      <w:r>
        <w:rPr>
          <w:sz w:val="21"/>
          <w:szCs w:val="21"/>
        </w:rPr>
        <w:t>投标人：（盖单位章）</w:t>
      </w:r>
    </w:p>
    <w:p>
      <w:pPr>
        <w:spacing w:line="360" w:lineRule="auto"/>
        <w:rPr>
          <w:sz w:val="21"/>
          <w:szCs w:val="21"/>
        </w:rPr>
      </w:pPr>
      <w:r>
        <w:rPr>
          <w:sz w:val="21"/>
          <w:szCs w:val="21"/>
        </w:rPr>
        <w:t>法定代表人或其委托代理人：（签字）</w:t>
      </w:r>
    </w:p>
    <w:p>
      <w:pPr>
        <w:spacing w:line="360" w:lineRule="auto"/>
        <w:rPr>
          <w:sz w:val="21"/>
          <w:szCs w:val="21"/>
        </w:rPr>
      </w:pPr>
      <w:r>
        <w:rPr>
          <w:sz w:val="21"/>
          <w:szCs w:val="21"/>
        </w:rPr>
        <w:t>地址：</w:t>
      </w:r>
    </w:p>
    <w:p>
      <w:pPr>
        <w:spacing w:line="360" w:lineRule="auto"/>
        <w:rPr>
          <w:sz w:val="21"/>
          <w:szCs w:val="21"/>
        </w:rPr>
      </w:pPr>
      <w:r>
        <w:rPr>
          <w:sz w:val="21"/>
          <w:szCs w:val="21"/>
        </w:rPr>
        <w:t>网址：</w:t>
      </w:r>
    </w:p>
    <w:p>
      <w:pPr>
        <w:spacing w:line="360" w:lineRule="auto"/>
        <w:rPr>
          <w:sz w:val="21"/>
          <w:szCs w:val="21"/>
        </w:rPr>
      </w:pPr>
      <w:r>
        <w:rPr>
          <w:sz w:val="21"/>
          <w:szCs w:val="21"/>
        </w:rPr>
        <w:t>电话：</w:t>
      </w:r>
    </w:p>
    <w:p>
      <w:pPr>
        <w:spacing w:line="360" w:lineRule="auto"/>
        <w:rPr>
          <w:sz w:val="21"/>
          <w:szCs w:val="21"/>
        </w:rPr>
      </w:pPr>
      <w:r>
        <w:rPr>
          <w:sz w:val="21"/>
          <w:szCs w:val="21"/>
        </w:rPr>
        <w:t>传真：</w:t>
      </w:r>
    </w:p>
    <w:p>
      <w:pPr>
        <w:spacing w:line="360" w:lineRule="auto"/>
        <w:rPr>
          <w:sz w:val="21"/>
          <w:szCs w:val="21"/>
        </w:rPr>
      </w:pPr>
      <w:r>
        <w:rPr>
          <w:sz w:val="21"/>
          <w:szCs w:val="21"/>
        </w:rPr>
        <w:t>邮政编码：</w:t>
      </w:r>
    </w:p>
    <w:p>
      <w:pPr>
        <w:spacing w:line="360" w:lineRule="auto"/>
        <w:ind w:firstLine="5040" w:firstLineChars="2400"/>
        <w:rPr>
          <w:sz w:val="21"/>
          <w:szCs w:val="21"/>
        </w:rPr>
      </w:pPr>
      <w:r>
        <w:rPr>
          <w:sz w:val="21"/>
          <w:szCs w:val="21"/>
        </w:rPr>
        <w:t>年月日</w:t>
      </w:r>
    </w:p>
    <w:p>
      <w:pPr>
        <w:spacing w:line="298" w:lineRule="auto"/>
        <w:jc w:val="both"/>
        <w:rPr>
          <w:rFonts w:ascii="宋体" w:hAnsi="宋体"/>
          <w:sz w:val="28"/>
          <w:szCs w:val="22"/>
        </w:rPr>
      </w:pPr>
    </w:p>
    <w:p>
      <w:pPr>
        <w:pStyle w:val="2"/>
        <w:ind w:firstLine="340"/>
      </w:pPr>
    </w:p>
    <w:p>
      <w:pPr>
        <w:spacing w:line="298" w:lineRule="auto"/>
        <w:jc w:val="center"/>
        <w:rPr>
          <w:rFonts w:ascii="宋体" w:hAnsi="宋体"/>
          <w:sz w:val="28"/>
          <w:szCs w:val="22"/>
        </w:rPr>
      </w:pPr>
    </w:p>
    <w:p>
      <w:pPr>
        <w:spacing w:line="298" w:lineRule="auto"/>
        <w:jc w:val="center"/>
        <w:rPr>
          <w:rFonts w:ascii="宋体" w:hAnsi="宋体"/>
          <w:sz w:val="28"/>
          <w:szCs w:val="22"/>
        </w:rPr>
      </w:pPr>
      <w:r>
        <w:rPr>
          <w:rFonts w:hint="eastAsia" w:ascii="宋体" w:hAnsi="宋体"/>
          <w:sz w:val="28"/>
          <w:szCs w:val="22"/>
        </w:rPr>
        <w:t>（二）投标函附录</w:t>
      </w:r>
      <w:bookmarkEnd w:id="102"/>
      <w:bookmarkEnd w:id="103"/>
      <w:bookmarkEnd w:id="104"/>
      <w:bookmarkEnd w:id="105"/>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序号</w:t>
            </w:r>
          </w:p>
        </w:tc>
        <w:tc>
          <w:tcPr>
            <w:tcW w:w="2693" w:type="dxa"/>
            <w:vAlign w:val="center"/>
          </w:tcPr>
          <w:p>
            <w:pPr>
              <w:spacing w:line="298" w:lineRule="auto"/>
              <w:rPr>
                <w:rFonts w:ascii="宋体" w:hAnsi="宋体"/>
                <w:sz w:val="23"/>
                <w:szCs w:val="22"/>
              </w:rPr>
            </w:pPr>
            <w:r>
              <w:rPr>
                <w:rFonts w:hint="eastAsia" w:ascii="宋体" w:hAnsi="宋体"/>
                <w:sz w:val="23"/>
                <w:szCs w:val="22"/>
              </w:rPr>
              <w:t>条款名称</w:t>
            </w:r>
          </w:p>
        </w:tc>
        <w:tc>
          <w:tcPr>
            <w:tcW w:w="1417" w:type="dxa"/>
            <w:vAlign w:val="center"/>
          </w:tcPr>
          <w:p>
            <w:pPr>
              <w:spacing w:line="298" w:lineRule="auto"/>
              <w:rPr>
                <w:rFonts w:ascii="宋体" w:hAnsi="宋体"/>
                <w:sz w:val="23"/>
                <w:szCs w:val="22"/>
              </w:rPr>
            </w:pPr>
            <w:r>
              <w:rPr>
                <w:rFonts w:hint="eastAsia" w:ascii="宋体" w:hAnsi="宋体"/>
                <w:sz w:val="23"/>
                <w:szCs w:val="22"/>
              </w:rPr>
              <w:t>合同条目号</w:t>
            </w:r>
          </w:p>
        </w:tc>
        <w:tc>
          <w:tcPr>
            <w:tcW w:w="3686" w:type="dxa"/>
            <w:vAlign w:val="center"/>
          </w:tcPr>
          <w:p>
            <w:pPr>
              <w:spacing w:line="298" w:lineRule="auto"/>
              <w:rPr>
                <w:rFonts w:ascii="宋体" w:hAnsi="宋体"/>
                <w:sz w:val="23"/>
                <w:szCs w:val="22"/>
              </w:rPr>
            </w:pPr>
            <w:r>
              <w:rPr>
                <w:rFonts w:hint="eastAsia" w:ascii="宋体" w:hAnsi="宋体"/>
                <w:sz w:val="23"/>
                <w:szCs w:val="22"/>
              </w:rPr>
              <w:t>约定内容</w:t>
            </w:r>
          </w:p>
        </w:tc>
        <w:tc>
          <w:tcPr>
            <w:tcW w:w="1190" w:type="dxa"/>
            <w:vAlign w:val="center"/>
          </w:tcPr>
          <w:p>
            <w:pPr>
              <w:spacing w:line="298" w:lineRule="auto"/>
              <w:rPr>
                <w:rFonts w:ascii="宋体" w:hAnsi="宋体"/>
                <w:sz w:val="23"/>
                <w:szCs w:val="22"/>
              </w:rPr>
            </w:pPr>
            <w:r>
              <w:rPr>
                <w:rFonts w:hint="eastAsia" w:ascii="宋体" w:hAnsi="宋体"/>
                <w:sz w:val="23"/>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w:t>
            </w:r>
          </w:p>
        </w:tc>
        <w:tc>
          <w:tcPr>
            <w:tcW w:w="2693" w:type="dxa"/>
            <w:vAlign w:val="center"/>
          </w:tcPr>
          <w:p>
            <w:pPr>
              <w:spacing w:line="298" w:lineRule="auto"/>
              <w:rPr>
                <w:rFonts w:ascii="宋体" w:hAnsi="宋体"/>
                <w:sz w:val="23"/>
                <w:szCs w:val="22"/>
              </w:rPr>
            </w:pPr>
            <w:r>
              <w:rPr>
                <w:rFonts w:hint="eastAsia" w:ascii="宋体" w:hAnsi="宋体"/>
                <w:sz w:val="23"/>
                <w:szCs w:val="22"/>
              </w:rPr>
              <w:t>项目经理</w:t>
            </w:r>
          </w:p>
        </w:tc>
        <w:tc>
          <w:tcPr>
            <w:tcW w:w="1417" w:type="dxa"/>
            <w:vAlign w:val="center"/>
          </w:tcPr>
          <w:p>
            <w:pPr>
              <w:spacing w:line="298" w:lineRule="auto"/>
              <w:rPr>
                <w:rFonts w:ascii="宋体" w:hAnsi="宋体"/>
                <w:sz w:val="23"/>
                <w:szCs w:val="22"/>
              </w:rPr>
            </w:pPr>
          </w:p>
        </w:tc>
        <w:tc>
          <w:tcPr>
            <w:tcW w:w="3686" w:type="dxa"/>
            <w:vAlign w:val="center"/>
          </w:tcPr>
          <w:p>
            <w:pPr>
              <w:spacing w:line="298" w:lineRule="auto"/>
              <w:rPr>
                <w:rFonts w:ascii="宋体" w:hAnsi="宋体"/>
                <w:sz w:val="23"/>
                <w:szCs w:val="22"/>
              </w:rPr>
            </w:pPr>
            <w:r>
              <w:rPr>
                <w:rFonts w:hint="eastAsia" w:ascii="宋体" w:hAnsi="宋体"/>
                <w:sz w:val="23"/>
                <w:szCs w:val="22"/>
              </w:rPr>
              <w:t>姓名：</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2</w:t>
            </w:r>
          </w:p>
        </w:tc>
        <w:tc>
          <w:tcPr>
            <w:tcW w:w="2693" w:type="dxa"/>
            <w:vAlign w:val="center"/>
          </w:tcPr>
          <w:p>
            <w:pPr>
              <w:spacing w:line="298" w:lineRule="auto"/>
              <w:rPr>
                <w:rFonts w:ascii="宋体" w:hAnsi="宋体"/>
                <w:sz w:val="23"/>
                <w:szCs w:val="22"/>
              </w:rPr>
            </w:pPr>
            <w:r>
              <w:rPr>
                <w:rFonts w:hint="eastAsia" w:ascii="宋体" w:hAnsi="宋体"/>
                <w:sz w:val="23"/>
                <w:szCs w:val="22"/>
              </w:rPr>
              <w:t>工期</w:t>
            </w:r>
          </w:p>
        </w:tc>
        <w:tc>
          <w:tcPr>
            <w:tcW w:w="1417" w:type="dxa"/>
            <w:vAlign w:val="center"/>
          </w:tcPr>
          <w:p>
            <w:pPr>
              <w:spacing w:line="298" w:lineRule="auto"/>
              <w:rPr>
                <w:rFonts w:ascii="宋体" w:hAnsi="宋体"/>
                <w:sz w:val="23"/>
                <w:szCs w:val="22"/>
              </w:rPr>
            </w:pPr>
            <w:r>
              <w:rPr>
                <w:rFonts w:hint="eastAsia" w:ascii="宋体" w:hAnsi="宋体"/>
                <w:sz w:val="23"/>
                <w:szCs w:val="22"/>
              </w:rPr>
              <w:t>1.1.4.3</w:t>
            </w:r>
          </w:p>
        </w:tc>
        <w:tc>
          <w:tcPr>
            <w:tcW w:w="3686" w:type="dxa"/>
            <w:vAlign w:val="center"/>
          </w:tcPr>
          <w:p>
            <w:pPr>
              <w:spacing w:line="298" w:lineRule="auto"/>
              <w:rPr>
                <w:rFonts w:ascii="宋体" w:hAnsi="宋体"/>
                <w:sz w:val="23"/>
                <w:szCs w:val="22"/>
              </w:rPr>
            </w:pPr>
            <w:r>
              <w:rPr>
                <w:rFonts w:hint="eastAsia" w:ascii="宋体" w:hAnsi="宋体"/>
                <w:sz w:val="23"/>
                <w:szCs w:val="22"/>
              </w:rPr>
              <w:t>天数：日历天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3</w:t>
            </w:r>
          </w:p>
        </w:tc>
        <w:tc>
          <w:tcPr>
            <w:tcW w:w="2693" w:type="dxa"/>
            <w:vAlign w:val="center"/>
          </w:tcPr>
          <w:p>
            <w:pPr>
              <w:spacing w:line="298" w:lineRule="auto"/>
              <w:rPr>
                <w:rFonts w:ascii="宋体" w:hAnsi="宋体"/>
                <w:sz w:val="23"/>
                <w:szCs w:val="22"/>
              </w:rPr>
            </w:pPr>
            <w:r>
              <w:rPr>
                <w:rFonts w:hint="eastAsia" w:ascii="宋体" w:hAnsi="宋体"/>
                <w:sz w:val="23"/>
                <w:szCs w:val="22"/>
              </w:rPr>
              <w:t>缺陷责任期</w:t>
            </w:r>
          </w:p>
        </w:tc>
        <w:tc>
          <w:tcPr>
            <w:tcW w:w="1417" w:type="dxa"/>
            <w:vAlign w:val="center"/>
          </w:tcPr>
          <w:p>
            <w:pPr>
              <w:spacing w:line="298" w:lineRule="auto"/>
              <w:rPr>
                <w:rFonts w:ascii="宋体" w:hAnsi="宋体"/>
                <w:sz w:val="23"/>
                <w:szCs w:val="22"/>
              </w:rPr>
            </w:pPr>
            <w:r>
              <w:rPr>
                <w:rFonts w:hint="eastAsia" w:ascii="宋体" w:hAnsi="宋体"/>
                <w:sz w:val="23"/>
                <w:szCs w:val="22"/>
              </w:rPr>
              <w:t>1.1.4.5</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4</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5</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6</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7</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8</w:t>
            </w:r>
          </w:p>
        </w:tc>
        <w:tc>
          <w:tcPr>
            <w:tcW w:w="2693" w:type="dxa"/>
            <w:vAlign w:val="center"/>
          </w:tcPr>
          <w:p>
            <w:pPr>
              <w:spacing w:line="298" w:lineRule="auto"/>
              <w:rPr>
                <w:rFonts w:ascii="宋体" w:hAnsi="宋体"/>
                <w:sz w:val="23"/>
                <w:szCs w:val="22"/>
              </w:rPr>
            </w:pPr>
            <w:r>
              <w:rPr>
                <w:rFonts w:hint="eastAsia" w:ascii="宋体" w:hAnsi="宋体"/>
                <w:sz w:val="23"/>
                <w:szCs w:val="22"/>
              </w:rPr>
              <w:t>价格调整的差额计算</w:t>
            </w:r>
          </w:p>
        </w:tc>
        <w:tc>
          <w:tcPr>
            <w:tcW w:w="1417" w:type="dxa"/>
            <w:vAlign w:val="center"/>
          </w:tcPr>
          <w:p>
            <w:pPr>
              <w:spacing w:line="298" w:lineRule="auto"/>
              <w:rPr>
                <w:rFonts w:ascii="宋体" w:hAnsi="宋体"/>
                <w:sz w:val="23"/>
                <w:szCs w:val="22"/>
              </w:rPr>
            </w:pPr>
            <w:r>
              <w:rPr>
                <w:rFonts w:hint="eastAsia" w:ascii="宋体" w:hAnsi="宋体"/>
                <w:sz w:val="23"/>
                <w:szCs w:val="22"/>
              </w:rPr>
              <w:t>16.1.1</w:t>
            </w:r>
          </w:p>
        </w:tc>
        <w:tc>
          <w:tcPr>
            <w:tcW w:w="3686" w:type="dxa"/>
            <w:vAlign w:val="center"/>
          </w:tcPr>
          <w:p>
            <w:pPr>
              <w:spacing w:line="298" w:lineRule="auto"/>
              <w:rPr>
                <w:rFonts w:ascii="宋体" w:hAnsi="宋体"/>
                <w:sz w:val="23"/>
                <w:szCs w:val="22"/>
              </w:rPr>
            </w:pPr>
            <w:r>
              <w:rPr>
                <w:rFonts w:hint="eastAsia" w:ascii="宋体" w:hAnsi="宋体"/>
                <w:sz w:val="23"/>
                <w:szCs w:val="22"/>
              </w:rPr>
              <w:t>见价格指数和权重表</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9</w:t>
            </w:r>
          </w:p>
        </w:tc>
        <w:tc>
          <w:tcPr>
            <w:tcW w:w="2693" w:type="dxa"/>
            <w:vAlign w:val="center"/>
          </w:tcPr>
          <w:p>
            <w:pPr>
              <w:spacing w:line="298" w:lineRule="auto"/>
              <w:rPr>
                <w:rFonts w:ascii="宋体" w:hAnsi="宋体"/>
                <w:sz w:val="23"/>
                <w:szCs w:val="22"/>
              </w:rPr>
            </w:pPr>
            <w:r>
              <w:rPr>
                <w:rFonts w:hint="eastAsia" w:ascii="宋体" w:hAnsi="宋体"/>
                <w:sz w:val="23"/>
                <w:szCs w:val="22"/>
              </w:rPr>
              <w:t>开工预付款金额</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10</w:t>
            </w:r>
          </w:p>
        </w:tc>
        <w:tc>
          <w:tcPr>
            <w:tcW w:w="2693" w:type="dxa"/>
            <w:vAlign w:val="center"/>
          </w:tcPr>
          <w:p>
            <w:pPr>
              <w:spacing w:line="298" w:lineRule="auto"/>
              <w:rPr>
                <w:rFonts w:ascii="宋体" w:hAnsi="宋体"/>
                <w:sz w:val="23"/>
                <w:szCs w:val="22"/>
              </w:rPr>
            </w:pPr>
            <w:r>
              <w:rPr>
                <w:rFonts w:hint="eastAsia" w:ascii="宋体" w:hAnsi="宋体"/>
                <w:sz w:val="23"/>
                <w:szCs w:val="22"/>
              </w:rPr>
              <w:t>材料、设备预付款</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等主要材料、设备单据所列费用的%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11</w:t>
            </w:r>
          </w:p>
        </w:tc>
        <w:tc>
          <w:tcPr>
            <w:tcW w:w="2693" w:type="dxa"/>
            <w:vAlign w:val="center"/>
          </w:tcPr>
          <w:p>
            <w:pPr>
              <w:spacing w:line="298" w:lineRule="auto"/>
              <w:rPr>
                <w:rFonts w:ascii="宋体" w:hAnsi="宋体"/>
                <w:sz w:val="23"/>
                <w:szCs w:val="22"/>
              </w:rPr>
            </w:pPr>
            <w:r>
              <w:rPr>
                <w:rFonts w:hint="eastAsia" w:ascii="宋体" w:hAnsi="宋体"/>
                <w:sz w:val="23"/>
                <w:szCs w:val="22"/>
              </w:rPr>
              <w:t>进度付款证书最低限额</w:t>
            </w:r>
          </w:p>
        </w:tc>
        <w:tc>
          <w:tcPr>
            <w:tcW w:w="1417" w:type="dxa"/>
            <w:vAlign w:val="center"/>
          </w:tcPr>
          <w:p>
            <w:pPr>
              <w:spacing w:line="298" w:lineRule="auto"/>
              <w:rPr>
                <w:rFonts w:ascii="宋体" w:hAnsi="宋体"/>
                <w:sz w:val="23"/>
                <w:szCs w:val="22"/>
              </w:rPr>
            </w:pPr>
            <w:r>
              <w:rPr>
                <w:rFonts w:hint="eastAsia" w:ascii="宋体" w:hAnsi="宋体"/>
                <w:sz w:val="23"/>
                <w:szCs w:val="22"/>
              </w:rPr>
              <w:t>17.3.3(1)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%签约合同价或万元</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12</w:t>
            </w:r>
          </w:p>
        </w:tc>
        <w:tc>
          <w:tcPr>
            <w:tcW w:w="2693" w:type="dxa"/>
            <w:vAlign w:val="center"/>
          </w:tcPr>
          <w:p>
            <w:pPr>
              <w:spacing w:line="298" w:lineRule="auto"/>
              <w:rPr>
                <w:rFonts w:ascii="宋体" w:hAnsi="宋体"/>
                <w:sz w:val="23"/>
                <w:szCs w:val="22"/>
              </w:rPr>
            </w:pPr>
            <w:r>
              <w:rPr>
                <w:rFonts w:hint="eastAsia" w:ascii="宋体" w:hAnsi="宋体"/>
                <w:sz w:val="23"/>
                <w:szCs w:val="22"/>
              </w:rPr>
              <w:t>逾期付款违约金的利率</w:t>
            </w:r>
          </w:p>
        </w:tc>
        <w:tc>
          <w:tcPr>
            <w:tcW w:w="1417" w:type="dxa"/>
            <w:vAlign w:val="center"/>
          </w:tcPr>
          <w:p>
            <w:pPr>
              <w:spacing w:line="298" w:lineRule="auto"/>
              <w:rPr>
                <w:rFonts w:ascii="宋体" w:hAnsi="宋体"/>
                <w:sz w:val="23"/>
                <w:szCs w:val="22"/>
              </w:rPr>
            </w:pPr>
            <w:r>
              <w:rPr>
                <w:rFonts w:hint="eastAsia" w:ascii="宋体" w:hAnsi="宋体"/>
                <w:sz w:val="23"/>
                <w:szCs w:val="22"/>
              </w:rPr>
              <w:t>17.3.3(2)</w:t>
            </w:r>
          </w:p>
        </w:tc>
        <w:tc>
          <w:tcPr>
            <w:tcW w:w="3686" w:type="dxa"/>
            <w:vAlign w:val="center"/>
          </w:tcPr>
          <w:p>
            <w:pPr>
              <w:spacing w:line="298" w:lineRule="auto"/>
              <w:rPr>
                <w:rFonts w:ascii="宋体" w:hAnsi="宋体"/>
                <w:sz w:val="23"/>
                <w:szCs w:val="22"/>
              </w:rPr>
            </w:pPr>
            <w:r>
              <w:rPr>
                <w:rFonts w:hint="eastAsia" w:ascii="宋体" w:hAnsi="宋体"/>
                <w:sz w:val="23"/>
                <w:szCs w:val="22"/>
              </w:rPr>
              <w:t>‰/天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13</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质量保证金百分比</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月支付额的%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14</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质量保证金限额</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15</w:t>
            </w:r>
          </w:p>
        </w:tc>
        <w:tc>
          <w:tcPr>
            <w:tcW w:w="2693" w:type="dxa"/>
            <w:vAlign w:val="center"/>
          </w:tcPr>
          <w:p>
            <w:pPr>
              <w:spacing w:line="298" w:lineRule="auto"/>
              <w:rPr>
                <w:rFonts w:ascii="宋体" w:hAnsi="宋体"/>
                <w:sz w:val="23"/>
                <w:szCs w:val="22"/>
              </w:rPr>
            </w:pPr>
            <w:r>
              <w:rPr>
                <w:rFonts w:hint="eastAsia" w:ascii="宋体" w:hAnsi="宋体"/>
                <w:sz w:val="23"/>
                <w:szCs w:val="22"/>
              </w:rPr>
              <w:t>保修期</w:t>
            </w:r>
          </w:p>
        </w:tc>
        <w:tc>
          <w:tcPr>
            <w:tcW w:w="1417" w:type="dxa"/>
            <w:vAlign w:val="center"/>
          </w:tcPr>
          <w:p>
            <w:pPr>
              <w:spacing w:line="298" w:lineRule="auto"/>
              <w:rPr>
                <w:rFonts w:ascii="宋体" w:hAnsi="宋体"/>
                <w:sz w:val="23"/>
                <w:szCs w:val="22"/>
              </w:rPr>
            </w:pPr>
            <w:r>
              <w:rPr>
                <w:rFonts w:hint="eastAsia" w:ascii="宋体" w:hAnsi="宋体"/>
                <w:sz w:val="23"/>
                <w:szCs w:val="22"/>
              </w:rPr>
              <w:t>19.7</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bl>
    <w:p>
      <w:pPr>
        <w:spacing w:line="298" w:lineRule="auto"/>
        <w:rPr>
          <w:rFonts w:ascii="宋体" w:hAnsi="宋体"/>
          <w:sz w:val="23"/>
          <w:szCs w:val="22"/>
        </w:rPr>
      </w:pPr>
      <w:r>
        <w:rPr>
          <w:rFonts w:hint="eastAsia"/>
          <w:b/>
          <w:bCs/>
          <w:sz w:val="18"/>
          <w:szCs w:val="18"/>
        </w:rPr>
        <w:t>注：表格中1-15项如有未提供到的数据，均以招标人与中标企业签订施工合同时约定的数据为准。</w:t>
      </w:r>
    </w:p>
    <w:p>
      <w:pPr>
        <w:spacing w:line="298" w:lineRule="auto"/>
        <w:rPr>
          <w:rFonts w:ascii="宋体" w:hAnsi="宋体"/>
          <w:sz w:val="23"/>
          <w:szCs w:val="22"/>
        </w:rPr>
      </w:pPr>
    </w:p>
    <w:p>
      <w:pPr>
        <w:spacing w:line="298" w:lineRule="auto"/>
        <w:ind w:firstLine="3799" w:firstLineChars="1652"/>
        <w:rPr>
          <w:rFonts w:ascii="宋体" w:hAnsi="宋体"/>
          <w:sz w:val="23"/>
          <w:szCs w:val="22"/>
        </w:rPr>
      </w:pPr>
      <w:r>
        <w:rPr>
          <w:rFonts w:hint="eastAsia" w:ascii="宋体" w:hAnsi="宋体"/>
          <w:sz w:val="23"/>
          <w:szCs w:val="22"/>
        </w:rPr>
        <w:t xml:space="preserve"> 投 标 人: (盖单位章)</w:t>
      </w:r>
    </w:p>
    <w:p>
      <w:pPr>
        <w:spacing w:line="298" w:lineRule="auto"/>
        <w:ind w:firstLine="3999" w:firstLineChars="1739"/>
        <w:rPr>
          <w:rFonts w:ascii="宋体" w:hAnsi="宋体"/>
          <w:sz w:val="23"/>
          <w:szCs w:val="22"/>
        </w:rPr>
      </w:pPr>
      <w:r>
        <w:rPr>
          <w:rFonts w:hint="eastAsia" w:ascii="宋体" w:hAnsi="宋体"/>
          <w:sz w:val="23"/>
          <w:szCs w:val="22"/>
        </w:rPr>
        <w:t>投标文件签署人签名:</w:t>
      </w:r>
    </w:p>
    <w:p>
      <w:pPr>
        <w:spacing w:line="240" w:lineRule="exact"/>
        <w:ind w:right="480" w:firstLine="3480" w:firstLineChars="1450"/>
        <w:rPr>
          <w:rFonts w:ascii="宋体" w:hAnsi="宋体"/>
          <w:sz w:val="24"/>
        </w:rPr>
      </w:pPr>
    </w:p>
    <w:p>
      <w:pPr>
        <w:spacing w:line="0" w:lineRule="atLeast"/>
        <w:jc w:val="center"/>
        <w:rPr>
          <w:rFonts w:ascii="宋体" w:hAnsi="宋体"/>
          <w:sz w:val="30"/>
        </w:rPr>
      </w:pPr>
      <w:r>
        <w:rPr>
          <w:rFonts w:ascii="宋体" w:hAnsi="宋体"/>
          <w:sz w:val="30"/>
        </w:rPr>
        <w:t>二、授权委托书或法定代表人身份证明</w:t>
      </w:r>
    </w:p>
    <w:p>
      <w:pPr>
        <w:spacing w:line="200" w:lineRule="exact"/>
        <w:rPr>
          <w:rFonts w:eastAsia="Times New Roman"/>
        </w:rPr>
      </w:pPr>
    </w:p>
    <w:p>
      <w:pPr>
        <w:spacing w:line="223" w:lineRule="exact"/>
        <w:rPr>
          <w:rFonts w:eastAsia="Times New Roman"/>
        </w:rPr>
      </w:pPr>
    </w:p>
    <w:p>
      <w:pPr>
        <w:spacing w:line="360" w:lineRule="auto"/>
        <w:ind w:right="62"/>
        <w:jc w:val="center"/>
        <w:rPr>
          <w:rFonts w:ascii="黑体" w:hAnsi="黑体" w:eastAsia="黑体"/>
          <w:b/>
          <w:sz w:val="30"/>
          <w:szCs w:val="30"/>
        </w:rPr>
      </w:pPr>
      <w:bookmarkStart w:id="106" w:name="page221"/>
      <w:bookmarkEnd w:id="106"/>
      <w:r>
        <w:rPr>
          <w:rFonts w:hint="eastAsia" w:ascii="黑体" w:hAnsi="黑体" w:eastAsia="黑体"/>
          <w:b/>
          <w:sz w:val="30"/>
          <w:szCs w:val="30"/>
        </w:rPr>
        <w:t>（一）</w:t>
      </w:r>
      <w:r>
        <w:rPr>
          <w:rFonts w:hint="eastAsia" w:ascii="黑体" w:hAnsi="黑体" w:eastAsia="黑体"/>
          <w:sz w:val="30"/>
          <w:szCs w:val="30"/>
        </w:rPr>
        <w:t>授权委托书</w:t>
      </w: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r>
        <w:rPr>
          <w:sz w:val="24"/>
          <w:szCs w:val="24"/>
        </w:rPr>
        <w:t>本人</w:t>
      </w:r>
      <w:r>
        <w:rPr>
          <w:sz w:val="24"/>
          <w:szCs w:val="24"/>
          <w:u w:val="single"/>
        </w:rPr>
        <w:tab/>
      </w:r>
      <w:r>
        <w:rPr>
          <w:sz w:val="24"/>
          <w:szCs w:val="24"/>
        </w:rPr>
        <w:t>（姓名）系（投标人名称）的法定代表人，现委托</w:t>
      </w:r>
      <w:r>
        <w:rPr>
          <w:sz w:val="24"/>
          <w:szCs w:val="24"/>
          <w:u w:val="single"/>
        </w:rPr>
        <w:tab/>
      </w:r>
      <w:r>
        <w:rPr>
          <w:sz w:val="24"/>
          <w:szCs w:val="24"/>
        </w:rPr>
        <w:t>（姓名）为我方代理人。代理人根据授权，以我方名义签署、澄清确认、递交、撤回、修改</w:t>
      </w:r>
      <w:r>
        <w:rPr>
          <w:sz w:val="24"/>
          <w:szCs w:val="24"/>
          <w:u w:val="single"/>
        </w:rPr>
        <w:tab/>
      </w:r>
      <w:r>
        <w:rPr>
          <w:sz w:val="24"/>
          <w:szCs w:val="24"/>
          <w:u w:val="single"/>
        </w:rPr>
        <w:tab/>
      </w:r>
      <w:r>
        <w:rPr>
          <w:sz w:val="24"/>
          <w:szCs w:val="24"/>
        </w:rPr>
        <w:t>（项目名称）</w:t>
      </w:r>
      <w:r>
        <w:rPr>
          <w:sz w:val="24"/>
          <w:szCs w:val="24"/>
        </w:rPr>
        <w:tab/>
      </w:r>
      <w:r>
        <w:rPr>
          <w:sz w:val="24"/>
          <w:szCs w:val="24"/>
        </w:rPr>
        <w:t>标段施工投标文件、签订合同和处理有关事宜，其法律后果由我方承担。</w:t>
      </w:r>
    </w:p>
    <w:p>
      <w:pPr>
        <w:adjustRightInd w:val="0"/>
        <w:snapToGrid w:val="0"/>
        <w:spacing w:line="360" w:lineRule="auto"/>
        <w:ind w:firstLine="480" w:firstLineChars="200"/>
        <w:rPr>
          <w:sz w:val="24"/>
          <w:szCs w:val="24"/>
        </w:rPr>
      </w:pPr>
      <w:r>
        <w:rPr>
          <w:sz w:val="24"/>
          <w:szCs w:val="24"/>
        </w:rPr>
        <w:t>委托期限：自本委托书签署之日起至投标有效期期满。代理人无转委托权。</w:t>
      </w:r>
    </w:p>
    <w:p>
      <w:pPr>
        <w:pStyle w:val="3"/>
        <w:spacing w:line="360" w:lineRule="auto"/>
      </w:pPr>
    </w:p>
    <w:p>
      <w:pPr>
        <w:spacing w:before="163" w:line="360" w:lineRule="auto"/>
        <w:ind w:left="224"/>
        <w:rPr>
          <w:sz w:val="21"/>
        </w:rPr>
      </w:pPr>
      <w:r>
        <w:rPr>
          <w:sz w:val="21"/>
        </w:rPr>
        <w:t>附：法定代表人身份证复印件及委托代理人身份证复印件。</w:t>
      </w:r>
    </w:p>
    <w:p>
      <w:pPr>
        <w:pStyle w:val="3"/>
        <w:spacing w:line="360" w:lineRule="auto"/>
        <w:rPr>
          <w:sz w:val="20"/>
        </w:rPr>
      </w:pPr>
    </w:p>
    <w:p>
      <w:pPr>
        <w:pStyle w:val="3"/>
        <w:tabs>
          <w:tab w:val="left" w:pos="7115"/>
          <w:tab w:val="left" w:pos="7716"/>
          <w:tab w:val="left" w:pos="8371"/>
        </w:tabs>
        <w:spacing w:line="360" w:lineRule="auto"/>
        <w:ind w:right="508" w:firstLine="2880" w:firstLineChars="1200"/>
        <w:rPr>
          <w:sz w:val="24"/>
          <w:szCs w:val="15"/>
        </w:rPr>
      </w:pPr>
      <w:r>
        <w:rPr>
          <w:sz w:val="24"/>
          <w:szCs w:val="15"/>
        </w:rPr>
        <w:t>投标人：（盖单位章）</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法定代表人：（签字） </w:t>
      </w:r>
    </w:p>
    <w:p>
      <w:pPr>
        <w:pStyle w:val="3"/>
        <w:tabs>
          <w:tab w:val="left" w:pos="7115"/>
          <w:tab w:val="left" w:pos="7716"/>
          <w:tab w:val="left" w:pos="8371"/>
        </w:tabs>
        <w:spacing w:line="360" w:lineRule="auto"/>
        <w:ind w:right="508" w:firstLine="2880" w:firstLineChars="1200"/>
        <w:rPr>
          <w:rFonts w:ascii="Times New Roman"/>
          <w:sz w:val="24"/>
          <w:szCs w:val="15"/>
          <w:u w:val="single"/>
        </w:rPr>
      </w:pPr>
      <w:r>
        <w:rPr>
          <w:sz w:val="24"/>
          <w:szCs w:val="15"/>
        </w:rPr>
        <w:t>身份证号码：</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委托代理人：（签字） </w:t>
      </w:r>
    </w:p>
    <w:p>
      <w:pPr>
        <w:pStyle w:val="3"/>
        <w:tabs>
          <w:tab w:val="left" w:pos="7836"/>
          <w:tab w:val="left" w:pos="8491"/>
        </w:tabs>
        <w:spacing w:before="2" w:line="360" w:lineRule="auto"/>
        <w:ind w:right="388" w:firstLine="2880" w:firstLineChars="1200"/>
        <w:rPr>
          <w:rFonts w:ascii="Times New Roman"/>
        </w:rPr>
      </w:pPr>
      <w:r>
        <w:rPr>
          <w:sz w:val="24"/>
          <w:szCs w:val="15"/>
        </w:rPr>
        <w:t>身份证号码：</w:t>
      </w:r>
    </w:p>
    <w:p>
      <w:pPr>
        <w:pStyle w:val="3"/>
        <w:tabs>
          <w:tab w:val="left" w:pos="5682"/>
          <w:tab w:val="left" w:pos="7002"/>
          <w:tab w:val="left" w:pos="8138"/>
        </w:tabs>
        <w:spacing w:line="360" w:lineRule="auto"/>
        <w:ind w:left="4842"/>
        <w:rPr>
          <w:rFonts w:ascii="Times New Roman" w:eastAsia="Times New Roman"/>
          <w:u w:val="single"/>
        </w:rPr>
      </w:pPr>
    </w:p>
    <w:p>
      <w:pPr>
        <w:pStyle w:val="3"/>
        <w:tabs>
          <w:tab w:val="left" w:pos="5682"/>
          <w:tab w:val="left" w:pos="7002"/>
          <w:tab w:val="left" w:pos="8138"/>
        </w:tabs>
        <w:spacing w:line="360" w:lineRule="auto"/>
        <w:jc w:val="right"/>
        <w:rPr>
          <w:sz w:val="24"/>
          <w:szCs w:val="24"/>
        </w:rPr>
      </w:pPr>
      <w:r>
        <w:rPr>
          <w:sz w:val="24"/>
          <w:szCs w:val="24"/>
        </w:rPr>
        <w:t>年月日</w:t>
      </w:r>
    </w:p>
    <w:p>
      <w:pPr>
        <w:spacing w:line="400" w:lineRule="exact"/>
        <w:jc w:val="both"/>
        <w:rPr>
          <w:sz w:val="24"/>
          <w:szCs w:val="24"/>
        </w:rPr>
      </w:pPr>
    </w:p>
    <w:p>
      <w:pPr>
        <w:spacing w:line="400" w:lineRule="exact"/>
        <w:jc w:val="both"/>
        <w:rPr>
          <w:sz w:val="24"/>
          <w:szCs w:val="24"/>
        </w:rPr>
      </w:pPr>
    </w:p>
    <w:p>
      <w:pPr>
        <w:ind w:left="224"/>
        <w:rPr>
          <w:sz w:val="24"/>
          <w:szCs w:val="24"/>
        </w:rPr>
      </w:pPr>
      <w:r>
        <w:rPr>
          <w:sz w:val="24"/>
          <w:szCs w:val="24"/>
        </w:rPr>
        <w:t>注：</w:t>
      </w:r>
    </w:p>
    <w:p>
      <w:pPr>
        <w:spacing w:before="132" w:line="355" w:lineRule="auto"/>
        <w:ind w:left="224" w:right="277" w:firstLine="419"/>
        <w:rPr>
          <w:sz w:val="24"/>
          <w:szCs w:val="24"/>
        </w:rPr>
      </w:pPr>
      <w:r>
        <w:rPr>
          <w:rFonts w:hint="eastAsia"/>
          <w:sz w:val="24"/>
          <w:szCs w:val="24"/>
        </w:rPr>
        <w:t>1、</w:t>
      </w:r>
      <w:r>
        <w:rPr>
          <w:spacing w:val="-7"/>
          <w:sz w:val="24"/>
          <w:szCs w:val="24"/>
        </w:rPr>
        <w:t>法定代表人和委托代理人必须在授权委托书上亲笔签名，不得使用印章、签名章或其他电</w:t>
      </w:r>
      <w:r>
        <w:rPr>
          <w:spacing w:val="-5"/>
          <w:sz w:val="24"/>
          <w:szCs w:val="24"/>
        </w:rPr>
        <w:t>子制版签名代替；</w:t>
      </w:r>
    </w:p>
    <w:p>
      <w:pPr>
        <w:spacing w:before="2"/>
        <w:ind w:left="644"/>
        <w:rPr>
          <w:sz w:val="24"/>
          <w:szCs w:val="24"/>
        </w:rPr>
      </w:pPr>
      <w:r>
        <w:rPr>
          <w:rFonts w:hint="eastAsia"/>
          <w:sz w:val="24"/>
          <w:szCs w:val="24"/>
        </w:rPr>
        <w:t>2、</w:t>
      </w:r>
      <w:r>
        <w:rPr>
          <w:sz w:val="24"/>
          <w:szCs w:val="24"/>
        </w:rPr>
        <w:t>以联合体形式投标的，本授权委托书应由联合体牵头人的法定代表人按上述规定签署。</w:t>
      </w:r>
    </w:p>
    <w:p>
      <w:pPr>
        <w:pStyle w:val="3"/>
        <w:rPr>
          <w:sz w:val="24"/>
          <w:szCs w:val="24"/>
        </w:rPr>
      </w:pPr>
    </w:p>
    <w:p>
      <w:pPr>
        <w:pStyle w:val="2"/>
        <w:ind w:firstLine="0" w:firstLineChars="0"/>
        <w:rPr>
          <w:rFonts w:ascii="黑体" w:eastAsia="黑体"/>
          <w:sz w:val="24"/>
          <w:szCs w:val="24"/>
        </w:rPr>
      </w:pPr>
    </w:p>
    <w:p>
      <w:pPr>
        <w:pStyle w:val="2"/>
        <w:ind w:firstLine="240"/>
        <w:rPr>
          <w:rFonts w:ascii="黑体" w:eastAsia="黑体"/>
          <w:sz w:val="24"/>
          <w:szCs w:val="24"/>
        </w:rPr>
      </w:pPr>
    </w:p>
    <w:p>
      <w:pPr>
        <w:snapToGrid w:val="0"/>
        <w:spacing w:before="61" w:line="360" w:lineRule="auto"/>
        <w:jc w:val="center"/>
        <w:rPr>
          <w:rFonts w:ascii="黑体" w:eastAsia="黑体"/>
          <w:sz w:val="24"/>
          <w:szCs w:val="24"/>
        </w:rPr>
      </w:pPr>
    </w:p>
    <w:p>
      <w:pPr>
        <w:snapToGrid w:val="0"/>
        <w:spacing w:before="61" w:line="360" w:lineRule="auto"/>
        <w:jc w:val="center"/>
        <w:rPr>
          <w:rFonts w:ascii="黑体" w:eastAsia="黑体"/>
          <w:sz w:val="24"/>
          <w:szCs w:val="24"/>
        </w:rPr>
      </w:pPr>
      <w:r>
        <w:rPr>
          <w:rFonts w:hint="eastAsia" w:ascii="黑体" w:eastAsia="黑体"/>
          <w:sz w:val="24"/>
          <w:szCs w:val="24"/>
        </w:rPr>
        <w:t>（二）法定代表人身份证明</w:t>
      </w:r>
    </w:p>
    <w:p>
      <w:pPr>
        <w:pStyle w:val="3"/>
        <w:snapToGrid w:val="0"/>
        <w:spacing w:line="360" w:lineRule="auto"/>
        <w:rPr>
          <w:rFonts w:ascii="黑体"/>
          <w:sz w:val="24"/>
          <w:szCs w:val="24"/>
        </w:rPr>
      </w:pPr>
    </w:p>
    <w:p>
      <w:pPr>
        <w:pStyle w:val="3"/>
        <w:tabs>
          <w:tab w:val="left" w:pos="5080"/>
        </w:tabs>
        <w:snapToGrid w:val="0"/>
        <w:spacing w:line="360" w:lineRule="auto"/>
        <w:rPr>
          <w:rFonts w:ascii="Times New Roman" w:eastAsia="Times New Roman"/>
          <w:sz w:val="24"/>
          <w:szCs w:val="24"/>
        </w:rPr>
      </w:pPr>
      <w:r>
        <w:rPr>
          <w:spacing w:val="-1"/>
          <w:sz w:val="24"/>
          <w:szCs w:val="24"/>
        </w:rPr>
        <w:t>投</w:t>
      </w:r>
      <w:r>
        <w:rPr>
          <w:sz w:val="24"/>
          <w:szCs w:val="24"/>
        </w:rPr>
        <w:t>标人名称：</w:t>
      </w:r>
      <w:r>
        <w:rPr>
          <w:rFonts w:ascii="Times New Roman" w:eastAsia="Times New Roman"/>
          <w:sz w:val="24"/>
          <w:szCs w:val="24"/>
          <w:u w:val="single"/>
        </w:rPr>
        <w:tab/>
      </w:r>
    </w:p>
    <w:p>
      <w:pPr>
        <w:pStyle w:val="3"/>
        <w:tabs>
          <w:tab w:val="left" w:pos="3999"/>
          <w:tab w:val="left" w:pos="5440"/>
          <w:tab w:val="left" w:pos="7185"/>
          <w:tab w:val="left" w:pos="8920"/>
        </w:tabs>
        <w:snapToGrid w:val="0"/>
        <w:spacing w:before="134" w:line="360" w:lineRule="auto"/>
        <w:ind w:right="263" w:firstLine="480" w:firstLineChars="200"/>
        <w:rPr>
          <w:sz w:val="24"/>
          <w:szCs w:val="24"/>
          <w:u w:val="single"/>
        </w:rPr>
      </w:pPr>
      <w:r>
        <w:rPr>
          <w:sz w:val="24"/>
          <w:szCs w:val="24"/>
        </w:rPr>
        <w:t>姓名：</w:t>
      </w:r>
      <w:r>
        <w:rPr>
          <w:sz w:val="24"/>
          <w:szCs w:val="24"/>
          <w:u w:val="single"/>
        </w:rPr>
        <w:t>（法定代表人亲笔签字）</w:t>
      </w:r>
      <w:r>
        <w:rPr>
          <w:sz w:val="24"/>
          <w:szCs w:val="24"/>
        </w:rPr>
        <w:t>性别：</w:t>
      </w:r>
      <w:r>
        <w:rPr>
          <w:sz w:val="24"/>
          <w:szCs w:val="24"/>
          <w:u w:val="single"/>
        </w:rPr>
        <w:tab/>
      </w:r>
      <w:r>
        <w:rPr>
          <w:sz w:val="24"/>
          <w:szCs w:val="24"/>
        </w:rPr>
        <w:t>年龄：</w:t>
      </w:r>
      <w:r>
        <w:rPr>
          <w:sz w:val="24"/>
          <w:szCs w:val="24"/>
          <w:u w:val="single"/>
        </w:rPr>
        <w:tab/>
      </w:r>
      <w:r>
        <w:rPr>
          <w:sz w:val="24"/>
          <w:szCs w:val="24"/>
        </w:rPr>
        <w:t>职务：</w:t>
      </w:r>
    </w:p>
    <w:p>
      <w:pPr>
        <w:pStyle w:val="3"/>
        <w:tabs>
          <w:tab w:val="left" w:pos="3999"/>
          <w:tab w:val="left" w:pos="5440"/>
          <w:tab w:val="left" w:pos="7185"/>
          <w:tab w:val="left" w:pos="8920"/>
        </w:tabs>
        <w:snapToGrid w:val="0"/>
        <w:spacing w:before="134" w:line="360" w:lineRule="auto"/>
        <w:ind w:right="263"/>
        <w:rPr>
          <w:sz w:val="24"/>
          <w:szCs w:val="24"/>
        </w:rPr>
      </w:pPr>
      <w:r>
        <w:rPr>
          <w:sz w:val="24"/>
          <w:szCs w:val="24"/>
        </w:rPr>
        <w:t>系</w:t>
      </w:r>
      <w:r>
        <w:rPr>
          <w:sz w:val="24"/>
          <w:szCs w:val="24"/>
          <w:u w:val="single"/>
        </w:rPr>
        <w:tab/>
      </w:r>
      <w:r>
        <w:rPr>
          <w:sz w:val="24"/>
          <w:szCs w:val="24"/>
        </w:rPr>
        <w:t>（投标人名称）的法定代表人。</w:t>
      </w:r>
    </w:p>
    <w:p>
      <w:pPr>
        <w:pStyle w:val="3"/>
        <w:snapToGrid w:val="0"/>
        <w:spacing w:line="360" w:lineRule="auto"/>
        <w:ind w:left="704"/>
        <w:rPr>
          <w:sz w:val="24"/>
          <w:szCs w:val="24"/>
        </w:rPr>
      </w:pPr>
      <w:r>
        <w:rPr>
          <w:sz w:val="24"/>
          <w:szCs w:val="24"/>
        </w:rPr>
        <w:t>特此证明。</w:t>
      </w:r>
    </w:p>
    <w:p>
      <w:pPr>
        <w:pStyle w:val="3"/>
        <w:snapToGrid w:val="0"/>
        <w:spacing w:line="360" w:lineRule="auto"/>
        <w:rPr>
          <w:sz w:val="24"/>
          <w:szCs w:val="24"/>
        </w:rPr>
      </w:pPr>
    </w:p>
    <w:p>
      <w:pPr>
        <w:pStyle w:val="3"/>
        <w:snapToGrid w:val="0"/>
        <w:spacing w:before="1" w:line="360" w:lineRule="auto"/>
        <w:rPr>
          <w:sz w:val="24"/>
          <w:szCs w:val="24"/>
        </w:rPr>
      </w:pPr>
    </w:p>
    <w:p>
      <w:pPr>
        <w:snapToGrid w:val="0"/>
        <w:spacing w:line="360" w:lineRule="auto"/>
        <w:ind w:left="224"/>
        <w:rPr>
          <w:sz w:val="24"/>
          <w:szCs w:val="24"/>
        </w:rPr>
      </w:pPr>
      <w:r>
        <w:rPr>
          <w:sz w:val="24"/>
          <w:szCs w:val="24"/>
        </w:rPr>
        <w:t>附：法定代表人身份证复印件。</w:t>
      </w:r>
    </w:p>
    <w:p>
      <w:pPr>
        <w:pStyle w:val="3"/>
        <w:snapToGrid w:val="0"/>
        <w:spacing w:line="360" w:lineRule="auto"/>
        <w:rPr>
          <w:sz w:val="24"/>
          <w:szCs w:val="24"/>
        </w:rPr>
      </w:pPr>
    </w:p>
    <w:p>
      <w:pPr>
        <w:pStyle w:val="3"/>
        <w:snapToGrid w:val="0"/>
        <w:spacing w:line="360" w:lineRule="auto"/>
        <w:rPr>
          <w:sz w:val="24"/>
          <w:szCs w:val="24"/>
        </w:rPr>
      </w:pPr>
    </w:p>
    <w:p>
      <w:pPr>
        <w:pStyle w:val="3"/>
        <w:snapToGrid w:val="0"/>
        <w:spacing w:line="360" w:lineRule="auto"/>
        <w:rPr>
          <w:sz w:val="24"/>
          <w:szCs w:val="24"/>
        </w:rPr>
      </w:pPr>
    </w:p>
    <w:p>
      <w:pPr>
        <w:pStyle w:val="3"/>
        <w:snapToGrid w:val="0"/>
        <w:spacing w:before="9" w:line="360" w:lineRule="auto"/>
        <w:rPr>
          <w:sz w:val="24"/>
          <w:szCs w:val="24"/>
        </w:rPr>
      </w:pPr>
    </w:p>
    <w:p>
      <w:pPr>
        <w:pStyle w:val="3"/>
        <w:tabs>
          <w:tab w:val="left" w:pos="6345"/>
        </w:tabs>
        <w:snapToGrid w:val="0"/>
        <w:spacing w:line="360" w:lineRule="auto"/>
        <w:ind w:left="3345"/>
        <w:rPr>
          <w:sz w:val="24"/>
          <w:szCs w:val="24"/>
        </w:rPr>
      </w:pPr>
      <w:r>
        <w:rPr>
          <w:sz w:val="24"/>
          <w:szCs w:val="24"/>
        </w:rPr>
        <w:t>投标人：</w:t>
      </w:r>
      <w:r>
        <w:rPr>
          <w:sz w:val="24"/>
          <w:szCs w:val="24"/>
          <w:u w:val="single"/>
        </w:rPr>
        <w:tab/>
      </w:r>
      <w:r>
        <w:rPr>
          <w:sz w:val="24"/>
          <w:szCs w:val="24"/>
        </w:rPr>
        <w:t>（盖单位章）</w:t>
      </w:r>
    </w:p>
    <w:p>
      <w:pPr>
        <w:pStyle w:val="3"/>
        <w:tabs>
          <w:tab w:val="left" w:pos="5625"/>
          <w:tab w:val="left" w:pos="6585"/>
          <w:tab w:val="left" w:pos="7240"/>
        </w:tabs>
        <w:snapToGrid w:val="0"/>
        <w:spacing w:before="131" w:line="360" w:lineRule="auto"/>
        <w:ind w:left="4545"/>
        <w:rPr>
          <w:sz w:val="24"/>
          <w:szCs w:val="24"/>
        </w:rPr>
      </w:pPr>
      <w:r>
        <w:rPr>
          <w:rFonts w:ascii="Times New Roman" w:eastAsia="Times New Roman"/>
          <w:sz w:val="24"/>
          <w:szCs w:val="24"/>
          <w:u w:val="single"/>
        </w:rPr>
        <w:tab/>
      </w:r>
      <w:r>
        <w:rPr>
          <w:sz w:val="24"/>
          <w:szCs w:val="24"/>
        </w:rPr>
        <w:t>年</w:t>
      </w:r>
      <w:r>
        <w:rPr>
          <w:sz w:val="24"/>
          <w:szCs w:val="24"/>
          <w:u w:val="single"/>
        </w:rPr>
        <w:tab/>
      </w:r>
      <w:r>
        <w:rPr>
          <w:sz w:val="24"/>
          <w:szCs w:val="24"/>
        </w:rPr>
        <w:t>月</w:t>
      </w:r>
      <w:r>
        <w:rPr>
          <w:sz w:val="24"/>
          <w:szCs w:val="24"/>
          <w:u w:val="single"/>
        </w:rPr>
        <w:tab/>
      </w:r>
      <w:r>
        <w:rPr>
          <w:sz w:val="24"/>
          <w:szCs w:val="24"/>
        </w:rPr>
        <w:t>日</w:t>
      </w:r>
    </w:p>
    <w:p>
      <w:pPr>
        <w:pStyle w:val="3"/>
        <w:snapToGrid w:val="0"/>
        <w:spacing w:line="360" w:lineRule="auto"/>
        <w:rPr>
          <w:sz w:val="26"/>
        </w:rPr>
      </w:pPr>
    </w:p>
    <w:p>
      <w:pPr>
        <w:snapToGrid w:val="0"/>
        <w:spacing w:line="360" w:lineRule="auto"/>
        <w:jc w:val="both"/>
        <w:rPr>
          <w:sz w:val="24"/>
        </w:rPr>
      </w:pPr>
    </w:p>
    <w:p>
      <w:pPr>
        <w:snapToGrid w:val="0"/>
        <w:spacing w:line="360" w:lineRule="auto"/>
        <w:jc w:val="both"/>
        <w:rPr>
          <w:sz w:val="24"/>
        </w:rPr>
      </w:pPr>
    </w:p>
    <w:p>
      <w:pPr>
        <w:snapToGrid w:val="0"/>
        <w:spacing w:line="360" w:lineRule="auto"/>
        <w:jc w:val="both"/>
        <w:rPr>
          <w:sz w:val="24"/>
        </w:rPr>
      </w:pPr>
    </w:p>
    <w:p>
      <w:pPr>
        <w:snapToGrid w:val="0"/>
        <w:spacing w:line="360" w:lineRule="auto"/>
        <w:jc w:val="both"/>
        <w:rPr>
          <w:sz w:val="21"/>
        </w:rPr>
      </w:pPr>
      <w:r>
        <w:rPr>
          <w:sz w:val="21"/>
        </w:rPr>
        <w:t>注：法定代表人的签字必须是亲笔签名，不得使用印章、签名章或其他电子制版签名代替</w:t>
      </w:r>
    </w:p>
    <w:p>
      <w:pPr>
        <w:spacing w:line="200" w:lineRule="exact"/>
        <w:rPr>
          <w:rFonts w:eastAsia="Times New Roman"/>
        </w:rPr>
      </w:pPr>
    </w:p>
    <w:p>
      <w:pPr>
        <w:spacing w:line="200" w:lineRule="exact"/>
        <w:rPr>
          <w:rFonts w:eastAsia="Times New Roman"/>
        </w:rPr>
      </w:pPr>
      <w:bookmarkStart w:id="107" w:name="page222"/>
      <w:bookmarkEnd w:id="107"/>
    </w:p>
    <w:p>
      <w:pPr>
        <w:spacing w:line="248" w:lineRule="exact"/>
        <w:rPr>
          <w:rFonts w:eastAsia="Times New Roman"/>
        </w:rPr>
      </w:pPr>
    </w:p>
    <w:p>
      <w:pPr>
        <w:spacing w:line="0" w:lineRule="atLeast"/>
        <w:ind w:left="3360"/>
        <w:rPr>
          <w:rFonts w:ascii="宋体" w:hAnsi="宋体"/>
          <w:sz w:val="28"/>
        </w:rPr>
      </w:pPr>
      <w:r>
        <w:rPr>
          <w:rFonts w:hint="eastAsia" w:ascii="宋体" w:hAnsi="宋体"/>
          <w:sz w:val="28"/>
        </w:rPr>
        <w:br w:type="page"/>
      </w:r>
      <w:r>
        <w:rPr>
          <w:rFonts w:hint="eastAsia" w:ascii="宋体" w:hAnsi="宋体"/>
          <w:sz w:val="28"/>
        </w:rPr>
        <w:t>三</w:t>
      </w:r>
      <w:r>
        <w:rPr>
          <w:rFonts w:ascii="宋体" w:hAnsi="宋体"/>
          <w:sz w:val="28"/>
        </w:rPr>
        <w:t>、投标保证金</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0" w:lineRule="exact"/>
        <w:rPr>
          <w:rFonts w:eastAsia="Times New Roman"/>
        </w:rPr>
      </w:pPr>
    </w:p>
    <w:p>
      <w:pPr>
        <w:spacing w:line="0" w:lineRule="atLeast"/>
        <w:ind w:left="520" w:firstLine="1440" w:firstLineChars="600"/>
        <w:rPr>
          <w:rFonts w:ascii="宋体" w:hAnsi="宋体"/>
          <w:sz w:val="24"/>
        </w:rPr>
      </w:pPr>
      <w:r>
        <w:rPr>
          <w:rFonts w:ascii="宋体" w:hAnsi="宋体"/>
          <w:sz w:val="24"/>
        </w:rPr>
        <w:t>投标人应在此提供汇款凭证的复印件。</w:t>
      </w:r>
    </w:p>
    <w:p>
      <w:pPr>
        <w:spacing w:line="127" w:lineRule="exact"/>
        <w:rPr>
          <w:rFonts w:eastAsia="Times New Roman"/>
        </w:rPr>
      </w:pPr>
    </w:p>
    <w:p>
      <w:pPr>
        <w:spacing w:line="248" w:lineRule="exact"/>
      </w:pPr>
      <w:bookmarkStart w:id="108" w:name="page223"/>
      <w:bookmarkEnd w:id="108"/>
      <w:bookmarkStart w:id="109" w:name="page224"/>
      <w:bookmarkEnd w:id="109"/>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r>
        <w:rPr>
          <w:rFonts w:hint="eastAsia" w:ascii="宋体" w:hAnsi="宋体"/>
          <w:sz w:val="28"/>
        </w:rPr>
        <w:t>四</w:t>
      </w:r>
      <w:r>
        <w:rPr>
          <w:rFonts w:ascii="宋体" w:hAnsi="宋体"/>
          <w:sz w:val="28"/>
        </w:rPr>
        <w:t>、施工组织设计</w:t>
      </w:r>
    </w:p>
    <w:p>
      <w:pPr>
        <w:spacing w:line="283" w:lineRule="exact"/>
        <w:rPr>
          <w:rFonts w:eastAsia="Times New Roman"/>
        </w:rPr>
      </w:pPr>
    </w:p>
    <w:p>
      <w:pPr>
        <w:spacing w:line="200" w:lineRule="exact"/>
        <w:rPr>
          <w:rFonts w:eastAsia="Times New Roman"/>
        </w:rPr>
      </w:pPr>
    </w:p>
    <w:p>
      <w:pPr>
        <w:spacing w:line="385" w:lineRule="exact"/>
        <w:rPr>
          <w:rFonts w:eastAsia="Times New Roman"/>
        </w:rPr>
      </w:pPr>
    </w:p>
    <w:p>
      <w:pPr>
        <w:spacing w:line="0" w:lineRule="atLeast"/>
        <w:rPr>
          <w:rFonts w:ascii="宋体" w:hAnsi="宋体"/>
          <w:sz w:val="24"/>
          <w:szCs w:val="24"/>
        </w:rPr>
      </w:pPr>
      <w:r>
        <w:rPr>
          <w:rFonts w:ascii="宋体" w:hAnsi="宋体"/>
          <w:sz w:val="24"/>
          <w:szCs w:val="24"/>
        </w:rPr>
        <w:t>1. 投标人应按以下要点编制施工组织设计（文字宜精炼、内容具有针对性）：</w:t>
      </w:r>
    </w:p>
    <w:p>
      <w:pPr>
        <w:spacing w:line="147"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（1）总体施工组织布置及规划</w:t>
      </w:r>
    </w:p>
    <w:p>
      <w:pPr>
        <w:spacing w:line="159" w:lineRule="exact"/>
        <w:rPr>
          <w:rFonts w:eastAsia="Times New Roman"/>
          <w:b/>
          <w:color w:val="FF0000"/>
          <w:u w:val="single"/>
        </w:rPr>
      </w:pPr>
    </w:p>
    <w:p>
      <w:pPr>
        <w:numPr>
          <w:ilvl w:val="0"/>
          <w:numId w:val="0"/>
        </w:numPr>
        <w:spacing w:line="0" w:lineRule="atLeast"/>
        <w:ind w:left="1" w:leftChars="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ascii="宋体" w:hAnsi="宋体"/>
          <w:sz w:val="24"/>
          <w:szCs w:val="24"/>
        </w:rPr>
        <w:t>主要工程项目的施工方案、方法与技术措施（尤其对重点、关键和难点工程的施</w:t>
      </w:r>
    </w:p>
    <w:p>
      <w:pPr>
        <w:numPr>
          <w:ilvl w:val="0"/>
          <w:numId w:val="0"/>
        </w:numPr>
        <w:spacing w:line="0" w:lineRule="atLeast"/>
        <w:ind w:left="1" w:leftChars="0"/>
        <w:rPr>
          <w:rFonts w:ascii="宋体" w:hAnsi="宋体"/>
          <w:sz w:val="24"/>
          <w:szCs w:val="24"/>
        </w:rPr>
      </w:pPr>
    </w:p>
    <w:p>
      <w:pPr>
        <w:numPr>
          <w:ilvl w:val="0"/>
          <w:numId w:val="0"/>
        </w:numPr>
        <w:spacing w:line="0" w:lineRule="atLeast"/>
        <w:ind w:left="1" w:leftChars="0" w:firstLine="480" w:firstLineChars="200"/>
        <w:rPr>
          <w:rFonts w:ascii="宋体" w:hAnsi="宋体"/>
          <w:sz w:val="24"/>
          <w:szCs w:val="24"/>
        </w:rPr>
      </w:pPr>
      <w:r>
        <w:rPr>
          <w:rFonts w:ascii="宋体" w:hAnsi="宋体"/>
          <w:sz w:val="24"/>
          <w:szCs w:val="24"/>
        </w:rPr>
        <w:t>工方案、方法及措施）</w:t>
      </w:r>
    </w:p>
    <w:p>
      <w:pPr>
        <w:spacing w:line="165"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（3）工期保证体系及保证措施</w:t>
      </w:r>
    </w:p>
    <w:p>
      <w:pPr>
        <w:spacing w:line="147"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（4）工程质量管理体系及保证措施</w:t>
      </w:r>
    </w:p>
    <w:p>
      <w:pPr>
        <w:spacing w:line="150"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（5）安全生产管理体系及保证措施</w:t>
      </w:r>
    </w:p>
    <w:p>
      <w:pPr>
        <w:spacing w:line="147"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（6）环境保护、水土保持保证体系及保证措施</w:t>
      </w:r>
    </w:p>
    <w:p>
      <w:pPr>
        <w:spacing w:line="149"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（7）文明施工、文物保护保证体系及保证措施</w:t>
      </w:r>
    </w:p>
    <w:p>
      <w:pPr>
        <w:spacing w:line="150"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（8）项目风险预测与防范，事故应急预案</w:t>
      </w:r>
    </w:p>
    <w:p>
      <w:pPr>
        <w:spacing w:line="148" w:lineRule="exact"/>
        <w:rPr>
          <w:rFonts w:eastAsia="Times New Roman"/>
          <w:b/>
          <w:color w:val="FF0000"/>
          <w:u w:val="single"/>
        </w:rPr>
      </w:pPr>
    </w:p>
    <w:p>
      <w:pPr>
        <w:spacing w:line="0" w:lineRule="atLeast"/>
        <w:rPr>
          <w:rFonts w:ascii="宋体" w:hAnsi="宋体"/>
          <w:sz w:val="24"/>
          <w:szCs w:val="24"/>
        </w:rPr>
      </w:pPr>
      <w:r>
        <w:rPr>
          <w:rFonts w:ascii="宋体" w:hAnsi="宋体"/>
          <w:sz w:val="24"/>
          <w:szCs w:val="24"/>
        </w:rPr>
        <w:t>（9）其他应说明的事项</w:t>
      </w:r>
    </w:p>
    <w:p>
      <w:pPr>
        <w:spacing w:line="175" w:lineRule="exact"/>
        <w:rPr>
          <w:rFonts w:eastAsia="Times New Roman"/>
        </w:rPr>
      </w:pPr>
    </w:p>
    <w:p>
      <w:pPr>
        <w:spacing w:line="0" w:lineRule="atLeast"/>
        <w:rPr>
          <w:rFonts w:ascii="宋体" w:hAnsi="宋体"/>
          <w:sz w:val="24"/>
        </w:rPr>
        <w:sectPr>
          <w:pgSz w:w="11906" w:h="16838"/>
          <w:pgMar w:top="1440" w:right="1440" w:bottom="1440" w:left="1440" w:header="0" w:footer="567" w:gutter="0"/>
          <w:cols w:space="720" w:num="1"/>
          <w:docGrid w:linePitch="360" w:charSpace="0"/>
        </w:sectPr>
      </w:pPr>
    </w:p>
    <w:p>
      <w:pPr>
        <w:pStyle w:val="4"/>
        <w:spacing w:beforeLines="100" w:afterLines="150" w:line="360" w:lineRule="exact"/>
        <w:jc w:val="center"/>
        <w:rPr>
          <w:rFonts w:ascii="黑体" w:hAnsi="宋体" w:eastAsia="黑体"/>
          <w:sz w:val="28"/>
          <w:szCs w:val="28"/>
        </w:rPr>
      </w:pPr>
      <w:bookmarkStart w:id="110" w:name="_Toc528314472"/>
      <w:r>
        <w:rPr>
          <w:rFonts w:hint="eastAsia" w:ascii="黑体" w:hAnsi="宋体" w:eastAsia="黑体"/>
          <w:sz w:val="28"/>
          <w:szCs w:val="28"/>
        </w:rPr>
        <w:t>五</w:t>
      </w:r>
      <w:r>
        <w:rPr>
          <w:rFonts w:ascii="黑体" w:hAnsi="宋体" w:eastAsia="黑体"/>
          <w:sz w:val="28"/>
          <w:szCs w:val="28"/>
        </w:rPr>
        <w:t>、项目管理机构</w:t>
      </w:r>
      <w:bookmarkEnd w:id="110"/>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Pr>
        <w:spacing w:line="200" w:lineRule="exact"/>
        <w:rPr>
          <w:rFonts w:eastAsia="Times New Roman"/>
        </w:rPr>
      </w:pPr>
    </w:p>
    <w:p>
      <w:pPr>
        <w:spacing w:line="239" w:lineRule="auto"/>
        <w:jc w:val="both"/>
        <w:rPr>
          <w:rFonts w:eastAsia="Times New Roman"/>
          <w:sz w:val="18"/>
        </w:rPr>
        <w:sectPr>
          <w:pgSz w:w="11906" w:h="16838"/>
          <w:pgMar w:top="1440" w:right="1440" w:bottom="1440" w:left="1440" w:header="0" w:footer="567" w:gutter="0"/>
          <w:cols w:space="720" w:num="1"/>
          <w:docGrid w:linePitch="360" w:charSpace="0"/>
        </w:sectPr>
      </w:pPr>
    </w:p>
    <w:p>
      <w:pPr>
        <w:pStyle w:val="4"/>
        <w:spacing w:beforeLines="100" w:afterLines="150" w:line="360" w:lineRule="exact"/>
        <w:jc w:val="center"/>
        <w:rPr>
          <w:rFonts w:ascii="黑体" w:hAnsi="宋体" w:eastAsia="黑体"/>
          <w:sz w:val="28"/>
          <w:szCs w:val="28"/>
        </w:rPr>
      </w:pPr>
      <w:bookmarkStart w:id="111" w:name="page254"/>
      <w:bookmarkEnd w:id="111"/>
      <w:bookmarkStart w:id="112" w:name="page234"/>
      <w:bookmarkEnd w:id="112"/>
      <w:bookmarkStart w:id="113" w:name="_Toc528314473"/>
      <w:r>
        <w:rPr>
          <w:rFonts w:hint="eastAsia" w:ascii="黑体" w:hAnsi="宋体" w:eastAsia="黑体"/>
          <w:sz w:val="28"/>
          <w:szCs w:val="28"/>
        </w:rPr>
        <w:t>六</w:t>
      </w:r>
      <w:r>
        <w:rPr>
          <w:rFonts w:ascii="黑体" w:hAnsi="宋体" w:eastAsia="黑体"/>
          <w:sz w:val="28"/>
          <w:szCs w:val="28"/>
        </w:rPr>
        <w:t>、</w:t>
      </w:r>
      <w:r>
        <w:rPr>
          <w:rFonts w:hint="eastAsia" w:ascii="黑体" w:hAnsi="宋体" w:eastAsia="黑体"/>
          <w:sz w:val="28"/>
          <w:szCs w:val="28"/>
        </w:rPr>
        <w:t>拟分包项目情况表</w:t>
      </w:r>
      <w:bookmarkEnd w:id="113"/>
    </w:p>
    <w:tbl>
      <w:tblPr>
        <w:tblStyle w:val="1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分包人名称</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地址</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法定代表人</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电话</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营业执照号码</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资质等级</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拟分包的工程项目</w:t>
            </w:r>
          </w:p>
        </w:tc>
        <w:tc>
          <w:tcPr>
            <w:tcW w:w="2410" w:type="dxa"/>
            <w:vAlign w:val="center"/>
          </w:tcPr>
          <w:p>
            <w:pPr>
              <w:jc w:val="center"/>
              <w:rPr>
                <w:rFonts w:ascii="宋体" w:hAnsi="宋体"/>
                <w:szCs w:val="21"/>
              </w:rPr>
            </w:pPr>
            <w:r>
              <w:rPr>
                <w:rFonts w:hint="eastAsia" w:ascii="宋体" w:hAnsi="宋体"/>
                <w:szCs w:val="21"/>
              </w:rPr>
              <w:t>主要内容</w:t>
            </w:r>
          </w:p>
        </w:tc>
        <w:tc>
          <w:tcPr>
            <w:tcW w:w="2410" w:type="dxa"/>
            <w:vAlign w:val="center"/>
          </w:tcPr>
          <w:p>
            <w:pPr>
              <w:jc w:val="center"/>
              <w:rPr>
                <w:rFonts w:ascii="宋体" w:hAnsi="宋体"/>
                <w:szCs w:val="21"/>
              </w:rPr>
            </w:pPr>
            <w:r>
              <w:rPr>
                <w:rFonts w:hint="eastAsia" w:ascii="宋体" w:hAnsi="宋体"/>
                <w:szCs w:val="21"/>
              </w:rPr>
              <w:t>预计造价（万元）</w:t>
            </w:r>
          </w:p>
        </w:tc>
        <w:tc>
          <w:tcPr>
            <w:tcW w:w="2410" w:type="dxa"/>
            <w:vAlign w:val="center"/>
          </w:tcPr>
          <w:p>
            <w:pPr>
              <w:jc w:val="center"/>
              <w:rPr>
                <w:rFonts w:ascii="宋体" w:hAnsi="宋体"/>
                <w:szCs w:val="21"/>
              </w:rPr>
            </w:pPr>
            <w:r>
              <w:rPr>
                <w:rFonts w:hint="eastAsia" w:ascii="宋体" w:hAnsi="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restart"/>
          </w:tcPr>
          <w:p>
            <w:pPr>
              <w:ind w:firstLine="200" w:firstLineChars="100"/>
              <w:rPr>
                <w:rFonts w:ascii="宋体" w:hAnsi="宋体"/>
                <w:szCs w:val="21"/>
              </w:rPr>
            </w:pPr>
          </w:p>
          <w:p>
            <w:pPr>
              <w:ind w:firstLine="200" w:firstLineChars="100"/>
              <w:rPr>
                <w:rFonts w:ascii="宋体" w:hAnsi="宋体"/>
                <w:szCs w:val="21"/>
              </w:rPr>
            </w:pPr>
            <w:r>
              <w:rPr>
                <w:rFonts w:hint="eastAsia" w:ascii="宋体" w:hAnsi="宋体"/>
                <w:szCs w:val="21"/>
              </w:rPr>
              <w:t>注：</w:t>
            </w:r>
          </w:p>
          <w:p>
            <w:pPr>
              <w:ind w:firstLine="200" w:firstLineChars="100"/>
              <w:rPr>
                <w:rFonts w:ascii="宋体" w:hAnsi="宋体"/>
                <w:szCs w:val="21"/>
              </w:rPr>
            </w:pPr>
            <w:r>
              <w:rPr>
                <w:rFonts w:hint="eastAsia" w:ascii="宋体" w:hAnsi="宋体"/>
                <w:szCs w:val="21"/>
              </w:rPr>
              <w:t>1.本栏应写明分包人以往做过的类似工程，包括工程名称、地点、造价、工期、交工年份和其发包人与总监理工程师的姓名和地址。</w:t>
            </w:r>
          </w:p>
          <w:p>
            <w:pPr>
              <w:ind w:firstLine="200" w:firstLineChars="100"/>
              <w:rPr>
                <w:rFonts w:ascii="宋体" w:hAnsi="宋体"/>
                <w:szCs w:val="21"/>
              </w:rPr>
            </w:pPr>
            <w:r>
              <w:rPr>
                <w:rFonts w:hint="eastAsia" w:ascii="宋体" w:hAnsi="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szCs w:val="21"/>
              </w:rPr>
            </w:pPr>
            <w:r>
              <w:rPr>
                <w:rFonts w:hint="eastAsia" w:ascii="宋体" w:hAnsi="宋体"/>
                <w:szCs w:val="21"/>
              </w:rPr>
              <w:t>分包值合计（万元）</w:t>
            </w: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bl>
    <w:p>
      <w:pPr>
        <w:pStyle w:val="4"/>
        <w:spacing w:beforeLines="100" w:afterLines="150" w:line="360" w:lineRule="exact"/>
        <w:jc w:val="center"/>
        <w:rPr>
          <w:rFonts w:ascii="黑体" w:hAnsi="宋体" w:eastAsia="黑体"/>
          <w:sz w:val="28"/>
          <w:szCs w:val="28"/>
        </w:rPr>
      </w:pPr>
      <w:bookmarkStart w:id="114" w:name="_Toc528314474"/>
      <w:r>
        <w:rPr>
          <w:rFonts w:hint="eastAsia" w:ascii="黑体" w:hAnsi="宋体" w:eastAsia="黑体"/>
          <w:sz w:val="28"/>
          <w:szCs w:val="28"/>
        </w:rPr>
        <w:t>七、资格审查资料</w:t>
      </w:r>
      <w:bookmarkEnd w:id="114"/>
    </w:p>
    <w:p>
      <w:pPr>
        <w:pStyle w:val="4"/>
        <w:spacing w:beforeLines="100" w:afterLines="150" w:line="360" w:lineRule="exact"/>
        <w:jc w:val="center"/>
        <w:rPr>
          <w:rFonts w:ascii="黑体" w:eastAsia="黑体"/>
          <w:sz w:val="28"/>
          <w:szCs w:val="28"/>
        </w:rPr>
      </w:pPr>
      <w:bookmarkStart w:id="115" w:name="_Toc486277939"/>
      <w:bookmarkStart w:id="116" w:name="_Toc234382978"/>
      <w:bookmarkStart w:id="117" w:name="_Toc9432"/>
      <w:bookmarkStart w:id="118" w:name="_Toc485889073"/>
      <w:r>
        <w:rPr>
          <w:rFonts w:hint="eastAsia" w:ascii="黑体" w:eastAsia="黑体"/>
          <w:sz w:val="28"/>
          <w:szCs w:val="28"/>
        </w:rPr>
        <w:t>（一）投标人基本情况表</w:t>
      </w:r>
      <w:bookmarkEnd w:id="115"/>
      <w:bookmarkEnd w:id="116"/>
      <w:bookmarkEnd w:id="117"/>
      <w:bookmarkEnd w:id="118"/>
    </w:p>
    <w:tbl>
      <w:tblPr>
        <w:tblStyle w:val="10"/>
        <w:tblW w:w="9639" w:type="dxa"/>
        <w:jc w:val="center"/>
        <w:tblInd w:w="-1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投标人名称</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注册地址</w:t>
            </w:r>
          </w:p>
        </w:tc>
        <w:tc>
          <w:tcPr>
            <w:tcW w:w="3846" w:type="dxa"/>
            <w:gridSpan w:val="4"/>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邮政编码</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djustRightInd w:val="0"/>
              <w:jc w:val="center"/>
              <w:rPr>
                <w:szCs w:val="21"/>
              </w:rPr>
            </w:pPr>
            <w:r>
              <w:rPr>
                <w:rFonts w:hint="eastAsia" w:cs="MingLiU"/>
                <w:szCs w:val="21"/>
              </w:rPr>
              <w:t>联系方式</w:t>
            </w:r>
          </w:p>
        </w:tc>
        <w:tc>
          <w:tcPr>
            <w:tcW w:w="1010" w:type="dxa"/>
            <w:vAlign w:val="center"/>
          </w:tcPr>
          <w:p>
            <w:pPr>
              <w:adjustRightInd w:val="0"/>
              <w:jc w:val="center"/>
              <w:rPr>
                <w:szCs w:val="21"/>
              </w:rPr>
            </w:pPr>
            <w:r>
              <w:rPr>
                <w:rFonts w:hint="eastAsia" w:cs="MingLiU"/>
                <w:szCs w:val="21"/>
              </w:rPr>
              <w:t>联系人</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电话</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djustRightInd w:val="0"/>
              <w:jc w:val="center"/>
              <w:rPr>
                <w:szCs w:val="21"/>
              </w:rPr>
            </w:pPr>
          </w:p>
        </w:tc>
        <w:tc>
          <w:tcPr>
            <w:tcW w:w="1010" w:type="dxa"/>
            <w:vAlign w:val="center"/>
          </w:tcPr>
          <w:p>
            <w:pPr>
              <w:tabs>
                <w:tab w:val="left" w:pos="540"/>
              </w:tabs>
              <w:adjustRightInd w:val="0"/>
              <w:jc w:val="center"/>
              <w:rPr>
                <w:szCs w:val="21"/>
              </w:rPr>
            </w:pPr>
            <w:r>
              <w:rPr>
                <w:rFonts w:hint="eastAsia" w:cs="MingLiU"/>
                <w:szCs w:val="21"/>
              </w:rPr>
              <w:t>传真</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电子邮件</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法定代表人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技术负责人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成立时间</w:t>
            </w:r>
          </w:p>
        </w:tc>
        <w:tc>
          <w:tcPr>
            <w:tcW w:w="2080" w:type="dxa"/>
            <w:gridSpan w:val="2"/>
            <w:vAlign w:val="center"/>
          </w:tcPr>
          <w:p>
            <w:pPr>
              <w:adjustRightInd w:val="0"/>
              <w:jc w:val="center"/>
              <w:rPr>
                <w:szCs w:val="21"/>
              </w:rPr>
            </w:pPr>
          </w:p>
        </w:tc>
        <w:tc>
          <w:tcPr>
            <w:tcW w:w="5617" w:type="dxa"/>
            <w:gridSpan w:val="6"/>
            <w:vAlign w:val="center"/>
          </w:tcPr>
          <w:p>
            <w:pPr>
              <w:adjustRightInd w:val="0"/>
              <w:ind w:left="100" w:leftChars="50"/>
              <w:jc w:val="center"/>
              <w:rPr>
                <w:szCs w:val="21"/>
                <w:u w:val="single"/>
              </w:rPr>
            </w:pPr>
            <w:r>
              <w:rPr>
                <w:rFonts w:hint="eastAsia" w:cs="MingLiU"/>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企业资质等级</w:t>
            </w:r>
          </w:p>
        </w:tc>
        <w:tc>
          <w:tcPr>
            <w:tcW w:w="2080" w:type="dxa"/>
            <w:gridSpan w:val="2"/>
            <w:vAlign w:val="center"/>
          </w:tcPr>
          <w:p>
            <w:pPr>
              <w:adjustRightInd w:val="0"/>
              <w:jc w:val="center"/>
              <w:rPr>
                <w:szCs w:val="21"/>
              </w:rPr>
            </w:pPr>
          </w:p>
        </w:tc>
        <w:tc>
          <w:tcPr>
            <w:tcW w:w="1416" w:type="dxa"/>
            <w:vMerge w:val="restart"/>
            <w:vAlign w:val="center"/>
          </w:tcPr>
          <w:p>
            <w:pPr>
              <w:adjustRightInd w:val="0"/>
              <w:jc w:val="center"/>
              <w:rPr>
                <w:szCs w:val="21"/>
              </w:rPr>
            </w:pPr>
            <w:r>
              <w:rPr>
                <w:rFonts w:hint="eastAsia" w:cs="MingLiU"/>
                <w:szCs w:val="21"/>
              </w:rPr>
              <w:t>其中</w:t>
            </w:r>
          </w:p>
        </w:tc>
        <w:tc>
          <w:tcPr>
            <w:tcW w:w="2119" w:type="dxa"/>
            <w:gridSpan w:val="3"/>
            <w:vAlign w:val="center"/>
          </w:tcPr>
          <w:p>
            <w:pPr>
              <w:adjustRightInd w:val="0"/>
              <w:jc w:val="center"/>
              <w:rPr>
                <w:szCs w:val="21"/>
              </w:rPr>
            </w:pPr>
            <w:r>
              <w:rPr>
                <w:rFonts w:hint="eastAsia" w:cs="MingLiU"/>
                <w:szCs w:val="21"/>
              </w:rPr>
              <w:t>项目经理</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营业执照号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高级职称人员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注册资金</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中级职称人员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基本账户开户银行</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初级职称人员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基本账户账号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tabs>
                <w:tab w:val="left" w:pos="1240"/>
              </w:tabs>
              <w:adjustRightInd w:val="0"/>
              <w:spacing w:before="98"/>
              <w:jc w:val="center"/>
              <w:rPr>
                <w:szCs w:val="21"/>
              </w:rPr>
            </w:pPr>
            <w:r>
              <w:rPr>
                <w:rFonts w:hint="eastAsia" w:cs="MingLiU"/>
                <w:szCs w:val="21"/>
              </w:rPr>
              <w:t>技工</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djustRightInd w:val="0"/>
              <w:jc w:val="center"/>
              <w:rPr>
                <w:szCs w:val="21"/>
              </w:rPr>
            </w:pPr>
            <w:r>
              <w:rPr>
                <w:rFonts w:hint="eastAsia" w:cs="MingLiU"/>
                <w:szCs w:val="21"/>
              </w:rPr>
              <w:t>经营范围</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djustRightInd w:val="0"/>
              <w:jc w:val="center"/>
              <w:rPr>
                <w:rFonts w:cs="MingLiU"/>
                <w:szCs w:val="21"/>
              </w:rPr>
            </w:pPr>
            <w:r>
              <w:rPr>
                <w:rFonts w:hint="eastAsia" w:cs="MingLiU"/>
                <w:szCs w:val="21"/>
              </w:rPr>
              <w:t>资产</w:t>
            </w:r>
            <w:r>
              <w:rPr>
                <w:rFonts w:hint="eastAsia" w:cs="MingLiU"/>
                <w:sz w:val="21"/>
                <w:szCs w:val="21"/>
              </w:rPr>
              <w:t>构成</w:t>
            </w:r>
            <w:r>
              <w:rPr>
                <w:rFonts w:hint="eastAsia" w:cs="MingLiU"/>
                <w:szCs w:val="21"/>
              </w:rPr>
              <w:t>情况及申请人投资参股的关联企业情况</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备    注</w:t>
            </w:r>
          </w:p>
        </w:tc>
        <w:tc>
          <w:tcPr>
            <w:tcW w:w="7697" w:type="dxa"/>
            <w:gridSpan w:val="8"/>
            <w:vAlign w:val="center"/>
          </w:tcPr>
          <w:p>
            <w:pPr>
              <w:adjustRightInd w:val="0"/>
              <w:jc w:val="center"/>
              <w:rPr>
                <w:szCs w:val="21"/>
              </w:rPr>
            </w:pPr>
          </w:p>
        </w:tc>
      </w:tr>
    </w:tbl>
    <w:p>
      <w:pPr>
        <w:adjustRightInd w:val="0"/>
        <w:jc w:val="center"/>
        <w:rPr>
          <w:rFonts w:hint="eastAsia" w:cs="MingLiU"/>
          <w:b/>
          <w:bCs/>
          <w:sz w:val="21"/>
          <w:szCs w:val="21"/>
        </w:rPr>
      </w:pPr>
    </w:p>
    <w:p>
      <w:pPr>
        <w:adjustRightInd w:val="0"/>
        <w:jc w:val="center"/>
        <w:rPr>
          <w:rFonts w:hint="eastAsia" w:cs="MingLiU"/>
          <w:b/>
          <w:bCs/>
          <w:sz w:val="21"/>
          <w:szCs w:val="21"/>
        </w:rPr>
      </w:pPr>
      <w:r>
        <w:rPr>
          <w:rFonts w:hint="eastAsia" w:cs="MingLiU"/>
          <w:b/>
          <w:bCs/>
          <w:sz w:val="21"/>
          <w:szCs w:val="21"/>
        </w:rPr>
        <w:t>注：1.投标人应根据招标文件第二章“投标人须知”第3.5.1项的要求在本表后附相关证明材料。</w:t>
      </w:r>
    </w:p>
    <w:p>
      <w:pPr>
        <w:spacing w:line="400" w:lineRule="exact"/>
        <w:jc w:val="center"/>
        <w:rPr>
          <w:rFonts w:ascii="黑体" w:eastAsia="黑体"/>
          <w:b/>
          <w:color w:val="FF0000"/>
          <w:sz w:val="28"/>
          <w:u w:val="single"/>
        </w:rPr>
      </w:pPr>
    </w:p>
    <w:p>
      <w:pPr>
        <w:pStyle w:val="2"/>
        <w:ind w:firstLine="340"/>
      </w:pPr>
    </w:p>
    <w:p>
      <w:pPr>
        <w:pStyle w:val="2"/>
        <w:ind w:firstLine="340"/>
      </w:pPr>
    </w:p>
    <w:p>
      <w:pPr>
        <w:pStyle w:val="3"/>
        <w:numPr>
          <w:ilvl w:val="0"/>
          <w:numId w:val="82"/>
        </w:numPr>
        <w:spacing w:before="108"/>
        <w:jc w:val="center"/>
        <w:rPr>
          <w:rFonts w:ascii="黑体" w:eastAsia="黑体"/>
          <w:sz w:val="30"/>
          <w:szCs w:val="30"/>
        </w:rPr>
      </w:pPr>
      <w:r>
        <w:rPr>
          <w:rFonts w:hint="eastAsia" w:ascii="黑体" w:eastAsia="黑体"/>
          <w:sz w:val="30"/>
          <w:szCs w:val="30"/>
        </w:rPr>
        <w:t>投标人企业组织机构框图</w:t>
      </w:r>
    </w:p>
    <w:p>
      <w:pPr>
        <w:pStyle w:val="3"/>
        <w:spacing w:before="108"/>
        <w:jc w:val="both"/>
        <w:rPr>
          <w:rFonts w:ascii="黑体" w:eastAsia="黑体"/>
          <w:sz w:val="30"/>
          <w:szCs w:val="30"/>
        </w:rPr>
      </w:pPr>
    </w:p>
    <w:tbl>
      <w:tblPr>
        <w:tblStyle w:val="10"/>
        <w:tblW w:w="8894" w:type="dxa"/>
        <w:jc w:val="center"/>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26" w:hRule="atLeast"/>
          <w:jc w:val="center"/>
        </w:trPr>
        <w:tc>
          <w:tcPr>
            <w:tcW w:w="8894" w:type="dxa"/>
          </w:tcPr>
          <w:p>
            <w:pPr>
              <w:pStyle w:val="16"/>
              <w:rPr>
                <w:rFonts w:ascii="黑体"/>
              </w:rPr>
            </w:pPr>
          </w:p>
          <w:p>
            <w:pPr>
              <w:pStyle w:val="16"/>
              <w:rPr>
                <w:rFonts w:ascii="黑体"/>
              </w:rPr>
            </w:pPr>
          </w:p>
          <w:p>
            <w:pPr>
              <w:pStyle w:val="16"/>
              <w:spacing w:before="136"/>
              <w:ind w:left="378"/>
              <w:rPr>
                <w:sz w:val="21"/>
              </w:rPr>
            </w:pPr>
            <w:r>
              <w:rPr>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3" w:hRule="atLeast"/>
          <w:jc w:val="center"/>
        </w:trPr>
        <w:tc>
          <w:tcPr>
            <w:tcW w:w="8894" w:type="dxa"/>
          </w:tcPr>
          <w:p>
            <w:pPr>
              <w:pStyle w:val="16"/>
              <w:spacing w:before="128"/>
              <w:ind w:left="378"/>
              <w:rPr>
                <w:sz w:val="21"/>
              </w:rPr>
            </w:pPr>
            <w:r>
              <w:rPr>
                <w:sz w:val="21"/>
              </w:rPr>
              <w:t>说明</w:t>
            </w:r>
          </w:p>
        </w:tc>
      </w:tr>
    </w:tbl>
    <w:p>
      <w:pPr>
        <w:spacing w:line="400" w:lineRule="exact"/>
        <w:jc w:val="center"/>
        <w:rPr>
          <w:rFonts w:ascii="黑体" w:eastAsia="黑体"/>
          <w:sz w:val="28"/>
        </w:rPr>
      </w:pPr>
    </w:p>
    <w:p>
      <w:pPr>
        <w:spacing w:line="400" w:lineRule="exact"/>
        <w:jc w:val="both"/>
        <w:rPr>
          <w:rFonts w:ascii="黑体" w:eastAsia="黑体"/>
          <w:sz w:val="28"/>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（三）近年财务状况表</w:t>
      </w:r>
    </w:p>
    <w:p>
      <w:pPr>
        <w:pStyle w:val="3"/>
        <w:spacing w:before="108"/>
        <w:jc w:val="center"/>
        <w:rPr>
          <w:rFonts w:ascii="黑体" w:eastAsia="黑体"/>
          <w:sz w:val="30"/>
          <w:szCs w:val="30"/>
        </w:rPr>
      </w:pPr>
      <w:r>
        <w:rPr>
          <w:rFonts w:hint="eastAsia" w:ascii="黑体" w:eastAsia="黑体"/>
          <w:sz w:val="30"/>
          <w:szCs w:val="30"/>
        </w:rPr>
        <w:t>财务状况表</w:t>
      </w:r>
    </w:p>
    <w:p>
      <w:pPr>
        <w:spacing w:line="400" w:lineRule="exact"/>
        <w:jc w:val="center"/>
        <w:rPr>
          <w:rFonts w:ascii="黑体" w:eastAsia="黑体"/>
          <w:sz w:val="28"/>
        </w:rPr>
      </w:pPr>
    </w:p>
    <w:tbl>
      <w:tblPr>
        <w:tblStyle w:val="10"/>
        <w:tblW w:w="8927" w:type="dxa"/>
        <w:jc w:val="center"/>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9"/>
              <w:ind w:right="1426"/>
              <w:jc w:val="right"/>
              <w:rPr>
                <w:sz w:val="21"/>
              </w:rPr>
            </w:pPr>
            <w:r>
              <w:rPr>
                <w:sz w:val="21"/>
              </w:rPr>
              <w:t>项目或指标</w:t>
            </w:r>
          </w:p>
        </w:tc>
        <w:tc>
          <w:tcPr>
            <w:tcW w:w="900" w:type="dxa"/>
          </w:tcPr>
          <w:p>
            <w:pPr>
              <w:pStyle w:val="16"/>
              <w:spacing w:before="169"/>
              <w:ind w:left="167" w:right="136"/>
              <w:jc w:val="center"/>
              <w:rPr>
                <w:sz w:val="21"/>
              </w:rPr>
            </w:pPr>
            <w:r>
              <w:rPr>
                <w:sz w:val="21"/>
              </w:rPr>
              <w:t>单位</w:t>
            </w:r>
          </w:p>
        </w:tc>
        <w:tc>
          <w:tcPr>
            <w:tcW w:w="1320" w:type="dxa"/>
          </w:tcPr>
          <w:p>
            <w:pPr>
              <w:pStyle w:val="16"/>
              <w:tabs>
                <w:tab w:val="left" w:pos="878"/>
              </w:tabs>
              <w:spacing w:before="169"/>
              <w:ind w:left="247"/>
              <w:rPr>
                <w:sz w:val="21"/>
              </w:rPr>
            </w:pPr>
            <w:r>
              <w:rPr>
                <w:rFonts w:eastAsia="Times New Roman"/>
                <w:sz w:val="21"/>
                <w:u w:val="single"/>
              </w:rPr>
              <w:tab/>
            </w:r>
            <w:r>
              <w:rPr>
                <w:sz w:val="21"/>
              </w:rPr>
              <w:t>年</w:t>
            </w:r>
          </w:p>
        </w:tc>
        <w:tc>
          <w:tcPr>
            <w:tcW w:w="1321" w:type="dxa"/>
          </w:tcPr>
          <w:p>
            <w:pPr>
              <w:pStyle w:val="16"/>
              <w:tabs>
                <w:tab w:val="left" w:pos="878"/>
              </w:tabs>
              <w:spacing w:before="169"/>
              <w:ind w:left="247"/>
              <w:rPr>
                <w:sz w:val="21"/>
              </w:rPr>
            </w:pPr>
            <w:r>
              <w:rPr>
                <w:rFonts w:eastAsia="Times New Roman"/>
                <w:sz w:val="21"/>
                <w:u w:val="single"/>
              </w:rPr>
              <w:tab/>
            </w:r>
            <w:r>
              <w:rPr>
                <w:sz w:val="21"/>
              </w:rPr>
              <w:t>年</w:t>
            </w:r>
          </w:p>
        </w:tc>
        <w:tc>
          <w:tcPr>
            <w:tcW w:w="1320" w:type="dxa"/>
          </w:tcPr>
          <w:p>
            <w:pPr>
              <w:pStyle w:val="16"/>
              <w:tabs>
                <w:tab w:val="left" w:pos="878"/>
              </w:tabs>
              <w:spacing w:before="169"/>
              <w:ind w:left="247"/>
              <w:rPr>
                <w:sz w:val="21"/>
              </w:rPr>
            </w:pPr>
            <w:r>
              <w:rPr>
                <w:rFonts w:eastAsia="Times New Roman"/>
                <w:sz w:val="21"/>
                <w:u w:val="single"/>
              </w:rPr>
              <w:tab/>
            </w:r>
            <w:r>
              <w:rPr>
                <w:sz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16"/>
              <w:spacing w:before="166"/>
              <w:ind w:left="155"/>
              <w:rPr>
                <w:sz w:val="21"/>
              </w:rPr>
            </w:pPr>
            <w:r>
              <w:rPr>
                <w:sz w:val="21"/>
              </w:rPr>
              <w:t>一、 注册资本</w:t>
            </w:r>
          </w:p>
        </w:tc>
        <w:tc>
          <w:tcPr>
            <w:tcW w:w="900" w:type="dxa"/>
          </w:tcPr>
          <w:p>
            <w:pPr>
              <w:pStyle w:val="16"/>
              <w:spacing w:before="166"/>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9" w:hRule="atLeast"/>
          <w:jc w:val="center"/>
        </w:trPr>
        <w:tc>
          <w:tcPr>
            <w:tcW w:w="4066" w:type="dxa"/>
          </w:tcPr>
          <w:p>
            <w:pPr>
              <w:pStyle w:val="16"/>
              <w:spacing w:before="166"/>
              <w:ind w:left="155"/>
              <w:rPr>
                <w:sz w:val="21"/>
              </w:rPr>
            </w:pPr>
            <w:r>
              <w:rPr>
                <w:sz w:val="21"/>
              </w:rPr>
              <w:t>二、 净资产</w:t>
            </w:r>
          </w:p>
        </w:tc>
        <w:tc>
          <w:tcPr>
            <w:tcW w:w="900" w:type="dxa"/>
          </w:tcPr>
          <w:p>
            <w:pPr>
              <w:pStyle w:val="16"/>
              <w:spacing w:before="166"/>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16"/>
              <w:spacing w:before="166"/>
              <w:ind w:left="155"/>
              <w:rPr>
                <w:sz w:val="21"/>
              </w:rPr>
            </w:pPr>
            <w:r>
              <w:rPr>
                <w:sz w:val="21"/>
              </w:rPr>
              <w:t>三、 总资产</w:t>
            </w:r>
          </w:p>
        </w:tc>
        <w:tc>
          <w:tcPr>
            <w:tcW w:w="900" w:type="dxa"/>
          </w:tcPr>
          <w:p>
            <w:pPr>
              <w:pStyle w:val="16"/>
              <w:spacing w:before="166"/>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6"/>
              <w:spacing w:before="166"/>
              <w:ind w:left="155"/>
              <w:rPr>
                <w:sz w:val="21"/>
              </w:rPr>
            </w:pPr>
            <w:r>
              <w:rPr>
                <w:sz w:val="21"/>
              </w:rPr>
              <w:t>四、 固定资产</w:t>
            </w:r>
          </w:p>
        </w:tc>
        <w:tc>
          <w:tcPr>
            <w:tcW w:w="900" w:type="dxa"/>
          </w:tcPr>
          <w:p>
            <w:pPr>
              <w:pStyle w:val="16"/>
              <w:spacing w:before="166"/>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9"/>
              <w:ind w:left="155"/>
              <w:rPr>
                <w:sz w:val="21"/>
              </w:rPr>
            </w:pPr>
            <w:r>
              <w:rPr>
                <w:sz w:val="21"/>
              </w:rPr>
              <w:t>五、 流动资产</w:t>
            </w:r>
          </w:p>
        </w:tc>
        <w:tc>
          <w:tcPr>
            <w:tcW w:w="900" w:type="dxa"/>
          </w:tcPr>
          <w:p>
            <w:pPr>
              <w:pStyle w:val="16"/>
              <w:spacing w:before="169"/>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0" w:hRule="atLeast"/>
          <w:jc w:val="center"/>
        </w:trPr>
        <w:tc>
          <w:tcPr>
            <w:tcW w:w="4066" w:type="dxa"/>
          </w:tcPr>
          <w:p>
            <w:pPr>
              <w:pStyle w:val="16"/>
              <w:spacing w:before="166"/>
              <w:ind w:left="155"/>
              <w:rPr>
                <w:sz w:val="21"/>
              </w:rPr>
            </w:pPr>
            <w:r>
              <w:rPr>
                <w:sz w:val="21"/>
              </w:rPr>
              <w:t>六、 流动负债</w:t>
            </w:r>
          </w:p>
        </w:tc>
        <w:tc>
          <w:tcPr>
            <w:tcW w:w="900" w:type="dxa"/>
          </w:tcPr>
          <w:p>
            <w:pPr>
              <w:pStyle w:val="16"/>
              <w:spacing w:before="166"/>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6"/>
              <w:spacing w:before="166"/>
              <w:ind w:left="155"/>
              <w:rPr>
                <w:sz w:val="21"/>
              </w:rPr>
            </w:pPr>
            <w:r>
              <w:rPr>
                <w:sz w:val="21"/>
              </w:rPr>
              <w:t>七、 负债合计</w:t>
            </w:r>
          </w:p>
        </w:tc>
        <w:tc>
          <w:tcPr>
            <w:tcW w:w="900" w:type="dxa"/>
          </w:tcPr>
          <w:p>
            <w:pPr>
              <w:pStyle w:val="16"/>
              <w:spacing w:before="166"/>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7"/>
              <w:ind w:left="155"/>
              <w:rPr>
                <w:sz w:val="21"/>
              </w:rPr>
            </w:pPr>
            <w:r>
              <w:rPr>
                <w:sz w:val="21"/>
              </w:rPr>
              <w:t>八、 营业收入</w:t>
            </w:r>
          </w:p>
        </w:tc>
        <w:tc>
          <w:tcPr>
            <w:tcW w:w="900" w:type="dxa"/>
          </w:tcPr>
          <w:p>
            <w:pPr>
              <w:pStyle w:val="16"/>
              <w:spacing w:before="167"/>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6"/>
              <w:spacing w:before="166"/>
              <w:ind w:left="155"/>
              <w:rPr>
                <w:sz w:val="21"/>
              </w:rPr>
            </w:pPr>
            <w:r>
              <w:rPr>
                <w:sz w:val="21"/>
              </w:rPr>
              <w:t>九、 净利润</w:t>
            </w:r>
          </w:p>
        </w:tc>
        <w:tc>
          <w:tcPr>
            <w:tcW w:w="900" w:type="dxa"/>
          </w:tcPr>
          <w:p>
            <w:pPr>
              <w:pStyle w:val="16"/>
              <w:spacing w:before="166"/>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9"/>
              <w:ind w:left="155"/>
              <w:rPr>
                <w:sz w:val="21"/>
              </w:rPr>
            </w:pPr>
            <w:r>
              <w:rPr>
                <w:sz w:val="21"/>
              </w:rPr>
              <w:t>十、 现金流量净额</w:t>
            </w:r>
          </w:p>
        </w:tc>
        <w:tc>
          <w:tcPr>
            <w:tcW w:w="900" w:type="dxa"/>
          </w:tcPr>
          <w:p>
            <w:pPr>
              <w:pStyle w:val="16"/>
              <w:spacing w:before="169"/>
              <w:ind w:left="167" w:right="136"/>
              <w:jc w:val="center"/>
              <w:rPr>
                <w:sz w:val="21"/>
              </w:rPr>
            </w:pPr>
            <w:r>
              <w:rPr>
                <w:sz w:val="21"/>
              </w:rPr>
              <w:t>万元</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6"/>
              <w:spacing w:before="166"/>
              <w:ind w:left="155"/>
              <w:rPr>
                <w:sz w:val="21"/>
              </w:rPr>
            </w:pPr>
            <w:r>
              <w:rPr>
                <w:sz w:val="21"/>
              </w:rPr>
              <w:t>十一、 主要财务指标</w:t>
            </w:r>
          </w:p>
        </w:tc>
        <w:tc>
          <w:tcPr>
            <w:tcW w:w="900" w:type="dxa"/>
          </w:tcPr>
          <w:p>
            <w:pPr>
              <w:pStyle w:val="16"/>
            </w:pP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9"/>
              <w:ind w:left="952"/>
              <w:rPr>
                <w:sz w:val="21"/>
              </w:rPr>
            </w:pPr>
            <w:r>
              <w:rPr>
                <w:rFonts w:eastAsia="Times New Roman"/>
                <w:sz w:val="21"/>
              </w:rPr>
              <w:t xml:space="preserve">1. </w:t>
            </w:r>
            <w:r>
              <w:rPr>
                <w:sz w:val="21"/>
              </w:rPr>
              <w:t>净资产收益率</w:t>
            </w:r>
          </w:p>
        </w:tc>
        <w:tc>
          <w:tcPr>
            <w:tcW w:w="900" w:type="dxa"/>
          </w:tcPr>
          <w:p>
            <w:pPr>
              <w:pStyle w:val="16"/>
              <w:spacing w:before="180"/>
              <w:ind w:left="29"/>
              <w:jc w:val="center"/>
              <w:rPr>
                <w:sz w:val="21"/>
              </w:rPr>
            </w:pPr>
            <w:r>
              <w:rPr>
                <w:sz w:val="21"/>
              </w:rPr>
              <w:t>%</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7"/>
              <w:ind w:left="952"/>
              <w:rPr>
                <w:sz w:val="21"/>
              </w:rPr>
            </w:pPr>
            <w:r>
              <w:rPr>
                <w:rFonts w:eastAsia="Times New Roman"/>
                <w:sz w:val="21"/>
              </w:rPr>
              <w:t xml:space="preserve">2. </w:t>
            </w:r>
            <w:r>
              <w:rPr>
                <w:sz w:val="21"/>
              </w:rPr>
              <w:t>总资产报酬率</w:t>
            </w:r>
          </w:p>
        </w:tc>
        <w:tc>
          <w:tcPr>
            <w:tcW w:w="900" w:type="dxa"/>
          </w:tcPr>
          <w:p>
            <w:pPr>
              <w:pStyle w:val="16"/>
              <w:spacing w:before="178"/>
              <w:ind w:left="29"/>
              <w:jc w:val="center"/>
              <w:rPr>
                <w:sz w:val="21"/>
              </w:rPr>
            </w:pPr>
            <w:r>
              <w:rPr>
                <w:sz w:val="21"/>
              </w:rPr>
              <w:t>%</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6"/>
              <w:spacing w:before="166"/>
              <w:ind w:right="1361"/>
              <w:jc w:val="right"/>
              <w:rPr>
                <w:sz w:val="21"/>
              </w:rPr>
            </w:pPr>
            <w:r>
              <w:rPr>
                <w:rFonts w:eastAsia="Times New Roman"/>
                <w:sz w:val="21"/>
              </w:rPr>
              <w:t xml:space="preserve">3. </w:t>
            </w:r>
            <w:r>
              <w:rPr>
                <w:sz w:val="21"/>
              </w:rPr>
              <w:t>主营业务利润率</w:t>
            </w:r>
          </w:p>
        </w:tc>
        <w:tc>
          <w:tcPr>
            <w:tcW w:w="900" w:type="dxa"/>
          </w:tcPr>
          <w:p>
            <w:pPr>
              <w:pStyle w:val="16"/>
              <w:spacing w:before="178"/>
              <w:ind w:left="29"/>
              <w:jc w:val="center"/>
              <w:rPr>
                <w:sz w:val="21"/>
              </w:rPr>
            </w:pPr>
            <w:r>
              <w:rPr>
                <w:sz w:val="21"/>
              </w:rPr>
              <w:t>%</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6"/>
              <w:ind w:left="952"/>
              <w:rPr>
                <w:sz w:val="21"/>
              </w:rPr>
            </w:pPr>
            <w:r>
              <w:rPr>
                <w:rFonts w:eastAsia="Times New Roman"/>
                <w:sz w:val="21"/>
              </w:rPr>
              <w:t xml:space="preserve">4. </w:t>
            </w:r>
            <w:r>
              <w:rPr>
                <w:sz w:val="21"/>
              </w:rPr>
              <w:t>资产负债率</w:t>
            </w:r>
          </w:p>
        </w:tc>
        <w:tc>
          <w:tcPr>
            <w:tcW w:w="900" w:type="dxa"/>
          </w:tcPr>
          <w:p>
            <w:pPr>
              <w:pStyle w:val="16"/>
              <w:spacing w:before="178"/>
              <w:ind w:left="29"/>
              <w:jc w:val="center"/>
              <w:rPr>
                <w:sz w:val="21"/>
              </w:rPr>
            </w:pPr>
            <w:r>
              <w:rPr>
                <w:sz w:val="21"/>
              </w:rPr>
              <w:t>%</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8" w:hRule="atLeast"/>
          <w:jc w:val="center"/>
        </w:trPr>
        <w:tc>
          <w:tcPr>
            <w:tcW w:w="4066" w:type="dxa"/>
          </w:tcPr>
          <w:p>
            <w:pPr>
              <w:pStyle w:val="16"/>
              <w:spacing w:before="166"/>
              <w:ind w:left="952"/>
              <w:rPr>
                <w:sz w:val="21"/>
              </w:rPr>
            </w:pPr>
            <w:r>
              <w:rPr>
                <w:rFonts w:eastAsia="Times New Roman"/>
                <w:sz w:val="21"/>
              </w:rPr>
              <w:t xml:space="preserve">5. </w:t>
            </w:r>
            <w:r>
              <w:rPr>
                <w:sz w:val="21"/>
              </w:rPr>
              <w:t>流动比率</w:t>
            </w:r>
          </w:p>
        </w:tc>
        <w:tc>
          <w:tcPr>
            <w:tcW w:w="900" w:type="dxa"/>
          </w:tcPr>
          <w:p>
            <w:pPr>
              <w:pStyle w:val="16"/>
              <w:spacing w:before="178"/>
              <w:ind w:left="29"/>
              <w:jc w:val="center"/>
              <w:rPr>
                <w:sz w:val="21"/>
              </w:rPr>
            </w:pPr>
            <w:r>
              <w:rPr>
                <w:sz w:val="21"/>
              </w:rPr>
              <w:t>%</w:t>
            </w:r>
          </w:p>
        </w:tc>
        <w:tc>
          <w:tcPr>
            <w:tcW w:w="1320" w:type="dxa"/>
          </w:tcPr>
          <w:p>
            <w:pPr>
              <w:pStyle w:val="16"/>
            </w:pPr>
          </w:p>
        </w:tc>
        <w:tc>
          <w:tcPr>
            <w:tcW w:w="1321" w:type="dxa"/>
          </w:tcPr>
          <w:p>
            <w:pPr>
              <w:pStyle w:val="16"/>
            </w:pPr>
          </w:p>
        </w:tc>
        <w:tc>
          <w:tcPr>
            <w:tcW w:w="1320" w:type="dxa"/>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atLeast"/>
          <w:jc w:val="center"/>
        </w:trPr>
        <w:tc>
          <w:tcPr>
            <w:tcW w:w="4066" w:type="dxa"/>
          </w:tcPr>
          <w:p>
            <w:pPr>
              <w:pStyle w:val="16"/>
              <w:spacing w:before="169"/>
              <w:ind w:left="952"/>
              <w:rPr>
                <w:sz w:val="21"/>
              </w:rPr>
            </w:pPr>
            <w:r>
              <w:rPr>
                <w:rFonts w:eastAsia="Times New Roman"/>
                <w:sz w:val="21"/>
              </w:rPr>
              <w:t xml:space="preserve">6. </w:t>
            </w:r>
            <w:r>
              <w:rPr>
                <w:sz w:val="21"/>
              </w:rPr>
              <w:t>速动比率</w:t>
            </w:r>
          </w:p>
        </w:tc>
        <w:tc>
          <w:tcPr>
            <w:tcW w:w="900" w:type="dxa"/>
          </w:tcPr>
          <w:p>
            <w:pPr>
              <w:pStyle w:val="16"/>
              <w:spacing w:before="180"/>
              <w:ind w:left="29"/>
              <w:jc w:val="center"/>
              <w:rPr>
                <w:sz w:val="21"/>
              </w:rPr>
            </w:pPr>
            <w:r>
              <w:rPr>
                <w:sz w:val="21"/>
              </w:rPr>
              <w:t>%</w:t>
            </w:r>
          </w:p>
        </w:tc>
        <w:tc>
          <w:tcPr>
            <w:tcW w:w="1320" w:type="dxa"/>
          </w:tcPr>
          <w:p>
            <w:pPr>
              <w:pStyle w:val="16"/>
            </w:pPr>
          </w:p>
        </w:tc>
        <w:tc>
          <w:tcPr>
            <w:tcW w:w="1321" w:type="dxa"/>
          </w:tcPr>
          <w:p>
            <w:pPr>
              <w:pStyle w:val="16"/>
            </w:pPr>
          </w:p>
        </w:tc>
        <w:tc>
          <w:tcPr>
            <w:tcW w:w="1320" w:type="dxa"/>
          </w:tcPr>
          <w:p>
            <w:pPr>
              <w:pStyle w:val="16"/>
            </w:pPr>
          </w:p>
        </w:tc>
      </w:tr>
    </w:tbl>
    <w:p>
      <w:pPr>
        <w:spacing w:before="179" w:line="360" w:lineRule="auto"/>
        <w:rPr>
          <w:sz w:val="21"/>
        </w:rPr>
      </w:pPr>
      <w:r>
        <w:rPr>
          <w:sz w:val="21"/>
        </w:rPr>
        <w:t>注：</w:t>
      </w:r>
      <w:r>
        <w:rPr>
          <w:rFonts w:eastAsia="Times New Roman"/>
          <w:sz w:val="21"/>
        </w:rPr>
        <w:t>1.</w:t>
      </w:r>
      <w:r>
        <w:rPr>
          <w:sz w:val="21"/>
        </w:rPr>
        <w:t xml:space="preserve">投标人应根据招标文件第二章“投标人须知”第 </w:t>
      </w:r>
      <w:r>
        <w:rPr>
          <w:rFonts w:eastAsia="Times New Roman"/>
          <w:sz w:val="21"/>
        </w:rPr>
        <w:t xml:space="preserve">3.5.2 </w:t>
      </w:r>
      <w:r>
        <w:rPr>
          <w:sz w:val="21"/>
        </w:rPr>
        <w:t>项的要求在本表后附相关证明材料。</w:t>
      </w:r>
    </w:p>
    <w:p>
      <w:pPr>
        <w:numPr>
          <w:ilvl w:val="0"/>
          <w:numId w:val="83"/>
        </w:numPr>
        <w:spacing w:before="132" w:line="360" w:lineRule="auto"/>
        <w:ind w:firstLine="420" w:firstLineChars="200"/>
        <w:rPr>
          <w:rFonts w:ascii="黑体" w:eastAsia="黑体"/>
          <w:sz w:val="28"/>
        </w:rPr>
      </w:pPr>
      <w:r>
        <w:rPr>
          <w:sz w:val="21"/>
        </w:rPr>
        <w:t>本表所列数据必须与本表各附件中的数据相一致。</w:t>
      </w: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（四）近年完成的类似项目情况表</w:t>
      </w:r>
    </w:p>
    <w:tbl>
      <w:tblPr>
        <w:tblStyle w:val="10"/>
        <w:tblW w:w="889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jc w:val="center"/>
        </w:trPr>
        <w:tc>
          <w:tcPr>
            <w:tcW w:w="2367" w:type="dxa"/>
          </w:tcPr>
          <w:p>
            <w:pPr>
              <w:pStyle w:val="16"/>
              <w:spacing w:before="1"/>
              <w:rPr>
                <w:rFonts w:ascii="黑体"/>
              </w:rPr>
            </w:pPr>
          </w:p>
          <w:p>
            <w:pPr>
              <w:pStyle w:val="16"/>
              <w:tabs>
                <w:tab w:val="left" w:pos="642"/>
              </w:tabs>
              <w:ind w:left="11"/>
              <w:jc w:val="center"/>
              <w:rPr>
                <w:sz w:val="21"/>
              </w:rPr>
            </w:pPr>
            <w:r>
              <w:rPr>
                <w:sz w:val="21"/>
              </w:rPr>
              <w:t>序</w:t>
            </w:r>
            <w:r>
              <w:rPr>
                <w:sz w:val="21"/>
              </w:rPr>
              <w:tab/>
            </w:r>
            <w:r>
              <w:rPr>
                <w:sz w:val="21"/>
              </w:rPr>
              <w:t>号</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2367" w:type="dxa"/>
          </w:tcPr>
          <w:p>
            <w:pPr>
              <w:pStyle w:val="16"/>
              <w:spacing w:before="11"/>
              <w:rPr>
                <w:rFonts w:ascii="黑体"/>
              </w:rPr>
            </w:pPr>
          </w:p>
          <w:p>
            <w:pPr>
              <w:pStyle w:val="16"/>
              <w:ind w:left="4"/>
              <w:jc w:val="center"/>
            </w:pPr>
            <w:r>
              <w:t>项目名称</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16"/>
              <w:spacing w:before="5"/>
              <w:rPr>
                <w:rFonts w:ascii="黑体"/>
                <w:sz w:val="18"/>
              </w:rPr>
            </w:pPr>
          </w:p>
          <w:p>
            <w:pPr>
              <w:pStyle w:val="16"/>
              <w:spacing w:before="1"/>
              <w:ind w:left="3"/>
              <w:jc w:val="center"/>
            </w:pPr>
            <w:r>
              <w:t>项目所在地</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16"/>
              <w:spacing w:before="8"/>
              <w:rPr>
                <w:rFonts w:ascii="黑体"/>
                <w:sz w:val="18"/>
              </w:rPr>
            </w:pPr>
          </w:p>
          <w:p>
            <w:pPr>
              <w:pStyle w:val="16"/>
              <w:spacing w:before="1"/>
              <w:ind w:left="3"/>
              <w:jc w:val="center"/>
            </w:pPr>
            <w:r>
              <w:t>发包人名称</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16"/>
              <w:spacing w:before="5"/>
              <w:rPr>
                <w:rFonts w:ascii="黑体"/>
                <w:sz w:val="18"/>
              </w:rPr>
            </w:pPr>
          </w:p>
          <w:p>
            <w:pPr>
              <w:pStyle w:val="16"/>
              <w:spacing w:before="1"/>
              <w:ind w:left="3"/>
              <w:jc w:val="center"/>
            </w:pPr>
            <w:r>
              <w:t>发包人地址</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16"/>
              <w:spacing w:before="10"/>
              <w:rPr>
                <w:rFonts w:ascii="黑体"/>
                <w:sz w:val="18"/>
              </w:rPr>
            </w:pPr>
          </w:p>
          <w:p>
            <w:pPr>
              <w:pStyle w:val="16"/>
              <w:ind w:left="3"/>
              <w:jc w:val="center"/>
            </w:pPr>
            <w:r>
              <w:t>发包人电话</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16"/>
              <w:spacing w:before="8"/>
              <w:rPr>
                <w:rFonts w:ascii="黑体"/>
                <w:sz w:val="18"/>
              </w:rPr>
            </w:pPr>
          </w:p>
          <w:p>
            <w:pPr>
              <w:pStyle w:val="16"/>
              <w:ind w:left="4"/>
              <w:jc w:val="center"/>
            </w:pPr>
            <w:r>
              <w:t>合同价格</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16"/>
              <w:spacing w:before="5"/>
              <w:rPr>
                <w:rFonts w:ascii="黑体"/>
                <w:sz w:val="18"/>
              </w:rPr>
            </w:pPr>
          </w:p>
          <w:p>
            <w:pPr>
              <w:pStyle w:val="16"/>
              <w:spacing w:before="1"/>
              <w:ind w:left="4"/>
              <w:jc w:val="center"/>
            </w:pPr>
            <w:r>
              <w:t>开工日期</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jc w:val="center"/>
        </w:trPr>
        <w:tc>
          <w:tcPr>
            <w:tcW w:w="2367" w:type="dxa"/>
          </w:tcPr>
          <w:p>
            <w:pPr>
              <w:pStyle w:val="16"/>
              <w:spacing w:before="3"/>
              <w:rPr>
                <w:rFonts w:ascii="黑体"/>
                <w:sz w:val="19"/>
              </w:rPr>
            </w:pPr>
          </w:p>
          <w:p>
            <w:pPr>
              <w:pStyle w:val="16"/>
              <w:ind w:left="4"/>
              <w:jc w:val="center"/>
            </w:pPr>
            <w:r>
              <w:t>交工日期</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jc w:val="center"/>
        </w:trPr>
        <w:tc>
          <w:tcPr>
            <w:tcW w:w="2367" w:type="dxa"/>
          </w:tcPr>
          <w:p>
            <w:pPr>
              <w:pStyle w:val="16"/>
              <w:spacing w:before="5"/>
              <w:rPr>
                <w:rFonts w:ascii="黑体"/>
                <w:sz w:val="18"/>
              </w:rPr>
            </w:pPr>
          </w:p>
          <w:p>
            <w:pPr>
              <w:pStyle w:val="16"/>
              <w:spacing w:before="1"/>
              <w:ind w:left="3"/>
              <w:jc w:val="center"/>
            </w:pPr>
            <w:r>
              <w:t>承担的工作</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jc w:val="center"/>
        </w:trPr>
        <w:tc>
          <w:tcPr>
            <w:tcW w:w="2367" w:type="dxa"/>
          </w:tcPr>
          <w:p>
            <w:pPr>
              <w:pStyle w:val="16"/>
              <w:spacing w:before="8"/>
              <w:rPr>
                <w:rFonts w:ascii="黑体"/>
                <w:sz w:val="18"/>
              </w:rPr>
            </w:pPr>
          </w:p>
          <w:p>
            <w:pPr>
              <w:pStyle w:val="16"/>
              <w:ind w:left="4"/>
              <w:jc w:val="center"/>
            </w:pPr>
            <w:r>
              <w:t>工程质量</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367" w:type="dxa"/>
          </w:tcPr>
          <w:p>
            <w:pPr>
              <w:pStyle w:val="16"/>
              <w:spacing w:before="5"/>
              <w:rPr>
                <w:rFonts w:ascii="黑体"/>
                <w:sz w:val="18"/>
              </w:rPr>
            </w:pPr>
          </w:p>
          <w:p>
            <w:pPr>
              <w:pStyle w:val="16"/>
              <w:spacing w:before="1"/>
              <w:ind w:left="4"/>
              <w:jc w:val="center"/>
            </w:pPr>
            <w:r>
              <w:t>项目经理</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2367" w:type="dxa"/>
          </w:tcPr>
          <w:p>
            <w:pPr>
              <w:pStyle w:val="16"/>
              <w:spacing w:before="10"/>
              <w:rPr>
                <w:rFonts w:ascii="黑体"/>
                <w:sz w:val="18"/>
              </w:rPr>
            </w:pPr>
          </w:p>
          <w:p>
            <w:pPr>
              <w:pStyle w:val="16"/>
              <w:ind w:left="4"/>
              <w:jc w:val="center"/>
            </w:pPr>
            <w:r>
              <w:t>项目总工</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jc w:val="center"/>
        </w:trPr>
        <w:tc>
          <w:tcPr>
            <w:tcW w:w="2367" w:type="dxa"/>
          </w:tcPr>
          <w:p>
            <w:pPr>
              <w:pStyle w:val="16"/>
              <w:spacing w:before="8"/>
              <w:rPr>
                <w:rFonts w:ascii="黑体"/>
                <w:sz w:val="18"/>
              </w:rPr>
            </w:pPr>
          </w:p>
          <w:p>
            <w:pPr>
              <w:pStyle w:val="16"/>
              <w:spacing w:before="1"/>
              <w:ind w:left="6"/>
              <w:jc w:val="center"/>
            </w:pPr>
            <w:r>
              <w:t>总监理工程师及电话</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9" w:hRule="atLeast"/>
          <w:jc w:val="center"/>
        </w:trPr>
        <w:tc>
          <w:tcPr>
            <w:tcW w:w="2367" w:type="dxa"/>
          </w:tcPr>
          <w:p>
            <w:pPr>
              <w:pStyle w:val="16"/>
              <w:rPr>
                <w:rFonts w:ascii="黑体"/>
              </w:rPr>
            </w:pPr>
          </w:p>
          <w:p>
            <w:pPr>
              <w:pStyle w:val="16"/>
              <w:spacing w:before="2"/>
              <w:rPr>
                <w:rFonts w:ascii="黑体"/>
                <w:sz w:val="26"/>
              </w:rPr>
            </w:pPr>
          </w:p>
          <w:p>
            <w:pPr>
              <w:pStyle w:val="16"/>
              <w:ind w:left="4"/>
              <w:jc w:val="center"/>
            </w:pPr>
            <w:r>
              <w:t>项目描述</w:t>
            </w:r>
          </w:p>
        </w:tc>
        <w:tc>
          <w:tcPr>
            <w:tcW w:w="6527"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jc w:val="center"/>
        </w:trPr>
        <w:tc>
          <w:tcPr>
            <w:tcW w:w="2367" w:type="dxa"/>
          </w:tcPr>
          <w:p>
            <w:pPr>
              <w:pStyle w:val="16"/>
              <w:spacing w:before="3"/>
              <w:rPr>
                <w:rFonts w:ascii="黑体"/>
                <w:sz w:val="18"/>
              </w:rPr>
            </w:pPr>
          </w:p>
          <w:p>
            <w:pPr>
              <w:pStyle w:val="16"/>
              <w:ind w:left="4"/>
              <w:jc w:val="center"/>
            </w:pPr>
            <w:r>
              <w:t>备注</w:t>
            </w:r>
          </w:p>
        </w:tc>
        <w:tc>
          <w:tcPr>
            <w:tcW w:w="6527" w:type="dxa"/>
          </w:tcPr>
          <w:p>
            <w:pPr>
              <w:pStyle w:val="16"/>
            </w:pPr>
          </w:p>
        </w:tc>
      </w:tr>
    </w:tbl>
    <w:p>
      <w:pPr>
        <w:spacing w:before="128"/>
        <w:rPr>
          <w:sz w:val="21"/>
        </w:rPr>
      </w:pPr>
    </w:p>
    <w:p>
      <w:pPr>
        <w:spacing w:before="128"/>
        <w:rPr>
          <w:sz w:val="21"/>
        </w:rPr>
      </w:pPr>
      <w:r>
        <w:rPr>
          <w:sz w:val="21"/>
        </w:rPr>
        <w:t>注：</w:t>
      </w:r>
      <w:r>
        <w:rPr>
          <w:rFonts w:eastAsia="Times New Roman"/>
          <w:sz w:val="21"/>
        </w:rPr>
        <w:t>1.</w:t>
      </w:r>
      <w:r>
        <w:rPr>
          <w:sz w:val="21"/>
        </w:rPr>
        <w:t>每张表格只填写一个项目，并标明序号。</w:t>
      </w:r>
    </w:p>
    <w:p>
      <w:pPr>
        <w:spacing w:before="130"/>
        <w:ind w:firstLine="420" w:firstLineChars="200"/>
        <w:rPr>
          <w:sz w:val="21"/>
        </w:rPr>
      </w:pPr>
      <w:r>
        <w:rPr>
          <w:rFonts w:eastAsia="Times New Roman"/>
          <w:sz w:val="21"/>
        </w:rPr>
        <w:t>2.</w:t>
      </w:r>
      <w:r>
        <w:rPr>
          <w:sz w:val="21"/>
        </w:rPr>
        <w:t xml:space="preserve">投标人应根据招标文件第二章“投标人须知”第 </w:t>
      </w:r>
      <w:r>
        <w:rPr>
          <w:rFonts w:eastAsia="Times New Roman"/>
          <w:sz w:val="21"/>
        </w:rPr>
        <w:t xml:space="preserve">3.5.3 </w:t>
      </w:r>
      <w:r>
        <w:rPr>
          <w:sz w:val="21"/>
        </w:rPr>
        <w:t>项的要求在本表后附相关证明材料。</w:t>
      </w:r>
    </w:p>
    <w:p>
      <w:pPr>
        <w:spacing w:before="132" w:line="357" w:lineRule="auto"/>
        <w:ind w:right="440" w:firstLine="420" w:firstLineChars="200"/>
        <w:rPr>
          <w:sz w:val="21"/>
        </w:rPr>
      </w:pPr>
      <w:r>
        <w:rPr>
          <w:rFonts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pPr>
        <w:pStyle w:val="3"/>
        <w:spacing w:before="66"/>
        <w:ind w:right="180"/>
        <w:jc w:val="center"/>
        <w:rPr>
          <w:rFonts w:ascii="黑体" w:eastAsia="黑体"/>
          <w:sz w:val="30"/>
          <w:szCs w:val="30"/>
        </w:rPr>
      </w:pPr>
    </w:p>
    <w:p>
      <w:pPr>
        <w:pStyle w:val="3"/>
        <w:spacing w:before="66"/>
        <w:ind w:right="180"/>
        <w:jc w:val="center"/>
        <w:rPr>
          <w:rFonts w:ascii="黑体" w:eastAsia="黑体"/>
          <w:sz w:val="30"/>
          <w:szCs w:val="30"/>
        </w:rPr>
      </w:pPr>
      <w:r>
        <w:rPr>
          <w:rFonts w:hint="eastAsia" w:ascii="黑体" w:eastAsia="黑体"/>
          <w:sz w:val="30"/>
          <w:szCs w:val="30"/>
        </w:rPr>
        <w:t>（五）投标人的信誉情况表</w:t>
      </w:r>
    </w:p>
    <w:tbl>
      <w:tblPr>
        <w:tblStyle w:val="10"/>
        <w:tblW w:w="8525"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atLeast"/>
          <w:jc w:val="center"/>
        </w:trPr>
        <w:tc>
          <w:tcPr>
            <w:tcW w:w="4261" w:type="dxa"/>
          </w:tcPr>
          <w:p>
            <w:pPr>
              <w:pStyle w:val="16"/>
              <w:rPr>
                <w:rFonts w:ascii="黑体"/>
              </w:rPr>
            </w:pPr>
          </w:p>
          <w:p>
            <w:pPr>
              <w:pStyle w:val="16"/>
              <w:spacing w:before="8"/>
              <w:rPr>
                <w:rFonts w:ascii="黑体"/>
                <w:sz w:val="15"/>
              </w:rPr>
            </w:pPr>
          </w:p>
          <w:p>
            <w:pPr>
              <w:pStyle w:val="16"/>
              <w:ind w:left="1848" w:right="1838"/>
              <w:jc w:val="center"/>
              <w:rPr>
                <w:sz w:val="21"/>
              </w:rPr>
            </w:pPr>
            <w:r>
              <w:rPr>
                <w:sz w:val="21"/>
              </w:rPr>
              <w:t>项 目</w:t>
            </w:r>
          </w:p>
        </w:tc>
        <w:tc>
          <w:tcPr>
            <w:tcW w:w="4264" w:type="dxa"/>
          </w:tcPr>
          <w:p>
            <w:pPr>
              <w:pStyle w:val="16"/>
              <w:rPr>
                <w:rFonts w:ascii="黑体"/>
              </w:rPr>
            </w:pPr>
          </w:p>
          <w:p>
            <w:pPr>
              <w:pStyle w:val="16"/>
              <w:spacing w:before="8"/>
              <w:rPr>
                <w:rFonts w:ascii="黑体"/>
                <w:sz w:val="15"/>
              </w:rPr>
            </w:pPr>
          </w:p>
          <w:p>
            <w:pPr>
              <w:pStyle w:val="16"/>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jc w:val="center"/>
        </w:trPr>
        <w:tc>
          <w:tcPr>
            <w:tcW w:w="4261" w:type="dxa"/>
          </w:tcPr>
          <w:p>
            <w:pPr>
              <w:pStyle w:val="16"/>
            </w:pPr>
          </w:p>
        </w:tc>
        <w:tc>
          <w:tcPr>
            <w:tcW w:w="4264" w:type="dxa"/>
          </w:tcPr>
          <w:p>
            <w:pPr>
              <w:pStyle w:val="16"/>
            </w:pPr>
          </w:p>
        </w:tc>
      </w:tr>
    </w:tbl>
    <w:p>
      <w:pPr>
        <w:spacing w:line="360" w:lineRule="auto"/>
        <w:jc w:val="both"/>
        <w:rPr>
          <w:rFonts w:ascii="黑体" w:eastAsia="黑体"/>
          <w:sz w:val="28"/>
        </w:rPr>
      </w:pPr>
    </w:p>
    <w:p>
      <w:pPr>
        <w:spacing w:before="128" w:line="357" w:lineRule="auto"/>
        <w:ind w:right="380"/>
        <w:rPr>
          <w:sz w:val="21"/>
        </w:rPr>
      </w:pPr>
      <w:r>
        <w:rPr>
          <w:sz w:val="21"/>
        </w:rPr>
        <w:t>注：</w:t>
      </w:r>
      <w:r>
        <w:rPr>
          <w:rFonts w:eastAsia="Times New Roman"/>
          <w:sz w:val="21"/>
        </w:rPr>
        <w:t>1.</w:t>
      </w:r>
      <w:r>
        <w:rPr>
          <w:sz w:val="21"/>
        </w:rPr>
        <w:t>投标人应按照招标文件第二章</w:t>
      </w:r>
      <w:r>
        <w:rPr>
          <w:rFonts w:eastAsia="Times New Roman"/>
          <w:sz w:val="21"/>
        </w:rPr>
        <w:t>“</w:t>
      </w:r>
      <w:r>
        <w:rPr>
          <w:sz w:val="21"/>
        </w:rPr>
        <w:t>投标人须知</w:t>
      </w:r>
      <w:r>
        <w:rPr>
          <w:rFonts w:eastAsia="Times New Roman"/>
          <w:sz w:val="21"/>
        </w:rPr>
        <w:t>”</w:t>
      </w:r>
      <w:r>
        <w:rPr>
          <w:sz w:val="21"/>
        </w:rPr>
        <w:t xml:space="preserve">前附表附录 </w:t>
      </w:r>
      <w:r>
        <w:rPr>
          <w:rFonts w:eastAsia="Times New Roman"/>
          <w:sz w:val="21"/>
        </w:rPr>
        <w:t xml:space="preserve">4 </w:t>
      </w:r>
      <w:r>
        <w:rPr>
          <w:sz w:val="21"/>
        </w:rPr>
        <w:t>和</w:t>
      </w:r>
      <w:r>
        <w:rPr>
          <w:rFonts w:eastAsia="Times New Roman"/>
          <w:sz w:val="21"/>
        </w:rPr>
        <w:t>“</w:t>
      </w:r>
      <w:r>
        <w:rPr>
          <w:sz w:val="21"/>
        </w:rPr>
        <w:t>投标人须知</w:t>
      </w:r>
      <w:r>
        <w:rPr>
          <w:rFonts w:eastAsia="Times New Roman"/>
          <w:sz w:val="21"/>
        </w:rPr>
        <w:t>”</w:t>
      </w:r>
      <w:r>
        <w:rPr>
          <w:sz w:val="21"/>
        </w:rPr>
        <w:t xml:space="preserve">正文第 </w:t>
      </w:r>
      <w:r>
        <w:rPr>
          <w:rFonts w:eastAsia="Times New Roman"/>
          <w:sz w:val="21"/>
        </w:rPr>
        <w:t xml:space="preserve">1.4.4 </w:t>
      </w:r>
      <w:r>
        <w:rPr>
          <w:sz w:val="21"/>
        </w:rPr>
        <w:t>项规定，逐条说明其信誉情况。</w:t>
      </w:r>
    </w:p>
    <w:p>
      <w:pPr>
        <w:spacing w:line="267" w:lineRule="exact"/>
        <w:ind w:firstLine="420" w:firstLineChars="200"/>
        <w:rPr>
          <w:sz w:val="21"/>
        </w:rPr>
      </w:pPr>
      <w:r>
        <w:rPr>
          <w:rFonts w:eastAsia="Times New Roman"/>
          <w:sz w:val="21"/>
        </w:rPr>
        <w:t>2.</w:t>
      </w:r>
      <w:r>
        <w:rPr>
          <w:sz w:val="21"/>
        </w:rPr>
        <w:t xml:space="preserve">投标人应根据招标文件第二章“投标人须知”第 </w:t>
      </w:r>
      <w:r>
        <w:rPr>
          <w:rFonts w:eastAsia="Times New Roman"/>
          <w:sz w:val="21"/>
        </w:rPr>
        <w:t xml:space="preserve">3.5.4 </w:t>
      </w:r>
      <w:r>
        <w:rPr>
          <w:sz w:val="21"/>
        </w:rPr>
        <w:t>项的要求在本表后附相关证明材料。</w:t>
      </w:r>
    </w:p>
    <w:p>
      <w:pPr>
        <w:spacing w:line="360" w:lineRule="auto"/>
        <w:rPr>
          <w:rFonts w:ascii="黑体" w:eastAsia="黑体"/>
          <w:sz w:val="28"/>
        </w:rPr>
      </w:pPr>
    </w:p>
    <w:p>
      <w:pPr>
        <w:spacing w:line="360" w:lineRule="auto"/>
        <w:rPr>
          <w:rFonts w:ascii="黑体" w:eastAsia="黑体"/>
          <w:sz w:val="28"/>
        </w:rPr>
      </w:pPr>
    </w:p>
    <w:p>
      <w:pPr>
        <w:pStyle w:val="2"/>
        <w:ind w:firstLine="280"/>
        <w:rPr>
          <w:rFonts w:ascii="黑体" w:eastAsia="黑体"/>
          <w:sz w:val="28"/>
        </w:rPr>
      </w:pPr>
    </w:p>
    <w:p>
      <w:pPr>
        <w:pStyle w:val="32"/>
        <w:widowControl/>
        <w:jc w:val="center"/>
        <w:rPr>
          <w:rFonts w:hint="eastAsia" w:ascii="黑体" w:hAnsi="Times New Roman" w:eastAsia="黑体" w:cs="Times New Roman"/>
          <w:b w:val="0"/>
          <w:kern w:val="0"/>
          <w:sz w:val="30"/>
          <w:szCs w:val="30"/>
          <w:lang w:val="en-US" w:eastAsia="zh-CN" w:bidi="ar-SA"/>
        </w:rPr>
      </w:pPr>
      <w:r>
        <w:rPr>
          <w:rFonts w:hint="eastAsia" w:ascii="黑体"/>
          <w:sz w:val="30"/>
          <w:szCs w:val="30"/>
        </w:rPr>
        <w:t>（六）</w:t>
      </w:r>
      <w:bookmarkStart w:id="119" w:name="_Toc365973949"/>
      <w:bookmarkStart w:id="120" w:name="_Toc366060160"/>
      <w:r>
        <w:rPr>
          <w:rFonts w:hint="eastAsia" w:ascii="黑体" w:hAnsi="Times New Roman" w:eastAsia="黑体" w:cs="Times New Roman"/>
          <w:b w:val="0"/>
          <w:kern w:val="0"/>
          <w:sz w:val="30"/>
          <w:szCs w:val="30"/>
          <w:lang w:val="en-US" w:eastAsia="zh-CN" w:bidi="ar-SA"/>
        </w:rPr>
        <w:t>拟委任的项目经理、项目总工程师资格证书汇总表</w:t>
      </w:r>
      <w:bookmarkEnd w:id="119"/>
      <w:bookmarkEnd w:id="120"/>
    </w:p>
    <w:tbl>
      <w:tblPr>
        <w:tblStyle w:val="10"/>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150"/>
        <w:gridCol w:w="1283"/>
        <w:gridCol w:w="2354"/>
        <w:gridCol w:w="1500"/>
        <w:gridCol w:w="13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tcBorders>
              <w:top w:val="single" w:color="auto" w:sz="12" w:space="0"/>
            </w:tcBorders>
            <w:vAlign w:val="center"/>
          </w:tcPr>
          <w:p>
            <w:pPr>
              <w:spacing w:line="267" w:lineRule="exact"/>
              <w:jc w:val="both"/>
              <w:rPr>
                <w:sz w:val="21"/>
                <w:szCs w:val="22"/>
              </w:rPr>
            </w:pPr>
            <w:r>
              <w:rPr>
                <w:rFonts w:hint="eastAsia"/>
                <w:sz w:val="21"/>
                <w:szCs w:val="22"/>
              </w:rPr>
              <w:t>姓</w:t>
            </w:r>
            <w:r>
              <w:rPr>
                <w:sz w:val="21"/>
                <w:szCs w:val="22"/>
              </w:rPr>
              <w:t xml:space="preserve">  </w:t>
            </w:r>
            <w:r>
              <w:rPr>
                <w:rFonts w:hint="eastAsia"/>
                <w:sz w:val="21"/>
                <w:szCs w:val="22"/>
              </w:rPr>
              <w:t>名</w:t>
            </w:r>
          </w:p>
        </w:tc>
        <w:tc>
          <w:tcPr>
            <w:tcW w:w="1150" w:type="dxa"/>
            <w:tcBorders>
              <w:top w:val="single" w:color="auto" w:sz="12" w:space="0"/>
            </w:tcBorders>
            <w:vAlign w:val="center"/>
          </w:tcPr>
          <w:p>
            <w:pPr>
              <w:spacing w:line="267" w:lineRule="exact"/>
              <w:ind w:firstLine="420" w:firstLineChars="200"/>
              <w:jc w:val="center"/>
              <w:rPr>
                <w:sz w:val="21"/>
                <w:szCs w:val="22"/>
              </w:rPr>
            </w:pPr>
          </w:p>
        </w:tc>
        <w:tc>
          <w:tcPr>
            <w:tcW w:w="1283" w:type="dxa"/>
            <w:tcBorders>
              <w:top w:val="single" w:color="auto" w:sz="12" w:space="0"/>
            </w:tcBorders>
            <w:vAlign w:val="center"/>
          </w:tcPr>
          <w:p>
            <w:pPr>
              <w:spacing w:line="267" w:lineRule="exact"/>
              <w:jc w:val="both"/>
              <w:rPr>
                <w:sz w:val="21"/>
                <w:szCs w:val="22"/>
              </w:rPr>
            </w:pPr>
            <w:r>
              <w:rPr>
                <w:rFonts w:hint="eastAsia"/>
                <w:sz w:val="21"/>
                <w:szCs w:val="22"/>
              </w:rPr>
              <w:t>身份证号码</w:t>
            </w:r>
          </w:p>
        </w:tc>
        <w:tc>
          <w:tcPr>
            <w:tcW w:w="2354" w:type="dxa"/>
            <w:tcBorders>
              <w:top w:val="single" w:color="auto" w:sz="12" w:space="0"/>
            </w:tcBorders>
            <w:vAlign w:val="center"/>
          </w:tcPr>
          <w:p>
            <w:pPr>
              <w:pStyle w:val="33"/>
              <w:widowControl/>
              <w:jc w:val="center"/>
              <w:rPr>
                <w:rFonts w:ascii="宋体" w:cs="宋体"/>
                <w:color w:val="FF0000"/>
                <w:szCs w:val="21"/>
                <w:u w:val="single"/>
              </w:rPr>
            </w:pPr>
          </w:p>
        </w:tc>
        <w:tc>
          <w:tcPr>
            <w:tcW w:w="1500" w:type="dxa"/>
            <w:tcBorders>
              <w:top w:val="single" w:color="auto" w:sz="12" w:space="0"/>
            </w:tcBorders>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拟在本标段工程担任职务</w:t>
            </w:r>
          </w:p>
        </w:tc>
        <w:tc>
          <w:tcPr>
            <w:tcW w:w="1318" w:type="dxa"/>
            <w:tcBorders>
              <w:top w:val="single" w:color="auto" w:sz="12" w:space="0"/>
            </w:tcBorders>
            <w:vAlign w:val="center"/>
          </w:tcPr>
          <w:p>
            <w:pPr>
              <w:pStyle w:val="33"/>
              <w:widowControl/>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restart"/>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执业资格证</w:t>
            </w:r>
          </w:p>
        </w:tc>
        <w:tc>
          <w:tcPr>
            <w:tcW w:w="2433" w:type="dxa"/>
            <w:gridSpan w:val="2"/>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专业类别</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continue"/>
            <w:vAlign w:val="center"/>
          </w:tcPr>
          <w:p>
            <w:pPr>
              <w:pStyle w:val="34"/>
              <w:rPr>
                <w:rFonts w:cs="Calibri"/>
                <w:color w:val="FF0000"/>
                <w:sz w:val="20"/>
                <w:szCs w:val="20"/>
                <w:u w:val="single"/>
              </w:rPr>
            </w:pPr>
          </w:p>
        </w:tc>
        <w:tc>
          <w:tcPr>
            <w:tcW w:w="2433" w:type="dxa"/>
            <w:gridSpan w:val="2"/>
            <w:vAlign w:val="center"/>
          </w:tcPr>
          <w:p>
            <w:pPr>
              <w:spacing w:line="267" w:lineRule="exact"/>
              <w:jc w:val="center"/>
              <w:rPr>
                <w:rFonts w:hint="eastAsia"/>
                <w:sz w:val="21"/>
                <w:szCs w:val="22"/>
              </w:rPr>
            </w:pPr>
            <w:r>
              <w:rPr>
                <w:rFonts w:hint="eastAsia"/>
                <w:sz w:val="21"/>
                <w:szCs w:val="22"/>
              </w:rPr>
              <w:t>证书编号</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continue"/>
            <w:vAlign w:val="center"/>
          </w:tcPr>
          <w:p>
            <w:pPr>
              <w:pStyle w:val="34"/>
              <w:rPr>
                <w:rFonts w:cs="Calibri"/>
                <w:color w:val="FF0000"/>
                <w:sz w:val="20"/>
                <w:szCs w:val="20"/>
                <w:u w:val="single"/>
              </w:rPr>
            </w:pPr>
          </w:p>
        </w:tc>
        <w:tc>
          <w:tcPr>
            <w:tcW w:w="2433" w:type="dxa"/>
            <w:gridSpan w:val="2"/>
            <w:vAlign w:val="center"/>
          </w:tcPr>
          <w:p>
            <w:pPr>
              <w:spacing w:line="267" w:lineRule="exact"/>
              <w:jc w:val="center"/>
              <w:rPr>
                <w:rFonts w:hint="eastAsia"/>
                <w:sz w:val="21"/>
                <w:szCs w:val="22"/>
              </w:rPr>
            </w:pPr>
            <w:r>
              <w:rPr>
                <w:rFonts w:hint="eastAsia"/>
                <w:sz w:val="21"/>
                <w:szCs w:val="22"/>
              </w:rPr>
              <w:t>聘用单位</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continue"/>
            <w:vAlign w:val="center"/>
          </w:tcPr>
          <w:p>
            <w:pPr>
              <w:pStyle w:val="34"/>
              <w:rPr>
                <w:rFonts w:cs="Calibri"/>
                <w:color w:val="FF0000"/>
                <w:sz w:val="20"/>
                <w:szCs w:val="20"/>
                <w:u w:val="single"/>
              </w:rPr>
            </w:pPr>
          </w:p>
        </w:tc>
        <w:tc>
          <w:tcPr>
            <w:tcW w:w="2433" w:type="dxa"/>
            <w:gridSpan w:val="2"/>
            <w:vAlign w:val="center"/>
          </w:tcPr>
          <w:p>
            <w:pPr>
              <w:spacing w:line="267" w:lineRule="exact"/>
              <w:jc w:val="center"/>
              <w:rPr>
                <w:rFonts w:hint="eastAsia"/>
                <w:sz w:val="21"/>
                <w:szCs w:val="22"/>
              </w:rPr>
            </w:pPr>
            <w:r>
              <w:rPr>
                <w:rFonts w:hint="eastAsia"/>
                <w:sz w:val="21"/>
                <w:szCs w:val="22"/>
              </w:rPr>
              <w:t>发证机关</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continue"/>
            <w:vAlign w:val="center"/>
          </w:tcPr>
          <w:p>
            <w:pPr>
              <w:pStyle w:val="34"/>
              <w:rPr>
                <w:rFonts w:cs="Calibri"/>
                <w:color w:val="FF0000"/>
                <w:sz w:val="20"/>
                <w:szCs w:val="20"/>
                <w:u w:val="single"/>
              </w:rPr>
            </w:pPr>
          </w:p>
        </w:tc>
        <w:tc>
          <w:tcPr>
            <w:tcW w:w="2433" w:type="dxa"/>
            <w:gridSpan w:val="2"/>
            <w:vAlign w:val="center"/>
          </w:tcPr>
          <w:p>
            <w:pPr>
              <w:spacing w:line="267" w:lineRule="exact"/>
              <w:jc w:val="center"/>
              <w:rPr>
                <w:rFonts w:hint="eastAsia"/>
                <w:sz w:val="21"/>
                <w:szCs w:val="22"/>
              </w:rPr>
            </w:pPr>
            <w:r>
              <w:rPr>
                <w:rFonts w:hint="eastAsia"/>
                <w:sz w:val="21"/>
                <w:szCs w:val="22"/>
              </w:rPr>
              <w:t>发证日期</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restart"/>
            <w:tcBorders>
              <w:bottom w:val="single" w:color="auto" w:sz="12" w:space="0"/>
            </w:tcBorders>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安全生产考核合格证</w:t>
            </w:r>
          </w:p>
        </w:tc>
        <w:tc>
          <w:tcPr>
            <w:tcW w:w="2433" w:type="dxa"/>
            <w:gridSpan w:val="2"/>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证书编号</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continue"/>
            <w:tcBorders>
              <w:bottom w:val="single" w:color="auto" w:sz="12" w:space="0"/>
            </w:tcBorders>
            <w:vAlign w:val="center"/>
          </w:tcPr>
          <w:p>
            <w:pPr>
              <w:pStyle w:val="34"/>
              <w:rPr>
                <w:rFonts w:cs="Calibri"/>
                <w:color w:val="FF0000"/>
                <w:sz w:val="20"/>
                <w:szCs w:val="20"/>
                <w:u w:val="single"/>
              </w:rPr>
            </w:pPr>
          </w:p>
        </w:tc>
        <w:tc>
          <w:tcPr>
            <w:tcW w:w="2433" w:type="dxa"/>
            <w:gridSpan w:val="2"/>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考核发证单位</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continue"/>
            <w:tcBorders>
              <w:bottom w:val="single" w:color="auto" w:sz="12" w:space="0"/>
            </w:tcBorders>
            <w:vAlign w:val="center"/>
          </w:tcPr>
          <w:p>
            <w:pPr>
              <w:pStyle w:val="34"/>
              <w:rPr>
                <w:rFonts w:cs="Calibri"/>
                <w:color w:val="FF0000"/>
                <w:sz w:val="20"/>
                <w:szCs w:val="20"/>
                <w:u w:val="single"/>
              </w:rPr>
            </w:pPr>
          </w:p>
        </w:tc>
        <w:tc>
          <w:tcPr>
            <w:tcW w:w="2433" w:type="dxa"/>
            <w:gridSpan w:val="2"/>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发证日期</w:t>
            </w:r>
          </w:p>
        </w:tc>
        <w:tc>
          <w:tcPr>
            <w:tcW w:w="5172" w:type="dxa"/>
            <w:gridSpan w:val="3"/>
            <w:vAlign w:val="center"/>
          </w:tcPr>
          <w:p>
            <w:pPr>
              <w:pStyle w:val="33"/>
              <w:widowControl/>
              <w:ind w:firstLine="420" w:firstLineChars="200"/>
              <w:jc w:val="center"/>
              <w:rPr>
                <w:rFonts w:ascii="宋体" w:cs="宋体"/>
                <w:color w:val="FF0000"/>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17" w:type="dxa"/>
            <w:vMerge w:val="continue"/>
            <w:tcBorders>
              <w:bottom w:val="single" w:color="auto" w:sz="12" w:space="0"/>
            </w:tcBorders>
            <w:vAlign w:val="center"/>
          </w:tcPr>
          <w:p>
            <w:pPr>
              <w:pStyle w:val="34"/>
              <w:rPr>
                <w:rFonts w:cs="Calibri"/>
                <w:color w:val="FF0000"/>
                <w:sz w:val="20"/>
                <w:szCs w:val="20"/>
                <w:u w:val="single"/>
              </w:rPr>
            </w:pPr>
          </w:p>
        </w:tc>
        <w:tc>
          <w:tcPr>
            <w:tcW w:w="2433" w:type="dxa"/>
            <w:gridSpan w:val="2"/>
            <w:tcBorders>
              <w:bottom w:val="single" w:color="auto" w:sz="12" w:space="0"/>
            </w:tcBorders>
            <w:vAlign w:val="center"/>
          </w:tcPr>
          <w:p>
            <w:pPr>
              <w:pStyle w:val="33"/>
              <w:widowControl/>
              <w:jc w:val="center"/>
              <w:rPr>
                <w:rFonts w:ascii="宋体" w:cs="宋体"/>
                <w:color w:val="FF0000"/>
                <w:szCs w:val="21"/>
                <w:u w:val="single"/>
              </w:rPr>
            </w:pPr>
            <w:r>
              <w:rPr>
                <w:rFonts w:hint="eastAsia" w:ascii="Times New Roman" w:hAnsi="Times New Roman" w:eastAsia="宋体" w:cs="Times New Roman"/>
                <w:sz w:val="21"/>
                <w:szCs w:val="22"/>
                <w:lang w:val="en-US" w:eastAsia="zh-CN" w:bidi="ar-SA"/>
              </w:rPr>
              <w:t>有效期</w:t>
            </w:r>
          </w:p>
        </w:tc>
        <w:tc>
          <w:tcPr>
            <w:tcW w:w="5172" w:type="dxa"/>
            <w:gridSpan w:val="3"/>
            <w:tcBorders>
              <w:bottom w:val="single" w:color="auto" w:sz="12" w:space="0"/>
            </w:tcBorders>
            <w:vAlign w:val="center"/>
          </w:tcPr>
          <w:p>
            <w:pPr>
              <w:pStyle w:val="33"/>
              <w:widowControl/>
              <w:ind w:firstLine="420" w:firstLineChars="200"/>
              <w:jc w:val="center"/>
              <w:rPr>
                <w:rFonts w:ascii="宋体" w:cs="宋体"/>
                <w:color w:val="FF0000"/>
                <w:szCs w:val="21"/>
                <w:u w:val="single"/>
              </w:rPr>
            </w:pPr>
          </w:p>
        </w:tc>
      </w:tr>
    </w:tbl>
    <w:p>
      <w:pPr>
        <w:spacing w:line="267" w:lineRule="exact"/>
        <w:jc w:val="center"/>
        <w:rPr>
          <w:rFonts w:hint="eastAsia"/>
          <w:b/>
          <w:bCs/>
          <w:sz w:val="21"/>
          <w:szCs w:val="22"/>
        </w:rPr>
      </w:pPr>
    </w:p>
    <w:p>
      <w:pPr>
        <w:spacing w:line="267" w:lineRule="exact"/>
        <w:jc w:val="left"/>
        <w:rPr>
          <w:rFonts w:hint="eastAsia"/>
          <w:b/>
          <w:bCs/>
          <w:sz w:val="21"/>
          <w:szCs w:val="22"/>
        </w:rPr>
      </w:pPr>
      <w:r>
        <w:rPr>
          <w:rFonts w:hint="eastAsia"/>
          <w:b/>
          <w:bCs/>
          <w:sz w:val="21"/>
          <w:szCs w:val="22"/>
        </w:rPr>
        <w:t>注：1.本表后应附项目经理、项目总工的身份证及其他相关证书（如建造师注册证书、安全生产考核合格证书、职称证等）的复印件，其中，职称证复印件应注明职称证查验方式及发证单位联系方式。</w:t>
      </w:r>
    </w:p>
    <w:p>
      <w:pPr>
        <w:spacing w:line="267" w:lineRule="exact"/>
        <w:jc w:val="center"/>
        <w:rPr>
          <w:rFonts w:hint="eastAsia"/>
          <w:b/>
          <w:bCs/>
          <w:sz w:val="21"/>
          <w:szCs w:val="22"/>
        </w:rPr>
      </w:pPr>
      <w:r>
        <w:rPr>
          <w:rFonts w:hint="eastAsia"/>
          <w:b/>
          <w:bCs/>
          <w:sz w:val="21"/>
          <w:szCs w:val="22"/>
        </w:rPr>
        <w:t>2.投标人应根据招标文件第二章“投标人须知”第 3.5.5 项的要求在本表后附相关证明材料。</w:t>
      </w:r>
    </w:p>
    <w:p>
      <w:pPr>
        <w:spacing w:line="267" w:lineRule="exact"/>
        <w:jc w:val="center"/>
        <w:rPr>
          <w:rFonts w:hint="eastAsia"/>
          <w:b/>
          <w:bCs/>
          <w:sz w:val="21"/>
          <w:szCs w:val="22"/>
        </w:rPr>
      </w:pPr>
      <w:bookmarkStart w:id="121" w:name="_bookmark320"/>
      <w:bookmarkEnd w:id="121"/>
      <w:bookmarkStart w:id="122" w:name="_bookmark318"/>
      <w:bookmarkEnd w:id="122"/>
    </w:p>
    <w:p>
      <w:pPr>
        <w:spacing w:line="267" w:lineRule="exact"/>
        <w:jc w:val="center"/>
        <w:rPr>
          <w:rFonts w:hint="eastAsia" w:ascii="黑体" w:hAnsi="黑体" w:eastAsia="黑体"/>
          <w:sz w:val="30"/>
          <w:szCs w:val="30"/>
        </w:rPr>
      </w:pPr>
      <w:bookmarkStart w:id="123" w:name="_bookmark321"/>
      <w:bookmarkEnd w:id="123"/>
      <w:r>
        <w:rPr>
          <w:rFonts w:hint="eastAsia" w:ascii="黑体" w:hAnsi="黑体" w:eastAsia="黑体"/>
          <w:sz w:val="30"/>
          <w:szCs w:val="30"/>
        </w:rPr>
        <w:br w:type="page"/>
      </w:r>
    </w:p>
    <w:p>
      <w:pPr>
        <w:spacing w:line="267" w:lineRule="exact"/>
        <w:jc w:val="center"/>
        <w:rPr>
          <w:rFonts w:hint="eastAsia" w:ascii="黑体" w:hAnsi="黑体" w:eastAsia="黑体"/>
          <w:sz w:val="30"/>
          <w:szCs w:val="30"/>
        </w:rPr>
      </w:pPr>
    </w:p>
    <w:p>
      <w:pPr>
        <w:pStyle w:val="32"/>
        <w:widowControl/>
        <w:jc w:val="center"/>
        <w:rPr>
          <w:rFonts w:hint="eastAsia" w:ascii="黑体" w:hAnsi="Times New Roman" w:eastAsia="黑体" w:cs="Times New Roman"/>
          <w:b w:val="0"/>
          <w:kern w:val="0"/>
          <w:sz w:val="30"/>
          <w:szCs w:val="30"/>
          <w:lang w:val="en-US" w:eastAsia="zh-CN" w:bidi="ar-SA"/>
        </w:rPr>
      </w:pPr>
    </w:p>
    <w:p>
      <w:pPr>
        <w:pStyle w:val="32"/>
        <w:widowControl/>
        <w:jc w:val="center"/>
        <w:rPr>
          <w:rFonts w:hint="eastAsia" w:ascii="黑体" w:hAnsi="Times New Roman" w:eastAsia="黑体" w:cs="Times New Roman"/>
          <w:b w:val="0"/>
          <w:kern w:val="0"/>
          <w:sz w:val="30"/>
          <w:szCs w:val="30"/>
          <w:lang w:val="en-US" w:eastAsia="zh-CN" w:bidi="ar-SA"/>
        </w:rPr>
      </w:pPr>
      <w:r>
        <w:rPr>
          <w:rFonts w:hint="eastAsia" w:ascii="黑体" w:hAnsi="Times New Roman" w:eastAsia="黑体" w:cs="Times New Roman"/>
          <w:b w:val="0"/>
          <w:kern w:val="0"/>
          <w:sz w:val="30"/>
          <w:szCs w:val="30"/>
          <w:lang w:val="en-US" w:eastAsia="zh-CN" w:bidi="ar-SA"/>
        </w:rPr>
        <w:t>（七）拟委任的其他管理和技术人员汇总表</w:t>
      </w:r>
    </w:p>
    <w:tbl>
      <w:tblPr>
        <w:tblStyle w:val="10"/>
        <w:tblW w:w="8899"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1" w:hRule="atLeast"/>
          <w:jc w:val="center"/>
        </w:trPr>
        <w:tc>
          <w:tcPr>
            <w:tcW w:w="934" w:type="dxa"/>
          </w:tcPr>
          <w:p>
            <w:pPr>
              <w:pStyle w:val="16"/>
              <w:spacing w:before="12"/>
              <w:rPr>
                <w:rFonts w:ascii="黑体"/>
                <w:sz w:val="27"/>
              </w:rPr>
            </w:pPr>
          </w:p>
          <w:p>
            <w:pPr>
              <w:pStyle w:val="16"/>
              <w:ind w:left="256"/>
              <w:rPr>
                <w:sz w:val="21"/>
              </w:rPr>
            </w:pPr>
            <w:r>
              <w:rPr>
                <w:sz w:val="21"/>
              </w:rPr>
              <w:t>姓名</w:t>
            </w:r>
          </w:p>
        </w:tc>
        <w:tc>
          <w:tcPr>
            <w:tcW w:w="927" w:type="dxa"/>
          </w:tcPr>
          <w:p>
            <w:pPr>
              <w:pStyle w:val="16"/>
              <w:spacing w:before="12"/>
              <w:rPr>
                <w:rFonts w:ascii="黑体"/>
                <w:sz w:val="27"/>
              </w:rPr>
            </w:pPr>
          </w:p>
          <w:p>
            <w:pPr>
              <w:pStyle w:val="16"/>
              <w:ind w:left="251"/>
              <w:rPr>
                <w:sz w:val="21"/>
              </w:rPr>
            </w:pPr>
            <w:r>
              <w:rPr>
                <w:sz w:val="21"/>
              </w:rPr>
              <w:t>年龄</w:t>
            </w:r>
          </w:p>
        </w:tc>
        <w:tc>
          <w:tcPr>
            <w:tcW w:w="2682" w:type="dxa"/>
          </w:tcPr>
          <w:p>
            <w:pPr>
              <w:pStyle w:val="16"/>
              <w:spacing w:before="12"/>
              <w:rPr>
                <w:rFonts w:ascii="黑体"/>
                <w:sz w:val="27"/>
              </w:rPr>
            </w:pPr>
          </w:p>
          <w:p>
            <w:pPr>
              <w:pStyle w:val="16"/>
              <w:ind w:left="394"/>
              <w:rPr>
                <w:sz w:val="21"/>
              </w:rPr>
            </w:pPr>
            <w:r>
              <w:rPr>
                <w:sz w:val="21"/>
              </w:rPr>
              <w:t>拟在本标段工程任职</w:t>
            </w:r>
          </w:p>
        </w:tc>
        <w:tc>
          <w:tcPr>
            <w:tcW w:w="1103" w:type="dxa"/>
          </w:tcPr>
          <w:p>
            <w:pPr>
              <w:pStyle w:val="16"/>
              <w:spacing w:before="12"/>
              <w:rPr>
                <w:rFonts w:ascii="黑体"/>
                <w:sz w:val="27"/>
              </w:rPr>
            </w:pPr>
          </w:p>
          <w:p>
            <w:pPr>
              <w:pStyle w:val="16"/>
              <w:ind w:left="127"/>
              <w:rPr>
                <w:sz w:val="21"/>
              </w:rPr>
            </w:pPr>
            <w:r>
              <w:rPr>
                <w:sz w:val="21"/>
              </w:rPr>
              <w:t>技术职称</w:t>
            </w:r>
          </w:p>
        </w:tc>
        <w:tc>
          <w:tcPr>
            <w:tcW w:w="1307" w:type="dxa"/>
          </w:tcPr>
          <w:p>
            <w:pPr>
              <w:pStyle w:val="16"/>
              <w:spacing w:before="12"/>
              <w:rPr>
                <w:rFonts w:ascii="黑体"/>
                <w:sz w:val="27"/>
              </w:rPr>
            </w:pPr>
          </w:p>
          <w:p>
            <w:pPr>
              <w:pStyle w:val="16"/>
              <w:ind w:left="229"/>
              <w:rPr>
                <w:sz w:val="21"/>
              </w:rPr>
            </w:pPr>
            <w:r>
              <w:rPr>
                <w:sz w:val="21"/>
              </w:rPr>
              <w:t>工作年限</w:t>
            </w:r>
          </w:p>
        </w:tc>
        <w:tc>
          <w:tcPr>
            <w:tcW w:w="1946" w:type="dxa"/>
            <w:vAlign w:val="center"/>
          </w:tcPr>
          <w:p>
            <w:pPr>
              <w:pStyle w:val="16"/>
              <w:ind w:left="394"/>
              <w:rPr>
                <w:sz w:val="21"/>
                <w:szCs w:val="21"/>
              </w:rPr>
            </w:pPr>
            <w:r>
              <w:rPr>
                <w:sz w:val="21"/>
                <w:szCs w:val="22"/>
              </w:rPr>
              <w:t>是否满足</w:t>
            </w:r>
            <w:r>
              <w:rPr>
                <w:rFonts w:hint="eastAsia"/>
                <w:sz w:val="21"/>
                <w:szCs w:val="22"/>
              </w:rPr>
              <w:t>其他人员任职最低</w:t>
            </w:r>
            <w:r>
              <w:rPr>
                <w:sz w:val="21"/>
                <w:szCs w:val="22"/>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jc w:val="center"/>
        </w:trPr>
        <w:tc>
          <w:tcPr>
            <w:tcW w:w="934" w:type="dxa"/>
          </w:tcPr>
          <w:p>
            <w:pPr>
              <w:pStyle w:val="16"/>
            </w:pPr>
          </w:p>
        </w:tc>
        <w:tc>
          <w:tcPr>
            <w:tcW w:w="927" w:type="dxa"/>
          </w:tcPr>
          <w:p>
            <w:pPr>
              <w:pStyle w:val="16"/>
            </w:pPr>
          </w:p>
        </w:tc>
        <w:tc>
          <w:tcPr>
            <w:tcW w:w="2682" w:type="dxa"/>
          </w:tcPr>
          <w:p>
            <w:pPr>
              <w:pStyle w:val="16"/>
            </w:pPr>
          </w:p>
        </w:tc>
        <w:tc>
          <w:tcPr>
            <w:tcW w:w="1103" w:type="dxa"/>
          </w:tcPr>
          <w:p>
            <w:pPr>
              <w:pStyle w:val="16"/>
            </w:pPr>
          </w:p>
        </w:tc>
        <w:tc>
          <w:tcPr>
            <w:tcW w:w="1307" w:type="dxa"/>
          </w:tcPr>
          <w:p>
            <w:pPr>
              <w:pStyle w:val="16"/>
            </w:pPr>
          </w:p>
        </w:tc>
        <w:tc>
          <w:tcPr>
            <w:tcW w:w="1946" w:type="dxa"/>
          </w:tcPr>
          <w:p>
            <w:pPr>
              <w:pStyle w:val="16"/>
            </w:pPr>
          </w:p>
        </w:tc>
      </w:tr>
    </w:tbl>
    <w:p>
      <w:pPr>
        <w:spacing w:before="128"/>
        <w:rPr>
          <w:sz w:val="21"/>
        </w:rPr>
      </w:pPr>
      <w:r>
        <w:rPr>
          <w:sz w:val="21"/>
        </w:rPr>
        <w:t>注：本表填报的人员应满足招标文件第二章“投标人须知”前附表附录</w:t>
      </w:r>
      <w:r>
        <w:rPr>
          <w:rFonts w:hint="eastAsia"/>
          <w:sz w:val="21"/>
        </w:rPr>
        <w:t>6</w:t>
      </w:r>
      <w:r>
        <w:rPr>
          <w:sz w:val="21"/>
        </w:rPr>
        <w:t>的要求。</w:t>
      </w:r>
    </w:p>
    <w:p>
      <w:pPr>
        <w:spacing w:line="360" w:lineRule="auto"/>
        <w:jc w:val="both"/>
        <w:rPr>
          <w:rFonts w:ascii="黑体" w:hAnsi="黑体" w:eastAsia="黑体"/>
        </w:rPr>
      </w:pPr>
    </w:p>
    <w:p>
      <w:pPr>
        <w:spacing w:line="360" w:lineRule="auto"/>
        <w:jc w:val="both"/>
        <w:rPr>
          <w:rFonts w:ascii="黑体" w:hAnsi="黑体" w:eastAsia="黑体"/>
        </w:rPr>
      </w:pPr>
    </w:p>
    <w:p>
      <w:pPr>
        <w:pStyle w:val="2"/>
        <w:ind w:firstLine="340"/>
        <w:rPr>
          <w:rFonts w:ascii="黑体" w:hAnsi="黑体" w:eastAsia="黑体"/>
        </w:rPr>
      </w:pPr>
    </w:p>
    <w:p>
      <w:pPr>
        <w:pStyle w:val="2"/>
        <w:ind w:firstLine="340"/>
        <w:rPr>
          <w:rFonts w:ascii="黑体" w:hAnsi="黑体" w:eastAsia="黑体"/>
        </w:rPr>
      </w:pPr>
    </w:p>
    <w:p>
      <w:pPr>
        <w:spacing w:line="360" w:lineRule="auto"/>
        <w:ind w:firstLine="904" w:firstLineChars="300"/>
        <w:jc w:val="both"/>
        <w:rPr>
          <w:rFonts w:hint="eastAsia" w:ascii="黑体" w:hAnsi="黑体" w:eastAsia="黑体"/>
          <w:b/>
          <w:color w:val="FF0000"/>
          <w:sz w:val="30"/>
          <w:szCs w:val="30"/>
        </w:rPr>
      </w:pPr>
    </w:p>
    <w:p>
      <w:pPr>
        <w:spacing w:line="360" w:lineRule="auto"/>
        <w:rPr>
          <w:rFonts w:ascii="宋体" w:hAnsi="宋体"/>
          <w:sz w:val="24"/>
        </w:rPr>
      </w:pPr>
    </w:p>
    <w:p>
      <w:pPr>
        <w:pStyle w:val="2"/>
        <w:ind w:left="0" w:leftChars="0" w:firstLine="0" w:firstLineChars="0"/>
      </w:pPr>
    </w:p>
    <w:p>
      <w:pPr>
        <w:spacing w:line="360" w:lineRule="auto"/>
        <w:rPr>
          <w:rFonts w:ascii="宋体" w:hAnsi="宋体"/>
          <w:sz w:val="24"/>
        </w:rPr>
      </w:pPr>
    </w:p>
    <w:p>
      <w:pPr>
        <w:spacing w:line="0" w:lineRule="atLeast"/>
        <w:jc w:val="center"/>
        <w:rPr>
          <w:rFonts w:ascii="宋体" w:hAnsi="宋体"/>
          <w:sz w:val="40"/>
          <w:szCs w:val="28"/>
        </w:rPr>
      </w:pPr>
      <w:r>
        <w:rPr>
          <w:rFonts w:hint="eastAsia" w:ascii="宋体" w:hAnsi="宋体"/>
          <w:sz w:val="40"/>
          <w:szCs w:val="28"/>
        </w:rPr>
        <w:t>八</w:t>
      </w:r>
      <w:r>
        <w:rPr>
          <w:rFonts w:ascii="宋体" w:hAnsi="宋体"/>
          <w:sz w:val="40"/>
          <w:szCs w:val="28"/>
        </w:rPr>
        <w:t>、其他资料</w:t>
      </w:r>
    </w:p>
    <w:p>
      <w:pPr>
        <w:spacing w:line="360" w:lineRule="auto"/>
        <w:rPr>
          <w:rFonts w:ascii="宋体" w:hAnsi="宋体"/>
          <w:sz w:val="24"/>
        </w:rPr>
      </w:pPr>
      <w:r>
        <w:rPr>
          <w:rFonts w:hint="eastAsia" w:ascii="宋体" w:hAnsi="宋体"/>
          <w:sz w:val="24"/>
        </w:rPr>
        <w:br w:type="page"/>
      </w:r>
    </w:p>
    <w:p>
      <w:pPr>
        <w:pStyle w:val="2"/>
        <w:ind w:firstLine="240"/>
        <w:rPr>
          <w:rFonts w:asciiTheme="minorEastAsia" w:hAnsiTheme="minorEastAsia" w:eastAsiaTheme="minorEastAsia" w:cstheme="minorEastAsia"/>
          <w:sz w:val="24"/>
        </w:rPr>
      </w:pPr>
    </w:p>
    <w:p>
      <w:pPr>
        <w:ind w:firstLine="7440" w:firstLineChars="3100"/>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正（副）本</w:t>
      </w:r>
    </w:p>
    <w:p>
      <w:pPr>
        <w:pStyle w:val="2"/>
        <w:ind w:firstLine="340"/>
        <w:rPr>
          <w:rFonts w:asciiTheme="minorEastAsia" w:hAnsiTheme="minorEastAsia" w:eastAsiaTheme="minorEastAsia" w:cstheme="minorEastAsia"/>
        </w:rPr>
      </w:pPr>
    </w:p>
    <w:p>
      <w:pPr>
        <w:pStyle w:val="2"/>
        <w:ind w:firstLine="340"/>
        <w:rPr>
          <w:rFonts w:asciiTheme="minorEastAsia" w:hAnsiTheme="minorEastAsia" w:eastAsiaTheme="minorEastAsia" w:cstheme="minorEastAsia"/>
        </w:rPr>
      </w:pPr>
    </w:p>
    <w:p>
      <w:pPr>
        <w:tabs>
          <w:tab w:val="left" w:pos="5440"/>
        </w:tabs>
        <w:ind w:left="28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z w:val="24"/>
        </w:rPr>
        <w:t>标段施工招标</w:t>
      </w:r>
    </w:p>
    <w:p>
      <w:pPr>
        <w:rPr>
          <w:rFonts w:hint="default" w:asciiTheme="minorEastAsia" w:hAnsiTheme="minorEastAsia" w:eastAsiaTheme="minorEastAsia" w:cstheme="minorEastAsia"/>
          <w:lang w:val="en-US"/>
        </w:rPr>
      </w:pPr>
      <w:r>
        <w:rPr>
          <w:rFonts w:asciiTheme="minorEastAsia" w:hAnsiTheme="minorEastAsia" w:eastAsiaTheme="minorEastAsia" w:cstheme="minorEastAsia"/>
          <w:sz w:val="24"/>
        </w:rPr>
        <w:pict>
          <v:line id="_x0000_s2051" o:spid="_x0000_s2051" o:spt="20" style="position:absolute;left:0pt;margin-left:27.3pt;margin-top:0.05pt;height:0pt;width:107.85pt;z-index:-251224064;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ueolrSAAAABAEAAA8AAAAAAAAAAQAgAAAAIgAAAGRy&#10;cy9kb3ducmV2LnhtbFBLAQIUABQAAAAIAIdO4kAJJQuy0gEAAIwDAAAOAAAAAAAAAAEAIAAAACEB&#10;AABkcnMvZTJvRG9jLnhtbFBLBQYAAAAABgAGAFkBAABlBQAAAAA=&#10;">
            <v:path arrowok="t"/>
            <v:fill focussize="0,0"/>
            <v:stroke weight="0.59992125984252pt"/>
            <v:imagedata o:title=""/>
            <o:lock v:ext="edit"/>
          </v:line>
        </w:pict>
      </w:r>
      <w:r>
        <w:rPr>
          <w:rFonts w:asciiTheme="minorEastAsia" w:hAnsiTheme="minorEastAsia" w:eastAsiaTheme="minorEastAsia" w:cstheme="minorEastAsia"/>
          <w:sz w:val="24"/>
        </w:rPr>
        <w:pict>
          <v:line id="_x0000_s2050" o:spid="_x0000_s2050" o:spt="20" style="position:absolute;left:0pt;margin-left:213.2pt;margin-top:0.05pt;height:0pt;width:60pt;z-index:-251223040;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Ug4LSAAAABQEAAA8AAAAAAAAAAQAgAAAAIgAAAGRycy9k&#10;b3ducmV2LnhtbFBLAQIUABQAAAAIAIdO4kC7A6PWzwEAAIsDAAAOAAAAAAAAAAEAIAAAACEBAABk&#10;cnMvZTJvRG9jLnhtbFBLBQYAAAAABgAGAFkBAABiBQAAAAA=&#10;">
            <v:path arrowok="t"/>
            <v:fill focussize="0,0"/>
            <v:stroke weight="0.59992125984252pt"/>
            <v:imagedata o:title=""/>
            <o:lock v:ext="edit"/>
          </v:line>
        </w:pict>
      </w:r>
      <w:r>
        <w:rPr>
          <w:rFonts w:hint="eastAsia" w:asciiTheme="minorEastAsia" w:hAnsiTheme="minorEastAsia" w:eastAsiaTheme="minorEastAsia" w:cstheme="minorEastAsia"/>
          <w:lang w:val="en-US" w:eastAsia="zh-CN"/>
        </w:rPr>
        <w:t xml:space="preserve">       </w:t>
      </w:r>
    </w:p>
    <w:p>
      <w:pPr>
        <w:rPr>
          <w:rFonts w:asciiTheme="minorEastAsia" w:hAnsiTheme="minorEastAsia" w:eastAsiaTheme="minorEastAsia" w:cstheme="minorEastAsia"/>
        </w:rPr>
      </w:pPr>
    </w:p>
    <w:p>
      <w:pPr>
        <w:spacing w:beforeLines="50"/>
        <w:jc w:val="center"/>
        <w:rPr>
          <w:rFonts w:asciiTheme="minorEastAsia" w:hAnsiTheme="minorEastAsia" w:eastAsiaTheme="minorEastAsia" w:cstheme="minorEastAsia"/>
        </w:rPr>
      </w:pPr>
    </w:p>
    <w:p>
      <w:pPr>
        <w:spacing w:beforeLines="50"/>
        <w:jc w:val="center"/>
        <w:rPr>
          <w:rFonts w:asciiTheme="minorEastAsia" w:hAnsiTheme="minorEastAsia" w:eastAsiaTheme="minorEastAsia" w:cstheme="minorEastAsia"/>
          <w:color w:val="000000" w:themeColor="text1"/>
          <w:sz w:val="31"/>
        </w:rPr>
      </w:pPr>
      <w:r>
        <w:rPr>
          <w:rFonts w:hint="eastAsia" w:asciiTheme="minorEastAsia" w:hAnsiTheme="minorEastAsia" w:eastAsiaTheme="minorEastAsia" w:cstheme="minorEastAsia"/>
          <w:color w:val="000000" w:themeColor="text1"/>
          <w:sz w:val="31"/>
        </w:rPr>
        <w:t>建安建工公字﹝2019﹞</w:t>
      </w:r>
      <w:r>
        <w:rPr>
          <w:rFonts w:hint="eastAsia" w:asciiTheme="minorEastAsia" w:hAnsiTheme="minorEastAsia" w:eastAsiaTheme="minorEastAsia" w:cstheme="minorEastAsia"/>
          <w:color w:val="000000" w:themeColor="text1"/>
          <w:sz w:val="31"/>
          <w:lang w:val="en-US" w:eastAsia="zh-CN"/>
        </w:rPr>
        <w:t>91</w:t>
      </w:r>
      <w:r>
        <w:rPr>
          <w:rFonts w:hint="eastAsia" w:asciiTheme="minorEastAsia" w:hAnsiTheme="minorEastAsia" w:eastAsiaTheme="minorEastAsia" w:cstheme="minorEastAsia"/>
          <w:color w:val="000000" w:themeColor="text1"/>
          <w:sz w:val="31"/>
        </w:rPr>
        <w:t>号</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ind w:left="236"/>
        <w:jc w:val="center"/>
        <w:rPr>
          <w:rFonts w:asciiTheme="minorEastAsia" w:hAnsiTheme="minorEastAsia" w:eastAsiaTheme="minorEastAsia" w:cstheme="minorEastAsia"/>
          <w:sz w:val="56"/>
          <w:szCs w:val="56"/>
        </w:rPr>
      </w:pPr>
      <w:r>
        <w:rPr>
          <w:rFonts w:hint="eastAsia" w:asciiTheme="minorEastAsia" w:hAnsiTheme="minorEastAsia" w:eastAsiaTheme="minorEastAsia" w:cstheme="minorEastAsia"/>
          <w:sz w:val="56"/>
          <w:szCs w:val="56"/>
        </w:rPr>
        <w:t>第二信封</w:t>
      </w:r>
    </w:p>
    <w:p>
      <w:pPr>
        <w:pStyle w:val="5"/>
        <w:spacing w:before="531" w:line="24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val="0"/>
          <w:bCs w:val="0"/>
        </w:rPr>
        <w:t>（投标报价）</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2800" w:firstLineChars="1000"/>
        <w:rPr>
          <w:rFonts w:ascii="宋体" w:hAnsi="宋体"/>
          <w:sz w:val="28"/>
          <w:szCs w:val="28"/>
          <w:u w:val="single"/>
        </w:rPr>
      </w:pPr>
      <w:r>
        <w:rPr>
          <w:rFonts w:hint="eastAsia" w:ascii="宋体" w:hAnsi="宋体"/>
          <w:sz w:val="28"/>
          <w:szCs w:val="28"/>
        </w:rPr>
        <w:t>投标人：（盖单位公章）</w:t>
      </w:r>
    </w:p>
    <w:p>
      <w:pPr>
        <w:spacing w:line="360" w:lineRule="auto"/>
        <w:jc w:val="center"/>
        <w:rPr>
          <w:rFonts w:ascii="宋体" w:hAnsi="宋体"/>
          <w:sz w:val="28"/>
          <w:szCs w:val="28"/>
        </w:rPr>
      </w:pPr>
      <w:r>
        <w:rPr>
          <w:rFonts w:hint="eastAsia" w:ascii="宋体" w:hAnsi="宋体"/>
          <w:sz w:val="28"/>
          <w:szCs w:val="28"/>
        </w:rPr>
        <w:t>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numPr>
          <w:ilvl w:val="0"/>
          <w:numId w:val="84"/>
        </w:numPr>
        <w:spacing w:line="440" w:lineRule="exact"/>
        <w:rPr>
          <w:rFonts w:ascii="宋体" w:hAnsi="宋体"/>
          <w:sz w:val="24"/>
        </w:rPr>
      </w:pPr>
      <w:r>
        <w:rPr>
          <w:rFonts w:ascii="宋体" w:hAnsi="宋体"/>
          <w:sz w:val="24"/>
        </w:rPr>
        <w:t>投标函</w:t>
      </w:r>
    </w:p>
    <w:p>
      <w:pPr>
        <w:pStyle w:val="2"/>
        <w:numPr>
          <w:ilvl w:val="0"/>
          <w:numId w:val="84"/>
        </w:numPr>
        <w:ind w:firstLine="0" w:firstLineChars="0"/>
        <w:rPr>
          <w:sz w:val="24"/>
          <w:szCs w:val="15"/>
        </w:rPr>
      </w:pPr>
      <w:r>
        <w:rPr>
          <w:rFonts w:hint="eastAsia"/>
          <w:sz w:val="24"/>
          <w:szCs w:val="15"/>
        </w:rPr>
        <w:t>投标函附录</w:t>
      </w:r>
    </w:p>
    <w:p>
      <w:pPr>
        <w:pStyle w:val="4"/>
        <w:spacing w:beforeLines="100" w:afterLines="150" w:line="360" w:lineRule="exact"/>
        <w:jc w:val="center"/>
        <w:rPr>
          <w:rFonts w:ascii="黑体" w:hAnsi="宋体" w:eastAsia="黑体"/>
          <w:sz w:val="28"/>
          <w:szCs w:val="28"/>
        </w:rPr>
      </w:pPr>
      <w:r>
        <w:rPr>
          <w:rFonts w:ascii="宋体" w:hAnsi="宋体"/>
          <w:sz w:val="24"/>
        </w:rPr>
        <w:br w:type="page"/>
      </w:r>
      <w:bookmarkStart w:id="124" w:name="_Toc528314488"/>
      <w:r>
        <w:rPr>
          <w:rFonts w:hint="eastAsia" w:ascii="黑体" w:hAnsi="宋体" w:eastAsia="黑体"/>
          <w:sz w:val="28"/>
          <w:szCs w:val="28"/>
        </w:rPr>
        <w:t>一、投标函</w:t>
      </w:r>
      <w:bookmarkEnd w:id="124"/>
    </w:p>
    <w:p>
      <w:pPr>
        <w:spacing w:line="360" w:lineRule="exact"/>
        <w:ind w:left="600"/>
        <w:rPr>
          <w:rFonts w:ascii="宋体" w:hAnsi="宋体"/>
          <w:sz w:val="24"/>
        </w:rPr>
      </w:pPr>
    </w:p>
    <w:p>
      <w:pPr>
        <w:spacing w:line="360" w:lineRule="exact"/>
        <w:rPr>
          <w:rFonts w:ascii="宋体" w:hAnsi="宋体"/>
          <w:sz w:val="24"/>
        </w:rPr>
      </w:pPr>
      <w:r>
        <w:rPr>
          <w:rFonts w:ascii="宋体" w:hAnsi="宋体"/>
          <w:sz w:val="24"/>
        </w:rPr>
        <w:t>（招标人名称）：</w:t>
      </w:r>
    </w:p>
    <w:p>
      <w:pPr>
        <w:spacing w:line="360" w:lineRule="exact"/>
        <w:rPr>
          <w:rFonts w:ascii="宋体" w:hAnsi="宋体"/>
          <w:sz w:val="24"/>
        </w:rPr>
      </w:pPr>
    </w:p>
    <w:p>
      <w:pPr>
        <w:spacing w:line="360" w:lineRule="exact"/>
        <w:ind w:firstLine="480" w:firstLineChars="200"/>
        <w:rPr>
          <w:rFonts w:ascii="宋体" w:hAnsi="宋体"/>
          <w:sz w:val="24"/>
          <w:u w:val="single"/>
        </w:rPr>
      </w:pPr>
      <w:r>
        <w:rPr>
          <w:sz w:val="24"/>
        </w:rPr>
        <w:t>1．我方已仔细研究了（项目名称）标段施工招标文件的全部内容，愿意以（大写）（</w:t>
      </w:r>
      <w:r>
        <w:rPr>
          <w:rFonts w:ascii="宋体" w:hAnsi="宋体"/>
          <w:sz w:val="24"/>
        </w:rPr>
        <w:t>¥</w:t>
      </w:r>
      <w:r>
        <w:rPr>
          <w:sz w:val="24"/>
        </w:rPr>
        <w:t>）的投标总报价</w:t>
      </w:r>
      <w:r>
        <w:rPr>
          <w:rFonts w:hint="eastAsia"/>
          <w:sz w:val="24"/>
        </w:rPr>
        <w:t>（费率）</w:t>
      </w:r>
      <w:r>
        <w:rPr>
          <w:sz w:val="24"/>
        </w:rPr>
        <w:t>，工期</w:t>
      </w:r>
      <w:r>
        <w:rPr>
          <w:rFonts w:hint="eastAsia"/>
          <w:sz w:val="24"/>
        </w:rPr>
        <w:t>日历天</w:t>
      </w:r>
      <w:r>
        <w:rPr>
          <w:sz w:val="24"/>
        </w:rPr>
        <w:t>，按合同约定实施和完成承包工程，修补工程中的任何缺陷，工程质量达到</w:t>
      </w:r>
      <w:r>
        <w:rPr>
          <w:rFonts w:hint="eastAsia"/>
          <w:sz w:val="24"/>
          <w:u w:val="single"/>
        </w:rPr>
        <w:t xml:space="preserve">     。</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随同本投标函提交投标保证金一份，金额为（大写）元（¥）。</w:t>
      </w:r>
    </w:p>
    <w:p>
      <w:pPr>
        <w:spacing w:line="360" w:lineRule="exact"/>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exact"/>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exact"/>
        <w:ind w:firstLine="480" w:firstLineChars="200"/>
        <w:rPr>
          <w:rFonts w:ascii="宋体" w:hAnsi="宋体"/>
          <w:sz w:val="24"/>
        </w:rPr>
      </w:pPr>
      <w:r>
        <w:rPr>
          <w:rFonts w:ascii="宋体" w:hAnsi="宋体"/>
          <w:sz w:val="24"/>
        </w:rPr>
        <w:t>（2）随同本投标函递交的投标函附录属于合同文件的组成部分。</w:t>
      </w:r>
    </w:p>
    <w:p>
      <w:pPr>
        <w:spacing w:line="360" w:lineRule="exact"/>
        <w:ind w:firstLine="480" w:firstLineChars="200"/>
        <w:rPr>
          <w:rFonts w:ascii="宋体" w:hAnsi="宋体"/>
          <w:sz w:val="24"/>
          <w:szCs w:val="22"/>
        </w:rPr>
      </w:pPr>
      <w:r>
        <w:rPr>
          <w:rFonts w:ascii="宋体" w:hAnsi="宋体"/>
          <w:sz w:val="24"/>
          <w:szCs w:val="22"/>
        </w:rPr>
        <w:t>（3）我方承诺按照招标文件规定向你方递交履约担保。</w:t>
      </w:r>
    </w:p>
    <w:p>
      <w:pPr>
        <w:spacing w:line="360" w:lineRule="exact"/>
        <w:ind w:firstLine="480" w:firstLineChars="200"/>
        <w:rPr>
          <w:rFonts w:ascii="宋体" w:hAnsi="宋体"/>
          <w:sz w:val="24"/>
          <w:szCs w:val="22"/>
        </w:rPr>
      </w:pPr>
      <w:r>
        <w:rPr>
          <w:rFonts w:ascii="宋体" w:hAnsi="宋体"/>
          <w:sz w:val="24"/>
          <w:szCs w:val="22"/>
        </w:rPr>
        <w:t>（4）我方承诺在合同约定的期限内完成并移交全部合同工程。</w:t>
      </w:r>
    </w:p>
    <w:p>
      <w:pPr>
        <w:spacing w:line="360" w:lineRule="exact"/>
        <w:ind w:firstLine="480" w:firstLineChars="200"/>
      </w:pPr>
      <w:r>
        <w:rPr>
          <w:rFonts w:hint="eastAsia" w:ascii="宋体" w:hAnsi="宋体"/>
          <w:sz w:val="24"/>
          <w:szCs w:val="22"/>
        </w:rPr>
        <w:t>（5）我方承诺若我方中标按招标文件要求缴纳招标代理服务费。</w:t>
      </w:r>
    </w:p>
    <w:p>
      <w:pPr>
        <w:spacing w:line="360" w:lineRule="exact"/>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sz w:val="24"/>
        </w:rPr>
      </w:pPr>
      <w:r>
        <w:rPr>
          <w:rFonts w:hint="eastAsia" w:ascii="宋体" w:hAnsi="宋体"/>
          <w:sz w:val="24"/>
        </w:rPr>
        <w:t>7.</w:t>
      </w:r>
      <w:r>
        <w:rPr>
          <w:rFonts w:ascii="宋体" w:hAnsi="宋体"/>
          <w:sz w:val="24"/>
        </w:rPr>
        <w:t>（其他补充说明）。</w:t>
      </w:r>
    </w:p>
    <w:p>
      <w:pPr>
        <w:spacing w:line="360" w:lineRule="exact"/>
        <w:rPr>
          <w:rFonts w:ascii="宋体" w:hAnsi="宋体"/>
          <w:sz w:val="18"/>
          <w:szCs w:val="18"/>
        </w:rPr>
      </w:pPr>
    </w:p>
    <w:p>
      <w:pPr>
        <w:spacing w:line="360" w:lineRule="exact"/>
        <w:rPr>
          <w:rFonts w:ascii="宋体" w:hAnsi="宋体"/>
          <w:sz w:val="18"/>
          <w:szCs w:val="18"/>
        </w:rPr>
      </w:pPr>
    </w:p>
    <w:p>
      <w:pPr>
        <w:tabs>
          <w:tab w:val="left" w:pos="2977"/>
          <w:tab w:val="left" w:pos="3261"/>
        </w:tabs>
        <w:spacing w:line="360" w:lineRule="exact"/>
        <w:rPr>
          <w:rFonts w:ascii="宋体" w:hAnsi="宋体"/>
          <w:sz w:val="24"/>
        </w:rPr>
      </w:pPr>
      <w:r>
        <w:rPr>
          <w:rFonts w:ascii="宋体" w:hAnsi="宋体"/>
          <w:sz w:val="24"/>
        </w:rPr>
        <w:t>投标人：（盖单位章）</w:t>
      </w:r>
    </w:p>
    <w:p>
      <w:pPr>
        <w:spacing w:line="360" w:lineRule="exact"/>
        <w:rPr>
          <w:rFonts w:ascii="宋体" w:hAnsi="宋体"/>
          <w:sz w:val="24"/>
        </w:rPr>
      </w:pPr>
      <w:r>
        <w:rPr>
          <w:rFonts w:ascii="宋体" w:hAnsi="宋体"/>
          <w:sz w:val="24"/>
        </w:rPr>
        <w:t>法定代表人或其委托代理人：（签</w:t>
      </w:r>
      <w:r>
        <w:rPr>
          <w:rFonts w:hint="eastAsia" w:ascii="宋体" w:hAnsi="宋体"/>
          <w:sz w:val="24"/>
        </w:rPr>
        <w:t>章</w:t>
      </w:r>
      <w:r>
        <w:rPr>
          <w:rFonts w:ascii="宋体" w:hAnsi="宋体"/>
          <w:sz w:val="24"/>
        </w:rPr>
        <w:t>）</w:t>
      </w:r>
    </w:p>
    <w:p>
      <w:pPr>
        <w:spacing w:line="360" w:lineRule="exact"/>
        <w:rPr>
          <w:rFonts w:ascii="宋体" w:hAnsi="宋体"/>
          <w:sz w:val="24"/>
        </w:rPr>
      </w:pPr>
      <w:r>
        <w:rPr>
          <w:rFonts w:ascii="宋体" w:hAnsi="宋体"/>
          <w:sz w:val="24"/>
        </w:rPr>
        <w:t>地址：</w:t>
      </w:r>
    </w:p>
    <w:p>
      <w:pPr>
        <w:spacing w:line="360" w:lineRule="exact"/>
        <w:rPr>
          <w:rFonts w:ascii="宋体" w:hAnsi="宋体"/>
          <w:sz w:val="24"/>
        </w:rPr>
      </w:pPr>
      <w:r>
        <w:rPr>
          <w:rFonts w:ascii="宋体" w:hAnsi="宋体"/>
          <w:sz w:val="24"/>
        </w:rPr>
        <w:t>网址：</w:t>
      </w:r>
    </w:p>
    <w:p>
      <w:pPr>
        <w:spacing w:line="360" w:lineRule="exact"/>
        <w:rPr>
          <w:rFonts w:ascii="宋体" w:hAnsi="宋体"/>
          <w:sz w:val="24"/>
        </w:rPr>
      </w:pPr>
      <w:r>
        <w:rPr>
          <w:rFonts w:ascii="宋体" w:hAnsi="宋体"/>
          <w:sz w:val="24"/>
        </w:rPr>
        <w:t>电话：</w:t>
      </w:r>
    </w:p>
    <w:p>
      <w:pPr>
        <w:spacing w:line="360" w:lineRule="exact"/>
        <w:rPr>
          <w:rFonts w:ascii="宋体" w:hAnsi="宋体"/>
          <w:sz w:val="24"/>
        </w:rPr>
      </w:pPr>
      <w:r>
        <w:rPr>
          <w:rFonts w:ascii="宋体" w:hAnsi="宋体"/>
          <w:sz w:val="24"/>
        </w:rPr>
        <w:t>传真：</w:t>
      </w:r>
    </w:p>
    <w:p>
      <w:pPr>
        <w:spacing w:line="360" w:lineRule="exact"/>
        <w:rPr>
          <w:rFonts w:ascii="宋体" w:hAnsi="宋体"/>
          <w:sz w:val="24"/>
        </w:rPr>
      </w:pPr>
      <w:r>
        <w:rPr>
          <w:rFonts w:ascii="宋体" w:hAnsi="宋体"/>
          <w:sz w:val="24"/>
        </w:rPr>
        <w:t>邮政编码：</w:t>
      </w:r>
    </w:p>
    <w:p>
      <w:pPr>
        <w:spacing w:line="360" w:lineRule="exact"/>
        <w:rPr>
          <w:rFonts w:ascii="宋体" w:hAnsi="宋体"/>
          <w:sz w:val="24"/>
        </w:rPr>
      </w:pPr>
    </w:p>
    <w:p>
      <w:pPr>
        <w:spacing w:line="360" w:lineRule="exact"/>
        <w:rPr>
          <w:rFonts w:ascii="宋体" w:hAnsi="宋体"/>
          <w:sz w:val="24"/>
        </w:rPr>
      </w:pPr>
      <w:r>
        <w:rPr>
          <w:rFonts w:ascii="宋体" w:hAnsi="宋体"/>
          <w:sz w:val="24"/>
        </w:rPr>
        <w:t>年月日</w:t>
      </w:r>
    </w:p>
    <w:p/>
    <w:p/>
    <w:p/>
    <w:p/>
    <w:p/>
    <w:p/>
    <w:p>
      <w:pPr>
        <w:pStyle w:val="4"/>
        <w:spacing w:beforeLines="100" w:afterLines="150" w:line="360" w:lineRule="exact"/>
        <w:jc w:val="center"/>
        <w:rPr>
          <w:rFonts w:ascii="黑体" w:hAnsi="宋体" w:eastAsia="黑体"/>
          <w:sz w:val="28"/>
          <w:szCs w:val="28"/>
        </w:rPr>
      </w:pPr>
      <w:bookmarkStart w:id="125" w:name="_Toc528314489"/>
    </w:p>
    <w:p>
      <w:pPr>
        <w:pStyle w:val="4"/>
        <w:spacing w:beforeLines="100" w:afterLines="150" w:line="360" w:lineRule="exact"/>
        <w:jc w:val="center"/>
        <w:rPr>
          <w:rFonts w:ascii="黑体" w:hAnsi="宋体" w:eastAsia="黑体"/>
          <w:sz w:val="28"/>
          <w:szCs w:val="28"/>
        </w:rPr>
      </w:pPr>
      <w:r>
        <w:rPr>
          <w:rFonts w:hint="eastAsia" w:ascii="黑体" w:hAnsi="宋体" w:eastAsia="黑体"/>
          <w:sz w:val="28"/>
          <w:szCs w:val="28"/>
        </w:rPr>
        <w:t>二、</w:t>
      </w:r>
      <w:bookmarkEnd w:id="125"/>
      <w:r>
        <w:rPr>
          <w:rFonts w:hint="eastAsia" w:ascii="黑体" w:hAnsi="宋体" w:eastAsia="黑体"/>
          <w:sz w:val="28"/>
          <w:szCs w:val="28"/>
        </w:rPr>
        <w:t>投标函附录</w:t>
      </w:r>
    </w:p>
    <w:p/>
    <w:p>
      <w:pPr>
        <w:ind w:firstLine="400" w:firstLineChars="200"/>
      </w:pPr>
    </w:p>
    <w:p>
      <w:pPr>
        <w:rPr>
          <w:rFonts w:ascii="仿宋" w:hAnsi="仿宋" w:eastAsia="仿宋"/>
        </w:rPr>
      </w:pPr>
    </w:p>
    <w:tbl>
      <w:tblPr>
        <w:tblStyle w:val="10"/>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808"/>
        <w:gridCol w:w="150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348" w:type="dxa"/>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工程名称</w:t>
            </w:r>
          </w:p>
        </w:tc>
        <w:tc>
          <w:tcPr>
            <w:tcW w:w="6778" w:type="dxa"/>
            <w:gridSpan w:val="3"/>
            <w:noWrap/>
            <w:vAlign w:val="center"/>
          </w:tcPr>
          <w:p>
            <w:pPr>
              <w:jc w:val="center"/>
              <w:rPr>
                <w:rFonts w:asciiTheme="minorEastAsia" w:hAnsiTheme="minorEastAsia" w:eastAsiaTheme="minorEastAsia" w:cstheme="min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348" w:type="dxa"/>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p>
        </w:tc>
        <w:tc>
          <w:tcPr>
            <w:tcW w:w="6778" w:type="dxa"/>
            <w:gridSpan w:val="3"/>
            <w:noWrap/>
            <w:vAlign w:val="center"/>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348" w:type="dxa"/>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投标报价（费率）</w:t>
            </w:r>
          </w:p>
        </w:tc>
        <w:tc>
          <w:tcPr>
            <w:tcW w:w="6778" w:type="dxa"/>
            <w:gridSpan w:val="3"/>
            <w:noWrap/>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348" w:type="dxa"/>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投标质量等级</w:t>
            </w:r>
          </w:p>
        </w:tc>
        <w:tc>
          <w:tcPr>
            <w:tcW w:w="6778" w:type="dxa"/>
            <w:gridSpan w:val="3"/>
            <w:noWrap/>
            <w:vAlign w:val="center"/>
          </w:tcPr>
          <w:p>
            <w:pP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348" w:type="dxa"/>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投标工期</w:t>
            </w:r>
          </w:p>
        </w:tc>
        <w:tc>
          <w:tcPr>
            <w:tcW w:w="6778" w:type="dxa"/>
            <w:gridSpan w:val="3"/>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348" w:type="dxa"/>
            <w:noWrap/>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778" w:type="dxa"/>
            <w:gridSpan w:val="3"/>
            <w:noWrap/>
            <w:vAlign w:val="center"/>
          </w:tcPr>
          <w:p>
            <w:pPr>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348" w:type="dxa"/>
            <w:noWrap/>
            <w:vAlign w:val="center"/>
          </w:tcPr>
          <w:p>
            <w:pPr>
              <w:autoSpaceDE w:val="0"/>
              <w:autoSpaceDN w:val="0"/>
              <w:adjustRightInd w:val="0"/>
              <w:spacing w:line="240" w:lineRule="atLeast"/>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zh-CN"/>
              </w:rPr>
              <w:t>项目经理</w:t>
            </w:r>
          </w:p>
        </w:tc>
        <w:tc>
          <w:tcPr>
            <w:tcW w:w="2808" w:type="dxa"/>
            <w:noWrap/>
            <w:vAlign w:val="center"/>
          </w:tcPr>
          <w:p>
            <w:pPr>
              <w:autoSpaceDE w:val="0"/>
              <w:autoSpaceDN w:val="0"/>
              <w:adjustRightInd w:val="0"/>
              <w:spacing w:line="240" w:lineRule="atLeast"/>
              <w:jc w:val="center"/>
              <w:rPr>
                <w:rFonts w:asciiTheme="minorEastAsia" w:hAnsiTheme="minorEastAsia" w:eastAsiaTheme="minorEastAsia" w:cstheme="minorEastAsia"/>
                <w:sz w:val="24"/>
                <w:szCs w:val="28"/>
              </w:rPr>
            </w:pPr>
          </w:p>
        </w:tc>
        <w:tc>
          <w:tcPr>
            <w:tcW w:w="1509" w:type="dxa"/>
            <w:noWrap/>
            <w:vAlign w:val="center"/>
          </w:tcPr>
          <w:p>
            <w:pPr>
              <w:autoSpaceDE w:val="0"/>
              <w:autoSpaceDN w:val="0"/>
              <w:adjustRightInd w:val="0"/>
              <w:spacing w:line="240" w:lineRule="atLeast"/>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lang w:val="zh-CN"/>
              </w:rPr>
              <w:t>注册编号</w:t>
            </w:r>
          </w:p>
        </w:tc>
        <w:tc>
          <w:tcPr>
            <w:tcW w:w="2461" w:type="dxa"/>
            <w:noWrap/>
            <w:vAlign w:val="center"/>
          </w:tcPr>
          <w:p>
            <w:pPr>
              <w:autoSpaceDE w:val="0"/>
              <w:autoSpaceDN w:val="0"/>
              <w:adjustRightInd w:val="0"/>
              <w:spacing w:line="240" w:lineRule="atLeast"/>
              <w:jc w:val="center"/>
              <w:rPr>
                <w:rFonts w:asciiTheme="minorEastAsia" w:hAnsiTheme="minorEastAsia" w:eastAsiaTheme="minorEastAsia" w:cstheme="minorEastAsia"/>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9126" w:type="dxa"/>
            <w:gridSpan w:val="4"/>
            <w:noWrap/>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tc>
      </w:tr>
    </w:tbl>
    <w:p>
      <w:pPr>
        <w:ind w:right="735"/>
        <w:rPr>
          <w:rFonts w:asciiTheme="minorEastAsia" w:hAnsiTheme="minorEastAsia" w:eastAsiaTheme="minorEastAsia" w:cstheme="minorEastAsia"/>
          <w:sz w:val="24"/>
          <w:szCs w:val="24"/>
        </w:rPr>
      </w:pPr>
    </w:p>
    <w:p>
      <w:pPr>
        <w:spacing w:line="360" w:lineRule="auto"/>
        <w:ind w:right="735" w:firstLine="4860" w:firstLineChars="20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投标单位（盖章）：</w:t>
      </w:r>
    </w:p>
    <w:p>
      <w:pPr>
        <w:spacing w:line="360" w:lineRule="auto"/>
        <w:ind w:right="735" w:firstLine="3840" w:firstLineChars="1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pPr>
        <w:spacing w:line="360" w:lineRule="auto"/>
        <w:ind w:right="63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Pr>
        <w:ind w:firstLine="400" w:firstLineChars="200"/>
      </w:pPr>
    </w:p>
    <w:p/>
    <w:p/>
    <w:sectPr>
      <w:headerReference r:id="rId19" w:type="default"/>
      <w:footerReference r:id="rId20" w:type="default"/>
      <w:pgSz w:w="11906" w:h="16838"/>
      <w:pgMar w:top="1440" w:right="1440" w:bottom="1440" w:left="1440" w:header="0" w:footer="85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986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9Hv0Q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v32K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70e/RBECAAAJBAAADgAAAAAAAAABACAA&#10;AAAfAQAAZHJzL2Uyb0RvYy54bWxQSwUGAAAAAAYABgBZAQAAog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5" o:spid="_x0000_s3075"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lXdmxEAIAAAkEAAAOAAAAAAAAAAEAIAAA&#10;AB8BAABkcnMvZTJvRG9jLnhtbFBLBQYAAAAABgAGAFkBAACh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104</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center;mso-position-horizontal-relative:margin;mso-wrap-style:none;z-index:25198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LLHEQAgAACQQAAA4AAABkcnMvZTJvRG9jLnhtbK1TzY7TMBC+I/EO&#10;lu80adFW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b6+y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iyxxEAIAAAkEAAAOAAAAAAAAAAEAIAAA&#10;AB8BAABkcnMvZTJvRG9jLnhtbFBLBQYAAAAABgAGAFkBAACh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108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116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81" o:spid="_x0000_s3081" o:spt="202" type="#_x0000_t202" style="position:absolute;left:0pt;margin-top:0pt;height:144pt;width:144pt;mso-position-horizontal:center;mso-position-horizontal-relative:margin;mso-wrap-style:none;z-index:251985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GfzERAgAACQQAAA4AAABkcnMvZTJvRG9jLnhtbK1TzY7TMBC+I/EO&#10;lu80adEu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dcZ/MRECAAAJBAAADgAAAAAAAAABACAA&#10;AAAfAQAAZHJzL2Uyb0RvYy54bWxQSwUGAAAAAAYABgBZAQAAog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1"/>
      </w:pBdr>
      <w:jc w:val="right"/>
    </w:pPr>
  </w:p>
  <w:p>
    <w:pPr>
      <w:pStyle w:val="7"/>
      <w:jc w:val="right"/>
    </w:pPr>
    <w:r>
      <w:fldChar w:fldCharType="begin"/>
    </w:r>
    <w:r>
      <w:instrText xml:space="preserve">PAGE   \* MERGEFORMAT</w:instrText>
    </w:r>
    <w:r>
      <w:fldChar w:fldCharType="separate"/>
    </w:r>
    <w:r>
      <w:rPr>
        <w:lang w:val="zh-CN"/>
      </w:rPr>
      <w:t>3</w:t>
    </w:r>
    <w:r>
      <w:rPr>
        <w:lang w:val="zh-CN"/>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1"/>
      </w:pBdr>
      <w:jc w:val="right"/>
    </w:pPr>
  </w:p>
  <w:p>
    <w:pPr>
      <w:pStyle w:val="7"/>
      <w:jc w:val="right"/>
    </w:pPr>
    <w:r>
      <w:fldChar w:fldCharType="begin"/>
    </w:r>
    <w:r>
      <w:instrText xml:space="preserve">PAGE   \* MERGEFORMAT</w:instrText>
    </w:r>
    <w:r>
      <w:fldChar w:fldCharType="separate"/>
    </w:r>
    <w:r>
      <w:rPr>
        <w:lang w:val="zh-CN"/>
      </w:rPr>
      <w:t>0</w:t>
    </w:r>
    <w:r>
      <w:rPr>
        <w:lang w:val="zh-CN"/>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80" o:spid="_x0000_s3080" o:spt="202" type="#_x0000_t202" style="position:absolute;left:0pt;margin-top:0pt;height:144pt;width:144pt;mso-position-horizontal:center;mso-position-horizontal-relative:margin;mso-wrap-style:none;z-index:252178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8" o:spid="_x0000_s3078"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7EKs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LsQqxECAAAJBAAADgAAAAAAAAABACAA&#10;AAAfAQAAZHJzL2Uyb0RvYy54bWxQSwUGAAAAAAYABgBZAQAAog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96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7" o:spid="_x0000_s3077"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2Q+s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vqJ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PZD6xECAAAJBAAADgAAAAAAAAABACAA&#10;AAAfAQAAZHJzL2Uyb0RvYy54bWxQSwUGAAAAAAYABgBZAQAAog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102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6" o:spid="_x0000_s307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QivE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RCK8RECAAAJBAAADgAAAAAAAAABACAA&#10;AAAfAQAAZHJzL2Uyb0RvYy54bWxQSwUGAAAAAAYABgBZAQAAog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103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77F80"/>
    <w:multiLevelType w:val="singleLevel"/>
    <w:tmpl w:val="8AC77F80"/>
    <w:lvl w:ilvl="0" w:tentative="0">
      <w:start w:val="2"/>
      <w:numFmt w:val="chineseCounting"/>
      <w:suff w:val="nothing"/>
      <w:lvlText w:val="（%1）"/>
      <w:lvlJc w:val="left"/>
      <w:rPr>
        <w:rFonts w:hint="eastAsia"/>
      </w:rPr>
    </w:lvl>
  </w:abstractNum>
  <w:abstractNum w:abstractNumId="1">
    <w:nsid w:val="D431F4EA"/>
    <w:multiLevelType w:val="singleLevel"/>
    <w:tmpl w:val="D431F4EA"/>
    <w:lvl w:ilvl="0" w:tentative="0">
      <w:start w:val="1"/>
      <w:numFmt w:val="decimal"/>
      <w:suff w:val="nothing"/>
      <w:lvlText w:val="%1、"/>
      <w:lvlJc w:val="left"/>
    </w:lvl>
  </w:abstractNum>
  <w:abstractNum w:abstractNumId="2">
    <w:nsid w:val="D7782B9C"/>
    <w:multiLevelType w:val="singleLevel"/>
    <w:tmpl w:val="D7782B9C"/>
    <w:lvl w:ilvl="0" w:tentative="0">
      <w:start w:val="1"/>
      <w:numFmt w:val="decimal"/>
      <w:suff w:val="nothing"/>
      <w:lvlText w:val="%1、"/>
      <w:lvlJc w:val="left"/>
    </w:lvl>
  </w:abstractNum>
  <w:abstractNum w:abstractNumId="3">
    <w:nsid w:val="E100FA90"/>
    <w:multiLevelType w:val="singleLevel"/>
    <w:tmpl w:val="E100FA90"/>
    <w:lvl w:ilvl="0" w:tentative="0">
      <w:start w:val="1"/>
      <w:numFmt w:val="chineseCounting"/>
      <w:suff w:val="nothing"/>
      <w:lvlText w:val="%1、"/>
      <w:lvlJc w:val="left"/>
      <w:rPr>
        <w:rFonts w:hint="eastAsia"/>
      </w:rPr>
    </w:lvl>
  </w:abstractNum>
  <w:abstractNum w:abstractNumId="4">
    <w:nsid w:val="00000005"/>
    <w:multiLevelType w:val="multilevel"/>
    <w:tmpl w:val="00000005"/>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2"/>
      <w:numFmt w:val="decimal"/>
      <w:lvlText w:val="1.%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9"/>
    <w:multiLevelType w:val="multilevel"/>
    <w:tmpl w:val="00000009"/>
    <w:lvl w:ilvl="0" w:tentative="0">
      <w:start w:val="4"/>
      <w:numFmt w:val="decimal"/>
      <w:lvlText w:val="1.%1"/>
      <w:lvlJc w:val="left"/>
    </w:lvl>
    <w:lvl w:ilvl="1" w:tentative="0">
      <w:start w:val="1"/>
      <w:numFmt w:val="decimal"/>
      <w:lvlText w:val="1.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B"/>
    <w:multiLevelType w:val="multilevel"/>
    <w:tmpl w:val="0000000B"/>
    <w:lvl w:ilvl="0" w:tentative="0">
      <w:start w:val="5"/>
      <w:numFmt w:val="decimal"/>
      <w:lvlText w:val="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C"/>
    <w:multiLevelType w:val="multilevel"/>
    <w:tmpl w:val="0000000C"/>
    <w:lvl w:ilvl="0" w:tentative="0">
      <w:start w:val="7"/>
      <w:numFmt w:val="decimal"/>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F"/>
    <w:multiLevelType w:val="multilevel"/>
    <w:tmpl w:val="0000000F"/>
    <w:lvl w:ilvl="0" w:tentative="0">
      <w:start w:val="11"/>
      <w:numFmt w:val="decimal"/>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0"/>
    <w:multiLevelType w:val="multilevel"/>
    <w:tmpl w:val="00000010"/>
    <w:lvl w:ilvl="0" w:tentative="0">
      <w:start w:val="1"/>
      <w:numFmt w:val="decimal"/>
      <w:lvlText w:val="%1"/>
      <w:lvlJc w:val="left"/>
    </w:lvl>
    <w:lvl w:ilvl="1" w:tentative="0">
      <w:start w:val="2"/>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1"/>
    <w:multiLevelType w:val="multilevel"/>
    <w:tmpl w:val="00000011"/>
    <w:lvl w:ilvl="0" w:tentative="0">
      <w:start w:val="12"/>
      <w:numFmt w:val="decimal"/>
      <w:lvlText w:val="1.%1"/>
      <w:lvlJc w:val="left"/>
    </w:lvl>
    <w:lvl w:ilvl="1" w:tentative="0">
      <w:start w:val="1"/>
      <w:numFmt w:val="decimal"/>
      <w:lvlText w:val="1.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4"/>
    <w:multiLevelType w:val="multilevel"/>
    <w:tmpl w:val="00000014"/>
    <w:lvl w:ilvl="0" w:tentative="0">
      <w:start w:val="3"/>
      <w:numFmt w:val="decimal"/>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6"/>
    <w:multiLevelType w:val="multilevel"/>
    <w:tmpl w:val="00000016"/>
    <w:lvl w:ilvl="0" w:tentative="0">
      <w:start w:val="2"/>
      <w:numFmt w:val="decimal"/>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9"/>
    <w:multiLevelType w:val="multilevel"/>
    <w:tmpl w:val="00000019"/>
    <w:lvl w:ilvl="0" w:tentative="0">
      <w:start w:val="3"/>
      <w:numFmt w:val="decimal"/>
      <w:lvlText w:val="3.%1"/>
      <w:lvlJc w:val="left"/>
    </w:lvl>
    <w:lvl w:ilvl="1" w:tentative="0">
      <w:start w:val="1"/>
      <w:numFmt w:val="decimal"/>
      <w:lvlText w:val="3.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E"/>
    <w:multiLevelType w:val="multilevel"/>
    <w:tmpl w:val="0000001E"/>
    <w:lvl w:ilvl="0" w:tentative="0">
      <w:start w:val="4"/>
      <w:numFmt w:val="decimal"/>
      <w:lvlText w:val="3.5.%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20"/>
    <w:multiLevelType w:val="multilevel"/>
    <w:tmpl w:val="00000020"/>
    <w:lvl w:ilvl="0" w:tentative="0">
      <w:start w:val="6"/>
      <w:numFmt w:val="decimal"/>
      <w:lvlText w:val="3.%1"/>
      <w:lvlJc w:val="left"/>
    </w:lvl>
    <w:lvl w:ilvl="1" w:tentative="0">
      <w:start w:val="1"/>
      <w:numFmt w:val="decimal"/>
      <w:lvlText w:val="3.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21"/>
    <w:multiLevelType w:val="multilevel"/>
    <w:tmpl w:val="00000021"/>
    <w:lvl w:ilvl="0" w:tentative="0">
      <w:start w:val="1"/>
      <w:numFmt w:val="decimal"/>
      <w:lvlText w:val="%1"/>
      <w:lvlJc w:val="left"/>
    </w:lvl>
    <w:lvl w:ilvl="1" w:tentative="0">
      <w:start w:val="1"/>
      <w:numFmt w:val="decimal"/>
      <w:lvlText w:val="3.7.%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22"/>
    <w:multiLevelType w:val="multilevel"/>
    <w:tmpl w:val="00000022"/>
    <w:lvl w:ilvl="0" w:tentative="0">
      <w:start w:val="1"/>
      <w:numFmt w:val="decimal"/>
      <w:lvlText w:val="%1"/>
      <w:lvlJc w:val="left"/>
    </w:lvl>
    <w:lvl w:ilvl="1" w:tentative="0">
      <w:start w:val="4"/>
      <w:numFmt w:val="decimal"/>
      <w:lvlText w:val="3.7.%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28"/>
    <w:multiLevelType w:val="multilevel"/>
    <w:tmpl w:val="00000028"/>
    <w:lvl w:ilvl="0" w:tentative="0">
      <w:start w:val="3"/>
      <w:numFmt w:val="decimal"/>
      <w:lvlText w:val="4.%1"/>
      <w:lvlJc w:val="left"/>
    </w:lvl>
    <w:lvl w:ilvl="1" w:tentative="0">
      <w:start w:val="1"/>
      <w:numFmt w:val="decimal"/>
      <w:lvlText w:val="4.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2B"/>
    <w:multiLevelType w:val="multilevel"/>
    <w:tmpl w:val="0000002B"/>
    <w:lvl w:ilvl="0" w:tentative="0">
      <w:start w:val="2"/>
      <w:numFmt w:val="decimal"/>
      <w:lvlText w:val="5.%1"/>
      <w:lvlJc w:val="left"/>
    </w:lvl>
    <w:lvl w:ilvl="1" w:tentative="0">
      <w:start w:val="1"/>
      <w:numFmt w:val="decimal"/>
      <w:lvlText w:val="5.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2C"/>
    <w:multiLevelType w:val="multilevel"/>
    <w:tmpl w:val="0000002C"/>
    <w:lvl w:ilvl="0" w:tentative="0">
      <w:start w:val="2"/>
      <w:numFmt w:val="decimal"/>
      <w:lvlText w:val="5.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32"/>
    <w:multiLevelType w:val="multilevel"/>
    <w:tmpl w:val="00000032"/>
    <w:lvl w:ilvl="0" w:tentative="0">
      <w:start w:val="2"/>
      <w:numFmt w:val="decimal"/>
      <w:lvlText w:val="6.%1"/>
      <w:lvlJc w:val="left"/>
    </w:lvl>
    <w:lvl w:ilvl="1" w:tentative="0">
      <w:start w:val="1"/>
      <w:numFmt w:val="decimal"/>
      <w:lvlText w:val="6.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6C"/>
    <w:multiLevelType w:val="multilevel"/>
    <w:tmpl w:val="0000006C"/>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6D"/>
    <w:multiLevelType w:val="multilevel"/>
    <w:tmpl w:val="0000006D"/>
    <w:lvl w:ilvl="0" w:tentative="0">
      <w:start w:val="1"/>
      <w:numFmt w:val="decimal"/>
      <w:lvlText w:val="%1"/>
      <w:lvlJc w:val="left"/>
    </w:lvl>
    <w:lvl w:ilvl="1" w:tentative="0">
      <w:start w:val="2"/>
      <w:numFmt w:val="decimal"/>
      <w:lvlText w:val="1.1.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6E"/>
    <w:multiLevelType w:val="multilevel"/>
    <w:tmpl w:val="0000006E"/>
    <w:lvl w:ilvl="0" w:tentative="0">
      <w:start w:val="4"/>
      <w:numFmt w:val="decimal"/>
      <w:lvlText w:val="1.%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6F"/>
    <w:multiLevelType w:val="multilevel"/>
    <w:tmpl w:val="0000006F"/>
    <w:lvl w:ilvl="0" w:tentative="0">
      <w:start w:val="1"/>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70"/>
    <w:multiLevelType w:val="multilevel"/>
    <w:tmpl w:val="00000070"/>
    <w:lvl w:ilvl="0" w:tentative="0">
      <w:start w:val="5"/>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71"/>
    <w:multiLevelType w:val="multilevel"/>
    <w:tmpl w:val="00000071"/>
    <w:lvl w:ilvl="0" w:tentative="0">
      <w:start w:val="1"/>
      <w:numFmt w:val="decimal"/>
      <w:lvlText w:val="4.%1"/>
      <w:lvlJc w:val="left"/>
    </w:lvl>
    <w:lvl w:ilvl="1" w:tentative="0">
      <w:start w:val="9"/>
      <w:numFmt w:val="decimal"/>
      <w:lvlText w:val="4.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72"/>
    <w:multiLevelType w:val="multilevel"/>
    <w:tmpl w:val="00000072"/>
    <w:lvl w:ilvl="0" w:tentative="0">
      <w:start w:val="3"/>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73"/>
    <w:multiLevelType w:val="multilevel"/>
    <w:tmpl w:val="0000007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74"/>
    <w:multiLevelType w:val="multilevel"/>
    <w:tmpl w:val="00000074"/>
    <w:lvl w:ilvl="0" w:tentative="0">
      <w:start w:val="6"/>
      <w:numFmt w:val="decimal"/>
      <w:lvlText w:val="4.3.%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75"/>
    <w:multiLevelType w:val="multilevel"/>
    <w:tmpl w:val="00000075"/>
    <w:lvl w:ilvl="0" w:tentative="0">
      <w:start w:val="1"/>
      <w:numFmt w:val="decimal"/>
      <w:lvlText w:val="%1"/>
      <w:lvlJc w:val="left"/>
    </w:lvl>
    <w:lvl w:ilvl="1" w:tentative="0">
      <w:start w:val="4"/>
      <w:numFmt w:val="decimal"/>
      <w:lvlText w:val="4.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76"/>
    <w:multiLevelType w:val="multilevel"/>
    <w:tmpl w:val="00000076"/>
    <w:lvl w:ilvl="0" w:tentative="0">
      <w:start w:val="6"/>
      <w:numFmt w:val="decimal"/>
      <w:lvlText w:val="4.%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77"/>
    <w:multiLevelType w:val="multilevel"/>
    <w:tmpl w:val="00000077"/>
    <w:lvl w:ilvl="0" w:tentative="0">
      <w:start w:val="11"/>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78"/>
    <w:multiLevelType w:val="multilevel"/>
    <w:tmpl w:val="00000078"/>
    <w:lvl w:ilvl="0" w:tentative="0">
      <w:start w:val="2"/>
      <w:numFmt w:val="decimal"/>
      <w:lvlText w:val="4.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79"/>
    <w:multiLevelType w:val="multilevel"/>
    <w:tmpl w:val="00000079"/>
    <w:lvl w:ilvl="0" w:tentative="0">
      <w:start w:val="2"/>
      <w:numFmt w:val="decimal"/>
      <w:lvlText w:val="9.%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7A"/>
    <w:multiLevelType w:val="multilevel"/>
    <w:tmpl w:val="0000007A"/>
    <w:lvl w:ilvl="0" w:tentative="0">
      <w:start w:val="1"/>
      <w:numFmt w:val="decimal"/>
      <w:lvlText w:val="%1"/>
      <w:lvlJc w:val="left"/>
    </w:lvl>
    <w:lvl w:ilvl="1" w:tentative="0">
      <w:start w:val="8"/>
      <w:numFmt w:val="decimal"/>
      <w:lvlText w:val="9.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7B"/>
    <w:multiLevelType w:val="multilevel"/>
    <w:tmpl w:val="0000007B"/>
    <w:lvl w:ilvl="0" w:tentative="0">
      <w:start w:val="4"/>
      <w:numFmt w:val="decimal"/>
      <w:lvlText w:val="9.%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7C"/>
    <w:multiLevelType w:val="multilevel"/>
    <w:tmpl w:val="0000007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7D"/>
    <w:multiLevelType w:val="multilevel"/>
    <w:tmpl w:val="0000007D"/>
    <w:lvl w:ilvl="0" w:tentative="0">
      <w:start w:val="8"/>
      <w:numFmt w:val="decimal"/>
      <w:lvlText w:val="9.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7E"/>
    <w:multiLevelType w:val="multilevel"/>
    <w:tmpl w:val="0000007E"/>
    <w:lvl w:ilvl="0" w:tentative="0">
      <w:start w:val="4"/>
      <w:numFmt w:val="decimal"/>
      <w:lvlText w:val="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7F"/>
    <w:multiLevelType w:val="multilevel"/>
    <w:tmpl w:val="0000007F"/>
    <w:lvl w:ilvl="0" w:tentative="0">
      <w:start w:val="1"/>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80"/>
    <w:multiLevelType w:val="multilevel"/>
    <w:tmpl w:val="00000080"/>
    <w:lvl w:ilvl="0" w:tentative="0">
      <w:start w:val="2"/>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81"/>
    <w:multiLevelType w:val="multilevel"/>
    <w:tmpl w:val="00000081"/>
    <w:lvl w:ilvl="0" w:tentative="0">
      <w:start w:val="3"/>
      <w:numFmt w:val="decimal"/>
      <w:lvlText w:val="1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82"/>
    <w:multiLevelType w:val="multilevel"/>
    <w:tmpl w:val="00000082"/>
    <w:lvl w:ilvl="0" w:tentative="0">
      <w:start w:val="5"/>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83"/>
    <w:multiLevelType w:val="multilevel"/>
    <w:tmpl w:val="00000083"/>
    <w:lvl w:ilvl="0" w:tentative="0">
      <w:start w:val="1"/>
      <w:numFmt w:val="decimal"/>
      <w:lvlText w:val="%1"/>
      <w:lvlJc w:val="left"/>
    </w:lvl>
    <w:lvl w:ilvl="1" w:tentative="0">
      <w:start w:val="4"/>
      <w:numFmt w:val="decimal"/>
      <w:lvlText w:val="15.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84"/>
    <w:multiLevelType w:val="multilevel"/>
    <w:tmpl w:val="00000084"/>
    <w:lvl w:ilvl="0" w:tentative="0">
      <w:start w:val="4"/>
      <w:numFmt w:val="decimal"/>
      <w:lvlText w:val="15.%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00000085"/>
    <w:multiLevelType w:val="multilevel"/>
    <w:tmpl w:val="00000085"/>
    <w:lvl w:ilvl="0" w:tentative="0">
      <w:start w:val="1"/>
      <w:numFmt w:val="decimal"/>
      <w:lvlText w:val="15.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9">
    <w:nsid w:val="00000086"/>
    <w:multiLevelType w:val="multilevel"/>
    <w:tmpl w:val="00000086"/>
    <w:lvl w:ilvl="0" w:tentative="0">
      <w:start w:val="5"/>
      <w:numFmt w:val="decimal"/>
      <w:lvlText w:val="15.%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0">
    <w:nsid w:val="00000087"/>
    <w:multiLevelType w:val="multilevel"/>
    <w:tmpl w:val="00000087"/>
    <w:lvl w:ilvl="0" w:tentative="0">
      <w:start w:val="1"/>
      <w:numFmt w:val="decimal"/>
      <w:lvlText w:val="%1"/>
      <w:lvlJc w:val="left"/>
    </w:lvl>
    <w:lvl w:ilvl="1" w:tentative="0">
      <w:start w:val="1"/>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1">
    <w:nsid w:val="00000088"/>
    <w:multiLevelType w:val="multilevel"/>
    <w:tmpl w:val="00000088"/>
    <w:lvl w:ilvl="0" w:tentative="0">
      <w:start w:val="4"/>
      <w:numFmt w:val="decimal"/>
      <w:lvlText w:val="15.%1"/>
      <w:lvlJc w:val="left"/>
    </w:lvl>
    <w:lvl w:ilvl="1" w:tentative="0">
      <w:start w:val="3"/>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2">
    <w:nsid w:val="00000089"/>
    <w:multiLevelType w:val="multilevel"/>
    <w:tmpl w:val="00000089"/>
    <w:lvl w:ilvl="0" w:tentative="0">
      <w:start w:val="1"/>
      <w:numFmt w:val="decimal"/>
      <w:lvlText w:val="16.1.%1"/>
      <w:lvlJc w:val="left"/>
    </w:lvl>
    <w:lvl w:ilvl="1" w:tentative="0">
      <w:start w:val="1"/>
      <w:numFmt w:val="decimal"/>
      <w:lvlText w:val="16.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3">
    <w:nsid w:val="0000008A"/>
    <w:multiLevelType w:val="multilevel"/>
    <w:tmpl w:val="0000008A"/>
    <w:lvl w:ilvl="0" w:tentative="0">
      <w:start w:val="2"/>
      <w:numFmt w:val="decimal"/>
      <w:lvlText w:val="17.%1"/>
      <w:lvlJc w:val="left"/>
    </w:lvl>
    <w:lvl w:ilvl="1" w:tentative="0">
      <w:start w:val="1"/>
      <w:numFmt w:val="decimal"/>
      <w:lvlText w:val="17.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4">
    <w:nsid w:val="0000008B"/>
    <w:multiLevelType w:val="multilevel"/>
    <w:tmpl w:val="0000008B"/>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5">
    <w:nsid w:val="0000008C"/>
    <w:multiLevelType w:val="multilevel"/>
    <w:tmpl w:val="0000008C"/>
    <w:lvl w:ilvl="0" w:tentative="0">
      <w:start w:val="4"/>
      <w:numFmt w:val="decimal"/>
      <w:lvlText w:val="17.%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6">
    <w:nsid w:val="0000008D"/>
    <w:multiLevelType w:val="multilevel"/>
    <w:tmpl w:val="0000008D"/>
    <w:lvl w:ilvl="0" w:tentative="0">
      <w:start w:val="1"/>
      <w:numFmt w:val="decimal"/>
      <w:lvlText w:val="17.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7">
    <w:nsid w:val="0000008E"/>
    <w:multiLevelType w:val="multilevel"/>
    <w:tmpl w:val="0000008E"/>
    <w:lvl w:ilvl="0" w:tentative="0">
      <w:start w:val="5"/>
      <w:numFmt w:val="decimal"/>
      <w:lvlText w:val="17.%1"/>
      <w:lvlJc w:val="left"/>
    </w:lvl>
    <w:lvl w:ilvl="1" w:tentative="0">
      <w:start w:val="1"/>
      <w:numFmt w:val="decimal"/>
      <w:lvlText w:val="17.5.%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8">
    <w:nsid w:val="0000008F"/>
    <w:multiLevelType w:val="multilevel"/>
    <w:tmpl w:val="0000008F"/>
    <w:lvl w:ilvl="0" w:tentative="0">
      <w:start w:val="6"/>
      <w:numFmt w:val="decimal"/>
      <w:lvlText w:val="17.%1"/>
      <w:lvlJc w:val="left"/>
    </w:lvl>
    <w:lvl w:ilvl="1" w:tentative="0">
      <w:start w:val="1"/>
      <w:numFmt w:val="decimal"/>
      <w:lvlText w:val="17.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9">
    <w:nsid w:val="00000090"/>
    <w:multiLevelType w:val="multilevel"/>
    <w:tmpl w:val="00000090"/>
    <w:lvl w:ilvl="0" w:tentative="0">
      <w:start w:val="1"/>
      <w:numFmt w:val="decimal"/>
      <w:lvlText w:val="20.%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0">
    <w:nsid w:val="00000091"/>
    <w:multiLevelType w:val="multilevel"/>
    <w:tmpl w:val="00000091"/>
    <w:lvl w:ilvl="0" w:tentative="0">
      <w:start w:val="6"/>
      <w:numFmt w:val="decimal"/>
      <w:lvlText w:val="20.%1"/>
      <w:lvlJc w:val="left"/>
    </w:lvl>
    <w:lvl w:ilvl="1" w:tentative="0">
      <w:start w:val="1"/>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1">
    <w:nsid w:val="00000092"/>
    <w:multiLevelType w:val="multilevel"/>
    <w:tmpl w:val="00000092"/>
    <w:lvl w:ilvl="0" w:tentative="0">
      <w:start w:val="1"/>
      <w:numFmt w:val="decimal"/>
      <w:lvlText w:val="%1"/>
      <w:lvlJc w:val="left"/>
    </w:lvl>
    <w:lvl w:ilvl="1" w:tentative="0">
      <w:start w:val="3"/>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2">
    <w:nsid w:val="00000093"/>
    <w:multiLevelType w:val="multilevel"/>
    <w:tmpl w:val="00000093"/>
    <w:lvl w:ilvl="0" w:tentative="0">
      <w:start w:val="3"/>
      <w:numFmt w:val="decimal"/>
      <w:lvlText w:val="21.%1"/>
      <w:lvlJc w:val="left"/>
    </w:lvl>
    <w:lvl w:ilvl="1" w:tentative="0">
      <w:start w:val="4"/>
      <w:numFmt w:val="decimal"/>
      <w:lvlText w:val="21.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3">
    <w:nsid w:val="00000094"/>
    <w:multiLevelType w:val="multilevel"/>
    <w:tmpl w:val="00000094"/>
    <w:lvl w:ilvl="0" w:tentative="0">
      <w:start w:val="1"/>
      <w:numFmt w:val="decimal"/>
      <w:lvlText w:val="22.%1"/>
      <w:lvlJc w:val="left"/>
    </w:lvl>
    <w:lvl w:ilvl="1" w:tentative="0">
      <w:start w:val="1"/>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4">
    <w:nsid w:val="00000095"/>
    <w:multiLevelType w:val="multilevel"/>
    <w:tmpl w:val="00000095"/>
    <w:lvl w:ilvl="0" w:tentative="0">
      <w:start w:val="11"/>
      <w:numFmt w:val="decimal"/>
      <w:lvlText w:val="4.%1"/>
      <w:lvlJc w:val="left"/>
    </w:lvl>
    <w:lvl w:ilvl="1" w:tentative="0">
      <w:start w:val="1"/>
      <w:numFmt w:val="decimal"/>
      <w:lvlText w:val="4.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5">
    <w:nsid w:val="00000096"/>
    <w:multiLevelType w:val="multilevel"/>
    <w:tmpl w:val="00000096"/>
    <w:lvl w:ilvl="0" w:tentative="0">
      <w:start w:val="1"/>
      <w:numFmt w:val="decimal"/>
      <w:lvlText w:val="%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6">
    <w:nsid w:val="00000098"/>
    <w:multiLevelType w:val="multilevel"/>
    <w:tmpl w:val="00000098"/>
    <w:lvl w:ilvl="0" w:tentative="0">
      <w:start w:val="1"/>
      <w:numFmt w:val="decimal"/>
      <w:lvlText w:val="%1"/>
      <w:lvlJc w:val="left"/>
    </w:lvl>
    <w:lvl w:ilvl="1" w:tentative="0">
      <w:start w:val="5"/>
      <w:numFmt w:val="decimal"/>
      <w:lvlText w:val="17.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7">
    <w:nsid w:val="00000099"/>
    <w:multiLevelType w:val="multilevel"/>
    <w:tmpl w:val="00000099"/>
    <w:lvl w:ilvl="0" w:tentative="0">
      <w:start w:val="3"/>
      <w:numFmt w:val="decimal"/>
      <w:lvlText w:val="17.%1"/>
      <w:lvlJc w:val="left"/>
    </w:lvl>
    <w:lvl w:ilvl="1" w:tentative="0">
      <w:start w:val="5"/>
      <w:numFmt w:val="decimal"/>
      <w:lvlText w:val="17.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8">
    <w:nsid w:val="0000009A"/>
    <w:multiLevelType w:val="multilevel"/>
    <w:tmpl w:val="0000009A"/>
    <w:lvl w:ilvl="0" w:tentative="0">
      <w:start w:val="1"/>
      <w:numFmt w:val="decimal"/>
      <w:lvlText w:val="%1"/>
      <w:lvlJc w:val="left"/>
    </w:lvl>
    <w:lvl w:ilvl="1" w:tentative="0">
      <w:start w:val="1"/>
      <w:numFmt w:val="decimal"/>
      <w:lvlText w:val="2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9">
    <w:nsid w:val="0000009B"/>
    <w:multiLevelType w:val="multilevel"/>
    <w:tmpl w:val="0000009B"/>
    <w:lvl w:ilvl="0" w:tentative="0">
      <w:start w:val="1"/>
      <w:numFmt w:val="decimal"/>
      <w:lvlText w:val="22.%1"/>
      <w:lvlJc w:val="left"/>
    </w:lvl>
    <w:lvl w:ilvl="1" w:tentative="0">
      <w:start w:val="2"/>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0">
    <w:nsid w:val="0000009C"/>
    <w:multiLevelType w:val="multilevel"/>
    <w:tmpl w:val="0000009C"/>
    <w:lvl w:ilvl="0" w:tentative="0">
      <w:start w:val="1"/>
      <w:numFmt w:val="decimal"/>
      <w:lvlText w:val="%1"/>
      <w:lvlJc w:val="left"/>
    </w:lvl>
    <w:lvl w:ilvl="1" w:tentative="0">
      <w:start w:val="2"/>
      <w:numFmt w:val="decimal"/>
      <w:lvlText w:val="2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1">
    <w:nsid w:val="0000009D"/>
    <w:multiLevelType w:val="multilevel"/>
    <w:tmpl w:val="0000009D"/>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2">
    <w:nsid w:val="0000009E"/>
    <w:multiLevelType w:val="multilevel"/>
    <w:tmpl w:val="0000009E"/>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3">
    <w:nsid w:val="0000009F"/>
    <w:multiLevelType w:val="multilevel"/>
    <w:tmpl w:val="0000009F"/>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4">
    <w:nsid w:val="000000A0"/>
    <w:multiLevelType w:val="multilevel"/>
    <w:tmpl w:val="000000A0"/>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5">
    <w:nsid w:val="000000A1"/>
    <w:multiLevelType w:val="multilevel"/>
    <w:tmpl w:val="000000A1"/>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6">
    <w:nsid w:val="000000A2"/>
    <w:multiLevelType w:val="multilevel"/>
    <w:tmpl w:val="000000A2"/>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7">
    <w:nsid w:val="00888DCD"/>
    <w:multiLevelType w:val="singleLevel"/>
    <w:tmpl w:val="00888DCD"/>
    <w:lvl w:ilvl="0" w:tentative="0">
      <w:start w:val="2"/>
      <w:numFmt w:val="decimal"/>
      <w:lvlText w:val="%1."/>
      <w:lvlJc w:val="left"/>
      <w:pPr>
        <w:tabs>
          <w:tab w:val="left" w:pos="312"/>
        </w:tabs>
      </w:pPr>
    </w:lvl>
  </w:abstractNum>
  <w:abstractNum w:abstractNumId="78">
    <w:nsid w:val="5AA627CA"/>
    <w:multiLevelType w:val="singleLevel"/>
    <w:tmpl w:val="5AA627CA"/>
    <w:lvl w:ilvl="0" w:tentative="0">
      <w:start w:val="8"/>
      <w:numFmt w:val="chineseCounting"/>
      <w:lvlText w:val="第%1章"/>
      <w:lvlJc w:val="left"/>
    </w:lvl>
  </w:abstractNum>
  <w:abstractNum w:abstractNumId="79">
    <w:nsid w:val="5AA73357"/>
    <w:multiLevelType w:val="singleLevel"/>
    <w:tmpl w:val="5AA73357"/>
    <w:lvl w:ilvl="0" w:tentative="0">
      <w:start w:val="2"/>
      <w:numFmt w:val="decimal"/>
      <w:suff w:val="nothing"/>
      <w:lvlText w:val="（%1）"/>
      <w:lvlJc w:val="left"/>
    </w:lvl>
  </w:abstractNum>
  <w:abstractNum w:abstractNumId="80">
    <w:nsid w:val="5AB0773D"/>
    <w:multiLevelType w:val="singleLevel"/>
    <w:tmpl w:val="5AB0773D"/>
    <w:lvl w:ilvl="0" w:tentative="0">
      <w:start w:val="6"/>
      <w:numFmt w:val="decimal"/>
      <w:suff w:val="nothing"/>
      <w:lvlText w:val="（%1）"/>
      <w:lvlJc w:val="left"/>
    </w:lvl>
  </w:abstractNum>
  <w:abstractNum w:abstractNumId="81">
    <w:nsid w:val="5AB09F39"/>
    <w:multiLevelType w:val="singleLevel"/>
    <w:tmpl w:val="5AB09F39"/>
    <w:lvl w:ilvl="0" w:tentative="0">
      <w:start w:val="1"/>
      <w:numFmt w:val="lowerLetter"/>
      <w:lvlText w:val="%1."/>
      <w:lvlJc w:val="left"/>
      <w:pPr>
        <w:tabs>
          <w:tab w:val="left" w:pos="312"/>
        </w:tabs>
      </w:pPr>
    </w:lvl>
  </w:abstractNum>
  <w:abstractNum w:abstractNumId="82">
    <w:nsid w:val="5AB203C0"/>
    <w:multiLevelType w:val="singleLevel"/>
    <w:tmpl w:val="5AB203C0"/>
    <w:lvl w:ilvl="0" w:tentative="0">
      <w:start w:val="1"/>
      <w:numFmt w:val="decimal"/>
      <w:suff w:val="nothing"/>
      <w:lvlText w:val="（%1）"/>
      <w:lvlJc w:val="left"/>
    </w:lvl>
  </w:abstractNum>
  <w:abstractNum w:abstractNumId="83">
    <w:nsid w:val="5AB2079B"/>
    <w:multiLevelType w:val="singleLevel"/>
    <w:tmpl w:val="5AB2079B"/>
    <w:lvl w:ilvl="0" w:tentative="0">
      <w:start w:val="6"/>
      <w:numFmt w:val="chineseCounting"/>
      <w:lvlText w:val="第%1章"/>
      <w:lvlJc w:val="left"/>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79"/>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80"/>
  </w:num>
  <w:num w:numId="22">
    <w:abstractNumId w:val="21"/>
  </w:num>
  <w:num w:numId="23">
    <w:abstractNumId w:val="22"/>
  </w:num>
  <w:num w:numId="24">
    <w:abstractNumId w:val="82"/>
  </w:num>
  <w:num w:numId="25">
    <w:abstractNumId w:val="81"/>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83"/>
  </w:num>
  <w:num w:numId="81">
    <w:abstractNumId w:val="78"/>
  </w:num>
  <w:num w:numId="82">
    <w:abstractNumId w:val="0"/>
  </w:num>
  <w:num w:numId="83">
    <w:abstractNumId w:val="77"/>
  </w:num>
  <w:num w:numId="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829510E"/>
    <w:rsid w:val="00032B01"/>
    <w:rsid w:val="00035480"/>
    <w:rsid w:val="00093756"/>
    <w:rsid w:val="00116DD7"/>
    <w:rsid w:val="001C65BB"/>
    <w:rsid w:val="001D165C"/>
    <w:rsid w:val="00211D10"/>
    <w:rsid w:val="00222AF0"/>
    <w:rsid w:val="002309F7"/>
    <w:rsid w:val="00231FBA"/>
    <w:rsid w:val="00281045"/>
    <w:rsid w:val="00325781"/>
    <w:rsid w:val="00350A36"/>
    <w:rsid w:val="00364B9D"/>
    <w:rsid w:val="003D2030"/>
    <w:rsid w:val="0043290B"/>
    <w:rsid w:val="004C1857"/>
    <w:rsid w:val="004D4921"/>
    <w:rsid w:val="004E2006"/>
    <w:rsid w:val="005058E3"/>
    <w:rsid w:val="0051187D"/>
    <w:rsid w:val="005C0FA2"/>
    <w:rsid w:val="00640AAA"/>
    <w:rsid w:val="00664FCD"/>
    <w:rsid w:val="007E5066"/>
    <w:rsid w:val="00816048"/>
    <w:rsid w:val="0082653B"/>
    <w:rsid w:val="0083737E"/>
    <w:rsid w:val="00873B69"/>
    <w:rsid w:val="00890F49"/>
    <w:rsid w:val="008B6727"/>
    <w:rsid w:val="008C585F"/>
    <w:rsid w:val="0095754F"/>
    <w:rsid w:val="00A21770"/>
    <w:rsid w:val="00AB6AA9"/>
    <w:rsid w:val="00AF78E7"/>
    <w:rsid w:val="00B01B63"/>
    <w:rsid w:val="00B16C6D"/>
    <w:rsid w:val="00B929DE"/>
    <w:rsid w:val="00B93732"/>
    <w:rsid w:val="00C054C0"/>
    <w:rsid w:val="00D16446"/>
    <w:rsid w:val="00D32A9D"/>
    <w:rsid w:val="00D361D1"/>
    <w:rsid w:val="00D758DA"/>
    <w:rsid w:val="00DE1DE3"/>
    <w:rsid w:val="00E16E7C"/>
    <w:rsid w:val="00E24506"/>
    <w:rsid w:val="00E874AB"/>
    <w:rsid w:val="00F1054C"/>
    <w:rsid w:val="00F34D6D"/>
    <w:rsid w:val="00F803B3"/>
    <w:rsid w:val="01D65840"/>
    <w:rsid w:val="02360E4A"/>
    <w:rsid w:val="03FF37CF"/>
    <w:rsid w:val="04726AF0"/>
    <w:rsid w:val="056C7F2B"/>
    <w:rsid w:val="06C86626"/>
    <w:rsid w:val="07604990"/>
    <w:rsid w:val="07812EE2"/>
    <w:rsid w:val="07A46811"/>
    <w:rsid w:val="086700C1"/>
    <w:rsid w:val="092D5351"/>
    <w:rsid w:val="09E6498B"/>
    <w:rsid w:val="09F041AB"/>
    <w:rsid w:val="0AD53BAB"/>
    <w:rsid w:val="0B6816B3"/>
    <w:rsid w:val="0C9438A4"/>
    <w:rsid w:val="0CEB4BBB"/>
    <w:rsid w:val="10B21A16"/>
    <w:rsid w:val="11D07C28"/>
    <w:rsid w:val="139558F8"/>
    <w:rsid w:val="13E51956"/>
    <w:rsid w:val="15201497"/>
    <w:rsid w:val="15A2258F"/>
    <w:rsid w:val="160842CB"/>
    <w:rsid w:val="164F2708"/>
    <w:rsid w:val="176425E6"/>
    <w:rsid w:val="177C7F06"/>
    <w:rsid w:val="182F1F9F"/>
    <w:rsid w:val="18332E02"/>
    <w:rsid w:val="18394F4F"/>
    <w:rsid w:val="186D249F"/>
    <w:rsid w:val="1B2C4500"/>
    <w:rsid w:val="1D450603"/>
    <w:rsid w:val="1E700D66"/>
    <w:rsid w:val="1F6D45A5"/>
    <w:rsid w:val="1F7618F4"/>
    <w:rsid w:val="203221DE"/>
    <w:rsid w:val="20A5639E"/>
    <w:rsid w:val="22B021AD"/>
    <w:rsid w:val="26073DEB"/>
    <w:rsid w:val="27D4616A"/>
    <w:rsid w:val="28142357"/>
    <w:rsid w:val="2A2D5E52"/>
    <w:rsid w:val="2ACF6F7D"/>
    <w:rsid w:val="2B153DF4"/>
    <w:rsid w:val="2B882ED3"/>
    <w:rsid w:val="2BCC02E3"/>
    <w:rsid w:val="2BDE25BA"/>
    <w:rsid w:val="2CD373C3"/>
    <w:rsid w:val="2D381C53"/>
    <w:rsid w:val="2DF32997"/>
    <w:rsid w:val="2E620E43"/>
    <w:rsid w:val="2E692CD5"/>
    <w:rsid w:val="2EA92EF8"/>
    <w:rsid w:val="2F820CFC"/>
    <w:rsid w:val="302E388C"/>
    <w:rsid w:val="3123486B"/>
    <w:rsid w:val="3370570E"/>
    <w:rsid w:val="35843307"/>
    <w:rsid w:val="35F64171"/>
    <w:rsid w:val="36255A60"/>
    <w:rsid w:val="36C85F18"/>
    <w:rsid w:val="378F7E91"/>
    <w:rsid w:val="380B2CE9"/>
    <w:rsid w:val="38BA33E0"/>
    <w:rsid w:val="3A1D2B8D"/>
    <w:rsid w:val="3A4C1DDA"/>
    <w:rsid w:val="3B1006EF"/>
    <w:rsid w:val="3C7D3509"/>
    <w:rsid w:val="3D2018CD"/>
    <w:rsid w:val="3DEE53FC"/>
    <w:rsid w:val="3EF21DB7"/>
    <w:rsid w:val="3FFB4D27"/>
    <w:rsid w:val="41AF6BA8"/>
    <w:rsid w:val="422C269D"/>
    <w:rsid w:val="425F5339"/>
    <w:rsid w:val="426F47B5"/>
    <w:rsid w:val="42A0769C"/>
    <w:rsid w:val="437212B6"/>
    <w:rsid w:val="43B70E0B"/>
    <w:rsid w:val="44A923C6"/>
    <w:rsid w:val="44BC2089"/>
    <w:rsid w:val="46CE0456"/>
    <w:rsid w:val="46D25AD5"/>
    <w:rsid w:val="474D7417"/>
    <w:rsid w:val="47D812AA"/>
    <w:rsid w:val="4829510E"/>
    <w:rsid w:val="48EB265A"/>
    <w:rsid w:val="49D102BA"/>
    <w:rsid w:val="49E41DA6"/>
    <w:rsid w:val="4A5A3C40"/>
    <w:rsid w:val="4AC43F38"/>
    <w:rsid w:val="4F166189"/>
    <w:rsid w:val="4FFF3803"/>
    <w:rsid w:val="50087331"/>
    <w:rsid w:val="51E62F8E"/>
    <w:rsid w:val="51E6778A"/>
    <w:rsid w:val="54C447C5"/>
    <w:rsid w:val="552E52AC"/>
    <w:rsid w:val="58145B90"/>
    <w:rsid w:val="58E6173A"/>
    <w:rsid w:val="5925023E"/>
    <w:rsid w:val="59B36D11"/>
    <w:rsid w:val="59D45C2C"/>
    <w:rsid w:val="5A552785"/>
    <w:rsid w:val="5BD135EC"/>
    <w:rsid w:val="5C510BE5"/>
    <w:rsid w:val="5C7D59D2"/>
    <w:rsid w:val="5C8E3949"/>
    <w:rsid w:val="5D6E2049"/>
    <w:rsid w:val="5DC2281B"/>
    <w:rsid w:val="601637C6"/>
    <w:rsid w:val="607C198B"/>
    <w:rsid w:val="61E5605A"/>
    <w:rsid w:val="61EF07B5"/>
    <w:rsid w:val="628D3119"/>
    <w:rsid w:val="63B70F47"/>
    <w:rsid w:val="63BD2C3E"/>
    <w:rsid w:val="63EC036B"/>
    <w:rsid w:val="648D6C3B"/>
    <w:rsid w:val="6510133A"/>
    <w:rsid w:val="663305B6"/>
    <w:rsid w:val="66FF55D6"/>
    <w:rsid w:val="67DA73B0"/>
    <w:rsid w:val="6984056F"/>
    <w:rsid w:val="6A3930EA"/>
    <w:rsid w:val="6C41339C"/>
    <w:rsid w:val="6C443BCF"/>
    <w:rsid w:val="6C557E9F"/>
    <w:rsid w:val="6C6959BF"/>
    <w:rsid w:val="6DB96C16"/>
    <w:rsid w:val="6F1E065B"/>
    <w:rsid w:val="6F8A2DEF"/>
    <w:rsid w:val="70362CB5"/>
    <w:rsid w:val="71BB0057"/>
    <w:rsid w:val="732F5A0A"/>
    <w:rsid w:val="7613581F"/>
    <w:rsid w:val="76F42E03"/>
    <w:rsid w:val="77540833"/>
    <w:rsid w:val="77F16968"/>
    <w:rsid w:val="79284A4C"/>
    <w:rsid w:val="796A0100"/>
    <w:rsid w:val="7ABF09E8"/>
    <w:rsid w:val="7C16684A"/>
    <w:rsid w:val="7C560502"/>
    <w:rsid w:val="7C9A3C76"/>
    <w:rsid w:val="7CE90619"/>
    <w:rsid w:val="7CFA6521"/>
    <w:rsid w:val="7EFB1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99"/>
    <w:pPr>
      <w:keepNext/>
      <w:keepLines/>
      <w:widowControl w:val="0"/>
      <w:spacing w:before="340" w:after="330" w:line="576" w:lineRule="auto"/>
      <w:jc w:val="both"/>
      <w:outlineLvl w:val="0"/>
    </w:pPr>
    <w:rPr>
      <w:b/>
      <w:bCs/>
      <w:kern w:val="44"/>
      <w:sz w:val="44"/>
      <w:szCs w:val="4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rPr>
      <w:rFonts w:ascii="宋体"/>
      <w:sz w:val="34"/>
    </w:r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footnote text"/>
    <w:basedOn w:val="1"/>
    <w:qFormat/>
    <w:uiPriority w:val="0"/>
    <w:pPr>
      <w:snapToGrid w:val="0"/>
    </w:pPr>
    <w:rPr>
      <w:sz w:val="18"/>
      <w:szCs w:val="18"/>
    </w:r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qFormat/>
    <w:uiPriority w:val="0"/>
    <w:rPr>
      <w:color w:val="000000"/>
      <w:u w:val="none"/>
    </w:rPr>
  </w:style>
  <w:style w:type="character" w:styleId="15">
    <w:name w:val="footnote reference"/>
    <w:basedOn w:val="11"/>
    <w:qFormat/>
    <w:uiPriority w:val="0"/>
    <w:rPr>
      <w:vertAlign w:val="superscript"/>
    </w:rPr>
  </w:style>
  <w:style w:type="paragraph" w:customStyle="1" w:styleId="16">
    <w:name w:val="Table Paragraph"/>
    <w:basedOn w:val="1"/>
    <w:qFormat/>
    <w:uiPriority w:val="1"/>
  </w:style>
  <w:style w:type="character" w:customStyle="1" w:styleId="17">
    <w:name w:val="批注框文本 Char"/>
    <w:basedOn w:val="11"/>
    <w:link w:val="6"/>
    <w:qFormat/>
    <w:uiPriority w:val="0"/>
    <w:rPr>
      <w:sz w:val="18"/>
      <w:szCs w:val="18"/>
    </w:rPr>
  </w:style>
  <w:style w:type="character" w:customStyle="1" w:styleId="18">
    <w:name w:val="green"/>
    <w:basedOn w:val="11"/>
    <w:qFormat/>
    <w:uiPriority w:val="0"/>
    <w:rPr>
      <w:color w:val="66AE00"/>
      <w:sz w:val="18"/>
      <w:szCs w:val="18"/>
    </w:rPr>
  </w:style>
  <w:style w:type="character" w:customStyle="1" w:styleId="19">
    <w:name w:val="green1"/>
    <w:basedOn w:val="11"/>
    <w:qFormat/>
    <w:uiPriority w:val="0"/>
    <w:rPr>
      <w:color w:val="66AE00"/>
      <w:sz w:val="18"/>
      <w:szCs w:val="18"/>
    </w:rPr>
  </w:style>
  <w:style w:type="character" w:customStyle="1" w:styleId="20">
    <w:name w:val="red"/>
    <w:basedOn w:val="11"/>
    <w:qFormat/>
    <w:uiPriority w:val="0"/>
    <w:rPr>
      <w:color w:val="FF0000"/>
      <w:sz w:val="18"/>
      <w:szCs w:val="18"/>
    </w:rPr>
  </w:style>
  <w:style w:type="character" w:customStyle="1" w:styleId="21">
    <w:name w:val="red1"/>
    <w:basedOn w:val="11"/>
    <w:qFormat/>
    <w:uiPriority w:val="0"/>
    <w:rPr>
      <w:color w:val="FF0000"/>
      <w:sz w:val="18"/>
      <w:szCs w:val="18"/>
    </w:rPr>
  </w:style>
  <w:style w:type="character" w:customStyle="1" w:styleId="22">
    <w:name w:val="red2"/>
    <w:basedOn w:val="11"/>
    <w:qFormat/>
    <w:uiPriority w:val="0"/>
    <w:rPr>
      <w:color w:val="CC0000"/>
    </w:rPr>
  </w:style>
  <w:style w:type="character" w:customStyle="1" w:styleId="23">
    <w:name w:val="red3"/>
    <w:basedOn w:val="11"/>
    <w:qFormat/>
    <w:uiPriority w:val="0"/>
    <w:rPr>
      <w:color w:val="FF0000"/>
    </w:rPr>
  </w:style>
  <w:style w:type="character" w:customStyle="1" w:styleId="24">
    <w:name w:val="hover25"/>
    <w:basedOn w:val="11"/>
    <w:qFormat/>
    <w:uiPriority w:val="0"/>
  </w:style>
  <w:style w:type="character" w:customStyle="1" w:styleId="25">
    <w:name w:val="blue"/>
    <w:basedOn w:val="11"/>
    <w:qFormat/>
    <w:uiPriority w:val="0"/>
    <w:rPr>
      <w:color w:val="0371C6"/>
      <w:sz w:val="21"/>
      <w:szCs w:val="21"/>
    </w:rPr>
  </w:style>
  <w:style w:type="character" w:customStyle="1" w:styleId="26">
    <w:name w:val="gb-jt"/>
    <w:basedOn w:val="11"/>
    <w:qFormat/>
    <w:uiPriority w:val="0"/>
  </w:style>
  <w:style w:type="character" w:customStyle="1" w:styleId="27">
    <w:name w:val="right"/>
    <w:basedOn w:val="11"/>
    <w:qFormat/>
    <w:uiPriority w:val="0"/>
    <w:rPr>
      <w:color w:val="999999"/>
      <w:sz w:val="18"/>
      <w:szCs w:val="18"/>
    </w:rPr>
  </w:style>
  <w:style w:type="character" w:customStyle="1" w:styleId="28">
    <w:name w:val="hover"/>
    <w:basedOn w:val="11"/>
    <w:qFormat/>
    <w:uiPriority w:val="0"/>
  </w:style>
  <w:style w:type="character" w:customStyle="1" w:styleId="29">
    <w:name w:val="hover24"/>
    <w:basedOn w:val="11"/>
    <w:qFormat/>
    <w:uiPriority w:val="0"/>
  </w:style>
  <w:style w:type="paragraph" w:styleId="30">
    <w:name w:val="List Paragraph"/>
    <w:basedOn w:val="1"/>
    <w:unhideWhenUsed/>
    <w:qFormat/>
    <w:uiPriority w:val="99"/>
    <w:pPr>
      <w:ind w:firstLine="420" w:firstLineChars="200"/>
    </w:pPr>
  </w:style>
  <w:style w:type="paragraph" w:customStyle="1" w:styleId="31">
    <w:name w:val="Char Char Char"/>
    <w:basedOn w:val="1"/>
    <w:qFormat/>
    <w:uiPriority w:val="0"/>
    <w:pPr>
      <w:widowControl w:val="0"/>
      <w:jc w:val="both"/>
    </w:pPr>
    <w:rPr>
      <w:kern w:val="2"/>
      <w:sz w:val="21"/>
    </w:rPr>
  </w:style>
  <w:style w:type="paragraph" w:customStyle="1" w:styleId="32">
    <w:name w:val="标题 3_16"/>
    <w:qFormat/>
    <w:uiPriority w:val="0"/>
    <w:pPr>
      <w:keepNext/>
      <w:widowControl w:val="0"/>
      <w:spacing w:line="360" w:lineRule="auto"/>
      <w:jc w:val="both"/>
      <w:outlineLvl w:val="2"/>
    </w:pPr>
    <w:rPr>
      <w:rFonts w:ascii="Calibri" w:hAnsi="Calibri" w:eastAsia="黑体" w:cs="Times New Roman"/>
      <w:b/>
      <w:kern w:val="2"/>
      <w:sz w:val="24"/>
      <w:szCs w:val="24"/>
      <w:lang w:val="en-US" w:eastAsia="zh-CN" w:bidi="ar-SA"/>
    </w:rPr>
  </w:style>
  <w:style w:type="paragraph" w:customStyle="1" w:styleId="33">
    <w:name w:val="正文_60_0"/>
    <w:basedOn w:val="34"/>
    <w:qFormat/>
    <w:uiPriority w:val="0"/>
    <w:rPr>
      <w:rFonts w:ascii="Calibri" w:hAnsi="Calibri"/>
    </w:rPr>
  </w:style>
  <w:style w:type="paragraph" w:customStyle="1" w:styleId="34">
    <w:name w:val="正文_6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header" Target="header3.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134</Pages>
  <Words>11225</Words>
  <Characters>63989</Characters>
  <Lines>533</Lines>
  <Paragraphs>150</Paragraphs>
  <TotalTime>2</TotalTime>
  <ScaleCrop>false</ScaleCrop>
  <LinksUpToDate>false</LinksUpToDate>
  <CharactersWithSpaces>75064</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2018-12-17T11:14:00Z</dcterms:created>
  <dc:creator>莫。。</dc:creator>
  <cp:lastModifiedBy>╲_/戀煋兒╰</cp:lastModifiedBy>
  <cp:lastPrinted>2019-05-29T09:29:00Z</cp:lastPrinted>
  <dcterms:modified xsi:type="dcterms:W3CDTF">2019-05-30T04:42:50Z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