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-258" w:rightChars="-123"/>
        <w:jc w:val="center"/>
        <w:rPr>
          <w:rFonts w:hint="eastAsia" w:ascii="黑体" w:hAnsi="黑体" w:eastAsia="黑体" w:cs="黑体"/>
          <w:kern w:val="0"/>
          <w:sz w:val="36"/>
          <w:szCs w:val="36"/>
          <w:lang w:val="en-US" w:eastAsia="zh-CN" w:bidi="ar"/>
        </w:rPr>
      </w:pPr>
      <w:r>
        <w:rPr>
          <w:rFonts w:hint="eastAsia" w:ascii="黑体" w:hAnsi="黑体" w:eastAsia="黑体" w:cs="黑体"/>
          <w:kern w:val="0"/>
          <w:sz w:val="36"/>
          <w:szCs w:val="36"/>
          <w:lang w:val="en-US" w:eastAsia="zh-CN" w:bidi="ar"/>
        </w:rPr>
        <w:t>禹州市不动产一窗受理与政务基础平台等对接服务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center"/>
        <w:textAlignment w:val="auto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kern w:val="0"/>
          <w:sz w:val="36"/>
          <w:szCs w:val="36"/>
          <w:lang w:val="en-US" w:eastAsia="zh-CN" w:bidi="ar"/>
        </w:rPr>
        <w:t>项目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评标报告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一）项目名称：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禹州市不动产一窗受理与政务基础平台等对接服务项目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（二）项目编号：YZCG-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G2019089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采购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67.00万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综合评分法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开标结束后，采购人依法对投标人资格进行审查。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(十) 招标公告刊登的媒体：中国政府采购网、河南省政府采购网、许昌市政府采购网、许昌市人民政府综合门户网、全国公共资源交易平台（河南省·许昌市）。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157" w:afterLines="50" w:line="240" w:lineRule="auto"/>
        <w:jc w:val="both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5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41"/>
        <w:gridCol w:w="23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河南中裕联创信息科技有限公司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669000.00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重庆光大网络技术有限公司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666800.00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tblCellSpacing w:w="0" w:type="dxa"/>
        </w:trPr>
        <w:tc>
          <w:tcPr>
            <w:tcW w:w="6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郑州新图信息科技股份有限公司</w:t>
            </w:r>
          </w:p>
        </w:tc>
        <w:tc>
          <w:tcPr>
            <w:tcW w:w="23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669500.00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 w:firstLine="64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u w:val="none"/>
          <w:shd w:val="clear" w:fill="FFFFFF"/>
          <w14:textFill>
            <w14:solidFill>
              <w14:schemeClr w14:val="tx1"/>
            </w14:solidFill>
          </w14:textFill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评标委员会对通过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资格审查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的三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家投标人进行了符合性审查中，三家投标人均满足招标文件要求，通过符合性审查。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（二）本项</w:t>
      </w:r>
      <w:r>
        <w:rPr>
          <w:rFonts w:hint="eastAsia" w:ascii="仿宋" w:hAnsi="仿宋" w:eastAsia="仿宋" w:cs="仿宋"/>
          <w:b/>
          <w:bCs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目采用综合评分法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leftChars="0" w:right="0" w:rightChars="0" w:firstLine="640" w:firstLineChars="200"/>
        <w:jc w:val="left"/>
        <w:textAlignment w:val="auto"/>
        <w:rPr>
          <w:rFonts w:hint="default"/>
          <w:b/>
          <w:bCs/>
          <w:lang w:val="en-US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评标委员会按照招标文件所规定的要求及评标标准，对价格部分、商务部分和技术部分依据相关评分标准认真进行了评审。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前三名评审得分如下：</w:t>
      </w:r>
    </w:p>
    <w:tbl>
      <w:tblPr>
        <w:tblStyle w:val="5"/>
        <w:tblW w:w="8600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9"/>
        <w:gridCol w:w="3663"/>
        <w:gridCol w:w="1787"/>
        <w:gridCol w:w="1288"/>
        <w:gridCol w:w="103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最终得分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after="157" w:afterLines="50" w:line="240" w:lineRule="auto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重庆光大网络技术有 限公司</w:t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666800.00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95.20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u w:val="dotted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河南中裕联创信息科技有限公司</w:t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669000.00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76.53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tblCellSpacing w:w="0" w:type="dxa"/>
        </w:trPr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66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郑州新图信息科技股份有限公司</w:t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669500.00</w:t>
            </w:r>
          </w:p>
        </w:tc>
        <w:tc>
          <w:tcPr>
            <w:tcW w:w="128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66.72</w:t>
            </w:r>
          </w:p>
        </w:tc>
        <w:tc>
          <w:tcPr>
            <w:tcW w:w="1033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157" w:afterLines="50"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lang w:val="en-US" w:eastAsia="zh-CN"/>
              </w:rPr>
              <w:t>3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627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rightChars="0"/>
        <w:jc w:val="left"/>
        <w:textAlignment w:val="auto"/>
        <w:rPr>
          <w:rFonts w:hint="default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i w:val="0"/>
          <w:color w:val="000000" w:themeColor="text1"/>
          <w:sz w:val="32"/>
          <w:szCs w:val="32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推荐中标候选人如下：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第一中标候选人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： 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重庆光大网络技术有限公司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投标总报价：666800.00元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大写：陆拾陆万陆仟捌佰元整 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工期：合同签订之日起60天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第二中标候选人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：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河南中裕联创信息科技有限公司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投标总报价：669000.00元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大写：陆拾陆万玖仟元整 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工期：合同签订之日起60天 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第三中标候选人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：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郑州新图信息科技股份有限公司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投标总报价：669500.00元 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大写：陆拾陆万玖仟伍佰元整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工期：合同签订之日起60天  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1060" w:leftChars="200" w:right="0" w:rightChars="0" w:hanging="640" w:hangingChars="2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四、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投标人根据评标委员会要求进行的澄清、说明或者补正：无。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 w:firstLine="320" w:firstLineChars="1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五、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是否存在评标委员会成员更换：无。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  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18"/>
          <w:lang w:val="en-US" w:eastAsia="zh-CN"/>
        </w:rPr>
        <w:t>禹州市不动产一窗受理与政务基础平台等对接服务项目评标委员会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left="0" w:right="0"/>
        <w:jc w:val="right"/>
        <w:textAlignment w:val="auto"/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2019年5月30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日</w:t>
      </w:r>
    </w:p>
    <w:sectPr>
      <w:footerReference r:id="rId3" w:type="default"/>
      <w:pgSz w:w="11906" w:h="16838"/>
      <w:pgMar w:top="1157" w:right="1800" w:bottom="110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3493C"/>
    <w:rsid w:val="020D6A89"/>
    <w:rsid w:val="028C3DC5"/>
    <w:rsid w:val="03CC6DAE"/>
    <w:rsid w:val="058D6C93"/>
    <w:rsid w:val="06B37F87"/>
    <w:rsid w:val="09FB1071"/>
    <w:rsid w:val="0C911D4C"/>
    <w:rsid w:val="0DE26094"/>
    <w:rsid w:val="0E3D02A4"/>
    <w:rsid w:val="0F4920B3"/>
    <w:rsid w:val="118E1E6C"/>
    <w:rsid w:val="12AC779F"/>
    <w:rsid w:val="142E1BD3"/>
    <w:rsid w:val="15DE63F9"/>
    <w:rsid w:val="17D926FA"/>
    <w:rsid w:val="193A1AD4"/>
    <w:rsid w:val="1953217A"/>
    <w:rsid w:val="19681871"/>
    <w:rsid w:val="1AB87FBF"/>
    <w:rsid w:val="1B210D6A"/>
    <w:rsid w:val="1C1E3A52"/>
    <w:rsid w:val="1C2D57ED"/>
    <w:rsid w:val="1C67232C"/>
    <w:rsid w:val="1DB649A4"/>
    <w:rsid w:val="1E3F04A0"/>
    <w:rsid w:val="2056075F"/>
    <w:rsid w:val="2D475876"/>
    <w:rsid w:val="2E1D0269"/>
    <w:rsid w:val="2E4E60A8"/>
    <w:rsid w:val="2ED67925"/>
    <w:rsid w:val="309602ED"/>
    <w:rsid w:val="31562344"/>
    <w:rsid w:val="332F6F96"/>
    <w:rsid w:val="33D0456B"/>
    <w:rsid w:val="37287054"/>
    <w:rsid w:val="3984516A"/>
    <w:rsid w:val="39DD6B3B"/>
    <w:rsid w:val="3D2A17EB"/>
    <w:rsid w:val="3E7D189F"/>
    <w:rsid w:val="42154AD9"/>
    <w:rsid w:val="42A668D7"/>
    <w:rsid w:val="43584343"/>
    <w:rsid w:val="46394D8A"/>
    <w:rsid w:val="463B1FB6"/>
    <w:rsid w:val="47446D0D"/>
    <w:rsid w:val="48F44BEB"/>
    <w:rsid w:val="4D7C7A8C"/>
    <w:rsid w:val="502D428E"/>
    <w:rsid w:val="5130300D"/>
    <w:rsid w:val="51CC3EAE"/>
    <w:rsid w:val="538C6AD4"/>
    <w:rsid w:val="53F021E9"/>
    <w:rsid w:val="55DB5089"/>
    <w:rsid w:val="58B568D9"/>
    <w:rsid w:val="59C11524"/>
    <w:rsid w:val="5BD7481B"/>
    <w:rsid w:val="5DE74906"/>
    <w:rsid w:val="5E8B38F1"/>
    <w:rsid w:val="62560283"/>
    <w:rsid w:val="63986664"/>
    <w:rsid w:val="643A2FDE"/>
    <w:rsid w:val="64572E10"/>
    <w:rsid w:val="67F739EE"/>
    <w:rsid w:val="6A4813DA"/>
    <w:rsid w:val="6BAF0BC2"/>
    <w:rsid w:val="6CC63959"/>
    <w:rsid w:val="6DC604A8"/>
    <w:rsid w:val="6F4731E7"/>
    <w:rsid w:val="6FD41625"/>
    <w:rsid w:val="70C20698"/>
    <w:rsid w:val="715011E1"/>
    <w:rsid w:val="715035E1"/>
    <w:rsid w:val="736C2C55"/>
    <w:rsid w:val="73C955BE"/>
    <w:rsid w:val="74EA4B0E"/>
    <w:rsid w:val="75B03D0A"/>
    <w:rsid w:val="799E3C39"/>
    <w:rsid w:val="79A30C85"/>
    <w:rsid w:val="79C75272"/>
    <w:rsid w:val="7DDB7846"/>
    <w:rsid w:val="7E5F661F"/>
    <w:rsid w:val="7F8D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song</cp:lastModifiedBy>
  <cp:lastPrinted>2019-05-27T05:58:00Z</cp:lastPrinted>
  <dcterms:modified xsi:type="dcterms:W3CDTF">2019-05-30T02:24:35Z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